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jc w:val="center"/>
        <w:rPr>
          <w:rFonts w:hint="eastAsia" w:asciiTheme="majorEastAsia" w:hAnsiTheme="majorEastAsia" w:eastAsiaTheme="majorEastAsia" w:cstheme="majorEastAsia"/>
          <w:b/>
          <w:color w:val="auto"/>
          <w:szCs w:val="32"/>
          <w:highlight w:val="none"/>
        </w:rPr>
      </w:pPr>
    </w:p>
    <w:p>
      <w:pPr>
        <w:pStyle w:val="34"/>
        <w:jc w:val="center"/>
        <w:rPr>
          <w:rFonts w:hint="eastAsia" w:asciiTheme="majorEastAsia" w:hAnsiTheme="majorEastAsia" w:eastAsiaTheme="majorEastAsia" w:cstheme="majorEastAsia"/>
          <w:b/>
          <w:color w:val="auto"/>
          <w:sz w:val="44"/>
          <w:szCs w:val="44"/>
          <w:highlight w:val="none"/>
          <w:lang w:eastAsia="zh-CN"/>
        </w:rPr>
      </w:pPr>
      <w:r>
        <w:rPr>
          <w:rFonts w:hint="eastAsia" w:asciiTheme="majorEastAsia" w:hAnsiTheme="majorEastAsia" w:eastAsiaTheme="majorEastAsia" w:cstheme="majorEastAsia"/>
          <w:b/>
          <w:color w:val="auto"/>
          <w:sz w:val="44"/>
          <w:szCs w:val="44"/>
          <w:highlight w:val="none"/>
          <w:lang w:eastAsia="zh-CN"/>
        </w:rPr>
        <w:t>邛崃市人民政府门户网站改版建设项目</w:t>
      </w:r>
    </w:p>
    <w:p>
      <w:pPr>
        <w:pStyle w:val="34"/>
        <w:jc w:val="center"/>
        <w:rPr>
          <w:rFonts w:hint="eastAsia" w:asciiTheme="majorEastAsia" w:hAnsiTheme="majorEastAsia" w:eastAsiaTheme="majorEastAsia" w:cstheme="majorEastAsia"/>
          <w:b/>
          <w:color w:val="auto"/>
          <w:sz w:val="44"/>
          <w:szCs w:val="44"/>
          <w:highlight w:val="none"/>
        </w:rPr>
      </w:pP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竞</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争</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性</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磋</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商</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文</w:t>
      </w:r>
    </w:p>
    <w:p>
      <w:pPr>
        <w:spacing w:line="1060" w:lineRule="exact"/>
        <w:jc w:val="center"/>
        <w:rPr>
          <w:rFonts w:hint="eastAsia"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件</w:t>
      </w:r>
    </w:p>
    <w:p>
      <w:pPr>
        <w:pStyle w:val="34"/>
        <w:rPr>
          <w:rFonts w:hint="eastAsia" w:asciiTheme="majorEastAsia" w:hAnsiTheme="majorEastAsia" w:eastAsiaTheme="majorEastAsia" w:cstheme="majorEastAsia"/>
          <w:color w:val="auto"/>
          <w:sz w:val="44"/>
          <w:szCs w:val="44"/>
          <w:highlight w:val="none"/>
        </w:rPr>
      </w:pPr>
    </w:p>
    <w:p>
      <w:pPr>
        <w:pStyle w:val="34"/>
        <w:rPr>
          <w:rFonts w:hint="eastAsia" w:asciiTheme="majorEastAsia" w:hAnsiTheme="majorEastAsia" w:eastAsiaTheme="majorEastAsia" w:cstheme="majorEastAsia"/>
          <w:color w:val="auto"/>
          <w:sz w:val="44"/>
          <w:szCs w:val="44"/>
          <w:highlight w:val="none"/>
        </w:rPr>
      </w:pPr>
    </w:p>
    <w:p>
      <w:pPr>
        <w:jc w:val="center"/>
        <w:rPr>
          <w:rFonts w:hint="eastAsia" w:asciiTheme="majorEastAsia" w:hAnsiTheme="majorEastAsia" w:eastAsiaTheme="majorEastAsia" w:cstheme="majorEastAsia"/>
          <w:b/>
          <w:color w:val="auto"/>
          <w:szCs w:val="32"/>
          <w:highlight w:val="none"/>
        </w:rPr>
      </w:pPr>
      <w:r>
        <w:rPr>
          <w:rFonts w:hint="eastAsia" w:asciiTheme="majorEastAsia" w:hAnsiTheme="majorEastAsia" w:eastAsiaTheme="majorEastAsia" w:cstheme="majorEastAsia"/>
          <w:b/>
          <w:color w:val="auto"/>
          <w:szCs w:val="32"/>
          <w:highlight w:val="none"/>
        </w:rPr>
        <w:t>中国·四川</w:t>
      </w:r>
    </w:p>
    <w:p>
      <w:pPr>
        <w:jc w:val="center"/>
        <w:rPr>
          <w:rFonts w:hint="eastAsia" w:asciiTheme="majorEastAsia" w:hAnsiTheme="majorEastAsia" w:eastAsiaTheme="majorEastAsia" w:cstheme="majorEastAsia"/>
          <w:b/>
          <w:color w:val="auto"/>
          <w:szCs w:val="32"/>
          <w:highlight w:val="none"/>
        </w:rPr>
      </w:pPr>
      <w:r>
        <w:rPr>
          <w:rFonts w:hint="eastAsia" w:asciiTheme="majorEastAsia" w:hAnsiTheme="majorEastAsia" w:eastAsiaTheme="majorEastAsia" w:cstheme="majorEastAsia"/>
          <w:b/>
          <w:color w:val="auto"/>
          <w:szCs w:val="32"/>
          <w:highlight w:val="none"/>
        </w:rPr>
        <w:t>邛崃市行政审批局</w:t>
      </w:r>
    </w:p>
    <w:p>
      <w:pPr>
        <w:jc w:val="center"/>
        <w:rPr>
          <w:rFonts w:hint="eastAsia" w:asciiTheme="majorEastAsia" w:hAnsiTheme="majorEastAsia" w:eastAsiaTheme="majorEastAsia" w:cstheme="majorEastAsia"/>
          <w:b/>
          <w:color w:val="auto"/>
          <w:szCs w:val="32"/>
          <w:highlight w:val="none"/>
          <w:lang w:eastAsia="zh-CN"/>
        </w:rPr>
      </w:pPr>
      <w:r>
        <w:rPr>
          <w:rFonts w:hint="eastAsia" w:asciiTheme="majorEastAsia" w:hAnsiTheme="majorEastAsia" w:eastAsiaTheme="majorEastAsia" w:cstheme="majorEastAsia"/>
          <w:b/>
          <w:color w:val="auto"/>
          <w:szCs w:val="32"/>
          <w:highlight w:val="none"/>
          <w:lang w:eastAsia="zh-CN"/>
        </w:rPr>
        <w:t>四川中信创立工程造价咨询有限公司</w:t>
      </w:r>
    </w:p>
    <w:p>
      <w:pPr>
        <w:jc w:val="center"/>
        <w:rPr>
          <w:rFonts w:hint="eastAsia" w:asciiTheme="majorEastAsia" w:hAnsiTheme="majorEastAsia" w:eastAsiaTheme="majorEastAsia" w:cstheme="majorEastAsia"/>
          <w:b/>
          <w:color w:val="auto"/>
          <w:szCs w:val="32"/>
          <w:highlight w:val="none"/>
        </w:rPr>
      </w:pPr>
      <w:r>
        <w:rPr>
          <w:rFonts w:hint="eastAsia" w:asciiTheme="majorEastAsia" w:hAnsiTheme="majorEastAsia" w:eastAsiaTheme="majorEastAsia" w:cstheme="majorEastAsia"/>
          <w:b/>
          <w:color w:val="auto"/>
          <w:szCs w:val="32"/>
          <w:highlight w:val="none"/>
        </w:rPr>
        <w:t>（共同编制）</w:t>
      </w:r>
    </w:p>
    <w:p>
      <w:pPr>
        <w:jc w:val="center"/>
        <w:rPr>
          <w:rFonts w:hint="eastAsia" w:asciiTheme="majorEastAsia" w:hAnsiTheme="majorEastAsia" w:eastAsiaTheme="majorEastAsia" w:cstheme="majorEastAsia"/>
          <w:color w:val="auto"/>
          <w:sz w:val="36"/>
          <w:highlight w:val="none"/>
        </w:rPr>
      </w:pPr>
      <w:bookmarkStart w:id="0" w:name="_Toc19521"/>
      <w:r>
        <w:rPr>
          <w:rFonts w:hint="eastAsia" w:asciiTheme="majorEastAsia" w:hAnsiTheme="majorEastAsia" w:eastAsiaTheme="majorEastAsia" w:cstheme="majorEastAsia"/>
          <w:b/>
          <w:bCs/>
          <w:color w:val="auto"/>
          <w:szCs w:val="32"/>
          <w:highlight w:val="none"/>
          <w:lang w:val="zh-CN"/>
        </w:rPr>
        <w:t>二〇二</w:t>
      </w:r>
      <w:r>
        <w:rPr>
          <w:rFonts w:hint="eastAsia" w:asciiTheme="majorEastAsia" w:hAnsiTheme="majorEastAsia" w:eastAsiaTheme="majorEastAsia" w:cstheme="majorEastAsia"/>
          <w:b/>
          <w:bCs/>
          <w:color w:val="auto"/>
          <w:szCs w:val="32"/>
          <w:highlight w:val="none"/>
          <w:lang w:val="en-US" w:eastAsia="zh-CN"/>
        </w:rPr>
        <w:t>二</w:t>
      </w:r>
      <w:r>
        <w:rPr>
          <w:rFonts w:hint="eastAsia" w:asciiTheme="majorEastAsia" w:hAnsiTheme="majorEastAsia" w:eastAsiaTheme="majorEastAsia" w:cstheme="majorEastAsia"/>
          <w:b/>
          <w:bCs/>
          <w:color w:val="auto"/>
          <w:szCs w:val="32"/>
          <w:highlight w:val="none"/>
          <w:lang w:val="zh-CN"/>
        </w:rPr>
        <w:t>年</w:t>
      </w:r>
      <w:r>
        <w:rPr>
          <w:rFonts w:hint="eastAsia" w:asciiTheme="majorEastAsia" w:hAnsiTheme="majorEastAsia" w:eastAsiaTheme="majorEastAsia" w:cstheme="majorEastAsia"/>
          <w:b/>
          <w:bCs/>
          <w:color w:val="auto"/>
          <w:szCs w:val="32"/>
          <w:highlight w:val="none"/>
        </w:rPr>
        <w:t>一</w:t>
      </w:r>
      <w:r>
        <w:rPr>
          <w:rFonts w:hint="eastAsia" w:asciiTheme="majorEastAsia" w:hAnsiTheme="majorEastAsia" w:eastAsiaTheme="majorEastAsia" w:cstheme="majorEastAsia"/>
          <w:b/>
          <w:bCs/>
          <w:color w:val="auto"/>
          <w:szCs w:val="32"/>
          <w:highlight w:val="none"/>
          <w:lang w:val="zh-CN"/>
        </w:rPr>
        <w:t>月</w:t>
      </w:r>
    </w:p>
    <w:p>
      <w:pPr>
        <w:pStyle w:val="4"/>
        <w:keepNext w:val="0"/>
        <w:keepLines w:val="0"/>
        <w:spacing w:line="50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44"/>
          <w:szCs w:val="44"/>
          <w:highlight w:val="none"/>
        </w:rPr>
        <w:t>目    录</w:t>
      </w:r>
      <w:bookmarkEnd w:id="0"/>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TOC \o "1-1" \h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"_Toc17498"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第一章  磋商邀请</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_Toc17498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- 1 -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"_Toc20964"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第二章  磋商须知</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_Toc20964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- 4 -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"_Toc28566"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第三章  供应商资格、资质性及其他类似效力要求</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_Toc28566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- 25 -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"_Toc24962"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第四章  供应商应当提供的资格、资质性及其他类似效力要求的</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"_Toc4322"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相关证明材料</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_Toc4322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- 26 -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"_Toc198"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第五章  采购项目技术、服务、政府采购合同内容条款及其他商务要求</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_Toc198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- 28 -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"_Toc20163"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第六章  采购项目实质性要求</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_Toc20163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- 28 -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"_Toc1215"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第七章  响应文件格式</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_Toc1215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- 33 -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"_Toc22562"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第八章  评审方法</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_Toc22562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- 53 -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pStyle w:val="14"/>
        <w:tabs>
          <w:tab w:val="right" w:leader="dot" w:pos="8647"/>
        </w:tabs>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"_Toc15975"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z w:val="21"/>
          <w:szCs w:val="21"/>
          <w:highlight w:val="none"/>
        </w:rPr>
        <w:t>第九章  政府采购合同（样例）</w:t>
      </w:r>
      <w:r>
        <w:rPr>
          <w:rFonts w:hint="eastAsia" w:asciiTheme="majorEastAsia" w:hAnsiTheme="majorEastAsia" w:eastAsiaTheme="majorEastAsia" w:cstheme="majorEastAsia"/>
          <w:b/>
          <w:bCs/>
          <w:color w:val="auto"/>
          <w:sz w:val="21"/>
          <w:szCs w:val="21"/>
          <w:highlight w:val="none"/>
        </w:rPr>
        <w:tab/>
      </w:r>
      <w:r>
        <w:rPr>
          <w:rFonts w:hint="eastAsia" w:asciiTheme="majorEastAsia" w:hAnsiTheme="majorEastAsia" w:eastAsiaTheme="majorEastAsia" w:cstheme="majorEastAsia"/>
          <w:b/>
          <w:bCs/>
          <w:color w:val="auto"/>
          <w:sz w:val="21"/>
          <w:szCs w:val="21"/>
          <w:highlight w:val="none"/>
        </w:rPr>
        <w:fldChar w:fldCharType="begin"/>
      </w:r>
      <w:r>
        <w:rPr>
          <w:rFonts w:hint="eastAsia" w:asciiTheme="majorEastAsia" w:hAnsiTheme="majorEastAsia" w:eastAsiaTheme="majorEastAsia" w:cstheme="majorEastAsia"/>
          <w:b/>
          <w:bCs/>
          <w:color w:val="auto"/>
          <w:sz w:val="21"/>
          <w:szCs w:val="21"/>
          <w:highlight w:val="none"/>
        </w:rPr>
        <w:instrText xml:space="preserve"> PAGEREF _Toc15975 </w:instrText>
      </w:r>
      <w:r>
        <w:rPr>
          <w:rFonts w:hint="eastAsia" w:asciiTheme="majorEastAsia" w:hAnsiTheme="majorEastAsia" w:eastAsiaTheme="majorEastAsia" w:cstheme="majorEastAsia"/>
          <w:b/>
          <w:bCs/>
          <w:color w:val="auto"/>
          <w:sz w:val="21"/>
          <w:szCs w:val="21"/>
          <w:highlight w:val="none"/>
        </w:rPr>
        <w:fldChar w:fldCharType="separate"/>
      </w:r>
      <w:r>
        <w:rPr>
          <w:rFonts w:hint="eastAsia" w:asciiTheme="majorEastAsia" w:hAnsiTheme="majorEastAsia" w:eastAsiaTheme="majorEastAsia" w:cstheme="majorEastAsia"/>
          <w:b/>
          <w:bCs/>
          <w:color w:val="auto"/>
          <w:sz w:val="21"/>
          <w:szCs w:val="21"/>
          <w:highlight w:val="none"/>
        </w:rPr>
        <w:t>- 66 -</w:t>
      </w:r>
      <w:r>
        <w:rPr>
          <w:rFonts w:hint="eastAsia" w:asciiTheme="majorEastAsia" w:hAnsiTheme="majorEastAsia" w:eastAsiaTheme="majorEastAsia" w:cstheme="majorEastAsia"/>
          <w:b/>
          <w:bCs/>
          <w:color w:val="auto"/>
          <w:sz w:val="21"/>
          <w:szCs w:val="21"/>
          <w:highlight w:val="none"/>
        </w:rPr>
        <w:fldChar w:fldCharType="end"/>
      </w:r>
      <w:r>
        <w:rPr>
          <w:rFonts w:hint="eastAsia" w:asciiTheme="majorEastAsia" w:hAnsiTheme="majorEastAsia" w:eastAsiaTheme="majorEastAsia" w:cstheme="majorEastAsia"/>
          <w:b/>
          <w:bCs/>
          <w:color w:val="auto"/>
          <w:sz w:val="21"/>
          <w:szCs w:val="21"/>
          <w:highlight w:val="none"/>
        </w:rPr>
        <w:fldChar w:fldCharType="end"/>
      </w:r>
    </w:p>
    <w:p>
      <w:pPr>
        <w:spacing w:line="500" w:lineRule="exact"/>
        <w:rPr>
          <w:rFonts w:hint="eastAsia" w:asciiTheme="majorEastAsia" w:hAnsiTheme="majorEastAsia" w:eastAsiaTheme="majorEastAsia" w:cstheme="majorEastAsia"/>
          <w:bCs/>
          <w:color w:val="auto"/>
          <w:szCs w:val="32"/>
          <w:highlight w:val="none"/>
        </w:rPr>
      </w:pPr>
      <w:r>
        <w:rPr>
          <w:rFonts w:hint="eastAsia" w:asciiTheme="majorEastAsia" w:hAnsiTheme="majorEastAsia" w:eastAsiaTheme="majorEastAsia" w:cstheme="majorEastAsia"/>
          <w:bCs/>
          <w:color w:val="auto"/>
          <w:szCs w:val="28"/>
          <w:highlight w:val="none"/>
        </w:rPr>
        <w:fldChar w:fldCharType="end"/>
      </w:r>
    </w:p>
    <w:p>
      <w:pPr>
        <w:pStyle w:val="17"/>
        <w:spacing w:before="312" w:after="312" w:line="500" w:lineRule="exact"/>
        <w:rPr>
          <w:rFonts w:hint="eastAsia" w:asciiTheme="majorEastAsia" w:hAnsiTheme="majorEastAsia" w:eastAsiaTheme="majorEastAsia" w:cstheme="majorEastAsia"/>
          <w:color w:val="auto"/>
          <w:highlight w:val="none"/>
        </w:rPr>
        <w:sectPr>
          <w:headerReference r:id="rId6" w:type="first"/>
          <w:headerReference r:id="rId5" w:type="default"/>
          <w:pgSz w:w="11907" w:h="16839"/>
          <w:pgMar w:top="1440" w:right="1842" w:bottom="1440" w:left="1418" w:header="851" w:footer="992" w:gutter="0"/>
          <w:pgNumType w:fmt="numberInDash" w:start="1"/>
          <w:cols w:space="720" w:num="1"/>
          <w:titlePg/>
          <w:docGrid w:type="linesAndChars" w:linePitch="312" w:charSpace="0"/>
        </w:sectPr>
      </w:pPr>
      <w:bookmarkStart w:id="1" w:name="_Toc6663"/>
      <w:bookmarkStart w:id="2" w:name="_Toc10557"/>
      <w:bookmarkStart w:id="3" w:name="_Toc22060"/>
    </w:p>
    <w:p>
      <w:pPr>
        <w:pStyle w:val="3"/>
        <w:rPr>
          <w:rFonts w:hint="eastAsia" w:asciiTheme="majorEastAsia" w:hAnsiTheme="majorEastAsia" w:eastAsiaTheme="majorEastAsia" w:cstheme="majorEastAsia"/>
          <w:color w:val="auto"/>
          <w:szCs w:val="32"/>
          <w:highlight w:val="none"/>
        </w:rPr>
      </w:pPr>
      <w:bookmarkStart w:id="4" w:name="_Toc27150"/>
      <w:bookmarkStart w:id="5" w:name="_Toc17498"/>
      <w:r>
        <w:rPr>
          <w:rFonts w:hint="eastAsia" w:asciiTheme="majorEastAsia" w:hAnsiTheme="majorEastAsia" w:eastAsiaTheme="majorEastAsia" w:cstheme="majorEastAsia"/>
          <w:color w:val="auto"/>
          <w:szCs w:val="32"/>
          <w:highlight w:val="none"/>
        </w:rPr>
        <w:t>第一章  磋商邀请</w:t>
      </w:r>
      <w:bookmarkEnd w:id="1"/>
      <w:bookmarkEnd w:id="2"/>
      <w:bookmarkEnd w:id="3"/>
      <w:bookmarkEnd w:id="4"/>
      <w:bookmarkEnd w:id="5"/>
    </w:p>
    <w:p>
      <w:pPr>
        <w:pStyle w:val="8"/>
        <w:ind w:firstLine="480"/>
        <w:jc w:val="both"/>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受</w:t>
      </w:r>
      <w:r>
        <w:rPr>
          <w:rFonts w:hint="eastAsia" w:asciiTheme="majorEastAsia" w:hAnsiTheme="majorEastAsia" w:eastAsiaTheme="majorEastAsia" w:cstheme="majorEastAsia"/>
          <w:color w:val="auto"/>
          <w:sz w:val="24"/>
          <w:highlight w:val="none"/>
          <w:u w:val="single"/>
        </w:rPr>
        <w:t>邛崃市行政审批局</w:t>
      </w:r>
      <w:r>
        <w:rPr>
          <w:rFonts w:hint="eastAsia" w:asciiTheme="majorEastAsia" w:hAnsiTheme="majorEastAsia" w:eastAsiaTheme="majorEastAsia" w:cstheme="majorEastAsia"/>
          <w:color w:val="auto"/>
          <w:sz w:val="24"/>
          <w:highlight w:val="none"/>
        </w:rPr>
        <w:t>委托，拟对</w:t>
      </w:r>
      <w:r>
        <w:rPr>
          <w:rFonts w:hint="eastAsia" w:asciiTheme="majorEastAsia" w:hAnsiTheme="majorEastAsia" w:eastAsiaTheme="majorEastAsia" w:cstheme="majorEastAsia"/>
          <w:color w:val="auto"/>
          <w:sz w:val="24"/>
          <w:highlight w:val="none"/>
          <w:u w:val="single"/>
          <w:lang w:eastAsia="zh-CN"/>
        </w:rPr>
        <w:t>邛崃市人民政府门户网站改版建设项目</w:t>
      </w:r>
      <w:r>
        <w:rPr>
          <w:rFonts w:hint="eastAsia" w:asciiTheme="majorEastAsia" w:hAnsiTheme="majorEastAsia" w:eastAsiaTheme="majorEastAsia" w:cstheme="majorEastAsia"/>
          <w:color w:val="auto"/>
          <w:sz w:val="24"/>
          <w:highlight w:val="none"/>
        </w:rPr>
        <w:t>采用</w:t>
      </w:r>
      <w:r>
        <w:rPr>
          <w:rFonts w:hint="eastAsia" w:asciiTheme="majorEastAsia" w:hAnsiTheme="majorEastAsia" w:eastAsiaTheme="majorEastAsia" w:cstheme="majorEastAsia"/>
          <w:b/>
          <w:bCs/>
          <w:color w:val="auto"/>
          <w:sz w:val="24"/>
          <w:highlight w:val="none"/>
        </w:rPr>
        <w:t>竞争性磋商</w:t>
      </w:r>
      <w:r>
        <w:rPr>
          <w:rFonts w:hint="eastAsia" w:asciiTheme="majorEastAsia" w:hAnsiTheme="majorEastAsia" w:eastAsiaTheme="majorEastAsia" w:cstheme="majorEastAsia"/>
          <w:color w:val="auto"/>
          <w:sz w:val="24"/>
          <w:highlight w:val="none"/>
        </w:rPr>
        <w:t>方式进行采购，特邀请符合本次采购要求的供应商参加本项目的竞争性磋商。</w:t>
      </w:r>
    </w:p>
    <w:p>
      <w:pPr>
        <w:pStyle w:val="8"/>
        <w:ind w:firstLine="56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一、采购项目基本情况 </w:t>
      </w:r>
    </w:p>
    <w:p>
      <w:pPr>
        <w:pStyle w:val="8"/>
        <w:ind w:firstLine="480"/>
        <w:rPr>
          <w:rFonts w:hint="eastAsia" w:asciiTheme="majorEastAsia" w:hAnsiTheme="majorEastAsia" w:eastAsiaTheme="majorEastAsia" w:cstheme="majorEastAsia"/>
          <w:color w:val="auto"/>
          <w:sz w:val="24"/>
          <w:highlight w:val="none"/>
          <w:u w:val="single"/>
          <w:lang w:eastAsia="zh-CN"/>
        </w:rPr>
      </w:pPr>
      <w:r>
        <w:rPr>
          <w:rFonts w:hint="eastAsia" w:asciiTheme="majorEastAsia" w:hAnsiTheme="majorEastAsia" w:eastAsiaTheme="majorEastAsia" w:cstheme="majorEastAsia"/>
          <w:color w:val="auto"/>
          <w:sz w:val="24"/>
          <w:highlight w:val="none"/>
        </w:rPr>
        <w:t>1.项目编号：</w:t>
      </w:r>
      <w:r>
        <w:rPr>
          <w:rFonts w:hint="eastAsia" w:asciiTheme="majorEastAsia" w:hAnsiTheme="majorEastAsia" w:eastAsiaTheme="majorEastAsia" w:cstheme="majorEastAsia"/>
          <w:color w:val="auto"/>
          <w:sz w:val="24"/>
          <w:highlight w:val="none"/>
          <w:u w:val="single"/>
          <w:lang w:eastAsia="zh-CN"/>
        </w:rPr>
        <w:t>510183202200004</w:t>
      </w:r>
      <w:r>
        <w:rPr>
          <w:rFonts w:hint="default" w:asciiTheme="majorEastAsia" w:hAnsiTheme="majorEastAsia" w:eastAsiaTheme="majorEastAsia" w:cstheme="majorEastAsia"/>
          <w:color w:val="auto"/>
          <w:sz w:val="24"/>
          <w:highlight w:val="none"/>
          <w:u w:val="single"/>
          <w:lang w:eastAsia="zh-CN"/>
        </w:rPr>
        <w:t> </w:t>
      </w:r>
    </w:p>
    <w:p>
      <w:pPr>
        <w:pStyle w:val="8"/>
        <w:ind w:firstLine="48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2.采购项目名称：</w:t>
      </w:r>
      <w:r>
        <w:rPr>
          <w:rFonts w:hint="eastAsia" w:asciiTheme="majorEastAsia" w:hAnsiTheme="majorEastAsia" w:eastAsiaTheme="majorEastAsia" w:cstheme="majorEastAsia"/>
          <w:color w:val="auto"/>
          <w:sz w:val="24"/>
          <w:highlight w:val="none"/>
          <w:u w:val="single"/>
          <w:lang w:eastAsia="zh-CN"/>
        </w:rPr>
        <w:t>邛崃市人民政府门户网站改版建设项目</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3.采购人：</w:t>
      </w:r>
      <w:r>
        <w:rPr>
          <w:rFonts w:hint="eastAsia" w:asciiTheme="majorEastAsia" w:hAnsiTheme="majorEastAsia" w:eastAsiaTheme="majorEastAsia" w:cstheme="majorEastAsia"/>
          <w:color w:val="auto"/>
          <w:sz w:val="24"/>
          <w:highlight w:val="none"/>
          <w:u w:val="single"/>
        </w:rPr>
        <w:t>邛崃市行政审批局</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4.采购代理机构：</w:t>
      </w:r>
      <w:r>
        <w:rPr>
          <w:rFonts w:hint="eastAsia" w:asciiTheme="majorEastAsia" w:hAnsiTheme="majorEastAsia" w:eastAsiaTheme="majorEastAsia" w:cstheme="majorEastAsia"/>
          <w:color w:val="auto"/>
          <w:sz w:val="24"/>
          <w:highlight w:val="none"/>
          <w:u w:val="single"/>
          <w:lang w:eastAsia="zh-CN"/>
        </w:rPr>
        <w:t>四川中信创立工程造价咨询有限公司</w:t>
      </w:r>
    </w:p>
    <w:p>
      <w:pPr>
        <w:pStyle w:val="8"/>
        <w:ind w:firstLine="56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二、资金情况：</w:t>
      </w:r>
    </w:p>
    <w:p>
      <w:pPr>
        <w:pStyle w:val="8"/>
        <w:ind w:firstLine="480"/>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sz w:val="24"/>
          <w:highlight w:val="none"/>
        </w:rPr>
        <w:t>资金来源及金额：</w:t>
      </w:r>
      <w:r>
        <w:rPr>
          <w:rFonts w:hint="eastAsia" w:asciiTheme="majorEastAsia" w:hAnsiTheme="majorEastAsia" w:eastAsiaTheme="majorEastAsia" w:cstheme="majorEastAsia"/>
          <w:color w:val="auto"/>
          <w:kern w:val="0"/>
          <w:sz w:val="24"/>
          <w:highlight w:val="none"/>
          <w:lang w:bidi="ar"/>
        </w:rPr>
        <w:t>财政资金</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4</w:t>
      </w:r>
      <w:r>
        <w:rPr>
          <w:rFonts w:hint="eastAsia" w:asciiTheme="majorEastAsia" w:hAnsiTheme="majorEastAsia" w:eastAsiaTheme="majorEastAsia" w:cstheme="majorEastAsia"/>
          <w:color w:val="auto"/>
          <w:sz w:val="24"/>
          <w:highlight w:val="none"/>
          <w:u w:val="single"/>
          <w:lang w:val="en-US" w:eastAsia="zh-CN"/>
        </w:rPr>
        <w:t>8.8</w:t>
      </w:r>
      <w:r>
        <w:rPr>
          <w:rFonts w:hint="eastAsia" w:asciiTheme="majorEastAsia" w:hAnsiTheme="majorEastAsia" w:eastAsiaTheme="majorEastAsia" w:cstheme="majorEastAsia"/>
          <w:color w:val="auto"/>
          <w:sz w:val="24"/>
          <w:highlight w:val="none"/>
        </w:rPr>
        <w:t>万元</w:t>
      </w:r>
    </w:p>
    <w:p>
      <w:pPr>
        <w:pStyle w:val="8"/>
        <w:numPr>
          <w:ilvl w:val="0"/>
          <w:numId w:val="1"/>
        </w:numPr>
        <w:ind w:firstLine="56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8"/>
          <w:szCs w:val="28"/>
          <w:highlight w:val="none"/>
        </w:rPr>
        <w:t>采购项目内容：</w:t>
      </w:r>
    </w:p>
    <w:p>
      <w:pPr>
        <w:pStyle w:val="8"/>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（详见磋商文件第五章）</w:t>
      </w:r>
    </w:p>
    <w:p>
      <w:pPr>
        <w:pStyle w:val="8"/>
        <w:ind w:firstLine="56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四、供应商邀请方式</w:t>
      </w:r>
    </w:p>
    <w:p>
      <w:pPr>
        <w:widowControl/>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公告方式：本次竞争性磋商邀请在四川政府采购网（http://www.ccgp-sichuan.gov.cn）上以公告形式发布。</w:t>
      </w:r>
    </w:p>
    <w:p>
      <w:pPr>
        <w:pStyle w:val="8"/>
        <w:numPr>
          <w:ilvl w:val="0"/>
          <w:numId w:val="2"/>
        </w:numPr>
        <w:ind w:firstLine="562"/>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供应商参加本次政府采购活动应具备下列条件</w:t>
      </w:r>
    </w:p>
    <w:p>
      <w:pPr>
        <w:pStyle w:val="8"/>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（一）《中华人民共和国政府采购法》第二十二条规定的条件：</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2.具有良好的商业信誉和健全的财务会计制度。</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4.具有依法缴纳税收和社会保障资金的良好记录。</w:t>
      </w:r>
    </w:p>
    <w:p>
      <w:pPr>
        <w:wordWrap/>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6.法律、行政法规规定的其他条件。</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7.采购人根据本项目提出的特殊条件要求：</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7.1本项目</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"_Toc29194"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sz w:val="24"/>
          <w:highlight w:val="none"/>
        </w:rPr>
        <w:t>参加采购活动的供应商及其现任法定代表人或主要负责人在前三年内不得具有行贿犯罪记录</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7.2供应商未被列入</w:t>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HYPERLINK \l _Toc25219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“信用中国”网站（www.creditchina.gov.cn）、“中国政府采购网”网站（www.ccgp.gov.cn）等失信被执行人名单、重大税收违法案件当事人名单、政府采购严重违法失信行为记录名单中的供应商。</w:t>
      </w:r>
    </w:p>
    <w:p>
      <w:pPr>
        <w:pStyle w:val="8"/>
        <w:wordWrap/>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1"/>
          <w:highlight w:val="none"/>
        </w:rPr>
        <w:fldChar w:fldCharType="end"/>
      </w:r>
      <w:r>
        <w:rPr>
          <w:rFonts w:hint="eastAsia" w:asciiTheme="majorEastAsia" w:hAnsiTheme="majorEastAsia" w:eastAsiaTheme="majorEastAsia" w:cstheme="majorEastAsia"/>
          <w:color w:val="auto"/>
          <w:sz w:val="24"/>
          <w:highlight w:val="none"/>
        </w:rPr>
        <w:t>7.3本项目</w:t>
      </w:r>
      <w:r>
        <w:rPr>
          <w:rFonts w:hint="eastAsia" w:asciiTheme="majorEastAsia" w:hAnsiTheme="majorEastAsia" w:eastAsiaTheme="majorEastAsia" w:cstheme="majorEastAsia"/>
          <w:b/>
          <w:bCs/>
          <w:color w:val="auto"/>
          <w:sz w:val="24"/>
          <w:highlight w:val="none"/>
        </w:rPr>
        <w:t>不接受</w:t>
      </w:r>
      <w:r>
        <w:rPr>
          <w:rFonts w:hint="eastAsia" w:asciiTheme="majorEastAsia" w:hAnsiTheme="majorEastAsia" w:eastAsiaTheme="majorEastAsia" w:cstheme="majorEastAsia"/>
          <w:color w:val="auto"/>
          <w:sz w:val="24"/>
          <w:highlight w:val="none"/>
        </w:rPr>
        <w:t>联合体磋商。</w:t>
      </w:r>
    </w:p>
    <w:p>
      <w:pPr>
        <w:pStyle w:val="8"/>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六、禁止参加本次采购活动的供应商</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bookmarkStart w:id="6" w:name="PO_默认文件内容_4"/>
      <w:r>
        <w:rPr>
          <w:rFonts w:hint="eastAsia" w:asciiTheme="majorEastAsia" w:hAnsiTheme="majorEastAsia" w:eastAsiaTheme="majorEastAsia" w:cstheme="majorEastAsia"/>
          <w:color w:val="auto"/>
          <w:sz w:val="24"/>
          <w:highlight w:val="none"/>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6"/>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8"/>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七、磋商文件获取方式、时间、地点：</w:t>
      </w:r>
    </w:p>
    <w:p>
      <w:pPr>
        <w:pStyle w:val="8"/>
        <w:ind w:left="480" w:firstLine="0" w:firstLineChars="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磋商文件自20</w:t>
      </w:r>
      <w:r>
        <w:rPr>
          <w:rFonts w:hint="eastAsia" w:asciiTheme="majorEastAsia" w:hAnsiTheme="majorEastAsia" w:eastAsiaTheme="majorEastAsia" w:cstheme="majorEastAsia"/>
          <w:color w:val="auto"/>
          <w:sz w:val="24"/>
          <w:highlight w:val="none"/>
          <w:lang w:val="en-US" w:eastAsia="zh-CN"/>
        </w:rPr>
        <w:t>22</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1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27 </w:t>
      </w:r>
      <w:r>
        <w:rPr>
          <w:rFonts w:hint="eastAsia" w:asciiTheme="majorEastAsia" w:hAnsiTheme="majorEastAsia" w:eastAsiaTheme="majorEastAsia" w:cstheme="majorEastAsia"/>
          <w:color w:val="auto"/>
          <w:sz w:val="24"/>
          <w:highlight w:val="none"/>
          <w:u w:val="none"/>
          <w:lang w:val="en-US" w:eastAsia="zh-CN"/>
        </w:rPr>
        <w:t>日</w:t>
      </w:r>
      <w:r>
        <w:rPr>
          <w:rFonts w:hint="eastAsia" w:asciiTheme="majorEastAsia" w:hAnsiTheme="majorEastAsia" w:eastAsiaTheme="majorEastAsia" w:cstheme="majorEastAsia"/>
          <w:color w:val="auto"/>
          <w:sz w:val="24"/>
          <w:highlight w:val="none"/>
        </w:rPr>
        <w:t>至202</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2</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lang w:val="en-US" w:eastAsia="zh-CN"/>
        </w:rPr>
        <w:t xml:space="preserve"> 7</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09:00-17:00</w:t>
      </w:r>
      <w:r>
        <w:rPr>
          <w:rFonts w:hint="eastAsia" w:asciiTheme="majorEastAsia" w:hAnsiTheme="majorEastAsia" w:eastAsiaTheme="majorEastAsia" w:cstheme="majorEastAsia"/>
          <w:color w:val="auto"/>
          <w:sz w:val="24"/>
          <w:highlight w:val="none"/>
        </w:rPr>
        <w:t>（北京时间，法定节假日除外）在政府采购云平台获取。供应商登录政采云平台https://www.zcygov.cn/在线申请获取采购文件（进入“项目采购”应用，在获取采购文件菜单中选择项目，申请获取采购文件）。</w:t>
      </w:r>
    </w:p>
    <w:p>
      <w:pPr>
        <w:pStyle w:val="8"/>
        <w:numPr>
          <w:ilvl w:val="0"/>
          <w:numId w:val="3"/>
        </w:numPr>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递交响应文件截止时间：</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en-US" w:eastAsia="zh-CN"/>
        </w:rPr>
        <w:t>022</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2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14</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09：30</w:t>
      </w:r>
      <w:r>
        <w:rPr>
          <w:rFonts w:hint="eastAsia" w:asciiTheme="majorEastAsia" w:hAnsiTheme="majorEastAsia" w:eastAsiaTheme="majorEastAsia" w:cstheme="majorEastAsia"/>
          <w:color w:val="auto"/>
          <w:sz w:val="24"/>
          <w:highlight w:val="none"/>
        </w:rPr>
        <w:t>（北京时间）。</w:t>
      </w:r>
    </w:p>
    <w:p>
      <w:pPr>
        <w:pStyle w:val="8"/>
        <w:numPr>
          <w:ilvl w:val="0"/>
          <w:numId w:val="3"/>
        </w:numPr>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递交响应文件地点：</w:t>
      </w:r>
    </w:p>
    <w:p>
      <w:pPr>
        <w:pStyle w:val="8"/>
        <w:ind w:firstLine="48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邛崃市凤凰大道567号新市民中心8楼。</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响应文件必须在递交响应文件截止时间前送达磋商地点。逾期送达、密封和标注错误的响应文件，采购代理机构恕不接收。本次采购</w:t>
      </w:r>
      <w:r>
        <w:rPr>
          <w:rFonts w:hint="eastAsia" w:asciiTheme="majorEastAsia" w:hAnsiTheme="majorEastAsia" w:eastAsiaTheme="majorEastAsia" w:cstheme="majorEastAsia"/>
          <w:b/>
          <w:bCs/>
          <w:color w:val="auto"/>
          <w:sz w:val="24"/>
          <w:highlight w:val="none"/>
        </w:rPr>
        <w:t>不接收</w:t>
      </w:r>
      <w:r>
        <w:rPr>
          <w:rFonts w:hint="eastAsia" w:asciiTheme="majorEastAsia" w:hAnsiTheme="majorEastAsia" w:eastAsiaTheme="majorEastAsia" w:cstheme="majorEastAsia"/>
          <w:color w:val="auto"/>
          <w:sz w:val="24"/>
          <w:highlight w:val="none"/>
        </w:rPr>
        <w:t>邮寄的响应文件。</w:t>
      </w:r>
    </w:p>
    <w:p>
      <w:pPr>
        <w:pStyle w:val="8"/>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十、响应文件开启时间：</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202</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lang w:val="en-US" w:eastAsia="zh-CN"/>
        </w:rPr>
        <w:t xml:space="preserve"> 2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14</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09：30</w:t>
      </w:r>
      <w:r>
        <w:rPr>
          <w:rFonts w:hint="eastAsia" w:asciiTheme="majorEastAsia" w:hAnsiTheme="majorEastAsia" w:eastAsiaTheme="majorEastAsia" w:cstheme="majorEastAsia"/>
          <w:color w:val="auto"/>
          <w:sz w:val="24"/>
          <w:highlight w:val="none"/>
        </w:rPr>
        <w:t>（北京时间）在磋商地点开启。</w:t>
      </w:r>
    </w:p>
    <w:p>
      <w:pPr>
        <w:pStyle w:val="8"/>
        <w:numPr>
          <w:ilvl w:val="0"/>
          <w:numId w:val="4"/>
        </w:numPr>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磋商地点：</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邛崃市凤凰大道567号新市民中心8楼。</w:t>
      </w:r>
    </w:p>
    <w:p>
      <w:pPr>
        <w:pStyle w:val="8"/>
        <w:ind w:firstLine="562"/>
        <w:jc w:val="both"/>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十二、联系方式</w:t>
      </w:r>
    </w:p>
    <w:p>
      <w:pPr>
        <w:pStyle w:val="8"/>
        <w:ind w:firstLine="482"/>
        <w:jc w:val="both"/>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采 购 人：邛崃市行政审批局</w:t>
      </w:r>
    </w:p>
    <w:p>
      <w:pPr>
        <w:pStyle w:val="8"/>
        <w:ind w:firstLineChars="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通讯地址：邛崃市凤凰大道567号市民中心3号门</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联 系 人： </w:t>
      </w:r>
      <w:r>
        <w:rPr>
          <w:rFonts w:hint="eastAsia" w:asciiTheme="majorEastAsia" w:hAnsiTheme="majorEastAsia" w:eastAsiaTheme="majorEastAsia" w:cstheme="majorEastAsia"/>
          <w:color w:val="auto"/>
          <w:sz w:val="24"/>
          <w:highlight w:val="none"/>
          <w:lang w:val="en-US" w:eastAsia="zh-CN"/>
        </w:rPr>
        <w:t>陶老师</w:t>
      </w:r>
      <w:r>
        <w:rPr>
          <w:rFonts w:hint="eastAsia" w:asciiTheme="majorEastAsia" w:hAnsiTheme="majorEastAsia" w:eastAsiaTheme="majorEastAsia" w:cstheme="majorEastAsia"/>
          <w:color w:val="auto"/>
          <w:sz w:val="24"/>
          <w:highlight w:val="none"/>
        </w:rPr>
        <w:t xml:space="preserve">          联系电话：</w:t>
      </w:r>
      <w:r>
        <w:rPr>
          <w:rFonts w:hint="eastAsia" w:asciiTheme="majorEastAsia" w:hAnsiTheme="majorEastAsia" w:eastAsiaTheme="majorEastAsia" w:cstheme="majorEastAsia"/>
          <w:color w:val="auto"/>
          <w:sz w:val="24"/>
          <w:highlight w:val="none"/>
          <w:lang w:eastAsia="zh-CN"/>
        </w:rPr>
        <w:t>028-88745218</w:t>
      </w:r>
      <w:r>
        <w:rPr>
          <w:rFonts w:hint="eastAsia" w:asciiTheme="majorEastAsia" w:hAnsiTheme="majorEastAsia" w:eastAsiaTheme="majorEastAsia" w:cstheme="majorEastAsia"/>
          <w:color w:val="auto"/>
          <w:sz w:val="24"/>
          <w:highlight w:val="none"/>
        </w:rPr>
        <w:t xml:space="preserve">          </w:t>
      </w:r>
    </w:p>
    <w:p>
      <w:pPr>
        <w:pStyle w:val="8"/>
        <w:ind w:firstLine="482"/>
        <w:jc w:val="both"/>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采购代理机构：</w:t>
      </w:r>
      <w:r>
        <w:rPr>
          <w:rFonts w:hint="eastAsia" w:asciiTheme="majorEastAsia" w:hAnsiTheme="majorEastAsia" w:eastAsiaTheme="majorEastAsia" w:cstheme="majorEastAsia"/>
          <w:b/>
          <w:bCs/>
          <w:color w:val="auto"/>
          <w:sz w:val="24"/>
          <w:highlight w:val="none"/>
          <w:lang w:eastAsia="zh-CN"/>
        </w:rPr>
        <w:t>四川中信创立工程造价咨询有限公司</w:t>
      </w:r>
    </w:p>
    <w:p>
      <w:pPr>
        <w:kinsoku w:val="0"/>
        <w:wordWrap/>
        <w:overflowPunct w:val="0"/>
        <w:adjustRightInd w:val="0"/>
        <w:snapToGrid w:val="0"/>
        <w:ind w:firstLine="480" w:firstLineChars="200"/>
        <w:jc w:val="both"/>
        <w:rPr>
          <w:rFonts w:hint="eastAsia" w:asciiTheme="majorEastAsia" w:hAnsiTheme="majorEastAsia" w:eastAsiaTheme="majorEastAsia" w:cstheme="majorEastAsia"/>
          <w:bCs/>
          <w:color w:val="auto"/>
          <w:kern w:val="0"/>
          <w:sz w:val="24"/>
          <w:highlight w:val="none"/>
          <w:lang w:bidi="ar"/>
        </w:rPr>
      </w:pPr>
      <w:r>
        <w:rPr>
          <w:rFonts w:hint="eastAsia" w:asciiTheme="majorEastAsia" w:hAnsiTheme="majorEastAsia" w:eastAsiaTheme="majorEastAsia" w:cstheme="majorEastAsia"/>
          <w:bCs/>
          <w:color w:val="auto"/>
          <w:kern w:val="0"/>
          <w:sz w:val="24"/>
          <w:highlight w:val="none"/>
          <w:lang w:bidi="ar"/>
        </w:rPr>
        <w:t>通讯地址：</w:t>
      </w:r>
      <w:r>
        <w:rPr>
          <w:rFonts w:hint="eastAsia" w:asciiTheme="majorEastAsia" w:hAnsiTheme="majorEastAsia" w:eastAsiaTheme="majorEastAsia" w:cstheme="majorEastAsia"/>
          <w:color w:val="auto"/>
          <w:sz w:val="24"/>
          <w:highlight w:val="none"/>
        </w:rPr>
        <w:t>成都市高新区神仙树3号维也纳国际酒店11楼</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联 系 人：陈先生           联系电话：028-85194662  </w:t>
      </w:r>
    </w:p>
    <w:p>
      <w:pPr>
        <w:pStyle w:val="16"/>
        <w:spacing w:before="0" w:beforeAutospacing="0" w:after="0" w:afterAutospacing="0"/>
        <w:jc w:val="right"/>
        <w:rPr>
          <w:rFonts w:hint="eastAsia" w:asciiTheme="majorEastAsia" w:hAnsiTheme="majorEastAsia" w:eastAsiaTheme="majorEastAsia" w:cstheme="majorEastAsia"/>
          <w:color w:val="auto"/>
          <w:sz w:val="24"/>
          <w:szCs w:val="24"/>
          <w:highlight w:val="none"/>
        </w:rPr>
      </w:pPr>
    </w:p>
    <w:p>
      <w:pPr>
        <w:pStyle w:val="16"/>
        <w:wordWrap/>
        <w:spacing w:before="0" w:beforeAutospacing="0" w:after="0" w:afterAutospacing="0"/>
        <w:jc w:val="right"/>
        <w:rPr>
          <w:rFonts w:hint="eastAsia" w:asciiTheme="majorEastAsia" w:hAnsiTheme="majorEastAsia" w:eastAsiaTheme="majorEastAsia" w:cstheme="majorEastAsia"/>
          <w:color w:val="auto"/>
          <w:sz w:val="24"/>
          <w:szCs w:val="24"/>
          <w:highlight w:val="none"/>
        </w:rPr>
      </w:pPr>
    </w:p>
    <w:p>
      <w:pPr>
        <w:pStyle w:val="16"/>
        <w:spacing w:before="0" w:beforeAutospacing="0" w:after="0" w:afterAutospacing="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年1月</w:t>
      </w:r>
    </w:p>
    <w:p>
      <w:pPr>
        <w:pStyle w:val="3"/>
        <w:rPr>
          <w:rFonts w:hint="eastAsia" w:asciiTheme="majorEastAsia" w:hAnsiTheme="majorEastAsia" w:eastAsiaTheme="majorEastAsia" w:cstheme="majorEastAsia"/>
          <w:color w:val="auto"/>
          <w:szCs w:val="32"/>
          <w:highlight w:val="none"/>
        </w:rPr>
        <w:sectPr>
          <w:headerReference r:id="rId7" w:type="default"/>
          <w:footerReference r:id="rId8" w:type="default"/>
          <w:pgSz w:w="11907" w:h="16839"/>
          <w:pgMar w:top="1440" w:right="1276" w:bottom="1440" w:left="1418" w:header="720" w:footer="720" w:gutter="0"/>
          <w:pgNumType w:fmt="numberInDash" w:start="1"/>
          <w:cols w:space="720" w:num="1"/>
          <w:docGrid w:linePitch="312" w:charSpace="0"/>
        </w:sectPr>
      </w:pPr>
      <w:bookmarkStart w:id="7" w:name="_Toc213496267"/>
      <w:bookmarkStart w:id="8" w:name="_Toc217446031"/>
      <w:bookmarkStart w:id="9" w:name="_Toc213396759"/>
      <w:bookmarkStart w:id="10" w:name="_Toc213397009"/>
      <w:bookmarkStart w:id="11" w:name="_Toc26946"/>
      <w:bookmarkStart w:id="12" w:name="_Toc17299"/>
      <w:bookmarkStart w:id="13" w:name="_Toc25272"/>
      <w:bookmarkStart w:id="14" w:name="_Toc213396945"/>
      <w:bookmarkStart w:id="15" w:name="_Toc29112"/>
    </w:p>
    <w:p>
      <w:pPr>
        <w:pStyle w:val="3"/>
        <w:rPr>
          <w:rStyle w:val="33"/>
          <w:rFonts w:hint="eastAsia" w:asciiTheme="majorEastAsia" w:hAnsiTheme="majorEastAsia" w:eastAsiaTheme="majorEastAsia" w:cstheme="majorEastAsia"/>
          <w:b/>
          <w:bCs/>
          <w:color w:val="auto"/>
          <w:szCs w:val="32"/>
          <w:highlight w:val="none"/>
        </w:rPr>
      </w:pPr>
      <w:bookmarkStart w:id="16" w:name="_Toc20964"/>
      <w:r>
        <w:rPr>
          <w:rFonts w:hint="eastAsia" w:asciiTheme="majorEastAsia" w:hAnsiTheme="majorEastAsia" w:eastAsiaTheme="majorEastAsia" w:cstheme="majorEastAsia"/>
          <w:color w:val="auto"/>
          <w:szCs w:val="32"/>
          <w:highlight w:val="none"/>
        </w:rPr>
        <w:t>第二章  磋商须知</w:t>
      </w:r>
      <w:bookmarkEnd w:id="7"/>
      <w:bookmarkEnd w:id="8"/>
      <w:bookmarkEnd w:id="9"/>
      <w:bookmarkEnd w:id="10"/>
      <w:bookmarkEnd w:id="11"/>
      <w:bookmarkEnd w:id="12"/>
      <w:bookmarkEnd w:id="13"/>
      <w:bookmarkEnd w:id="14"/>
      <w:bookmarkEnd w:id="15"/>
      <w:bookmarkEnd w:id="16"/>
    </w:p>
    <w:p>
      <w:pPr>
        <w:pStyle w:val="4"/>
        <w:rPr>
          <w:rFonts w:hint="eastAsia" w:asciiTheme="majorEastAsia" w:hAnsiTheme="majorEastAsia" w:eastAsiaTheme="majorEastAsia" w:cstheme="majorEastAsia"/>
          <w:color w:val="auto"/>
          <w:sz w:val="28"/>
          <w:szCs w:val="28"/>
          <w:highlight w:val="none"/>
        </w:rPr>
      </w:pPr>
      <w:bookmarkStart w:id="17" w:name="_Toc17752"/>
      <w:r>
        <w:rPr>
          <w:rFonts w:hint="eastAsia" w:asciiTheme="majorEastAsia" w:hAnsiTheme="majorEastAsia" w:eastAsiaTheme="majorEastAsia" w:cstheme="majorEastAsia"/>
          <w:color w:val="auto"/>
          <w:sz w:val="28"/>
          <w:szCs w:val="28"/>
          <w:highlight w:val="none"/>
        </w:rPr>
        <w:t>一、供应商须知附表</w:t>
      </w:r>
      <w:bookmarkEnd w:id="17"/>
    </w:p>
    <w:tbl>
      <w:tblPr>
        <w:tblStyle w:val="20"/>
        <w:tblW w:w="955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1"/>
        <w:gridCol w:w="2096"/>
        <w:gridCol w:w="65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881" w:type="dxa"/>
            <w:vAlign w:val="center"/>
          </w:tcPr>
          <w:p>
            <w:pPr>
              <w:pStyle w:val="36"/>
              <w:spacing w:line="360" w:lineRule="auto"/>
              <w:ind w:left="9"/>
              <w:jc w:val="center"/>
              <w:rPr>
                <w:rFonts w:hint="eastAsia" w:asciiTheme="majorEastAsia" w:hAnsiTheme="majorEastAsia" w:eastAsiaTheme="majorEastAsia" w:cstheme="majorEastAsia"/>
                <w:b/>
                <w:bCs/>
                <w:color w:val="auto"/>
                <w:sz w:val="21"/>
                <w:szCs w:val="21"/>
                <w:highlight w:val="none"/>
                <w:lang w:val="zh-CN"/>
              </w:rPr>
            </w:pPr>
            <w:r>
              <w:rPr>
                <w:rFonts w:hint="eastAsia" w:asciiTheme="majorEastAsia" w:hAnsiTheme="majorEastAsia" w:eastAsiaTheme="majorEastAsia" w:cstheme="majorEastAsia"/>
                <w:b/>
                <w:bCs/>
                <w:color w:val="auto"/>
                <w:sz w:val="21"/>
                <w:szCs w:val="21"/>
                <w:highlight w:val="none"/>
                <w:lang w:val="zh-CN"/>
              </w:rPr>
              <w:t xml:space="preserve">序号 </w:t>
            </w:r>
          </w:p>
        </w:tc>
        <w:tc>
          <w:tcPr>
            <w:tcW w:w="2096" w:type="dxa"/>
            <w:vAlign w:val="center"/>
          </w:tcPr>
          <w:p>
            <w:pPr>
              <w:pStyle w:val="36"/>
              <w:spacing w:line="360" w:lineRule="auto"/>
              <w:ind w:left="38"/>
              <w:jc w:val="center"/>
              <w:rPr>
                <w:rFonts w:hint="eastAsia" w:asciiTheme="majorEastAsia" w:hAnsiTheme="majorEastAsia" w:eastAsiaTheme="majorEastAsia" w:cstheme="majorEastAsia"/>
                <w:b/>
                <w:bCs/>
                <w:color w:val="auto"/>
                <w:sz w:val="21"/>
                <w:szCs w:val="21"/>
                <w:highlight w:val="none"/>
                <w:lang w:val="zh-CN"/>
              </w:rPr>
            </w:pPr>
            <w:r>
              <w:rPr>
                <w:rFonts w:hint="eastAsia" w:asciiTheme="majorEastAsia" w:hAnsiTheme="majorEastAsia" w:eastAsiaTheme="majorEastAsia" w:cstheme="majorEastAsia"/>
                <w:b/>
                <w:bCs/>
                <w:color w:val="auto"/>
                <w:sz w:val="21"/>
                <w:szCs w:val="21"/>
                <w:highlight w:val="none"/>
                <w:lang w:val="zh-CN"/>
              </w:rPr>
              <w:t>应知事项</w:t>
            </w:r>
          </w:p>
        </w:tc>
        <w:tc>
          <w:tcPr>
            <w:tcW w:w="6578" w:type="dxa"/>
            <w:vAlign w:val="center"/>
          </w:tcPr>
          <w:p>
            <w:pPr>
              <w:pStyle w:val="36"/>
              <w:spacing w:line="360" w:lineRule="auto"/>
              <w:jc w:val="center"/>
              <w:rPr>
                <w:rFonts w:hint="eastAsia" w:asciiTheme="majorEastAsia" w:hAnsiTheme="majorEastAsia" w:eastAsiaTheme="majorEastAsia" w:cstheme="majorEastAsia"/>
                <w:b/>
                <w:bCs/>
                <w:color w:val="auto"/>
                <w:sz w:val="21"/>
                <w:szCs w:val="21"/>
                <w:highlight w:val="none"/>
                <w:lang w:val="zh-CN"/>
              </w:rPr>
            </w:pPr>
            <w:r>
              <w:rPr>
                <w:rFonts w:hint="eastAsia" w:asciiTheme="majorEastAsia" w:hAnsiTheme="majorEastAsia" w:eastAsiaTheme="majorEastAsia" w:cstheme="majorEastAsia"/>
                <w:b/>
                <w:bCs/>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1</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确定邀请磋商的供应商数量和方式</w:t>
            </w:r>
          </w:p>
        </w:tc>
        <w:tc>
          <w:tcPr>
            <w:tcW w:w="6578" w:type="dxa"/>
            <w:vAlign w:val="center"/>
          </w:tcPr>
          <w:p>
            <w:pPr>
              <w:pStyle w:val="36"/>
              <w:spacing w:line="360" w:lineRule="auto"/>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本次磋商邀请的供应商数量：至少3家。</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本次采购</w:t>
            </w:r>
            <w:r>
              <w:rPr>
                <w:rFonts w:hint="eastAsia" w:asciiTheme="majorEastAsia" w:hAnsiTheme="majorEastAsia" w:eastAsiaTheme="majorEastAsia" w:cstheme="majorEastAsia"/>
                <w:color w:val="auto"/>
                <w:sz w:val="21"/>
                <w:szCs w:val="21"/>
                <w:highlight w:val="none"/>
              </w:rPr>
              <w:t>以</w:t>
            </w:r>
            <w:r>
              <w:rPr>
                <w:rFonts w:hint="eastAsia" w:asciiTheme="majorEastAsia" w:hAnsiTheme="majorEastAsia" w:eastAsiaTheme="majorEastAsia" w:cstheme="majorEastAsia"/>
                <w:color w:val="auto"/>
                <w:sz w:val="21"/>
                <w:szCs w:val="21"/>
                <w:highlight w:val="none"/>
                <w:lang w:val="zh-CN"/>
              </w:rPr>
              <w:t>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2</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采购预算</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b/>
                <w:bCs/>
                <w:color w:val="auto"/>
                <w:sz w:val="21"/>
                <w:szCs w:val="21"/>
                <w:highlight w:val="none"/>
                <w:lang w:val="zh-CN"/>
              </w:rPr>
              <w:t>实质性要求</w:t>
            </w:r>
            <w:r>
              <w:rPr>
                <w:rFonts w:hint="eastAsia" w:asciiTheme="majorEastAsia" w:hAnsiTheme="majorEastAsia" w:eastAsiaTheme="majorEastAsia" w:cstheme="majorEastAsia"/>
                <w:b/>
                <w:bCs/>
                <w:color w:val="auto"/>
                <w:sz w:val="21"/>
                <w:szCs w:val="21"/>
                <w:highlight w:val="none"/>
              </w:rPr>
              <w:t>)</w:t>
            </w:r>
          </w:p>
        </w:tc>
        <w:tc>
          <w:tcPr>
            <w:tcW w:w="6578" w:type="dxa"/>
            <w:vAlign w:val="center"/>
          </w:tcPr>
          <w:p>
            <w:pPr>
              <w:pStyle w:val="36"/>
              <w:spacing w:line="360" w:lineRule="auto"/>
              <w:ind w:left="208" w:leftChars="65"/>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本项目采购预算：</w:t>
            </w:r>
            <w:r>
              <w:rPr>
                <w:rFonts w:hint="eastAsia" w:asciiTheme="majorEastAsia" w:hAnsiTheme="majorEastAsia" w:eastAsiaTheme="majorEastAsia" w:cstheme="majorEastAsia"/>
                <w:color w:val="auto"/>
                <w:sz w:val="21"/>
                <w:szCs w:val="21"/>
                <w:highlight w:val="none"/>
                <w:u w:val="single"/>
                <w:lang w:val="en-US" w:eastAsia="zh-CN"/>
              </w:rPr>
              <w:t>48.8</w:t>
            </w:r>
            <w:r>
              <w:rPr>
                <w:rFonts w:hint="eastAsia" w:asciiTheme="majorEastAsia" w:hAnsiTheme="majorEastAsia" w:eastAsiaTheme="majorEastAsia" w:cstheme="majorEastAsia"/>
                <w:color w:val="auto"/>
                <w:sz w:val="21"/>
                <w:szCs w:val="21"/>
                <w:highlight w:val="none"/>
                <w:lang w:val="zh-CN"/>
              </w:rPr>
              <w:t>万元(大写：</w:t>
            </w:r>
            <w:r>
              <w:rPr>
                <w:rFonts w:hint="eastAsia" w:asciiTheme="majorEastAsia" w:hAnsiTheme="majorEastAsia" w:eastAsiaTheme="majorEastAsia" w:cstheme="majorEastAsia"/>
                <w:color w:val="auto"/>
                <w:sz w:val="21"/>
                <w:szCs w:val="21"/>
                <w:highlight w:val="none"/>
              </w:rPr>
              <w:t>肆拾</w:t>
            </w:r>
            <w:r>
              <w:rPr>
                <w:rFonts w:hint="eastAsia" w:asciiTheme="majorEastAsia" w:hAnsiTheme="majorEastAsia" w:eastAsiaTheme="majorEastAsia" w:cstheme="majorEastAsia"/>
                <w:color w:val="auto"/>
                <w:sz w:val="21"/>
                <w:szCs w:val="21"/>
                <w:highlight w:val="none"/>
                <w:lang w:val="en-US" w:eastAsia="zh-CN"/>
              </w:rPr>
              <w:t>捌万捌仟</w:t>
            </w:r>
            <w:r>
              <w:rPr>
                <w:rFonts w:hint="eastAsia" w:asciiTheme="majorEastAsia" w:hAnsiTheme="majorEastAsia" w:eastAsiaTheme="majorEastAsia" w:cstheme="majorEastAsia"/>
                <w:color w:val="auto"/>
                <w:sz w:val="21"/>
                <w:szCs w:val="21"/>
                <w:highlight w:val="none"/>
              </w:rPr>
              <w:t>元整</w:t>
            </w:r>
            <w:r>
              <w:rPr>
                <w:rFonts w:hint="eastAsia" w:asciiTheme="majorEastAsia" w:hAnsiTheme="majorEastAsia" w:eastAsiaTheme="majorEastAsia" w:cstheme="majorEastAsia"/>
                <w:color w:val="auto"/>
                <w:sz w:val="21"/>
                <w:szCs w:val="21"/>
                <w:highlight w:val="none"/>
                <w:lang w:val="zh-CN"/>
              </w:rPr>
              <w:t>)。</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注：超过采购预算的投标为无效响应。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2096" w:type="dxa"/>
            <w:vAlign w:val="center"/>
          </w:tcPr>
          <w:p>
            <w:pPr>
              <w:pStyle w:val="36"/>
              <w:spacing w:line="360" w:lineRule="auto"/>
              <w:ind w:left="160" w:leftChars="50" w:right="160" w:rightChars="50"/>
              <w:jc w:val="center"/>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最高限价</w:t>
            </w:r>
          </w:p>
          <w:p>
            <w:pPr>
              <w:pStyle w:val="36"/>
              <w:spacing w:line="360" w:lineRule="auto"/>
              <w:ind w:left="160" w:leftChars="50" w:right="160" w:rightChars="5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color w:val="auto"/>
                <w:sz w:val="21"/>
                <w:szCs w:val="21"/>
                <w:highlight w:val="none"/>
              </w:rPr>
              <w:t>（实质性要求）</w:t>
            </w:r>
          </w:p>
        </w:tc>
        <w:tc>
          <w:tcPr>
            <w:tcW w:w="6578" w:type="dxa"/>
          </w:tcPr>
          <w:p>
            <w:pPr>
              <w:pStyle w:val="36"/>
              <w:spacing w:line="360" w:lineRule="auto"/>
              <w:ind w:left="208" w:leftChars="65"/>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本项目</w:t>
            </w:r>
            <w:r>
              <w:rPr>
                <w:rFonts w:hint="eastAsia" w:asciiTheme="majorEastAsia" w:hAnsiTheme="majorEastAsia" w:eastAsiaTheme="majorEastAsia" w:cstheme="majorEastAsia"/>
                <w:color w:val="auto"/>
                <w:sz w:val="21"/>
                <w:szCs w:val="21"/>
                <w:highlight w:val="none"/>
              </w:rPr>
              <w:t>最高限价：</w:t>
            </w:r>
            <w:r>
              <w:rPr>
                <w:rFonts w:hint="eastAsia" w:asciiTheme="majorEastAsia" w:hAnsiTheme="majorEastAsia" w:eastAsiaTheme="majorEastAsia" w:cstheme="majorEastAsia"/>
                <w:color w:val="auto"/>
                <w:sz w:val="21"/>
                <w:szCs w:val="21"/>
                <w:highlight w:val="none"/>
                <w:u w:val="single"/>
                <w:lang w:val="en-US" w:eastAsia="zh-CN"/>
              </w:rPr>
              <w:t>48.8</w:t>
            </w:r>
            <w:r>
              <w:rPr>
                <w:rFonts w:hint="eastAsia" w:asciiTheme="majorEastAsia" w:hAnsiTheme="majorEastAsia" w:eastAsiaTheme="majorEastAsia" w:cstheme="majorEastAsia"/>
                <w:color w:val="auto"/>
                <w:sz w:val="21"/>
                <w:szCs w:val="21"/>
                <w:highlight w:val="none"/>
                <w:lang w:val="zh-CN"/>
              </w:rPr>
              <w:t>万元(大写：</w:t>
            </w:r>
            <w:r>
              <w:rPr>
                <w:rFonts w:hint="eastAsia" w:asciiTheme="majorEastAsia" w:hAnsiTheme="majorEastAsia" w:eastAsiaTheme="majorEastAsia" w:cstheme="majorEastAsia"/>
                <w:color w:val="auto"/>
                <w:sz w:val="21"/>
                <w:szCs w:val="21"/>
                <w:highlight w:val="none"/>
              </w:rPr>
              <w:t>肆拾</w:t>
            </w:r>
            <w:r>
              <w:rPr>
                <w:rFonts w:hint="eastAsia" w:asciiTheme="majorEastAsia" w:hAnsiTheme="majorEastAsia" w:eastAsiaTheme="majorEastAsia" w:cstheme="majorEastAsia"/>
                <w:color w:val="auto"/>
                <w:sz w:val="21"/>
                <w:szCs w:val="21"/>
                <w:highlight w:val="none"/>
                <w:lang w:val="en-US" w:eastAsia="zh-CN"/>
              </w:rPr>
              <w:t>捌万捌仟</w:t>
            </w:r>
            <w:r>
              <w:rPr>
                <w:rFonts w:hint="eastAsia" w:asciiTheme="majorEastAsia" w:hAnsiTheme="majorEastAsia" w:eastAsiaTheme="majorEastAsia" w:cstheme="majorEastAsia"/>
                <w:color w:val="auto"/>
                <w:sz w:val="21"/>
                <w:szCs w:val="21"/>
                <w:highlight w:val="none"/>
              </w:rPr>
              <w:t>元整</w:t>
            </w:r>
            <w:r>
              <w:rPr>
                <w:rFonts w:hint="eastAsia" w:asciiTheme="majorEastAsia" w:hAnsiTheme="majorEastAsia" w:eastAsiaTheme="majorEastAsia" w:cstheme="majorEastAsia"/>
                <w:color w:val="auto"/>
                <w:sz w:val="21"/>
                <w:szCs w:val="21"/>
                <w:highlight w:val="none"/>
                <w:lang w:val="zh-CN"/>
              </w:rPr>
              <w:t>)。</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注：超过采购预算的投标为无效响应。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联合体</w:t>
            </w:r>
          </w:p>
        </w:tc>
        <w:tc>
          <w:tcPr>
            <w:tcW w:w="6578" w:type="dxa"/>
            <w:vAlign w:val="center"/>
          </w:tcPr>
          <w:p>
            <w:pPr>
              <w:pStyle w:val="45"/>
              <w:spacing w:line="373" w:lineRule="exact"/>
              <w:ind w:left="107"/>
              <w:rPr>
                <w:rFonts w:hint="eastAsia" w:asciiTheme="majorEastAsia" w:hAnsiTheme="majorEastAsia" w:eastAsiaTheme="majorEastAsia" w:cstheme="majorEastAsia"/>
                <w:color w:val="auto"/>
                <w:spacing w:val="-3"/>
                <w:sz w:val="21"/>
                <w:szCs w:val="21"/>
                <w:highlight w:val="none"/>
              </w:rPr>
            </w:pPr>
            <w:r>
              <w:rPr>
                <w:rFonts w:hint="eastAsia" w:asciiTheme="majorEastAsia" w:hAnsiTheme="majorEastAsia" w:eastAsiaTheme="majorEastAsia" w:cstheme="majorEastAsia"/>
                <w:color w:val="auto"/>
                <w:sz w:val="21"/>
                <w:szCs w:val="21"/>
                <w:highlight w:val="none"/>
              </w:rPr>
              <w:t>　</w:t>
            </w:r>
            <w:r>
              <w:rPr>
                <w:rFonts w:hint="eastAsia" w:asciiTheme="majorEastAsia" w:hAnsiTheme="majorEastAsia" w:eastAsiaTheme="majorEastAsia" w:cstheme="majorEastAsia"/>
                <w:color w:val="auto"/>
                <w:sz w:val="21"/>
                <w:szCs w:val="21"/>
                <w:highlight w:val="none"/>
                <w:lang w:val="en-US"/>
              </w:rPr>
              <w:t>本项目</w:t>
            </w:r>
            <w:r>
              <w:rPr>
                <w:rFonts w:hint="eastAsia" w:asciiTheme="majorEastAsia" w:hAnsiTheme="majorEastAsia" w:eastAsiaTheme="majorEastAsia" w:cstheme="majorEastAsia"/>
                <w:b/>
                <w:bCs/>
                <w:color w:val="auto"/>
                <w:sz w:val="21"/>
                <w:szCs w:val="21"/>
                <w:highlight w:val="none"/>
                <w:lang w:val="en-US"/>
              </w:rPr>
              <w:t>不</w:t>
            </w:r>
            <w:r>
              <w:rPr>
                <w:rFonts w:hint="eastAsia" w:asciiTheme="majorEastAsia" w:hAnsiTheme="majorEastAsia" w:eastAsiaTheme="majorEastAsia" w:cstheme="majorEastAsia"/>
                <w:b/>
                <w:bCs/>
                <w:color w:val="auto"/>
                <w:sz w:val="21"/>
                <w:szCs w:val="21"/>
                <w:highlight w:val="none"/>
              </w:rPr>
              <w:t>接受</w:t>
            </w:r>
            <w:r>
              <w:rPr>
                <w:rFonts w:hint="eastAsia" w:asciiTheme="majorEastAsia" w:hAnsiTheme="majorEastAsia" w:eastAsiaTheme="majorEastAsia" w:cstheme="majorEastAsia"/>
                <w:color w:val="auto"/>
                <w:sz w:val="21"/>
                <w:szCs w:val="21"/>
                <w:highlight w:val="none"/>
              </w:rPr>
              <w:t>联合体磋商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是否属于专门面 </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向中小企业或者 </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专门面向小微企 </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业的采购项目</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是否属于专门面向中小企业采购，是</w:t>
            </w:r>
            <w:r>
              <w:rPr>
                <w:rFonts w:hint="eastAsia" w:asciiTheme="majorEastAsia" w:hAnsiTheme="majorEastAsia" w:eastAsiaTheme="majorEastAsia" w:cstheme="majorEastAsia"/>
                <w:color w:val="auto"/>
                <w:sz w:val="21"/>
                <w:szCs w:val="21"/>
                <w:highlight w:val="none"/>
                <w:lang w:val="zh-CN"/>
              </w:rPr>
              <w:sym w:font="Wingdings 2" w:char="0052"/>
            </w:r>
            <w:r>
              <w:rPr>
                <w:rFonts w:hint="eastAsia" w:asciiTheme="majorEastAsia" w:hAnsiTheme="majorEastAsia" w:eastAsiaTheme="majorEastAsia" w:cstheme="majorEastAsia"/>
                <w:color w:val="auto"/>
                <w:sz w:val="21"/>
                <w:szCs w:val="21"/>
                <w:highlight w:val="none"/>
                <w:lang w:val="zh-CN"/>
              </w:rPr>
              <w:t>，否</w:t>
            </w:r>
            <w:r>
              <w:rPr>
                <w:rFonts w:hint="eastAsia" w:asciiTheme="majorEastAsia" w:hAnsiTheme="majorEastAsia" w:eastAsiaTheme="majorEastAsia" w:cstheme="majorEastAsia"/>
                <w:color w:val="auto"/>
                <w:sz w:val="21"/>
                <w:szCs w:val="21"/>
                <w:highlight w:val="none"/>
                <w:lang w:val="zh-CN"/>
              </w:rPr>
              <w:sym w:font="Wingdings 2" w:char="00A3"/>
            </w:r>
            <w:r>
              <w:rPr>
                <w:rFonts w:hint="eastAsia" w:asciiTheme="majorEastAsia" w:hAnsiTheme="majorEastAsia" w:eastAsiaTheme="majorEastAsia" w:cstheme="majorEastAsia"/>
                <w:color w:val="auto"/>
                <w:sz w:val="21"/>
                <w:szCs w:val="21"/>
                <w:highlight w:val="none"/>
                <w:lang w:val="zh-CN"/>
              </w:rPr>
              <w:t xml:space="preserve"> ；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是否属于专门面向小微企业采购，是</w:t>
            </w:r>
            <w:r>
              <w:rPr>
                <w:rFonts w:hint="eastAsia" w:asciiTheme="majorEastAsia" w:hAnsiTheme="majorEastAsia" w:eastAsiaTheme="majorEastAsia" w:cstheme="majorEastAsia"/>
                <w:color w:val="auto"/>
                <w:sz w:val="21"/>
                <w:szCs w:val="21"/>
                <w:highlight w:val="none"/>
                <w:lang w:val="zh-CN"/>
              </w:rPr>
              <w:sym w:font="Wingdings 2" w:char="00A3"/>
            </w:r>
            <w:r>
              <w:rPr>
                <w:rFonts w:hint="eastAsia" w:asciiTheme="majorEastAsia" w:hAnsiTheme="majorEastAsia" w:eastAsiaTheme="majorEastAsia" w:cstheme="majorEastAsia"/>
                <w:color w:val="auto"/>
                <w:sz w:val="21"/>
                <w:szCs w:val="21"/>
                <w:highlight w:val="none"/>
                <w:lang w:val="zh-CN"/>
              </w:rPr>
              <w:t>，否</w:t>
            </w:r>
            <w:bookmarkStart w:id="262" w:name="_GoBack"/>
            <w:bookmarkEnd w:id="262"/>
            <w:r>
              <w:rPr>
                <w:rFonts w:hint="eastAsia" w:asciiTheme="majorEastAsia" w:hAnsiTheme="majorEastAsia" w:eastAsiaTheme="majorEastAsia" w:cstheme="majorEastAsia"/>
                <w:color w:val="auto"/>
                <w:sz w:val="21"/>
                <w:szCs w:val="21"/>
                <w:highlight w:val="none"/>
                <w:lang w:val="zh-CN"/>
              </w:rPr>
              <w:sym w:font="Wingdings 2" w:char="0052"/>
            </w:r>
            <w:r>
              <w:rPr>
                <w:rFonts w:hint="eastAsia" w:asciiTheme="majorEastAsia" w:hAnsiTheme="majorEastAsia" w:eastAsiaTheme="majorEastAsia" w:cstheme="majorEastAsia"/>
                <w:color w:val="auto"/>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低于成本价不正当竞争预防措施</w:t>
            </w:r>
          </w:p>
          <w:p>
            <w:pPr>
              <w:pStyle w:val="36"/>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(实质性要求)</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1.在评审过程中，评审委员会认为供应商报价明显低于其他通过符合性审查供应商的报价，有可能影响产品质量或者不能诚信履约的</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评审委员会应当要求其在评审现场合理的时间内提供成本构成书面说明，必要时提交相关证明材料。供应商不能证明其报价合理性的，评审委员会应当将其作为无效处理。</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2.供应商书面说明应当签字确认或者加盖公章，否则无效。书面说明的签字确认，由其法定代表人/主要负责人/本人或者其授权代表签字确认。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3.供应商提供书面说明后，磋商小组应当结合采购项目采购需求、专业实际情况、供应商财务状况报告、与其他供应商比较情况等就供应商书面说明进行审查评价。</w:t>
            </w:r>
            <w:r>
              <w:rPr>
                <w:rFonts w:hint="eastAsia" w:asciiTheme="majorEastAsia" w:hAnsiTheme="majorEastAsia" w:eastAsiaTheme="majorEastAsia" w:cstheme="majorEastAsia"/>
                <w:b/>
                <w:bCs/>
                <w:color w:val="auto"/>
                <w:sz w:val="21"/>
                <w:szCs w:val="21"/>
                <w:highlight w:val="none"/>
                <w:lang w:val="zh-CN"/>
              </w:rPr>
              <w:t>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小微企业（监狱企业、残疾人福利性单位视同小微企业）价格扣除和失信企业报价加成或者扣分</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b/>
                <w:bCs/>
                <w:color w:val="auto"/>
                <w:sz w:val="21"/>
                <w:szCs w:val="21"/>
                <w:highlight w:val="none"/>
                <w:lang w:val="zh-CN"/>
              </w:rPr>
              <w:t>实质性要求</w:t>
            </w:r>
            <w:r>
              <w:rPr>
                <w:rFonts w:hint="eastAsia" w:asciiTheme="majorEastAsia" w:hAnsiTheme="majorEastAsia" w:eastAsiaTheme="majorEastAsia" w:cstheme="majorEastAsia"/>
                <w:b/>
                <w:bCs/>
                <w:color w:val="auto"/>
                <w:sz w:val="21"/>
                <w:szCs w:val="21"/>
                <w:highlight w:val="none"/>
              </w:rPr>
              <w:t>)</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一、小微企业（监狱企业、残疾人福利性单位视同小微企业）价格扣除</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1.根据《政府采购促进中小企业发展管理办法》（财库[2020]46号）的规定，对小型和微型企业产品的价格给予10%的价格扣除，用扣除后的价格参与评审。</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2.参加政府采购活动的中小企业应当提供《中小企业声明函》原件。监狱企业应当提供《监狱企业证明》原件。残疾人福利性单位应当提供《残疾人福利性单位声明函》原件。</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二、失信企业报价加成或者扣分</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2.供应商参加政府采购活动时，应当就自己的诚信情况在响应文件中进行承诺。（供应商需单独提供承诺函，未提供视为失信一次。）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节能、环保、无线</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局域网产品政策体</w:t>
            </w:r>
          </w:p>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   现</w:t>
            </w:r>
            <w:r>
              <w:rPr>
                <w:rFonts w:hint="eastAsia" w:asciiTheme="majorEastAsia" w:hAnsiTheme="majorEastAsia" w:eastAsiaTheme="majorEastAsia" w:cstheme="majorEastAsia"/>
                <w:b/>
                <w:bCs/>
                <w:color w:val="auto"/>
                <w:sz w:val="21"/>
                <w:szCs w:val="21"/>
                <w:highlight w:val="none"/>
              </w:rPr>
              <w:t xml:space="preserve">(如涉及) </w:t>
            </w:r>
          </w:p>
          <w:p>
            <w:pPr>
              <w:pStyle w:val="36"/>
              <w:spacing w:line="360" w:lineRule="auto"/>
              <w:jc w:val="center"/>
              <w:rPr>
                <w:rFonts w:hint="eastAsia" w:asciiTheme="majorEastAsia" w:hAnsiTheme="majorEastAsia" w:eastAsiaTheme="majorEastAsia" w:cstheme="majorEastAsia"/>
                <w:b/>
                <w:bCs/>
                <w:color w:val="auto"/>
                <w:sz w:val="21"/>
                <w:szCs w:val="21"/>
                <w:highlight w:val="none"/>
              </w:rPr>
            </w:pP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一、节能、环保产品政府采购政策:</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根据《财政部 发展改革委 生态环境部 市场监管总局关于调整优化 节能产品、环境标志产品政府采购执行机制的通知》(财库〔2019〕9 号) 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 </w:t>
            </w:r>
          </w:p>
          <w:p>
            <w:pPr>
              <w:pStyle w:val="36"/>
              <w:spacing w:line="360" w:lineRule="auto"/>
              <w:ind w:firstLine="210" w:firstLineChars="100"/>
              <w:jc w:val="both"/>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本项目采购的产品属于品目清单强制采购范围的，供应商应按上述要求提供产品认证证书复印件并加盖供应商单位公章(鲜章)，否则投标无效。</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本项目</w:t>
            </w:r>
            <w:r>
              <w:rPr>
                <w:rFonts w:hint="eastAsia" w:asciiTheme="majorEastAsia" w:hAnsiTheme="majorEastAsia" w:eastAsiaTheme="majorEastAsia" w:cstheme="majorEastAsia"/>
                <w:color w:val="auto"/>
                <w:sz w:val="21"/>
                <w:szCs w:val="21"/>
                <w:highlight w:val="none"/>
                <w:lang w:val="zh-CN"/>
              </w:rPr>
              <w:t>供应商所投产品</w:t>
            </w:r>
            <w:r>
              <w:rPr>
                <w:rFonts w:hint="eastAsia" w:asciiTheme="majorEastAsia" w:hAnsiTheme="majorEastAsia" w:eastAsiaTheme="majorEastAsia" w:cstheme="majorEastAsia"/>
                <w:color w:val="auto"/>
                <w:sz w:val="21"/>
                <w:szCs w:val="21"/>
                <w:highlight w:val="none"/>
              </w:rPr>
              <w:t>属于品目清单优先采购范围的</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rPr>
              <w:t>按照第八章《综合评分明细表》的规则进行加分</w:t>
            </w:r>
            <w:r>
              <w:rPr>
                <w:rFonts w:hint="eastAsia" w:asciiTheme="majorEastAsia" w:hAnsiTheme="majorEastAsia" w:eastAsiaTheme="majorEastAsia" w:cstheme="majorEastAsia"/>
                <w:color w:val="auto"/>
                <w:sz w:val="21"/>
                <w:szCs w:val="21"/>
                <w:highlight w:val="none"/>
                <w:lang w:val="zh-CN"/>
              </w:rPr>
              <w:t xml:space="preserve">。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注:对政府采购节能产品、环境标志产品实施品目清单管理。财政部、发展改革委、生态环境部等部门确定实施政府优先采购和强制采购的产品类别，以品目清单的形式发布并适时调整。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二、无线局域网产品政府采购政策:</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供应商所投产品属于财政部、国家发改委或信息产业部公布的(截止本项目采购公告发布当天)最新一期的无线局域网产品政府优先采购清单范围的，</w:t>
            </w:r>
            <w:r>
              <w:rPr>
                <w:rFonts w:hint="eastAsia" w:asciiTheme="majorEastAsia" w:hAnsiTheme="majorEastAsia" w:eastAsiaTheme="majorEastAsia" w:cstheme="majorEastAsia"/>
                <w:color w:val="auto"/>
                <w:sz w:val="21"/>
                <w:szCs w:val="21"/>
                <w:highlight w:val="none"/>
              </w:rPr>
              <w:t>按照第八章《综合评分明细表》的规则进行加分</w:t>
            </w:r>
            <w:r>
              <w:rPr>
                <w:rFonts w:hint="eastAsia" w:asciiTheme="majorEastAsia" w:hAnsiTheme="majorEastAsia" w:eastAsiaTheme="majorEastAsia" w:cstheme="majorEastAsia"/>
                <w:color w:val="auto"/>
                <w:sz w:val="21"/>
                <w:szCs w:val="21"/>
                <w:highlight w:val="none"/>
                <w:lang w:val="zh-CN"/>
              </w:rPr>
              <w:t xml:space="preserve">。 </w:t>
            </w:r>
          </w:p>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注</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zh-CN"/>
              </w:rPr>
              <w:t>财政部、国家发改委或信息产业部公布的无线局域网产品清单可在四川政府采购网</w:t>
            </w:r>
            <w:r>
              <w:rPr>
                <w:rFonts w:hint="eastAsia" w:asciiTheme="majorEastAsia" w:hAnsiTheme="majorEastAsia" w:eastAsiaTheme="majorEastAsia" w:cstheme="majorEastAsia"/>
                <w:color w:val="auto"/>
                <w:sz w:val="21"/>
                <w:szCs w:val="21"/>
                <w:highlight w:val="none"/>
              </w:rPr>
              <w:t>（http://www.ccgp-sichuan.gov.cn）</w:t>
            </w:r>
            <w:r>
              <w:rPr>
                <w:rFonts w:hint="eastAsia" w:asciiTheme="majorEastAsia" w:hAnsiTheme="majorEastAsia" w:eastAsiaTheme="majorEastAsia" w:cstheme="majorEastAsia"/>
                <w:color w:val="auto"/>
                <w:sz w:val="21"/>
                <w:szCs w:val="21"/>
                <w:highlight w:val="none"/>
                <w:lang w:val="zh-CN"/>
              </w:rPr>
              <w:t>、国家发展改革委网站</w:t>
            </w:r>
            <w:r>
              <w:rPr>
                <w:rFonts w:hint="eastAsia" w:asciiTheme="majorEastAsia" w:hAnsiTheme="majorEastAsia" w:eastAsiaTheme="majorEastAsia" w:cstheme="majorEastAsia"/>
                <w:color w:val="auto"/>
                <w:sz w:val="21"/>
                <w:szCs w:val="21"/>
                <w:highlight w:val="none"/>
              </w:rPr>
              <w:t xml:space="preserve"> (http://www.ndrc.gov.cn)</w:t>
            </w:r>
            <w:r>
              <w:rPr>
                <w:rFonts w:hint="eastAsia" w:asciiTheme="majorEastAsia" w:hAnsiTheme="majorEastAsia" w:eastAsiaTheme="majorEastAsia" w:cstheme="majorEastAsia"/>
                <w:color w:val="auto"/>
                <w:sz w:val="21"/>
                <w:szCs w:val="21"/>
                <w:highlight w:val="none"/>
                <w:lang w:val="zh-CN"/>
              </w:rPr>
              <w:t>、信息产业部网</w:t>
            </w:r>
            <w:r>
              <w:rPr>
                <w:rFonts w:hint="eastAsia" w:asciiTheme="majorEastAsia" w:hAnsiTheme="majorEastAsia" w:eastAsiaTheme="majorEastAsia" w:cstheme="majorEastAsia"/>
                <w:color w:val="auto"/>
                <w:sz w:val="21"/>
                <w:szCs w:val="21"/>
                <w:highlight w:val="none"/>
              </w:rPr>
              <w:t xml:space="preserve"> (http://www.mii.gov.cn)</w:t>
            </w:r>
            <w:r>
              <w:rPr>
                <w:rFonts w:hint="eastAsia" w:asciiTheme="majorEastAsia" w:hAnsiTheme="majorEastAsia" w:eastAsiaTheme="majorEastAsia" w:cstheme="majorEastAsia"/>
                <w:color w:val="auto"/>
                <w:sz w:val="21"/>
                <w:szCs w:val="21"/>
                <w:highlight w:val="none"/>
                <w:lang w:val="zh-CN"/>
              </w:rPr>
              <w:t>上自行查阅、下载。</w:t>
            </w:r>
            <w:r>
              <w:rPr>
                <w:rFonts w:hint="eastAsia" w:asciiTheme="majorEastAsia" w:hAnsiTheme="majorEastAsia" w:eastAsiaTheme="majorEastAsia" w:cstheme="majorEastAsia"/>
                <w:color w:val="auto"/>
                <w:sz w:val="21"/>
                <w:szCs w:val="21"/>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kern w:val="2"/>
                <w:sz w:val="21"/>
                <w:szCs w:val="21"/>
                <w:highlight w:val="none"/>
                <w:lang w:val="zh-CN"/>
              </w:rPr>
            </w:pPr>
            <w:r>
              <w:rPr>
                <w:rFonts w:hint="eastAsia" w:asciiTheme="majorEastAsia" w:hAnsiTheme="majorEastAsia" w:eastAsiaTheme="majorEastAsia" w:cstheme="majorEastAsia"/>
                <w:color w:val="auto"/>
                <w:kern w:val="2"/>
                <w:sz w:val="21"/>
                <w:szCs w:val="21"/>
                <w:highlight w:val="none"/>
                <w:lang w:val="zh-CN"/>
              </w:rPr>
              <w:t>CCC强制认证</w:t>
            </w:r>
          </w:p>
          <w:p>
            <w:pPr>
              <w:pStyle w:val="36"/>
              <w:spacing w:line="360" w:lineRule="auto"/>
              <w:jc w:val="center"/>
              <w:rPr>
                <w:rFonts w:hint="eastAsia" w:asciiTheme="majorEastAsia" w:hAnsiTheme="majorEastAsia" w:eastAsiaTheme="majorEastAsia" w:cstheme="majorEastAsia"/>
                <w:color w:val="auto"/>
                <w:kern w:val="2"/>
                <w:sz w:val="21"/>
                <w:szCs w:val="21"/>
                <w:highlight w:val="none"/>
                <w:lang w:val="zh-CN"/>
              </w:rPr>
            </w:pPr>
            <w:r>
              <w:rPr>
                <w:rFonts w:hint="eastAsia" w:asciiTheme="majorEastAsia" w:hAnsiTheme="majorEastAsia" w:eastAsiaTheme="majorEastAsia" w:cstheme="majorEastAsia"/>
                <w:color w:val="auto"/>
                <w:kern w:val="2"/>
                <w:sz w:val="21"/>
                <w:szCs w:val="21"/>
                <w:highlight w:val="none"/>
                <w:lang w:val="zh-CN"/>
              </w:rPr>
              <w:t>(如涉及)</w:t>
            </w:r>
          </w:p>
          <w:p>
            <w:pPr>
              <w:pStyle w:val="36"/>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zh-CN"/>
              </w:rPr>
              <w:t>（实质性要求）</w:t>
            </w:r>
          </w:p>
        </w:tc>
        <w:tc>
          <w:tcPr>
            <w:tcW w:w="6578" w:type="dxa"/>
          </w:tcPr>
          <w:p>
            <w:pPr>
              <w:ind w:left="-19" w:leftChars="-6"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zh-CN"/>
              </w:rPr>
              <w:t>若所投产品涉及强制 3C 认证产品的，在投标文件中可不提供 3C 认证证书(</w:t>
            </w:r>
            <w:r>
              <w:rPr>
                <w:rFonts w:hint="eastAsia" w:asciiTheme="majorEastAsia" w:hAnsiTheme="majorEastAsia" w:eastAsiaTheme="majorEastAsia" w:cstheme="majorEastAsia"/>
                <w:color w:val="auto"/>
                <w:sz w:val="21"/>
                <w:szCs w:val="21"/>
                <w:highlight w:val="none"/>
              </w:rPr>
              <w:t>磋商</w:t>
            </w:r>
            <w:r>
              <w:rPr>
                <w:rFonts w:hint="eastAsia" w:asciiTheme="majorEastAsia" w:hAnsiTheme="majorEastAsia" w:eastAsiaTheme="majorEastAsia" w:cstheme="majorEastAsia"/>
                <w:color w:val="auto"/>
                <w:sz w:val="21"/>
                <w:szCs w:val="21"/>
                <w:highlight w:val="none"/>
                <w:lang w:val="zh-CN"/>
              </w:rPr>
              <w:t>文件另有要求的除外)，可提供承诺函（格式自拟）；中标人应在签订采购合同前提供至采购人，未提供或不能提供的视为虚假响应。采购人将另行确定中标人或重新组织招标。。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c>
          <w:tcPr>
            <w:tcW w:w="2096" w:type="dxa"/>
            <w:vAlign w:val="center"/>
          </w:tcPr>
          <w:p>
            <w:pPr>
              <w:wordWrap/>
              <w:ind w:right="160" w:rightChars="5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支持不发达地区和少数民族地区政府采购政策</w:t>
            </w:r>
          </w:p>
        </w:tc>
        <w:tc>
          <w:tcPr>
            <w:tcW w:w="6578" w:type="dxa"/>
            <w:vAlign w:val="center"/>
          </w:tcPr>
          <w:p>
            <w:pPr>
              <w:pStyle w:val="36"/>
              <w:spacing w:line="360" w:lineRule="auto"/>
              <w:ind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经评审后得分相同的，优先推荐不发达地区或少数民族地区的供应商作为成交候选供应商。（若此政策作为评分标准，则在评审得分相同时，不再作为优先推荐候选人的条件。）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磋商情况公告</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供应商资格审查情况、磋商情况、报价情况、磋商结果等在</w:t>
            </w:r>
            <w:r>
              <w:rPr>
                <w:rFonts w:hint="eastAsia" w:asciiTheme="majorEastAsia" w:hAnsiTheme="majorEastAsia" w:eastAsiaTheme="majorEastAsia" w:cstheme="majorEastAsia"/>
                <w:color w:val="auto"/>
                <w:sz w:val="21"/>
                <w:szCs w:val="21"/>
                <w:highlight w:val="none"/>
              </w:rPr>
              <w:t>四川政府采购网</w:t>
            </w:r>
            <w:r>
              <w:rPr>
                <w:rFonts w:hint="eastAsia" w:asciiTheme="majorEastAsia" w:hAnsiTheme="majorEastAsia" w:eastAsiaTheme="majorEastAsia" w:cstheme="majorEastAsia"/>
                <w:color w:val="auto"/>
                <w:sz w:val="21"/>
                <w:szCs w:val="21"/>
                <w:highlight w:val="none"/>
                <w:lang w:val="zh-CN"/>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磋商保证金</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根据《四川省财政厅关于进一步做好疫情防控期间政府采购工作有关事项的通知》（川财采[2020]28号）文件要求，本项目不收取磋商保证金。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履约保证金</w:t>
            </w:r>
          </w:p>
        </w:tc>
        <w:tc>
          <w:tcPr>
            <w:tcW w:w="6578" w:type="dxa"/>
            <w:vAlign w:val="center"/>
          </w:tcPr>
          <w:p>
            <w:pPr>
              <w:pStyle w:val="36"/>
              <w:spacing w:line="360" w:lineRule="auto"/>
              <w:ind w:firstLine="210" w:firstLineChars="100"/>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根据《四川省财政厅关于进一步做好疫情防控期间政府采购工作有关事项的通知》（川财采[2020]28号）文件要求，本项目不收取</w:t>
            </w:r>
            <w:r>
              <w:rPr>
                <w:rFonts w:hint="eastAsia" w:asciiTheme="majorEastAsia" w:hAnsiTheme="majorEastAsia" w:eastAsiaTheme="majorEastAsia" w:cstheme="majorEastAsia"/>
                <w:color w:val="auto"/>
                <w:sz w:val="21"/>
                <w:szCs w:val="21"/>
                <w:highlight w:val="none"/>
              </w:rPr>
              <w:t>履约</w:t>
            </w:r>
            <w:r>
              <w:rPr>
                <w:rFonts w:hint="eastAsia" w:asciiTheme="majorEastAsia" w:hAnsiTheme="majorEastAsia" w:eastAsiaTheme="majorEastAsia" w:cstheme="majorEastAsia"/>
                <w:color w:val="auto"/>
                <w:sz w:val="21"/>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rPr>
              <w:t>磋商</w:t>
            </w:r>
            <w:r>
              <w:rPr>
                <w:rFonts w:hint="eastAsia" w:asciiTheme="majorEastAsia" w:hAnsiTheme="majorEastAsia" w:eastAsiaTheme="majorEastAsia" w:cstheme="majorEastAsia"/>
                <w:color w:val="auto"/>
                <w:sz w:val="21"/>
                <w:szCs w:val="21"/>
                <w:highlight w:val="none"/>
                <w:lang w:val="zh-CN"/>
              </w:rPr>
              <w:t>文件咨询</w:t>
            </w:r>
          </w:p>
        </w:tc>
        <w:tc>
          <w:tcPr>
            <w:tcW w:w="6578" w:type="dxa"/>
            <w:vAlign w:val="center"/>
          </w:tcPr>
          <w:p>
            <w:pPr>
              <w:pStyle w:val="36"/>
              <w:spacing w:line="360" w:lineRule="auto"/>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w:t>
            </w:r>
            <w:r>
              <w:rPr>
                <w:rFonts w:hint="eastAsia" w:asciiTheme="majorEastAsia" w:hAnsiTheme="majorEastAsia" w:eastAsiaTheme="majorEastAsia" w:cstheme="majorEastAsia"/>
                <w:color w:val="auto"/>
                <w:sz w:val="21"/>
                <w:szCs w:val="21"/>
                <w:highlight w:val="none"/>
                <w:lang w:val="en-US" w:eastAsia="zh-CN"/>
              </w:rPr>
              <w:t>严</w:t>
            </w:r>
            <w:r>
              <w:rPr>
                <w:rFonts w:hint="eastAsia" w:asciiTheme="majorEastAsia" w:hAnsiTheme="majorEastAsia" w:eastAsiaTheme="majorEastAsia" w:cstheme="majorEastAsia"/>
                <w:color w:val="auto"/>
                <w:sz w:val="21"/>
                <w:szCs w:val="21"/>
                <w:highlight w:val="none"/>
              </w:rPr>
              <w:t>老师</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zh-CN"/>
              </w:rPr>
              <w:t xml:space="preserve">联系电话：028-85194662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磋商过程、结果工作咨询</w:t>
            </w:r>
          </w:p>
        </w:tc>
        <w:tc>
          <w:tcPr>
            <w:tcW w:w="6578" w:type="dxa"/>
            <w:vAlign w:val="center"/>
          </w:tcPr>
          <w:p>
            <w:pPr>
              <w:pStyle w:val="36"/>
              <w:spacing w:line="360" w:lineRule="auto"/>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w:t>
            </w:r>
            <w:r>
              <w:rPr>
                <w:rFonts w:hint="eastAsia" w:asciiTheme="majorEastAsia" w:hAnsiTheme="majorEastAsia" w:eastAsiaTheme="majorEastAsia" w:cstheme="majorEastAsia"/>
                <w:color w:val="auto"/>
                <w:sz w:val="21"/>
                <w:szCs w:val="21"/>
                <w:highlight w:val="none"/>
                <w:lang w:val="en-US" w:eastAsia="zh-CN"/>
              </w:rPr>
              <w:t>严</w:t>
            </w:r>
            <w:r>
              <w:rPr>
                <w:rFonts w:hint="eastAsia" w:asciiTheme="majorEastAsia" w:hAnsiTheme="majorEastAsia" w:eastAsiaTheme="majorEastAsia" w:cstheme="majorEastAsia"/>
                <w:color w:val="auto"/>
                <w:sz w:val="21"/>
                <w:szCs w:val="21"/>
                <w:highlight w:val="none"/>
              </w:rPr>
              <w:t>老师</w:t>
            </w:r>
            <w:r>
              <w:rPr>
                <w:rFonts w:hint="eastAsia" w:asciiTheme="majorEastAsia" w:hAnsiTheme="majorEastAsia" w:eastAsiaTheme="majorEastAsia" w:cstheme="majorEastAsia"/>
                <w:color w:val="auto"/>
                <w:sz w:val="21"/>
                <w:szCs w:val="21"/>
                <w:highlight w:val="none"/>
                <w:lang w:val="zh-CN"/>
              </w:rPr>
              <w:t>；</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zh-CN"/>
              </w:rPr>
              <w:t xml:space="preserve">联系电话：028-85194662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67"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成交通知书领取</w:t>
            </w:r>
          </w:p>
        </w:tc>
        <w:tc>
          <w:tcPr>
            <w:tcW w:w="6578" w:type="dxa"/>
            <w:vAlign w:val="center"/>
          </w:tcPr>
          <w:p>
            <w:pPr>
              <w:pStyle w:val="36"/>
              <w:spacing w:line="360" w:lineRule="auto"/>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采购结果公告在四川政府采购网上发布后，请成交供应商凭有效身份证明证件到采购代理机构领取成交通知书。</w:t>
            </w:r>
          </w:p>
          <w:p>
            <w:pPr>
              <w:pStyle w:val="36"/>
              <w:spacing w:line="360" w:lineRule="auto"/>
              <w:jc w:val="both"/>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w:t>
            </w:r>
            <w:r>
              <w:rPr>
                <w:rFonts w:hint="eastAsia" w:asciiTheme="majorEastAsia" w:hAnsiTheme="majorEastAsia" w:eastAsiaTheme="majorEastAsia" w:cstheme="majorEastAsia"/>
                <w:color w:val="auto"/>
                <w:sz w:val="21"/>
                <w:szCs w:val="21"/>
                <w:highlight w:val="none"/>
                <w:lang w:val="en-US" w:eastAsia="zh-CN"/>
              </w:rPr>
              <w:t>严</w:t>
            </w:r>
            <w:r>
              <w:rPr>
                <w:rFonts w:hint="eastAsia" w:asciiTheme="majorEastAsia" w:hAnsiTheme="majorEastAsia" w:eastAsiaTheme="majorEastAsia" w:cstheme="majorEastAsia"/>
                <w:color w:val="auto"/>
                <w:sz w:val="21"/>
                <w:szCs w:val="21"/>
                <w:highlight w:val="none"/>
                <w:lang w:val="zh-CN"/>
              </w:rPr>
              <w:t>老师；</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zh-CN"/>
              </w:rPr>
              <w:t>联系电话：</w:t>
            </w:r>
            <w:r>
              <w:rPr>
                <w:rFonts w:hint="eastAsia" w:asciiTheme="majorEastAsia" w:hAnsiTheme="majorEastAsia" w:eastAsiaTheme="majorEastAsia" w:cstheme="majorEastAsia"/>
                <w:color w:val="auto"/>
                <w:sz w:val="21"/>
                <w:szCs w:val="21"/>
                <w:highlight w:val="none"/>
              </w:rPr>
              <w:t>028-85194662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19" w:hRule="atLeast"/>
          <w:jc w:val="center"/>
        </w:trPr>
        <w:tc>
          <w:tcPr>
            <w:tcW w:w="881" w:type="dxa"/>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w:t>
            </w:r>
          </w:p>
        </w:tc>
        <w:tc>
          <w:tcPr>
            <w:tcW w:w="2096" w:type="dxa"/>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供应商询问</w:t>
            </w:r>
          </w:p>
        </w:tc>
        <w:tc>
          <w:tcPr>
            <w:tcW w:w="6578" w:type="dxa"/>
            <w:vAlign w:val="center"/>
          </w:tcPr>
          <w:p>
            <w:pPr>
              <w:pStyle w:val="36"/>
              <w:spacing w:line="360" w:lineRule="auto"/>
              <w:ind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根据委托代理协议约定，供应商询问由</w:t>
            </w:r>
            <w:r>
              <w:rPr>
                <w:rFonts w:hint="eastAsia" w:asciiTheme="majorEastAsia" w:hAnsiTheme="majorEastAsia" w:eastAsiaTheme="majorEastAsia" w:cstheme="majorEastAsia"/>
                <w:color w:val="auto"/>
                <w:sz w:val="21"/>
                <w:szCs w:val="21"/>
                <w:highlight w:val="none"/>
                <w:lang w:eastAsia="zh-CN"/>
              </w:rPr>
              <w:t>四川中信创立工程造价咨询有限公司</w:t>
            </w:r>
            <w:r>
              <w:rPr>
                <w:rFonts w:hint="eastAsia" w:asciiTheme="majorEastAsia" w:hAnsiTheme="majorEastAsia" w:eastAsiaTheme="majorEastAsia" w:cstheme="majorEastAsia"/>
                <w:color w:val="auto"/>
                <w:sz w:val="21"/>
                <w:szCs w:val="21"/>
                <w:highlight w:val="none"/>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18</w:t>
            </w:r>
          </w:p>
        </w:tc>
        <w:tc>
          <w:tcPr>
            <w:tcW w:w="2096" w:type="dxa"/>
            <w:tcBorders>
              <w:top w:val="single" w:color="auto" w:sz="8" w:space="0"/>
              <w:left w:val="single" w:color="auto" w:sz="8" w:space="0"/>
              <w:bottom w:val="single" w:color="auto" w:sz="8" w:space="0"/>
              <w:right w:val="single" w:color="auto" w:sz="8" w:space="0"/>
            </w:tcBorders>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供应商质疑</w:t>
            </w:r>
          </w:p>
        </w:tc>
        <w:tc>
          <w:tcPr>
            <w:tcW w:w="6578" w:type="dxa"/>
            <w:tcBorders>
              <w:top w:val="single" w:color="auto" w:sz="8" w:space="0"/>
              <w:left w:val="single" w:color="auto" w:sz="8" w:space="0"/>
              <w:bottom w:val="single" w:color="auto" w:sz="8" w:space="0"/>
              <w:right w:val="single" w:color="auto" w:sz="18" w:space="0"/>
            </w:tcBorders>
            <w:vAlign w:val="center"/>
          </w:tcPr>
          <w:p>
            <w:pPr>
              <w:pStyle w:val="36"/>
              <w:spacing w:line="360" w:lineRule="auto"/>
              <w:ind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根据委托代理协议约定，对磋商文件</w:t>
            </w:r>
            <w:r>
              <w:rPr>
                <w:rFonts w:hint="eastAsia" w:asciiTheme="majorEastAsia" w:hAnsiTheme="majorEastAsia" w:eastAsiaTheme="majorEastAsia" w:cstheme="majorEastAsia"/>
                <w:color w:val="auto"/>
                <w:sz w:val="21"/>
                <w:szCs w:val="21"/>
                <w:highlight w:val="none"/>
              </w:rPr>
              <w:t>、磋商过程和磋商结果</w:t>
            </w:r>
            <w:r>
              <w:rPr>
                <w:rFonts w:hint="eastAsia" w:asciiTheme="majorEastAsia" w:hAnsiTheme="majorEastAsia" w:eastAsiaTheme="majorEastAsia" w:cstheme="majorEastAsia"/>
                <w:color w:val="auto"/>
                <w:sz w:val="21"/>
                <w:szCs w:val="21"/>
                <w:highlight w:val="none"/>
                <w:lang w:val="zh-CN"/>
              </w:rPr>
              <w:t>的质疑由</w:t>
            </w:r>
            <w:r>
              <w:rPr>
                <w:rFonts w:hint="eastAsia" w:asciiTheme="majorEastAsia" w:hAnsiTheme="majorEastAsia" w:eastAsiaTheme="majorEastAsia" w:cstheme="majorEastAsia"/>
                <w:color w:val="auto"/>
                <w:sz w:val="21"/>
                <w:szCs w:val="21"/>
                <w:highlight w:val="none"/>
                <w:lang w:eastAsia="zh-CN"/>
              </w:rPr>
              <w:t>四川中信创立工程造价咨询有限公司</w:t>
            </w:r>
            <w:r>
              <w:rPr>
                <w:rFonts w:hint="eastAsia" w:asciiTheme="majorEastAsia" w:hAnsiTheme="majorEastAsia" w:eastAsiaTheme="majorEastAsia" w:cstheme="majorEastAsia"/>
                <w:color w:val="auto"/>
                <w:sz w:val="21"/>
                <w:szCs w:val="21"/>
                <w:highlight w:val="none"/>
                <w:lang w:val="zh-CN"/>
              </w:rPr>
              <w:t>负责</w:t>
            </w:r>
            <w:r>
              <w:rPr>
                <w:rFonts w:hint="eastAsia" w:asciiTheme="majorEastAsia" w:hAnsiTheme="majorEastAsia" w:eastAsiaTheme="majorEastAsia" w:cstheme="majorEastAsia"/>
                <w:color w:val="auto"/>
                <w:sz w:val="21"/>
                <w:szCs w:val="21"/>
                <w:highlight w:val="none"/>
              </w:rPr>
              <w:t>受理和</w:t>
            </w:r>
            <w:r>
              <w:rPr>
                <w:rFonts w:hint="eastAsia" w:asciiTheme="majorEastAsia" w:hAnsiTheme="majorEastAsia" w:eastAsiaTheme="majorEastAsia" w:cstheme="majorEastAsia"/>
                <w:color w:val="auto"/>
                <w:sz w:val="21"/>
                <w:szCs w:val="21"/>
                <w:highlight w:val="none"/>
                <w:lang w:val="zh-CN"/>
              </w:rPr>
              <w:t>答复</w:t>
            </w:r>
            <w:r>
              <w:rPr>
                <w:rFonts w:hint="eastAsia" w:asciiTheme="majorEastAsia" w:hAnsiTheme="majorEastAsia" w:eastAsiaTheme="majorEastAsia" w:cstheme="majorEastAsia"/>
                <w:color w:val="auto"/>
                <w:sz w:val="21"/>
                <w:szCs w:val="21"/>
                <w:highlight w:val="none"/>
              </w:rPr>
              <w:t>。供应商须以书面形式一次性提出针对同一采购程序环节的质疑。</w:t>
            </w:r>
          </w:p>
          <w:p>
            <w:pPr>
              <w:pStyle w:val="36"/>
              <w:spacing w:line="360" w:lineRule="auto"/>
              <w:ind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 系 人：</w:t>
            </w:r>
            <w:r>
              <w:rPr>
                <w:rFonts w:hint="eastAsia" w:asciiTheme="majorEastAsia" w:hAnsiTheme="majorEastAsia" w:eastAsiaTheme="majorEastAsia" w:cstheme="majorEastAsia"/>
                <w:color w:val="auto"/>
                <w:sz w:val="21"/>
                <w:szCs w:val="21"/>
                <w:highlight w:val="none"/>
                <w:lang w:val="en-US" w:eastAsia="zh-CN"/>
              </w:rPr>
              <w:t>严</w:t>
            </w:r>
            <w:r>
              <w:rPr>
                <w:rFonts w:hint="eastAsia" w:asciiTheme="majorEastAsia" w:hAnsiTheme="majorEastAsia" w:eastAsiaTheme="majorEastAsia" w:cstheme="majorEastAsia"/>
                <w:color w:val="auto"/>
                <w:sz w:val="21"/>
                <w:szCs w:val="21"/>
                <w:highlight w:val="none"/>
                <w:lang w:val="zh-CN"/>
              </w:rPr>
              <w:t>老师</w:t>
            </w:r>
          </w:p>
          <w:p>
            <w:pPr>
              <w:pStyle w:val="36"/>
              <w:spacing w:line="360" w:lineRule="auto"/>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联系电话：028-85194662</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联系地址：成都市高新区神仙树3号维也纳国际酒店11楼</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19</w:t>
            </w:r>
          </w:p>
        </w:tc>
        <w:tc>
          <w:tcPr>
            <w:tcW w:w="2096" w:type="dxa"/>
            <w:tcBorders>
              <w:top w:val="single" w:color="auto" w:sz="8" w:space="0"/>
              <w:left w:val="single" w:color="auto" w:sz="8" w:space="0"/>
              <w:bottom w:val="single" w:color="auto" w:sz="8" w:space="0"/>
              <w:right w:val="single" w:color="auto" w:sz="8" w:space="0"/>
            </w:tcBorders>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供应商投诉</w:t>
            </w:r>
          </w:p>
        </w:tc>
        <w:tc>
          <w:tcPr>
            <w:tcW w:w="6578" w:type="dxa"/>
            <w:tcBorders>
              <w:top w:val="single" w:color="auto" w:sz="8" w:space="0"/>
              <w:left w:val="single" w:color="auto" w:sz="8" w:space="0"/>
              <w:bottom w:val="single" w:color="auto" w:sz="8" w:space="0"/>
              <w:right w:val="single" w:color="auto" w:sz="18" w:space="0"/>
            </w:tcBorders>
            <w:vAlign w:val="center"/>
          </w:tcPr>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投诉受理单位：邛崃市财政局。 </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联系电话：028-88760252。</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地址：邛崃市蒲口路220号。</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Cs w:val="21"/>
                <w:highlight w:val="none"/>
                <w:lang w:val="zh-CN"/>
              </w:rPr>
              <w:t>注：根据《中华人民共和国政府采购法实施条例》的规定，供应商投诉事项不得超出已质疑事项的范围。</w:t>
            </w:r>
          </w:p>
          <w:p>
            <w:pPr>
              <w:pStyle w:val="36"/>
              <w:spacing w:line="36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政府采购合同</w:t>
            </w:r>
          </w:p>
          <w:p>
            <w:pPr>
              <w:wordWrap/>
              <w:spacing w:line="440" w:lineRule="exact"/>
              <w:ind w:firstLine="105" w:firstLineChars="50"/>
              <w:jc w:val="center"/>
              <w:rPr>
                <w:rFonts w:hint="eastAsia" w:asciiTheme="majorEastAsia" w:hAnsiTheme="majorEastAsia" w:eastAsiaTheme="majorEastAsia" w:cstheme="majorEastAsia"/>
                <w:color w:val="auto"/>
                <w:sz w:val="21"/>
                <w:szCs w:val="21"/>
                <w:highlight w:val="none"/>
                <w:lang w:val="zh-CN" w:bidi="ar"/>
              </w:rPr>
            </w:pPr>
            <w:r>
              <w:rPr>
                <w:rFonts w:hint="eastAsia" w:asciiTheme="majorEastAsia" w:hAnsiTheme="majorEastAsia" w:eastAsiaTheme="majorEastAsia" w:cstheme="majorEastAsia"/>
                <w:color w:val="auto"/>
                <w:sz w:val="21"/>
                <w:szCs w:val="21"/>
                <w:highlight w:val="none"/>
              </w:rPr>
              <w:t>公告备案</w:t>
            </w:r>
          </w:p>
        </w:tc>
        <w:tc>
          <w:tcPr>
            <w:tcW w:w="6578" w:type="dxa"/>
            <w:tcBorders>
              <w:top w:val="single" w:color="auto" w:sz="8" w:space="0"/>
              <w:left w:val="single" w:color="auto" w:sz="8" w:space="0"/>
              <w:bottom w:val="single" w:color="auto" w:sz="8" w:space="0"/>
              <w:right w:val="single" w:color="auto" w:sz="18" w:space="0"/>
            </w:tcBorders>
          </w:tcPr>
          <w:p>
            <w:pPr>
              <w:wordWrap/>
              <w:spacing w:line="440" w:lineRule="exact"/>
              <w:ind w:firstLine="210" w:firstLineChars="1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rPr>
              <w:t>政府采购合同签订之日起2个工作日内，政府采购合同将在四川政府采购网公告；政府采购合同签订之日起7个工作日内，政府采购合同将向本采购项目同级财政部门</w:t>
            </w:r>
            <w:r>
              <w:rPr>
                <w:rFonts w:hint="eastAsia" w:asciiTheme="majorEastAsia" w:hAnsiTheme="majorEastAsia" w:eastAsiaTheme="majorEastAsia" w:cstheme="majorEastAsia"/>
                <w:color w:val="auto"/>
                <w:kern w:val="0"/>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360" w:lineRule="auto"/>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w:t>
            </w:r>
          </w:p>
        </w:tc>
        <w:tc>
          <w:tcPr>
            <w:tcW w:w="2096" w:type="dxa"/>
            <w:tcBorders>
              <w:top w:val="single" w:color="auto" w:sz="8" w:space="0"/>
              <w:left w:val="single" w:color="auto" w:sz="8" w:space="0"/>
              <w:bottom w:val="single" w:color="auto" w:sz="8" w:space="0"/>
              <w:right w:val="single" w:color="auto" w:sz="8" w:space="0"/>
            </w:tcBorders>
            <w:vAlign w:val="center"/>
          </w:tcPr>
          <w:p>
            <w:pPr>
              <w:pStyle w:val="36"/>
              <w:spacing w:line="360" w:lineRule="auto"/>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代理机构服务费</w:t>
            </w:r>
          </w:p>
        </w:tc>
        <w:tc>
          <w:tcPr>
            <w:tcW w:w="6578"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本项目招标服务费为</w:t>
            </w:r>
            <w:r>
              <w:rPr>
                <w:rFonts w:hint="eastAsia" w:asciiTheme="majorEastAsia" w:hAnsiTheme="majorEastAsia" w:eastAsiaTheme="majorEastAsia" w:cstheme="majorEastAsia"/>
                <w:color w:val="auto"/>
                <w:kern w:val="0"/>
                <w:sz w:val="21"/>
                <w:szCs w:val="21"/>
                <w:highlight w:val="none"/>
              </w:rPr>
              <w:t xml:space="preserve">    </w:t>
            </w:r>
            <w:r>
              <w:rPr>
                <w:rFonts w:hint="eastAsia" w:asciiTheme="majorEastAsia" w:hAnsiTheme="majorEastAsia" w:eastAsiaTheme="majorEastAsia" w:cstheme="majorEastAsia"/>
                <w:color w:val="auto"/>
                <w:kern w:val="0"/>
                <w:sz w:val="21"/>
                <w:szCs w:val="21"/>
                <w:highlight w:val="none"/>
                <w:lang w:val="zh-CN"/>
              </w:rPr>
              <w:t>元；招标代理服务费由中标供应商支付。招标代理服务费不计入竞标报价</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zh-CN"/>
              </w:rPr>
              <w:t>由中标人在领取中标通知书前向招标代理机构交纳招</w:t>
            </w:r>
            <w:r>
              <w:rPr>
                <w:rFonts w:hint="eastAsia" w:asciiTheme="majorEastAsia" w:hAnsiTheme="majorEastAsia" w:eastAsiaTheme="majorEastAsia" w:cstheme="majorEastAsia"/>
                <w:color w:val="auto"/>
                <w:kern w:val="0"/>
                <w:sz w:val="21"/>
                <w:szCs w:val="21"/>
                <w:highlight w:val="none"/>
              </w:rPr>
              <w:t>标服务费。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w:t>
            </w:r>
          </w:p>
        </w:tc>
        <w:tc>
          <w:tcPr>
            <w:tcW w:w="2096" w:type="dxa"/>
            <w:tcBorders>
              <w:top w:val="single" w:color="auto" w:sz="8" w:space="0"/>
              <w:left w:val="single" w:color="auto" w:sz="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rPr>
              <w:t>磋商文件内容冲突的解决及优先适用次序</w:t>
            </w:r>
          </w:p>
        </w:tc>
        <w:tc>
          <w:tcPr>
            <w:tcW w:w="6578" w:type="dxa"/>
            <w:tcBorders>
              <w:top w:val="single" w:color="auto" w:sz="8" w:space="0"/>
              <w:left w:val="single" w:color="auto" w:sz="8" w:space="0"/>
              <w:bottom w:val="single" w:color="auto" w:sz="8" w:space="0"/>
              <w:right w:val="single" w:color="auto" w:sz="18" w:space="0"/>
            </w:tcBorders>
          </w:tcPr>
          <w:p>
            <w:pPr>
              <w:pStyle w:val="36"/>
              <w:spacing w:line="440" w:lineRule="exact"/>
              <w:ind w:firstLine="210" w:firstLineChars="1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1.磋商文件（包括修改、澄清或补遗文件）作为评审的依据。</w:t>
            </w:r>
          </w:p>
          <w:p>
            <w:pPr>
              <w:pStyle w:val="36"/>
              <w:spacing w:line="44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2.磋商文件中编制的内容前后有矛盾或不一致时，有时间先后顺序的，以时间在后的修改、澄清或补正文件为准；没有时间先后顺序的，以投标人须知前附表为准，如前附表中无相关内容，在保证国家、集体和采购人利益不受损害的情况下有利于供应商的原则进行处理；必要时，可以暂停本次采购活动，待修改完善后再继续实施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bookmarkStart w:id="18" w:name="_Toc8479"/>
            <w:r>
              <w:rPr>
                <w:rFonts w:hint="eastAsia" w:asciiTheme="majorEastAsia" w:hAnsiTheme="majorEastAsia" w:eastAsiaTheme="majorEastAsia" w:cstheme="majorEastAsia"/>
                <w:color w:val="auto"/>
                <w:sz w:val="21"/>
                <w:szCs w:val="21"/>
                <w:highlight w:val="none"/>
              </w:rPr>
              <w:t>23</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ind w:firstLine="105" w:firstLineChars="5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相关内容更正</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left="195" w:leftChars="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本项目相关内容若有澄清和修改，将在四川省政府采购网</w:t>
            </w:r>
          </w:p>
          <w:p>
            <w:pPr>
              <w:wordWrap/>
              <w:spacing w:line="44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（http://www.ccgp-sichuan.gov.cn）以公告形式发布，拟参加本项目采购活动的供应商应自行关注，以保证对招标文件作出正确的响应。因供应商未及时关注导致的一切后果由供应商自行承担。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ind w:right="230"/>
              <w:jc w:val="center"/>
              <w:rPr>
                <w:rFonts w:hint="eastAsia" w:asciiTheme="majorEastAsia" w:hAnsiTheme="majorEastAsia" w:eastAsiaTheme="majorEastAsia" w:cstheme="majorEastAsia"/>
                <w:color w:val="auto"/>
                <w:sz w:val="21"/>
                <w:szCs w:val="21"/>
                <w:highlight w:val="none"/>
              </w:rPr>
            </w:pPr>
          </w:p>
          <w:p>
            <w:pPr>
              <w:pStyle w:val="36"/>
              <w:spacing w:line="440" w:lineRule="exact"/>
              <w:ind w:right="23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24</w:t>
            </w:r>
          </w:p>
        </w:tc>
        <w:tc>
          <w:tcPr>
            <w:tcW w:w="2096" w:type="dxa"/>
            <w:tcBorders>
              <w:top w:val="single" w:color="auto" w:sz="8" w:space="0"/>
              <w:left w:val="single" w:color="auto" w:sz="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p>
          <w:p>
            <w:pPr>
              <w:pStyle w:val="36"/>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政府采购供应商信用融资</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25</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其他说明</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发现磋商件存在某些错误（例如：关键性字句错、乱，意思表示前后不一致等），应当及时向采购代理机构或采购人提出质询（或反映），采购代理机构或采购人将给予以解答，并纠正磋商文件中的错误。但是，供应商不得就属于保密内容（比如：供应商报名情况、如何编制投标文件、如何评审等）向采购代理机构或采购人质询或咨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26</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进口产品</w:t>
            </w:r>
          </w:p>
          <w:p>
            <w:pPr>
              <w:wordWrap/>
              <w:spacing w:line="440" w:lineRule="exact"/>
              <w:jc w:val="center"/>
              <w:rPr>
                <w:rFonts w:hint="eastAsia" w:asciiTheme="majorEastAsia" w:hAnsiTheme="majorEastAsia" w:eastAsiaTheme="majorEastAsia" w:cstheme="majorEastAsia"/>
                <w:color w:val="auto"/>
                <w:sz w:val="21"/>
                <w:szCs w:val="21"/>
                <w:highlight w:val="none"/>
              </w:rPr>
            </w:pP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本项目招标文件中未载明“允许采购进口产品”的产品，视为拒绝进口产品参与竞争，投标人以进口产品投标时，将按无效投标处理。载明“允许采购进口产品”的产品，不限制国产产品参与竞争。 </w:t>
            </w:r>
          </w:p>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6"/>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27</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bidi="ar"/>
              </w:rPr>
              <w:t>行业类别</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bidi="ar"/>
              </w:rPr>
              <w:t>C99 其他服务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9555" w:type="dxa"/>
            <w:gridSpan w:val="3"/>
            <w:tcBorders>
              <w:top w:val="single" w:color="auto" w:sz="8" w:space="0"/>
              <w:left w:val="single" w:color="auto" w:sz="18" w:space="0"/>
              <w:bottom w:val="single" w:color="auto" w:sz="8" w:space="0"/>
              <w:right w:val="single" w:color="auto" w:sz="18" w:space="0"/>
            </w:tcBorders>
            <w:vAlign w:val="center"/>
          </w:tcPr>
          <w:p>
            <w:pPr>
              <w:adjustRightInd w:val="0"/>
              <w:snapToGrid w:val="0"/>
              <w:rPr>
                <w:rFonts w:hint="eastAsia" w:asciiTheme="majorEastAsia" w:hAnsiTheme="majorEastAsia" w:eastAsiaTheme="majorEastAsia" w:cstheme="majorEastAsia"/>
                <w:color w:val="auto"/>
                <w:sz w:val="21"/>
                <w:szCs w:val="21"/>
                <w:highlight w:val="none"/>
                <w:lang w:bidi="ar"/>
              </w:rPr>
            </w:pPr>
            <w:r>
              <w:rPr>
                <w:rFonts w:hint="eastAsia" w:asciiTheme="majorEastAsia" w:hAnsiTheme="majorEastAsia" w:eastAsiaTheme="majorEastAsia" w:cstheme="majorEastAsia"/>
                <w:b/>
                <w:color w:val="auto"/>
                <w:sz w:val="24"/>
                <w:highlight w:val="none"/>
              </w:rPr>
              <w:t>注：本前附表以外的相关内容是对供应商须知的具体补充，如有矛盾，以本前附表为准。</w:t>
            </w:r>
          </w:p>
        </w:tc>
      </w:tr>
    </w:tbl>
    <w:p>
      <w:pPr>
        <w:pStyle w:val="4"/>
        <w:rPr>
          <w:rFonts w:hint="eastAsia" w:asciiTheme="majorEastAsia" w:hAnsiTheme="majorEastAsia" w:eastAsiaTheme="majorEastAsia" w:cstheme="majorEastAsia"/>
          <w:color w:val="auto"/>
          <w:sz w:val="28"/>
          <w:szCs w:val="28"/>
          <w:highlight w:val="none"/>
        </w:rPr>
      </w:pPr>
    </w:p>
    <w:p>
      <w:pPr>
        <w:pStyle w:val="4"/>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二、总  则</w:t>
      </w:r>
      <w:bookmarkEnd w:id="18"/>
      <w:bookmarkStart w:id="19" w:name="_Toc183582205"/>
      <w:bookmarkStart w:id="20" w:name="_Toc183682342"/>
      <w:bookmarkStart w:id="21" w:name="_Toc217446034"/>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22" w:name="_Toc28041"/>
      <w:r>
        <w:rPr>
          <w:rFonts w:hint="eastAsia" w:asciiTheme="majorEastAsia" w:hAnsiTheme="majorEastAsia" w:eastAsiaTheme="majorEastAsia" w:cstheme="majorEastAsia"/>
          <w:color w:val="auto"/>
          <w:sz w:val="24"/>
          <w:szCs w:val="24"/>
          <w:highlight w:val="none"/>
        </w:rPr>
        <w:t>1.</w:t>
      </w:r>
      <w:bookmarkEnd w:id="19"/>
      <w:bookmarkEnd w:id="20"/>
      <w:r>
        <w:rPr>
          <w:rFonts w:hint="eastAsia" w:asciiTheme="majorEastAsia" w:hAnsiTheme="majorEastAsia" w:eastAsiaTheme="majorEastAsia" w:cstheme="majorEastAsia"/>
          <w:color w:val="auto"/>
          <w:sz w:val="24"/>
          <w:szCs w:val="24"/>
          <w:highlight w:val="none"/>
        </w:rPr>
        <w:t>适用范围</w:t>
      </w:r>
      <w:bookmarkEnd w:id="21"/>
      <w:bookmarkEnd w:id="22"/>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 本磋商文件仅适用于本次磋商所叙述的服务项目采购。</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 本磋商文件的解释权归采购人和采购代理机构所有。</w:t>
      </w:r>
    </w:p>
    <w:p>
      <w:pPr>
        <w:tabs>
          <w:tab w:val="left" w:pos="7665"/>
        </w:tabs>
        <w:ind w:firstLine="480" w:firstLineChars="200"/>
        <w:rPr>
          <w:rFonts w:hint="eastAsia" w:asciiTheme="majorEastAsia" w:hAnsiTheme="majorEastAsia" w:eastAsiaTheme="majorEastAsia" w:cstheme="majorEastAsia"/>
          <w:color w:val="auto"/>
          <w:sz w:val="24"/>
          <w:highlight w:val="none"/>
        </w:rPr>
      </w:pP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23" w:name="_Toc183682343"/>
      <w:bookmarkStart w:id="24" w:name="_Toc183582206"/>
      <w:bookmarkStart w:id="25" w:name="_Toc217446035"/>
      <w:bookmarkStart w:id="26" w:name="_Toc32250"/>
      <w:r>
        <w:rPr>
          <w:rFonts w:hint="eastAsia" w:asciiTheme="majorEastAsia" w:hAnsiTheme="majorEastAsia" w:eastAsiaTheme="majorEastAsia" w:cstheme="majorEastAsia"/>
          <w:color w:val="auto"/>
          <w:sz w:val="24"/>
          <w:szCs w:val="24"/>
          <w:highlight w:val="none"/>
        </w:rPr>
        <w:t>2.</w:t>
      </w:r>
      <w:bookmarkEnd w:id="23"/>
      <w:bookmarkEnd w:id="24"/>
      <w:bookmarkEnd w:id="25"/>
      <w:r>
        <w:rPr>
          <w:rFonts w:hint="eastAsia" w:asciiTheme="majorEastAsia" w:hAnsiTheme="majorEastAsia" w:eastAsiaTheme="majorEastAsia" w:cstheme="majorEastAsia"/>
          <w:color w:val="auto"/>
          <w:sz w:val="24"/>
          <w:szCs w:val="24"/>
          <w:highlight w:val="none"/>
        </w:rPr>
        <w:t>采购主体</w:t>
      </w:r>
      <w:bookmarkEnd w:id="26"/>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“采购人”系指依法进行政府采购的国家机关、事业单位、团体组织。本次磋商的采购人是</w:t>
      </w:r>
      <w:r>
        <w:rPr>
          <w:rFonts w:hint="eastAsia" w:asciiTheme="majorEastAsia" w:hAnsiTheme="majorEastAsia" w:eastAsiaTheme="majorEastAsia" w:cstheme="majorEastAsia"/>
          <w:b/>
          <w:bCs/>
          <w:color w:val="auto"/>
          <w:sz w:val="24"/>
          <w:highlight w:val="none"/>
          <w:u w:val="single"/>
        </w:rPr>
        <w:t>邛崃市行政审批局</w:t>
      </w:r>
      <w:r>
        <w:rPr>
          <w:rFonts w:hint="eastAsia" w:asciiTheme="majorEastAsia" w:hAnsiTheme="majorEastAsia" w:eastAsiaTheme="majorEastAsia" w:cstheme="majorEastAsia"/>
          <w:color w:val="auto"/>
          <w:sz w:val="24"/>
          <w:highlight w:val="none"/>
        </w:rPr>
        <w:t>。</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“采购代理机构” 系指根据采购人的委托依法办理招标事宜的采购机构。本次磋商的采购代理机构是</w:t>
      </w:r>
      <w:r>
        <w:rPr>
          <w:rFonts w:hint="eastAsia" w:asciiTheme="majorEastAsia" w:hAnsiTheme="majorEastAsia" w:eastAsiaTheme="majorEastAsia" w:cstheme="majorEastAsia"/>
          <w:b/>
          <w:bCs/>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“招标采购单位”系指“采购人”和“采购代理机构”的统称。</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“投标人”系指购买了磋商文件拟参加投标和向采购人提供货物及相应服务的供应商。</w:t>
      </w:r>
    </w:p>
    <w:p>
      <w:pPr>
        <w:tabs>
          <w:tab w:val="left" w:pos="7665"/>
        </w:tabs>
        <w:ind w:firstLine="480" w:firstLineChars="200"/>
        <w:rPr>
          <w:rFonts w:hint="eastAsia" w:asciiTheme="majorEastAsia" w:hAnsiTheme="majorEastAsia" w:eastAsiaTheme="majorEastAsia" w:cstheme="majorEastAsia"/>
          <w:color w:val="auto"/>
          <w:sz w:val="24"/>
          <w:highlight w:val="none"/>
        </w:rPr>
      </w:pP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27" w:name="_Toc217446036"/>
      <w:bookmarkStart w:id="28" w:name="_Toc183582207"/>
      <w:bookmarkStart w:id="29" w:name="_Toc183682344"/>
      <w:bookmarkStart w:id="30" w:name="_Toc217390843"/>
      <w:bookmarkStart w:id="31" w:name="_Toc27850"/>
      <w:r>
        <w:rPr>
          <w:rFonts w:hint="eastAsia" w:asciiTheme="majorEastAsia" w:hAnsiTheme="majorEastAsia" w:eastAsiaTheme="majorEastAsia" w:cstheme="majorEastAsia"/>
          <w:color w:val="auto"/>
          <w:sz w:val="24"/>
          <w:szCs w:val="24"/>
          <w:highlight w:val="none"/>
        </w:rPr>
        <w:t>3.合格</w:t>
      </w:r>
      <w:bookmarkEnd w:id="27"/>
      <w:bookmarkEnd w:id="28"/>
      <w:bookmarkEnd w:id="29"/>
      <w:bookmarkEnd w:id="30"/>
      <w:r>
        <w:rPr>
          <w:rFonts w:hint="eastAsia" w:asciiTheme="majorEastAsia" w:hAnsiTheme="majorEastAsia" w:eastAsiaTheme="majorEastAsia" w:cstheme="majorEastAsia"/>
          <w:color w:val="auto"/>
          <w:sz w:val="24"/>
          <w:szCs w:val="24"/>
          <w:highlight w:val="none"/>
        </w:rPr>
        <w:t>供应商（实质性要求）</w:t>
      </w:r>
      <w:bookmarkEnd w:id="31"/>
    </w:p>
    <w:p>
      <w:pPr>
        <w:tabs>
          <w:tab w:val="left" w:pos="7665"/>
        </w:tabs>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color w:val="auto"/>
          <w:sz w:val="24"/>
          <w:highlight w:val="none"/>
        </w:rPr>
        <w:t>合格供应商应具备以下条件：</w:t>
      </w:r>
    </w:p>
    <w:p>
      <w:pPr>
        <w:tabs>
          <w:tab w:val="left" w:pos="7665"/>
        </w:tabs>
        <w:ind w:firstLine="480" w:firstLineChars="200"/>
        <w:rPr>
          <w:rFonts w:hint="eastAsia" w:asciiTheme="majorEastAsia" w:hAnsiTheme="majorEastAsia" w:eastAsiaTheme="majorEastAsia" w:cstheme="majorEastAsia"/>
          <w:color w:val="auto"/>
          <w:spacing w:val="-4"/>
          <w:sz w:val="24"/>
          <w:highlight w:val="none"/>
        </w:rPr>
      </w:pPr>
      <w:r>
        <w:rPr>
          <w:rFonts w:hint="eastAsia" w:asciiTheme="majorEastAsia" w:hAnsiTheme="majorEastAsia" w:eastAsiaTheme="majorEastAsia" w:cstheme="majorEastAsia"/>
          <w:color w:val="auto"/>
          <w:sz w:val="24"/>
          <w:highlight w:val="none"/>
        </w:rPr>
        <w:t>3.1 具备法律法规和本采购文件规定的资格条件</w:t>
      </w:r>
      <w:r>
        <w:rPr>
          <w:rFonts w:hint="eastAsia" w:asciiTheme="majorEastAsia" w:hAnsiTheme="majorEastAsia" w:eastAsiaTheme="majorEastAsia" w:cstheme="majorEastAsia"/>
          <w:color w:val="auto"/>
          <w:spacing w:val="-4"/>
          <w:sz w:val="24"/>
          <w:highlight w:val="none"/>
        </w:rPr>
        <w:t>；</w:t>
      </w:r>
    </w:p>
    <w:p>
      <w:pPr>
        <w:tabs>
          <w:tab w:val="left" w:pos="7665"/>
        </w:tabs>
        <w:ind w:firstLine="464" w:firstLineChars="200"/>
        <w:rPr>
          <w:rFonts w:hint="eastAsia" w:asciiTheme="majorEastAsia" w:hAnsiTheme="majorEastAsia" w:eastAsiaTheme="majorEastAsia" w:cstheme="majorEastAsia"/>
          <w:color w:val="auto"/>
          <w:spacing w:val="-4"/>
          <w:sz w:val="24"/>
          <w:highlight w:val="none"/>
        </w:rPr>
      </w:pPr>
      <w:r>
        <w:rPr>
          <w:rFonts w:hint="eastAsia" w:asciiTheme="majorEastAsia" w:hAnsiTheme="majorEastAsia" w:eastAsiaTheme="majorEastAsia" w:cstheme="majorEastAsia"/>
          <w:color w:val="auto"/>
          <w:spacing w:val="-4"/>
          <w:sz w:val="24"/>
          <w:highlight w:val="none"/>
        </w:rPr>
        <w:t>3.2 不属于禁止参加本项目采购活动的供应商；</w:t>
      </w:r>
    </w:p>
    <w:p>
      <w:pPr>
        <w:tabs>
          <w:tab w:val="left" w:pos="7665"/>
        </w:tabs>
        <w:ind w:firstLine="464" w:firstLineChars="200"/>
        <w:rPr>
          <w:rFonts w:hint="eastAsia" w:asciiTheme="majorEastAsia" w:hAnsiTheme="majorEastAsia" w:eastAsiaTheme="majorEastAsia" w:cstheme="majorEastAsia"/>
          <w:color w:val="auto"/>
          <w:spacing w:val="-4"/>
          <w:sz w:val="24"/>
          <w:highlight w:val="none"/>
        </w:rPr>
      </w:pPr>
      <w:r>
        <w:rPr>
          <w:rFonts w:hint="eastAsia" w:asciiTheme="majorEastAsia" w:hAnsiTheme="majorEastAsia" w:eastAsiaTheme="majorEastAsia" w:cstheme="majorEastAsia"/>
          <w:color w:val="auto"/>
          <w:spacing w:val="-4"/>
          <w:sz w:val="24"/>
          <w:highlight w:val="none"/>
        </w:rPr>
        <w:t>3.3 按照规定</w:t>
      </w:r>
      <w:r>
        <w:rPr>
          <w:rFonts w:hint="eastAsia" w:asciiTheme="majorEastAsia" w:hAnsiTheme="majorEastAsia" w:eastAsiaTheme="majorEastAsia" w:cstheme="majorEastAsia"/>
          <w:color w:val="auto"/>
          <w:sz w:val="24"/>
          <w:highlight w:val="none"/>
        </w:rPr>
        <w:t>获取了磋商文件，属于实质性参加政府采购活动的供应商。</w:t>
      </w: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32" w:name="_Toc217446037"/>
      <w:bookmarkStart w:id="33" w:name="_Toc183582208"/>
      <w:bookmarkStart w:id="34" w:name="_Toc183682345"/>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35" w:name="_Toc31838"/>
      <w:r>
        <w:rPr>
          <w:rFonts w:hint="eastAsia" w:asciiTheme="majorEastAsia" w:hAnsiTheme="majorEastAsia" w:eastAsiaTheme="majorEastAsia" w:cstheme="majorEastAsia"/>
          <w:color w:val="auto"/>
          <w:sz w:val="24"/>
          <w:szCs w:val="24"/>
          <w:highlight w:val="none"/>
        </w:rPr>
        <w:t>4.磋商费用</w:t>
      </w:r>
      <w:bookmarkEnd w:id="32"/>
      <w:bookmarkEnd w:id="33"/>
      <w:bookmarkEnd w:id="34"/>
      <w:bookmarkEnd w:id="35"/>
    </w:p>
    <w:p>
      <w:pPr>
        <w:tabs>
          <w:tab w:val="left" w:pos="7665"/>
        </w:tabs>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供应商应自行承担参加磋商活动的全部费用。</w:t>
      </w:r>
    </w:p>
    <w:p>
      <w:pPr>
        <w:rPr>
          <w:rFonts w:hint="eastAsia" w:asciiTheme="majorEastAsia" w:hAnsiTheme="majorEastAsia" w:eastAsiaTheme="majorEastAsia" w:cstheme="majorEastAsia"/>
          <w:color w:val="auto"/>
          <w:sz w:val="24"/>
          <w:highlight w:val="none"/>
        </w:rPr>
      </w:pPr>
    </w:p>
    <w:p>
      <w:pPr>
        <w:pStyle w:val="37"/>
        <w:spacing w:line="360" w:lineRule="auto"/>
        <w:ind w:left="1"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5.充分、公平竞争保障措施（实质性要求）</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5.2 利害关系授权代表处理。两家以上的供应商不得在同一合同项下的采购项目中，委托同一个自然人、同一家庭的人员、同一单位的人员作为其授权代表，否则，其响应文件作为无效处理。</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5.4 提供相同品牌产品处理。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非单一产品采购项目中，多家投标人提供的部分或所有核心产品品牌相同的，视为提供相同品牌产品。</w:t>
      </w:r>
      <w:r>
        <w:rPr>
          <w:rFonts w:hint="eastAsia" w:asciiTheme="majorEastAsia" w:hAnsiTheme="majorEastAsia" w:eastAsiaTheme="majorEastAsia" w:cstheme="majorEastAsia"/>
          <w:b/>
          <w:bCs/>
          <w:color w:val="auto"/>
          <w:sz w:val="24"/>
          <w:szCs w:val="24"/>
          <w:highlight w:val="none"/>
        </w:rPr>
        <w:t>（无涉及）</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5.5 供应商实际控制人或者中高级管理人员，同时是采购代理机构工作人员，不得参与本项目政府采购活动。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5.6 同一母公司的两家以上的子公司只能组成联合体参加本项目同一合同项下的采购活动，不得以不同供应商身份同时参加本项目同一合同项下的采购活动。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5.7 供应商与采购代理机构存在关联关系，或者是采购代理机构的母公司或子公司，不得参加本项目政府采购活动。</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5.8 回避。政府采购活动中，采购人员及相关人员与供应商有下列利害关系之一的，应当回避：</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（1）参加采购活动前3年内与供应商存在劳动关系；</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（2）参加采购活动前3年内担任供应商的董事、监事；</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（3）参加采购活动前3年内是供应商的控股股东或者实际控制人；</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（4）与供应商的法定代表人或者负责人有夫妻、直系血亲、三代以内旁系血亲或者近姻亲关系；</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（5）与供应商有其他可能影响政府采购活动公平、公正进行的关系。</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7"/>
        <w:spacing w:line="360" w:lineRule="auto"/>
        <w:ind w:left="1" w:firstLine="480" w:firstLineChars="200"/>
        <w:rPr>
          <w:rFonts w:hint="eastAsia" w:asciiTheme="majorEastAsia" w:hAnsiTheme="majorEastAsia" w:eastAsiaTheme="majorEastAsia" w:cstheme="majorEastAsia"/>
          <w:color w:val="auto"/>
          <w:sz w:val="24"/>
          <w:szCs w:val="24"/>
          <w:highlight w:val="none"/>
        </w:rPr>
      </w:pPr>
    </w:p>
    <w:p>
      <w:pPr>
        <w:pStyle w:val="37"/>
        <w:spacing w:line="360" w:lineRule="auto"/>
        <w:ind w:left="1"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6.本项目不接受联合体竞争性磋商（实质性要求）</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6.2 联合体各方之间应当签订联合体竞争性磋商协议，明确约定联合体各方承担的工作和相应的责任。联合体参与竞争性磋商的，应在响应文件中提供联合体协议原件。</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6.3 联合体应当确定其中一个单位为竞争性磋商的全权代表，负责参加竞争性磋商的一切事务。</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6.4 联合体各方应当共同与采购人签订采购合同，就采购合同约定的事项对采购人承担连带责任。</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6.5 联合体中有同类资质的供应商按照联合体分工承担相同工作的，将按照资质等级较低的供应商确定资质等级。</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6.6 以联合体形式参加政府采购活动的，联合体各方不得再单独参加或者与其他供应商另外组成联合体参加同一合同项下的政府采购活动。</w:t>
      </w:r>
    </w:p>
    <w:p>
      <w:pPr>
        <w:pStyle w:val="37"/>
        <w:spacing w:line="360" w:lineRule="auto"/>
        <w:ind w:left="1" w:firstLine="480" w:firstLineChars="200"/>
        <w:rPr>
          <w:rFonts w:hint="eastAsia" w:asciiTheme="majorEastAsia" w:hAnsiTheme="majorEastAsia" w:eastAsiaTheme="majorEastAsia" w:cstheme="majorEastAsia"/>
          <w:b/>
          <w:color w:val="auto"/>
          <w:sz w:val="24"/>
          <w:szCs w:val="24"/>
          <w:highlight w:val="none"/>
        </w:rPr>
      </w:pPr>
    </w:p>
    <w:p>
      <w:pPr>
        <w:pStyle w:val="37"/>
        <w:spacing w:line="360" w:lineRule="auto"/>
        <w:ind w:left="1"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7.磋商保证金（实质性要求）（本项目不涉及）</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 供应商必须以人民币为计量单位提交磋商文件规定数额的磋商保证金。联合体磋商的，可以由联合体的一方或者共同提交磋商保证金，以一方名义提交磋商保证金的，对联合体各方均具有约束力。</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 未按磋商文件要求在规定时间前交纳规定数额磋商保证金的响应文件无效。</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7.3 供应商所交纳的磋商保证金不计利息。</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 磋商保证金退还：</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未成交供应商的磋商保证金，将在成交通知书发出后五个工作日内全额退还。退还时请供应商携带"保证金退还表"、代理机构开具的磋商保证金收据原件、供应商开户许可证，按要求填写后到招标代理机构财务部办理。若项目成交通知书发出后5个工作日没有收到保证金的，可拨打（028-85194662）查询。</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成交供应商的磋商保证金，在合同签订生效并按规定交纳了履约保证金后五个工作日内全额退还。退还时请供应商携带"保证金退还表"、代理机构开具的磋商保证金收据原件、供应商开户许可证、合同原件（与采购方签订的合同原件二份），按要求填写后到招标代理机构财务部办理。若提交资料后5个工作日内未收到保证金可拨打（028-85194662）查询。</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（注：①因供应商自身原因造成的保证金延迟退还，采购代理机构不承担相应责任；</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②供应商因涉嫌违法违规，按照规定应当不予退还保证金的，有关部门处理认定违法违规行为期间不计入退还保证金期限内。）</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7.5 磋商保证金退还申请表填写要求。</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（一）所有填写内容务必字迹清晰，加盖的公章需清楚。</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（二）公司的开户信息、联系人、电话、日期务必准确。</w:t>
      </w:r>
    </w:p>
    <w:p>
      <w:pPr>
        <w:ind w:firstLine="470"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（三）办理保证金退还联系电话：028-85194662。</w:t>
      </w:r>
    </w:p>
    <w:p>
      <w:pPr>
        <w:adjustRightInd w:val="0"/>
        <w:spacing w:before="156" w:beforeLines="50" w:after="156" w:afterLines="5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保证金退还表</w:t>
      </w:r>
    </w:p>
    <w:p>
      <w:pPr>
        <w:pStyle w:val="38"/>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项目名称：                                </w:t>
      </w:r>
    </w:p>
    <w:p>
      <w:pPr>
        <w:pStyle w:val="38"/>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项目编号：</w:t>
      </w:r>
    </w:p>
    <w:p>
      <w:pPr>
        <w:pStyle w:val="38"/>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包    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Align w:val="center"/>
          </w:tcPr>
          <w:p>
            <w:pPr>
              <w:spacing w:line="500" w:lineRule="exact"/>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单位名称（盖章）</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Merge w:val="restart"/>
            <w:vAlign w:val="center"/>
          </w:tcPr>
          <w:p>
            <w:pPr>
              <w:spacing w:line="500" w:lineRule="exact"/>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应退磋商保证金</w:t>
            </w:r>
          </w:p>
        </w:tc>
        <w:tc>
          <w:tcPr>
            <w:tcW w:w="6578" w:type="dxa"/>
            <w:vAlign w:val="center"/>
          </w:tcPr>
          <w:p>
            <w:pPr>
              <w:spacing w:line="5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8" w:type="dxa"/>
            <w:vMerge w:val="continue"/>
          </w:tcPr>
          <w:p>
            <w:pPr>
              <w:spacing w:line="500" w:lineRule="exact"/>
              <w:rPr>
                <w:rFonts w:hint="eastAsia" w:asciiTheme="majorEastAsia" w:hAnsiTheme="majorEastAsia" w:eastAsiaTheme="majorEastAsia" w:cstheme="majorEastAsia"/>
                <w:color w:val="auto"/>
                <w:sz w:val="24"/>
                <w:highlight w:val="none"/>
              </w:rPr>
            </w:pPr>
          </w:p>
        </w:tc>
        <w:tc>
          <w:tcPr>
            <w:tcW w:w="6578" w:type="dxa"/>
            <w:vAlign w:val="center"/>
          </w:tcPr>
          <w:p>
            <w:pPr>
              <w:spacing w:line="5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70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  位 名 称</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   户   行</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0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账        号</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70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联系人及电话</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0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w:t>
            </w:r>
          </w:p>
        </w:tc>
        <w:tc>
          <w:tcPr>
            <w:tcW w:w="6578" w:type="dxa"/>
          </w:tcPr>
          <w:p>
            <w:pPr>
              <w:spacing w:line="500" w:lineRule="exact"/>
              <w:rPr>
                <w:rFonts w:hint="eastAsia" w:asciiTheme="majorEastAsia" w:hAnsiTheme="majorEastAsia" w:eastAsiaTheme="majorEastAsia" w:cstheme="majorEastAsia"/>
                <w:color w:val="auto"/>
                <w:sz w:val="24"/>
                <w:highlight w:val="none"/>
              </w:rPr>
            </w:pPr>
          </w:p>
        </w:tc>
      </w:tr>
    </w:tbl>
    <w:p>
      <w:pPr>
        <w:pStyle w:val="38"/>
        <w:spacing w:before="156" w:beforeLines="50"/>
        <w:ind w:firstLine="0" w:firstLineChars="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*附件:供应商开户许可证、采购代理机构开具的磋商保证金收据原件。</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7.6 发生下列情形之一的，采购代理机构将不予退还磋商保证金：</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（一）在磋商文件规定的递交响应文件截止时间后撤回响应文件的；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（二）在采购人确定成交供应商之前放弃成交候选资格的；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（三）成交后放弃、不领取或者不接收成交通知书的；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（四）由于成交供应商的原因未能按照磋商文件的规定与采购人签订合同的；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（五）由于成交供应商的原因未能按照磋商文件的规定交纳履约保证金的；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（六）供应商在政府采购活动中提供虚假材料的；</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（七）报价有效期内，供应商在政府采购活动中有违法、违规、违纪行为。</w:t>
      </w:r>
    </w:p>
    <w:p>
      <w:pPr>
        <w:ind w:firstLine="470" w:firstLineChars="196"/>
        <w:rPr>
          <w:rFonts w:hint="eastAsia" w:asciiTheme="majorEastAsia" w:hAnsiTheme="majorEastAsia" w:eastAsiaTheme="majorEastAsia" w:cstheme="majorEastAsia"/>
          <w:color w:val="auto"/>
          <w:sz w:val="24"/>
          <w:highlight w:val="none"/>
        </w:rPr>
      </w:pPr>
    </w:p>
    <w:p>
      <w:pPr>
        <w:ind w:firstLine="470"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8.响应文件有效期（实质性要求）</w:t>
      </w:r>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本项目响应文件有效期为递交磋商响应文件截止之日起</w:t>
      </w:r>
      <w:r>
        <w:rPr>
          <w:rFonts w:hint="eastAsia" w:asciiTheme="majorEastAsia" w:hAnsiTheme="majorEastAsia" w:eastAsiaTheme="majorEastAsia" w:cstheme="majorEastAsia"/>
          <w:b/>
          <w:bCs/>
          <w:color w:val="auto"/>
          <w:sz w:val="24"/>
          <w:highlight w:val="none"/>
          <w:u w:val="single"/>
        </w:rPr>
        <w:t>90</w:t>
      </w:r>
      <w:r>
        <w:rPr>
          <w:rFonts w:hint="eastAsia" w:asciiTheme="majorEastAsia" w:hAnsiTheme="majorEastAsia" w:eastAsiaTheme="majorEastAsia" w:cstheme="majorEastAsia"/>
          <w:color w:val="auto"/>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ind w:firstLine="470" w:firstLineChars="196"/>
        <w:rPr>
          <w:rFonts w:hint="eastAsia" w:asciiTheme="majorEastAsia" w:hAnsiTheme="majorEastAsia" w:eastAsiaTheme="majorEastAsia" w:cstheme="majorEastAsia"/>
          <w:color w:val="auto"/>
          <w:sz w:val="24"/>
          <w:highlight w:val="none"/>
        </w:rPr>
      </w:pPr>
    </w:p>
    <w:p>
      <w:pPr>
        <w:pStyle w:val="10"/>
        <w:ind w:firstLine="480"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color w:val="auto"/>
          <w:sz w:val="24"/>
          <w:szCs w:val="24"/>
          <w:highlight w:val="none"/>
        </w:rPr>
        <w:t>9.</w:t>
      </w:r>
      <w:r>
        <w:rPr>
          <w:rFonts w:hint="eastAsia" w:asciiTheme="majorEastAsia" w:hAnsiTheme="majorEastAsia" w:eastAsiaTheme="majorEastAsia" w:cstheme="majorEastAsia"/>
          <w:b/>
          <w:bCs/>
          <w:color w:val="auto"/>
          <w:sz w:val="24"/>
          <w:szCs w:val="24"/>
          <w:highlight w:val="none"/>
        </w:rPr>
        <w:t>知识产权（实质性要求）</w:t>
      </w:r>
    </w:p>
    <w:p>
      <w:pPr>
        <w:pStyle w:val="10"/>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9.2 除非磋商文件特别规定，采购人享有本项目实施过程中产生的知识成果及知识产权。</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460" w:firstLineChars="192"/>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 xml:space="preserve">9.4 如采用供应商所不拥有的知识产权，则在报价中必须包括合法获取该知识产权的相关费用。 </w:t>
      </w:r>
      <w:bookmarkStart w:id="36" w:name="_Toc77400779"/>
      <w:bookmarkStart w:id="37" w:name="_Toc183582209"/>
      <w:bookmarkStart w:id="38" w:name="_Toc183682346"/>
      <w:bookmarkStart w:id="39" w:name="_Toc89075875"/>
      <w:bookmarkStart w:id="40" w:name="_Toc217446038"/>
    </w:p>
    <w:p>
      <w:pPr>
        <w:pStyle w:val="4"/>
        <w:rPr>
          <w:rFonts w:hint="eastAsia" w:asciiTheme="majorEastAsia" w:hAnsiTheme="majorEastAsia" w:eastAsiaTheme="majorEastAsia" w:cstheme="majorEastAsia"/>
          <w:color w:val="auto"/>
          <w:sz w:val="28"/>
          <w:szCs w:val="28"/>
          <w:highlight w:val="none"/>
        </w:rPr>
      </w:pPr>
      <w:bookmarkStart w:id="41" w:name="_Toc17480"/>
      <w:r>
        <w:rPr>
          <w:rFonts w:hint="eastAsia" w:asciiTheme="majorEastAsia" w:hAnsiTheme="majorEastAsia" w:eastAsiaTheme="majorEastAsia" w:cstheme="majorEastAsia"/>
          <w:color w:val="auto"/>
          <w:sz w:val="28"/>
          <w:szCs w:val="28"/>
          <w:highlight w:val="none"/>
        </w:rPr>
        <w:t>三、磋商文件</w:t>
      </w:r>
      <w:bookmarkEnd w:id="36"/>
      <w:bookmarkEnd w:id="37"/>
      <w:bookmarkEnd w:id="38"/>
      <w:bookmarkEnd w:id="39"/>
      <w:bookmarkEnd w:id="40"/>
      <w:bookmarkEnd w:id="41"/>
      <w:bookmarkStart w:id="42" w:name="_Toc183682347"/>
      <w:bookmarkStart w:id="43" w:name="_Toc183582210"/>
      <w:bookmarkStart w:id="44" w:name="_Toc217446039"/>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45" w:name="_Toc10374"/>
      <w:r>
        <w:rPr>
          <w:rFonts w:hint="eastAsia" w:asciiTheme="majorEastAsia" w:hAnsiTheme="majorEastAsia" w:eastAsiaTheme="majorEastAsia" w:cstheme="majorEastAsia"/>
          <w:color w:val="auto"/>
          <w:sz w:val="24"/>
          <w:szCs w:val="24"/>
          <w:highlight w:val="none"/>
        </w:rPr>
        <w:t>10.磋商文件的构成</w:t>
      </w:r>
      <w:bookmarkEnd w:id="42"/>
      <w:bookmarkEnd w:id="43"/>
      <w:bookmarkEnd w:id="44"/>
      <w:r>
        <w:rPr>
          <w:rFonts w:hint="eastAsia" w:asciiTheme="majorEastAsia" w:hAnsiTheme="majorEastAsia" w:eastAsiaTheme="majorEastAsia" w:cstheme="majorEastAsia"/>
          <w:color w:val="auto"/>
          <w:sz w:val="24"/>
          <w:szCs w:val="24"/>
          <w:highlight w:val="none"/>
        </w:rPr>
        <w:t>（实质性要求）</w:t>
      </w:r>
      <w:bookmarkEnd w:id="45"/>
    </w:p>
    <w:p>
      <w:pPr>
        <w:tabs>
          <w:tab w:val="left" w:pos="72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46" w:name="_Toc183582211"/>
      <w:bookmarkStart w:id="47" w:name="_Toc183682348"/>
      <w:bookmarkStart w:id="48" w:name="_Toc217446040"/>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49" w:name="_Toc10252"/>
      <w:r>
        <w:rPr>
          <w:rFonts w:hint="eastAsia" w:asciiTheme="majorEastAsia" w:hAnsiTheme="majorEastAsia" w:eastAsiaTheme="majorEastAsia" w:cstheme="majorEastAsia"/>
          <w:color w:val="auto"/>
          <w:sz w:val="24"/>
          <w:szCs w:val="24"/>
          <w:highlight w:val="none"/>
        </w:rPr>
        <w:t>11.磋商文件的澄清</w:t>
      </w:r>
      <w:bookmarkEnd w:id="46"/>
      <w:bookmarkEnd w:id="47"/>
      <w:r>
        <w:rPr>
          <w:rFonts w:hint="eastAsia" w:asciiTheme="majorEastAsia" w:hAnsiTheme="majorEastAsia" w:eastAsiaTheme="majorEastAsia" w:cstheme="majorEastAsia"/>
          <w:color w:val="auto"/>
          <w:sz w:val="24"/>
          <w:szCs w:val="24"/>
          <w:highlight w:val="none"/>
        </w:rPr>
        <w:t>和修改</w:t>
      </w:r>
      <w:bookmarkEnd w:id="48"/>
      <w:bookmarkEnd w:id="49"/>
    </w:p>
    <w:p>
      <w:pPr>
        <w:tabs>
          <w:tab w:val="left" w:pos="72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 在递交响应文件截止时间前，采购人、采购代理机构可以对磋商文件进行澄清或者修改。</w:t>
      </w:r>
    </w:p>
    <w:p>
      <w:pPr>
        <w:tabs>
          <w:tab w:val="left" w:pos="72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11.3供应商认为采购人/采购代理机构需要对磋商文件进行澄清或者修改的，可以在首次响应文件截止之日前以书面形式向采购人/采购代理机构提出申请，由采购人/采购代理机构决定是否采纳供应商的申请事项。</w:t>
      </w: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50" w:name="_Toc208848971"/>
      <w:bookmarkStart w:id="51" w:name="_Toc17448"/>
      <w:bookmarkStart w:id="52" w:name="_Toc217446041"/>
      <w:r>
        <w:rPr>
          <w:rFonts w:hint="eastAsia" w:asciiTheme="majorEastAsia" w:hAnsiTheme="majorEastAsia" w:eastAsiaTheme="majorEastAsia" w:cstheme="majorEastAsia"/>
          <w:color w:val="auto"/>
          <w:sz w:val="24"/>
          <w:szCs w:val="24"/>
          <w:highlight w:val="none"/>
        </w:rPr>
        <w:t>12.答疑会和现场考察</w:t>
      </w:r>
      <w:bookmarkEnd w:id="50"/>
      <w:bookmarkEnd w:id="51"/>
      <w:bookmarkEnd w:id="52"/>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12.2 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ind w:firstLine="420" w:firstLineChars="17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12.3 供应商考察现场或者参加答疑会所发生的一切费用由供应商自己承担。</w:t>
      </w:r>
      <w:bookmarkStart w:id="53" w:name="_Toc217446042"/>
      <w:bookmarkStart w:id="54" w:name="_Toc77400780"/>
      <w:bookmarkStart w:id="55" w:name="_Toc183582214"/>
      <w:bookmarkStart w:id="56" w:name="_Toc89075876"/>
      <w:bookmarkStart w:id="57" w:name="_Toc183682351"/>
    </w:p>
    <w:p>
      <w:pPr>
        <w:pStyle w:val="16"/>
        <w:spacing w:before="0" w:beforeAutospacing="0" w:after="0" w:afterAutospacing="0"/>
        <w:ind w:firstLine="480" w:firstLineChars="200"/>
        <w:rPr>
          <w:rFonts w:hint="eastAsia" w:asciiTheme="majorEastAsia" w:hAnsiTheme="majorEastAsia" w:eastAsiaTheme="majorEastAsia" w:cstheme="majorEastAsia"/>
          <w:b/>
          <w:bCs/>
          <w:color w:val="auto"/>
          <w:sz w:val="24"/>
          <w:szCs w:val="24"/>
          <w:highlight w:val="none"/>
        </w:rPr>
      </w:pPr>
      <w:bookmarkStart w:id="58" w:name="_Toc382"/>
    </w:p>
    <w:p>
      <w:pPr>
        <w:pStyle w:val="16"/>
        <w:spacing w:before="0" w:beforeAutospacing="0" w:after="0" w:afterAutospacing="0"/>
        <w:ind w:firstLine="480"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sz w:val="24"/>
          <w:szCs w:val="24"/>
          <w:highlight w:val="none"/>
        </w:rPr>
        <w:t xml:space="preserve">13. 磋商内容及磋商过程中可能实质性变动的内容 </w:t>
      </w:r>
    </w:p>
    <w:p>
      <w:pPr>
        <w:pStyle w:val="16"/>
        <w:spacing w:before="0" w:beforeAutospacing="0" w:after="0" w:afterAutospacing="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 xml:space="preserve">13.1 磋商内容:供应商提供的采购标的的价格;相关专利、专有技术、商务等情况说 明;合同主要条款及价格商定情况。 </w:t>
      </w:r>
    </w:p>
    <w:p>
      <w:pPr>
        <w:pStyle w:val="16"/>
        <w:spacing w:before="0" w:beforeAutospacing="0" w:after="0" w:afterAutospacing="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 xml:space="preserve">13.2 磋商过程中可能实质性变动的内容:供应商报价;采购需求中的技术、商务、服 务要求以及合同草案条款等，实质性变动的内容，须经采购人代表确认。 </w:t>
      </w:r>
    </w:p>
    <w:p>
      <w:pPr>
        <w:pStyle w:val="4"/>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四、响应文件</w:t>
      </w:r>
      <w:bookmarkEnd w:id="53"/>
      <w:bookmarkEnd w:id="54"/>
      <w:bookmarkEnd w:id="55"/>
      <w:bookmarkEnd w:id="56"/>
      <w:bookmarkEnd w:id="57"/>
      <w:bookmarkEnd w:id="58"/>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59" w:name="_Toc12142"/>
      <w:bookmarkStart w:id="60" w:name="_Toc217446043"/>
      <w:bookmarkStart w:id="61" w:name="_Toc183582215"/>
      <w:bookmarkStart w:id="62" w:name="_Toc183682352"/>
      <w:r>
        <w:rPr>
          <w:rFonts w:hint="eastAsia" w:asciiTheme="majorEastAsia" w:hAnsiTheme="majorEastAsia" w:eastAsiaTheme="majorEastAsia" w:cstheme="majorEastAsia"/>
          <w:color w:val="auto"/>
          <w:sz w:val="24"/>
          <w:szCs w:val="24"/>
          <w:highlight w:val="none"/>
        </w:rPr>
        <w:t>14.响应文件的组成（实质性要求）</w:t>
      </w:r>
      <w:bookmarkEnd w:id="59"/>
    </w:p>
    <w:p>
      <w:pPr>
        <w:ind w:left="3" w:leftChars="1"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39"/>
        <w:ind w:firstLine="0" w:firstLineChars="0"/>
        <w:rPr>
          <w:rFonts w:hint="eastAsia" w:asciiTheme="majorEastAsia" w:hAnsiTheme="majorEastAsia" w:eastAsiaTheme="majorEastAsia" w:cstheme="majorEastAsia"/>
          <w:b/>
          <w:color w:val="auto"/>
          <w:sz w:val="24"/>
          <w:szCs w:val="24"/>
          <w:highlight w:val="none"/>
        </w:rPr>
      </w:pPr>
    </w:p>
    <w:p>
      <w:pPr>
        <w:pStyle w:val="39"/>
        <w:ind w:firstLine="48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（一）资格响应部分。</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（1）响应函；</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（2）供应商基本情况表；</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（3）投标供应商和投标产品（货物或服务）符合磋商文件规定的资格、资质性及其他具有类似效力要求的相关证明材料；（见磋商文件第四章）</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r>
        <w:rPr>
          <w:rFonts w:hint="eastAsia" w:asciiTheme="majorEastAsia" w:hAnsiTheme="majorEastAsia" w:eastAsiaTheme="majorEastAsia" w:cstheme="majorEastAsia"/>
          <w:bCs/>
          <w:color w:val="auto"/>
          <w:sz w:val="24"/>
          <w:szCs w:val="24"/>
          <w:highlight w:val="none"/>
        </w:rPr>
        <w:t>供应商承诺函；</w:t>
      </w:r>
    </w:p>
    <w:p>
      <w:pPr>
        <w:pStyle w:val="3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（5）其他投标供应商认为需要提供的文件和资料。</w:t>
      </w:r>
    </w:p>
    <w:p>
      <w:pPr>
        <w:pStyle w:val="39"/>
        <w:ind w:firstLine="48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（二）其他响应部分</w:t>
      </w:r>
      <w:r>
        <w:rPr>
          <w:rFonts w:hint="eastAsia" w:asciiTheme="majorEastAsia" w:hAnsiTheme="majorEastAsia" w:eastAsiaTheme="majorEastAsia" w:cstheme="majorEastAsia"/>
          <w:color w:val="auto"/>
          <w:sz w:val="24"/>
          <w:szCs w:val="24"/>
          <w:highlight w:val="none"/>
        </w:rPr>
        <w:t>。供应商按照磋商文件要求做出的技术应答，主要是针对磋商项目的技术指标、参数和技术要求做出的实质性响应和满足。供应商的技术应答应包括下列内容：</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（1）报价一览表；</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（2）服务应答表；</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（3）商务应答表；</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（4）项目服务实施方案；</w:t>
      </w:r>
    </w:p>
    <w:p>
      <w:pPr>
        <w:pStyle w:val="3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（5）招标代理服务费承诺函；</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（6）证明投标供应商业绩和荣誉的有关材料复印件；</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（7）供应商本项目管理、技术、服务人员情况表；</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（9）供应商按照磋商文件要求作出的其他应答和承诺；</w:t>
      </w:r>
    </w:p>
    <w:p>
      <w:pPr>
        <w:pStyle w:val="5"/>
        <w:keepNext w:val="0"/>
        <w:keepLines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（10）投标供应商认为需要提供的文件和资料。</w:t>
      </w:r>
    </w:p>
    <w:p>
      <w:pPr>
        <w:pStyle w:val="39"/>
        <w:rPr>
          <w:rFonts w:hint="eastAsia" w:asciiTheme="majorEastAsia" w:hAnsiTheme="majorEastAsia" w:eastAsiaTheme="majorEastAsia" w:cstheme="majorEastAsia"/>
          <w:color w:val="auto"/>
          <w:sz w:val="24"/>
          <w:szCs w:val="24"/>
          <w:highlight w:val="none"/>
        </w:rPr>
      </w:pPr>
    </w:p>
    <w:p>
      <w:pPr>
        <w:pStyle w:val="5"/>
        <w:keepNext w:val="0"/>
        <w:keepLines w:val="0"/>
        <w:spacing w:before="0" w:after="0" w:line="360" w:lineRule="auto"/>
        <w:ind w:firstLine="480" w:firstLineChars="200"/>
        <w:rPr>
          <w:rFonts w:hint="eastAsia" w:asciiTheme="majorEastAsia" w:hAnsiTheme="majorEastAsia" w:eastAsiaTheme="majorEastAsia" w:cstheme="majorEastAsia"/>
          <w:bCs w:val="0"/>
          <w:color w:val="auto"/>
          <w:sz w:val="24"/>
          <w:szCs w:val="24"/>
          <w:highlight w:val="none"/>
        </w:rPr>
      </w:pPr>
      <w:bookmarkStart w:id="63" w:name="_Toc25335"/>
      <w:r>
        <w:rPr>
          <w:rFonts w:hint="eastAsia" w:asciiTheme="majorEastAsia" w:hAnsiTheme="majorEastAsia" w:eastAsiaTheme="majorEastAsia" w:cstheme="majorEastAsia"/>
          <w:bCs w:val="0"/>
          <w:color w:val="auto"/>
          <w:sz w:val="24"/>
          <w:szCs w:val="24"/>
          <w:highlight w:val="none"/>
        </w:rPr>
        <w:t>15.响应文件的语言</w:t>
      </w:r>
      <w:bookmarkEnd w:id="60"/>
      <w:bookmarkEnd w:id="61"/>
      <w:bookmarkEnd w:id="62"/>
      <w:r>
        <w:rPr>
          <w:rFonts w:hint="eastAsia" w:asciiTheme="majorEastAsia" w:hAnsiTheme="majorEastAsia" w:eastAsiaTheme="majorEastAsia" w:cstheme="majorEastAsia"/>
          <w:bCs w:val="0"/>
          <w:color w:val="auto"/>
          <w:sz w:val="24"/>
          <w:szCs w:val="24"/>
          <w:highlight w:val="none"/>
        </w:rPr>
        <w:t>（实质性要求）</w:t>
      </w:r>
      <w:bookmarkEnd w:id="63"/>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64" w:name="_Toc217446044"/>
      <w:bookmarkStart w:id="65" w:name="_Toc183582216"/>
      <w:bookmarkStart w:id="66" w:name="_Toc183682353"/>
    </w:p>
    <w:p>
      <w:pPr>
        <w:pStyle w:val="5"/>
        <w:keepNext w:val="0"/>
        <w:keepLines w:val="0"/>
        <w:spacing w:before="0" w:after="0" w:line="360" w:lineRule="auto"/>
        <w:ind w:firstLine="480" w:firstLineChars="200"/>
        <w:rPr>
          <w:rFonts w:hint="eastAsia" w:asciiTheme="majorEastAsia" w:hAnsiTheme="majorEastAsia" w:eastAsiaTheme="majorEastAsia" w:cstheme="majorEastAsia"/>
          <w:color w:val="auto"/>
          <w:sz w:val="24"/>
          <w:szCs w:val="24"/>
          <w:highlight w:val="none"/>
        </w:rPr>
      </w:pPr>
      <w:bookmarkStart w:id="67" w:name="_Toc704"/>
      <w:r>
        <w:rPr>
          <w:rFonts w:hint="eastAsia" w:asciiTheme="majorEastAsia" w:hAnsiTheme="majorEastAsia" w:eastAsiaTheme="majorEastAsia" w:cstheme="majorEastAsia"/>
          <w:color w:val="auto"/>
          <w:sz w:val="24"/>
          <w:szCs w:val="24"/>
          <w:highlight w:val="none"/>
        </w:rPr>
        <w:t>16.计量单位</w:t>
      </w:r>
      <w:bookmarkEnd w:id="64"/>
      <w:bookmarkEnd w:id="65"/>
      <w:bookmarkEnd w:id="66"/>
      <w:r>
        <w:rPr>
          <w:rFonts w:hint="eastAsia" w:asciiTheme="majorEastAsia" w:hAnsiTheme="majorEastAsia" w:eastAsiaTheme="majorEastAsia" w:cstheme="majorEastAsia"/>
          <w:color w:val="auto"/>
          <w:sz w:val="24"/>
          <w:szCs w:val="24"/>
          <w:highlight w:val="none"/>
        </w:rPr>
        <w:t>（实质性要求）</w:t>
      </w:r>
      <w:bookmarkEnd w:id="67"/>
    </w:p>
    <w:p>
      <w:pPr>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除磋商文件中另有规定外，本次采购项目所有合同项下的报价均采用国家法定的计量单位。</w:t>
      </w:r>
    </w:p>
    <w:p>
      <w:pPr>
        <w:ind w:firstLine="468" w:firstLineChars="195"/>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 xml:space="preserve"> </w:t>
      </w:r>
      <w:bookmarkStart w:id="68" w:name="_Toc217446045"/>
      <w:r>
        <w:rPr>
          <w:rFonts w:hint="eastAsia" w:asciiTheme="majorEastAsia" w:hAnsiTheme="majorEastAsia" w:eastAsiaTheme="majorEastAsia" w:cstheme="majorEastAsia"/>
          <w:color w:val="auto"/>
          <w:sz w:val="24"/>
          <w:highlight w:val="none"/>
        </w:rPr>
        <w:t xml:space="preserve">  </w:t>
      </w:r>
    </w:p>
    <w:p>
      <w:pPr>
        <w:ind w:firstLine="468" w:firstLineChars="195"/>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17.</w:t>
      </w:r>
      <w:r>
        <w:rPr>
          <w:rFonts w:hint="eastAsia" w:asciiTheme="majorEastAsia" w:hAnsiTheme="majorEastAsia" w:eastAsiaTheme="majorEastAsia" w:cstheme="majorEastAsia"/>
          <w:b/>
          <w:color w:val="auto"/>
          <w:sz w:val="24"/>
          <w:highlight w:val="none"/>
        </w:rPr>
        <w:t>报价</w:t>
      </w:r>
      <w:r>
        <w:rPr>
          <w:rFonts w:hint="eastAsia" w:asciiTheme="majorEastAsia" w:hAnsiTheme="majorEastAsia" w:eastAsiaTheme="majorEastAsia" w:cstheme="majorEastAsia"/>
          <w:b/>
          <w:bCs/>
          <w:color w:val="auto"/>
          <w:sz w:val="24"/>
          <w:highlight w:val="none"/>
        </w:rPr>
        <w:t>货币（实质性要求）</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本次磋商项目的</w:t>
      </w:r>
      <w:r>
        <w:rPr>
          <w:rFonts w:hint="eastAsia" w:asciiTheme="majorEastAsia" w:hAnsiTheme="majorEastAsia" w:eastAsiaTheme="majorEastAsia" w:cstheme="majorEastAsia"/>
          <w:color w:val="auto"/>
          <w:sz w:val="24"/>
          <w:highlight w:val="none"/>
        </w:rPr>
        <w:t>报价货币为</w:t>
      </w:r>
      <w:r>
        <w:rPr>
          <w:rFonts w:hint="eastAsia" w:asciiTheme="majorEastAsia" w:hAnsiTheme="majorEastAsia" w:eastAsiaTheme="majorEastAsia" w:cstheme="majorEastAsia"/>
          <w:bCs/>
          <w:color w:val="auto"/>
          <w:sz w:val="24"/>
          <w:highlight w:val="none"/>
        </w:rPr>
        <w:t>人民币，报价以磋商文件规定为准。</w:t>
      </w:r>
    </w:p>
    <w:p>
      <w:pPr>
        <w:ind w:firstLine="468" w:firstLineChars="195"/>
        <w:rPr>
          <w:rFonts w:hint="eastAsia" w:asciiTheme="majorEastAsia" w:hAnsiTheme="majorEastAsia" w:eastAsiaTheme="majorEastAsia" w:cstheme="majorEastAsia"/>
          <w:bCs/>
          <w:color w:val="auto"/>
          <w:sz w:val="24"/>
          <w:highlight w:val="none"/>
        </w:rPr>
      </w:pPr>
    </w:p>
    <w:bookmarkEnd w:id="68"/>
    <w:p>
      <w:pPr>
        <w:ind w:left="3" w:leftChars="1" w:firstLine="480"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18.响应文件格式</w:t>
      </w:r>
    </w:p>
    <w:p>
      <w:pPr>
        <w:ind w:left="3" w:leftChars="1"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18.1 供应商应执行磋商文件第七章的规定要求。</w:t>
      </w:r>
    </w:p>
    <w:p>
      <w:pPr>
        <w:ind w:left="3" w:leftChars="1"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18.2 对于没有格式要求的磋商文件由供应商自行编写。</w:t>
      </w:r>
    </w:p>
    <w:p>
      <w:pPr>
        <w:ind w:firstLine="470" w:firstLineChars="196"/>
        <w:rPr>
          <w:rFonts w:hint="eastAsia" w:asciiTheme="majorEastAsia" w:hAnsiTheme="majorEastAsia" w:eastAsiaTheme="majorEastAsia" w:cstheme="majorEastAsia"/>
          <w:color w:val="auto"/>
          <w:sz w:val="24"/>
          <w:highlight w:val="none"/>
        </w:rPr>
      </w:pPr>
      <w:bookmarkStart w:id="69" w:name="_Toc183582224"/>
      <w:bookmarkStart w:id="70" w:name="_Toc217446051"/>
      <w:bookmarkStart w:id="71" w:name="_Toc183682361"/>
    </w:p>
    <w:p>
      <w:pPr>
        <w:ind w:firstLine="470"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19.响应文件的编制和签署</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19.1 资格性响应文件正本1份、副本2份</w:t>
      </w:r>
      <w:r>
        <w:rPr>
          <w:rFonts w:hint="eastAsia" w:asciiTheme="majorEastAsia" w:hAnsiTheme="majorEastAsia" w:eastAsiaTheme="majorEastAsia" w:cstheme="majorEastAsia"/>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19.2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9"/>
    <w:bookmarkEnd w:id="70"/>
    <w:bookmarkEnd w:id="71"/>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19.3 响应文件正本和副本均需在规定签章处签字或盖章。响应文件副本可采用正本的复印件，电子文档采用U盘制作，电子文档命名格式：竞标单位名称。</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19.4 响应文件的打印和书写应清楚工整，任何行间插字、涂改或增删，必须由供应商的法定代表人或其授权代表签字并盖供应商公章。</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19.5 </w:t>
      </w:r>
      <w:r>
        <w:rPr>
          <w:rFonts w:hint="eastAsia" w:asciiTheme="majorEastAsia" w:hAnsiTheme="majorEastAsia" w:eastAsiaTheme="majorEastAsia" w:cstheme="majorEastAsia"/>
          <w:b/>
          <w:bCs/>
          <w:color w:val="auto"/>
          <w:sz w:val="24"/>
          <w:highlight w:val="none"/>
        </w:rPr>
        <w:t>（实质性要求）</w:t>
      </w:r>
      <w:r>
        <w:rPr>
          <w:rFonts w:hint="eastAsia" w:asciiTheme="majorEastAsia" w:hAnsiTheme="majorEastAsia" w:eastAsiaTheme="majorEastAsia" w:cstheme="majorEastAsia"/>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468" w:firstLineChars="19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19.6 响应文件正本和副本需要逐页编目编码。</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19.7 响应文件正本和副本应当采用胶装方式装订成册，不得散装或者合页装订。</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19.8 </w:t>
      </w:r>
      <w:r>
        <w:rPr>
          <w:rFonts w:hint="eastAsia" w:asciiTheme="majorEastAsia" w:hAnsiTheme="majorEastAsia" w:eastAsiaTheme="majorEastAsia" w:cstheme="majorEastAsia"/>
          <w:b/>
          <w:color w:val="auto"/>
          <w:sz w:val="24"/>
          <w:highlight w:val="none"/>
        </w:rPr>
        <w:t>（实质性要求）</w:t>
      </w:r>
      <w:r>
        <w:rPr>
          <w:rFonts w:hint="eastAsia" w:asciiTheme="majorEastAsia" w:hAnsiTheme="majorEastAsia" w:eastAsiaTheme="majorEastAsia" w:cstheme="majorEastAsia"/>
          <w:color w:val="auto"/>
          <w:sz w:val="24"/>
          <w:highlight w:val="none"/>
        </w:rPr>
        <w:t>响应文件应根据磋商文件的要求制作，签署、盖章。（按照《四川省政府采购评审工作规程（修订）》规范）</w:t>
      </w:r>
    </w:p>
    <w:p>
      <w:pPr>
        <w:tabs>
          <w:tab w:val="left" w:pos="1080"/>
        </w:tabs>
        <w:ind w:firstLine="460" w:firstLineChars="19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19.9 响应文件统一用A4幅面纸印制，除另有规定外。</w:t>
      </w:r>
      <w:bookmarkStart w:id="72" w:name="_Toc217446053"/>
      <w:bookmarkStart w:id="73" w:name="_Toc77400781"/>
      <w:bookmarkStart w:id="74" w:name="_Toc183582226"/>
      <w:bookmarkStart w:id="75" w:name="_Toc183682363"/>
      <w:bookmarkStart w:id="76" w:name="_Toc89075877"/>
    </w:p>
    <w:p>
      <w:pPr>
        <w:tabs>
          <w:tab w:val="left" w:pos="1080"/>
        </w:tabs>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20.响应文件的密封和标注（不属于本项目磋商小组评审范畴，由采购人、采购代理机构在接收响应文件时及时处理）</w:t>
      </w:r>
    </w:p>
    <w:p>
      <w:pPr>
        <w:tabs>
          <w:tab w:val="left" w:pos="108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20.1 响应人应将资格性响应文件、其他响应文件、电子文档分别密封，电子文档命名格式：</w:t>
      </w:r>
      <w:r>
        <w:rPr>
          <w:rFonts w:hint="eastAsia" w:asciiTheme="majorEastAsia" w:hAnsiTheme="majorEastAsia" w:eastAsiaTheme="majorEastAsia" w:cstheme="majorEastAsia"/>
          <w:bCs/>
          <w:color w:val="auto"/>
          <w:sz w:val="24"/>
          <w:highlight w:val="none"/>
        </w:rPr>
        <w:t>竞标单位名称</w:t>
      </w:r>
      <w:r>
        <w:rPr>
          <w:rFonts w:hint="eastAsia" w:asciiTheme="majorEastAsia" w:hAnsiTheme="majorEastAsia" w:eastAsiaTheme="majorEastAsia" w:cstheme="majorEastAsia"/>
          <w:color w:val="auto"/>
          <w:sz w:val="24"/>
          <w:highlight w:val="none"/>
        </w:rPr>
        <w:t>。</w:t>
      </w:r>
    </w:p>
    <w:p>
      <w:pPr>
        <w:tabs>
          <w:tab w:val="left" w:pos="1080"/>
        </w:tabs>
        <w:ind w:firstLine="480" w:firstLineChars="200"/>
        <w:rPr>
          <w:rStyle w:val="29"/>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20.2 响应文件密封袋的最外层应清楚地标明采购项目名称、采购项目编号、包件号及名称（若有）、供应商名称。</w:t>
      </w:r>
    </w:p>
    <w:p>
      <w:pPr>
        <w:tabs>
          <w:tab w:val="left" w:pos="1080"/>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20.3 所有外层密封袋的封口处应粘贴牢固，并加盖密封章（供应商印章）。</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20.4 未按以上要求进行密封和标注的响应文件，采购人、采购代理机构将拒收或者在时间允许的范围内，要求修改完善后接收。</w:t>
      </w:r>
    </w:p>
    <w:p>
      <w:pPr>
        <w:tabs>
          <w:tab w:val="left" w:pos="1080"/>
        </w:tabs>
        <w:ind w:firstLine="460" w:firstLineChars="192"/>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21.响应文件的递交</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供应商应在磋商文件规定的提交响应文件截止时间前，将响应文件密封后送达磋商地点，现场递交响应文件。在规定的递交响应文件截止时间后送达的响应文件，为无效响应文件，不予接收。</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采购代理机构将向通过资格审查的供应商发出磋商邀请；告知未通过资格审查的供应商未通过的原因。</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本次采购不接收邮寄的响应文件。</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21.4 递交投标文件时，投标供应商须提供签字并加盖鲜章的法定代表人授权书原件（法定代表人参加的提供身份证明）、法定代表人和授权代表身份证复印件、营业执照副本复印件，以核实授权代表的身份。</w:t>
      </w:r>
    </w:p>
    <w:p>
      <w:pPr>
        <w:tabs>
          <w:tab w:val="left" w:pos="1080"/>
        </w:tabs>
        <w:ind w:firstLine="460" w:firstLineChars="19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未按以上要求的，响应文件将被拒收。</w:t>
      </w:r>
    </w:p>
    <w:p>
      <w:pPr>
        <w:tabs>
          <w:tab w:val="left" w:pos="1080"/>
        </w:tabs>
        <w:ind w:firstLine="460" w:firstLineChars="192"/>
        <w:rPr>
          <w:rFonts w:hint="eastAsia" w:asciiTheme="majorEastAsia" w:hAnsiTheme="majorEastAsia" w:eastAsiaTheme="majorEastAsia" w:cstheme="majorEastAsia"/>
          <w:color w:val="auto"/>
          <w:sz w:val="24"/>
          <w:highlight w:val="none"/>
        </w:rPr>
      </w:pPr>
    </w:p>
    <w:bookmarkEnd w:id="72"/>
    <w:bookmarkEnd w:id="73"/>
    <w:bookmarkEnd w:id="74"/>
    <w:bookmarkEnd w:id="75"/>
    <w:bookmarkEnd w:id="76"/>
    <w:p>
      <w:pPr>
        <w:tabs>
          <w:tab w:val="left" w:pos="1080"/>
        </w:tabs>
        <w:ind w:firstLine="460" w:firstLineChars="192"/>
        <w:rPr>
          <w:rFonts w:hint="eastAsia" w:asciiTheme="majorEastAsia" w:hAnsiTheme="majorEastAsia" w:eastAsiaTheme="majorEastAsia" w:cstheme="majorEastAsia"/>
          <w:b/>
          <w:color w:val="auto"/>
          <w:sz w:val="24"/>
          <w:highlight w:val="none"/>
        </w:rPr>
      </w:pPr>
      <w:bookmarkStart w:id="77" w:name="_Toc183582228"/>
      <w:bookmarkStart w:id="78" w:name="_Toc217446055"/>
      <w:bookmarkStart w:id="79" w:name="_Toc183682365"/>
      <w:r>
        <w:rPr>
          <w:rFonts w:hint="eastAsia" w:asciiTheme="majorEastAsia" w:hAnsiTheme="majorEastAsia" w:eastAsiaTheme="majorEastAsia" w:cstheme="majorEastAsia"/>
          <w:b/>
          <w:color w:val="auto"/>
          <w:sz w:val="24"/>
          <w:highlight w:val="none"/>
        </w:rPr>
        <w:t>22.响应文件的修改和撤回（补充、修改响应文件的密封和标注按照本章“20.响应文件的密封和标注”规定处理）</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 供应商对响应文件修改的书面材料或撤回的通知应该按规定进行编写、密封、标注和递送，并注明“修改响应文件”字样。</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 供应商不得在递交截止时间起至响应文件有效期期满前撤销其响应文件。否则其磋商保证金将按“第二部分供应商采购须知7”的相关规定被没收。</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 响应文件中报价如果出现下列不一致的，可按以下原则进行修改：</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w:t>
      </w:r>
      <w:r>
        <w:rPr>
          <w:rFonts w:hint="eastAsia" w:asciiTheme="majorEastAsia" w:hAnsiTheme="majorEastAsia" w:eastAsiaTheme="majorEastAsia" w:cstheme="majorEastAsia"/>
          <w:color w:val="auto"/>
          <w:kern w:val="0"/>
          <w:sz w:val="24"/>
          <w:highlight w:val="none"/>
        </w:rPr>
        <w:t>大写金额和小写金额不一致的，以大写金额为准</w:t>
      </w:r>
      <w:r>
        <w:rPr>
          <w:rFonts w:hint="eastAsia" w:asciiTheme="majorEastAsia" w:hAnsiTheme="majorEastAsia" w:eastAsiaTheme="majorEastAsia" w:cstheme="majorEastAsia"/>
          <w:color w:val="auto"/>
          <w:sz w:val="24"/>
          <w:highlight w:val="none"/>
        </w:rPr>
        <w:t>，但大写金额文字存在错误的，应当先对大写金额的文字错误进行澄清、说明或者更正，再行修正。</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w:t>
      </w:r>
      <w:r>
        <w:rPr>
          <w:rFonts w:hint="eastAsia" w:asciiTheme="majorEastAsia" w:hAnsiTheme="majorEastAsia" w:eastAsiaTheme="majorEastAsia" w:cstheme="majorEastAsia"/>
          <w:color w:val="auto"/>
          <w:kern w:val="0"/>
          <w:sz w:val="24"/>
          <w:highlight w:val="none"/>
        </w:rPr>
        <w:t>总价金额与按单价汇总金额不一致的，以单价金额计算结果为准，</w:t>
      </w:r>
      <w:r>
        <w:rPr>
          <w:rFonts w:hint="eastAsia" w:asciiTheme="majorEastAsia" w:hAnsiTheme="majorEastAsia" w:eastAsiaTheme="majorEastAsia" w:cstheme="majorEastAsia"/>
          <w:color w:val="auto"/>
          <w:sz w:val="24"/>
          <w:highlight w:val="none"/>
        </w:rPr>
        <w:t>但</w:t>
      </w:r>
      <w:r>
        <w:rPr>
          <w:rFonts w:hint="eastAsia" w:asciiTheme="majorEastAsia" w:hAnsiTheme="majorEastAsia" w:eastAsiaTheme="majorEastAsia" w:cstheme="majorEastAsia"/>
          <w:color w:val="auto"/>
          <w:kern w:val="0"/>
          <w:sz w:val="24"/>
          <w:highlight w:val="none"/>
        </w:rPr>
        <w:t>单价或者单价汇总金额存在数字或者</w:t>
      </w:r>
      <w:r>
        <w:rPr>
          <w:rFonts w:hint="eastAsia" w:asciiTheme="majorEastAsia" w:hAnsiTheme="majorEastAsia" w:eastAsiaTheme="majorEastAsia" w:cstheme="majorEastAsia"/>
          <w:color w:val="auto"/>
          <w:sz w:val="24"/>
          <w:highlight w:val="none"/>
        </w:rPr>
        <w:t>文字错误的，应当先对</w:t>
      </w:r>
      <w:r>
        <w:rPr>
          <w:rFonts w:hint="eastAsia" w:asciiTheme="majorEastAsia" w:hAnsiTheme="majorEastAsia" w:eastAsiaTheme="majorEastAsia" w:cstheme="majorEastAsia"/>
          <w:color w:val="auto"/>
          <w:kern w:val="0"/>
          <w:sz w:val="24"/>
          <w:highlight w:val="none"/>
        </w:rPr>
        <w:t>数字或者</w:t>
      </w:r>
      <w:r>
        <w:rPr>
          <w:rFonts w:hint="eastAsia" w:asciiTheme="majorEastAsia" w:hAnsiTheme="majorEastAsia" w:eastAsiaTheme="majorEastAsia" w:cstheme="majorEastAsia"/>
          <w:color w:val="auto"/>
          <w:sz w:val="24"/>
          <w:highlight w:val="none"/>
        </w:rPr>
        <w:t>文字错误进行澄清、说明或者更正，再行修正。</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（三）单价金额小数点</w:t>
      </w:r>
      <w:r>
        <w:rPr>
          <w:rFonts w:hint="eastAsia" w:asciiTheme="majorEastAsia" w:hAnsiTheme="majorEastAsia" w:eastAsiaTheme="majorEastAsia" w:cstheme="majorEastAsia"/>
          <w:color w:val="auto"/>
          <w:kern w:val="0"/>
          <w:sz w:val="24"/>
          <w:highlight w:val="none"/>
        </w:rPr>
        <w:t>或者百分比有明显错位的</w:t>
      </w:r>
      <w:r>
        <w:rPr>
          <w:rFonts w:hint="eastAsia" w:asciiTheme="majorEastAsia" w:hAnsiTheme="majorEastAsia" w:eastAsiaTheme="majorEastAsia" w:cstheme="majorEastAsia"/>
          <w:color w:val="auto"/>
          <w:sz w:val="24"/>
          <w:highlight w:val="none"/>
        </w:rPr>
        <w:t>，以总价为准，修正单价。</w:t>
      </w:r>
    </w:p>
    <w:p>
      <w:pPr>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 供应商对其提交的响应文件的真实性、合法性承担法律责任。</w:t>
      </w:r>
      <w:bookmarkEnd w:id="77"/>
      <w:bookmarkEnd w:id="78"/>
      <w:bookmarkEnd w:id="79"/>
    </w:p>
    <w:p>
      <w:pPr>
        <w:pStyle w:val="4"/>
        <w:rPr>
          <w:rFonts w:hint="eastAsia" w:asciiTheme="majorEastAsia" w:hAnsiTheme="majorEastAsia" w:eastAsiaTheme="majorEastAsia" w:cstheme="majorEastAsia"/>
          <w:color w:val="auto"/>
          <w:sz w:val="28"/>
          <w:szCs w:val="28"/>
          <w:highlight w:val="none"/>
        </w:rPr>
      </w:pPr>
      <w:bookmarkStart w:id="80" w:name="_Toc23790"/>
      <w:bookmarkStart w:id="81" w:name="_Toc183582231"/>
      <w:bookmarkStart w:id="82" w:name="_Toc89075878"/>
      <w:bookmarkStart w:id="83" w:name="_Toc183682368"/>
      <w:bookmarkStart w:id="84" w:name="_Toc77400782"/>
      <w:bookmarkStart w:id="85" w:name="_Toc217446056"/>
      <w:r>
        <w:rPr>
          <w:rFonts w:hint="eastAsia" w:asciiTheme="majorEastAsia" w:hAnsiTheme="majorEastAsia" w:eastAsiaTheme="majorEastAsia" w:cstheme="majorEastAsia"/>
          <w:color w:val="auto"/>
          <w:sz w:val="28"/>
          <w:szCs w:val="28"/>
          <w:highlight w:val="none"/>
        </w:rPr>
        <w:t>五、评审</w:t>
      </w:r>
      <w:bookmarkEnd w:id="80"/>
    </w:p>
    <w:p>
      <w:pPr>
        <w:pStyle w:val="4"/>
        <w:keepNext w:val="0"/>
        <w:keepLines w:val="0"/>
        <w:ind w:firstLine="480" w:firstLineChars="200"/>
        <w:jc w:val="left"/>
        <w:rPr>
          <w:rFonts w:hint="eastAsia" w:asciiTheme="majorEastAsia" w:hAnsiTheme="majorEastAsia" w:eastAsiaTheme="majorEastAsia" w:cstheme="majorEastAsia"/>
          <w:color w:val="auto"/>
          <w:sz w:val="24"/>
          <w:szCs w:val="24"/>
          <w:highlight w:val="none"/>
        </w:rPr>
      </w:pPr>
      <w:bookmarkStart w:id="86" w:name="_Toc10170"/>
      <w:r>
        <w:rPr>
          <w:rFonts w:hint="eastAsia" w:asciiTheme="majorEastAsia" w:hAnsiTheme="majorEastAsia" w:eastAsiaTheme="majorEastAsia" w:cstheme="majorEastAsia"/>
          <w:color w:val="auto"/>
          <w:sz w:val="24"/>
          <w:szCs w:val="24"/>
          <w:highlight w:val="none"/>
        </w:rPr>
        <w:t>23.</w:t>
      </w:r>
      <w:r>
        <w:rPr>
          <w:rFonts w:hint="eastAsia" w:asciiTheme="majorEastAsia" w:hAnsiTheme="majorEastAsia" w:eastAsiaTheme="majorEastAsia" w:cstheme="majorEastAsia"/>
          <w:b w:val="0"/>
          <w:color w:val="auto"/>
          <w:sz w:val="24"/>
          <w:szCs w:val="24"/>
          <w:highlight w:val="none"/>
        </w:rPr>
        <w:t>磋商小组的组建及其评审工作按照有关法律制度和本文件第八章的规定进行。</w:t>
      </w:r>
      <w:bookmarkEnd w:id="86"/>
    </w:p>
    <w:p>
      <w:pPr>
        <w:pStyle w:val="4"/>
        <w:rPr>
          <w:rFonts w:hint="eastAsia" w:asciiTheme="majorEastAsia" w:hAnsiTheme="majorEastAsia" w:eastAsiaTheme="majorEastAsia" w:cstheme="majorEastAsia"/>
          <w:color w:val="auto"/>
          <w:sz w:val="28"/>
          <w:szCs w:val="28"/>
          <w:highlight w:val="none"/>
        </w:rPr>
      </w:pPr>
      <w:bookmarkStart w:id="87" w:name="_Toc27012"/>
      <w:r>
        <w:rPr>
          <w:rFonts w:hint="eastAsia" w:asciiTheme="majorEastAsia" w:hAnsiTheme="majorEastAsia" w:eastAsiaTheme="majorEastAsia" w:cstheme="majorEastAsia"/>
          <w:color w:val="auto"/>
          <w:sz w:val="28"/>
          <w:szCs w:val="28"/>
          <w:highlight w:val="none"/>
        </w:rPr>
        <w:t>六、成交事项</w:t>
      </w:r>
      <w:bookmarkEnd w:id="87"/>
    </w:p>
    <w:p>
      <w:pPr>
        <w:pStyle w:val="4"/>
        <w:keepNext w:val="0"/>
        <w:keepLines w:val="0"/>
        <w:spacing w:after="0"/>
        <w:ind w:firstLine="480" w:firstLineChars="200"/>
        <w:jc w:val="left"/>
        <w:rPr>
          <w:rFonts w:hint="eastAsia" w:asciiTheme="majorEastAsia" w:hAnsiTheme="majorEastAsia" w:eastAsiaTheme="majorEastAsia" w:cstheme="majorEastAsia"/>
          <w:color w:val="auto"/>
          <w:sz w:val="24"/>
          <w:szCs w:val="24"/>
          <w:highlight w:val="none"/>
        </w:rPr>
      </w:pPr>
      <w:bookmarkStart w:id="88" w:name="_Toc29449"/>
      <w:r>
        <w:rPr>
          <w:rFonts w:hint="eastAsia" w:asciiTheme="majorEastAsia" w:hAnsiTheme="majorEastAsia" w:eastAsiaTheme="majorEastAsia" w:cstheme="majorEastAsia"/>
          <w:color w:val="auto"/>
          <w:sz w:val="24"/>
          <w:szCs w:val="24"/>
          <w:highlight w:val="none"/>
        </w:rPr>
        <w:t>24.确定成交供应商</w:t>
      </w:r>
      <w:bookmarkEnd w:id="88"/>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89" w:name="_Toc2428"/>
      <w:r>
        <w:rPr>
          <w:rFonts w:hint="eastAsia" w:asciiTheme="majorEastAsia" w:hAnsiTheme="majorEastAsia" w:eastAsiaTheme="majorEastAsia" w:cstheme="majorEastAsia"/>
          <w:b w:val="0"/>
          <w:color w:val="auto"/>
          <w:sz w:val="24"/>
          <w:szCs w:val="24"/>
          <w:highlight w:val="none"/>
        </w:rPr>
        <w:t>采购人将按磋商小组推荐的成交候选供应商顺序确定成交供应商。</w:t>
      </w:r>
      <w:bookmarkEnd w:id="89"/>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0" w:name="_Toc3593"/>
      <w:r>
        <w:rPr>
          <w:rFonts w:hint="eastAsia" w:asciiTheme="majorEastAsia" w:hAnsiTheme="majorEastAsia" w:eastAsiaTheme="majorEastAsia" w:cstheme="majorEastAsia"/>
          <w:b w:val="0"/>
          <w:color w:val="auto"/>
          <w:sz w:val="24"/>
          <w:szCs w:val="24"/>
          <w:highlight w:val="none"/>
        </w:rPr>
        <w:t>24.1 采购代理机构自评审结束后2个工作日内将磋商报告及有关资料送交采购人确定成交供应商。</w:t>
      </w:r>
      <w:bookmarkEnd w:id="90"/>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1" w:name="_Toc17889"/>
      <w:r>
        <w:rPr>
          <w:rFonts w:hint="eastAsia" w:asciiTheme="majorEastAsia" w:hAnsiTheme="majorEastAsia" w:eastAsiaTheme="majorEastAsia" w:cstheme="majorEastAsia"/>
          <w:b w:val="0"/>
          <w:color w:val="auto"/>
          <w:sz w:val="24"/>
          <w:szCs w:val="24"/>
          <w:highlight w:val="none"/>
        </w:rPr>
        <w:t xml:space="preserve">24.2 </w:t>
      </w:r>
      <w:bookmarkEnd w:id="91"/>
      <w:r>
        <w:rPr>
          <w:rFonts w:hint="eastAsia" w:asciiTheme="majorEastAsia" w:hAnsiTheme="majorEastAsia" w:eastAsiaTheme="majorEastAsia" w:cstheme="majorEastAsia"/>
          <w:b w:val="0"/>
          <w:color w:val="auto"/>
          <w:sz w:val="24"/>
          <w:szCs w:val="24"/>
          <w:highlight w:val="none"/>
        </w:rPr>
        <w:t>采购人收到磋商报告及有关资料后，将在5 个工作日内按照磋商报告中推荐的成交候选供应商顺序确定成交供应商。采购人逾期未确定成交供应商且不提出异议的，视为确定磋商报告提出的排序第一和第二的供应商为成交供应商。</w:t>
      </w:r>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2" w:name="_Toc13900"/>
      <w:r>
        <w:rPr>
          <w:rFonts w:hint="eastAsia" w:asciiTheme="majorEastAsia" w:hAnsiTheme="majorEastAsia" w:eastAsiaTheme="majorEastAsia" w:cstheme="majorEastAsia"/>
          <w:b w:val="0"/>
          <w:color w:val="auto"/>
          <w:sz w:val="24"/>
          <w:szCs w:val="24"/>
          <w:highlight w:val="none"/>
        </w:rPr>
        <w:t>24.3 采购人确定成交供应商过程中，发现成交候选供应商有下列情形之一的，应当不予确定其为成交供应商：</w:t>
      </w:r>
      <w:bookmarkEnd w:id="92"/>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3" w:name="_Toc9189"/>
      <w:r>
        <w:rPr>
          <w:rFonts w:hint="eastAsia" w:asciiTheme="majorEastAsia" w:hAnsiTheme="majorEastAsia" w:eastAsiaTheme="majorEastAsia" w:cstheme="majorEastAsia"/>
          <w:b w:val="0"/>
          <w:color w:val="auto"/>
          <w:sz w:val="24"/>
          <w:szCs w:val="24"/>
          <w:highlight w:val="none"/>
        </w:rPr>
        <w:t>（1）发现成交候选供应商存在禁止参加本项目采购活动的违法行为的；</w:t>
      </w:r>
      <w:bookmarkEnd w:id="93"/>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4" w:name="_Toc19068"/>
      <w:r>
        <w:rPr>
          <w:rFonts w:hint="eastAsia" w:asciiTheme="majorEastAsia" w:hAnsiTheme="majorEastAsia" w:eastAsiaTheme="majorEastAsia" w:cstheme="majorEastAsia"/>
          <w:b w:val="0"/>
          <w:color w:val="auto"/>
          <w:sz w:val="24"/>
          <w:szCs w:val="24"/>
          <w:highlight w:val="none"/>
        </w:rPr>
        <w:t>（2）成交候选供应商因不可抗力，不能继续参加政府采购活动；</w:t>
      </w:r>
      <w:bookmarkEnd w:id="94"/>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5" w:name="_Toc17604"/>
      <w:r>
        <w:rPr>
          <w:rFonts w:hint="eastAsia" w:asciiTheme="majorEastAsia" w:hAnsiTheme="majorEastAsia" w:eastAsiaTheme="majorEastAsia" w:cstheme="majorEastAsia"/>
          <w:b w:val="0"/>
          <w:color w:val="auto"/>
          <w:sz w:val="24"/>
          <w:szCs w:val="24"/>
          <w:highlight w:val="none"/>
        </w:rPr>
        <w:t>（3）成交候选供应商无偿赠与或者低于成本价竞争；</w:t>
      </w:r>
      <w:bookmarkEnd w:id="95"/>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6" w:name="_Toc5942"/>
      <w:r>
        <w:rPr>
          <w:rFonts w:hint="eastAsia" w:asciiTheme="majorEastAsia" w:hAnsiTheme="majorEastAsia" w:eastAsiaTheme="majorEastAsia" w:cstheme="majorEastAsia"/>
          <w:b w:val="0"/>
          <w:color w:val="auto"/>
          <w:sz w:val="24"/>
          <w:szCs w:val="24"/>
          <w:highlight w:val="none"/>
        </w:rPr>
        <w:t>（4）成交候选供应商提供虚假材料；</w:t>
      </w:r>
      <w:bookmarkEnd w:id="96"/>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7" w:name="_Toc31150"/>
      <w:r>
        <w:rPr>
          <w:rFonts w:hint="eastAsia" w:asciiTheme="majorEastAsia" w:hAnsiTheme="majorEastAsia" w:eastAsiaTheme="majorEastAsia" w:cstheme="majorEastAsia"/>
          <w:b w:val="0"/>
          <w:color w:val="auto"/>
          <w:sz w:val="24"/>
          <w:szCs w:val="24"/>
          <w:highlight w:val="none"/>
        </w:rPr>
        <w:t>（5）成交候选供应商恶意串通。</w:t>
      </w:r>
      <w:bookmarkEnd w:id="97"/>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98" w:name="_Toc11215"/>
      <w:r>
        <w:rPr>
          <w:rFonts w:hint="eastAsia" w:asciiTheme="majorEastAsia" w:hAnsiTheme="majorEastAsia" w:eastAsiaTheme="majorEastAsia" w:cstheme="majorEastAsia"/>
          <w:b w:val="0"/>
          <w:color w:val="auto"/>
          <w:sz w:val="24"/>
          <w:szCs w:val="24"/>
          <w:highlight w:val="none"/>
        </w:rPr>
        <w:t>成交候选供应商有本条情形之一的，采购人可以确定后一位成交候选供应商为成交供应商，依次类推。无法确定成交供应商的，应当重新组织采购。</w:t>
      </w:r>
      <w:bookmarkEnd w:id="98"/>
    </w:p>
    <w:p>
      <w:pPr>
        <w:rPr>
          <w:rFonts w:hint="eastAsia" w:asciiTheme="majorEastAsia" w:hAnsiTheme="majorEastAsia" w:eastAsiaTheme="majorEastAsia" w:cstheme="majorEastAsia"/>
          <w:color w:val="auto"/>
          <w:sz w:val="24"/>
          <w:highlight w:val="none"/>
        </w:rPr>
      </w:pPr>
    </w:p>
    <w:p>
      <w:pPr>
        <w:pStyle w:val="4"/>
        <w:keepNext w:val="0"/>
        <w:keepLines w:val="0"/>
        <w:spacing w:before="0" w:after="0"/>
        <w:ind w:firstLine="480" w:firstLineChars="200"/>
        <w:jc w:val="left"/>
        <w:rPr>
          <w:rFonts w:hint="eastAsia" w:asciiTheme="majorEastAsia" w:hAnsiTheme="majorEastAsia" w:eastAsiaTheme="majorEastAsia" w:cstheme="majorEastAsia"/>
          <w:color w:val="auto"/>
          <w:sz w:val="24"/>
          <w:szCs w:val="24"/>
          <w:highlight w:val="none"/>
        </w:rPr>
      </w:pPr>
      <w:bookmarkStart w:id="99" w:name="_Toc5120"/>
      <w:r>
        <w:rPr>
          <w:rFonts w:hint="eastAsia" w:asciiTheme="majorEastAsia" w:hAnsiTheme="majorEastAsia" w:eastAsiaTheme="majorEastAsia" w:cstheme="majorEastAsia"/>
          <w:color w:val="auto"/>
          <w:sz w:val="24"/>
          <w:szCs w:val="24"/>
          <w:highlight w:val="none"/>
        </w:rPr>
        <w:t>25.行贿犯罪档案查询</w:t>
      </w:r>
      <w:bookmarkEnd w:id="99"/>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100" w:name="_Toc7625"/>
      <w:r>
        <w:rPr>
          <w:rFonts w:hint="eastAsia" w:asciiTheme="majorEastAsia" w:hAnsiTheme="majorEastAsia" w:eastAsiaTheme="majorEastAsia" w:cstheme="majorEastAsia"/>
          <w:b w:val="0"/>
          <w:color w:val="auto"/>
          <w:sz w:val="24"/>
          <w:szCs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00"/>
    </w:p>
    <w:p>
      <w:pPr>
        <w:rPr>
          <w:rFonts w:hint="eastAsia" w:asciiTheme="majorEastAsia" w:hAnsiTheme="majorEastAsia" w:eastAsiaTheme="majorEastAsia" w:cstheme="majorEastAsia"/>
          <w:color w:val="auto"/>
          <w:sz w:val="24"/>
          <w:highlight w:val="none"/>
        </w:rPr>
      </w:pPr>
    </w:p>
    <w:p>
      <w:pPr>
        <w:pStyle w:val="4"/>
        <w:keepNext w:val="0"/>
        <w:keepLines w:val="0"/>
        <w:spacing w:before="0" w:after="0"/>
        <w:ind w:firstLine="480" w:firstLineChars="200"/>
        <w:jc w:val="left"/>
        <w:rPr>
          <w:rFonts w:hint="eastAsia" w:asciiTheme="majorEastAsia" w:hAnsiTheme="majorEastAsia" w:eastAsiaTheme="majorEastAsia" w:cstheme="majorEastAsia"/>
          <w:color w:val="auto"/>
          <w:sz w:val="24"/>
          <w:szCs w:val="24"/>
          <w:highlight w:val="none"/>
        </w:rPr>
      </w:pPr>
      <w:bookmarkStart w:id="101" w:name="_Toc12118"/>
      <w:r>
        <w:rPr>
          <w:rFonts w:hint="eastAsia" w:asciiTheme="majorEastAsia" w:hAnsiTheme="majorEastAsia" w:eastAsiaTheme="majorEastAsia" w:cstheme="majorEastAsia"/>
          <w:color w:val="auto"/>
          <w:sz w:val="24"/>
          <w:szCs w:val="24"/>
          <w:highlight w:val="none"/>
        </w:rPr>
        <w:t>26.成交结果</w:t>
      </w:r>
      <w:bookmarkEnd w:id="101"/>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102" w:name="_Toc31380"/>
      <w:r>
        <w:rPr>
          <w:rFonts w:hint="eastAsia" w:asciiTheme="majorEastAsia" w:hAnsiTheme="majorEastAsia" w:eastAsiaTheme="majorEastAsia" w:cstheme="majorEastAsia"/>
          <w:b w:val="0"/>
          <w:color w:val="auto"/>
          <w:sz w:val="24"/>
          <w:szCs w:val="24"/>
          <w:highlight w:val="none"/>
        </w:rPr>
        <w:t>26.1 采购人确定成交供应商后，将及时书面通知采购代理机构，发出成交通知书并发布成交结果公告。</w:t>
      </w:r>
      <w:bookmarkEnd w:id="102"/>
    </w:p>
    <w:p>
      <w:pPr>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26.2 成交供应商应当及时领取成交通知书。本项目需要交纳履约保证金的，成交供应商应当及时向采购人交纳。</w:t>
      </w:r>
    </w:p>
    <w:p>
      <w:pPr>
        <w:ind w:firstLine="465"/>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26.3 成交供应商不能及时领取成交通知书，采购人或者采购代理机应当通过邮寄、快递等方式将项目成交通知书送达成交供应商。</w:t>
      </w:r>
    </w:p>
    <w:p>
      <w:pPr>
        <w:ind w:firstLine="465"/>
        <w:rPr>
          <w:rFonts w:hint="eastAsia" w:asciiTheme="majorEastAsia" w:hAnsiTheme="majorEastAsia" w:eastAsiaTheme="majorEastAsia" w:cstheme="majorEastAsia"/>
          <w:bCs/>
          <w:color w:val="auto"/>
          <w:sz w:val="24"/>
          <w:highlight w:val="none"/>
        </w:rPr>
      </w:pPr>
    </w:p>
    <w:p>
      <w:pPr>
        <w:pStyle w:val="4"/>
        <w:keepNext w:val="0"/>
        <w:keepLines w:val="0"/>
        <w:spacing w:before="0" w:after="0"/>
        <w:ind w:firstLine="480" w:firstLineChars="200"/>
        <w:jc w:val="left"/>
        <w:rPr>
          <w:rFonts w:hint="eastAsia" w:asciiTheme="majorEastAsia" w:hAnsiTheme="majorEastAsia" w:eastAsiaTheme="majorEastAsia" w:cstheme="majorEastAsia"/>
          <w:color w:val="auto"/>
          <w:sz w:val="24"/>
          <w:szCs w:val="24"/>
          <w:highlight w:val="none"/>
        </w:rPr>
      </w:pPr>
      <w:bookmarkStart w:id="103" w:name="_Toc29920"/>
      <w:r>
        <w:rPr>
          <w:rFonts w:hint="eastAsia" w:asciiTheme="majorEastAsia" w:hAnsiTheme="majorEastAsia" w:eastAsiaTheme="majorEastAsia" w:cstheme="majorEastAsia"/>
          <w:color w:val="auto"/>
          <w:sz w:val="24"/>
          <w:szCs w:val="24"/>
          <w:highlight w:val="none"/>
        </w:rPr>
        <w:t>27.成交通知书</w:t>
      </w:r>
      <w:bookmarkEnd w:id="103"/>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104" w:name="_Toc7895"/>
      <w:r>
        <w:rPr>
          <w:rFonts w:hint="eastAsia" w:asciiTheme="majorEastAsia" w:hAnsiTheme="majorEastAsia" w:eastAsiaTheme="majorEastAsia" w:cstheme="majorEastAsia"/>
          <w:b w:val="0"/>
          <w:color w:val="auto"/>
          <w:sz w:val="24"/>
          <w:szCs w:val="24"/>
          <w:highlight w:val="none"/>
        </w:rPr>
        <w:t>27.1 成交通知书为签订政府采购合同的依据之一，是合同的有效组成部分。</w:t>
      </w:r>
      <w:bookmarkEnd w:id="104"/>
    </w:p>
    <w:p>
      <w:pPr>
        <w:pStyle w:val="4"/>
        <w:keepNext w:val="0"/>
        <w:keepLines w:val="0"/>
        <w:spacing w:before="0" w:after="0"/>
        <w:ind w:firstLine="480" w:firstLineChars="200"/>
        <w:jc w:val="left"/>
        <w:rPr>
          <w:rFonts w:hint="eastAsia" w:asciiTheme="majorEastAsia" w:hAnsiTheme="majorEastAsia" w:eastAsiaTheme="majorEastAsia" w:cstheme="majorEastAsia"/>
          <w:b w:val="0"/>
          <w:color w:val="auto"/>
          <w:sz w:val="24"/>
          <w:szCs w:val="24"/>
          <w:highlight w:val="none"/>
        </w:rPr>
      </w:pPr>
      <w:bookmarkStart w:id="105" w:name="_Toc3981"/>
      <w:r>
        <w:rPr>
          <w:rFonts w:hint="eastAsia" w:asciiTheme="majorEastAsia" w:hAnsiTheme="majorEastAsia" w:eastAsiaTheme="majorEastAsia" w:cstheme="majorEastAsia"/>
          <w:b w:val="0"/>
          <w:color w:val="auto"/>
          <w:sz w:val="24"/>
          <w:szCs w:val="24"/>
          <w:highlight w:val="none"/>
        </w:rPr>
        <w:t>27.2 成交通知书对采购人和成交供应商均具有法律效力。成交通知书发出后，采购人无正当理由改变成交结果或者成交供应商无正当理由放弃成交的，将承担相应的法律责任。</w:t>
      </w:r>
      <w:bookmarkEnd w:id="105"/>
    </w:p>
    <w:p>
      <w:pPr>
        <w:pStyle w:val="4"/>
        <w:keepNext w:val="0"/>
        <w:keepLines w:val="0"/>
        <w:spacing w:before="0" w:after="0"/>
        <w:ind w:firstLine="480" w:firstLineChars="200"/>
        <w:jc w:val="left"/>
        <w:rPr>
          <w:rFonts w:hint="eastAsia" w:asciiTheme="majorEastAsia" w:hAnsiTheme="majorEastAsia" w:eastAsiaTheme="majorEastAsia" w:cstheme="majorEastAsia"/>
          <w:color w:val="auto"/>
          <w:sz w:val="24"/>
          <w:szCs w:val="24"/>
          <w:highlight w:val="none"/>
        </w:rPr>
      </w:pPr>
      <w:bookmarkStart w:id="106" w:name="_Toc1548"/>
      <w:r>
        <w:rPr>
          <w:rFonts w:hint="eastAsia" w:asciiTheme="majorEastAsia" w:hAnsiTheme="majorEastAsia" w:eastAsiaTheme="majorEastAsia" w:cstheme="majorEastAsia"/>
          <w:b w:val="0"/>
          <w:color w:val="auto"/>
          <w:sz w:val="24"/>
          <w:szCs w:val="24"/>
          <w:highlight w:val="none"/>
        </w:rPr>
        <w:t>27.3 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bookmarkEnd w:id="106"/>
    </w:p>
    <w:p>
      <w:pPr>
        <w:pStyle w:val="4"/>
        <w:rPr>
          <w:rFonts w:hint="eastAsia" w:asciiTheme="majorEastAsia" w:hAnsiTheme="majorEastAsia" w:eastAsiaTheme="majorEastAsia" w:cstheme="majorEastAsia"/>
          <w:color w:val="auto"/>
          <w:sz w:val="28"/>
          <w:szCs w:val="28"/>
          <w:highlight w:val="none"/>
        </w:rPr>
      </w:pPr>
      <w:bookmarkStart w:id="107" w:name="_Toc19292"/>
      <w:r>
        <w:rPr>
          <w:rFonts w:hint="eastAsia" w:asciiTheme="majorEastAsia" w:hAnsiTheme="majorEastAsia" w:eastAsiaTheme="majorEastAsia" w:cstheme="majorEastAsia"/>
          <w:color w:val="auto"/>
          <w:sz w:val="28"/>
          <w:szCs w:val="28"/>
          <w:highlight w:val="none"/>
        </w:rPr>
        <w:t>七、合同事项</w:t>
      </w:r>
      <w:bookmarkEnd w:id="107"/>
    </w:p>
    <w:p>
      <w:pPr>
        <w:pStyle w:val="4"/>
        <w:keepNext w:val="0"/>
        <w:keepLines w:val="0"/>
        <w:spacing w:before="0" w:after="0"/>
        <w:ind w:firstLine="470" w:firstLineChars="196"/>
        <w:jc w:val="left"/>
        <w:rPr>
          <w:rFonts w:hint="eastAsia" w:asciiTheme="majorEastAsia" w:hAnsiTheme="majorEastAsia" w:eastAsiaTheme="majorEastAsia" w:cstheme="majorEastAsia"/>
          <w:color w:val="auto"/>
          <w:sz w:val="24"/>
          <w:szCs w:val="24"/>
          <w:highlight w:val="none"/>
        </w:rPr>
      </w:pPr>
      <w:bookmarkStart w:id="108" w:name="_Toc430773927"/>
      <w:bookmarkStart w:id="109" w:name="_Toc14580"/>
      <w:bookmarkStart w:id="110" w:name="_Toc101250646"/>
      <w:bookmarkStart w:id="111" w:name="_Toc209847069"/>
      <w:bookmarkStart w:id="112" w:name="_Toc101338364"/>
      <w:bookmarkStart w:id="113" w:name="_Toc101174151"/>
      <w:r>
        <w:rPr>
          <w:rFonts w:hint="eastAsia" w:asciiTheme="majorEastAsia" w:hAnsiTheme="majorEastAsia" w:eastAsiaTheme="majorEastAsia" w:cstheme="majorEastAsia"/>
          <w:color w:val="auto"/>
          <w:sz w:val="24"/>
          <w:szCs w:val="24"/>
          <w:highlight w:val="none"/>
        </w:rPr>
        <w:t>28.签订合同</w:t>
      </w:r>
      <w:bookmarkEnd w:id="108"/>
      <w:bookmarkEnd w:id="109"/>
      <w:bookmarkEnd w:id="110"/>
      <w:bookmarkEnd w:id="111"/>
      <w:bookmarkEnd w:id="112"/>
      <w:bookmarkEnd w:id="113"/>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28.1 成交供应商应在成交通知书发出之日起三十日内与采购人签订采购合同。由于成交供应商的原因逾期未与采购人签订采购合同的，将视为放弃成交，取消其成交资格并将按相关规定进行处理。</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28.2 磋商文件、成交供应商的响应文件及双方确认的澄清文件等，均为有法律约束力的合同组成部分。</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28.4 成交供应商因不可抗力原因不能履行采购合同或放弃成交的，采购人可以与排在成交供应商之后第一位的成交候选人签订采购合同，以此类推。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28.5 竞争性磋商文件、成交供应商提交的响应文件、磋商中的最后报价、成交供应商承诺书、成交通知书等均称为有法律约束力的合同组成内容。</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29.合同分包（实质性要求）</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分包履行合同的部分应当为采购项目的非主体、非关键性工作，不属于成交供应商的主要合同义务。</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29.2 采购合同实行分包履行的，成交供应商就采购项目和分包项目向采购人负责，分包供应商就分包项目承担责任。</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29.3 中小企业依据《政府采购促进中小企业发展管理办法》（财库[2020]46号）规定的政策获取政府采购合同后，小型、微型企业不得分包或转包给大型、中型企业，中型企业不得分包或转包给大型企业。</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30.合同转包（实质性要求）</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成交供应商转包的，视同拒绝履行政府采购合同义务，将依法追究法律责任。</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31.补充合同</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ind w:firstLine="480" w:firstLineChars="200"/>
        <w:rPr>
          <w:rFonts w:hint="eastAsia" w:asciiTheme="majorEastAsia" w:hAnsiTheme="majorEastAsia" w:eastAsiaTheme="majorEastAsia" w:cstheme="majorEastAsia"/>
          <w:b/>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32.履约保证金（实质性要求）</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32.1 成交供应商应在合同签订之前交纳采购文件规定数额的履约保证金。</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如果成交供应商在规定的合同签订时间内，没有按照采购文件的规定交纳履约保证金，且又无正当理由的，将视为放弃成交。</w:t>
      </w:r>
    </w:p>
    <w:p>
      <w:pPr>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33.合同公告</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34.合同备案</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采购人应当将政府采购合同副本自签订（双方当事人均已签字盖章）之日起七个工作日内通过四川政府采购网报同级财政部门备案。</w:t>
      </w:r>
    </w:p>
    <w:p>
      <w:pPr>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35.履行合同</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35.1 成交供应商与采购人签订合同后，合同双方应严格执行合同条款，履行合同规定的义务，保证合同的顺利完成。</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35.2 在合同履行过程中，如发生合同纠纷，合同双方应按照《合同法》的有关规定进行处理。</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36.验收</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36.1 本项目采购人及其委托的采购代理机构将严格按照政府采购相关法律法规以及《财政部关于进一步加强政府采购需求和履约验收管理的指导意见》（财库〔2016〕205号）的要求进行验收。</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36.2 验收结果合格的，成交供应商凭验收报告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ind w:firstLine="480" w:firstLineChars="200"/>
        <w:rPr>
          <w:rFonts w:hint="eastAsia" w:asciiTheme="majorEastAsia" w:hAnsiTheme="majorEastAsia" w:eastAsiaTheme="majorEastAsia" w:cstheme="majorEastAsia"/>
          <w:b/>
          <w:color w:val="auto"/>
          <w:sz w:val="24"/>
          <w:highlight w:val="none"/>
        </w:rPr>
      </w:pP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37.资金支付</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采购人将按照政府采购合同规定，及时向成交供应商支付采购资金。</w:t>
      </w:r>
    </w:p>
    <w:p>
      <w:pPr>
        <w:pStyle w:val="4"/>
        <w:rPr>
          <w:rFonts w:hint="eastAsia" w:asciiTheme="majorEastAsia" w:hAnsiTheme="majorEastAsia" w:eastAsiaTheme="majorEastAsia" w:cstheme="majorEastAsia"/>
          <w:color w:val="auto"/>
          <w:sz w:val="28"/>
          <w:szCs w:val="28"/>
          <w:highlight w:val="none"/>
        </w:rPr>
      </w:pPr>
      <w:bookmarkStart w:id="114" w:name="_Toc20420"/>
      <w:r>
        <w:rPr>
          <w:rFonts w:hint="eastAsia" w:asciiTheme="majorEastAsia" w:hAnsiTheme="majorEastAsia" w:eastAsiaTheme="majorEastAsia" w:cstheme="majorEastAsia"/>
          <w:color w:val="auto"/>
          <w:sz w:val="28"/>
          <w:szCs w:val="28"/>
          <w:highlight w:val="none"/>
        </w:rPr>
        <w:t>八、磋商纪律要求</w:t>
      </w:r>
      <w:bookmarkEnd w:id="114"/>
    </w:p>
    <w:p>
      <w:pPr>
        <w:tabs>
          <w:tab w:val="left" w:pos="851"/>
        </w:tabs>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38.供应商不得具有的情形</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供应商参加本项目磋商不得有下列情形：</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（1）提供虚假材料谋取成交；</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（2）采取不正当手段诋毁、排挤其他供应商；</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（3）与采购人、采购代理机构、或其他供应商恶意串通；</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（4）向采购人、采购代理机构、磋商小组成员行贿或者提供其他不正当利益；</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（5）在磋商过程中与采购人、采购代理机构进行协商；</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（6）成交后无正当理由拒不与采购人签订政府采购合同；</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（7）未按照磋商文件确定的事项签订政府采购合同；</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（8）将政府采购合同转包或者违规分包；</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（9）提供假冒伪劣产品；</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（10）擅自变更、中止或者终止政府采购合同；</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（11）拒绝有关部门的监督检查或者向监督检查部门提供虚假情况；</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（12）法律法规规定的其他情形。</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供应商有上述情形的，按照规定追究法律责任，具备（1）-（10）条情形之一的，同时将取消被确认为成交供应商的资格或者认定成交无效。</w:t>
      </w:r>
    </w:p>
    <w:p>
      <w:pPr>
        <w:pStyle w:val="4"/>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九、询问、质疑和投诉</w:t>
      </w:r>
    </w:p>
    <w:p>
      <w:pPr>
        <w:tabs>
          <w:tab w:val="left" w:pos="851"/>
        </w:tabs>
        <w:ind w:firstLine="49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39.</w:t>
      </w:r>
      <w:r>
        <w:rPr>
          <w:rFonts w:hint="eastAsia" w:asciiTheme="majorEastAsia" w:hAnsiTheme="majorEastAsia" w:eastAsiaTheme="majorEastAsia" w:cstheme="majorEastAsia"/>
          <w:color w:val="auto"/>
          <w:sz w:val="24"/>
          <w:highlight w:val="none"/>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十、其  他</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40.</w:t>
      </w:r>
      <w:r>
        <w:rPr>
          <w:rFonts w:hint="eastAsia" w:asciiTheme="majorEastAsia" w:hAnsiTheme="majorEastAsia" w:eastAsiaTheme="majorEastAsia" w:cstheme="majorEastAsia"/>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ind w:firstLine="480" w:firstLineChars="200"/>
        <w:rPr>
          <w:rFonts w:hint="eastAsia" w:asciiTheme="majorEastAsia" w:hAnsiTheme="majorEastAsia" w:eastAsiaTheme="majorEastAsia" w:cstheme="majorEastAsia"/>
          <w:color w:val="auto"/>
          <w:kern w:val="0"/>
          <w:sz w:val="24"/>
          <w:highlight w:val="none"/>
        </w:rPr>
      </w:pPr>
      <w:bookmarkStart w:id="115" w:name="_Toc21236"/>
      <w:bookmarkStart w:id="116" w:name="_Toc7872"/>
      <w:bookmarkStart w:id="117" w:name="_Toc25596"/>
      <w:r>
        <w:rPr>
          <w:rFonts w:hint="eastAsia" w:asciiTheme="majorEastAsia" w:hAnsiTheme="majorEastAsia" w:eastAsiaTheme="majorEastAsia" w:cstheme="majorEastAsia"/>
          <w:b/>
          <w:bCs/>
          <w:color w:val="auto"/>
          <w:sz w:val="24"/>
          <w:highlight w:val="none"/>
        </w:rPr>
        <w:t>41.</w:t>
      </w:r>
      <w:r>
        <w:rPr>
          <w:rFonts w:hint="eastAsia" w:asciiTheme="majorEastAsia" w:hAnsiTheme="majorEastAsia" w:eastAsiaTheme="majorEastAsia" w:cstheme="majorEastAsia"/>
          <w:b/>
          <w:color w:val="auto"/>
          <w:sz w:val="24"/>
          <w:highlight w:val="none"/>
        </w:rPr>
        <w:t>（实质性要求）</w:t>
      </w:r>
      <w:r>
        <w:rPr>
          <w:rFonts w:hint="eastAsia" w:asciiTheme="majorEastAsia" w:hAnsiTheme="majorEastAsia" w:eastAsiaTheme="majorEastAsia" w:cstheme="majorEastAsia"/>
          <w:color w:val="auto"/>
          <w:sz w:val="24"/>
          <w:highlight w:val="none"/>
        </w:rPr>
        <w:t>国家或行业主管部门对供应商和采购产品的技术标准、质量标准和资格资质条件等有强制性规定的，必须符合其要求。</w:t>
      </w:r>
    </w:p>
    <w:p>
      <w:pPr>
        <w:tabs>
          <w:tab w:val="left" w:pos="851"/>
        </w:tabs>
        <w:adjustRightInd w:val="0"/>
        <w:snapToGrid w:val="0"/>
        <w:ind w:firstLine="480" w:firstLineChars="200"/>
        <w:jc w:val="center"/>
        <w:rPr>
          <w:rStyle w:val="33"/>
          <w:rFonts w:hint="eastAsia" w:asciiTheme="majorEastAsia" w:hAnsiTheme="majorEastAsia" w:eastAsiaTheme="majorEastAsia" w:cstheme="majorEastAsia"/>
          <w:color w:val="auto"/>
          <w:szCs w:val="32"/>
          <w:highlight w:val="none"/>
        </w:rPr>
      </w:pPr>
      <w:r>
        <w:rPr>
          <w:rStyle w:val="33"/>
          <w:rFonts w:hint="eastAsia" w:asciiTheme="majorEastAsia" w:hAnsiTheme="majorEastAsia" w:eastAsiaTheme="majorEastAsia" w:cstheme="majorEastAsia"/>
          <w:color w:val="auto"/>
          <w:sz w:val="24"/>
          <w:szCs w:val="24"/>
          <w:highlight w:val="none"/>
        </w:rPr>
        <w:br w:type="page"/>
      </w:r>
      <w:bookmarkStart w:id="118" w:name="_Toc20268"/>
      <w:bookmarkStart w:id="119" w:name="_Toc28566"/>
      <w:r>
        <w:rPr>
          <w:rStyle w:val="33"/>
          <w:rFonts w:hint="eastAsia" w:asciiTheme="majorEastAsia" w:hAnsiTheme="majorEastAsia" w:eastAsiaTheme="majorEastAsia" w:cstheme="majorEastAsia"/>
          <w:color w:val="auto"/>
          <w:szCs w:val="32"/>
          <w:highlight w:val="none"/>
        </w:rPr>
        <w:t xml:space="preserve">第三章  </w:t>
      </w:r>
      <w:bookmarkEnd w:id="115"/>
      <w:bookmarkEnd w:id="116"/>
      <w:bookmarkEnd w:id="117"/>
      <w:r>
        <w:rPr>
          <w:rStyle w:val="33"/>
          <w:rFonts w:hint="eastAsia" w:asciiTheme="majorEastAsia" w:hAnsiTheme="majorEastAsia" w:eastAsiaTheme="majorEastAsia" w:cstheme="majorEastAsia"/>
          <w:color w:val="auto"/>
          <w:szCs w:val="32"/>
          <w:highlight w:val="none"/>
        </w:rPr>
        <w:t>供应商资格、资质性</w:t>
      </w:r>
      <w:bookmarkStart w:id="120" w:name="_Toc29341"/>
      <w:bookmarkStart w:id="121" w:name="_Toc23053"/>
      <w:bookmarkStart w:id="122" w:name="_Toc29261"/>
      <w:r>
        <w:rPr>
          <w:rStyle w:val="33"/>
          <w:rFonts w:hint="eastAsia" w:asciiTheme="majorEastAsia" w:hAnsiTheme="majorEastAsia" w:eastAsiaTheme="majorEastAsia" w:cstheme="majorEastAsia"/>
          <w:color w:val="auto"/>
          <w:szCs w:val="32"/>
          <w:highlight w:val="none"/>
        </w:rPr>
        <w:t>及其他类似效力要求</w:t>
      </w:r>
      <w:bookmarkEnd w:id="120"/>
      <w:bookmarkEnd w:id="121"/>
      <w:bookmarkEnd w:id="122"/>
    </w:p>
    <w:bookmarkEnd w:id="118"/>
    <w:bookmarkEnd w:id="119"/>
    <w:p>
      <w:pPr>
        <w:pStyle w:val="8"/>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（一）《中华人民共和国政府采购法》第二十二条规定的条件：</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2.具有良好的商业信誉和健全的财务会计制度。</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4.具有依法缴纳税收和社会保障资金的良好记录。</w:t>
      </w:r>
    </w:p>
    <w:p>
      <w:pPr>
        <w:wordWrap/>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6.法律、行政法规规定的其他条件。</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7.采购人根据本项目提出的特殊条件要求：</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7.1本项目</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"_Toc29194"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sz w:val="24"/>
          <w:highlight w:val="none"/>
        </w:rPr>
        <w:t>参加采购活动的供应商及其现任法定代表人或主要负责人在前三年内不得具有行贿犯罪记录</w:t>
      </w:r>
      <w:r>
        <w:rPr>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w:t>
      </w:r>
    </w:p>
    <w:p>
      <w:pPr>
        <w:wordWrap/>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7.2供应商未被列入</w:t>
      </w:r>
      <w:r>
        <w:rPr>
          <w:rFonts w:hint="eastAsia" w:asciiTheme="majorEastAsia" w:hAnsiTheme="majorEastAsia" w:eastAsiaTheme="majorEastAsia" w:cstheme="majorEastAsia"/>
          <w:color w:val="auto"/>
          <w:sz w:val="24"/>
          <w:highlight w:val="none"/>
        </w:rPr>
        <w:fldChar w:fldCharType="begin"/>
      </w:r>
      <w:r>
        <w:rPr>
          <w:rFonts w:hint="eastAsia" w:asciiTheme="majorEastAsia" w:hAnsiTheme="majorEastAsia" w:eastAsiaTheme="majorEastAsia" w:cstheme="majorEastAsia"/>
          <w:color w:val="auto"/>
          <w:sz w:val="24"/>
          <w:highlight w:val="none"/>
        </w:rPr>
        <w:instrText xml:space="preserve"> HYPERLINK \l _Toc25219 </w:instrText>
      </w:r>
      <w:r>
        <w:rPr>
          <w:rFonts w:hint="eastAsia" w:asciiTheme="majorEastAsia" w:hAnsiTheme="majorEastAsia" w:eastAsiaTheme="majorEastAsia" w:cstheme="majorEastAsia"/>
          <w:color w:val="auto"/>
          <w:sz w:val="24"/>
          <w:highlight w:val="none"/>
        </w:rPr>
        <w:fldChar w:fldCharType="separate"/>
      </w:r>
      <w:r>
        <w:rPr>
          <w:rFonts w:hint="eastAsia" w:asciiTheme="majorEastAsia" w:hAnsiTheme="majorEastAsia" w:eastAsiaTheme="majorEastAsia" w:cstheme="majorEastAsia"/>
          <w:color w:val="auto"/>
          <w:sz w:val="24"/>
          <w:highlight w:val="none"/>
        </w:rPr>
        <w:t>“信用中国”网站（www.creditchina.gov.cn）、“中国政府采购网”网站（www.ccgp.gov.cn）等失信被执行人名单、重大税收违法案件当事人名单、政府采购严重违法失信行为记录名单中的供应商。</w:t>
      </w:r>
    </w:p>
    <w:p>
      <w:pPr>
        <w:pStyle w:val="8"/>
        <w:wordWrap/>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1"/>
          <w:highlight w:val="none"/>
        </w:rPr>
        <w:fldChar w:fldCharType="end"/>
      </w:r>
      <w:r>
        <w:rPr>
          <w:rFonts w:hint="eastAsia" w:asciiTheme="majorEastAsia" w:hAnsiTheme="majorEastAsia" w:eastAsiaTheme="majorEastAsia" w:cstheme="majorEastAsia"/>
          <w:color w:val="auto"/>
          <w:sz w:val="24"/>
          <w:highlight w:val="none"/>
        </w:rPr>
        <w:t>7.3本项目</w:t>
      </w:r>
      <w:r>
        <w:rPr>
          <w:rFonts w:hint="eastAsia" w:asciiTheme="majorEastAsia" w:hAnsiTheme="majorEastAsia" w:eastAsiaTheme="majorEastAsia" w:cstheme="majorEastAsia"/>
          <w:b/>
          <w:bCs/>
          <w:color w:val="auto"/>
          <w:sz w:val="24"/>
          <w:highlight w:val="none"/>
        </w:rPr>
        <w:t>不接受</w:t>
      </w:r>
      <w:r>
        <w:rPr>
          <w:rFonts w:hint="eastAsia" w:asciiTheme="majorEastAsia" w:hAnsiTheme="majorEastAsia" w:eastAsiaTheme="majorEastAsia" w:cstheme="majorEastAsia"/>
          <w:color w:val="auto"/>
          <w:sz w:val="24"/>
          <w:highlight w:val="none"/>
        </w:rPr>
        <w:t>联合体磋商。</w:t>
      </w:r>
    </w:p>
    <w:p>
      <w:pPr>
        <w:adjustRightInd w:val="0"/>
        <w:snapToGrid w:val="0"/>
        <w:rPr>
          <w:rFonts w:hint="eastAsia" w:asciiTheme="majorEastAsia" w:hAnsiTheme="majorEastAsia" w:eastAsiaTheme="majorEastAsia" w:cstheme="majorEastAsia"/>
          <w:color w:val="auto"/>
          <w:sz w:val="24"/>
          <w:highlight w:val="none"/>
        </w:rPr>
      </w:pPr>
    </w:p>
    <w:p>
      <w:pPr>
        <w:pStyle w:val="2"/>
        <w:rPr>
          <w:rFonts w:hint="eastAsia" w:asciiTheme="majorEastAsia" w:hAnsiTheme="majorEastAsia" w:eastAsiaTheme="majorEastAsia" w:cstheme="majorEastAsia"/>
          <w:color w:val="auto"/>
          <w:highlight w:val="none"/>
        </w:rPr>
      </w:pPr>
    </w:p>
    <w:p>
      <w:pPr>
        <w:adjustRightInd w:val="0"/>
        <w:snapToGrid w:val="0"/>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bCs/>
          <w:color w:val="auto"/>
          <w:sz w:val="24"/>
          <w:highlight w:val="none"/>
        </w:rPr>
        <w:t>注：</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bCs/>
          <w:color w:val="auto"/>
          <w:sz w:val="24"/>
          <w:highlight w:val="none"/>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adjustRightInd w:val="0"/>
        <w:snapToGrid w:val="0"/>
        <w:ind w:firstLine="480" w:firstLineChars="200"/>
        <w:rPr>
          <w:rStyle w:val="33"/>
          <w:rFonts w:hint="eastAsia" w:asciiTheme="majorEastAsia" w:hAnsiTheme="majorEastAsia" w:eastAsiaTheme="majorEastAsia" w:cstheme="majorEastAsia"/>
          <w:color w:val="auto"/>
          <w:szCs w:val="32"/>
          <w:highlight w:val="none"/>
        </w:rPr>
      </w:pPr>
      <w:r>
        <w:rPr>
          <w:rFonts w:hint="eastAsia" w:asciiTheme="majorEastAsia" w:hAnsiTheme="majorEastAsia" w:eastAsiaTheme="majorEastAsia" w:cstheme="majorEastAsia"/>
          <w:bCs/>
          <w:color w:val="auto"/>
          <w:sz w:val="24"/>
          <w:highlight w:val="none"/>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r>
        <w:rPr>
          <w:rStyle w:val="40"/>
          <w:rFonts w:hint="eastAsia" w:asciiTheme="majorEastAsia" w:hAnsiTheme="majorEastAsia" w:eastAsiaTheme="majorEastAsia" w:cstheme="majorEastAsia"/>
          <w:color w:val="auto"/>
          <w:sz w:val="24"/>
          <w:szCs w:val="24"/>
          <w:highlight w:val="none"/>
        </w:rPr>
        <w:br w:type="page"/>
      </w:r>
      <w:bookmarkStart w:id="123" w:name="_Toc23184"/>
      <w:bookmarkStart w:id="124" w:name="_Toc24962"/>
      <w:r>
        <w:rPr>
          <w:rStyle w:val="33"/>
          <w:rFonts w:hint="eastAsia" w:asciiTheme="majorEastAsia" w:hAnsiTheme="majorEastAsia" w:eastAsiaTheme="majorEastAsia" w:cstheme="majorEastAsia"/>
          <w:color w:val="auto"/>
          <w:szCs w:val="32"/>
          <w:highlight w:val="none"/>
        </w:rPr>
        <w:t xml:space="preserve">第四章  </w:t>
      </w:r>
      <w:bookmarkEnd w:id="123"/>
      <w:r>
        <w:rPr>
          <w:rStyle w:val="33"/>
          <w:rFonts w:hint="eastAsia" w:asciiTheme="majorEastAsia" w:hAnsiTheme="majorEastAsia" w:eastAsiaTheme="majorEastAsia" w:cstheme="majorEastAsia"/>
          <w:color w:val="auto"/>
          <w:szCs w:val="32"/>
          <w:highlight w:val="none"/>
        </w:rPr>
        <w:t>供应商应当提供的资格、资质性及其他类似效力要求的</w:t>
      </w:r>
    </w:p>
    <w:bookmarkEnd w:id="124"/>
    <w:p>
      <w:pPr>
        <w:jc w:val="center"/>
        <w:rPr>
          <w:rFonts w:hint="eastAsia" w:asciiTheme="majorEastAsia" w:hAnsiTheme="majorEastAsia" w:eastAsiaTheme="majorEastAsia" w:cstheme="majorEastAsia"/>
          <w:color w:val="auto"/>
          <w:sz w:val="24"/>
          <w:highlight w:val="none"/>
        </w:rPr>
      </w:pPr>
      <w:bookmarkStart w:id="125" w:name="_Toc4322"/>
      <w:bookmarkStart w:id="126" w:name="_Toc18455"/>
      <w:r>
        <w:rPr>
          <w:rStyle w:val="33"/>
          <w:rFonts w:hint="eastAsia" w:asciiTheme="majorEastAsia" w:hAnsiTheme="majorEastAsia" w:eastAsiaTheme="majorEastAsia" w:cstheme="majorEastAsia"/>
          <w:color w:val="auto"/>
          <w:szCs w:val="32"/>
          <w:highlight w:val="none"/>
        </w:rPr>
        <w:t>相关证明材料</w:t>
      </w:r>
      <w:bookmarkEnd w:id="125"/>
      <w:bookmarkEnd w:id="126"/>
    </w:p>
    <w:p>
      <w:pPr>
        <w:widowControl/>
        <w:adjustRightInd w:val="0"/>
        <w:snapToGrid w:val="0"/>
        <w:jc w:val="both"/>
        <w:rPr>
          <w:rFonts w:hint="eastAsia" w:asciiTheme="majorEastAsia" w:hAnsiTheme="majorEastAsia" w:eastAsiaTheme="majorEastAsia" w:cstheme="majorEastAsia"/>
          <w:b/>
          <w:color w:val="auto"/>
          <w:kern w:val="0"/>
          <w:sz w:val="24"/>
          <w:highlight w:val="none"/>
          <w:lang w:bidi="ar"/>
        </w:rPr>
      </w:pPr>
      <w:bookmarkStart w:id="127" w:name="_Toc21381"/>
      <w:bookmarkStart w:id="128" w:name="_Toc6047"/>
      <w:bookmarkStart w:id="129" w:name="_Toc30469"/>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 xml:space="preserve">一、应当提供的申请人资格、资质性及其他类似效力要求的相关证明材料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 xml:space="preserve">（一）资格要求相关证明材料：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1．具有独立承担民事责任的能力。（注：①申请人若为企业法人：提供“统一社会信用代码营业执照”；未换证的提供“营业执照、税务登记证、组织机构代码证或三证 </w:t>
      </w:r>
    </w:p>
    <w:p>
      <w:pPr>
        <w:widowControl/>
        <w:adjustRightInd w:val="0"/>
        <w:snapToGrid w:val="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合一的营业执照”；②若为事业法人：提供“统一社会信用代码法人登记证书”；未换证 的提交“事业法人登记证书、组织机构代码证”；③若为其他组织：提供“对应主管部门颁发的准许执业证明文件或营业执照”；④若为自然人：提供“身份证明材料”；提供复印件加盖申请人公章。）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2．具备良好商业信誉的证明材料（提供承诺函）；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3．具备健全的财务会计制度的证明材料。｛注：①可提供2019年度或2020 年度经审计的财务报告复印件（包含审计报告和审计报告中所涉及的财务报表和报表附注），②可提供 2019年度或2020年度供应商内部的财务报表复印件（至少包含资产负债表和利润表），③可提供截至申请文件递交截止日一年内银行出具的资信证明（复印件加盖申请人公章）。｝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注：（1）以上①②③提供任意一项即可；（2）申请人注册时间截至申请文件递交截 止日不足一年的，可提供在工商备案的公司章程（复印件加盖申请人公章）；（3）申请人为事业单位或其他组织的提供其具有健全的财务会计制度的承诺函原件即可；（4）不要求提供证明财务报告中签字签章人或者第三方机构的身份证明、财务报告中数据信息真实性有效性的证明材料。 </w:t>
      </w:r>
    </w:p>
    <w:p>
      <w:pPr>
        <w:widowControl/>
        <w:adjustRightInd w:val="0"/>
        <w:snapToGrid w:val="0"/>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4．具有依法缴纳税收和社会保障资金的良好记录（供应商应提供下述二者之一：①可提供 2020 年 1 月至投标截止时间任意1个月的依法缴纳税收和社会保障资金的证明复印件或扫描件，②也可在响应文件中做出明确的声明或承诺）；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5．具备履行合同所必需的设备和专业技术能力的证明材料（提供承诺函）；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6．参加政府采购活动前 3 年内在经营活动中没有重大违法记录的承诺函（提供承诺函）；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7．具备法律、行政法规规定的其他条件的证明材料（提供承诺函）；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8．根据采购项目提出的特殊条件：</w:t>
      </w:r>
    </w:p>
    <w:p>
      <w:pPr>
        <w:widowControl/>
        <w:adjustRightInd w:val="0"/>
        <w:snapToGrid w:val="0"/>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bidi="ar"/>
        </w:rPr>
        <w:t>（1）</w:t>
      </w:r>
      <w:r>
        <w:rPr>
          <w:rFonts w:hint="eastAsia" w:asciiTheme="majorEastAsia" w:hAnsiTheme="majorEastAsia" w:eastAsiaTheme="majorEastAsia" w:cstheme="majorEastAsia"/>
          <w:color w:val="auto"/>
          <w:sz w:val="24"/>
          <w:highlight w:val="none"/>
        </w:rPr>
        <w:t>参加政府采购活动前三年内，投标供应商、法定代表人或主要负责人无行贿犯罪记录；</w:t>
      </w:r>
      <w:r>
        <w:rPr>
          <w:rFonts w:hint="eastAsia" w:asciiTheme="majorEastAsia" w:hAnsiTheme="majorEastAsia" w:eastAsiaTheme="majorEastAsia" w:cstheme="majorEastAsia"/>
          <w:color w:val="auto"/>
          <w:kern w:val="0"/>
          <w:sz w:val="24"/>
          <w:highlight w:val="none"/>
          <w:lang w:bidi="ar"/>
        </w:rPr>
        <w:t>（提供供应商及其现任法定代表人/负责人不存在行贿犯罪记录的承诺函原件并加盖申请人公章或者可以通过“中国裁判文书网”自行查询投标人及其现任法定代表人/负责人的行贿犯罪记录，提供查询网页截图并加盖申请人公章（现任法定代表人/ 负责人为同一人的需进行情况说明））；</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sz w:val="24"/>
          <w:highlight w:val="none"/>
        </w:rPr>
        <w:t>（2）无失信被执行行为承诺书；</w:t>
      </w:r>
      <w:r>
        <w:rPr>
          <w:rFonts w:hint="eastAsia" w:asciiTheme="majorEastAsia" w:hAnsiTheme="majorEastAsia" w:eastAsiaTheme="majorEastAsia" w:cstheme="majorEastAsia"/>
          <w:color w:val="auto"/>
          <w:kern w:val="0"/>
          <w:sz w:val="24"/>
          <w:highlight w:val="none"/>
          <w:lang w:bidi="ar"/>
        </w:rPr>
        <w:t xml:space="preserve">（提供承诺函） </w:t>
      </w:r>
    </w:p>
    <w:p>
      <w:pPr>
        <w:widowControl/>
        <w:adjustRightInd w:val="0"/>
        <w:snapToGrid w:val="0"/>
        <w:ind w:firstLine="480" w:firstLineChars="200"/>
        <w:jc w:val="both"/>
        <w:rPr>
          <w:rFonts w:hint="eastAsia" w:asciiTheme="majorEastAsia" w:hAnsiTheme="majorEastAsia" w:eastAsiaTheme="majorEastAsia" w:cstheme="majorEastAsia"/>
          <w:b/>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（3）本项目不接受联合体参与磋商，联合体参与磋商的，作无效处理。（提供承诺函或声明函）</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 xml:space="preserve">（二）其他类似效力要求相关证明材料：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（1）法定代表人/负责人身份证明材料复印件。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（2）法定代表人/负责人授权代理书原件及代理人身份证明材料复印件（注：①法 </w:t>
      </w:r>
    </w:p>
    <w:p>
      <w:pPr>
        <w:widowControl/>
        <w:adjustRightInd w:val="0"/>
        <w:snapToGrid w:val="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定代表人/负责人授权代理书原件需加盖公章；②如申请文件均由申请人法定代表人/负责人签字或加盖私人印章的，则可不提供。） </w:t>
      </w:r>
    </w:p>
    <w:p>
      <w:pPr>
        <w:widowControl/>
        <w:adjustRightInd w:val="0"/>
        <w:snapToGrid w:val="0"/>
        <w:ind w:firstLine="480" w:firstLineChars="200"/>
        <w:jc w:val="both"/>
        <w:rPr>
          <w:rFonts w:hint="eastAsia" w:asciiTheme="majorEastAsia" w:hAnsiTheme="majorEastAsia" w:eastAsiaTheme="majorEastAsia" w:cstheme="majorEastAsia"/>
          <w:b/>
          <w:color w:val="auto"/>
          <w:kern w:val="0"/>
          <w:sz w:val="24"/>
          <w:highlight w:val="none"/>
          <w:lang w:bidi="ar"/>
        </w:rPr>
      </w:pPr>
    </w:p>
    <w:p>
      <w:pPr>
        <w:pStyle w:val="8"/>
        <w:ind w:firstLine="482"/>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注：</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1.本章要求供应商提供的以上证明材料均须在有效期内，供应商必须按照本章要求提供证明资料，以上本章所有复印件都必须加盖供应商公章（鲜章），如有多页须逐页加盖公章（鲜章）。</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2.本章提供的证明材料是资格性审查的主要依据，未通过审查者做无效响应文件处理。</w:t>
      </w:r>
    </w:p>
    <w:p>
      <w:pPr>
        <w:pStyle w:val="8"/>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3.以上证明材料的扫描件与复印件具有同等效力。</w:t>
      </w:r>
    </w:p>
    <w:p>
      <w:pPr>
        <w:rPr>
          <w:rStyle w:val="33"/>
          <w:rFonts w:hint="eastAsia" w:asciiTheme="majorEastAsia" w:hAnsiTheme="majorEastAsia" w:eastAsiaTheme="majorEastAsia" w:cstheme="majorEastAsia"/>
          <w:color w:val="auto"/>
          <w:szCs w:val="32"/>
          <w:highlight w:val="none"/>
        </w:rPr>
      </w:pPr>
      <w:bookmarkStart w:id="130" w:name="_Toc10601"/>
      <w:bookmarkStart w:id="131" w:name="_Toc198"/>
      <w:r>
        <w:rPr>
          <w:rStyle w:val="33"/>
          <w:rFonts w:hint="eastAsia" w:asciiTheme="majorEastAsia" w:hAnsiTheme="majorEastAsia" w:eastAsiaTheme="majorEastAsia" w:cstheme="majorEastAsia"/>
          <w:color w:val="auto"/>
          <w:szCs w:val="32"/>
          <w:highlight w:val="none"/>
        </w:rPr>
        <w:br w:type="page"/>
      </w:r>
    </w:p>
    <w:p>
      <w:pPr>
        <w:pStyle w:val="17"/>
        <w:spacing w:before="0" w:beforeLines="0" w:after="0" w:afterLines="0"/>
        <w:ind w:firstLine="640" w:firstLineChars="200"/>
        <w:rPr>
          <w:rFonts w:hint="eastAsia" w:asciiTheme="majorEastAsia" w:hAnsiTheme="majorEastAsia" w:eastAsiaTheme="majorEastAsia" w:cstheme="majorEastAsia"/>
          <w:color w:val="auto"/>
          <w:sz w:val="28"/>
          <w:szCs w:val="28"/>
          <w:highlight w:val="none"/>
        </w:rPr>
      </w:pPr>
      <w:r>
        <w:rPr>
          <w:rStyle w:val="33"/>
          <w:rFonts w:hint="eastAsia" w:asciiTheme="majorEastAsia" w:hAnsiTheme="majorEastAsia" w:eastAsiaTheme="majorEastAsia" w:cstheme="majorEastAsia"/>
          <w:b/>
          <w:bCs/>
          <w:color w:val="auto"/>
          <w:szCs w:val="32"/>
          <w:highlight w:val="none"/>
        </w:rPr>
        <w:t>第五章  采购项目技术、服务、政府采购合同内容条款及其他商务要求</w:t>
      </w:r>
      <w:bookmarkEnd w:id="81"/>
      <w:bookmarkEnd w:id="82"/>
      <w:bookmarkEnd w:id="83"/>
      <w:bookmarkEnd w:id="84"/>
      <w:bookmarkEnd w:id="85"/>
      <w:bookmarkEnd w:id="127"/>
      <w:bookmarkEnd w:id="128"/>
      <w:bookmarkEnd w:id="129"/>
      <w:bookmarkEnd w:id="130"/>
      <w:bookmarkEnd w:id="131"/>
      <w:bookmarkStart w:id="132" w:name="_Toc510951988"/>
      <w:bookmarkStart w:id="133" w:name="_Toc510947502"/>
      <w:bookmarkStart w:id="134" w:name="_Toc510952055"/>
      <w:bookmarkStart w:id="135" w:name="_Toc27231"/>
      <w:bookmarkStart w:id="136" w:name="_Toc3442"/>
      <w:bookmarkStart w:id="137" w:name="_Toc13051"/>
      <w:bookmarkStart w:id="138" w:name="_Toc183682369"/>
      <w:bookmarkStart w:id="139" w:name="_Toc217446057"/>
      <w:bookmarkStart w:id="140" w:name="_Toc183582232"/>
    </w:p>
    <w:bookmarkEnd w:id="132"/>
    <w:bookmarkEnd w:id="133"/>
    <w:bookmarkEnd w:id="134"/>
    <w:p>
      <w:pPr>
        <w:pStyle w:val="4"/>
        <w:numPr>
          <w:ilvl w:val="1"/>
          <w:numId w:val="5"/>
        </w:numPr>
        <w:ind w:left="0" w:firstLine="0"/>
        <w:jc w:val="both"/>
        <w:rPr>
          <w:rFonts w:hint="eastAsia" w:asciiTheme="majorEastAsia" w:hAnsiTheme="majorEastAsia" w:eastAsiaTheme="majorEastAsia" w:cstheme="majorEastAsia"/>
          <w:color w:val="auto"/>
          <w:sz w:val="24"/>
          <w:szCs w:val="24"/>
          <w:highlight w:val="none"/>
        </w:rPr>
      </w:pPr>
      <w:bookmarkStart w:id="141" w:name="_Toc11856"/>
      <w:bookmarkStart w:id="142" w:name="_Toc20163"/>
      <w:r>
        <w:rPr>
          <w:rFonts w:hint="eastAsia" w:asciiTheme="majorEastAsia" w:hAnsiTheme="majorEastAsia" w:eastAsiaTheme="majorEastAsia" w:cstheme="majorEastAsia"/>
          <w:color w:val="auto"/>
          <w:sz w:val="24"/>
          <w:szCs w:val="24"/>
          <w:highlight w:val="none"/>
        </w:rPr>
        <w:t xml:space="preserve">项目名称 </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邛崃市人民政府门户网站改版建设项目</w:t>
      </w:r>
    </w:p>
    <w:p>
      <w:pPr>
        <w:pStyle w:val="4"/>
        <w:numPr>
          <w:ilvl w:val="1"/>
          <w:numId w:val="5"/>
        </w:numPr>
        <w:ind w:left="0" w:firstLine="0"/>
        <w:jc w:val="both"/>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sz w:val="24"/>
          <w:szCs w:val="24"/>
          <w:highlight w:val="none"/>
        </w:rPr>
        <w:t>项目预算</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资金来源及金额：财政性资金48.8万元</w:t>
      </w:r>
    </w:p>
    <w:p>
      <w:pPr>
        <w:pStyle w:val="4"/>
        <w:numPr>
          <w:ilvl w:val="1"/>
          <w:numId w:val="5"/>
        </w:numPr>
        <w:ind w:left="0" w:firstLine="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项目概述 </w:t>
      </w:r>
    </w:p>
    <w:p>
      <w:pPr>
        <w:pStyle w:val="56"/>
        <w:spacing w:line="360" w:lineRule="auto"/>
        <w:ind w:firstLine="42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邛崃市人民政府门户网站作为政府信息公开、政务服务、网络理政工作的重要平台，在促进政府职能转变，提高政府工作透明度和行政效能，改进行政管理，接受公众监督，处理应急事件，加强对外宣传，引导网上舆情等方面起到了积极的作用。通过本次邛崃市人民政府门户网站改版建设项目，进一步提高政府门户网站的服务水平，打造集邛崃宣传、信息公开、互动交流、网上服务等为一体的智慧政府门户网站。</w:t>
      </w:r>
    </w:p>
    <w:p>
      <w:pPr>
        <w:pStyle w:val="4"/>
        <w:numPr>
          <w:ilvl w:val="1"/>
          <w:numId w:val="5"/>
        </w:numPr>
        <w:ind w:left="0" w:firstLine="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建设目标 </w:t>
      </w:r>
    </w:p>
    <w:p>
      <w:pPr>
        <w:spacing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新版邛崃政府门户网站将从同类网站中脱颖而出，让访问对象增加获得感及对邛崃的向往之情，成为邛崃自豪的互联网名片，在同行业中达到引领、借鉴的目标。具体如下：</w:t>
      </w:r>
    </w:p>
    <w:p>
      <w:pPr>
        <w:pStyle w:val="57"/>
        <w:spacing w:before="78" w:line="560" w:lineRule="exact"/>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一）严格对标，全新展示。全面落实国家、省、市政府网站建设要求，适应互联网发展变化，展现“全面体现新发展理念的成都西部区域中心城市”特色政府网站。让邛崃政府门户网站从政府网站中脱颖而出，成为邛崃市自豪的互联网名片，增强邛崃市民幸福感、荣誉感。让外界看见邛崃、知道邛崃、向往邛崃。</w:t>
      </w:r>
    </w:p>
    <w:p>
      <w:pPr>
        <w:pStyle w:val="2"/>
        <w:autoSpaceDE w:val="0"/>
        <w:spacing w:after="0"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网站结构更加全面、规范。新版网站结构将更合理，信息获取更加方便。搭建的特色邛崃栏目结构，面向群众，集发展、文化、景点、美食、特色、纪实为一体，通过全新的页面呈现方式使得网站更加的精致。体现邛崃是一座“山水与城市相连，自然与文化交融”，既是一座辉映古今，弥漫着千年历史文化芳香的古城，又是一座充满现代化城市节奏的城市。</w:t>
      </w:r>
    </w:p>
    <w:p>
      <w:pPr>
        <w:pStyle w:val="2"/>
        <w:autoSpaceDE w:val="0"/>
        <w:spacing w:after="0"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集约共享，凸显“投资邛崃”功能。实现相关资源在网站的统一展现、集中共享和灵活运用。以投资政策、走进园区、招商动态等栏目内容为依托，重点展示邛崃绿色食品产业功能区、天府新区新能源新材料产业功能区培育发展战略性新兴产业、升级提能传统优势产业“双轮驱动”，推动邛崃经济高质量发展。</w:t>
      </w:r>
    </w:p>
    <w:p>
      <w:pPr>
        <w:pStyle w:val="2"/>
        <w:autoSpaceDE w:val="0"/>
        <w:spacing w:after="0" w:line="56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创新引领，智慧门户。通过手机版、中英双语版、长者版的建设，以及增加的网站智能客服、可视化地图、智能推荐、数据开放功能，创新服务模式，打造智慧型政府网站，力争提升网站考核指标中加分项。</w:t>
      </w:r>
    </w:p>
    <w:p>
      <w:pPr>
        <w:pStyle w:val="3"/>
        <w:numPr>
          <w:ilvl w:val="0"/>
          <w:numId w:val="0"/>
        </w:numPr>
        <w:ind w:lef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服务采购清单</w:t>
      </w:r>
    </w:p>
    <w:tbl>
      <w:tblPr>
        <w:tblStyle w:val="20"/>
        <w:tblW w:w="9768" w:type="dxa"/>
        <w:tblInd w:w="13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1001"/>
        <w:gridCol w:w="1267"/>
        <w:gridCol w:w="5883"/>
        <w:gridCol w:w="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001"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w:t>
            </w:r>
          </w:p>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内容</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说明</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001"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运营环境对接</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与成都市集约化平台相关部门对接，处理邛崃市人民政府门户网站运营所需的域名、服务器、安全、改版迁移、上线等运行环境对接问题。</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17" w:type="dxa"/>
            <w:vMerge w:val="restart"/>
            <w:tcBorders>
              <w:top w:val="nil"/>
              <w:left w:val="single" w:color="auto" w:sz="8" w:space="0"/>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p>
          <w:p>
            <w:pPr>
              <w:spacing w:line="320" w:lineRule="exact"/>
              <w:jc w:val="center"/>
              <w:rPr>
                <w:rFonts w:hint="eastAsia" w:asciiTheme="majorEastAsia" w:hAnsiTheme="majorEastAsia" w:eastAsiaTheme="majorEastAsia" w:cstheme="majorEastAsia"/>
                <w:color w:val="auto"/>
                <w:sz w:val="24"/>
                <w:szCs w:val="24"/>
                <w:highlight w:val="none"/>
              </w:rPr>
            </w:pPr>
          </w:p>
          <w:p>
            <w:pPr>
              <w:spacing w:line="320" w:lineRule="exact"/>
              <w:jc w:val="center"/>
              <w:rPr>
                <w:rFonts w:hint="eastAsia" w:asciiTheme="majorEastAsia" w:hAnsiTheme="majorEastAsia" w:eastAsiaTheme="majorEastAsia" w:cstheme="majorEastAsia"/>
                <w:color w:val="auto"/>
                <w:sz w:val="24"/>
                <w:szCs w:val="24"/>
                <w:highlight w:val="none"/>
              </w:rPr>
            </w:pPr>
          </w:p>
          <w:p>
            <w:pPr>
              <w:spacing w:line="320" w:lineRule="exact"/>
              <w:jc w:val="center"/>
              <w:rPr>
                <w:rFonts w:hint="eastAsia" w:asciiTheme="majorEastAsia" w:hAnsiTheme="majorEastAsia" w:eastAsiaTheme="majorEastAsia" w:cstheme="majorEastAsia"/>
                <w:color w:val="auto"/>
                <w:sz w:val="24"/>
                <w:szCs w:val="24"/>
                <w:highlight w:val="none"/>
              </w:rPr>
            </w:pPr>
          </w:p>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p>
            <w:pPr>
              <w:ind w:firstLine="240" w:firstLineChars="100"/>
              <w:rPr>
                <w:rFonts w:hint="eastAsia" w:asciiTheme="majorEastAsia" w:hAnsiTheme="majorEastAsia" w:eastAsiaTheme="majorEastAsia" w:cstheme="majorEastAsia"/>
                <w:b/>
                <w:bCs/>
                <w:color w:val="auto"/>
                <w:sz w:val="24"/>
                <w:szCs w:val="24"/>
                <w:highlight w:val="none"/>
              </w:rPr>
            </w:pPr>
          </w:p>
        </w:tc>
        <w:tc>
          <w:tcPr>
            <w:tcW w:w="1001" w:type="dxa"/>
            <w:vMerge w:val="restart"/>
            <w:tcBorders>
              <w:top w:val="nil"/>
              <w:left w:val="nil"/>
              <w:bottom w:val="single" w:color="auto" w:sz="8" w:space="0"/>
              <w:right w:val="single" w:color="auto" w:sz="8" w:space="0"/>
            </w:tcBorders>
            <w:noWrap w:val="0"/>
            <w:vAlign w:val="bottom"/>
          </w:tcPr>
          <w:p>
            <w:pPr>
              <w:spacing w:line="320" w:lineRule="exact"/>
              <w:jc w:val="center"/>
              <w:rPr>
                <w:rFonts w:hint="eastAsia" w:asciiTheme="majorEastAsia" w:hAnsiTheme="majorEastAsia" w:eastAsiaTheme="majorEastAsia" w:cstheme="majorEastAsia"/>
                <w:b/>
                <w:bCs/>
                <w:color w:val="auto"/>
                <w:sz w:val="24"/>
                <w:szCs w:val="24"/>
                <w:highlight w:val="none"/>
              </w:rPr>
            </w:pPr>
          </w:p>
          <w:p>
            <w:pPr>
              <w:spacing w:line="320" w:lineRule="exact"/>
              <w:jc w:val="center"/>
              <w:rPr>
                <w:rFonts w:hint="eastAsia" w:asciiTheme="majorEastAsia" w:hAnsiTheme="majorEastAsia" w:eastAsiaTheme="majorEastAsia" w:cstheme="majorEastAsia"/>
                <w:b/>
                <w:bCs/>
                <w:color w:val="auto"/>
                <w:sz w:val="24"/>
                <w:szCs w:val="24"/>
                <w:highlight w:val="none"/>
              </w:rPr>
            </w:pPr>
          </w:p>
          <w:p>
            <w:pPr>
              <w:spacing w:line="320" w:lineRule="exact"/>
              <w:jc w:val="center"/>
              <w:rPr>
                <w:rFonts w:hint="eastAsia" w:asciiTheme="majorEastAsia" w:hAnsiTheme="majorEastAsia" w:eastAsiaTheme="majorEastAsia" w:cstheme="majorEastAsia"/>
                <w:b/>
                <w:bCs/>
                <w:color w:val="auto"/>
                <w:sz w:val="24"/>
                <w:szCs w:val="24"/>
                <w:highlight w:val="none"/>
              </w:rPr>
            </w:pPr>
          </w:p>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全站页面全新设计</w:t>
            </w: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p>
            <w:pPr>
              <w:jc w:val="center"/>
              <w:rPr>
                <w:rFonts w:hint="eastAsia" w:asciiTheme="majorEastAsia" w:hAnsiTheme="majorEastAsia" w:eastAsiaTheme="majorEastAsia" w:cstheme="majorEastAsia"/>
                <w:b/>
                <w:bCs/>
                <w:color w:val="auto"/>
                <w:sz w:val="24"/>
                <w:szCs w:val="24"/>
                <w:highlight w:val="none"/>
              </w:rPr>
            </w:pP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1、网站需求分析：</w:t>
            </w:r>
          </w:p>
          <w:p>
            <w:pPr>
              <w:spacing w:line="32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搜集网站建设需求并进行分析，沟通网站建设目标，给出网站建设建议。</w:t>
            </w:r>
          </w:p>
          <w:p>
            <w:pPr>
              <w:numPr>
                <w:ilvl w:val="0"/>
                <w:numId w:val="6"/>
              </w:numPr>
              <w:spacing w:line="320" w:lineRule="exact"/>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网站策划方案：</w:t>
            </w:r>
          </w:p>
          <w:p>
            <w:pPr>
              <w:spacing w:line="32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策划网站风格整体定位和网站建议，并制作详细网站建设设计和开发方案。</w:t>
            </w:r>
          </w:p>
          <w:p>
            <w:pPr>
              <w:numPr>
                <w:ilvl w:val="0"/>
                <w:numId w:val="6"/>
              </w:numPr>
              <w:spacing w:line="320" w:lineRule="exact"/>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网站设计要求：</w:t>
            </w:r>
          </w:p>
          <w:p>
            <w:pPr>
              <w:spacing w:line="32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新版邛崃政府门户网站将按照最新政府网站绩效评估指标体系中对政府网页设计规范的要求，在发挥邛崃门户网站风格优势的基础上进行创新设计。力求在简洁明了，清新大气的基础上，充分利用web2.0/Government2.0新理念与思维，创新展示方式，充分体现网站的信息全覆盖（服务资源的全面性、规范性、合理性）、展现方式的健康性、易用性、友善度，使网站栏目架构清晰，层次分明，提高信息获取的便捷性，提升用户体验度。排版内容逻辑清晰，以必要内容提取为主。设计细节精细度参考北京、上海等排名靠前政府网站，进行迭代打磨、精巧构思。新版网站将在栏目、页面、甚至小图标或小图片的色彩搭配与细腻布局都传递邛崃市专业、敬业的服务精神,呈现全市上下齐心干事创业的良好风貌。</w:t>
            </w:r>
          </w:p>
        </w:tc>
        <w:tc>
          <w:tcPr>
            <w:tcW w:w="800" w:type="dxa"/>
            <w:vMerge w:val="restart"/>
            <w:tcBorders>
              <w:top w:val="nil"/>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vMerge w:val="restart"/>
            <w:tcBorders>
              <w:top w:val="nil"/>
              <w:left w:val="nil"/>
              <w:bottom w:val="single" w:color="auto" w:sz="8" w:space="0"/>
              <w:right w:val="single" w:color="auto" w:sz="8" w:space="0"/>
            </w:tcBorders>
            <w:noWrap w:val="0"/>
            <w:vAlign w:val="center"/>
          </w:tcPr>
          <w:p>
            <w:pPr>
              <w:autoSpaceDE w:val="0"/>
              <w:spacing w:line="4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首页及各栏目页面设计</w:t>
            </w: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为您服务（该板块与四川省一体化平台同源更新，</w:t>
            </w:r>
            <w:r>
              <w:rPr>
                <w:rFonts w:hint="eastAsia" w:asciiTheme="majorEastAsia" w:hAnsiTheme="majorEastAsia" w:eastAsiaTheme="majorEastAsia" w:cstheme="majorEastAsia"/>
                <w:color w:val="auto"/>
                <w:sz w:val="24"/>
                <w:szCs w:val="24"/>
                <w:highlight w:val="none"/>
              </w:rPr>
              <w:t>就业创业、户籍办理、民族宗教、教育科研、设立变更、准营准办  抵押质押、职业资格、优待抚恤、规划建设、社会保障、住房保障、证件办理、   交通出行、旅游观光、出境入境、公共安全、公用事业）、新增办事热点专栏</w:t>
            </w:r>
          </w:p>
        </w:tc>
        <w:tc>
          <w:tcPr>
            <w:tcW w:w="800"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看见邛崃（该板块调整优化后下设四大栏目</w:t>
            </w:r>
            <w:r>
              <w:rPr>
                <w:rFonts w:hint="eastAsia" w:asciiTheme="majorEastAsia" w:hAnsiTheme="majorEastAsia" w:eastAsiaTheme="majorEastAsia" w:cstheme="majorEastAsia"/>
                <w:color w:val="auto"/>
                <w:sz w:val="24"/>
                <w:szCs w:val="24"/>
                <w:highlight w:val="none"/>
              </w:rPr>
              <w:t>分别为聚焦邛崃:主要为涉及邛崃民生及邛崃发展变化相关报道、美文等，镇街及部门基层动态、视频新闻、专题专栏等, 旅游邛崃:宣传展示邛崃旅游资源、旅游景点简介、旅游线路推荐等,醉美邛崃:主要为聚焦邛酒产业发展振兴专题栏目,品味邛崃:主要聚焦邛崃“造”、邛崃美食美味等,图说邛崃:用美图展示邛崃人文地理、风土人情、山水风光等。</w:t>
            </w:r>
          </w:p>
        </w:tc>
        <w:tc>
          <w:tcPr>
            <w:tcW w:w="800"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信息公开（该板块除了链接政府信息公开目录外包含</w:t>
            </w:r>
            <w:r>
              <w:rPr>
                <w:rFonts w:hint="eastAsia" w:asciiTheme="majorEastAsia" w:hAnsiTheme="majorEastAsia" w:eastAsiaTheme="majorEastAsia" w:cstheme="majorEastAsia"/>
                <w:color w:val="auto"/>
                <w:sz w:val="24"/>
                <w:szCs w:val="24"/>
                <w:highlight w:val="none"/>
              </w:rPr>
              <w:t>重大建设项目、招标采购、灾害事故救援、建议提案、价格和收费、住房保障、食品药品安全、环境保护、安全生产、数据开放、财政审计、公共资源配置、责任清单、权力清单、国有企业、就业创业、信用信息、乡村振兴、公共文化体育、国有产权交易、社会公益事业、减税降费、财政资金直达基层等重点领域公开。</w:t>
            </w:r>
          </w:p>
        </w:tc>
        <w:tc>
          <w:tcPr>
            <w:tcW w:w="800"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投资邛崃（该板块为新增，</w:t>
            </w:r>
            <w:r>
              <w:rPr>
                <w:rFonts w:hint="eastAsia" w:asciiTheme="majorEastAsia" w:hAnsiTheme="majorEastAsia" w:eastAsiaTheme="majorEastAsia" w:cstheme="majorEastAsia"/>
                <w:color w:val="auto"/>
                <w:sz w:val="24"/>
                <w:szCs w:val="24"/>
                <w:highlight w:val="none"/>
              </w:rPr>
              <w:t>下设四大栏目分别为邛崃概况：包括邛崃总体概况、资源优势、历史变迁等， 招商政策：主要是邛崃招商引资相关优惠政策、人才引进等相关政策公告等，走进园区：主要涉及三大产业园区简介、园区动态等相关内容，招商动态：集中展示全市重大项目招商引资以及项目促建等进展情况。</w:t>
            </w:r>
          </w:p>
        </w:tc>
        <w:tc>
          <w:tcPr>
            <w:tcW w:w="800"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交流互动（</w:t>
            </w:r>
            <w:r>
              <w:rPr>
                <w:rFonts w:hint="eastAsia" w:asciiTheme="majorEastAsia" w:hAnsiTheme="majorEastAsia" w:eastAsiaTheme="majorEastAsia" w:cstheme="majorEastAsia"/>
                <w:color w:val="auto"/>
                <w:sz w:val="24"/>
                <w:szCs w:val="24"/>
                <w:highlight w:val="none"/>
              </w:rPr>
              <w:t>借鉴上海模式，突出政民互动交流，保留并优化原有网络理政栏目，改建为“互动交流”板块，首页保留“邛崃@你，有建议，来这里留言”标签，互动交流板块内页分设网络理政、民意征集、在线调查、在线访谈、民声回应等栏目。</w:t>
            </w:r>
          </w:p>
        </w:tc>
        <w:tc>
          <w:tcPr>
            <w:tcW w:w="800"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邛崃绿色食品工业园区（子站页面设计）</w:t>
            </w:r>
          </w:p>
          <w:p>
            <w:pPr>
              <w:spacing w:line="320" w:lineRule="exac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功能区动态、功能区概况、功能区公告、功能区管理、重点项目、建设规划及成效、企业扶持政策、园区展示、产业招商指导目录、企业风采</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天府新区新能源新材料产业功能区</w:t>
            </w:r>
          </w:p>
          <w:p>
            <w:pPr>
              <w:spacing w:line="32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（子站页面设计）</w:t>
            </w:r>
          </w:p>
          <w:p>
            <w:pPr>
              <w:spacing w:line="320" w:lineRule="exact"/>
              <w:rPr>
                <w:rFonts w:hint="eastAsia" w:asciiTheme="majorEastAsia" w:hAnsiTheme="majorEastAsia" w:eastAsiaTheme="majorEastAsia" w:cstheme="majorEastAsia"/>
                <w:b/>
                <w:bCs/>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走进功能区、功能区动态、重大项目、政策文件、招商引资、建设规划及成效、企业扶持政策、企业风采、产业招商指导目录、园区图片</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天府现代种业园管理委员会（子站页面设计）</w:t>
            </w:r>
          </w:p>
          <w:p>
            <w:pPr>
              <w:spacing w:line="320" w:lineRule="exac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spacing w:line="320" w:lineRule="exact"/>
              <w:rPr>
                <w:rFonts w:hint="eastAsia" w:asciiTheme="majorEastAsia" w:hAnsiTheme="majorEastAsia" w:eastAsiaTheme="majorEastAsia" w:cstheme="majorEastAsia"/>
                <w:b/>
                <w:bCs/>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autoSpaceDE w:val="0"/>
              <w:spacing w:line="4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功能区概况、功能区动态、功能区公告、重点项目、建设规划及成效、企业扶持政策、园区展示、产业招商指导目录、企业风采、园区图片</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w:t>
            </w:r>
          </w:p>
        </w:tc>
        <w:tc>
          <w:tcPr>
            <w:tcW w:w="1001" w:type="dxa"/>
            <w:tcBorders>
              <w:top w:val="single" w:color="auto" w:sz="8" w:space="0"/>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融入成都市集约化平台</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全新页面将按照国际标准融入成都市集约化平台，实现数据动态化及数据迁移更新。HTML代码结构清晰合理、整洁规范、嵌套合理，无冗余代码且有合理的注释。规范合理使用JS，页面无过多加载从而提升页面性能。使用网页特效，页面特殊交互效果针对访问者具有较好的引导性。标签技术规范、易用，以合理的参数控制减少标签的数量，合理地运用技术手段，使标签数据查询、结构生成、样式呈现等各个环节紧密结合，提高标签整体的执行速度，在符合成都市集约化平台技术特性的情况下，高效实现创新的页面展示效果。</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w:t>
            </w:r>
          </w:p>
        </w:tc>
        <w:tc>
          <w:tcPr>
            <w:tcW w:w="1001" w:type="dxa"/>
            <w:tcBorders>
              <w:top w:val="single" w:color="auto" w:sz="8" w:space="0"/>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手机版</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随着智能移动终端带来的便捷度越来越高，需要使用自适应技术使网站在多种移动设备上具有更好的阅读体验。全站前端HTML5+JAVASCRIPT动画开发，并做到各主流浏览器兼容，动效流畅，细腻。依据四川省政府门户网站绩效评估指标,在处理和分析政府门户网站过程中，根据处理数据的数据特征自动调整处理方法、处理顺序、处理参数、边界条件或约束条件，使其与所处理数据的</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"https://baike.baidu.com/item/%E7%BB%9F%E8%AE%A1%E5%88%86%E5%B8%83" </w:instrText>
            </w:r>
            <w:r>
              <w:rPr>
                <w:rFonts w:hint="eastAsia" w:asciiTheme="majorEastAsia" w:hAnsiTheme="majorEastAsia" w:eastAsiaTheme="majorEastAsia" w:cstheme="majorEastAsia"/>
                <w:color w:val="auto"/>
                <w:sz w:val="24"/>
                <w:szCs w:val="24"/>
                <w:highlight w:val="none"/>
              </w:rPr>
              <w:fldChar w:fldCharType="separate"/>
            </w:r>
            <w:r>
              <w:rPr>
                <w:rStyle w:val="27"/>
                <w:rFonts w:hint="eastAsia" w:asciiTheme="majorEastAsia" w:hAnsiTheme="majorEastAsia" w:eastAsiaTheme="majorEastAsia" w:cstheme="majorEastAsia"/>
                <w:color w:val="auto"/>
                <w:sz w:val="24"/>
                <w:szCs w:val="24"/>
                <w:highlight w:val="none"/>
              </w:rPr>
              <w:t>统计分布</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rPr>
              <w:t>特征、结构特征相适应，以取得最佳的阅读效果。</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restart"/>
            <w:tcBorders>
              <w:top w:val="nil"/>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5</w:t>
            </w:r>
          </w:p>
        </w:tc>
        <w:tc>
          <w:tcPr>
            <w:tcW w:w="1001" w:type="dxa"/>
            <w:vMerge w:val="restart"/>
            <w:tcBorders>
              <w:top w:val="nil"/>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新增</w:t>
            </w:r>
          </w:p>
          <w:p>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功能</w:t>
            </w: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数据开放平台</w:t>
            </w:r>
          </w:p>
          <w:p>
            <w:pPr>
              <w:spacing w:line="320" w:lineRule="exac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按照国务院办公厅政府信息与政务公开办公室关于规范政府信息公开平台有关事项的通知要求：文件</w:t>
            </w:r>
          </w:p>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（http://www.gov.cn/zhengce/content/2019-12/03/content_5457588.htm）</w:t>
            </w:r>
          </w:p>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根据本地区实际情况进行数据开放平台分类设计搭建如环卫管理、行政执法、纪检监督、监督考评、行政许可、处罚通报等数据开放模块。数据开放平台可进行数据信息的展示、数据信息下载；接口文档常规维护（编辑、更新、删除等操作）。同时可设置接口开放权限；数据信息具备共享功能（下载）。</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智能问答和推送</w:t>
            </w:r>
          </w:p>
          <w:p>
            <w:pPr>
              <w:spacing w:line="320" w:lineRule="exac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智能问答通过搭建智能问答业务系统可实现全天24小时、全年365天提供不间断服务。可以有效减轻政务机关一线工作人员的工作压力，节约大量的人力、物力、财力、直接降低政务机关的行政成本，减少资源的消耗实现资源的优化配置。对接接口</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可视化地图展示</w:t>
            </w:r>
          </w:p>
          <w:p>
            <w:pPr>
              <w:spacing w:line="320" w:lineRule="exac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引入电子地图这一先进的信息表现方式，提供全方位多级别、多类别的政务信息查询及应用。便于市民方便、直观的查询，为政府的管理、决策及服务提供依据。</w:t>
            </w:r>
          </w:p>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过与第三方地图应用进行对接开发；搭建起基于GIS地理信息的数字化地图服务。可涵盖各服务站点（各街道、社区的服务点位）；可提供各服务点位概况介绍、信息查询以及地理位置导航服务等功能。能为市民的工作、生活、以及出行提供更加便捷、快速、优质的服务。</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001" w:type="dxa"/>
            <w:vMerge w:val="continue"/>
            <w:tcBorders>
              <w:top w:val="nil"/>
              <w:left w:val="nil"/>
              <w:bottom w:val="single" w:color="auto" w:sz="8" w:space="0"/>
              <w:right w:val="single" w:color="auto" w:sz="8" w:space="0"/>
            </w:tcBorders>
            <w:noWrap w:val="0"/>
            <w:vAlign w:val="center"/>
          </w:tcPr>
          <w:p>
            <w:pPr>
              <w:widowControl/>
              <w:jc w:val="left"/>
              <w:rPr>
                <w:rFonts w:hint="eastAsia" w:asciiTheme="majorEastAsia" w:hAnsiTheme="majorEastAsia" w:eastAsiaTheme="majorEastAsia" w:cstheme="majorEastAsia"/>
                <w:b/>
                <w:bCs/>
                <w:color w:val="auto"/>
                <w:sz w:val="24"/>
                <w:szCs w:val="24"/>
                <w:highlight w:val="none"/>
              </w:rPr>
            </w:pPr>
          </w:p>
        </w:tc>
        <w:tc>
          <w:tcPr>
            <w:tcW w:w="1267"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接口对接</w:t>
            </w:r>
          </w:p>
          <w:p>
            <w:pPr>
              <w:spacing w:line="320" w:lineRule="exact"/>
              <w:rPr>
                <w:rFonts w:hint="eastAsia" w:asciiTheme="majorEastAsia" w:hAnsiTheme="majorEastAsia" w:eastAsiaTheme="majorEastAsia" w:cstheme="majorEastAsia"/>
                <w:color w:val="auto"/>
                <w:sz w:val="24"/>
                <w:szCs w:val="24"/>
                <w:highlight w:val="none"/>
              </w:rPr>
            </w:pPr>
          </w:p>
        </w:tc>
        <w:tc>
          <w:tcPr>
            <w:tcW w:w="5883" w:type="dxa"/>
            <w:tcBorders>
              <w:top w:val="single" w:color="auto" w:sz="8" w:space="0"/>
              <w:left w:val="nil"/>
              <w:bottom w:val="single" w:color="auto" w:sz="8" w:space="0"/>
              <w:right w:val="single" w:color="auto" w:sz="8" w:space="0"/>
            </w:tcBorders>
            <w:noWrap w:val="0"/>
            <w:vAlign w:val="center"/>
          </w:tcPr>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根据国家要求，办事功能对接全省统一政务服务管理平台。实现政务服务事项管理、政务服务运行管理、电子监察等基础功能，拓展并联审批、事中事后监管等功能。</w:t>
            </w:r>
          </w:p>
          <w:p>
            <w:pPr>
              <w:spacing w:line="32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（个人办事、企业办事、法人办事、便民查询）</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6</w:t>
            </w:r>
          </w:p>
        </w:tc>
        <w:tc>
          <w:tcPr>
            <w:tcW w:w="1001" w:type="dxa"/>
            <w:tcBorders>
              <w:top w:val="single" w:color="auto" w:sz="8" w:space="0"/>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英文网站</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开设邛崃英文版网站。在成都市集约化平台上完成英文版面的设计、切片，嵌入成都市集约化平台，并高效实现创新的页面展示效果。含2万字信息翻译费。</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7</w:t>
            </w:r>
          </w:p>
        </w:tc>
        <w:tc>
          <w:tcPr>
            <w:tcW w:w="1001" w:type="dxa"/>
            <w:tcBorders>
              <w:top w:val="single" w:color="auto" w:sz="8" w:space="0"/>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长者版</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标《工业和信息化部关于印发互联网应用适老化及无障碍改造专项行动方案的通知》（工信部信管〔2020〕200号文件，加快推进互联网应用适老化及无障碍改造专项行动，助力老年人、残疾人等重点受益群体平等便捷地获取、使用互联网应用信息。对照成都市集约化平台统一要求，在无障碍版本上改进长者版。</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817" w:type="dxa"/>
            <w:tcBorders>
              <w:top w:val="single" w:color="auto" w:sz="8" w:space="0"/>
              <w:left w:val="single" w:color="auto" w:sz="8" w:space="0"/>
              <w:bottom w:val="single" w:color="auto" w:sz="8" w:space="0"/>
              <w:right w:val="single" w:color="auto" w:sz="8" w:space="0"/>
            </w:tcBorders>
            <w:noWrap w:val="0"/>
            <w:vAlign w:val="center"/>
          </w:tcPr>
          <w:p>
            <w:pPr>
              <w:ind w:firstLine="240" w:firstLineChars="1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8</w:t>
            </w:r>
          </w:p>
        </w:tc>
        <w:tc>
          <w:tcPr>
            <w:tcW w:w="1001" w:type="dxa"/>
            <w:tcBorders>
              <w:top w:val="single" w:color="auto" w:sz="8" w:space="0"/>
              <w:left w:val="nil"/>
              <w:bottom w:val="single" w:color="auto" w:sz="8" w:space="0"/>
              <w:right w:val="single" w:color="auto" w:sz="8"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数据迁移</w:t>
            </w:r>
          </w:p>
        </w:tc>
        <w:tc>
          <w:tcPr>
            <w:tcW w:w="7150" w:type="dxa"/>
            <w:gridSpan w:val="2"/>
            <w:tcBorders>
              <w:top w:val="single" w:color="auto" w:sz="8" w:space="0"/>
              <w:left w:val="nil"/>
              <w:bottom w:val="single" w:color="auto" w:sz="8" w:space="0"/>
              <w:right w:val="single" w:color="auto" w:sz="8" w:space="0"/>
            </w:tcBorders>
            <w:noWrap w:val="0"/>
            <w:vAlign w:val="center"/>
          </w:tcPr>
          <w:p>
            <w:pPr>
              <w:spacing w:line="32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梳理网站栏目数据信息（包含各类专题数据迁移），配置数据采集规则，进行数据采集。通过分析现在网站数据信息以及栏目结构，开发配置数据迁移程序；将现网站信息类数据、图片、附件等相关数据迁移至成都市集约化平台上，并通过专业工具检测以及人工复查，确保迁移的所有数据无误。</w:t>
            </w:r>
          </w:p>
        </w:tc>
        <w:tc>
          <w:tcPr>
            <w:tcW w:w="800" w:type="dxa"/>
            <w:tcBorders>
              <w:top w:val="single" w:color="auto" w:sz="8" w:space="0"/>
              <w:left w:val="nil"/>
              <w:bottom w:val="single" w:color="auto" w:sz="8" w:space="0"/>
              <w:right w:val="single" w:color="auto" w:sz="8" w:space="0"/>
            </w:tcBorders>
            <w:noWrap w:val="0"/>
            <w:vAlign w:val="center"/>
          </w:tcPr>
          <w:p>
            <w:pPr>
              <w:spacing w:line="32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一套</w:t>
            </w:r>
          </w:p>
        </w:tc>
      </w:tr>
    </w:tbl>
    <w:p>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pStyle w:val="16"/>
        <w:spacing w:before="0" w:beforeAutospacing="0" w:after="0" w:afterAutospacing="0"/>
        <w:jc w:val="center"/>
        <w:rPr>
          <w:rStyle w:val="33"/>
          <w:rFonts w:hint="eastAsia" w:asciiTheme="majorEastAsia" w:hAnsiTheme="majorEastAsia" w:eastAsiaTheme="majorEastAsia" w:cstheme="majorEastAsia"/>
          <w:color w:val="auto"/>
          <w:sz w:val="24"/>
          <w:szCs w:val="24"/>
          <w:highlight w:val="none"/>
        </w:rPr>
      </w:pPr>
      <w:bookmarkStart w:id="143" w:name="_Toc85724939"/>
      <w:bookmarkEnd w:id="143"/>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p>
    <w:p>
      <w:pPr>
        <w:pStyle w:val="16"/>
        <w:spacing w:before="0" w:beforeAutospacing="0" w:after="0" w:afterAutospacing="0"/>
        <w:jc w:val="center"/>
        <w:rPr>
          <w:rStyle w:val="33"/>
          <w:rFonts w:hint="eastAsia" w:asciiTheme="majorEastAsia" w:hAnsiTheme="majorEastAsia" w:eastAsiaTheme="majorEastAsia" w:cstheme="majorEastAsia"/>
          <w:color w:val="auto"/>
          <w:sz w:val="32"/>
          <w:szCs w:val="32"/>
          <w:highlight w:val="none"/>
        </w:rPr>
      </w:pPr>
      <w:r>
        <w:rPr>
          <w:rStyle w:val="33"/>
          <w:rFonts w:hint="eastAsia" w:asciiTheme="majorEastAsia" w:hAnsiTheme="majorEastAsia" w:eastAsiaTheme="majorEastAsia" w:cstheme="majorEastAsia"/>
          <w:color w:val="auto"/>
          <w:sz w:val="32"/>
          <w:szCs w:val="32"/>
          <w:highlight w:val="none"/>
        </w:rPr>
        <w:t>第六章  采购项目实质性要求</w:t>
      </w:r>
      <w:bookmarkEnd w:id="135"/>
      <w:bookmarkEnd w:id="136"/>
      <w:bookmarkEnd w:id="137"/>
      <w:bookmarkEnd w:id="141"/>
    </w:p>
    <w:p>
      <w:pPr>
        <w:pStyle w:val="16"/>
        <w:spacing w:before="0" w:beforeAutospacing="0" w:after="0" w:afterAutospacing="0"/>
        <w:jc w:val="center"/>
        <w:rPr>
          <w:rStyle w:val="33"/>
          <w:rFonts w:hint="eastAsia" w:asciiTheme="majorEastAsia" w:hAnsiTheme="majorEastAsia" w:eastAsiaTheme="majorEastAsia" w:cstheme="majorEastAsia"/>
          <w:color w:val="auto"/>
          <w:sz w:val="24"/>
          <w:szCs w:val="24"/>
          <w:highlight w:val="none"/>
        </w:rPr>
      </w:pPr>
    </w:p>
    <w:bookmarkEnd w:id="142"/>
    <w:p>
      <w:pPr>
        <w:pStyle w:val="44"/>
        <w:wordWrap w:val="0"/>
        <w:spacing w:line="440" w:lineRule="exact"/>
        <w:ind w:firstLine="420"/>
        <w:jc w:val="left"/>
        <w:rPr>
          <w:rFonts w:hint="eastAsia" w:asciiTheme="majorEastAsia" w:hAnsiTheme="majorEastAsia" w:eastAsiaTheme="majorEastAsia" w:cstheme="majorEastAsia"/>
          <w:color w:val="auto"/>
          <w:kern w:val="0"/>
          <w:sz w:val="24"/>
          <w:szCs w:val="24"/>
          <w:highlight w:val="none"/>
        </w:rPr>
      </w:pPr>
      <w:bookmarkStart w:id="144" w:name="_Toc1215"/>
      <w:bookmarkStart w:id="145" w:name="_Toc16439"/>
      <w:bookmarkStart w:id="146" w:name="_Toc8043"/>
      <w:bookmarkStart w:id="147" w:name="_Toc6634"/>
      <w:r>
        <w:rPr>
          <w:rFonts w:hint="eastAsia" w:asciiTheme="majorEastAsia" w:hAnsiTheme="majorEastAsia" w:eastAsiaTheme="majorEastAsia" w:cstheme="majorEastAsia"/>
          <w:color w:val="auto"/>
          <w:kern w:val="0"/>
          <w:sz w:val="24"/>
          <w:szCs w:val="24"/>
          <w:highlight w:val="none"/>
        </w:rPr>
        <w:t>1.履约时间：本项目合同签订后</w:t>
      </w:r>
      <w:r>
        <w:rPr>
          <w:rFonts w:hint="eastAsia" w:asciiTheme="majorEastAsia" w:hAnsiTheme="majorEastAsia" w:eastAsiaTheme="majorEastAsia" w:cstheme="majorEastAsia"/>
          <w:color w:val="auto"/>
          <w:kern w:val="0"/>
          <w:sz w:val="24"/>
          <w:szCs w:val="24"/>
          <w:highlight w:val="none"/>
          <w:lang w:val="en-US" w:eastAsia="zh-CN"/>
        </w:rPr>
        <w:t>30</w:t>
      </w:r>
      <w:r>
        <w:rPr>
          <w:rFonts w:hint="eastAsia" w:asciiTheme="majorEastAsia" w:hAnsiTheme="majorEastAsia" w:eastAsiaTheme="majorEastAsia" w:cstheme="majorEastAsia"/>
          <w:color w:val="auto"/>
          <w:kern w:val="0"/>
          <w:sz w:val="24"/>
          <w:szCs w:val="24"/>
          <w:highlight w:val="none"/>
        </w:rPr>
        <w:t>日内完成建设，并交付采购人验收使用。</w:t>
      </w:r>
    </w:p>
    <w:p>
      <w:pPr>
        <w:pStyle w:val="44"/>
        <w:wordWrap w:val="0"/>
        <w:spacing w:line="440" w:lineRule="exact"/>
        <w:ind w:firstLine="42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2.履约地点：采购人指定地点。</w:t>
      </w:r>
    </w:p>
    <w:p>
      <w:pPr>
        <w:pStyle w:val="44"/>
        <w:wordWrap w:val="0"/>
        <w:spacing w:line="440" w:lineRule="exact"/>
        <w:ind w:firstLine="42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3.付款方式：采购合同签订时约定。成交供应商须向采购人出具合法有效完整的完税发票及凭证资料后进行支付结算，付款方式均采用公对公的银行转账，乙方接受转账的开户信息以采购合同载明的为准。</w:t>
      </w:r>
    </w:p>
    <w:p>
      <w:pPr>
        <w:pStyle w:val="44"/>
        <w:wordWrap w:val="0"/>
        <w:spacing w:line="440" w:lineRule="exact"/>
        <w:ind w:firstLine="42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4.验收办法：按照《财政部关于进一步加强政府采购需求和履约验收管理的指导意见》（财库〔2016〕205号）进行验收。</w:t>
      </w:r>
    </w:p>
    <w:p>
      <w:pPr>
        <w:widowControl/>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第七章 响应文件格式</w:t>
      </w:r>
      <w:bookmarkEnd w:id="144"/>
      <w:bookmarkEnd w:id="145"/>
      <w:bookmarkEnd w:id="146"/>
      <w:bookmarkEnd w:id="147"/>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二、本章所制响应文件格式有关表格中的备注栏，由供应商根据自身响应情况作解释性说明，不作为必填项。</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三、本章所制响应文件格式中需要填写的相关内容事项，可能会与本采购项目无关，在不改变响应文件原义、不影响本项目采购需求的情况下，供应商可以不予填写。</w:t>
      </w:r>
    </w:p>
    <w:p>
      <w:pPr>
        <w:jc w:val="center"/>
        <w:rPr>
          <w:rFonts w:hint="eastAsia" w:asciiTheme="majorEastAsia" w:hAnsiTheme="majorEastAsia" w:eastAsiaTheme="majorEastAsia" w:cstheme="majorEastAsia"/>
          <w:b/>
          <w:color w:val="auto"/>
          <w:sz w:val="24"/>
          <w:highlight w:val="none"/>
        </w:rPr>
      </w:pPr>
    </w:p>
    <w:p>
      <w:pPr>
        <w:snapToGrid w:val="0"/>
        <w:spacing w:line="500" w:lineRule="exact"/>
        <w:jc w:val="center"/>
        <w:rPr>
          <w:rFonts w:hint="eastAsia" w:asciiTheme="majorEastAsia" w:hAnsiTheme="majorEastAsia" w:eastAsiaTheme="majorEastAsia" w:cstheme="majorEastAsia"/>
          <w:color w:val="auto"/>
          <w:szCs w:val="32"/>
          <w:highlight w:val="none"/>
        </w:rPr>
      </w:pPr>
      <w:r>
        <w:rPr>
          <w:rFonts w:hint="eastAsia" w:asciiTheme="majorEastAsia" w:hAnsiTheme="majorEastAsia" w:eastAsiaTheme="majorEastAsia" w:cstheme="majorEastAsia"/>
          <w:b/>
          <w:color w:val="auto"/>
          <w:sz w:val="24"/>
          <w:highlight w:val="none"/>
        </w:rPr>
        <w:br w:type="page"/>
      </w:r>
      <w:r>
        <w:rPr>
          <w:rStyle w:val="42"/>
          <w:rFonts w:hint="eastAsia" w:asciiTheme="majorEastAsia" w:hAnsiTheme="majorEastAsia" w:eastAsiaTheme="majorEastAsia" w:cstheme="majorEastAsia"/>
          <w:color w:val="auto"/>
          <w:highlight w:val="none"/>
        </w:rPr>
        <w:t>一、响应函</w:t>
      </w:r>
    </w:p>
    <w:p>
      <w:pPr>
        <w:adjustRightInd w:val="0"/>
        <w:snapToGrid w:val="0"/>
        <w:rPr>
          <w:rFonts w:hint="eastAsia" w:asciiTheme="majorEastAsia" w:hAnsiTheme="majorEastAsia" w:eastAsiaTheme="majorEastAsia" w:cstheme="majorEastAsia"/>
          <w:color w:val="auto"/>
          <w:sz w:val="24"/>
          <w:highlight w:val="none"/>
          <w:u w:val="single"/>
        </w:rPr>
      </w:pPr>
    </w:p>
    <w:p>
      <w:pPr>
        <w:adjustRightInd w:val="0"/>
        <w:snapToGrid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1.我方全面研究了“</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”项目磋商文件（项目编号：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），决定参加贵单位组织的本项目磋商采购。我方授权</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（姓名、职务）代表我方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（响应单位名称）全权处理本项目磋商的有关事宜。</w:t>
      </w:r>
    </w:p>
    <w:p>
      <w:pPr>
        <w:pStyle w:val="47"/>
        <w:wordWrap/>
        <w:adjustRightInd w:val="0"/>
        <w:snapToGrid w:val="0"/>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2.我方自愿按照磋商文件规定的各项要求向采购人提供所需服务。投标报价为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3.一旦我方成交，我方将严格履行政府采购合同规定的责任和义务。</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4.我方同意本磋商文件依据《四川省政府采购当事人诚信管理办法》（川财采〔2015〕33号文件）对我方可能存在的失信行为进行惩戒。</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5.我方为本项目提交的资格性响应文件正本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份，副本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份；其他响应文件正本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份，副本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份；电子文档</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份。</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6.如果我公司在磋商开始后撤回响应文件，我方同意我公司的磋商保证金将被没收。</w:t>
      </w: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7.本次磋商，我方递交的响应文件有效期为磋商文件规定起算之日起</w:t>
      </w:r>
      <w:r>
        <w:rPr>
          <w:rFonts w:hint="eastAsia" w:asciiTheme="majorEastAsia" w:hAnsiTheme="majorEastAsia" w:eastAsiaTheme="majorEastAsia" w:cstheme="majorEastAsia"/>
          <w:color w:val="auto"/>
          <w:sz w:val="24"/>
          <w:highlight w:val="none"/>
          <w:u w:val="single"/>
        </w:rPr>
        <w:t>XX</w:t>
      </w:r>
      <w:r>
        <w:rPr>
          <w:rFonts w:hint="eastAsia" w:asciiTheme="majorEastAsia" w:hAnsiTheme="majorEastAsia" w:eastAsiaTheme="majorEastAsia" w:cstheme="majorEastAsia"/>
          <w:color w:val="auto"/>
          <w:sz w:val="24"/>
          <w:highlight w:val="none"/>
        </w:rPr>
        <w:t>天。</w:t>
      </w:r>
    </w:p>
    <w:p>
      <w:pPr>
        <w:pStyle w:val="11"/>
        <w:widowControl/>
        <w:adjustRightInd w:val="0"/>
        <w:snapToGrid w:val="0"/>
        <w:spacing w:after="0" w:line="360" w:lineRule="auto"/>
        <w:ind w:left="0" w:leftChars="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8.我方愿意提供贵单位可能另外要求的，与磋商报价有关的文件资料，并保证我方已提供和将要提供的文件资料是真实、准确的。</w:t>
      </w:r>
    </w:p>
    <w:p>
      <w:pPr>
        <w:pStyle w:val="11"/>
        <w:widowControl/>
        <w:adjustRightInd w:val="0"/>
        <w:snapToGrid w:val="0"/>
        <w:spacing w:after="0" w:line="360" w:lineRule="auto"/>
        <w:ind w:left="0" w:leftChars="0" w:firstLine="480" w:firstLineChars="200"/>
        <w:rPr>
          <w:rFonts w:hint="eastAsia" w:asciiTheme="majorEastAsia" w:hAnsiTheme="majorEastAsia" w:eastAsiaTheme="majorEastAsia" w:cstheme="majorEastAsia"/>
          <w:color w:val="auto"/>
          <w:sz w:val="24"/>
          <w:highlight w:val="none"/>
        </w:rPr>
      </w:pPr>
    </w:p>
    <w:p>
      <w:pPr>
        <w:pStyle w:val="11"/>
        <w:widowControl/>
        <w:adjustRightInd w:val="0"/>
        <w:snapToGrid w:val="0"/>
        <w:spacing w:after="0" w:line="360" w:lineRule="auto"/>
        <w:ind w:left="0" w:leftChars="0" w:firstLine="480" w:firstLineChars="200"/>
        <w:rPr>
          <w:rFonts w:hint="eastAsia" w:asciiTheme="majorEastAsia" w:hAnsiTheme="majorEastAsia" w:eastAsiaTheme="majorEastAsia" w:cstheme="majorEastAsia"/>
          <w:color w:val="auto"/>
          <w:sz w:val="24"/>
          <w:highlight w:val="none"/>
        </w:rPr>
      </w:pPr>
    </w:p>
    <w:p>
      <w:pPr>
        <w:pStyle w:val="11"/>
        <w:widowControl/>
        <w:adjustRightInd w:val="0"/>
        <w:snapToGrid w:val="0"/>
        <w:spacing w:after="0" w:line="360" w:lineRule="auto"/>
        <w:ind w:left="0" w:leftChars="0" w:firstLine="480" w:firstLineChars="200"/>
        <w:rPr>
          <w:rFonts w:hint="eastAsia" w:asciiTheme="majorEastAsia" w:hAnsiTheme="majorEastAsia" w:eastAsiaTheme="majorEastAsia" w:cstheme="majorEastAsia"/>
          <w:color w:val="auto"/>
          <w:sz w:val="24"/>
          <w:highlight w:val="none"/>
        </w:rPr>
      </w:pPr>
    </w:p>
    <w:p>
      <w:pPr>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adjustRightInd w:val="0"/>
        <w:snapToGrid w:val="0"/>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adjustRightInd w:val="0"/>
        <w:snapToGrid w:val="0"/>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通讯地址：XXXX</w:t>
      </w:r>
    </w:p>
    <w:p>
      <w:pPr>
        <w:adjustRightInd w:val="0"/>
        <w:snapToGrid w:val="0"/>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邮政编码：XXXX</w:t>
      </w:r>
    </w:p>
    <w:p>
      <w:pPr>
        <w:adjustRightInd w:val="0"/>
        <w:snapToGrid w:val="0"/>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联系电话：XXXX</w:t>
      </w:r>
    </w:p>
    <w:p>
      <w:pPr>
        <w:adjustRightInd w:val="0"/>
        <w:snapToGrid w:val="0"/>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jc w:val="center"/>
        <w:rPr>
          <w:rStyle w:val="42"/>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4"/>
          <w:highlight w:val="none"/>
        </w:rPr>
        <w:br w:type="page"/>
      </w:r>
      <w:r>
        <w:rPr>
          <w:rStyle w:val="42"/>
          <w:rFonts w:hint="eastAsia" w:asciiTheme="majorEastAsia" w:hAnsiTheme="majorEastAsia" w:eastAsiaTheme="majorEastAsia" w:cstheme="majorEastAsia"/>
          <w:color w:val="auto"/>
          <w:highlight w:val="none"/>
        </w:rPr>
        <w:t>二、供应商承诺函</w:t>
      </w:r>
    </w:p>
    <w:p>
      <w:pPr>
        <w:adjustRightInd w:val="0"/>
        <w:snapToGrid w:val="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我公司作为本次采购项目的供应商，根据磋商文件要求，现郑重承诺如下：</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一、具备《中华人民共和国政府采购法》第二十二条和本项目规定的条件：</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（一）具有独立承担民事责任的能力；</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（二）具有良好的商业信誉和健全的财务会计制度；</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（三）具有履行合同所必需的设备和专业技术能力；</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（四）有依法缴纳税收和社会保障资金的良好记录；</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（五）参加政府采购活动前三年内，在经营活动中没有重大违法记录；</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（六）法律、行政法规规定的其他条件；</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（七）根据采购项目提出的特殊条件。</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三、在参加本次采购活动中，不存在与单位负责人为同一人或者存在直接控股、管理关系的其他供应商参与同一合同项下的政府采购活动的行为。</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四、在参加本次采购活动中，不存在和其他供应商在同一合同项下的采购项目中，同时委托同一个自然人、同一家庭的人员、同一单位的人员作为代理人的行为。</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五、如果有《四川省政府采购当事人诚信管理办法》（川财采[2015]33号）规定的记入诚信档案的失信行为，将在响应文件中全面如实反映。</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六、响应文件中提供的任何资料和技术、服务、商务等响应承诺情况都是真实的、有效的、合法的。</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八、在投标截止日前，未被列入“信用中国”网站(www.creditchina.gov.cn)中列入失信被执行人和重大税收违法案件当事人名单的供应商，未被列入中国政府采购网(www.ccgp.gov.cn)政府采购严重违法失信行为记录名单中被财政部门禁止参加政府采购活动的供应商(处罚决定规定的时间和地域范围内)。</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九、我单位、我单位法定代表人或主要负责人在前3年内不具有行贿犯罪记录。</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十、参加活动前未为采购项目提供整体设计、规范编制也不是国家禁止参加政府采购活动的供应商。</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本公司对上述承诺的内容事项真实性负责。如经查实上述承诺的内容事项存在虚假，我公司愿意接受以提供虚假材料谋取成交的法律责任。</w:t>
      </w:r>
    </w:p>
    <w:p>
      <w:pPr>
        <w:ind w:firstLine="480" w:firstLineChars="200"/>
        <w:rPr>
          <w:rFonts w:hint="eastAsia" w:asciiTheme="majorEastAsia" w:hAnsiTheme="majorEastAsia" w:eastAsiaTheme="majorEastAsia" w:cstheme="majorEastAsia"/>
          <w:color w:val="auto"/>
          <w:sz w:val="24"/>
          <w:highlight w:val="none"/>
        </w:rPr>
      </w:pPr>
    </w:p>
    <w:p>
      <w:pPr>
        <w:pStyle w:val="4"/>
        <w:rPr>
          <w:rFonts w:hint="eastAsia" w:asciiTheme="majorEastAsia" w:hAnsiTheme="majorEastAsia" w:eastAsiaTheme="majorEastAsia" w:cstheme="majorEastAsia"/>
          <w:color w:val="auto"/>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授权代表签字：XXXX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供应商名称：XXXX（盖单位公章）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spacing w:line="500" w:lineRule="exact"/>
        <w:jc w:val="center"/>
        <w:rPr>
          <w:rStyle w:val="42"/>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rPr>
        <w:br w:type="page"/>
      </w:r>
      <w:bookmarkStart w:id="148" w:name="_Toc29131"/>
      <w:bookmarkStart w:id="149" w:name="_Toc10738"/>
      <w:bookmarkStart w:id="150" w:name="_Toc6965"/>
      <w:bookmarkStart w:id="151" w:name="_Toc27968"/>
      <w:r>
        <w:rPr>
          <w:rStyle w:val="42"/>
          <w:rFonts w:hint="eastAsia" w:asciiTheme="majorEastAsia" w:hAnsiTheme="majorEastAsia" w:eastAsiaTheme="majorEastAsia" w:cstheme="majorEastAsia"/>
          <w:color w:val="auto"/>
          <w:highlight w:val="none"/>
        </w:rPr>
        <w:t>三、法定代表人授权书</w:t>
      </w:r>
    </w:p>
    <w:p>
      <w:pPr>
        <w:spacing w:line="500" w:lineRule="exact"/>
        <w:jc w:val="center"/>
        <w:rPr>
          <w:rFonts w:hint="eastAsia" w:asciiTheme="majorEastAsia" w:hAnsiTheme="majorEastAsia" w:eastAsiaTheme="majorEastAsia" w:cstheme="majorEastAsia"/>
          <w:b/>
          <w:color w:val="auto"/>
          <w:sz w:val="24"/>
          <w:highlight w:val="none"/>
        </w:rPr>
      </w:pPr>
    </w:p>
    <w:p>
      <w:pPr>
        <w:adjustRightInd w:val="0"/>
        <w:snapToGrid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w:t>
      </w:r>
    </w:p>
    <w:p>
      <w:pPr>
        <w:wordWrap/>
        <w:ind w:firstLine="480" w:firstLineChars="200"/>
        <w:rPr>
          <w:rFonts w:hint="eastAsia" w:asciiTheme="majorEastAsia" w:hAnsiTheme="majorEastAsia" w:eastAsiaTheme="majorEastAsia" w:cstheme="majorEastAsia"/>
          <w:color w:val="auto"/>
          <w:sz w:val="24"/>
          <w:highlight w:val="none"/>
        </w:rPr>
      </w:pPr>
    </w:p>
    <w:p>
      <w:pPr>
        <w:wordWrap/>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本授权声明：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（供应商名称）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（法定代表人姓名、职务）授权</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（被授权人姓名、职务）为我方参加“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项目（项目编号：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）磋商采购活动的合法代表，以我方名义全权处理该项目有关磋商、报价、签订合同以及执行合同等一切事宜。</w:t>
      </w:r>
    </w:p>
    <w:p>
      <w:pPr>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特此声明。</w:t>
      </w:r>
    </w:p>
    <w:p>
      <w:pPr>
        <w:pStyle w:val="7"/>
        <w:ind w:left="4480" w:firstLine="480"/>
        <w:rPr>
          <w:rFonts w:hint="eastAsia" w:asciiTheme="majorEastAsia" w:hAnsiTheme="majorEastAsia" w:eastAsiaTheme="majorEastAsia" w:cstheme="majorEastAsia"/>
          <w:bCs/>
          <w:color w:val="auto"/>
          <w:sz w:val="24"/>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附：（1）法定代表人有效身份证明材料正反面复印件</w:t>
      </w:r>
    </w:p>
    <w:p>
      <w:pPr>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（2）授权代表有效身份证明材料正反面复印件</w:t>
      </w: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    务：XXXX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被授权人签字：XXXX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    务：XXXX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rPr>
          <w:rFonts w:hint="eastAsia" w:asciiTheme="majorEastAsia" w:hAnsiTheme="majorEastAsia" w:eastAsiaTheme="majorEastAsia" w:cstheme="majorEastAsia"/>
          <w:color w:val="auto"/>
          <w:highlight w:val="none"/>
        </w:rPr>
      </w:pPr>
    </w:p>
    <w:p>
      <w:pPr>
        <w:adjustRightInd w:val="0"/>
        <w:snapToGrid w:val="0"/>
        <w:jc w:val="both"/>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注：</w:t>
      </w:r>
    </w:p>
    <w:p>
      <w:pPr>
        <w:adjustRightInd w:val="0"/>
        <w:snapToGrid w:val="0"/>
        <w:ind w:firstLine="480" w:firstLineChars="200"/>
        <w:jc w:val="both"/>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color w:val="auto"/>
          <w:sz w:val="24"/>
          <w:highlight w:val="none"/>
        </w:rPr>
        <w:t>法定代表人不亲自参加磋商，而授权代表参加磋商的适用。</w:t>
      </w:r>
    </w:p>
    <w:p>
      <w:pPr>
        <w:pStyle w:val="7"/>
        <w:adjustRightInd w:val="0"/>
        <w:snapToGrid w:val="0"/>
        <w:ind w:left="0" w:leftChars="0" w:firstLine="482"/>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2、供应商为法人单位时提供“法定代表人授权书”，供应商为其他组织时提供“单位负责人授权书”，供应商为自然人时提供“自然人身份证明材料”。</w:t>
      </w:r>
    </w:p>
    <w:p>
      <w:pPr>
        <w:adjustRightInd w:val="0"/>
        <w:snapToGrid w:val="0"/>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3、身份证明材料包括居民身份证或户口本或军官证或护照等。</w:t>
      </w:r>
    </w:p>
    <w:p>
      <w:pPr>
        <w:pStyle w:val="4"/>
        <w:rPr>
          <w:rStyle w:val="42"/>
          <w:rFonts w:hint="eastAsia" w:asciiTheme="majorEastAsia" w:hAnsiTheme="majorEastAsia" w:eastAsiaTheme="majorEastAsia" w:cstheme="majorEastAsia"/>
          <w:b/>
          <w:color w:val="auto"/>
          <w:highlight w:val="none"/>
        </w:rPr>
      </w:pPr>
      <w:r>
        <w:rPr>
          <w:rStyle w:val="42"/>
          <w:rFonts w:hint="eastAsia" w:asciiTheme="majorEastAsia" w:hAnsiTheme="majorEastAsia" w:eastAsiaTheme="majorEastAsia" w:cstheme="majorEastAsia"/>
          <w:b/>
          <w:color w:val="auto"/>
          <w:highlight w:val="none"/>
        </w:rPr>
        <w:t>四、法定代表人证明书</w:t>
      </w:r>
    </w:p>
    <w:p>
      <w:pPr>
        <w:pStyle w:val="2"/>
        <w:tabs>
          <w:tab w:val="left" w:pos="1519"/>
          <w:tab w:val="left" w:pos="5419"/>
        </w:tabs>
        <w:adjustRightInd w:val="0"/>
        <w:snapToGrid w:val="0"/>
        <w:spacing w:after="0"/>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单位名称：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p>
    <w:p>
      <w:pPr>
        <w:pStyle w:val="2"/>
        <w:tabs>
          <w:tab w:val="left" w:pos="1519"/>
          <w:tab w:val="left" w:pos="5419"/>
        </w:tabs>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p>
    <w:p>
      <w:pPr>
        <w:pStyle w:val="2"/>
        <w:tabs>
          <w:tab w:val="left" w:pos="1519"/>
          <w:tab w:val="left" w:pos="3079"/>
          <w:tab w:val="left" w:pos="4399"/>
          <w:tab w:val="left" w:pos="5719"/>
          <w:tab w:val="left" w:pos="7939"/>
        </w:tabs>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    名：</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性别：</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年龄：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职务：</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p>
    <w:p>
      <w:pPr>
        <w:pStyle w:val="2"/>
        <w:tabs>
          <w:tab w:val="left" w:pos="3295"/>
          <w:tab w:val="left" w:pos="4759"/>
          <w:tab w:val="left" w:pos="6871"/>
        </w:tabs>
        <w:adjustRightInd w:val="0"/>
        <w:snapToGrid w:val="0"/>
        <w:spacing w:after="0"/>
        <w:ind w:firstLine="48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本人系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(供应商名称)的法定代表人/单位负责人。就参加</w:t>
      </w:r>
      <w:r>
        <w:rPr>
          <w:rFonts w:hint="eastAsia" w:asciiTheme="majorEastAsia" w:hAnsiTheme="majorEastAsia" w:eastAsiaTheme="majorEastAsia" w:cstheme="majorEastAsia"/>
          <w:color w:val="auto"/>
          <w:spacing w:val="-16"/>
          <w:sz w:val="24"/>
          <w:highlight w:val="none"/>
        </w:rPr>
        <w:t>你</w:t>
      </w:r>
      <w:r>
        <w:rPr>
          <w:rFonts w:hint="eastAsia" w:asciiTheme="majorEastAsia" w:hAnsiTheme="majorEastAsia" w:eastAsiaTheme="majorEastAsia" w:cstheme="majorEastAsia"/>
          <w:color w:val="auto"/>
          <w:sz w:val="24"/>
          <w:highlight w:val="none"/>
        </w:rPr>
        <w:t>单位组织</w:t>
      </w:r>
      <w:r>
        <w:rPr>
          <w:rFonts w:hint="eastAsia" w:asciiTheme="majorEastAsia" w:hAnsiTheme="majorEastAsia" w:eastAsiaTheme="majorEastAsia" w:cstheme="majorEastAsia"/>
          <w:color w:val="auto"/>
          <w:spacing w:val="-24"/>
          <w:sz w:val="24"/>
          <w:highlight w:val="none"/>
        </w:rPr>
        <w:t>的</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(项目名称)(项目编号</w:t>
      </w:r>
      <w:r>
        <w:rPr>
          <w:rFonts w:hint="eastAsia" w:asciiTheme="majorEastAsia" w:hAnsiTheme="majorEastAsia" w:eastAsiaTheme="majorEastAsia" w:cstheme="majorEastAsia"/>
          <w:color w:val="auto"/>
          <w:spacing w:val="-24"/>
          <w:sz w:val="24"/>
          <w:highlight w:val="none"/>
        </w:rPr>
        <w:t>：</w:t>
      </w:r>
      <w:r>
        <w:rPr>
          <w:rFonts w:hint="eastAsia" w:asciiTheme="majorEastAsia" w:hAnsiTheme="majorEastAsia" w:eastAsiaTheme="majorEastAsia" w:cstheme="majorEastAsia"/>
          <w:color w:val="auto"/>
          <w:spacing w:val="-24"/>
          <w:sz w:val="24"/>
          <w:highlight w:val="none"/>
          <w:u w:val="single"/>
        </w:rPr>
        <w:t xml:space="preserve">         </w:t>
      </w:r>
      <w:r>
        <w:rPr>
          <w:rFonts w:hint="eastAsia" w:asciiTheme="majorEastAsia" w:hAnsiTheme="majorEastAsia" w:eastAsiaTheme="majorEastAsia" w:cstheme="majorEastAsia"/>
          <w:color w:val="auto"/>
          <w:spacing w:val="-24"/>
          <w:sz w:val="24"/>
          <w:highlight w:val="none"/>
          <w:u w:val="single"/>
        </w:rPr>
        <w:tab/>
      </w:r>
      <w:r>
        <w:rPr>
          <w:rFonts w:hint="eastAsia" w:asciiTheme="majorEastAsia" w:hAnsiTheme="majorEastAsia" w:eastAsiaTheme="majorEastAsia" w:cstheme="majorEastAsia"/>
          <w:color w:val="auto"/>
          <w:spacing w:val="-12"/>
          <w:sz w:val="24"/>
          <w:highlight w:val="none"/>
        </w:rPr>
        <w:t>)”</w:t>
      </w:r>
      <w:r>
        <w:rPr>
          <w:rFonts w:hint="eastAsia" w:asciiTheme="majorEastAsia" w:hAnsiTheme="majorEastAsia" w:eastAsiaTheme="majorEastAsia" w:cstheme="majorEastAsia"/>
          <w:color w:val="auto"/>
          <w:sz w:val="24"/>
          <w:highlight w:val="none"/>
        </w:rPr>
        <w:t>的政府采购活动</w:t>
      </w:r>
      <w:r>
        <w:rPr>
          <w:rFonts w:hint="eastAsia" w:asciiTheme="majorEastAsia" w:hAnsiTheme="majorEastAsia" w:eastAsiaTheme="majorEastAsia" w:cstheme="majorEastAsia"/>
          <w:color w:val="auto"/>
          <w:spacing w:val="-22"/>
          <w:sz w:val="24"/>
          <w:highlight w:val="none"/>
        </w:rPr>
        <w:t>、</w:t>
      </w:r>
      <w:r>
        <w:rPr>
          <w:rFonts w:hint="eastAsia" w:asciiTheme="majorEastAsia" w:hAnsiTheme="majorEastAsia" w:eastAsiaTheme="majorEastAsia" w:cstheme="majorEastAsia"/>
          <w:color w:val="auto"/>
          <w:sz w:val="24"/>
          <w:highlight w:val="none"/>
        </w:rPr>
        <w:t>合同签</w:t>
      </w:r>
      <w:r>
        <w:rPr>
          <w:rFonts w:hint="eastAsia" w:asciiTheme="majorEastAsia" w:hAnsiTheme="majorEastAsia" w:eastAsiaTheme="majorEastAsia" w:cstheme="majorEastAsia"/>
          <w:color w:val="auto"/>
          <w:spacing w:val="-16"/>
          <w:sz w:val="24"/>
          <w:highlight w:val="none"/>
        </w:rPr>
        <w:t>订</w:t>
      </w:r>
      <w:r>
        <w:rPr>
          <w:rFonts w:hint="eastAsia" w:asciiTheme="majorEastAsia" w:hAnsiTheme="majorEastAsia" w:eastAsiaTheme="majorEastAsia" w:cstheme="majorEastAsia"/>
          <w:color w:val="auto"/>
          <w:sz w:val="24"/>
          <w:highlight w:val="none"/>
        </w:rPr>
        <w:t>以及合同履约等一切事宜，我单位均予承认，所产生的法律后果均由我单位承担。</w:t>
      </w:r>
    </w:p>
    <w:p>
      <w:pPr>
        <w:pStyle w:val="2"/>
        <w:adjustRightInd w:val="0"/>
        <w:snapToGrid w:val="0"/>
        <w:spacing w:after="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特此证明。</w:t>
      </w:r>
    </w:p>
    <w:p>
      <w:pPr>
        <w:adjustRightInd w:val="0"/>
        <w:snapToGrid w:val="0"/>
        <w:rPr>
          <w:rFonts w:hint="eastAsia" w:asciiTheme="majorEastAsia" w:hAnsiTheme="majorEastAsia" w:eastAsiaTheme="majorEastAsia" w:cstheme="majorEastAsia"/>
          <w:color w:val="auto"/>
          <w:sz w:val="24"/>
          <w:highlight w:val="none"/>
        </w:rPr>
      </w:pPr>
    </w:p>
    <w:p>
      <w:pPr>
        <w:adjustRightInd w:val="0"/>
        <w:snapToGrid w:val="0"/>
        <w:ind w:firstLine="480" w:firstLineChars="200"/>
        <w:rPr>
          <w:rFonts w:hint="eastAsia" w:asciiTheme="majorEastAsia" w:hAnsiTheme="majorEastAsia" w:eastAsiaTheme="majorEastAsia" w:cstheme="majorEastAsia"/>
          <w:color w:val="auto"/>
          <w:sz w:val="24"/>
          <w:highlight w:val="none"/>
        </w:rPr>
      </w:pPr>
    </w:p>
    <w:p>
      <w:pPr>
        <w:adjustRightInd w:val="0"/>
        <w:snapToGrid w:val="0"/>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附：（1）法定代表人有效身份证明材料正反面复印件</w:t>
      </w:r>
    </w:p>
    <w:p>
      <w:pPr>
        <w:spacing w:line="400" w:lineRule="exact"/>
        <w:ind w:firstLine="480" w:firstLineChars="200"/>
        <w:rPr>
          <w:rFonts w:hint="eastAsia" w:asciiTheme="majorEastAsia" w:hAnsiTheme="majorEastAsia" w:eastAsiaTheme="majorEastAsia" w:cstheme="majorEastAsia"/>
          <w:color w:val="auto"/>
          <w:sz w:val="24"/>
          <w:highlight w:val="none"/>
        </w:rPr>
      </w:pPr>
    </w:p>
    <w:p>
      <w:pPr>
        <w:pStyle w:val="2"/>
        <w:rPr>
          <w:rFonts w:hint="eastAsia" w:asciiTheme="majorEastAsia" w:hAnsiTheme="majorEastAsia" w:eastAsiaTheme="majorEastAsia" w:cstheme="majorEastAsia"/>
          <w:color w:val="auto"/>
          <w:sz w:val="24"/>
          <w:highlight w:val="none"/>
        </w:rPr>
      </w:pPr>
    </w:p>
    <w:p>
      <w:pPr>
        <w:pStyle w:val="2"/>
        <w:rPr>
          <w:rFonts w:hint="eastAsia" w:asciiTheme="majorEastAsia" w:hAnsiTheme="majorEastAsia" w:eastAsiaTheme="majorEastAsia" w:cstheme="majorEastAsia"/>
          <w:color w:val="auto"/>
          <w:sz w:val="24"/>
          <w:highlight w:val="none"/>
        </w:rPr>
      </w:pPr>
    </w:p>
    <w:p>
      <w:pPr>
        <w:pStyle w:val="2"/>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法定代表人（签字或加盖个人名章）：</w:t>
      </w:r>
      <w:r>
        <w:rPr>
          <w:rFonts w:hint="eastAsia" w:asciiTheme="majorEastAsia" w:hAnsiTheme="majorEastAsia" w:eastAsiaTheme="majorEastAsia" w:cstheme="majorEastAsia"/>
          <w:color w:val="auto"/>
          <w:sz w:val="24"/>
          <w:highlight w:val="none"/>
          <w:u w:val="single"/>
        </w:rPr>
        <w:t xml:space="preserve">            </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（盖章）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pPr>
        <w:rPr>
          <w:rFonts w:hint="eastAsia" w:asciiTheme="majorEastAsia" w:hAnsiTheme="majorEastAsia" w:eastAsiaTheme="majorEastAsia" w:cstheme="majorEastAsia"/>
          <w:color w:val="auto"/>
          <w:highlight w:val="none"/>
        </w:rPr>
      </w:pPr>
    </w:p>
    <w:p>
      <w:pPr>
        <w:pStyle w:val="7"/>
        <w:ind w:left="4480" w:firstLine="560"/>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注：</w:t>
      </w:r>
    </w:p>
    <w:p>
      <w:pPr>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color w:val="auto"/>
          <w:sz w:val="24"/>
          <w:highlight w:val="none"/>
        </w:rPr>
        <w:t>法定代表人亲自参加磋商时适用本证明书。</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2、身份证明材料包括居民身份证或户口本或军官证或护照等。</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p>
    <w:p>
      <w:pPr>
        <w:spacing w:line="500" w:lineRule="exact"/>
        <w:jc w:val="center"/>
        <w:rPr>
          <w:rFonts w:hint="eastAsia" w:asciiTheme="majorEastAsia" w:hAnsiTheme="majorEastAsia" w:eastAsiaTheme="majorEastAsia" w:cstheme="majorEastAsia"/>
          <w:b/>
          <w:bCs/>
          <w:color w:val="auto"/>
          <w:sz w:val="24"/>
          <w:highlight w:val="none"/>
        </w:rPr>
      </w:pPr>
    </w:p>
    <w:p>
      <w:pPr>
        <w:spacing w:line="500" w:lineRule="exact"/>
        <w:jc w:val="center"/>
        <w:rPr>
          <w:rFonts w:hint="eastAsia" w:asciiTheme="majorEastAsia" w:hAnsiTheme="majorEastAsia" w:eastAsiaTheme="majorEastAsia" w:cstheme="majorEastAsia"/>
          <w:b/>
          <w:bCs/>
          <w:color w:val="auto"/>
          <w:szCs w:val="32"/>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bCs/>
          <w:color w:val="auto"/>
          <w:szCs w:val="32"/>
          <w:highlight w:val="none"/>
        </w:rPr>
        <w:t>五、磋商报价表</w:t>
      </w:r>
    </w:p>
    <w:p>
      <w:pPr>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p>
      <w:pPr>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p>
    <w:p>
      <w:pPr>
        <w:pStyle w:val="2"/>
        <w:ind w:firstLine="240" w:firstLineChars="1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包    号：</w:t>
      </w:r>
    </w:p>
    <w:tbl>
      <w:tblPr>
        <w:tblStyle w:val="2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77"/>
        <w:gridCol w:w="1752"/>
        <w:gridCol w:w="161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exact"/>
          <w:jc w:val="center"/>
        </w:trPr>
        <w:tc>
          <w:tcPr>
            <w:tcW w:w="791"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177"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项目名称</w:t>
            </w:r>
          </w:p>
        </w:tc>
        <w:tc>
          <w:tcPr>
            <w:tcW w:w="1752"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服务期限</w:t>
            </w:r>
          </w:p>
        </w:tc>
        <w:tc>
          <w:tcPr>
            <w:tcW w:w="1612"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报价</w:t>
            </w:r>
          </w:p>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18"/>
                <w:szCs w:val="18"/>
                <w:highlight w:val="none"/>
              </w:rPr>
              <w:t>（元）</w:t>
            </w:r>
          </w:p>
        </w:tc>
        <w:tc>
          <w:tcPr>
            <w:tcW w:w="1234"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9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3177" w:type="dxa"/>
            <w:vAlign w:val="center"/>
          </w:tcPr>
          <w:p>
            <w:pPr>
              <w:rPr>
                <w:rFonts w:hint="eastAsia" w:asciiTheme="majorEastAsia" w:hAnsiTheme="majorEastAsia" w:eastAsiaTheme="majorEastAsia" w:cstheme="majorEastAsia"/>
                <w:color w:val="auto"/>
                <w:sz w:val="24"/>
                <w:highlight w:val="none"/>
              </w:rPr>
            </w:pPr>
          </w:p>
        </w:tc>
        <w:tc>
          <w:tcPr>
            <w:tcW w:w="1752" w:type="dxa"/>
            <w:vAlign w:val="center"/>
          </w:tcPr>
          <w:p>
            <w:pPr>
              <w:jc w:val="center"/>
              <w:rPr>
                <w:rFonts w:hint="eastAsia" w:asciiTheme="majorEastAsia" w:hAnsiTheme="majorEastAsia" w:eastAsiaTheme="majorEastAsia" w:cstheme="majorEastAsia"/>
                <w:color w:val="auto"/>
                <w:sz w:val="24"/>
                <w:highlight w:val="none"/>
              </w:rPr>
            </w:pPr>
          </w:p>
        </w:tc>
        <w:tc>
          <w:tcPr>
            <w:tcW w:w="1612" w:type="dxa"/>
            <w:vAlign w:val="center"/>
          </w:tcPr>
          <w:p>
            <w:pPr>
              <w:jc w:val="center"/>
              <w:rPr>
                <w:rFonts w:hint="eastAsia" w:asciiTheme="majorEastAsia" w:hAnsiTheme="majorEastAsia" w:eastAsiaTheme="majorEastAsia" w:cstheme="majorEastAsia"/>
                <w:color w:val="auto"/>
                <w:sz w:val="24"/>
                <w:highlight w:val="none"/>
              </w:rPr>
            </w:pPr>
          </w:p>
        </w:tc>
        <w:tc>
          <w:tcPr>
            <w:tcW w:w="1234" w:type="dxa"/>
            <w:vAlign w:val="center"/>
          </w:tcPr>
          <w:p>
            <w:pPr>
              <w:rPr>
                <w:rFonts w:hint="eastAsia" w:asciiTheme="majorEastAsia" w:hAnsiTheme="majorEastAsia" w:eastAsiaTheme="majorEastAsia" w:cstheme="majorEastAsia"/>
                <w:color w:val="auto"/>
                <w:sz w:val="24"/>
                <w:highlight w:val="none"/>
              </w:rPr>
            </w:pPr>
          </w:p>
        </w:tc>
      </w:tr>
    </w:tbl>
    <w:p>
      <w:pPr>
        <w:pStyle w:val="41"/>
        <w:spacing w:line="360" w:lineRule="auto"/>
        <w:ind w:firstLine="480"/>
        <w:rPr>
          <w:rFonts w:hint="eastAsia" w:asciiTheme="majorEastAsia" w:hAnsiTheme="majorEastAsia" w:eastAsiaTheme="majorEastAsia" w:cstheme="majorEastAsia"/>
          <w:color w:val="auto"/>
          <w:highlight w:val="none"/>
        </w:rPr>
      </w:pPr>
    </w:p>
    <w:p>
      <w:pPr>
        <w:pStyle w:val="41"/>
        <w:spacing w:line="360" w:lineRule="auto"/>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 此项目报价以项目成交价为合同价，采购人不承担除响应报价外其他任何费用。</w:t>
      </w:r>
    </w:p>
    <w:p>
      <w:pPr>
        <w:pStyle w:val="41"/>
        <w:spacing w:line="360" w:lineRule="auto"/>
        <w:ind w:firstLine="480"/>
        <w:rPr>
          <w:rFonts w:hint="eastAsia" w:asciiTheme="majorEastAsia" w:hAnsiTheme="majorEastAsia" w:eastAsiaTheme="majorEastAsia" w:cstheme="majorEastAsia"/>
          <w:color w:val="auto"/>
          <w:highlight w:val="none"/>
        </w:rPr>
      </w:pPr>
    </w:p>
    <w:p>
      <w:pPr>
        <w:adjustRightIn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adjustRightIn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pStyle w:val="4"/>
        <w:spacing w:before="0" w:after="0"/>
        <w:ind w:firstLine="480" w:firstLineChars="200"/>
        <w:jc w:val="both"/>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rPr>
        <w:t>日    期：XXX</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p>
    <w:p>
      <w:pPr>
        <w:pStyle w:val="4"/>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六、项目服务内容及要求应答表</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p>
    <w:p>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包    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808"/>
        <w:gridCol w:w="280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85" w:type="dxa"/>
            <w:vAlign w:val="center"/>
          </w:tcPr>
          <w:p>
            <w:pPr>
              <w:wordWrap/>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2808" w:type="dxa"/>
            <w:vAlign w:val="center"/>
          </w:tcPr>
          <w:p>
            <w:pPr>
              <w:wordWrap/>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磋商文件要求</w:t>
            </w:r>
          </w:p>
        </w:tc>
        <w:tc>
          <w:tcPr>
            <w:tcW w:w="2806" w:type="dxa"/>
            <w:vAlign w:val="center"/>
          </w:tcPr>
          <w:p>
            <w:pPr>
              <w:wordWrap/>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响应磋商文件应答内容</w:t>
            </w:r>
          </w:p>
        </w:tc>
        <w:tc>
          <w:tcPr>
            <w:tcW w:w="2226" w:type="dxa"/>
            <w:vAlign w:val="center"/>
          </w:tcPr>
          <w:p>
            <w:pPr>
              <w:wordWrap/>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响应或偏离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385"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808"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80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22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85"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808"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80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22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85"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2808"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80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c>
          <w:tcPr>
            <w:tcW w:w="2226" w:type="dxa"/>
            <w:vAlign w:val="center"/>
          </w:tcPr>
          <w:p>
            <w:pPr>
              <w:wordWrap/>
              <w:spacing w:line="500" w:lineRule="exact"/>
              <w:jc w:val="center"/>
              <w:rPr>
                <w:rFonts w:hint="eastAsia" w:asciiTheme="majorEastAsia" w:hAnsiTheme="majorEastAsia" w:eastAsiaTheme="majorEastAsia" w:cstheme="majorEastAsia"/>
                <w:color w:val="auto"/>
                <w:sz w:val="24"/>
                <w:highlight w:val="none"/>
              </w:rPr>
            </w:pPr>
          </w:p>
        </w:tc>
      </w:tr>
    </w:tbl>
    <w:p>
      <w:pPr>
        <w:ind w:firstLine="480" w:firstLineChars="200"/>
        <w:rPr>
          <w:rFonts w:hint="eastAsia" w:asciiTheme="majorEastAsia" w:hAnsiTheme="majorEastAsia" w:eastAsiaTheme="majorEastAsia" w:cstheme="majorEastAsia"/>
          <w:b/>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注：1.见磋商文件第五章“项目服务内容及要求”，供应商必须据实填写逐条应答，不得虚假应答，否则将取消其报价或成交资格。</w:t>
      </w:r>
    </w:p>
    <w:p>
      <w:pPr>
        <w:adjustRightInd w:val="0"/>
        <w:snapToGrid w:val="0"/>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2.“偏离情况”应当填写“正偏离或负偏离”，无偏离填写“响应”。</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p>
    <w:p>
      <w:pPr>
        <w:snapToGrid w:val="0"/>
        <w:ind w:firstLine="424" w:firstLineChars="177"/>
        <w:rPr>
          <w:rFonts w:hint="eastAsia" w:asciiTheme="majorEastAsia" w:hAnsiTheme="majorEastAsia" w:eastAsiaTheme="majorEastAsia" w:cstheme="majorEastAsia"/>
          <w:color w:val="auto"/>
          <w:sz w:val="24"/>
          <w:highlight w:val="none"/>
        </w:rPr>
      </w:pPr>
    </w:p>
    <w:p>
      <w:pPr>
        <w:snapToGrid w:val="0"/>
        <w:ind w:firstLine="424" w:firstLineChars="17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供应商名称（单位公章）：XXXX</w:t>
      </w:r>
    </w:p>
    <w:p>
      <w:pPr>
        <w:snapToGrid w:val="0"/>
        <w:ind w:firstLine="424" w:firstLineChars="17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snapToGrid w:val="0"/>
        <w:ind w:firstLine="424" w:firstLineChars="17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snapToGrid w:val="0"/>
        <w:ind w:firstLine="566" w:firstLineChars="177"/>
        <w:jc w:val="center"/>
        <w:rPr>
          <w:rStyle w:val="42"/>
          <w:rFonts w:hint="eastAsia" w:asciiTheme="majorEastAsia" w:hAnsiTheme="majorEastAsia" w:eastAsiaTheme="majorEastAsia" w:cstheme="majorEastAsia"/>
          <w:color w:val="auto"/>
          <w:highlight w:val="none"/>
        </w:rPr>
        <w:sectPr>
          <w:footerReference r:id="rId10" w:type="first"/>
          <w:footerReference r:id="rId9" w:type="default"/>
          <w:pgSz w:w="11907" w:h="16839"/>
          <w:pgMar w:top="1440" w:right="1276" w:bottom="1440" w:left="1418" w:header="851" w:footer="992" w:gutter="0"/>
          <w:pgNumType w:fmt="numberInDash"/>
          <w:cols w:space="720" w:num="1"/>
          <w:titlePg/>
          <w:docGrid w:type="linesAndChars" w:linePitch="312" w:charSpace="0"/>
        </w:sectPr>
      </w:pPr>
    </w:p>
    <w:p>
      <w:pPr>
        <w:snapToGrid w:val="0"/>
        <w:ind w:firstLine="566" w:firstLineChars="177"/>
        <w:jc w:val="center"/>
        <w:rPr>
          <w:rStyle w:val="42"/>
          <w:rFonts w:hint="eastAsia" w:asciiTheme="majorEastAsia" w:hAnsiTheme="majorEastAsia" w:eastAsiaTheme="majorEastAsia" w:cstheme="majorEastAsia"/>
          <w:color w:val="auto"/>
          <w:highlight w:val="none"/>
        </w:rPr>
      </w:pPr>
      <w:r>
        <w:rPr>
          <w:rStyle w:val="42"/>
          <w:rFonts w:hint="eastAsia" w:asciiTheme="majorEastAsia" w:hAnsiTheme="majorEastAsia" w:eastAsiaTheme="majorEastAsia" w:cstheme="majorEastAsia"/>
          <w:color w:val="auto"/>
          <w:highlight w:val="none"/>
        </w:rPr>
        <w:t>七、商务应答表</w:t>
      </w:r>
    </w:p>
    <w:p>
      <w:pPr>
        <w:spacing w:line="500" w:lineRule="exact"/>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p>
      <w:pPr>
        <w:spacing w:line="500" w:lineRule="exact"/>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p>
    <w:p>
      <w:pPr>
        <w:pStyle w:val="2"/>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包    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309"/>
        <w:gridCol w:w="2948"/>
        <w:gridCol w:w="203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93" w:type="dxa"/>
            <w:vAlign w:val="center"/>
          </w:tcPr>
          <w:p>
            <w:pPr>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2309" w:type="dxa"/>
            <w:vAlign w:val="center"/>
          </w:tcPr>
          <w:p>
            <w:pPr>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磋商文件要求</w:t>
            </w:r>
          </w:p>
        </w:tc>
        <w:tc>
          <w:tcPr>
            <w:tcW w:w="2948" w:type="dxa"/>
            <w:vAlign w:val="center"/>
          </w:tcPr>
          <w:p>
            <w:pPr>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响应文件响应内容</w:t>
            </w:r>
          </w:p>
        </w:tc>
        <w:tc>
          <w:tcPr>
            <w:tcW w:w="2035" w:type="dxa"/>
            <w:vAlign w:val="center"/>
          </w:tcPr>
          <w:p>
            <w:pPr>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符合或偏离</w:t>
            </w:r>
          </w:p>
        </w:tc>
        <w:tc>
          <w:tcPr>
            <w:tcW w:w="1044" w:type="dxa"/>
            <w:vAlign w:val="center"/>
          </w:tcPr>
          <w:p>
            <w:pPr>
              <w:spacing w:line="5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309"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948"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035"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4"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309"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948"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035"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4"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309"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948"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035"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4"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309"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948"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2035"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4" w:type="dxa"/>
            <w:vAlign w:val="center"/>
          </w:tcPr>
          <w:p>
            <w:pPr>
              <w:spacing w:line="500" w:lineRule="exact"/>
              <w:jc w:val="center"/>
              <w:rPr>
                <w:rFonts w:hint="eastAsia" w:asciiTheme="majorEastAsia" w:hAnsiTheme="majorEastAsia" w:eastAsiaTheme="majorEastAsia" w:cstheme="majorEastAsia"/>
                <w:color w:val="auto"/>
                <w:sz w:val="24"/>
                <w:highlight w:val="none"/>
              </w:rPr>
            </w:pPr>
          </w:p>
        </w:tc>
      </w:tr>
    </w:tbl>
    <w:p>
      <w:pPr>
        <w:spacing w:line="500" w:lineRule="exact"/>
        <w:ind w:firstLine="480" w:firstLineChars="200"/>
        <w:rPr>
          <w:rFonts w:hint="eastAsia" w:asciiTheme="majorEastAsia" w:hAnsiTheme="majorEastAsia" w:eastAsiaTheme="majorEastAsia" w:cstheme="majorEastAsia"/>
          <w:b/>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注：1.见磋商文件第五章商务要求，竞标单位必须据实填写，不得虚假应答，否则将取消其报价或成交资格。</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2.“偏离情况”应当填写“正偏离或负偏离”，无偏离填写“响应”。</w:t>
      </w:r>
    </w:p>
    <w:p>
      <w:pPr>
        <w:ind w:firstLine="480" w:firstLineChars="200"/>
        <w:rPr>
          <w:rFonts w:hint="eastAsia" w:asciiTheme="majorEastAsia" w:hAnsiTheme="majorEastAsia" w:eastAsiaTheme="majorEastAsia" w:cstheme="majorEastAsia"/>
          <w:color w:val="auto"/>
          <w:sz w:val="24"/>
          <w:highlight w:val="none"/>
        </w:rPr>
      </w:pPr>
    </w:p>
    <w:p>
      <w:pPr>
        <w:pStyle w:val="2"/>
        <w:rPr>
          <w:rFonts w:hint="eastAsia" w:asciiTheme="majorEastAsia" w:hAnsiTheme="majorEastAsia" w:eastAsiaTheme="majorEastAsia" w:cstheme="majorEastAsia"/>
          <w:color w:val="auto"/>
          <w:highlight w:val="none"/>
        </w:rPr>
      </w:pP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spacing w:line="500" w:lineRule="exact"/>
        <w:ind w:firstLine="480" w:firstLineChars="200"/>
        <w:jc w:val="center"/>
        <w:rPr>
          <w:rFonts w:hint="eastAsia" w:asciiTheme="majorEastAsia" w:hAnsiTheme="majorEastAsia" w:eastAsiaTheme="majorEastAsia" w:cstheme="majorEastAsia"/>
          <w:b/>
          <w:bCs/>
          <w:color w:val="auto"/>
          <w:szCs w:val="32"/>
          <w:highlight w:val="none"/>
        </w:rPr>
      </w:pPr>
      <w:r>
        <w:rPr>
          <w:rFonts w:hint="eastAsia" w:asciiTheme="majorEastAsia" w:hAnsiTheme="majorEastAsia" w:eastAsiaTheme="majorEastAsia" w:cstheme="majorEastAsia"/>
          <w:color w:val="auto"/>
          <w:sz w:val="24"/>
          <w:highlight w:val="none"/>
        </w:rPr>
        <w:br w:type="page"/>
      </w:r>
      <w:r>
        <w:rPr>
          <w:rFonts w:hint="eastAsia" w:asciiTheme="majorEastAsia" w:hAnsiTheme="majorEastAsia" w:eastAsiaTheme="majorEastAsia" w:cstheme="majorEastAsia"/>
          <w:b/>
          <w:bCs/>
          <w:color w:val="auto"/>
          <w:szCs w:val="32"/>
          <w:highlight w:val="none"/>
        </w:rPr>
        <w:t>八</w:t>
      </w:r>
      <w:r>
        <w:rPr>
          <w:rStyle w:val="42"/>
          <w:rFonts w:hint="eastAsia" w:asciiTheme="majorEastAsia" w:hAnsiTheme="majorEastAsia" w:eastAsiaTheme="majorEastAsia" w:cstheme="majorEastAsia"/>
          <w:color w:val="auto"/>
          <w:highlight w:val="none"/>
        </w:rPr>
        <w:t>、供应商基本情况表</w:t>
      </w:r>
    </w:p>
    <w:p>
      <w:pPr>
        <w:spacing w:line="500" w:lineRule="exact"/>
        <w:jc w:val="center"/>
        <w:rPr>
          <w:rFonts w:hint="eastAsia" w:asciiTheme="majorEastAsia" w:hAnsiTheme="majorEastAsia" w:eastAsiaTheme="majorEastAsia" w:cstheme="majorEastAsia"/>
          <w:b/>
          <w:bCs/>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080"/>
        <w:gridCol w:w="1294"/>
        <w:gridCol w:w="1294"/>
        <w:gridCol w:w="924"/>
        <w:gridCol w:w="370"/>
        <w:gridCol w:w="12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供应商名称</w:t>
            </w:r>
          </w:p>
        </w:tc>
        <w:tc>
          <w:tcPr>
            <w:tcW w:w="7551" w:type="dxa"/>
            <w:gridSpan w:val="7"/>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注册地址</w:t>
            </w:r>
          </w:p>
        </w:tc>
        <w:tc>
          <w:tcPr>
            <w:tcW w:w="4592" w:type="dxa"/>
            <w:gridSpan w:val="4"/>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665"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邮政编码</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9" w:type="dxa"/>
            <w:vMerge w:val="restart"/>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联系方式</w:t>
            </w:r>
          </w:p>
        </w:tc>
        <w:tc>
          <w:tcPr>
            <w:tcW w:w="1080"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联系人</w:t>
            </w:r>
          </w:p>
        </w:tc>
        <w:tc>
          <w:tcPr>
            <w:tcW w:w="3512"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665"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联系电话</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79" w:type="dxa"/>
            <w:vMerge w:val="continue"/>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080"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传真</w:t>
            </w:r>
          </w:p>
        </w:tc>
        <w:tc>
          <w:tcPr>
            <w:tcW w:w="3512"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665"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网址</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组织结构</w:t>
            </w:r>
          </w:p>
        </w:tc>
        <w:tc>
          <w:tcPr>
            <w:tcW w:w="7551" w:type="dxa"/>
            <w:gridSpan w:val="7"/>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法定代表人</w:t>
            </w:r>
          </w:p>
        </w:tc>
        <w:tc>
          <w:tcPr>
            <w:tcW w:w="1080"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姓名</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技术职称</w:t>
            </w:r>
          </w:p>
        </w:tc>
        <w:tc>
          <w:tcPr>
            <w:tcW w:w="129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5"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联系电话</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技术负责人</w:t>
            </w:r>
          </w:p>
        </w:tc>
        <w:tc>
          <w:tcPr>
            <w:tcW w:w="1080"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姓名</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技术职称</w:t>
            </w:r>
          </w:p>
        </w:tc>
        <w:tc>
          <w:tcPr>
            <w:tcW w:w="129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5"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联系电话</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成立时间</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5177" w:type="dxa"/>
            <w:gridSpan w:val="5"/>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营业执照</w:t>
            </w:r>
            <w:r>
              <w:rPr>
                <w:rFonts w:hint="eastAsia" w:asciiTheme="majorEastAsia" w:hAnsiTheme="majorEastAsia" w:eastAsiaTheme="majorEastAsia" w:cstheme="majorEastAsia"/>
                <w:color w:val="auto"/>
                <w:sz w:val="24"/>
                <w:highlight w:val="none"/>
              </w:rPr>
              <w:t>号</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Merge w:val="restart"/>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其中</w:t>
            </w:r>
          </w:p>
        </w:tc>
        <w:tc>
          <w:tcPr>
            <w:tcW w:w="2589"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项目经理</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注册资金</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Merge w:val="continue"/>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589"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高级职称人员</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开户银行</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Merge w:val="continue"/>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589"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中级职称人员</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账号</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Merge w:val="continue"/>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589"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初级职称人员</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企业资质等级</w:t>
            </w:r>
          </w:p>
        </w:tc>
        <w:tc>
          <w:tcPr>
            <w:tcW w:w="2374" w:type="dxa"/>
            <w:gridSpan w:val="2"/>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294" w:type="dxa"/>
            <w:vMerge w:val="continue"/>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589" w:type="dxa"/>
            <w:gridSpan w:val="3"/>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技工</w:t>
            </w:r>
          </w:p>
        </w:tc>
        <w:tc>
          <w:tcPr>
            <w:tcW w:w="129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经营范围</w:t>
            </w:r>
          </w:p>
        </w:tc>
        <w:tc>
          <w:tcPr>
            <w:tcW w:w="7551" w:type="dxa"/>
            <w:gridSpan w:val="7"/>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9"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备注</w:t>
            </w:r>
          </w:p>
        </w:tc>
        <w:tc>
          <w:tcPr>
            <w:tcW w:w="7551" w:type="dxa"/>
            <w:gridSpan w:val="7"/>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bl>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注：1.事业单位或团体组织投标根据实际情况提供此表信息，若未提供完善信息并不影响投标资质及效力。</w:t>
      </w:r>
    </w:p>
    <w:p>
      <w:pPr>
        <w:pStyle w:val="8"/>
        <w:numPr>
          <w:ilvl w:val="0"/>
          <w:numId w:val="7"/>
        </w:num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投标人对不存在项，填写“/”，并不影响投标资质及效力。</w:t>
      </w:r>
    </w:p>
    <w:p>
      <w:pPr>
        <w:adjustRightInd w:val="0"/>
        <w:spacing w:line="500" w:lineRule="exact"/>
        <w:rPr>
          <w:rFonts w:hint="eastAsia" w:asciiTheme="majorEastAsia" w:hAnsiTheme="majorEastAsia" w:eastAsiaTheme="majorEastAsia" w:cstheme="majorEastAsia"/>
          <w:color w:val="auto"/>
          <w:sz w:val="24"/>
          <w:highlight w:val="none"/>
        </w:rPr>
      </w:pPr>
    </w:p>
    <w:p>
      <w:pPr>
        <w:adjustRightInd w:val="0"/>
        <w:spacing w:line="5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adjustRightInd w:val="0"/>
        <w:spacing w:line="5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法定代表人或授权代表（签字或盖章）：</w:t>
      </w:r>
      <w:r>
        <w:rPr>
          <w:rFonts w:hint="eastAsia" w:asciiTheme="majorEastAsia" w:hAnsiTheme="majorEastAsia" w:eastAsiaTheme="majorEastAsia" w:cstheme="majorEastAsia"/>
          <w:color w:val="auto"/>
          <w:sz w:val="24"/>
          <w:highlight w:val="none"/>
        </w:rPr>
        <w:t>XXXX</w:t>
      </w:r>
    </w:p>
    <w:p>
      <w:pPr>
        <w:adjustRightInd w:val="0"/>
        <w:spacing w:line="5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日    期：</w:t>
      </w:r>
      <w:r>
        <w:rPr>
          <w:rFonts w:hint="eastAsia" w:asciiTheme="majorEastAsia" w:hAnsiTheme="majorEastAsia" w:eastAsiaTheme="majorEastAsia" w:cstheme="majorEastAsia"/>
          <w:color w:val="auto"/>
          <w:sz w:val="24"/>
          <w:highlight w:val="none"/>
        </w:rPr>
        <w:t>XXXX</w:t>
      </w:r>
      <w:r>
        <w:rPr>
          <w:rFonts w:hint="eastAsia" w:asciiTheme="majorEastAsia" w:hAnsiTheme="majorEastAsia" w:eastAsiaTheme="majorEastAsia" w:cstheme="majorEastAsia"/>
          <w:bCs/>
          <w:color w:val="auto"/>
          <w:sz w:val="24"/>
          <w:highlight w:val="none"/>
        </w:rPr>
        <w:t>年</w:t>
      </w:r>
      <w:r>
        <w:rPr>
          <w:rFonts w:hint="eastAsia" w:asciiTheme="majorEastAsia" w:hAnsiTheme="majorEastAsia" w:eastAsiaTheme="majorEastAsia" w:cstheme="majorEastAsia"/>
          <w:color w:val="auto"/>
          <w:sz w:val="24"/>
          <w:highlight w:val="none"/>
        </w:rPr>
        <w:t>XX</w:t>
      </w:r>
      <w:r>
        <w:rPr>
          <w:rFonts w:hint="eastAsia" w:asciiTheme="majorEastAsia" w:hAnsiTheme="majorEastAsia" w:eastAsiaTheme="majorEastAsia" w:cstheme="majorEastAsia"/>
          <w:bCs/>
          <w:color w:val="auto"/>
          <w:sz w:val="24"/>
          <w:highlight w:val="none"/>
        </w:rPr>
        <w:t>月</w:t>
      </w:r>
      <w:r>
        <w:rPr>
          <w:rFonts w:hint="eastAsia" w:asciiTheme="majorEastAsia" w:hAnsiTheme="majorEastAsia" w:eastAsiaTheme="majorEastAsia" w:cstheme="majorEastAsia"/>
          <w:color w:val="auto"/>
          <w:sz w:val="24"/>
          <w:highlight w:val="none"/>
        </w:rPr>
        <w:t>XX</w:t>
      </w:r>
      <w:r>
        <w:rPr>
          <w:rFonts w:hint="eastAsia" w:asciiTheme="majorEastAsia" w:hAnsiTheme="majorEastAsia" w:eastAsiaTheme="majorEastAsia" w:cstheme="majorEastAsia"/>
          <w:bCs/>
          <w:color w:val="auto"/>
          <w:sz w:val="24"/>
          <w:highlight w:val="none"/>
        </w:rPr>
        <w:t>日</w:t>
      </w:r>
    </w:p>
    <w:p>
      <w:pPr>
        <w:spacing w:line="500" w:lineRule="exact"/>
        <w:rPr>
          <w:rFonts w:hint="eastAsia" w:asciiTheme="majorEastAsia" w:hAnsiTheme="majorEastAsia" w:eastAsiaTheme="majorEastAsia" w:cstheme="majorEastAsia"/>
          <w:color w:val="auto"/>
          <w:sz w:val="24"/>
          <w:highlight w:val="none"/>
        </w:rPr>
        <w:sectPr>
          <w:pgSz w:w="11907" w:h="16839"/>
          <w:pgMar w:top="1440" w:right="1276" w:bottom="1440" w:left="1418" w:header="851" w:footer="992" w:gutter="0"/>
          <w:pgNumType w:fmt="numberInDash"/>
          <w:cols w:space="720" w:num="1"/>
          <w:titlePg/>
          <w:docGrid w:type="linesAndChars" w:linePitch="312" w:charSpace="0"/>
        </w:sectPr>
      </w:pPr>
    </w:p>
    <w:p>
      <w:pPr>
        <w:pStyle w:val="4"/>
        <w:jc w:val="both"/>
        <w:rPr>
          <w:rFonts w:hint="eastAsia" w:asciiTheme="majorEastAsia" w:hAnsiTheme="majorEastAsia" w:eastAsiaTheme="majorEastAsia" w:cstheme="majorEastAsia"/>
          <w:color w:val="auto"/>
          <w:highlight w:val="none"/>
        </w:rPr>
      </w:pPr>
    </w:p>
    <w:p>
      <w:pPr>
        <w:pStyle w:val="4"/>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九、供应商类似项目业绩一览表</w:t>
      </w:r>
    </w:p>
    <w:p>
      <w:pPr>
        <w:rPr>
          <w:rFonts w:hint="eastAsia" w:asciiTheme="majorEastAsia" w:hAnsiTheme="majorEastAsia" w:eastAsiaTheme="majorEastAsia" w:cstheme="major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4"/>
        <w:gridCol w:w="1396"/>
        <w:gridCol w:w="1397"/>
        <w:gridCol w:w="1397"/>
        <w:gridCol w:w="1431"/>
        <w:gridCol w:w="2034"/>
        <w:gridCol w:w="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top w:val="single" w:color="auto" w:sz="4" w:space="0"/>
            </w:tcBorders>
            <w:vAlign w:val="center"/>
          </w:tcPr>
          <w:p>
            <w:pPr>
              <w:spacing w:line="500" w:lineRule="exact"/>
              <w:jc w:val="both"/>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年份</w:t>
            </w: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用户名称</w:t>
            </w: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项目名称</w:t>
            </w: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完成时间</w:t>
            </w:r>
          </w:p>
        </w:tc>
        <w:tc>
          <w:tcPr>
            <w:tcW w:w="1431" w:type="dxa"/>
            <w:vAlign w:val="center"/>
          </w:tcPr>
          <w:p>
            <w:pPr>
              <w:spacing w:line="500" w:lineRule="exact"/>
              <w:jc w:val="both"/>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合同金额</w:t>
            </w:r>
          </w:p>
        </w:tc>
        <w:tc>
          <w:tcPr>
            <w:tcW w:w="2034"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是否通过验收</w:t>
            </w: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6"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7"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7"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431"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2034"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1431" w:type="dxa"/>
            <w:tcBorders>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2034" w:type="dxa"/>
            <w:tcBorders>
              <w:left w:val="single" w:color="auto" w:sz="4" w:space="0"/>
              <w:righ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left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left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4" w:type="dxa"/>
            <w:tcBorders>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left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left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34"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34" w:type="dxa"/>
            <w:tcBorders>
              <w:top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6" w:type="dxa"/>
            <w:tcBorders>
              <w:top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397" w:type="dxa"/>
            <w:tcBorders>
              <w:top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1431" w:type="dxa"/>
            <w:tcBorders>
              <w:top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2034" w:type="dxa"/>
            <w:tcBorders>
              <w:top w:val="single" w:color="auto" w:sz="4" w:space="0"/>
              <w:left w:val="single" w:color="auto" w:sz="4" w:space="0"/>
              <w:righ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c>
          <w:tcPr>
            <w:tcW w:w="804" w:type="dxa"/>
            <w:tcBorders>
              <w:top w:val="single" w:color="auto" w:sz="4" w:space="0"/>
              <w:left w:val="single" w:color="auto" w:sz="4" w:space="0"/>
            </w:tcBorders>
            <w:vAlign w:val="center"/>
          </w:tcPr>
          <w:p>
            <w:pPr>
              <w:spacing w:line="500" w:lineRule="exact"/>
              <w:jc w:val="center"/>
              <w:rPr>
                <w:rFonts w:hint="eastAsia" w:asciiTheme="majorEastAsia" w:hAnsiTheme="majorEastAsia" w:eastAsiaTheme="majorEastAsia" w:cstheme="majorEastAsia"/>
                <w:bCs/>
                <w:color w:val="auto"/>
                <w:sz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hint="eastAsia" w:asciiTheme="majorEastAsia" w:hAnsiTheme="majorEastAsia" w:eastAsiaTheme="majorEastAsia" w:cstheme="majorEastAsia"/>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注：供应商以上业绩需提供有关书面证明材料。“合同金额”需提供合同复印件。</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spacing w:line="500" w:lineRule="exact"/>
        <w:ind w:firstLine="240" w:firstLineChars="100"/>
        <w:jc w:val="center"/>
        <w:rPr>
          <w:rFonts w:hint="eastAsia" w:asciiTheme="majorEastAsia" w:hAnsiTheme="majorEastAsia" w:eastAsiaTheme="majorEastAsia" w:cstheme="majorEastAsia"/>
          <w:color w:val="auto"/>
          <w:szCs w:val="32"/>
          <w:highlight w:val="none"/>
        </w:rPr>
      </w:pPr>
      <w:r>
        <w:rPr>
          <w:rFonts w:hint="eastAsia" w:asciiTheme="majorEastAsia" w:hAnsiTheme="majorEastAsia" w:eastAsiaTheme="majorEastAsia" w:cstheme="majorEastAsia"/>
          <w:color w:val="auto"/>
          <w:sz w:val="24"/>
          <w:highlight w:val="none"/>
        </w:rPr>
        <w:br w:type="page"/>
      </w:r>
      <w:r>
        <w:rPr>
          <w:rStyle w:val="42"/>
          <w:rFonts w:hint="eastAsia" w:asciiTheme="majorEastAsia" w:hAnsiTheme="majorEastAsia" w:eastAsiaTheme="majorEastAsia" w:cstheme="majorEastAsia"/>
          <w:color w:val="auto"/>
          <w:highlight w:val="none"/>
        </w:rPr>
        <w:t>十</w:t>
      </w:r>
      <w:r>
        <w:rPr>
          <w:rFonts w:hint="eastAsia" w:asciiTheme="majorEastAsia" w:hAnsiTheme="majorEastAsia" w:eastAsiaTheme="majorEastAsia" w:cstheme="majorEastAsia"/>
          <w:b/>
          <w:color w:val="auto"/>
          <w:szCs w:val="32"/>
          <w:highlight w:val="none"/>
        </w:rPr>
        <w:t>、供应商本项目管理、技术、服务人员情况表</w:t>
      </w:r>
    </w:p>
    <w:p>
      <w:pPr>
        <w:spacing w:line="500" w:lineRule="exact"/>
        <w:rPr>
          <w:rFonts w:hint="eastAsia" w:asciiTheme="majorEastAsia" w:hAnsiTheme="majorEastAsia" w:eastAsiaTheme="majorEastAsia" w:cstheme="majorEastAsia"/>
          <w:color w:val="auto"/>
          <w:sz w:val="24"/>
          <w:highlight w:val="none"/>
        </w:rPr>
      </w:pPr>
    </w:p>
    <w:p>
      <w:pPr>
        <w:spacing w:line="5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w:t>
      </w:r>
    </w:p>
    <w:p>
      <w:pPr>
        <w:spacing w:line="5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p>
    <w:p>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包    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47"/>
        <w:gridCol w:w="1048"/>
        <w:gridCol w:w="1048"/>
        <w:gridCol w:w="1048"/>
        <w:gridCol w:w="1048"/>
        <w:gridCol w:w="1048"/>
        <w:gridCol w:w="104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类别</w:t>
            </w:r>
          </w:p>
        </w:tc>
        <w:tc>
          <w:tcPr>
            <w:tcW w:w="1047"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职务</w:t>
            </w:r>
          </w:p>
        </w:tc>
        <w:tc>
          <w:tcPr>
            <w:tcW w:w="1048"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1048"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职称</w:t>
            </w:r>
          </w:p>
        </w:tc>
        <w:tc>
          <w:tcPr>
            <w:tcW w:w="1048"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常住地</w:t>
            </w:r>
          </w:p>
        </w:tc>
        <w:tc>
          <w:tcPr>
            <w:tcW w:w="4191" w:type="dxa"/>
            <w:gridSpan w:val="4"/>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8"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8"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8"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证书</w:t>
            </w:r>
          </w:p>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名称</w:t>
            </w:r>
          </w:p>
        </w:tc>
        <w:tc>
          <w:tcPr>
            <w:tcW w:w="104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级别</w:t>
            </w:r>
          </w:p>
        </w:tc>
        <w:tc>
          <w:tcPr>
            <w:tcW w:w="1047"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证号</w:t>
            </w:r>
          </w:p>
        </w:tc>
        <w:tc>
          <w:tcPr>
            <w:tcW w:w="1048" w:type="dxa"/>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管理</w:t>
            </w:r>
          </w:p>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人员</w:t>
            </w: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w:t>
            </w:r>
          </w:p>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人员</w:t>
            </w: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服务</w:t>
            </w:r>
          </w:p>
          <w:p>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人员</w:t>
            </w: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c>
          <w:tcPr>
            <w:tcW w:w="1047" w:type="dxa"/>
          </w:tcPr>
          <w:p>
            <w:pPr>
              <w:spacing w:line="500" w:lineRule="exact"/>
              <w:rPr>
                <w:rFonts w:hint="eastAsia" w:asciiTheme="majorEastAsia" w:hAnsiTheme="majorEastAsia" w:eastAsiaTheme="majorEastAsia" w:cstheme="majorEastAsia"/>
                <w:color w:val="auto"/>
                <w:sz w:val="24"/>
                <w:highlight w:val="none"/>
              </w:rPr>
            </w:pPr>
          </w:p>
        </w:tc>
        <w:tc>
          <w:tcPr>
            <w:tcW w:w="1048" w:type="dxa"/>
          </w:tcPr>
          <w:p>
            <w:pPr>
              <w:spacing w:line="500" w:lineRule="exact"/>
              <w:rPr>
                <w:rFonts w:hint="eastAsia" w:asciiTheme="majorEastAsia" w:hAnsiTheme="majorEastAsia" w:eastAsiaTheme="majorEastAsia" w:cstheme="majorEastAsia"/>
                <w:color w:val="auto"/>
                <w:sz w:val="24"/>
                <w:highlight w:val="none"/>
              </w:rPr>
            </w:pPr>
          </w:p>
        </w:tc>
      </w:tr>
    </w:tbl>
    <w:p>
      <w:pPr>
        <w:widowControl/>
        <w:rPr>
          <w:rFonts w:hint="eastAsia" w:asciiTheme="majorEastAsia" w:hAnsiTheme="majorEastAsia" w:eastAsiaTheme="majorEastAsia" w:cstheme="majorEastAsia"/>
          <w:b/>
          <w:color w:val="auto"/>
          <w:kern w:val="0"/>
          <w:sz w:val="24"/>
          <w:highlight w:val="none"/>
          <w:lang w:bidi="ar"/>
        </w:rPr>
      </w:pPr>
    </w:p>
    <w:p>
      <w:pPr>
        <w:widowControl/>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注：1、此表格中需要填写的</w:t>
      </w:r>
      <w:r>
        <w:rPr>
          <w:rFonts w:hint="eastAsia" w:asciiTheme="majorEastAsia" w:hAnsiTheme="majorEastAsia" w:eastAsiaTheme="majorEastAsia" w:cstheme="majorEastAsia"/>
          <w:color w:val="auto"/>
          <w:kern w:val="0"/>
          <w:sz w:val="24"/>
          <w:highlight w:val="none"/>
          <w:lang w:bidi="ar"/>
        </w:rPr>
        <w:t>若无涉及可不填写此项或“</w:t>
      </w:r>
      <w:r>
        <w:rPr>
          <w:rFonts w:hint="eastAsia" w:asciiTheme="majorEastAsia" w:hAnsiTheme="majorEastAsia" w:eastAsiaTheme="majorEastAsia" w:cstheme="majorEastAsia"/>
          <w:b/>
          <w:color w:val="auto"/>
          <w:kern w:val="0"/>
          <w:sz w:val="24"/>
          <w:highlight w:val="none"/>
          <w:lang w:bidi="ar"/>
        </w:rPr>
        <w:t>/</w:t>
      </w:r>
      <w:r>
        <w:rPr>
          <w:rFonts w:hint="eastAsia" w:asciiTheme="majorEastAsia" w:hAnsiTheme="majorEastAsia" w:eastAsiaTheme="majorEastAsia" w:cstheme="majorEastAsia"/>
          <w:color w:val="auto"/>
          <w:kern w:val="0"/>
          <w:sz w:val="24"/>
          <w:highlight w:val="none"/>
          <w:lang w:bidi="ar"/>
        </w:rPr>
        <w:t xml:space="preserve">”。 </w:t>
      </w:r>
    </w:p>
    <w:p>
      <w:pPr>
        <w:widowControl/>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2、此表格式可自拟。</w:t>
      </w:r>
    </w:p>
    <w:p>
      <w:pPr>
        <w:spacing w:line="500" w:lineRule="exact"/>
        <w:rPr>
          <w:rFonts w:hint="eastAsia" w:asciiTheme="majorEastAsia" w:hAnsiTheme="majorEastAsia" w:eastAsiaTheme="majorEastAsia" w:cstheme="majorEastAsia"/>
          <w:color w:val="auto"/>
          <w:sz w:val="24"/>
          <w:highlight w:val="none"/>
        </w:rPr>
      </w:pPr>
    </w:p>
    <w:p>
      <w:pPr>
        <w:spacing w:line="500" w:lineRule="exact"/>
        <w:rPr>
          <w:rFonts w:hint="eastAsia" w:asciiTheme="majorEastAsia" w:hAnsiTheme="majorEastAsia" w:eastAsiaTheme="majorEastAsia" w:cstheme="majorEastAsia"/>
          <w:color w:val="auto"/>
          <w:sz w:val="24"/>
          <w:highlight w:val="none"/>
        </w:rPr>
      </w:pPr>
    </w:p>
    <w:p>
      <w:pPr>
        <w:spacing w:line="500" w:lineRule="exact"/>
        <w:rPr>
          <w:rFonts w:hint="eastAsia" w:asciiTheme="majorEastAsia" w:hAnsiTheme="majorEastAsia" w:eastAsiaTheme="majorEastAsia" w:cstheme="majorEastAsia"/>
          <w:color w:val="auto"/>
          <w:sz w:val="24"/>
          <w:highlight w:val="none"/>
        </w:rPr>
      </w:pPr>
    </w:p>
    <w:p>
      <w:pPr>
        <w:spacing w:line="500" w:lineRule="exact"/>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法定代表人或授权代表（签或盖章字）：XXXX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jc w:val="center"/>
        <w:rPr>
          <w:rStyle w:val="42"/>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br w:type="page"/>
      </w:r>
      <w:bookmarkStart w:id="152" w:name="_Toc497827073"/>
      <w:bookmarkStart w:id="153" w:name="_Toc496458672"/>
      <w:r>
        <w:rPr>
          <w:rStyle w:val="42"/>
          <w:rFonts w:hint="eastAsia" w:asciiTheme="majorEastAsia" w:hAnsiTheme="majorEastAsia" w:eastAsiaTheme="majorEastAsia" w:cstheme="majorEastAsia"/>
          <w:color w:val="auto"/>
          <w:highlight w:val="none"/>
        </w:rPr>
        <w:t>十一、</w:t>
      </w:r>
      <w:bookmarkEnd w:id="152"/>
      <w:bookmarkEnd w:id="153"/>
      <w:r>
        <w:rPr>
          <w:rStyle w:val="42"/>
          <w:rFonts w:hint="eastAsia" w:asciiTheme="majorEastAsia" w:hAnsiTheme="majorEastAsia" w:eastAsiaTheme="majorEastAsia" w:cstheme="majorEastAsia"/>
          <w:color w:val="auto"/>
          <w:highlight w:val="none"/>
        </w:rPr>
        <w:t>无失信被执行行为承诺书</w:t>
      </w:r>
    </w:p>
    <w:p>
      <w:pPr>
        <w:pStyle w:val="2"/>
        <w:rPr>
          <w:rFonts w:hint="eastAsia" w:asciiTheme="majorEastAsia" w:hAnsiTheme="majorEastAsia" w:eastAsiaTheme="majorEastAsia" w:cstheme="majorEastAsia"/>
          <w:color w:val="auto"/>
          <w:highlight w:val="none"/>
        </w:rPr>
      </w:pPr>
    </w:p>
    <w:p>
      <w:pPr>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 xml:space="preserve">：                         </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XXXX（供应商名称）郑重承诺：本公司遵守法律法规规定，不在财政部门、人民法院、工商行政管理部门、税务部门、银行公布的失信被执行人或失信行为名单中，在参加本次采购项目前三年内，政府采购合同履约过程中及其他经营活动履约过程中未被有关部门处罚（处理），愿意接受社会各界监督。</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若有违反承诺内容的行为，自愿依法接受在参加政府采购活动中实行的报价加成或直接从总分中扣分、取消投标资格、记入信用档案、没收投标保证金等有关处理，愿意承担法律责任，给采购人造成损失的，依法承担赔偿责任。</w:t>
      </w:r>
    </w:p>
    <w:p>
      <w:pPr>
        <w:pStyle w:val="43"/>
        <w:spacing w:after="0" w:line="360" w:lineRule="auto"/>
        <w:ind w:left="0" w:leftChars="0"/>
        <w:jc w:val="both"/>
        <w:rPr>
          <w:rFonts w:hint="eastAsia" w:asciiTheme="majorEastAsia" w:hAnsiTheme="majorEastAsia" w:eastAsiaTheme="majorEastAsia" w:cstheme="majorEastAsia"/>
          <w:color w:val="auto"/>
          <w:highlight w:val="none"/>
        </w:rPr>
      </w:pPr>
    </w:p>
    <w:p>
      <w:pPr>
        <w:ind w:firstLine="482" w:firstLineChars="200"/>
        <w:jc w:val="both"/>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p>
      <w:pPr>
        <w:pStyle w:val="43"/>
        <w:spacing w:after="0" w:line="360" w:lineRule="auto"/>
        <w:ind w:left="0" w:leftChars="0"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1、投标人可通过“信用中国”网站（www.creditchina.gov.cn）、“成都信用”（www.cdcredit.gov.cn）、中国政府采购网（www.ccgp.gov.cn）、四川政府采购网（http://www.ccgp-sichuan.gov.cn）等渠道查询相关信用记录。</w:t>
      </w:r>
    </w:p>
    <w:p>
      <w:pPr>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2、投标供应商的失信行为受到行政处罚或司法惩处的（处罚决定规定的时间和地域范围内），将被取消投标或成交资格，不再对其以价格加成或扣分的方式进行惩戒。  </w:t>
      </w:r>
    </w:p>
    <w:p>
      <w:pPr>
        <w:ind w:firstLine="480" w:firstLineChars="200"/>
        <w:rPr>
          <w:rFonts w:hint="eastAsia" w:asciiTheme="majorEastAsia" w:hAnsiTheme="majorEastAsia" w:eastAsiaTheme="majorEastAsia" w:cstheme="majorEastAsia"/>
          <w:color w:val="auto"/>
          <w:sz w:val="24"/>
          <w:highlight w:val="none"/>
        </w:rPr>
      </w:pPr>
      <w:bookmarkStart w:id="154" w:name="_Toc496458673"/>
    </w:p>
    <w:p>
      <w:pPr>
        <w:pStyle w:val="43"/>
        <w:ind w:left="640"/>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 xml:space="preserve">          </w:t>
      </w:r>
    </w:p>
    <w:p>
      <w:pPr>
        <w:spacing w:line="500" w:lineRule="exact"/>
        <w:jc w:val="center"/>
        <w:rPr>
          <w:rFonts w:hint="eastAsia" w:asciiTheme="majorEastAsia" w:hAnsiTheme="majorEastAsia" w:eastAsiaTheme="majorEastAsia" w:cstheme="majorEastAsia"/>
          <w:b/>
          <w:color w:val="auto"/>
          <w:sz w:val="24"/>
          <w:highlight w:val="none"/>
        </w:rPr>
        <w:sectPr>
          <w:footerReference r:id="rId11" w:type="default"/>
          <w:footerReference r:id="rId12" w:type="even"/>
          <w:type w:val="continuous"/>
          <w:pgSz w:w="11907" w:h="16839"/>
          <w:pgMar w:top="1440" w:right="1276" w:bottom="1440" w:left="1418" w:header="851" w:footer="992" w:gutter="0"/>
          <w:pgNumType w:fmt="numberInDash"/>
          <w:cols w:space="720" w:num="1"/>
          <w:docGrid w:type="lines" w:linePitch="312" w:charSpace="0"/>
        </w:sectPr>
      </w:pPr>
    </w:p>
    <w:p>
      <w:pPr>
        <w:jc w:val="center"/>
        <w:rPr>
          <w:rFonts w:hint="eastAsia" w:asciiTheme="majorEastAsia" w:hAnsiTheme="majorEastAsia" w:eastAsiaTheme="majorEastAsia" w:cstheme="majorEastAsia"/>
          <w:b/>
          <w:bCs/>
          <w:color w:val="auto"/>
          <w:szCs w:val="32"/>
          <w:highlight w:val="none"/>
        </w:rPr>
      </w:pPr>
      <w:r>
        <w:rPr>
          <w:rFonts w:hint="eastAsia" w:asciiTheme="majorEastAsia" w:hAnsiTheme="majorEastAsia" w:eastAsiaTheme="majorEastAsia" w:cstheme="majorEastAsia"/>
          <w:b/>
          <w:color w:val="auto"/>
          <w:szCs w:val="32"/>
          <w:highlight w:val="none"/>
        </w:rPr>
        <w:t xml:space="preserve"> 十二、参加政府采购活动前三年内，在经营活动中没有重大违法记录承诺函</w:t>
      </w:r>
    </w:p>
    <w:p>
      <w:pPr>
        <w:adjustRightInd w:val="0"/>
        <w:snapToGrid w:val="0"/>
        <w:rPr>
          <w:rFonts w:hint="eastAsia" w:asciiTheme="majorEastAsia" w:hAnsiTheme="majorEastAsia" w:eastAsiaTheme="majorEastAsia" w:cstheme="majorEastAsia"/>
          <w:color w:val="auto"/>
          <w:sz w:val="24"/>
          <w:highlight w:val="none"/>
        </w:rPr>
      </w:pPr>
    </w:p>
    <w:p>
      <w:pPr>
        <w:adjustRightInd w:val="0"/>
        <w:snapToGrid w:val="0"/>
        <w:rPr>
          <w:rFonts w:hint="eastAsia" w:asciiTheme="majorEastAsia" w:hAnsiTheme="majorEastAsia" w:eastAsiaTheme="majorEastAsia" w:cstheme="majorEastAsia"/>
          <w:bCs/>
          <w:color w:val="auto"/>
          <w:kern w:val="0"/>
          <w:sz w:val="28"/>
          <w:szCs w:val="28"/>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Cs/>
          <w:color w:val="auto"/>
          <w:kern w:val="0"/>
          <w:sz w:val="28"/>
          <w:szCs w:val="28"/>
          <w:highlight w:val="none"/>
        </w:rPr>
        <w:t xml:space="preserve"> </w:t>
      </w:r>
    </w:p>
    <w:p>
      <w:pPr>
        <w:ind w:firstLine="566" w:firstLineChars="23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（投标人名称）。参加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（采购项目名称）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（采购项目编号：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）的投标活动，现承诺我公司在参加本次政府采购活动前三年内，在经营活动中没有重大违法记录。</w:t>
      </w:r>
    </w:p>
    <w:p>
      <w:pPr>
        <w:ind w:firstLine="480" w:firstLineChars="200"/>
        <w:rPr>
          <w:rFonts w:hint="eastAsia" w:asciiTheme="majorEastAsia" w:hAnsiTheme="majorEastAsia" w:eastAsiaTheme="majorEastAsia" w:cstheme="majorEastAsia"/>
          <w:color w:val="auto"/>
          <w:sz w:val="24"/>
          <w:highlight w:val="none"/>
        </w:rPr>
      </w:pPr>
    </w:p>
    <w:p>
      <w:pPr>
        <w:ind w:firstLine="600" w:firstLineChars="2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ind w:firstLine="720" w:firstLineChars="300"/>
        <w:rPr>
          <w:rFonts w:hint="eastAsia" w:asciiTheme="majorEastAsia" w:hAnsiTheme="majorEastAsia" w:eastAsiaTheme="majorEastAsia" w:cstheme="majorEastAsia"/>
          <w:color w:val="auto"/>
          <w:sz w:val="24"/>
          <w:highlight w:val="none"/>
        </w:rPr>
      </w:pPr>
    </w:p>
    <w:p>
      <w:pPr>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我公司对上述承诺的真实性负责。如有虚假，我公司愿承担一切法律责任。</w:t>
      </w:r>
    </w:p>
    <w:p>
      <w:pPr>
        <w:pStyle w:val="44"/>
        <w:spacing w:line="420" w:lineRule="exact"/>
        <w:ind w:firstLine="0" w:firstLineChars="0"/>
        <w:rPr>
          <w:rFonts w:hint="eastAsia" w:asciiTheme="majorEastAsia" w:hAnsiTheme="majorEastAsia" w:eastAsiaTheme="majorEastAsia" w:cstheme="majorEastAsia"/>
          <w:b/>
          <w:color w:val="auto"/>
          <w:sz w:val="28"/>
          <w:szCs w:val="28"/>
          <w:highlight w:val="none"/>
        </w:rPr>
      </w:pPr>
    </w:p>
    <w:p>
      <w:pPr>
        <w:pStyle w:val="44"/>
        <w:spacing w:line="420" w:lineRule="exact"/>
        <w:ind w:firstLine="0" w:firstLineChars="0"/>
        <w:rPr>
          <w:rFonts w:hint="eastAsia" w:asciiTheme="majorEastAsia" w:hAnsiTheme="majorEastAsia" w:eastAsiaTheme="majorEastAsia" w:cstheme="majorEastAsia"/>
          <w:b/>
          <w:color w:val="auto"/>
          <w:sz w:val="28"/>
          <w:szCs w:val="28"/>
          <w:highlight w:val="none"/>
        </w:rPr>
      </w:pPr>
    </w:p>
    <w:p>
      <w:pPr>
        <w:pStyle w:val="44"/>
        <w:spacing w:line="420" w:lineRule="exact"/>
        <w:ind w:firstLine="0" w:firstLineChars="0"/>
        <w:rPr>
          <w:rFonts w:hint="eastAsia" w:asciiTheme="majorEastAsia" w:hAnsiTheme="majorEastAsia" w:eastAsiaTheme="majorEastAsia" w:cstheme="majorEastAsia"/>
          <w:b/>
          <w:color w:val="auto"/>
          <w:sz w:val="28"/>
          <w:szCs w:val="28"/>
          <w:highlight w:val="none"/>
        </w:rPr>
      </w:pPr>
    </w:p>
    <w:p>
      <w:pPr>
        <w:pStyle w:val="44"/>
        <w:spacing w:line="420" w:lineRule="exact"/>
        <w:ind w:firstLine="0" w:firstLineChars="0"/>
        <w:rPr>
          <w:rFonts w:hint="eastAsia" w:asciiTheme="majorEastAsia" w:hAnsiTheme="majorEastAsia" w:eastAsiaTheme="majorEastAsia" w:cstheme="majorEastAsia"/>
          <w:bCs/>
          <w:color w:val="auto"/>
          <w:sz w:val="28"/>
          <w:szCs w:val="28"/>
          <w:highlight w:val="none"/>
        </w:rPr>
      </w:pPr>
    </w:p>
    <w:p>
      <w:pPr>
        <w:pStyle w:val="44"/>
        <w:spacing w:line="420" w:lineRule="exact"/>
        <w:ind w:firstLine="0" w:firstLineChars="0"/>
        <w:rPr>
          <w:rFonts w:hint="eastAsia" w:asciiTheme="majorEastAsia" w:hAnsiTheme="majorEastAsia" w:eastAsiaTheme="majorEastAsia" w:cstheme="majorEastAsia"/>
          <w:bCs/>
          <w:color w:val="auto"/>
          <w:sz w:val="28"/>
          <w:szCs w:val="28"/>
          <w:highlight w:val="none"/>
        </w:rPr>
      </w:pPr>
    </w:p>
    <w:p>
      <w:pPr>
        <w:pStyle w:val="44"/>
        <w:spacing w:line="420" w:lineRule="exact"/>
        <w:ind w:firstLine="0" w:firstLineChars="0"/>
        <w:rPr>
          <w:rFonts w:hint="eastAsia" w:asciiTheme="majorEastAsia" w:hAnsiTheme="majorEastAsia" w:eastAsiaTheme="majorEastAsia" w:cstheme="majorEastAsia"/>
          <w:bCs/>
          <w:color w:val="auto"/>
          <w:sz w:val="28"/>
          <w:szCs w:val="28"/>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单位名称：XXXX（盖单位公章）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日期：XXX年XXX月XXX日</w:t>
      </w:r>
    </w:p>
    <w:p>
      <w:pPr>
        <w:pStyle w:val="44"/>
        <w:spacing w:line="420" w:lineRule="exact"/>
        <w:ind w:firstLine="0" w:firstLineChars="0"/>
        <w:rPr>
          <w:rFonts w:hint="eastAsia" w:asciiTheme="majorEastAsia" w:hAnsiTheme="majorEastAsia" w:eastAsiaTheme="majorEastAsia" w:cstheme="majorEastAsia"/>
          <w:bCs/>
          <w:color w:val="auto"/>
          <w:sz w:val="24"/>
          <w:szCs w:val="28"/>
          <w:highlight w:val="none"/>
        </w:rPr>
      </w:pPr>
    </w:p>
    <w:p>
      <w:pPr>
        <w:pStyle w:val="44"/>
        <w:spacing w:line="420" w:lineRule="exact"/>
        <w:ind w:firstLine="0" w:firstLineChars="0"/>
        <w:rPr>
          <w:rFonts w:hint="eastAsia" w:asciiTheme="majorEastAsia" w:hAnsiTheme="majorEastAsia" w:eastAsiaTheme="majorEastAsia" w:cstheme="majorEastAsia"/>
          <w:bCs/>
          <w:color w:val="auto"/>
          <w:sz w:val="24"/>
          <w:szCs w:val="28"/>
          <w:highlight w:val="none"/>
        </w:rPr>
      </w:pPr>
    </w:p>
    <w:p>
      <w:pPr>
        <w:spacing w:line="500" w:lineRule="exact"/>
        <w:jc w:val="center"/>
        <w:rPr>
          <w:rStyle w:val="42"/>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4"/>
          <w:highlight w:val="none"/>
        </w:rPr>
        <w:br w:type="page"/>
      </w:r>
      <w:r>
        <w:rPr>
          <w:rStyle w:val="42"/>
          <w:rFonts w:hint="eastAsia" w:asciiTheme="majorEastAsia" w:hAnsiTheme="majorEastAsia" w:eastAsiaTheme="majorEastAsia" w:cstheme="majorEastAsia"/>
          <w:color w:val="auto"/>
          <w:sz w:val="24"/>
          <w:szCs w:val="24"/>
          <w:highlight w:val="none"/>
        </w:rPr>
        <w:t xml:space="preserve"> </w:t>
      </w:r>
      <w:bookmarkStart w:id="155" w:name="_Toc497827074"/>
      <w:r>
        <w:rPr>
          <w:rStyle w:val="42"/>
          <w:rFonts w:hint="eastAsia" w:asciiTheme="majorEastAsia" w:hAnsiTheme="majorEastAsia" w:eastAsiaTheme="majorEastAsia" w:cstheme="majorEastAsia"/>
          <w:color w:val="auto"/>
          <w:highlight w:val="none"/>
        </w:rPr>
        <w:t>十三、</w:t>
      </w:r>
      <w:bookmarkEnd w:id="154"/>
      <w:bookmarkEnd w:id="155"/>
      <w:r>
        <w:rPr>
          <w:rStyle w:val="42"/>
          <w:rFonts w:hint="eastAsia" w:asciiTheme="majorEastAsia" w:hAnsiTheme="majorEastAsia" w:eastAsiaTheme="majorEastAsia" w:cstheme="majorEastAsia"/>
          <w:color w:val="auto"/>
          <w:highlight w:val="none"/>
        </w:rPr>
        <w:t>参加政府采购活动前三年内，投标供应商、法定代表人或主要负责人无行贿犯罪记录承诺函</w:t>
      </w:r>
    </w:p>
    <w:p>
      <w:pPr>
        <w:spacing w:line="500" w:lineRule="exact"/>
        <w:jc w:val="center"/>
        <w:rPr>
          <w:rFonts w:hint="eastAsia" w:asciiTheme="majorEastAsia" w:hAnsiTheme="majorEastAsia" w:eastAsiaTheme="majorEastAsia" w:cstheme="majorEastAsia"/>
          <w:b/>
          <w:bCs/>
          <w:color w:val="auto"/>
          <w:sz w:val="24"/>
          <w:highlight w:val="none"/>
        </w:rPr>
      </w:pPr>
    </w:p>
    <w:p>
      <w:pPr>
        <w:spacing w:line="500" w:lineRule="exact"/>
        <w:ind w:firstLine="480" w:firstLineChars="200"/>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 xml:space="preserve">：                         </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本公司XXXX（供应商名称）参加XXXXXXXX（采购项目名称）（采购项目编号：XXXX）的采购活动，现承诺我公司在参加本次政府采购活动前三年内，本投标供应商、现任法定代表人或主要负责人无行贿犯罪记录。</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我公司对上述承诺的真实性负责。如有虚假，我公司愿承担一切法律责任。</w:t>
      </w:r>
    </w:p>
    <w:p>
      <w:pPr>
        <w:ind w:firstLine="360" w:firstLineChars="150"/>
        <w:rPr>
          <w:rFonts w:hint="eastAsia" w:asciiTheme="majorEastAsia" w:hAnsiTheme="majorEastAsia" w:eastAsiaTheme="majorEastAsia" w:cstheme="majorEastAsia"/>
          <w:color w:val="auto"/>
          <w:sz w:val="24"/>
          <w:highlight w:val="none"/>
        </w:rPr>
      </w:pPr>
    </w:p>
    <w:p>
      <w:pPr>
        <w:pStyle w:val="44"/>
        <w:ind w:firstLine="0" w:firstLineChars="0"/>
        <w:rPr>
          <w:rFonts w:hint="eastAsia" w:asciiTheme="majorEastAsia" w:hAnsiTheme="majorEastAsia" w:eastAsiaTheme="majorEastAsia" w:cstheme="majorEastAsia"/>
          <w:b/>
          <w:color w:val="auto"/>
          <w:sz w:val="24"/>
          <w:highlight w:val="none"/>
        </w:rPr>
      </w:pPr>
    </w:p>
    <w:p>
      <w:pPr>
        <w:pStyle w:val="44"/>
        <w:ind w:firstLine="0" w:firstLineChars="0"/>
        <w:rPr>
          <w:rFonts w:hint="eastAsia" w:asciiTheme="majorEastAsia" w:hAnsiTheme="majorEastAsia" w:eastAsiaTheme="majorEastAsia" w:cstheme="majorEastAsia"/>
          <w:b/>
          <w:color w:val="auto"/>
          <w:sz w:val="24"/>
          <w:highlight w:val="none"/>
        </w:rPr>
      </w:pPr>
    </w:p>
    <w:p>
      <w:pPr>
        <w:pStyle w:val="44"/>
        <w:ind w:firstLine="0" w:firstLineChars="0"/>
        <w:rPr>
          <w:rFonts w:hint="eastAsia" w:asciiTheme="majorEastAsia" w:hAnsiTheme="majorEastAsia" w:eastAsiaTheme="majorEastAsia" w:cstheme="majorEastAsia"/>
          <w:b/>
          <w:color w:val="auto"/>
          <w:sz w:val="24"/>
          <w:highlight w:val="none"/>
        </w:rPr>
      </w:pPr>
    </w:p>
    <w:p>
      <w:pPr>
        <w:pStyle w:val="44"/>
        <w:ind w:firstLine="0" w:firstLineChars="0"/>
        <w:rPr>
          <w:rFonts w:hint="eastAsia" w:asciiTheme="majorEastAsia" w:hAnsiTheme="majorEastAsia" w:eastAsiaTheme="majorEastAsia" w:cstheme="majorEastAsia"/>
          <w:b/>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jc w:val="center"/>
        <w:rPr>
          <w:rStyle w:val="42"/>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rPr>
        <w:br w:type="page"/>
      </w:r>
      <w:r>
        <w:rPr>
          <w:rStyle w:val="42"/>
          <w:rFonts w:hint="eastAsia" w:asciiTheme="majorEastAsia" w:hAnsiTheme="majorEastAsia" w:eastAsiaTheme="majorEastAsia" w:cstheme="majorEastAsia"/>
          <w:color w:val="auto"/>
          <w:highlight w:val="none"/>
        </w:rPr>
        <w:t>十四、中小企业声明函</w:t>
      </w:r>
    </w:p>
    <w:p>
      <w:pPr>
        <w:pStyle w:val="2"/>
        <w:rPr>
          <w:rFonts w:hint="eastAsia" w:asciiTheme="majorEastAsia" w:hAnsiTheme="majorEastAsia" w:eastAsiaTheme="majorEastAsia" w:cstheme="majorEastAsia"/>
          <w:color w:val="auto"/>
          <w:highlight w:val="none"/>
        </w:rPr>
      </w:pPr>
    </w:p>
    <w:p>
      <w:pPr>
        <w:widowControl/>
        <w:adjustRightInd w:val="0"/>
        <w:snapToGrid w:val="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bidi="ar"/>
        </w:rPr>
        <w:t>本公司（联合体）郑重声明，根据《政府采购促进中小企业发展管理办法》（财库﹝2020﹞46 号）的规定，本公司 （联合体）参加</w:t>
      </w:r>
      <w:r>
        <w:rPr>
          <w:rFonts w:hint="eastAsia" w:asciiTheme="majorEastAsia" w:hAnsiTheme="majorEastAsia" w:eastAsiaTheme="majorEastAsia" w:cstheme="majorEastAsia"/>
          <w:iCs/>
          <w:color w:val="auto"/>
          <w:kern w:val="0"/>
          <w:sz w:val="24"/>
          <w:highlight w:val="none"/>
          <w:u w:val="single"/>
          <w:lang w:bidi="ar"/>
        </w:rPr>
        <w:t>（单位名称）</w:t>
      </w:r>
      <w:r>
        <w:rPr>
          <w:rFonts w:hint="eastAsia" w:asciiTheme="majorEastAsia" w:hAnsiTheme="majorEastAsia" w:eastAsiaTheme="majorEastAsia" w:cstheme="majorEastAsia"/>
          <w:iCs/>
          <w:color w:val="auto"/>
          <w:kern w:val="0"/>
          <w:sz w:val="24"/>
          <w:highlight w:val="none"/>
          <w:lang w:bidi="ar"/>
        </w:rPr>
        <w:t>的</w:t>
      </w:r>
      <w:r>
        <w:rPr>
          <w:rFonts w:hint="eastAsia" w:asciiTheme="majorEastAsia" w:hAnsiTheme="majorEastAsia" w:eastAsiaTheme="majorEastAsia" w:cstheme="majorEastAsia"/>
          <w:iCs/>
          <w:color w:val="auto"/>
          <w:kern w:val="0"/>
          <w:sz w:val="24"/>
          <w:highlight w:val="none"/>
          <w:u w:val="single"/>
          <w:lang w:bidi="ar"/>
        </w:rPr>
        <w:t>（项目名称）</w:t>
      </w:r>
      <w:r>
        <w:rPr>
          <w:rFonts w:hint="eastAsia" w:asciiTheme="majorEastAsia" w:hAnsiTheme="majorEastAsia" w:eastAsiaTheme="majorEastAsia" w:cstheme="majorEastAsia"/>
          <w:color w:val="auto"/>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pStyle w:val="2"/>
        <w:numPr>
          <w:ilvl w:val="0"/>
          <w:numId w:val="8"/>
        </w:numPr>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行业；承建（承接）企业为</w:t>
      </w:r>
      <w:r>
        <w:rPr>
          <w:rFonts w:hint="eastAsia" w:asciiTheme="majorEastAsia" w:hAnsiTheme="majorEastAsia" w:eastAsiaTheme="majorEastAsia" w:cstheme="majorEastAsia"/>
          <w:color w:val="auto"/>
          <w:sz w:val="24"/>
          <w:highlight w:val="none"/>
          <w:u w:val="single"/>
        </w:rPr>
        <w:t xml:space="preserve">（企业名称）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中型企业、小型企业、微型企业</w:t>
      </w:r>
      <w:r>
        <w:rPr>
          <w:rFonts w:hint="eastAsia" w:asciiTheme="majorEastAsia" w:hAnsiTheme="majorEastAsia" w:eastAsiaTheme="majorEastAsia" w:cstheme="majorEastAsia"/>
          <w:color w:val="auto"/>
          <w:sz w:val="24"/>
          <w:highlight w:val="none"/>
        </w:rPr>
        <w:t>） ；</w:t>
      </w:r>
    </w:p>
    <w:p>
      <w:pPr>
        <w:pStyle w:val="2"/>
        <w:numPr>
          <w:ilvl w:val="0"/>
          <w:numId w:val="8"/>
        </w:numPr>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（标的名称）</w:t>
      </w:r>
      <w:r>
        <w:rPr>
          <w:rFonts w:hint="eastAsia" w:asciiTheme="majorEastAsia" w:hAnsiTheme="majorEastAsia" w:eastAsiaTheme="majorEastAsia" w:cstheme="majorEastAsia"/>
          <w:color w:val="auto"/>
          <w:sz w:val="24"/>
          <w:highlight w:val="none"/>
        </w:rPr>
        <w:t xml:space="preserve"> ，属于</w:t>
      </w:r>
      <w:r>
        <w:rPr>
          <w:rFonts w:hint="eastAsia" w:asciiTheme="majorEastAsia" w:hAnsiTheme="majorEastAsia" w:eastAsiaTheme="majorEastAsia" w:cstheme="majorEastAsia"/>
          <w:color w:val="auto"/>
          <w:sz w:val="24"/>
          <w:highlight w:val="none"/>
          <w:u w:val="single"/>
        </w:rPr>
        <w:t>（采购文件中明确的所属行业）</w:t>
      </w:r>
      <w:r>
        <w:rPr>
          <w:rFonts w:hint="eastAsia" w:asciiTheme="majorEastAsia" w:hAnsiTheme="majorEastAsia" w:eastAsiaTheme="majorEastAsia" w:cstheme="majorEastAsia"/>
          <w:color w:val="auto"/>
          <w:sz w:val="24"/>
          <w:highlight w:val="none"/>
        </w:rPr>
        <w:t>行业；承建（承接）企业为</w:t>
      </w:r>
      <w:r>
        <w:rPr>
          <w:rFonts w:hint="eastAsia" w:asciiTheme="majorEastAsia" w:hAnsiTheme="majorEastAsia" w:eastAsiaTheme="majorEastAsia" w:cstheme="majorEastAsia"/>
          <w:color w:val="auto"/>
          <w:sz w:val="24"/>
          <w:highlight w:val="none"/>
          <w:u w:val="single"/>
        </w:rPr>
        <w:t xml:space="preserve">（企业名称）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万元，属于（</w:t>
      </w:r>
      <w:r>
        <w:rPr>
          <w:rFonts w:hint="eastAsia" w:asciiTheme="majorEastAsia" w:hAnsiTheme="majorEastAsia" w:eastAsiaTheme="majorEastAsia" w:cstheme="majorEastAsia"/>
          <w:color w:val="auto"/>
          <w:sz w:val="24"/>
          <w:highlight w:val="none"/>
          <w:u w:val="single"/>
        </w:rPr>
        <w:t>中型企业、小型企业、微型企业</w:t>
      </w:r>
      <w:r>
        <w:rPr>
          <w:rFonts w:hint="eastAsia" w:asciiTheme="majorEastAsia" w:hAnsiTheme="majorEastAsia" w:eastAsiaTheme="majorEastAsia" w:cstheme="majorEastAsia"/>
          <w:color w:val="auto"/>
          <w:sz w:val="24"/>
          <w:highlight w:val="none"/>
        </w:rPr>
        <w:t>） ；</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pPr>
        <w:pStyle w:val="2"/>
        <w:adjustRightInd w:val="0"/>
        <w:snapToGrid w:val="0"/>
        <w:spacing w:after="0"/>
        <w:ind w:firstLine="480" w:firstLineChars="200"/>
        <w:jc w:val="right"/>
        <w:rPr>
          <w:rFonts w:hint="eastAsia" w:asciiTheme="majorEastAsia" w:hAnsiTheme="majorEastAsia" w:eastAsiaTheme="majorEastAsia" w:cstheme="majorEastAsia"/>
          <w:color w:val="auto"/>
          <w:sz w:val="24"/>
          <w:highlight w:val="none"/>
        </w:rPr>
      </w:pPr>
    </w:p>
    <w:p>
      <w:pPr>
        <w:pStyle w:val="2"/>
        <w:wordWrap/>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企业名称（盖章）：</w:t>
      </w:r>
    </w:p>
    <w:p>
      <w:pPr>
        <w:pStyle w:val="2"/>
        <w:adjustRightInd w:val="0"/>
        <w:snapToGrid w:val="0"/>
        <w:spacing w:after="0"/>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法定代表人或授权代表（签字或加盖个人名章）：XXXX        </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p>
    <w:p>
      <w:pPr>
        <w:pStyle w:val="2"/>
        <w:wordWrap/>
        <w:adjustRightInd w:val="0"/>
        <w:snapToGrid w:val="0"/>
        <w:spacing w:after="0"/>
        <w:ind w:firstLine="480" w:firstLineChars="200"/>
        <w:jc w:val="right"/>
        <w:rPr>
          <w:rFonts w:hint="eastAsia" w:asciiTheme="majorEastAsia" w:hAnsiTheme="majorEastAsia" w:eastAsiaTheme="majorEastAsia" w:cstheme="majorEastAsia"/>
          <w:color w:val="auto"/>
          <w:sz w:val="24"/>
          <w:highlight w:val="none"/>
        </w:rPr>
      </w:pP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注：1.从业人员、营业收入、资产总额填报上一年度数据，无上一年度数据的新成立企业可不填报。</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2.投标人符合《工业和信息化部、国家统计局、国家发展和改革委员会、财政 部关于印发中小企业划型标准规定的通知》（工信部联企业〔2011〕300 号）规定的划分标准为中小型企业适用。 </w:t>
      </w:r>
    </w:p>
    <w:p>
      <w:pPr>
        <w:pStyle w:val="2"/>
        <w:adjustRightInd w:val="0"/>
        <w:snapToGrid w:val="0"/>
        <w:spacing w:after="0"/>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3.投标人为非企业单位的，可不提供此声明。</w:t>
      </w:r>
    </w:p>
    <w:p>
      <w:pPr>
        <w:pStyle w:val="8"/>
        <w:ind w:firstLine="480"/>
        <w:rPr>
          <w:rFonts w:hint="eastAsia" w:asciiTheme="majorEastAsia" w:hAnsiTheme="majorEastAsia" w:eastAsiaTheme="majorEastAsia" w:cstheme="majorEastAsia"/>
          <w:color w:val="auto"/>
          <w:sz w:val="24"/>
          <w:highlight w:val="none"/>
        </w:rPr>
      </w:pPr>
    </w:p>
    <w:p>
      <w:pPr>
        <w:jc w:val="center"/>
        <w:rPr>
          <w:rStyle w:val="42"/>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br w:type="page"/>
      </w:r>
      <w:r>
        <w:rPr>
          <w:rStyle w:val="42"/>
          <w:rFonts w:hint="eastAsia" w:asciiTheme="majorEastAsia" w:hAnsiTheme="majorEastAsia" w:eastAsiaTheme="majorEastAsia" w:cstheme="majorEastAsia"/>
          <w:color w:val="auto"/>
          <w:highlight w:val="none"/>
        </w:rPr>
        <w:t>十五、残疾人福利性单位声明函</w:t>
      </w: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中国残疾人联合会关于促进残疾人就业政府采购政策的通知》（财库〔2017〕141号）的规定，本单位为符合条件的残疾人福利性单位，且本单位参加XXXX单位的XXXXXXXX项目采购活动由本单位承担工程。</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pStyle w:val="8"/>
        <w:ind w:firstLine="480"/>
        <w:rPr>
          <w:rFonts w:hint="eastAsia" w:asciiTheme="majorEastAsia" w:hAnsiTheme="majorEastAsia" w:eastAsiaTheme="majorEastAsia" w:cstheme="majorEastAsia"/>
          <w:color w:val="auto"/>
          <w:sz w:val="24"/>
          <w:highlight w:val="none"/>
        </w:rPr>
      </w:pPr>
    </w:p>
    <w:p>
      <w:pPr>
        <w:pStyle w:val="8"/>
        <w:adjustRightInd w:val="0"/>
        <w:snapToGrid w:val="0"/>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注：1.残疾人福利性单位视同小型、微型企业，享受预留份额、评审中价格扣除等促进中小企业发展的政府采购政策。残疾人福利性单位属于小型、微型企业的，不重复享受政策。</w:t>
      </w:r>
    </w:p>
    <w:p>
      <w:pPr>
        <w:pStyle w:val="4"/>
        <w:wordWrap/>
        <w:adjustRightInd w:val="0"/>
        <w:snapToGrid w:val="0"/>
        <w:spacing w:before="0" w:after="0"/>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 w:val="0"/>
          <w:bCs/>
          <w:color w:val="auto"/>
          <w:sz w:val="24"/>
          <w:szCs w:val="24"/>
          <w:highlight w:val="none"/>
        </w:rPr>
        <w:t>2.供应商为非残疾人福利性单位的，不得提供此声明，提供此声明的，声明无效。</w:t>
      </w:r>
      <w:r>
        <w:rPr>
          <w:rFonts w:hint="eastAsia" w:asciiTheme="majorEastAsia" w:hAnsiTheme="majorEastAsia" w:eastAsiaTheme="majorEastAsia" w:cstheme="majorEastAsia"/>
          <w:b w:val="0"/>
          <w:bCs/>
          <w:color w:val="auto"/>
          <w:sz w:val="24"/>
          <w:szCs w:val="24"/>
          <w:highlight w:val="none"/>
        </w:rPr>
        <w:br w:type="page"/>
      </w:r>
      <w:r>
        <w:rPr>
          <w:rFonts w:hint="eastAsia" w:asciiTheme="majorEastAsia" w:hAnsiTheme="majorEastAsia" w:eastAsiaTheme="majorEastAsia" w:cstheme="majorEastAsia"/>
          <w:bCs/>
          <w:color w:val="auto"/>
          <w:highlight w:val="none"/>
        </w:rPr>
        <w:t>十六、关于知识产权的相关承诺</w:t>
      </w:r>
    </w:p>
    <w:p>
      <w:pPr>
        <w:wordWrap/>
        <w:spacing w:before="516"/>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pacing w:val="-11"/>
          <w:sz w:val="24"/>
          <w:highlight w:val="none"/>
        </w:rPr>
        <w:t>：</w:t>
      </w:r>
    </w:p>
    <w:p>
      <w:pPr>
        <w:kinsoku w:val="0"/>
        <w:wordWrap/>
        <w:overflowPunct w:val="0"/>
        <w:autoSpaceDE w:val="0"/>
        <w:autoSpaceDN w:val="0"/>
        <w:spacing w:before="549"/>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pacing w:val="1"/>
          <w:sz w:val="24"/>
          <w:highlight w:val="none"/>
        </w:rPr>
        <w:t>（供应商名称）作为</w:t>
      </w:r>
      <w:r>
        <w:rPr>
          <w:rFonts w:hint="eastAsia" w:asciiTheme="majorEastAsia" w:hAnsiTheme="majorEastAsia" w:eastAsiaTheme="majorEastAsia" w:cstheme="majorEastAsia"/>
          <w:color w:val="auto"/>
          <w:spacing w:val="1869"/>
          <w:sz w:val="24"/>
          <w:highlight w:val="none"/>
          <w:u w:val="single"/>
        </w:rPr>
        <w:t xml:space="preserve"> </w:t>
      </w:r>
      <w:r>
        <w:rPr>
          <w:rFonts w:hint="eastAsia" w:asciiTheme="majorEastAsia" w:hAnsiTheme="majorEastAsia" w:eastAsiaTheme="majorEastAsia" w:cstheme="majorEastAsia"/>
          <w:color w:val="auto"/>
          <w:sz w:val="24"/>
          <w:highlight w:val="none"/>
        </w:rPr>
        <w:t>（项目</w:t>
      </w:r>
      <w:r>
        <w:rPr>
          <w:rFonts w:hint="eastAsia" w:asciiTheme="majorEastAsia" w:hAnsiTheme="majorEastAsia" w:eastAsiaTheme="majorEastAsia" w:cstheme="majorEastAsia"/>
          <w:color w:val="auto"/>
          <w:sz w:val="24"/>
          <w:highlight w:val="none"/>
          <w:u w:val="single"/>
        </w:rPr>
        <w:t>名称及采购编号）</w:t>
      </w:r>
      <w:r>
        <w:rPr>
          <w:rFonts w:hint="eastAsia" w:asciiTheme="majorEastAsia" w:hAnsiTheme="majorEastAsia" w:eastAsiaTheme="majorEastAsia" w:cstheme="majorEastAsia"/>
          <w:color w:val="auto"/>
          <w:spacing w:val="-2"/>
          <w:sz w:val="24"/>
          <w:highlight w:val="none"/>
        </w:rPr>
        <w:t>的供应商，郑重承诺：我方保证在本项目使用的任何产品和服</w:t>
      </w:r>
      <w:r>
        <w:rPr>
          <w:rFonts w:hint="eastAsia" w:asciiTheme="majorEastAsia" w:hAnsiTheme="majorEastAsia" w:eastAsiaTheme="majorEastAsia" w:cstheme="majorEastAsia"/>
          <w:color w:val="auto"/>
          <w:spacing w:val="-3"/>
          <w:sz w:val="24"/>
          <w:highlight w:val="none"/>
        </w:rPr>
        <w:t>务（包括部分使用）时，不会产生因第三方提出侵犯其专利权、商标权或其它知识产权而引起的法律和经济纠纷，如因专利权、商标权或其它知识产权而引起法</w:t>
      </w:r>
      <w:r>
        <w:rPr>
          <w:rFonts w:hint="eastAsia" w:asciiTheme="majorEastAsia" w:hAnsiTheme="majorEastAsia" w:eastAsiaTheme="majorEastAsia" w:cstheme="majorEastAsia"/>
          <w:color w:val="auto"/>
          <w:sz w:val="24"/>
          <w:highlight w:val="none"/>
        </w:rPr>
        <w:t>律和经济纠纷，由我方承担所有相关责任。</w:t>
      </w:r>
    </w:p>
    <w:p>
      <w:pPr>
        <w:kinsoku w:val="0"/>
        <w:wordWrap/>
        <w:overflowPunct w:val="0"/>
        <w:autoSpaceDE w:val="0"/>
        <w:autoSpaceDN w:val="0"/>
        <w:spacing w:before="148"/>
        <w:ind w:firstLine="468"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3"/>
          <w:sz w:val="24"/>
          <w:highlight w:val="none"/>
        </w:rPr>
        <w:t>如我方在项目实施过程中采用自有知识成果，我方承诺提供开发接口和开发手册等技术文档，并承诺提供无限期技术支持，采购人享有永久使用权（含采购</w:t>
      </w:r>
      <w:r>
        <w:rPr>
          <w:rFonts w:hint="eastAsia" w:asciiTheme="majorEastAsia" w:hAnsiTheme="majorEastAsia" w:eastAsiaTheme="majorEastAsia" w:cstheme="majorEastAsia"/>
          <w:color w:val="auto"/>
          <w:spacing w:val="-6"/>
          <w:sz w:val="24"/>
          <w:highlight w:val="none"/>
        </w:rPr>
        <w:t>人委托第三方在该项目后续开发的使用权）。</w:t>
      </w:r>
    </w:p>
    <w:p>
      <w:pPr>
        <w:kinsoku w:val="0"/>
        <w:wordWrap/>
        <w:overflowPunct w:val="0"/>
        <w:autoSpaceDE w:val="0"/>
        <w:autoSpaceDN w:val="0"/>
        <w:spacing w:before="148"/>
        <w:ind w:firstLine="472"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
          <w:sz w:val="24"/>
          <w:highlight w:val="none"/>
        </w:rPr>
        <w:t>如我方在项目实施过程中采用非自有的知识产权，则在报价中已包括合法获</w:t>
      </w:r>
    </w:p>
    <w:p>
      <w:pPr>
        <w:kinsoku w:val="0"/>
        <w:wordWrap/>
        <w:overflowPunct w:val="0"/>
        <w:autoSpaceDE w:val="0"/>
        <w:autoSpaceDN w:val="0"/>
        <w:spacing w:before="151"/>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取该知识产权的相关费用。</w:t>
      </w:r>
    </w:p>
    <w:p>
      <w:pPr>
        <w:kinsoku w:val="0"/>
        <w:wordWrap/>
        <w:overflowPunct w:val="0"/>
        <w:autoSpaceDE w:val="0"/>
        <w:autoSpaceDN w:val="0"/>
        <w:spacing w:before="1939"/>
        <w:ind w:firstLine="484"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本公司对上述承诺的真实性负责。如有虚假，将依法承担相应责任。</w:t>
      </w: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投标人名称：XXX（加盖公章）。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法定代表人或授权代表（签字）：XXX。</w:t>
      </w:r>
    </w:p>
    <w:p>
      <w:pPr>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日期：XXX。</w:t>
      </w:r>
    </w:p>
    <w:p>
      <w:pPr>
        <w:pStyle w:val="4"/>
        <w:rPr>
          <w:rFonts w:hint="eastAsia" w:asciiTheme="majorEastAsia" w:hAnsiTheme="majorEastAsia" w:eastAsiaTheme="majorEastAsia" w:cstheme="majorEastAsia"/>
          <w:color w:val="auto"/>
          <w:spacing w:val="6"/>
          <w:highlight w:val="none"/>
        </w:rPr>
      </w:pPr>
      <w:r>
        <w:rPr>
          <w:rStyle w:val="42"/>
          <w:rFonts w:hint="eastAsia" w:asciiTheme="majorEastAsia" w:hAnsiTheme="majorEastAsia" w:eastAsiaTheme="majorEastAsia" w:cstheme="majorEastAsia"/>
          <w:b/>
          <w:color w:val="auto"/>
          <w:highlight w:val="none"/>
        </w:rPr>
        <w:t>十七、招标代理服务费承诺函</w:t>
      </w:r>
    </w:p>
    <w:p>
      <w:pPr>
        <w:ind w:firstLine="480" w:firstLineChars="200"/>
        <w:rPr>
          <w:rFonts w:hint="eastAsia" w:asciiTheme="majorEastAsia" w:hAnsiTheme="majorEastAsia" w:eastAsiaTheme="majorEastAsia" w:cstheme="majorEastAsia"/>
          <w:bCs/>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z w:val="24"/>
          <w:highlight w:val="none"/>
        </w:rPr>
        <w:t xml:space="preserve">：   </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pPr>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本公司郑重承诺，我公司自愿参加贵公司组织代理的</w:t>
      </w:r>
      <w:r>
        <w:rPr>
          <w:rFonts w:hint="eastAsia" w:asciiTheme="majorEastAsia" w:hAnsiTheme="majorEastAsia" w:eastAsiaTheme="majorEastAsia" w:cstheme="majorEastAsia"/>
          <w:color w:val="auto"/>
          <w:sz w:val="24"/>
          <w:highlight w:val="none"/>
          <w:u w:val="single"/>
        </w:rPr>
        <w:t xml:space="preserve">   （采购项目名称）  </w:t>
      </w:r>
      <w:r>
        <w:rPr>
          <w:rFonts w:hint="eastAsia" w:asciiTheme="majorEastAsia" w:hAnsiTheme="majorEastAsia" w:eastAsiaTheme="majorEastAsia" w:cstheme="majorEastAsia"/>
          <w:color w:val="auto"/>
          <w:sz w:val="24"/>
          <w:highlight w:val="none"/>
        </w:rPr>
        <w:t>（采购项目编号：）的政府采购活动，若被采购人确认为成交供应商，将在成交结果发布之日或接到贵公司通知之日起最迟5个工作日内按照磋商文件的规定，以支票、银行汇票、电汇、现金或经贵公司认可的一种方式，向贵公司即</w:t>
      </w:r>
      <w:r>
        <w:rPr>
          <w:rFonts w:hint="eastAsia" w:asciiTheme="majorEastAsia" w:hAnsiTheme="majorEastAsia" w:eastAsiaTheme="majorEastAsia" w:cstheme="majorEastAsia"/>
          <w:color w:val="auto"/>
          <w:kern w:val="0"/>
          <w:sz w:val="24"/>
          <w:highlight w:val="none"/>
          <w:lang w:eastAsia="zh-CN"/>
        </w:rPr>
        <w:t>四川中信创立工程造价咨询有限公司</w:t>
      </w:r>
      <w:r>
        <w:rPr>
          <w:rFonts w:hint="eastAsia" w:asciiTheme="majorEastAsia" w:hAnsiTheme="majorEastAsia" w:eastAsiaTheme="majorEastAsia" w:cstheme="majorEastAsia"/>
          <w:color w:val="auto"/>
          <w:sz w:val="24"/>
          <w:highlight w:val="none"/>
        </w:rPr>
        <w:t>指定的银行帐号，一次性足额支付采购代理服务费，并及时按磋商文件要求领取成交通知书。</w:t>
      </w:r>
    </w:p>
    <w:p>
      <w:pPr>
        <w:pStyle w:val="2"/>
        <w:rPr>
          <w:rFonts w:hint="eastAsia" w:asciiTheme="majorEastAsia" w:hAnsiTheme="majorEastAsia" w:eastAsiaTheme="majorEastAsia" w:cstheme="majorEastAsia"/>
          <w:color w:val="auto"/>
          <w:highlight w:val="none"/>
        </w:rPr>
      </w:pPr>
    </w:p>
    <w:p>
      <w:pPr>
        <w:pStyle w:val="2"/>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本公司未按以上承诺履行，愿承担一切法律后果。</w:t>
      </w:r>
    </w:p>
    <w:p>
      <w:pPr>
        <w:ind w:left="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特此承诺。</w:t>
      </w:r>
    </w:p>
    <w:p>
      <w:pPr>
        <w:ind w:firstLine="480" w:firstLineChars="200"/>
        <w:rPr>
          <w:rFonts w:hint="eastAsia" w:asciiTheme="majorEastAsia" w:hAnsiTheme="majorEastAsia" w:eastAsiaTheme="majorEastAsia" w:cstheme="majorEastAsia"/>
          <w:bCs/>
          <w:color w:val="auto"/>
          <w:sz w:val="24"/>
          <w:highlight w:val="none"/>
        </w:rPr>
      </w:pPr>
    </w:p>
    <w:p>
      <w:pPr>
        <w:ind w:firstLine="480" w:firstLineChars="200"/>
        <w:rPr>
          <w:rFonts w:hint="eastAsia" w:asciiTheme="majorEastAsia" w:hAnsiTheme="majorEastAsia" w:eastAsiaTheme="majorEastAsia" w:cstheme="majorEastAsia"/>
          <w:bCs/>
          <w:color w:val="auto"/>
          <w:sz w:val="24"/>
          <w:highlight w:val="none"/>
        </w:rPr>
      </w:pPr>
    </w:p>
    <w:p>
      <w:pPr>
        <w:ind w:firstLine="480" w:firstLineChars="200"/>
        <w:rPr>
          <w:rFonts w:hint="eastAsia" w:asciiTheme="majorEastAsia" w:hAnsiTheme="majorEastAsia" w:eastAsiaTheme="majorEastAsia" w:cstheme="majorEastAsia"/>
          <w:bCs/>
          <w:color w:val="auto"/>
          <w:sz w:val="24"/>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供应商名称（盖单位公章）：XXXX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法定代表人或授权代表（签字或盖章）：XXXX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    期：XXXX年XX月XX日</w:t>
      </w:r>
    </w:p>
    <w:p>
      <w:pPr>
        <w:spacing w:line="500" w:lineRule="exact"/>
        <w:rPr>
          <w:rFonts w:hint="eastAsia" w:asciiTheme="majorEastAsia" w:hAnsiTheme="majorEastAsia" w:eastAsiaTheme="majorEastAsia" w:cstheme="majorEastAsia"/>
          <w:color w:val="auto"/>
          <w:sz w:val="24"/>
          <w:highlight w:val="none"/>
        </w:rPr>
      </w:pPr>
    </w:p>
    <w:p>
      <w:pPr>
        <w:spacing w:line="500" w:lineRule="exact"/>
        <w:jc w:val="center"/>
        <w:rPr>
          <w:rFonts w:hint="eastAsia" w:asciiTheme="majorEastAsia" w:hAnsiTheme="majorEastAsia" w:eastAsiaTheme="majorEastAsia" w:cstheme="majorEastAsia"/>
          <w:color w:val="auto"/>
          <w:sz w:val="24"/>
          <w:highlight w:val="none"/>
        </w:rPr>
        <w:sectPr>
          <w:pgSz w:w="11907" w:h="16839"/>
          <w:pgMar w:top="1440" w:right="1276" w:bottom="1440" w:left="1418" w:header="851" w:footer="992" w:gutter="0"/>
          <w:pgNumType w:fmt="numberInDash"/>
          <w:cols w:space="720" w:num="1"/>
          <w:docGrid w:type="lines" w:linePitch="312" w:charSpace="0"/>
        </w:sectPr>
      </w:pPr>
    </w:p>
    <w:p>
      <w:pPr>
        <w:widowControl/>
        <w:jc w:val="center"/>
        <w:rPr>
          <w:rFonts w:hint="eastAsia" w:asciiTheme="majorEastAsia" w:hAnsiTheme="majorEastAsia" w:eastAsiaTheme="majorEastAsia" w:cstheme="majorEastAsia"/>
          <w:color w:val="auto"/>
          <w:highlight w:val="none"/>
        </w:rPr>
      </w:pPr>
      <w:bookmarkStart w:id="156" w:name="_Toc22562"/>
      <w:r>
        <w:rPr>
          <w:rStyle w:val="48"/>
          <w:rFonts w:hint="eastAsia" w:asciiTheme="majorEastAsia" w:hAnsiTheme="majorEastAsia" w:eastAsiaTheme="majorEastAsia" w:cstheme="majorEastAsia"/>
          <w:color w:val="auto"/>
          <w:highlight w:val="none"/>
        </w:rPr>
        <w:t>十八、供应商诚信情况承诺函</w:t>
      </w:r>
    </w:p>
    <w:p>
      <w:pPr>
        <w:widowControl/>
        <w:rPr>
          <w:rFonts w:hint="eastAsia" w:asciiTheme="majorEastAsia" w:hAnsiTheme="majorEastAsia" w:eastAsiaTheme="majorEastAsia" w:cstheme="majorEastAsia"/>
          <w:color w:val="auto"/>
          <w:kern w:val="0"/>
          <w:sz w:val="24"/>
          <w:highlight w:val="none"/>
          <w:lang w:bidi="ar"/>
        </w:rPr>
      </w:pPr>
    </w:p>
    <w:p>
      <w:pPr>
        <w:wordWrap/>
        <w:adjustRightInd w:val="0"/>
        <w:snapToGrid w:val="0"/>
        <w:ind w:firstLine="480" w:firstLineChars="200"/>
        <w:jc w:val="both"/>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四川中信创立工程造价咨询有限公司</w:t>
      </w:r>
      <w:r>
        <w:rPr>
          <w:rFonts w:hint="eastAsia" w:asciiTheme="majorEastAsia" w:hAnsiTheme="majorEastAsia" w:eastAsiaTheme="majorEastAsia" w:cstheme="majorEastAsia"/>
          <w:color w:val="auto"/>
          <w:spacing w:val="-11"/>
          <w:sz w:val="24"/>
          <w:highlight w:val="none"/>
        </w:rPr>
        <w:t>：</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本单位 XXXX（供应商名称）参加 XXXX（项目名称及采购编号）的政府采购活动，现根据《四川省政府采购当事人诚信管理办法》川财采〔2015〕33 号的相关规定，针对本单位的诚信情况作出以下承诺： </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color w:val="auto"/>
          <w:kern w:val="0"/>
          <w:sz w:val="24"/>
          <w:highlight w:val="none"/>
          <w:lang w:bidi="ar"/>
        </w:rPr>
        <w:t xml:space="preserve">我单位具有《四川省政府采购当事人诚信管理办法》（川财采[2015]33 号）所规定的失信行为 XXXX 次（填写失信行为的次数时，建议使用大写数字，如零、 壹、贰、叁、肆等。）；（仅限投标截止当日仍在有效期的次数）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我单位对以上填写信息的真实性负责。如有不实，本单位愿承担由此产生的一切法律责任和后果。 </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供应商人名称：XXX（盖单位公章）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法定代表人/负责人或授权代表（签字或加盖个人名章）：XXX </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 xml:space="preserve">日 期：XXX 年 XXX 月 XXX 日 </w:t>
      </w:r>
    </w:p>
    <w:p>
      <w:pPr>
        <w:widowControl/>
        <w:adjustRightInd w:val="0"/>
        <w:snapToGrid w:val="0"/>
        <w:ind w:firstLine="480" w:firstLineChars="200"/>
        <w:jc w:val="both"/>
        <w:rPr>
          <w:rFonts w:hint="eastAsia" w:asciiTheme="majorEastAsia" w:hAnsiTheme="majorEastAsia" w:eastAsiaTheme="majorEastAsia" w:cstheme="majorEastAsia"/>
          <w:color w:val="auto"/>
          <w:kern w:val="0"/>
          <w:sz w:val="24"/>
          <w:highlight w:val="none"/>
          <w:lang w:bidi="ar"/>
        </w:rPr>
      </w:pP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注：</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1、供应商存在以上所述失信行为的，将按照第二章供应商须知附表的要求进行处理；</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2、财政部门对政府采购当事人的失信行为依法进行处罚、处理后，应当在四川政府采购网向社会公告，并记入诚信档案，有效期为 1 年。工商部门、税务部门、 审判机关及其他有关部门单位认定供应商的失信行为明确了有效期的，不再重复计 算。</w:t>
      </w:r>
    </w:p>
    <w:p>
      <w:pPr>
        <w:widowControl/>
        <w:adjustRightInd w:val="0"/>
        <w:snapToGrid w:val="0"/>
        <w:ind w:firstLine="48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bidi="ar"/>
        </w:rPr>
        <w:t>3、供应商的失信行为受到行政处罚或司法惩处的，评审时不再对其以价格扣分进行惩戒。</w:t>
      </w:r>
    </w:p>
    <w:p>
      <w:pPr>
        <w:rPr>
          <w:rFonts w:hint="eastAsia" w:asciiTheme="majorEastAsia" w:hAnsiTheme="majorEastAsia" w:eastAsiaTheme="majorEastAsia" w:cstheme="majorEastAsia"/>
          <w:b/>
          <w:bCs/>
          <w:color w:val="auto"/>
          <w:szCs w:val="32"/>
          <w:highlight w:val="none"/>
        </w:rPr>
      </w:pPr>
      <w:r>
        <w:rPr>
          <w:rStyle w:val="42"/>
          <w:rFonts w:hint="eastAsia" w:asciiTheme="majorEastAsia" w:hAnsiTheme="majorEastAsia" w:eastAsiaTheme="majorEastAsia" w:cstheme="majorEastAsia"/>
          <w:color w:val="auto"/>
          <w:highlight w:val="none"/>
        </w:rPr>
        <w:br w:type="page"/>
      </w:r>
    </w:p>
    <w:p>
      <w:pPr>
        <w:pStyle w:val="2"/>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十九、服务实施方案以及供应商认为需要提供的文件和资料</w:t>
      </w: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（格式自拟）</w:t>
      </w: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p>
    <w:p>
      <w:pPr>
        <w:pStyle w:val="2"/>
        <w:jc w:val="center"/>
        <w:rPr>
          <w:rFonts w:hint="eastAsia" w:asciiTheme="majorEastAsia" w:hAnsiTheme="majorEastAsia" w:eastAsiaTheme="majorEastAsia" w:cstheme="majorEastAsia"/>
          <w:b/>
          <w:bCs/>
          <w:color w:val="auto"/>
          <w:sz w:val="32"/>
          <w:szCs w:val="32"/>
          <w:highlight w:val="none"/>
        </w:rPr>
      </w:pPr>
    </w:p>
    <w:p>
      <w:pPr>
        <w:pStyle w:val="2"/>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p>
      <w:pPr>
        <w:pStyle w:val="2"/>
        <w:rPr>
          <w:rFonts w:hint="eastAsia" w:asciiTheme="majorEastAsia" w:hAnsiTheme="majorEastAsia" w:eastAsiaTheme="majorEastAsia" w:cstheme="majorEastAsia"/>
          <w:color w:val="auto"/>
          <w:sz w:val="24"/>
          <w:highlight w:val="none"/>
        </w:rPr>
      </w:pPr>
    </w:p>
    <w:p>
      <w:pPr>
        <w:pStyle w:val="2"/>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p>
      <w:pPr>
        <w:pStyle w:val="2"/>
        <w:rPr>
          <w:rFonts w:hint="eastAsia" w:asciiTheme="majorEastAsia" w:hAnsiTheme="majorEastAsia" w:eastAsiaTheme="majorEastAsia" w:cstheme="majorEastAsia"/>
          <w:color w:val="auto"/>
          <w:highlight w:val="none"/>
        </w:rPr>
      </w:pPr>
    </w:p>
    <w:p>
      <w:pPr>
        <w:pStyle w:val="3"/>
        <w:rPr>
          <w:rFonts w:hint="eastAsia" w:asciiTheme="majorEastAsia" w:hAnsiTheme="majorEastAsia" w:eastAsiaTheme="majorEastAsia" w:cstheme="majorEastAsia"/>
          <w:color w:val="auto"/>
          <w:szCs w:val="32"/>
          <w:highlight w:val="none"/>
        </w:rPr>
      </w:pPr>
    </w:p>
    <w:p>
      <w:pPr>
        <w:rPr>
          <w:rFonts w:hint="eastAsia" w:asciiTheme="majorEastAsia" w:hAnsiTheme="majorEastAsia" w:eastAsiaTheme="majorEastAsia" w:cstheme="majorEastAsia"/>
          <w:color w:val="auto"/>
          <w:szCs w:val="32"/>
          <w:highlight w:val="none"/>
        </w:rPr>
      </w:pPr>
    </w:p>
    <w:p>
      <w:pPr>
        <w:pStyle w:val="2"/>
        <w:rPr>
          <w:rFonts w:hint="eastAsia" w:asciiTheme="majorEastAsia" w:hAnsiTheme="majorEastAsia" w:eastAsiaTheme="majorEastAsia" w:cstheme="majorEastAsia"/>
          <w:color w:val="auto"/>
          <w:sz w:val="32"/>
          <w:szCs w:val="32"/>
          <w:highlight w:val="none"/>
        </w:rPr>
      </w:pPr>
    </w:p>
    <w:p>
      <w:pPr>
        <w:pStyle w:val="2"/>
        <w:rPr>
          <w:rFonts w:hint="eastAsia" w:asciiTheme="majorEastAsia" w:hAnsiTheme="majorEastAsia" w:eastAsiaTheme="majorEastAsia" w:cstheme="majorEastAsia"/>
          <w:color w:val="auto"/>
          <w:sz w:val="32"/>
          <w:szCs w:val="32"/>
          <w:highlight w:val="none"/>
        </w:rPr>
      </w:pP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投标人名称：XXX（加盖公章）。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法定代表人或授权代表（签字）：XXX。</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日期：XXX。</w:t>
      </w:r>
    </w:p>
    <w:p>
      <w:pPr>
        <w:pStyle w:val="4"/>
        <w:tabs>
          <w:tab w:val="left" w:pos="426"/>
          <w:tab w:val="left" w:pos="567"/>
        </w:tabs>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r>
        <w:rPr>
          <w:rFonts w:hint="eastAsia" w:asciiTheme="majorEastAsia" w:hAnsiTheme="majorEastAsia" w:eastAsiaTheme="majorEastAsia" w:cstheme="majorEastAsia"/>
          <w:color w:val="auto"/>
          <w:highlight w:val="none"/>
        </w:rPr>
        <w:t>二十、磋商报价表（最终报价表）</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项目名称：XXX采购项目</w:t>
      </w: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项目编号：XXX号</w:t>
      </w:r>
    </w:p>
    <w:tbl>
      <w:tblPr>
        <w:tblStyle w:val="20"/>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77"/>
        <w:gridCol w:w="1752"/>
        <w:gridCol w:w="195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exact"/>
          <w:jc w:val="center"/>
        </w:trPr>
        <w:tc>
          <w:tcPr>
            <w:tcW w:w="791"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177"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项目名称</w:t>
            </w:r>
          </w:p>
        </w:tc>
        <w:tc>
          <w:tcPr>
            <w:tcW w:w="1752"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服务期限</w:t>
            </w:r>
          </w:p>
        </w:tc>
        <w:tc>
          <w:tcPr>
            <w:tcW w:w="1951"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报价</w:t>
            </w:r>
          </w:p>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18"/>
                <w:szCs w:val="18"/>
                <w:highlight w:val="none"/>
              </w:rPr>
              <w:t>（元）</w:t>
            </w:r>
          </w:p>
        </w:tc>
        <w:tc>
          <w:tcPr>
            <w:tcW w:w="1007" w:type="dxa"/>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9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3177" w:type="dxa"/>
            <w:vAlign w:val="center"/>
          </w:tcPr>
          <w:p>
            <w:pPr>
              <w:rPr>
                <w:rFonts w:hint="eastAsia" w:asciiTheme="majorEastAsia" w:hAnsiTheme="majorEastAsia" w:eastAsiaTheme="majorEastAsia" w:cstheme="majorEastAsia"/>
                <w:color w:val="auto"/>
                <w:sz w:val="24"/>
                <w:highlight w:val="none"/>
              </w:rPr>
            </w:pPr>
          </w:p>
        </w:tc>
        <w:tc>
          <w:tcPr>
            <w:tcW w:w="1752" w:type="dxa"/>
            <w:vAlign w:val="center"/>
          </w:tcPr>
          <w:p>
            <w:pPr>
              <w:jc w:val="center"/>
              <w:rPr>
                <w:rFonts w:hint="eastAsia" w:asciiTheme="majorEastAsia" w:hAnsiTheme="majorEastAsia" w:eastAsiaTheme="majorEastAsia" w:cstheme="majorEastAsia"/>
                <w:color w:val="auto"/>
                <w:sz w:val="24"/>
                <w:highlight w:val="none"/>
              </w:rPr>
            </w:pPr>
          </w:p>
        </w:tc>
        <w:tc>
          <w:tcPr>
            <w:tcW w:w="1951" w:type="dxa"/>
            <w:vAlign w:val="center"/>
          </w:tcPr>
          <w:p>
            <w:pPr>
              <w:jc w:val="center"/>
              <w:rPr>
                <w:rFonts w:hint="eastAsia" w:asciiTheme="majorEastAsia" w:hAnsiTheme="majorEastAsia" w:eastAsiaTheme="majorEastAsia" w:cstheme="majorEastAsia"/>
                <w:color w:val="auto"/>
                <w:sz w:val="24"/>
                <w:highlight w:val="none"/>
              </w:rPr>
            </w:pPr>
          </w:p>
        </w:tc>
        <w:tc>
          <w:tcPr>
            <w:tcW w:w="1007" w:type="dxa"/>
            <w:vAlign w:val="center"/>
          </w:tcPr>
          <w:p>
            <w:pPr>
              <w:rPr>
                <w:rFonts w:hint="eastAsia" w:asciiTheme="majorEastAsia" w:hAnsiTheme="majorEastAsia" w:eastAsiaTheme="majorEastAsia" w:cstheme="majorEastAsia"/>
                <w:color w:val="auto"/>
                <w:sz w:val="24"/>
                <w:highlight w:val="none"/>
              </w:rPr>
            </w:pPr>
          </w:p>
        </w:tc>
      </w:tr>
    </w:tbl>
    <w:p>
      <w:pPr>
        <w:pStyle w:val="2"/>
        <w:rPr>
          <w:rFonts w:hint="eastAsia" w:asciiTheme="majorEastAsia" w:hAnsiTheme="majorEastAsia" w:eastAsiaTheme="majorEastAsia" w:cstheme="majorEastAsia"/>
          <w:color w:val="auto"/>
          <w:sz w:val="24"/>
          <w:highlight w:val="none"/>
        </w:rPr>
      </w:pPr>
    </w:p>
    <w:p>
      <w:pPr>
        <w:snapToGrid w:val="0"/>
        <w:ind w:right="-950" w:rightChars="-297"/>
        <w:rPr>
          <w:rFonts w:hint="eastAsia" w:asciiTheme="majorEastAsia" w:hAnsiTheme="majorEastAsia" w:eastAsiaTheme="majorEastAsia" w:cstheme="majorEastAsia"/>
          <w:color w:val="auto"/>
          <w:sz w:val="24"/>
          <w:highlight w:val="none"/>
        </w:rPr>
      </w:pPr>
    </w:p>
    <w:p>
      <w:pPr>
        <w:snapToGrid w:val="0"/>
        <w:ind w:right="-950" w:rightChars="-297"/>
        <w:rPr>
          <w:rFonts w:hint="eastAsia" w:asciiTheme="majorEastAsia" w:hAnsiTheme="majorEastAsia" w:eastAsiaTheme="majorEastAsia" w:cstheme="majorEastAsia"/>
          <w:color w:val="auto"/>
          <w:sz w:val="24"/>
          <w:highlight w:val="none"/>
        </w:rPr>
      </w:pPr>
    </w:p>
    <w:p>
      <w:pPr>
        <w:pStyle w:val="49"/>
        <w:ind w:firstLine="491" w:firstLineChars="20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最后报价（大写人民币）：XXXX</w:t>
      </w:r>
    </w:p>
    <w:p>
      <w:pPr>
        <w:pStyle w:val="49"/>
        <w:ind w:firstLine="0"/>
        <w:rPr>
          <w:rFonts w:hint="eastAsia" w:asciiTheme="majorEastAsia" w:hAnsiTheme="majorEastAsia" w:eastAsiaTheme="majorEastAsia" w:cstheme="majorEastAsia"/>
          <w:color w:val="auto"/>
          <w:sz w:val="24"/>
          <w:szCs w:val="24"/>
          <w:highlight w:val="none"/>
        </w:rPr>
      </w:pPr>
    </w:p>
    <w:p>
      <w:pPr>
        <w:pStyle w:val="49"/>
        <w:ind w:firstLine="480" w:firstLineChars="200"/>
        <w:rPr>
          <w:rFonts w:hint="eastAsia" w:asciiTheme="majorEastAsia" w:hAnsiTheme="majorEastAsia" w:eastAsiaTheme="majorEastAsia" w:cstheme="majorEastAsia"/>
          <w:color w:val="auto"/>
          <w:sz w:val="24"/>
          <w:szCs w:val="24"/>
          <w:highlight w:val="none"/>
        </w:rPr>
      </w:pPr>
    </w:p>
    <w:p>
      <w:pPr>
        <w:pStyle w:val="49"/>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供应商名称：XXXX</w:t>
      </w:r>
    </w:p>
    <w:p>
      <w:pPr>
        <w:pStyle w:val="49"/>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法定代表人或代理人：XXXX（签字）</w:t>
      </w:r>
    </w:p>
    <w:p>
      <w:pPr>
        <w:pStyle w:val="49"/>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日期：XX年XX月XX日</w:t>
      </w:r>
    </w:p>
    <w:p>
      <w:pPr>
        <w:pStyle w:val="49"/>
        <w:ind w:firstLine="551"/>
        <w:rPr>
          <w:rFonts w:hint="eastAsia" w:asciiTheme="majorEastAsia" w:hAnsiTheme="majorEastAsia" w:eastAsiaTheme="majorEastAsia" w:cstheme="majorEastAsia"/>
          <w:color w:val="auto"/>
          <w:sz w:val="24"/>
          <w:szCs w:val="24"/>
          <w:highlight w:val="none"/>
        </w:rPr>
      </w:pPr>
    </w:p>
    <w:p>
      <w:pPr>
        <w:pStyle w:val="49"/>
        <w:ind w:firstLine="551"/>
        <w:rPr>
          <w:rFonts w:hint="eastAsia" w:asciiTheme="majorEastAsia" w:hAnsiTheme="majorEastAsia" w:eastAsiaTheme="majorEastAsia" w:cstheme="majorEastAsia"/>
          <w:color w:val="auto"/>
          <w:sz w:val="24"/>
          <w:szCs w:val="24"/>
          <w:highlight w:val="none"/>
        </w:rPr>
      </w:pPr>
    </w:p>
    <w:p>
      <w:pPr>
        <w:widowControl/>
        <w:adjustRightInd w:val="0"/>
        <w:snapToGrid w:val="0"/>
        <w:ind w:firstLine="482"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说明：</w:t>
      </w:r>
    </w:p>
    <w:p>
      <w:pPr>
        <w:widowControl/>
        <w:adjustRightInd w:val="0"/>
        <w:snapToGrid w:val="0"/>
        <w:ind w:firstLine="48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 xml:space="preserve">1.此表由供应商自行单独准备，在磋商结束后磋商小组要求供应商进行最后报价时 </w:t>
      </w:r>
    </w:p>
    <w:p>
      <w:pPr>
        <w:widowControl/>
        <w:adjustRightInd w:val="0"/>
        <w:snapToGrid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24"/>
          <w:highlight w:val="none"/>
          <w:lang w:bidi="ar"/>
        </w:rPr>
        <w:t>现场填写并密封递交。</w:t>
      </w:r>
    </w:p>
    <w:p>
      <w:pPr>
        <w:adjustRightInd w:val="0"/>
        <w:snapToGrid w:val="0"/>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2.若我公司成为成交供应商,将按照最终磋商的结果签订合同,并严格执行合同条款。本报价单是合同不可分割的一部分,与合同具有同等法律效力。</w:t>
      </w:r>
    </w:p>
    <w:p>
      <w:pPr>
        <w:pStyle w:val="2"/>
        <w:ind w:firstLine="640" w:firstLineChars="200"/>
        <w:rPr>
          <w:rFonts w:hint="eastAsia" w:asciiTheme="majorEastAsia" w:hAnsiTheme="majorEastAsia" w:eastAsiaTheme="majorEastAsia" w:cstheme="majorEastAsia"/>
          <w:color w:val="auto"/>
          <w:sz w:val="32"/>
          <w:szCs w:val="32"/>
          <w:highlight w:val="none"/>
        </w:rPr>
        <w:sectPr>
          <w:type w:val="continuous"/>
          <w:pgSz w:w="11907" w:h="16840"/>
          <w:pgMar w:top="1418" w:right="1276" w:bottom="1418" w:left="1418" w:header="851" w:footer="992" w:gutter="0"/>
          <w:cols w:space="720" w:num="1"/>
          <w:docGrid w:linePitch="312" w:charSpace="0"/>
        </w:sectPr>
      </w:pPr>
    </w:p>
    <w:p>
      <w:pPr>
        <w:pStyle w:val="17"/>
        <w:spacing w:before="312" w:after="312"/>
        <w:rPr>
          <w:rStyle w:val="33"/>
          <w:rFonts w:hint="eastAsia" w:asciiTheme="majorEastAsia" w:hAnsiTheme="majorEastAsia" w:eastAsiaTheme="majorEastAsia" w:cstheme="majorEastAsia"/>
          <w:b/>
          <w:bCs/>
          <w:color w:val="auto"/>
          <w:szCs w:val="32"/>
          <w:highlight w:val="none"/>
        </w:rPr>
      </w:pPr>
      <w:r>
        <w:rPr>
          <w:rStyle w:val="33"/>
          <w:rFonts w:hint="eastAsia" w:asciiTheme="majorEastAsia" w:hAnsiTheme="majorEastAsia" w:eastAsiaTheme="majorEastAsia" w:cstheme="majorEastAsia"/>
          <w:b/>
          <w:bCs/>
          <w:color w:val="auto"/>
          <w:szCs w:val="32"/>
          <w:highlight w:val="none"/>
        </w:rPr>
        <w:t>第八章  评审方法</w:t>
      </w:r>
      <w:bookmarkEnd w:id="148"/>
      <w:bookmarkEnd w:id="149"/>
      <w:bookmarkEnd w:id="150"/>
      <w:bookmarkEnd w:id="151"/>
      <w:bookmarkEnd w:id="156"/>
    </w:p>
    <w:p>
      <w:pPr>
        <w:pStyle w:val="4"/>
        <w:keepNext w:val="0"/>
        <w:keepLines w:val="0"/>
        <w:spacing w:before="0" w:after="0"/>
        <w:ind w:firstLine="551" w:firstLineChars="196"/>
        <w:jc w:val="left"/>
        <w:rPr>
          <w:rFonts w:hint="eastAsia" w:asciiTheme="majorEastAsia" w:hAnsiTheme="majorEastAsia" w:eastAsiaTheme="majorEastAsia" w:cstheme="majorEastAsia"/>
          <w:color w:val="auto"/>
          <w:sz w:val="28"/>
          <w:szCs w:val="28"/>
          <w:highlight w:val="none"/>
        </w:rPr>
      </w:pPr>
      <w:bookmarkStart w:id="157" w:name="_Toc29742"/>
      <w:bookmarkStart w:id="158" w:name="_Toc101174146"/>
      <w:bookmarkStart w:id="159" w:name="_Toc101250640"/>
      <w:bookmarkStart w:id="160" w:name="_Toc209847065"/>
      <w:bookmarkStart w:id="161" w:name="_Toc101338358"/>
      <w:bookmarkStart w:id="162" w:name="_Toc430773924"/>
      <w:r>
        <w:rPr>
          <w:rFonts w:hint="eastAsia" w:asciiTheme="majorEastAsia" w:hAnsiTheme="majorEastAsia" w:eastAsiaTheme="majorEastAsia" w:cstheme="majorEastAsia"/>
          <w:color w:val="auto"/>
          <w:sz w:val="28"/>
          <w:szCs w:val="28"/>
          <w:highlight w:val="none"/>
        </w:rPr>
        <w:t>1.总则</w:t>
      </w:r>
      <w:bookmarkEnd w:id="157"/>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3" w:name="_Toc25617"/>
      <w:r>
        <w:rPr>
          <w:rFonts w:hint="eastAsia" w:asciiTheme="majorEastAsia" w:hAnsiTheme="majorEastAsia" w:eastAsiaTheme="majorEastAsia" w:cstheme="majorEastAsia"/>
          <w:b w:val="0"/>
          <w:color w:val="auto"/>
          <w:sz w:val="24"/>
          <w:szCs w:val="24"/>
          <w:highlight w:val="none"/>
        </w:rPr>
        <w:t>1.1 根据《中华人民共和国政府采购法》、《中华人民共和国政府采购法实施条例》、《政府采购竞争性磋商采购方式管理暂行办法》等法律制度，结合本采购项目特点制定本磋商方法。</w:t>
      </w:r>
      <w:bookmarkEnd w:id="163"/>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4" w:name="_Toc8310"/>
      <w:r>
        <w:rPr>
          <w:rFonts w:hint="eastAsia" w:asciiTheme="majorEastAsia" w:hAnsiTheme="majorEastAsia" w:eastAsiaTheme="majorEastAsia" w:cstheme="majorEastAsia"/>
          <w:b w:val="0"/>
          <w:color w:val="auto"/>
          <w:sz w:val="24"/>
          <w:szCs w:val="24"/>
          <w:highlight w:val="none"/>
        </w:rPr>
        <w:t>1.2 磋商工作由采购代理机构负责组织，具体磋商由采购代理机构依法组建的磋商小组负责。</w:t>
      </w:r>
      <w:bookmarkEnd w:id="164"/>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5" w:name="_Toc13190"/>
      <w:r>
        <w:rPr>
          <w:rFonts w:hint="eastAsia" w:asciiTheme="majorEastAsia" w:hAnsiTheme="majorEastAsia" w:eastAsiaTheme="majorEastAsia" w:cstheme="majorEastAsia"/>
          <w:b w:val="0"/>
          <w:color w:val="auto"/>
          <w:sz w:val="24"/>
          <w:szCs w:val="24"/>
          <w:highlight w:val="none"/>
        </w:rPr>
        <w:t>1.3 磋商工作应遵循公平、公正、科学及择优的原则，并以相同的磋商程序和标准对待所有的供应商。</w:t>
      </w:r>
      <w:bookmarkEnd w:id="165"/>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6" w:name="_Toc7244"/>
      <w:r>
        <w:rPr>
          <w:rFonts w:hint="eastAsia" w:asciiTheme="majorEastAsia" w:hAnsiTheme="majorEastAsia" w:eastAsiaTheme="majorEastAsia" w:cstheme="majorEastAsia"/>
          <w:b w:val="0"/>
          <w:color w:val="auto"/>
          <w:sz w:val="24"/>
          <w:szCs w:val="24"/>
          <w:highlight w:val="none"/>
        </w:rPr>
        <w:t>1.4 磋商小组按照磋商文件规定的磋商程序、评分方法和标准进行评审，并独立履行下列职责：</w:t>
      </w:r>
      <w:bookmarkEnd w:id="166"/>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7" w:name="_Toc19472"/>
      <w:r>
        <w:rPr>
          <w:rFonts w:hint="eastAsia" w:asciiTheme="majorEastAsia" w:hAnsiTheme="majorEastAsia" w:eastAsiaTheme="majorEastAsia" w:cstheme="majorEastAsia"/>
          <w:b w:val="0"/>
          <w:color w:val="auto"/>
          <w:sz w:val="24"/>
          <w:szCs w:val="24"/>
          <w:highlight w:val="none"/>
        </w:rPr>
        <w:t>（一）熟悉和理解磋商文件，确定磋商文件内容是否违反国家有关强制性规定或者磋商文件存在歧义、重大缺陷，根据需要书面要求采购人、采购代理机构对磋商文件作出解释；</w:t>
      </w:r>
      <w:bookmarkEnd w:id="167"/>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8" w:name="_Toc20145"/>
      <w:r>
        <w:rPr>
          <w:rFonts w:hint="eastAsia" w:asciiTheme="majorEastAsia" w:hAnsiTheme="majorEastAsia" w:eastAsiaTheme="majorEastAsia" w:cstheme="majorEastAsia"/>
          <w:b w:val="0"/>
          <w:color w:val="auto"/>
          <w:sz w:val="24"/>
          <w:szCs w:val="24"/>
          <w:highlight w:val="none"/>
        </w:rPr>
        <w:t>（二）审查供应商响应文件是否满足磋商文件要求，并作出公正评价；</w:t>
      </w:r>
      <w:bookmarkEnd w:id="168"/>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69" w:name="_Toc24694"/>
      <w:r>
        <w:rPr>
          <w:rFonts w:hint="eastAsia" w:asciiTheme="majorEastAsia" w:hAnsiTheme="majorEastAsia" w:eastAsiaTheme="majorEastAsia" w:cstheme="majorEastAsia"/>
          <w:b w:val="0"/>
          <w:color w:val="auto"/>
          <w:sz w:val="24"/>
          <w:szCs w:val="24"/>
          <w:highlight w:val="none"/>
        </w:rPr>
        <w:t>（三）根据需要要求供应商对响应文件中含义不明确、同类问题表述不一致或者有明显文字和计算错误的内容等作出必要的澄清、说明或者更正；</w:t>
      </w:r>
      <w:bookmarkEnd w:id="169"/>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0" w:name="_Toc12252"/>
      <w:r>
        <w:rPr>
          <w:rFonts w:hint="eastAsia" w:asciiTheme="majorEastAsia" w:hAnsiTheme="majorEastAsia" w:eastAsiaTheme="majorEastAsia" w:cstheme="majorEastAsia"/>
          <w:b w:val="0"/>
          <w:color w:val="auto"/>
          <w:sz w:val="24"/>
          <w:szCs w:val="24"/>
          <w:highlight w:val="none"/>
        </w:rPr>
        <w:t>（四）推荐成交供应商，或者受采购人委托确定成交供应商；</w:t>
      </w:r>
      <w:bookmarkEnd w:id="170"/>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1" w:name="_Toc32376"/>
      <w:r>
        <w:rPr>
          <w:rFonts w:hint="eastAsia" w:asciiTheme="majorEastAsia" w:hAnsiTheme="majorEastAsia" w:eastAsiaTheme="majorEastAsia" w:cstheme="majorEastAsia"/>
          <w:b w:val="0"/>
          <w:color w:val="auto"/>
          <w:sz w:val="24"/>
          <w:szCs w:val="24"/>
          <w:highlight w:val="none"/>
        </w:rPr>
        <w:t>（五）起草评审报告并进行签署；</w:t>
      </w:r>
      <w:bookmarkEnd w:id="171"/>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2" w:name="_Toc15209"/>
      <w:r>
        <w:rPr>
          <w:rFonts w:hint="eastAsia" w:asciiTheme="majorEastAsia" w:hAnsiTheme="majorEastAsia" w:eastAsiaTheme="majorEastAsia" w:cstheme="majorEastAsia"/>
          <w:b w:val="0"/>
          <w:color w:val="auto"/>
          <w:sz w:val="24"/>
          <w:szCs w:val="24"/>
          <w:highlight w:val="none"/>
        </w:rPr>
        <w:t>（六）向采购代理机构、财政部门或者其他监督部门报告非法干预评审工作的行为；</w:t>
      </w:r>
      <w:bookmarkEnd w:id="172"/>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3" w:name="_Toc11445"/>
      <w:r>
        <w:rPr>
          <w:rFonts w:hint="eastAsia" w:asciiTheme="majorEastAsia" w:hAnsiTheme="majorEastAsia" w:eastAsiaTheme="majorEastAsia" w:cstheme="majorEastAsia"/>
          <w:b w:val="0"/>
          <w:color w:val="auto"/>
          <w:sz w:val="24"/>
          <w:szCs w:val="24"/>
          <w:highlight w:val="none"/>
        </w:rPr>
        <w:t>（七）法律、法规和规章规定的其他职责。</w:t>
      </w:r>
      <w:bookmarkEnd w:id="173"/>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4" w:name="_Toc14629"/>
      <w:r>
        <w:rPr>
          <w:rFonts w:hint="eastAsia" w:asciiTheme="majorEastAsia" w:hAnsiTheme="majorEastAsia" w:eastAsiaTheme="majorEastAsia" w:cstheme="majorEastAsia"/>
          <w:b w:val="0"/>
          <w:color w:val="auto"/>
          <w:sz w:val="24"/>
          <w:szCs w:val="24"/>
          <w:highlight w:val="none"/>
        </w:rPr>
        <w:t xml:space="preserve">1.5 </w:t>
      </w:r>
      <w:r>
        <w:rPr>
          <w:rFonts w:hint="eastAsia" w:asciiTheme="majorEastAsia" w:hAnsiTheme="majorEastAsia" w:eastAsiaTheme="majorEastAsia" w:cstheme="majorEastAsia"/>
          <w:color w:val="auto"/>
          <w:sz w:val="24"/>
          <w:szCs w:val="24"/>
          <w:highlight w:val="none"/>
        </w:rPr>
        <w:t>（实质性要求）</w:t>
      </w:r>
      <w:r>
        <w:rPr>
          <w:rFonts w:hint="eastAsia" w:asciiTheme="majorEastAsia" w:hAnsiTheme="majorEastAsia" w:eastAsiaTheme="majorEastAsia" w:cstheme="majorEastAsia"/>
          <w:b w:val="0"/>
          <w:color w:val="auto"/>
          <w:sz w:val="24"/>
          <w:szCs w:val="24"/>
          <w:highlight w:val="none"/>
        </w:rPr>
        <w:t>磋商过程独立、保密。供应商非法干预磋商过程的，其响应文件作无效处理。</w:t>
      </w:r>
      <w:bookmarkEnd w:id="174"/>
    </w:p>
    <w:p>
      <w:pPr>
        <w:ind w:firstLine="413"/>
        <w:rPr>
          <w:rFonts w:hint="eastAsia" w:asciiTheme="majorEastAsia" w:hAnsiTheme="majorEastAsia" w:eastAsiaTheme="majorEastAsia" w:cstheme="majorEastAsia"/>
          <w:color w:val="auto"/>
          <w:sz w:val="24"/>
          <w:highlight w:val="none"/>
        </w:rPr>
      </w:pPr>
    </w:p>
    <w:p>
      <w:pPr>
        <w:pStyle w:val="4"/>
        <w:keepNext w:val="0"/>
        <w:keepLines w:val="0"/>
        <w:spacing w:before="0" w:after="0"/>
        <w:ind w:firstLine="551" w:firstLineChars="196"/>
        <w:jc w:val="left"/>
        <w:rPr>
          <w:rFonts w:hint="eastAsia" w:asciiTheme="majorEastAsia" w:hAnsiTheme="majorEastAsia" w:eastAsiaTheme="majorEastAsia" w:cstheme="majorEastAsia"/>
          <w:color w:val="auto"/>
          <w:sz w:val="28"/>
          <w:szCs w:val="28"/>
          <w:highlight w:val="none"/>
        </w:rPr>
      </w:pPr>
      <w:bookmarkStart w:id="175" w:name="_Toc10439"/>
      <w:r>
        <w:rPr>
          <w:rFonts w:hint="eastAsia" w:asciiTheme="majorEastAsia" w:hAnsiTheme="majorEastAsia" w:eastAsiaTheme="majorEastAsia" w:cstheme="majorEastAsia"/>
          <w:color w:val="auto"/>
          <w:sz w:val="28"/>
          <w:szCs w:val="28"/>
          <w:highlight w:val="none"/>
        </w:rPr>
        <w:t>2.磋商程序</w:t>
      </w:r>
      <w:bookmarkEnd w:id="175"/>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6" w:name="_Toc14653"/>
      <w:r>
        <w:rPr>
          <w:rFonts w:hint="eastAsia" w:asciiTheme="majorEastAsia" w:hAnsiTheme="majorEastAsia" w:eastAsiaTheme="majorEastAsia" w:cstheme="majorEastAsia"/>
          <w:b w:val="0"/>
          <w:color w:val="auto"/>
          <w:sz w:val="24"/>
          <w:szCs w:val="24"/>
          <w:highlight w:val="none"/>
        </w:rPr>
        <w:t>2.1 审查磋商文件和停止评审。</w:t>
      </w:r>
      <w:bookmarkEnd w:id="176"/>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7" w:name="_Toc20283"/>
      <w:r>
        <w:rPr>
          <w:rFonts w:hint="eastAsia" w:asciiTheme="majorEastAsia" w:hAnsiTheme="majorEastAsia" w:eastAsiaTheme="majorEastAsia" w:cstheme="majorEastAsia"/>
          <w:b w:val="0"/>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177"/>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8" w:name="_Toc18129"/>
      <w:r>
        <w:rPr>
          <w:rFonts w:hint="eastAsia" w:asciiTheme="majorEastAsia" w:hAnsiTheme="majorEastAsia" w:eastAsiaTheme="majorEastAsia" w:cstheme="majorEastAsia"/>
          <w:b w:val="0"/>
          <w:color w:val="auto"/>
          <w:sz w:val="24"/>
          <w:szCs w:val="24"/>
          <w:highlight w:val="none"/>
        </w:rPr>
        <w:t>2.1.2 本磋商文件有下列情形之一的，磋商小组应当停止评审：</w:t>
      </w:r>
      <w:bookmarkEnd w:id="178"/>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79" w:name="_Toc17488"/>
      <w:r>
        <w:rPr>
          <w:rFonts w:hint="eastAsia" w:asciiTheme="majorEastAsia" w:hAnsiTheme="majorEastAsia" w:eastAsiaTheme="majorEastAsia" w:cstheme="majorEastAsia"/>
          <w:b w:val="0"/>
          <w:color w:val="auto"/>
          <w:sz w:val="24"/>
          <w:szCs w:val="24"/>
          <w:highlight w:val="none"/>
        </w:rPr>
        <w:t>（1）磋商文件的规定存在歧义、重大缺陷的；</w:t>
      </w:r>
      <w:bookmarkEnd w:id="179"/>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0" w:name="_Toc11326"/>
      <w:r>
        <w:rPr>
          <w:rFonts w:hint="eastAsia" w:asciiTheme="majorEastAsia" w:hAnsiTheme="majorEastAsia" w:eastAsiaTheme="majorEastAsia" w:cstheme="majorEastAsia"/>
          <w:b w:val="0"/>
          <w:color w:val="auto"/>
          <w:sz w:val="24"/>
          <w:szCs w:val="24"/>
          <w:highlight w:val="none"/>
        </w:rPr>
        <w:t>（2）磋商文件明显以不合理条件对供应商实行差别待遇或者歧视待遇的；</w:t>
      </w:r>
      <w:bookmarkEnd w:id="180"/>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1" w:name="_Toc27553"/>
      <w:r>
        <w:rPr>
          <w:rFonts w:hint="eastAsia" w:asciiTheme="majorEastAsia" w:hAnsiTheme="majorEastAsia" w:eastAsiaTheme="majorEastAsia" w:cstheme="majorEastAsia"/>
          <w:b w:val="0"/>
          <w:color w:val="auto"/>
          <w:sz w:val="24"/>
          <w:szCs w:val="24"/>
          <w:highlight w:val="none"/>
        </w:rPr>
        <w:t>（3）采购项目属于国家规定的优先、强制采购范围，但是磋商文件未依法体现优先、强制采购相关规定的；</w:t>
      </w:r>
      <w:bookmarkEnd w:id="181"/>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2" w:name="_Toc16030"/>
      <w:r>
        <w:rPr>
          <w:rFonts w:hint="eastAsia" w:asciiTheme="majorEastAsia" w:hAnsiTheme="majorEastAsia" w:eastAsiaTheme="majorEastAsia" w:cstheme="majorEastAsia"/>
          <w:b w:val="0"/>
          <w:color w:val="auto"/>
          <w:sz w:val="24"/>
          <w:szCs w:val="24"/>
          <w:highlight w:val="none"/>
        </w:rPr>
        <w:t>（4）采购项目属于政府采购促进中小企业发展的范围，但是磋商文件未依法体现促进中小企业发展相关规定的；</w:t>
      </w:r>
      <w:bookmarkEnd w:id="182"/>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3" w:name="_Toc28198"/>
      <w:r>
        <w:rPr>
          <w:rFonts w:hint="eastAsia" w:asciiTheme="majorEastAsia" w:hAnsiTheme="majorEastAsia" w:eastAsiaTheme="majorEastAsia" w:cstheme="majorEastAsia"/>
          <w:b w:val="0"/>
          <w:color w:val="auto"/>
          <w:sz w:val="24"/>
          <w:szCs w:val="24"/>
          <w:highlight w:val="none"/>
        </w:rPr>
        <w:t>（5）磋商文件将供应商的资格条件列为评分因素的；</w:t>
      </w:r>
      <w:bookmarkEnd w:id="183"/>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4" w:name="_Toc4679"/>
      <w:r>
        <w:rPr>
          <w:rFonts w:hint="eastAsia" w:asciiTheme="majorEastAsia" w:hAnsiTheme="majorEastAsia" w:eastAsiaTheme="majorEastAsia" w:cstheme="majorEastAsia"/>
          <w:b w:val="0"/>
          <w:color w:val="auto"/>
          <w:sz w:val="24"/>
          <w:szCs w:val="24"/>
          <w:highlight w:val="none"/>
        </w:rPr>
        <w:t>（6）磋商文件载明的成交原则不合法的；</w:t>
      </w:r>
      <w:bookmarkEnd w:id="184"/>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5" w:name="_Toc18731"/>
      <w:r>
        <w:rPr>
          <w:rFonts w:hint="eastAsia" w:asciiTheme="majorEastAsia" w:hAnsiTheme="majorEastAsia" w:eastAsiaTheme="majorEastAsia" w:cstheme="majorEastAsia"/>
          <w:b w:val="0"/>
          <w:color w:val="auto"/>
          <w:sz w:val="24"/>
          <w:szCs w:val="24"/>
          <w:highlight w:val="none"/>
        </w:rPr>
        <w:t>（7）磋商文件有违反国家其他有关强制性规定的情形。</w:t>
      </w:r>
      <w:bookmarkEnd w:id="185"/>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6" w:name="_Toc18518"/>
      <w:r>
        <w:rPr>
          <w:rFonts w:hint="eastAsia" w:asciiTheme="majorEastAsia" w:hAnsiTheme="majorEastAsia" w:eastAsiaTheme="majorEastAsia" w:cstheme="majorEastAsia"/>
          <w:b w:val="0"/>
          <w:color w:val="auto"/>
          <w:sz w:val="24"/>
          <w:szCs w:val="24"/>
          <w:highlight w:val="none"/>
        </w:rPr>
        <w:t>2.1.3 出现本条2.1.2规定应当停止评审情形的，磋商小组应当向采购人书面说明情况。除本条规定的情形外，磋商小组不得以任何方式和理由停止评审。</w:t>
      </w:r>
      <w:bookmarkEnd w:id="186"/>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7" w:name="_Toc30267"/>
      <w:r>
        <w:rPr>
          <w:rFonts w:hint="eastAsia" w:asciiTheme="majorEastAsia" w:hAnsiTheme="majorEastAsia" w:eastAsiaTheme="majorEastAsia" w:cstheme="majorEastAsia"/>
          <w:b w:val="0"/>
          <w:color w:val="auto"/>
          <w:sz w:val="24"/>
          <w:szCs w:val="24"/>
          <w:highlight w:val="none"/>
        </w:rPr>
        <w:t>2.2 资格性审查。</w:t>
      </w:r>
      <w:bookmarkEnd w:id="187"/>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8" w:name="_Toc25997"/>
      <w:r>
        <w:rPr>
          <w:rFonts w:hint="eastAsia" w:asciiTheme="majorEastAsia" w:hAnsiTheme="majorEastAsia" w:eastAsiaTheme="majorEastAsia" w:cstheme="majorEastAsia"/>
          <w:b w:val="0"/>
          <w:color w:val="auto"/>
          <w:sz w:val="24"/>
          <w:szCs w:val="24"/>
          <w:highlight w:val="none"/>
        </w:rPr>
        <w:t>2.2.1 本项目需要磋商小组进行资格性检查。</w:t>
      </w:r>
      <w:bookmarkEnd w:id="188"/>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89" w:name="_Toc31494"/>
      <w:r>
        <w:rPr>
          <w:rFonts w:hint="eastAsia" w:asciiTheme="majorEastAsia" w:hAnsiTheme="majorEastAsia" w:eastAsiaTheme="majorEastAsia" w:cstheme="majorEastAsia"/>
          <w:b w:val="0"/>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bookmarkEnd w:id="189"/>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0" w:name="_Toc25857"/>
      <w:r>
        <w:rPr>
          <w:rFonts w:hint="eastAsia" w:asciiTheme="majorEastAsia" w:hAnsiTheme="majorEastAsia" w:eastAsiaTheme="majorEastAsia" w:cstheme="majorEastAsia"/>
          <w:b w:val="0"/>
          <w:color w:val="auto"/>
          <w:sz w:val="24"/>
          <w:szCs w:val="24"/>
          <w:highlight w:val="none"/>
        </w:rPr>
        <w:t>2.2.2 资格性审查结束后，磋商小组应当出具资格性审查报告，没有通过资格审查的供应商，磋商小组应当在资格审查报告中说明原因。</w:t>
      </w:r>
      <w:bookmarkEnd w:id="190"/>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1" w:name="_Toc27081"/>
      <w:r>
        <w:rPr>
          <w:rFonts w:hint="eastAsia" w:asciiTheme="majorEastAsia" w:hAnsiTheme="majorEastAsia" w:eastAsiaTheme="majorEastAsia" w:cstheme="majorEastAsia"/>
          <w:b w:val="0"/>
          <w:color w:val="auto"/>
          <w:sz w:val="24"/>
          <w:szCs w:val="24"/>
          <w:highlight w:val="none"/>
        </w:rPr>
        <w:t>2.2.3 磋商小组应依据磋商文件规定的实质性要求，对符合资格的响应文件进行有效性、完整性和响应程度审查，以确定参加磋商的供应商名单。</w:t>
      </w:r>
      <w:bookmarkEnd w:id="191"/>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2" w:name="_Toc3446"/>
      <w:r>
        <w:rPr>
          <w:rFonts w:hint="eastAsia" w:asciiTheme="majorEastAsia" w:hAnsiTheme="majorEastAsia" w:eastAsiaTheme="majorEastAsia" w:cstheme="majorEastAsia"/>
          <w:b w:val="0"/>
          <w:color w:val="auto"/>
          <w:sz w:val="24"/>
          <w:szCs w:val="24"/>
          <w:highlight w:val="none"/>
        </w:rPr>
        <w:t>2.2.4 采购人或者采购代理机构宣布未通过资格性审查的供应商名单时，应当告知供应商未通过审查的原因。</w:t>
      </w:r>
      <w:bookmarkEnd w:id="192"/>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3" w:name="_Toc24014"/>
      <w:r>
        <w:rPr>
          <w:rFonts w:hint="eastAsia" w:asciiTheme="majorEastAsia" w:hAnsiTheme="majorEastAsia" w:eastAsiaTheme="majorEastAsia" w:cstheme="majorEastAsia"/>
          <w:b w:val="0"/>
          <w:color w:val="auto"/>
          <w:sz w:val="24"/>
          <w:szCs w:val="24"/>
          <w:highlight w:val="none"/>
        </w:rPr>
        <w:t>2.3 通过资格性审查的供应商不足3家的</w:t>
      </w:r>
      <w:r>
        <w:rPr>
          <w:rFonts w:hint="eastAsia" w:asciiTheme="majorEastAsia" w:hAnsiTheme="majorEastAsia" w:eastAsiaTheme="majorEastAsia" w:cstheme="majorEastAsia"/>
          <w:color w:val="auto"/>
          <w:sz w:val="24"/>
          <w:szCs w:val="24"/>
          <w:highlight w:val="none"/>
        </w:rPr>
        <w:t>（本章 2.3.1 的情况除外）</w:t>
      </w:r>
      <w:r>
        <w:rPr>
          <w:rFonts w:hint="eastAsia" w:asciiTheme="majorEastAsia" w:hAnsiTheme="majorEastAsia" w:eastAsiaTheme="majorEastAsia" w:cstheme="majorEastAsia"/>
          <w:b w:val="0"/>
          <w:color w:val="auto"/>
          <w:sz w:val="24"/>
          <w:szCs w:val="24"/>
          <w:highlight w:val="none"/>
        </w:rPr>
        <w:t>，终止本次采购活动，并发布终止采购活动公告。</w:t>
      </w:r>
      <w:bookmarkEnd w:id="193"/>
    </w:p>
    <w:p>
      <w:pPr>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2.31根据《财政部关于政府采购竞争性磋商采购方式管理暂行办法有关问题的补充通知》财库[2015]124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 采购活动可以继续进行”。若采购过程中符合要求的供应商（社会资本）只有 2 家，且采购人要求继续进行的，评审委员会应当遵照相关要求进行评审；采购过程中符合要求的供应商（社会资本）只有1 家的，采购人（项目实施机构）或者采购代理机构应当终止竞争性磋商采购活动，发布项目终止公告并说明原因，重新开展采购活动。</w:t>
      </w:r>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4" w:name="_Toc1625"/>
      <w:r>
        <w:rPr>
          <w:rFonts w:hint="eastAsia" w:asciiTheme="majorEastAsia" w:hAnsiTheme="majorEastAsia" w:eastAsiaTheme="majorEastAsia" w:cstheme="majorEastAsia"/>
          <w:b w:val="0"/>
          <w:color w:val="auto"/>
          <w:sz w:val="24"/>
          <w:szCs w:val="24"/>
          <w:highlight w:val="none"/>
        </w:rPr>
        <w:t>2.4 磋商。</w:t>
      </w:r>
      <w:bookmarkEnd w:id="194"/>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5" w:name="_Toc7409"/>
      <w:r>
        <w:rPr>
          <w:rFonts w:hint="eastAsia" w:asciiTheme="majorEastAsia" w:hAnsiTheme="majorEastAsia" w:eastAsiaTheme="majorEastAsia" w:cstheme="majorEastAsia"/>
          <w:b w:val="0"/>
          <w:color w:val="auto"/>
          <w:sz w:val="24"/>
          <w:szCs w:val="24"/>
          <w:highlight w:val="none"/>
        </w:rPr>
        <w:t>2.4.1 磋商小组所有成员集中与单一供应商分别进行一轮或多轮磋商，并给予所有参加磋商的供应商平等的磋商机会。磋商顺序以现场抽签的方式确定。磋商过程中，磋商小组可以根据磋商情况调整磋商轮次。</w:t>
      </w:r>
      <w:bookmarkEnd w:id="195"/>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6" w:name="_Toc20911"/>
      <w:r>
        <w:rPr>
          <w:rFonts w:hint="eastAsia" w:asciiTheme="majorEastAsia" w:hAnsiTheme="majorEastAsia" w:eastAsiaTheme="majorEastAsia" w:cstheme="majorEastAsia"/>
          <w:b w:val="0"/>
          <w:color w:val="auto"/>
          <w:sz w:val="24"/>
          <w:szCs w:val="24"/>
          <w:highlight w:val="none"/>
        </w:rPr>
        <w:t>2.4.2 每轮磋商开始前，磋商小组应根据磋商文件的规定，并结合各供应商的响应文件拟定磋商内容。</w:t>
      </w:r>
      <w:bookmarkEnd w:id="196"/>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7" w:name="_Toc3668"/>
      <w:r>
        <w:rPr>
          <w:rFonts w:hint="eastAsia" w:asciiTheme="majorEastAsia" w:hAnsiTheme="majorEastAsia" w:eastAsiaTheme="majorEastAsia" w:cstheme="majorEastAsia"/>
          <w:b w:val="0"/>
          <w:color w:val="auto"/>
          <w:sz w:val="24"/>
          <w:szCs w:val="24"/>
          <w:highlight w:val="none"/>
        </w:rPr>
        <w:t>2.4.3 在磋商过程中，磋商小组可以根据磋商文件和磋商情况实质性变动磋商文件的技术、服务要求以及合同草案条款，但不得变动磋商文件中的其他内容。实质性变动的内容，须经采购人代表书面确认。</w:t>
      </w:r>
      <w:bookmarkEnd w:id="197"/>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8" w:name="_Toc14974"/>
      <w:r>
        <w:rPr>
          <w:rFonts w:hint="eastAsia" w:asciiTheme="majorEastAsia" w:hAnsiTheme="majorEastAsia" w:eastAsiaTheme="majorEastAsia" w:cstheme="majorEastAsia"/>
          <w:b w:val="0"/>
          <w:color w:val="auto"/>
          <w:sz w:val="24"/>
          <w:szCs w:val="24"/>
          <w:highlight w:val="none"/>
        </w:rPr>
        <w:t>2.4.4 对磋商文件作出的实质性变动是磋商文件的有效组成部分，磋商小组应当及时以书面形式同时通知所有参加磋商的供应商。</w:t>
      </w:r>
      <w:bookmarkEnd w:id="198"/>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199" w:name="_Toc30627"/>
      <w:r>
        <w:rPr>
          <w:rFonts w:hint="eastAsia" w:asciiTheme="majorEastAsia" w:hAnsiTheme="majorEastAsia" w:eastAsiaTheme="majorEastAsia" w:cstheme="majorEastAsia"/>
          <w:b w:val="0"/>
          <w:color w:val="auto"/>
          <w:sz w:val="24"/>
          <w:szCs w:val="24"/>
          <w:highlight w:val="none"/>
        </w:rPr>
        <w:t>2.4.5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99"/>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200" w:name="_Toc889"/>
      <w:r>
        <w:rPr>
          <w:rFonts w:hint="eastAsia" w:asciiTheme="majorEastAsia" w:hAnsiTheme="majorEastAsia" w:eastAsiaTheme="majorEastAsia" w:cstheme="majorEastAsia"/>
          <w:b w:val="0"/>
          <w:color w:val="auto"/>
          <w:sz w:val="24"/>
          <w:szCs w:val="24"/>
          <w:highlight w:val="none"/>
        </w:rPr>
        <w:t>2.4.6 磋商过程中，磋商的任何一方不得透露与磋商有关的其他供应商的技术资料、价格和其他信息。</w:t>
      </w:r>
      <w:bookmarkEnd w:id="200"/>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201" w:name="_Toc15773"/>
      <w:r>
        <w:rPr>
          <w:rFonts w:hint="eastAsia" w:asciiTheme="majorEastAsia" w:hAnsiTheme="majorEastAsia" w:eastAsiaTheme="majorEastAsia" w:cstheme="majorEastAsia"/>
          <w:b w:val="0"/>
          <w:color w:val="auto"/>
          <w:sz w:val="24"/>
          <w:szCs w:val="24"/>
          <w:highlight w:val="none"/>
        </w:rPr>
        <w:t>2.4.7 磋商过程中，磋商小组发现或者知晓供应商存在违法、违纪行为的，磋商小组应当将该供应商响应文件作无效处理，不允许其提交最后报价。</w:t>
      </w:r>
      <w:bookmarkEnd w:id="201"/>
    </w:p>
    <w:p>
      <w:pPr>
        <w:pStyle w:val="4"/>
        <w:keepNext w:val="0"/>
        <w:keepLines w:val="0"/>
        <w:spacing w:before="0" w:after="0"/>
        <w:ind w:firstLine="470" w:firstLineChars="196"/>
        <w:jc w:val="left"/>
        <w:rPr>
          <w:rFonts w:hint="eastAsia" w:asciiTheme="majorEastAsia" w:hAnsiTheme="majorEastAsia" w:eastAsiaTheme="majorEastAsia" w:cstheme="majorEastAsia"/>
          <w:b w:val="0"/>
          <w:color w:val="auto"/>
          <w:sz w:val="24"/>
          <w:szCs w:val="24"/>
          <w:highlight w:val="none"/>
        </w:rPr>
      </w:pPr>
      <w:bookmarkStart w:id="202" w:name="_Toc16363"/>
      <w:r>
        <w:rPr>
          <w:rFonts w:hint="eastAsia" w:asciiTheme="majorEastAsia" w:hAnsiTheme="majorEastAsia" w:eastAsiaTheme="majorEastAsia" w:cstheme="majorEastAsia"/>
          <w:b w:val="0"/>
          <w:color w:val="auto"/>
          <w:sz w:val="24"/>
          <w:szCs w:val="24"/>
          <w:highlight w:val="none"/>
        </w:rPr>
        <w:t>2.4.8 磋商完成后，磋商小组应出具磋商情况记录表，磋商情况记录表需包含磋商内容、磋商意见、实质性变动内容等。</w:t>
      </w:r>
      <w:bookmarkEnd w:id="202"/>
      <w:r>
        <w:rPr>
          <w:rFonts w:hint="eastAsia" w:asciiTheme="majorEastAsia" w:hAnsiTheme="majorEastAsia" w:eastAsiaTheme="majorEastAsia" w:cstheme="majorEastAsia"/>
          <w:b w:val="0"/>
          <w:color w:val="auto"/>
          <w:sz w:val="24"/>
          <w:szCs w:val="24"/>
          <w:highlight w:val="none"/>
        </w:rPr>
        <w:t xml:space="preserve">   </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 最后报价。</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2.5.1 磋商文件能够详细列明采购标的的技术、服务要求的，磋商结束后，磋商小组应当要求所有实质性响应的供应商在规定时间内提交最后报价，提交最后报价的供应商不得少于3家</w:t>
      </w:r>
      <w:r>
        <w:rPr>
          <w:rFonts w:hint="eastAsia" w:asciiTheme="majorEastAsia" w:hAnsiTheme="majorEastAsia" w:eastAsiaTheme="majorEastAsia" w:cstheme="majorEastAsia"/>
          <w:b/>
          <w:color w:val="auto"/>
          <w:sz w:val="24"/>
          <w:highlight w:val="none"/>
        </w:rPr>
        <w:t>（本章 2.3.1 的情况除外）</w:t>
      </w:r>
      <w:r>
        <w:rPr>
          <w:rFonts w:hint="eastAsia" w:asciiTheme="majorEastAsia" w:hAnsiTheme="majorEastAsia" w:eastAsiaTheme="majorEastAsia" w:cstheme="majorEastAsia"/>
          <w:color w:val="auto"/>
          <w:sz w:val="24"/>
          <w:highlight w:val="none"/>
        </w:rPr>
        <w:t>。或磋商文件不能详细列明采购标的的技术、服务要求，需经磋商由供应商提供最终设计方案或解决方案的，磋商结束后，磋商小组应当按照少数服从多数的原则投票推荐3家以上</w:t>
      </w:r>
      <w:r>
        <w:rPr>
          <w:rFonts w:hint="eastAsia" w:asciiTheme="majorEastAsia" w:hAnsiTheme="majorEastAsia" w:eastAsiaTheme="majorEastAsia" w:cstheme="majorEastAsia"/>
          <w:b/>
          <w:color w:val="auto"/>
          <w:sz w:val="24"/>
          <w:highlight w:val="none"/>
        </w:rPr>
        <w:t>（本章 2.3.1 的情况除外）</w:t>
      </w:r>
      <w:r>
        <w:rPr>
          <w:rFonts w:hint="eastAsia" w:asciiTheme="majorEastAsia" w:hAnsiTheme="majorEastAsia" w:eastAsiaTheme="majorEastAsia" w:cstheme="majorEastAsia"/>
          <w:color w:val="auto"/>
          <w:sz w:val="24"/>
          <w:highlight w:val="none"/>
        </w:rPr>
        <w:t>供应商的设计方案或者解决方案，并要求其在规定时间内提交最后报价。</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2.5.3 供应商最后报价应当由法定代表人/主要负责人/本人或其授权代表签字确认或加盖公章。最后报价是供应商响应文件的有效组成部分。</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2.5.4 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 比较与评价。由磋商小组采用综合评分法对提交最后报价的供应商的响应文件和最后报价进行综合评分，具体要求详见本章综合评分部分。</w:t>
      </w:r>
    </w:p>
    <w:p>
      <w:pPr>
        <w:pStyle w:val="7"/>
        <w:ind w:left="0" w:leftChars="0"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 推荐成交候选供应商。磋商小组应当根据综合评分情况，按照评审得分由高到低顺序推荐3家以上</w:t>
      </w:r>
      <w:r>
        <w:rPr>
          <w:rFonts w:hint="eastAsia" w:asciiTheme="majorEastAsia" w:hAnsiTheme="majorEastAsia" w:eastAsiaTheme="majorEastAsia" w:cstheme="majorEastAsia"/>
          <w:b/>
          <w:color w:val="auto"/>
          <w:sz w:val="24"/>
          <w:szCs w:val="24"/>
          <w:highlight w:val="none"/>
        </w:rPr>
        <w:t>（本章 2.3.1 的情况除外）</w:t>
      </w:r>
      <w:r>
        <w:rPr>
          <w:rFonts w:hint="eastAsia" w:asciiTheme="majorEastAsia" w:hAnsiTheme="majorEastAsia" w:eastAsiaTheme="majorEastAsia" w:cstheme="majorEastAsia"/>
          <w:color w:val="auto"/>
          <w:sz w:val="24"/>
          <w:szCs w:val="24"/>
          <w:highlight w:val="none"/>
        </w:rPr>
        <w:t>成交候选供应商，并编写磋商报告。评审结果按评审后得分由高到低顺序排列；得分相同的，按投标报价由低到高顺序排列；得分且投标报价相同的并列，由评审委员会遵循</w:t>
      </w:r>
      <w:r>
        <w:rPr>
          <w:rFonts w:hint="eastAsia" w:asciiTheme="majorEastAsia" w:hAnsiTheme="majorEastAsia" w:eastAsiaTheme="majorEastAsia" w:cstheme="majorEastAsia"/>
          <w:b/>
          <w:bCs/>
          <w:color w:val="auto"/>
          <w:sz w:val="24"/>
          <w:szCs w:val="24"/>
          <w:highlight w:val="none"/>
        </w:rPr>
        <w:t>“公开、公平、公正”</w:t>
      </w:r>
      <w:r>
        <w:rPr>
          <w:rFonts w:hint="eastAsia" w:asciiTheme="majorEastAsia" w:hAnsiTheme="majorEastAsia" w:eastAsiaTheme="majorEastAsia" w:cstheme="majorEastAsia"/>
          <w:color w:val="auto"/>
          <w:sz w:val="24"/>
          <w:szCs w:val="24"/>
          <w:highlight w:val="none"/>
        </w:rPr>
        <w:t>的工作原则采用随机抽取的方式确定。</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2.8 磋商小组复核。磋商小组评分汇总结束后，磋商小组应当进行评审复核，对拟推荐为成交候选供应商的、报价最低的、供应商资格审查未通过的、供应商响应文件作无效处理的重点复核。</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 采购组织单位现场复核评审结果。</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2.9.1 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（1）资格性审查认定错误的；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（2）分值汇总计算错误的；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（3）分项评分超出评分标准范围的；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（4）客观评分不一致的。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采购代理机构复核过程中，磋商小组成员不得离开评审现场。</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2.9.2 有下列情形之一的，不得现场修改评审结果：</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（1）磋商小组已经出具磋商报告并且离开评审现场的；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（2）采购代理机构现场复核时，复核工作人员数量不足的；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（3）采购代理机构现场复核时，没有采购监督人员现场监督的；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（4）采购代理机构现场复核内容超出规定范围的；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（5）采购代理机构未提供书面建议的。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2.10 编写磋商报告。磋商小组推荐成交候选供应商后，应向采购人/采购代理机构出具磋商报告。磋商报告应当包括以下主要内容：</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（1）邀请供应商参加采购活动的具体方式和相关情况；</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（2）响应文件开启日期和地点；</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（3）获取磋商文件的供应商名单和磋商小组成员名单；</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（4）评审情况记录和说明，包括对供应商的资格审查情况、供应商响应文件审查情况、磋商情况、报价情况等；</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（5）提出的成交候选供应商的排序名单及理由。</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供应商澄清、说明</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磋商小组要求供应商澄清、说明或者更正响应文件应当以书面形式作出。供应商的澄清、说明或者更正应当由法定代表人/主要负责人/本人或其授权代表签字或者加盖公章。</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终止磋商采购活动。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出现下列情形之一的，采购人或者采购代理机构应当终止竞争性磋商采购活动，发布项目终止公告并说明原因，重新开展采购活动：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（1）因情况变化，不再符合规定的竞争性磋商采购方式适用情形的；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（2）出现影响采购公正的违法、违规行为的；</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（3）在采购过程中符合要求的供应商或者报价未超过采购预算的供应商不足3家的。</w:t>
      </w:r>
    </w:p>
    <w:p>
      <w:pPr>
        <w:ind w:firstLine="480" w:firstLineChars="200"/>
        <w:rPr>
          <w:rFonts w:hint="eastAsia" w:asciiTheme="majorEastAsia" w:hAnsiTheme="majorEastAsia" w:eastAsiaTheme="majorEastAsia" w:cstheme="majorEastAsia"/>
          <w:color w:val="auto"/>
          <w:sz w:val="24"/>
          <w:highlight w:val="none"/>
        </w:rPr>
      </w:pPr>
    </w:p>
    <w:p>
      <w:pPr>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3.综合评分</w:t>
      </w:r>
    </w:p>
    <w:p>
      <w:pPr>
        <w:pStyle w:val="8"/>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本次综合评分的因素是：详见综合评分表。</w:t>
      </w:r>
    </w:p>
    <w:p>
      <w:pPr>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 </w:t>
      </w:r>
    </w:p>
    <w:p>
      <w:pPr>
        <w:pStyle w:val="10"/>
        <w:tabs>
          <w:tab w:val="left" w:pos="600"/>
        </w:tabs>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 综合评分明细表</w:t>
      </w:r>
    </w:p>
    <w:p>
      <w:pPr>
        <w:pStyle w:val="10"/>
        <w:tabs>
          <w:tab w:val="left" w:pos="600"/>
        </w:tabs>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 综合评分明细表的制定以科学合理、降低评委会自由裁量权为原则。</w:t>
      </w:r>
    </w:p>
    <w:p>
      <w:pPr>
        <w:pStyle w:val="4"/>
        <w:keepNext w:val="0"/>
        <w:keepLines w:val="0"/>
        <w:spacing w:before="0" w:after="0"/>
        <w:ind w:firstLine="470" w:firstLineChars="196"/>
        <w:jc w:val="left"/>
        <w:rPr>
          <w:rFonts w:hint="eastAsia" w:asciiTheme="majorEastAsia" w:hAnsiTheme="majorEastAsia" w:eastAsiaTheme="majorEastAsia" w:cstheme="majorEastAsia"/>
          <w:color w:val="auto"/>
          <w:sz w:val="24"/>
          <w:szCs w:val="24"/>
          <w:highlight w:val="none"/>
        </w:rPr>
      </w:pPr>
      <w:bookmarkStart w:id="203" w:name="_Toc2493"/>
      <w:r>
        <w:rPr>
          <w:rFonts w:hint="eastAsia" w:asciiTheme="majorEastAsia" w:hAnsiTheme="majorEastAsia" w:eastAsiaTheme="majorEastAsia" w:cstheme="majorEastAsia"/>
          <w:b w:val="0"/>
          <w:color w:val="auto"/>
          <w:sz w:val="24"/>
          <w:szCs w:val="24"/>
          <w:highlight w:val="none"/>
        </w:rPr>
        <w:t>3.3.2 综合评分明细表</w:t>
      </w:r>
      <w:bookmarkEnd w:id="203"/>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1"/>
        <w:gridCol w:w="855"/>
        <w:gridCol w:w="577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序号</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评分因素</w:t>
            </w:r>
          </w:p>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及权重</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分　值</w:t>
            </w:r>
          </w:p>
        </w:tc>
        <w:tc>
          <w:tcPr>
            <w:tcW w:w="577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评分标准</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一</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报价10%</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10分</w:t>
            </w:r>
          </w:p>
        </w:tc>
        <w:tc>
          <w:tcPr>
            <w:tcW w:w="577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以满足磋商文件要求且报价最低的磋商报价为评审基准价，其价格分为满分。其他供应商的价格分统一按照下列公式计算：磋商报价得分=(磋商基准价／最后磋商报价)×10。</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共同</w:t>
            </w:r>
          </w:p>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二</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服务要求响应16%</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16分</w:t>
            </w:r>
          </w:p>
        </w:tc>
        <w:tc>
          <w:tcPr>
            <w:tcW w:w="577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供应商完全响应磋商文件中“服务采购清单”（共8点）的得16分，每有一项负偏离分扣2分，扣完为止。</w:t>
            </w:r>
          </w:p>
          <w:p>
            <w:pPr>
              <w:widowControl/>
              <w:spacing w:line="36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注：供应商针对服务要求内容进行单独响应。</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三</w:t>
            </w:r>
          </w:p>
        </w:tc>
        <w:tc>
          <w:tcPr>
            <w:tcW w:w="1391"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技术方案32%</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12分</w:t>
            </w:r>
          </w:p>
        </w:tc>
        <w:tc>
          <w:tcPr>
            <w:tcW w:w="5771" w:type="dxa"/>
            <w:tcBorders>
              <w:top w:val="single" w:color="auto" w:sz="4" w:space="0"/>
              <w:left w:val="single" w:color="auto" w:sz="4" w:space="0"/>
              <w:bottom w:val="single" w:color="auto" w:sz="4" w:space="0"/>
              <w:right w:val="single" w:color="auto" w:sz="4" w:space="0"/>
            </w:tcBorders>
            <w:noWrap/>
            <w:vAlign w:val="center"/>
          </w:tcPr>
          <w:p>
            <w:pPr>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项目需求分析方案：</w:t>
            </w:r>
          </w:p>
          <w:p>
            <w:pPr>
              <w:widowControl/>
              <w:spacing w:line="360" w:lineRule="exact"/>
              <w:ind w:firstLine="480" w:firstLineChars="2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针对本项目提供项目需求分析方案，包括：①项目背景、目标分析②项目重难点分析③成都市集约化平台部署、运行环境描述。上述方案内容符合实际、描述准确、完全符合项目要求的，每项得4分，共12分。每缺少一项或方案不符合实际情况，不满足项目要求的扣4分；每有一项阐述不够详细，不能充分结合实际需求，不具实践性，不能完全满足项目要求的每项扣2分，本项扣完为止。</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13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12分</w:t>
            </w:r>
          </w:p>
        </w:tc>
        <w:tc>
          <w:tcPr>
            <w:tcW w:w="5771" w:type="dxa"/>
            <w:tcBorders>
              <w:top w:val="single" w:color="auto" w:sz="4" w:space="0"/>
              <w:left w:val="single" w:color="auto" w:sz="4" w:space="0"/>
              <w:bottom w:val="single" w:color="auto" w:sz="4" w:space="0"/>
              <w:right w:val="single" w:color="auto" w:sz="4" w:space="0"/>
            </w:tcBorders>
            <w:noWrap/>
            <w:vAlign w:val="center"/>
          </w:tcPr>
          <w:p>
            <w:pPr>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效果图设计方案：</w:t>
            </w:r>
          </w:p>
          <w:p>
            <w:pPr>
              <w:ind w:firstLine="480" w:firstLineChars="2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结合邛崃实际情况，按磋商文件要求对网站首页进行效果图设计。要求效果图排版布局合理，国际化、现代化表现手法的创意性及视觉呈现能力强。主要包括：①网站设计思路；②网站首页效果图一张（A4大小）；③效果图设计说明。供应商所提供的方案符合实际需求的得12分；每有一项内容未提供或不符合采购项目实际需求的扣4分，每有一项不能充分结合实际需求，不能完全满足项目要求的每项扣2分，本项扣完为止。</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13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8分</w:t>
            </w:r>
          </w:p>
        </w:tc>
        <w:tc>
          <w:tcPr>
            <w:tcW w:w="5771" w:type="dxa"/>
            <w:tcBorders>
              <w:top w:val="single" w:color="auto" w:sz="4" w:space="0"/>
              <w:left w:val="single" w:color="auto" w:sz="4" w:space="0"/>
              <w:bottom w:val="single" w:color="auto" w:sz="4" w:space="0"/>
              <w:right w:val="single" w:color="auto" w:sz="4" w:space="0"/>
            </w:tcBorders>
            <w:noWrap/>
            <w:vAlign w:val="center"/>
          </w:tcPr>
          <w:p>
            <w:pPr>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技术方案：</w:t>
            </w:r>
          </w:p>
          <w:p>
            <w:pPr>
              <w:ind w:firstLine="480" w:firstLineChars="2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结合项目实际情况，提供详细、完善的技术方案。主要包括：①技术支撑能力保障；②技术质量管理。上述方案内容符合实际、描述准确、完全符合项目要求的，每项得4分，共8分。每缺少一项或方案不符合实际情况，不满足项目要求的扣4分；每有一项阐述不够详细，不能充分结合实际需求，不具实践性，不能完全满足项目要求的每项扣2分，本项扣完为止。</w:t>
            </w:r>
          </w:p>
        </w:tc>
        <w:tc>
          <w:tcPr>
            <w:tcW w:w="1146" w:type="dxa"/>
            <w:tcBorders>
              <w:top w:val="single" w:color="auto" w:sz="4" w:space="0"/>
              <w:left w:val="single" w:color="auto" w:sz="4" w:space="0"/>
              <w:bottom w:val="single" w:color="auto" w:sz="4" w:space="0"/>
              <w:right w:val="single" w:color="auto" w:sz="4" w:space="0"/>
            </w:tcBorders>
            <w:noWrap/>
            <w:vAlign w:val="center"/>
          </w:tcPr>
          <w:p>
            <w:pP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四</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供应商实力12%</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12分</w:t>
            </w:r>
          </w:p>
        </w:tc>
        <w:tc>
          <w:tcPr>
            <w:tcW w:w="5771" w:type="dxa"/>
            <w:tcBorders>
              <w:top w:val="single" w:color="auto" w:sz="4" w:space="0"/>
              <w:left w:val="single" w:color="auto" w:sz="4" w:space="0"/>
              <w:bottom w:val="single" w:color="auto" w:sz="4" w:space="0"/>
              <w:right w:val="single" w:color="auto" w:sz="4" w:space="0"/>
            </w:tcBorders>
            <w:noWrap/>
            <w:vAlign w:val="center"/>
          </w:tcPr>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1、供应商具有有效的质量管理体系认证证书的得2分；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2、供应商具有软件能力成熟度模型集成（CMMI）认证证书得2分。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3、供应商具有类似政务网站平台系统软件著作权登记证书的得2分；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4、供应商具有类似政务类信息报送系统软件著作权登记证书得2分；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5、供应商具有类似政务类网站集约化系统软件著作权登记证书得2分；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6、供应商具有类似政务类信息化共享平台软件著作权登记证书得2分。</w:t>
            </w:r>
          </w:p>
          <w:p>
            <w:pPr>
              <w:widowControl/>
              <w:spacing w:line="36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注：供应商应提供证书复印件并加盖供应商公章，未提供不得分。</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五</w:t>
            </w:r>
          </w:p>
        </w:tc>
        <w:tc>
          <w:tcPr>
            <w:tcW w:w="1391"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履约能力22%</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10分</w:t>
            </w:r>
          </w:p>
        </w:tc>
        <w:tc>
          <w:tcPr>
            <w:tcW w:w="5771" w:type="dxa"/>
            <w:tcBorders>
              <w:top w:val="single" w:color="auto" w:sz="4" w:space="0"/>
              <w:left w:val="single" w:color="auto" w:sz="4" w:space="0"/>
              <w:bottom w:val="single" w:color="auto" w:sz="4" w:space="0"/>
              <w:right w:val="single" w:color="auto" w:sz="4" w:space="0"/>
            </w:tcBorders>
            <w:noWrap/>
            <w:vAlign w:val="center"/>
          </w:tcPr>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所承建的政务类网站项目，在全国权威机构主办的2020年中国政府网站绩效评估中，获得全国政府网站绩效评估排名前50名的,每有1个得2分,最多得10分。（同一合同在整个评分事项中只能计算一次）。提供该权威机构出具的真实排名材料及供应商与最终用户签订的合同首页、合同金额所在页、签字盖章页的复印件。</w:t>
            </w:r>
          </w:p>
        </w:tc>
        <w:tc>
          <w:tcPr>
            <w:tcW w:w="1146"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13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10分</w:t>
            </w:r>
          </w:p>
        </w:tc>
        <w:tc>
          <w:tcPr>
            <w:tcW w:w="5771" w:type="dxa"/>
            <w:tcBorders>
              <w:top w:val="single" w:color="auto" w:sz="4" w:space="0"/>
              <w:left w:val="single" w:color="auto" w:sz="4" w:space="0"/>
              <w:bottom w:val="single" w:color="auto" w:sz="4" w:space="0"/>
              <w:right w:val="single" w:color="auto" w:sz="4" w:space="0"/>
            </w:tcBorders>
            <w:noWrap/>
            <w:vAlign w:val="center"/>
          </w:tcPr>
          <w:p>
            <w:pPr>
              <w:autoSpaceDE w:val="0"/>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从2017年1月1日（含）以来具有类似网站的建设或升级案例，有一个案例得1分，最多得10分。（同一合同在整个评分事项中只能计算一次）。提供供应商与最终用户签订的合同首页、合同金额所在页、签字盖章页的复印件。</w:t>
            </w:r>
          </w:p>
        </w:tc>
        <w:tc>
          <w:tcPr>
            <w:tcW w:w="11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13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ajorEastAsia" w:hAnsiTheme="majorEastAsia" w:eastAsiaTheme="majorEastAsia" w:cstheme="majorEastAsia"/>
                <w:color w:val="auto"/>
                <w:kern w:val="0"/>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2分</w:t>
            </w:r>
          </w:p>
        </w:tc>
        <w:tc>
          <w:tcPr>
            <w:tcW w:w="5771" w:type="dxa"/>
            <w:tcBorders>
              <w:top w:val="single" w:color="auto" w:sz="4" w:space="0"/>
              <w:left w:val="single" w:color="auto" w:sz="4" w:space="0"/>
              <w:bottom w:val="single" w:color="auto" w:sz="4" w:space="0"/>
              <w:right w:val="single" w:color="auto" w:sz="4" w:space="0"/>
            </w:tcBorders>
            <w:noWrap/>
            <w:vAlign w:val="center"/>
          </w:tcPr>
          <w:p>
            <w:pPr>
              <w:autoSpaceDE w:val="0"/>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提供最终用户对门户网站的满意度调查表（评价表），有一个评价为满意或优的得0.5分，最高得2分。</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六</w:t>
            </w:r>
          </w:p>
        </w:tc>
        <w:tc>
          <w:tcPr>
            <w:tcW w:w="13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服务团队</w:t>
            </w:r>
          </w:p>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8%</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8分</w:t>
            </w:r>
          </w:p>
        </w:tc>
        <w:tc>
          <w:tcPr>
            <w:tcW w:w="5771" w:type="dxa"/>
            <w:tcBorders>
              <w:top w:val="single" w:color="auto" w:sz="4" w:space="0"/>
              <w:left w:val="single" w:color="auto" w:sz="4" w:space="0"/>
              <w:bottom w:val="single" w:color="auto" w:sz="4" w:space="0"/>
              <w:right w:val="single" w:color="auto" w:sz="4" w:space="0"/>
            </w:tcBorders>
            <w:noWrap/>
            <w:vAlign w:val="center"/>
          </w:tcPr>
          <w:p>
            <w:pPr>
              <w:pStyle w:val="58"/>
              <w:numPr>
                <w:ilvl w:val="0"/>
                <w:numId w:val="9"/>
              </w:numPr>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供应商拟投入本项目服务团队，具有itss项目经理证书，并具有类似项目实施经验2年以上，一个得 2分，最高得2分。</w:t>
            </w:r>
          </w:p>
          <w:p>
            <w:pPr>
              <w:pStyle w:val="58"/>
              <w:numPr>
                <w:ilvl w:val="0"/>
                <w:numId w:val="9"/>
              </w:numPr>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供应商拟投入本项目的服务团队成员，具有计算机专业，并参与类似项目实施经验2年（含）以上，有一人得1分，最高得6分。</w:t>
            </w:r>
          </w:p>
          <w:p>
            <w:pPr>
              <w:pStyle w:val="58"/>
              <w:ind w:left="42"/>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同一人员在整个评分事项中只能计算一次，提供相关证书复印件及配置人员与供应商劳动关系证明材料。</w:t>
            </w:r>
          </w:p>
        </w:tc>
        <w:tc>
          <w:tcPr>
            <w:tcW w:w="11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注：评分的取值按四舍五入法，保留小数点后保留两位。所有证明材料须加盖供应商公章，否则不予认定。</w:t>
            </w:r>
          </w:p>
        </w:tc>
      </w:tr>
    </w:tbl>
    <w:p>
      <w:pP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注：评分的取值按四舍五入法，保留小数点后两位。</w:t>
      </w:r>
    </w:p>
    <w:bookmarkEnd w:id="158"/>
    <w:bookmarkEnd w:id="159"/>
    <w:bookmarkEnd w:id="160"/>
    <w:bookmarkEnd w:id="161"/>
    <w:p>
      <w:pPr>
        <w:tabs>
          <w:tab w:val="left" w:pos="851"/>
        </w:tabs>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4.磋商纪律及注意事项</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 磋商小组内部讨论的情况和意见必须保密，任何人不得以任何形式透露给供应商或与供应商有关的单位或个人。</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 在磋商过程中，供应商不得以任何形式对磋商小组成员进行旨在影响磋商结果的私下接触，否则将取消其参与磋商的资格。</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 对各供应商的商业秘密，磋商小组成员应予以保密，不得泄露给其他供应商。</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 磋商小组独立评判，推荐成交候选人，并写出书面报告。</w:t>
      </w:r>
    </w:p>
    <w:p>
      <w:pPr>
        <w:tabs>
          <w:tab w:val="left" w:pos="851"/>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4.5 磋商小组可根据需要对供应商进行实地考察。</w:t>
      </w:r>
    </w:p>
    <w:p>
      <w:pPr>
        <w:tabs>
          <w:tab w:val="left" w:pos="7665"/>
        </w:tabs>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bCs/>
          <w:color w:val="auto"/>
          <w:sz w:val="28"/>
          <w:szCs w:val="28"/>
          <w:highlight w:val="none"/>
        </w:rPr>
        <w:t>5.</w:t>
      </w:r>
      <w:bookmarkEnd w:id="162"/>
      <w:r>
        <w:rPr>
          <w:rFonts w:hint="eastAsia" w:asciiTheme="majorEastAsia" w:hAnsiTheme="majorEastAsia" w:eastAsiaTheme="majorEastAsia" w:cstheme="majorEastAsia"/>
          <w:b/>
          <w:color w:val="auto"/>
          <w:sz w:val="28"/>
          <w:szCs w:val="28"/>
          <w:highlight w:val="none"/>
        </w:rPr>
        <w:t>磋商小组在政府采购活动中承担以下义务：</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（一）遵守评审工作纪律；</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（二）按照客观、公正、审慎的原则，根据磋商文件规定的评审程序、评审方法和评审标准进行独立评审；</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（三）不得泄露评审文件、评审情况和在评审过程中获悉的商业秘密；</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（六）及时向财政、监察等部门举报在评审过程中受到非法干预的情况；</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（七）配合答复处理供应商的询问、质疑和投诉等事项；</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（八）法律、法规和规章规定的其他义务。</w:t>
      </w:r>
    </w:p>
    <w:p>
      <w:pPr>
        <w:tabs>
          <w:tab w:val="left" w:pos="7665"/>
        </w:tabs>
        <w:ind w:firstLine="562" w:firstLineChars="2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6.评审专家在政府采购活动中应当遵守以下工作纪律：</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（二）评审前，应当将通讯工具或者相关电子设备交由采购代理机构统一保管；</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（三）评审过程中，不得与外界联系，因发生不可预见情况，确实需要与外界联系的，应当在监督人员监督之下办理；</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（五）在评审过程中和评审结束后，不得记录、复制或带走任何评审资料，不得向外界透露评审内容；</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（六）评审现场服从采购代理机构工作人员的管理，接受现场监督人员的合法监督；</w:t>
      </w:r>
    </w:p>
    <w:p>
      <w:pPr>
        <w:tabs>
          <w:tab w:val="left" w:pos="7665"/>
        </w:tabs>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（七）遵守有关廉洁自律规定，不得私下接触供应商，不得收受供应商及有关业务单位和个人的财物或好处，不得接受采购代理机构的请托。</w:t>
      </w:r>
    </w:p>
    <w:p>
      <w:pPr>
        <w:pStyle w:val="17"/>
        <w:spacing w:before="312" w:after="312"/>
        <w:ind w:right="-640" w:rightChars="-200"/>
        <w:rPr>
          <w:rStyle w:val="33"/>
          <w:rFonts w:hint="eastAsia" w:asciiTheme="majorEastAsia" w:hAnsiTheme="majorEastAsia" w:eastAsiaTheme="majorEastAsia" w:cstheme="majorEastAsia"/>
          <w:b/>
          <w:bCs/>
          <w:color w:val="auto"/>
          <w:szCs w:val="32"/>
          <w:highlight w:val="none"/>
        </w:rPr>
        <w:sectPr>
          <w:footerReference r:id="rId13" w:type="default"/>
          <w:type w:val="continuous"/>
          <w:pgSz w:w="11907" w:h="16839"/>
          <w:pgMar w:top="1440" w:right="1276" w:bottom="1440" w:left="1418" w:header="851" w:footer="850" w:gutter="0"/>
          <w:pgNumType w:fmt="numberInDash"/>
          <w:cols w:space="720" w:num="1"/>
          <w:docGrid w:type="lines" w:linePitch="312" w:charSpace="0"/>
        </w:sectPr>
      </w:pPr>
      <w:bookmarkStart w:id="204" w:name="_Toc11319"/>
      <w:bookmarkStart w:id="205" w:name="_Toc7748"/>
      <w:bookmarkStart w:id="206" w:name="_Toc32492"/>
      <w:bookmarkStart w:id="207" w:name="_Toc20803"/>
    </w:p>
    <w:p>
      <w:pPr>
        <w:pStyle w:val="17"/>
        <w:numPr>
          <w:ilvl w:val="0"/>
          <w:numId w:val="10"/>
        </w:numPr>
        <w:adjustRightInd w:val="0"/>
        <w:snapToGrid w:val="0"/>
        <w:spacing w:before="312" w:after="312"/>
        <w:ind w:right="-640" w:rightChars="-200"/>
        <w:rPr>
          <w:rFonts w:hint="eastAsia" w:asciiTheme="majorEastAsia" w:hAnsiTheme="majorEastAsia" w:eastAsiaTheme="majorEastAsia" w:cstheme="majorEastAsia"/>
          <w:b/>
          <w:bCs/>
          <w:color w:val="auto"/>
          <w:sz w:val="24"/>
          <w:highlight w:val="none"/>
        </w:rPr>
      </w:pPr>
      <w:r>
        <w:rPr>
          <w:rStyle w:val="33"/>
          <w:rFonts w:hint="eastAsia" w:asciiTheme="majorEastAsia" w:hAnsiTheme="majorEastAsia" w:eastAsiaTheme="majorEastAsia" w:cstheme="majorEastAsia"/>
          <w:b/>
          <w:bCs/>
          <w:color w:val="auto"/>
          <w:szCs w:val="32"/>
          <w:highlight w:val="none"/>
        </w:rPr>
        <w:t xml:space="preserve"> </w:t>
      </w:r>
      <w:bookmarkStart w:id="208" w:name="_Toc15975"/>
      <w:r>
        <w:rPr>
          <w:rStyle w:val="33"/>
          <w:rFonts w:hint="eastAsia" w:asciiTheme="majorEastAsia" w:hAnsiTheme="majorEastAsia" w:eastAsiaTheme="majorEastAsia" w:cstheme="majorEastAsia"/>
          <w:b/>
          <w:bCs/>
          <w:color w:val="auto"/>
          <w:szCs w:val="32"/>
          <w:highlight w:val="none"/>
        </w:rPr>
        <w:t>合同</w:t>
      </w:r>
      <w:r>
        <w:rPr>
          <w:rStyle w:val="33"/>
          <w:rFonts w:hint="eastAsia" w:asciiTheme="majorEastAsia" w:hAnsiTheme="majorEastAsia" w:eastAsiaTheme="majorEastAsia" w:cstheme="majorEastAsia"/>
          <w:b/>
          <w:bCs/>
          <w:color w:val="auto"/>
          <w:szCs w:val="32"/>
          <w:highlight w:val="none"/>
          <w:lang w:val="en-US" w:eastAsia="zh-CN"/>
        </w:rPr>
        <w:t>范本</w:t>
      </w:r>
      <w:r>
        <w:rPr>
          <w:rStyle w:val="33"/>
          <w:rFonts w:hint="eastAsia" w:asciiTheme="majorEastAsia" w:hAnsiTheme="majorEastAsia" w:eastAsiaTheme="majorEastAsia" w:cstheme="majorEastAsia"/>
          <w:b/>
          <w:bCs/>
          <w:color w:val="auto"/>
          <w:szCs w:val="32"/>
          <w:highlight w:val="none"/>
        </w:rPr>
        <w:t>（</w:t>
      </w:r>
      <w:r>
        <w:rPr>
          <w:rStyle w:val="33"/>
          <w:rFonts w:hint="eastAsia" w:asciiTheme="majorEastAsia" w:hAnsiTheme="majorEastAsia" w:eastAsiaTheme="majorEastAsia" w:cstheme="majorEastAsia"/>
          <w:b/>
          <w:bCs/>
          <w:color w:val="auto"/>
          <w:szCs w:val="32"/>
          <w:highlight w:val="none"/>
          <w:lang w:val="en-US" w:eastAsia="zh-CN"/>
        </w:rPr>
        <w:t>草案</w:t>
      </w:r>
      <w:r>
        <w:rPr>
          <w:rStyle w:val="33"/>
          <w:rFonts w:hint="eastAsia" w:asciiTheme="majorEastAsia" w:hAnsiTheme="majorEastAsia" w:eastAsiaTheme="majorEastAsia" w:cstheme="majorEastAsia"/>
          <w:b/>
          <w:bCs/>
          <w:color w:val="auto"/>
          <w:szCs w:val="32"/>
          <w:highlight w:val="none"/>
        </w:rPr>
        <w:t>）</w:t>
      </w:r>
      <w:bookmarkEnd w:id="138"/>
      <w:bookmarkEnd w:id="139"/>
      <w:bookmarkEnd w:id="140"/>
      <w:bookmarkEnd w:id="204"/>
      <w:bookmarkEnd w:id="205"/>
      <w:bookmarkEnd w:id="206"/>
      <w:bookmarkEnd w:id="207"/>
      <w:bookmarkEnd w:id="208"/>
      <w:bookmarkStart w:id="209" w:name="_Hlt101846155"/>
      <w:bookmarkEnd w:id="209"/>
    </w:p>
    <w:p>
      <w:pPr>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二、合同草案条款如下：</w:t>
      </w:r>
    </w:p>
    <w:p>
      <w:pPr>
        <w:autoSpaceDE w:val="0"/>
        <w:autoSpaceDN w:val="0"/>
        <w:snapToGrid w:val="0"/>
        <w:spacing w:line="420" w:lineRule="exact"/>
        <w:ind w:firstLine="540"/>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15"/>
          <w:highlight w:val="none"/>
          <w:u w:val="single"/>
        </w:rPr>
        <w:t xml:space="preserve">                                          </w:t>
      </w:r>
      <w:r>
        <w:rPr>
          <w:rFonts w:hint="eastAsia" w:asciiTheme="majorEastAsia" w:hAnsiTheme="majorEastAsia" w:eastAsiaTheme="majorEastAsia" w:cstheme="majorEastAsia"/>
          <w:color w:val="auto"/>
          <w:spacing w:val="8"/>
          <w:highlight w:val="none"/>
        </w:rPr>
        <w:t>(以下简称“</w:t>
      </w:r>
      <w:r>
        <w:rPr>
          <w:rFonts w:hint="eastAsia" w:asciiTheme="majorEastAsia" w:hAnsiTheme="majorEastAsia" w:eastAsiaTheme="majorEastAsia" w:cstheme="majorEastAsia"/>
          <w:color w:val="auto"/>
          <w:highlight w:val="none"/>
        </w:rPr>
        <w:t>甲方</w:t>
      </w:r>
      <w:r>
        <w:rPr>
          <w:rFonts w:hint="eastAsia" w:asciiTheme="majorEastAsia" w:hAnsiTheme="majorEastAsia" w:eastAsiaTheme="majorEastAsia" w:cstheme="majorEastAsia"/>
          <w:color w:val="auto"/>
          <w:spacing w:val="8"/>
          <w:highlight w:val="none"/>
        </w:rPr>
        <w:t>”)为一方和</w:t>
      </w:r>
      <w:r>
        <w:rPr>
          <w:rFonts w:hint="eastAsia" w:asciiTheme="majorEastAsia" w:hAnsiTheme="majorEastAsia" w:eastAsiaTheme="majorEastAsia" w:cstheme="majorEastAsia"/>
          <w:color w:val="auto"/>
          <w:spacing w:val="8"/>
          <w:highlight w:val="none"/>
          <w:u w:val="single"/>
        </w:rPr>
        <w:t xml:space="preserve">                   </w:t>
      </w:r>
      <w:r>
        <w:rPr>
          <w:rFonts w:hint="eastAsia" w:asciiTheme="majorEastAsia" w:hAnsiTheme="majorEastAsia" w:eastAsiaTheme="majorEastAsia" w:cstheme="majorEastAsia"/>
          <w:color w:val="auto"/>
          <w:spacing w:val="8"/>
          <w:highlight w:val="none"/>
        </w:rPr>
        <w:t xml:space="preserve"> (以下简称“乙方”)为另一方同意按下述条款和条件签署本合同(以下简称“合同”)：</w:t>
      </w:r>
    </w:p>
    <w:p>
      <w:pPr>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1．合同文件</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本合同所附下列文件是本合同不可分割的部分：</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1.1 </w:t>
      </w:r>
      <w:r>
        <w:rPr>
          <w:rFonts w:hint="eastAsia" w:asciiTheme="majorEastAsia" w:hAnsiTheme="majorEastAsia" w:eastAsiaTheme="majorEastAsia" w:cstheme="majorEastAsia"/>
          <w:color w:val="auto"/>
          <w:highlight w:val="none"/>
        </w:rPr>
        <w:t>成交后双方签订的采购合同；（包括</w:t>
      </w:r>
      <w:r>
        <w:rPr>
          <w:rFonts w:hint="eastAsia" w:asciiTheme="majorEastAsia" w:hAnsiTheme="majorEastAsia" w:eastAsiaTheme="majorEastAsia" w:cstheme="majorEastAsia"/>
          <w:color w:val="auto"/>
          <w:spacing w:val="8"/>
          <w:highlight w:val="none"/>
        </w:rPr>
        <w:t>服务方案、项目验收标准和验收方法等</w:t>
      </w:r>
      <w:r>
        <w:rPr>
          <w:rFonts w:hint="eastAsia" w:asciiTheme="majorEastAsia" w:hAnsiTheme="majorEastAsia" w:eastAsiaTheme="majorEastAsia" w:cstheme="majorEastAsia"/>
          <w:color w:val="auto"/>
          <w:highlight w:val="none"/>
        </w:rPr>
        <w:t>）</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1.2 </w:t>
      </w:r>
      <w:r>
        <w:rPr>
          <w:rFonts w:hint="eastAsia" w:asciiTheme="majorEastAsia" w:hAnsiTheme="majorEastAsia" w:eastAsiaTheme="majorEastAsia" w:cstheme="majorEastAsia"/>
          <w:color w:val="auto"/>
          <w:highlight w:val="none"/>
        </w:rPr>
        <w:t>买方</w:t>
      </w:r>
      <w:r>
        <w:rPr>
          <w:rFonts w:hint="eastAsia" w:asciiTheme="majorEastAsia" w:hAnsiTheme="majorEastAsia" w:eastAsiaTheme="majorEastAsia" w:cstheme="majorEastAsia"/>
          <w:color w:val="auto"/>
          <w:spacing w:val="8"/>
          <w:highlight w:val="none"/>
        </w:rPr>
        <w:t>针对本项目的磋商文件；</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1.3 卖方提交的磋商响应文件及磋商过程中相关承诺；</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1.4 成交通知书。</w:t>
      </w:r>
    </w:p>
    <w:p>
      <w:pPr>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2．合同范围和条件</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本合同的范围和条件应与上述合同文件的规定相一致。</w:t>
      </w:r>
    </w:p>
    <w:p>
      <w:pPr>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3. 合同期限</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bookmarkStart w:id="210" w:name="_Toc238984975"/>
      <w:bookmarkStart w:id="211" w:name="_Toc211911348"/>
      <w:bookmarkStart w:id="212" w:name="_Toc239233914"/>
      <w:bookmarkStart w:id="213" w:name="_Toc185395249"/>
      <w:bookmarkStart w:id="214" w:name="_Toc211854449"/>
      <w:bookmarkStart w:id="215" w:name="_Toc225654644"/>
      <w:bookmarkStart w:id="216" w:name="_Toc239568418"/>
      <w:bookmarkStart w:id="217" w:name="_Toc237145406"/>
      <w:bookmarkStart w:id="218" w:name="_Toc225670751"/>
      <w:bookmarkStart w:id="219" w:name="_Toc241833903"/>
      <w:bookmarkStart w:id="220" w:name="_Toc283019214"/>
      <w:bookmarkStart w:id="221" w:name="_Toc251768862"/>
      <w:bookmarkStart w:id="222" w:name="_Toc247334841"/>
      <w:bookmarkStart w:id="223" w:name="_Toc282696226"/>
      <w:bookmarkStart w:id="224" w:name="_Toc286993786"/>
      <w:bookmarkStart w:id="225" w:name="_Toc212019594"/>
      <w:bookmarkStart w:id="226" w:name="_Toc232492928"/>
      <w:bookmarkStart w:id="227" w:name="_Toc225244852"/>
      <w:r>
        <w:rPr>
          <w:rFonts w:hint="eastAsia" w:asciiTheme="majorEastAsia" w:hAnsiTheme="majorEastAsia" w:eastAsiaTheme="majorEastAsia" w:cstheme="majorEastAsia"/>
          <w:b/>
          <w:color w:val="auto"/>
          <w:spacing w:val="8"/>
          <w:highlight w:val="none"/>
        </w:rPr>
        <w:t>4. 服务内容与质量标准</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4.1 </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4.2 </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4.3 </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4.4 </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4.5 </w:t>
      </w:r>
    </w:p>
    <w:p>
      <w:pPr>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w:t>
      </w: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5. 服务费用及支付方式</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5.1 本项目服务费用由以下组成：</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5.1.1        万元；</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5.1.2        万元；</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5.1.3        万元。</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5.2 服务费支付方式： </w:t>
      </w:r>
    </w:p>
    <w:p>
      <w:pPr>
        <w:spacing w:line="420" w:lineRule="exact"/>
        <w:ind w:firstLine="482"/>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6. 知识产权</w:t>
      </w:r>
    </w:p>
    <w:p>
      <w:pPr>
        <w:tabs>
          <w:tab w:val="left" w:pos="1440"/>
        </w:tabs>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乙方应保证所提供的服务或其任何一部分均不会侵犯任何第三方的专利权、商标权或著作权。</w:t>
      </w:r>
    </w:p>
    <w:p>
      <w:pPr>
        <w:spacing w:line="420" w:lineRule="exact"/>
        <w:ind w:firstLine="482"/>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7. 无产权瑕疵条款</w:t>
      </w:r>
    </w:p>
    <w:p>
      <w:pPr>
        <w:tabs>
          <w:tab w:val="left" w:pos="1440"/>
        </w:tabs>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乙方保证所提供的服务的所有权完全属于乙方且无任何抵押、查封等产权瑕疵。如有产权瑕疵的，视为乙方违约。乙方应负担由此而产生的一切损失。</w:t>
      </w:r>
    </w:p>
    <w:p>
      <w:pPr>
        <w:spacing w:line="420" w:lineRule="exact"/>
        <w:ind w:firstLine="482"/>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8. 履约保证金</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8.1 乙方交纳人民币</w:t>
      </w:r>
      <w:r>
        <w:rPr>
          <w:rFonts w:hint="eastAsia" w:asciiTheme="majorEastAsia" w:hAnsiTheme="majorEastAsia" w:eastAsiaTheme="majorEastAsia" w:cstheme="majorEastAsia"/>
          <w:color w:val="auto"/>
          <w:spacing w:val="8"/>
          <w:highlight w:val="none"/>
          <w:u w:val="single"/>
        </w:rPr>
        <w:t>　　　　　　</w:t>
      </w:r>
      <w:r>
        <w:rPr>
          <w:rFonts w:hint="eastAsia" w:asciiTheme="majorEastAsia" w:hAnsiTheme="majorEastAsia" w:eastAsiaTheme="majorEastAsia" w:cstheme="majorEastAsia"/>
          <w:color w:val="auto"/>
          <w:spacing w:val="8"/>
          <w:highlight w:val="none"/>
        </w:rPr>
        <w:t>元作为本合同的履约保证金。</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8.2 履约保证金作为违约金的一部分及用于补偿甲方因乙方不能履行合同义务而蒙受的损失。</w:t>
      </w:r>
    </w:p>
    <w:p>
      <w:pPr>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9. 甲方的权利和义务</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9.2 甲方有权依据双方签订的考评办法对乙方提供的服务进行定期考评。当考评结果未达到标准时，有权依据考评办法约定的数额扣除履约保证金。</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9.3 负责检查监督乙方管理工作的实施及制度的执行情况。</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9.4 根据本合同规定，按时向乙方支付应付服务费用。</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9.5 国家法律、法规所规定由甲方承担的其它责任。</w:t>
      </w: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10. 乙方的权利和义务</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10.1 对本合同规定的委托服务范围内的项目享有管理权及服务义务。</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10.2 根据本合同的规定向甲方收取相关服务费用，并有权在本项目管理范围内管理及合理使用。</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10.3 及时向甲方通告本项目服务范围内有关服务的重大事项，及时配合处理投诉。</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10.4 接受项目行业管理部门及政府有关部门的指导，接受甲方的监督。</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10.5 国家法律、法规所规定由乙方承担的其它责任。</w:t>
      </w: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11. 违约责任</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11.1 甲乙双方必须遵守本合同并执行合同中的各项规定，保证本合同的正常履行。</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r>
        <w:rPr>
          <w:rFonts w:hint="eastAsia" w:asciiTheme="majorEastAsia" w:hAnsiTheme="majorEastAsia" w:eastAsiaTheme="majorEastAsia" w:cstheme="majorEastAsia"/>
          <w:b/>
          <w:color w:val="auto"/>
          <w:spacing w:val="8"/>
          <w:highlight w:val="none"/>
        </w:rPr>
        <w:t>12. 不可抗力事件处理</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12.1 在合同有效期内，任何一方因不可抗力事件导致不能履行合同，则合同履行期可延长，其延长期与不可抗力影响期相同。</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12.2 不可抗力事件发生后，应立即通知对方，并寄送有关权威机构出具的证明。</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12.3 不可抗力事件延续120天以上，双方应通过友好协商，确定是否继续履行合同。</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bookmarkStart w:id="228" w:name="_Toc185395254"/>
      <w:bookmarkStart w:id="229" w:name="_Toc225244857"/>
      <w:bookmarkStart w:id="230" w:name="_Toc239568423"/>
      <w:bookmarkStart w:id="231" w:name="_Toc225670756"/>
      <w:bookmarkStart w:id="232" w:name="_Toc247334846"/>
      <w:bookmarkStart w:id="233" w:name="_Toc241833908"/>
      <w:bookmarkStart w:id="234" w:name="_Toc237145411"/>
      <w:bookmarkStart w:id="235" w:name="_Toc232492933"/>
      <w:bookmarkStart w:id="236" w:name="_Toc286993792"/>
      <w:bookmarkStart w:id="237" w:name="_Toc238984980"/>
      <w:bookmarkStart w:id="238" w:name="_Toc211854454"/>
      <w:bookmarkStart w:id="239" w:name="_Toc225654649"/>
      <w:bookmarkStart w:id="240" w:name="_Toc211911353"/>
      <w:bookmarkStart w:id="241" w:name="_Toc239233919"/>
      <w:bookmarkStart w:id="242" w:name="_Toc212019599"/>
      <w:bookmarkStart w:id="243" w:name="_Toc251768867"/>
      <w:r>
        <w:rPr>
          <w:rFonts w:hint="eastAsia" w:asciiTheme="majorEastAsia" w:hAnsiTheme="majorEastAsia" w:eastAsiaTheme="majorEastAsia" w:cstheme="majorEastAsia"/>
          <w:b/>
          <w:color w:val="auto"/>
          <w:spacing w:val="8"/>
          <w:highlight w:val="none"/>
        </w:rPr>
        <w:t>13. 解决合同纠纷的方式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13.1 在执行本合同中发生的或与本合同有关的争端，双方应通过友好协商解决，经协商在60天内不能达成协议时，应提交成都仲裁委员会仲裁。</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13.2 仲裁裁决应为最终决定，并对双方具有约束力。</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13.3 除另有裁决外，仲裁费应由败诉方负担。 </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 xml:space="preserve">13.4 在仲裁期间，除正在进行仲裁部分外，合同其他部分继续执行。  </w:t>
      </w:r>
    </w:p>
    <w:p>
      <w:pPr>
        <w:tabs>
          <w:tab w:val="left" w:pos="1521"/>
        </w:tabs>
        <w:autoSpaceDE w:val="0"/>
        <w:autoSpaceDN w:val="0"/>
        <w:snapToGrid w:val="0"/>
        <w:spacing w:line="420" w:lineRule="exact"/>
        <w:ind w:firstLine="514"/>
        <w:rPr>
          <w:rFonts w:hint="eastAsia" w:asciiTheme="majorEastAsia" w:hAnsiTheme="majorEastAsia" w:eastAsiaTheme="majorEastAsia" w:cstheme="majorEastAsia"/>
          <w:b/>
          <w:color w:val="auto"/>
          <w:spacing w:val="8"/>
          <w:highlight w:val="none"/>
        </w:rPr>
      </w:pPr>
      <w:bookmarkStart w:id="244" w:name="_Toc247334847"/>
      <w:bookmarkStart w:id="245" w:name="_Toc282696231"/>
      <w:bookmarkStart w:id="246" w:name="_Toc251768868"/>
      <w:bookmarkStart w:id="247" w:name="_Toc185395255"/>
      <w:bookmarkStart w:id="248" w:name="_Toc237145412"/>
      <w:bookmarkStart w:id="249" w:name="_Toc225654650"/>
      <w:bookmarkStart w:id="250" w:name="_Toc241833909"/>
      <w:bookmarkStart w:id="251" w:name="_Toc232492934"/>
      <w:bookmarkStart w:id="252" w:name="_Toc211911354"/>
      <w:bookmarkStart w:id="253" w:name="_Toc225244858"/>
      <w:bookmarkStart w:id="254" w:name="_Toc286993793"/>
      <w:bookmarkStart w:id="255" w:name="_Toc225670757"/>
      <w:bookmarkStart w:id="256" w:name="_Toc238984981"/>
      <w:bookmarkStart w:id="257" w:name="_Toc211854455"/>
      <w:bookmarkStart w:id="258" w:name="_Toc239568424"/>
      <w:bookmarkStart w:id="259" w:name="_Toc212019600"/>
      <w:bookmarkStart w:id="260" w:name="_Toc239233920"/>
      <w:bookmarkStart w:id="261" w:name="_Toc283019219"/>
      <w:r>
        <w:rPr>
          <w:rFonts w:hint="eastAsia" w:asciiTheme="majorEastAsia" w:hAnsiTheme="majorEastAsia" w:eastAsiaTheme="majorEastAsia" w:cstheme="majorEastAsia"/>
          <w:b/>
          <w:color w:val="auto"/>
          <w:spacing w:val="8"/>
          <w:highlight w:val="none"/>
        </w:rPr>
        <w:t>14. 合同</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Theme="majorEastAsia" w:hAnsiTheme="majorEastAsia" w:eastAsiaTheme="majorEastAsia" w:cstheme="majorEastAsia"/>
          <w:b/>
          <w:color w:val="auto"/>
          <w:spacing w:val="8"/>
          <w:highlight w:val="none"/>
        </w:rPr>
        <w:t>生效及其他</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14.1 合同经双方法定代表人/单位负责人或授权委托代理人签字并加盖单位公章后生效。</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420" w:lineRule="exact"/>
        <w:ind w:firstLine="799" w:firstLineChars="238"/>
        <w:rPr>
          <w:rFonts w:hint="eastAsia" w:asciiTheme="majorEastAsia" w:hAnsiTheme="majorEastAsia" w:eastAsiaTheme="majorEastAsia" w:cstheme="majorEastAsia"/>
          <w:color w:val="auto"/>
          <w:spacing w:val="8"/>
          <w:highlight w:val="none"/>
        </w:rPr>
      </w:pPr>
      <w:r>
        <w:rPr>
          <w:rFonts w:hint="eastAsia" w:asciiTheme="majorEastAsia" w:hAnsiTheme="majorEastAsia" w:eastAsiaTheme="majorEastAsia" w:cstheme="majorEastAsia"/>
          <w:color w:val="auto"/>
          <w:spacing w:val="8"/>
          <w:highlight w:val="none"/>
        </w:rPr>
        <w:t>14.3 本合同一式  份，自双方签章之日起起效。甲方  份，乙方  份，政府采购代理机构  份，同级财政部门备案  份，具有同等法律效力。</w:t>
      </w:r>
    </w:p>
    <w:p>
      <w:pPr>
        <w:spacing w:line="420" w:lineRule="exact"/>
        <w:ind w:firstLine="480"/>
        <w:rPr>
          <w:rFonts w:hint="eastAsia" w:asciiTheme="majorEastAsia" w:hAnsiTheme="majorEastAsia" w:eastAsiaTheme="majorEastAsia" w:cstheme="majorEastAsia"/>
          <w:color w:val="auto"/>
          <w:sz w:val="24"/>
          <w:highlight w:val="none"/>
        </w:rPr>
      </w:pPr>
    </w:p>
    <w:p>
      <w:pPr>
        <w:spacing w:line="420" w:lineRule="exact"/>
        <w:ind w:firstLine="480"/>
        <w:rPr>
          <w:rFonts w:hint="eastAsia" w:asciiTheme="majorEastAsia" w:hAnsiTheme="majorEastAsia" w:eastAsiaTheme="majorEastAsia" w:cstheme="majorEastAsia"/>
          <w:color w:val="auto"/>
          <w:sz w:val="22"/>
          <w:szCs w:val="20"/>
          <w:highlight w:val="none"/>
        </w:rPr>
      </w:pPr>
      <w:r>
        <w:rPr>
          <w:rFonts w:hint="eastAsia" w:asciiTheme="majorEastAsia" w:hAnsiTheme="majorEastAsia" w:eastAsiaTheme="majorEastAsia" w:cstheme="majorEastAsia"/>
          <w:color w:val="auto"/>
          <w:sz w:val="22"/>
          <w:szCs w:val="20"/>
          <w:highlight w:val="none"/>
        </w:rPr>
        <w:t>甲方：   （盖单位公章）</w:t>
      </w:r>
      <w:r>
        <w:rPr>
          <w:rFonts w:hint="eastAsia" w:asciiTheme="majorEastAsia" w:hAnsiTheme="majorEastAsia" w:eastAsiaTheme="majorEastAsia" w:cstheme="majorEastAsia"/>
          <w:color w:val="auto"/>
          <w:sz w:val="22"/>
          <w:szCs w:val="20"/>
          <w:highlight w:val="none"/>
        </w:rPr>
        <w:tab/>
      </w:r>
      <w:r>
        <w:rPr>
          <w:rFonts w:hint="eastAsia" w:asciiTheme="majorEastAsia" w:hAnsiTheme="majorEastAsia" w:eastAsiaTheme="majorEastAsia" w:cstheme="majorEastAsia"/>
          <w:color w:val="auto"/>
          <w:sz w:val="22"/>
          <w:szCs w:val="20"/>
          <w:highlight w:val="none"/>
        </w:rPr>
        <w:tab/>
      </w:r>
      <w:r>
        <w:rPr>
          <w:rFonts w:hint="eastAsia" w:asciiTheme="majorEastAsia" w:hAnsiTheme="majorEastAsia" w:eastAsiaTheme="majorEastAsia" w:cstheme="majorEastAsia"/>
          <w:color w:val="auto"/>
          <w:sz w:val="22"/>
          <w:szCs w:val="20"/>
          <w:highlight w:val="none"/>
        </w:rPr>
        <w:t xml:space="preserve">    </w:t>
      </w:r>
      <w:r>
        <w:rPr>
          <w:rFonts w:hint="eastAsia" w:asciiTheme="majorEastAsia" w:hAnsiTheme="majorEastAsia" w:eastAsiaTheme="majorEastAsia" w:cstheme="majorEastAsia"/>
          <w:color w:val="auto"/>
          <w:sz w:val="22"/>
          <w:szCs w:val="20"/>
          <w:highlight w:val="none"/>
          <w:lang w:val="en-US" w:eastAsia="zh-CN"/>
        </w:rPr>
        <w:t xml:space="preserve">         </w:t>
      </w:r>
      <w:r>
        <w:rPr>
          <w:rFonts w:hint="eastAsia" w:asciiTheme="majorEastAsia" w:hAnsiTheme="majorEastAsia" w:eastAsiaTheme="majorEastAsia" w:cstheme="majorEastAsia"/>
          <w:color w:val="auto"/>
          <w:sz w:val="22"/>
          <w:szCs w:val="20"/>
          <w:highlight w:val="none"/>
        </w:rPr>
        <w:t>乙方：（盖单位公章）</w:t>
      </w:r>
    </w:p>
    <w:p>
      <w:pPr>
        <w:spacing w:line="420" w:lineRule="exact"/>
        <w:ind w:firstLine="480"/>
        <w:rPr>
          <w:rFonts w:hint="eastAsia" w:asciiTheme="majorEastAsia" w:hAnsiTheme="majorEastAsia" w:eastAsiaTheme="majorEastAsia" w:cstheme="majorEastAsia"/>
          <w:color w:val="auto"/>
          <w:sz w:val="22"/>
          <w:szCs w:val="20"/>
          <w:highlight w:val="none"/>
        </w:rPr>
      </w:pPr>
      <w:r>
        <w:rPr>
          <w:rFonts w:hint="eastAsia" w:asciiTheme="majorEastAsia" w:hAnsiTheme="majorEastAsia" w:eastAsiaTheme="majorEastAsia" w:cstheme="majorEastAsia"/>
          <w:color w:val="auto"/>
          <w:sz w:val="22"/>
          <w:szCs w:val="20"/>
          <w:highlight w:val="none"/>
        </w:rPr>
        <w:t>法定代表人/单位负责人（授权代表）：        法定代表人/单位负责人（授权代表）：</w:t>
      </w:r>
    </w:p>
    <w:p>
      <w:pPr>
        <w:spacing w:line="420" w:lineRule="exact"/>
        <w:ind w:firstLine="480"/>
        <w:rPr>
          <w:rFonts w:hint="eastAsia" w:asciiTheme="majorEastAsia" w:hAnsiTheme="majorEastAsia" w:eastAsiaTheme="majorEastAsia" w:cstheme="majorEastAsia"/>
          <w:color w:val="auto"/>
          <w:sz w:val="28"/>
          <w:szCs w:val="22"/>
          <w:highlight w:val="none"/>
        </w:rPr>
      </w:pPr>
      <w:r>
        <w:rPr>
          <w:rFonts w:hint="eastAsia" w:asciiTheme="majorEastAsia" w:hAnsiTheme="majorEastAsia" w:eastAsiaTheme="majorEastAsia" w:cstheme="majorEastAsia"/>
          <w:color w:val="auto"/>
          <w:sz w:val="28"/>
          <w:szCs w:val="22"/>
          <w:highlight w:val="none"/>
        </w:rPr>
        <w:t>地址：                         地址：</w:t>
      </w:r>
    </w:p>
    <w:p>
      <w:pPr>
        <w:spacing w:line="420" w:lineRule="exact"/>
        <w:ind w:firstLine="480"/>
        <w:rPr>
          <w:rFonts w:hint="eastAsia" w:asciiTheme="majorEastAsia" w:hAnsiTheme="majorEastAsia" w:eastAsiaTheme="majorEastAsia" w:cstheme="majorEastAsia"/>
          <w:color w:val="auto"/>
          <w:sz w:val="28"/>
          <w:szCs w:val="22"/>
          <w:highlight w:val="none"/>
        </w:rPr>
      </w:pPr>
      <w:r>
        <w:rPr>
          <w:rFonts w:hint="eastAsia" w:asciiTheme="majorEastAsia" w:hAnsiTheme="majorEastAsia" w:eastAsiaTheme="majorEastAsia" w:cstheme="majorEastAsia"/>
          <w:color w:val="auto"/>
          <w:sz w:val="28"/>
          <w:szCs w:val="22"/>
          <w:highlight w:val="none"/>
        </w:rPr>
        <w:t>开户银行：                     开户银行：</w:t>
      </w:r>
    </w:p>
    <w:p>
      <w:pPr>
        <w:spacing w:line="420" w:lineRule="exact"/>
        <w:ind w:firstLine="480"/>
        <w:rPr>
          <w:rFonts w:hint="eastAsia" w:asciiTheme="majorEastAsia" w:hAnsiTheme="majorEastAsia" w:eastAsiaTheme="majorEastAsia" w:cstheme="majorEastAsia"/>
          <w:color w:val="auto"/>
          <w:sz w:val="28"/>
          <w:szCs w:val="22"/>
          <w:highlight w:val="none"/>
        </w:rPr>
      </w:pPr>
      <w:r>
        <w:rPr>
          <w:rFonts w:hint="eastAsia" w:asciiTheme="majorEastAsia" w:hAnsiTheme="majorEastAsia" w:eastAsiaTheme="majorEastAsia" w:cstheme="majorEastAsia"/>
          <w:color w:val="auto"/>
          <w:sz w:val="28"/>
          <w:szCs w:val="22"/>
          <w:highlight w:val="none"/>
        </w:rPr>
        <w:t>账号：                         账号：</w:t>
      </w:r>
    </w:p>
    <w:p>
      <w:pPr>
        <w:spacing w:line="420" w:lineRule="exact"/>
        <w:ind w:firstLine="480"/>
        <w:rPr>
          <w:rFonts w:hint="eastAsia" w:asciiTheme="majorEastAsia" w:hAnsiTheme="majorEastAsia" w:eastAsiaTheme="majorEastAsia" w:cstheme="majorEastAsia"/>
          <w:color w:val="auto"/>
          <w:sz w:val="28"/>
          <w:szCs w:val="22"/>
          <w:highlight w:val="none"/>
        </w:rPr>
      </w:pPr>
      <w:r>
        <w:rPr>
          <w:rFonts w:hint="eastAsia" w:asciiTheme="majorEastAsia" w:hAnsiTheme="majorEastAsia" w:eastAsiaTheme="majorEastAsia" w:cstheme="majorEastAsia"/>
          <w:color w:val="auto"/>
          <w:sz w:val="28"/>
          <w:szCs w:val="22"/>
          <w:highlight w:val="none"/>
        </w:rPr>
        <w:t>电话：                         电话：</w:t>
      </w:r>
    </w:p>
    <w:p>
      <w:pPr>
        <w:spacing w:line="420" w:lineRule="exact"/>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8"/>
          <w:szCs w:val="22"/>
          <w:highlight w:val="none"/>
        </w:rPr>
        <w:t>传真：</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szCs w:val="21"/>
          <w:highlight w:val="none"/>
        </w:rPr>
        <w:t>传真：</w:t>
      </w:r>
    </w:p>
    <w:p>
      <w:pPr>
        <w:pStyle w:val="2"/>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签约日期：XX年XX月XX日</w:t>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rPr>
        <w:tab/>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签约日期：XX年XX月XX日</w:t>
      </w:r>
    </w:p>
    <w:p>
      <w:pPr>
        <w:rPr>
          <w:rFonts w:hint="eastAsia" w:asciiTheme="majorEastAsia" w:hAnsiTheme="majorEastAsia" w:eastAsiaTheme="majorEastAsia" w:cstheme="majorEastAsia"/>
          <w:color w:val="auto"/>
          <w:highlight w:val="none"/>
        </w:rPr>
      </w:pPr>
    </w:p>
    <w:sectPr>
      <w:footerReference r:id="rId14" w:type="default"/>
      <w:pgSz w:w="11907" w:h="16839"/>
      <w:pgMar w:top="1440" w:right="1276" w:bottom="1440" w:left="1418" w:header="851" w:footer="85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9aYYg9ABAACmAwAADgAAAAAAAAABACAAAAAeAQAAZHJz&#10;L2Uyb0RvYy54bWxQSwUGAAAAAAYABgBZAQAAYAU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fldChar w:fldCharType="begin"/>
    </w:r>
    <w:r>
      <w:rPr>
        <w:rStyle w:val="23"/>
      </w:rPr>
      <w:instrText xml:space="preserve">PAGE  </w:instrText>
    </w:r>
    <w:r>
      <w:fldChar w:fldCharType="end"/>
    </w:r>
  </w:p>
  <w:p>
    <w:pPr>
      <w:pStyle w:val="1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70" w:firstLineChars="15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270" w:firstLineChars="15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EDE48"/>
    <w:multiLevelType w:val="singleLevel"/>
    <w:tmpl w:val="87CEDE48"/>
    <w:lvl w:ilvl="0" w:tentative="0">
      <w:start w:val="11"/>
      <w:numFmt w:val="chineseCounting"/>
      <w:suff w:val="nothing"/>
      <w:lvlText w:val="%1、"/>
      <w:lvlJc w:val="left"/>
      <w:rPr>
        <w:rFonts w:hint="eastAsia"/>
      </w:rPr>
    </w:lvl>
  </w:abstractNum>
  <w:abstractNum w:abstractNumId="1">
    <w:nsid w:val="C50DB705"/>
    <w:multiLevelType w:val="singleLevel"/>
    <w:tmpl w:val="C50DB705"/>
    <w:lvl w:ilvl="0" w:tentative="0">
      <w:start w:val="2"/>
      <w:numFmt w:val="decimal"/>
      <w:lvlText w:val="%1."/>
      <w:lvlJc w:val="left"/>
      <w:pPr>
        <w:tabs>
          <w:tab w:val="left" w:pos="312"/>
        </w:tabs>
      </w:pPr>
    </w:lvl>
  </w:abstractNum>
  <w:abstractNum w:abstractNumId="2">
    <w:nsid w:val="247E6DE4"/>
    <w:multiLevelType w:val="singleLevel"/>
    <w:tmpl w:val="247E6DE4"/>
    <w:lvl w:ilvl="0" w:tentative="0">
      <w:start w:val="1"/>
      <w:numFmt w:val="decimal"/>
      <w:lvlText w:val="%1."/>
      <w:lvlJc w:val="left"/>
      <w:pPr>
        <w:tabs>
          <w:tab w:val="left" w:pos="312"/>
        </w:tabs>
      </w:pPr>
    </w:lvl>
  </w:abstractNum>
  <w:abstractNum w:abstractNumId="3">
    <w:nsid w:val="2B0DB30F"/>
    <w:multiLevelType w:val="singleLevel"/>
    <w:tmpl w:val="2B0DB30F"/>
    <w:lvl w:ilvl="0" w:tentative="0">
      <w:start w:val="8"/>
      <w:numFmt w:val="chineseCounting"/>
      <w:suff w:val="nothing"/>
      <w:lvlText w:val="%1、"/>
      <w:lvlJc w:val="left"/>
      <w:rPr>
        <w:rFonts w:hint="eastAsia"/>
      </w:rPr>
    </w:lvl>
  </w:abstractNum>
  <w:abstractNum w:abstractNumId="4">
    <w:nsid w:val="2D1A7DF7"/>
    <w:multiLevelType w:val="multilevel"/>
    <w:tmpl w:val="2D1A7DF7"/>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DC2DD4"/>
    <w:multiLevelType w:val="multilevel"/>
    <w:tmpl w:val="51DC2DD4"/>
    <w:lvl w:ilvl="0" w:tentative="0">
      <w:start w:val="1"/>
      <w:numFmt w:val="chineseCounting"/>
      <w:suff w:val="nothing"/>
      <w:lvlText w:val="第%1章 "/>
      <w:lvlJc w:val="left"/>
      <w:pPr>
        <w:ind w:left="425" w:hanging="425"/>
      </w:pPr>
      <w:rPr>
        <w:rFonts w:hint="eastAsia" w:ascii="宋体" w:hAnsi="宋体" w:eastAsia="宋体"/>
      </w:rPr>
    </w:lvl>
    <w:lvl w:ilvl="1" w:tentative="0">
      <w:start w:val="1"/>
      <w:numFmt w:val="decimal"/>
      <w:isLgl/>
      <w:lvlText w:val="%1.%2."/>
      <w:lvlJc w:val="left"/>
      <w:pPr>
        <w:ind w:left="1407" w:hanging="567"/>
      </w:pPr>
      <w:rPr>
        <w:rFonts w:hint="eastAsia" w:ascii="宋体" w:hAnsi="宋体" w:eastAsia="宋体"/>
      </w:rPr>
    </w:lvl>
    <w:lvl w:ilvl="2" w:tentative="0">
      <w:start w:val="1"/>
      <w:numFmt w:val="decimal"/>
      <w:isLgl/>
      <w:lvlText w:val="%1.%2.%3."/>
      <w:lvlJc w:val="left"/>
      <w:pPr>
        <w:ind w:left="709" w:hanging="709"/>
      </w:pPr>
      <w:rPr>
        <w:rFonts w:hint="eastAsia" w:ascii="宋体" w:hAnsi="宋体" w:eastAsia="宋体"/>
      </w:rPr>
    </w:lvl>
    <w:lvl w:ilvl="3" w:tentative="0">
      <w:start w:val="1"/>
      <w:numFmt w:val="decimal"/>
      <w:isLgl/>
      <w:lvlText w:val="%1.%2.%3.%4."/>
      <w:lvlJc w:val="left"/>
      <w:pPr>
        <w:ind w:left="850" w:hanging="850"/>
      </w:pPr>
      <w:rPr>
        <w:rFonts w:hint="eastAsia" w:ascii="宋体" w:hAnsi="宋体" w:eastAsia="宋体"/>
      </w:rPr>
    </w:lvl>
    <w:lvl w:ilvl="4" w:tentative="0">
      <w:start w:val="1"/>
      <w:numFmt w:val="decimal"/>
      <w:isLgl/>
      <w:lvlText w:val="%1.%2.%3.%4.%5."/>
      <w:lvlJc w:val="left"/>
      <w:pPr>
        <w:ind w:left="991" w:hanging="991"/>
      </w:pPr>
      <w:rPr>
        <w:rFonts w:hint="eastAsia" w:ascii="宋体" w:hAnsi="宋体" w:eastAsia="宋体"/>
      </w:rPr>
    </w:lvl>
    <w:lvl w:ilvl="5" w:tentative="0">
      <w:start w:val="1"/>
      <w:numFmt w:val="decimal"/>
      <w:isLgl/>
      <w:lvlText w:val="%1.%2.%3.%4.%5.%6."/>
      <w:lvlJc w:val="left"/>
      <w:pPr>
        <w:ind w:left="1134" w:hanging="1134"/>
      </w:pPr>
      <w:rPr>
        <w:rFonts w:hint="eastAsia" w:ascii="宋体" w:hAnsi="宋体" w:eastAsia="宋体"/>
      </w:rPr>
    </w:lvl>
    <w:lvl w:ilvl="6" w:tentative="0">
      <w:start w:val="1"/>
      <w:numFmt w:val="decimal"/>
      <w:isLgl/>
      <w:lvlText w:val="%1.%2.%3.%4.%5.%6.%7."/>
      <w:lvlJc w:val="left"/>
      <w:pPr>
        <w:ind w:left="1275" w:hanging="1275"/>
      </w:pPr>
      <w:rPr>
        <w:rFonts w:hint="eastAsia" w:ascii="宋体" w:hAnsi="宋体" w:eastAsia="宋体"/>
      </w:rPr>
    </w:lvl>
    <w:lvl w:ilvl="7" w:tentative="0">
      <w:start w:val="1"/>
      <w:numFmt w:val="decimal"/>
      <w:isLgl/>
      <w:lvlText w:val="%1.%2.%3.%4.%5.%6.%7.%8."/>
      <w:lvlJc w:val="left"/>
      <w:pPr>
        <w:ind w:left="1418" w:hanging="1418"/>
      </w:pPr>
      <w:rPr>
        <w:rFonts w:hint="eastAsia" w:ascii="宋体" w:hAnsi="宋体" w:eastAsia="宋体"/>
      </w:rPr>
    </w:lvl>
    <w:lvl w:ilvl="8" w:tentative="0">
      <w:start w:val="1"/>
      <w:numFmt w:val="decimal"/>
      <w:isLgl/>
      <w:lvlText w:val="%1.%2.%3.%4.%5.%6.%7.%8.%9."/>
      <w:lvlJc w:val="left"/>
      <w:pPr>
        <w:ind w:left="1558" w:hanging="1558"/>
      </w:pPr>
      <w:rPr>
        <w:rFonts w:hint="eastAsia" w:ascii="宋体" w:hAnsi="宋体" w:eastAsia="宋体"/>
      </w:rPr>
    </w:lvl>
  </w:abstractNum>
  <w:abstractNum w:abstractNumId="6">
    <w:nsid w:val="53362D72"/>
    <w:multiLevelType w:val="singleLevel"/>
    <w:tmpl w:val="53362D72"/>
    <w:lvl w:ilvl="0" w:tentative="0">
      <w:start w:val="9"/>
      <w:numFmt w:val="chineseCounting"/>
      <w:suff w:val="space"/>
      <w:lvlText w:val="第%1章"/>
      <w:lvlJc w:val="left"/>
      <w:rPr>
        <w:rFonts w:hint="eastAsia"/>
        <w:sz w:val="32"/>
        <w:szCs w:val="32"/>
      </w:rPr>
    </w:lvl>
  </w:abstractNum>
  <w:abstractNum w:abstractNumId="7">
    <w:nsid w:val="5B35559F"/>
    <w:multiLevelType w:val="multilevel"/>
    <w:tmpl w:val="5B35559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44E461E"/>
    <w:multiLevelType w:val="singleLevel"/>
    <w:tmpl w:val="644E461E"/>
    <w:lvl w:ilvl="0" w:tentative="0">
      <w:start w:val="5"/>
      <w:numFmt w:val="chineseCounting"/>
      <w:suff w:val="nothing"/>
      <w:lvlText w:val="%1、"/>
      <w:lvlJc w:val="left"/>
      <w:rPr>
        <w:rFonts w:hint="eastAsia"/>
      </w:rPr>
    </w:lvl>
  </w:abstractNum>
  <w:abstractNum w:abstractNumId="9">
    <w:nsid w:val="667258B2"/>
    <w:multiLevelType w:val="singleLevel"/>
    <w:tmpl w:val="667258B2"/>
    <w:lvl w:ilvl="0" w:tentative="0">
      <w:start w:val="3"/>
      <w:numFmt w:val="chineseCounting"/>
      <w:suff w:val="nothing"/>
      <w:lvlText w:val="%1、"/>
      <w:lvlJc w:val="left"/>
      <w:rPr>
        <w:rFonts w:hint="eastAsia"/>
      </w:rPr>
    </w:lvl>
  </w:abstractNum>
  <w:num w:numId="1">
    <w:abstractNumId w:val="9"/>
  </w:num>
  <w:num w:numId="2">
    <w:abstractNumId w:val="8"/>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284D"/>
    <w:rsid w:val="00001CC6"/>
    <w:rsid w:val="00021591"/>
    <w:rsid w:val="001158B5"/>
    <w:rsid w:val="00137773"/>
    <w:rsid w:val="00157F13"/>
    <w:rsid w:val="00184236"/>
    <w:rsid w:val="00194F04"/>
    <w:rsid w:val="001E2105"/>
    <w:rsid w:val="00210757"/>
    <w:rsid w:val="00250523"/>
    <w:rsid w:val="002D6D0B"/>
    <w:rsid w:val="003453F1"/>
    <w:rsid w:val="00387FC8"/>
    <w:rsid w:val="00467348"/>
    <w:rsid w:val="004677D7"/>
    <w:rsid w:val="00545E73"/>
    <w:rsid w:val="00547DC2"/>
    <w:rsid w:val="005523A9"/>
    <w:rsid w:val="00574B03"/>
    <w:rsid w:val="005B6D39"/>
    <w:rsid w:val="005C1218"/>
    <w:rsid w:val="005C56F6"/>
    <w:rsid w:val="00622D7F"/>
    <w:rsid w:val="00674799"/>
    <w:rsid w:val="00695492"/>
    <w:rsid w:val="006B5404"/>
    <w:rsid w:val="006C200A"/>
    <w:rsid w:val="006C7558"/>
    <w:rsid w:val="0072429A"/>
    <w:rsid w:val="00781E42"/>
    <w:rsid w:val="007C0EE1"/>
    <w:rsid w:val="007D74FC"/>
    <w:rsid w:val="007E45E0"/>
    <w:rsid w:val="008302EE"/>
    <w:rsid w:val="008769BA"/>
    <w:rsid w:val="00880976"/>
    <w:rsid w:val="00926D31"/>
    <w:rsid w:val="00942E44"/>
    <w:rsid w:val="009B38C1"/>
    <w:rsid w:val="009C093B"/>
    <w:rsid w:val="00A02B51"/>
    <w:rsid w:val="00A17AD0"/>
    <w:rsid w:val="00A43E3B"/>
    <w:rsid w:val="00AE2A71"/>
    <w:rsid w:val="00AE31C3"/>
    <w:rsid w:val="00B03216"/>
    <w:rsid w:val="00B320ED"/>
    <w:rsid w:val="00B83BF2"/>
    <w:rsid w:val="00C40F06"/>
    <w:rsid w:val="00C87248"/>
    <w:rsid w:val="00D31173"/>
    <w:rsid w:val="00D937EF"/>
    <w:rsid w:val="00DA5A26"/>
    <w:rsid w:val="00DC09B3"/>
    <w:rsid w:val="00DE7FE8"/>
    <w:rsid w:val="00DF170B"/>
    <w:rsid w:val="00DF1BA8"/>
    <w:rsid w:val="00E015C1"/>
    <w:rsid w:val="00E62F55"/>
    <w:rsid w:val="00EB40FA"/>
    <w:rsid w:val="00ED1351"/>
    <w:rsid w:val="00ED284E"/>
    <w:rsid w:val="00EE6FFD"/>
    <w:rsid w:val="00F772B5"/>
    <w:rsid w:val="00F82D11"/>
    <w:rsid w:val="00F9173B"/>
    <w:rsid w:val="00FA3CF9"/>
    <w:rsid w:val="00FD73CF"/>
    <w:rsid w:val="0113746B"/>
    <w:rsid w:val="013610D4"/>
    <w:rsid w:val="014111E5"/>
    <w:rsid w:val="01812F25"/>
    <w:rsid w:val="019F574C"/>
    <w:rsid w:val="020225C1"/>
    <w:rsid w:val="02132940"/>
    <w:rsid w:val="02D26235"/>
    <w:rsid w:val="02F5777B"/>
    <w:rsid w:val="02F90752"/>
    <w:rsid w:val="032F3FB5"/>
    <w:rsid w:val="03444990"/>
    <w:rsid w:val="0372546D"/>
    <w:rsid w:val="0392795C"/>
    <w:rsid w:val="039E3631"/>
    <w:rsid w:val="03BD05DD"/>
    <w:rsid w:val="03D84C54"/>
    <w:rsid w:val="03E123E5"/>
    <w:rsid w:val="04147FE2"/>
    <w:rsid w:val="04321782"/>
    <w:rsid w:val="043929C6"/>
    <w:rsid w:val="04807CDD"/>
    <w:rsid w:val="04B67D46"/>
    <w:rsid w:val="04C563B3"/>
    <w:rsid w:val="05021FCE"/>
    <w:rsid w:val="05131385"/>
    <w:rsid w:val="05CA4A5C"/>
    <w:rsid w:val="05CC6E93"/>
    <w:rsid w:val="05DC272A"/>
    <w:rsid w:val="05EB6792"/>
    <w:rsid w:val="062D6BD0"/>
    <w:rsid w:val="068C6153"/>
    <w:rsid w:val="06D969E5"/>
    <w:rsid w:val="07185811"/>
    <w:rsid w:val="071C540E"/>
    <w:rsid w:val="07D53369"/>
    <w:rsid w:val="07DD6CE6"/>
    <w:rsid w:val="08052DE1"/>
    <w:rsid w:val="0816079D"/>
    <w:rsid w:val="08616ED7"/>
    <w:rsid w:val="086C7DF6"/>
    <w:rsid w:val="086F56E8"/>
    <w:rsid w:val="08862593"/>
    <w:rsid w:val="08940F60"/>
    <w:rsid w:val="08A85D8E"/>
    <w:rsid w:val="08D73CFE"/>
    <w:rsid w:val="08EB543A"/>
    <w:rsid w:val="090515B3"/>
    <w:rsid w:val="091C7641"/>
    <w:rsid w:val="09273D06"/>
    <w:rsid w:val="093A4628"/>
    <w:rsid w:val="09735690"/>
    <w:rsid w:val="09890744"/>
    <w:rsid w:val="09AA6AA9"/>
    <w:rsid w:val="09B52C05"/>
    <w:rsid w:val="0A170850"/>
    <w:rsid w:val="0A190E93"/>
    <w:rsid w:val="0A1959BC"/>
    <w:rsid w:val="0A206C93"/>
    <w:rsid w:val="0A2B2A7D"/>
    <w:rsid w:val="0A4842CE"/>
    <w:rsid w:val="0A514937"/>
    <w:rsid w:val="0A5730F6"/>
    <w:rsid w:val="0A7E3967"/>
    <w:rsid w:val="0A8417D8"/>
    <w:rsid w:val="0A864BE8"/>
    <w:rsid w:val="0A993957"/>
    <w:rsid w:val="0AAE7EC5"/>
    <w:rsid w:val="0ABE6048"/>
    <w:rsid w:val="0ACC0B0A"/>
    <w:rsid w:val="0AF9623A"/>
    <w:rsid w:val="0B1C12A2"/>
    <w:rsid w:val="0B360E4E"/>
    <w:rsid w:val="0B372DF2"/>
    <w:rsid w:val="0B3B6533"/>
    <w:rsid w:val="0B4047F5"/>
    <w:rsid w:val="0B6F378C"/>
    <w:rsid w:val="0B6F6FCE"/>
    <w:rsid w:val="0B765486"/>
    <w:rsid w:val="0B8C4F30"/>
    <w:rsid w:val="0BA744E2"/>
    <w:rsid w:val="0BE620D5"/>
    <w:rsid w:val="0BF565F2"/>
    <w:rsid w:val="0BFB500B"/>
    <w:rsid w:val="0C053FF0"/>
    <w:rsid w:val="0C190186"/>
    <w:rsid w:val="0C1F7F50"/>
    <w:rsid w:val="0C5F47D2"/>
    <w:rsid w:val="0CB41A50"/>
    <w:rsid w:val="0CC11D92"/>
    <w:rsid w:val="0CE82701"/>
    <w:rsid w:val="0CE92964"/>
    <w:rsid w:val="0CFD21F3"/>
    <w:rsid w:val="0D06418F"/>
    <w:rsid w:val="0D1E224A"/>
    <w:rsid w:val="0D413D2D"/>
    <w:rsid w:val="0D5F3455"/>
    <w:rsid w:val="0D677924"/>
    <w:rsid w:val="0D8D201E"/>
    <w:rsid w:val="0D960887"/>
    <w:rsid w:val="0DBD5158"/>
    <w:rsid w:val="0E0C30F3"/>
    <w:rsid w:val="0E1A72E8"/>
    <w:rsid w:val="0E201A6A"/>
    <w:rsid w:val="0E4730B5"/>
    <w:rsid w:val="0E477F0A"/>
    <w:rsid w:val="0E955F2A"/>
    <w:rsid w:val="0EA31241"/>
    <w:rsid w:val="0EA86C06"/>
    <w:rsid w:val="0EB07F95"/>
    <w:rsid w:val="0F354CEA"/>
    <w:rsid w:val="0F402214"/>
    <w:rsid w:val="0F50294D"/>
    <w:rsid w:val="0F5F0A8B"/>
    <w:rsid w:val="0F716BFC"/>
    <w:rsid w:val="0F935ECE"/>
    <w:rsid w:val="0FAA7E70"/>
    <w:rsid w:val="0FCD2FE5"/>
    <w:rsid w:val="0FE245B8"/>
    <w:rsid w:val="10001E27"/>
    <w:rsid w:val="103A5FF2"/>
    <w:rsid w:val="108E3CBF"/>
    <w:rsid w:val="10AA68CE"/>
    <w:rsid w:val="10D779D1"/>
    <w:rsid w:val="10F21AD2"/>
    <w:rsid w:val="11151F28"/>
    <w:rsid w:val="112F29AD"/>
    <w:rsid w:val="11477B3C"/>
    <w:rsid w:val="117B001E"/>
    <w:rsid w:val="1185717A"/>
    <w:rsid w:val="118D1507"/>
    <w:rsid w:val="11D06683"/>
    <w:rsid w:val="11DA7E42"/>
    <w:rsid w:val="11FF57F8"/>
    <w:rsid w:val="12390585"/>
    <w:rsid w:val="1264738A"/>
    <w:rsid w:val="128D6B16"/>
    <w:rsid w:val="12923B1C"/>
    <w:rsid w:val="12A34447"/>
    <w:rsid w:val="12E73B79"/>
    <w:rsid w:val="13317696"/>
    <w:rsid w:val="13462D84"/>
    <w:rsid w:val="13A13763"/>
    <w:rsid w:val="13D44501"/>
    <w:rsid w:val="13EE5643"/>
    <w:rsid w:val="13FC548B"/>
    <w:rsid w:val="1408575E"/>
    <w:rsid w:val="140B3D50"/>
    <w:rsid w:val="141173CD"/>
    <w:rsid w:val="14240ACF"/>
    <w:rsid w:val="14432CE5"/>
    <w:rsid w:val="14523649"/>
    <w:rsid w:val="1464161A"/>
    <w:rsid w:val="14772C54"/>
    <w:rsid w:val="149D56A7"/>
    <w:rsid w:val="14AC768C"/>
    <w:rsid w:val="14C56526"/>
    <w:rsid w:val="14C87B04"/>
    <w:rsid w:val="150824E9"/>
    <w:rsid w:val="1527419C"/>
    <w:rsid w:val="157B2732"/>
    <w:rsid w:val="157B63CC"/>
    <w:rsid w:val="158457C7"/>
    <w:rsid w:val="158F23E0"/>
    <w:rsid w:val="15921B5C"/>
    <w:rsid w:val="159958EE"/>
    <w:rsid w:val="15A0271B"/>
    <w:rsid w:val="15AB3999"/>
    <w:rsid w:val="15BF0A4F"/>
    <w:rsid w:val="15C67E0A"/>
    <w:rsid w:val="15C92EB2"/>
    <w:rsid w:val="15D15E57"/>
    <w:rsid w:val="162205A6"/>
    <w:rsid w:val="162D38BD"/>
    <w:rsid w:val="164326B6"/>
    <w:rsid w:val="16451756"/>
    <w:rsid w:val="165D7500"/>
    <w:rsid w:val="16683790"/>
    <w:rsid w:val="16686612"/>
    <w:rsid w:val="167F55A0"/>
    <w:rsid w:val="16882B65"/>
    <w:rsid w:val="16A142D4"/>
    <w:rsid w:val="16AC22ED"/>
    <w:rsid w:val="16B21BA8"/>
    <w:rsid w:val="16D87487"/>
    <w:rsid w:val="17500DB7"/>
    <w:rsid w:val="17823C69"/>
    <w:rsid w:val="178D7358"/>
    <w:rsid w:val="17B86936"/>
    <w:rsid w:val="184109DD"/>
    <w:rsid w:val="185C6097"/>
    <w:rsid w:val="186923F3"/>
    <w:rsid w:val="18B60CD7"/>
    <w:rsid w:val="18CE72EC"/>
    <w:rsid w:val="18D56288"/>
    <w:rsid w:val="18E62132"/>
    <w:rsid w:val="18F07A06"/>
    <w:rsid w:val="18F104FB"/>
    <w:rsid w:val="19351812"/>
    <w:rsid w:val="19807A23"/>
    <w:rsid w:val="19914B59"/>
    <w:rsid w:val="1993708D"/>
    <w:rsid w:val="19D67584"/>
    <w:rsid w:val="19DB3013"/>
    <w:rsid w:val="1A2666AF"/>
    <w:rsid w:val="1AAD0873"/>
    <w:rsid w:val="1AC547CB"/>
    <w:rsid w:val="1AED59F1"/>
    <w:rsid w:val="1AEE1E37"/>
    <w:rsid w:val="1AFE68CA"/>
    <w:rsid w:val="1B08635D"/>
    <w:rsid w:val="1B160277"/>
    <w:rsid w:val="1B627A89"/>
    <w:rsid w:val="1BC23A4A"/>
    <w:rsid w:val="1BC815E7"/>
    <w:rsid w:val="1BD248BC"/>
    <w:rsid w:val="1BEB12E4"/>
    <w:rsid w:val="1C036E64"/>
    <w:rsid w:val="1C9D660E"/>
    <w:rsid w:val="1C9F77B0"/>
    <w:rsid w:val="1CFE1B54"/>
    <w:rsid w:val="1D277C17"/>
    <w:rsid w:val="1D32561F"/>
    <w:rsid w:val="1D3F1CFD"/>
    <w:rsid w:val="1D485438"/>
    <w:rsid w:val="1D5632E3"/>
    <w:rsid w:val="1D6805A2"/>
    <w:rsid w:val="1D691D41"/>
    <w:rsid w:val="1D8E107C"/>
    <w:rsid w:val="1D9E2023"/>
    <w:rsid w:val="1DBB584F"/>
    <w:rsid w:val="1DF074E5"/>
    <w:rsid w:val="1DF13ADD"/>
    <w:rsid w:val="1DF1741E"/>
    <w:rsid w:val="1DFC2361"/>
    <w:rsid w:val="1E151625"/>
    <w:rsid w:val="1E32077E"/>
    <w:rsid w:val="1E691993"/>
    <w:rsid w:val="1E9E32CF"/>
    <w:rsid w:val="1EB07977"/>
    <w:rsid w:val="1EBC4A78"/>
    <w:rsid w:val="1EBF2C04"/>
    <w:rsid w:val="1EC138AE"/>
    <w:rsid w:val="1ECC2534"/>
    <w:rsid w:val="1ED52305"/>
    <w:rsid w:val="1F087293"/>
    <w:rsid w:val="1F156139"/>
    <w:rsid w:val="1F2031D7"/>
    <w:rsid w:val="1F3812A6"/>
    <w:rsid w:val="1F697708"/>
    <w:rsid w:val="1F8E568E"/>
    <w:rsid w:val="1FFE1BC0"/>
    <w:rsid w:val="201D0121"/>
    <w:rsid w:val="2042695C"/>
    <w:rsid w:val="204632A6"/>
    <w:rsid w:val="20551A0C"/>
    <w:rsid w:val="20640CE6"/>
    <w:rsid w:val="207336BD"/>
    <w:rsid w:val="20856C15"/>
    <w:rsid w:val="20A1030C"/>
    <w:rsid w:val="20AB2B6D"/>
    <w:rsid w:val="20F87B9A"/>
    <w:rsid w:val="212D1EAC"/>
    <w:rsid w:val="21501386"/>
    <w:rsid w:val="215F7E6A"/>
    <w:rsid w:val="216B2C6A"/>
    <w:rsid w:val="216C668D"/>
    <w:rsid w:val="217D1B05"/>
    <w:rsid w:val="21836982"/>
    <w:rsid w:val="219C725A"/>
    <w:rsid w:val="21AD586C"/>
    <w:rsid w:val="21C007DE"/>
    <w:rsid w:val="21D84744"/>
    <w:rsid w:val="228B5126"/>
    <w:rsid w:val="228E630A"/>
    <w:rsid w:val="22BF638C"/>
    <w:rsid w:val="22DD2E48"/>
    <w:rsid w:val="22F41F46"/>
    <w:rsid w:val="23471B9A"/>
    <w:rsid w:val="23484FAF"/>
    <w:rsid w:val="23AF547E"/>
    <w:rsid w:val="23D70D02"/>
    <w:rsid w:val="23FC18B3"/>
    <w:rsid w:val="240F3FE9"/>
    <w:rsid w:val="2412078D"/>
    <w:rsid w:val="241C0B01"/>
    <w:rsid w:val="242902B6"/>
    <w:rsid w:val="24385C0A"/>
    <w:rsid w:val="24640FE1"/>
    <w:rsid w:val="246B2633"/>
    <w:rsid w:val="24834766"/>
    <w:rsid w:val="248D4AF1"/>
    <w:rsid w:val="24901284"/>
    <w:rsid w:val="24B033D5"/>
    <w:rsid w:val="24C37E77"/>
    <w:rsid w:val="250C168E"/>
    <w:rsid w:val="251A5F89"/>
    <w:rsid w:val="251B6C61"/>
    <w:rsid w:val="252B5395"/>
    <w:rsid w:val="253E4D6C"/>
    <w:rsid w:val="25503CE4"/>
    <w:rsid w:val="255916F9"/>
    <w:rsid w:val="25917DFD"/>
    <w:rsid w:val="25970E18"/>
    <w:rsid w:val="25C26559"/>
    <w:rsid w:val="25D5341C"/>
    <w:rsid w:val="25D746F0"/>
    <w:rsid w:val="25D922B7"/>
    <w:rsid w:val="25F24758"/>
    <w:rsid w:val="25F31D63"/>
    <w:rsid w:val="260B63EC"/>
    <w:rsid w:val="260F3709"/>
    <w:rsid w:val="261E0AFF"/>
    <w:rsid w:val="262F2EF3"/>
    <w:rsid w:val="26342A06"/>
    <w:rsid w:val="263A4BF9"/>
    <w:rsid w:val="26476F95"/>
    <w:rsid w:val="265A487E"/>
    <w:rsid w:val="266C1E28"/>
    <w:rsid w:val="26732D76"/>
    <w:rsid w:val="26AC2C28"/>
    <w:rsid w:val="26CF19B6"/>
    <w:rsid w:val="26D4077B"/>
    <w:rsid w:val="27025149"/>
    <w:rsid w:val="2707066F"/>
    <w:rsid w:val="27176BBF"/>
    <w:rsid w:val="27181816"/>
    <w:rsid w:val="27182A89"/>
    <w:rsid w:val="275D5418"/>
    <w:rsid w:val="27882776"/>
    <w:rsid w:val="27B857C9"/>
    <w:rsid w:val="27E050A0"/>
    <w:rsid w:val="2856555B"/>
    <w:rsid w:val="285D194E"/>
    <w:rsid w:val="28745B06"/>
    <w:rsid w:val="287B789B"/>
    <w:rsid w:val="290304A0"/>
    <w:rsid w:val="29072845"/>
    <w:rsid w:val="29364060"/>
    <w:rsid w:val="2957505D"/>
    <w:rsid w:val="29921BD4"/>
    <w:rsid w:val="299F737A"/>
    <w:rsid w:val="29DE16B4"/>
    <w:rsid w:val="29EA5557"/>
    <w:rsid w:val="2A1050AB"/>
    <w:rsid w:val="2A1561C5"/>
    <w:rsid w:val="2A186EE0"/>
    <w:rsid w:val="2A386D2C"/>
    <w:rsid w:val="2A4709E6"/>
    <w:rsid w:val="2A782AC7"/>
    <w:rsid w:val="2AC87506"/>
    <w:rsid w:val="2AD920BB"/>
    <w:rsid w:val="2B207A73"/>
    <w:rsid w:val="2B4314C5"/>
    <w:rsid w:val="2B684EE1"/>
    <w:rsid w:val="2B7D381F"/>
    <w:rsid w:val="2B8F4B13"/>
    <w:rsid w:val="2BC713FE"/>
    <w:rsid w:val="2BDD3E23"/>
    <w:rsid w:val="2C1D1A7E"/>
    <w:rsid w:val="2C1E73F2"/>
    <w:rsid w:val="2C292AD6"/>
    <w:rsid w:val="2C314722"/>
    <w:rsid w:val="2C4E4421"/>
    <w:rsid w:val="2C521634"/>
    <w:rsid w:val="2C776358"/>
    <w:rsid w:val="2C7A6A97"/>
    <w:rsid w:val="2C964BAC"/>
    <w:rsid w:val="2CDC7509"/>
    <w:rsid w:val="2CED75C9"/>
    <w:rsid w:val="2CF74C9E"/>
    <w:rsid w:val="2CFD6A72"/>
    <w:rsid w:val="2D396CEA"/>
    <w:rsid w:val="2D645A7B"/>
    <w:rsid w:val="2D6C0CBE"/>
    <w:rsid w:val="2D821E95"/>
    <w:rsid w:val="2D8B709E"/>
    <w:rsid w:val="2DB041A7"/>
    <w:rsid w:val="2DEE2579"/>
    <w:rsid w:val="2E0028AE"/>
    <w:rsid w:val="2E175466"/>
    <w:rsid w:val="2E237472"/>
    <w:rsid w:val="2E291526"/>
    <w:rsid w:val="2E346A72"/>
    <w:rsid w:val="2E3E7614"/>
    <w:rsid w:val="2E40466C"/>
    <w:rsid w:val="2E422C79"/>
    <w:rsid w:val="2E651262"/>
    <w:rsid w:val="2EAF58CB"/>
    <w:rsid w:val="2F4A3B16"/>
    <w:rsid w:val="2F573AA2"/>
    <w:rsid w:val="2F642AC7"/>
    <w:rsid w:val="2F7C5646"/>
    <w:rsid w:val="2F837461"/>
    <w:rsid w:val="2F8936A4"/>
    <w:rsid w:val="2FC36893"/>
    <w:rsid w:val="2FE40D40"/>
    <w:rsid w:val="3010741C"/>
    <w:rsid w:val="305D10C7"/>
    <w:rsid w:val="307123A8"/>
    <w:rsid w:val="308E11D5"/>
    <w:rsid w:val="30E156BF"/>
    <w:rsid w:val="30EE1FB3"/>
    <w:rsid w:val="30EE4BF0"/>
    <w:rsid w:val="30F00C8A"/>
    <w:rsid w:val="31827FFF"/>
    <w:rsid w:val="319B3DC1"/>
    <w:rsid w:val="31E80138"/>
    <w:rsid w:val="31EB76F2"/>
    <w:rsid w:val="322B42F0"/>
    <w:rsid w:val="3251478E"/>
    <w:rsid w:val="3269273B"/>
    <w:rsid w:val="326A11C3"/>
    <w:rsid w:val="328E1C6B"/>
    <w:rsid w:val="32A26705"/>
    <w:rsid w:val="32A60EEE"/>
    <w:rsid w:val="32BE4442"/>
    <w:rsid w:val="32C93262"/>
    <w:rsid w:val="32CD2FAE"/>
    <w:rsid w:val="32DB2EA8"/>
    <w:rsid w:val="32DC349A"/>
    <w:rsid w:val="333825B4"/>
    <w:rsid w:val="337F250F"/>
    <w:rsid w:val="338820AF"/>
    <w:rsid w:val="33925342"/>
    <w:rsid w:val="33BA5250"/>
    <w:rsid w:val="33C71D24"/>
    <w:rsid w:val="33CB39C2"/>
    <w:rsid w:val="33CF64B9"/>
    <w:rsid w:val="33EF503C"/>
    <w:rsid w:val="34056C40"/>
    <w:rsid w:val="343220D1"/>
    <w:rsid w:val="344D5085"/>
    <w:rsid w:val="345F5FCE"/>
    <w:rsid w:val="346864A2"/>
    <w:rsid w:val="3474354B"/>
    <w:rsid w:val="348324A0"/>
    <w:rsid w:val="34924BFE"/>
    <w:rsid w:val="34ED78D2"/>
    <w:rsid w:val="350A6467"/>
    <w:rsid w:val="35325B7F"/>
    <w:rsid w:val="35355C15"/>
    <w:rsid w:val="355456B3"/>
    <w:rsid w:val="3563606C"/>
    <w:rsid w:val="356C5351"/>
    <w:rsid w:val="35BA23B4"/>
    <w:rsid w:val="35E0659B"/>
    <w:rsid w:val="35EE26F3"/>
    <w:rsid w:val="36300E78"/>
    <w:rsid w:val="36327BD0"/>
    <w:rsid w:val="36577A5C"/>
    <w:rsid w:val="36724CC3"/>
    <w:rsid w:val="36E224A3"/>
    <w:rsid w:val="36F344D9"/>
    <w:rsid w:val="371A0502"/>
    <w:rsid w:val="371D1A28"/>
    <w:rsid w:val="3738669F"/>
    <w:rsid w:val="37422EED"/>
    <w:rsid w:val="37617A61"/>
    <w:rsid w:val="376322CF"/>
    <w:rsid w:val="3784138C"/>
    <w:rsid w:val="378564AF"/>
    <w:rsid w:val="3798402A"/>
    <w:rsid w:val="37984E93"/>
    <w:rsid w:val="379F1522"/>
    <w:rsid w:val="37AA718D"/>
    <w:rsid w:val="37B9096D"/>
    <w:rsid w:val="37C85DD2"/>
    <w:rsid w:val="37CD0859"/>
    <w:rsid w:val="37DC4D8C"/>
    <w:rsid w:val="37E91422"/>
    <w:rsid w:val="387353C3"/>
    <w:rsid w:val="38936119"/>
    <w:rsid w:val="389F198F"/>
    <w:rsid w:val="38A70621"/>
    <w:rsid w:val="38FF6F44"/>
    <w:rsid w:val="390B5C7F"/>
    <w:rsid w:val="391A764A"/>
    <w:rsid w:val="3949284D"/>
    <w:rsid w:val="39514805"/>
    <w:rsid w:val="39640787"/>
    <w:rsid w:val="39640935"/>
    <w:rsid w:val="39A51B57"/>
    <w:rsid w:val="39BE5190"/>
    <w:rsid w:val="39E01118"/>
    <w:rsid w:val="3A0B222C"/>
    <w:rsid w:val="3A227DA8"/>
    <w:rsid w:val="3A391B14"/>
    <w:rsid w:val="3AB57349"/>
    <w:rsid w:val="3ABE7305"/>
    <w:rsid w:val="3AD91685"/>
    <w:rsid w:val="3AD95D0C"/>
    <w:rsid w:val="3AE854BD"/>
    <w:rsid w:val="3B032872"/>
    <w:rsid w:val="3B187DDC"/>
    <w:rsid w:val="3B1C7D4F"/>
    <w:rsid w:val="3B2E2EBB"/>
    <w:rsid w:val="3B5E30A9"/>
    <w:rsid w:val="3B6C0CC2"/>
    <w:rsid w:val="3B7C5A16"/>
    <w:rsid w:val="3BB95CA8"/>
    <w:rsid w:val="3BE46021"/>
    <w:rsid w:val="3C1F4604"/>
    <w:rsid w:val="3C3B37E6"/>
    <w:rsid w:val="3C45078F"/>
    <w:rsid w:val="3C48737C"/>
    <w:rsid w:val="3C962D58"/>
    <w:rsid w:val="3C9C5654"/>
    <w:rsid w:val="3CBF3DBF"/>
    <w:rsid w:val="3CCC1FBA"/>
    <w:rsid w:val="3CDB54AF"/>
    <w:rsid w:val="3CE24FCF"/>
    <w:rsid w:val="3CE26BD6"/>
    <w:rsid w:val="3CF33CF4"/>
    <w:rsid w:val="3D181A3C"/>
    <w:rsid w:val="3D236EF6"/>
    <w:rsid w:val="3D3949EB"/>
    <w:rsid w:val="3D564FD7"/>
    <w:rsid w:val="3D6C386F"/>
    <w:rsid w:val="3D76570F"/>
    <w:rsid w:val="3D7C34E3"/>
    <w:rsid w:val="3D8D7AD1"/>
    <w:rsid w:val="3DDC1C96"/>
    <w:rsid w:val="3DE52D9E"/>
    <w:rsid w:val="3E1C1C8D"/>
    <w:rsid w:val="3E1E021C"/>
    <w:rsid w:val="3E2237C3"/>
    <w:rsid w:val="3E231162"/>
    <w:rsid w:val="3E497B81"/>
    <w:rsid w:val="3E4C52AA"/>
    <w:rsid w:val="3E511C35"/>
    <w:rsid w:val="3E5A2E58"/>
    <w:rsid w:val="3E6F1052"/>
    <w:rsid w:val="3EAB39B2"/>
    <w:rsid w:val="3EAF29BA"/>
    <w:rsid w:val="3EB25124"/>
    <w:rsid w:val="3EE4631C"/>
    <w:rsid w:val="3F3923EE"/>
    <w:rsid w:val="3F612FB6"/>
    <w:rsid w:val="3FBD0476"/>
    <w:rsid w:val="3FDB3F54"/>
    <w:rsid w:val="3FE150B5"/>
    <w:rsid w:val="3FFA6D53"/>
    <w:rsid w:val="3FFB661C"/>
    <w:rsid w:val="401E24A7"/>
    <w:rsid w:val="40207B69"/>
    <w:rsid w:val="40383469"/>
    <w:rsid w:val="40396326"/>
    <w:rsid w:val="405D6689"/>
    <w:rsid w:val="40795A00"/>
    <w:rsid w:val="4096764F"/>
    <w:rsid w:val="409C41B2"/>
    <w:rsid w:val="40A43522"/>
    <w:rsid w:val="40EE4207"/>
    <w:rsid w:val="41081AEC"/>
    <w:rsid w:val="410A2BFB"/>
    <w:rsid w:val="410F77F0"/>
    <w:rsid w:val="4121285F"/>
    <w:rsid w:val="412159EA"/>
    <w:rsid w:val="413D065A"/>
    <w:rsid w:val="414544BA"/>
    <w:rsid w:val="41516422"/>
    <w:rsid w:val="41596AC5"/>
    <w:rsid w:val="41670506"/>
    <w:rsid w:val="417B5C8B"/>
    <w:rsid w:val="41E91FC4"/>
    <w:rsid w:val="41E93B94"/>
    <w:rsid w:val="41FB05A4"/>
    <w:rsid w:val="42206D4A"/>
    <w:rsid w:val="42744632"/>
    <w:rsid w:val="4281449C"/>
    <w:rsid w:val="42A56540"/>
    <w:rsid w:val="42BF3B2E"/>
    <w:rsid w:val="42C11336"/>
    <w:rsid w:val="42CF3096"/>
    <w:rsid w:val="42D6395B"/>
    <w:rsid w:val="42DC3F63"/>
    <w:rsid w:val="42E021C6"/>
    <w:rsid w:val="434A1887"/>
    <w:rsid w:val="435A0644"/>
    <w:rsid w:val="438A4C30"/>
    <w:rsid w:val="43DE77A6"/>
    <w:rsid w:val="441272A0"/>
    <w:rsid w:val="444C68AD"/>
    <w:rsid w:val="446552FE"/>
    <w:rsid w:val="44745AB1"/>
    <w:rsid w:val="44896A94"/>
    <w:rsid w:val="44C765F9"/>
    <w:rsid w:val="44D67408"/>
    <w:rsid w:val="44FA12B8"/>
    <w:rsid w:val="44FE6C88"/>
    <w:rsid w:val="456F77F4"/>
    <w:rsid w:val="45703EF6"/>
    <w:rsid w:val="45884DF0"/>
    <w:rsid w:val="458A7D1A"/>
    <w:rsid w:val="45AE4603"/>
    <w:rsid w:val="45D95D29"/>
    <w:rsid w:val="45E00DCB"/>
    <w:rsid w:val="45E10054"/>
    <w:rsid w:val="46515847"/>
    <w:rsid w:val="46843BC4"/>
    <w:rsid w:val="46D2183F"/>
    <w:rsid w:val="46DE005C"/>
    <w:rsid w:val="46EC40D3"/>
    <w:rsid w:val="47190C2B"/>
    <w:rsid w:val="474E3F32"/>
    <w:rsid w:val="4756001D"/>
    <w:rsid w:val="476A031D"/>
    <w:rsid w:val="476A49D5"/>
    <w:rsid w:val="47940FB0"/>
    <w:rsid w:val="47BB597D"/>
    <w:rsid w:val="47E95834"/>
    <w:rsid w:val="47EA564C"/>
    <w:rsid w:val="48036AAE"/>
    <w:rsid w:val="480416D0"/>
    <w:rsid w:val="480B5546"/>
    <w:rsid w:val="485745FB"/>
    <w:rsid w:val="48702E89"/>
    <w:rsid w:val="48743925"/>
    <w:rsid w:val="48AC120D"/>
    <w:rsid w:val="48AC28CD"/>
    <w:rsid w:val="48BA6275"/>
    <w:rsid w:val="48D82073"/>
    <w:rsid w:val="48DF2D90"/>
    <w:rsid w:val="491E09D8"/>
    <w:rsid w:val="49773DF5"/>
    <w:rsid w:val="49A01EB5"/>
    <w:rsid w:val="4A4E61D0"/>
    <w:rsid w:val="4A783431"/>
    <w:rsid w:val="4A855DC1"/>
    <w:rsid w:val="4A8902F5"/>
    <w:rsid w:val="4AC07BA4"/>
    <w:rsid w:val="4AC43BAA"/>
    <w:rsid w:val="4AD15497"/>
    <w:rsid w:val="4B1B17AF"/>
    <w:rsid w:val="4B1F7C7D"/>
    <w:rsid w:val="4B2E267D"/>
    <w:rsid w:val="4B354B4D"/>
    <w:rsid w:val="4B6C57BD"/>
    <w:rsid w:val="4B736182"/>
    <w:rsid w:val="4B7646EB"/>
    <w:rsid w:val="4B7660A2"/>
    <w:rsid w:val="4B863DB2"/>
    <w:rsid w:val="4B8C05F9"/>
    <w:rsid w:val="4BD0431E"/>
    <w:rsid w:val="4C17741F"/>
    <w:rsid w:val="4C397865"/>
    <w:rsid w:val="4C3C2A3E"/>
    <w:rsid w:val="4C430213"/>
    <w:rsid w:val="4C4615D8"/>
    <w:rsid w:val="4C701A82"/>
    <w:rsid w:val="4C7066F7"/>
    <w:rsid w:val="4C8239A6"/>
    <w:rsid w:val="4D323E89"/>
    <w:rsid w:val="4D3737BA"/>
    <w:rsid w:val="4D8E770A"/>
    <w:rsid w:val="4D97616F"/>
    <w:rsid w:val="4DB80741"/>
    <w:rsid w:val="4DF523A5"/>
    <w:rsid w:val="4E1079D8"/>
    <w:rsid w:val="4E1252AB"/>
    <w:rsid w:val="4E236797"/>
    <w:rsid w:val="4E3475F0"/>
    <w:rsid w:val="4E357A03"/>
    <w:rsid w:val="4E40574E"/>
    <w:rsid w:val="4EA474B1"/>
    <w:rsid w:val="4EDA6866"/>
    <w:rsid w:val="4EEB1735"/>
    <w:rsid w:val="4EEB6A7B"/>
    <w:rsid w:val="4EF073A3"/>
    <w:rsid w:val="4EFE4AF3"/>
    <w:rsid w:val="4F682DD9"/>
    <w:rsid w:val="4F7D6E36"/>
    <w:rsid w:val="4FB62ADD"/>
    <w:rsid w:val="4FBD3F09"/>
    <w:rsid w:val="4FBD6412"/>
    <w:rsid w:val="4FC87EDA"/>
    <w:rsid w:val="4FDB54E7"/>
    <w:rsid w:val="4FFC4215"/>
    <w:rsid w:val="5013342E"/>
    <w:rsid w:val="5061086E"/>
    <w:rsid w:val="5074450B"/>
    <w:rsid w:val="50954B65"/>
    <w:rsid w:val="50E129ED"/>
    <w:rsid w:val="50EA3D64"/>
    <w:rsid w:val="50ED1009"/>
    <w:rsid w:val="51052D16"/>
    <w:rsid w:val="51054E57"/>
    <w:rsid w:val="511C319B"/>
    <w:rsid w:val="512A5EBF"/>
    <w:rsid w:val="51351D5C"/>
    <w:rsid w:val="51452EA0"/>
    <w:rsid w:val="515331CD"/>
    <w:rsid w:val="515C56DB"/>
    <w:rsid w:val="515D485C"/>
    <w:rsid w:val="516160EB"/>
    <w:rsid w:val="516873D2"/>
    <w:rsid w:val="51782C9C"/>
    <w:rsid w:val="51967E4F"/>
    <w:rsid w:val="51A12267"/>
    <w:rsid w:val="51AF19A2"/>
    <w:rsid w:val="51C966A0"/>
    <w:rsid w:val="51D0762F"/>
    <w:rsid w:val="51F535DE"/>
    <w:rsid w:val="51F65DCF"/>
    <w:rsid w:val="51F806B7"/>
    <w:rsid w:val="523B43CC"/>
    <w:rsid w:val="52547513"/>
    <w:rsid w:val="526870E4"/>
    <w:rsid w:val="527154FF"/>
    <w:rsid w:val="528F661D"/>
    <w:rsid w:val="529414C6"/>
    <w:rsid w:val="529848F3"/>
    <w:rsid w:val="529A19B8"/>
    <w:rsid w:val="52B07698"/>
    <w:rsid w:val="52B20EEC"/>
    <w:rsid w:val="52BF728E"/>
    <w:rsid w:val="52DE4061"/>
    <w:rsid w:val="52F54224"/>
    <w:rsid w:val="53301096"/>
    <w:rsid w:val="533A00EC"/>
    <w:rsid w:val="536E7FA3"/>
    <w:rsid w:val="5399517E"/>
    <w:rsid w:val="53BE76FD"/>
    <w:rsid w:val="53CA775D"/>
    <w:rsid w:val="54A967AC"/>
    <w:rsid w:val="54B82C48"/>
    <w:rsid w:val="552003C7"/>
    <w:rsid w:val="552277B7"/>
    <w:rsid w:val="5524144D"/>
    <w:rsid w:val="5544500E"/>
    <w:rsid w:val="554D5EC1"/>
    <w:rsid w:val="55630134"/>
    <w:rsid w:val="55685952"/>
    <w:rsid w:val="559307CC"/>
    <w:rsid w:val="55A72689"/>
    <w:rsid w:val="55CF3833"/>
    <w:rsid w:val="55DD511E"/>
    <w:rsid w:val="561D3CE7"/>
    <w:rsid w:val="562D5BD7"/>
    <w:rsid w:val="56302931"/>
    <w:rsid w:val="5641109E"/>
    <w:rsid w:val="565202B7"/>
    <w:rsid w:val="56651379"/>
    <w:rsid w:val="567A6923"/>
    <w:rsid w:val="56855A8C"/>
    <w:rsid w:val="56873806"/>
    <w:rsid w:val="5699393E"/>
    <w:rsid w:val="56997DF1"/>
    <w:rsid w:val="56A307FD"/>
    <w:rsid w:val="56D45103"/>
    <w:rsid w:val="56DA66C7"/>
    <w:rsid w:val="56FC5533"/>
    <w:rsid w:val="57021039"/>
    <w:rsid w:val="57423C84"/>
    <w:rsid w:val="575823CE"/>
    <w:rsid w:val="575B6CAD"/>
    <w:rsid w:val="57763D36"/>
    <w:rsid w:val="578914EB"/>
    <w:rsid w:val="57975A99"/>
    <w:rsid w:val="57AB39C9"/>
    <w:rsid w:val="57B14535"/>
    <w:rsid w:val="57C875B9"/>
    <w:rsid w:val="57EF638E"/>
    <w:rsid w:val="584A7BF2"/>
    <w:rsid w:val="58725B27"/>
    <w:rsid w:val="58E011BB"/>
    <w:rsid w:val="59006583"/>
    <w:rsid w:val="5913361B"/>
    <w:rsid w:val="594F7414"/>
    <w:rsid w:val="595566E3"/>
    <w:rsid w:val="59717D88"/>
    <w:rsid w:val="599967EB"/>
    <w:rsid w:val="59B11CAD"/>
    <w:rsid w:val="59BB14DA"/>
    <w:rsid w:val="5A402393"/>
    <w:rsid w:val="5A5F3A5E"/>
    <w:rsid w:val="5A850D8E"/>
    <w:rsid w:val="5A977AF5"/>
    <w:rsid w:val="5AC801B0"/>
    <w:rsid w:val="5AE83377"/>
    <w:rsid w:val="5AEC7455"/>
    <w:rsid w:val="5AF27510"/>
    <w:rsid w:val="5B2517F8"/>
    <w:rsid w:val="5B68067C"/>
    <w:rsid w:val="5B817C20"/>
    <w:rsid w:val="5C01257A"/>
    <w:rsid w:val="5C1972AF"/>
    <w:rsid w:val="5C5A63A9"/>
    <w:rsid w:val="5C95644B"/>
    <w:rsid w:val="5C9B4F26"/>
    <w:rsid w:val="5CAA5603"/>
    <w:rsid w:val="5CBD41C0"/>
    <w:rsid w:val="5CC208EE"/>
    <w:rsid w:val="5D3B0FAD"/>
    <w:rsid w:val="5D440398"/>
    <w:rsid w:val="5D8917BB"/>
    <w:rsid w:val="5E0A3E8D"/>
    <w:rsid w:val="5E0B146A"/>
    <w:rsid w:val="5E267AAF"/>
    <w:rsid w:val="5E2B5436"/>
    <w:rsid w:val="5E303118"/>
    <w:rsid w:val="5E816EFF"/>
    <w:rsid w:val="5EA87344"/>
    <w:rsid w:val="5EC415A8"/>
    <w:rsid w:val="5EFD596A"/>
    <w:rsid w:val="5F0C53F9"/>
    <w:rsid w:val="5F144E1A"/>
    <w:rsid w:val="5F483280"/>
    <w:rsid w:val="5F71250F"/>
    <w:rsid w:val="5F761429"/>
    <w:rsid w:val="5F84140B"/>
    <w:rsid w:val="5F934B62"/>
    <w:rsid w:val="5FA06E74"/>
    <w:rsid w:val="5FA31562"/>
    <w:rsid w:val="5FB33A00"/>
    <w:rsid w:val="5FB51B96"/>
    <w:rsid w:val="600D0D98"/>
    <w:rsid w:val="601A1329"/>
    <w:rsid w:val="601A40C5"/>
    <w:rsid w:val="6023631D"/>
    <w:rsid w:val="60650455"/>
    <w:rsid w:val="607110C9"/>
    <w:rsid w:val="60750B52"/>
    <w:rsid w:val="60767191"/>
    <w:rsid w:val="60825BE1"/>
    <w:rsid w:val="60835E4D"/>
    <w:rsid w:val="608B3584"/>
    <w:rsid w:val="60AD7A42"/>
    <w:rsid w:val="60E357FF"/>
    <w:rsid w:val="60FC027E"/>
    <w:rsid w:val="60FC5D4D"/>
    <w:rsid w:val="60FF72AB"/>
    <w:rsid w:val="611554E6"/>
    <w:rsid w:val="61215987"/>
    <w:rsid w:val="614E1EF0"/>
    <w:rsid w:val="615D7B5A"/>
    <w:rsid w:val="615F7FF4"/>
    <w:rsid w:val="619A2AA4"/>
    <w:rsid w:val="61C75C84"/>
    <w:rsid w:val="62137E8C"/>
    <w:rsid w:val="622E3708"/>
    <w:rsid w:val="623A47E0"/>
    <w:rsid w:val="62481652"/>
    <w:rsid w:val="625247BE"/>
    <w:rsid w:val="62971429"/>
    <w:rsid w:val="62BE29E1"/>
    <w:rsid w:val="62E728D3"/>
    <w:rsid w:val="62EB2C31"/>
    <w:rsid w:val="630B5FA7"/>
    <w:rsid w:val="6325679E"/>
    <w:rsid w:val="637E79D3"/>
    <w:rsid w:val="63837113"/>
    <w:rsid w:val="63A10DB8"/>
    <w:rsid w:val="63D14ADC"/>
    <w:rsid w:val="63DD6F3C"/>
    <w:rsid w:val="63E87446"/>
    <w:rsid w:val="64101A3F"/>
    <w:rsid w:val="649B23EC"/>
    <w:rsid w:val="64D75F76"/>
    <w:rsid w:val="64DA1F20"/>
    <w:rsid w:val="64FE7E30"/>
    <w:rsid w:val="65330F1C"/>
    <w:rsid w:val="654D4052"/>
    <w:rsid w:val="654E38F5"/>
    <w:rsid w:val="657B6A30"/>
    <w:rsid w:val="658F25B2"/>
    <w:rsid w:val="65E27B5E"/>
    <w:rsid w:val="65E627CB"/>
    <w:rsid w:val="65EA48E6"/>
    <w:rsid w:val="65F550FB"/>
    <w:rsid w:val="66007C29"/>
    <w:rsid w:val="66274F81"/>
    <w:rsid w:val="669848F6"/>
    <w:rsid w:val="669B70E9"/>
    <w:rsid w:val="66C5417E"/>
    <w:rsid w:val="671833BF"/>
    <w:rsid w:val="67345991"/>
    <w:rsid w:val="67367F44"/>
    <w:rsid w:val="673B2AFB"/>
    <w:rsid w:val="67410173"/>
    <w:rsid w:val="67532FFC"/>
    <w:rsid w:val="675774A6"/>
    <w:rsid w:val="677E21D5"/>
    <w:rsid w:val="67AB3132"/>
    <w:rsid w:val="67B975A8"/>
    <w:rsid w:val="68114120"/>
    <w:rsid w:val="6812103B"/>
    <w:rsid w:val="682C6639"/>
    <w:rsid w:val="687B16C6"/>
    <w:rsid w:val="687E24A2"/>
    <w:rsid w:val="68864B75"/>
    <w:rsid w:val="689743BC"/>
    <w:rsid w:val="68982052"/>
    <w:rsid w:val="68D2724E"/>
    <w:rsid w:val="68DD0578"/>
    <w:rsid w:val="68E85DC8"/>
    <w:rsid w:val="695D6F51"/>
    <w:rsid w:val="696204B5"/>
    <w:rsid w:val="697F1370"/>
    <w:rsid w:val="69AD3FFC"/>
    <w:rsid w:val="69B64B07"/>
    <w:rsid w:val="69B76E37"/>
    <w:rsid w:val="69FC77F7"/>
    <w:rsid w:val="6A072D7B"/>
    <w:rsid w:val="6A0E264D"/>
    <w:rsid w:val="6A9708B9"/>
    <w:rsid w:val="6AA57AAA"/>
    <w:rsid w:val="6AAB72B7"/>
    <w:rsid w:val="6AB02BC7"/>
    <w:rsid w:val="6AE273A2"/>
    <w:rsid w:val="6AEE4DC2"/>
    <w:rsid w:val="6B647D63"/>
    <w:rsid w:val="6B667FB9"/>
    <w:rsid w:val="6BAB4795"/>
    <w:rsid w:val="6BFA4231"/>
    <w:rsid w:val="6C107B2C"/>
    <w:rsid w:val="6C1C6D10"/>
    <w:rsid w:val="6C1E1FA2"/>
    <w:rsid w:val="6C247935"/>
    <w:rsid w:val="6C2725EC"/>
    <w:rsid w:val="6C5D4EA3"/>
    <w:rsid w:val="6C8B400D"/>
    <w:rsid w:val="6CB27368"/>
    <w:rsid w:val="6D0F386A"/>
    <w:rsid w:val="6D5875DB"/>
    <w:rsid w:val="6D8F5A5E"/>
    <w:rsid w:val="6DA91804"/>
    <w:rsid w:val="6DAC29B3"/>
    <w:rsid w:val="6DB22F2E"/>
    <w:rsid w:val="6DE56813"/>
    <w:rsid w:val="6E04351B"/>
    <w:rsid w:val="6E194C9E"/>
    <w:rsid w:val="6E981591"/>
    <w:rsid w:val="6EC34BF6"/>
    <w:rsid w:val="6EFD791D"/>
    <w:rsid w:val="6F0D5B98"/>
    <w:rsid w:val="6F963E14"/>
    <w:rsid w:val="6F976292"/>
    <w:rsid w:val="6FB55695"/>
    <w:rsid w:val="6FCC3E2D"/>
    <w:rsid w:val="6FCE401B"/>
    <w:rsid w:val="6FDC28A7"/>
    <w:rsid w:val="70015DFB"/>
    <w:rsid w:val="70390925"/>
    <w:rsid w:val="70975E9C"/>
    <w:rsid w:val="70DC5D69"/>
    <w:rsid w:val="70EC05C9"/>
    <w:rsid w:val="70F0471E"/>
    <w:rsid w:val="71101880"/>
    <w:rsid w:val="713C350D"/>
    <w:rsid w:val="714416AC"/>
    <w:rsid w:val="7188654B"/>
    <w:rsid w:val="71CF223B"/>
    <w:rsid w:val="71D34D12"/>
    <w:rsid w:val="71D94890"/>
    <w:rsid w:val="72180439"/>
    <w:rsid w:val="723271C2"/>
    <w:rsid w:val="723A6DFC"/>
    <w:rsid w:val="724C3F7B"/>
    <w:rsid w:val="72AA5442"/>
    <w:rsid w:val="72B979AC"/>
    <w:rsid w:val="72D6103A"/>
    <w:rsid w:val="72E27542"/>
    <w:rsid w:val="731845BB"/>
    <w:rsid w:val="732047B0"/>
    <w:rsid w:val="73307800"/>
    <w:rsid w:val="73457B96"/>
    <w:rsid w:val="73D13426"/>
    <w:rsid w:val="73F2202A"/>
    <w:rsid w:val="74023F42"/>
    <w:rsid w:val="74184E5C"/>
    <w:rsid w:val="747557FE"/>
    <w:rsid w:val="747D073F"/>
    <w:rsid w:val="74A02433"/>
    <w:rsid w:val="74A47D33"/>
    <w:rsid w:val="74BB4361"/>
    <w:rsid w:val="74FF420F"/>
    <w:rsid w:val="75080A9A"/>
    <w:rsid w:val="75133B8A"/>
    <w:rsid w:val="7539237C"/>
    <w:rsid w:val="754B5C63"/>
    <w:rsid w:val="75633F80"/>
    <w:rsid w:val="757106B0"/>
    <w:rsid w:val="759F73BD"/>
    <w:rsid w:val="75A2302F"/>
    <w:rsid w:val="75F74430"/>
    <w:rsid w:val="76107A31"/>
    <w:rsid w:val="761338F2"/>
    <w:rsid w:val="761C6402"/>
    <w:rsid w:val="761F150B"/>
    <w:rsid w:val="7675776B"/>
    <w:rsid w:val="76B43F5E"/>
    <w:rsid w:val="76C932D4"/>
    <w:rsid w:val="76D82D8E"/>
    <w:rsid w:val="76DE3874"/>
    <w:rsid w:val="76EE5044"/>
    <w:rsid w:val="77044AAF"/>
    <w:rsid w:val="770B1700"/>
    <w:rsid w:val="7737509F"/>
    <w:rsid w:val="778D6B67"/>
    <w:rsid w:val="77AF557D"/>
    <w:rsid w:val="77F26E38"/>
    <w:rsid w:val="78017350"/>
    <w:rsid w:val="780A01AC"/>
    <w:rsid w:val="7812692E"/>
    <w:rsid w:val="78331BC5"/>
    <w:rsid w:val="784848E2"/>
    <w:rsid w:val="7850473C"/>
    <w:rsid w:val="78600A46"/>
    <w:rsid w:val="78A45DEE"/>
    <w:rsid w:val="78A57EDC"/>
    <w:rsid w:val="78B64C5A"/>
    <w:rsid w:val="78E57E80"/>
    <w:rsid w:val="78EF6AE4"/>
    <w:rsid w:val="791C5E38"/>
    <w:rsid w:val="79320248"/>
    <w:rsid w:val="79406421"/>
    <w:rsid w:val="79422929"/>
    <w:rsid w:val="794D1788"/>
    <w:rsid w:val="799257A4"/>
    <w:rsid w:val="79A7387D"/>
    <w:rsid w:val="79D00EE6"/>
    <w:rsid w:val="7A1C4525"/>
    <w:rsid w:val="7A2F7E8A"/>
    <w:rsid w:val="7A377364"/>
    <w:rsid w:val="7A4909CA"/>
    <w:rsid w:val="7A604870"/>
    <w:rsid w:val="7A65750D"/>
    <w:rsid w:val="7A8220CF"/>
    <w:rsid w:val="7A8F414E"/>
    <w:rsid w:val="7AA644DA"/>
    <w:rsid w:val="7AAB6415"/>
    <w:rsid w:val="7AC5611C"/>
    <w:rsid w:val="7ADE715B"/>
    <w:rsid w:val="7B196C4E"/>
    <w:rsid w:val="7B310E9B"/>
    <w:rsid w:val="7B382A78"/>
    <w:rsid w:val="7B5B01F4"/>
    <w:rsid w:val="7B64235A"/>
    <w:rsid w:val="7B741C51"/>
    <w:rsid w:val="7B7A0A3E"/>
    <w:rsid w:val="7B9A3548"/>
    <w:rsid w:val="7C03180E"/>
    <w:rsid w:val="7C1F2AAF"/>
    <w:rsid w:val="7C2B3177"/>
    <w:rsid w:val="7C2E18B3"/>
    <w:rsid w:val="7C757326"/>
    <w:rsid w:val="7C866B9C"/>
    <w:rsid w:val="7C8B12B8"/>
    <w:rsid w:val="7CA27FD0"/>
    <w:rsid w:val="7CD5781F"/>
    <w:rsid w:val="7CE0074A"/>
    <w:rsid w:val="7D092B02"/>
    <w:rsid w:val="7D2239D5"/>
    <w:rsid w:val="7D2638C1"/>
    <w:rsid w:val="7D5E37A8"/>
    <w:rsid w:val="7D6970E5"/>
    <w:rsid w:val="7D760774"/>
    <w:rsid w:val="7D9F6798"/>
    <w:rsid w:val="7DA233DA"/>
    <w:rsid w:val="7DBD0306"/>
    <w:rsid w:val="7DC10F2A"/>
    <w:rsid w:val="7DCB2CD5"/>
    <w:rsid w:val="7DD352C9"/>
    <w:rsid w:val="7E2708A0"/>
    <w:rsid w:val="7E3E2E47"/>
    <w:rsid w:val="7E454B55"/>
    <w:rsid w:val="7E961547"/>
    <w:rsid w:val="7E970070"/>
    <w:rsid w:val="7EAE26A3"/>
    <w:rsid w:val="7EB26150"/>
    <w:rsid w:val="7ED20682"/>
    <w:rsid w:val="7EE87361"/>
    <w:rsid w:val="7F372CEC"/>
    <w:rsid w:val="7F732CEF"/>
    <w:rsid w:val="7FC5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pPr>
    <w:rPr>
      <w:rFonts w:ascii="Times New Roman" w:hAnsi="Times New Roman" w:eastAsia="仿宋_GB2312" w:cs="宋体"/>
      <w:kern w:val="2"/>
      <w:sz w:val="32"/>
      <w:szCs w:val="24"/>
      <w:lang w:val="en-US" w:eastAsia="zh-CN" w:bidi="ar-SA"/>
    </w:rPr>
  </w:style>
  <w:style w:type="paragraph" w:styleId="3">
    <w:name w:val="heading 1"/>
    <w:basedOn w:val="1"/>
    <w:next w:val="1"/>
    <w:link w:val="33"/>
    <w:qFormat/>
    <w:uiPriority w:val="0"/>
    <w:pPr>
      <w:keepNext/>
      <w:keepLines/>
      <w:jc w:val="center"/>
      <w:outlineLvl w:val="0"/>
    </w:pPr>
    <w:rPr>
      <w:rFonts w:ascii="Calibri" w:hAnsi="Calibri" w:eastAsia="黑体"/>
      <w:b/>
      <w:bCs/>
      <w:kern w:val="44"/>
      <w:szCs w:val="44"/>
    </w:rPr>
  </w:style>
  <w:style w:type="paragraph" w:styleId="4">
    <w:name w:val="heading 2"/>
    <w:basedOn w:val="1"/>
    <w:next w:val="1"/>
    <w:link w:val="48"/>
    <w:qFormat/>
    <w:uiPriority w:val="0"/>
    <w:pPr>
      <w:keepNext/>
      <w:keepLines/>
      <w:spacing w:before="260" w:after="260"/>
      <w:jc w:val="center"/>
      <w:outlineLvl w:val="1"/>
    </w:pPr>
    <w:rPr>
      <w:rFonts w:ascii="Arial" w:hAnsi="Arial" w:eastAsia="楷体"/>
      <w:b/>
      <w:szCs w:val="32"/>
    </w:rPr>
  </w:style>
  <w:style w:type="paragraph" w:styleId="5">
    <w:name w:val="heading 3"/>
    <w:basedOn w:val="1"/>
    <w:next w:val="1"/>
    <w:qFormat/>
    <w:uiPriority w:val="0"/>
    <w:pPr>
      <w:keepNext/>
      <w:keepLines/>
      <w:spacing w:before="260" w:after="260" w:line="416" w:lineRule="auto"/>
      <w:outlineLvl w:val="2"/>
    </w:pPr>
    <w:rPr>
      <w:rFonts w:eastAsia="宋体" w:cs="Times New Roman"/>
      <w:b/>
      <w:bCs/>
      <w:szCs w:val="32"/>
    </w:rPr>
  </w:style>
  <w:style w:type="paragraph" w:styleId="6">
    <w:name w:val="heading 9"/>
    <w:basedOn w:val="1"/>
    <w:next w:val="1"/>
    <w:qFormat/>
    <w:uiPriority w:val="1"/>
    <w:pPr>
      <w:ind w:left="717"/>
      <w:outlineLvl w:val="8"/>
    </w:pPr>
    <w:rPr>
      <w:rFonts w:ascii="Noto Sans Mono CJK JP Regular" w:hAnsi="Noto Sans Mono CJK JP Regular" w:eastAsia="Noto Sans Mono CJK JP Regular" w:cs="Noto Sans Mono CJK JP Regular"/>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sz w:val="21"/>
    </w:rPr>
  </w:style>
  <w:style w:type="paragraph" w:styleId="7">
    <w:name w:val="index 8"/>
    <w:basedOn w:val="1"/>
    <w:next w:val="1"/>
    <w:qFormat/>
    <w:uiPriority w:val="0"/>
    <w:pPr>
      <w:ind w:left="3920" w:leftChars="1400" w:firstLine="200" w:firstLineChars="200"/>
    </w:pPr>
    <w:rPr>
      <w:sz w:val="28"/>
      <w:szCs w:val="21"/>
    </w:rPr>
  </w:style>
  <w:style w:type="paragraph" w:styleId="8">
    <w:name w:val="Normal Indent"/>
    <w:basedOn w:val="1"/>
    <w:next w:val="1"/>
    <w:qFormat/>
    <w:uiPriority w:val="0"/>
    <w:pPr>
      <w:ind w:firstLine="420" w:firstLineChars="200"/>
    </w:pPr>
    <w:rPr>
      <w:rFonts w:cs="Times New Roman"/>
    </w:rPr>
  </w:style>
  <w:style w:type="paragraph" w:styleId="9">
    <w:name w:val="annotation text"/>
    <w:basedOn w:val="1"/>
    <w:link w:val="55"/>
    <w:qFormat/>
    <w:uiPriority w:val="0"/>
    <w:pPr>
      <w:wordWrap/>
      <w:spacing w:after="160" w:line="259" w:lineRule="auto"/>
    </w:pPr>
    <w:rPr>
      <w:rFonts w:eastAsia="宋体" w:cs="Times New Roman"/>
      <w:sz w:val="21"/>
    </w:rPr>
  </w:style>
  <w:style w:type="paragraph" w:styleId="10">
    <w:name w:val="Body Text Indent"/>
    <w:basedOn w:val="1"/>
    <w:qFormat/>
    <w:uiPriority w:val="0"/>
    <w:pPr>
      <w:ind w:firstLine="630"/>
    </w:pPr>
    <w:rPr>
      <w:rFonts w:eastAsia="宋体" w:cs="Times New Roman"/>
      <w:szCs w:val="20"/>
    </w:rPr>
  </w:style>
  <w:style w:type="paragraph" w:styleId="11">
    <w:name w:val="Body Text Indent 2"/>
    <w:basedOn w:val="1"/>
    <w:qFormat/>
    <w:uiPriority w:val="0"/>
    <w:pPr>
      <w:spacing w:after="120" w:line="480" w:lineRule="auto"/>
      <w:ind w:left="420" w:leftChars="200"/>
    </w:pPr>
    <w:rPr>
      <w:rFonts w:eastAsia="宋体" w:cs="Times New Roman"/>
    </w:rPr>
  </w:style>
  <w:style w:type="paragraph" w:styleId="12">
    <w:name w:val="footer"/>
    <w:basedOn w:val="1"/>
    <w:qFormat/>
    <w:uiPriority w:val="0"/>
    <w:pPr>
      <w:tabs>
        <w:tab w:val="center" w:pos="4153"/>
        <w:tab w:val="right" w:pos="8306"/>
      </w:tabs>
      <w:snapToGrid w:val="0"/>
    </w:pPr>
    <w:rPr>
      <w:rFonts w:eastAsia="宋体" w:cs="Times New Roman"/>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hAnsi="Calibri" w:eastAsia="宋体"/>
      <w:sz w:val="18"/>
      <w:szCs w:val="20"/>
    </w:rPr>
  </w:style>
  <w:style w:type="paragraph" w:styleId="14">
    <w:name w:val="toc 1"/>
    <w:basedOn w:val="1"/>
    <w:next w:val="1"/>
    <w:qFormat/>
    <w:uiPriority w:val="0"/>
    <w:rPr>
      <w:rFonts w:eastAsia="宋体" w:cs="Times New Roman"/>
    </w:rPr>
  </w:style>
  <w:style w:type="paragraph" w:styleId="15">
    <w:name w:val="Subtitle"/>
    <w:basedOn w:val="1"/>
    <w:next w:val="1"/>
    <w:qFormat/>
    <w:uiPriority w:val="11"/>
    <w:pPr>
      <w:spacing w:before="240" w:after="60" w:line="312" w:lineRule="auto"/>
      <w:jc w:val="center"/>
      <w:outlineLvl w:val="1"/>
    </w:pPr>
    <w:rPr>
      <w:rFonts w:ascii="Cambria" w:hAnsi="Cambria" w:eastAsia="宋体"/>
      <w:b/>
      <w:bCs/>
      <w:kern w:val="28"/>
      <w:szCs w:val="32"/>
    </w:rPr>
  </w:style>
  <w:style w:type="paragraph" w:styleId="16">
    <w:name w:val="Normal (Web)"/>
    <w:basedOn w:val="1"/>
    <w:qFormat/>
    <w:uiPriority w:val="0"/>
    <w:pPr>
      <w:widowControl/>
      <w:spacing w:before="100" w:beforeAutospacing="1" w:after="100" w:afterAutospacing="1"/>
    </w:pPr>
    <w:rPr>
      <w:rFonts w:ascii="宋体" w:hAnsi="宋体" w:eastAsia="宋体" w:cs="Times New Roman"/>
      <w:kern w:val="0"/>
      <w:sz w:val="18"/>
      <w:szCs w:val="18"/>
    </w:rPr>
  </w:style>
  <w:style w:type="paragraph" w:styleId="17">
    <w:name w:val="Title"/>
    <w:basedOn w:val="1"/>
    <w:next w:val="1"/>
    <w:link w:val="40"/>
    <w:qFormat/>
    <w:uiPriority w:val="0"/>
    <w:pPr>
      <w:spacing w:before="100" w:beforeLines="100" w:after="100" w:afterLines="100"/>
      <w:jc w:val="center"/>
      <w:outlineLvl w:val="0"/>
    </w:pPr>
    <w:rPr>
      <w:rFonts w:ascii="Cambria" w:hAnsi="Cambria" w:eastAsia="宋体"/>
      <w:b/>
      <w:bCs/>
      <w:kern w:val="0"/>
      <w:szCs w:val="32"/>
    </w:rPr>
  </w:style>
  <w:style w:type="paragraph" w:styleId="18">
    <w:name w:val="Body Text First Indent"/>
    <w:basedOn w:val="2"/>
    <w:qFormat/>
    <w:uiPriority w:val="0"/>
    <w:pPr>
      <w:adjustRightInd w:val="0"/>
      <w:ind w:firstLine="420" w:firstLineChars="100"/>
      <w:textAlignment w:val="baseline"/>
    </w:pPr>
    <w:rPr>
      <w:rFonts w:ascii="宋体" w:eastAsia="仿宋"/>
      <w:sz w:val="24"/>
      <w:szCs w:val="21"/>
    </w:rPr>
  </w:style>
  <w:style w:type="paragraph" w:styleId="19">
    <w:name w:val="Body Text First Indent 2"/>
    <w:basedOn w:val="10"/>
    <w:qFormat/>
    <w:uiPriority w:val="99"/>
    <w:pPr>
      <w:ind w:firstLine="420" w:firstLineChars="200"/>
    </w:p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cs="Times New Roman"/>
    </w:rPr>
  </w:style>
  <w:style w:type="character" w:styleId="24">
    <w:name w:val="FollowedHyperlink"/>
    <w:basedOn w:val="22"/>
    <w:qFormat/>
    <w:uiPriority w:val="0"/>
    <w:rPr>
      <w:color w:val="3D3D3D"/>
      <w:u w:val="none"/>
    </w:rPr>
  </w:style>
  <w:style w:type="character" w:styleId="25">
    <w:name w:val="HTML Definition"/>
    <w:basedOn w:val="22"/>
    <w:qFormat/>
    <w:uiPriority w:val="0"/>
  </w:style>
  <w:style w:type="character" w:styleId="26">
    <w:name w:val="HTML Variable"/>
    <w:basedOn w:val="22"/>
    <w:qFormat/>
    <w:uiPriority w:val="0"/>
  </w:style>
  <w:style w:type="character" w:styleId="27">
    <w:name w:val="Hyperlink"/>
    <w:qFormat/>
    <w:uiPriority w:val="0"/>
    <w:rPr>
      <w:rFonts w:ascii="Times New Roman" w:hAnsi="Times New Roman" w:eastAsia="宋体" w:cs="Times New Roman"/>
      <w:color w:val="0000FF"/>
      <w:u w:val="none"/>
    </w:rPr>
  </w:style>
  <w:style w:type="character" w:styleId="28">
    <w:name w:val="HTML Code"/>
    <w:basedOn w:val="22"/>
    <w:qFormat/>
    <w:uiPriority w:val="0"/>
    <w:rPr>
      <w:rFonts w:ascii="Courier New" w:hAnsi="Courier New"/>
      <w:sz w:val="20"/>
    </w:rPr>
  </w:style>
  <w:style w:type="character" w:styleId="29">
    <w:name w:val="annotation reference"/>
    <w:qFormat/>
    <w:uiPriority w:val="0"/>
    <w:rPr>
      <w:rFonts w:ascii="Times New Roman" w:hAnsi="Times New Roman" w:eastAsia="宋体" w:cs="Times New Roman"/>
      <w:sz w:val="21"/>
      <w:szCs w:val="21"/>
    </w:rPr>
  </w:style>
  <w:style w:type="character" w:styleId="30">
    <w:name w:val="HTML Cite"/>
    <w:basedOn w:val="22"/>
    <w:qFormat/>
    <w:uiPriority w:val="0"/>
  </w:style>
  <w:style w:type="character" w:styleId="31">
    <w:name w:val="HTML Sample"/>
    <w:basedOn w:val="22"/>
    <w:qFormat/>
    <w:uiPriority w:val="0"/>
    <w:rPr>
      <w:rFonts w:ascii="Courier New" w:hAnsi="Courier New"/>
    </w:rPr>
  </w:style>
  <w:style w:type="character" w:customStyle="1" w:styleId="32">
    <w:name w:val="NormalCharacter"/>
    <w:qFormat/>
    <w:uiPriority w:val="0"/>
  </w:style>
  <w:style w:type="character" w:customStyle="1" w:styleId="33">
    <w:name w:val="标题 1 字符"/>
    <w:link w:val="3"/>
    <w:qFormat/>
    <w:uiPriority w:val="0"/>
    <w:rPr>
      <w:rFonts w:ascii="Calibri" w:hAnsi="Calibri" w:eastAsia="黑体"/>
      <w:b/>
      <w:bCs/>
      <w:kern w:val="44"/>
      <w:szCs w:val="44"/>
    </w:rPr>
  </w:style>
  <w:style w:type="paragraph" w:customStyle="1" w:styleId="34">
    <w:name w:val="Default"/>
    <w:qFormat/>
    <w:uiPriority w:val="0"/>
    <w:pPr>
      <w:widowControl w:val="0"/>
      <w:autoSpaceDE w:val="0"/>
      <w:autoSpaceDN w:val="0"/>
      <w:adjustRightInd w:val="0"/>
    </w:pPr>
    <w:rPr>
      <w:rFonts w:ascii="宋体" w:hAnsi="Times New Roman" w:eastAsia="Times New Roman" w:cs="Times New Roman"/>
      <w:color w:val="000000"/>
      <w:sz w:val="24"/>
      <w:szCs w:val="22"/>
      <w:lang w:val="en-US" w:eastAsia="zh-CN" w:bidi="ar-SA"/>
    </w:rPr>
  </w:style>
  <w:style w:type="paragraph" w:styleId="35">
    <w:name w:val="Quote"/>
    <w:basedOn w:val="1"/>
    <w:next w:val="1"/>
    <w:qFormat/>
    <w:uiPriority w:val="0"/>
    <w:pPr>
      <w:spacing w:before="200" w:after="160"/>
      <w:ind w:left="864" w:right="864"/>
      <w:jc w:val="center"/>
    </w:pPr>
    <w:rPr>
      <w:rFonts w:ascii="Calibri" w:hAnsi="Calibri" w:eastAsia="Calibri"/>
      <w:i/>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正文1"/>
    <w:qFormat/>
    <w:uiPriority w:val="0"/>
    <w:pPr>
      <w:widowControl w:val="0"/>
      <w:adjustRightInd w:val="0"/>
      <w:spacing w:line="312" w:lineRule="atLeast"/>
      <w:jc w:val="both"/>
      <w:textAlignment w:val="baseline"/>
    </w:pPr>
    <w:rPr>
      <w:rFonts w:ascii="宋体" w:hAnsi="宋体" w:eastAsia="宋体" w:cs="宋体"/>
      <w:sz w:val="34"/>
      <w:lang w:val="en-US" w:eastAsia="zh-CN" w:bidi="ar-SA"/>
    </w:rPr>
  </w:style>
  <w:style w:type="paragraph" w:customStyle="1" w:styleId="38">
    <w:name w:val="GW-正文"/>
    <w:basedOn w:val="1"/>
    <w:qFormat/>
    <w:uiPriority w:val="0"/>
    <w:pPr>
      <w:ind w:firstLine="200" w:firstLineChars="200"/>
    </w:pPr>
    <w:rPr>
      <w:rFonts w:cs="Times New Roman"/>
      <w:sz w:val="24"/>
    </w:rPr>
  </w:style>
  <w:style w:type="paragraph" w:customStyle="1" w:styleId="39">
    <w:name w:val="正文空2格  1."/>
    <w:basedOn w:val="1"/>
    <w:qFormat/>
    <w:uiPriority w:val="0"/>
    <w:pPr>
      <w:adjustRightInd w:val="0"/>
      <w:ind w:firstLine="480" w:firstLineChars="200"/>
      <w:textAlignment w:val="baseline"/>
    </w:pPr>
    <w:rPr>
      <w:rFonts w:ascii="宋体" w:eastAsia="仿宋"/>
      <w:kern w:val="0"/>
      <w:sz w:val="28"/>
      <w:szCs w:val="20"/>
    </w:rPr>
  </w:style>
  <w:style w:type="character" w:customStyle="1" w:styleId="40">
    <w:name w:val="标题 字符"/>
    <w:link w:val="17"/>
    <w:qFormat/>
    <w:uiPriority w:val="0"/>
    <w:rPr>
      <w:rFonts w:ascii="Cambria" w:hAnsi="Cambria" w:eastAsia="宋体"/>
      <w:b/>
      <w:bCs/>
      <w:kern w:val="0"/>
      <w:szCs w:val="32"/>
    </w:rPr>
  </w:style>
  <w:style w:type="paragraph" w:customStyle="1" w:styleId="41">
    <w:name w:val="正文SCU显示"/>
    <w:qFormat/>
    <w:uiPriority w:val="0"/>
    <w:pPr>
      <w:widowControl w:val="0"/>
      <w:adjustRightInd w:val="0"/>
      <w:snapToGrid w:val="0"/>
      <w:spacing w:line="500" w:lineRule="exact"/>
      <w:ind w:firstLine="200" w:firstLineChars="200"/>
      <w:jc w:val="both"/>
    </w:pPr>
    <w:rPr>
      <w:rFonts w:ascii="Times New Roman" w:hAnsi="Times New Roman" w:eastAsia="宋体" w:cs="Times New Roman"/>
      <w:sz w:val="24"/>
      <w:szCs w:val="24"/>
      <w:lang w:val="en-US" w:eastAsia="zh-CN" w:bidi="ar-SA"/>
    </w:rPr>
  </w:style>
  <w:style w:type="character" w:customStyle="1" w:styleId="42">
    <w:name w:val="标题 2 Char1"/>
    <w:qFormat/>
    <w:uiPriority w:val="0"/>
    <w:rPr>
      <w:rFonts w:ascii="Arial" w:hAnsi="Arial" w:eastAsia="楷体" w:cs="Times New Roman"/>
      <w:b/>
      <w:bCs/>
      <w:sz w:val="32"/>
      <w:szCs w:val="32"/>
    </w:rPr>
  </w:style>
  <w:style w:type="paragraph" w:customStyle="1" w:styleId="43">
    <w:name w:val="正文文本缩进 21"/>
    <w:basedOn w:val="1"/>
    <w:next w:val="1"/>
    <w:qFormat/>
    <w:uiPriority w:val="0"/>
    <w:pPr>
      <w:spacing w:after="120" w:line="480" w:lineRule="auto"/>
      <w:ind w:left="420" w:leftChars="200"/>
    </w:pPr>
  </w:style>
  <w:style w:type="paragraph" w:customStyle="1" w:styleId="44">
    <w:name w:val="正文首行缩进两字符"/>
    <w:basedOn w:val="1"/>
    <w:qFormat/>
    <w:uiPriority w:val="0"/>
    <w:pPr>
      <w:ind w:firstLine="200" w:firstLineChars="200"/>
    </w:pPr>
    <w:rPr>
      <w:rFonts w:eastAsia="宋体" w:cs="Times New Roman"/>
    </w:rPr>
  </w:style>
  <w:style w:type="paragraph" w:customStyle="1" w:styleId="45">
    <w:name w:val="Table Paragraph"/>
    <w:basedOn w:val="1"/>
    <w:qFormat/>
    <w:uiPriority w:val="1"/>
    <w:rPr>
      <w:rFonts w:ascii="宋体" w:hAnsi="宋体" w:eastAsia="宋体"/>
      <w:lang w:val="zh-CN" w:bidi="zh-CN"/>
    </w:rPr>
  </w:style>
  <w:style w:type="paragraph" w:customStyle="1" w:styleId="46">
    <w:name w:val="p0"/>
    <w:basedOn w:val="1"/>
    <w:qFormat/>
    <w:uiPriority w:val="0"/>
    <w:pPr>
      <w:widowControl/>
    </w:pPr>
    <w:rPr>
      <w:rFonts w:asciiTheme="minorHAnsi" w:hAnsiTheme="minorHAnsi" w:eastAsiaTheme="minorEastAsia" w:cstheme="minorBidi"/>
      <w:kern w:val="0"/>
      <w:szCs w:val="20"/>
    </w:rPr>
  </w:style>
  <w:style w:type="paragraph" w:styleId="47">
    <w:name w:val="List Paragraph"/>
    <w:basedOn w:val="1"/>
    <w:qFormat/>
    <w:uiPriority w:val="0"/>
    <w:pPr>
      <w:ind w:firstLine="420" w:firstLineChars="200"/>
    </w:pPr>
    <w:rPr>
      <w:szCs w:val="22"/>
    </w:rPr>
  </w:style>
  <w:style w:type="character" w:customStyle="1" w:styleId="48">
    <w:name w:val="标题 2 字符"/>
    <w:link w:val="4"/>
    <w:qFormat/>
    <w:uiPriority w:val="0"/>
    <w:rPr>
      <w:rFonts w:ascii="Arial" w:hAnsi="Arial" w:eastAsia="楷体"/>
      <w:b/>
      <w:szCs w:val="32"/>
    </w:rPr>
  </w:style>
  <w:style w:type="paragraph" w:customStyle="1" w:styleId="49">
    <w:name w:val="CD正文"/>
    <w:basedOn w:val="1"/>
    <w:qFormat/>
    <w:uiPriority w:val="99"/>
    <w:pPr>
      <w:ind w:firstLine="493"/>
    </w:pPr>
    <w:rPr>
      <w:sz w:val="30"/>
      <w:szCs w:val="30"/>
    </w:rPr>
  </w:style>
  <w:style w:type="paragraph" w:customStyle="1" w:styleId="5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1">
    <w:name w:val="正文 A"/>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character" w:customStyle="1" w:styleId="52">
    <w:name w:val="img"/>
    <w:basedOn w:val="22"/>
    <w:qFormat/>
    <w:uiPriority w:val="0"/>
  </w:style>
  <w:style w:type="character" w:customStyle="1" w:styleId="53">
    <w:name w:val="img1"/>
    <w:basedOn w:val="22"/>
    <w:qFormat/>
    <w:uiPriority w:val="0"/>
  </w:style>
  <w:style w:type="character" w:customStyle="1" w:styleId="54">
    <w:name w:val="标准文本 Char"/>
    <w:qFormat/>
    <w:uiPriority w:val="0"/>
    <w:rPr>
      <w:rFonts w:eastAsia="宋体" w:cs="宋体"/>
      <w:kern w:val="2"/>
      <w:sz w:val="24"/>
      <w:szCs w:val="24"/>
      <w:lang w:val="en-US" w:eastAsia="zh-CN" w:bidi="ar-SA"/>
    </w:rPr>
  </w:style>
  <w:style w:type="character" w:customStyle="1" w:styleId="55">
    <w:name w:val="批注文字 字符"/>
    <w:basedOn w:val="22"/>
    <w:link w:val="9"/>
    <w:qFormat/>
    <w:uiPriority w:val="0"/>
    <w:rPr>
      <w:kern w:val="2"/>
      <w:sz w:val="21"/>
      <w:szCs w:val="24"/>
    </w:rPr>
  </w:style>
  <w:style w:type="paragraph" w:customStyle="1" w:styleId="56">
    <w:name w:val="正文（缩进）"/>
    <w:basedOn w:val="1"/>
    <w:qFormat/>
    <w:uiPriority w:val="0"/>
    <w:pPr>
      <w:widowControl/>
      <w:spacing w:before="156" w:after="156"/>
      <w:ind w:firstLine="480" w:firstLineChars="200"/>
      <w:jc w:val="left"/>
    </w:pPr>
    <w:rPr>
      <w:rFonts w:ascii="仿宋" w:hAnsi="仿宋"/>
      <w:sz w:val="28"/>
      <w:szCs w:val="28"/>
    </w:rPr>
  </w:style>
  <w:style w:type="paragraph" w:customStyle="1" w:styleId="57">
    <w:name w:val="正文格式"/>
    <w:basedOn w:val="1"/>
    <w:qFormat/>
    <w:uiPriority w:val="0"/>
    <w:pPr>
      <w:adjustRightInd w:val="0"/>
      <w:snapToGrid w:val="0"/>
      <w:spacing w:beforeLines="25" w:after="100" w:afterAutospacing="1" w:line="360" w:lineRule="auto"/>
      <w:ind w:firstLine="480" w:firstLineChars="200"/>
      <w:textAlignment w:val="baseline"/>
    </w:pPr>
    <w:rPr>
      <w:rFonts w:ascii="宋体" w:hAnsi="宋体"/>
      <w:color w:val="000000"/>
      <w:szCs w:val="21"/>
    </w:rPr>
  </w:style>
  <w:style w:type="paragraph" w:customStyle="1" w:styleId="58">
    <w:name w:val="12、表格内左对齐正文"/>
    <w:basedOn w:val="1"/>
    <w:qFormat/>
    <w:uiPriority w:val="0"/>
    <w:pPr>
      <w:wordWrap w:val="0"/>
      <w:topLinePunct/>
      <w:spacing w:before="100" w:beforeAutospacing="1" w:after="100" w:afterAutospacing="1" w:line="360" w:lineRule="exact"/>
      <w:ind w:left="48" w:leftChars="2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37569</Words>
  <Characters>39403</Characters>
  <Lines>292</Lines>
  <Paragraphs>82</Paragraphs>
  <TotalTime>45</TotalTime>
  <ScaleCrop>false</ScaleCrop>
  <LinksUpToDate>false</LinksUpToDate>
  <CharactersWithSpaces>40793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2020-03-11T07:58:00Z</dcterms:created>
  <dc:creator>win10</dc:creator>
  <cp:lastModifiedBy>tcxh</cp:lastModifiedBy>
  <cp:lastPrinted>2020-03-30T04:20:00Z</cp:lastPrinted>
  <dcterms:modified xsi:type="dcterms:W3CDTF">2022-01-26T08:31:20Z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D98DDD5D05D14EC8A1FAF755775FD3FB</vt:lpwstr>
  </property>
</Properties>
</file>