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right"/>
        <w:rPr>
          <w:rFonts w:hint="eastAsia" w:ascii="宋体" w:hAnsi="宋体" w:eastAsia="宋体" w:cs="仿宋"/>
          <w:b/>
          <w:bCs/>
          <w:color w:val="auto"/>
          <w:sz w:val="28"/>
          <w:szCs w:val="28"/>
          <w:highlight w:val="none"/>
        </w:rPr>
      </w:pPr>
      <w:r>
        <w:rPr>
          <w:rFonts w:hint="eastAsia" w:ascii="宋体" w:hAnsi="宋体" w:eastAsia="宋体" w:cs="仿宋"/>
          <w:b/>
          <w:bCs/>
          <w:color w:val="auto"/>
          <w:sz w:val="28"/>
          <w:szCs w:val="28"/>
          <w:highlight w:val="none"/>
        </w:rPr>
        <w:t>项目编号：510104202100095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center"/>
        <w:rPr>
          <w:rFonts w:hint="eastAsia" w:ascii="宋体" w:hAnsi="宋体" w:eastAsia="宋体" w:cs="仿宋"/>
          <w:b/>
          <w:bCs/>
          <w:color w:val="auto"/>
          <w:sz w:val="28"/>
          <w:szCs w:val="28"/>
          <w:highlight w:val="none"/>
        </w:rPr>
      </w:pPr>
    </w:p>
    <w:p>
      <w:pPr>
        <w:pStyle w:val="29"/>
        <w:ind w:left="0" w:leftChars="0" w:firstLine="0" w:firstLineChars="0"/>
        <w:jc w:val="center"/>
        <w:rPr>
          <w:rFonts w:hint="eastAsia" w:ascii="宋体" w:hAnsi="宋体"/>
          <w:b/>
          <w:color w:val="auto"/>
          <w:sz w:val="48"/>
          <w:szCs w:val="48"/>
          <w:highlight w:val="none"/>
          <w:lang w:eastAsia="zh-CN"/>
        </w:rPr>
      </w:pPr>
      <w:r>
        <w:rPr>
          <w:rFonts w:hint="eastAsia" w:ascii="宋体" w:hAnsi="宋体"/>
          <w:b/>
          <w:color w:val="auto"/>
          <w:sz w:val="48"/>
          <w:szCs w:val="48"/>
          <w:highlight w:val="none"/>
          <w:lang w:eastAsia="zh-CN"/>
        </w:rPr>
        <w:t>锦江区3座污水处理站运营管理服务</w:t>
      </w:r>
    </w:p>
    <w:p>
      <w:pPr>
        <w:pStyle w:val="29"/>
        <w:ind w:left="0" w:leftChars="0" w:firstLine="0" w:firstLineChars="0"/>
        <w:jc w:val="center"/>
        <w:rPr>
          <w:rFonts w:hint="eastAsia" w:ascii="宋体" w:hAnsi="宋体"/>
          <w:b/>
          <w:color w:val="auto"/>
          <w:sz w:val="48"/>
          <w:szCs w:val="48"/>
          <w:highlight w:val="none"/>
          <w:lang w:eastAsia="zh-CN"/>
        </w:rPr>
      </w:pPr>
      <w:r>
        <w:rPr>
          <w:rFonts w:hint="eastAsia" w:ascii="宋体" w:hAnsi="宋体"/>
          <w:b/>
          <w:color w:val="auto"/>
          <w:sz w:val="48"/>
          <w:szCs w:val="48"/>
          <w:highlight w:val="none"/>
          <w:lang w:eastAsia="zh-CN"/>
        </w:rPr>
        <w:t>采购项目</w:t>
      </w:r>
    </w:p>
    <w:p>
      <w:pPr>
        <w:pStyle w:val="29"/>
        <w:ind w:left="0" w:leftChars="0" w:firstLine="0" w:firstLineChars="0"/>
        <w:rPr>
          <w:rFonts w:hint="eastAsia" w:ascii="宋体" w:hAnsi="宋体"/>
          <w:b/>
          <w:color w:val="auto"/>
          <w:sz w:val="48"/>
          <w:szCs w:val="48"/>
          <w:highlight w:val="none"/>
          <w:lang w:eastAsia="zh-CN"/>
        </w:rPr>
      </w:pPr>
    </w:p>
    <w:p>
      <w:pPr>
        <w:tabs>
          <w:tab w:val="left" w:pos="2505"/>
          <w:tab w:val="center" w:pos="4204"/>
        </w:tabs>
        <w:jc w:val="center"/>
        <w:rPr>
          <w:rFonts w:ascii="宋体" w:hAnsi="宋体"/>
          <w:b/>
          <w:color w:val="auto"/>
          <w:sz w:val="56"/>
          <w:szCs w:val="56"/>
          <w:highlight w:val="none"/>
        </w:rPr>
      </w:pPr>
      <w:r>
        <w:rPr>
          <w:rFonts w:hint="eastAsia" w:ascii="宋体" w:hAnsi="宋体"/>
          <w:b/>
          <w:color w:val="auto"/>
          <w:sz w:val="56"/>
          <w:szCs w:val="56"/>
          <w:highlight w:val="none"/>
        </w:rPr>
        <w:t>竞</w:t>
      </w:r>
    </w:p>
    <w:p>
      <w:pPr>
        <w:tabs>
          <w:tab w:val="left" w:pos="2505"/>
          <w:tab w:val="center" w:pos="4204"/>
        </w:tabs>
        <w:jc w:val="center"/>
        <w:rPr>
          <w:rFonts w:ascii="宋体" w:hAnsi="宋体"/>
          <w:b/>
          <w:color w:val="auto"/>
          <w:sz w:val="56"/>
          <w:szCs w:val="56"/>
          <w:highlight w:val="none"/>
        </w:rPr>
      </w:pPr>
      <w:r>
        <w:rPr>
          <w:rFonts w:hint="eastAsia" w:ascii="宋体" w:hAnsi="宋体"/>
          <w:b/>
          <w:color w:val="auto"/>
          <w:sz w:val="56"/>
          <w:szCs w:val="56"/>
          <w:highlight w:val="none"/>
        </w:rPr>
        <w:t>争</w:t>
      </w:r>
    </w:p>
    <w:p>
      <w:pPr>
        <w:tabs>
          <w:tab w:val="left" w:pos="2505"/>
          <w:tab w:val="center" w:pos="4204"/>
        </w:tabs>
        <w:jc w:val="center"/>
        <w:rPr>
          <w:rFonts w:ascii="宋体" w:hAnsi="宋体"/>
          <w:b/>
          <w:color w:val="auto"/>
          <w:sz w:val="56"/>
          <w:szCs w:val="56"/>
          <w:highlight w:val="none"/>
        </w:rPr>
      </w:pPr>
      <w:r>
        <w:rPr>
          <w:rFonts w:hint="eastAsia" w:ascii="宋体" w:hAnsi="宋体"/>
          <w:b/>
          <w:color w:val="auto"/>
          <w:sz w:val="56"/>
          <w:szCs w:val="56"/>
          <w:highlight w:val="none"/>
        </w:rPr>
        <w:t>性</w:t>
      </w:r>
    </w:p>
    <w:p>
      <w:pPr>
        <w:tabs>
          <w:tab w:val="left" w:pos="2505"/>
          <w:tab w:val="center" w:pos="4204"/>
        </w:tabs>
        <w:jc w:val="center"/>
        <w:rPr>
          <w:rFonts w:ascii="宋体" w:hAnsi="宋体"/>
          <w:b/>
          <w:color w:val="auto"/>
          <w:sz w:val="56"/>
          <w:szCs w:val="56"/>
          <w:highlight w:val="none"/>
        </w:rPr>
      </w:pPr>
      <w:r>
        <w:rPr>
          <w:rFonts w:hint="eastAsia" w:ascii="宋体" w:hAnsi="宋体"/>
          <w:b/>
          <w:color w:val="auto"/>
          <w:sz w:val="56"/>
          <w:szCs w:val="56"/>
          <w:highlight w:val="none"/>
        </w:rPr>
        <w:t>磋</w:t>
      </w:r>
    </w:p>
    <w:p>
      <w:pPr>
        <w:tabs>
          <w:tab w:val="left" w:pos="2505"/>
          <w:tab w:val="center" w:pos="4204"/>
        </w:tabs>
        <w:jc w:val="center"/>
        <w:rPr>
          <w:rFonts w:ascii="宋体" w:hAnsi="宋体"/>
          <w:b/>
          <w:color w:val="auto"/>
          <w:sz w:val="56"/>
          <w:szCs w:val="56"/>
          <w:highlight w:val="none"/>
        </w:rPr>
      </w:pPr>
      <w:r>
        <w:rPr>
          <w:rFonts w:hint="eastAsia" w:ascii="宋体" w:hAnsi="宋体"/>
          <w:b/>
          <w:color w:val="auto"/>
          <w:sz w:val="56"/>
          <w:szCs w:val="56"/>
          <w:highlight w:val="none"/>
        </w:rPr>
        <w:t>商</w:t>
      </w:r>
    </w:p>
    <w:p>
      <w:pPr>
        <w:jc w:val="center"/>
        <w:rPr>
          <w:rFonts w:ascii="宋体" w:hAnsi="宋体"/>
          <w:b/>
          <w:color w:val="auto"/>
          <w:sz w:val="56"/>
          <w:szCs w:val="56"/>
          <w:highlight w:val="none"/>
        </w:rPr>
      </w:pPr>
      <w:r>
        <w:rPr>
          <w:rFonts w:hint="eastAsia" w:ascii="宋体" w:hAnsi="宋体"/>
          <w:b/>
          <w:color w:val="auto"/>
          <w:sz w:val="56"/>
          <w:szCs w:val="56"/>
          <w:highlight w:val="none"/>
        </w:rPr>
        <w:t>文</w:t>
      </w:r>
    </w:p>
    <w:p>
      <w:pPr>
        <w:jc w:val="center"/>
        <w:rPr>
          <w:rFonts w:ascii="宋体" w:hAnsi="宋体"/>
          <w:b/>
          <w:color w:val="auto"/>
          <w:sz w:val="56"/>
          <w:szCs w:val="56"/>
          <w:highlight w:val="none"/>
        </w:rPr>
      </w:pPr>
      <w:r>
        <w:rPr>
          <w:rFonts w:hint="eastAsia" w:ascii="宋体" w:hAnsi="宋体"/>
          <w:b/>
          <w:color w:val="auto"/>
          <w:sz w:val="56"/>
          <w:szCs w:val="56"/>
          <w:highlight w:val="none"/>
        </w:rPr>
        <w:t>件</w:t>
      </w:r>
    </w:p>
    <w:p>
      <w:pPr>
        <w:pStyle w:val="2"/>
        <w:rPr>
          <w:color w:val="auto"/>
          <w:highlight w:val="none"/>
        </w:rPr>
      </w:pPr>
    </w:p>
    <w:p>
      <w:pPr>
        <w:pStyle w:val="2"/>
        <w:rPr>
          <w:color w:val="auto"/>
          <w:highlight w:val="none"/>
        </w:rPr>
      </w:pPr>
    </w:p>
    <w:p>
      <w:pPr>
        <w:pStyle w:val="67"/>
        <w:spacing w:line="360" w:lineRule="auto"/>
        <w:jc w:val="center"/>
        <w:rPr>
          <w:b/>
          <w:bCs/>
          <w:color w:val="auto"/>
          <w:sz w:val="28"/>
          <w:szCs w:val="28"/>
          <w:highlight w:val="none"/>
        </w:rPr>
      </w:pPr>
      <w:r>
        <w:rPr>
          <w:rFonts w:hint="eastAsia"/>
          <w:b/>
          <w:bCs/>
          <w:color w:val="auto"/>
          <w:sz w:val="28"/>
          <w:szCs w:val="28"/>
          <w:highlight w:val="none"/>
        </w:rPr>
        <w:t>中国·四川</w:t>
      </w:r>
    </w:p>
    <w:p>
      <w:pPr>
        <w:spacing w:after="0" w:line="360" w:lineRule="auto"/>
        <w:jc w:val="center"/>
        <w:rPr>
          <w:rFonts w:ascii="宋体" w:hAnsi="宋体" w:cstheme="minorBidi"/>
          <w:b/>
          <w:bCs/>
          <w:color w:val="auto"/>
          <w:sz w:val="28"/>
          <w:szCs w:val="28"/>
          <w:highlight w:val="none"/>
        </w:rPr>
      </w:pPr>
      <w:r>
        <w:rPr>
          <w:rFonts w:hint="eastAsia" w:ascii="宋体" w:hAnsi="宋体" w:cstheme="minorBidi"/>
          <w:b/>
          <w:bCs/>
          <w:color w:val="auto"/>
          <w:sz w:val="28"/>
          <w:szCs w:val="28"/>
          <w:highlight w:val="none"/>
        </w:rPr>
        <w:t>四川天启建设项目管理有限公司</w:t>
      </w:r>
    </w:p>
    <w:p>
      <w:pPr>
        <w:spacing w:line="360" w:lineRule="auto"/>
        <w:jc w:val="center"/>
        <w:rPr>
          <w:rFonts w:hint="eastAsia" w:ascii="宋体" w:hAnsi="宋体" w:eastAsia="宋体" w:cstheme="minorBidi"/>
          <w:b/>
          <w:bCs/>
          <w:color w:val="auto"/>
          <w:sz w:val="28"/>
          <w:szCs w:val="28"/>
          <w:highlight w:val="none"/>
          <w:lang w:eastAsia="zh-CN"/>
        </w:rPr>
      </w:pPr>
      <w:r>
        <w:rPr>
          <w:rFonts w:hint="eastAsia" w:ascii="宋体" w:hAnsi="宋体" w:cstheme="minorBidi"/>
          <w:b/>
          <w:bCs/>
          <w:color w:val="auto"/>
          <w:sz w:val="28"/>
          <w:szCs w:val="28"/>
          <w:highlight w:val="none"/>
          <w:lang w:eastAsia="zh-CN"/>
        </w:rPr>
        <w:t>成都市锦江区综合行政执法局</w:t>
      </w:r>
    </w:p>
    <w:p>
      <w:pPr>
        <w:spacing w:after="0" w:line="360" w:lineRule="auto"/>
        <w:jc w:val="center"/>
        <w:rPr>
          <w:rFonts w:hint="eastAsia" w:ascii="宋体" w:hAnsi="宋体" w:cstheme="minorBidi"/>
          <w:b/>
          <w:bCs/>
          <w:color w:val="auto"/>
          <w:sz w:val="28"/>
          <w:szCs w:val="28"/>
          <w:highlight w:val="none"/>
        </w:rPr>
      </w:pPr>
      <w:r>
        <w:rPr>
          <w:rFonts w:hint="eastAsia" w:ascii="宋体" w:hAnsi="宋体" w:cstheme="minorBidi"/>
          <w:b/>
          <w:bCs/>
          <w:color w:val="auto"/>
          <w:sz w:val="28"/>
          <w:szCs w:val="28"/>
          <w:highlight w:val="none"/>
        </w:rPr>
        <w:t>共同编制</w:t>
      </w:r>
    </w:p>
    <w:p>
      <w:pPr>
        <w:spacing w:line="360" w:lineRule="auto"/>
        <w:jc w:val="center"/>
        <w:rPr>
          <w:rFonts w:ascii="宋体" w:hAnsi="宋体"/>
          <w:b/>
          <w:color w:val="auto"/>
          <w:sz w:val="24"/>
          <w:highlight w:val="none"/>
        </w:rPr>
        <w:sectPr>
          <w:headerReference r:id="rId5" w:type="first"/>
          <w:headerReference r:id="rId3" w:type="default"/>
          <w:footerReference r:id="rId6" w:type="default"/>
          <w:headerReference r:id="rId4" w:type="even"/>
          <w:footerReference r:id="rId7" w:type="even"/>
          <w:pgSz w:w="11907" w:h="16840"/>
          <w:pgMar w:top="1440" w:right="1080" w:bottom="1440" w:left="1080" w:header="851" w:footer="992" w:gutter="0"/>
          <w:pgNumType w:start="1"/>
          <w:cols w:space="720" w:num="1"/>
          <w:titlePg/>
          <w:docGrid w:linePitch="312" w:charSpace="0"/>
        </w:sectPr>
      </w:pPr>
      <w:r>
        <w:rPr>
          <w:rFonts w:ascii="宋体" w:hAnsi="宋体" w:cs="宋体"/>
          <w:b/>
          <w:color w:val="auto"/>
          <w:sz w:val="32"/>
          <w:szCs w:val="32"/>
          <w:highlight w:val="none"/>
          <w:lang w:val="zh-CN"/>
        </w:rPr>
        <w:t>2021</w:t>
      </w:r>
      <w:r>
        <w:rPr>
          <w:rFonts w:hint="eastAsia" w:ascii="宋体" w:hAnsi="宋体" w:cs="宋体"/>
          <w:b/>
          <w:color w:val="auto"/>
          <w:sz w:val="32"/>
          <w:szCs w:val="32"/>
          <w:highlight w:val="none"/>
          <w:lang w:val="zh-CN"/>
        </w:rPr>
        <w:t>年0</w:t>
      </w:r>
      <w:r>
        <w:rPr>
          <w:rFonts w:hint="eastAsia" w:ascii="宋体" w:hAnsi="宋体" w:cs="宋体"/>
          <w:b/>
          <w:color w:val="auto"/>
          <w:sz w:val="32"/>
          <w:szCs w:val="32"/>
          <w:highlight w:val="none"/>
          <w:lang w:val="en-US" w:eastAsia="zh-CN"/>
        </w:rPr>
        <w:t>9</w:t>
      </w:r>
      <w:r>
        <w:rPr>
          <w:rFonts w:hint="eastAsia" w:ascii="宋体" w:hAnsi="宋体" w:cs="宋体"/>
          <w:b/>
          <w:color w:val="auto"/>
          <w:sz w:val="32"/>
          <w:szCs w:val="32"/>
          <w:highlight w:val="none"/>
          <w:lang w:val="zh-CN"/>
        </w:rPr>
        <w:t>月</w:t>
      </w:r>
    </w:p>
    <w:p>
      <w:pPr>
        <w:spacing w:after="0" w:line="480" w:lineRule="auto"/>
        <w:jc w:val="center"/>
        <w:rPr>
          <w:rFonts w:ascii="宋体" w:hAnsi="宋体"/>
          <w:b/>
          <w:bCs/>
          <w:color w:val="auto"/>
          <w:sz w:val="40"/>
          <w:highlight w:val="none"/>
        </w:rPr>
      </w:pPr>
      <w:bookmarkStart w:id="0" w:name="_Hlt101233737"/>
      <w:bookmarkEnd w:id="0"/>
      <w:bookmarkStart w:id="1" w:name="_Hlt101843627"/>
      <w:bookmarkEnd w:id="1"/>
      <w:r>
        <w:rPr>
          <w:rFonts w:hint="eastAsia" w:ascii="宋体" w:hAnsi="宋体"/>
          <w:b/>
          <w:bCs/>
          <w:color w:val="auto"/>
          <w:sz w:val="40"/>
          <w:highlight w:val="none"/>
        </w:rPr>
        <w:t>目    录</w:t>
      </w:r>
    </w:p>
    <w:p>
      <w:pPr>
        <w:pStyle w:val="20"/>
        <w:tabs>
          <w:tab w:val="right" w:leader="middleDot" w:pos="8949"/>
        </w:tabs>
        <w:spacing w:after="0" w:line="480" w:lineRule="auto"/>
        <w:rPr>
          <w:rFonts w:asciiTheme="minorHAnsi" w:hAnsiTheme="minorHAnsi" w:eastAsiaTheme="minorEastAsia" w:cstheme="minorBidi"/>
          <w:b/>
          <w:bCs/>
          <w:color w:val="auto"/>
          <w:szCs w:val="22"/>
          <w:highlight w:val="none"/>
        </w:rPr>
      </w:pPr>
      <w:r>
        <w:rPr>
          <w:rFonts w:hint="eastAsia" w:ascii="宋体" w:hAnsi="宋体" w:cs="宋体"/>
          <w:b/>
          <w:bCs/>
          <w:color w:val="auto"/>
          <w:sz w:val="24"/>
          <w:highlight w:val="none"/>
        </w:rPr>
        <w:fldChar w:fldCharType="begin"/>
      </w:r>
      <w:r>
        <w:rPr>
          <w:rFonts w:hint="eastAsia" w:ascii="宋体" w:hAnsi="宋体" w:cs="宋体"/>
          <w:b/>
          <w:bCs/>
          <w:color w:val="auto"/>
          <w:sz w:val="24"/>
          <w:highlight w:val="none"/>
        </w:rPr>
        <w:instrText xml:space="preserve">TOC \o "1-1" \h \u </w:instrText>
      </w:r>
      <w:r>
        <w:rPr>
          <w:rFonts w:hint="eastAsia" w:ascii="宋体" w:hAnsi="宋体" w:cs="宋体"/>
          <w:b/>
          <w:bCs/>
          <w:color w:val="auto"/>
          <w:sz w:val="24"/>
          <w:highlight w:val="none"/>
        </w:rPr>
        <w:fldChar w:fldCharType="separate"/>
      </w:r>
      <w:r>
        <w:rPr>
          <w:color w:val="auto"/>
          <w:highlight w:val="none"/>
        </w:rPr>
        <w:fldChar w:fldCharType="begin"/>
      </w:r>
      <w:r>
        <w:rPr>
          <w:color w:val="auto"/>
          <w:highlight w:val="none"/>
        </w:rPr>
        <w:instrText xml:space="preserve"> HYPERLINK \l "_Toc73912822" </w:instrText>
      </w:r>
      <w:r>
        <w:rPr>
          <w:color w:val="auto"/>
          <w:highlight w:val="none"/>
        </w:rPr>
        <w:fldChar w:fldCharType="separate"/>
      </w:r>
      <w:r>
        <w:rPr>
          <w:rStyle w:val="41"/>
          <w:rFonts w:ascii="宋体" w:hAnsi="宋体"/>
          <w:b/>
          <w:bCs/>
          <w:color w:val="auto"/>
          <w:highlight w:val="none"/>
        </w:rPr>
        <w:t>第一章 磋商邀请</w:t>
      </w:r>
      <w:r>
        <w:rPr>
          <w:b/>
          <w:bCs/>
          <w:color w:val="auto"/>
          <w:highlight w:val="none"/>
        </w:rPr>
        <w:tab/>
      </w:r>
      <w:r>
        <w:rPr>
          <w:b/>
          <w:bCs/>
          <w:color w:val="auto"/>
          <w:highlight w:val="none"/>
        </w:rPr>
        <w:fldChar w:fldCharType="begin"/>
      </w:r>
      <w:r>
        <w:rPr>
          <w:b/>
          <w:bCs/>
          <w:color w:val="auto"/>
          <w:highlight w:val="none"/>
        </w:rPr>
        <w:instrText xml:space="preserve"> PAGEREF _Toc73912822 \h </w:instrText>
      </w:r>
      <w:r>
        <w:rPr>
          <w:b/>
          <w:bCs/>
          <w:color w:val="auto"/>
          <w:highlight w:val="none"/>
        </w:rPr>
        <w:fldChar w:fldCharType="separate"/>
      </w:r>
      <w:r>
        <w:rPr>
          <w:b/>
          <w:bCs/>
          <w:color w:val="auto"/>
          <w:highlight w:val="none"/>
        </w:rPr>
        <w:t>3</w:t>
      </w:r>
      <w:r>
        <w:rPr>
          <w:b/>
          <w:bCs/>
          <w:color w:val="auto"/>
          <w:highlight w:val="none"/>
        </w:rPr>
        <w:fldChar w:fldCharType="end"/>
      </w:r>
      <w:r>
        <w:rPr>
          <w:b/>
          <w:bCs/>
          <w:color w:val="auto"/>
          <w:highlight w:val="none"/>
        </w:rPr>
        <w:fldChar w:fldCharType="end"/>
      </w:r>
    </w:p>
    <w:p>
      <w:pPr>
        <w:pStyle w:val="20"/>
        <w:tabs>
          <w:tab w:val="right" w:leader="middleDot" w:pos="8949"/>
        </w:tabs>
        <w:spacing w:after="0" w:line="480" w:lineRule="auto"/>
        <w:rPr>
          <w:rFonts w:asciiTheme="minorHAnsi" w:hAnsiTheme="minorHAnsi" w:eastAsiaTheme="minorEastAsia" w:cstheme="minorBidi"/>
          <w:b/>
          <w:bCs/>
          <w:color w:val="auto"/>
          <w:szCs w:val="22"/>
          <w:highlight w:val="none"/>
        </w:rPr>
      </w:pPr>
      <w:r>
        <w:rPr>
          <w:color w:val="auto"/>
          <w:highlight w:val="none"/>
        </w:rPr>
        <w:fldChar w:fldCharType="begin"/>
      </w:r>
      <w:r>
        <w:rPr>
          <w:color w:val="auto"/>
          <w:highlight w:val="none"/>
        </w:rPr>
        <w:instrText xml:space="preserve"> HYPERLINK \l "_Toc73912823" </w:instrText>
      </w:r>
      <w:r>
        <w:rPr>
          <w:color w:val="auto"/>
          <w:highlight w:val="none"/>
        </w:rPr>
        <w:fldChar w:fldCharType="separate"/>
      </w:r>
      <w:r>
        <w:rPr>
          <w:rStyle w:val="41"/>
          <w:rFonts w:ascii="宋体" w:hAnsi="宋体"/>
          <w:b/>
          <w:bCs/>
          <w:color w:val="auto"/>
          <w:highlight w:val="none"/>
        </w:rPr>
        <w:t>第二章 磋商须知</w:t>
      </w:r>
      <w:r>
        <w:rPr>
          <w:b/>
          <w:bCs/>
          <w:color w:val="auto"/>
          <w:highlight w:val="none"/>
        </w:rPr>
        <w:tab/>
      </w:r>
      <w:r>
        <w:rPr>
          <w:b/>
          <w:bCs/>
          <w:color w:val="auto"/>
          <w:highlight w:val="none"/>
        </w:rPr>
        <w:fldChar w:fldCharType="begin"/>
      </w:r>
      <w:r>
        <w:rPr>
          <w:b/>
          <w:bCs/>
          <w:color w:val="auto"/>
          <w:highlight w:val="none"/>
        </w:rPr>
        <w:instrText xml:space="preserve"> PAGEREF _Toc73912823 \h </w:instrText>
      </w:r>
      <w:r>
        <w:rPr>
          <w:b/>
          <w:bCs/>
          <w:color w:val="auto"/>
          <w:highlight w:val="none"/>
        </w:rPr>
        <w:fldChar w:fldCharType="separate"/>
      </w:r>
      <w:r>
        <w:rPr>
          <w:b/>
          <w:bCs/>
          <w:color w:val="auto"/>
          <w:highlight w:val="none"/>
        </w:rPr>
        <w:t>7</w:t>
      </w:r>
      <w:r>
        <w:rPr>
          <w:b/>
          <w:bCs/>
          <w:color w:val="auto"/>
          <w:highlight w:val="none"/>
        </w:rPr>
        <w:fldChar w:fldCharType="end"/>
      </w:r>
      <w:r>
        <w:rPr>
          <w:b/>
          <w:bCs/>
          <w:color w:val="auto"/>
          <w:highlight w:val="none"/>
        </w:rPr>
        <w:fldChar w:fldCharType="end"/>
      </w:r>
    </w:p>
    <w:p>
      <w:pPr>
        <w:pStyle w:val="20"/>
        <w:tabs>
          <w:tab w:val="right" w:leader="middleDot" w:pos="8949"/>
        </w:tabs>
        <w:spacing w:after="0" w:line="480" w:lineRule="auto"/>
        <w:rPr>
          <w:rFonts w:asciiTheme="minorHAnsi" w:hAnsiTheme="minorHAnsi" w:eastAsiaTheme="minorEastAsia" w:cstheme="minorBidi"/>
          <w:b/>
          <w:bCs/>
          <w:color w:val="auto"/>
          <w:szCs w:val="22"/>
          <w:highlight w:val="none"/>
        </w:rPr>
      </w:pPr>
      <w:r>
        <w:rPr>
          <w:color w:val="auto"/>
          <w:highlight w:val="none"/>
        </w:rPr>
        <w:fldChar w:fldCharType="begin"/>
      </w:r>
      <w:r>
        <w:rPr>
          <w:color w:val="auto"/>
          <w:highlight w:val="none"/>
        </w:rPr>
        <w:instrText xml:space="preserve"> HYPERLINK \l "_Toc73912824" </w:instrText>
      </w:r>
      <w:r>
        <w:rPr>
          <w:color w:val="auto"/>
          <w:highlight w:val="none"/>
        </w:rPr>
        <w:fldChar w:fldCharType="separate"/>
      </w:r>
      <w:r>
        <w:rPr>
          <w:rStyle w:val="41"/>
          <w:rFonts w:ascii="宋体" w:hAnsi="宋体"/>
          <w:b/>
          <w:bCs/>
          <w:color w:val="auto"/>
          <w:highlight w:val="none"/>
        </w:rPr>
        <w:t>第三章 响应文件格式</w:t>
      </w:r>
      <w:r>
        <w:rPr>
          <w:b/>
          <w:bCs/>
          <w:color w:val="auto"/>
          <w:highlight w:val="none"/>
        </w:rPr>
        <w:tab/>
      </w:r>
      <w:r>
        <w:rPr>
          <w:b/>
          <w:bCs/>
          <w:color w:val="auto"/>
          <w:highlight w:val="none"/>
        </w:rPr>
        <w:fldChar w:fldCharType="begin"/>
      </w:r>
      <w:r>
        <w:rPr>
          <w:b/>
          <w:bCs/>
          <w:color w:val="auto"/>
          <w:highlight w:val="none"/>
        </w:rPr>
        <w:instrText xml:space="preserve"> PAGEREF _Toc73912824 \h </w:instrText>
      </w:r>
      <w:r>
        <w:rPr>
          <w:b/>
          <w:bCs/>
          <w:color w:val="auto"/>
          <w:highlight w:val="none"/>
        </w:rPr>
        <w:fldChar w:fldCharType="separate"/>
      </w:r>
      <w:r>
        <w:rPr>
          <w:b/>
          <w:bCs/>
          <w:color w:val="auto"/>
          <w:highlight w:val="none"/>
        </w:rPr>
        <w:t>29</w:t>
      </w:r>
      <w:r>
        <w:rPr>
          <w:b/>
          <w:bCs/>
          <w:color w:val="auto"/>
          <w:highlight w:val="none"/>
        </w:rPr>
        <w:fldChar w:fldCharType="end"/>
      </w:r>
      <w:r>
        <w:rPr>
          <w:b/>
          <w:bCs/>
          <w:color w:val="auto"/>
          <w:highlight w:val="none"/>
        </w:rPr>
        <w:fldChar w:fldCharType="end"/>
      </w:r>
    </w:p>
    <w:p>
      <w:pPr>
        <w:pStyle w:val="20"/>
        <w:tabs>
          <w:tab w:val="right" w:leader="middleDot" w:pos="8949"/>
        </w:tabs>
        <w:spacing w:after="0" w:line="480" w:lineRule="auto"/>
        <w:rPr>
          <w:rFonts w:asciiTheme="minorHAnsi" w:hAnsiTheme="minorHAnsi" w:eastAsiaTheme="minorEastAsia" w:cstheme="minorBidi"/>
          <w:b/>
          <w:bCs/>
          <w:color w:val="auto"/>
          <w:szCs w:val="22"/>
          <w:highlight w:val="none"/>
        </w:rPr>
      </w:pPr>
      <w:r>
        <w:rPr>
          <w:color w:val="auto"/>
          <w:highlight w:val="none"/>
        </w:rPr>
        <w:fldChar w:fldCharType="begin"/>
      </w:r>
      <w:r>
        <w:rPr>
          <w:color w:val="auto"/>
          <w:highlight w:val="none"/>
        </w:rPr>
        <w:instrText xml:space="preserve"> HYPERLINK \l "_Toc73912825" </w:instrText>
      </w:r>
      <w:r>
        <w:rPr>
          <w:color w:val="auto"/>
          <w:highlight w:val="none"/>
        </w:rPr>
        <w:fldChar w:fldCharType="separate"/>
      </w:r>
      <w:r>
        <w:rPr>
          <w:rStyle w:val="41"/>
          <w:rFonts w:ascii="宋体" w:hAnsi="宋体"/>
          <w:b/>
          <w:bCs/>
          <w:color w:val="auto"/>
          <w:highlight w:val="none"/>
        </w:rPr>
        <w:t>第四章 供应商和响应产品的资格、资质性及其他类似效力要求</w:t>
      </w:r>
      <w:r>
        <w:rPr>
          <w:b/>
          <w:bCs/>
          <w:color w:val="auto"/>
          <w:highlight w:val="none"/>
        </w:rPr>
        <w:tab/>
      </w:r>
      <w:r>
        <w:rPr>
          <w:b/>
          <w:bCs/>
          <w:color w:val="auto"/>
          <w:highlight w:val="none"/>
        </w:rPr>
        <w:fldChar w:fldCharType="begin"/>
      </w:r>
      <w:r>
        <w:rPr>
          <w:b/>
          <w:bCs/>
          <w:color w:val="auto"/>
          <w:highlight w:val="none"/>
        </w:rPr>
        <w:instrText xml:space="preserve"> PAGEREF _Toc73912825 \h </w:instrText>
      </w:r>
      <w:r>
        <w:rPr>
          <w:b/>
          <w:bCs/>
          <w:color w:val="auto"/>
          <w:highlight w:val="none"/>
        </w:rPr>
        <w:fldChar w:fldCharType="separate"/>
      </w:r>
      <w:r>
        <w:rPr>
          <w:b/>
          <w:bCs/>
          <w:color w:val="auto"/>
          <w:highlight w:val="none"/>
        </w:rPr>
        <w:t>48</w:t>
      </w:r>
      <w:r>
        <w:rPr>
          <w:b/>
          <w:bCs/>
          <w:color w:val="auto"/>
          <w:highlight w:val="none"/>
        </w:rPr>
        <w:fldChar w:fldCharType="end"/>
      </w:r>
      <w:r>
        <w:rPr>
          <w:b/>
          <w:bCs/>
          <w:color w:val="auto"/>
          <w:highlight w:val="none"/>
        </w:rPr>
        <w:fldChar w:fldCharType="end"/>
      </w:r>
    </w:p>
    <w:p>
      <w:pPr>
        <w:pStyle w:val="20"/>
        <w:tabs>
          <w:tab w:val="right" w:leader="middleDot" w:pos="8949"/>
        </w:tabs>
        <w:spacing w:after="0" w:line="480" w:lineRule="auto"/>
        <w:rPr>
          <w:rFonts w:asciiTheme="minorHAnsi" w:hAnsiTheme="minorHAnsi" w:eastAsiaTheme="minorEastAsia" w:cstheme="minorBidi"/>
          <w:b/>
          <w:bCs/>
          <w:color w:val="auto"/>
          <w:szCs w:val="22"/>
          <w:highlight w:val="none"/>
        </w:rPr>
      </w:pPr>
      <w:r>
        <w:rPr>
          <w:color w:val="auto"/>
          <w:highlight w:val="none"/>
        </w:rPr>
        <w:fldChar w:fldCharType="begin"/>
      </w:r>
      <w:r>
        <w:rPr>
          <w:color w:val="auto"/>
          <w:highlight w:val="none"/>
        </w:rPr>
        <w:instrText xml:space="preserve"> HYPERLINK \l "_Toc73912826" </w:instrText>
      </w:r>
      <w:r>
        <w:rPr>
          <w:color w:val="auto"/>
          <w:highlight w:val="none"/>
        </w:rPr>
        <w:fldChar w:fldCharType="separate"/>
      </w:r>
      <w:r>
        <w:rPr>
          <w:rStyle w:val="41"/>
          <w:rFonts w:ascii="宋体" w:hAnsi="宋体"/>
          <w:b/>
          <w:bCs/>
          <w:color w:val="auto"/>
          <w:highlight w:val="none"/>
        </w:rPr>
        <w:t>第五章 供应商应当提供的资格、资质性及其他类似效力要求的相关证明材料</w:t>
      </w:r>
      <w:r>
        <w:rPr>
          <w:b/>
          <w:bCs/>
          <w:color w:val="auto"/>
          <w:highlight w:val="none"/>
        </w:rPr>
        <w:tab/>
      </w:r>
      <w:r>
        <w:rPr>
          <w:b/>
          <w:bCs/>
          <w:color w:val="auto"/>
          <w:highlight w:val="none"/>
        </w:rPr>
        <w:fldChar w:fldCharType="begin"/>
      </w:r>
      <w:r>
        <w:rPr>
          <w:b/>
          <w:bCs/>
          <w:color w:val="auto"/>
          <w:highlight w:val="none"/>
        </w:rPr>
        <w:instrText xml:space="preserve"> PAGEREF _Toc73912826 \h </w:instrText>
      </w:r>
      <w:r>
        <w:rPr>
          <w:b/>
          <w:bCs/>
          <w:color w:val="auto"/>
          <w:highlight w:val="none"/>
        </w:rPr>
        <w:fldChar w:fldCharType="separate"/>
      </w:r>
      <w:r>
        <w:rPr>
          <w:b/>
          <w:bCs/>
          <w:color w:val="auto"/>
          <w:highlight w:val="none"/>
        </w:rPr>
        <w:t>50</w:t>
      </w:r>
      <w:r>
        <w:rPr>
          <w:b/>
          <w:bCs/>
          <w:color w:val="auto"/>
          <w:highlight w:val="none"/>
        </w:rPr>
        <w:fldChar w:fldCharType="end"/>
      </w:r>
      <w:r>
        <w:rPr>
          <w:b/>
          <w:bCs/>
          <w:color w:val="auto"/>
          <w:highlight w:val="none"/>
        </w:rPr>
        <w:fldChar w:fldCharType="end"/>
      </w:r>
    </w:p>
    <w:p>
      <w:pPr>
        <w:pStyle w:val="20"/>
        <w:tabs>
          <w:tab w:val="right" w:leader="middleDot" w:pos="8949"/>
        </w:tabs>
        <w:spacing w:after="0" w:line="480" w:lineRule="auto"/>
        <w:rPr>
          <w:rFonts w:asciiTheme="minorHAnsi" w:hAnsiTheme="minorHAnsi" w:eastAsiaTheme="minorEastAsia" w:cstheme="minorBidi"/>
          <w:b/>
          <w:bCs/>
          <w:color w:val="auto"/>
          <w:szCs w:val="22"/>
          <w:highlight w:val="none"/>
        </w:rPr>
      </w:pPr>
      <w:r>
        <w:rPr>
          <w:color w:val="auto"/>
          <w:highlight w:val="none"/>
        </w:rPr>
        <w:fldChar w:fldCharType="begin"/>
      </w:r>
      <w:r>
        <w:rPr>
          <w:color w:val="auto"/>
          <w:highlight w:val="none"/>
        </w:rPr>
        <w:instrText xml:space="preserve"> HYPERLINK \l "_Toc73912827" </w:instrText>
      </w:r>
      <w:r>
        <w:rPr>
          <w:color w:val="auto"/>
          <w:highlight w:val="none"/>
        </w:rPr>
        <w:fldChar w:fldCharType="separate"/>
      </w:r>
      <w:r>
        <w:rPr>
          <w:rStyle w:val="41"/>
          <w:rFonts w:ascii="宋体" w:hAnsi="宋体"/>
          <w:b/>
          <w:bCs/>
          <w:color w:val="auto"/>
          <w:highlight w:val="none"/>
        </w:rPr>
        <w:t>第六章 采购项目技术、服务、政府采购合同内容条款及其他商务要求</w:t>
      </w:r>
      <w:r>
        <w:rPr>
          <w:b/>
          <w:bCs/>
          <w:color w:val="auto"/>
          <w:highlight w:val="none"/>
        </w:rPr>
        <w:tab/>
      </w:r>
      <w:r>
        <w:rPr>
          <w:b/>
          <w:bCs/>
          <w:color w:val="auto"/>
          <w:highlight w:val="none"/>
        </w:rPr>
        <w:fldChar w:fldCharType="begin"/>
      </w:r>
      <w:r>
        <w:rPr>
          <w:b/>
          <w:bCs/>
          <w:color w:val="auto"/>
          <w:highlight w:val="none"/>
        </w:rPr>
        <w:instrText xml:space="preserve"> PAGEREF _Toc73912827 \h </w:instrText>
      </w:r>
      <w:r>
        <w:rPr>
          <w:b/>
          <w:bCs/>
          <w:color w:val="auto"/>
          <w:highlight w:val="none"/>
        </w:rPr>
        <w:fldChar w:fldCharType="separate"/>
      </w:r>
      <w:r>
        <w:rPr>
          <w:b/>
          <w:bCs/>
          <w:color w:val="auto"/>
          <w:highlight w:val="none"/>
        </w:rPr>
        <w:t>52</w:t>
      </w:r>
      <w:r>
        <w:rPr>
          <w:b/>
          <w:bCs/>
          <w:color w:val="auto"/>
          <w:highlight w:val="none"/>
        </w:rPr>
        <w:fldChar w:fldCharType="end"/>
      </w:r>
      <w:r>
        <w:rPr>
          <w:b/>
          <w:bCs/>
          <w:color w:val="auto"/>
          <w:highlight w:val="none"/>
        </w:rPr>
        <w:fldChar w:fldCharType="end"/>
      </w:r>
    </w:p>
    <w:p>
      <w:pPr>
        <w:pStyle w:val="20"/>
        <w:tabs>
          <w:tab w:val="right" w:leader="middleDot" w:pos="8949"/>
        </w:tabs>
        <w:spacing w:after="0" w:line="480" w:lineRule="auto"/>
        <w:rPr>
          <w:rFonts w:asciiTheme="minorHAnsi" w:hAnsiTheme="minorHAnsi" w:eastAsiaTheme="minorEastAsia" w:cstheme="minorBidi"/>
          <w:b/>
          <w:bCs/>
          <w:color w:val="auto"/>
          <w:szCs w:val="22"/>
          <w:highlight w:val="none"/>
        </w:rPr>
      </w:pPr>
      <w:r>
        <w:rPr>
          <w:color w:val="auto"/>
          <w:highlight w:val="none"/>
        </w:rPr>
        <w:fldChar w:fldCharType="begin"/>
      </w:r>
      <w:r>
        <w:rPr>
          <w:color w:val="auto"/>
          <w:highlight w:val="none"/>
        </w:rPr>
        <w:instrText xml:space="preserve"> HYPERLINK \l "_Toc73912828" </w:instrText>
      </w:r>
      <w:r>
        <w:rPr>
          <w:color w:val="auto"/>
          <w:highlight w:val="none"/>
        </w:rPr>
        <w:fldChar w:fldCharType="separate"/>
      </w:r>
      <w:r>
        <w:rPr>
          <w:rStyle w:val="41"/>
          <w:rFonts w:ascii="宋体" w:hAnsi="宋体"/>
          <w:b/>
          <w:bCs/>
          <w:color w:val="auto"/>
          <w:highlight w:val="none"/>
        </w:rPr>
        <w:t>第七章 磋商内容、磋商过程中可实质性变动的内容</w:t>
      </w:r>
      <w:r>
        <w:rPr>
          <w:b/>
          <w:bCs/>
          <w:color w:val="auto"/>
          <w:highlight w:val="none"/>
        </w:rPr>
        <w:tab/>
      </w:r>
      <w:r>
        <w:rPr>
          <w:b/>
          <w:bCs/>
          <w:color w:val="auto"/>
          <w:highlight w:val="none"/>
        </w:rPr>
        <w:fldChar w:fldCharType="begin"/>
      </w:r>
      <w:r>
        <w:rPr>
          <w:b/>
          <w:bCs/>
          <w:color w:val="auto"/>
          <w:highlight w:val="none"/>
        </w:rPr>
        <w:instrText xml:space="preserve"> PAGEREF _Toc73912828 \h </w:instrText>
      </w:r>
      <w:r>
        <w:rPr>
          <w:b/>
          <w:bCs/>
          <w:color w:val="auto"/>
          <w:highlight w:val="none"/>
        </w:rPr>
        <w:fldChar w:fldCharType="separate"/>
      </w:r>
      <w:r>
        <w:rPr>
          <w:b/>
          <w:bCs/>
          <w:color w:val="auto"/>
          <w:highlight w:val="none"/>
        </w:rPr>
        <w:t>61</w:t>
      </w:r>
      <w:r>
        <w:rPr>
          <w:b/>
          <w:bCs/>
          <w:color w:val="auto"/>
          <w:highlight w:val="none"/>
        </w:rPr>
        <w:fldChar w:fldCharType="end"/>
      </w:r>
      <w:r>
        <w:rPr>
          <w:b/>
          <w:bCs/>
          <w:color w:val="auto"/>
          <w:highlight w:val="none"/>
        </w:rPr>
        <w:fldChar w:fldCharType="end"/>
      </w:r>
    </w:p>
    <w:p>
      <w:pPr>
        <w:pStyle w:val="20"/>
        <w:tabs>
          <w:tab w:val="right" w:leader="middleDot" w:pos="8949"/>
        </w:tabs>
        <w:spacing w:after="0" w:line="480" w:lineRule="auto"/>
        <w:rPr>
          <w:rFonts w:asciiTheme="minorHAnsi" w:hAnsiTheme="minorHAnsi" w:eastAsiaTheme="minorEastAsia" w:cstheme="minorBidi"/>
          <w:b/>
          <w:bCs/>
          <w:color w:val="auto"/>
          <w:szCs w:val="22"/>
          <w:highlight w:val="none"/>
        </w:rPr>
      </w:pPr>
      <w:r>
        <w:rPr>
          <w:color w:val="auto"/>
          <w:highlight w:val="none"/>
        </w:rPr>
        <w:fldChar w:fldCharType="begin"/>
      </w:r>
      <w:r>
        <w:rPr>
          <w:color w:val="auto"/>
          <w:highlight w:val="none"/>
        </w:rPr>
        <w:instrText xml:space="preserve"> HYPERLINK \l "_Toc73912829" </w:instrText>
      </w:r>
      <w:r>
        <w:rPr>
          <w:color w:val="auto"/>
          <w:highlight w:val="none"/>
        </w:rPr>
        <w:fldChar w:fldCharType="separate"/>
      </w:r>
      <w:r>
        <w:rPr>
          <w:rStyle w:val="41"/>
          <w:rFonts w:ascii="宋体" w:hAnsi="宋体"/>
          <w:b/>
          <w:bCs/>
          <w:color w:val="auto"/>
          <w:highlight w:val="none"/>
        </w:rPr>
        <w:t>第八章 评审办法</w:t>
      </w:r>
      <w:r>
        <w:rPr>
          <w:b/>
          <w:bCs/>
          <w:color w:val="auto"/>
          <w:highlight w:val="none"/>
        </w:rPr>
        <w:tab/>
      </w:r>
      <w:r>
        <w:rPr>
          <w:b/>
          <w:bCs/>
          <w:color w:val="auto"/>
          <w:highlight w:val="none"/>
        </w:rPr>
        <w:fldChar w:fldCharType="begin"/>
      </w:r>
      <w:r>
        <w:rPr>
          <w:b/>
          <w:bCs/>
          <w:color w:val="auto"/>
          <w:highlight w:val="none"/>
        </w:rPr>
        <w:instrText xml:space="preserve"> PAGEREF _Toc73912829 \h </w:instrText>
      </w:r>
      <w:r>
        <w:rPr>
          <w:b/>
          <w:bCs/>
          <w:color w:val="auto"/>
          <w:highlight w:val="none"/>
        </w:rPr>
        <w:fldChar w:fldCharType="separate"/>
      </w:r>
      <w:r>
        <w:rPr>
          <w:b/>
          <w:bCs/>
          <w:color w:val="auto"/>
          <w:highlight w:val="none"/>
        </w:rPr>
        <w:t>62</w:t>
      </w:r>
      <w:r>
        <w:rPr>
          <w:b/>
          <w:bCs/>
          <w:color w:val="auto"/>
          <w:highlight w:val="none"/>
        </w:rPr>
        <w:fldChar w:fldCharType="end"/>
      </w:r>
      <w:r>
        <w:rPr>
          <w:b/>
          <w:bCs/>
          <w:color w:val="auto"/>
          <w:highlight w:val="none"/>
        </w:rPr>
        <w:fldChar w:fldCharType="end"/>
      </w:r>
    </w:p>
    <w:p>
      <w:pPr>
        <w:pStyle w:val="20"/>
        <w:tabs>
          <w:tab w:val="right" w:leader="middleDot" w:pos="8949"/>
        </w:tabs>
        <w:spacing w:after="0" w:line="480" w:lineRule="auto"/>
        <w:rPr>
          <w:rFonts w:asciiTheme="minorHAnsi" w:hAnsiTheme="minorHAnsi" w:eastAsiaTheme="minorEastAsia" w:cstheme="minorBidi"/>
          <w:b/>
          <w:bCs/>
          <w:color w:val="auto"/>
          <w:szCs w:val="22"/>
          <w:highlight w:val="none"/>
        </w:rPr>
      </w:pPr>
      <w:r>
        <w:rPr>
          <w:color w:val="auto"/>
          <w:highlight w:val="none"/>
        </w:rPr>
        <w:fldChar w:fldCharType="begin"/>
      </w:r>
      <w:r>
        <w:rPr>
          <w:color w:val="auto"/>
          <w:highlight w:val="none"/>
        </w:rPr>
        <w:instrText xml:space="preserve"> HYPERLINK \l "_Toc73912830" </w:instrText>
      </w:r>
      <w:r>
        <w:rPr>
          <w:color w:val="auto"/>
          <w:highlight w:val="none"/>
        </w:rPr>
        <w:fldChar w:fldCharType="separate"/>
      </w:r>
      <w:r>
        <w:rPr>
          <w:rStyle w:val="41"/>
          <w:rFonts w:ascii="宋体" w:hAnsi="宋体"/>
          <w:b/>
          <w:bCs/>
          <w:color w:val="auto"/>
          <w:highlight w:val="none"/>
        </w:rPr>
        <w:t>第九章 政府采购合同</w:t>
      </w:r>
      <w:r>
        <w:rPr>
          <w:b/>
          <w:bCs/>
          <w:color w:val="auto"/>
          <w:highlight w:val="none"/>
        </w:rPr>
        <w:tab/>
      </w:r>
      <w:r>
        <w:rPr>
          <w:b/>
          <w:bCs/>
          <w:color w:val="auto"/>
          <w:highlight w:val="none"/>
        </w:rPr>
        <w:fldChar w:fldCharType="begin"/>
      </w:r>
      <w:r>
        <w:rPr>
          <w:b/>
          <w:bCs/>
          <w:color w:val="auto"/>
          <w:highlight w:val="none"/>
        </w:rPr>
        <w:instrText xml:space="preserve"> PAGEREF _Toc73912830 \h </w:instrText>
      </w:r>
      <w:r>
        <w:rPr>
          <w:b/>
          <w:bCs/>
          <w:color w:val="auto"/>
          <w:highlight w:val="none"/>
        </w:rPr>
        <w:fldChar w:fldCharType="separate"/>
      </w:r>
      <w:r>
        <w:rPr>
          <w:b/>
          <w:bCs/>
          <w:color w:val="auto"/>
          <w:highlight w:val="none"/>
        </w:rPr>
        <w:t>73</w:t>
      </w:r>
      <w:r>
        <w:rPr>
          <w:b/>
          <w:bCs/>
          <w:color w:val="auto"/>
          <w:highlight w:val="none"/>
        </w:rPr>
        <w:fldChar w:fldCharType="end"/>
      </w:r>
      <w:r>
        <w:rPr>
          <w:b/>
          <w:bCs/>
          <w:color w:val="auto"/>
          <w:highlight w:val="none"/>
        </w:rPr>
        <w:fldChar w:fldCharType="end"/>
      </w:r>
    </w:p>
    <w:p>
      <w:pPr>
        <w:pStyle w:val="20"/>
        <w:tabs>
          <w:tab w:val="right" w:leader="middleDot" w:pos="8949"/>
        </w:tabs>
        <w:spacing w:after="0" w:line="480" w:lineRule="auto"/>
        <w:rPr>
          <w:rFonts w:asciiTheme="minorHAnsi" w:hAnsiTheme="minorHAnsi" w:eastAsiaTheme="minorEastAsia" w:cstheme="minorBidi"/>
          <w:b/>
          <w:bCs/>
          <w:color w:val="auto"/>
          <w:szCs w:val="22"/>
          <w:highlight w:val="none"/>
        </w:rPr>
      </w:pPr>
      <w:r>
        <w:rPr>
          <w:color w:val="auto"/>
          <w:highlight w:val="none"/>
        </w:rPr>
        <w:fldChar w:fldCharType="begin"/>
      </w:r>
      <w:r>
        <w:rPr>
          <w:color w:val="auto"/>
          <w:highlight w:val="none"/>
        </w:rPr>
        <w:instrText xml:space="preserve"> HYPERLINK \l "_Toc73912832" </w:instrText>
      </w:r>
      <w:r>
        <w:rPr>
          <w:color w:val="auto"/>
          <w:highlight w:val="none"/>
        </w:rPr>
        <w:fldChar w:fldCharType="separate"/>
      </w:r>
      <w:r>
        <w:rPr>
          <w:rStyle w:val="41"/>
          <w:rFonts w:ascii="宋体" w:hAnsi="宋体"/>
          <w:b/>
          <w:bCs/>
          <w:color w:val="auto"/>
          <w:highlight w:val="none"/>
        </w:rPr>
        <w:t>附件一：</w:t>
      </w:r>
      <w:r>
        <w:rPr>
          <w:rStyle w:val="41"/>
          <w:rFonts w:hint="eastAsia" w:ascii="宋体" w:hAnsi="宋体"/>
          <w:b/>
          <w:bCs/>
          <w:color w:val="auto"/>
          <w:highlight w:val="none"/>
        </w:rPr>
        <w:t>报名登记表</w:t>
      </w:r>
      <w:r>
        <w:rPr>
          <w:b/>
          <w:bCs/>
          <w:color w:val="auto"/>
          <w:highlight w:val="none"/>
        </w:rPr>
        <w:tab/>
      </w:r>
      <w:r>
        <w:rPr>
          <w:b/>
          <w:bCs/>
          <w:color w:val="auto"/>
          <w:highlight w:val="none"/>
        </w:rPr>
        <w:fldChar w:fldCharType="begin"/>
      </w:r>
      <w:r>
        <w:rPr>
          <w:b/>
          <w:bCs/>
          <w:color w:val="auto"/>
          <w:highlight w:val="none"/>
        </w:rPr>
        <w:instrText xml:space="preserve"> PAGEREF _Toc73912832 \h </w:instrText>
      </w:r>
      <w:r>
        <w:rPr>
          <w:b/>
          <w:bCs/>
          <w:color w:val="auto"/>
          <w:highlight w:val="none"/>
        </w:rPr>
        <w:fldChar w:fldCharType="separate"/>
      </w:r>
      <w:r>
        <w:rPr>
          <w:b/>
          <w:bCs/>
          <w:color w:val="auto"/>
          <w:highlight w:val="none"/>
        </w:rPr>
        <w:t>76</w:t>
      </w:r>
      <w:r>
        <w:rPr>
          <w:b/>
          <w:bCs/>
          <w:color w:val="auto"/>
          <w:highlight w:val="none"/>
        </w:rPr>
        <w:fldChar w:fldCharType="end"/>
      </w:r>
      <w:r>
        <w:rPr>
          <w:b/>
          <w:bCs/>
          <w:color w:val="auto"/>
          <w:highlight w:val="none"/>
        </w:rPr>
        <w:fldChar w:fldCharType="end"/>
      </w:r>
    </w:p>
    <w:p>
      <w:pPr>
        <w:pStyle w:val="20"/>
        <w:tabs>
          <w:tab w:val="right" w:leader="middleDot" w:pos="8949"/>
        </w:tabs>
        <w:spacing w:after="0" w:line="480" w:lineRule="auto"/>
        <w:rPr>
          <w:rFonts w:asciiTheme="minorHAnsi" w:hAnsiTheme="minorHAnsi" w:eastAsiaTheme="minorEastAsia" w:cstheme="minorBidi"/>
          <w:b/>
          <w:bCs/>
          <w:color w:val="auto"/>
          <w:szCs w:val="22"/>
          <w:highlight w:val="none"/>
        </w:rPr>
      </w:pPr>
      <w:r>
        <w:rPr>
          <w:color w:val="auto"/>
          <w:highlight w:val="none"/>
        </w:rPr>
        <w:fldChar w:fldCharType="begin"/>
      </w:r>
      <w:r>
        <w:rPr>
          <w:color w:val="auto"/>
          <w:highlight w:val="none"/>
        </w:rPr>
        <w:instrText xml:space="preserve"> HYPERLINK \l "_Toc73912833" </w:instrText>
      </w:r>
      <w:r>
        <w:rPr>
          <w:color w:val="auto"/>
          <w:highlight w:val="none"/>
        </w:rPr>
        <w:fldChar w:fldCharType="separate"/>
      </w:r>
      <w:r>
        <w:rPr>
          <w:rStyle w:val="41"/>
          <w:rFonts w:ascii="宋体" w:hAnsi="宋体"/>
          <w:b/>
          <w:bCs/>
          <w:color w:val="auto"/>
          <w:highlight w:val="none"/>
        </w:rPr>
        <w:t>附件二：</w:t>
      </w:r>
      <w:r>
        <w:rPr>
          <w:rStyle w:val="41"/>
          <w:rFonts w:hint="eastAsia" w:ascii="宋体" w:hAnsi="宋体"/>
          <w:b/>
          <w:bCs/>
          <w:color w:val="auto"/>
          <w:highlight w:val="none"/>
        </w:rPr>
        <w:t>最后报价表</w:t>
      </w:r>
      <w:r>
        <w:rPr>
          <w:b/>
          <w:bCs/>
          <w:color w:val="auto"/>
          <w:highlight w:val="none"/>
        </w:rPr>
        <w:tab/>
      </w:r>
      <w:r>
        <w:rPr>
          <w:b/>
          <w:bCs/>
          <w:color w:val="auto"/>
          <w:highlight w:val="none"/>
        </w:rPr>
        <w:fldChar w:fldCharType="begin"/>
      </w:r>
      <w:r>
        <w:rPr>
          <w:b/>
          <w:bCs/>
          <w:color w:val="auto"/>
          <w:highlight w:val="none"/>
        </w:rPr>
        <w:instrText xml:space="preserve"> PAGEREF _Toc73912833 \h </w:instrText>
      </w:r>
      <w:r>
        <w:rPr>
          <w:b/>
          <w:bCs/>
          <w:color w:val="auto"/>
          <w:highlight w:val="none"/>
        </w:rPr>
        <w:fldChar w:fldCharType="separate"/>
      </w:r>
      <w:r>
        <w:rPr>
          <w:b/>
          <w:bCs/>
          <w:color w:val="auto"/>
          <w:highlight w:val="none"/>
        </w:rPr>
        <w:t>77</w:t>
      </w:r>
      <w:r>
        <w:rPr>
          <w:b/>
          <w:bCs/>
          <w:color w:val="auto"/>
          <w:highlight w:val="none"/>
        </w:rPr>
        <w:fldChar w:fldCharType="end"/>
      </w:r>
      <w:r>
        <w:rPr>
          <w:b/>
          <w:bCs/>
          <w:color w:val="auto"/>
          <w:highlight w:val="none"/>
        </w:rPr>
        <w:fldChar w:fldCharType="end"/>
      </w:r>
    </w:p>
    <w:p>
      <w:pPr>
        <w:spacing w:after="0" w:line="480" w:lineRule="auto"/>
        <w:rPr>
          <w:rFonts w:ascii="宋体" w:hAnsi="宋体"/>
          <w:color w:val="auto"/>
          <w:sz w:val="28"/>
          <w:szCs w:val="28"/>
          <w:highlight w:val="none"/>
        </w:rPr>
        <w:sectPr>
          <w:pgSz w:w="11907" w:h="16840"/>
          <w:pgMar w:top="1440" w:right="1474" w:bottom="1440" w:left="1474" w:header="851" w:footer="992" w:gutter="0"/>
          <w:cols w:space="720" w:num="1"/>
          <w:docGrid w:linePitch="312" w:charSpace="0"/>
        </w:sectPr>
      </w:pPr>
      <w:r>
        <w:rPr>
          <w:rFonts w:hint="eastAsia" w:ascii="宋体" w:hAnsi="宋体" w:cs="宋体"/>
          <w:b/>
          <w:bCs/>
          <w:color w:val="auto"/>
          <w:sz w:val="24"/>
          <w:highlight w:val="none"/>
        </w:rPr>
        <w:fldChar w:fldCharType="end"/>
      </w:r>
      <w:bookmarkStart w:id="2" w:name="_Toc24584"/>
    </w:p>
    <w:p>
      <w:pPr>
        <w:pStyle w:val="3"/>
        <w:spacing w:before="0" w:after="0" w:line="360" w:lineRule="auto"/>
        <w:jc w:val="center"/>
        <w:rPr>
          <w:rFonts w:ascii="宋体" w:hAnsi="宋体"/>
          <w:color w:val="auto"/>
          <w:sz w:val="36"/>
          <w:szCs w:val="36"/>
          <w:highlight w:val="none"/>
        </w:rPr>
      </w:pPr>
      <w:bookmarkStart w:id="3" w:name="_Toc73912822"/>
      <w:r>
        <w:rPr>
          <w:rFonts w:hint="eastAsia" w:ascii="宋体" w:hAnsi="宋体"/>
          <w:color w:val="auto"/>
          <w:sz w:val="36"/>
          <w:szCs w:val="36"/>
          <w:highlight w:val="none"/>
        </w:rPr>
        <w:t xml:space="preserve">第一章  </w:t>
      </w:r>
      <w:bookmarkEnd w:id="2"/>
      <w:r>
        <w:rPr>
          <w:rFonts w:hint="eastAsia" w:ascii="宋体" w:hAnsi="宋体"/>
          <w:color w:val="auto"/>
          <w:sz w:val="36"/>
          <w:szCs w:val="36"/>
          <w:highlight w:val="none"/>
        </w:rPr>
        <w:t>磋商邀请</w:t>
      </w:r>
      <w:bookmarkEnd w:id="3"/>
    </w:p>
    <w:p>
      <w:pPr>
        <w:tabs>
          <w:tab w:val="left" w:pos="7665"/>
        </w:tabs>
        <w:spacing w:after="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rPr>
        <w:t>四川天启建设项目管理有限公司</w:t>
      </w:r>
      <w:r>
        <w:rPr>
          <w:rFonts w:hint="eastAsia" w:ascii="宋体" w:hAnsi="宋体" w:cs="宋体"/>
          <w:color w:val="auto"/>
          <w:sz w:val="24"/>
          <w:highlight w:val="none"/>
        </w:rPr>
        <w:t>受</w:t>
      </w:r>
      <w:r>
        <w:rPr>
          <w:rFonts w:hint="eastAsia" w:ascii="宋体" w:hAnsi="宋体" w:cs="宋体"/>
          <w:color w:val="auto"/>
          <w:sz w:val="24"/>
          <w:highlight w:val="none"/>
          <w:u w:val="single"/>
          <w:lang w:eastAsia="zh-CN"/>
        </w:rPr>
        <w:t>成都市锦江区综合行政执法局</w:t>
      </w:r>
      <w:r>
        <w:rPr>
          <w:rFonts w:hint="eastAsia" w:ascii="宋体" w:hAnsi="宋体" w:cs="宋体"/>
          <w:color w:val="auto"/>
          <w:sz w:val="24"/>
          <w:highlight w:val="none"/>
        </w:rPr>
        <w:t>委托，拟对</w:t>
      </w:r>
      <w:r>
        <w:rPr>
          <w:rFonts w:hint="eastAsia" w:ascii="宋体" w:hAnsi="宋体" w:cs="宋体"/>
          <w:color w:val="auto"/>
          <w:sz w:val="24"/>
          <w:highlight w:val="none"/>
          <w:u w:val="single"/>
          <w:lang w:eastAsia="zh-CN"/>
        </w:rPr>
        <w:t>锦江区3座污水处理站运营管理服务采购项目</w:t>
      </w:r>
      <w:r>
        <w:rPr>
          <w:rFonts w:ascii="宋体" w:hAnsi="宋体" w:cs="宋体"/>
          <w:color w:val="auto"/>
          <w:sz w:val="24"/>
          <w:highlight w:val="none"/>
          <w:u w:val="single"/>
        </w:rPr>
        <w:t xml:space="preserve"> </w:t>
      </w:r>
      <w:bookmarkStart w:id="4" w:name="PO_默认文件内容_4"/>
      <w:r>
        <w:rPr>
          <w:rFonts w:hint="eastAsia" w:ascii="宋体" w:hAnsi="宋体" w:cs="宋体"/>
          <w:color w:val="auto"/>
          <w:sz w:val="24"/>
          <w:highlight w:val="none"/>
        </w:rPr>
        <w:t>采用竞争性磋商方式进行采购，特邀请符合本次采购要求的供应商参加本项目的竞争性磋商。</w:t>
      </w:r>
      <w:bookmarkEnd w:id="4"/>
    </w:p>
    <w:p>
      <w:pPr>
        <w:spacing w:after="0"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一、项目编号：510104202100095</w:t>
      </w:r>
      <w:bookmarkStart w:id="100" w:name="_GoBack"/>
      <w:bookmarkEnd w:id="100"/>
    </w:p>
    <w:p>
      <w:pPr>
        <w:spacing w:after="0"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二、采购项目名称：</w:t>
      </w:r>
      <w:r>
        <w:rPr>
          <w:rFonts w:hint="eastAsia" w:ascii="宋体" w:hAnsi="宋体"/>
          <w:b w:val="0"/>
          <w:bCs w:val="0"/>
          <w:color w:val="auto"/>
          <w:sz w:val="24"/>
          <w:highlight w:val="none"/>
          <w:lang w:eastAsia="zh-CN"/>
        </w:rPr>
        <w:t>锦江区3座污水处理站运营管理服务采购项目</w:t>
      </w:r>
      <w:r>
        <w:rPr>
          <w:rFonts w:hint="eastAsia" w:ascii="宋体" w:hAnsi="宋体"/>
          <w:b w:val="0"/>
          <w:bCs w:val="0"/>
          <w:color w:val="auto"/>
          <w:sz w:val="24"/>
          <w:highlight w:val="none"/>
        </w:rPr>
        <w:t>。</w:t>
      </w:r>
    </w:p>
    <w:p>
      <w:pPr>
        <w:spacing w:after="0" w:line="360" w:lineRule="auto"/>
        <w:ind w:right="31" w:rightChars="15" w:firstLine="482" w:firstLineChars="200"/>
        <w:rPr>
          <w:rFonts w:ascii="宋体" w:hAnsi="宋体"/>
          <w:b/>
          <w:bCs/>
          <w:color w:val="auto"/>
          <w:sz w:val="24"/>
          <w:highlight w:val="none"/>
        </w:rPr>
      </w:pPr>
      <w:r>
        <w:rPr>
          <w:rFonts w:hint="eastAsia" w:ascii="宋体" w:hAnsi="宋体"/>
          <w:b/>
          <w:bCs/>
          <w:color w:val="auto"/>
          <w:sz w:val="24"/>
          <w:highlight w:val="none"/>
        </w:rPr>
        <w:t>三、资金来源：</w:t>
      </w:r>
      <w:r>
        <w:rPr>
          <w:rFonts w:hint="eastAsia" w:ascii="宋体" w:hAnsi="宋体"/>
          <w:bCs/>
          <w:color w:val="auto"/>
          <w:sz w:val="24"/>
          <w:highlight w:val="none"/>
        </w:rPr>
        <w:t>财政资金已落实，采购预算为</w:t>
      </w:r>
      <w:r>
        <w:rPr>
          <w:rFonts w:hint="eastAsia" w:ascii="宋体" w:hAnsi="宋体"/>
          <w:bCs/>
          <w:color w:val="auto"/>
          <w:sz w:val="24"/>
          <w:highlight w:val="none"/>
          <w:u w:val="single"/>
        </w:rPr>
        <w:t xml:space="preserve"> </w:t>
      </w:r>
      <w:r>
        <w:rPr>
          <w:rFonts w:hint="eastAsia" w:ascii="宋体" w:hAnsi="宋体"/>
          <w:bCs/>
          <w:color w:val="auto"/>
          <w:sz w:val="24"/>
          <w:highlight w:val="none"/>
          <w:u w:val="single"/>
          <w:lang w:val="en-US" w:eastAsia="zh-CN"/>
        </w:rPr>
        <w:t>127.485</w:t>
      </w:r>
      <w:r>
        <w:rPr>
          <w:rFonts w:hint="eastAsia" w:ascii="宋体" w:hAnsi="宋体"/>
          <w:bCs/>
          <w:color w:val="auto"/>
          <w:sz w:val="24"/>
          <w:highlight w:val="none"/>
          <w:u w:val="single"/>
          <w:lang w:eastAsia="zh-CN"/>
        </w:rPr>
        <w:t xml:space="preserve"> 万元/年</w:t>
      </w:r>
      <w:r>
        <w:rPr>
          <w:rFonts w:hint="eastAsia" w:ascii="宋体" w:hAnsi="宋体"/>
          <w:bCs/>
          <w:color w:val="auto"/>
          <w:sz w:val="24"/>
          <w:highlight w:val="none"/>
        </w:rPr>
        <w:t>人民币，</w:t>
      </w:r>
      <w:r>
        <w:rPr>
          <w:rFonts w:hint="eastAsia" w:ascii="宋体" w:hAnsi="宋体" w:eastAsia="宋体" w:cs="仿宋"/>
          <w:color w:val="auto"/>
          <w:sz w:val="24"/>
          <w:highlight w:val="none"/>
        </w:rPr>
        <w:t>预算品目：C1302市政公共设施管理服务；预算金额：127</w:t>
      </w:r>
      <w:r>
        <w:rPr>
          <w:rFonts w:hint="eastAsia" w:ascii="宋体" w:hAnsi="宋体" w:eastAsia="宋体" w:cs="仿宋"/>
          <w:color w:val="auto"/>
          <w:sz w:val="24"/>
          <w:highlight w:val="none"/>
          <w:lang w:val="en-US" w:eastAsia="zh-CN"/>
        </w:rPr>
        <w:t>.</w:t>
      </w:r>
      <w:r>
        <w:rPr>
          <w:rFonts w:hint="eastAsia" w:ascii="宋体" w:hAnsi="宋体" w:eastAsia="宋体" w:cs="仿宋"/>
          <w:color w:val="auto"/>
          <w:sz w:val="24"/>
          <w:highlight w:val="none"/>
        </w:rPr>
        <w:t>458</w:t>
      </w:r>
      <w:r>
        <w:rPr>
          <w:rFonts w:hint="eastAsia" w:ascii="宋体" w:hAnsi="宋体" w:eastAsia="宋体" w:cs="仿宋"/>
          <w:color w:val="auto"/>
          <w:sz w:val="24"/>
          <w:highlight w:val="none"/>
          <w:lang w:val="en-US" w:eastAsia="zh-CN"/>
        </w:rPr>
        <w:t>万</w:t>
      </w:r>
      <w:r>
        <w:rPr>
          <w:rFonts w:hint="eastAsia" w:ascii="宋体" w:hAnsi="宋体" w:eastAsia="宋体" w:cs="仿宋"/>
          <w:color w:val="auto"/>
          <w:sz w:val="24"/>
          <w:highlight w:val="none"/>
        </w:rPr>
        <w:t>元/年。</w:t>
      </w:r>
      <w:r>
        <w:rPr>
          <w:rFonts w:hint="eastAsia" w:ascii="宋体" w:hAnsi="宋体" w:eastAsia="宋体" w:cs="仿宋"/>
          <w:b/>
          <w:bCs/>
          <w:color w:val="auto"/>
          <w:sz w:val="24"/>
          <w:highlight w:val="none"/>
        </w:rPr>
        <w:t>采购标的：</w:t>
      </w:r>
      <w:r>
        <w:rPr>
          <w:rFonts w:hint="eastAsia" w:ascii="宋体" w:hAnsi="宋体" w:eastAsia="宋体" w:cs="仿宋"/>
          <w:color w:val="auto"/>
          <w:sz w:val="24"/>
          <w:highlight w:val="none"/>
        </w:rPr>
        <w:t>锦江区3座污水处理站运营管理服务采购项目；</w:t>
      </w:r>
      <w:r>
        <w:rPr>
          <w:rFonts w:hint="eastAsia" w:ascii="宋体" w:hAnsi="宋体" w:eastAsia="宋体" w:cs="仿宋"/>
          <w:b/>
          <w:bCs/>
          <w:color w:val="auto"/>
          <w:sz w:val="24"/>
          <w:highlight w:val="none"/>
        </w:rPr>
        <w:t>所属行业：</w:t>
      </w:r>
      <w:r>
        <w:rPr>
          <w:rFonts w:hint="eastAsia" w:ascii="宋体" w:hAnsi="宋体" w:eastAsia="宋体" w:cs="仿宋"/>
          <w:color w:val="auto"/>
          <w:sz w:val="24"/>
          <w:highlight w:val="none"/>
        </w:rPr>
        <w:t>其他未列明行业</w:t>
      </w:r>
      <w:r>
        <w:rPr>
          <w:rFonts w:hint="eastAsia" w:ascii="宋体" w:hAnsi="宋体"/>
          <w:bCs/>
          <w:color w:val="auto"/>
          <w:sz w:val="24"/>
          <w:highlight w:val="none"/>
        </w:rPr>
        <w:t>。</w:t>
      </w:r>
    </w:p>
    <w:p>
      <w:pPr>
        <w:spacing w:after="0" w:line="360" w:lineRule="auto"/>
        <w:ind w:firstLine="482" w:firstLineChars="200"/>
        <w:rPr>
          <w:rFonts w:ascii="宋体" w:hAnsi="宋体"/>
          <w:color w:val="auto"/>
          <w:sz w:val="24"/>
          <w:highlight w:val="none"/>
        </w:rPr>
      </w:pPr>
      <w:r>
        <w:rPr>
          <w:rFonts w:hint="eastAsia" w:ascii="宋体" w:hAnsi="宋体"/>
          <w:b/>
          <w:color w:val="auto"/>
          <w:sz w:val="24"/>
          <w:highlight w:val="none"/>
        </w:rPr>
        <w:t>四</w:t>
      </w:r>
      <w:r>
        <w:rPr>
          <w:rFonts w:hint="eastAsia" w:ascii="宋体" w:hAnsi="宋体"/>
          <w:b/>
          <w:bCs/>
          <w:color w:val="auto"/>
          <w:sz w:val="24"/>
          <w:highlight w:val="none"/>
        </w:rPr>
        <w:t>、</w:t>
      </w:r>
      <w:r>
        <w:rPr>
          <w:rFonts w:hint="eastAsia" w:ascii="宋体" w:hAnsi="宋体"/>
          <w:b/>
          <w:color w:val="auto"/>
          <w:sz w:val="24"/>
          <w:highlight w:val="none"/>
        </w:rPr>
        <w:t>采购项目简介：</w:t>
      </w:r>
    </w:p>
    <w:p>
      <w:pPr>
        <w:spacing w:after="0" w:line="360" w:lineRule="auto"/>
        <w:ind w:firstLine="480" w:firstLineChars="200"/>
        <w:rPr>
          <w:rFonts w:ascii="宋体" w:hAnsi="宋体"/>
          <w:color w:val="auto"/>
          <w:spacing w:val="-4"/>
          <w:sz w:val="24"/>
          <w:highlight w:val="none"/>
        </w:rPr>
      </w:pPr>
      <w:bookmarkStart w:id="5" w:name="PO_默认文件内容_3"/>
      <w:r>
        <w:rPr>
          <w:rFonts w:hint="eastAsia" w:ascii="宋体" w:hAnsi="宋体" w:eastAsia="宋体" w:cs="仿宋"/>
          <w:bCs/>
          <w:color w:val="auto"/>
          <w:sz w:val="24"/>
          <w:highlight w:val="none"/>
        </w:rPr>
        <w:t>本次招标的内容为</w:t>
      </w:r>
      <w:r>
        <w:rPr>
          <w:rFonts w:hint="eastAsia" w:ascii="宋体" w:hAnsi="宋体" w:eastAsia="宋体" w:cs="仿宋"/>
          <w:color w:val="auto"/>
          <w:sz w:val="24"/>
          <w:highlight w:val="none"/>
        </w:rPr>
        <w:t>锦江区3座污水处理站运营管理服务采购项目，</w:t>
      </w:r>
      <w:r>
        <w:rPr>
          <w:rFonts w:hint="eastAsia" w:ascii="宋体" w:hAnsi="宋体"/>
          <w:color w:val="auto"/>
          <w:spacing w:val="-4"/>
          <w:sz w:val="24"/>
          <w:highlight w:val="none"/>
        </w:rPr>
        <w:t>具体详见磋商文件第六章。</w:t>
      </w:r>
    </w:p>
    <w:bookmarkEnd w:id="5"/>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五、供应商邀请方式</w:t>
      </w:r>
    </w:p>
    <w:p>
      <w:pPr>
        <w:spacing w:after="120" w:line="440" w:lineRule="exact"/>
        <w:ind w:firstLine="464" w:firstLineChars="200"/>
        <w:rPr>
          <w:rFonts w:ascii="宋体" w:hAnsi="宋体"/>
          <w:color w:val="auto"/>
          <w:spacing w:val="-4"/>
          <w:sz w:val="24"/>
          <w:highlight w:val="none"/>
        </w:rPr>
      </w:pPr>
      <w:r>
        <w:rPr>
          <w:rFonts w:hint="eastAsia" w:ascii="宋体" w:hAnsi="宋体"/>
          <w:color w:val="auto"/>
          <w:spacing w:val="-4"/>
          <w:sz w:val="24"/>
          <w:highlight w:val="none"/>
        </w:rPr>
        <w:t>本次采购采取</w:t>
      </w:r>
      <w:r>
        <w:rPr>
          <w:rFonts w:hint="eastAsia" w:ascii="宋体" w:hAnsi="宋体"/>
          <w:color w:val="auto"/>
          <w:spacing w:val="-4"/>
          <w:sz w:val="24"/>
          <w:highlight w:val="none"/>
          <w:u w:val="single"/>
        </w:rPr>
        <w:t>方式1</w:t>
      </w:r>
      <w:r>
        <w:rPr>
          <w:rFonts w:hint="eastAsia" w:ascii="宋体" w:hAnsi="宋体"/>
          <w:color w:val="auto"/>
          <w:spacing w:val="-4"/>
          <w:sz w:val="24"/>
          <w:highlight w:val="none"/>
        </w:rPr>
        <w:t>邀请参加磋商的供应商。</w:t>
      </w:r>
    </w:p>
    <w:p>
      <w:pPr>
        <w:spacing w:after="0" w:line="360" w:lineRule="auto"/>
        <w:ind w:firstLine="464" w:firstLineChars="200"/>
        <w:rPr>
          <w:rFonts w:ascii="宋体" w:hAnsi="宋体"/>
          <w:color w:val="auto"/>
          <w:spacing w:val="-4"/>
          <w:sz w:val="24"/>
          <w:highlight w:val="none"/>
        </w:rPr>
      </w:pPr>
      <w:r>
        <w:rPr>
          <w:rFonts w:hint="eastAsia" w:ascii="宋体" w:hAnsi="宋体"/>
          <w:color w:val="auto"/>
          <w:spacing w:val="-4"/>
          <w:sz w:val="24"/>
          <w:highlight w:val="none"/>
        </w:rPr>
        <w:t>方式1（公告方式）：本次竞争性磋商邀请在四川政府采购网上以公告形式发布；</w:t>
      </w:r>
    </w:p>
    <w:p>
      <w:pPr>
        <w:spacing w:after="0" w:line="360" w:lineRule="auto"/>
        <w:ind w:firstLine="464" w:firstLineChars="200"/>
        <w:rPr>
          <w:rFonts w:ascii="宋体" w:hAnsi="宋体"/>
          <w:color w:val="auto"/>
          <w:spacing w:val="-4"/>
          <w:sz w:val="24"/>
          <w:highlight w:val="none"/>
        </w:rPr>
      </w:pPr>
      <w:r>
        <w:rPr>
          <w:rFonts w:hint="eastAsia" w:ascii="宋体" w:hAnsi="宋体"/>
          <w:color w:val="auto"/>
          <w:spacing w:val="-4"/>
          <w:sz w:val="24"/>
          <w:highlight w:val="none"/>
        </w:rPr>
        <w:t>方式2（书面推荐）：通过采购人和评审专家各自出具书面推荐意见，推荐符合相应资格条件的供应商参与本次采购活动；</w:t>
      </w:r>
    </w:p>
    <w:p>
      <w:pPr>
        <w:spacing w:after="0" w:line="360" w:lineRule="auto"/>
        <w:ind w:firstLine="464" w:firstLineChars="200"/>
        <w:rPr>
          <w:rFonts w:ascii="宋体" w:hAnsi="宋体"/>
          <w:color w:val="auto"/>
          <w:spacing w:val="-4"/>
          <w:sz w:val="24"/>
          <w:highlight w:val="none"/>
        </w:rPr>
      </w:pPr>
      <w:r>
        <w:rPr>
          <w:rFonts w:hint="eastAsia" w:ascii="宋体" w:hAnsi="宋体"/>
          <w:color w:val="auto"/>
          <w:spacing w:val="-4"/>
          <w:sz w:val="24"/>
          <w:highlight w:val="none"/>
        </w:rPr>
        <w:t>方式3（供应商库随机抽取）：通过省级以上财政部门建立的供应商库中随机抽取供应商。</w:t>
      </w:r>
    </w:p>
    <w:p>
      <w:pPr>
        <w:numPr>
          <w:ilvl w:val="0"/>
          <w:numId w:val="2"/>
        </w:numPr>
        <w:spacing w:after="0"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rPr>
        <w:t>供应商参加本次政府采购活动应具备下列条件</w:t>
      </w:r>
      <w:r>
        <w:rPr>
          <w:rFonts w:hint="eastAsia" w:ascii="宋体" w:hAnsi="宋体"/>
          <w:b/>
          <w:bCs/>
          <w:color w:val="auto"/>
          <w:sz w:val="24"/>
          <w:highlight w:val="none"/>
          <w:lang w:eastAsia="zh-CN"/>
        </w:rPr>
        <w:t>：</w:t>
      </w:r>
    </w:p>
    <w:p>
      <w:pPr>
        <w:numPr>
          <w:ilvl w:val="0"/>
          <w:numId w:val="0"/>
        </w:numPr>
        <w:spacing w:after="0" w:line="360" w:lineRule="auto"/>
        <w:ind w:firstLine="241" w:firstLineChars="100"/>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highlight w:val="none"/>
        </w:rPr>
        <w:t>（一）《中华人民共和国政府采购法》第二十二条规定的条件：</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1.具有独立承担民事责任的能力；</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2.具有良好的商业信誉和健全的财务会计制度；</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3.具有履行合同所必须的设备和专业技术能力；</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4.具有依法缴纳税收和社会保障资金的良好记录；</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5.参加本次政府采购活动前三年内，在经营活动中没有重大违法记录；</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6.法律、行政法规规定的其他条件；</w:t>
      </w:r>
    </w:p>
    <w:p>
      <w:pPr>
        <w:spacing w:after="0" w:line="360" w:lineRule="auto"/>
        <w:ind w:firstLine="464" w:firstLineChars="200"/>
        <w:rPr>
          <w:rFonts w:hint="default" w:ascii="宋体" w:hAnsi="宋体" w:eastAsia="宋体" w:cs="Times New Roman"/>
          <w:color w:val="auto"/>
          <w:spacing w:val="-4"/>
          <w:sz w:val="24"/>
          <w:highlight w:val="none"/>
          <w:lang w:val="en-US" w:eastAsia="zh-CN"/>
        </w:rPr>
      </w:pPr>
      <w:r>
        <w:rPr>
          <w:rFonts w:hint="eastAsia" w:ascii="宋体" w:hAnsi="宋体" w:eastAsia="宋体" w:cs="Times New Roman"/>
          <w:color w:val="auto"/>
          <w:spacing w:val="-4"/>
          <w:sz w:val="24"/>
          <w:highlight w:val="none"/>
          <w:lang w:val="en-US" w:eastAsia="zh-CN"/>
        </w:rPr>
        <w:t>7</w:t>
      </w:r>
      <w:r>
        <w:rPr>
          <w:rFonts w:hint="eastAsia" w:ascii="宋体" w:hAnsi="宋体" w:cs="Times New Roman"/>
          <w:color w:val="auto"/>
          <w:spacing w:val="-4"/>
          <w:sz w:val="24"/>
          <w:highlight w:val="none"/>
          <w:lang w:val="en-US" w:eastAsia="zh-CN"/>
        </w:rPr>
        <w:t>.</w:t>
      </w:r>
      <w:r>
        <w:rPr>
          <w:rFonts w:hint="eastAsia" w:ascii="宋体" w:hAnsi="宋体" w:eastAsia="宋体" w:cs="Times New Roman"/>
          <w:color w:val="auto"/>
          <w:spacing w:val="-4"/>
          <w:sz w:val="24"/>
          <w:highlight w:val="none"/>
          <w:lang w:val="en-US" w:eastAsia="zh-CN"/>
        </w:rPr>
        <w:t>落实政府采购政策：本项目专门面向中小企业。</w:t>
      </w:r>
    </w:p>
    <w:p>
      <w:pPr>
        <w:spacing w:after="0" w:line="360" w:lineRule="auto"/>
        <w:ind w:firstLine="464" w:firstLineChars="200"/>
        <w:rPr>
          <w:rFonts w:hint="default" w:ascii="宋体" w:hAnsi="宋体" w:eastAsia="宋体" w:cs="Times New Roman"/>
          <w:color w:val="auto"/>
          <w:spacing w:val="-4"/>
          <w:sz w:val="24"/>
          <w:highlight w:val="none"/>
          <w:lang w:val="en-US" w:eastAsia="zh-CN"/>
        </w:rPr>
      </w:pPr>
      <w:r>
        <w:rPr>
          <w:rFonts w:hint="eastAsia" w:ascii="宋体" w:hAnsi="宋体" w:cs="Times New Roman"/>
          <w:color w:val="auto"/>
          <w:spacing w:val="-4"/>
          <w:sz w:val="24"/>
          <w:highlight w:val="none"/>
          <w:lang w:val="en-US" w:eastAsia="zh-CN"/>
        </w:rPr>
        <w:t>8</w:t>
      </w:r>
      <w:r>
        <w:rPr>
          <w:rFonts w:hint="eastAsia" w:ascii="宋体" w:hAnsi="宋体" w:eastAsia="宋体" w:cs="Times New Roman"/>
          <w:color w:val="auto"/>
          <w:spacing w:val="-4"/>
          <w:sz w:val="24"/>
          <w:highlight w:val="none"/>
        </w:rPr>
        <w:t>.采购人根据采购项目提出的特殊条件</w:t>
      </w:r>
      <w:r>
        <w:rPr>
          <w:rFonts w:hint="eastAsia" w:ascii="宋体" w:hAnsi="宋体" w:eastAsia="宋体" w:cs="Times New Roman"/>
          <w:color w:val="auto"/>
          <w:spacing w:val="-4"/>
          <w:sz w:val="24"/>
          <w:highlight w:val="none"/>
          <w:lang w:eastAsia="zh-CN"/>
        </w:rPr>
        <w:t>：</w:t>
      </w:r>
      <w:r>
        <w:rPr>
          <w:rFonts w:hint="eastAsia" w:ascii="宋体" w:hAnsi="宋体" w:eastAsia="宋体" w:cs="Times New Roman"/>
          <w:color w:val="auto"/>
          <w:spacing w:val="-4"/>
          <w:sz w:val="24"/>
          <w:highlight w:val="none"/>
          <w:lang w:val="en-US" w:eastAsia="zh-CN"/>
        </w:rPr>
        <w:t>无</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cs="Times New Roman"/>
          <w:color w:val="auto"/>
          <w:spacing w:val="-4"/>
          <w:sz w:val="24"/>
          <w:highlight w:val="none"/>
          <w:lang w:val="en-US" w:eastAsia="zh-CN"/>
        </w:rPr>
        <w:t>9</w:t>
      </w:r>
      <w:r>
        <w:rPr>
          <w:rFonts w:hint="eastAsia" w:ascii="宋体" w:hAnsi="宋体" w:eastAsia="宋体" w:cs="Times New Roman"/>
          <w:color w:val="auto"/>
          <w:spacing w:val="-4"/>
          <w:sz w:val="24"/>
          <w:highlight w:val="none"/>
        </w:rPr>
        <w:t>.本项目不允许联合体参加。</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cs="Times New Roman"/>
          <w:color w:val="auto"/>
          <w:spacing w:val="-4"/>
          <w:sz w:val="24"/>
          <w:highlight w:val="none"/>
          <w:lang w:val="en-US" w:eastAsia="zh-CN"/>
        </w:rPr>
        <w:t>10</w:t>
      </w:r>
      <w:r>
        <w:rPr>
          <w:rFonts w:hint="eastAsia" w:ascii="宋体" w:hAnsi="宋体" w:eastAsia="宋体" w:cs="Times New Roman"/>
          <w:color w:val="auto"/>
          <w:spacing w:val="-4"/>
          <w:sz w:val="24"/>
          <w:highlight w:val="none"/>
        </w:rPr>
        <w:t>.按照规定获取了磋商文件。</w:t>
      </w:r>
    </w:p>
    <w:p>
      <w:pPr>
        <w:numPr>
          <w:ilvl w:val="0"/>
          <w:numId w:val="0"/>
        </w:numPr>
        <w:spacing w:after="0" w:line="360" w:lineRule="auto"/>
        <w:ind w:firstLine="241" w:firstLineChars="100"/>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highlight w:val="none"/>
        </w:rPr>
        <w:t>（二）其他类似效力要求：</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授权参加本次采购活动的供应商代表证明材料。</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注：1.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供应商在参加政府采购活动前3年内因违法经营被禁止在一定期限内参加政府采购活动，期限届满的，可以参加政府采购活动。</w:t>
      </w:r>
    </w:p>
    <w:p>
      <w:pPr>
        <w:spacing w:after="0" w:line="360" w:lineRule="auto"/>
        <w:ind w:firstLine="464" w:firstLineChars="200"/>
        <w:rPr>
          <w:color w:val="auto"/>
          <w:highlight w:val="none"/>
        </w:rPr>
      </w:pPr>
      <w:r>
        <w:rPr>
          <w:rFonts w:hint="eastAsia" w:ascii="宋体" w:hAnsi="宋体" w:eastAsia="宋体" w:cs="Times New Roman"/>
          <w:color w:val="auto"/>
          <w:spacing w:val="-4"/>
          <w:sz w:val="24"/>
          <w:highlight w:val="none"/>
        </w:rPr>
        <w:t>2.供应商在参加政府采购活动前，被纳入法院、工商行政管理部门、税务部门、银行认定的失信名单且在有效期内，或者在前三年政府采购合同履约过程中及其他经营活动（合同）履约过程中未依法履约被有关行政部门处罚（处理）的，本项目不认定其具有良好的商业信誉。</w:t>
      </w:r>
    </w:p>
    <w:p>
      <w:pPr>
        <w:pStyle w:val="59"/>
        <w:spacing w:after="0"/>
        <w:ind w:firstLine="482"/>
        <w:rPr>
          <w:rFonts w:ascii="宋体" w:hAnsi="宋体"/>
          <w:b/>
          <w:color w:val="auto"/>
          <w:sz w:val="24"/>
          <w:highlight w:val="none"/>
        </w:rPr>
      </w:pPr>
      <w:r>
        <w:rPr>
          <w:rFonts w:hint="eastAsia" w:ascii="宋体" w:hAnsi="宋体"/>
          <w:b/>
          <w:color w:val="auto"/>
          <w:sz w:val="24"/>
          <w:highlight w:val="none"/>
        </w:rPr>
        <w:t>七、禁止参加本次采购活动的供应商</w:t>
      </w:r>
    </w:p>
    <w:p>
      <w:pPr>
        <w:spacing w:after="0" w:line="360" w:lineRule="auto"/>
        <w:ind w:firstLine="480" w:firstLineChars="200"/>
        <w:rPr>
          <w:rFonts w:ascii="宋体" w:hAnsi="宋体"/>
          <w:color w:val="auto"/>
          <w:sz w:val="24"/>
          <w:highlight w:val="none"/>
        </w:rPr>
      </w:pPr>
      <w:bookmarkStart w:id="6" w:name="PO_默认文件内容_7"/>
      <w:r>
        <w:rPr>
          <w:rFonts w:hint="eastAsia" w:ascii="宋体" w:hAnsi="宋体"/>
          <w:color w:val="auto"/>
          <w:sz w:val="24"/>
          <w:highlight w:val="none"/>
        </w:rPr>
        <w:t>根据《关于在政府采购活动中查询及使用信用记录有关问题的通知》（财库〔2016〕125号）的要求，采购人/采购代理机构将通过“信用中国”网站（www.creditchina.gov.cn）、“中国政府采购网”网站（www.ccgp.gov.cn）等渠道查询</w:t>
      </w:r>
      <w:r>
        <w:rPr>
          <w:rFonts w:hint="eastAsia" w:ascii="宋体" w:hAnsi="宋体" w:eastAsia="宋体"/>
          <w:color w:val="auto"/>
          <w:sz w:val="24"/>
          <w:highlight w:val="none"/>
        </w:rPr>
        <w:t>供应商在采购公告发布之日前的信用记录并保存信用记录结果网页截图，拒绝列入失信被执行人名单、重大税收违法案件当事人名单、政府采购严重违法失信行为记录名单中的供应商报名参加本项目的采购活动。非企业参与投标时由</w:t>
      </w:r>
      <w:r>
        <w:rPr>
          <w:rFonts w:hint="eastAsia" w:ascii="宋体" w:hAnsi="宋体" w:eastAsia="宋体"/>
          <w:color w:val="auto"/>
          <w:sz w:val="24"/>
          <w:highlight w:val="none"/>
          <w:lang w:eastAsia="zh-CN"/>
        </w:rPr>
        <w:t>供应商</w:t>
      </w:r>
      <w:r>
        <w:rPr>
          <w:rFonts w:hint="eastAsia" w:ascii="宋体" w:hAnsi="宋体" w:eastAsia="宋体"/>
          <w:color w:val="auto"/>
          <w:sz w:val="24"/>
          <w:highlight w:val="none"/>
        </w:rPr>
        <w:t>在投标文件中自行提供承诺函，格式自拟。</w:t>
      </w:r>
    </w:p>
    <w:bookmarkEnd w:id="6"/>
    <w:p>
      <w:pPr>
        <w:pStyle w:val="69"/>
        <w:numPr>
          <w:ilvl w:val="0"/>
          <w:numId w:val="2"/>
        </w:numPr>
        <w:wordWrap/>
        <w:spacing w:line="360" w:lineRule="auto"/>
        <w:ind w:left="0" w:leftChars="0" w:firstLine="482" w:firstLineChars="200"/>
        <w:rPr>
          <w:rFonts w:hint="eastAsia"/>
          <w:b/>
          <w:bCs/>
          <w:color w:val="auto"/>
          <w:highlight w:val="none"/>
        </w:rPr>
      </w:pPr>
      <w:r>
        <w:rPr>
          <w:rFonts w:hint="eastAsia"/>
          <w:b/>
          <w:bCs/>
          <w:color w:val="auto"/>
          <w:highlight w:val="none"/>
        </w:rPr>
        <w:t>获取磋商文件的时间</w:t>
      </w:r>
      <w:r>
        <w:rPr>
          <w:rFonts w:hint="eastAsia"/>
          <w:b/>
          <w:bCs/>
          <w:color w:val="auto"/>
          <w:highlight w:val="none"/>
          <w:lang w:val="en-US" w:eastAsia="zh-CN"/>
        </w:rPr>
        <w:t>及</w:t>
      </w:r>
      <w:r>
        <w:rPr>
          <w:rFonts w:hint="eastAsia"/>
          <w:b/>
          <w:bCs/>
          <w:color w:val="auto"/>
          <w:highlight w:val="none"/>
        </w:rPr>
        <w:t>方式</w:t>
      </w:r>
      <w:r>
        <w:rPr>
          <w:rFonts w:hint="eastAsia"/>
          <w:b/>
          <w:bCs/>
          <w:color w:val="auto"/>
          <w:highlight w:val="none"/>
          <w:lang w:val="en-US" w:eastAsia="zh-CN"/>
        </w:rPr>
        <w:t>:</w:t>
      </w:r>
    </w:p>
    <w:p>
      <w:pPr>
        <w:spacing w:after="0" w:line="360" w:lineRule="auto"/>
        <w:ind w:firstLine="482" w:firstLineChars="200"/>
        <w:rPr>
          <w:color w:val="auto"/>
          <w:highlight w:val="none"/>
          <w:lang w:val="zh-CN"/>
        </w:rPr>
      </w:pPr>
      <w:r>
        <w:rPr>
          <w:rFonts w:hint="eastAsia" w:ascii="宋体" w:hAnsi="宋体" w:eastAsia="宋体" w:cstheme="minorBidi"/>
          <w:b/>
          <w:bCs/>
          <w:snapToGrid w:val="0"/>
          <w:color w:val="auto"/>
          <w:kern w:val="2"/>
          <w:sz w:val="24"/>
          <w:szCs w:val="24"/>
          <w:highlight w:val="none"/>
          <w:lang w:val="en-US" w:eastAsia="zh-CN" w:bidi="ar-SA"/>
        </w:rPr>
        <w:t>(一)获取磋商文件时间：</w:t>
      </w:r>
      <w:r>
        <w:rPr>
          <w:rFonts w:hint="eastAsia" w:ascii="宋体" w:hAnsi="宋体" w:eastAsia="宋体"/>
          <w:color w:val="auto"/>
          <w:sz w:val="24"/>
          <w:highlight w:val="none"/>
          <w:u w:val="single"/>
        </w:rPr>
        <w:t>2021年</w:t>
      </w:r>
      <w:r>
        <w:rPr>
          <w:rFonts w:hint="eastAsia" w:ascii="宋体" w:hAnsi="宋体"/>
          <w:color w:val="auto"/>
          <w:sz w:val="24"/>
          <w:highlight w:val="none"/>
          <w:u w:val="single"/>
          <w:lang w:val="en-US" w:eastAsia="zh-CN"/>
        </w:rPr>
        <w:t>9</w:t>
      </w:r>
      <w:r>
        <w:rPr>
          <w:rFonts w:hint="eastAsia" w:ascii="宋体" w:hAnsi="宋体" w:eastAsia="宋体"/>
          <w:color w:val="auto"/>
          <w:sz w:val="24"/>
          <w:highlight w:val="none"/>
          <w:u w:val="single"/>
        </w:rPr>
        <w:t>月</w:t>
      </w:r>
      <w:r>
        <w:rPr>
          <w:rFonts w:hint="eastAsia" w:ascii="宋体" w:hAnsi="宋体"/>
          <w:color w:val="auto"/>
          <w:sz w:val="24"/>
          <w:highlight w:val="none"/>
          <w:u w:val="single"/>
          <w:lang w:val="en-US" w:eastAsia="zh-CN"/>
        </w:rPr>
        <w:t>6</w:t>
      </w:r>
      <w:r>
        <w:rPr>
          <w:rFonts w:hint="eastAsia" w:ascii="宋体" w:hAnsi="宋体" w:eastAsia="宋体"/>
          <w:color w:val="auto"/>
          <w:sz w:val="24"/>
          <w:highlight w:val="none"/>
          <w:u w:val="single"/>
        </w:rPr>
        <w:t>日9时至2021年</w:t>
      </w:r>
      <w:r>
        <w:rPr>
          <w:rFonts w:hint="eastAsia" w:ascii="宋体" w:hAnsi="宋体"/>
          <w:color w:val="auto"/>
          <w:sz w:val="24"/>
          <w:highlight w:val="none"/>
          <w:u w:val="single"/>
          <w:lang w:val="en-US" w:eastAsia="zh-CN"/>
        </w:rPr>
        <w:t>9</w:t>
      </w:r>
      <w:r>
        <w:rPr>
          <w:rFonts w:hint="eastAsia" w:ascii="宋体" w:hAnsi="宋体" w:eastAsia="宋体"/>
          <w:color w:val="auto"/>
          <w:sz w:val="24"/>
          <w:highlight w:val="none"/>
          <w:u w:val="single"/>
        </w:rPr>
        <w:t>月</w:t>
      </w:r>
      <w:r>
        <w:rPr>
          <w:rFonts w:hint="eastAsia" w:ascii="宋体" w:hAnsi="宋体"/>
          <w:color w:val="auto"/>
          <w:sz w:val="24"/>
          <w:highlight w:val="none"/>
          <w:u w:val="single"/>
          <w:lang w:val="en-US" w:eastAsia="zh-CN"/>
        </w:rPr>
        <w:t>10</w:t>
      </w:r>
      <w:r>
        <w:rPr>
          <w:rFonts w:hint="eastAsia" w:ascii="宋体" w:hAnsi="宋体" w:eastAsia="宋体"/>
          <w:color w:val="auto"/>
          <w:sz w:val="24"/>
          <w:highlight w:val="none"/>
          <w:u w:val="single"/>
        </w:rPr>
        <w:t>日1</w:t>
      </w:r>
      <w:r>
        <w:rPr>
          <w:rFonts w:hint="eastAsia" w:ascii="宋体" w:hAnsi="宋体" w:eastAsia="宋体"/>
          <w:color w:val="auto"/>
          <w:sz w:val="24"/>
          <w:highlight w:val="none"/>
          <w:u w:val="single"/>
          <w:lang w:val="en-US" w:eastAsia="zh-CN"/>
        </w:rPr>
        <w:t>8</w:t>
      </w:r>
      <w:r>
        <w:rPr>
          <w:rFonts w:hint="eastAsia" w:ascii="宋体" w:hAnsi="宋体" w:eastAsia="宋体"/>
          <w:color w:val="auto"/>
          <w:sz w:val="24"/>
          <w:highlight w:val="none"/>
          <w:u w:val="single"/>
        </w:rPr>
        <w:t>时(北京时间)</w:t>
      </w:r>
      <w:r>
        <w:rPr>
          <w:rFonts w:hint="eastAsia" w:ascii="宋体" w:hAnsi="宋体" w:eastAsia="宋体"/>
          <w:color w:val="auto"/>
          <w:sz w:val="24"/>
          <w:highlight w:val="none"/>
        </w:rPr>
        <w:t>。</w:t>
      </w:r>
    </w:p>
    <w:p>
      <w:pPr>
        <w:pStyle w:val="69"/>
        <w:wordWrap/>
        <w:spacing w:line="360" w:lineRule="auto"/>
        <w:ind w:firstLine="482" w:firstLineChars="200"/>
        <w:rPr>
          <w:rFonts w:hint="eastAsia"/>
          <w:b/>
          <w:bCs/>
          <w:color w:val="auto"/>
          <w:highlight w:val="none"/>
        </w:rPr>
      </w:pPr>
      <w:r>
        <w:rPr>
          <w:rFonts w:hint="eastAsia"/>
          <w:b/>
          <w:bCs/>
          <w:color w:val="auto"/>
          <w:highlight w:val="none"/>
        </w:rPr>
        <w:t>(二)获取磋商文件的方式：</w:t>
      </w:r>
    </w:p>
    <w:p>
      <w:pPr>
        <w:spacing w:after="50" w:line="440" w:lineRule="exact"/>
        <w:ind w:firstLine="480" w:firstLineChars="200"/>
        <w:rPr>
          <w:rFonts w:hint="eastAsia" w:hAnsi="宋体" w:cs="宋体"/>
          <w:color w:val="auto"/>
          <w:sz w:val="24"/>
          <w:szCs w:val="24"/>
          <w:highlight w:val="none"/>
        </w:rPr>
      </w:pPr>
      <w:r>
        <w:rPr>
          <w:rFonts w:hint="eastAsia" w:ascii="宋体" w:hAnsi="宋体" w:eastAsia="宋体"/>
          <w:color w:val="auto"/>
          <w:sz w:val="24"/>
          <w:highlight w:val="none"/>
          <w:lang w:eastAsia="zh-CN"/>
        </w:rPr>
        <w:t>磋商文件</w:t>
      </w:r>
      <w:r>
        <w:rPr>
          <w:rFonts w:hint="eastAsia" w:ascii="宋体" w:hAnsi="宋体" w:eastAsia="宋体"/>
          <w:color w:val="auto"/>
          <w:sz w:val="24"/>
          <w:highlight w:val="none"/>
        </w:rPr>
        <w:t>获取方式：</w:t>
      </w:r>
      <w:r>
        <w:rPr>
          <w:rFonts w:hint="eastAsia" w:ascii="宋体" w:hAnsi="宋体" w:eastAsia="宋体"/>
          <w:color w:val="auto"/>
          <w:sz w:val="24"/>
          <w:highlight w:val="none"/>
          <w:lang w:eastAsia="zh-CN"/>
        </w:rPr>
        <w:t>供应商</w:t>
      </w:r>
      <w:r>
        <w:rPr>
          <w:rFonts w:hint="eastAsia" w:ascii="宋体" w:hAnsi="宋体" w:eastAsia="宋体"/>
          <w:color w:val="auto"/>
          <w:sz w:val="24"/>
          <w:highlight w:val="none"/>
        </w:rPr>
        <w:t>从“政府采购云平台”获取采购文件（网址：</w:t>
      </w:r>
      <w:r>
        <w:rPr>
          <w:rFonts w:hint="eastAsia" w:ascii="宋体" w:hAnsi="宋体" w:eastAsia="宋体"/>
          <w:color w:val="auto"/>
          <w:sz w:val="24"/>
          <w:highlight w:val="none"/>
        </w:rPr>
        <w:fldChar w:fldCharType="begin"/>
      </w:r>
      <w:r>
        <w:rPr>
          <w:rFonts w:hint="eastAsia" w:ascii="宋体" w:hAnsi="宋体" w:eastAsia="宋体"/>
          <w:color w:val="auto"/>
          <w:sz w:val="24"/>
          <w:highlight w:val="none"/>
        </w:rPr>
        <w:instrText xml:space="preserve"> HYPERLINK "https://www.zcygov.cn）项目采购—获取采购文件—申请获取采购文件。_x0005_" </w:instrText>
      </w:r>
      <w:r>
        <w:rPr>
          <w:rFonts w:hint="eastAsia" w:ascii="宋体" w:hAnsi="宋体" w:eastAsia="宋体"/>
          <w:color w:val="auto"/>
          <w:sz w:val="24"/>
          <w:highlight w:val="none"/>
        </w:rPr>
        <w:fldChar w:fldCharType="separate"/>
      </w:r>
      <w:r>
        <w:rPr>
          <w:rFonts w:hint="eastAsia" w:ascii="宋体" w:hAnsi="宋体" w:eastAsia="宋体"/>
          <w:color w:val="auto"/>
          <w:sz w:val="24"/>
          <w:highlight w:val="none"/>
        </w:rPr>
        <w:t>https://www.zcygov.cn）。登录政府采购云平台—项目采购—获取采购文件—申请获取采购文件</w:t>
      </w:r>
      <w:r>
        <w:rPr>
          <w:rFonts w:hint="eastAsia" w:ascii="宋体" w:hAnsi="宋体" w:eastAsia="宋体"/>
          <w:color w:val="auto"/>
          <w:sz w:val="24"/>
          <w:highlight w:val="none"/>
        </w:rPr>
        <w:fldChar w:fldCharType="end"/>
      </w:r>
      <w:r>
        <w:rPr>
          <w:rFonts w:hint="eastAsia" w:hAnsi="宋体" w:cs="宋体"/>
          <w:color w:val="auto"/>
          <w:sz w:val="24"/>
          <w:szCs w:val="24"/>
          <w:highlight w:val="none"/>
        </w:rPr>
        <w:t>。</w:t>
      </w:r>
    </w:p>
    <w:p>
      <w:pPr>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注</w:t>
      </w:r>
      <w:r>
        <w:rPr>
          <w:rFonts w:hint="eastAsia" w:ascii="宋体" w:hAnsi="宋体" w:eastAsia="宋体"/>
          <w:color w:val="auto"/>
          <w:sz w:val="24"/>
          <w:highlight w:val="none"/>
        </w:rPr>
        <w:t>：</w:t>
      </w:r>
    </w:p>
    <w:p>
      <w:pPr>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（1）本项目</w:t>
      </w:r>
      <w:r>
        <w:rPr>
          <w:rFonts w:hint="eastAsia" w:ascii="宋体" w:hAnsi="宋体" w:eastAsia="宋体"/>
          <w:color w:val="auto"/>
          <w:sz w:val="24"/>
          <w:highlight w:val="none"/>
          <w:lang w:eastAsia="zh-CN"/>
        </w:rPr>
        <w:t>磋商文件</w:t>
      </w:r>
      <w:r>
        <w:rPr>
          <w:rFonts w:hint="eastAsia" w:ascii="宋体" w:hAnsi="宋体" w:eastAsia="宋体"/>
          <w:color w:val="auto"/>
          <w:sz w:val="24"/>
          <w:highlight w:val="none"/>
        </w:rPr>
        <w:t>免费获取（</w:t>
      </w:r>
      <w:r>
        <w:rPr>
          <w:rFonts w:hint="eastAsia" w:ascii="宋体" w:hAnsi="宋体" w:eastAsia="宋体"/>
          <w:color w:val="auto"/>
          <w:sz w:val="24"/>
          <w:highlight w:val="none"/>
          <w:lang w:val="en-US" w:eastAsia="zh-CN"/>
        </w:rPr>
        <w:t>采购</w:t>
      </w:r>
      <w:r>
        <w:rPr>
          <w:rFonts w:hint="eastAsia" w:ascii="宋体" w:hAnsi="宋体" w:eastAsia="宋体"/>
          <w:color w:val="auto"/>
          <w:sz w:val="24"/>
          <w:highlight w:val="none"/>
        </w:rPr>
        <w:t>资格不能转让）。</w:t>
      </w:r>
    </w:p>
    <w:p>
      <w:pPr>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（2）</w:t>
      </w:r>
      <w:r>
        <w:rPr>
          <w:rFonts w:hint="eastAsia" w:ascii="宋体" w:hAnsi="宋体" w:eastAsia="宋体"/>
          <w:color w:val="auto"/>
          <w:sz w:val="24"/>
          <w:highlight w:val="none"/>
          <w:lang w:eastAsia="zh-CN"/>
        </w:rPr>
        <w:t>供应商</w:t>
      </w:r>
      <w:r>
        <w:rPr>
          <w:rFonts w:hint="eastAsia" w:ascii="宋体" w:hAnsi="宋体" w:eastAsia="宋体"/>
          <w:color w:val="auto"/>
          <w:sz w:val="24"/>
          <w:highlight w:val="none"/>
        </w:rPr>
        <w:t>只有在“政府采购云平台”完成获取</w:t>
      </w:r>
      <w:r>
        <w:rPr>
          <w:rFonts w:hint="eastAsia" w:ascii="宋体" w:hAnsi="宋体" w:eastAsia="宋体"/>
          <w:color w:val="auto"/>
          <w:sz w:val="24"/>
          <w:highlight w:val="none"/>
          <w:lang w:eastAsia="zh-CN"/>
        </w:rPr>
        <w:t>磋商文件</w:t>
      </w:r>
      <w:r>
        <w:rPr>
          <w:rFonts w:hint="eastAsia" w:ascii="宋体" w:hAnsi="宋体" w:eastAsia="宋体"/>
          <w:color w:val="auto"/>
          <w:sz w:val="24"/>
          <w:highlight w:val="none"/>
        </w:rPr>
        <w:t>申请并下载</w:t>
      </w:r>
      <w:r>
        <w:rPr>
          <w:rFonts w:hint="eastAsia" w:ascii="宋体" w:hAnsi="宋体" w:eastAsia="宋体"/>
          <w:color w:val="auto"/>
          <w:sz w:val="24"/>
          <w:highlight w:val="none"/>
          <w:lang w:eastAsia="zh-CN"/>
        </w:rPr>
        <w:t>磋商文件</w:t>
      </w:r>
      <w:r>
        <w:rPr>
          <w:rFonts w:hint="eastAsia" w:ascii="宋体" w:hAnsi="宋体" w:eastAsia="宋体"/>
          <w:color w:val="auto"/>
          <w:sz w:val="24"/>
          <w:highlight w:val="none"/>
        </w:rPr>
        <w:t>后才视作依法参与本项目。如未在“政府采购云平台”内完成相关流程，引起的投标无效责任自负。</w:t>
      </w:r>
    </w:p>
    <w:p>
      <w:pPr>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（3）本项目为电子招标投标项目，</w:t>
      </w:r>
      <w:r>
        <w:rPr>
          <w:rFonts w:hint="eastAsia" w:ascii="宋体" w:hAnsi="宋体" w:eastAsia="宋体"/>
          <w:color w:val="auto"/>
          <w:sz w:val="24"/>
          <w:highlight w:val="none"/>
          <w:lang w:eastAsia="zh-CN"/>
        </w:rPr>
        <w:t>供应商</w:t>
      </w:r>
      <w:r>
        <w:rPr>
          <w:rFonts w:hint="eastAsia" w:ascii="宋体" w:hAnsi="宋体" w:eastAsia="宋体"/>
          <w:color w:val="auto"/>
          <w:sz w:val="24"/>
          <w:highlight w:val="none"/>
        </w:rPr>
        <w:t>参与本项目全过程中凡涉及系统操作请详见《供应商政府采购项目电子交易操作指南》。</w:t>
      </w:r>
    </w:p>
    <w:p>
      <w:pPr>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（4）政府采购云平台</w:t>
      </w:r>
      <w:r>
        <w:rPr>
          <w:rFonts w:hint="eastAsia" w:ascii="宋体" w:hAnsi="宋体" w:eastAsia="宋体"/>
          <w:color w:val="auto"/>
          <w:sz w:val="24"/>
          <w:highlight w:val="none"/>
          <w:lang w:eastAsia="zh-CN"/>
        </w:rPr>
        <w:t>供应商</w:t>
      </w:r>
      <w:r>
        <w:rPr>
          <w:rFonts w:hint="eastAsia" w:ascii="宋体" w:hAnsi="宋体" w:eastAsia="宋体"/>
          <w:color w:val="auto"/>
          <w:sz w:val="24"/>
          <w:highlight w:val="none"/>
        </w:rPr>
        <w:t>注册地址：</w:t>
      </w:r>
    </w:p>
    <w:p>
      <w:pPr>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https://middle.zcygov.cn/v-settle-front/registry</w:t>
      </w:r>
    </w:p>
    <w:p>
      <w:pPr>
        <w:spacing w:after="0" w:line="360" w:lineRule="auto"/>
        <w:ind w:firstLine="482" w:firstLineChars="200"/>
        <w:rPr>
          <w:rFonts w:ascii="宋体" w:hAnsi="宋体"/>
          <w:b/>
          <w:color w:val="auto"/>
          <w:sz w:val="24"/>
          <w:highlight w:val="none"/>
        </w:rPr>
      </w:pPr>
      <w:r>
        <w:rPr>
          <w:rFonts w:hint="eastAsia" w:ascii="宋体" w:hAnsi="宋体"/>
          <w:b/>
          <w:color w:val="auto"/>
          <w:sz w:val="24"/>
          <w:szCs w:val="28"/>
          <w:highlight w:val="none"/>
        </w:rPr>
        <w:t>九、</w:t>
      </w:r>
      <w:r>
        <w:rPr>
          <w:rFonts w:hint="eastAsia" w:ascii="宋体" w:hAnsi="宋体"/>
          <w:b/>
          <w:color w:val="auto"/>
          <w:sz w:val="24"/>
          <w:highlight w:val="none"/>
        </w:rPr>
        <w:t>递交响应文件截止时间（参加磋商时间）：</w:t>
      </w:r>
      <w:r>
        <w:rPr>
          <w:rFonts w:hint="eastAsia" w:ascii="宋体" w:hAnsi="宋体"/>
          <w:color w:val="auto"/>
          <w:sz w:val="24"/>
          <w:highlight w:val="none"/>
          <w:u w:val="single"/>
        </w:rPr>
        <w:t>2021年</w:t>
      </w:r>
      <w:r>
        <w:rPr>
          <w:rFonts w:hint="eastAsia" w:ascii="宋体" w:hAnsi="宋体"/>
          <w:color w:val="auto"/>
          <w:sz w:val="24"/>
          <w:highlight w:val="none"/>
          <w:u w:val="single"/>
          <w:lang w:val="en-US" w:eastAsia="zh-CN"/>
        </w:rPr>
        <w:t>9</w:t>
      </w:r>
      <w:r>
        <w:rPr>
          <w:rFonts w:hint="eastAsia" w:ascii="宋体" w:hAnsi="宋体"/>
          <w:color w:val="auto"/>
          <w:sz w:val="24"/>
          <w:highlight w:val="none"/>
          <w:u w:val="single"/>
        </w:rPr>
        <w:t>月</w:t>
      </w:r>
      <w:r>
        <w:rPr>
          <w:rFonts w:hint="eastAsia" w:ascii="宋体" w:hAnsi="宋体"/>
          <w:color w:val="auto"/>
          <w:sz w:val="24"/>
          <w:highlight w:val="none"/>
          <w:u w:val="single"/>
          <w:lang w:val="en-US" w:eastAsia="zh-CN"/>
        </w:rPr>
        <w:t>17</w:t>
      </w:r>
      <w:r>
        <w:rPr>
          <w:rFonts w:hint="eastAsia" w:ascii="宋体" w:hAnsi="宋体"/>
          <w:color w:val="auto"/>
          <w:sz w:val="24"/>
          <w:highlight w:val="none"/>
          <w:u w:val="single"/>
        </w:rPr>
        <w:t xml:space="preserve">日 </w:t>
      </w:r>
      <w:r>
        <w:rPr>
          <w:rFonts w:hint="eastAsia" w:ascii="宋体" w:hAnsi="宋体"/>
          <w:color w:val="auto"/>
          <w:sz w:val="24"/>
          <w:highlight w:val="none"/>
          <w:u w:val="single"/>
          <w:lang w:val="en-US" w:eastAsia="zh-CN"/>
        </w:rPr>
        <w:t>13</w:t>
      </w:r>
      <w:r>
        <w:rPr>
          <w:rFonts w:hint="eastAsia" w:ascii="宋体" w:hAnsi="宋体"/>
          <w:color w:val="auto"/>
          <w:sz w:val="24"/>
          <w:highlight w:val="none"/>
          <w:u w:val="single"/>
        </w:rPr>
        <w:t>:</w:t>
      </w:r>
      <w:r>
        <w:rPr>
          <w:rFonts w:hint="eastAsia" w:ascii="宋体" w:hAnsi="宋体"/>
          <w:color w:val="auto"/>
          <w:sz w:val="24"/>
          <w:highlight w:val="none"/>
          <w:u w:val="single"/>
          <w:lang w:val="en-US" w:eastAsia="zh-CN"/>
        </w:rPr>
        <w:t>30</w:t>
      </w:r>
      <w:r>
        <w:rPr>
          <w:rFonts w:hint="eastAsia" w:ascii="宋体" w:hAnsi="宋体"/>
          <w:color w:val="auto"/>
          <w:sz w:val="24"/>
          <w:highlight w:val="none"/>
          <w:u w:val="single"/>
        </w:rPr>
        <w:t xml:space="preserve"> （北京时间）</w:t>
      </w:r>
      <w:r>
        <w:rPr>
          <w:rFonts w:hint="eastAsia" w:ascii="宋体" w:hAnsi="宋体"/>
          <w:color w:val="auto"/>
          <w:sz w:val="24"/>
          <w:szCs w:val="28"/>
          <w:highlight w:val="none"/>
          <w:u w:val="single"/>
        </w:rPr>
        <w:t>。</w:t>
      </w:r>
    </w:p>
    <w:p>
      <w:pPr>
        <w:pStyle w:val="10"/>
        <w:spacing w:after="0" w:line="360" w:lineRule="auto"/>
        <w:ind w:firstLine="480" w:firstLineChars="200"/>
        <w:rPr>
          <w:rFonts w:ascii="宋体" w:hAnsi="宋体"/>
          <w:color w:val="auto"/>
          <w:sz w:val="24"/>
          <w:szCs w:val="28"/>
          <w:highlight w:val="none"/>
        </w:rPr>
      </w:pPr>
      <w:bookmarkStart w:id="7" w:name="PO_默认文件内容_12"/>
      <w:r>
        <w:rPr>
          <w:rFonts w:hint="eastAsia" w:ascii="宋体" w:hAnsi="宋体"/>
          <w:color w:val="auto"/>
          <w:sz w:val="24"/>
          <w:szCs w:val="28"/>
          <w:highlight w:val="none"/>
        </w:rPr>
        <w:t>响应文件必须在递交响应文件截止时间前送达磋商地点。逾期送达或没有密封的响应文件不予接收。本次磋商不接受邮寄的响应文件。</w:t>
      </w:r>
      <w:bookmarkEnd w:id="7"/>
      <w:r>
        <w:rPr>
          <w:rFonts w:hint="eastAsia" w:ascii="宋体" w:hAnsi="宋体"/>
          <w:b/>
          <w:bCs/>
          <w:color w:val="auto"/>
          <w:sz w:val="24"/>
          <w:highlight w:val="none"/>
        </w:rPr>
        <w:t>（响应文件接收时间：2021年</w:t>
      </w:r>
      <w:r>
        <w:rPr>
          <w:rFonts w:hint="eastAsia" w:ascii="宋体" w:hAnsi="宋体"/>
          <w:b/>
          <w:bCs/>
          <w:color w:val="auto"/>
          <w:sz w:val="24"/>
          <w:highlight w:val="none"/>
          <w:lang w:val="en-US" w:eastAsia="zh-CN"/>
        </w:rPr>
        <w:t>9</w:t>
      </w:r>
      <w:r>
        <w:rPr>
          <w:rFonts w:hint="eastAsia" w:ascii="宋体" w:hAnsi="宋体"/>
          <w:b/>
          <w:bCs/>
          <w:color w:val="auto"/>
          <w:sz w:val="24"/>
          <w:highlight w:val="none"/>
        </w:rPr>
        <w:t>月</w:t>
      </w:r>
      <w:r>
        <w:rPr>
          <w:rFonts w:hint="eastAsia" w:ascii="宋体" w:hAnsi="宋体"/>
          <w:b/>
          <w:bCs/>
          <w:color w:val="auto"/>
          <w:sz w:val="24"/>
          <w:highlight w:val="none"/>
          <w:lang w:val="en-US" w:eastAsia="zh-CN"/>
        </w:rPr>
        <w:t>17</w:t>
      </w:r>
      <w:r>
        <w:rPr>
          <w:rFonts w:hint="eastAsia" w:ascii="宋体" w:hAnsi="宋体"/>
          <w:b/>
          <w:bCs/>
          <w:color w:val="auto"/>
          <w:sz w:val="24"/>
          <w:highlight w:val="none"/>
        </w:rPr>
        <w:t>日 1</w:t>
      </w:r>
      <w:r>
        <w:rPr>
          <w:rFonts w:hint="eastAsia" w:ascii="宋体" w:hAnsi="宋体"/>
          <w:b/>
          <w:bCs/>
          <w:color w:val="auto"/>
          <w:sz w:val="24"/>
          <w:highlight w:val="none"/>
          <w:lang w:val="en-US" w:eastAsia="zh-CN"/>
        </w:rPr>
        <w:t>2</w:t>
      </w:r>
      <w:r>
        <w:rPr>
          <w:rFonts w:hint="eastAsia" w:ascii="宋体" w:hAnsi="宋体"/>
          <w:b/>
          <w:bCs/>
          <w:color w:val="auto"/>
          <w:sz w:val="24"/>
          <w:highlight w:val="none"/>
        </w:rPr>
        <w:t>:</w:t>
      </w:r>
      <w:r>
        <w:rPr>
          <w:rFonts w:hint="eastAsia" w:ascii="宋体" w:hAnsi="宋体"/>
          <w:b/>
          <w:bCs/>
          <w:color w:val="auto"/>
          <w:sz w:val="24"/>
          <w:highlight w:val="none"/>
          <w:lang w:val="en-US" w:eastAsia="zh-CN"/>
        </w:rPr>
        <w:t>30</w:t>
      </w:r>
      <w:r>
        <w:rPr>
          <w:rFonts w:hint="eastAsia" w:ascii="宋体" w:hAnsi="宋体"/>
          <w:b/>
          <w:bCs/>
          <w:color w:val="auto"/>
          <w:sz w:val="24"/>
          <w:highlight w:val="none"/>
        </w:rPr>
        <w:t>-2021年</w:t>
      </w:r>
      <w:r>
        <w:rPr>
          <w:rFonts w:hint="eastAsia" w:ascii="宋体" w:hAnsi="宋体"/>
          <w:b/>
          <w:bCs/>
          <w:color w:val="auto"/>
          <w:sz w:val="24"/>
          <w:highlight w:val="none"/>
          <w:lang w:val="en-US" w:eastAsia="zh-CN"/>
        </w:rPr>
        <w:t>9</w:t>
      </w:r>
      <w:r>
        <w:rPr>
          <w:rFonts w:hint="eastAsia" w:ascii="宋体" w:hAnsi="宋体"/>
          <w:b/>
          <w:bCs/>
          <w:color w:val="auto"/>
          <w:sz w:val="24"/>
          <w:highlight w:val="none"/>
        </w:rPr>
        <w:t>月</w:t>
      </w:r>
      <w:r>
        <w:rPr>
          <w:rFonts w:hint="eastAsia" w:ascii="宋体" w:hAnsi="宋体"/>
          <w:b/>
          <w:bCs/>
          <w:color w:val="auto"/>
          <w:sz w:val="24"/>
          <w:highlight w:val="none"/>
          <w:lang w:val="en-US" w:eastAsia="zh-CN"/>
        </w:rPr>
        <w:t>17</w:t>
      </w:r>
      <w:r>
        <w:rPr>
          <w:rFonts w:hint="eastAsia" w:ascii="宋体" w:hAnsi="宋体"/>
          <w:b/>
          <w:bCs/>
          <w:color w:val="auto"/>
          <w:sz w:val="24"/>
          <w:highlight w:val="none"/>
        </w:rPr>
        <w:t>日 1</w:t>
      </w:r>
      <w:r>
        <w:rPr>
          <w:rFonts w:hint="eastAsia" w:ascii="宋体" w:hAnsi="宋体"/>
          <w:b/>
          <w:bCs/>
          <w:color w:val="auto"/>
          <w:sz w:val="24"/>
          <w:highlight w:val="none"/>
          <w:lang w:val="en-US" w:eastAsia="zh-CN"/>
        </w:rPr>
        <w:t>3</w:t>
      </w:r>
      <w:r>
        <w:rPr>
          <w:rFonts w:hint="eastAsia" w:ascii="宋体" w:hAnsi="宋体"/>
          <w:b/>
          <w:bCs/>
          <w:color w:val="auto"/>
          <w:sz w:val="24"/>
          <w:highlight w:val="none"/>
        </w:rPr>
        <w:t>:</w:t>
      </w:r>
      <w:r>
        <w:rPr>
          <w:rFonts w:hint="eastAsia" w:ascii="宋体" w:hAnsi="宋体"/>
          <w:b/>
          <w:bCs/>
          <w:color w:val="auto"/>
          <w:sz w:val="24"/>
          <w:highlight w:val="none"/>
          <w:lang w:val="en-US" w:eastAsia="zh-CN"/>
        </w:rPr>
        <w:t>30</w:t>
      </w:r>
      <w:r>
        <w:rPr>
          <w:rFonts w:hint="eastAsia" w:ascii="宋体" w:hAnsi="宋体"/>
          <w:b/>
          <w:bCs/>
          <w:color w:val="auto"/>
          <w:sz w:val="24"/>
          <w:highlight w:val="none"/>
        </w:rPr>
        <w:t>）</w:t>
      </w:r>
    </w:p>
    <w:p>
      <w:pPr>
        <w:spacing w:after="0" w:line="360" w:lineRule="auto"/>
        <w:ind w:firstLine="482" w:firstLineChars="200"/>
        <w:rPr>
          <w:rFonts w:ascii="宋体" w:hAnsi="宋体"/>
          <w:b/>
          <w:color w:val="auto"/>
          <w:sz w:val="24"/>
          <w:szCs w:val="28"/>
          <w:highlight w:val="none"/>
        </w:rPr>
      </w:pPr>
      <w:r>
        <w:rPr>
          <w:rFonts w:hint="eastAsia" w:ascii="宋体" w:hAnsi="宋体"/>
          <w:b/>
          <w:color w:val="auto"/>
          <w:sz w:val="24"/>
          <w:szCs w:val="28"/>
          <w:highlight w:val="none"/>
        </w:rPr>
        <w:t>十、磋商地点：</w:t>
      </w:r>
      <w:r>
        <w:rPr>
          <w:rFonts w:hint="eastAsia" w:ascii="宋体" w:hAnsi="宋体"/>
          <w:color w:val="auto"/>
          <w:sz w:val="24"/>
          <w:highlight w:val="none"/>
        </w:rPr>
        <w:t>四川天启建设项目管理有限公司（</w:t>
      </w:r>
      <w:r>
        <w:rPr>
          <w:rFonts w:hint="eastAsia" w:ascii="宋体" w:hAnsi="宋体"/>
          <w:color w:val="auto"/>
          <w:sz w:val="24"/>
          <w:szCs w:val="28"/>
          <w:highlight w:val="none"/>
        </w:rPr>
        <w:t>成都市金牛区蜀西路9号丰德羊西中心13楼01号 ）。</w:t>
      </w:r>
    </w:p>
    <w:p>
      <w:pPr>
        <w:pStyle w:val="59"/>
        <w:spacing w:after="0"/>
        <w:ind w:firstLine="482"/>
        <w:rPr>
          <w:rFonts w:ascii="宋体" w:hAnsi="宋体"/>
          <w:b/>
          <w:color w:val="auto"/>
          <w:sz w:val="24"/>
          <w:highlight w:val="none"/>
        </w:rPr>
      </w:pPr>
      <w:r>
        <w:rPr>
          <w:rFonts w:hint="eastAsia" w:ascii="宋体" w:hAnsi="宋体"/>
          <w:b/>
          <w:color w:val="auto"/>
          <w:sz w:val="24"/>
          <w:highlight w:val="none"/>
        </w:rPr>
        <w:t>十一、供应商信用融资：</w:t>
      </w:r>
    </w:p>
    <w:p>
      <w:pPr>
        <w:pStyle w:val="59"/>
        <w:spacing w:after="0"/>
        <w:ind w:firstLine="480"/>
        <w:rPr>
          <w:rFonts w:ascii="宋体" w:hAnsi="宋体"/>
          <w:color w:val="auto"/>
          <w:sz w:val="24"/>
          <w:highlight w:val="none"/>
        </w:rPr>
      </w:pPr>
      <w:r>
        <w:rPr>
          <w:rFonts w:hint="eastAsia" w:ascii="宋体" w:hAnsi="宋体"/>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pPr>
        <w:pStyle w:val="59"/>
        <w:spacing w:after="0"/>
        <w:ind w:firstLine="480"/>
        <w:rPr>
          <w:rFonts w:ascii="宋体" w:hAnsi="宋体"/>
          <w:color w:val="auto"/>
          <w:sz w:val="24"/>
          <w:highlight w:val="none"/>
        </w:rPr>
      </w:pPr>
      <w:r>
        <w:rPr>
          <w:rFonts w:hint="eastAsia" w:ascii="宋体" w:hAnsi="宋体"/>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磋商文件附件“成财采〔2019〕17号”）。</w:t>
      </w:r>
    </w:p>
    <w:p>
      <w:pPr>
        <w:pStyle w:val="59"/>
        <w:spacing w:after="0"/>
        <w:ind w:firstLine="482"/>
        <w:rPr>
          <w:rFonts w:ascii="宋体" w:hAnsi="宋体"/>
          <w:b/>
          <w:color w:val="auto"/>
          <w:sz w:val="24"/>
          <w:highlight w:val="none"/>
        </w:rPr>
      </w:pPr>
      <w:r>
        <w:rPr>
          <w:rFonts w:hint="eastAsia" w:ascii="宋体" w:hAnsi="宋体"/>
          <w:b/>
          <w:color w:val="auto"/>
          <w:sz w:val="24"/>
          <w:highlight w:val="none"/>
        </w:rPr>
        <w:t>十二、联系方式</w:t>
      </w:r>
    </w:p>
    <w:p>
      <w:pPr>
        <w:pStyle w:val="59"/>
        <w:spacing w:after="0"/>
        <w:ind w:firstLine="482"/>
        <w:rPr>
          <w:rFonts w:hint="eastAsia" w:ascii="宋体" w:hAnsi="宋体" w:eastAsia="宋体"/>
          <w:b/>
          <w:color w:val="auto"/>
          <w:sz w:val="24"/>
          <w:szCs w:val="22"/>
          <w:highlight w:val="none"/>
          <w:lang w:eastAsia="zh-CN"/>
        </w:rPr>
      </w:pPr>
      <w:r>
        <w:rPr>
          <w:rFonts w:hint="eastAsia" w:ascii="宋体" w:hAnsi="宋体"/>
          <w:b/>
          <w:color w:val="auto"/>
          <w:sz w:val="24"/>
          <w:szCs w:val="22"/>
          <w:highlight w:val="none"/>
        </w:rPr>
        <w:t>采 购 人：</w:t>
      </w:r>
      <w:r>
        <w:rPr>
          <w:rFonts w:hint="eastAsia" w:ascii="宋体" w:hAnsi="宋体"/>
          <w:b/>
          <w:bCs/>
          <w:color w:val="auto"/>
          <w:sz w:val="24"/>
          <w:szCs w:val="22"/>
          <w:highlight w:val="none"/>
          <w:lang w:eastAsia="zh-CN"/>
        </w:rPr>
        <w:t>成都市锦江区综合行政执法局</w:t>
      </w:r>
    </w:p>
    <w:p>
      <w:pPr>
        <w:pStyle w:val="59"/>
        <w:spacing w:after="0"/>
        <w:ind w:firstLine="480"/>
        <w:rPr>
          <w:rFonts w:ascii="宋体" w:hAnsi="宋体"/>
          <w:color w:val="auto"/>
          <w:sz w:val="24"/>
          <w:szCs w:val="22"/>
          <w:highlight w:val="none"/>
        </w:rPr>
      </w:pPr>
      <w:r>
        <w:rPr>
          <w:rFonts w:hint="eastAsia" w:ascii="宋体" w:hAnsi="宋体"/>
          <w:color w:val="auto"/>
          <w:sz w:val="24"/>
          <w:szCs w:val="22"/>
          <w:highlight w:val="none"/>
        </w:rPr>
        <w:t>地    址：</w:t>
      </w:r>
      <w:r>
        <w:rPr>
          <w:rFonts w:hint="eastAsia" w:ascii="宋体" w:hAnsi="宋体" w:eastAsia="宋体" w:cs="仿宋"/>
          <w:color w:val="auto"/>
          <w:sz w:val="24"/>
          <w:highlight w:val="none"/>
        </w:rPr>
        <w:t>成都市锦江区龙舟路54号</w:t>
      </w:r>
    </w:p>
    <w:p>
      <w:pPr>
        <w:pStyle w:val="59"/>
        <w:spacing w:after="0"/>
        <w:ind w:firstLine="480"/>
        <w:rPr>
          <w:rFonts w:hint="eastAsia" w:ascii="宋体" w:hAnsi="宋体" w:eastAsia="宋体"/>
          <w:color w:val="auto"/>
          <w:sz w:val="24"/>
          <w:szCs w:val="22"/>
          <w:highlight w:val="none"/>
          <w:lang w:eastAsia="zh-CN"/>
        </w:rPr>
      </w:pPr>
      <w:r>
        <w:rPr>
          <w:rFonts w:hint="eastAsia" w:ascii="宋体" w:hAnsi="宋体"/>
          <w:color w:val="auto"/>
          <w:sz w:val="24"/>
          <w:szCs w:val="22"/>
          <w:highlight w:val="none"/>
        </w:rPr>
        <w:t>联 系 人：</w:t>
      </w:r>
      <w:r>
        <w:rPr>
          <w:rFonts w:hint="eastAsia" w:ascii="宋体" w:hAnsi="宋体" w:eastAsia="宋体" w:cs="仿宋"/>
          <w:color w:val="auto"/>
          <w:sz w:val="24"/>
          <w:highlight w:val="none"/>
        </w:rPr>
        <w:t>张先生</w:t>
      </w:r>
    </w:p>
    <w:p>
      <w:pPr>
        <w:pStyle w:val="59"/>
        <w:spacing w:after="0"/>
        <w:ind w:firstLine="480"/>
        <w:rPr>
          <w:rFonts w:ascii="宋体" w:hAnsi="宋体"/>
          <w:color w:val="auto"/>
          <w:sz w:val="24"/>
          <w:szCs w:val="22"/>
          <w:highlight w:val="none"/>
        </w:rPr>
      </w:pPr>
      <w:r>
        <w:rPr>
          <w:rFonts w:hint="eastAsia" w:ascii="宋体" w:hAnsi="宋体"/>
          <w:color w:val="auto"/>
          <w:sz w:val="24"/>
          <w:szCs w:val="22"/>
          <w:highlight w:val="none"/>
        </w:rPr>
        <w:t>联系电话：</w:t>
      </w:r>
      <w:r>
        <w:rPr>
          <w:rFonts w:hint="eastAsia" w:ascii="宋体" w:hAnsi="宋体" w:eastAsia="宋体" w:cs="仿宋"/>
          <w:color w:val="auto"/>
          <w:sz w:val="24"/>
          <w:highlight w:val="none"/>
        </w:rPr>
        <w:t>028-</w:t>
      </w:r>
      <w:r>
        <w:rPr>
          <w:rFonts w:ascii="宋体" w:hAnsi="宋体" w:eastAsia="宋体" w:cs="仿宋"/>
          <w:color w:val="auto"/>
          <w:sz w:val="24"/>
          <w:highlight w:val="none"/>
        </w:rPr>
        <w:t>845</w:t>
      </w:r>
      <w:r>
        <w:rPr>
          <w:rFonts w:hint="eastAsia" w:ascii="宋体" w:hAnsi="宋体" w:eastAsia="宋体" w:cs="仿宋"/>
          <w:color w:val="auto"/>
          <w:sz w:val="24"/>
          <w:highlight w:val="none"/>
        </w:rPr>
        <w:t>38589</w:t>
      </w:r>
    </w:p>
    <w:p>
      <w:pPr>
        <w:pStyle w:val="59"/>
        <w:spacing w:after="0"/>
        <w:ind w:firstLine="482"/>
        <w:rPr>
          <w:rFonts w:ascii="宋体" w:hAnsi="宋体"/>
          <w:b/>
          <w:color w:val="auto"/>
          <w:sz w:val="24"/>
          <w:highlight w:val="none"/>
        </w:rPr>
      </w:pPr>
    </w:p>
    <w:p>
      <w:pPr>
        <w:pStyle w:val="59"/>
        <w:spacing w:after="0"/>
        <w:ind w:firstLine="482"/>
        <w:rPr>
          <w:rFonts w:ascii="宋体" w:hAnsi="宋体"/>
          <w:b/>
          <w:color w:val="auto"/>
          <w:sz w:val="24"/>
          <w:highlight w:val="none"/>
        </w:rPr>
      </w:pPr>
      <w:r>
        <w:rPr>
          <w:rFonts w:hint="eastAsia" w:ascii="宋体" w:hAnsi="宋体"/>
          <w:b/>
          <w:color w:val="auto"/>
          <w:sz w:val="24"/>
          <w:highlight w:val="none"/>
        </w:rPr>
        <w:t>采购代理机构：四川天启建设项目管理有限公司</w:t>
      </w:r>
    </w:p>
    <w:p>
      <w:pPr>
        <w:pStyle w:val="59"/>
        <w:spacing w:after="0"/>
        <w:ind w:firstLine="480"/>
        <w:rPr>
          <w:rFonts w:ascii="宋体" w:hAnsi="宋体"/>
          <w:color w:val="auto"/>
          <w:sz w:val="24"/>
          <w:szCs w:val="22"/>
          <w:highlight w:val="none"/>
        </w:rPr>
      </w:pPr>
      <w:r>
        <w:rPr>
          <w:rFonts w:hint="eastAsia" w:ascii="宋体" w:hAnsi="宋体"/>
          <w:color w:val="auto"/>
          <w:sz w:val="24"/>
          <w:szCs w:val="22"/>
          <w:highlight w:val="none"/>
        </w:rPr>
        <w:t>地    址：成都市金牛区蜀西路9号丰德羊西中心13楼01号</w:t>
      </w:r>
    </w:p>
    <w:p>
      <w:pPr>
        <w:pStyle w:val="59"/>
        <w:spacing w:after="0"/>
        <w:ind w:firstLine="480"/>
        <w:rPr>
          <w:rFonts w:hint="eastAsia" w:ascii="宋体" w:hAnsi="宋体" w:eastAsia="宋体"/>
          <w:color w:val="auto"/>
          <w:sz w:val="24"/>
          <w:szCs w:val="22"/>
          <w:highlight w:val="none"/>
          <w:lang w:eastAsia="zh-CN"/>
        </w:rPr>
      </w:pPr>
      <w:r>
        <w:rPr>
          <w:rFonts w:hint="eastAsia" w:ascii="宋体" w:hAnsi="宋体"/>
          <w:color w:val="auto"/>
          <w:sz w:val="24"/>
          <w:szCs w:val="22"/>
          <w:highlight w:val="none"/>
        </w:rPr>
        <w:t>联 系 人：</w:t>
      </w:r>
      <w:r>
        <w:rPr>
          <w:rFonts w:hint="eastAsia" w:ascii="宋体" w:hAnsi="宋体"/>
          <w:color w:val="auto"/>
          <w:sz w:val="24"/>
          <w:szCs w:val="22"/>
          <w:highlight w:val="none"/>
          <w:lang w:eastAsia="zh-CN"/>
        </w:rPr>
        <w:t>任女士</w:t>
      </w:r>
    </w:p>
    <w:p>
      <w:pPr>
        <w:pStyle w:val="59"/>
        <w:spacing w:after="0"/>
        <w:ind w:firstLine="480"/>
        <w:rPr>
          <w:rFonts w:ascii="宋体" w:hAnsi="宋体"/>
          <w:color w:val="auto"/>
          <w:sz w:val="24"/>
          <w:szCs w:val="22"/>
          <w:highlight w:val="none"/>
        </w:rPr>
      </w:pPr>
      <w:r>
        <w:rPr>
          <w:rFonts w:hint="eastAsia" w:ascii="宋体" w:hAnsi="宋体"/>
          <w:color w:val="auto"/>
          <w:sz w:val="24"/>
          <w:szCs w:val="22"/>
          <w:highlight w:val="none"/>
        </w:rPr>
        <w:t>联系电话：028-81752878</w:t>
      </w:r>
    </w:p>
    <w:p>
      <w:pPr>
        <w:pStyle w:val="59"/>
        <w:spacing w:after="0"/>
        <w:ind w:firstLine="480"/>
        <w:rPr>
          <w:rFonts w:ascii="宋体" w:hAnsi="宋体"/>
          <w:color w:val="auto"/>
          <w:sz w:val="24"/>
          <w:szCs w:val="22"/>
          <w:highlight w:val="none"/>
        </w:rPr>
        <w:sectPr>
          <w:pgSz w:w="11907" w:h="16840"/>
          <w:pgMar w:top="1440" w:right="1474" w:bottom="1440" w:left="1474" w:header="851" w:footer="992" w:gutter="0"/>
          <w:cols w:space="720" w:num="1"/>
          <w:docGrid w:linePitch="312" w:charSpace="0"/>
        </w:sectPr>
      </w:pPr>
      <w:r>
        <w:rPr>
          <w:rFonts w:hint="eastAsia" w:ascii="宋体" w:hAnsi="宋体"/>
          <w:color w:val="auto"/>
          <w:sz w:val="24"/>
          <w:szCs w:val="22"/>
          <w:highlight w:val="none"/>
        </w:rPr>
        <w:t>传    真：</w:t>
      </w:r>
      <w:bookmarkStart w:id="8" w:name="_Toc12497"/>
      <w:bookmarkStart w:id="9" w:name="_Toc217446031"/>
      <w:bookmarkStart w:id="10" w:name="_Toc213396945"/>
      <w:bookmarkStart w:id="11" w:name="_Toc213397009"/>
      <w:bookmarkStart w:id="12" w:name="_Toc213396759"/>
      <w:bookmarkStart w:id="13" w:name="_Toc213496267"/>
      <w:r>
        <w:rPr>
          <w:rFonts w:hint="eastAsia" w:ascii="宋体" w:hAnsi="宋体"/>
          <w:color w:val="auto"/>
          <w:sz w:val="24"/>
          <w:szCs w:val="22"/>
          <w:highlight w:val="none"/>
        </w:rPr>
        <w:t>028-81752878</w:t>
      </w:r>
    </w:p>
    <w:p>
      <w:pPr>
        <w:pStyle w:val="3"/>
        <w:spacing w:before="0" w:after="0" w:line="360" w:lineRule="auto"/>
        <w:jc w:val="center"/>
        <w:rPr>
          <w:rFonts w:ascii="宋体" w:hAnsi="宋体"/>
          <w:color w:val="auto"/>
          <w:sz w:val="36"/>
          <w:szCs w:val="36"/>
          <w:highlight w:val="none"/>
        </w:rPr>
      </w:pPr>
      <w:bookmarkStart w:id="14" w:name="_Toc73912823"/>
      <w:r>
        <w:rPr>
          <w:rFonts w:hint="eastAsia" w:ascii="宋体" w:hAnsi="宋体"/>
          <w:color w:val="auto"/>
          <w:sz w:val="36"/>
          <w:szCs w:val="36"/>
          <w:highlight w:val="none"/>
        </w:rPr>
        <w:t>第二章  磋商须知</w:t>
      </w:r>
      <w:bookmarkEnd w:id="8"/>
      <w:bookmarkEnd w:id="14"/>
    </w:p>
    <w:p>
      <w:pPr>
        <w:pStyle w:val="4"/>
        <w:spacing w:line="240" w:lineRule="atLeast"/>
        <w:jc w:val="center"/>
        <w:rPr>
          <w:rFonts w:ascii="宋体" w:hAnsi="宋体" w:eastAsia="宋体"/>
          <w:color w:val="auto"/>
          <w:highlight w:val="none"/>
        </w:rPr>
      </w:pPr>
      <w:r>
        <w:rPr>
          <w:rFonts w:hint="eastAsia" w:ascii="宋体" w:hAnsi="宋体" w:eastAsia="宋体"/>
          <w:color w:val="auto"/>
          <w:highlight w:val="none"/>
        </w:rPr>
        <w:t>一、供应商须知附表</w:t>
      </w:r>
    </w:p>
    <w:bookmarkEnd w:id="9"/>
    <w:bookmarkEnd w:id="10"/>
    <w:bookmarkEnd w:id="11"/>
    <w:bookmarkEnd w:id="12"/>
    <w:bookmarkEnd w:id="13"/>
    <w:tbl>
      <w:tblPr>
        <w:tblStyle w:val="30"/>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97"/>
        <w:gridCol w:w="2248"/>
        <w:gridCol w:w="6556"/>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532" w:hRule="atLeast"/>
          <w:tblHeader/>
          <w:jc w:val="center"/>
        </w:trPr>
        <w:tc>
          <w:tcPr>
            <w:tcW w:w="697" w:type="dxa"/>
            <w:vAlign w:val="center"/>
          </w:tcPr>
          <w:p>
            <w:pPr>
              <w:pStyle w:val="58"/>
              <w:ind w:left="9"/>
              <w:jc w:val="center"/>
              <w:rPr>
                <w:rFonts w:cs="Times New Roman"/>
                <w:b/>
                <w:color w:val="auto"/>
                <w:kern w:val="2"/>
                <w:sz w:val="24"/>
                <w:szCs w:val="24"/>
                <w:highlight w:val="none"/>
              </w:rPr>
            </w:pPr>
            <w:r>
              <w:rPr>
                <w:rFonts w:hint="eastAsia" w:cs="Times New Roman"/>
                <w:b/>
                <w:color w:val="auto"/>
                <w:kern w:val="2"/>
                <w:sz w:val="24"/>
                <w:szCs w:val="24"/>
                <w:highlight w:val="none"/>
              </w:rPr>
              <w:t>序号</w:t>
            </w:r>
          </w:p>
        </w:tc>
        <w:tc>
          <w:tcPr>
            <w:tcW w:w="2248" w:type="dxa"/>
            <w:vAlign w:val="center"/>
          </w:tcPr>
          <w:p>
            <w:pPr>
              <w:pStyle w:val="58"/>
              <w:ind w:left="38"/>
              <w:jc w:val="center"/>
              <w:rPr>
                <w:rFonts w:cs="Times New Roman"/>
                <w:b/>
                <w:color w:val="auto"/>
                <w:kern w:val="2"/>
                <w:sz w:val="24"/>
                <w:szCs w:val="24"/>
                <w:highlight w:val="none"/>
              </w:rPr>
            </w:pPr>
            <w:r>
              <w:rPr>
                <w:rFonts w:hint="eastAsia" w:cs="Times New Roman"/>
                <w:b/>
                <w:color w:val="auto"/>
                <w:kern w:val="2"/>
                <w:sz w:val="24"/>
                <w:szCs w:val="24"/>
                <w:highlight w:val="none"/>
              </w:rPr>
              <w:t>条款名称</w:t>
            </w:r>
          </w:p>
        </w:tc>
        <w:tc>
          <w:tcPr>
            <w:tcW w:w="6556" w:type="dxa"/>
            <w:vAlign w:val="center"/>
          </w:tcPr>
          <w:p>
            <w:pPr>
              <w:pStyle w:val="58"/>
              <w:jc w:val="center"/>
              <w:rPr>
                <w:rFonts w:cs="Times New Roman"/>
                <w:b/>
                <w:color w:val="auto"/>
                <w:kern w:val="2"/>
                <w:sz w:val="24"/>
                <w:szCs w:val="24"/>
                <w:highlight w:val="none"/>
              </w:rPr>
            </w:pPr>
            <w:r>
              <w:rPr>
                <w:rFonts w:hint="eastAsia" w:cs="Times New Roman"/>
                <w:b/>
                <w:color w:val="auto"/>
                <w:kern w:val="2"/>
                <w:sz w:val="24"/>
                <w:szCs w:val="24"/>
                <w:highlight w:val="none"/>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Merge w:val="restart"/>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1</w:t>
            </w:r>
          </w:p>
        </w:tc>
        <w:tc>
          <w:tcPr>
            <w:tcW w:w="2248" w:type="dxa"/>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采购预算</w:t>
            </w:r>
          </w:p>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（实质性要求）</w:t>
            </w:r>
          </w:p>
        </w:tc>
        <w:tc>
          <w:tcPr>
            <w:tcW w:w="6556" w:type="dxa"/>
          </w:tcPr>
          <w:p>
            <w:pPr>
              <w:widowControl/>
              <w:spacing w:after="0" w:line="360" w:lineRule="auto"/>
              <w:ind w:firstLine="120" w:firstLineChars="50"/>
              <w:rPr>
                <w:rFonts w:hint="eastAsia" w:asciiTheme="minorEastAsia" w:hAnsiTheme="minorEastAsia" w:eastAsiaTheme="minorEastAsia"/>
                <w:b/>
                <w:color w:val="auto"/>
                <w:kern w:val="0"/>
                <w:sz w:val="24"/>
                <w:szCs w:val="24"/>
                <w:highlight w:val="none"/>
                <w:lang w:eastAsia="zh-CN"/>
              </w:rPr>
            </w:pPr>
            <w:r>
              <w:rPr>
                <w:rFonts w:hint="eastAsia" w:asciiTheme="minorEastAsia" w:hAnsiTheme="minorEastAsia" w:eastAsiaTheme="minorEastAsia"/>
                <w:b/>
                <w:color w:val="auto"/>
                <w:kern w:val="0"/>
                <w:sz w:val="24"/>
                <w:szCs w:val="24"/>
                <w:highlight w:val="none"/>
              </w:rPr>
              <w:t>人民币</w:t>
            </w:r>
            <w:r>
              <w:rPr>
                <w:rFonts w:hint="eastAsia" w:asciiTheme="minorEastAsia" w:hAnsiTheme="minorEastAsia" w:eastAsiaTheme="minorEastAsia"/>
                <w:b/>
                <w:color w:val="auto"/>
                <w:kern w:val="0"/>
                <w:sz w:val="24"/>
                <w:szCs w:val="24"/>
                <w:highlight w:val="none"/>
                <w:lang w:eastAsia="zh-CN"/>
              </w:rPr>
              <w:t>127.485 万元/年</w:t>
            </w:r>
          </w:p>
          <w:p>
            <w:pPr>
              <w:pStyle w:val="58"/>
              <w:spacing w:after="0" w:line="360" w:lineRule="auto"/>
              <w:ind w:firstLine="120" w:firstLineChars="50"/>
              <w:rPr>
                <w:rFonts w:ascii="Times New Roman" w:hAnsi="Times New Roman" w:cs="Times New Roman"/>
                <w:color w:val="auto"/>
                <w:kern w:val="2"/>
                <w:sz w:val="24"/>
                <w:szCs w:val="24"/>
                <w:highlight w:val="none"/>
              </w:rPr>
            </w:pPr>
            <w:r>
              <w:rPr>
                <w:rFonts w:hint="eastAsia" w:asciiTheme="minorEastAsia" w:hAnsiTheme="minorEastAsia" w:eastAsiaTheme="minorEastAsia"/>
                <w:color w:val="auto"/>
                <w:sz w:val="24"/>
                <w:szCs w:val="24"/>
                <w:highlight w:val="none"/>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Merge w:val="continue"/>
            <w:vAlign w:val="center"/>
          </w:tcPr>
          <w:p>
            <w:pPr>
              <w:pStyle w:val="58"/>
              <w:spacing w:after="0" w:line="360" w:lineRule="auto"/>
              <w:jc w:val="center"/>
              <w:rPr>
                <w:color w:val="auto"/>
                <w:sz w:val="24"/>
                <w:szCs w:val="24"/>
                <w:highlight w:val="none"/>
              </w:rPr>
            </w:pPr>
          </w:p>
        </w:tc>
        <w:tc>
          <w:tcPr>
            <w:tcW w:w="2248" w:type="dxa"/>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最高限价</w:t>
            </w:r>
          </w:p>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（实质性要求）</w:t>
            </w:r>
          </w:p>
        </w:tc>
        <w:tc>
          <w:tcPr>
            <w:tcW w:w="6556" w:type="dxa"/>
          </w:tcPr>
          <w:p>
            <w:pPr>
              <w:pStyle w:val="58"/>
              <w:spacing w:after="0" w:line="360" w:lineRule="auto"/>
              <w:ind w:firstLine="120" w:firstLineChars="50"/>
              <w:rPr>
                <w:rFonts w:hint="eastAsia" w:asciiTheme="minorEastAsia" w:hAnsiTheme="minorEastAsia" w:eastAsiaTheme="minorEastAsia"/>
                <w:b/>
                <w:bCs/>
                <w:color w:val="auto"/>
                <w:sz w:val="24"/>
                <w:szCs w:val="24"/>
                <w:highlight w:val="none"/>
                <w:lang w:eastAsia="zh-CN"/>
              </w:rPr>
            </w:pPr>
            <w:r>
              <w:rPr>
                <w:rFonts w:hint="eastAsia" w:asciiTheme="minorEastAsia" w:hAnsiTheme="minorEastAsia" w:eastAsiaTheme="minorEastAsia"/>
                <w:b/>
                <w:bCs/>
                <w:color w:val="auto"/>
                <w:sz w:val="24"/>
                <w:szCs w:val="24"/>
                <w:highlight w:val="none"/>
              </w:rPr>
              <w:t>人民币</w:t>
            </w:r>
            <w:r>
              <w:rPr>
                <w:rFonts w:hint="eastAsia" w:asciiTheme="minorEastAsia" w:hAnsiTheme="minorEastAsia" w:eastAsiaTheme="minorEastAsia"/>
                <w:b/>
                <w:color w:val="auto"/>
                <w:sz w:val="24"/>
                <w:szCs w:val="24"/>
                <w:highlight w:val="none"/>
                <w:lang w:eastAsia="zh-CN"/>
              </w:rPr>
              <w:t>127.485 万元/年</w:t>
            </w:r>
          </w:p>
          <w:p>
            <w:pPr>
              <w:pStyle w:val="58"/>
              <w:spacing w:after="0" w:line="360" w:lineRule="auto"/>
              <w:ind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超过最高限价的报价,其响应文件按无效处理。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pStyle w:val="58"/>
              <w:spacing w:after="0" w:line="360" w:lineRule="auto"/>
              <w:jc w:val="center"/>
              <w:rPr>
                <w:color w:val="auto"/>
                <w:sz w:val="24"/>
                <w:szCs w:val="24"/>
                <w:highlight w:val="none"/>
              </w:rPr>
            </w:pPr>
            <w:r>
              <w:rPr>
                <w:rFonts w:hint="eastAsia"/>
                <w:color w:val="auto"/>
                <w:sz w:val="24"/>
                <w:szCs w:val="24"/>
                <w:highlight w:val="none"/>
              </w:rPr>
              <w:t>2</w:t>
            </w:r>
          </w:p>
        </w:tc>
        <w:tc>
          <w:tcPr>
            <w:tcW w:w="2248" w:type="dxa"/>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本项目所属行业</w:t>
            </w:r>
          </w:p>
        </w:tc>
        <w:tc>
          <w:tcPr>
            <w:tcW w:w="6556" w:type="dxa"/>
          </w:tcPr>
          <w:p>
            <w:pPr>
              <w:pStyle w:val="58"/>
              <w:spacing w:after="0" w:line="360" w:lineRule="auto"/>
              <w:ind w:firstLine="120" w:firstLineChars="50"/>
              <w:rPr>
                <w:rFonts w:asciiTheme="minorEastAsia" w:hAnsiTheme="minorEastAsia" w:eastAsiaTheme="minorEastAsia"/>
                <w:b w:val="0"/>
                <w:bCs/>
                <w:color w:val="auto"/>
                <w:sz w:val="24"/>
                <w:szCs w:val="24"/>
                <w:highlight w:val="none"/>
              </w:rPr>
            </w:pPr>
            <w:r>
              <w:rPr>
                <w:rFonts w:asciiTheme="minorEastAsia" w:hAnsiTheme="minorEastAsia" w:eastAsiaTheme="minorEastAsia"/>
                <w:b w:val="0"/>
                <w:bCs/>
                <w:color w:val="auto"/>
                <w:sz w:val="24"/>
                <w:szCs w:val="24"/>
                <w:highlight w:val="none"/>
              </w:rPr>
              <w:t>本项目所属行业为</w:t>
            </w:r>
            <w:r>
              <w:rPr>
                <w:rFonts w:hint="eastAsia" w:asciiTheme="minorEastAsia" w:hAnsiTheme="minorEastAsia" w:eastAsiaTheme="minorEastAsia"/>
                <w:b w:val="0"/>
                <w:bCs/>
                <w:color w:val="auto"/>
                <w:sz w:val="24"/>
                <w:szCs w:val="24"/>
                <w:highlight w:val="none"/>
                <w:u w:val="single"/>
                <w:lang w:eastAsia="zh-CN"/>
              </w:rPr>
              <w:t>其他未列明行业</w:t>
            </w:r>
            <w:r>
              <w:rPr>
                <w:rFonts w:hint="eastAsia" w:asciiTheme="minorEastAsia" w:hAnsiTheme="minorEastAsia" w:eastAsiaTheme="minorEastAsia"/>
                <w:b w:val="0"/>
                <w:bCs/>
                <w:color w:val="auto"/>
                <w:sz w:val="24"/>
                <w:szCs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pStyle w:val="58"/>
              <w:spacing w:after="0" w:line="360" w:lineRule="auto"/>
              <w:jc w:val="center"/>
              <w:rPr>
                <w:color w:val="auto"/>
                <w:sz w:val="24"/>
                <w:szCs w:val="24"/>
                <w:highlight w:val="none"/>
              </w:rPr>
            </w:pPr>
            <w:r>
              <w:rPr>
                <w:rFonts w:hint="eastAsia"/>
                <w:color w:val="auto"/>
                <w:sz w:val="24"/>
                <w:szCs w:val="24"/>
                <w:highlight w:val="none"/>
              </w:rPr>
              <w:t>3</w:t>
            </w:r>
          </w:p>
        </w:tc>
        <w:tc>
          <w:tcPr>
            <w:tcW w:w="2248" w:type="dxa"/>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定向采购</w:t>
            </w:r>
          </w:p>
        </w:tc>
        <w:tc>
          <w:tcPr>
            <w:tcW w:w="6556" w:type="dxa"/>
          </w:tcPr>
          <w:p>
            <w:pPr>
              <w:pStyle w:val="58"/>
              <w:spacing w:after="0" w:line="360" w:lineRule="auto"/>
              <w:ind w:firstLine="120" w:firstLineChars="50"/>
              <w:rPr>
                <w:rFonts w:asciiTheme="minorEastAsia" w:hAnsiTheme="minorEastAsia" w:eastAsiaTheme="minorEastAsia"/>
                <w:b w:val="0"/>
                <w:bCs/>
                <w:color w:val="auto"/>
                <w:sz w:val="24"/>
                <w:szCs w:val="24"/>
                <w:highlight w:val="none"/>
              </w:rPr>
            </w:pPr>
            <w:r>
              <w:rPr>
                <w:rFonts w:asciiTheme="minorEastAsia" w:hAnsiTheme="minorEastAsia" w:eastAsiaTheme="minorEastAsia"/>
                <w:b w:val="0"/>
                <w:bCs/>
                <w:color w:val="auto"/>
                <w:sz w:val="24"/>
                <w:szCs w:val="24"/>
                <w:highlight w:val="none"/>
              </w:rPr>
              <w:t>本项目为专门面向中小微企业采购的项目</w:t>
            </w:r>
            <w:r>
              <w:rPr>
                <w:rFonts w:hint="eastAsia" w:asciiTheme="minorEastAsia" w:hAnsiTheme="minorEastAsia" w:eastAsiaTheme="minorEastAsia"/>
                <w:b w:val="0"/>
                <w:bCs/>
                <w:color w:val="auto"/>
                <w:sz w:val="24"/>
                <w:szCs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pStyle w:val="58"/>
              <w:spacing w:after="0" w:line="360" w:lineRule="auto"/>
              <w:jc w:val="center"/>
              <w:rPr>
                <w:color w:val="auto"/>
                <w:sz w:val="24"/>
                <w:szCs w:val="24"/>
                <w:highlight w:val="none"/>
              </w:rPr>
            </w:pPr>
            <w:r>
              <w:rPr>
                <w:rFonts w:hint="eastAsia"/>
                <w:color w:val="auto"/>
                <w:sz w:val="24"/>
                <w:szCs w:val="24"/>
                <w:highlight w:val="none"/>
              </w:rPr>
              <w:t>4</w:t>
            </w:r>
          </w:p>
        </w:tc>
        <w:tc>
          <w:tcPr>
            <w:tcW w:w="2248" w:type="dxa"/>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w:t>
            </w:r>
          </w:p>
        </w:tc>
        <w:tc>
          <w:tcPr>
            <w:tcW w:w="6556" w:type="dxa"/>
            <w:vAlign w:val="center"/>
          </w:tcPr>
          <w:p>
            <w:pPr>
              <w:pStyle w:val="58"/>
              <w:spacing w:after="0" w:line="360" w:lineRule="auto"/>
              <w:ind w:firstLine="120" w:firstLineChars="50"/>
              <w:jc w:val="both"/>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5</w:t>
            </w:r>
          </w:p>
        </w:tc>
        <w:tc>
          <w:tcPr>
            <w:tcW w:w="2248" w:type="dxa"/>
            <w:tcBorders>
              <w:top w:val="single" w:color="auto" w:sz="4" w:space="0"/>
            </w:tcBorders>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评审办法</w:t>
            </w:r>
          </w:p>
        </w:tc>
        <w:tc>
          <w:tcPr>
            <w:tcW w:w="6556" w:type="dxa"/>
            <w:tcBorders>
              <w:top w:val="single" w:color="auto" w:sz="4" w:space="0"/>
            </w:tcBorders>
            <w:vAlign w:val="center"/>
          </w:tcPr>
          <w:p>
            <w:pPr>
              <w:widowControl/>
              <w:spacing w:after="0" w:line="360" w:lineRule="auto"/>
              <w:ind w:firstLine="120" w:firstLineChars="50"/>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6</w:t>
            </w:r>
          </w:p>
        </w:tc>
        <w:tc>
          <w:tcPr>
            <w:tcW w:w="2248" w:type="dxa"/>
            <w:tcBorders>
              <w:top w:val="single" w:color="auto" w:sz="4" w:space="0"/>
            </w:tcBorders>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磋商保证金</w:t>
            </w:r>
          </w:p>
        </w:tc>
        <w:tc>
          <w:tcPr>
            <w:tcW w:w="6556" w:type="dxa"/>
            <w:tcBorders>
              <w:top w:val="single" w:color="auto" w:sz="4" w:space="0"/>
            </w:tcBorders>
            <w:vAlign w:val="center"/>
          </w:tcPr>
          <w:p>
            <w:pPr>
              <w:widowControl/>
              <w:spacing w:after="0" w:line="360" w:lineRule="auto"/>
              <w:ind w:firstLine="120" w:firstLineChars="50"/>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本项目不收取磋商保证金。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7</w:t>
            </w:r>
          </w:p>
        </w:tc>
        <w:tc>
          <w:tcPr>
            <w:tcW w:w="2248" w:type="dxa"/>
            <w:tcBorders>
              <w:top w:val="single" w:color="auto" w:sz="4" w:space="0"/>
            </w:tcBorders>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是否接受联合体参与本次磋商</w:t>
            </w:r>
          </w:p>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（实质性要求）</w:t>
            </w:r>
          </w:p>
        </w:tc>
        <w:tc>
          <w:tcPr>
            <w:tcW w:w="6556" w:type="dxa"/>
            <w:tcBorders>
              <w:top w:val="single" w:color="auto" w:sz="4" w:space="0"/>
            </w:tcBorders>
            <w:vAlign w:val="center"/>
          </w:tcPr>
          <w:p>
            <w:pPr>
              <w:widowControl/>
              <w:spacing w:after="0" w:line="360" w:lineRule="auto"/>
              <w:ind w:firstLine="120" w:firstLineChars="50"/>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本项目不接受联合体参加磋商。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74"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8</w:t>
            </w:r>
          </w:p>
        </w:tc>
        <w:tc>
          <w:tcPr>
            <w:tcW w:w="2248" w:type="dxa"/>
            <w:tcBorders>
              <w:top w:val="single" w:color="auto" w:sz="4" w:space="0"/>
            </w:tcBorders>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磋商有效期</w:t>
            </w:r>
          </w:p>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（实质性要求）</w:t>
            </w:r>
          </w:p>
        </w:tc>
        <w:tc>
          <w:tcPr>
            <w:tcW w:w="6556" w:type="dxa"/>
            <w:tcBorders>
              <w:top w:val="single" w:color="auto" w:sz="4" w:space="0"/>
            </w:tcBorders>
            <w:vAlign w:val="center"/>
          </w:tcPr>
          <w:p>
            <w:pPr>
              <w:widowControl/>
              <w:spacing w:after="0" w:line="360" w:lineRule="auto"/>
              <w:ind w:firstLine="120" w:firstLineChars="50"/>
              <w:rPr>
                <w:rFonts w:cs="宋体"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提交响应文件的截止之日起90日。</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9</w:t>
            </w:r>
          </w:p>
        </w:tc>
        <w:tc>
          <w:tcPr>
            <w:tcW w:w="2248" w:type="dxa"/>
            <w:tcBorders>
              <w:top w:val="single" w:color="auto" w:sz="4" w:space="0"/>
            </w:tcBorders>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备选方案和报价</w:t>
            </w:r>
          </w:p>
        </w:tc>
        <w:tc>
          <w:tcPr>
            <w:tcW w:w="6556" w:type="dxa"/>
            <w:tcBorders>
              <w:top w:val="single" w:color="auto" w:sz="4" w:space="0"/>
            </w:tcBorders>
          </w:tcPr>
          <w:p>
            <w:pPr>
              <w:widowControl/>
              <w:spacing w:after="0" w:line="360" w:lineRule="auto"/>
              <w:ind w:firstLine="120" w:firstLineChars="50"/>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本项目不接受备选方案和多个报价。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10</w:t>
            </w:r>
          </w:p>
        </w:tc>
        <w:tc>
          <w:tcPr>
            <w:tcW w:w="2248" w:type="dxa"/>
            <w:tcBorders>
              <w:top w:val="single" w:color="auto" w:sz="4" w:space="0"/>
            </w:tcBorders>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质量要求、履约验收</w:t>
            </w:r>
          </w:p>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（实质性要求）</w:t>
            </w:r>
          </w:p>
        </w:tc>
        <w:tc>
          <w:tcPr>
            <w:tcW w:w="6556" w:type="dxa"/>
            <w:tcBorders>
              <w:top w:val="single" w:color="auto" w:sz="4" w:space="0"/>
            </w:tcBorders>
          </w:tcPr>
          <w:p>
            <w:pPr>
              <w:widowControl/>
              <w:spacing w:after="0" w:line="360" w:lineRule="auto"/>
              <w:ind w:firstLine="120" w:firstLineChars="50"/>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1.质量要求：达到国家相关标准、行业标准、地方标准或者其他标准、规范要求；</w:t>
            </w:r>
          </w:p>
          <w:p>
            <w:pPr>
              <w:widowControl/>
              <w:spacing w:after="0" w:line="360" w:lineRule="auto"/>
              <w:ind w:firstLine="120" w:firstLineChars="50"/>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kern w:val="0"/>
                <w:sz w:val="24"/>
                <w:szCs w:val="24"/>
                <w:highlight w:val="none"/>
              </w:rPr>
              <w:t>2.履约验收：采购人及其委托的采购代理机构将严格按照政府采购相关法律法规以及财政部关于进一步加强政府采购需求和履约验收管理的指导意见》（财库〔2016〕205号）的要求及参考《四川省政府采购项目需求论证和履约验收管理办法》（川财采〔2015〕32号）文件规定的要求进行验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11</w:t>
            </w:r>
          </w:p>
        </w:tc>
        <w:tc>
          <w:tcPr>
            <w:tcW w:w="2248" w:type="dxa"/>
            <w:tcBorders>
              <w:top w:val="single" w:color="auto" w:sz="4" w:space="0"/>
            </w:tcBorders>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现场考察、答疑会</w:t>
            </w:r>
          </w:p>
        </w:tc>
        <w:tc>
          <w:tcPr>
            <w:tcW w:w="6556" w:type="dxa"/>
            <w:tcBorders>
              <w:top w:val="single" w:color="auto" w:sz="4" w:space="0"/>
            </w:tcBorders>
          </w:tcPr>
          <w:p>
            <w:pPr>
              <w:widowControl/>
              <w:spacing w:after="0" w:line="360" w:lineRule="auto"/>
              <w:ind w:firstLine="120" w:firstLineChars="50"/>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本项目</w:t>
            </w:r>
            <w:r>
              <w:rPr>
                <w:rFonts w:hint="eastAsia" w:ascii="MS Gothic" w:hAnsi="MS Gothic" w:cs="MS Gothic"/>
                <w:b/>
                <w:color w:val="auto"/>
                <w:sz w:val="24"/>
                <w:szCs w:val="24"/>
                <w:highlight w:val="none"/>
              </w:rPr>
              <w:t>□</w:t>
            </w:r>
            <w:r>
              <w:rPr>
                <w:rFonts w:hint="eastAsia" w:asciiTheme="minorEastAsia" w:hAnsiTheme="minorEastAsia" w:eastAsiaTheme="minorEastAsia"/>
                <w:color w:val="auto"/>
                <w:sz w:val="24"/>
                <w:szCs w:val="24"/>
                <w:highlight w:val="none"/>
              </w:rPr>
              <w:t xml:space="preserve">组织 </w:t>
            </w:r>
            <w:r>
              <w:rPr>
                <w:rFonts w:asciiTheme="minorEastAsia" w:hAnsiTheme="minorEastAsia" w:eastAsiaTheme="minorEastAsia"/>
                <w:color w:val="auto"/>
                <w:sz w:val="24"/>
                <w:szCs w:val="24"/>
                <w:highlight w:val="none"/>
              </w:rPr>
              <w:t xml:space="preserve"> </w:t>
            </w:r>
            <w:r>
              <w:rPr>
                <w:rFonts w:hint="eastAsia" w:asciiTheme="minorEastAsia" w:hAnsiTheme="minorEastAsia" w:eastAsiaTheme="minorEastAsia"/>
                <w:color w:val="auto"/>
                <w:sz w:val="24"/>
                <w:szCs w:val="24"/>
                <w:highlight w:val="none"/>
              </w:rPr>
              <w:t>☑</w:t>
            </w:r>
            <w:r>
              <w:rPr>
                <w:rFonts w:asciiTheme="minorEastAsia" w:hAnsiTheme="minorEastAsia" w:eastAsiaTheme="minorEastAsia"/>
                <w:color w:val="auto"/>
                <w:sz w:val="24"/>
                <w:szCs w:val="24"/>
                <w:highlight w:val="none"/>
              </w:rPr>
              <w:t>不</w:t>
            </w:r>
            <w:r>
              <w:rPr>
                <w:rFonts w:hint="eastAsia" w:asciiTheme="minorEastAsia" w:hAnsiTheme="minorEastAsia" w:eastAsiaTheme="minorEastAsia"/>
                <w:color w:val="auto"/>
                <w:sz w:val="24"/>
                <w:szCs w:val="24"/>
                <w:highlight w:val="none"/>
              </w:rPr>
              <w:t>组织</w:t>
            </w:r>
            <w:r>
              <w:rPr>
                <w:rFonts w:asciiTheme="minorEastAsia" w:hAnsiTheme="minorEastAsia" w:eastAsiaTheme="minorEastAsia"/>
                <w:color w:val="auto"/>
                <w:sz w:val="24"/>
                <w:szCs w:val="24"/>
                <w:highlight w:val="none"/>
              </w:rPr>
              <w:t>现场考察、答疑会。</w:t>
            </w:r>
          </w:p>
          <w:p>
            <w:pPr>
              <w:widowControl/>
              <w:spacing w:after="0" w:line="360" w:lineRule="auto"/>
              <w:ind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注：1.采购人、采购代理机构可以视采购项目的具体情况，组织供应商进行现场考察或磋商前答疑会，但不得单独或分别组织只有一个供应商参加的现场考察和答疑会。若组织答疑会和现场考察以采购代理机构通知为准。</w:t>
            </w:r>
          </w:p>
          <w:p>
            <w:pPr>
              <w:widowControl/>
              <w:spacing w:after="0" w:line="360" w:lineRule="auto"/>
              <w:ind w:firstLine="120" w:firstLineChars="50"/>
              <w:rPr>
                <w:rFonts w:cs="宋体"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rPr>
              <w:t>2.供应商考察现场所发生的一切费用由供应商自行承担。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12</w:t>
            </w:r>
          </w:p>
        </w:tc>
        <w:tc>
          <w:tcPr>
            <w:tcW w:w="2248" w:type="dxa"/>
            <w:tcBorders>
              <w:top w:val="single" w:color="auto" w:sz="4" w:space="0"/>
            </w:tcBorders>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color w:val="auto"/>
                <w:sz w:val="24"/>
                <w:szCs w:val="24"/>
                <w:highlight w:val="none"/>
              </w:rPr>
              <w:t>低于成</w:t>
            </w:r>
            <w:r>
              <w:rPr>
                <w:rFonts w:hint="eastAsia" w:ascii="宋体" w:hAnsi="宋体" w:eastAsia="宋体" w:cs="宋体"/>
                <w:color w:val="auto"/>
                <w:sz w:val="24"/>
                <w:szCs w:val="24"/>
                <w:highlight w:val="none"/>
              </w:rPr>
              <w:t>本价不正当竞争预防措施</w:t>
            </w:r>
          </w:p>
          <w:p>
            <w:pPr>
              <w:pStyle w:val="58"/>
              <w:spacing w:after="0" w:line="240" w:lineRule="auto"/>
              <w:jc w:val="center"/>
              <w:rPr>
                <w:color w:val="auto"/>
                <w:sz w:val="24"/>
                <w:szCs w:val="24"/>
                <w:highlight w:val="none"/>
              </w:rPr>
            </w:pPr>
            <w:r>
              <w:rPr>
                <w:rFonts w:hint="eastAsia" w:ascii="宋体" w:hAnsi="宋体" w:eastAsia="宋体" w:cs="宋体"/>
                <w:color w:val="auto"/>
                <w:sz w:val="24"/>
                <w:szCs w:val="24"/>
                <w:highlight w:val="none"/>
              </w:rPr>
              <w:t>（实质性要</w:t>
            </w:r>
            <w:r>
              <w:rPr>
                <w:rFonts w:hint="eastAsia" w:cs="Times New Roman"/>
                <w:color w:val="auto"/>
                <w:kern w:val="2"/>
                <w:sz w:val="24"/>
                <w:szCs w:val="24"/>
                <w:highlight w:val="none"/>
              </w:rPr>
              <w:t>求）</w:t>
            </w:r>
          </w:p>
        </w:tc>
        <w:tc>
          <w:tcPr>
            <w:tcW w:w="6556" w:type="dxa"/>
            <w:tcBorders>
              <w:top w:val="single" w:color="auto" w:sz="4" w:space="0"/>
            </w:tcBorders>
          </w:tcPr>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在评审过程中，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处理。供应商书面说明应当按照国家财务会计制度的规定要求，逐项就供应商提供的货物、工程和服务的主营业务成本(应根据供应商企业类型予以区别)、税金及附加、销售费用、管理费用、财务费用等成本构成事项详细陈述[若响应文件未附财务报告的，则还需提供完整的财务状况报告(含三表一附注)]。</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widowControl/>
              <w:spacing w:after="0" w:line="360" w:lineRule="auto"/>
              <w:ind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供应商提供书面说明后，磋商小组应当结合采购项目采购需求、专业实际情况、供应商财务状况报告、与其他供应商比较情况等就供应商书面说明进行审查评价。供应商拒绝或者变相拒绝(包括未在规定时间内提供的)提供有效书面说明或者书面说明不能证明其报价合理性的，磋商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13</w:t>
            </w:r>
          </w:p>
        </w:tc>
        <w:tc>
          <w:tcPr>
            <w:tcW w:w="2248" w:type="dxa"/>
            <w:tcBorders>
              <w:top w:val="single" w:color="auto" w:sz="4" w:space="0"/>
            </w:tcBorders>
            <w:vAlign w:val="center"/>
          </w:tcPr>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rFonts w:hint="eastAsia"/>
                <w:color w:val="auto"/>
                <w:sz w:val="24"/>
                <w:szCs w:val="24"/>
                <w:highlight w:val="none"/>
              </w:rPr>
            </w:pPr>
          </w:p>
          <w:p>
            <w:pPr>
              <w:pStyle w:val="58"/>
              <w:spacing w:after="0" w:line="240" w:lineRule="auto"/>
              <w:jc w:val="center"/>
              <w:rPr>
                <w:color w:val="auto"/>
                <w:sz w:val="24"/>
                <w:szCs w:val="24"/>
                <w:highlight w:val="none"/>
              </w:rPr>
            </w:pPr>
            <w:r>
              <w:rPr>
                <w:rFonts w:hint="eastAsia"/>
                <w:color w:val="auto"/>
                <w:sz w:val="24"/>
                <w:szCs w:val="24"/>
                <w:highlight w:val="none"/>
              </w:rPr>
              <w:t>小微企</w:t>
            </w:r>
            <w:r>
              <w:rPr>
                <w:rFonts w:hint="eastAsia" w:ascii="宋体" w:hAnsi="宋体" w:eastAsia="宋体" w:cs="宋体"/>
                <w:snapToGrid/>
                <w:color w:val="auto"/>
                <w:sz w:val="24"/>
                <w:szCs w:val="24"/>
                <w:highlight w:val="none"/>
                <w:lang w:val="en-US" w:eastAsia="zh-CN" w:bidi="ar-SA"/>
              </w:rPr>
              <w:t>业</w:t>
            </w:r>
            <w:r>
              <w:rPr>
                <w:rFonts w:hint="eastAsia" w:ascii="宋体" w:hAnsi="宋体" w:eastAsia="宋体" w:cs="宋体"/>
                <w:color w:val="auto"/>
                <w:sz w:val="24"/>
                <w:szCs w:val="24"/>
                <w:highlight w:val="none"/>
                <w:lang w:val="en-US" w:eastAsia="zh-CN"/>
              </w:rPr>
              <w:t>（</w:t>
            </w:r>
            <w:r>
              <w:rPr>
                <w:rFonts w:hint="eastAsia" w:ascii="宋体" w:hAnsi="宋体" w:eastAsia="宋体" w:cs="宋体"/>
                <w:snapToGrid/>
                <w:color w:val="auto"/>
                <w:sz w:val="24"/>
                <w:szCs w:val="24"/>
                <w:highlight w:val="none"/>
                <w:lang w:val="en-US" w:eastAsia="zh-CN" w:bidi="ar-SA"/>
              </w:rPr>
              <w:t>监狱企业、残疾人福利性单位视同小微企业）价格加成或者扣除</w:t>
            </w:r>
          </w:p>
          <w:p>
            <w:pPr>
              <w:pStyle w:val="72"/>
              <w:wordWrap/>
              <w:spacing w:line="360" w:lineRule="auto"/>
              <w:ind w:left="0" w:leftChars="0"/>
              <w:jc w:val="center"/>
              <w:rPr>
                <w:color w:val="auto"/>
                <w:sz w:val="24"/>
                <w:szCs w:val="24"/>
                <w:highlight w:val="none"/>
              </w:rPr>
            </w:pPr>
            <w:r>
              <w:rPr>
                <w:rFonts w:hint="eastAsia"/>
                <w:color w:val="auto"/>
                <w:sz w:val="24"/>
                <w:szCs w:val="24"/>
                <w:highlight w:val="none"/>
              </w:rPr>
              <w:t>（实质性要求）</w:t>
            </w:r>
          </w:p>
        </w:tc>
        <w:tc>
          <w:tcPr>
            <w:tcW w:w="6556" w:type="dxa"/>
            <w:tcBorders>
              <w:top w:val="single" w:color="auto" w:sz="4" w:space="0"/>
            </w:tcBorders>
          </w:tcPr>
          <w:p>
            <w:pPr>
              <w:pStyle w:val="72"/>
              <w:wordWrap/>
              <w:spacing w:line="360" w:lineRule="auto"/>
              <w:ind w:left="0" w:leftChars="0" w:firstLine="120" w:firstLineChars="5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一、小微企业价格扣除</w:t>
            </w:r>
          </w:p>
          <w:p>
            <w:pPr>
              <w:widowControl/>
              <w:spacing w:after="0" w:line="360" w:lineRule="auto"/>
              <w:ind w:firstLine="120" w:firstLineChars="50"/>
              <w:rPr>
                <w:rFonts w:hint="default" w:cs="宋体" w:asciiTheme="minorEastAsia" w:hAnsiTheme="minorEastAsia" w:eastAsiaTheme="minorEastAsia"/>
                <w:color w:val="auto"/>
                <w:kern w:val="0"/>
                <w:sz w:val="24"/>
                <w:szCs w:val="24"/>
                <w:highlight w:val="none"/>
                <w:lang w:val="en-US" w:eastAsia="zh-CN"/>
              </w:rPr>
            </w:pPr>
            <w:r>
              <w:rPr>
                <w:rFonts w:hint="eastAsia" w:cs="宋体" w:asciiTheme="minorEastAsia" w:hAnsiTheme="minorEastAsia" w:eastAsiaTheme="minorEastAsia"/>
                <w:color w:val="auto"/>
                <w:kern w:val="0"/>
                <w:sz w:val="24"/>
                <w:szCs w:val="24"/>
                <w:highlight w:val="none"/>
              </w:rPr>
              <w:t>1.根据关于印发《政府采购促进中小企业发展管理办法》的通知（财库〔2020〕46号的规定</w:t>
            </w:r>
            <w:r>
              <w:rPr>
                <w:rFonts w:hint="eastAsia" w:cs="宋体" w:asciiTheme="minorEastAsia" w:hAnsiTheme="minorEastAsia" w:eastAsiaTheme="minorEastAsia"/>
                <w:color w:val="auto"/>
                <w:kern w:val="0"/>
                <w:sz w:val="24"/>
                <w:szCs w:val="24"/>
                <w:highlight w:val="none"/>
                <w:lang w:val="en-US" w:eastAsia="zh-CN"/>
              </w:rPr>
              <w:t>执行</w:t>
            </w:r>
            <w:r>
              <w:rPr>
                <w:rFonts w:hint="eastAsia" w:cs="宋体" w:asciiTheme="minorEastAsia" w:hAnsiTheme="minorEastAsia" w:eastAsiaTheme="minorEastAsia"/>
                <w:color w:val="auto"/>
                <w:kern w:val="0"/>
                <w:sz w:val="24"/>
                <w:szCs w:val="24"/>
                <w:highlight w:val="none"/>
              </w:rPr>
              <w:t>，</w:t>
            </w:r>
            <w:r>
              <w:rPr>
                <w:rFonts w:hint="eastAsia" w:cs="宋体" w:asciiTheme="minorEastAsia" w:hAnsiTheme="minorEastAsia" w:eastAsiaTheme="minorEastAsia"/>
                <w:color w:val="auto"/>
                <w:kern w:val="0"/>
                <w:sz w:val="24"/>
                <w:szCs w:val="24"/>
                <w:highlight w:val="none"/>
                <w:lang w:val="en-US" w:eastAsia="zh-CN"/>
              </w:rPr>
              <w:t>本项目</w:t>
            </w:r>
            <w:r>
              <w:rPr>
                <w:rFonts w:hint="eastAsia" w:cs="宋体" w:asciiTheme="minorEastAsia" w:hAnsiTheme="minorEastAsia" w:eastAsiaTheme="minorEastAsia"/>
                <w:color w:val="auto"/>
                <w:kern w:val="0"/>
                <w:sz w:val="24"/>
                <w:szCs w:val="24"/>
                <w:highlight w:val="none"/>
              </w:rPr>
              <w:t>专门面向中小企业采购</w:t>
            </w:r>
            <w:r>
              <w:rPr>
                <w:rFonts w:hint="eastAsia" w:cs="宋体" w:asciiTheme="minorEastAsia" w:hAnsiTheme="minorEastAsia" w:eastAsiaTheme="minorEastAsia"/>
                <w:color w:val="auto"/>
                <w:kern w:val="0"/>
                <w:sz w:val="24"/>
                <w:szCs w:val="24"/>
                <w:highlight w:val="none"/>
                <w:lang w:eastAsia="zh-CN"/>
              </w:rPr>
              <w:t>，</w:t>
            </w:r>
            <w:r>
              <w:rPr>
                <w:rFonts w:hint="eastAsia" w:cs="宋体" w:asciiTheme="minorEastAsia" w:hAnsiTheme="minorEastAsia" w:eastAsiaTheme="minorEastAsia"/>
                <w:color w:val="auto"/>
                <w:kern w:val="0"/>
                <w:sz w:val="24"/>
                <w:szCs w:val="24"/>
                <w:highlight w:val="none"/>
                <w:lang w:val="en-US" w:eastAsia="zh-CN"/>
              </w:rPr>
              <w:t>不给予中小企业10%的价格扣除。</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2.参加政府采购活动的中小企业应当提供《中小企业声明函》原件。</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3.供应商参加政府采购活动时，提供虚假《中小企业声明函》的，属于提供虚假材料谋取中标、成交，依照《中华人民共和国政府采购法》等国家有关规定追究相应责任。</w:t>
            </w:r>
          </w:p>
          <w:p>
            <w:pPr>
              <w:pStyle w:val="72"/>
              <w:wordWrap/>
              <w:spacing w:line="360" w:lineRule="auto"/>
              <w:ind w:left="0" w:leftChars="0" w:firstLine="120" w:firstLineChars="5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二、监狱企业价格扣除</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2.本项目对监狱企业参与投标的价格给予10%的扣除，用扣除后的价格参与评审。</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3.监狱企业参加政府采购活动时，应当提供由省级以上监狱管理局、戒毒管理局(含新疆生产建设兵团)出具的属于监狱企业的证明文件。</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4.监狱企业属于小型、微型企业的，不重复享受政策。</w:t>
            </w:r>
          </w:p>
          <w:p>
            <w:pPr>
              <w:pStyle w:val="72"/>
              <w:wordWrap/>
              <w:spacing w:line="360" w:lineRule="auto"/>
              <w:ind w:left="0" w:leftChars="0" w:firstLine="120" w:firstLineChars="5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三、残疾人福利性单位价格扣除</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2.本项目对残疾人福利性单位参与投标的价格给予10%的扣除，用扣除后的价格参与评审。</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3.残疾人福利性单位参加政府采购活动时，应当提供本通知规定的《残疾人福利性单位声明函》。</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4.供应商提供的《残疾人福利性单位声明函》与事实不符的，依照《政府采购法》第七十七条第一款的规定追究法律责任。</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5.残疾人福利性单位属于小型、微型企业的，不重复享受政策。</w:t>
            </w:r>
          </w:p>
          <w:p>
            <w:pPr>
              <w:pStyle w:val="72"/>
              <w:wordWrap/>
              <w:spacing w:line="360" w:lineRule="auto"/>
              <w:ind w:left="0" w:leftChars="0" w:firstLine="120" w:firstLineChars="50"/>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四、失信企业报价加成或者扣分</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参照《四川省政府采购当事人诚信管理办法》，对记入诚信档案的且在有效期内的失信供应商，在参加政府采购活动中实行10%的报价加成，以加成后报价作为该供应商报价评审。供应商失信行为惩戒实行无限制累加制，因其失信行为进行报价加成惩戒后报价超过政府采购预算或最高限价的，其响应文件按照无效处理</w:t>
            </w:r>
            <w:r>
              <w:rPr>
                <w:rFonts w:hint="eastAsia" w:cs="宋体" w:asciiTheme="minorEastAsia" w:hAnsiTheme="minorEastAsia" w:eastAsiaTheme="minorEastAsia"/>
                <w:color w:val="auto"/>
                <w:kern w:val="0"/>
                <w:sz w:val="24"/>
                <w:szCs w:val="24"/>
                <w:highlight w:val="none"/>
              </w:rPr>
              <w:t>。</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2.供应商参加政府采购活动时，应当就其诚信情况在响应文件中进行承诺。</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信用中国”网站(www.creditchina.gov.cn)中列入失信被执行人和重大税收违法案件当事人名单的供应商和“中国政府采购网”(www.ccgp.gov.cn)政府采购严重违法失信行为记录名单中被财政部门禁止参加政府采购活动的供应商参加项目投标直接作废标处理，不予报价加成或者扣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14</w:t>
            </w:r>
          </w:p>
        </w:tc>
        <w:tc>
          <w:tcPr>
            <w:tcW w:w="2248" w:type="dxa"/>
            <w:tcBorders>
              <w:top w:val="single" w:color="auto" w:sz="4" w:space="0"/>
            </w:tcBorders>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建议品牌或者供应商</w:t>
            </w:r>
          </w:p>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（如涉及）</w:t>
            </w:r>
          </w:p>
        </w:tc>
        <w:tc>
          <w:tcPr>
            <w:tcW w:w="6556" w:type="dxa"/>
            <w:tcBorders>
              <w:top w:val="single" w:color="auto" w:sz="4" w:space="0"/>
            </w:tcBorders>
          </w:tcPr>
          <w:p>
            <w:pPr>
              <w:widowControl/>
              <w:spacing w:after="0" w:line="360" w:lineRule="auto"/>
              <w:ind w:firstLine="120" w:firstLineChars="50"/>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若</w:t>
            </w:r>
            <w:r>
              <w:rPr>
                <w:rFonts w:hint="eastAsia" w:cs="宋体" w:asciiTheme="minorEastAsia" w:hAnsiTheme="minorEastAsia" w:eastAsiaTheme="minorEastAsia"/>
                <w:color w:val="auto"/>
                <w:kern w:val="0"/>
                <w:sz w:val="24"/>
                <w:szCs w:val="24"/>
                <w:highlight w:val="none"/>
                <w:lang w:eastAsia="zh-CN"/>
              </w:rPr>
              <w:t>磋商文件</w:t>
            </w:r>
            <w:r>
              <w:rPr>
                <w:rFonts w:hint="eastAsia" w:cs="宋体" w:asciiTheme="minorEastAsia" w:hAnsiTheme="minorEastAsia" w:eastAsiaTheme="minorEastAsia"/>
                <w:color w:val="auto"/>
                <w:kern w:val="0"/>
                <w:sz w:val="24"/>
                <w:szCs w:val="24"/>
                <w:highlight w:val="none"/>
              </w:rPr>
              <w:t>涉及建议品牌或者供应商，其目的是为了准确清楚说明采购项目的技术标准和要求，其意思表示为“参照或相当于”建议品牌或者供应商，其品牌或供应商具有可替代性。</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15</w:t>
            </w:r>
          </w:p>
        </w:tc>
        <w:tc>
          <w:tcPr>
            <w:tcW w:w="2248" w:type="dxa"/>
            <w:tcBorders>
              <w:top w:val="single" w:color="auto" w:sz="4" w:space="0"/>
            </w:tcBorders>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节能产品、环境标志产品、无线局域网产品采购政策</w:t>
            </w:r>
          </w:p>
        </w:tc>
        <w:tc>
          <w:tcPr>
            <w:tcW w:w="6556" w:type="dxa"/>
            <w:tcBorders>
              <w:top w:val="single" w:color="auto" w:sz="4" w:space="0"/>
            </w:tcBorders>
          </w:tcPr>
          <w:p>
            <w:pPr>
              <w:widowControl/>
              <w:spacing w:after="0" w:line="360" w:lineRule="auto"/>
              <w:ind w:firstLine="120" w:firstLineChars="50"/>
              <w:rPr>
                <w:color w:val="auto"/>
                <w:sz w:val="24"/>
                <w:szCs w:val="24"/>
                <w:highlight w:val="none"/>
              </w:rPr>
            </w:pPr>
            <w:r>
              <w:rPr>
                <w:rFonts w:hint="eastAsia" w:cs="宋体" w:asciiTheme="minorEastAsia" w:hAnsiTheme="minorEastAsia" w:eastAsiaTheme="minorEastAsia"/>
                <w:color w:val="auto"/>
                <w:kern w:val="0"/>
                <w:sz w:val="24"/>
                <w:szCs w:val="24"/>
                <w:highlight w:val="none"/>
              </w:rPr>
              <w:t>本项目不涉及节能产品、环境标志产品、无线局域网产品、商品包装、快递包装，故不在</w:t>
            </w:r>
            <w:r>
              <w:rPr>
                <w:rFonts w:hint="eastAsia" w:cs="宋体" w:asciiTheme="minorEastAsia" w:hAnsiTheme="minorEastAsia" w:eastAsiaTheme="minorEastAsia"/>
                <w:color w:val="auto"/>
                <w:kern w:val="0"/>
                <w:sz w:val="24"/>
                <w:szCs w:val="24"/>
                <w:highlight w:val="none"/>
                <w:lang w:eastAsia="zh-CN"/>
              </w:rPr>
              <w:t>磋商文件</w:t>
            </w:r>
            <w:r>
              <w:rPr>
                <w:rFonts w:hint="eastAsia" w:cs="宋体" w:asciiTheme="minorEastAsia" w:hAnsiTheme="minorEastAsia" w:eastAsiaTheme="minorEastAsia"/>
                <w:color w:val="auto"/>
                <w:kern w:val="0"/>
                <w:sz w:val="24"/>
                <w:szCs w:val="24"/>
                <w:highlight w:val="none"/>
              </w:rPr>
              <w:t>中体现相关政策。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spacing w:after="0" w:line="360" w:lineRule="auto"/>
              <w:jc w:val="center"/>
              <w:rPr>
                <w:rFonts w:ascii="宋体" w:hAnsi="宋体"/>
                <w:color w:val="auto"/>
                <w:sz w:val="24"/>
                <w:szCs w:val="24"/>
                <w:highlight w:val="none"/>
              </w:rPr>
            </w:pPr>
            <w:r>
              <w:rPr>
                <w:rFonts w:hint="eastAsia" w:ascii="宋体" w:hAnsi="宋体"/>
                <w:color w:val="auto"/>
                <w:sz w:val="24"/>
                <w:szCs w:val="24"/>
                <w:highlight w:val="none"/>
              </w:rPr>
              <w:t>16</w:t>
            </w:r>
          </w:p>
        </w:tc>
        <w:tc>
          <w:tcPr>
            <w:tcW w:w="2248" w:type="dxa"/>
            <w:tcBorders>
              <w:top w:val="single" w:color="auto" w:sz="4" w:space="0"/>
            </w:tcBorders>
            <w:vAlign w:val="center"/>
          </w:tcPr>
          <w:p>
            <w:pPr>
              <w:pStyle w:val="58"/>
              <w:spacing w:after="0" w:line="24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进口产品</w:t>
            </w:r>
          </w:p>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（实质性要求）</w:t>
            </w:r>
          </w:p>
        </w:tc>
        <w:tc>
          <w:tcPr>
            <w:tcW w:w="6556" w:type="dxa"/>
            <w:tcBorders>
              <w:top w:val="single" w:color="auto" w:sz="4" w:space="0"/>
            </w:tcBorders>
            <w:vAlign w:val="center"/>
          </w:tcPr>
          <w:p>
            <w:pPr>
              <w:widowControl/>
              <w:spacing w:after="0" w:line="360" w:lineRule="auto"/>
              <w:ind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本项目</w:t>
            </w:r>
            <w:r>
              <w:rPr>
                <w:rFonts w:hint="eastAsia" w:asciiTheme="minorEastAsia" w:hAnsiTheme="minorEastAsia" w:eastAsiaTheme="minorEastAsia"/>
                <w:color w:val="auto"/>
                <w:sz w:val="24"/>
                <w:szCs w:val="24"/>
                <w:highlight w:val="none"/>
                <w:lang w:val="en-US" w:eastAsia="zh-CN"/>
              </w:rPr>
              <w:t>不涉及</w:t>
            </w:r>
            <w:r>
              <w:rPr>
                <w:rFonts w:hint="eastAsia" w:asciiTheme="minorEastAsia" w:hAnsiTheme="minorEastAsia" w:eastAsiaTheme="minorEastAsia"/>
                <w:color w:val="auto"/>
                <w:sz w:val="24"/>
                <w:szCs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505" w:hRule="atLeast"/>
          <w:jc w:val="center"/>
        </w:trPr>
        <w:tc>
          <w:tcPr>
            <w:tcW w:w="697" w:type="dxa"/>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17</w:t>
            </w:r>
          </w:p>
        </w:tc>
        <w:tc>
          <w:tcPr>
            <w:tcW w:w="2248" w:type="dxa"/>
            <w:vAlign w:val="center"/>
          </w:tcPr>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其他强制性规定</w:t>
            </w:r>
          </w:p>
          <w:p>
            <w:pPr>
              <w:pStyle w:val="58"/>
              <w:spacing w:after="0"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（如涉及时作为实质性要求）</w:t>
            </w:r>
          </w:p>
        </w:tc>
        <w:tc>
          <w:tcPr>
            <w:tcW w:w="6556" w:type="dxa"/>
            <w:vAlign w:val="center"/>
          </w:tcPr>
          <w:p>
            <w:pPr>
              <w:pStyle w:val="58"/>
              <w:spacing w:after="0" w:line="360" w:lineRule="auto"/>
              <w:ind w:firstLine="120" w:firstLineChars="50"/>
              <w:jc w:val="both"/>
              <w:rPr>
                <w:rFonts w:cs="Times New Roman" w:asciiTheme="minorEastAsia" w:hAnsiTheme="minorEastAsia" w:eastAsiaTheme="minorEastAsia"/>
                <w:color w:val="auto"/>
                <w:kern w:val="2"/>
                <w:sz w:val="24"/>
                <w:szCs w:val="24"/>
                <w:highlight w:val="none"/>
              </w:rPr>
            </w:pPr>
            <w:r>
              <w:rPr>
                <w:rFonts w:cs="Times New Roman" w:asciiTheme="minorEastAsia" w:hAnsiTheme="minorEastAsia" w:eastAsiaTheme="minorEastAsia"/>
                <w:color w:val="auto"/>
                <w:kern w:val="2"/>
                <w:sz w:val="24"/>
                <w:szCs w:val="24"/>
                <w:highlight w:val="none"/>
              </w:rPr>
              <w:t>国家或行业主管部门对采购产品的技术标准</w:t>
            </w:r>
            <w:r>
              <w:rPr>
                <w:rFonts w:hint="eastAsia" w:cs="Times New Roman" w:asciiTheme="minorEastAsia" w:hAnsiTheme="minorEastAsia" w:eastAsiaTheme="minorEastAsia"/>
                <w:color w:val="auto"/>
                <w:kern w:val="2"/>
                <w:sz w:val="24"/>
                <w:szCs w:val="24"/>
                <w:highlight w:val="none"/>
              </w:rPr>
              <w:t>、</w:t>
            </w:r>
            <w:r>
              <w:rPr>
                <w:rFonts w:cs="Times New Roman" w:asciiTheme="minorEastAsia" w:hAnsiTheme="minorEastAsia" w:eastAsiaTheme="minorEastAsia"/>
                <w:color w:val="auto"/>
                <w:kern w:val="2"/>
                <w:sz w:val="24"/>
                <w:szCs w:val="24"/>
                <w:highlight w:val="none"/>
              </w:rPr>
              <w:t>质量标准和资格资质条件等有强制性规定的</w:t>
            </w:r>
            <w:r>
              <w:rPr>
                <w:rFonts w:hint="eastAsia" w:cs="Times New Roman" w:asciiTheme="minorEastAsia" w:hAnsiTheme="minorEastAsia" w:eastAsiaTheme="minorEastAsia"/>
                <w:color w:val="auto"/>
                <w:kern w:val="2"/>
                <w:sz w:val="24"/>
                <w:szCs w:val="24"/>
                <w:highlight w:val="none"/>
              </w:rPr>
              <w:t>，</w:t>
            </w:r>
            <w:r>
              <w:rPr>
                <w:rFonts w:cs="Times New Roman" w:asciiTheme="minorEastAsia" w:hAnsiTheme="minorEastAsia" w:eastAsiaTheme="minorEastAsia"/>
                <w:color w:val="auto"/>
                <w:kern w:val="2"/>
                <w:sz w:val="24"/>
                <w:szCs w:val="24"/>
                <w:highlight w:val="none"/>
              </w:rPr>
              <w:t>必须符合其要求</w:t>
            </w:r>
            <w:r>
              <w:rPr>
                <w:rFonts w:hint="eastAsia" w:cs="Times New Roman" w:asciiTheme="minorEastAsia" w:hAnsiTheme="minorEastAsia" w:eastAsiaTheme="minorEastAsia"/>
                <w:color w:val="auto"/>
                <w:kern w:val="2"/>
                <w:sz w:val="24"/>
                <w:szCs w:val="24"/>
                <w:highlight w:val="none"/>
              </w:rPr>
              <w:t>。</w:t>
            </w:r>
            <w:r>
              <w:rPr>
                <w:rFonts w:cs="Times New Roman" w:asciiTheme="minorEastAsia" w:hAnsiTheme="minorEastAsia" w:eastAsiaTheme="minorEastAsia"/>
                <w:color w:val="auto"/>
                <w:kern w:val="2"/>
                <w:sz w:val="24"/>
                <w:szCs w:val="24"/>
                <w:highlight w:val="none"/>
              </w:rPr>
              <w:t>如涉及</w:t>
            </w:r>
            <w:r>
              <w:rPr>
                <w:rFonts w:hint="eastAsia" w:cs="Times New Roman" w:asciiTheme="minorEastAsia" w:hAnsiTheme="minorEastAsia" w:eastAsiaTheme="minorEastAsia"/>
                <w:color w:val="auto"/>
                <w:kern w:val="2"/>
                <w:sz w:val="24"/>
                <w:szCs w:val="24"/>
                <w:highlight w:val="none"/>
              </w:rPr>
              <w:t>3C认证产品的，3C认证证书在响应文件中可不提供（磋商文件有要求在响应时提供证明材料的除外），供应商成交后应在签订采购合同时向采购人提供加盖供应商公章的3C证书复印件。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pStyle w:val="58"/>
              <w:spacing w:after="0" w:line="360" w:lineRule="auto"/>
              <w:jc w:val="center"/>
              <w:rPr>
                <w:rFonts w:cs="Courier New"/>
                <w:color w:val="auto"/>
                <w:sz w:val="24"/>
                <w:szCs w:val="24"/>
                <w:highlight w:val="none"/>
                <w:lang w:val="zh-CN"/>
              </w:rPr>
            </w:pPr>
            <w:r>
              <w:rPr>
                <w:rFonts w:hint="eastAsia" w:cs="Courier New"/>
                <w:color w:val="auto"/>
                <w:sz w:val="24"/>
                <w:szCs w:val="24"/>
                <w:highlight w:val="none"/>
                <w:lang w:val="zh-CN"/>
              </w:rPr>
              <w:t>18</w:t>
            </w:r>
          </w:p>
        </w:tc>
        <w:tc>
          <w:tcPr>
            <w:tcW w:w="2248" w:type="dxa"/>
            <w:vAlign w:val="center"/>
          </w:tcPr>
          <w:p>
            <w:pPr>
              <w:pStyle w:val="58"/>
              <w:spacing w:after="0" w:line="360" w:lineRule="auto"/>
              <w:jc w:val="center"/>
              <w:rPr>
                <w:color w:val="auto"/>
                <w:sz w:val="24"/>
                <w:szCs w:val="24"/>
                <w:highlight w:val="none"/>
                <w:lang w:val="zh-CN"/>
              </w:rPr>
            </w:pPr>
            <w:r>
              <w:rPr>
                <w:rFonts w:hint="eastAsia" w:cs="Times New Roman"/>
                <w:color w:val="auto"/>
                <w:kern w:val="2"/>
                <w:sz w:val="24"/>
                <w:szCs w:val="24"/>
                <w:highlight w:val="none"/>
              </w:rPr>
              <w:t>评审情况公告</w:t>
            </w:r>
          </w:p>
        </w:tc>
        <w:tc>
          <w:tcPr>
            <w:tcW w:w="6556" w:type="dxa"/>
            <w:vAlign w:val="center"/>
          </w:tcPr>
          <w:p>
            <w:pPr>
              <w:pStyle w:val="58"/>
              <w:spacing w:after="0" w:line="360" w:lineRule="auto"/>
              <w:ind w:firstLine="120" w:firstLineChars="50"/>
              <w:jc w:val="both"/>
              <w:rPr>
                <w:rFonts w:asciiTheme="minorEastAsia" w:hAnsiTheme="minorEastAsia" w:eastAsiaTheme="minorEastAsia"/>
                <w:color w:val="auto"/>
                <w:sz w:val="24"/>
                <w:szCs w:val="24"/>
                <w:highlight w:val="none"/>
                <w:lang w:val="zh-CN"/>
              </w:rPr>
            </w:pPr>
            <w:bookmarkStart w:id="15" w:name="PO_默认文件内容_6"/>
            <w:r>
              <w:rPr>
                <w:rFonts w:hint="eastAsia" w:cs="Times New Roman" w:asciiTheme="minorEastAsia" w:hAnsiTheme="minorEastAsia" w:eastAsiaTheme="minorEastAsia"/>
                <w:color w:val="auto"/>
                <w:kern w:val="2"/>
                <w:sz w:val="24"/>
                <w:szCs w:val="24"/>
                <w:highlight w:val="none"/>
              </w:rPr>
              <w:t>所有供应商响应文件资格性、符合性检查情况、采用综合评分法时的总得分和分项汇总得分情况、评审结果等将在四川政府采购网上采购结果公告栏中予以公告。</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pStyle w:val="58"/>
              <w:spacing w:after="0" w:line="360" w:lineRule="auto"/>
              <w:jc w:val="center"/>
              <w:rPr>
                <w:rFonts w:cs="Courier New"/>
                <w:color w:val="auto"/>
                <w:sz w:val="24"/>
                <w:szCs w:val="24"/>
                <w:highlight w:val="none"/>
                <w:lang w:val="zh-CN"/>
              </w:rPr>
            </w:pPr>
            <w:r>
              <w:rPr>
                <w:rFonts w:hint="eastAsia" w:cs="Courier New"/>
                <w:color w:val="auto"/>
                <w:sz w:val="24"/>
                <w:szCs w:val="24"/>
                <w:highlight w:val="none"/>
                <w:lang w:val="zh-CN"/>
              </w:rPr>
              <w:t>19</w:t>
            </w:r>
          </w:p>
        </w:tc>
        <w:tc>
          <w:tcPr>
            <w:tcW w:w="2248" w:type="dxa"/>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成交</w:t>
            </w:r>
            <w:r>
              <w:rPr>
                <w:rFonts w:cs="Times New Roman"/>
                <w:color w:val="auto"/>
                <w:kern w:val="2"/>
                <w:sz w:val="24"/>
                <w:szCs w:val="24"/>
                <w:highlight w:val="none"/>
              </w:rPr>
              <w:t>通知书领取</w:t>
            </w:r>
          </w:p>
        </w:tc>
        <w:tc>
          <w:tcPr>
            <w:tcW w:w="6556" w:type="dxa"/>
            <w:vAlign w:val="center"/>
          </w:tcPr>
          <w:p>
            <w:pPr>
              <w:pStyle w:val="72"/>
              <w:wordWrap/>
              <w:spacing w:line="360" w:lineRule="auto"/>
              <w:ind w:left="0" w:leftChars="0" w:firstLine="120" w:firstLineChars="50"/>
              <w:rPr>
                <w:rFonts w:asciiTheme="minorEastAsia" w:hAnsiTheme="minorEastAsia" w:eastAsiaTheme="minorEastAsia"/>
                <w:color w:val="auto"/>
                <w:sz w:val="24"/>
                <w:szCs w:val="24"/>
                <w:highlight w:val="none"/>
                <w:lang w:val="zh-CN"/>
              </w:rPr>
            </w:pPr>
            <w:r>
              <w:rPr>
                <w:rFonts w:hint="eastAsia" w:asciiTheme="minorEastAsia" w:hAnsiTheme="minorEastAsia" w:eastAsiaTheme="minorEastAsia"/>
                <w:color w:val="auto"/>
                <w:sz w:val="24"/>
                <w:szCs w:val="24"/>
                <w:highlight w:val="none"/>
                <w:lang w:val="zh-CN"/>
              </w:rPr>
              <w:t>采购代理机构在成交人确定后2个工作日内，在“四川政府采购网”发布成交公告，同时向成交人发出成交通知书。</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lang w:val="zh-CN"/>
              </w:rPr>
            </w:pPr>
            <w:r>
              <w:rPr>
                <w:rFonts w:hint="eastAsia" w:asciiTheme="minorEastAsia" w:hAnsiTheme="minorEastAsia" w:eastAsiaTheme="minorEastAsia"/>
                <w:color w:val="auto"/>
                <w:sz w:val="24"/>
                <w:szCs w:val="24"/>
                <w:highlight w:val="none"/>
                <w:lang w:val="zh-CN"/>
              </w:rPr>
              <w:t>请成交人凭有效身份证明证件到采购代理机构领取成交通知书，逾期</w:t>
            </w:r>
            <w:r>
              <w:rPr>
                <w:rFonts w:hint="eastAsia" w:asciiTheme="minorEastAsia" w:hAnsiTheme="minorEastAsia" w:eastAsiaTheme="minorEastAsia"/>
                <w:color w:val="auto"/>
                <w:sz w:val="24"/>
                <w:szCs w:val="24"/>
                <w:highlight w:val="none"/>
              </w:rPr>
              <w:t>不领取，</w:t>
            </w:r>
            <w:r>
              <w:rPr>
                <w:rFonts w:hint="eastAsia" w:asciiTheme="minorEastAsia" w:hAnsiTheme="minorEastAsia" w:eastAsiaTheme="minorEastAsia"/>
                <w:color w:val="auto"/>
                <w:sz w:val="24"/>
                <w:szCs w:val="24"/>
                <w:highlight w:val="none"/>
                <w:lang w:val="zh-CN"/>
              </w:rPr>
              <w:t>采购代理机构将成交通知书快递至成交人，成交人自行承担相关不利后果。</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lang w:val="zh-CN"/>
              </w:rPr>
              <w:t>联系人：任女士</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lang w:val="zh-CN"/>
              </w:rPr>
            </w:pPr>
            <w:r>
              <w:rPr>
                <w:rFonts w:hint="eastAsia" w:asciiTheme="minorEastAsia" w:hAnsiTheme="minorEastAsia" w:eastAsiaTheme="minorEastAsia"/>
                <w:color w:val="auto"/>
                <w:sz w:val="24"/>
                <w:szCs w:val="24"/>
                <w:highlight w:val="none"/>
                <w:lang w:val="zh-CN"/>
              </w:rPr>
              <w:t>联系电话：</w:t>
            </w:r>
            <w:r>
              <w:rPr>
                <w:rFonts w:hint="eastAsia" w:asciiTheme="minorEastAsia" w:hAnsiTheme="minorEastAsia" w:eastAsiaTheme="minorEastAsia"/>
                <w:color w:val="auto"/>
                <w:sz w:val="24"/>
                <w:szCs w:val="24"/>
                <w:highlight w:val="none"/>
              </w:rPr>
              <w:t>028-81752878</w:t>
            </w:r>
          </w:p>
          <w:p>
            <w:pPr>
              <w:widowControl/>
              <w:spacing w:after="0" w:line="360" w:lineRule="auto"/>
              <w:ind w:firstLine="120" w:firstLineChars="50"/>
              <w:jc w:val="left"/>
              <w:rPr>
                <w:rFonts w:asciiTheme="minorEastAsia" w:hAnsiTheme="minorEastAsia" w:eastAsiaTheme="minorEastAsia"/>
                <w:color w:val="auto"/>
                <w:kern w:val="0"/>
                <w:sz w:val="24"/>
                <w:szCs w:val="24"/>
                <w:highlight w:val="none"/>
              </w:rPr>
            </w:pPr>
            <w:r>
              <w:rPr>
                <w:rFonts w:hint="eastAsia" w:asciiTheme="minorEastAsia" w:hAnsiTheme="minorEastAsia" w:eastAsiaTheme="minorEastAsia"/>
                <w:color w:val="auto"/>
                <w:sz w:val="24"/>
                <w:szCs w:val="24"/>
                <w:highlight w:val="none"/>
                <w:lang w:val="zh-CN"/>
              </w:rPr>
              <w:t>地址：成都市金牛区蜀西路9号丰德羊西中心13楼01号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vAlign w:val="center"/>
          </w:tcPr>
          <w:p>
            <w:pPr>
              <w:pStyle w:val="58"/>
              <w:spacing w:after="0" w:line="360" w:lineRule="auto"/>
              <w:jc w:val="center"/>
              <w:rPr>
                <w:rFonts w:cs="Courier New"/>
                <w:color w:val="auto"/>
                <w:sz w:val="24"/>
                <w:szCs w:val="24"/>
                <w:highlight w:val="none"/>
                <w:lang w:val="zh-CN"/>
              </w:rPr>
            </w:pPr>
            <w:r>
              <w:rPr>
                <w:rFonts w:hint="eastAsia" w:cs="Courier New"/>
                <w:color w:val="auto"/>
                <w:sz w:val="24"/>
                <w:szCs w:val="24"/>
                <w:highlight w:val="none"/>
                <w:lang w:val="zh-CN"/>
              </w:rPr>
              <w:t>20</w:t>
            </w:r>
          </w:p>
        </w:tc>
        <w:tc>
          <w:tcPr>
            <w:tcW w:w="2248" w:type="dxa"/>
            <w:vAlign w:val="center"/>
          </w:tcPr>
          <w:p>
            <w:pPr>
              <w:spacing w:after="0" w:line="360" w:lineRule="auto"/>
              <w:jc w:val="center"/>
              <w:rPr>
                <w:rFonts w:ascii="宋体" w:hAnsi="宋体"/>
                <w:color w:val="auto"/>
                <w:kern w:val="0"/>
                <w:sz w:val="24"/>
                <w:szCs w:val="24"/>
                <w:highlight w:val="none"/>
              </w:rPr>
            </w:pPr>
            <w:r>
              <w:rPr>
                <w:rFonts w:hint="eastAsia"/>
                <w:color w:val="auto"/>
                <w:sz w:val="24"/>
                <w:szCs w:val="24"/>
                <w:highlight w:val="none"/>
                <w:lang w:val="zh-CN"/>
              </w:rPr>
              <w:t>招标代理服务费</w:t>
            </w:r>
          </w:p>
        </w:tc>
        <w:tc>
          <w:tcPr>
            <w:tcW w:w="6556" w:type="dxa"/>
            <w:vAlign w:val="center"/>
          </w:tcPr>
          <w:p>
            <w:pPr>
              <w:pStyle w:val="58"/>
              <w:numPr>
                <w:ilvl w:val="0"/>
                <w:numId w:val="0"/>
              </w:numPr>
              <w:spacing w:after="0" w:line="360" w:lineRule="auto"/>
              <w:ind w:firstLine="241" w:firstLineChars="100"/>
              <w:rPr>
                <w:rFonts w:hint="eastAsia" w:asciiTheme="minorEastAsia" w:hAnsiTheme="minorEastAsia" w:eastAsiaTheme="minorEastAsia"/>
                <w:color w:val="auto"/>
                <w:sz w:val="24"/>
                <w:szCs w:val="24"/>
                <w:highlight w:val="none"/>
                <w:lang w:val="zh-CN"/>
              </w:rPr>
            </w:pPr>
            <w:r>
              <w:rPr>
                <w:rFonts w:hint="eastAsia" w:asciiTheme="minorEastAsia" w:hAnsiTheme="minorEastAsia" w:eastAsiaTheme="minorEastAsia"/>
                <w:b/>
                <w:color w:val="auto"/>
                <w:sz w:val="24"/>
                <w:szCs w:val="24"/>
                <w:highlight w:val="none"/>
                <w:lang w:val="en-US" w:eastAsia="zh-CN"/>
              </w:rPr>
              <w:t>1.</w:t>
            </w:r>
            <w:r>
              <w:rPr>
                <w:rFonts w:hint="eastAsia" w:asciiTheme="minorEastAsia" w:hAnsiTheme="minorEastAsia" w:eastAsiaTheme="minorEastAsia"/>
                <w:b/>
                <w:color w:val="auto"/>
                <w:sz w:val="24"/>
                <w:szCs w:val="24"/>
                <w:highlight w:val="none"/>
                <w:lang w:val="zh-CN"/>
              </w:rPr>
              <w:t>收取标准：</w:t>
            </w:r>
            <w:r>
              <w:rPr>
                <w:rFonts w:hint="eastAsia" w:asciiTheme="minorEastAsia" w:hAnsiTheme="minorEastAsia" w:eastAsiaTheme="minorEastAsia"/>
                <w:color w:val="auto"/>
                <w:sz w:val="24"/>
                <w:szCs w:val="24"/>
                <w:highlight w:val="none"/>
                <w:lang w:val="zh-CN"/>
              </w:rPr>
              <w:t>按照《四川省政府采购营商环境指标提升专项行动工作方案》的通知(川财采[2020]74号)规定，</w:t>
            </w:r>
            <w:r>
              <w:rPr>
                <w:rFonts w:hint="eastAsia" w:asciiTheme="minorEastAsia" w:hAnsiTheme="minorEastAsia" w:eastAsiaTheme="minorEastAsia"/>
                <w:color w:val="auto"/>
                <w:sz w:val="24"/>
                <w:szCs w:val="24"/>
                <w:highlight w:val="none"/>
                <w:lang w:val="en-US" w:eastAsia="zh-CN"/>
              </w:rPr>
              <w:t>代理采购项目的成本支出加合理利润的原则</w:t>
            </w:r>
            <w:r>
              <w:rPr>
                <w:rFonts w:hint="eastAsia" w:asciiTheme="minorEastAsia" w:hAnsiTheme="minorEastAsia" w:eastAsiaTheme="minorEastAsia"/>
                <w:color w:val="auto"/>
                <w:sz w:val="24"/>
                <w:szCs w:val="24"/>
                <w:highlight w:val="none"/>
                <w:lang w:val="zh-CN"/>
              </w:rPr>
              <w:t>收取（即：</w:t>
            </w:r>
            <w:r>
              <w:rPr>
                <w:rFonts w:hint="eastAsia" w:asciiTheme="minorEastAsia" w:hAnsiTheme="minorEastAsia" w:eastAsiaTheme="minorEastAsia"/>
                <w:color w:val="auto"/>
                <w:sz w:val="24"/>
                <w:szCs w:val="24"/>
                <w:highlight w:val="none"/>
                <w:lang w:val="en-US" w:eastAsia="zh-CN"/>
              </w:rPr>
              <w:t>20000</w:t>
            </w:r>
            <w:r>
              <w:rPr>
                <w:rFonts w:hint="eastAsia" w:asciiTheme="minorEastAsia" w:hAnsiTheme="minorEastAsia" w:eastAsiaTheme="minorEastAsia"/>
                <w:color w:val="auto"/>
                <w:sz w:val="24"/>
                <w:szCs w:val="24"/>
                <w:highlight w:val="none"/>
                <w:lang w:val="zh-CN"/>
              </w:rPr>
              <w:t>元）。</w:t>
            </w:r>
          </w:p>
          <w:p>
            <w:pPr>
              <w:pStyle w:val="58"/>
              <w:numPr>
                <w:ilvl w:val="0"/>
                <w:numId w:val="0"/>
              </w:numPr>
              <w:spacing w:after="0" w:line="360" w:lineRule="auto"/>
              <w:ind w:firstLine="241" w:firstLineChars="100"/>
              <w:rPr>
                <w:rFonts w:asciiTheme="minorEastAsia" w:hAnsiTheme="minorEastAsia" w:eastAsiaTheme="minorEastAsia"/>
                <w:color w:val="auto"/>
                <w:sz w:val="24"/>
                <w:szCs w:val="24"/>
                <w:highlight w:val="none"/>
              </w:rPr>
            </w:pPr>
            <w:r>
              <w:rPr>
                <w:rFonts w:hint="eastAsia" w:asciiTheme="minorEastAsia" w:hAnsiTheme="minorEastAsia" w:eastAsiaTheme="minorEastAsia"/>
                <w:b/>
                <w:color w:val="auto"/>
                <w:sz w:val="24"/>
                <w:szCs w:val="24"/>
                <w:highlight w:val="none"/>
                <w:lang w:val="zh-CN"/>
              </w:rPr>
              <w:t>2.收取方式：</w:t>
            </w:r>
            <w:r>
              <w:rPr>
                <w:rFonts w:hint="eastAsia" w:asciiTheme="minorEastAsia" w:hAnsiTheme="minorEastAsia" w:eastAsiaTheme="minorEastAsia"/>
                <w:b w:val="0"/>
                <w:bCs/>
                <w:color w:val="auto"/>
                <w:sz w:val="24"/>
                <w:szCs w:val="24"/>
                <w:highlight w:val="none"/>
                <w:lang w:val="zh-CN"/>
              </w:rPr>
              <w:t>采购人支付。</w:t>
            </w:r>
          </w:p>
          <w:p>
            <w:pPr>
              <w:pStyle w:val="58"/>
              <w:spacing w:after="0" w:line="360" w:lineRule="auto"/>
              <w:ind w:firstLine="241" w:firstLineChars="100"/>
              <w:rPr>
                <w:rFonts w:asciiTheme="minorEastAsia" w:hAnsiTheme="minorEastAsia" w:eastAsiaTheme="minorEastAsia"/>
                <w:b/>
                <w:color w:val="auto"/>
                <w:sz w:val="24"/>
                <w:szCs w:val="24"/>
                <w:highlight w:val="none"/>
                <w:lang w:val="zh-CN"/>
              </w:rPr>
            </w:pPr>
            <w:r>
              <w:rPr>
                <w:rFonts w:hint="eastAsia" w:asciiTheme="minorEastAsia" w:hAnsiTheme="minorEastAsia" w:eastAsiaTheme="minorEastAsia"/>
                <w:b/>
                <w:color w:val="auto"/>
                <w:sz w:val="24"/>
                <w:szCs w:val="24"/>
                <w:highlight w:val="none"/>
                <w:lang w:val="zh-CN"/>
              </w:rPr>
              <w:t>3.采购代理机构代理费收款信息：</w:t>
            </w:r>
          </w:p>
          <w:p>
            <w:pPr>
              <w:widowControl/>
              <w:spacing w:after="0" w:line="360" w:lineRule="auto"/>
              <w:ind w:firstLine="120" w:firstLineChars="50"/>
              <w:jc w:val="left"/>
              <w:rPr>
                <w:rFonts w:cs="宋体" w:asciiTheme="minorEastAsia" w:hAnsiTheme="minorEastAsia" w:eastAsiaTheme="minorEastAsia"/>
                <w:color w:val="auto"/>
                <w:kern w:val="0"/>
                <w:sz w:val="24"/>
                <w:szCs w:val="24"/>
                <w:highlight w:val="none"/>
                <w:lang w:val="zh-CN"/>
              </w:rPr>
            </w:pPr>
            <w:r>
              <w:rPr>
                <w:rFonts w:hint="eastAsia" w:cs="宋体" w:asciiTheme="minorEastAsia" w:hAnsiTheme="minorEastAsia" w:eastAsiaTheme="minorEastAsia"/>
                <w:color w:val="auto"/>
                <w:kern w:val="0"/>
                <w:sz w:val="24"/>
                <w:szCs w:val="24"/>
                <w:highlight w:val="none"/>
                <w:lang w:val="zh-CN"/>
              </w:rPr>
              <w:t>收款单位：四川天启建设项目管理有限公司</w:t>
            </w:r>
          </w:p>
          <w:p>
            <w:pPr>
              <w:widowControl/>
              <w:spacing w:after="0" w:line="360" w:lineRule="auto"/>
              <w:ind w:firstLine="120" w:firstLineChars="50"/>
              <w:jc w:val="left"/>
              <w:rPr>
                <w:rFonts w:cs="宋体" w:asciiTheme="minorEastAsia" w:hAnsiTheme="minorEastAsia" w:eastAsiaTheme="minorEastAsia"/>
                <w:color w:val="auto"/>
                <w:kern w:val="0"/>
                <w:sz w:val="24"/>
                <w:szCs w:val="24"/>
                <w:highlight w:val="none"/>
                <w:lang w:val="zh-CN"/>
              </w:rPr>
            </w:pPr>
            <w:r>
              <w:rPr>
                <w:rFonts w:hint="eastAsia" w:cs="宋体" w:asciiTheme="minorEastAsia" w:hAnsiTheme="minorEastAsia" w:eastAsiaTheme="minorEastAsia"/>
                <w:color w:val="auto"/>
                <w:kern w:val="0"/>
                <w:sz w:val="24"/>
                <w:szCs w:val="24"/>
                <w:highlight w:val="none"/>
                <w:lang w:val="zh-CN"/>
              </w:rPr>
              <w:t>开 户 行：中国银行股份有限公司成都实业街支行</w:t>
            </w:r>
          </w:p>
          <w:p>
            <w:pPr>
              <w:spacing w:after="0" w:line="360" w:lineRule="auto"/>
              <w:ind w:firstLine="120" w:firstLineChars="50"/>
              <w:rPr>
                <w:rFonts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kern w:val="0"/>
                <w:sz w:val="24"/>
                <w:szCs w:val="24"/>
                <w:highlight w:val="none"/>
                <w:lang w:val="zh-CN"/>
              </w:rPr>
              <w:t>银行账号：</w:t>
            </w:r>
            <w:r>
              <w:rPr>
                <w:rFonts w:cs="宋体" w:asciiTheme="minorEastAsia" w:hAnsiTheme="minorEastAsia" w:eastAsiaTheme="minorEastAsia"/>
                <w:color w:val="auto"/>
                <w:kern w:val="0"/>
                <w:sz w:val="24"/>
                <w:szCs w:val="24"/>
                <w:highlight w:val="none"/>
                <w:lang w:val="zh-CN"/>
              </w:rPr>
              <w:t>128 0213 04930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8" w:hRule="atLeast"/>
          <w:jc w:val="center"/>
        </w:trPr>
        <w:tc>
          <w:tcPr>
            <w:tcW w:w="697" w:type="dxa"/>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21</w:t>
            </w:r>
          </w:p>
        </w:tc>
        <w:tc>
          <w:tcPr>
            <w:tcW w:w="2248" w:type="dxa"/>
            <w:vAlign w:val="center"/>
          </w:tcPr>
          <w:p>
            <w:pPr>
              <w:spacing w:after="0" w:line="360" w:lineRule="auto"/>
              <w:jc w:val="center"/>
              <w:rPr>
                <w:rFonts w:ascii="宋体" w:hAnsi="宋体"/>
                <w:color w:val="auto"/>
                <w:sz w:val="24"/>
                <w:szCs w:val="24"/>
                <w:highlight w:val="none"/>
              </w:rPr>
            </w:pPr>
            <w:r>
              <w:rPr>
                <w:rFonts w:hint="eastAsia"/>
                <w:color w:val="auto"/>
                <w:sz w:val="24"/>
                <w:szCs w:val="24"/>
                <w:highlight w:val="none"/>
                <w:lang w:val="zh-CN"/>
              </w:rPr>
              <w:t>履约保证金</w:t>
            </w:r>
          </w:p>
        </w:tc>
        <w:tc>
          <w:tcPr>
            <w:tcW w:w="6556" w:type="dxa"/>
            <w:vAlign w:val="center"/>
          </w:tcPr>
          <w:p>
            <w:pPr>
              <w:widowControl/>
              <w:spacing w:after="0" w:line="360" w:lineRule="auto"/>
              <w:ind w:firstLine="120" w:firstLineChars="50"/>
              <w:jc w:val="left"/>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本项目不收取履约保证金</w:t>
            </w:r>
            <w:r>
              <w:rPr>
                <w:rFonts w:hint="eastAsia" w:asciiTheme="minorEastAsia" w:hAnsiTheme="minorEastAsia" w:eastAsiaTheme="minorEastAsia"/>
                <w:color w:val="auto"/>
                <w:sz w:val="24"/>
                <w:szCs w:val="24"/>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697" w:type="dxa"/>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22</w:t>
            </w:r>
          </w:p>
        </w:tc>
        <w:tc>
          <w:tcPr>
            <w:tcW w:w="2248" w:type="dxa"/>
            <w:vAlign w:val="center"/>
          </w:tcPr>
          <w:p>
            <w:pPr>
              <w:spacing w:after="0" w:line="360" w:lineRule="auto"/>
              <w:jc w:val="center"/>
              <w:rPr>
                <w:color w:val="auto"/>
                <w:sz w:val="24"/>
                <w:szCs w:val="24"/>
                <w:highlight w:val="none"/>
                <w:lang w:val="zh-CN"/>
              </w:rPr>
            </w:pPr>
            <w:r>
              <w:rPr>
                <w:rFonts w:hint="eastAsia"/>
                <w:color w:val="auto"/>
                <w:sz w:val="24"/>
                <w:szCs w:val="24"/>
                <w:highlight w:val="none"/>
                <w:lang w:val="zh-CN"/>
              </w:rPr>
              <w:t>政府采购供应商信用融资</w:t>
            </w:r>
          </w:p>
        </w:tc>
        <w:tc>
          <w:tcPr>
            <w:tcW w:w="6556" w:type="dxa"/>
            <w:vAlign w:val="center"/>
          </w:tcPr>
          <w:p>
            <w:pPr>
              <w:pStyle w:val="59"/>
              <w:spacing w:after="0"/>
              <w:ind w:firstLine="480"/>
              <w:rPr>
                <w:rFonts w:ascii="宋体" w:hAnsi="宋体"/>
                <w:color w:val="auto"/>
                <w:sz w:val="24"/>
                <w:highlight w:val="none"/>
              </w:rPr>
            </w:pPr>
            <w:r>
              <w:rPr>
                <w:rFonts w:hint="eastAsia" w:ascii="宋体" w:hAnsi="宋体"/>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磋商文件附件“川财采〔2018〕123号”）。</w:t>
            </w:r>
          </w:p>
          <w:p>
            <w:pPr>
              <w:pStyle w:val="59"/>
              <w:spacing w:after="0"/>
              <w:ind w:firstLine="480"/>
              <w:rPr>
                <w:rFonts w:asciiTheme="minorEastAsia" w:hAnsiTheme="minorEastAsia" w:eastAsiaTheme="minorEastAsia"/>
                <w:color w:val="auto"/>
                <w:sz w:val="24"/>
                <w:szCs w:val="24"/>
                <w:highlight w:val="none"/>
              </w:rPr>
            </w:pPr>
            <w:r>
              <w:rPr>
                <w:rFonts w:hint="eastAsia" w:ascii="宋体" w:hAnsi="宋体"/>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磋商文件附件“成财采〔2019〕17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24" w:hRule="atLeast"/>
          <w:jc w:val="center"/>
        </w:trPr>
        <w:tc>
          <w:tcPr>
            <w:tcW w:w="697" w:type="dxa"/>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23</w:t>
            </w:r>
          </w:p>
        </w:tc>
        <w:tc>
          <w:tcPr>
            <w:tcW w:w="2248" w:type="dxa"/>
            <w:vAlign w:val="center"/>
          </w:tcPr>
          <w:p>
            <w:pPr>
              <w:spacing w:after="0" w:line="360" w:lineRule="auto"/>
              <w:ind w:firstLine="120" w:firstLineChars="50"/>
              <w:jc w:val="center"/>
              <w:rPr>
                <w:rFonts w:ascii="宋体" w:hAnsi="宋体"/>
                <w:color w:val="auto"/>
                <w:sz w:val="24"/>
                <w:szCs w:val="24"/>
                <w:highlight w:val="none"/>
              </w:rPr>
            </w:pPr>
            <w:r>
              <w:rPr>
                <w:rFonts w:hint="eastAsia" w:ascii="宋体" w:hAnsi="宋体"/>
                <w:color w:val="auto"/>
                <w:sz w:val="24"/>
                <w:szCs w:val="24"/>
                <w:highlight w:val="none"/>
              </w:rPr>
              <w:t>政府采购合同</w:t>
            </w:r>
          </w:p>
          <w:p>
            <w:pPr>
              <w:spacing w:after="0" w:line="360" w:lineRule="auto"/>
              <w:jc w:val="center"/>
              <w:rPr>
                <w:color w:val="auto"/>
                <w:sz w:val="24"/>
                <w:szCs w:val="24"/>
                <w:highlight w:val="none"/>
                <w:lang w:val="zh-CN"/>
              </w:rPr>
            </w:pPr>
            <w:r>
              <w:rPr>
                <w:rFonts w:hint="eastAsia" w:ascii="宋体" w:hAnsi="宋体"/>
                <w:color w:val="auto"/>
                <w:sz w:val="24"/>
                <w:szCs w:val="24"/>
                <w:highlight w:val="none"/>
              </w:rPr>
              <w:t>公告备案</w:t>
            </w:r>
          </w:p>
        </w:tc>
        <w:tc>
          <w:tcPr>
            <w:tcW w:w="6556" w:type="dxa"/>
            <w:vAlign w:val="center"/>
          </w:tcPr>
          <w:p>
            <w:pPr>
              <w:widowControl/>
              <w:spacing w:after="0" w:line="360" w:lineRule="auto"/>
              <w:ind w:firstLine="120" w:firstLineChars="5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政府采购合同签订之日起2个工作日内，采购人应将政府采购合同在“四川政府采购网”公告；政府采购合同签订之日起七个工作日内，政府采购合同将向本采购项目同级财政部门备案</w:t>
            </w:r>
            <w:r>
              <w:rPr>
                <w:rFonts w:hint="eastAsia" w:asciiTheme="minorEastAsia" w:hAnsiTheme="minorEastAsia" w:eastAsiaTheme="minorEastAsia"/>
                <w:color w:val="auto"/>
                <w:sz w:val="24"/>
                <w:szCs w:val="24"/>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24" w:hRule="atLeast"/>
          <w:jc w:val="center"/>
        </w:trPr>
        <w:tc>
          <w:tcPr>
            <w:tcW w:w="697" w:type="dxa"/>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24</w:t>
            </w:r>
          </w:p>
        </w:tc>
        <w:tc>
          <w:tcPr>
            <w:tcW w:w="2248" w:type="dxa"/>
            <w:vAlign w:val="center"/>
          </w:tcPr>
          <w:p>
            <w:pPr>
              <w:spacing w:after="0" w:line="360" w:lineRule="auto"/>
              <w:jc w:val="center"/>
              <w:rPr>
                <w:color w:val="auto"/>
                <w:sz w:val="24"/>
                <w:szCs w:val="24"/>
                <w:highlight w:val="none"/>
                <w:lang w:val="zh-CN"/>
              </w:rPr>
            </w:pPr>
            <w:r>
              <w:rPr>
                <w:rFonts w:hint="eastAsia"/>
                <w:color w:val="auto"/>
                <w:sz w:val="24"/>
                <w:szCs w:val="24"/>
                <w:highlight w:val="none"/>
                <w:lang w:val="zh-CN"/>
              </w:rPr>
              <w:t>供应商询问</w:t>
            </w:r>
          </w:p>
        </w:tc>
        <w:tc>
          <w:tcPr>
            <w:tcW w:w="6556" w:type="dxa"/>
            <w:vAlign w:val="center"/>
          </w:tcPr>
          <w:p>
            <w:pPr>
              <w:pStyle w:val="72"/>
              <w:wordWrap/>
              <w:spacing w:line="360" w:lineRule="auto"/>
              <w:ind w:left="0" w:leftChars="0" w:firstLine="120" w:firstLineChars="50"/>
              <w:rPr>
                <w:rFonts w:asciiTheme="minorEastAsia" w:hAnsiTheme="minorEastAsia" w:eastAsiaTheme="minorEastAsia"/>
                <w:color w:val="auto"/>
                <w:sz w:val="24"/>
                <w:szCs w:val="24"/>
                <w:highlight w:val="none"/>
                <w:lang w:val="zh-CN"/>
              </w:rPr>
            </w:pPr>
            <w:r>
              <w:rPr>
                <w:rFonts w:hint="eastAsia" w:asciiTheme="minorEastAsia" w:hAnsiTheme="minorEastAsia" w:eastAsiaTheme="minorEastAsia"/>
                <w:color w:val="auto"/>
                <w:sz w:val="24"/>
                <w:szCs w:val="24"/>
                <w:highlight w:val="none"/>
              </w:rPr>
              <w:t>1.根据委托代理协议约定，采购人负责对</w:t>
            </w:r>
            <w:r>
              <w:rPr>
                <w:rFonts w:hint="eastAsia" w:asciiTheme="minorEastAsia" w:hAnsiTheme="minorEastAsia" w:eastAsiaTheme="minorEastAsia"/>
                <w:color w:val="auto"/>
                <w:sz w:val="24"/>
                <w:szCs w:val="24"/>
                <w:highlight w:val="none"/>
                <w:lang w:eastAsia="zh-CN"/>
              </w:rPr>
              <w:t>磋商文件</w:t>
            </w:r>
            <w:r>
              <w:rPr>
                <w:rFonts w:hint="eastAsia" w:asciiTheme="minorEastAsia" w:hAnsiTheme="minorEastAsia" w:eastAsiaTheme="minorEastAsia"/>
                <w:color w:val="auto"/>
                <w:sz w:val="24"/>
                <w:szCs w:val="24"/>
                <w:highlight w:val="none"/>
              </w:rPr>
              <w:t>技术参数部分的询问答复，采购代理机构负责</w:t>
            </w:r>
            <w:r>
              <w:rPr>
                <w:rFonts w:hint="eastAsia" w:asciiTheme="minorEastAsia" w:hAnsiTheme="minorEastAsia" w:eastAsiaTheme="minorEastAsia"/>
                <w:color w:val="auto"/>
                <w:sz w:val="24"/>
                <w:szCs w:val="24"/>
                <w:highlight w:val="none"/>
                <w:lang w:eastAsia="zh-CN"/>
              </w:rPr>
              <w:t>磋商文件</w:t>
            </w:r>
            <w:r>
              <w:rPr>
                <w:rFonts w:hint="eastAsia" w:asciiTheme="minorEastAsia" w:hAnsiTheme="minorEastAsia" w:eastAsiaTheme="minorEastAsia"/>
                <w:color w:val="auto"/>
                <w:sz w:val="24"/>
                <w:szCs w:val="24"/>
                <w:highlight w:val="none"/>
              </w:rPr>
              <w:t>技术参数部分以外的询问答复。</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2.询问内容不得涉及评审秘密、国家机密和商业秘密等保密内容。</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3.询问方式：询问人可以采用书面或口头或电子邮件等方式向采购代理机构提出；询问必须提供询问人基本信息(包含具体询问内容、询问人名称或姓名、联系人及联系电话、电子邮件)。</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lang w:val="zh-CN"/>
              </w:rPr>
              <w:t>联系人：</w:t>
            </w:r>
            <w:r>
              <w:rPr>
                <w:rFonts w:hint="eastAsia" w:asciiTheme="minorEastAsia" w:hAnsiTheme="minorEastAsia" w:eastAsiaTheme="minorEastAsia"/>
                <w:color w:val="auto"/>
                <w:sz w:val="24"/>
                <w:szCs w:val="24"/>
                <w:highlight w:val="none"/>
              </w:rPr>
              <w:t>任女士</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lang w:val="zh-CN"/>
              </w:rPr>
            </w:pPr>
            <w:r>
              <w:rPr>
                <w:rFonts w:hint="eastAsia" w:asciiTheme="minorEastAsia" w:hAnsiTheme="minorEastAsia" w:eastAsiaTheme="minorEastAsia"/>
                <w:color w:val="auto"/>
                <w:sz w:val="24"/>
                <w:szCs w:val="24"/>
                <w:highlight w:val="none"/>
                <w:lang w:val="zh-CN"/>
              </w:rPr>
              <w:t>联系电话：</w:t>
            </w:r>
            <w:r>
              <w:rPr>
                <w:rFonts w:hint="eastAsia" w:asciiTheme="minorEastAsia" w:hAnsiTheme="minorEastAsia" w:eastAsiaTheme="minorEastAsia"/>
                <w:color w:val="auto"/>
                <w:sz w:val="24"/>
                <w:szCs w:val="24"/>
                <w:highlight w:val="none"/>
              </w:rPr>
              <w:t>028-81752878</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lang w:val="zh-CN"/>
              </w:rPr>
            </w:pPr>
            <w:r>
              <w:rPr>
                <w:rFonts w:hint="eastAsia" w:asciiTheme="minorEastAsia" w:hAnsiTheme="minorEastAsia" w:eastAsiaTheme="minorEastAsia"/>
                <w:color w:val="auto"/>
                <w:sz w:val="24"/>
                <w:szCs w:val="24"/>
                <w:highlight w:val="none"/>
                <w:lang w:val="zh-CN"/>
              </w:rPr>
              <w:t>地址：成都市金牛区蜀西路9号丰德羊西中心13楼01号</w:t>
            </w:r>
          </w:p>
          <w:p>
            <w:pPr>
              <w:pStyle w:val="72"/>
              <w:wordWrap/>
              <w:spacing w:line="360" w:lineRule="auto"/>
              <w:ind w:left="0" w:leftChars="0" w:firstLine="120" w:firstLineChars="50"/>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邮编：</w:t>
            </w:r>
            <w:r>
              <w:rPr>
                <w:rFonts w:hint="eastAsia" w:asciiTheme="minorEastAsia" w:hAnsiTheme="minorEastAsia" w:eastAsiaTheme="minorEastAsia"/>
                <w:color w:val="auto"/>
                <w:sz w:val="24"/>
                <w:szCs w:val="24"/>
                <w:highlight w:val="none"/>
                <w:lang w:eastAsia="zh-CN"/>
              </w:rPr>
              <w:t>610036</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4.询问提出的范围及主体：①</w:t>
            </w:r>
            <w:r>
              <w:rPr>
                <w:rFonts w:hint="eastAsia" w:asciiTheme="minorEastAsia" w:hAnsiTheme="minorEastAsia" w:eastAsiaTheme="minorEastAsia"/>
                <w:color w:val="auto"/>
                <w:sz w:val="24"/>
                <w:szCs w:val="24"/>
                <w:highlight w:val="none"/>
                <w:lang w:eastAsia="zh-CN"/>
              </w:rPr>
              <w:t>磋商文件</w:t>
            </w:r>
            <w:r>
              <w:rPr>
                <w:rFonts w:hint="eastAsia" w:asciiTheme="minorEastAsia" w:hAnsiTheme="minorEastAsia" w:eastAsiaTheme="minorEastAsia"/>
                <w:color w:val="auto"/>
                <w:sz w:val="24"/>
                <w:szCs w:val="24"/>
                <w:highlight w:val="none"/>
              </w:rPr>
              <w:t>及采购信息公告环节：依法获取</w:t>
            </w:r>
            <w:r>
              <w:rPr>
                <w:rFonts w:hint="eastAsia" w:asciiTheme="minorEastAsia" w:hAnsiTheme="minorEastAsia" w:eastAsiaTheme="minorEastAsia"/>
                <w:color w:val="auto"/>
                <w:sz w:val="24"/>
                <w:szCs w:val="24"/>
                <w:highlight w:val="none"/>
                <w:lang w:eastAsia="zh-CN"/>
              </w:rPr>
              <w:t>磋商文件</w:t>
            </w:r>
            <w:r>
              <w:rPr>
                <w:rFonts w:hint="eastAsia" w:asciiTheme="minorEastAsia" w:hAnsiTheme="minorEastAsia" w:eastAsiaTheme="minorEastAsia"/>
                <w:color w:val="auto"/>
                <w:sz w:val="24"/>
                <w:szCs w:val="24"/>
                <w:highlight w:val="none"/>
              </w:rPr>
              <w:t>的潜在供应商可以对</w:t>
            </w:r>
            <w:r>
              <w:rPr>
                <w:rFonts w:hint="eastAsia" w:asciiTheme="minorEastAsia" w:hAnsiTheme="minorEastAsia" w:eastAsiaTheme="minorEastAsia"/>
                <w:color w:val="auto"/>
                <w:sz w:val="24"/>
                <w:szCs w:val="24"/>
                <w:highlight w:val="none"/>
                <w:lang w:eastAsia="zh-CN"/>
              </w:rPr>
              <w:t>磋商文件</w:t>
            </w:r>
            <w:r>
              <w:rPr>
                <w:rFonts w:hint="eastAsia" w:asciiTheme="minorEastAsia" w:hAnsiTheme="minorEastAsia" w:eastAsiaTheme="minorEastAsia"/>
                <w:color w:val="auto"/>
                <w:sz w:val="24"/>
                <w:szCs w:val="24"/>
                <w:highlight w:val="none"/>
              </w:rPr>
              <w:t>及采购信息公告的内容向采购代理机构或采购人提出询问，仅对采购信息公告内容提出询问的，不限制询问主体。</w:t>
            </w:r>
            <w:r>
              <w:rPr>
                <w:rFonts w:asciiTheme="minorEastAsia" w:hAnsiTheme="minorEastAsia" w:eastAsiaTheme="minorEastAsia"/>
                <w:color w:val="auto"/>
                <w:sz w:val="24"/>
                <w:szCs w:val="24"/>
                <w:highlight w:val="none"/>
              </w:rPr>
              <w:t>②</w:t>
            </w:r>
            <w:r>
              <w:rPr>
                <w:rFonts w:hint="eastAsia" w:asciiTheme="minorEastAsia" w:hAnsiTheme="minorEastAsia" w:eastAsiaTheme="minorEastAsia"/>
                <w:color w:val="auto"/>
                <w:sz w:val="24"/>
                <w:szCs w:val="24"/>
                <w:highlight w:val="none"/>
              </w:rPr>
              <w:t>采购过程、采购结果环节：参与采购活动的供应商可以对采购过程、采购结果相关问题向采购代理机构提出询问，未参与采购活动的供应商不得对此环节提出询问。</w:t>
            </w:r>
            <w:r>
              <w:rPr>
                <w:rFonts w:asciiTheme="minorEastAsia" w:hAnsiTheme="minorEastAsia" w:eastAsiaTheme="minorEastAsia"/>
                <w:color w:val="auto"/>
                <w:sz w:val="24"/>
                <w:szCs w:val="24"/>
                <w:highlight w:val="none"/>
              </w:rPr>
              <w:t>③</w:t>
            </w:r>
            <w:r>
              <w:rPr>
                <w:rFonts w:hint="eastAsia" w:asciiTheme="minorEastAsia" w:hAnsiTheme="minorEastAsia" w:eastAsiaTheme="minorEastAsia"/>
                <w:color w:val="auto"/>
                <w:sz w:val="24"/>
                <w:szCs w:val="24"/>
                <w:highlight w:val="none"/>
              </w:rPr>
              <w:t>询问提出的时间原则上以政府采购活动中有效质疑的时间计算为准。</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5.为提高采购效率，降低社会成本，鼓励询问主体对于不损害国家及社会利益或自身合法权益的问题或情形采用询问方式处理解决(包含但不限于文字错误、标点符号、不影响响应文件的编制的情形)。</w:t>
            </w:r>
          </w:p>
          <w:p>
            <w:pPr>
              <w:widowControl/>
              <w:spacing w:after="0" w:line="360" w:lineRule="auto"/>
              <w:ind w:firstLine="120" w:firstLineChars="5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6.为降低时间成本，减少不必要的干扰，采购代理机构或采购人可以不接受未按照约定时间提出的询问。</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86" w:hRule="atLeast"/>
          <w:jc w:val="center"/>
        </w:trPr>
        <w:tc>
          <w:tcPr>
            <w:tcW w:w="697" w:type="dxa"/>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25</w:t>
            </w:r>
          </w:p>
        </w:tc>
        <w:tc>
          <w:tcPr>
            <w:tcW w:w="2248" w:type="dxa"/>
            <w:vAlign w:val="center"/>
          </w:tcPr>
          <w:p>
            <w:pPr>
              <w:spacing w:after="0" w:line="360" w:lineRule="auto"/>
              <w:jc w:val="center"/>
              <w:rPr>
                <w:color w:val="auto"/>
                <w:sz w:val="24"/>
                <w:szCs w:val="24"/>
                <w:highlight w:val="none"/>
                <w:lang w:val="zh-CN"/>
              </w:rPr>
            </w:pPr>
            <w:r>
              <w:rPr>
                <w:rFonts w:hint="eastAsia"/>
                <w:color w:val="auto"/>
                <w:sz w:val="24"/>
                <w:szCs w:val="24"/>
                <w:highlight w:val="none"/>
                <w:lang w:val="zh-CN"/>
              </w:rPr>
              <w:t>供应商质疑</w:t>
            </w:r>
          </w:p>
        </w:tc>
        <w:tc>
          <w:tcPr>
            <w:tcW w:w="6556" w:type="dxa"/>
            <w:vAlign w:val="center"/>
          </w:tcPr>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1.根据委托代理协议约定，对于</w:t>
            </w:r>
            <w:r>
              <w:rPr>
                <w:rFonts w:hint="eastAsia" w:asciiTheme="minorEastAsia" w:hAnsiTheme="minorEastAsia" w:eastAsiaTheme="minorEastAsia"/>
                <w:color w:val="auto"/>
                <w:sz w:val="24"/>
                <w:szCs w:val="24"/>
                <w:highlight w:val="none"/>
                <w:lang w:eastAsia="zh-CN"/>
              </w:rPr>
              <w:t>磋商文件</w:t>
            </w:r>
            <w:r>
              <w:rPr>
                <w:rFonts w:hint="eastAsia" w:asciiTheme="minorEastAsia" w:hAnsiTheme="minorEastAsia" w:eastAsiaTheme="minorEastAsia"/>
                <w:color w:val="auto"/>
                <w:sz w:val="24"/>
                <w:szCs w:val="24"/>
                <w:highlight w:val="none"/>
              </w:rPr>
              <w:t>(磋商文件技术条款和除政府采购法第二十二条之外的其他资格条件、专业商务要求)的质疑由采购人负责答复；对于采购过程或采购结果由采购代理机构负责答复。</w:t>
            </w:r>
            <w:r>
              <w:rPr>
                <w:rFonts w:hint="eastAsia" w:asciiTheme="minorEastAsia" w:hAnsiTheme="minorEastAsia" w:eastAsiaTheme="minorEastAsia"/>
                <w:color w:val="auto"/>
                <w:sz w:val="24"/>
                <w:szCs w:val="24"/>
                <w:highlight w:val="none"/>
              </w:rPr>
              <w:br w:type="textWrapping"/>
            </w:r>
            <w:r>
              <w:rPr>
                <w:rFonts w:hint="eastAsia" w:asciiTheme="minorEastAsia" w:hAnsiTheme="minorEastAsia" w:eastAsiaTheme="minorEastAsia"/>
                <w:color w:val="auto"/>
                <w:sz w:val="24"/>
                <w:szCs w:val="24"/>
                <w:highlight w:val="none"/>
              </w:rPr>
              <w:t>2.供应商提出质疑应当坚持依法依规、诚实信用原则；不得超出</w:t>
            </w:r>
            <w:r>
              <w:rPr>
                <w:rFonts w:hint="eastAsia" w:asciiTheme="minorEastAsia" w:hAnsiTheme="minorEastAsia" w:eastAsiaTheme="minorEastAsia"/>
                <w:color w:val="auto"/>
                <w:sz w:val="24"/>
                <w:szCs w:val="24"/>
                <w:highlight w:val="none"/>
                <w:lang w:eastAsia="zh-CN"/>
              </w:rPr>
              <w:t>磋商文件</w:t>
            </w:r>
            <w:r>
              <w:rPr>
                <w:rFonts w:hint="eastAsia" w:asciiTheme="minorEastAsia" w:hAnsiTheme="minorEastAsia" w:eastAsiaTheme="minorEastAsia"/>
                <w:color w:val="auto"/>
                <w:sz w:val="24"/>
                <w:szCs w:val="24"/>
                <w:highlight w:val="none"/>
              </w:rPr>
              <w:t>、采购过程、采购结果的范围，不得进行虚假、恶意质疑，不得以质疑为手段获取不当得利、实现非法目的。</w:t>
            </w:r>
            <w:r>
              <w:rPr>
                <w:rFonts w:hint="eastAsia" w:asciiTheme="minorEastAsia" w:hAnsiTheme="minorEastAsia" w:eastAsiaTheme="minorEastAsia"/>
                <w:color w:val="auto"/>
                <w:sz w:val="24"/>
                <w:szCs w:val="24"/>
                <w:highlight w:val="none"/>
              </w:rPr>
              <w:br w:type="textWrapping"/>
            </w:r>
            <w:r>
              <w:rPr>
                <w:rFonts w:hint="eastAsia" w:asciiTheme="minorEastAsia" w:hAnsiTheme="minorEastAsia" w:eastAsiaTheme="minorEastAsia"/>
                <w:color w:val="auto"/>
                <w:sz w:val="24"/>
                <w:szCs w:val="24"/>
                <w:highlight w:val="none"/>
              </w:rPr>
              <w:t>3.提出质疑函的时限要求：供应商认为</w:t>
            </w:r>
            <w:r>
              <w:rPr>
                <w:rFonts w:hint="eastAsia" w:asciiTheme="minorEastAsia" w:hAnsiTheme="minorEastAsia" w:eastAsiaTheme="minorEastAsia"/>
                <w:color w:val="auto"/>
                <w:sz w:val="24"/>
                <w:szCs w:val="24"/>
                <w:highlight w:val="none"/>
                <w:lang w:eastAsia="zh-CN"/>
              </w:rPr>
              <w:t>磋商文件</w:t>
            </w:r>
            <w:r>
              <w:rPr>
                <w:rFonts w:hint="eastAsia" w:asciiTheme="minorEastAsia" w:hAnsiTheme="minorEastAsia" w:eastAsiaTheme="minorEastAsia"/>
                <w:color w:val="auto"/>
                <w:sz w:val="24"/>
                <w:szCs w:val="24"/>
                <w:highlight w:val="none"/>
              </w:rPr>
              <w:t>、采购过程、中标使自己的权益受到损害的，可以在知道或者应知其权益受到损害之日起7个工作日内，以书面形式向采购人、采购代理机构提出质疑。</w:t>
            </w:r>
            <w:r>
              <w:rPr>
                <w:rFonts w:hint="eastAsia" w:asciiTheme="minorEastAsia" w:hAnsiTheme="minorEastAsia" w:eastAsiaTheme="minorEastAsia"/>
                <w:color w:val="auto"/>
                <w:sz w:val="24"/>
                <w:szCs w:val="24"/>
                <w:highlight w:val="none"/>
              </w:rPr>
              <w:br w:type="textWrapping"/>
            </w:r>
            <w:r>
              <w:rPr>
                <w:rFonts w:hint="eastAsia" w:asciiTheme="minorEastAsia" w:hAnsiTheme="minorEastAsia" w:eastAsiaTheme="minorEastAsia"/>
                <w:color w:val="auto"/>
                <w:sz w:val="24"/>
                <w:szCs w:val="24"/>
                <w:highlight w:val="none"/>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联系人：任女士</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联系电话：028-81752878</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lang w:val="zh-CN"/>
              </w:rPr>
            </w:pPr>
            <w:r>
              <w:rPr>
                <w:rFonts w:hint="eastAsia" w:asciiTheme="minorEastAsia" w:hAnsiTheme="minorEastAsia" w:eastAsiaTheme="minorEastAsia"/>
                <w:color w:val="auto"/>
                <w:sz w:val="24"/>
                <w:szCs w:val="24"/>
                <w:highlight w:val="none"/>
              </w:rPr>
              <w:t>通讯地址：</w:t>
            </w:r>
            <w:r>
              <w:rPr>
                <w:rFonts w:hint="eastAsia" w:asciiTheme="minorEastAsia" w:hAnsiTheme="minorEastAsia" w:eastAsiaTheme="minorEastAsia"/>
                <w:color w:val="auto"/>
                <w:sz w:val="24"/>
                <w:szCs w:val="24"/>
                <w:highlight w:val="none"/>
                <w:lang w:val="zh-CN"/>
              </w:rPr>
              <w:t>成都市金牛区蜀西路9号丰德羊西中心13楼01号</w:t>
            </w:r>
          </w:p>
          <w:p>
            <w:pPr>
              <w:pStyle w:val="72"/>
              <w:wordWrap/>
              <w:spacing w:line="360" w:lineRule="auto"/>
              <w:ind w:left="0" w:leftChars="0" w:firstLine="120" w:firstLineChars="50"/>
              <w:rPr>
                <w:rFonts w:hint="eastAsia" w:asciiTheme="minorEastAsia" w:hAnsiTheme="minorEastAsia" w:eastAsiaTheme="minorEastAsia"/>
                <w:color w:val="auto"/>
                <w:sz w:val="24"/>
                <w:szCs w:val="24"/>
                <w:highlight w:val="none"/>
                <w:lang w:eastAsia="zh-CN"/>
              </w:rPr>
            </w:pPr>
            <w:r>
              <w:rPr>
                <w:rFonts w:hint="eastAsia" w:asciiTheme="minorEastAsia" w:hAnsiTheme="minorEastAsia" w:eastAsiaTheme="minorEastAsia"/>
                <w:color w:val="auto"/>
                <w:sz w:val="24"/>
                <w:szCs w:val="24"/>
                <w:highlight w:val="none"/>
              </w:rPr>
              <w:t>邮编：</w:t>
            </w:r>
            <w:r>
              <w:rPr>
                <w:rFonts w:hint="eastAsia" w:asciiTheme="minorEastAsia" w:hAnsiTheme="minorEastAsia" w:eastAsiaTheme="minorEastAsia"/>
                <w:color w:val="auto"/>
                <w:sz w:val="24"/>
                <w:szCs w:val="24"/>
                <w:highlight w:val="none"/>
                <w:lang w:eastAsia="zh-CN"/>
              </w:rPr>
              <w:t>610036</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注：①根据《中华人民共和国政府采购法》等法律法规规定，供应商质疑应当有明确的请求和必要的证明材料，须符合《政府采购质疑和投诉办法》(财政部第94号令)规定，并使用财政部下发《质疑函》范本。</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明确的请求是指：供应商对</w:t>
            </w:r>
            <w:r>
              <w:rPr>
                <w:rFonts w:hint="eastAsia" w:asciiTheme="minorEastAsia" w:hAnsiTheme="minorEastAsia" w:eastAsiaTheme="minorEastAsia"/>
                <w:color w:val="auto"/>
                <w:sz w:val="24"/>
                <w:szCs w:val="24"/>
                <w:highlight w:val="none"/>
                <w:lang w:eastAsia="zh-CN"/>
              </w:rPr>
              <w:t>磋商文件</w:t>
            </w:r>
            <w:r>
              <w:rPr>
                <w:rFonts w:hint="eastAsia" w:asciiTheme="minorEastAsia" w:hAnsiTheme="minorEastAsia" w:eastAsiaTheme="minorEastAsia"/>
                <w:color w:val="auto"/>
                <w:sz w:val="24"/>
                <w:szCs w:val="24"/>
                <w:highlight w:val="none"/>
              </w:rPr>
              <w:t>还是对采购过程还是对成交结果提出质疑；想要达到的结果，如中标无效、废标、重新组织采购、赔偿、追究法律责任等；</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必要的证明材料是指：包含供应商的营业执照、授权委托书(法定代表人质疑时无需提供)、委托代理人身份证明、参加采购项目的证明、权益受到损害的证明材料、证明提出质疑的事实存在的材料等。</w:t>
            </w:r>
          </w:p>
          <w:p>
            <w:pPr>
              <w:pStyle w:val="72"/>
              <w:wordWrap/>
              <w:spacing w:line="360" w:lineRule="auto"/>
              <w:ind w:left="0" w:leftChars="0" w:firstLine="120" w:firstLineChars="5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如因供应商提出的质疑函不符合《政府采购质疑和投诉办法》(财政部令第94号)第十二条的要求，采购代理机构或采购人将要求供应商在法定质疑期内进行质疑函补正，未进行补正或在法定质疑期内未进行补正的，其所有不利后果由供应商自行承担。</w:t>
            </w:r>
          </w:p>
          <w:p>
            <w:pPr>
              <w:widowControl/>
              <w:spacing w:after="0" w:line="360" w:lineRule="auto"/>
              <w:ind w:firstLine="120" w:firstLineChars="5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②供应商应当在法定质疑期内一次性提出针对同一采购程序环节的质疑。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697" w:type="dxa"/>
            <w:tcBorders>
              <w:top w:val="single" w:color="auto" w:sz="4" w:space="0"/>
              <w:bottom w:val="single" w:color="auto" w:sz="4" w:space="0"/>
            </w:tcBorders>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26</w:t>
            </w:r>
          </w:p>
        </w:tc>
        <w:tc>
          <w:tcPr>
            <w:tcW w:w="2248" w:type="dxa"/>
            <w:vAlign w:val="center"/>
          </w:tcPr>
          <w:p>
            <w:pPr>
              <w:spacing w:after="0" w:line="360" w:lineRule="auto"/>
              <w:ind w:firstLine="120" w:firstLineChars="50"/>
              <w:jc w:val="center"/>
              <w:rPr>
                <w:rFonts w:ascii="宋体" w:hAnsi="宋体"/>
                <w:color w:val="auto"/>
                <w:sz w:val="24"/>
                <w:szCs w:val="24"/>
                <w:highlight w:val="none"/>
              </w:rPr>
            </w:pPr>
            <w:r>
              <w:rPr>
                <w:rFonts w:hint="eastAsia"/>
                <w:color w:val="auto"/>
                <w:sz w:val="24"/>
                <w:szCs w:val="24"/>
                <w:highlight w:val="none"/>
              </w:rPr>
              <w:t>供应商投诉</w:t>
            </w:r>
          </w:p>
        </w:tc>
        <w:tc>
          <w:tcPr>
            <w:tcW w:w="6556" w:type="dxa"/>
          </w:tcPr>
          <w:p>
            <w:pPr>
              <w:pStyle w:val="72"/>
              <w:wordWrap/>
              <w:spacing w:line="360" w:lineRule="auto"/>
              <w:ind w:left="0" w:leftChars="0" w:firstLine="120" w:firstLineChars="50"/>
              <w:rPr>
                <w:rFonts w:hint="eastAsia" w:asciiTheme="minorEastAsia" w:hAnsiTheme="minorEastAsia" w:eastAsiaTheme="minorEastAsia"/>
                <w:color w:val="auto"/>
                <w:sz w:val="24"/>
                <w:szCs w:val="24"/>
                <w:highlight w:val="none"/>
                <w:lang w:val="en-US" w:eastAsia="zh-CN"/>
              </w:rPr>
            </w:pPr>
            <w:r>
              <w:rPr>
                <w:rFonts w:hint="eastAsia" w:asciiTheme="minorEastAsia" w:hAnsiTheme="minorEastAsia" w:eastAsiaTheme="minorEastAsia"/>
                <w:color w:val="auto"/>
                <w:sz w:val="24"/>
                <w:szCs w:val="24"/>
                <w:highlight w:val="none"/>
                <w:lang w:val="en-US" w:eastAsia="zh-CN"/>
              </w:rPr>
              <w:t>投诉受理单位：本采购项目同级财政部门，即成都市锦江区财政局；联系电话：028-86616092。</w:t>
            </w:r>
          </w:p>
          <w:p>
            <w:pPr>
              <w:pStyle w:val="72"/>
              <w:wordWrap/>
              <w:spacing w:line="360" w:lineRule="auto"/>
              <w:ind w:left="0" w:leftChars="0" w:firstLine="120" w:firstLineChars="50"/>
              <w:rPr>
                <w:rFonts w:cs="Times New Roman" w:asciiTheme="minorEastAsia" w:hAnsiTheme="minorEastAsia" w:eastAsiaTheme="minorEastAsia"/>
                <w:color w:val="auto"/>
                <w:kern w:val="2"/>
                <w:sz w:val="24"/>
                <w:szCs w:val="24"/>
                <w:highlight w:val="none"/>
              </w:rPr>
            </w:pPr>
            <w:r>
              <w:rPr>
                <w:rFonts w:hint="eastAsia" w:asciiTheme="minorEastAsia" w:hAnsiTheme="minorEastAsia" w:eastAsiaTheme="minorEastAsia"/>
                <w:color w:val="auto"/>
                <w:sz w:val="24"/>
                <w:szCs w:val="24"/>
                <w:highlight w:val="none"/>
                <w:lang w:val="en-US" w:eastAsia="zh-CN"/>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697" w:type="dxa"/>
            <w:tcBorders>
              <w:top w:val="single" w:color="auto" w:sz="4" w:space="0"/>
              <w:bottom w:val="single" w:color="auto" w:sz="4" w:space="0"/>
            </w:tcBorders>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27</w:t>
            </w:r>
          </w:p>
        </w:tc>
        <w:tc>
          <w:tcPr>
            <w:tcW w:w="2248" w:type="dxa"/>
            <w:vAlign w:val="center"/>
          </w:tcPr>
          <w:p>
            <w:pPr>
              <w:spacing w:after="0" w:line="360" w:lineRule="auto"/>
              <w:ind w:firstLine="120" w:firstLineChars="50"/>
              <w:jc w:val="center"/>
              <w:rPr>
                <w:rFonts w:ascii="宋体" w:hAnsi="宋体"/>
                <w:color w:val="auto"/>
                <w:sz w:val="24"/>
                <w:szCs w:val="24"/>
                <w:highlight w:val="none"/>
              </w:rPr>
            </w:pPr>
            <w:r>
              <w:rPr>
                <w:rFonts w:hint="eastAsia" w:ascii="宋体" w:hAnsi="宋体"/>
                <w:color w:val="auto"/>
                <w:sz w:val="24"/>
                <w:szCs w:val="24"/>
                <w:highlight w:val="none"/>
              </w:rPr>
              <w:t>采购项目具体事项/</w:t>
            </w:r>
            <w:r>
              <w:rPr>
                <w:rFonts w:hint="eastAsia" w:ascii="宋体" w:hAnsi="宋体"/>
                <w:color w:val="auto"/>
                <w:sz w:val="24"/>
                <w:szCs w:val="24"/>
                <w:highlight w:val="none"/>
                <w:lang w:eastAsia="zh-CN"/>
              </w:rPr>
              <w:t>磋商文件</w:t>
            </w:r>
            <w:r>
              <w:rPr>
                <w:rFonts w:hint="eastAsia" w:ascii="宋体" w:hAnsi="宋体"/>
                <w:color w:val="auto"/>
                <w:sz w:val="24"/>
                <w:szCs w:val="24"/>
                <w:highlight w:val="none"/>
              </w:rPr>
              <w:t>内容咨询</w:t>
            </w:r>
          </w:p>
        </w:tc>
        <w:tc>
          <w:tcPr>
            <w:tcW w:w="6556" w:type="dxa"/>
            <w:vAlign w:val="center"/>
          </w:tcPr>
          <w:p>
            <w:pPr>
              <w:spacing w:after="0" w:line="360" w:lineRule="auto"/>
              <w:ind w:firstLine="120" w:firstLineChars="5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联系人：任女士 </w:t>
            </w:r>
          </w:p>
          <w:p>
            <w:pPr>
              <w:spacing w:after="0" w:line="360" w:lineRule="auto"/>
              <w:ind w:firstLine="120" w:firstLineChars="50"/>
              <w:jc w:val="left"/>
              <w:rPr>
                <w:rFonts w:cs="MS Gothic"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联系电话：028-81752878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697" w:type="dxa"/>
            <w:tcBorders>
              <w:top w:val="single" w:color="auto" w:sz="4" w:space="0"/>
              <w:bottom w:val="single" w:color="auto" w:sz="4" w:space="0"/>
            </w:tcBorders>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28</w:t>
            </w:r>
          </w:p>
        </w:tc>
        <w:tc>
          <w:tcPr>
            <w:tcW w:w="2248" w:type="dxa"/>
            <w:tcBorders>
              <w:top w:val="single" w:color="auto" w:sz="4" w:space="0"/>
              <w:bottom w:val="single" w:color="auto" w:sz="4" w:space="0"/>
            </w:tcBorders>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磋商、评审工作咨询</w:t>
            </w:r>
          </w:p>
        </w:tc>
        <w:tc>
          <w:tcPr>
            <w:tcW w:w="6556" w:type="dxa"/>
            <w:tcBorders>
              <w:top w:val="single" w:color="auto" w:sz="4" w:space="0"/>
              <w:bottom w:val="single" w:color="auto" w:sz="4" w:space="0"/>
            </w:tcBorders>
            <w:vAlign w:val="center"/>
          </w:tcPr>
          <w:p>
            <w:pPr>
              <w:spacing w:after="0" w:line="360" w:lineRule="auto"/>
              <w:ind w:firstLine="120" w:firstLineChars="5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联系人：任女士 </w:t>
            </w:r>
          </w:p>
          <w:p>
            <w:pPr>
              <w:spacing w:after="0" w:line="360" w:lineRule="auto"/>
              <w:ind w:firstLine="120" w:firstLineChars="5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联系电话：028-81752878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697" w:type="dxa"/>
            <w:tcBorders>
              <w:top w:val="single" w:color="auto" w:sz="4" w:space="0"/>
              <w:bottom w:val="single" w:color="auto" w:sz="4" w:space="0"/>
            </w:tcBorders>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29</w:t>
            </w:r>
          </w:p>
        </w:tc>
        <w:tc>
          <w:tcPr>
            <w:tcW w:w="2248" w:type="dxa"/>
            <w:tcBorders>
              <w:top w:val="single" w:color="auto" w:sz="4" w:space="0"/>
              <w:bottom w:val="single" w:color="auto" w:sz="4" w:space="0"/>
            </w:tcBorders>
            <w:vAlign w:val="center"/>
          </w:tcPr>
          <w:p>
            <w:pPr>
              <w:pStyle w:val="58"/>
              <w:spacing w:after="0" w:line="360" w:lineRule="auto"/>
              <w:jc w:val="center"/>
              <w:rPr>
                <w:rFonts w:cs="Times New Roman"/>
                <w:color w:val="auto"/>
                <w:kern w:val="2"/>
                <w:sz w:val="24"/>
                <w:szCs w:val="24"/>
                <w:highlight w:val="none"/>
              </w:rPr>
            </w:pPr>
            <w:r>
              <w:rPr>
                <w:rFonts w:hint="eastAsia"/>
                <w:color w:val="auto"/>
                <w:sz w:val="24"/>
                <w:szCs w:val="24"/>
                <w:highlight w:val="none"/>
                <w:lang w:val="zh-CN"/>
              </w:rPr>
              <w:t>声明承诺提醒</w:t>
            </w:r>
          </w:p>
        </w:tc>
        <w:tc>
          <w:tcPr>
            <w:tcW w:w="6556" w:type="dxa"/>
            <w:tcBorders>
              <w:top w:val="single" w:color="auto" w:sz="4" w:space="0"/>
              <w:bottom w:val="single" w:color="auto" w:sz="4" w:space="0"/>
            </w:tcBorders>
            <w:vAlign w:val="center"/>
          </w:tcPr>
          <w:p>
            <w:pPr>
              <w:spacing w:after="0" w:line="360" w:lineRule="auto"/>
              <w:ind w:firstLine="120" w:firstLineChars="50"/>
              <w:jc w:val="left"/>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lang w:val="zh-CN"/>
              </w:rPr>
              <w:t>供应商的响应文件中提供的各种声明和承诺应当真实有效，无效声明和承诺、虚假声明和承诺将由供应商自己承担由此带来的任何不利后果，虚假声明和承诺还将报告监管部门追究法律责任。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697" w:type="dxa"/>
            <w:tcBorders>
              <w:top w:val="single" w:color="auto" w:sz="4" w:space="0"/>
            </w:tcBorders>
            <w:vAlign w:val="center"/>
          </w:tcPr>
          <w:p>
            <w:pPr>
              <w:pStyle w:val="58"/>
              <w:spacing w:after="0" w:line="360" w:lineRule="auto"/>
              <w:jc w:val="center"/>
              <w:rPr>
                <w:rFonts w:cs="Times New Roman"/>
                <w:color w:val="auto"/>
                <w:kern w:val="2"/>
                <w:sz w:val="24"/>
                <w:szCs w:val="24"/>
                <w:highlight w:val="none"/>
              </w:rPr>
            </w:pPr>
            <w:r>
              <w:rPr>
                <w:rFonts w:hint="eastAsia" w:cs="Times New Roman"/>
                <w:color w:val="auto"/>
                <w:kern w:val="2"/>
                <w:sz w:val="24"/>
                <w:szCs w:val="24"/>
                <w:highlight w:val="none"/>
              </w:rPr>
              <w:t>30</w:t>
            </w:r>
          </w:p>
        </w:tc>
        <w:tc>
          <w:tcPr>
            <w:tcW w:w="2248" w:type="dxa"/>
            <w:tcBorders>
              <w:top w:val="single" w:color="auto" w:sz="4" w:space="0"/>
            </w:tcBorders>
            <w:vAlign w:val="center"/>
          </w:tcPr>
          <w:p>
            <w:pPr>
              <w:spacing w:after="0" w:line="360" w:lineRule="auto"/>
              <w:jc w:val="center"/>
              <w:rPr>
                <w:rFonts w:ascii="宋体" w:hAnsi="宋体"/>
                <w:b/>
                <w:color w:val="auto"/>
                <w:sz w:val="24"/>
                <w:szCs w:val="24"/>
                <w:highlight w:val="none"/>
              </w:rPr>
            </w:pPr>
            <w:r>
              <w:rPr>
                <w:rFonts w:hint="eastAsia"/>
                <w:b/>
                <w:color w:val="auto"/>
                <w:sz w:val="24"/>
                <w:szCs w:val="24"/>
                <w:highlight w:val="none"/>
                <w:lang w:val="zh-CN"/>
              </w:rPr>
              <w:t>备注</w:t>
            </w:r>
          </w:p>
        </w:tc>
        <w:tc>
          <w:tcPr>
            <w:tcW w:w="6556" w:type="dxa"/>
            <w:tcBorders>
              <w:top w:val="single" w:color="auto" w:sz="4" w:space="0"/>
            </w:tcBorders>
            <w:vAlign w:val="center"/>
          </w:tcPr>
          <w:p>
            <w:pPr>
              <w:pStyle w:val="72"/>
              <w:wordWrap/>
              <w:spacing w:line="360" w:lineRule="auto"/>
              <w:ind w:left="0" w:leftChars="0" w:firstLine="120" w:firstLineChars="50"/>
              <w:rPr>
                <w:rFonts w:asciiTheme="minorEastAsia" w:hAnsiTheme="minorEastAsia" w:eastAsiaTheme="minorEastAsia"/>
                <w:b/>
                <w:color w:val="auto"/>
                <w:sz w:val="24"/>
                <w:szCs w:val="24"/>
                <w:highlight w:val="none"/>
                <w:lang w:val="zh-CN"/>
              </w:rPr>
            </w:pPr>
            <w:r>
              <w:rPr>
                <w:rFonts w:hint="eastAsia" w:asciiTheme="minorEastAsia" w:hAnsiTheme="minorEastAsia" w:eastAsiaTheme="minorEastAsia"/>
                <w:b/>
                <w:color w:val="auto"/>
                <w:sz w:val="24"/>
                <w:szCs w:val="24"/>
                <w:highlight w:val="none"/>
                <w:lang w:val="zh-CN"/>
              </w:rPr>
              <w:t>若磋商文件中其他内容与供应商须知前附表内容不一致的，以供应商须知前附表为准。</w:t>
            </w:r>
          </w:p>
        </w:tc>
      </w:tr>
    </w:tbl>
    <w:p>
      <w:pPr>
        <w:widowControl/>
        <w:spacing w:after="0" w:line="240" w:lineRule="auto"/>
        <w:jc w:val="left"/>
        <w:rPr>
          <w:rFonts w:ascii="宋体" w:hAnsi="宋体"/>
          <w:b/>
          <w:color w:val="auto"/>
          <w:sz w:val="32"/>
          <w:szCs w:val="32"/>
          <w:highlight w:val="none"/>
        </w:rPr>
      </w:pPr>
    </w:p>
    <w:p>
      <w:pPr>
        <w:pStyle w:val="4"/>
        <w:keepLines w:val="0"/>
        <w:spacing w:before="0" w:after="0" w:line="400" w:lineRule="exact"/>
        <w:jc w:val="center"/>
        <w:rPr>
          <w:rFonts w:hint="eastAsia" w:ascii="宋体" w:hAnsi="宋体" w:eastAsia="宋体"/>
          <w:color w:val="auto"/>
          <w:highlight w:val="none"/>
        </w:rPr>
      </w:pPr>
      <w:bookmarkStart w:id="16" w:name="PO_默认文件内容_23"/>
    </w:p>
    <w:p>
      <w:pPr>
        <w:pStyle w:val="4"/>
        <w:keepLines w:val="0"/>
        <w:spacing w:before="0" w:after="0" w:line="400" w:lineRule="exact"/>
        <w:jc w:val="center"/>
        <w:rPr>
          <w:rFonts w:hint="eastAsia" w:ascii="宋体" w:hAnsi="宋体" w:eastAsia="宋体"/>
          <w:color w:val="auto"/>
          <w:highlight w:val="none"/>
        </w:rPr>
      </w:pPr>
    </w:p>
    <w:p>
      <w:pPr>
        <w:pStyle w:val="4"/>
        <w:keepLines w:val="0"/>
        <w:spacing w:before="0" w:after="0" w:line="400" w:lineRule="exact"/>
        <w:jc w:val="center"/>
        <w:rPr>
          <w:rFonts w:hint="eastAsia" w:ascii="宋体" w:hAnsi="宋体" w:eastAsia="宋体"/>
          <w:color w:val="auto"/>
          <w:highlight w:val="none"/>
        </w:rPr>
      </w:pPr>
    </w:p>
    <w:p>
      <w:pPr>
        <w:pStyle w:val="4"/>
        <w:keepLines w:val="0"/>
        <w:spacing w:before="0" w:after="0" w:line="400" w:lineRule="exact"/>
        <w:jc w:val="center"/>
        <w:rPr>
          <w:rFonts w:hint="eastAsia" w:ascii="宋体" w:hAnsi="宋体" w:eastAsia="宋体"/>
          <w:color w:val="auto"/>
          <w:highlight w:val="none"/>
        </w:rPr>
      </w:pPr>
    </w:p>
    <w:p>
      <w:pPr>
        <w:pStyle w:val="4"/>
        <w:keepLines w:val="0"/>
        <w:spacing w:before="0" w:after="0" w:line="400" w:lineRule="exact"/>
        <w:jc w:val="center"/>
        <w:rPr>
          <w:rFonts w:hint="eastAsia" w:ascii="宋体" w:hAnsi="宋体" w:eastAsia="宋体"/>
          <w:color w:val="auto"/>
          <w:highlight w:val="none"/>
        </w:rPr>
      </w:pPr>
    </w:p>
    <w:p>
      <w:pPr>
        <w:pStyle w:val="4"/>
        <w:keepLines w:val="0"/>
        <w:spacing w:before="0" w:after="0" w:line="400" w:lineRule="exact"/>
        <w:jc w:val="center"/>
        <w:rPr>
          <w:rFonts w:hint="eastAsia" w:ascii="宋体" w:hAnsi="宋体" w:eastAsia="宋体"/>
          <w:color w:val="auto"/>
          <w:highlight w:val="none"/>
        </w:rPr>
      </w:pPr>
    </w:p>
    <w:p>
      <w:pPr>
        <w:pStyle w:val="4"/>
        <w:keepLines w:val="0"/>
        <w:spacing w:before="0" w:after="0" w:line="400" w:lineRule="exact"/>
        <w:jc w:val="center"/>
        <w:rPr>
          <w:rFonts w:hint="eastAsia" w:ascii="宋体" w:hAnsi="宋体" w:eastAsia="宋体"/>
          <w:color w:val="auto"/>
          <w:highlight w:val="none"/>
        </w:rPr>
      </w:pPr>
    </w:p>
    <w:p>
      <w:pPr>
        <w:pStyle w:val="4"/>
        <w:keepLines w:val="0"/>
        <w:spacing w:before="0" w:after="0" w:line="400" w:lineRule="exact"/>
        <w:jc w:val="both"/>
        <w:rPr>
          <w:rFonts w:hint="eastAsia" w:ascii="宋体" w:hAnsi="宋体" w:eastAsia="宋体"/>
          <w:color w:val="auto"/>
          <w:highlight w:val="none"/>
        </w:rPr>
      </w:pPr>
    </w:p>
    <w:p>
      <w:pPr>
        <w:rPr>
          <w:rFonts w:hint="eastAsia" w:ascii="宋体" w:hAnsi="宋体" w:eastAsia="宋体"/>
          <w:color w:val="auto"/>
          <w:highlight w:val="none"/>
        </w:rPr>
      </w:pPr>
      <w:r>
        <w:rPr>
          <w:rFonts w:hint="eastAsia" w:ascii="宋体" w:hAnsi="宋体" w:eastAsia="宋体"/>
          <w:color w:val="auto"/>
          <w:highlight w:val="none"/>
        </w:rPr>
        <w:br w:type="page"/>
      </w: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二、总  则</w:t>
      </w:r>
    </w:p>
    <w:p>
      <w:pPr>
        <w:pStyle w:val="5"/>
        <w:keepLines w:val="0"/>
        <w:spacing w:before="0" w:after="0" w:line="400" w:lineRule="exact"/>
        <w:ind w:firstLine="480" w:firstLineChars="200"/>
        <w:rPr>
          <w:rFonts w:ascii="仿宋" w:hAnsi="仿宋" w:eastAsia="仿宋"/>
          <w:b w:val="0"/>
          <w:bCs w:val="0"/>
          <w:color w:val="auto"/>
          <w:sz w:val="24"/>
          <w:szCs w:val="24"/>
          <w:highlight w:val="none"/>
        </w:rPr>
      </w:pPr>
      <w:r>
        <w:rPr>
          <w:rFonts w:hint="eastAsia" w:ascii="仿宋" w:hAnsi="仿宋" w:eastAsia="仿宋"/>
          <w:b w:val="0"/>
          <w:bCs w:val="0"/>
          <w:color w:val="auto"/>
          <w:sz w:val="24"/>
          <w:szCs w:val="24"/>
          <w:highlight w:val="none"/>
        </w:rPr>
        <w:t xml:space="preserve"> </w:t>
      </w:r>
    </w:p>
    <w:p>
      <w:pPr>
        <w:pStyle w:val="5"/>
        <w:keepLines w:val="0"/>
        <w:spacing w:before="0" w:after="0" w:line="360" w:lineRule="auto"/>
        <w:ind w:firstLine="482" w:firstLineChars="200"/>
        <w:rPr>
          <w:rFonts w:ascii="宋体" w:hAnsi="宋体"/>
          <w:color w:val="auto"/>
          <w:sz w:val="24"/>
          <w:szCs w:val="24"/>
          <w:highlight w:val="none"/>
        </w:rPr>
      </w:pPr>
      <w:r>
        <w:rPr>
          <w:rFonts w:hint="eastAsia" w:ascii="宋体" w:hAnsi="宋体"/>
          <w:color w:val="auto"/>
          <w:sz w:val="24"/>
          <w:szCs w:val="24"/>
          <w:highlight w:val="none"/>
        </w:rPr>
        <w:t>1.适用范围</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1.1 本磋商文件仅适用于本次磋商采购项目。</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1.2 本磋商文件的解释权归采购人和采购代理机构所有。</w:t>
      </w:r>
    </w:p>
    <w:p>
      <w:pPr>
        <w:pStyle w:val="5"/>
        <w:keepLines w:val="0"/>
        <w:spacing w:before="0" w:after="0" w:line="360" w:lineRule="auto"/>
        <w:ind w:firstLine="482" w:firstLineChars="200"/>
        <w:rPr>
          <w:rFonts w:ascii="宋体" w:hAnsi="宋体"/>
          <w:color w:val="auto"/>
          <w:sz w:val="24"/>
          <w:szCs w:val="24"/>
          <w:highlight w:val="none"/>
        </w:rPr>
      </w:pPr>
      <w:r>
        <w:rPr>
          <w:rFonts w:hint="eastAsia" w:ascii="宋体" w:hAnsi="宋体"/>
          <w:color w:val="auto"/>
          <w:sz w:val="24"/>
          <w:szCs w:val="24"/>
          <w:highlight w:val="none"/>
        </w:rPr>
        <w:t>2.采购主体</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2.1本次磋商的采购人是</w:t>
      </w:r>
      <w:r>
        <w:rPr>
          <w:rFonts w:hint="eastAsia" w:ascii="宋体" w:hAnsi="宋体"/>
          <w:color w:val="auto"/>
          <w:sz w:val="24"/>
          <w:highlight w:val="none"/>
          <w:u w:val="single"/>
        </w:rPr>
        <w:t xml:space="preserve"> </w:t>
      </w:r>
      <w:r>
        <w:rPr>
          <w:rFonts w:hint="eastAsia" w:ascii="宋体" w:hAnsi="宋体"/>
          <w:color w:val="auto"/>
          <w:sz w:val="24"/>
          <w:szCs w:val="22"/>
          <w:highlight w:val="none"/>
          <w:u w:val="single"/>
          <w:lang w:eastAsia="zh-CN"/>
        </w:rPr>
        <w:t>成都市锦江区综合行政执法局</w:t>
      </w:r>
      <w:r>
        <w:rPr>
          <w:rFonts w:ascii="宋体" w:hAnsi="宋体"/>
          <w:color w:val="auto"/>
          <w:sz w:val="24"/>
          <w:highlight w:val="none"/>
          <w:u w:val="single"/>
        </w:rPr>
        <w:t xml:space="preserve"> </w:t>
      </w:r>
      <w:r>
        <w:rPr>
          <w:rFonts w:hint="eastAsia" w:ascii="宋体" w:hAnsi="宋体"/>
          <w:color w:val="auto"/>
          <w:sz w:val="24"/>
          <w:highlight w:val="none"/>
        </w:rPr>
        <w:t>。</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2.2本次磋商的采购代理机构是</w:t>
      </w:r>
      <w:r>
        <w:rPr>
          <w:rFonts w:hint="eastAsia" w:ascii="宋体" w:hAnsi="宋体"/>
          <w:color w:val="auto"/>
          <w:sz w:val="24"/>
          <w:szCs w:val="22"/>
          <w:highlight w:val="none"/>
          <w:u w:val="single"/>
        </w:rPr>
        <w:t>四川天启建设项目管理有限公司</w:t>
      </w:r>
      <w:r>
        <w:rPr>
          <w:rFonts w:hint="eastAsia" w:ascii="宋体" w:hAnsi="宋体"/>
          <w:color w:val="auto"/>
          <w:sz w:val="24"/>
          <w:highlight w:val="none"/>
        </w:rPr>
        <w:t>。</w:t>
      </w:r>
    </w:p>
    <w:p>
      <w:pPr>
        <w:pStyle w:val="5"/>
        <w:keepLines w:val="0"/>
        <w:spacing w:before="0" w:after="0" w:line="360" w:lineRule="auto"/>
        <w:ind w:firstLine="482" w:firstLineChars="200"/>
        <w:rPr>
          <w:rFonts w:ascii="宋体" w:hAnsi="宋体"/>
          <w:color w:val="auto"/>
          <w:sz w:val="24"/>
          <w:szCs w:val="24"/>
          <w:highlight w:val="none"/>
        </w:rPr>
      </w:pPr>
      <w:r>
        <w:rPr>
          <w:rFonts w:hint="eastAsia" w:ascii="宋体" w:hAnsi="宋体"/>
          <w:color w:val="auto"/>
          <w:sz w:val="24"/>
          <w:szCs w:val="24"/>
          <w:highlight w:val="none"/>
        </w:rPr>
        <w:t>3. 合格供应商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合格供应商应具备以下条件：</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3.1 具备法律法规和本</w:t>
      </w:r>
      <w:r>
        <w:rPr>
          <w:rFonts w:hint="eastAsia" w:ascii="宋体" w:hAnsi="宋体"/>
          <w:color w:val="auto"/>
          <w:sz w:val="24"/>
          <w:highlight w:val="none"/>
          <w:lang w:eastAsia="zh-CN"/>
        </w:rPr>
        <w:t>磋商文件</w:t>
      </w:r>
      <w:r>
        <w:rPr>
          <w:rFonts w:hint="eastAsia" w:ascii="宋体" w:hAnsi="宋体"/>
          <w:color w:val="auto"/>
          <w:sz w:val="24"/>
          <w:highlight w:val="none"/>
        </w:rPr>
        <w:t>规定的资格条件；</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3.2 不属于禁止参加本项目采购活动的供应商；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3.3按照规定购买了</w:t>
      </w:r>
      <w:r>
        <w:rPr>
          <w:rFonts w:hint="eastAsia" w:ascii="宋体" w:hAnsi="宋体"/>
          <w:color w:val="auto"/>
          <w:sz w:val="24"/>
          <w:highlight w:val="none"/>
          <w:lang w:eastAsia="zh-CN"/>
        </w:rPr>
        <w:t>磋商文件</w:t>
      </w:r>
      <w:r>
        <w:rPr>
          <w:rFonts w:hint="eastAsia" w:ascii="宋体" w:hAnsi="宋体"/>
          <w:color w:val="auto"/>
          <w:sz w:val="24"/>
          <w:highlight w:val="none"/>
        </w:rPr>
        <w:t>（实质性要求）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由代理机构提供供应商购买</w:t>
      </w:r>
      <w:r>
        <w:rPr>
          <w:rFonts w:hint="eastAsia" w:ascii="宋体" w:hAnsi="宋体"/>
          <w:color w:val="auto"/>
          <w:sz w:val="24"/>
          <w:highlight w:val="none"/>
          <w:lang w:eastAsia="zh-CN"/>
        </w:rPr>
        <w:t>磋商文件</w:t>
      </w:r>
      <w:r>
        <w:rPr>
          <w:rFonts w:hint="eastAsia" w:ascii="宋体" w:hAnsi="宋体"/>
          <w:color w:val="auto"/>
          <w:sz w:val="24"/>
          <w:highlight w:val="none"/>
        </w:rPr>
        <w:t>情况的相关证明材料，供应商不用提供证明材料。</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4. 磋商费用（实质性要求）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供应商应自行承担参加磋商活动的全部费用。</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5.充分、公平竞争保障措施（实质性要求）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5.2利害关系授权代表处理。两家以上的供应商不得在同一合同项下的采购项目中，委托同一个自然人、同一家庭的人员、同一单位的人员作为其授权代表，否则，其响应文件作为无效处理。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5.3前期参与供应商处理。为采购项目提供整体设计、规范编制或者项目管理、监理、检测等服务的供应商，不得再参加该采购项目的其他采购活动。供应商为采购人、采购代理机构在确定采购需求、编制</w:t>
      </w:r>
      <w:r>
        <w:rPr>
          <w:rFonts w:hint="eastAsia" w:ascii="宋体" w:hAnsi="宋体"/>
          <w:color w:val="auto"/>
          <w:sz w:val="24"/>
          <w:highlight w:val="none"/>
          <w:lang w:eastAsia="zh-CN"/>
        </w:rPr>
        <w:t>磋商文件</w:t>
      </w:r>
      <w:r>
        <w:rPr>
          <w:rFonts w:hint="eastAsia" w:ascii="宋体" w:hAnsi="宋体"/>
          <w:color w:val="auto"/>
          <w:sz w:val="24"/>
          <w:highlight w:val="none"/>
        </w:rPr>
        <w:t>过程中提供咨询论证，其提供的咨询论证意见成为</w:t>
      </w:r>
      <w:r>
        <w:rPr>
          <w:rFonts w:hint="eastAsia" w:ascii="宋体" w:hAnsi="宋体"/>
          <w:color w:val="auto"/>
          <w:sz w:val="24"/>
          <w:highlight w:val="none"/>
          <w:lang w:eastAsia="zh-CN"/>
        </w:rPr>
        <w:t>磋商文件</w:t>
      </w:r>
      <w:r>
        <w:rPr>
          <w:rFonts w:hint="eastAsia" w:ascii="宋体" w:hAnsi="宋体"/>
          <w:color w:val="auto"/>
          <w:sz w:val="24"/>
          <w:highlight w:val="none"/>
        </w:rPr>
        <w:t>中规定的供应商资格条件、技术服务商务要求、评审因素和标准、政府采购合同等实质性内容条款的，视同为采购项目提供规范编制。</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5.5供应商实际控制人或者中高级管理人员，同时是采购代理机构工作人员，不得参与本项目政府采购活动。</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5.6同一母公司的两家以上的子公司只能组成联合体参加本项目同一合同项下的采购活动，不得以不同供应商身份同时参加本项目同一合同项下的采购活动。</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5.7供应商与采购代理机构存在关联关系，或者是采购代理机构的母公司或子公司，不得参加本项目政府采购活动。</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5.8回避。政府采购活动中，采购人员及相关人员与供应商有下列利害关系之一的，应当回避：</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（1）参加采购活动前3年内与供应商存在劳动关系；</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（2）参加采购活动前3年内担任供应商的董事、监事；</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（3）参加采购活动前3年内是供应商的控股股东或者实际控制人；</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（4）与供应商的法定代表人或者负责人有夫妻、直系血亲、三代以内旁系血亲或者近姻亲关系；</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（5）与供应商有其他可能影响政府采购活动公平、公正进行的关系。</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hint="eastAsia" w:ascii="仿宋" w:hAnsi="仿宋" w:eastAsia="仿宋"/>
          <w:color w:val="auto"/>
          <w:sz w:val="24"/>
          <w:highlight w:val="none"/>
        </w:rPr>
        <w:t xml:space="preserve"> </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6.联合体竞争性磋商（仅适用于允许联合体参与的项目）</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联合体各方应当共同与采购人签订采购合同，就采购合同约定的事项对采购人承担连带责任。</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7.磋商保证金（本项目不涉及）</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7.1 供应商必须以人民币按磋商文件要求足额缴纳磋商保证金。联合体磋商的，可以由联合体的一方或者共同提交磋商保证金，以一方名义提交磋商保证金的，对联合体各方均具有约束力。</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7.2 未按磋商文件要求在规定时间前交纳规定数额磋商保证金的响应文件无效。</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7.3 供应商所交纳的磋商保证金不计利息。</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7.5发生下列情形之一的，采购代理机构将不予退还磋商保证金：</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（一）在磋商文件规定的递交响应文件截止时间后撤回响应文件的；</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（二）在采购人确定成交供应商之前放弃成交候选资格的；</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（三）成交后放弃、不领取或者不接收成交通知书的；</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（四）由于成交供应商的原因未能按照磋商文件的规定与采购人签订合同的；</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（五）由于成交供应商的原因未能按照磋商文件的规定交纳履约保证金的；</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（六）供应商在政府采购活动中提供虚假材料的；</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（七）报价有效期内，供应商在政府采购活动中有违法、违规、违纪行为。</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8.响应文件有效期（实质性要求）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9.知识产权（实质性要求）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9.1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9.2 除非磋商文件特别规定，采购人享有本项目实施过程中产生的知识成果及知识产权。</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9.3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after="0" w:line="360" w:lineRule="auto"/>
        <w:ind w:firstLine="480" w:firstLineChars="200"/>
        <w:rPr>
          <w:rFonts w:ascii="仿宋" w:hAnsi="仿宋" w:eastAsia="仿宋"/>
          <w:color w:val="auto"/>
          <w:sz w:val="24"/>
          <w:highlight w:val="none"/>
        </w:rPr>
      </w:pPr>
      <w:r>
        <w:rPr>
          <w:rFonts w:hint="eastAsia" w:ascii="宋体" w:hAnsi="宋体"/>
          <w:color w:val="auto"/>
          <w:sz w:val="24"/>
          <w:highlight w:val="none"/>
        </w:rPr>
        <w:t xml:space="preserve">9.4 如采用供应商所不拥有的知识产权，则在报价中必须包括合法获取该知识产权的相关费用。 </w:t>
      </w: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三、磋商文件</w:t>
      </w:r>
    </w:p>
    <w:p>
      <w:pPr>
        <w:pStyle w:val="5"/>
        <w:keepLines w:val="0"/>
        <w:spacing w:before="0" w:after="0"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 </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10．磋商文件的构成（实质性要求）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10.1 磋商文件是供应商准备响应文件和参加磋商的依据，同时也是磋商的重要依据。磋商文件用以阐明磋商项目所需的资质、技术、服务及报价等要求、磋商程序、有关规定和注意事项以及合同主要条款等。</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10.2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spacing w:after="0" w:line="360" w:lineRule="auto"/>
        <w:ind w:firstLine="482" w:firstLineChars="200"/>
        <w:rPr>
          <w:rFonts w:ascii="宋体" w:hAnsi="宋体"/>
          <w:color w:val="auto"/>
          <w:sz w:val="24"/>
          <w:highlight w:val="none"/>
        </w:rPr>
      </w:pPr>
      <w:r>
        <w:rPr>
          <w:rFonts w:ascii="宋体" w:hAnsi="宋体"/>
          <w:b/>
          <w:bCs/>
          <w:color w:val="auto"/>
          <w:sz w:val="24"/>
          <w:highlight w:val="none"/>
        </w:rPr>
        <w:t>11</w:t>
      </w:r>
      <w:r>
        <w:rPr>
          <w:rFonts w:ascii="宋体" w:hAnsi="宋体"/>
          <w:color w:val="auto"/>
          <w:sz w:val="24"/>
          <w:highlight w:val="none"/>
        </w:rPr>
        <w:t>.</w:t>
      </w:r>
      <w:r>
        <w:rPr>
          <w:rFonts w:hint="eastAsia" w:ascii="宋体" w:hAnsi="宋体"/>
          <w:color w:val="auto"/>
          <w:sz w:val="24"/>
          <w:highlight w:val="none"/>
        </w:rPr>
        <w:t>供应商应详细阅读竞争性磋商文件的全部内容，并实质性响应竞争性磋商文件的要求，供应商未对竞争性磋商文件全面做出实质性响应是供应商的风险。</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1</w:t>
      </w:r>
      <w:r>
        <w:rPr>
          <w:rFonts w:ascii="宋体" w:hAnsi="宋体"/>
          <w:b/>
          <w:bCs/>
          <w:color w:val="auto"/>
          <w:sz w:val="24"/>
          <w:highlight w:val="none"/>
        </w:rPr>
        <w:t>2</w:t>
      </w:r>
      <w:r>
        <w:rPr>
          <w:rFonts w:hint="eastAsia" w:ascii="宋体" w:hAnsi="宋体"/>
          <w:b/>
          <w:bCs/>
          <w:color w:val="auto"/>
          <w:sz w:val="24"/>
          <w:highlight w:val="none"/>
        </w:rPr>
        <w:t>. 磋商文件的澄清和修改</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2</w:t>
      </w:r>
      <w:r>
        <w:rPr>
          <w:rFonts w:hint="eastAsia" w:ascii="宋体" w:hAnsi="宋体"/>
          <w:color w:val="auto"/>
          <w:sz w:val="24"/>
          <w:highlight w:val="none"/>
        </w:rPr>
        <w:t>.1 在递交响应文件截止时间前，采购人、采购代理机构可以对磋商文件进行澄清或者修改。</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2</w:t>
      </w:r>
      <w:r>
        <w:rPr>
          <w:rFonts w:hint="eastAsia" w:ascii="宋体" w:hAnsi="宋体"/>
          <w:color w:val="auto"/>
          <w:sz w:val="24"/>
          <w:highlight w:val="none"/>
        </w:rPr>
        <w:t>.2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2</w:t>
      </w:r>
      <w:r>
        <w:rPr>
          <w:rFonts w:hint="eastAsia" w:ascii="宋体" w:hAnsi="宋体"/>
          <w:color w:val="auto"/>
          <w:sz w:val="24"/>
          <w:highlight w:val="none"/>
        </w:rPr>
        <w:t>.3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更正通知通过供应商报名时备注的电子邮箱发送至所有购买磋商文件的供应商，供应商在收到相应更正通知后，以书面形式给予确认。如供应商未给予书面回复，则视为收到并认可该更正通知的内容。</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2</w:t>
      </w:r>
      <w:r>
        <w:rPr>
          <w:rFonts w:hint="eastAsia" w:ascii="宋体" w:hAnsi="宋体"/>
          <w:color w:val="auto"/>
          <w:sz w:val="24"/>
          <w:highlight w:val="none"/>
        </w:rPr>
        <w:t>.4供应商认为需要对磋商文件进行澄清或者修改的，可以以书面形式向采购人或采购代理机构提出申请，由采购人或采购代理机构决定是否采纳供应商的申请事项。</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1</w:t>
      </w:r>
      <w:r>
        <w:rPr>
          <w:rFonts w:ascii="宋体" w:hAnsi="宋体"/>
          <w:b/>
          <w:bCs/>
          <w:color w:val="auto"/>
          <w:sz w:val="24"/>
          <w:highlight w:val="none"/>
        </w:rPr>
        <w:t>3</w:t>
      </w:r>
      <w:r>
        <w:rPr>
          <w:rFonts w:hint="eastAsia" w:ascii="宋体" w:hAnsi="宋体"/>
          <w:b/>
          <w:bCs/>
          <w:color w:val="auto"/>
          <w:sz w:val="24"/>
          <w:highlight w:val="none"/>
        </w:rPr>
        <w:t>. 答疑会和现场考察</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3</w:t>
      </w:r>
      <w:r>
        <w:rPr>
          <w:rFonts w:hint="eastAsia" w:ascii="宋体" w:hAnsi="宋体"/>
          <w:color w:val="auto"/>
          <w:sz w:val="24"/>
          <w:highlight w:val="none"/>
        </w:rPr>
        <w:t>.1 根据采购项目和具体情况，采购人、采购代理机构认为有必要，可以在磋商文件提供期限截止后响应文件提交截止前，组织已获取磋商文件的潜在供应商现场考察或者召开答疑会。</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3</w:t>
      </w:r>
      <w:r>
        <w:rPr>
          <w:rFonts w:hint="eastAsia" w:ascii="宋体" w:hAnsi="宋体"/>
          <w:color w:val="auto"/>
          <w:sz w:val="24"/>
          <w:highlight w:val="none"/>
        </w:rPr>
        <w:t>.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3</w:t>
      </w:r>
      <w:r>
        <w:rPr>
          <w:rFonts w:hint="eastAsia" w:ascii="宋体" w:hAnsi="宋体"/>
          <w:color w:val="auto"/>
          <w:sz w:val="24"/>
          <w:highlight w:val="none"/>
        </w:rPr>
        <w:t>.3 供应商考察现场或者参加答疑会所发生的一切费用由供应商自己承担。</w:t>
      </w:r>
    </w:p>
    <w:p>
      <w:pPr>
        <w:pStyle w:val="4"/>
        <w:keepLines w:val="0"/>
        <w:spacing w:before="0" w:after="0" w:line="400" w:lineRule="exact"/>
        <w:jc w:val="center"/>
        <w:rPr>
          <w:rFonts w:ascii="仿宋" w:hAnsi="仿宋" w:eastAsia="仿宋"/>
          <w:b w:val="0"/>
          <w:bCs w:val="0"/>
          <w:color w:val="auto"/>
          <w:highlight w:val="none"/>
        </w:rPr>
      </w:pPr>
      <w:r>
        <w:rPr>
          <w:rFonts w:hint="eastAsia" w:ascii="仿宋" w:hAnsi="仿宋" w:eastAsia="仿宋"/>
          <w:b w:val="0"/>
          <w:bCs w:val="0"/>
          <w:color w:val="auto"/>
          <w:highlight w:val="none"/>
        </w:rPr>
        <w:t xml:space="preserve"> </w:t>
      </w: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四、响应文件</w:t>
      </w:r>
    </w:p>
    <w:p>
      <w:pPr>
        <w:rPr>
          <w:rFonts w:ascii="仿宋" w:hAnsi="仿宋" w:eastAsia="仿宋"/>
          <w:color w:val="auto"/>
          <w:highlight w:val="none"/>
        </w:rPr>
      </w:pPr>
      <w:r>
        <w:rPr>
          <w:rFonts w:hint="eastAsia" w:ascii="仿宋" w:hAnsi="仿宋" w:eastAsia="仿宋"/>
          <w:color w:val="auto"/>
          <w:highlight w:val="none"/>
        </w:rPr>
        <w:t xml:space="preserve"> </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1</w:t>
      </w:r>
      <w:r>
        <w:rPr>
          <w:rFonts w:ascii="宋体" w:hAnsi="宋体"/>
          <w:b/>
          <w:bCs/>
          <w:color w:val="auto"/>
          <w:sz w:val="24"/>
          <w:highlight w:val="none"/>
        </w:rPr>
        <w:t>4</w:t>
      </w:r>
      <w:r>
        <w:rPr>
          <w:rFonts w:hint="eastAsia" w:ascii="宋体" w:hAnsi="宋体"/>
          <w:b/>
          <w:bCs/>
          <w:color w:val="auto"/>
          <w:sz w:val="24"/>
          <w:highlight w:val="none"/>
        </w:rPr>
        <w:t>.响应文件的组成</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4</w:t>
      </w:r>
      <w:r>
        <w:rPr>
          <w:rFonts w:hint="eastAsia" w:ascii="宋体" w:hAnsi="宋体"/>
          <w:color w:val="auto"/>
          <w:sz w:val="24"/>
          <w:highlight w:val="none"/>
        </w:rPr>
        <w:t>.1供应商应按照磋商文件的规定和要求编制响应文件。供应商在成交后将成交项目的非主体、非关键性工作分包他人完成的，应当在响应文件中载明。（实质性要求）</w:t>
      </w:r>
    </w:p>
    <w:p>
      <w:pPr>
        <w:spacing w:after="0" w:line="360" w:lineRule="auto"/>
        <w:ind w:firstLine="480" w:firstLineChars="200"/>
        <w:rPr>
          <w:rFonts w:ascii="仿宋" w:hAnsi="仿宋" w:eastAsia="仿宋"/>
          <w:b/>
          <w:bCs/>
          <w:color w:val="auto"/>
          <w:sz w:val="24"/>
          <w:highlight w:val="none"/>
        </w:rPr>
      </w:pPr>
      <w:r>
        <w:rPr>
          <w:rFonts w:hint="eastAsia" w:ascii="宋体" w:hAnsi="宋体"/>
          <w:color w:val="auto"/>
          <w:sz w:val="24"/>
          <w:highlight w:val="none"/>
        </w:rPr>
        <w:t>1</w:t>
      </w:r>
      <w:r>
        <w:rPr>
          <w:rFonts w:ascii="宋体" w:hAnsi="宋体"/>
          <w:color w:val="auto"/>
          <w:sz w:val="24"/>
          <w:highlight w:val="none"/>
        </w:rPr>
        <w:t>4</w:t>
      </w:r>
      <w:r>
        <w:rPr>
          <w:rFonts w:hint="eastAsia" w:ascii="宋体" w:hAnsi="宋体"/>
          <w:color w:val="auto"/>
          <w:sz w:val="24"/>
          <w:highlight w:val="none"/>
        </w:rPr>
        <w:t>.2供应商编写的响应文件应包括资格性响应文件和其他响应文件两部分，分册装订。</w:t>
      </w:r>
      <w:r>
        <w:rPr>
          <w:rFonts w:hint="eastAsia" w:ascii="仿宋" w:hAnsi="仿宋" w:eastAsia="仿宋"/>
          <w:b/>
          <w:bCs/>
          <w:color w:val="auto"/>
          <w:sz w:val="24"/>
          <w:highlight w:val="none"/>
        </w:rPr>
        <w:t xml:space="preserve"> </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文件一：资格性响应文件</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包括但不限于竞争性磋商文件第四章规定的资格证明材料。</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文件二：其他响应文件</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包括但不限于竞争性磋商文件第三章格式要求的内容</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4.3</w:t>
      </w:r>
      <w:r>
        <w:rPr>
          <w:rFonts w:hint="eastAsia" w:ascii="宋体" w:hAnsi="宋体"/>
          <w:color w:val="auto"/>
          <w:sz w:val="24"/>
          <w:highlight w:val="none"/>
        </w:rPr>
        <w:t>补充、修改的内容作为响应文件的组成部分。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4.4</w:t>
      </w:r>
      <w:r>
        <w:rPr>
          <w:rFonts w:hint="eastAsia" w:ascii="宋体" w:hAnsi="宋体"/>
          <w:color w:val="auto"/>
          <w:sz w:val="24"/>
          <w:highlight w:val="none"/>
        </w:rPr>
        <w:t>最后报价是供应商响应文件的有效组成部分。</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1</w:t>
      </w:r>
      <w:r>
        <w:rPr>
          <w:rFonts w:ascii="宋体" w:hAnsi="宋体"/>
          <w:b/>
          <w:bCs/>
          <w:color w:val="auto"/>
          <w:sz w:val="24"/>
          <w:highlight w:val="none"/>
        </w:rPr>
        <w:t>5</w:t>
      </w:r>
      <w:r>
        <w:rPr>
          <w:rFonts w:hint="eastAsia" w:ascii="宋体" w:hAnsi="宋体"/>
          <w:b/>
          <w:bCs/>
          <w:color w:val="auto"/>
          <w:sz w:val="24"/>
          <w:highlight w:val="none"/>
        </w:rPr>
        <w:t>.响应文件的语言（实质性要求）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5</w:t>
      </w:r>
      <w:r>
        <w:rPr>
          <w:rFonts w:hint="eastAsia" w:ascii="宋体" w:hAnsi="宋体"/>
          <w:color w:val="auto"/>
          <w:sz w:val="24"/>
          <w:highlight w:val="none"/>
        </w:rPr>
        <w:t>.1供应商提交的响应文件以及供应商与采购组织单位就有关磋商采购的所有来往书面文件均须使用中文。响应文件中如附有外文资料，主要部分对应翻译成中文并加盖供应商公章后附在相关外文资料后面。</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5</w:t>
      </w:r>
      <w:r>
        <w:rPr>
          <w:rFonts w:hint="eastAsia" w:ascii="宋体" w:hAnsi="宋体"/>
          <w:color w:val="auto"/>
          <w:sz w:val="24"/>
          <w:highlight w:val="none"/>
        </w:rPr>
        <w:t>.2 翻译的中文资料与外文资料如果出现差异和矛盾时，以中文为准。涉嫌虚假响应的按照相关法律法规处理。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5</w:t>
      </w:r>
      <w:r>
        <w:rPr>
          <w:rFonts w:hint="eastAsia" w:ascii="宋体" w:hAnsi="宋体"/>
          <w:color w:val="auto"/>
          <w:sz w:val="24"/>
          <w:highlight w:val="none"/>
        </w:rPr>
        <w:t>.3 如因未翻译而造成的响应文件无效风险，由供应商承担。</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1</w:t>
      </w:r>
      <w:r>
        <w:rPr>
          <w:rFonts w:ascii="宋体" w:hAnsi="宋体"/>
          <w:b/>
          <w:bCs/>
          <w:color w:val="auto"/>
          <w:sz w:val="24"/>
          <w:highlight w:val="none"/>
        </w:rPr>
        <w:t>6</w:t>
      </w:r>
      <w:r>
        <w:rPr>
          <w:rFonts w:hint="eastAsia" w:ascii="宋体" w:hAnsi="宋体"/>
          <w:b/>
          <w:bCs/>
          <w:color w:val="auto"/>
          <w:sz w:val="24"/>
          <w:highlight w:val="none"/>
        </w:rPr>
        <w:t>．计量单位（实质性要求）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除磋商文件中另有规定外，本次采购项目所有合同项下的报价均采用国家法定的计量单位。</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1</w:t>
      </w:r>
      <w:r>
        <w:rPr>
          <w:rFonts w:ascii="宋体" w:hAnsi="宋体"/>
          <w:b/>
          <w:bCs/>
          <w:color w:val="auto"/>
          <w:sz w:val="24"/>
          <w:highlight w:val="none"/>
        </w:rPr>
        <w:t>7</w:t>
      </w:r>
      <w:r>
        <w:rPr>
          <w:rFonts w:hint="eastAsia" w:ascii="宋体" w:hAnsi="宋体"/>
          <w:b/>
          <w:bCs/>
          <w:color w:val="auto"/>
          <w:sz w:val="24"/>
          <w:highlight w:val="none"/>
        </w:rPr>
        <w:t>. 报价</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7</w:t>
      </w:r>
      <w:r>
        <w:rPr>
          <w:rFonts w:hint="eastAsia" w:ascii="宋体" w:hAnsi="宋体"/>
          <w:color w:val="auto"/>
          <w:sz w:val="24"/>
          <w:highlight w:val="none"/>
        </w:rPr>
        <w:t>.1本次磋商项目的报价货币为人民币，报价以磋商文件规定为准。（实质性要求）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7</w:t>
      </w:r>
      <w:r>
        <w:rPr>
          <w:rFonts w:hint="eastAsia" w:ascii="宋体" w:hAnsi="宋体"/>
          <w:color w:val="auto"/>
          <w:sz w:val="24"/>
          <w:highlight w:val="none"/>
        </w:rPr>
        <w:t>.2供应商在响应文件中可不提供报价，在磋商现场由磋商小组通知进行现场报价。（报价表格式详见附件二</w:t>
      </w:r>
      <w:r>
        <w:rPr>
          <w:rFonts w:ascii="宋体" w:hAnsi="宋体"/>
          <w:color w:val="auto"/>
          <w:sz w:val="24"/>
          <w:highlight w:val="none"/>
        </w:rPr>
        <w:t>,</w:t>
      </w:r>
      <w:r>
        <w:rPr>
          <w:rFonts w:hint="eastAsia" w:ascii="宋体" w:hAnsi="宋体"/>
          <w:color w:val="auto"/>
          <w:sz w:val="24"/>
          <w:highlight w:val="none"/>
        </w:rPr>
        <w:t>由供应商自行准备。）</w:t>
      </w: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17.3</w:t>
      </w:r>
      <w:r>
        <w:rPr>
          <w:rFonts w:hint="eastAsia" w:ascii="宋体" w:hAnsi="宋体"/>
          <w:color w:val="auto"/>
          <w:sz w:val="24"/>
          <w:highlight w:val="none"/>
        </w:rPr>
        <w:t>本项目磋商采购最后报价采用现场报价，通过资格审查及实质性审查（最后报价除外）的供应商按磋商小组要求进行报价。</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7.4</w:t>
      </w:r>
      <w:r>
        <w:rPr>
          <w:rFonts w:hint="eastAsia" w:ascii="宋体" w:hAnsi="宋体"/>
          <w:color w:val="auto"/>
          <w:sz w:val="24"/>
          <w:highlight w:val="none"/>
        </w:rPr>
        <w:t>供应商报价（包括最后报价）应为完成本竞争性磋商文件中所要求的货物及服务所应包括内容的所有价格。</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7.5</w:t>
      </w:r>
      <w:r>
        <w:rPr>
          <w:rFonts w:hint="eastAsia" w:ascii="宋体" w:hAnsi="宋体"/>
          <w:color w:val="auto"/>
          <w:sz w:val="24"/>
          <w:highlight w:val="none"/>
        </w:rPr>
        <w:t>成交供应商的成交价是以最后报价表的报价为准，并以此作为结算的依据。</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7.6</w:t>
      </w:r>
      <w:r>
        <w:rPr>
          <w:rFonts w:hint="eastAsia" w:ascii="宋体" w:hAnsi="宋体"/>
          <w:color w:val="auto"/>
          <w:sz w:val="24"/>
          <w:highlight w:val="none"/>
        </w:rPr>
        <w:t>供应商提交的报价（包括最后报价）不得超过本项目采购预算，否则将作为无效响应处理。</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1</w:t>
      </w:r>
      <w:r>
        <w:rPr>
          <w:rFonts w:ascii="宋体" w:hAnsi="宋体"/>
          <w:b/>
          <w:bCs/>
          <w:color w:val="auto"/>
          <w:sz w:val="24"/>
          <w:highlight w:val="none"/>
        </w:rPr>
        <w:t>8</w:t>
      </w:r>
      <w:r>
        <w:rPr>
          <w:rFonts w:hint="eastAsia" w:ascii="宋体" w:hAnsi="宋体"/>
          <w:b/>
          <w:bCs/>
          <w:color w:val="auto"/>
          <w:sz w:val="24"/>
          <w:highlight w:val="none"/>
        </w:rPr>
        <w:t>.响应文件格式</w:t>
      </w:r>
    </w:p>
    <w:p>
      <w:pPr>
        <w:spacing w:after="0" w:line="360" w:lineRule="auto"/>
        <w:ind w:firstLine="480" w:firstLineChars="200"/>
        <w:rPr>
          <w:rFonts w:ascii="宋体" w:hAnsi="宋体"/>
          <w:color w:val="auto"/>
          <w:sz w:val="24"/>
          <w:highlight w:val="none"/>
        </w:rPr>
      </w:pPr>
      <w:r>
        <w:rPr>
          <w:rFonts w:hint="eastAsia" w:ascii="仿宋" w:hAnsi="仿宋" w:eastAsia="仿宋"/>
          <w:color w:val="auto"/>
          <w:sz w:val="24"/>
          <w:highlight w:val="none"/>
        </w:rPr>
        <w:t>1</w:t>
      </w:r>
      <w:r>
        <w:rPr>
          <w:rFonts w:ascii="宋体" w:hAnsi="宋体"/>
          <w:color w:val="auto"/>
          <w:sz w:val="24"/>
          <w:highlight w:val="none"/>
        </w:rPr>
        <w:t>8</w:t>
      </w:r>
      <w:r>
        <w:rPr>
          <w:rFonts w:hint="eastAsia" w:ascii="宋体" w:hAnsi="宋体"/>
          <w:color w:val="auto"/>
          <w:sz w:val="24"/>
          <w:highlight w:val="none"/>
        </w:rPr>
        <w:t>.1 供应商应执行磋商文件第三章的规定要求。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8</w:t>
      </w:r>
      <w:r>
        <w:rPr>
          <w:rFonts w:hint="eastAsia" w:ascii="宋体" w:hAnsi="宋体"/>
          <w:color w:val="auto"/>
          <w:sz w:val="24"/>
          <w:highlight w:val="none"/>
        </w:rPr>
        <w:t>.2 对于没有格式要求的磋商文件由供应商自行编写。</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1</w:t>
      </w:r>
      <w:r>
        <w:rPr>
          <w:rFonts w:ascii="宋体" w:hAnsi="宋体"/>
          <w:b/>
          <w:bCs/>
          <w:color w:val="auto"/>
          <w:sz w:val="24"/>
          <w:highlight w:val="none"/>
        </w:rPr>
        <w:t>9</w:t>
      </w:r>
      <w:r>
        <w:rPr>
          <w:rFonts w:hint="eastAsia" w:ascii="宋体" w:hAnsi="宋体"/>
          <w:b/>
          <w:bCs/>
          <w:color w:val="auto"/>
          <w:sz w:val="24"/>
          <w:highlight w:val="none"/>
        </w:rPr>
        <w:t>.响应文件的编制和签署</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9</w:t>
      </w:r>
      <w:r>
        <w:rPr>
          <w:rFonts w:hint="eastAsia" w:ascii="宋体" w:hAnsi="宋体"/>
          <w:color w:val="auto"/>
          <w:sz w:val="24"/>
          <w:highlight w:val="none"/>
        </w:rPr>
        <w:t>.1 资格性响应文件正本1份副本2份，并在其封面上清楚地标明资格性响应文件、采购项目名称、采购项目编号、包件号及名称（若有）、供应商名称以及“正本”或“副本”字样。若正本和副本有不一致的内容，以正本书面响应文件为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9</w:t>
      </w:r>
      <w:r>
        <w:rPr>
          <w:rFonts w:hint="eastAsia" w:ascii="宋体" w:hAnsi="宋体"/>
          <w:color w:val="auto"/>
          <w:sz w:val="24"/>
          <w:highlight w:val="none"/>
        </w:rPr>
        <w:t>.2 其他响应文件正本1份副本2份，并在其封面上清楚地标明其他响应文件、采购项目名称、采购项目编号、包件号及名称（若有）、供应商名称以及“正本”或“副本”字样。若正本和副本有不一致的内容，以正本书面响应文件为准。</w:t>
      </w:r>
    </w:p>
    <w:p>
      <w:pPr>
        <w:spacing w:after="0" w:line="360" w:lineRule="auto"/>
        <w:ind w:firstLine="480" w:firstLineChars="200"/>
        <w:rPr>
          <w:rFonts w:ascii="宋体" w:hAnsi="宋体"/>
          <w:b/>
          <w:bCs/>
          <w:color w:val="auto"/>
          <w:sz w:val="24"/>
          <w:highlight w:val="none"/>
        </w:rPr>
      </w:pPr>
      <w:r>
        <w:rPr>
          <w:rFonts w:hint="eastAsia" w:ascii="宋体" w:hAnsi="宋体"/>
          <w:color w:val="auto"/>
          <w:sz w:val="24"/>
          <w:highlight w:val="none"/>
        </w:rPr>
        <w:t>1</w:t>
      </w:r>
      <w:r>
        <w:rPr>
          <w:rFonts w:ascii="宋体" w:hAnsi="宋体"/>
          <w:color w:val="auto"/>
          <w:sz w:val="24"/>
          <w:highlight w:val="none"/>
        </w:rPr>
        <w:t>9</w:t>
      </w:r>
      <w:r>
        <w:rPr>
          <w:rFonts w:hint="eastAsia" w:ascii="宋体" w:hAnsi="宋体"/>
          <w:color w:val="auto"/>
          <w:sz w:val="24"/>
          <w:highlight w:val="none"/>
        </w:rPr>
        <w:t>.3 响应文件正本和副本均需在规定签章处签字和盖章。响应文件副本可采用正本的复印件，</w:t>
      </w:r>
      <w:r>
        <w:rPr>
          <w:rFonts w:hint="eastAsia" w:ascii="宋体" w:hAnsi="宋体"/>
          <w:b/>
          <w:bCs/>
          <w:color w:val="auto"/>
          <w:sz w:val="24"/>
          <w:highlight w:val="none"/>
        </w:rPr>
        <w:t>提供电子文档1份采用光盘或U盘制作，电子文档可单独密封。</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9</w:t>
      </w:r>
      <w:r>
        <w:rPr>
          <w:rFonts w:hint="eastAsia" w:ascii="宋体" w:hAnsi="宋体"/>
          <w:color w:val="auto"/>
          <w:sz w:val="24"/>
          <w:highlight w:val="none"/>
        </w:rPr>
        <w:t>.4响应文件的打印和书写应清楚工整，任何行间插字、涂改或增删，必须由供应商的法定代表人/单位负责人或其授权代表签字并盖供应商公章。</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9</w:t>
      </w:r>
      <w:r>
        <w:rPr>
          <w:rFonts w:hint="eastAsia" w:ascii="宋体" w:hAnsi="宋体"/>
          <w:color w:val="auto"/>
          <w:sz w:val="24"/>
          <w:highlight w:val="none"/>
        </w:rPr>
        <w:t>.5</w:t>
      </w:r>
      <w:r>
        <w:rPr>
          <w:rFonts w:hint="eastAsia" w:ascii="宋体" w:hAnsi="宋体"/>
          <w:b/>
          <w:bCs/>
          <w:color w:val="auto"/>
          <w:sz w:val="24"/>
          <w:highlight w:val="none"/>
        </w:rPr>
        <w:t>（实质性要求）</w:t>
      </w:r>
      <w:r>
        <w:rPr>
          <w:rFonts w:hint="eastAsia" w:ascii="宋体" w:hAnsi="宋体"/>
          <w:color w:val="auto"/>
          <w:sz w:val="24"/>
          <w:highlight w:val="none"/>
        </w:rPr>
        <w:t>响应文件应由供应商法定代表人/主要负责人/本人或其授权代表在响应文件要求的地方签字（注：供应商为法人的，应当由其法定代表人或者授权代表签字确认；供应商为其他组织的，应当由其主要负责人或者授权代表签字确认；供应商为自然人的，应当由其本人或者授权代表签字确认）或加盖私人印章，要求加盖公章的地方加盖单位公章，不得使用专用章（如经济合同章、投标专用章等）或下属单位印章代替。</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9</w:t>
      </w:r>
      <w:r>
        <w:rPr>
          <w:rFonts w:hint="eastAsia" w:ascii="宋体" w:hAnsi="宋体"/>
          <w:color w:val="auto"/>
          <w:sz w:val="24"/>
          <w:highlight w:val="none"/>
        </w:rPr>
        <w:t>.6响应文件正本和副本需要逐页编目编码。</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9</w:t>
      </w:r>
      <w:r>
        <w:rPr>
          <w:rFonts w:hint="eastAsia" w:ascii="宋体" w:hAnsi="宋体"/>
          <w:color w:val="auto"/>
          <w:sz w:val="24"/>
          <w:highlight w:val="none"/>
        </w:rPr>
        <w:t>.7响应文件正本和副本应当采用胶装方式装订成册，不得散装或者合页装订。</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9</w:t>
      </w:r>
      <w:r>
        <w:rPr>
          <w:rFonts w:hint="eastAsia" w:ascii="宋体" w:hAnsi="宋体"/>
          <w:color w:val="auto"/>
          <w:sz w:val="24"/>
          <w:highlight w:val="none"/>
        </w:rPr>
        <w:t>.8</w:t>
      </w:r>
      <w:r>
        <w:rPr>
          <w:rFonts w:hint="eastAsia" w:ascii="宋体" w:hAnsi="宋体"/>
          <w:b/>
          <w:bCs/>
          <w:color w:val="auto"/>
          <w:sz w:val="24"/>
          <w:highlight w:val="none"/>
        </w:rPr>
        <w:t>（实质性要求）</w:t>
      </w:r>
      <w:r>
        <w:rPr>
          <w:rFonts w:hint="eastAsia" w:ascii="宋体" w:hAnsi="宋体"/>
          <w:color w:val="auto"/>
          <w:sz w:val="24"/>
          <w:highlight w:val="none"/>
        </w:rPr>
        <w:t>响应文件应按磋商文件的要求签署、盖章（第八章2.4.6规定的例外情形除外）。</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w:t>
      </w:r>
      <w:r>
        <w:rPr>
          <w:rFonts w:ascii="宋体" w:hAnsi="宋体"/>
          <w:color w:val="auto"/>
          <w:sz w:val="24"/>
          <w:highlight w:val="none"/>
        </w:rPr>
        <w:t>9</w:t>
      </w:r>
      <w:r>
        <w:rPr>
          <w:rFonts w:hint="eastAsia" w:ascii="宋体" w:hAnsi="宋体"/>
          <w:color w:val="auto"/>
          <w:sz w:val="24"/>
          <w:highlight w:val="none"/>
        </w:rPr>
        <w:t>.9响应文件统一用A4幅面纸印制，除另有规定外。</w:t>
      </w:r>
    </w:p>
    <w:p>
      <w:pPr>
        <w:spacing w:after="0" w:line="360" w:lineRule="auto"/>
        <w:ind w:firstLine="482" w:firstLineChars="200"/>
        <w:rPr>
          <w:rFonts w:ascii="宋体" w:hAnsi="宋体"/>
          <w:b/>
          <w:bCs/>
          <w:color w:val="auto"/>
          <w:sz w:val="24"/>
          <w:highlight w:val="none"/>
        </w:rPr>
      </w:pPr>
      <w:r>
        <w:rPr>
          <w:rFonts w:ascii="宋体" w:hAnsi="宋体"/>
          <w:b/>
          <w:bCs/>
          <w:color w:val="auto"/>
          <w:sz w:val="24"/>
          <w:highlight w:val="none"/>
        </w:rPr>
        <w:t>20</w:t>
      </w:r>
      <w:r>
        <w:rPr>
          <w:rFonts w:hint="eastAsia" w:ascii="宋体" w:hAnsi="宋体"/>
          <w:b/>
          <w:bCs/>
          <w:color w:val="auto"/>
          <w:sz w:val="24"/>
          <w:highlight w:val="none"/>
        </w:rPr>
        <w:t>.响应文件的密封和标注</w:t>
      </w:r>
      <w:r>
        <w:rPr>
          <w:rFonts w:hint="eastAsia" w:ascii="宋体" w:hAnsi="宋体"/>
          <w:color w:val="auto"/>
          <w:sz w:val="24"/>
          <w:highlight w:val="none"/>
        </w:rPr>
        <w:t>（不属于本项目磋商小组评审范畴，由采购人、采购代理机构在接收响应文件时及时处理）</w:t>
      </w: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20</w:t>
      </w:r>
      <w:r>
        <w:rPr>
          <w:rFonts w:hint="eastAsia" w:ascii="宋体" w:hAnsi="宋体"/>
          <w:color w:val="auto"/>
          <w:sz w:val="24"/>
          <w:highlight w:val="none"/>
        </w:rPr>
        <w:t>.1 响应文件可以单独密封包装，也可以所有响应文件密封包装在一个密封袋内。</w:t>
      </w: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20</w:t>
      </w:r>
      <w:r>
        <w:rPr>
          <w:rFonts w:hint="eastAsia" w:ascii="宋体" w:hAnsi="宋体"/>
          <w:color w:val="auto"/>
          <w:sz w:val="24"/>
          <w:highlight w:val="none"/>
        </w:rPr>
        <w:t>.2 响应文件密封袋的最外层应清楚地标明采购项目名称、采购项目编号、包件号及名称（若有）、供应商名称。</w:t>
      </w: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20</w:t>
      </w:r>
      <w:r>
        <w:rPr>
          <w:rFonts w:hint="eastAsia" w:ascii="宋体" w:hAnsi="宋体"/>
          <w:color w:val="auto"/>
          <w:sz w:val="24"/>
          <w:highlight w:val="none"/>
        </w:rPr>
        <w:t>.3 所有外层密封袋的封口处应粘贴牢固。</w:t>
      </w: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20</w:t>
      </w:r>
      <w:r>
        <w:rPr>
          <w:rFonts w:hint="eastAsia" w:ascii="宋体" w:hAnsi="宋体"/>
          <w:color w:val="auto"/>
          <w:sz w:val="24"/>
          <w:highlight w:val="none"/>
        </w:rPr>
        <w:t>.4 未密封的响应文件，采购人、采购代理机构将拒收或者在时间允许的范围内，要求修改完善后接收。</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2</w:t>
      </w:r>
      <w:r>
        <w:rPr>
          <w:rFonts w:ascii="宋体" w:hAnsi="宋体"/>
          <w:b/>
          <w:bCs/>
          <w:color w:val="auto"/>
          <w:sz w:val="24"/>
          <w:highlight w:val="none"/>
        </w:rPr>
        <w:t>1</w:t>
      </w:r>
      <w:r>
        <w:rPr>
          <w:rFonts w:hint="eastAsia" w:ascii="宋体" w:hAnsi="宋体"/>
          <w:b/>
          <w:bCs/>
          <w:color w:val="auto"/>
          <w:sz w:val="24"/>
          <w:highlight w:val="none"/>
        </w:rPr>
        <w:t>.响应文件的递交</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1</w:t>
      </w:r>
      <w:r>
        <w:rPr>
          <w:rFonts w:hint="eastAsia" w:ascii="宋体" w:hAnsi="宋体"/>
          <w:color w:val="auto"/>
          <w:sz w:val="24"/>
          <w:highlight w:val="none"/>
        </w:rPr>
        <w:t>.1 资格性响应文件和其他响应文件应于递交响应文件截止时间前送达指定地点，采购代理机构拒绝接收截止时间后送达的响应文件。</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1</w:t>
      </w:r>
      <w:r>
        <w:rPr>
          <w:rFonts w:hint="eastAsia" w:ascii="宋体" w:hAnsi="宋体"/>
          <w:color w:val="auto"/>
          <w:sz w:val="24"/>
          <w:highlight w:val="none"/>
        </w:rPr>
        <w:t>.2 递交响应文件时，供应商名称和响应文件的项目编号应当与报名供应商名称和磋商文件的项目编号一致。但是，响应文件实质性内容与报名供应商名称和磋商文件的项目编号一致，只是封面文字错误的，可以在评审过程中当面予以澄清，以有效的澄清材料作为认定响应文件是否有效的依据。</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1</w:t>
      </w: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本次采购不接收邮寄的响应文件。</w:t>
      </w:r>
    </w:p>
    <w:p>
      <w:pPr>
        <w:spacing w:after="0" w:line="360" w:lineRule="auto"/>
        <w:ind w:firstLine="482" w:firstLineChars="200"/>
        <w:rPr>
          <w:rFonts w:ascii="宋体" w:hAnsi="宋体"/>
          <w:color w:val="auto"/>
          <w:sz w:val="24"/>
          <w:highlight w:val="none"/>
        </w:rPr>
      </w:pPr>
      <w:r>
        <w:rPr>
          <w:rFonts w:hint="eastAsia" w:ascii="宋体" w:hAnsi="宋体"/>
          <w:b/>
          <w:bCs/>
          <w:color w:val="auto"/>
          <w:sz w:val="24"/>
          <w:highlight w:val="none"/>
        </w:rPr>
        <w:t>2</w:t>
      </w:r>
      <w:r>
        <w:rPr>
          <w:rFonts w:ascii="宋体" w:hAnsi="宋体"/>
          <w:b/>
          <w:bCs/>
          <w:color w:val="auto"/>
          <w:sz w:val="24"/>
          <w:highlight w:val="none"/>
        </w:rPr>
        <w:t>2</w:t>
      </w:r>
      <w:r>
        <w:rPr>
          <w:rFonts w:hint="eastAsia" w:ascii="宋体" w:hAnsi="宋体"/>
          <w:b/>
          <w:bCs/>
          <w:color w:val="auto"/>
          <w:sz w:val="24"/>
          <w:highlight w:val="none"/>
        </w:rPr>
        <w:t>.响应文件的修改和撤回</w:t>
      </w:r>
      <w:r>
        <w:rPr>
          <w:rFonts w:hint="eastAsia" w:ascii="宋体" w:hAnsi="宋体"/>
          <w:color w:val="auto"/>
          <w:sz w:val="24"/>
          <w:highlight w:val="none"/>
        </w:rPr>
        <w:t>（补充、修改响应文件的密封和标注按照本章“</w:t>
      </w:r>
      <w:r>
        <w:rPr>
          <w:rFonts w:ascii="宋体" w:hAnsi="宋体"/>
          <w:color w:val="auto"/>
          <w:sz w:val="24"/>
          <w:highlight w:val="none"/>
        </w:rPr>
        <w:t>20</w:t>
      </w:r>
      <w:r>
        <w:rPr>
          <w:rFonts w:hint="eastAsia" w:ascii="宋体" w:hAnsi="宋体"/>
          <w:color w:val="auto"/>
          <w:sz w:val="24"/>
          <w:highlight w:val="none"/>
        </w:rPr>
        <w:t>.响应文件的密封和标注”规定处理）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2</w:t>
      </w:r>
      <w:r>
        <w:rPr>
          <w:rFonts w:hint="eastAsia" w:ascii="宋体" w:hAnsi="宋体"/>
          <w:color w:val="auto"/>
          <w:sz w:val="24"/>
          <w:highlight w:val="none"/>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2</w:t>
      </w:r>
      <w:r>
        <w:rPr>
          <w:rFonts w:hint="eastAsia" w:ascii="宋体" w:hAnsi="宋体"/>
          <w:color w:val="auto"/>
          <w:sz w:val="24"/>
          <w:highlight w:val="none"/>
        </w:rPr>
        <w:t>.2供应商对响应文件修改的书面材料或撤回的通知应该按规定进行编写、密封、标注和递送，并注明“修改响应文件”字样。</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2</w:t>
      </w:r>
      <w:r>
        <w:rPr>
          <w:rFonts w:hint="eastAsia" w:ascii="宋体" w:hAnsi="宋体"/>
          <w:color w:val="auto"/>
          <w:sz w:val="24"/>
          <w:highlight w:val="none"/>
        </w:rPr>
        <w:t>.3供应商不得在递交截止时间起至响应文件有效期期满前撤销其响应文件。否则其磋商保证金将按相关规定不予退还。</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2</w:t>
      </w:r>
      <w:r>
        <w:rPr>
          <w:rFonts w:hint="eastAsia" w:ascii="宋体" w:hAnsi="宋体"/>
          <w:color w:val="auto"/>
          <w:sz w:val="24"/>
          <w:highlight w:val="none"/>
        </w:rPr>
        <w:t>.4供应商对其提交的响应文件的真实性、合法性承担法律责任。</w:t>
      </w:r>
    </w:p>
    <w:p>
      <w:pPr>
        <w:pStyle w:val="4"/>
        <w:keepLines w:val="0"/>
        <w:spacing w:before="0" w:after="0" w:line="400" w:lineRule="exact"/>
        <w:jc w:val="center"/>
        <w:rPr>
          <w:rFonts w:ascii="仿宋" w:hAnsi="仿宋" w:eastAsia="仿宋"/>
          <w:b w:val="0"/>
          <w:bCs w:val="0"/>
          <w:color w:val="auto"/>
          <w:sz w:val="24"/>
          <w:szCs w:val="24"/>
          <w:highlight w:val="none"/>
        </w:rPr>
      </w:pPr>
      <w:r>
        <w:rPr>
          <w:rFonts w:hint="eastAsia" w:ascii="仿宋" w:hAnsi="仿宋" w:eastAsia="仿宋"/>
          <w:b w:val="0"/>
          <w:bCs w:val="0"/>
          <w:color w:val="auto"/>
          <w:sz w:val="24"/>
          <w:szCs w:val="24"/>
          <w:highlight w:val="none"/>
        </w:rPr>
        <w:t xml:space="preserve"> </w:t>
      </w: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五、磋商会</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2</w:t>
      </w:r>
      <w:r>
        <w:rPr>
          <w:rFonts w:ascii="宋体" w:hAnsi="宋体"/>
          <w:b/>
          <w:bCs/>
          <w:color w:val="auto"/>
          <w:sz w:val="24"/>
          <w:highlight w:val="none"/>
        </w:rPr>
        <w:t>3.</w:t>
      </w:r>
      <w:r>
        <w:rPr>
          <w:rFonts w:hint="eastAsia" w:ascii="宋体" w:hAnsi="宋体"/>
          <w:b/>
          <w:bCs/>
          <w:color w:val="auto"/>
          <w:sz w:val="24"/>
          <w:highlight w:val="none"/>
        </w:rPr>
        <w:t>磋商会人员</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采购代理机构在磋商文件规定的时间和地点组织磋商，采购人、供应商须派授权代表参加并签到以证明其出席，磋商会由采购代理机构主持。</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2</w:t>
      </w:r>
      <w:r>
        <w:rPr>
          <w:rFonts w:ascii="宋体" w:hAnsi="宋体"/>
          <w:b/>
          <w:bCs/>
          <w:color w:val="auto"/>
          <w:sz w:val="24"/>
          <w:highlight w:val="none"/>
        </w:rPr>
        <w:t>4.</w:t>
      </w:r>
      <w:r>
        <w:rPr>
          <w:rFonts w:hint="eastAsia" w:ascii="宋体" w:hAnsi="宋体"/>
          <w:b/>
          <w:bCs/>
          <w:color w:val="auto"/>
          <w:sz w:val="24"/>
          <w:highlight w:val="none"/>
        </w:rPr>
        <w:t>磋商会内容</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磋商会主持人按照磋商文件规定宣布响应文件递交截止时间，按照规定主持磋商会。将按一下程序进行：</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（1）宣布磋商会开始。响应文件递交截止时间已到，主持人宣布磋商会开始并致辞；</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（2）宣布会场纪律和有关注意事项；</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确认响应文件的密封情况，是指供应商确认自己递交的响应文件的密封情况，不代表对其他供应商的响应文件的密封情况确认。供应商或者其推选的代表对其他供应商的响应文件密封情况有异议的，可以当场向会议主持人或者现场监督人员反映，要求现场记录人员予以记录，但不得干扰、阻挠磋商会议工作的正常进行；</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（4）供应商不足3家的，终止采购活动，并退回响应文件；</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5）宣布磋商会结束，所有供应商代表应立即退场，同时所有供应商应保持通讯设备畅通，以方便进行下一步的磋商活动和在评审过程中磋商小组要求供应商对响应文件的必要澄清、说明或者更正。评审结果供应商在“四川政府采购网”查询。</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2</w:t>
      </w:r>
      <w:r>
        <w:rPr>
          <w:rFonts w:ascii="宋体" w:hAnsi="宋体"/>
          <w:b/>
          <w:bCs/>
          <w:color w:val="auto"/>
          <w:sz w:val="24"/>
          <w:highlight w:val="none"/>
        </w:rPr>
        <w:t>5.</w:t>
      </w:r>
      <w:r>
        <w:rPr>
          <w:rFonts w:hint="eastAsia" w:ascii="宋体" w:hAnsi="宋体"/>
          <w:b/>
          <w:bCs/>
          <w:color w:val="auto"/>
          <w:sz w:val="24"/>
          <w:highlight w:val="none"/>
        </w:rPr>
        <w:t>电子监控档案</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本项目磋商会和评审过程进行全过程电子监控，并将电子监控资料存储介质留存归档。</w:t>
      </w: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六、评审</w:t>
      </w:r>
    </w:p>
    <w:p>
      <w:pPr>
        <w:rPr>
          <w:rFonts w:ascii="仿宋" w:hAnsi="仿宋" w:eastAsia="仿宋"/>
          <w:color w:val="auto"/>
          <w:highlight w:val="none"/>
        </w:rPr>
      </w:pPr>
      <w:r>
        <w:rPr>
          <w:rFonts w:hint="eastAsia" w:ascii="仿宋" w:hAnsi="仿宋" w:eastAsia="仿宋"/>
          <w:color w:val="auto"/>
          <w:highlight w:val="none"/>
        </w:rPr>
        <w:t xml:space="preserve"> </w:t>
      </w:r>
    </w:p>
    <w:p>
      <w:pPr>
        <w:pStyle w:val="4"/>
        <w:keepLines w:val="0"/>
        <w:spacing w:line="400" w:lineRule="exact"/>
        <w:ind w:firstLine="482"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2</w:t>
      </w:r>
      <w:r>
        <w:rPr>
          <w:rFonts w:ascii="宋体" w:hAnsi="宋体" w:eastAsia="宋体"/>
          <w:color w:val="auto"/>
          <w:sz w:val="24"/>
          <w:szCs w:val="24"/>
          <w:highlight w:val="none"/>
        </w:rPr>
        <w:t>6</w:t>
      </w:r>
      <w:r>
        <w:rPr>
          <w:rFonts w:hint="eastAsia" w:ascii="宋体" w:hAnsi="宋体" w:eastAsia="宋体"/>
          <w:color w:val="auto"/>
          <w:sz w:val="24"/>
          <w:szCs w:val="24"/>
          <w:highlight w:val="none"/>
        </w:rPr>
        <w:t>.磋商小组的组建及其评审工作按照有关法律制度和本文件第八章的规定进行。</w:t>
      </w: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 xml:space="preserve"> </w:t>
      </w: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七、成交事项</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2</w:t>
      </w:r>
      <w:r>
        <w:rPr>
          <w:rFonts w:ascii="宋体" w:hAnsi="宋体"/>
          <w:b/>
          <w:bCs/>
          <w:color w:val="auto"/>
          <w:sz w:val="24"/>
          <w:highlight w:val="none"/>
        </w:rPr>
        <w:t>7</w:t>
      </w:r>
      <w:r>
        <w:rPr>
          <w:rFonts w:hint="eastAsia" w:ascii="宋体" w:hAnsi="宋体"/>
          <w:b/>
          <w:bCs/>
          <w:color w:val="auto"/>
          <w:sz w:val="24"/>
          <w:highlight w:val="none"/>
        </w:rPr>
        <w:t>.确定成交供应商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方式一：采购人将按磋商小组推荐的成交候选供应商顺序确定成交供应商。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方式二：采购人授权磋商小组根据综合评分排名直接确定成交供应商。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本项目采用</w:t>
      </w:r>
      <w:r>
        <w:rPr>
          <w:rFonts w:hint="eastAsia" w:ascii="宋体" w:hAnsi="宋体"/>
          <w:b/>
          <w:bCs/>
          <w:color w:val="auto"/>
          <w:sz w:val="24"/>
          <w:highlight w:val="none"/>
        </w:rPr>
        <w:t>方式一</w:t>
      </w:r>
      <w:r>
        <w:rPr>
          <w:rFonts w:hint="eastAsia" w:ascii="宋体" w:hAnsi="宋体"/>
          <w:color w:val="auto"/>
          <w:sz w:val="24"/>
          <w:highlight w:val="none"/>
        </w:rPr>
        <w:t>确定成交供应商。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7</w:t>
      </w:r>
      <w:r>
        <w:rPr>
          <w:rFonts w:hint="eastAsia" w:ascii="宋体" w:hAnsi="宋体"/>
          <w:color w:val="auto"/>
          <w:sz w:val="24"/>
          <w:highlight w:val="none"/>
        </w:rPr>
        <w:t>.1采购代理机构自评审结束后2个工作日内将磋商报告及有关资料送交采购人确定成交供应商。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7</w:t>
      </w:r>
      <w:r>
        <w:rPr>
          <w:rFonts w:hint="eastAsia" w:ascii="宋体" w:hAnsi="宋体"/>
          <w:color w:val="auto"/>
          <w:sz w:val="24"/>
          <w:highlight w:val="none"/>
        </w:rPr>
        <w:t>.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7</w:t>
      </w:r>
      <w:r>
        <w:rPr>
          <w:rFonts w:hint="eastAsia" w:ascii="宋体" w:hAnsi="宋体"/>
          <w:color w:val="auto"/>
          <w:sz w:val="24"/>
          <w:highlight w:val="none"/>
        </w:rPr>
        <w:t>.3采购人确定成交供应商过程中，发现成交候选供应商有下列情形之一的，应当不予确定其为成交供应商：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（1）发现成交候选供应商存在禁止参加本项目采购活动的违法行为的；</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（2）成交候选供应商因不可抗力，不能继续参加政府采购活动；</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（3）成交候选供应商无偿赠与或者低于成本价竞争；</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（4）成交候选供应商提供虚假材料；</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（5）成交候选供应商恶意串通。</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2</w:t>
      </w:r>
      <w:r>
        <w:rPr>
          <w:rFonts w:ascii="宋体" w:hAnsi="宋体"/>
          <w:b/>
          <w:bCs/>
          <w:color w:val="auto"/>
          <w:sz w:val="24"/>
          <w:highlight w:val="none"/>
        </w:rPr>
        <w:t>8</w:t>
      </w:r>
      <w:r>
        <w:rPr>
          <w:rFonts w:hint="eastAsia" w:ascii="宋体" w:hAnsi="宋体"/>
          <w:b/>
          <w:bCs/>
          <w:color w:val="auto"/>
          <w:sz w:val="24"/>
          <w:highlight w:val="none"/>
        </w:rPr>
        <w:t>.成交结果</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8</w:t>
      </w:r>
      <w:r>
        <w:rPr>
          <w:rFonts w:hint="eastAsia" w:ascii="宋体" w:hAnsi="宋体"/>
          <w:color w:val="auto"/>
          <w:sz w:val="24"/>
          <w:highlight w:val="none"/>
        </w:rPr>
        <w:t>.1采购人确定成交供应商后，将及时书面通知采购代理机构，发出成交通知书并发布成交结果公告。</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8</w:t>
      </w:r>
      <w:r>
        <w:rPr>
          <w:rFonts w:hint="eastAsia" w:ascii="宋体" w:hAnsi="宋体"/>
          <w:color w:val="auto"/>
          <w:sz w:val="24"/>
          <w:highlight w:val="none"/>
        </w:rPr>
        <w:t>.2成交供应商应当及时领取成交通知书。本项目需要交纳履约保证金的，成交供应商应当及时向采购人交纳。</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8</w:t>
      </w:r>
      <w:r>
        <w:rPr>
          <w:rFonts w:hint="eastAsia" w:ascii="宋体" w:hAnsi="宋体"/>
          <w:color w:val="auto"/>
          <w:sz w:val="24"/>
          <w:highlight w:val="none"/>
        </w:rPr>
        <w:t>.3成交供应商不能及时领取成交通知书，采购人或者采购代理机应当通过邮寄、快递等方式将项目成交通知书送达成交供应商。</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2</w:t>
      </w:r>
      <w:r>
        <w:rPr>
          <w:rFonts w:ascii="宋体" w:hAnsi="宋体"/>
          <w:b/>
          <w:bCs/>
          <w:color w:val="auto"/>
          <w:sz w:val="24"/>
          <w:highlight w:val="none"/>
        </w:rPr>
        <w:t>9</w:t>
      </w:r>
      <w:r>
        <w:rPr>
          <w:rFonts w:hint="eastAsia" w:ascii="宋体" w:hAnsi="宋体"/>
          <w:b/>
          <w:bCs/>
          <w:color w:val="auto"/>
          <w:sz w:val="24"/>
          <w:highlight w:val="none"/>
        </w:rPr>
        <w:t>.成交通知书</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9</w:t>
      </w:r>
      <w:r>
        <w:rPr>
          <w:rFonts w:hint="eastAsia" w:ascii="宋体" w:hAnsi="宋体"/>
          <w:color w:val="auto"/>
          <w:sz w:val="24"/>
          <w:highlight w:val="none"/>
        </w:rPr>
        <w:t>.1成交通知书为签订政府采购合同的依据之一，是合同的有效组成部分。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9</w:t>
      </w:r>
      <w:r>
        <w:rPr>
          <w:rFonts w:hint="eastAsia" w:ascii="宋体" w:hAnsi="宋体"/>
          <w:color w:val="auto"/>
          <w:sz w:val="24"/>
          <w:highlight w:val="none"/>
        </w:rPr>
        <w:t>.2成交通知书对采购人和成交供应商均具有法律效力。成交通知书发出后，采购人无正当理由改变成交结果，或者成交供应商无正当理由放弃成交的，将承担相应的法律责任。</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9</w:t>
      </w:r>
      <w:r>
        <w:rPr>
          <w:rFonts w:hint="eastAsia" w:ascii="宋体" w:hAnsi="宋体"/>
          <w:color w:val="auto"/>
          <w:sz w:val="24"/>
          <w:highlight w:val="none"/>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rPr>
          <w:rFonts w:ascii="仿宋" w:hAnsi="仿宋" w:eastAsia="仿宋"/>
          <w:color w:val="auto"/>
          <w:szCs w:val="21"/>
          <w:highlight w:val="none"/>
        </w:rPr>
      </w:pPr>
      <w:r>
        <w:rPr>
          <w:rFonts w:hint="eastAsia" w:ascii="仿宋" w:hAnsi="仿宋" w:eastAsia="仿宋"/>
          <w:color w:val="auto"/>
          <w:highlight w:val="none"/>
        </w:rPr>
        <w:t xml:space="preserve"> </w:t>
      </w: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八、合同事项</w:t>
      </w:r>
    </w:p>
    <w:p>
      <w:pPr>
        <w:pStyle w:val="4"/>
        <w:keepLines w:val="0"/>
        <w:spacing w:before="0" w:after="0" w:line="400" w:lineRule="exact"/>
        <w:ind w:firstLine="470" w:firstLineChars="196"/>
        <w:rPr>
          <w:rFonts w:ascii="仿宋" w:hAnsi="仿宋" w:eastAsia="仿宋"/>
          <w:b w:val="0"/>
          <w:bCs w:val="0"/>
          <w:color w:val="auto"/>
          <w:sz w:val="24"/>
          <w:szCs w:val="24"/>
          <w:highlight w:val="none"/>
        </w:rPr>
      </w:pPr>
      <w:r>
        <w:rPr>
          <w:rFonts w:hint="eastAsia" w:ascii="仿宋" w:hAnsi="仿宋" w:eastAsia="仿宋"/>
          <w:b w:val="0"/>
          <w:bCs w:val="0"/>
          <w:color w:val="auto"/>
          <w:sz w:val="24"/>
          <w:szCs w:val="24"/>
          <w:highlight w:val="none"/>
        </w:rPr>
        <w:t xml:space="preserve"> </w:t>
      </w:r>
    </w:p>
    <w:p>
      <w:pPr>
        <w:spacing w:after="0" w:line="360" w:lineRule="auto"/>
        <w:ind w:firstLine="482" w:firstLineChars="200"/>
        <w:rPr>
          <w:rFonts w:ascii="宋体" w:hAnsi="宋体"/>
          <w:b/>
          <w:bCs/>
          <w:color w:val="auto"/>
          <w:sz w:val="24"/>
          <w:highlight w:val="none"/>
        </w:rPr>
      </w:pPr>
      <w:r>
        <w:rPr>
          <w:rFonts w:ascii="宋体" w:hAnsi="宋体"/>
          <w:b/>
          <w:bCs/>
          <w:color w:val="auto"/>
          <w:sz w:val="24"/>
          <w:highlight w:val="none"/>
        </w:rPr>
        <w:t>30</w:t>
      </w:r>
      <w:r>
        <w:rPr>
          <w:rFonts w:hint="eastAsia" w:ascii="宋体" w:hAnsi="宋体"/>
          <w:b/>
          <w:bCs/>
          <w:color w:val="auto"/>
          <w:sz w:val="24"/>
          <w:highlight w:val="none"/>
        </w:rPr>
        <w:t>.签订合同</w:t>
      </w: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30</w:t>
      </w:r>
      <w:r>
        <w:rPr>
          <w:rFonts w:hint="eastAsia" w:ascii="宋体" w:hAnsi="宋体"/>
          <w:color w:val="auto"/>
          <w:sz w:val="24"/>
          <w:highlight w:val="none"/>
        </w:rPr>
        <w:t>.1 成交供应商应在成交通知书发出之日起三十日内与采购人签订采购合同。由于成交供应商的原因逾期未与采购人签订采购合同的，将视为放弃成交，取消其成交资格并将按相关规定进行处理。</w:t>
      </w: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30</w:t>
      </w:r>
      <w:r>
        <w:rPr>
          <w:rFonts w:hint="eastAsia" w:ascii="宋体" w:hAnsi="宋体"/>
          <w:color w:val="auto"/>
          <w:sz w:val="24"/>
          <w:highlight w:val="none"/>
        </w:rPr>
        <w:t>.2 磋商文件、成交供应商的响应文件及双方确认的澄清文件等，均为有法律约束力的合同组成部分。</w:t>
      </w: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30</w:t>
      </w:r>
      <w:r>
        <w:rPr>
          <w:rFonts w:hint="eastAsia" w:ascii="宋体" w:hAnsi="宋体"/>
          <w:color w:val="auto"/>
          <w:sz w:val="24"/>
          <w:highlight w:val="none"/>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30</w:t>
      </w:r>
      <w:r>
        <w:rPr>
          <w:rFonts w:hint="eastAsia" w:ascii="宋体" w:hAnsi="宋体"/>
          <w:color w:val="auto"/>
          <w:sz w:val="24"/>
          <w:highlight w:val="none"/>
        </w:rPr>
        <w:t>.4 成交供应商因不可抗力原因不能履行采购合同或放弃成交的，采购人可以与排在成交供应商之后第一位的成交候选人签订采购合同，以此类推。</w:t>
      </w: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30</w:t>
      </w:r>
      <w:r>
        <w:rPr>
          <w:rFonts w:hint="eastAsia" w:ascii="宋体" w:hAnsi="宋体"/>
          <w:color w:val="auto"/>
          <w:sz w:val="24"/>
          <w:highlight w:val="none"/>
        </w:rPr>
        <w:t>.5竞争性磋商文件、成交供应商提交的响应文件、磋商中的最后报价、成交供应商承诺书、成交通知书等均称为有法律约束力的合同组成内容。</w:t>
      </w:r>
    </w:p>
    <w:p>
      <w:pPr>
        <w:spacing w:after="0" w:line="360" w:lineRule="auto"/>
        <w:ind w:firstLine="482" w:firstLineChars="200"/>
        <w:rPr>
          <w:rFonts w:ascii="宋体" w:hAnsi="宋体"/>
          <w:b/>
          <w:bCs/>
          <w:color w:val="auto"/>
          <w:sz w:val="24"/>
          <w:highlight w:val="none"/>
        </w:rPr>
      </w:pPr>
      <w:r>
        <w:rPr>
          <w:rFonts w:ascii="宋体" w:hAnsi="宋体"/>
          <w:b/>
          <w:bCs/>
          <w:color w:val="auto"/>
          <w:sz w:val="24"/>
          <w:highlight w:val="none"/>
        </w:rPr>
        <w:t>31</w:t>
      </w:r>
      <w:r>
        <w:rPr>
          <w:rFonts w:hint="eastAsia" w:ascii="宋体" w:hAnsi="宋体"/>
          <w:b/>
          <w:bCs/>
          <w:color w:val="auto"/>
          <w:sz w:val="24"/>
          <w:highlight w:val="none"/>
        </w:rPr>
        <w:t>.合同分包（实质性要求）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本项目不允许合同分包。</w:t>
      </w:r>
    </w:p>
    <w:p>
      <w:pPr>
        <w:spacing w:after="0" w:line="360" w:lineRule="auto"/>
        <w:ind w:firstLine="482" w:firstLineChars="200"/>
        <w:rPr>
          <w:rFonts w:ascii="宋体" w:hAnsi="宋体"/>
          <w:b/>
          <w:bCs/>
          <w:color w:val="auto"/>
          <w:sz w:val="24"/>
          <w:highlight w:val="none"/>
        </w:rPr>
      </w:pPr>
      <w:r>
        <w:rPr>
          <w:rFonts w:ascii="宋体" w:hAnsi="宋体"/>
          <w:b/>
          <w:bCs/>
          <w:color w:val="auto"/>
          <w:sz w:val="24"/>
          <w:highlight w:val="none"/>
        </w:rPr>
        <w:t>32</w:t>
      </w:r>
      <w:r>
        <w:rPr>
          <w:rFonts w:hint="eastAsia" w:ascii="宋体" w:hAnsi="宋体"/>
          <w:b/>
          <w:bCs/>
          <w:color w:val="auto"/>
          <w:sz w:val="24"/>
          <w:highlight w:val="none"/>
        </w:rPr>
        <w:t>.合同转包（实质性要求）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成交供应商转包的，视同拒绝履行政府采购合同义务，将依法追究法律责任。</w:t>
      </w:r>
    </w:p>
    <w:p>
      <w:pPr>
        <w:spacing w:after="0" w:line="360" w:lineRule="auto"/>
        <w:ind w:firstLine="482" w:firstLineChars="200"/>
        <w:rPr>
          <w:rFonts w:ascii="宋体" w:hAnsi="宋体"/>
          <w:b/>
          <w:bCs/>
          <w:color w:val="auto"/>
          <w:sz w:val="24"/>
          <w:highlight w:val="none"/>
        </w:rPr>
      </w:pPr>
      <w:r>
        <w:rPr>
          <w:rFonts w:ascii="宋体" w:hAnsi="宋体"/>
          <w:b/>
          <w:bCs/>
          <w:color w:val="auto"/>
          <w:sz w:val="24"/>
          <w:highlight w:val="none"/>
        </w:rPr>
        <w:t>33</w:t>
      </w:r>
      <w:r>
        <w:rPr>
          <w:rFonts w:hint="eastAsia" w:ascii="宋体" w:hAnsi="宋体"/>
          <w:b/>
          <w:bCs/>
          <w:color w:val="auto"/>
          <w:sz w:val="24"/>
          <w:highlight w:val="none"/>
        </w:rPr>
        <w:t>.补充合同</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3</w:t>
      </w:r>
      <w:r>
        <w:rPr>
          <w:rFonts w:ascii="宋体" w:hAnsi="宋体"/>
          <w:b/>
          <w:bCs/>
          <w:color w:val="auto"/>
          <w:sz w:val="24"/>
          <w:highlight w:val="none"/>
        </w:rPr>
        <w:t>4</w:t>
      </w:r>
      <w:r>
        <w:rPr>
          <w:rFonts w:hint="eastAsia" w:ascii="宋体" w:hAnsi="宋体"/>
          <w:b/>
          <w:bCs/>
          <w:color w:val="auto"/>
          <w:sz w:val="24"/>
          <w:highlight w:val="none"/>
        </w:rPr>
        <w:t>.履约保证金（实质性要求）</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4</w:t>
      </w:r>
      <w:r>
        <w:rPr>
          <w:rFonts w:hint="eastAsia" w:ascii="宋体" w:hAnsi="宋体"/>
          <w:color w:val="auto"/>
          <w:sz w:val="24"/>
          <w:highlight w:val="none"/>
        </w:rPr>
        <w:t>.1 成交供应商应在合同签订之前交纳竞争性磋商文件规定数额的履约保证金。</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4</w:t>
      </w:r>
      <w:r>
        <w:rPr>
          <w:rFonts w:hint="eastAsia" w:ascii="宋体" w:hAnsi="宋体"/>
          <w:color w:val="auto"/>
          <w:sz w:val="24"/>
          <w:highlight w:val="none"/>
        </w:rPr>
        <w:t>.2 如果成交供应商在规定的合同签订时间内，没有按照</w:t>
      </w:r>
      <w:r>
        <w:rPr>
          <w:rFonts w:hint="eastAsia" w:ascii="宋体" w:hAnsi="宋体"/>
          <w:color w:val="auto"/>
          <w:sz w:val="24"/>
          <w:highlight w:val="none"/>
          <w:lang w:eastAsia="zh-CN"/>
        </w:rPr>
        <w:t>磋商文件</w:t>
      </w:r>
      <w:r>
        <w:rPr>
          <w:rFonts w:hint="eastAsia" w:ascii="宋体" w:hAnsi="宋体"/>
          <w:color w:val="auto"/>
          <w:sz w:val="24"/>
          <w:highlight w:val="none"/>
        </w:rPr>
        <w:t>的规定交纳履约保证金，且又无正当理由的，将视为放弃成交。</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3</w:t>
      </w:r>
      <w:r>
        <w:rPr>
          <w:rFonts w:ascii="宋体" w:hAnsi="宋体"/>
          <w:b/>
          <w:bCs/>
          <w:color w:val="auto"/>
          <w:sz w:val="24"/>
          <w:highlight w:val="none"/>
        </w:rPr>
        <w:t>5</w:t>
      </w:r>
      <w:r>
        <w:rPr>
          <w:rFonts w:hint="eastAsia" w:ascii="宋体" w:hAnsi="宋体"/>
          <w:b/>
          <w:bCs/>
          <w:color w:val="auto"/>
          <w:sz w:val="24"/>
          <w:highlight w:val="none"/>
        </w:rPr>
        <w:t>.合同公告</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采购人应当自政府采购合同签订（双方当事人均已签字盖章）之日起2个工作日内，将政府采购合同在四川政府采购网上公告，但政府采购合同中涉及国家秘密、商业秘密的内容除外。</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3</w:t>
      </w:r>
      <w:r>
        <w:rPr>
          <w:rFonts w:ascii="宋体" w:hAnsi="宋体"/>
          <w:b/>
          <w:bCs/>
          <w:color w:val="auto"/>
          <w:sz w:val="24"/>
          <w:highlight w:val="none"/>
        </w:rPr>
        <w:t>6</w:t>
      </w:r>
      <w:r>
        <w:rPr>
          <w:rFonts w:hint="eastAsia" w:ascii="宋体" w:hAnsi="宋体"/>
          <w:b/>
          <w:bCs/>
          <w:color w:val="auto"/>
          <w:sz w:val="24"/>
          <w:highlight w:val="none"/>
        </w:rPr>
        <w:t>.合同备案</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采购人应当将政府采购合同副本自签订（双方当事人均已签字盖章）之日起七个工作日内通过四川政府采购网报同级财政部门备案。</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3</w:t>
      </w:r>
      <w:r>
        <w:rPr>
          <w:rFonts w:ascii="宋体" w:hAnsi="宋体"/>
          <w:b/>
          <w:bCs/>
          <w:color w:val="auto"/>
          <w:sz w:val="24"/>
          <w:highlight w:val="none"/>
        </w:rPr>
        <w:t>7</w:t>
      </w:r>
      <w:r>
        <w:rPr>
          <w:rFonts w:hint="eastAsia" w:ascii="宋体" w:hAnsi="宋体"/>
          <w:b/>
          <w:bCs/>
          <w:color w:val="auto"/>
          <w:sz w:val="24"/>
          <w:highlight w:val="none"/>
        </w:rPr>
        <w:t>.履行合同</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7</w:t>
      </w:r>
      <w:r>
        <w:rPr>
          <w:rFonts w:hint="eastAsia" w:ascii="宋体" w:hAnsi="宋体"/>
          <w:color w:val="auto"/>
          <w:sz w:val="24"/>
          <w:highlight w:val="none"/>
        </w:rPr>
        <w:t>.1 成交供应商与采购人签订合同后，合同双方应严格执行合同条款，履行合同规定的义务，保证合同的顺利完成。</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7</w:t>
      </w:r>
      <w:r>
        <w:rPr>
          <w:rFonts w:hint="eastAsia" w:ascii="宋体" w:hAnsi="宋体"/>
          <w:color w:val="auto"/>
          <w:sz w:val="24"/>
          <w:highlight w:val="none"/>
        </w:rPr>
        <w:t>.2 在合同履行过程中，如发生合同纠纷，合同双方应按照《中华人民共和国民法典》的有关规定进行处理。</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3</w:t>
      </w:r>
      <w:r>
        <w:rPr>
          <w:rFonts w:ascii="宋体" w:hAnsi="宋体"/>
          <w:b/>
          <w:bCs/>
          <w:color w:val="auto"/>
          <w:sz w:val="24"/>
          <w:highlight w:val="none"/>
        </w:rPr>
        <w:t>8</w:t>
      </w:r>
      <w:r>
        <w:rPr>
          <w:rFonts w:hint="eastAsia" w:ascii="宋体" w:hAnsi="宋体"/>
          <w:b/>
          <w:bCs/>
          <w:color w:val="auto"/>
          <w:sz w:val="24"/>
          <w:highlight w:val="none"/>
        </w:rPr>
        <w:t>.验收</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8</w:t>
      </w:r>
      <w:r>
        <w:rPr>
          <w:rFonts w:hint="eastAsia" w:ascii="宋体" w:hAnsi="宋体"/>
          <w:color w:val="auto"/>
          <w:sz w:val="24"/>
          <w:highlight w:val="none"/>
        </w:rPr>
        <w:t>.1本项目采购人及其委托的采购代理机构将严格按照政府采购相关法律法规以及财政部关于进一步加强政府采购需求和履约验收管理的指导意见》（财库〔2016〕205号）的要求及参考《四川省政府采购项目需求论证和履约验收管理办法》（川财采〔2015〕32号）文件规定的要求进行验收。</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w:t>
      </w:r>
      <w:r>
        <w:rPr>
          <w:rFonts w:ascii="宋体" w:hAnsi="宋体"/>
          <w:color w:val="auto"/>
          <w:sz w:val="24"/>
          <w:highlight w:val="none"/>
        </w:rPr>
        <w:t>8</w:t>
      </w:r>
      <w:r>
        <w:rPr>
          <w:rFonts w:hint="eastAsia" w:ascii="宋体" w:hAnsi="宋体"/>
          <w:color w:val="auto"/>
          <w:sz w:val="24"/>
          <w:highlight w:val="none"/>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3</w:t>
      </w:r>
      <w:r>
        <w:rPr>
          <w:rFonts w:ascii="宋体" w:hAnsi="宋体"/>
          <w:b/>
          <w:bCs/>
          <w:color w:val="auto"/>
          <w:sz w:val="24"/>
          <w:highlight w:val="none"/>
        </w:rPr>
        <w:t>9</w:t>
      </w:r>
      <w:r>
        <w:rPr>
          <w:rFonts w:hint="eastAsia" w:ascii="宋体" w:hAnsi="宋体"/>
          <w:b/>
          <w:bCs/>
          <w:color w:val="auto"/>
          <w:sz w:val="24"/>
          <w:highlight w:val="none"/>
        </w:rPr>
        <w:t>.资金支付</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采购人将按照政府采购合同规定，及时向成交供应商支付采购资金。本项目采购资金付款详见第六章规定的付款方式。</w:t>
      </w:r>
    </w:p>
    <w:p>
      <w:pPr>
        <w:pStyle w:val="4"/>
        <w:keepLines w:val="0"/>
        <w:spacing w:before="0" w:after="0" w:line="400" w:lineRule="exact"/>
        <w:jc w:val="center"/>
        <w:rPr>
          <w:rFonts w:ascii="宋体" w:hAnsi="宋体" w:eastAsia="宋体"/>
          <w:color w:val="auto"/>
          <w:highlight w:val="none"/>
        </w:rPr>
      </w:pP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九、磋商纪律要求</w:t>
      </w:r>
    </w:p>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 xml:space="preserve"> </w:t>
      </w:r>
    </w:p>
    <w:p>
      <w:pPr>
        <w:spacing w:after="0" w:line="360" w:lineRule="auto"/>
        <w:ind w:firstLine="482" w:firstLineChars="200"/>
        <w:rPr>
          <w:rFonts w:ascii="宋体" w:hAnsi="宋体"/>
          <w:b/>
          <w:bCs/>
          <w:color w:val="auto"/>
          <w:sz w:val="24"/>
          <w:highlight w:val="none"/>
        </w:rPr>
      </w:pPr>
      <w:r>
        <w:rPr>
          <w:rFonts w:ascii="宋体" w:hAnsi="宋体"/>
          <w:b/>
          <w:bCs/>
          <w:color w:val="auto"/>
          <w:sz w:val="24"/>
          <w:highlight w:val="none"/>
        </w:rPr>
        <w:t>40</w:t>
      </w:r>
      <w:r>
        <w:rPr>
          <w:rFonts w:hint="eastAsia" w:ascii="宋体" w:hAnsi="宋体"/>
          <w:b/>
          <w:bCs/>
          <w:color w:val="auto"/>
          <w:sz w:val="24"/>
          <w:highlight w:val="none"/>
        </w:rPr>
        <w:t>.供应商不得具有的情形</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供应商参加本项目磋商不得有下列情形：</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（1）提供虚假材料谋取成交；</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（2）采取不正当手段诋毁、排挤其他供应商；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（3）与采购人、采购代理机构、或其他供应商恶意串通；</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（4）向采购人、采购代理机构、磋商小组成员行贿或者提供其他不正当利益；</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（5）在磋商过程中与采购人、采购代理机构进行协商；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（6）成交后无正当理由拒不与采购人签订政府采购合同；</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（7）未按照磋商文件确定的事项签订政府采购合同；</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（8）将政府采购合同转包或者违规分包；</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（9）提供假冒伪劣产品；</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（10）擅自变更、中止或者终止政府采购合同；</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（11）拒绝有关部门的监督检查或者向监督检查部门提供虚假情况；</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（12）法律法规规定的其他情形。</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供应商有上述情形的，按照规定追究法律责任，具备（1）-（10）条情形之一的，同时将取消被确认为成交供应商的资格或者认定成交无效。</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 </w:t>
      </w:r>
    </w:p>
    <w:p>
      <w:pPr>
        <w:pStyle w:val="4"/>
        <w:keepLines w:val="0"/>
        <w:spacing w:before="0" w:after="0" w:line="400" w:lineRule="exact"/>
        <w:jc w:val="center"/>
        <w:rPr>
          <w:rFonts w:hint="eastAsia" w:ascii="宋体" w:hAnsi="宋体" w:eastAsia="宋体"/>
          <w:color w:val="auto"/>
          <w:highlight w:val="none"/>
        </w:rPr>
      </w:pPr>
    </w:p>
    <w:p>
      <w:pPr>
        <w:rPr>
          <w:rFonts w:hint="eastAsia" w:ascii="宋体" w:hAnsi="宋体" w:eastAsia="宋体"/>
          <w:color w:val="auto"/>
          <w:highlight w:val="none"/>
        </w:rPr>
      </w:pPr>
      <w:r>
        <w:rPr>
          <w:rFonts w:hint="eastAsia" w:ascii="宋体" w:hAnsi="宋体" w:eastAsia="宋体"/>
          <w:color w:val="auto"/>
          <w:highlight w:val="none"/>
        </w:rPr>
        <w:br w:type="page"/>
      </w: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十、询问、质疑和投诉</w:t>
      </w:r>
    </w:p>
    <w:p>
      <w:pPr>
        <w:rPr>
          <w:color w:val="auto"/>
          <w:highlight w:val="none"/>
        </w:rPr>
      </w:pP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41</w:t>
      </w:r>
      <w:r>
        <w:rPr>
          <w:rFonts w:hint="eastAsia" w:ascii="宋体" w:hAnsi="宋体"/>
          <w:color w:val="auto"/>
          <w:sz w:val="24"/>
          <w:highlight w:val="none"/>
        </w:rPr>
        <w:t>.询问、质疑、投诉的接收和处理严格按照《中华人民共和国政府采购法》、《中华人民共和国政府采购法实施条例》、《财政部关于加强政府采购供应商投诉受理审查工作的通知》、《政府采购质疑和投诉办法》和四川省的有关规定办理（详细规定请在四川政府采购网政策法规模块查询）。</w:t>
      </w: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 xml:space="preserve"> </w:t>
      </w:r>
    </w:p>
    <w:p>
      <w:pPr>
        <w:pStyle w:val="4"/>
        <w:keepLines w:val="0"/>
        <w:spacing w:before="0" w:after="0" w:line="400" w:lineRule="exact"/>
        <w:jc w:val="center"/>
        <w:rPr>
          <w:rFonts w:ascii="宋体" w:hAnsi="宋体" w:eastAsia="宋体"/>
          <w:color w:val="auto"/>
          <w:highlight w:val="none"/>
        </w:rPr>
      </w:pPr>
      <w:r>
        <w:rPr>
          <w:rFonts w:hint="eastAsia" w:ascii="宋体" w:hAnsi="宋体" w:eastAsia="宋体"/>
          <w:color w:val="auto"/>
          <w:highlight w:val="none"/>
        </w:rPr>
        <w:t>十一、其  他</w:t>
      </w:r>
    </w:p>
    <w:p>
      <w:pPr>
        <w:spacing w:line="360" w:lineRule="auto"/>
        <w:jc w:val="center"/>
        <w:rPr>
          <w:rFonts w:ascii="仿宋" w:hAnsi="仿宋" w:eastAsia="仿宋"/>
          <w:color w:val="auto"/>
          <w:sz w:val="24"/>
          <w:highlight w:val="none"/>
        </w:rPr>
      </w:pPr>
      <w:r>
        <w:rPr>
          <w:rFonts w:hint="eastAsia" w:ascii="仿宋" w:hAnsi="仿宋" w:eastAsia="仿宋"/>
          <w:color w:val="auto"/>
          <w:sz w:val="24"/>
          <w:highlight w:val="none"/>
        </w:rPr>
        <w:t xml:space="preserve"> </w:t>
      </w:r>
    </w:p>
    <w:p>
      <w:pPr>
        <w:spacing w:after="0" w:line="360" w:lineRule="auto"/>
        <w:ind w:firstLine="480" w:firstLineChars="200"/>
        <w:rPr>
          <w:rFonts w:ascii="宋体" w:hAnsi="宋体"/>
          <w:color w:val="auto"/>
          <w:sz w:val="24"/>
          <w:highlight w:val="none"/>
        </w:rPr>
      </w:pPr>
      <w:r>
        <w:rPr>
          <w:rFonts w:ascii="宋体" w:hAnsi="宋体"/>
          <w:color w:val="auto"/>
          <w:sz w:val="24"/>
          <w:highlight w:val="none"/>
        </w:rPr>
        <w:t>42</w:t>
      </w:r>
      <w:r>
        <w:rPr>
          <w:rFonts w:hint="eastAsia" w:ascii="宋体" w:hAnsi="宋体"/>
          <w:color w:val="auto"/>
          <w:sz w:val="24"/>
          <w:highlight w:val="none"/>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3</w:t>
      </w:r>
      <w:r>
        <w:rPr>
          <w:rFonts w:hint="eastAsia" w:ascii="宋体" w:hAnsi="宋体"/>
          <w:color w:val="auto"/>
          <w:sz w:val="24"/>
          <w:highlight w:val="none"/>
        </w:rPr>
        <w:t>.国家或行业主管部门对采购产品的技术标准、质量标准和资格资质条件等有强制性规定的，必须符合其要求。</w:t>
      </w:r>
      <w:r>
        <w:rPr>
          <w:rFonts w:hint="eastAsia" w:ascii="宋体" w:hAnsi="宋体"/>
          <w:b/>
          <w:bCs/>
          <w:color w:val="auto"/>
          <w:sz w:val="24"/>
          <w:highlight w:val="none"/>
        </w:rPr>
        <w:t>（实质性要求）</w:t>
      </w:r>
      <w:bookmarkStart w:id="17" w:name="_Toc217446083"/>
    </w:p>
    <w:p>
      <w:pPr>
        <w:pStyle w:val="3"/>
        <w:jc w:val="center"/>
        <w:rPr>
          <w:rFonts w:ascii="宋体" w:hAnsi="宋体"/>
          <w:color w:val="auto"/>
          <w:sz w:val="36"/>
          <w:szCs w:val="36"/>
          <w:highlight w:val="none"/>
        </w:rPr>
        <w:sectPr>
          <w:pgSz w:w="11907" w:h="16840"/>
          <w:pgMar w:top="1440" w:right="1474" w:bottom="1440" w:left="1474" w:header="851" w:footer="992" w:gutter="0"/>
          <w:cols w:space="720" w:num="1"/>
          <w:docGrid w:linePitch="312" w:charSpace="0"/>
        </w:sectPr>
      </w:pPr>
      <w:bookmarkStart w:id="18" w:name="_Toc1368"/>
    </w:p>
    <w:p>
      <w:pPr>
        <w:pStyle w:val="3"/>
        <w:spacing w:before="0" w:after="0" w:line="360" w:lineRule="auto"/>
        <w:jc w:val="center"/>
        <w:rPr>
          <w:rFonts w:ascii="宋体" w:hAnsi="宋体"/>
          <w:color w:val="auto"/>
          <w:sz w:val="36"/>
          <w:szCs w:val="36"/>
          <w:highlight w:val="none"/>
        </w:rPr>
      </w:pPr>
      <w:bookmarkStart w:id="19" w:name="_Toc73912824"/>
      <w:r>
        <w:rPr>
          <w:rFonts w:hint="eastAsia" w:ascii="宋体" w:hAnsi="宋体"/>
          <w:color w:val="auto"/>
          <w:sz w:val="36"/>
          <w:szCs w:val="36"/>
          <w:highlight w:val="none"/>
        </w:rPr>
        <w:t>第三章  响应文件格式</w:t>
      </w:r>
      <w:bookmarkEnd w:id="18"/>
      <w:bookmarkEnd w:id="19"/>
      <w:bookmarkStart w:id="20" w:name="_Toc308164821"/>
      <w:bookmarkStart w:id="21" w:name="_Toc217446082"/>
    </w:p>
    <w:p>
      <w:pPr>
        <w:widowControl/>
        <w:spacing w:line="360" w:lineRule="atLeast"/>
        <w:jc w:val="center"/>
        <w:outlineLvl w:val="1"/>
        <w:rPr>
          <w:rFonts w:ascii="宋体" w:hAnsi="宋体"/>
          <w:b/>
          <w:color w:val="auto"/>
          <w:sz w:val="24"/>
          <w:highlight w:val="none"/>
        </w:rPr>
      </w:pPr>
    </w:p>
    <w:bookmarkEnd w:id="16"/>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一、本章所制响应文件格式，除格式中明确将该格式作为实质性要求的，一律不具有强制性。</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二、本章所制响应文件格式有关表格中的备注栏，由供应商根据自身响应情况作解释性说明，不作为必填项。</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三、本章所制响应文件格式中需要填写的相关内容事项，可能会与本采购项目无关，在不改变响应文件原义、不影响本项目采购需求的情况下，供应商可以不予填写，但应当注明。</w:t>
      </w:r>
    </w:p>
    <w:p>
      <w:pPr>
        <w:tabs>
          <w:tab w:val="left" w:pos="900"/>
        </w:tabs>
        <w:spacing w:line="360" w:lineRule="auto"/>
        <w:jc w:val="center"/>
        <w:rPr>
          <w:rFonts w:ascii="宋体" w:hAnsi="宋体"/>
          <w:b/>
          <w:color w:val="auto"/>
          <w:sz w:val="32"/>
          <w:highlight w:val="none"/>
        </w:rPr>
      </w:pPr>
      <w:r>
        <w:rPr>
          <w:rFonts w:hint="eastAsia" w:ascii="宋体" w:hAnsi="宋体"/>
          <w:b/>
          <w:color w:val="auto"/>
          <w:sz w:val="32"/>
          <w:szCs w:val="32"/>
          <w:highlight w:val="none"/>
        </w:rPr>
        <w:br w:type="page"/>
      </w:r>
      <w:bookmarkStart w:id="22" w:name="PO_默认文件内容_24"/>
      <w:r>
        <w:rPr>
          <w:rFonts w:ascii="宋体" w:hAnsi="宋体"/>
          <w:b/>
          <w:color w:val="auto"/>
          <w:sz w:val="32"/>
          <w:highlight w:val="none"/>
        </w:rPr>
        <w:t xml:space="preserve">第一部分     </w:t>
      </w:r>
      <w:r>
        <w:rPr>
          <w:rFonts w:hint="eastAsia" w:ascii="宋体" w:hAnsi="宋体"/>
          <w:b/>
          <w:color w:val="auto"/>
          <w:sz w:val="32"/>
          <w:highlight w:val="none"/>
        </w:rPr>
        <w:t>“</w:t>
      </w:r>
      <w:r>
        <w:rPr>
          <w:rFonts w:ascii="宋体" w:hAnsi="宋体"/>
          <w:b/>
          <w:color w:val="auto"/>
          <w:sz w:val="32"/>
          <w:highlight w:val="none"/>
        </w:rPr>
        <w:t>资格性</w:t>
      </w:r>
      <w:r>
        <w:rPr>
          <w:rFonts w:hint="eastAsia" w:ascii="宋体" w:hAnsi="宋体"/>
          <w:b/>
          <w:color w:val="auto"/>
          <w:sz w:val="32"/>
          <w:highlight w:val="none"/>
        </w:rPr>
        <w:t>响应</w:t>
      </w:r>
      <w:r>
        <w:rPr>
          <w:rFonts w:ascii="宋体" w:hAnsi="宋体"/>
          <w:b/>
          <w:color w:val="auto"/>
          <w:sz w:val="32"/>
          <w:highlight w:val="none"/>
        </w:rPr>
        <w:t>文件</w:t>
      </w:r>
      <w:r>
        <w:rPr>
          <w:rFonts w:hint="eastAsia" w:ascii="宋体" w:hAnsi="宋体"/>
          <w:b/>
          <w:color w:val="auto"/>
          <w:sz w:val="32"/>
          <w:highlight w:val="none"/>
        </w:rPr>
        <w:t>”</w:t>
      </w:r>
      <w:r>
        <w:rPr>
          <w:rFonts w:ascii="宋体" w:hAnsi="宋体"/>
          <w:b/>
          <w:color w:val="auto"/>
          <w:sz w:val="32"/>
          <w:highlight w:val="none"/>
        </w:rPr>
        <w:t>格式</w:t>
      </w:r>
    </w:p>
    <w:p>
      <w:pPr>
        <w:spacing w:line="360" w:lineRule="auto"/>
        <w:rPr>
          <w:rFonts w:ascii="宋体" w:hAnsi="宋体"/>
          <w:b/>
          <w:color w:val="auto"/>
          <w:sz w:val="32"/>
          <w:szCs w:val="32"/>
          <w:highlight w:val="none"/>
        </w:rPr>
      </w:pPr>
      <w:r>
        <w:rPr>
          <w:rFonts w:hint="eastAsia" w:ascii="宋体" w:hAnsi="宋体"/>
          <w:b/>
          <w:color w:val="auto"/>
          <w:sz w:val="32"/>
          <w:szCs w:val="32"/>
          <w:highlight w:val="none"/>
        </w:rPr>
        <w:t>格式1-1</w:t>
      </w:r>
    </w:p>
    <w:p>
      <w:pPr>
        <w:spacing w:line="360" w:lineRule="auto"/>
        <w:rPr>
          <w:rFonts w:ascii="宋体" w:hAnsi="宋体"/>
          <w:b/>
          <w:color w:val="auto"/>
          <w:sz w:val="32"/>
          <w:szCs w:val="32"/>
          <w:highlight w:val="none"/>
        </w:rPr>
      </w:pPr>
      <w:r>
        <w:rPr>
          <w:rFonts w:hint="eastAsia" w:ascii="宋体" w:hAnsi="宋体"/>
          <w:b/>
          <w:color w:val="auto"/>
          <w:sz w:val="32"/>
          <w:szCs w:val="32"/>
          <w:highlight w:val="none"/>
        </w:rPr>
        <w:t>封面：</w:t>
      </w:r>
    </w:p>
    <w:p>
      <w:pPr>
        <w:spacing w:line="360" w:lineRule="auto"/>
        <w:jc w:val="right"/>
        <w:rPr>
          <w:rFonts w:ascii="宋体" w:hAnsi="宋体"/>
          <w:b/>
          <w:color w:val="auto"/>
          <w:sz w:val="36"/>
          <w:highlight w:val="none"/>
        </w:rPr>
      </w:pPr>
      <w:r>
        <w:rPr>
          <w:rFonts w:ascii="宋体" w:hAnsi="宋体"/>
          <w:b/>
          <w:color w:val="auto"/>
          <w:sz w:val="36"/>
          <w:highlight w:val="none"/>
        </w:rPr>
        <w:t>（正本/副本）</w:t>
      </w:r>
    </w:p>
    <w:p>
      <w:pPr>
        <w:spacing w:line="360" w:lineRule="auto"/>
        <w:rPr>
          <w:rFonts w:ascii="宋体" w:hAnsi="宋体"/>
          <w:b/>
          <w:color w:val="auto"/>
          <w:sz w:val="32"/>
          <w:szCs w:val="32"/>
          <w:highlight w:val="none"/>
        </w:rPr>
      </w:pPr>
    </w:p>
    <w:p>
      <w:pPr>
        <w:spacing w:line="360" w:lineRule="auto"/>
        <w:rPr>
          <w:rFonts w:ascii="宋体" w:hAnsi="宋体"/>
          <w:b/>
          <w:color w:val="auto"/>
          <w:sz w:val="32"/>
          <w:szCs w:val="32"/>
          <w:highlight w:val="none"/>
        </w:rPr>
      </w:pPr>
    </w:p>
    <w:p>
      <w:pPr>
        <w:spacing w:line="360" w:lineRule="auto"/>
        <w:jc w:val="center"/>
        <w:rPr>
          <w:rFonts w:ascii="宋体" w:hAnsi="宋体"/>
          <w:b/>
          <w:color w:val="auto"/>
          <w:sz w:val="72"/>
          <w:highlight w:val="none"/>
        </w:rPr>
      </w:pPr>
      <w:r>
        <w:rPr>
          <w:rFonts w:ascii="宋体" w:hAnsi="宋体"/>
          <w:b/>
          <w:color w:val="auto"/>
          <w:sz w:val="40"/>
          <w:szCs w:val="48"/>
          <w:highlight w:val="none"/>
          <w:u w:val="single"/>
        </w:rPr>
        <w:t>xxxxx</w:t>
      </w:r>
      <w:r>
        <w:rPr>
          <w:rFonts w:hint="eastAsia" w:ascii="宋体" w:hAnsi="宋体"/>
          <w:b/>
          <w:color w:val="auto"/>
          <w:sz w:val="40"/>
          <w:szCs w:val="48"/>
          <w:highlight w:val="none"/>
        </w:rPr>
        <w:t>项目</w:t>
      </w:r>
    </w:p>
    <w:p>
      <w:pPr>
        <w:spacing w:line="360" w:lineRule="auto"/>
        <w:rPr>
          <w:rFonts w:ascii="宋体" w:hAnsi="宋体"/>
          <w:b/>
          <w:color w:val="auto"/>
          <w:sz w:val="52"/>
          <w:szCs w:val="52"/>
          <w:highlight w:val="none"/>
        </w:rPr>
      </w:pPr>
    </w:p>
    <w:p>
      <w:pPr>
        <w:spacing w:line="360" w:lineRule="auto"/>
        <w:jc w:val="center"/>
        <w:rPr>
          <w:rFonts w:ascii="宋体" w:hAnsi="宋体"/>
          <w:b/>
          <w:color w:val="auto"/>
          <w:sz w:val="32"/>
          <w:szCs w:val="32"/>
          <w:highlight w:val="none"/>
        </w:rPr>
      </w:pPr>
      <w:r>
        <w:rPr>
          <w:rFonts w:hint="eastAsia" w:ascii="宋体" w:hAnsi="宋体"/>
          <w:b/>
          <w:color w:val="auto"/>
          <w:sz w:val="52"/>
          <w:szCs w:val="52"/>
          <w:highlight w:val="none"/>
        </w:rPr>
        <w:t>资格性响应文件</w:t>
      </w:r>
    </w:p>
    <w:p>
      <w:pPr>
        <w:spacing w:line="360" w:lineRule="auto"/>
        <w:jc w:val="left"/>
        <w:rPr>
          <w:rFonts w:ascii="宋体" w:hAnsi="宋体"/>
          <w:b/>
          <w:color w:val="auto"/>
          <w:sz w:val="32"/>
          <w:highlight w:val="none"/>
          <w:u w:val="single"/>
        </w:rPr>
      </w:pPr>
      <w:r>
        <w:rPr>
          <w:rFonts w:hint="eastAsia" w:ascii="宋体" w:hAnsi="宋体"/>
          <w:b/>
          <w:color w:val="auto"/>
          <w:sz w:val="32"/>
          <w:highlight w:val="none"/>
        </w:rPr>
        <w:t>供应商</w:t>
      </w:r>
      <w:r>
        <w:rPr>
          <w:rFonts w:ascii="宋体" w:hAnsi="宋体"/>
          <w:b/>
          <w:color w:val="auto"/>
          <w:sz w:val="32"/>
          <w:highlight w:val="none"/>
        </w:rPr>
        <w:t>名称：</w:t>
      </w:r>
    </w:p>
    <w:p>
      <w:pPr>
        <w:spacing w:line="360" w:lineRule="auto"/>
        <w:jc w:val="left"/>
        <w:rPr>
          <w:rFonts w:ascii="宋体" w:hAnsi="宋体"/>
          <w:b/>
          <w:color w:val="auto"/>
          <w:sz w:val="32"/>
          <w:highlight w:val="none"/>
          <w:u w:val="single"/>
        </w:rPr>
      </w:pPr>
      <w:r>
        <w:rPr>
          <w:rFonts w:hint="eastAsia" w:ascii="宋体" w:hAnsi="宋体"/>
          <w:b/>
          <w:color w:val="auto"/>
          <w:sz w:val="32"/>
          <w:highlight w:val="none"/>
        </w:rPr>
        <w:t>采购项目</w:t>
      </w:r>
      <w:r>
        <w:rPr>
          <w:rFonts w:ascii="宋体" w:hAnsi="宋体"/>
          <w:b/>
          <w:color w:val="auto"/>
          <w:sz w:val="32"/>
          <w:highlight w:val="none"/>
        </w:rPr>
        <w:t>编号：</w:t>
      </w:r>
    </w:p>
    <w:p>
      <w:pPr>
        <w:spacing w:line="360" w:lineRule="auto"/>
        <w:jc w:val="left"/>
        <w:rPr>
          <w:rFonts w:ascii="宋体" w:hAnsi="宋体"/>
          <w:b/>
          <w:color w:val="auto"/>
          <w:sz w:val="32"/>
          <w:highlight w:val="none"/>
          <w:u w:val="single"/>
        </w:rPr>
      </w:pPr>
      <w:r>
        <w:rPr>
          <w:rFonts w:hint="eastAsia" w:ascii="宋体" w:hAnsi="宋体"/>
          <w:b/>
          <w:color w:val="auto"/>
          <w:sz w:val="32"/>
          <w:highlight w:val="none"/>
        </w:rPr>
        <w:t>包        号</w:t>
      </w:r>
      <w:r>
        <w:rPr>
          <w:rFonts w:ascii="宋体" w:hAnsi="宋体"/>
          <w:b/>
          <w:color w:val="auto"/>
          <w:sz w:val="32"/>
          <w:highlight w:val="none"/>
        </w:rPr>
        <w:t>：</w:t>
      </w:r>
    </w:p>
    <w:p>
      <w:pPr>
        <w:spacing w:line="360" w:lineRule="auto"/>
        <w:ind w:firstLine="790" w:firstLineChars="246"/>
        <w:jc w:val="center"/>
        <w:rPr>
          <w:rFonts w:ascii="宋体" w:hAnsi="宋体"/>
          <w:b/>
          <w:color w:val="auto"/>
          <w:sz w:val="32"/>
          <w:highlight w:val="none"/>
        </w:rPr>
      </w:pPr>
    </w:p>
    <w:p>
      <w:pPr>
        <w:spacing w:line="360" w:lineRule="auto"/>
        <w:ind w:firstLine="790" w:firstLineChars="246"/>
        <w:jc w:val="center"/>
        <w:rPr>
          <w:rFonts w:ascii="宋体" w:hAnsi="宋体"/>
          <w:b/>
          <w:color w:val="auto"/>
          <w:sz w:val="32"/>
          <w:highlight w:val="none"/>
        </w:rPr>
      </w:pPr>
      <w:r>
        <w:rPr>
          <w:rFonts w:hint="eastAsia" w:ascii="宋体" w:hAnsi="宋体"/>
          <w:b/>
          <w:color w:val="auto"/>
          <w:sz w:val="32"/>
          <w:highlight w:val="none"/>
        </w:rPr>
        <w:t>日期</w:t>
      </w:r>
      <w:r>
        <w:rPr>
          <w:rFonts w:ascii="宋体" w:hAnsi="宋体"/>
          <w:b/>
          <w:color w:val="auto"/>
          <w:sz w:val="32"/>
          <w:highlight w:val="none"/>
        </w:rPr>
        <w:t>：</w:t>
      </w:r>
      <w:r>
        <w:rPr>
          <w:rFonts w:hint="eastAsia" w:ascii="宋体" w:hAnsi="宋体"/>
          <w:b/>
          <w:color w:val="auto"/>
          <w:sz w:val="32"/>
          <w:highlight w:val="none"/>
        </w:rPr>
        <w:t xml:space="preserve">年 </w:t>
      </w:r>
      <w:r>
        <w:rPr>
          <w:rFonts w:ascii="宋体" w:hAnsi="宋体"/>
          <w:b/>
          <w:color w:val="auto"/>
          <w:sz w:val="32"/>
          <w:highlight w:val="none"/>
        </w:rPr>
        <w:t>月</w:t>
      </w:r>
      <w:r>
        <w:rPr>
          <w:rFonts w:hint="eastAsia" w:ascii="宋体" w:hAnsi="宋体"/>
          <w:b/>
          <w:color w:val="auto"/>
          <w:sz w:val="32"/>
          <w:highlight w:val="none"/>
        </w:rPr>
        <w:t xml:space="preserve"> </w:t>
      </w:r>
      <w:r>
        <w:rPr>
          <w:rFonts w:ascii="宋体" w:hAnsi="宋体"/>
          <w:b/>
          <w:color w:val="auto"/>
          <w:sz w:val="32"/>
          <w:highlight w:val="none"/>
        </w:rPr>
        <w:t>日</w:t>
      </w:r>
    </w:p>
    <w:p>
      <w:pPr>
        <w:spacing w:after="0" w:line="360" w:lineRule="auto"/>
        <w:rPr>
          <w:rFonts w:ascii="宋体" w:hAnsi="宋体"/>
          <w:b/>
          <w:color w:val="auto"/>
          <w:sz w:val="32"/>
          <w:szCs w:val="32"/>
          <w:highlight w:val="none"/>
        </w:rPr>
      </w:pPr>
      <w:r>
        <w:rPr>
          <w:rFonts w:ascii="宋体" w:hAnsi="宋体"/>
          <w:b/>
          <w:color w:val="auto"/>
          <w:sz w:val="32"/>
          <w:highlight w:val="none"/>
        </w:rPr>
        <w:br w:type="page"/>
      </w:r>
      <w:r>
        <w:rPr>
          <w:rFonts w:hint="eastAsia" w:ascii="宋体" w:hAnsi="宋体"/>
          <w:b/>
          <w:color w:val="auto"/>
          <w:sz w:val="32"/>
          <w:szCs w:val="32"/>
          <w:highlight w:val="none"/>
        </w:rPr>
        <w:t>格式1-2</w:t>
      </w:r>
    </w:p>
    <w:p>
      <w:pPr>
        <w:spacing w:after="0" w:line="360" w:lineRule="auto"/>
        <w:ind w:firstLine="790" w:firstLineChars="246"/>
        <w:jc w:val="center"/>
        <w:rPr>
          <w:rFonts w:ascii="宋体" w:hAnsi="宋体"/>
          <w:b/>
          <w:color w:val="auto"/>
          <w:sz w:val="32"/>
          <w:szCs w:val="32"/>
          <w:highlight w:val="none"/>
        </w:rPr>
      </w:pPr>
      <w:r>
        <w:rPr>
          <w:rFonts w:hint="eastAsia" w:ascii="宋体" w:hAnsi="宋体"/>
          <w:b/>
          <w:color w:val="auto"/>
          <w:sz w:val="32"/>
          <w:szCs w:val="32"/>
          <w:highlight w:val="none"/>
        </w:rPr>
        <w:t>法定代表人/单位负责人授权书</w:t>
      </w:r>
    </w:p>
    <w:p>
      <w:pPr>
        <w:widowControl/>
        <w:spacing w:after="0" w:line="360" w:lineRule="auto"/>
        <w:jc w:val="left"/>
        <w:outlineLvl w:val="1"/>
        <w:rPr>
          <w:rFonts w:ascii="宋体" w:hAnsi="宋体"/>
          <w:color w:val="auto"/>
          <w:sz w:val="24"/>
          <w:highlight w:val="none"/>
        </w:rPr>
      </w:pPr>
      <w:r>
        <w:rPr>
          <w:rFonts w:hint="eastAsia" w:ascii="宋体" w:hAnsi="宋体"/>
          <w:color w:val="auto"/>
          <w:sz w:val="24"/>
          <w:highlight w:val="none"/>
        </w:rPr>
        <w:t>XXXXXXXX（采购代理机构名称）：</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本授权声明：XXXX XXXX（供应商名称）XXXX（法定代表人/单位负责人姓名、职务）授权XXXX（被授权人姓名、职务）为我方 “XXXXXXXX” 项目（项目编号：XXXX）磋商采购活动的合法代表，以我方名义全权处理该项目有关磋商采购、签订合同以及执行合同等一切事宜。</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特此声明。</w:t>
      </w:r>
    </w:p>
    <w:p>
      <w:pPr>
        <w:widowControl/>
        <w:spacing w:after="0" w:line="360" w:lineRule="atLeast"/>
        <w:ind w:firstLine="470" w:firstLineChars="196"/>
        <w:jc w:val="left"/>
        <w:outlineLvl w:val="1"/>
        <w:rPr>
          <w:rFonts w:ascii="宋体" w:hAnsi="宋体"/>
          <w:color w:val="auto"/>
          <w:sz w:val="24"/>
          <w:highlight w:val="none"/>
        </w:rPr>
      </w:pPr>
    </w:p>
    <w:p>
      <w:pPr>
        <w:widowControl/>
        <w:spacing w:after="0"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法定代表人/单位负责人（委托人）签字或者加盖个人名章：XXXX。</w:t>
      </w:r>
    </w:p>
    <w:p>
      <w:pPr>
        <w:widowControl/>
        <w:spacing w:after="0" w:line="360" w:lineRule="atLeast"/>
        <w:ind w:firstLine="470" w:firstLineChars="196"/>
        <w:jc w:val="left"/>
        <w:outlineLvl w:val="1"/>
        <w:rPr>
          <w:rFonts w:ascii="宋体" w:hAnsi="宋体"/>
          <w:color w:val="auto"/>
          <w:sz w:val="24"/>
          <w:highlight w:val="none"/>
        </w:rPr>
      </w:pPr>
    </w:p>
    <w:p>
      <w:pPr>
        <w:widowControl/>
        <w:spacing w:after="0"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授权代表（被授权人）签字：XXXX。</w:t>
      </w:r>
    </w:p>
    <w:p>
      <w:pPr>
        <w:widowControl/>
        <w:spacing w:after="0" w:line="360" w:lineRule="atLeast"/>
        <w:ind w:firstLine="470" w:firstLineChars="196"/>
        <w:jc w:val="left"/>
        <w:outlineLvl w:val="1"/>
        <w:rPr>
          <w:rFonts w:ascii="宋体" w:hAnsi="宋体"/>
          <w:color w:val="auto"/>
          <w:sz w:val="24"/>
          <w:highlight w:val="none"/>
        </w:rPr>
      </w:pPr>
    </w:p>
    <w:p>
      <w:pPr>
        <w:widowControl/>
        <w:spacing w:after="0"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供应商名称：XXXX（单位盖章）。</w:t>
      </w:r>
    </w:p>
    <w:p>
      <w:pPr>
        <w:widowControl/>
        <w:spacing w:after="0"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日    期：XXXX。</w:t>
      </w:r>
    </w:p>
    <w:p>
      <w:pPr>
        <w:widowControl/>
        <w:spacing w:after="0" w:line="360" w:lineRule="atLeast"/>
        <w:jc w:val="left"/>
        <w:outlineLvl w:val="1"/>
        <w:rPr>
          <w:rFonts w:ascii="宋体" w:hAnsi="宋体"/>
          <w:b/>
          <w:color w:val="auto"/>
          <w:sz w:val="24"/>
          <w:highlight w:val="none"/>
        </w:rPr>
      </w:pPr>
      <w:bookmarkStart w:id="23" w:name="_Toc217446084"/>
    </w:p>
    <w:p>
      <w:pPr>
        <w:widowControl/>
        <w:spacing w:after="0" w:line="360" w:lineRule="atLeast"/>
        <w:jc w:val="left"/>
        <w:outlineLvl w:val="1"/>
        <w:rPr>
          <w:rFonts w:ascii="宋体" w:hAnsi="宋体"/>
          <w:b/>
          <w:color w:val="auto"/>
          <w:sz w:val="24"/>
          <w:highlight w:val="none"/>
        </w:rPr>
      </w:pPr>
    </w:p>
    <w:p>
      <w:pPr>
        <w:widowControl/>
        <w:spacing w:after="0" w:line="360" w:lineRule="atLeast"/>
        <w:jc w:val="left"/>
        <w:outlineLvl w:val="1"/>
        <w:rPr>
          <w:rFonts w:ascii="宋体" w:hAnsi="宋体"/>
          <w:b/>
          <w:color w:val="auto"/>
          <w:sz w:val="24"/>
          <w:highlight w:val="none"/>
        </w:rPr>
      </w:pPr>
    </w:p>
    <w:p>
      <w:pPr>
        <w:widowControl/>
        <w:spacing w:after="0" w:line="360" w:lineRule="atLeast"/>
        <w:jc w:val="left"/>
        <w:outlineLvl w:val="1"/>
        <w:rPr>
          <w:rFonts w:ascii="宋体" w:hAnsi="宋体"/>
          <w:b/>
          <w:color w:val="auto"/>
          <w:sz w:val="24"/>
          <w:highlight w:val="none"/>
        </w:rPr>
      </w:pPr>
    </w:p>
    <w:p>
      <w:pPr>
        <w:spacing w:after="0" w:line="400" w:lineRule="exact"/>
        <w:ind w:left="840" w:hanging="840" w:hangingChars="350"/>
        <w:jc w:val="left"/>
        <w:rPr>
          <w:rFonts w:ascii="宋体" w:hAnsi="宋体"/>
          <w:color w:val="auto"/>
          <w:sz w:val="24"/>
          <w:highlight w:val="none"/>
        </w:rPr>
      </w:pPr>
      <w:r>
        <w:rPr>
          <w:rFonts w:hint="eastAsia" w:ascii="宋体" w:hAnsi="宋体"/>
          <w:color w:val="auto"/>
          <w:sz w:val="24"/>
          <w:highlight w:val="none"/>
        </w:rPr>
        <w:t>注：</w:t>
      </w:r>
    </w:p>
    <w:p>
      <w:pPr>
        <w:spacing w:after="0" w:line="400" w:lineRule="exact"/>
        <w:ind w:firstLine="480" w:firstLineChars="200"/>
        <w:rPr>
          <w:rFonts w:ascii="宋体" w:hAnsi="宋体"/>
          <w:color w:val="auto"/>
          <w:sz w:val="24"/>
          <w:highlight w:val="none"/>
        </w:rPr>
      </w:pPr>
      <w:r>
        <w:rPr>
          <w:rFonts w:hint="eastAsia" w:ascii="宋体" w:hAnsi="宋体"/>
          <w:color w:val="auto"/>
          <w:sz w:val="24"/>
          <w:highlight w:val="none"/>
        </w:rPr>
        <w:t>1、供应商为法人单位时提供“法定代表人授权书”，供应商为其他组织时提供“单位负责人授权书”，供应商为自然人时提供“自然人身份证明材料”。</w:t>
      </w:r>
    </w:p>
    <w:p>
      <w:pPr>
        <w:spacing w:after="0" w:line="400" w:lineRule="exact"/>
        <w:ind w:firstLine="480" w:firstLineChars="200"/>
        <w:rPr>
          <w:rFonts w:ascii="宋体" w:hAnsi="宋体"/>
          <w:color w:val="auto"/>
          <w:sz w:val="24"/>
          <w:highlight w:val="none"/>
        </w:rPr>
      </w:pPr>
      <w:r>
        <w:rPr>
          <w:rFonts w:hint="eastAsia" w:ascii="宋体" w:hAnsi="宋体"/>
          <w:color w:val="auto"/>
          <w:sz w:val="24"/>
          <w:highlight w:val="none"/>
        </w:rPr>
        <w:t>2、应附法定代表人/单位负责人身份证明材料复印件和授权代表身份证明材料复印件。</w:t>
      </w:r>
    </w:p>
    <w:p>
      <w:pPr>
        <w:spacing w:after="0" w:line="400" w:lineRule="exact"/>
        <w:ind w:firstLine="480" w:firstLineChars="200"/>
        <w:rPr>
          <w:rFonts w:ascii="宋体" w:hAnsi="宋体"/>
          <w:color w:val="auto"/>
          <w:sz w:val="24"/>
          <w:highlight w:val="none"/>
        </w:rPr>
      </w:pPr>
      <w:r>
        <w:rPr>
          <w:rFonts w:hint="eastAsia" w:ascii="宋体" w:hAnsi="宋体"/>
          <w:color w:val="auto"/>
          <w:sz w:val="24"/>
          <w:highlight w:val="none"/>
        </w:rPr>
        <w:t>3、身份证明材料包括居民身份证或户口本或军官证或护照等。</w:t>
      </w:r>
    </w:p>
    <w:p>
      <w:pPr>
        <w:spacing w:after="0" w:line="400" w:lineRule="exact"/>
        <w:ind w:firstLine="480" w:firstLineChars="200"/>
        <w:rPr>
          <w:rFonts w:ascii="宋体" w:hAnsi="宋体"/>
          <w:color w:val="auto"/>
          <w:sz w:val="24"/>
          <w:highlight w:val="none"/>
        </w:rPr>
      </w:pPr>
      <w:r>
        <w:rPr>
          <w:rFonts w:hint="eastAsia" w:ascii="宋体" w:hAnsi="宋体"/>
          <w:color w:val="auto"/>
          <w:sz w:val="24"/>
          <w:highlight w:val="none"/>
        </w:rPr>
        <w:t>4、身份证明材料应同时提供其在有效期的材料，如居民身份证正、反面复印件。</w:t>
      </w:r>
    </w:p>
    <w:p>
      <w:pPr>
        <w:widowControl/>
        <w:spacing w:line="360" w:lineRule="atLeast"/>
        <w:jc w:val="left"/>
        <w:outlineLvl w:val="1"/>
        <w:rPr>
          <w:rFonts w:ascii="宋体" w:hAnsi="宋体"/>
          <w:b/>
          <w:color w:val="auto"/>
          <w:sz w:val="24"/>
          <w:highlight w:val="none"/>
        </w:rPr>
      </w:pPr>
    </w:p>
    <w:bookmarkEnd w:id="23"/>
    <w:p>
      <w:pPr>
        <w:spacing w:line="360" w:lineRule="auto"/>
        <w:ind w:firstLine="790" w:firstLineChars="246"/>
        <w:jc w:val="center"/>
        <w:rPr>
          <w:rFonts w:ascii="宋体" w:hAnsi="宋体"/>
          <w:b/>
          <w:color w:val="auto"/>
          <w:sz w:val="32"/>
          <w:highlight w:val="none"/>
        </w:rPr>
      </w:pPr>
    </w:p>
    <w:p>
      <w:pPr>
        <w:spacing w:line="360" w:lineRule="auto"/>
        <w:rPr>
          <w:rFonts w:ascii="宋体" w:hAnsi="宋体"/>
          <w:b/>
          <w:color w:val="auto"/>
          <w:sz w:val="32"/>
          <w:szCs w:val="32"/>
          <w:highlight w:val="none"/>
        </w:rPr>
      </w:pPr>
      <w:r>
        <w:rPr>
          <w:rFonts w:hint="eastAsia" w:ascii="宋体" w:hAnsi="宋体"/>
          <w:b/>
          <w:color w:val="auto"/>
          <w:sz w:val="32"/>
          <w:szCs w:val="32"/>
          <w:highlight w:val="none"/>
        </w:rPr>
        <w:br w:type="page"/>
      </w:r>
      <w:r>
        <w:rPr>
          <w:rFonts w:hint="eastAsia" w:ascii="宋体" w:hAnsi="宋体"/>
          <w:b/>
          <w:color w:val="auto"/>
          <w:sz w:val="32"/>
          <w:szCs w:val="32"/>
          <w:highlight w:val="none"/>
        </w:rPr>
        <w:t>格式1-3</w:t>
      </w:r>
    </w:p>
    <w:p>
      <w:pPr>
        <w:widowControl/>
        <w:spacing w:line="360" w:lineRule="atLeast"/>
        <w:jc w:val="center"/>
        <w:outlineLvl w:val="1"/>
        <w:rPr>
          <w:rFonts w:ascii="宋体" w:hAnsi="宋体"/>
          <w:b/>
          <w:color w:val="auto"/>
          <w:sz w:val="32"/>
          <w:szCs w:val="32"/>
          <w:highlight w:val="none"/>
        </w:rPr>
      </w:pPr>
      <w:r>
        <w:rPr>
          <w:rFonts w:hint="eastAsia" w:ascii="宋体" w:hAnsi="宋体"/>
          <w:b/>
          <w:color w:val="auto"/>
          <w:sz w:val="32"/>
          <w:szCs w:val="32"/>
          <w:highlight w:val="none"/>
        </w:rPr>
        <w:t>承诺函</w:t>
      </w:r>
    </w:p>
    <w:p>
      <w:pPr>
        <w:widowControl/>
        <w:spacing w:line="360" w:lineRule="atLeast"/>
        <w:jc w:val="left"/>
        <w:outlineLvl w:val="1"/>
        <w:rPr>
          <w:rFonts w:ascii="宋体" w:hAnsi="宋体"/>
          <w:color w:val="auto"/>
          <w:sz w:val="24"/>
          <w:highlight w:val="none"/>
        </w:rPr>
      </w:pPr>
      <w:r>
        <w:rPr>
          <w:rFonts w:hint="eastAsia" w:ascii="宋体" w:hAnsi="宋体"/>
          <w:color w:val="auto"/>
          <w:sz w:val="24"/>
          <w:highlight w:val="none"/>
        </w:rPr>
        <w:t>XXXX（采购代理机构名称）：</w:t>
      </w:r>
    </w:p>
    <w:p>
      <w:pPr>
        <w:widowControl/>
        <w:spacing w:line="360" w:lineRule="atLeast"/>
        <w:ind w:firstLine="480" w:firstLineChars="200"/>
        <w:jc w:val="left"/>
        <w:outlineLvl w:val="1"/>
        <w:rPr>
          <w:rFonts w:ascii="宋体" w:hAnsi="宋体"/>
          <w:color w:val="auto"/>
          <w:sz w:val="24"/>
          <w:highlight w:val="none"/>
        </w:rPr>
      </w:pPr>
      <w:r>
        <w:rPr>
          <w:rFonts w:hint="eastAsia" w:ascii="宋体" w:hAnsi="宋体"/>
          <w:color w:val="auto"/>
          <w:sz w:val="24"/>
          <w:highlight w:val="none"/>
        </w:rPr>
        <w:t>我单位作为本次采购项目的供应商，根据磋商文件要求，现郑重承诺如下：</w:t>
      </w:r>
    </w:p>
    <w:p>
      <w:pPr>
        <w:widowControl/>
        <w:spacing w:line="360" w:lineRule="atLeast"/>
        <w:ind w:firstLine="480" w:firstLineChars="200"/>
        <w:jc w:val="left"/>
        <w:outlineLvl w:val="1"/>
        <w:rPr>
          <w:rFonts w:ascii="宋体" w:hAnsi="宋体"/>
          <w:color w:val="auto"/>
          <w:sz w:val="24"/>
          <w:highlight w:val="none"/>
        </w:rPr>
      </w:pPr>
      <w:r>
        <w:rPr>
          <w:rFonts w:hint="eastAsia" w:ascii="宋体" w:hAnsi="宋体"/>
          <w:color w:val="auto"/>
          <w:sz w:val="24"/>
          <w:highlight w:val="none"/>
        </w:rPr>
        <w:t>一、具备《中华人民共和国政府采购法》第二十二条第一款和本项目规定的条件：</w:t>
      </w:r>
    </w:p>
    <w:p>
      <w:pPr>
        <w:widowControl/>
        <w:spacing w:line="360" w:lineRule="atLeast"/>
        <w:ind w:firstLine="480" w:firstLineChars="200"/>
        <w:jc w:val="left"/>
        <w:outlineLvl w:val="1"/>
        <w:rPr>
          <w:rFonts w:ascii="宋体" w:hAnsi="宋体"/>
          <w:color w:val="auto"/>
          <w:sz w:val="24"/>
          <w:highlight w:val="none"/>
        </w:rPr>
      </w:pPr>
      <w:r>
        <w:rPr>
          <w:rFonts w:hint="eastAsia" w:ascii="宋体" w:hAnsi="宋体"/>
          <w:color w:val="auto"/>
          <w:sz w:val="24"/>
          <w:highlight w:val="none"/>
        </w:rPr>
        <w:t>（一）具有独立承担民事责任的能力；</w:t>
      </w:r>
    </w:p>
    <w:p>
      <w:pPr>
        <w:widowControl/>
        <w:spacing w:line="360" w:lineRule="atLeast"/>
        <w:ind w:firstLine="480" w:firstLineChars="200"/>
        <w:jc w:val="left"/>
        <w:outlineLvl w:val="1"/>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pPr>
        <w:widowControl/>
        <w:spacing w:line="360" w:lineRule="atLeast"/>
        <w:ind w:firstLine="480" w:firstLineChars="200"/>
        <w:jc w:val="left"/>
        <w:outlineLvl w:val="1"/>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pPr>
        <w:widowControl/>
        <w:spacing w:line="360" w:lineRule="atLeast"/>
        <w:ind w:firstLine="480" w:firstLineChars="200"/>
        <w:jc w:val="left"/>
        <w:outlineLvl w:val="1"/>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pPr>
        <w:widowControl/>
        <w:spacing w:line="360" w:lineRule="atLeast"/>
        <w:ind w:firstLine="480" w:firstLineChars="200"/>
        <w:jc w:val="left"/>
        <w:outlineLvl w:val="1"/>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pPr>
        <w:widowControl/>
        <w:spacing w:line="360" w:lineRule="atLeast"/>
        <w:ind w:firstLine="480" w:firstLineChars="200"/>
        <w:jc w:val="left"/>
        <w:outlineLvl w:val="1"/>
        <w:rPr>
          <w:rFonts w:ascii="宋体" w:hAnsi="宋体"/>
          <w:color w:val="auto"/>
          <w:sz w:val="24"/>
          <w:highlight w:val="none"/>
        </w:rPr>
      </w:pPr>
      <w:r>
        <w:rPr>
          <w:rFonts w:hint="eastAsia" w:ascii="宋体" w:hAnsi="宋体"/>
          <w:color w:val="auto"/>
          <w:sz w:val="24"/>
          <w:highlight w:val="none"/>
        </w:rPr>
        <w:t>（六）法律、行政法规规定的其他条件；</w:t>
      </w:r>
    </w:p>
    <w:p>
      <w:pPr>
        <w:widowControl/>
        <w:spacing w:line="360" w:lineRule="atLeast"/>
        <w:ind w:firstLine="480" w:firstLineChars="200"/>
        <w:jc w:val="left"/>
        <w:outlineLvl w:val="1"/>
        <w:rPr>
          <w:rFonts w:ascii="宋体" w:hAnsi="宋体"/>
          <w:color w:val="auto"/>
          <w:sz w:val="24"/>
          <w:highlight w:val="none"/>
        </w:rPr>
      </w:pPr>
      <w:r>
        <w:rPr>
          <w:rFonts w:hint="eastAsia" w:ascii="宋体" w:hAnsi="宋体"/>
          <w:color w:val="auto"/>
          <w:sz w:val="24"/>
          <w:highlight w:val="none"/>
        </w:rPr>
        <w:t>（七）根据采购项目提出的特殊条件</w:t>
      </w:r>
      <w:r>
        <w:rPr>
          <w:rFonts w:ascii="宋体" w:hAnsi="宋体"/>
          <w:color w:val="auto"/>
          <w:sz w:val="24"/>
          <w:highlight w:val="none"/>
        </w:rPr>
        <w:t>。</w:t>
      </w:r>
    </w:p>
    <w:p>
      <w:pPr>
        <w:widowControl/>
        <w:spacing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二、截至响应文件递交截止日未被列入失信被执行人、重大税收违法案件当事人名单、政府采购严重违法失信行为记录名单。</w:t>
      </w:r>
    </w:p>
    <w:p>
      <w:pPr>
        <w:widowControl/>
        <w:spacing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宋体" w:hAnsi="宋体"/>
          <w:color w:val="auto"/>
          <w:sz w:val="24"/>
          <w:highlight w:val="none"/>
        </w:rPr>
      </w:pPr>
    </w:p>
    <w:p>
      <w:pPr>
        <w:widowControl/>
        <w:spacing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供应商名称：XXXX（单位公章）。</w:t>
      </w:r>
    </w:p>
    <w:p>
      <w:pPr>
        <w:widowControl/>
        <w:spacing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法定代表人/单位负责人或授权代表（签字或加盖个人名章）：XXXX。</w:t>
      </w:r>
    </w:p>
    <w:p>
      <w:pPr>
        <w:widowControl/>
        <w:spacing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日    期：XXXX。</w:t>
      </w:r>
    </w:p>
    <w:p>
      <w:pPr>
        <w:widowControl/>
        <w:spacing w:after="0" w:line="240" w:lineRule="auto"/>
        <w:jc w:val="left"/>
        <w:rPr>
          <w:rFonts w:hint="default" w:ascii="宋体" w:hAnsi="宋体" w:eastAsia="宋体"/>
          <w:b/>
          <w:color w:val="auto"/>
          <w:sz w:val="32"/>
          <w:szCs w:val="32"/>
          <w:highlight w:val="none"/>
          <w:lang w:val="en-US" w:eastAsia="zh-CN"/>
        </w:rPr>
      </w:pPr>
      <w:r>
        <w:rPr>
          <w:rFonts w:hint="eastAsia" w:ascii="宋体" w:hAnsi="宋体"/>
          <w:color w:val="auto"/>
          <w:sz w:val="24"/>
          <w:highlight w:val="none"/>
        </w:rPr>
        <w:br w:type="page"/>
      </w:r>
      <w:r>
        <w:rPr>
          <w:rFonts w:hint="eastAsia" w:ascii="宋体" w:hAnsi="宋体"/>
          <w:b/>
          <w:color w:val="auto"/>
          <w:sz w:val="32"/>
          <w:szCs w:val="32"/>
          <w:highlight w:val="none"/>
        </w:rPr>
        <w:t>格式</w:t>
      </w:r>
      <w:r>
        <w:rPr>
          <w:rFonts w:hint="eastAsia" w:ascii="宋体" w:hAnsi="宋体"/>
          <w:b/>
          <w:color w:val="auto"/>
          <w:sz w:val="32"/>
          <w:szCs w:val="32"/>
          <w:highlight w:val="none"/>
          <w:lang w:val="en-US" w:eastAsia="zh-CN"/>
        </w:rPr>
        <w:t>1-4</w:t>
      </w:r>
    </w:p>
    <w:p>
      <w:pPr>
        <w:widowControl/>
        <w:spacing w:line="360" w:lineRule="atLeast"/>
        <w:jc w:val="center"/>
        <w:outlineLvl w:val="1"/>
        <w:rPr>
          <w:rFonts w:ascii="宋体" w:hAnsi="宋体"/>
          <w:b/>
          <w:color w:val="auto"/>
          <w:sz w:val="32"/>
          <w:szCs w:val="32"/>
          <w:highlight w:val="none"/>
        </w:rPr>
      </w:pPr>
      <w:r>
        <w:rPr>
          <w:rFonts w:hint="eastAsia" w:ascii="宋体" w:hAnsi="宋体"/>
          <w:b/>
          <w:color w:val="auto"/>
          <w:sz w:val="32"/>
          <w:szCs w:val="32"/>
          <w:highlight w:val="none"/>
        </w:rPr>
        <w:t>中小企业声明函</w:t>
      </w:r>
    </w:p>
    <w:p>
      <w:pPr>
        <w:spacing w:after="0"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本公司郑重声明，根据《政府采购促进中小企业发展管理办法》（财库〔2020</w:t>
      </w:r>
      <w:r>
        <w:rPr>
          <w:rFonts w:ascii="宋体" w:hAnsi="宋体"/>
          <w:color w:val="auto"/>
          <w:sz w:val="24"/>
          <w:highlight w:val="none"/>
        </w:rPr>
        <w:t>〕</w:t>
      </w:r>
      <w:r>
        <w:rPr>
          <w:rFonts w:hint="eastAsia" w:ascii="宋体" w:hAnsi="宋体"/>
          <w:color w:val="auto"/>
          <w:sz w:val="24"/>
          <w:highlight w:val="none"/>
        </w:rPr>
        <w:t>46 号）</w:t>
      </w:r>
      <w:r>
        <w:rPr>
          <w:rFonts w:ascii="宋体" w:hAnsi="宋体"/>
          <w:color w:val="auto"/>
          <w:sz w:val="24"/>
          <w:highlight w:val="none"/>
        </w:rPr>
        <w:t>的规定，</w:t>
      </w:r>
      <w:r>
        <w:rPr>
          <w:rFonts w:hint="eastAsia" w:ascii="宋体" w:hAnsi="宋体"/>
          <w:color w:val="auto"/>
          <w:sz w:val="24"/>
          <w:highlight w:val="none"/>
        </w:rPr>
        <w:t xml:space="preserve">本公司（联合体）参加 </w:t>
      </w:r>
      <w:r>
        <w:rPr>
          <w:rFonts w:hint="eastAsia" w:ascii="宋体" w:hAnsi="宋体"/>
          <w:color w:val="auto"/>
          <w:sz w:val="24"/>
          <w:highlight w:val="none"/>
          <w:u w:val="single"/>
        </w:rPr>
        <w:t xml:space="preserve">（单位名称） </w:t>
      </w:r>
      <w:r>
        <w:rPr>
          <w:rFonts w:hint="eastAsia" w:ascii="宋体" w:hAnsi="宋体"/>
          <w:color w:val="auto"/>
          <w:sz w:val="24"/>
          <w:highlight w:val="none"/>
        </w:rPr>
        <w:t xml:space="preserve">的 </w:t>
      </w:r>
      <w:r>
        <w:rPr>
          <w:rFonts w:hint="eastAsia" w:ascii="宋体" w:hAnsi="宋体"/>
          <w:color w:val="auto"/>
          <w:sz w:val="24"/>
          <w:highlight w:val="none"/>
          <w:u w:val="single"/>
        </w:rPr>
        <w:t xml:space="preserve">（项目名称） </w:t>
      </w:r>
      <w:r>
        <w:rPr>
          <w:rFonts w:hint="eastAsia" w:ascii="宋体" w:hAnsi="宋体"/>
          <w:color w:val="auto"/>
          <w:sz w:val="24"/>
          <w:highlight w:val="none"/>
        </w:rPr>
        <w:t>采购活动，提供的</w:t>
      </w:r>
      <w:r>
        <w:rPr>
          <w:rFonts w:hint="eastAsia" w:ascii="宋体" w:hAnsi="宋体"/>
          <w:color w:val="auto"/>
          <w:sz w:val="24"/>
          <w:highlight w:val="none"/>
          <w:lang w:val="en-US" w:eastAsia="zh-CN"/>
        </w:rPr>
        <w:t>服务</w:t>
      </w:r>
      <w:r>
        <w:rPr>
          <w:rFonts w:hint="eastAsia" w:ascii="宋体" w:hAnsi="宋体"/>
          <w:color w:val="auto"/>
          <w:sz w:val="24"/>
          <w:highlight w:val="none"/>
        </w:rPr>
        <w:t>全部由符合政策要求的中小企业</w:t>
      </w:r>
      <w:r>
        <w:rPr>
          <w:rFonts w:hint="eastAsia" w:ascii="宋体" w:hAnsi="宋体"/>
          <w:color w:val="auto"/>
          <w:sz w:val="24"/>
          <w:highlight w:val="none"/>
          <w:lang w:val="en-US" w:eastAsia="zh-CN"/>
        </w:rPr>
        <w:t>承接</w:t>
      </w:r>
      <w:r>
        <w:rPr>
          <w:rFonts w:hint="eastAsia" w:ascii="宋体" w:hAnsi="宋体"/>
          <w:color w:val="auto"/>
          <w:sz w:val="24"/>
          <w:highlight w:val="none"/>
        </w:rPr>
        <w:t>。相关企业（含联合体中的中小企业、签订分包意向协议的中小企业）的具体情况如下：</w:t>
      </w:r>
      <w:r>
        <w:rPr>
          <w:rFonts w:ascii="宋体" w:hAnsi="宋体"/>
          <w:color w:val="auto"/>
          <w:sz w:val="24"/>
          <w:highlight w:val="none"/>
        </w:rPr>
        <w:br w:type="textWrapping"/>
      </w:r>
      <w:r>
        <w:rPr>
          <w:rFonts w:hint="eastAsia" w:ascii="宋体" w:hAnsi="宋体"/>
          <w:color w:val="auto"/>
          <w:sz w:val="24"/>
          <w:highlight w:val="none"/>
        </w:rPr>
        <w:t xml:space="preserve">　　1.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磋商文件</w:t>
      </w:r>
      <w:r>
        <w:rPr>
          <w:rFonts w:hint="eastAsia" w:ascii="宋体" w:hAnsi="宋体"/>
          <w:color w:val="auto"/>
          <w:sz w:val="24"/>
          <w:highlight w:val="none"/>
          <w:u w:val="single"/>
        </w:rPr>
        <w:t xml:space="preserve">中明确的所属行业） </w:t>
      </w:r>
      <w:r>
        <w:rPr>
          <w:rFonts w:hint="eastAsia" w:ascii="宋体" w:hAnsi="宋体"/>
          <w:color w:val="auto"/>
          <w:sz w:val="24"/>
          <w:highlight w:val="none"/>
        </w:rPr>
        <w:t>；</w:t>
      </w:r>
      <w:r>
        <w:rPr>
          <w:rFonts w:hint="eastAsia" w:ascii="宋体" w:hAnsi="宋体"/>
          <w:color w:val="auto"/>
          <w:sz w:val="24"/>
          <w:highlight w:val="none"/>
          <w:lang w:val="en-US" w:eastAsia="zh-CN"/>
        </w:rPr>
        <w:t>承接企业</w:t>
      </w:r>
      <w:r>
        <w:rPr>
          <w:rFonts w:hint="eastAsia" w:ascii="宋体" w:hAnsi="宋体"/>
          <w:color w:val="auto"/>
          <w:sz w:val="24"/>
          <w:highlight w:val="none"/>
        </w:rPr>
        <w:t>为</w:t>
      </w:r>
      <w:r>
        <w:rPr>
          <w:rFonts w:hint="eastAsia" w:ascii="宋体" w:hAnsi="宋体"/>
          <w:color w:val="auto"/>
          <w:sz w:val="24"/>
          <w:highlight w:val="none"/>
          <w:u w:val="single"/>
        </w:rPr>
        <w:t xml:space="preserve"> （企业名称） </w:t>
      </w:r>
      <w:r>
        <w:rPr>
          <w:rFonts w:hint="eastAsia" w:ascii="宋体" w:hAnsi="宋体"/>
          <w:color w:val="auto"/>
          <w:sz w:val="24"/>
          <w:highlight w:val="none"/>
        </w:rPr>
        <w:t>，从业人员</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ascii="宋体" w:hAnsi="宋体"/>
          <w:color w:val="auto"/>
          <w:sz w:val="24"/>
          <w:highlight w:val="none"/>
          <w:u w:val="single"/>
        </w:rPr>
        <w:t xml:space="preserve">   </w:t>
      </w:r>
      <w:r>
        <w:rPr>
          <w:rFonts w:hint="eastAsia" w:ascii="宋体" w:hAnsi="宋体"/>
          <w:color w:val="auto"/>
          <w:sz w:val="24"/>
          <w:highlight w:val="none"/>
        </w:rPr>
        <w:t>万元，属于</w:t>
      </w:r>
      <w:r>
        <w:rPr>
          <w:rFonts w:hint="eastAsia" w:ascii="宋体" w:hAnsi="宋体"/>
          <w:color w:val="auto"/>
          <w:sz w:val="24"/>
          <w:highlight w:val="none"/>
          <w:u w:val="single"/>
        </w:rPr>
        <w:t xml:space="preserve"> （中型企业、小型企业、微型企业） </w:t>
      </w:r>
      <w:r>
        <w:rPr>
          <w:rFonts w:hint="eastAsia" w:ascii="宋体" w:hAnsi="宋体"/>
          <w:color w:val="auto"/>
          <w:sz w:val="24"/>
          <w:highlight w:val="none"/>
        </w:rPr>
        <w:t>；</w:t>
      </w:r>
    </w:p>
    <w:p>
      <w:pPr>
        <w:spacing w:after="0"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 xml:space="preserve">2. </w:t>
      </w:r>
      <w:r>
        <w:rPr>
          <w:rFonts w:hint="eastAsia" w:ascii="宋体" w:hAnsi="宋体"/>
          <w:color w:val="auto"/>
          <w:sz w:val="24"/>
          <w:highlight w:val="none"/>
          <w:u w:val="single"/>
        </w:rPr>
        <w:t xml:space="preserve">（标的名称） </w:t>
      </w:r>
      <w:r>
        <w:rPr>
          <w:rFonts w:hint="eastAsia" w:ascii="宋体" w:hAnsi="宋体"/>
          <w:color w:val="auto"/>
          <w:sz w:val="24"/>
          <w:highlight w:val="none"/>
        </w:rPr>
        <w:t>，属于</w:t>
      </w:r>
      <w:r>
        <w:rPr>
          <w:rFonts w:hint="eastAsia" w:ascii="宋体" w:hAnsi="宋体"/>
          <w:color w:val="auto"/>
          <w:sz w:val="24"/>
          <w:highlight w:val="none"/>
          <w:u w:val="single"/>
        </w:rPr>
        <w:t xml:space="preserve"> （</w:t>
      </w:r>
      <w:r>
        <w:rPr>
          <w:rFonts w:hint="eastAsia" w:ascii="宋体" w:hAnsi="宋体"/>
          <w:color w:val="auto"/>
          <w:sz w:val="24"/>
          <w:highlight w:val="none"/>
          <w:u w:val="single"/>
          <w:lang w:eastAsia="zh-CN"/>
        </w:rPr>
        <w:t>磋商文件</w:t>
      </w:r>
      <w:r>
        <w:rPr>
          <w:rFonts w:hint="eastAsia" w:ascii="宋体" w:hAnsi="宋体"/>
          <w:color w:val="auto"/>
          <w:sz w:val="24"/>
          <w:highlight w:val="none"/>
          <w:u w:val="single"/>
        </w:rPr>
        <w:t xml:space="preserve">中明确的所属行业） </w:t>
      </w:r>
      <w:r>
        <w:rPr>
          <w:rFonts w:hint="eastAsia" w:ascii="宋体" w:hAnsi="宋体"/>
          <w:color w:val="auto"/>
          <w:sz w:val="24"/>
          <w:highlight w:val="none"/>
        </w:rPr>
        <w:t>；</w:t>
      </w:r>
      <w:r>
        <w:rPr>
          <w:rFonts w:hint="eastAsia" w:ascii="宋体" w:hAnsi="宋体"/>
          <w:color w:val="auto"/>
          <w:sz w:val="24"/>
          <w:highlight w:val="none"/>
          <w:lang w:val="en-US" w:eastAsia="zh-CN"/>
        </w:rPr>
        <w:t>承接企业</w:t>
      </w:r>
      <w:r>
        <w:rPr>
          <w:rFonts w:hint="eastAsia" w:ascii="宋体" w:hAnsi="宋体"/>
          <w:color w:val="auto"/>
          <w:sz w:val="24"/>
          <w:highlight w:val="none"/>
        </w:rPr>
        <w:t>为</w:t>
      </w:r>
      <w:r>
        <w:rPr>
          <w:rFonts w:hint="eastAsia" w:ascii="宋体" w:hAnsi="宋体"/>
          <w:color w:val="auto"/>
          <w:sz w:val="24"/>
          <w:highlight w:val="none"/>
          <w:u w:val="single"/>
        </w:rPr>
        <w:t xml:space="preserve"> （企业名称） </w:t>
      </w:r>
      <w:r>
        <w:rPr>
          <w:rFonts w:hint="eastAsia" w:ascii="宋体" w:hAnsi="宋体"/>
          <w:color w:val="auto"/>
          <w:sz w:val="24"/>
          <w:highlight w:val="none"/>
        </w:rPr>
        <w:t>，从业人员</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ascii="宋体" w:hAnsi="宋体"/>
          <w:color w:val="auto"/>
          <w:sz w:val="24"/>
          <w:highlight w:val="none"/>
          <w:u w:val="single"/>
        </w:rPr>
        <w:t xml:space="preserve">   </w:t>
      </w:r>
      <w:r>
        <w:rPr>
          <w:rFonts w:hint="eastAsia" w:ascii="宋体" w:hAnsi="宋体"/>
          <w:color w:val="auto"/>
          <w:sz w:val="24"/>
          <w:highlight w:val="none"/>
        </w:rPr>
        <w:t>万元，属于</w:t>
      </w:r>
      <w:r>
        <w:rPr>
          <w:rFonts w:hint="eastAsia" w:ascii="宋体" w:hAnsi="宋体"/>
          <w:color w:val="auto"/>
          <w:sz w:val="24"/>
          <w:highlight w:val="none"/>
          <w:u w:val="single"/>
        </w:rPr>
        <w:t xml:space="preserve"> （中型企业、小型企业、微型企业） </w:t>
      </w:r>
      <w:r>
        <w:rPr>
          <w:rFonts w:hint="eastAsia" w:ascii="宋体" w:hAnsi="宋体"/>
          <w:color w:val="auto"/>
          <w:sz w:val="24"/>
          <w:highlight w:val="none"/>
        </w:rPr>
        <w:t>；；</w:t>
      </w:r>
    </w:p>
    <w:p>
      <w:pPr>
        <w:spacing w:after="0"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w:t>
      </w:r>
    </w:p>
    <w:p>
      <w:pPr>
        <w:spacing w:after="0"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以上企业，不属于大企业的分支机构，不存在控股股东为大企业的情形，也不存在与大企业的负责人为同一人的情形。</w:t>
      </w:r>
    </w:p>
    <w:p>
      <w:pPr>
        <w:spacing w:after="0" w:line="360" w:lineRule="auto"/>
        <w:ind w:firstLine="600" w:firstLineChars="250"/>
        <w:jc w:val="left"/>
        <w:rPr>
          <w:rFonts w:ascii="宋体" w:hAnsi="宋体"/>
          <w:color w:val="auto"/>
          <w:sz w:val="24"/>
          <w:highlight w:val="none"/>
        </w:rPr>
      </w:pPr>
      <w:r>
        <w:rPr>
          <w:rFonts w:hint="eastAsia" w:ascii="宋体" w:hAnsi="宋体"/>
          <w:color w:val="auto"/>
          <w:sz w:val="24"/>
          <w:highlight w:val="none"/>
        </w:rPr>
        <w:t>本企业对上述声明内容的真实性负责。如有虚假，将依法承担相应责任。</w:t>
      </w:r>
    </w:p>
    <w:p>
      <w:pPr>
        <w:spacing w:after="0" w:line="360" w:lineRule="auto"/>
        <w:jc w:val="center"/>
        <w:rPr>
          <w:rFonts w:ascii="宋体" w:hAnsi="宋体"/>
          <w:color w:val="auto"/>
          <w:sz w:val="24"/>
          <w:highlight w:val="none"/>
        </w:rPr>
      </w:pPr>
      <w:r>
        <w:rPr>
          <w:rFonts w:hint="eastAsia" w:ascii="宋体" w:hAnsi="宋体"/>
          <w:color w:val="auto"/>
          <w:sz w:val="24"/>
          <w:highlight w:val="none"/>
        </w:rPr>
        <w:t xml:space="preserve">                                 企业名称（盖章）：</w:t>
      </w:r>
    </w:p>
    <w:p>
      <w:pPr>
        <w:spacing w:after="0" w:line="360" w:lineRule="auto"/>
        <w:jc w:val="center"/>
        <w:rPr>
          <w:rFonts w:ascii="宋体" w:hAnsi="宋体"/>
          <w:color w:val="auto"/>
          <w:sz w:val="24"/>
          <w:highlight w:val="none"/>
        </w:rPr>
      </w:pPr>
      <w:r>
        <w:rPr>
          <w:rFonts w:hint="eastAsia" w:ascii="宋体" w:hAnsi="宋体"/>
          <w:color w:val="auto"/>
          <w:sz w:val="24"/>
          <w:highlight w:val="none"/>
        </w:rPr>
        <w:t xml:space="preserve">                        日 期：</w:t>
      </w:r>
    </w:p>
    <w:p>
      <w:pPr>
        <w:spacing w:after="0" w:line="360" w:lineRule="auto"/>
        <w:jc w:val="left"/>
        <w:rPr>
          <w:rFonts w:ascii="宋体" w:hAnsi="宋体" w:cs="宋体"/>
          <w:b/>
          <w:bCs/>
          <w:color w:val="auto"/>
          <w:sz w:val="22"/>
          <w:szCs w:val="22"/>
          <w:highlight w:val="none"/>
        </w:rPr>
      </w:pPr>
      <w:r>
        <w:rPr>
          <w:rFonts w:hint="eastAsia" w:ascii="宋体" w:hAnsi="宋体" w:cs="宋体"/>
          <w:b/>
          <w:bCs/>
          <w:color w:val="auto"/>
          <w:sz w:val="22"/>
          <w:szCs w:val="22"/>
          <w:highlight w:val="none"/>
        </w:rPr>
        <w:t>注：</w:t>
      </w:r>
    </w:p>
    <w:p>
      <w:pPr>
        <w:pStyle w:val="2"/>
        <w:rPr>
          <w:b/>
          <w:bCs/>
          <w:color w:val="auto"/>
          <w:sz w:val="20"/>
          <w:szCs w:val="22"/>
          <w:highlight w:val="none"/>
        </w:rPr>
      </w:pPr>
      <w:r>
        <w:rPr>
          <w:rFonts w:ascii="宋体" w:hAnsi="宋体" w:cs="宋体"/>
          <w:b/>
          <w:bCs/>
          <w:color w:val="auto"/>
          <w:sz w:val="22"/>
          <w:szCs w:val="22"/>
          <w:highlight w:val="none"/>
        </w:rPr>
        <w:t>1、</w:t>
      </w:r>
      <w:r>
        <w:rPr>
          <w:rFonts w:hint="eastAsia" w:ascii="宋体" w:hAnsi="宋体" w:cs="宋体"/>
          <w:b/>
          <w:bCs/>
          <w:color w:val="auto"/>
          <w:sz w:val="22"/>
          <w:szCs w:val="22"/>
          <w:highlight w:val="none"/>
        </w:rPr>
        <w:t>从业人员、营业收入、资产总额填报上一年度数据，无上一年度数据的新成立企业可不填报。</w:t>
      </w:r>
    </w:p>
    <w:p>
      <w:pPr>
        <w:pStyle w:val="29"/>
        <w:ind w:firstLine="0" w:firstLineChars="0"/>
        <w:jc w:val="center"/>
        <w:rPr>
          <w:b/>
          <w:bCs/>
          <w:color w:val="auto"/>
          <w:sz w:val="36"/>
          <w:szCs w:val="36"/>
          <w:highlight w:val="none"/>
        </w:rPr>
      </w:pPr>
    </w:p>
    <w:p>
      <w:pPr>
        <w:pStyle w:val="29"/>
        <w:ind w:firstLine="0" w:firstLineChars="0"/>
        <w:jc w:val="center"/>
        <w:rPr>
          <w:b/>
          <w:bCs/>
          <w:color w:val="auto"/>
          <w:sz w:val="36"/>
          <w:szCs w:val="36"/>
          <w:highlight w:val="none"/>
        </w:rPr>
      </w:pPr>
    </w:p>
    <w:p>
      <w:pPr>
        <w:pStyle w:val="29"/>
        <w:ind w:firstLine="0" w:firstLineChars="0"/>
        <w:jc w:val="center"/>
        <w:rPr>
          <w:b/>
          <w:bCs/>
          <w:color w:val="auto"/>
          <w:sz w:val="36"/>
          <w:szCs w:val="36"/>
          <w:highlight w:val="none"/>
        </w:rPr>
      </w:pPr>
    </w:p>
    <w:p>
      <w:pPr>
        <w:pStyle w:val="29"/>
        <w:ind w:firstLine="0" w:firstLineChars="0"/>
        <w:jc w:val="center"/>
        <w:rPr>
          <w:b/>
          <w:bCs/>
          <w:color w:val="auto"/>
          <w:sz w:val="36"/>
          <w:szCs w:val="36"/>
          <w:highlight w:val="none"/>
        </w:rPr>
      </w:pPr>
    </w:p>
    <w:p>
      <w:pPr>
        <w:widowControl/>
        <w:spacing w:after="0" w:line="240" w:lineRule="auto"/>
        <w:jc w:val="left"/>
        <w:rPr>
          <w:b/>
          <w:bCs/>
          <w:color w:val="auto"/>
          <w:sz w:val="36"/>
          <w:szCs w:val="36"/>
          <w:highlight w:val="none"/>
        </w:rPr>
      </w:pPr>
      <w:r>
        <w:rPr>
          <w:b/>
          <w:bCs/>
          <w:color w:val="auto"/>
          <w:sz w:val="36"/>
          <w:szCs w:val="36"/>
          <w:highlight w:val="none"/>
        </w:rPr>
        <w:br w:type="page"/>
      </w:r>
    </w:p>
    <w:p>
      <w:pPr>
        <w:spacing w:after="0" w:line="360" w:lineRule="auto"/>
        <w:rPr>
          <w:rFonts w:hint="default" w:ascii="宋体" w:hAnsi="宋体" w:eastAsia="宋体"/>
          <w:b/>
          <w:color w:val="auto"/>
          <w:sz w:val="32"/>
          <w:szCs w:val="32"/>
          <w:highlight w:val="none"/>
          <w:lang w:val="en-US" w:eastAsia="zh-CN"/>
        </w:rPr>
      </w:pPr>
      <w:r>
        <w:rPr>
          <w:rFonts w:hint="eastAsia" w:ascii="宋体" w:hAnsi="宋体"/>
          <w:b/>
          <w:color w:val="auto"/>
          <w:sz w:val="32"/>
          <w:szCs w:val="32"/>
          <w:highlight w:val="none"/>
        </w:rPr>
        <w:t>格式</w:t>
      </w:r>
      <w:r>
        <w:rPr>
          <w:rFonts w:hint="eastAsia" w:ascii="宋体" w:hAnsi="宋体"/>
          <w:b/>
          <w:color w:val="auto"/>
          <w:sz w:val="32"/>
          <w:szCs w:val="32"/>
          <w:highlight w:val="none"/>
          <w:lang w:val="en-US" w:eastAsia="zh-CN"/>
        </w:rPr>
        <w:t>1-5</w:t>
      </w:r>
    </w:p>
    <w:p>
      <w:pPr>
        <w:jc w:val="center"/>
        <w:rPr>
          <w:rFonts w:ascii="宋体" w:hAnsi="宋体" w:cs="宋体"/>
          <w:b/>
          <w:color w:val="auto"/>
          <w:spacing w:val="6"/>
          <w:sz w:val="24"/>
          <w:highlight w:val="none"/>
        </w:rPr>
      </w:pPr>
      <w:r>
        <w:rPr>
          <w:rFonts w:hint="eastAsia" w:ascii="宋体" w:hAnsi="宋体"/>
          <w:b/>
          <w:color w:val="auto"/>
          <w:sz w:val="32"/>
          <w:szCs w:val="32"/>
          <w:highlight w:val="none"/>
        </w:rPr>
        <w:t>残疾人福利性单位声明函</w:t>
      </w:r>
    </w:p>
    <w:p>
      <w:pPr>
        <w:spacing w:line="588" w:lineRule="exac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本单位郑重声明，根据《财政部 民政部 中国残疾人联合会关于促进残疾人就业政府采购政策的通知》（财库</w:t>
      </w:r>
      <w:r>
        <w:rPr>
          <w:rFonts w:hint="eastAsia" w:ascii="宋体" w:hAnsi="宋体" w:cs="宋体"/>
          <w:color w:val="auto"/>
          <w:sz w:val="24"/>
          <w:highlight w:val="none"/>
        </w:rPr>
        <w:t>〔2017〕 141</w:t>
      </w:r>
      <w:r>
        <w:rPr>
          <w:rFonts w:hint="eastAsia" w:ascii="宋体" w:hAnsi="宋体" w:cs="宋体"/>
          <w:color w:val="auto"/>
          <w:spacing w:val="6"/>
          <w:sz w:val="24"/>
          <w:highlight w:val="none"/>
        </w:rPr>
        <w:t>号）的规定，本单位为符合条件的残疾人福利性单位，且本单位参加</w:t>
      </w:r>
      <w:r>
        <w:rPr>
          <w:rFonts w:hint="eastAsia" w:ascii="宋体" w:hAnsi="宋体"/>
          <w:color w:val="auto"/>
          <w:sz w:val="24"/>
          <w:highlight w:val="none"/>
          <w:u w:val="single"/>
        </w:rPr>
        <w:t>XXXX</w:t>
      </w:r>
      <w:r>
        <w:rPr>
          <w:rFonts w:hint="eastAsia" w:ascii="宋体" w:hAnsi="宋体" w:cs="宋体"/>
          <w:color w:val="auto"/>
          <w:spacing w:val="6"/>
          <w:sz w:val="24"/>
          <w:highlight w:val="none"/>
        </w:rPr>
        <w:t>单位的</w:t>
      </w:r>
      <w:r>
        <w:rPr>
          <w:rFonts w:hint="eastAsia" w:ascii="宋体" w:hAnsi="宋体"/>
          <w:color w:val="auto"/>
          <w:sz w:val="24"/>
          <w:highlight w:val="none"/>
          <w:u w:val="single"/>
        </w:rPr>
        <w:t>XXXX</w:t>
      </w:r>
      <w:r>
        <w:rPr>
          <w:rFonts w:hint="eastAsia" w:ascii="宋体" w:hAnsi="宋体" w:cs="宋体"/>
          <w:color w:val="auto"/>
          <w:spacing w:val="6"/>
          <w:sz w:val="24"/>
          <w:highlight w:val="none"/>
        </w:rPr>
        <w:t>项目采购活动提供本单位</w:t>
      </w:r>
      <w:r>
        <w:rPr>
          <w:rFonts w:hint="eastAsia" w:ascii="宋体" w:hAnsi="宋体" w:cs="宋体"/>
          <w:color w:val="auto"/>
          <w:spacing w:val="6"/>
          <w:sz w:val="24"/>
          <w:highlight w:val="none"/>
          <w:lang w:val="en-US" w:eastAsia="zh-CN"/>
        </w:rPr>
        <w:t>服务，</w:t>
      </w:r>
      <w:r>
        <w:rPr>
          <w:rFonts w:hint="eastAsia" w:ascii="宋体" w:hAnsi="宋体" w:cs="宋体"/>
          <w:color w:val="auto"/>
          <w:spacing w:val="6"/>
          <w:sz w:val="24"/>
          <w:highlight w:val="none"/>
        </w:rPr>
        <w:t>或者提供其他残疾人福利性单位提供的</w:t>
      </w:r>
      <w:r>
        <w:rPr>
          <w:rFonts w:hint="eastAsia" w:ascii="宋体" w:hAnsi="宋体" w:cs="宋体"/>
          <w:color w:val="auto"/>
          <w:spacing w:val="6"/>
          <w:sz w:val="24"/>
          <w:highlight w:val="none"/>
          <w:lang w:val="en-US" w:eastAsia="zh-CN"/>
        </w:rPr>
        <w:t>服务</w:t>
      </w:r>
      <w:r>
        <w:rPr>
          <w:rFonts w:hint="eastAsia" w:ascii="宋体" w:hAnsi="宋体" w:cs="宋体"/>
          <w:color w:val="auto"/>
          <w:spacing w:val="6"/>
          <w:sz w:val="24"/>
          <w:highlight w:val="none"/>
        </w:rPr>
        <w:t>。</w:t>
      </w:r>
    </w:p>
    <w:p>
      <w:pPr>
        <w:spacing w:line="588" w:lineRule="exact"/>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本单位对上述声明的真实性负责。如有虚假，将依法承担相应责任。</w:t>
      </w:r>
    </w:p>
    <w:p>
      <w:pPr>
        <w:spacing w:line="588" w:lineRule="exact"/>
        <w:rPr>
          <w:rFonts w:ascii="宋体" w:hAnsi="宋体" w:cs="宋体"/>
          <w:color w:val="auto"/>
          <w:spacing w:val="6"/>
          <w:sz w:val="24"/>
          <w:highlight w:val="none"/>
        </w:rPr>
      </w:pPr>
    </w:p>
    <w:p>
      <w:pPr>
        <w:spacing w:line="588" w:lineRule="exact"/>
        <w:rPr>
          <w:rFonts w:ascii="宋体" w:hAnsi="宋体" w:cs="宋体"/>
          <w:color w:val="auto"/>
          <w:spacing w:val="6"/>
          <w:sz w:val="24"/>
          <w:highlight w:val="none"/>
        </w:rPr>
      </w:pP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单位名称（盖章）：XXXX</w:t>
      </w: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法定代表人/单位负责人或授权代表（签字或加盖个人印章）：XXXX</w:t>
      </w: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日  期：XXXX</w:t>
      </w:r>
    </w:p>
    <w:p>
      <w:pPr>
        <w:spacing w:line="360" w:lineRule="auto"/>
        <w:rPr>
          <w:rFonts w:ascii="宋体" w:hAnsi="宋体" w:cs="宋体"/>
          <w:color w:val="auto"/>
          <w:sz w:val="24"/>
          <w:highlight w:val="none"/>
        </w:rPr>
      </w:pPr>
    </w:p>
    <w:p>
      <w:pPr>
        <w:spacing w:after="0" w:line="360" w:lineRule="auto"/>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注：</w:t>
      </w:r>
    </w:p>
    <w:p>
      <w:pPr>
        <w:spacing w:after="0" w:line="360" w:lineRule="auto"/>
        <w:ind w:firstLine="442" w:firstLineChars="20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1、</w:t>
      </w:r>
      <w:r>
        <w:rPr>
          <w:rFonts w:hint="eastAsia" w:ascii="宋体" w:hAnsi="宋体" w:eastAsia="宋体" w:cs="宋体"/>
          <w:b/>
          <w:bCs/>
          <w:color w:val="auto"/>
          <w:sz w:val="22"/>
          <w:szCs w:val="22"/>
          <w:highlight w:val="none"/>
        </w:rPr>
        <w:t>残疾人福利性单位视同小型、微型企业，享受预留份额、评审中价格扣除等促进中小企业发展的政府采购政策。残疾人福利性单位属于小型、微型企业的，不重复享受政策。</w:t>
      </w:r>
    </w:p>
    <w:p>
      <w:pPr>
        <w:spacing w:after="0" w:line="360" w:lineRule="auto"/>
        <w:ind w:firstLine="442" w:firstLineChars="20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2、</w:t>
      </w:r>
      <w:r>
        <w:rPr>
          <w:rFonts w:hint="eastAsia" w:ascii="宋体" w:hAnsi="宋体" w:eastAsia="宋体" w:cs="宋体"/>
          <w:b/>
          <w:bCs/>
          <w:color w:val="auto"/>
          <w:sz w:val="22"/>
          <w:szCs w:val="22"/>
          <w:highlight w:val="none"/>
        </w:rPr>
        <w:t>供应商为非残疾人福利性单位的，可不提供此声明。</w:t>
      </w:r>
    </w:p>
    <w:p>
      <w:pPr>
        <w:spacing w:line="300" w:lineRule="exact"/>
        <w:rPr>
          <w:rFonts w:ascii="宋体" w:hAnsi="宋体" w:cs="宋体"/>
          <w:color w:val="auto"/>
          <w:sz w:val="24"/>
          <w:highlight w:val="none"/>
        </w:rPr>
      </w:pPr>
    </w:p>
    <w:p>
      <w:pPr>
        <w:widowControl/>
        <w:spacing w:after="0" w:line="240" w:lineRule="auto"/>
        <w:jc w:val="left"/>
        <w:rPr>
          <w:rFonts w:ascii="宋体" w:hAnsi="宋体" w:cs="宋体"/>
          <w:color w:val="auto"/>
          <w:sz w:val="24"/>
          <w:highlight w:val="none"/>
        </w:rPr>
      </w:pPr>
      <w:r>
        <w:rPr>
          <w:rFonts w:ascii="宋体" w:hAnsi="宋体" w:cs="宋体"/>
          <w:color w:val="auto"/>
          <w:sz w:val="24"/>
          <w:highlight w:val="none"/>
        </w:rPr>
        <w:br w:type="page"/>
      </w:r>
    </w:p>
    <w:p>
      <w:pPr>
        <w:spacing w:after="0" w:line="360" w:lineRule="auto"/>
        <w:rPr>
          <w:rFonts w:hint="default" w:ascii="宋体" w:hAnsi="宋体" w:eastAsia="宋体"/>
          <w:b/>
          <w:color w:val="auto"/>
          <w:sz w:val="32"/>
          <w:szCs w:val="32"/>
          <w:highlight w:val="none"/>
          <w:lang w:val="en-US" w:eastAsia="zh-CN"/>
        </w:rPr>
      </w:pPr>
      <w:r>
        <w:rPr>
          <w:rFonts w:hint="eastAsia" w:ascii="宋体" w:hAnsi="宋体"/>
          <w:b/>
          <w:color w:val="auto"/>
          <w:sz w:val="32"/>
          <w:szCs w:val="32"/>
          <w:highlight w:val="none"/>
        </w:rPr>
        <w:t>格式</w:t>
      </w:r>
      <w:r>
        <w:rPr>
          <w:rFonts w:hint="eastAsia" w:ascii="宋体" w:hAnsi="宋体"/>
          <w:b/>
          <w:color w:val="auto"/>
          <w:sz w:val="32"/>
          <w:szCs w:val="32"/>
          <w:highlight w:val="none"/>
          <w:lang w:val="en-US" w:eastAsia="zh-CN"/>
        </w:rPr>
        <w:t>1-6</w:t>
      </w:r>
    </w:p>
    <w:p>
      <w:pPr>
        <w:jc w:val="center"/>
        <w:rPr>
          <w:rFonts w:ascii="宋体" w:hAnsi="宋体"/>
          <w:b/>
          <w:color w:val="auto"/>
          <w:sz w:val="32"/>
          <w:szCs w:val="32"/>
          <w:highlight w:val="none"/>
        </w:rPr>
      </w:pPr>
      <w:r>
        <w:rPr>
          <w:rFonts w:hint="eastAsia" w:ascii="宋体" w:hAnsi="宋体"/>
          <w:b/>
          <w:color w:val="auto"/>
          <w:sz w:val="32"/>
          <w:szCs w:val="32"/>
          <w:highlight w:val="none"/>
        </w:rPr>
        <w:t>监狱企业</w:t>
      </w:r>
    </w:p>
    <w:p>
      <w:pPr>
        <w:spacing w:after="0"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根据</w:t>
      </w:r>
      <w:r>
        <w:rPr>
          <w:rFonts w:hint="eastAsia" w:ascii="宋体" w:hAnsi="宋体" w:cs="仿宋"/>
          <w:color w:val="auto"/>
          <w:sz w:val="24"/>
          <w:highlight w:val="none"/>
        </w:rPr>
        <w:t>《政府采购支持监狱企业发展有关问题的通知》</w:t>
      </w:r>
      <w:r>
        <w:rPr>
          <w:rFonts w:hint="eastAsia" w:ascii="宋体" w:hAnsi="宋体"/>
          <w:color w:val="auto"/>
          <w:sz w:val="24"/>
          <w:highlight w:val="none"/>
        </w:rPr>
        <w:t>（财库〔</w:t>
      </w:r>
      <w:r>
        <w:rPr>
          <w:rFonts w:ascii="宋体" w:hAnsi="宋体"/>
          <w:color w:val="auto"/>
          <w:sz w:val="24"/>
          <w:highlight w:val="none"/>
        </w:rPr>
        <w:t>2014〕68号）的规定</w:t>
      </w:r>
      <w:r>
        <w:rPr>
          <w:rFonts w:hint="eastAsia" w:ascii="宋体" w:hAnsi="宋体"/>
          <w:color w:val="auto"/>
          <w:sz w:val="24"/>
          <w:highlight w:val="none"/>
        </w:rPr>
        <w:t>监狱企业参加采购活动的，应</w:t>
      </w:r>
      <w:r>
        <w:rPr>
          <w:rFonts w:hint="eastAsia" w:ascii="宋体" w:hAnsi="宋体" w:cs="宋体"/>
          <w:color w:val="auto"/>
          <w:sz w:val="24"/>
          <w:highlight w:val="none"/>
        </w:rPr>
        <w:t>提供由省级以上监狱管理局、戒毒管理局</w:t>
      </w:r>
      <w:r>
        <w:rPr>
          <w:rFonts w:ascii="宋体" w:hAnsi="宋体" w:cs="宋体"/>
          <w:color w:val="auto"/>
          <w:sz w:val="24"/>
          <w:highlight w:val="none"/>
        </w:rPr>
        <w:t>(含新疆生产建设兵团)出具的属于监狱企业的证明文件。</w:t>
      </w:r>
    </w:p>
    <w:p>
      <w:pPr>
        <w:tabs>
          <w:tab w:val="left" w:pos="4860"/>
        </w:tabs>
        <w:spacing w:after="0" w:line="360" w:lineRule="auto"/>
        <w:ind w:firstLine="504" w:firstLineChars="200"/>
        <w:rPr>
          <w:rFonts w:hint="eastAsia" w:ascii="宋体" w:hAnsi="宋体" w:cs="宋体"/>
          <w:color w:val="auto"/>
          <w:spacing w:val="6"/>
          <w:sz w:val="24"/>
          <w:highlight w:val="none"/>
        </w:rPr>
      </w:pPr>
    </w:p>
    <w:p>
      <w:pPr>
        <w:tabs>
          <w:tab w:val="left" w:pos="4860"/>
        </w:tabs>
        <w:spacing w:after="0" w:line="360" w:lineRule="auto"/>
        <w:ind w:firstLine="504" w:firstLineChars="200"/>
        <w:rPr>
          <w:rFonts w:hint="eastAsia" w:ascii="宋体" w:hAnsi="宋体" w:cs="宋体"/>
          <w:color w:val="auto"/>
          <w:spacing w:val="6"/>
          <w:sz w:val="24"/>
          <w:highlight w:val="none"/>
        </w:rPr>
      </w:pP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单位名称（盖章）：XXXX</w:t>
      </w: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法定代表人/单位负责人或授权代表（签字或加盖个人印章）：XXXX</w:t>
      </w:r>
    </w:p>
    <w:p>
      <w:pPr>
        <w:tabs>
          <w:tab w:val="left" w:pos="4860"/>
        </w:tabs>
        <w:spacing w:after="0" w:line="360" w:lineRule="auto"/>
        <w:ind w:firstLine="504" w:firstLineChars="200"/>
        <w:rPr>
          <w:rFonts w:ascii="宋体" w:hAnsi="宋体" w:cs="宋体"/>
          <w:color w:val="auto"/>
          <w:spacing w:val="6"/>
          <w:sz w:val="24"/>
          <w:highlight w:val="none"/>
        </w:rPr>
      </w:pPr>
      <w:r>
        <w:rPr>
          <w:rFonts w:hint="eastAsia" w:ascii="宋体" w:hAnsi="宋体" w:cs="宋体"/>
          <w:color w:val="auto"/>
          <w:spacing w:val="6"/>
          <w:sz w:val="24"/>
          <w:highlight w:val="none"/>
        </w:rPr>
        <w:t>日  期：XXXX</w:t>
      </w:r>
    </w:p>
    <w:p>
      <w:pPr>
        <w:spacing w:after="0" w:line="360" w:lineRule="auto"/>
        <w:ind w:firstLine="442" w:firstLineChars="200"/>
        <w:jc w:val="left"/>
        <w:rPr>
          <w:rFonts w:hint="eastAsia" w:ascii="宋体" w:hAnsi="宋体" w:eastAsia="宋体" w:cs="宋体"/>
          <w:b/>
          <w:bCs/>
          <w:color w:val="auto"/>
          <w:sz w:val="22"/>
          <w:szCs w:val="22"/>
          <w:highlight w:val="none"/>
        </w:rPr>
      </w:pPr>
    </w:p>
    <w:p>
      <w:pPr>
        <w:spacing w:after="0" w:line="360" w:lineRule="auto"/>
        <w:ind w:firstLine="442" w:firstLineChars="20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注：</w:t>
      </w:r>
    </w:p>
    <w:p>
      <w:pPr>
        <w:spacing w:after="0" w:line="360" w:lineRule="auto"/>
        <w:ind w:firstLine="442" w:firstLineChars="20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1、供应商符合《政府采购支持监狱企业发展有关问题的通知》（财库〔2014〕68号）规定的划分标准为监狱企业适用。</w:t>
      </w:r>
    </w:p>
    <w:p>
      <w:pPr>
        <w:spacing w:after="0" w:line="360" w:lineRule="auto"/>
        <w:ind w:firstLine="442" w:firstLineChars="20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2、在政府采购活动中，监狱企业视同小型、微型企业，享受预留份额、评审中价格扣除等政府采购促进中小企业发展的政府采购政策。</w:t>
      </w:r>
    </w:p>
    <w:p>
      <w:pPr>
        <w:pStyle w:val="29"/>
        <w:rPr>
          <w:rFonts w:hint="eastAsia" w:ascii="宋体" w:hAnsi="宋体" w:cs="宋体"/>
          <w:bCs/>
          <w:color w:val="auto"/>
          <w:sz w:val="24"/>
          <w:highlight w:val="none"/>
        </w:rPr>
      </w:pPr>
    </w:p>
    <w:p>
      <w:pPr>
        <w:pStyle w:val="29"/>
        <w:rPr>
          <w:rFonts w:hint="eastAsia" w:ascii="宋体" w:hAnsi="宋体" w:cs="宋体"/>
          <w:bCs/>
          <w:color w:val="auto"/>
          <w:sz w:val="24"/>
          <w:highlight w:val="none"/>
        </w:rPr>
      </w:pPr>
    </w:p>
    <w:p>
      <w:pPr>
        <w:pStyle w:val="29"/>
        <w:rPr>
          <w:rFonts w:hint="eastAsia" w:ascii="宋体" w:hAnsi="宋体" w:cs="宋体"/>
          <w:bCs/>
          <w:color w:val="auto"/>
          <w:sz w:val="24"/>
          <w:highlight w:val="none"/>
        </w:rPr>
      </w:pPr>
    </w:p>
    <w:p>
      <w:pPr>
        <w:pStyle w:val="29"/>
        <w:rPr>
          <w:rFonts w:hint="eastAsia" w:ascii="宋体" w:hAnsi="宋体" w:cs="宋体"/>
          <w:bCs/>
          <w:color w:val="auto"/>
          <w:sz w:val="24"/>
          <w:highlight w:val="none"/>
        </w:rPr>
      </w:pPr>
    </w:p>
    <w:p>
      <w:pPr>
        <w:pStyle w:val="29"/>
        <w:rPr>
          <w:rFonts w:hint="eastAsia" w:ascii="宋体" w:hAnsi="宋体" w:cs="宋体"/>
          <w:bCs/>
          <w:color w:val="auto"/>
          <w:sz w:val="24"/>
          <w:highlight w:val="none"/>
        </w:rPr>
      </w:pPr>
    </w:p>
    <w:p>
      <w:pPr>
        <w:pStyle w:val="29"/>
        <w:rPr>
          <w:rFonts w:hint="eastAsia" w:ascii="宋体" w:hAnsi="宋体" w:cs="宋体"/>
          <w:bCs/>
          <w:color w:val="auto"/>
          <w:sz w:val="24"/>
          <w:highlight w:val="none"/>
        </w:rPr>
      </w:pPr>
    </w:p>
    <w:p>
      <w:pPr>
        <w:pStyle w:val="29"/>
        <w:rPr>
          <w:rFonts w:hint="eastAsia" w:ascii="宋体" w:hAnsi="宋体" w:cs="宋体"/>
          <w:bCs/>
          <w:color w:val="auto"/>
          <w:sz w:val="24"/>
          <w:highlight w:val="none"/>
        </w:rPr>
      </w:pPr>
      <w:r>
        <w:rPr>
          <w:rFonts w:hint="eastAsia" w:ascii="宋体" w:hAnsi="宋体" w:cs="宋体"/>
          <w:bCs/>
          <w:color w:val="auto"/>
          <w:sz w:val="24"/>
          <w:highlight w:val="none"/>
        </w:rPr>
        <w:br w:type="textWrapping"/>
      </w:r>
    </w:p>
    <w:p>
      <w:pPr>
        <w:pStyle w:val="29"/>
        <w:rPr>
          <w:rFonts w:hint="eastAsia" w:ascii="宋体" w:hAnsi="宋体" w:cs="宋体"/>
          <w:bCs/>
          <w:color w:val="auto"/>
          <w:sz w:val="24"/>
          <w:highlight w:val="none"/>
        </w:rPr>
      </w:pPr>
    </w:p>
    <w:p>
      <w:pPr>
        <w:pStyle w:val="29"/>
        <w:rPr>
          <w:rFonts w:hint="eastAsia" w:ascii="宋体" w:hAnsi="宋体" w:cs="宋体"/>
          <w:bCs/>
          <w:color w:val="auto"/>
          <w:sz w:val="24"/>
          <w:highlight w:val="none"/>
        </w:rPr>
      </w:pPr>
    </w:p>
    <w:p>
      <w:pPr>
        <w:pStyle w:val="29"/>
        <w:rPr>
          <w:rFonts w:hint="eastAsia" w:ascii="宋体" w:hAnsi="宋体" w:cs="宋体"/>
          <w:bCs/>
          <w:color w:val="auto"/>
          <w:sz w:val="24"/>
          <w:highlight w:val="none"/>
        </w:rPr>
      </w:pPr>
    </w:p>
    <w:p>
      <w:pPr>
        <w:pStyle w:val="29"/>
        <w:rPr>
          <w:rFonts w:hint="eastAsia" w:ascii="宋体" w:hAnsi="宋体" w:cs="宋体"/>
          <w:bCs/>
          <w:color w:val="auto"/>
          <w:sz w:val="24"/>
          <w:highlight w:val="none"/>
        </w:rPr>
      </w:pPr>
    </w:p>
    <w:p>
      <w:pPr>
        <w:spacing w:line="360" w:lineRule="auto"/>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格式1-</w:t>
      </w:r>
      <w:r>
        <w:rPr>
          <w:rFonts w:hint="eastAsia" w:ascii="宋体" w:hAnsi="宋体"/>
          <w:b/>
          <w:color w:val="auto"/>
          <w:sz w:val="32"/>
          <w:szCs w:val="32"/>
          <w:highlight w:val="none"/>
          <w:lang w:val="en-US" w:eastAsia="zh-CN"/>
        </w:rPr>
        <w:t>7</w:t>
      </w:r>
    </w:p>
    <w:p>
      <w:pPr>
        <w:widowControl/>
        <w:spacing w:line="360" w:lineRule="atLeast"/>
        <w:jc w:val="center"/>
        <w:outlineLvl w:val="1"/>
        <w:rPr>
          <w:rFonts w:ascii="宋体" w:hAnsi="宋体"/>
          <w:b/>
          <w:color w:val="auto"/>
          <w:sz w:val="32"/>
          <w:szCs w:val="32"/>
          <w:highlight w:val="none"/>
        </w:rPr>
      </w:pPr>
      <w:r>
        <w:rPr>
          <w:rFonts w:hint="eastAsia" w:ascii="宋体" w:hAnsi="宋体"/>
          <w:b/>
          <w:color w:val="auto"/>
          <w:sz w:val="32"/>
          <w:szCs w:val="32"/>
          <w:highlight w:val="none"/>
        </w:rPr>
        <w:t>承诺函(如涉及)</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XXXX（采购代理机构名称）：</w:t>
      </w:r>
    </w:p>
    <w:p>
      <w:pPr>
        <w:spacing w:after="0"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我单位作为本次采购项目的供应商，现郑重承诺如下：</w:t>
      </w:r>
    </w:p>
    <w:p>
      <w:pPr>
        <w:spacing w:after="0"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根据本项目磋商文件</w:t>
      </w:r>
      <w:r>
        <w:rPr>
          <w:rFonts w:ascii="宋体" w:hAnsi="宋体" w:cs="宋体"/>
          <w:bCs/>
          <w:color w:val="auto"/>
          <w:sz w:val="24"/>
          <w:highlight w:val="none"/>
        </w:rPr>
        <w:t>第四章资格证明要求中第</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项，</w:t>
      </w:r>
      <w:r>
        <w:rPr>
          <w:rFonts w:ascii="宋体" w:hAnsi="宋体" w:cs="宋体"/>
          <w:bCs/>
          <w:color w:val="auto"/>
          <w:sz w:val="24"/>
          <w:highlight w:val="none"/>
        </w:rPr>
        <w:t>我</w:t>
      </w:r>
      <w:r>
        <w:rPr>
          <w:rFonts w:hint="eastAsia" w:ascii="宋体" w:hAnsi="宋体" w:cs="宋体"/>
          <w:bCs/>
          <w:color w:val="auto"/>
          <w:sz w:val="24"/>
          <w:highlight w:val="none"/>
        </w:rPr>
        <w:t>单位</w:t>
      </w:r>
      <w:r>
        <w:rPr>
          <w:rFonts w:ascii="宋体" w:hAnsi="宋体" w:cs="宋体"/>
          <w:bCs/>
          <w:color w:val="auto"/>
          <w:sz w:val="24"/>
          <w:highlight w:val="none"/>
        </w:rPr>
        <w:t>应具备</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（备案</w:t>
      </w:r>
      <w:r>
        <w:rPr>
          <w:rFonts w:ascii="宋体" w:hAnsi="宋体" w:cs="宋体"/>
          <w:bCs/>
          <w:color w:val="auto"/>
          <w:sz w:val="24"/>
          <w:highlight w:val="none"/>
        </w:rPr>
        <w:t>、登记、其他证照</w:t>
      </w:r>
      <w:r>
        <w:rPr>
          <w:rFonts w:hint="eastAsia" w:ascii="宋体" w:hAnsi="宋体" w:cs="宋体"/>
          <w:bCs/>
          <w:color w:val="auto"/>
          <w:sz w:val="24"/>
          <w:highlight w:val="none"/>
        </w:rPr>
        <w:t>）。但因</w:t>
      </w:r>
      <w:r>
        <w:rPr>
          <w:rFonts w:ascii="宋体" w:hAnsi="宋体" w:cs="宋体"/>
          <w:bCs/>
          <w:color w:val="auto"/>
          <w:sz w:val="24"/>
          <w:highlight w:val="none"/>
        </w:rPr>
        <w:t>我单位所在地</w:t>
      </w:r>
      <w:r>
        <w:rPr>
          <w:rFonts w:hint="eastAsia" w:ascii="宋体" w:hAnsi="宋体" w:cs="宋体"/>
          <w:bCs/>
          <w:color w:val="auto"/>
          <w:sz w:val="24"/>
          <w:highlight w:val="none"/>
        </w:rPr>
        <w:t>已对</w:t>
      </w:r>
      <w:r>
        <w:rPr>
          <w:rFonts w:ascii="宋体" w:hAnsi="宋体" w:cs="宋体"/>
          <w:bCs/>
          <w:color w:val="auto"/>
          <w:sz w:val="24"/>
          <w:highlight w:val="none"/>
        </w:rPr>
        <w:t>上述</w:t>
      </w:r>
      <w:r>
        <w:rPr>
          <w:rFonts w:hint="eastAsia" w:ascii="宋体" w:hAnsi="宋体" w:cs="宋体"/>
          <w:bCs/>
          <w:color w:val="auto"/>
          <w:sz w:val="24"/>
          <w:highlight w:val="none"/>
        </w:rPr>
        <w:t>备案</w:t>
      </w:r>
      <w:r>
        <w:rPr>
          <w:rFonts w:ascii="宋体" w:hAnsi="宋体" w:cs="宋体"/>
          <w:bCs/>
          <w:color w:val="auto"/>
          <w:sz w:val="24"/>
          <w:highlight w:val="none"/>
        </w:rPr>
        <w:t>、登记、其他证照</w:t>
      </w:r>
      <w:r>
        <w:rPr>
          <w:rFonts w:hint="eastAsia" w:ascii="宋体" w:hAnsi="宋体" w:cs="宋体"/>
          <w:bCs/>
          <w:color w:val="auto"/>
          <w:sz w:val="24"/>
          <w:highlight w:val="none"/>
        </w:rPr>
        <w:t>实行</w:t>
      </w:r>
      <w:r>
        <w:rPr>
          <w:rFonts w:ascii="宋体" w:hAnsi="宋体" w:cs="宋体"/>
          <w:bCs/>
          <w:color w:val="auto"/>
          <w:sz w:val="24"/>
          <w:highlight w:val="none"/>
        </w:rPr>
        <w:t>“</w:t>
      </w:r>
      <w:r>
        <w:rPr>
          <w:rFonts w:hint="eastAsia" w:ascii="宋体" w:hAnsi="宋体" w:cs="宋体"/>
          <w:bCs/>
          <w:color w:val="auto"/>
          <w:sz w:val="24"/>
          <w:highlight w:val="none"/>
        </w:rPr>
        <w:t>多证合一</w:t>
      </w:r>
      <w:r>
        <w:rPr>
          <w:rFonts w:ascii="宋体" w:hAnsi="宋体" w:cs="宋体"/>
          <w:bCs/>
          <w:color w:val="auto"/>
          <w:sz w:val="24"/>
          <w:highlight w:val="none"/>
        </w:rPr>
        <w:t>”</w:t>
      </w:r>
      <w:r>
        <w:rPr>
          <w:rFonts w:hint="eastAsia" w:ascii="宋体" w:hAnsi="宋体" w:cs="宋体"/>
          <w:bCs/>
          <w:color w:val="auto"/>
          <w:sz w:val="24"/>
          <w:highlight w:val="none"/>
        </w:rPr>
        <w:t>，</w:t>
      </w:r>
      <w:r>
        <w:rPr>
          <w:rFonts w:ascii="宋体" w:hAnsi="宋体" w:cs="宋体"/>
          <w:bCs/>
          <w:color w:val="auto"/>
          <w:sz w:val="24"/>
          <w:highlight w:val="none"/>
        </w:rPr>
        <w:t>故在此次采购活动</w:t>
      </w:r>
      <w:r>
        <w:rPr>
          <w:rFonts w:hint="eastAsia" w:ascii="宋体" w:hAnsi="宋体" w:cs="宋体"/>
          <w:bCs/>
          <w:color w:val="auto"/>
          <w:sz w:val="24"/>
          <w:highlight w:val="none"/>
        </w:rPr>
        <w:t>中</w:t>
      </w:r>
      <w:r>
        <w:rPr>
          <w:rFonts w:ascii="宋体" w:hAnsi="宋体" w:cs="宋体"/>
          <w:bCs/>
          <w:color w:val="auto"/>
          <w:sz w:val="24"/>
          <w:highlight w:val="none"/>
        </w:rPr>
        <w:t>提供</w:t>
      </w:r>
      <w:r>
        <w:rPr>
          <w:rFonts w:hint="eastAsia" w:ascii="宋体" w:hAnsi="宋体" w:cs="宋体"/>
          <w:bCs/>
          <w:color w:val="auto"/>
          <w:sz w:val="24"/>
          <w:highlight w:val="none"/>
        </w:rPr>
        <w:t>满足</w:t>
      </w:r>
      <w:r>
        <w:rPr>
          <w:rFonts w:ascii="宋体" w:hAnsi="宋体" w:cs="宋体"/>
          <w:bCs/>
          <w:color w:val="auto"/>
          <w:sz w:val="24"/>
          <w:highlight w:val="none"/>
        </w:rPr>
        <w:t>资格要求</w:t>
      </w:r>
      <w:r>
        <w:rPr>
          <w:rFonts w:hint="eastAsia" w:ascii="宋体" w:hAnsi="宋体" w:cs="宋体"/>
          <w:bCs/>
          <w:color w:val="auto"/>
          <w:sz w:val="24"/>
          <w:highlight w:val="none"/>
        </w:rPr>
        <w:t>：</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（营业执照</w:t>
      </w:r>
      <w:r>
        <w:rPr>
          <w:rFonts w:ascii="宋体" w:hAnsi="宋体" w:cs="宋体"/>
          <w:bCs/>
          <w:color w:val="auto"/>
          <w:sz w:val="24"/>
          <w:highlight w:val="none"/>
        </w:rPr>
        <w:t>中对</w:t>
      </w:r>
      <w:r>
        <w:rPr>
          <w:rFonts w:hint="eastAsia" w:ascii="宋体" w:hAnsi="宋体" w:cs="宋体"/>
          <w:bCs/>
          <w:color w:val="auto"/>
          <w:sz w:val="24"/>
          <w:highlight w:val="none"/>
        </w:rPr>
        <w:t>该备案</w:t>
      </w:r>
      <w:r>
        <w:rPr>
          <w:rFonts w:ascii="宋体" w:hAnsi="宋体" w:cs="宋体"/>
          <w:bCs/>
          <w:color w:val="auto"/>
          <w:sz w:val="24"/>
          <w:highlight w:val="none"/>
        </w:rPr>
        <w:t>、登记、其他证照</w:t>
      </w:r>
      <w:r>
        <w:rPr>
          <w:rFonts w:hint="eastAsia" w:ascii="宋体" w:hAnsi="宋体" w:cs="宋体"/>
          <w:bCs/>
          <w:color w:val="auto"/>
          <w:sz w:val="24"/>
          <w:highlight w:val="none"/>
        </w:rPr>
        <w:t>的</w:t>
      </w:r>
      <w:r>
        <w:rPr>
          <w:rFonts w:ascii="宋体" w:hAnsi="宋体" w:cs="宋体"/>
          <w:bCs/>
          <w:color w:val="auto"/>
          <w:sz w:val="24"/>
          <w:highlight w:val="none"/>
        </w:rPr>
        <w:t>描述</w:t>
      </w:r>
      <w:r>
        <w:rPr>
          <w:rFonts w:hint="eastAsia" w:ascii="宋体" w:hAnsi="宋体" w:cs="宋体"/>
          <w:bCs/>
          <w:color w:val="auto"/>
          <w:sz w:val="24"/>
          <w:highlight w:val="none"/>
        </w:rPr>
        <w:t>）的</w:t>
      </w:r>
      <w:r>
        <w:rPr>
          <w:rFonts w:ascii="宋体" w:hAnsi="宋体" w:cs="宋体"/>
          <w:bCs/>
          <w:color w:val="auto"/>
          <w:sz w:val="24"/>
          <w:highlight w:val="none"/>
        </w:rPr>
        <w:t>“</w:t>
      </w:r>
      <w:r>
        <w:rPr>
          <w:rFonts w:hint="eastAsia" w:ascii="宋体" w:hAnsi="宋体" w:cs="宋体"/>
          <w:bCs/>
          <w:color w:val="auto"/>
          <w:sz w:val="24"/>
          <w:highlight w:val="none"/>
        </w:rPr>
        <w:t>多证合一</w:t>
      </w:r>
      <w:r>
        <w:rPr>
          <w:rFonts w:ascii="宋体" w:hAnsi="宋体" w:cs="宋体"/>
          <w:bCs/>
          <w:color w:val="auto"/>
          <w:sz w:val="24"/>
          <w:highlight w:val="none"/>
        </w:rPr>
        <w:t>”</w:t>
      </w:r>
      <w:r>
        <w:rPr>
          <w:rFonts w:hint="eastAsia" w:ascii="宋体" w:hAnsi="宋体" w:cs="宋体"/>
          <w:bCs/>
          <w:color w:val="auto"/>
          <w:sz w:val="24"/>
          <w:highlight w:val="none"/>
        </w:rPr>
        <w:t>营业执照</w:t>
      </w:r>
      <w:r>
        <w:rPr>
          <w:rFonts w:ascii="宋体" w:hAnsi="宋体" w:cs="宋体"/>
          <w:bCs/>
          <w:color w:val="auto"/>
          <w:sz w:val="24"/>
          <w:highlight w:val="none"/>
        </w:rPr>
        <w:t>。</w:t>
      </w:r>
    </w:p>
    <w:p>
      <w:pPr>
        <w:spacing w:after="0"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我单位对上述承诺的内容事项真实性负责。如经查实上述承诺内容存在虚假，我单位愿意接受以提供虚假材料谋取成交追究法律责任。</w:t>
      </w:r>
    </w:p>
    <w:p>
      <w:pPr>
        <w:spacing w:line="360" w:lineRule="auto"/>
        <w:rPr>
          <w:rFonts w:ascii="宋体" w:hAnsi="宋体" w:cs="宋体"/>
          <w:bCs/>
          <w:color w:val="auto"/>
          <w:sz w:val="24"/>
          <w:highlight w:val="none"/>
        </w:rPr>
      </w:pP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供应商名称：XXXX（单位公章）。</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法定代表人/单位</w:t>
      </w:r>
      <w:r>
        <w:rPr>
          <w:rFonts w:ascii="宋体" w:hAnsi="宋体" w:cs="宋体"/>
          <w:bCs/>
          <w:color w:val="auto"/>
          <w:sz w:val="24"/>
          <w:highlight w:val="none"/>
        </w:rPr>
        <w:t>负责人</w:t>
      </w:r>
      <w:r>
        <w:rPr>
          <w:rFonts w:hint="eastAsia" w:ascii="宋体" w:hAnsi="宋体" w:cs="宋体"/>
          <w:bCs/>
          <w:color w:val="auto"/>
          <w:sz w:val="24"/>
          <w:highlight w:val="none"/>
        </w:rPr>
        <w:t>或授权代表（签字或加盖个人印章）：XXXX。</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日    期：XXXX。</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注：1.</w:t>
      </w:r>
      <w:r>
        <w:rPr>
          <w:rFonts w:ascii="宋体" w:hAnsi="宋体" w:cs="宋体"/>
          <w:bCs/>
          <w:color w:val="auto"/>
          <w:sz w:val="24"/>
          <w:highlight w:val="none"/>
        </w:rPr>
        <w:t>根据国务院办公厅关于加快推进“多证合一”改革的指导意见（国办发【2017】41号）等政策要求，</w:t>
      </w:r>
      <w:r>
        <w:rPr>
          <w:rFonts w:ascii="宋体" w:hAnsi="宋体" w:cs="宋体"/>
          <w:b/>
          <w:bCs/>
          <w:color w:val="auto"/>
          <w:sz w:val="24"/>
          <w:highlight w:val="none"/>
        </w:rPr>
        <w:t>若资格要求涉及的登记、备案等有关事项和各类证照已实行多证合一导致供应商无法提供该类证明材料的</w:t>
      </w:r>
      <w:r>
        <w:rPr>
          <w:rFonts w:ascii="宋体" w:hAnsi="宋体" w:cs="宋体"/>
          <w:bCs/>
          <w:color w:val="auto"/>
          <w:sz w:val="24"/>
          <w:highlight w:val="none"/>
        </w:rPr>
        <w:t>，供应商须提供</w:t>
      </w:r>
      <w:r>
        <w:rPr>
          <w:rFonts w:hint="eastAsia" w:ascii="宋体" w:hAnsi="宋体" w:cs="宋体"/>
          <w:bCs/>
          <w:color w:val="auto"/>
          <w:sz w:val="24"/>
          <w:highlight w:val="none"/>
        </w:rPr>
        <w:t>该</w:t>
      </w:r>
      <w:r>
        <w:rPr>
          <w:rFonts w:ascii="宋体" w:hAnsi="宋体" w:cs="宋体"/>
          <w:bCs/>
          <w:color w:val="auto"/>
          <w:sz w:val="24"/>
          <w:highlight w:val="none"/>
        </w:rPr>
        <w:t>承诺。</w:t>
      </w:r>
    </w:p>
    <w:p>
      <w:pPr>
        <w:spacing w:line="360" w:lineRule="auto"/>
        <w:ind w:firstLine="360" w:firstLineChars="150"/>
        <w:rPr>
          <w:rFonts w:ascii="宋体" w:hAnsi="宋体" w:cs="宋体"/>
          <w:bCs/>
          <w:color w:val="auto"/>
          <w:sz w:val="24"/>
          <w:highlight w:val="none"/>
        </w:rPr>
      </w:pPr>
      <w:r>
        <w:rPr>
          <w:rFonts w:hint="eastAsia" w:ascii="宋体" w:hAnsi="宋体" w:cs="宋体"/>
          <w:bCs/>
          <w:color w:val="auto"/>
          <w:sz w:val="24"/>
          <w:highlight w:val="none"/>
        </w:rPr>
        <w:t>2.若已提供</w:t>
      </w:r>
      <w:r>
        <w:rPr>
          <w:rFonts w:ascii="宋体" w:hAnsi="宋体" w:cs="宋体"/>
          <w:bCs/>
          <w:color w:val="auto"/>
          <w:sz w:val="24"/>
          <w:highlight w:val="none"/>
        </w:rPr>
        <w:t>资格要求涉及的登记、备案等有关事项和各类证照</w:t>
      </w:r>
      <w:r>
        <w:rPr>
          <w:rFonts w:hint="eastAsia" w:ascii="宋体" w:hAnsi="宋体" w:cs="宋体"/>
          <w:bCs/>
          <w:color w:val="auto"/>
          <w:sz w:val="24"/>
          <w:highlight w:val="none"/>
        </w:rPr>
        <w:t>的证明材料，无需提供该承诺。</w:t>
      </w:r>
    </w:p>
    <w:p>
      <w:pPr>
        <w:spacing w:line="360" w:lineRule="auto"/>
        <w:ind w:firstLine="360" w:firstLineChars="150"/>
        <w:rPr>
          <w:rFonts w:hint="eastAsia" w:ascii="宋体" w:hAnsi="宋体" w:cs="宋体"/>
          <w:bCs/>
          <w:color w:val="auto"/>
          <w:sz w:val="24"/>
          <w:highlight w:val="none"/>
        </w:rPr>
      </w:pPr>
      <w:r>
        <w:rPr>
          <w:rFonts w:hint="eastAsia" w:ascii="宋体" w:hAnsi="宋体" w:cs="宋体"/>
          <w:bCs/>
          <w:color w:val="auto"/>
          <w:sz w:val="24"/>
          <w:highlight w:val="none"/>
        </w:rPr>
        <w:t>3.若本项目资格要求不涉及，无需提供该承诺。</w:t>
      </w:r>
    </w:p>
    <w:p>
      <w:pPr>
        <w:spacing w:line="360" w:lineRule="auto"/>
        <w:rPr>
          <w:rFonts w:hint="eastAsia" w:ascii="宋体" w:hAnsi="宋体"/>
          <w:b/>
          <w:color w:val="auto"/>
          <w:sz w:val="32"/>
          <w:szCs w:val="32"/>
          <w:highlight w:val="none"/>
        </w:rPr>
      </w:pPr>
    </w:p>
    <w:p>
      <w:pPr>
        <w:spacing w:line="360" w:lineRule="auto"/>
        <w:rPr>
          <w:rFonts w:hint="eastAsia" w:ascii="宋体" w:hAnsi="宋体"/>
          <w:b/>
          <w:color w:val="auto"/>
          <w:sz w:val="32"/>
          <w:szCs w:val="32"/>
          <w:highlight w:val="none"/>
        </w:rPr>
      </w:pPr>
    </w:p>
    <w:p>
      <w:pPr>
        <w:spacing w:line="360" w:lineRule="auto"/>
        <w:rPr>
          <w:rFonts w:hint="eastAsia" w:ascii="宋体" w:hAnsi="宋体"/>
          <w:b/>
          <w:color w:val="auto"/>
          <w:sz w:val="32"/>
          <w:szCs w:val="32"/>
          <w:highlight w:val="none"/>
        </w:rPr>
      </w:pPr>
    </w:p>
    <w:p>
      <w:pPr>
        <w:spacing w:line="360" w:lineRule="auto"/>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格式1-</w:t>
      </w:r>
      <w:r>
        <w:rPr>
          <w:rFonts w:hint="eastAsia" w:ascii="宋体" w:hAnsi="宋体"/>
          <w:b/>
          <w:color w:val="auto"/>
          <w:sz w:val="32"/>
          <w:szCs w:val="32"/>
          <w:highlight w:val="none"/>
          <w:lang w:val="en-US" w:eastAsia="zh-CN"/>
        </w:rPr>
        <w:t>8</w:t>
      </w:r>
    </w:p>
    <w:p>
      <w:pPr>
        <w:spacing w:line="360" w:lineRule="auto"/>
        <w:ind w:firstLine="790" w:firstLineChars="246"/>
        <w:jc w:val="center"/>
        <w:rPr>
          <w:rFonts w:ascii="宋体" w:hAnsi="宋体"/>
          <w:b/>
          <w:color w:val="auto"/>
          <w:sz w:val="32"/>
          <w:szCs w:val="32"/>
          <w:highlight w:val="none"/>
        </w:rPr>
      </w:pPr>
      <w:r>
        <w:rPr>
          <w:rFonts w:hint="eastAsia" w:ascii="宋体" w:hAnsi="宋体"/>
          <w:b/>
          <w:color w:val="auto"/>
          <w:sz w:val="32"/>
          <w:szCs w:val="32"/>
          <w:highlight w:val="none"/>
        </w:rPr>
        <w:t>供应商和报价产品其他资格、资质性及其他类似效力要求的相关证明材料</w:t>
      </w:r>
    </w:p>
    <w:p>
      <w:pPr>
        <w:spacing w:line="360" w:lineRule="auto"/>
        <w:rPr>
          <w:rFonts w:ascii="宋体" w:hAnsi="宋体" w:cs="宋体"/>
          <w:bCs/>
          <w:color w:val="auto"/>
          <w:sz w:val="24"/>
          <w:highlight w:val="none"/>
        </w:rPr>
      </w:pPr>
      <w:r>
        <w:rPr>
          <w:rFonts w:hint="eastAsia" w:ascii="宋体" w:hAnsi="宋体" w:cs="宋体"/>
          <w:bCs/>
          <w:color w:val="auto"/>
          <w:sz w:val="24"/>
          <w:highlight w:val="none"/>
        </w:rPr>
        <w:t>注：供应商应按磋商文件第五章相关要求提供佐证材料，有格式要求的从其要求，无格式要求的格式自拟。</w:t>
      </w:r>
    </w:p>
    <w:p>
      <w:pPr>
        <w:widowControl/>
        <w:spacing w:after="0" w:line="240" w:lineRule="auto"/>
        <w:jc w:val="left"/>
        <w:rPr>
          <w:rFonts w:hint="eastAsia" w:ascii="宋体" w:hAnsi="宋体" w:cs="宋体"/>
          <w:bCs/>
          <w:color w:val="auto"/>
          <w:sz w:val="24"/>
          <w:highlight w:val="none"/>
        </w:rPr>
      </w:pPr>
      <w:r>
        <w:rPr>
          <w:rFonts w:ascii="宋体" w:hAnsi="宋体" w:cs="宋体"/>
          <w:bCs/>
          <w:color w:val="auto"/>
          <w:sz w:val="24"/>
          <w:highlight w:val="none"/>
        </w:rPr>
        <w:br w:type="page"/>
      </w:r>
    </w:p>
    <w:p>
      <w:pPr>
        <w:widowControl/>
        <w:spacing w:after="0" w:line="240" w:lineRule="auto"/>
        <w:jc w:val="left"/>
        <w:rPr>
          <w:rFonts w:ascii="宋体" w:hAnsi="宋体" w:cs="宋体"/>
          <w:bCs/>
          <w:color w:val="auto"/>
          <w:sz w:val="24"/>
          <w:highlight w:val="none"/>
        </w:rPr>
      </w:pPr>
      <w:r>
        <w:rPr>
          <w:rFonts w:ascii="宋体" w:hAnsi="宋体"/>
          <w:b/>
          <w:color w:val="auto"/>
          <w:sz w:val="32"/>
          <w:highlight w:val="none"/>
        </w:rPr>
        <w:t>第</w:t>
      </w:r>
      <w:r>
        <w:rPr>
          <w:rFonts w:hint="eastAsia" w:ascii="宋体" w:hAnsi="宋体"/>
          <w:b/>
          <w:color w:val="auto"/>
          <w:sz w:val="32"/>
          <w:highlight w:val="none"/>
        </w:rPr>
        <w:t>二</w:t>
      </w:r>
      <w:r>
        <w:rPr>
          <w:rFonts w:ascii="宋体" w:hAnsi="宋体"/>
          <w:b/>
          <w:color w:val="auto"/>
          <w:sz w:val="32"/>
          <w:highlight w:val="none"/>
        </w:rPr>
        <w:t xml:space="preserve">部分     </w:t>
      </w:r>
      <w:r>
        <w:rPr>
          <w:rFonts w:hint="eastAsia" w:ascii="宋体" w:hAnsi="宋体"/>
          <w:b/>
          <w:color w:val="auto"/>
          <w:sz w:val="32"/>
          <w:highlight w:val="none"/>
        </w:rPr>
        <w:t>“其他响应</w:t>
      </w:r>
      <w:r>
        <w:rPr>
          <w:rFonts w:ascii="宋体" w:hAnsi="宋体"/>
          <w:b/>
          <w:color w:val="auto"/>
          <w:sz w:val="32"/>
          <w:highlight w:val="none"/>
        </w:rPr>
        <w:t>文件</w:t>
      </w:r>
      <w:r>
        <w:rPr>
          <w:rFonts w:hint="eastAsia" w:ascii="宋体" w:hAnsi="宋体"/>
          <w:b/>
          <w:color w:val="auto"/>
          <w:sz w:val="32"/>
          <w:highlight w:val="none"/>
        </w:rPr>
        <w:t>”</w:t>
      </w:r>
      <w:r>
        <w:rPr>
          <w:rFonts w:ascii="宋体" w:hAnsi="宋体"/>
          <w:b/>
          <w:color w:val="auto"/>
          <w:sz w:val="32"/>
          <w:highlight w:val="none"/>
        </w:rPr>
        <w:t>格式</w:t>
      </w:r>
    </w:p>
    <w:p>
      <w:pPr>
        <w:spacing w:line="360" w:lineRule="auto"/>
        <w:rPr>
          <w:rFonts w:ascii="宋体" w:hAnsi="宋体"/>
          <w:b/>
          <w:color w:val="auto"/>
          <w:sz w:val="32"/>
          <w:szCs w:val="32"/>
          <w:highlight w:val="none"/>
        </w:rPr>
      </w:pPr>
      <w:r>
        <w:rPr>
          <w:rFonts w:hint="eastAsia" w:ascii="宋体" w:hAnsi="宋体"/>
          <w:b/>
          <w:color w:val="auto"/>
          <w:sz w:val="32"/>
          <w:szCs w:val="32"/>
          <w:highlight w:val="none"/>
        </w:rPr>
        <w:t>格式2-1</w:t>
      </w:r>
    </w:p>
    <w:p>
      <w:pPr>
        <w:spacing w:line="360" w:lineRule="auto"/>
        <w:rPr>
          <w:rFonts w:ascii="宋体" w:hAnsi="宋体"/>
          <w:b/>
          <w:color w:val="auto"/>
          <w:sz w:val="32"/>
          <w:szCs w:val="32"/>
          <w:highlight w:val="none"/>
        </w:rPr>
      </w:pPr>
      <w:r>
        <w:rPr>
          <w:rFonts w:hint="eastAsia" w:ascii="宋体" w:hAnsi="宋体"/>
          <w:b/>
          <w:color w:val="auto"/>
          <w:sz w:val="32"/>
          <w:szCs w:val="32"/>
          <w:highlight w:val="none"/>
        </w:rPr>
        <w:t>封面：</w:t>
      </w:r>
    </w:p>
    <w:p>
      <w:pPr>
        <w:spacing w:line="360" w:lineRule="auto"/>
        <w:jc w:val="right"/>
        <w:rPr>
          <w:rFonts w:ascii="宋体" w:hAnsi="宋体"/>
          <w:b/>
          <w:color w:val="auto"/>
          <w:sz w:val="36"/>
          <w:highlight w:val="none"/>
        </w:rPr>
      </w:pPr>
      <w:r>
        <w:rPr>
          <w:rFonts w:ascii="宋体" w:hAnsi="宋体"/>
          <w:b/>
          <w:color w:val="auto"/>
          <w:sz w:val="36"/>
          <w:highlight w:val="none"/>
        </w:rPr>
        <w:t>（正本/副本）</w:t>
      </w:r>
    </w:p>
    <w:p>
      <w:pPr>
        <w:spacing w:line="360" w:lineRule="auto"/>
        <w:rPr>
          <w:rFonts w:ascii="宋体" w:hAnsi="宋体"/>
          <w:b/>
          <w:color w:val="auto"/>
          <w:sz w:val="32"/>
          <w:szCs w:val="32"/>
          <w:highlight w:val="none"/>
        </w:rPr>
      </w:pPr>
    </w:p>
    <w:p>
      <w:pPr>
        <w:spacing w:line="360" w:lineRule="auto"/>
        <w:jc w:val="center"/>
        <w:rPr>
          <w:rFonts w:ascii="宋体" w:hAnsi="宋体"/>
          <w:b/>
          <w:color w:val="auto"/>
          <w:sz w:val="72"/>
          <w:highlight w:val="none"/>
        </w:rPr>
      </w:pPr>
      <w:r>
        <w:rPr>
          <w:rFonts w:ascii="宋体" w:hAnsi="宋体"/>
          <w:b/>
          <w:color w:val="auto"/>
          <w:sz w:val="40"/>
          <w:szCs w:val="48"/>
          <w:highlight w:val="none"/>
          <w:u w:val="single"/>
        </w:rPr>
        <w:t>xxxxx</w:t>
      </w:r>
      <w:r>
        <w:rPr>
          <w:rFonts w:hint="eastAsia" w:ascii="宋体" w:hAnsi="宋体"/>
          <w:b/>
          <w:color w:val="auto"/>
          <w:sz w:val="40"/>
          <w:szCs w:val="48"/>
          <w:highlight w:val="none"/>
        </w:rPr>
        <w:t>项目</w:t>
      </w:r>
    </w:p>
    <w:p>
      <w:pPr>
        <w:spacing w:line="360" w:lineRule="auto"/>
        <w:rPr>
          <w:rFonts w:ascii="宋体" w:hAnsi="宋体"/>
          <w:b/>
          <w:color w:val="auto"/>
          <w:sz w:val="52"/>
          <w:szCs w:val="52"/>
          <w:highlight w:val="none"/>
        </w:rPr>
      </w:pPr>
    </w:p>
    <w:p>
      <w:pPr>
        <w:spacing w:line="360" w:lineRule="auto"/>
        <w:jc w:val="center"/>
        <w:rPr>
          <w:rFonts w:ascii="宋体" w:hAnsi="宋体"/>
          <w:b/>
          <w:color w:val="auto"/>
          <w:sz w:val="32"/>
          <w:szCs w:val="32"/>
          <w:highlight w:val="none"/>
        </w:rPr>
      </w:pPr>
      <w:r>
        <w:rPr>
          <w:rFonts w:hint="eastAsia" w:ascii="宋体" w:hAnsi="宋体"/>
          <w:b/>
          <w:color w:val="auto"/>
          <w:sz w:val="52"/>
          <w:szCs w:val="52"/>
          <w:highlight w:val="none"/>
        </w:rPr>
        <w:t>其他响应文件</w:t>
      </w:r>
    </w:p>
    <w:p>
      <w:pPr>
        <w:spacing w:line="360" w:lineRule="auto"/>
        <w:rPr>
          <w:rFonts w:ascii="宋体" w:hAnsi="宋体"/>
          <w:b/>
          <w:color w:val="auto"/>
          <w:sz w:val="36"/>
          <w:highlight w:val="none"/>
        </w:rPr>
      </w:pPr>
    </w:p>
    <w:p>
      <w:pPr>
        <w:spacing w:line="360" w:lineRule="auto"/>
        <w:jc w:val="left"/>
        <w:rPr>
          <w:rFonts w:ascii="宋体" w:hAnsi="宋体"/>
          <w:b/>
          <w:color w:val="auto"/>
          <w:sz w:val="32"/>
          <w:highlight w:val="none"/>
          <w:u w:val="single"/>
        </w:rPr>
      </w:pPr>
      <w:r>
        <w:rPr>
          <w:rFonts w:hint="eastAsia" w:ascii="宋体" w:hAnsi="宋体"/>
          <w:b/>
          <w:color w:val="auto"/>
          <w:sz w:val="32"/>
          <w:highlight w:val="none"/>
        </w:rPr>
        <w:t>供应商</w:t>
      </w:r>
      <w:r>
        <w:rPr>
          <w:rFonts w:ascii="宋体" w:hAnsi="宋体"/>
          <w:b/>
          <w:color w:val="auto"/>
          <w:sz w:val="32"/>
          <w:highlight w:val="none"/>
        </w:rPr>
        <w:t>名称：</w:t>
      </w:r>
    </w:p>
    <w:p>
      <w:pPr>
        <w:spacing w:line="360" w:lineRule="auto"/>
        <w:jc w:val="left"/>
        <w:rPr>
          <w:rFonts w:ascii="宋体" w:hAnsi="宋体"/>
          <w:b/>
          <w:color w:val="auto"/>
          <w:sz w:val="32"/>
          <w:highlight w:val="none"/>
          <w:u w:val="single"/>
        </w:rPr>
      </w:pPr>
      <w:r>
        <w:rPr>
          <w:rFonts w:hint="eastAsia" w:ascii="宋体" w:hAnsi="宋体"/>
          <w:b/>
          <w:color w:val="auto"/>
          <w:sz w:val="32"/>
          <w:highlight w:val="none"/>
        </w:rPr>
        <w:t>采购项目</w:t>
      </w:r>
      <w:r>
        <w:rPr>
          <w:rFonts w:ascii="宋体" w:hAnsi="宋体"/>
          <w:b/>
          <w:color w:val="auto"/>
          <w:sz w:val="32"/>
          <w:highlight w:val="none"/>
        </w:rPr>
        <w:t>编号：</w:t>
      </w:r>
    </w:p>
    <w:p>
      <w:pPr>
        <w:spacing w:line="360" w:lineRule="auto"/>
        <w:jc w:val="left"/>
        <w:rPr>
          <w:rFonts w:ascii="宋体" w:hAnsi="宋体"/>
          <w:b/>
          <w:color w:val="auto"/>
          <w:sz w:val="32"/>
          <w:highlight w:val="none"/>
          <w:u w:val="single"/>
        </w:rPr>
      </w:pPr>
      <w:r>
        <w:rPr>
          <w:rFonts w:hint="eastAsia" w:ascii="宋体" w:hAnsi="宋体"/>
          <w:b/>
          <w:color w:val="auto"/>
          <w:sz w:val="32"/>
          <w:highlight w:val="none"/>
        </w:rPr>
        <w:t>包        号</w:t>
      </w:r>
      <w:r>
        <w:rPr>
          <w:rFonts w:ascii="宋体" w:hAnsi="宋体"/>
          <w:b/>
          <w:color w:val="auto"/>
          <w:sz w:val="32"/>
          <w:highlight w:val="none"/>
        </w:rPr>
        <w:t>：</w:t>
      </w:r>
    </w:p>
    <w:p>
      <w:pPr>
        <w:spacing w:line="360" w:lineRule="auto"/>
        <w:ind w:firstLine="790" w:firstLineChars="246"/>
        <w:jc w:val="center"/>
        <w:rPr>
          <w:rFonts w:ascii="宋体" w:hAnsi="宋体"/>
          <w:b/>
          <w:color w:val="auto"/>
          <w:sz w:val="32"/>
          <w:highlight w:val="none"/>
        </w:rPr>
      </w:pPr>
    </w:p>
    <w:p>
      <w:pPr>
        <w:spacing w:line="360" w:lineRule="auto"/>
        <w:ind w:firstLine="790" w:firstLineChars="246"/>
        <w:jc w:val="left"/>
        <w:rPr>
          <w:rFonts w:ascii="宋体" w:hAnsi="宋体"/>
          <w:b/>
          <w:color w:val="auto"/>
          <w:sz w:val="32"/>
          <w:szCs w:val="32"/>
          <w:highlight w:val="none"/>
        </w:rPr>
      </w:pPr>
      <w:r>
        <w:rPr>
          <w:rFonts w:hint="eastAsia" w:ascii="宋体" w:hAnsi="宋体"/>
          <w:b/>
          <w:color w:val="auto"/>
          <w:sz w:val="32"/>
          <w:highlight w:val="none"/>
        </w:rPr>
        <w:t xml:space="preserve">        时间</w:t>
      </w:r>
      <w:r>
        <w:rPr>
          <w:rFonts w:ascii="宋体" w:hAnsi="宋体"/>
          <w:b/>
          <w:color w:val="auto"/>
          <w:sz w:val="32"/>
          <w:highlight w:val="none"/>
        </w:rPr>
        <w:t>：</w:t>
      </w:r>
      <w:r>
        <w:rPr>
          <w:rFonts w:hint="eastAsia" w:ascii="宋体" w:hAnsi="宋体"/>
          <w:b/>
          <w:color w:val="auto"/>
          <w:sz w:val="32"/>
          <w:highlight w:val="none"/>
        </w:rPr>
        <w:t xml:space="preserve"> 年  </w:t>
      </w:r>
      <w:r>
        <w:rPr>
          <w:rFonts w:ascii="宋体" w:hAnsi="宋体"/>
          <w:b/>
          <w:color w:val="auto"/>
          <w:sz w:val="32"/>
          <w:highlight w:val="none"/>
        </w:rPr>
        <w:t>月</w:t>
      </w:r>
      <w:r>
        <w:rPr>
          <w:rFonts w:hint="eastAsia" w:ascii="宋体" w:hAnsi="宋体"/>
          <w:b/>
          <w:color w:val="auto"/>
          <w:sz w:val="32"/>
          <w:highlight w:val="none"/>
        </w:rPr>
        <w:t xml:space="preserve">  </w:t>
      </w:r>
      <w:r>
        <w:rPr>
          <w:rFonts w:ascii="宋体" w:hAnsi="宋体"/>
          <w:b/>
          <w:color w:val="auto"/>
          <w:sz w:val="32"/>
          <w:highlight w:val="none"/>
        </w:rPr>
        <w:t>日</w:t>
      </w:r>
      <w:r>
        <w:rPr>
          <w:rFonts w:ascii="宋体" w:hAnsi="宋体"/>
          <w:b/>
          <w:color w:val="auto"/>
          <w:sz w:val="32"/>
          <w:highlight w:val="none"/>
        </w:rPr>
        <w:br w:type="page"/>
      </w:r>
      <w:r>
        <w:rPr>
          <w:rFonts w:hint="eastAsia" w:ascii="宋体" w:hAnsi="宋体"/>
          <w:b/>
          <w:color w:val="auto"/>
          <w:sz w:val="32"/>
          <w:szCs w:val="32"/>
          <w:highlight w:val="none"/>
        </w:rPr>
        <w:t>格式2-2</w:t>
      </w:r>
    </w:p>
    <w:p>
      <w:pPr>
        <w:widowControl/>
        <w:spacing w:line="360" w:lineRule="atLeast"/>
        <w:jc w:val="center"/>
        <w:outlineLvl w:val="1"/>
        <w:rPr>
          <w:rFonts w:ascii="宋体" w:hAnsi="宋体"/>
          <w:b/>
          <w:color w:val="auto"/>
          <w:sz w:val="32"/>
          <w:szCs w:val="32"/>
          <w:highlight w:val="none"/>
        </w:rPr>
      </w:pPr>
      <w:r>
        <w:rPr>
          <w:rFonts w:hint="eastAsia" w:ascii="宋体" w:hAnsi="宋体"/>
          <w:b/>
          <w:color w:val="auto"/>
          <w:sz w:val="32"/>
          <w:szCs w:val="32"/>
          <w:highlight w:val="none"/>
        </w:rPr>
        <w:t>响 应 函</w:t>
      </w:r>
      <w:bookmarkEnd w:id="20"/>
      <w:bookmarkEnd w:id="21"/>
    </w:p>
    <w:p>
      <w:pPr>
        <w:widowControl/>
        <w:spacing w:line="360" w:lineRule="atLeast"/>
        <w:jc w:val="left"/>
        <w:outlineLvl w:val="1"/>
        <w:rPr>
          <w:rFonts w:ascii="宋体" w:hAnsi="宋体"/>
          <w:color w:val="auto"/>
          <w:sz w:val="24"/>
          <w:highlight w:val="none"/>
        </w:rPr>
      </w:pPr>
      <w:r>
        <w:rPr>
          <w:rFonts w:hint="eastAsia" w:ascii="宋体" w:hAnsi="宋体"/>
          <w:color w:val="auto"/>
          <w:sz w:val="24"/>
          <w:highlight w:val="none"/>
        </w:rPr>
        <w:t>XXXX（采购代理机构名称）：</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我方全面研究了“</w:t>
      </w:r>
      <w:r>
        <w:rPr>
          <w:rFonts w:hint="eastAsia" w:ascii="宋体" w:hAnsi="宋体"/>
          <w:color w:val="auto"/>
          <w:sz w:val="24"/>
          <w:highlight w:val="none"/>
          <w:u w:val="single"/>
        </w:rPr>
        <w:t>XXXXXXXX</w:t>
      </w:r>
      <w:r>
        <w:rPr>
          <w:rFonts w:hint="eastAsia" w:ascii="宋体" w:hAnsi="宋体"/>
          <w:color w:val="auto"/>
          <w:sz w:val="24"/>
          <w:highlight w:val="none"/>
        </w:rPr>
        <w:t>”项目（项目编号：</w:t>
      </w:r>
      <w:r>
        <w:rPr>
          <w:rFonts w:hint="eastAsia" w:ascii="宋体" w:hAnsi="宋体"/>
          <w:color w:val="auto"/>
          <w:sz w:val="24"/>
          <w:highlight w:val="none"/>
          <w:u w:val="single"/>
        </w:rPr>
        <w:t>XXXX</w:t>
      </w:r>
      <w:r>
        <w:rPr>
          <w:rFonts w:hint="eastAsia" w:ascii="宋体" w:hAnsi="宋体"/>
          <w:color w:val="auto"/>
          <w:sz w:val="24"/>
          <w:highlight w:val="none"/>
        </w:rPr>
        <w:t>）磋商文件，决定参加贵单位组织的本项目磋商采购。我方授权</w:t>
      </w:r>
      <w:r>
        <w:rPr>
          <w:rFonts w:hint="eastAsia" w:ascii="宋体" w:hAnsi="宋体"/>
          <w:color w:val="auto"/>
          <w:sz w:val="24"/>
          <w:highlight w:val="none"/>
          <w:u w:val="single"/>
        </w:rPr>
        <w:t>XXXX</w:t>
      </w:r>
      <w:r>
        <w:rPr>
          <w:rFonts w:hint="eastAsia" w:ascii="宋体" w:hAnsi="宋体"/>
          <w:color w:val="auto"/>
          <w:sz w:val="24"/>
          <w:highlight w:val="none"/>
        </w:rPr>
        <w:t>（姓名、职务）代表我方</w:t>
      </w:r>
      <w:r>
        <w:rPr>
          <w:rFonts w:hint="eastAsia" w:ascii="宋体" w:hAnsi="宋体"/>
          <w:color w:val="auto"/>
          <w:sz w:val="24"/>
          <w:highlight w:val="none"/>
          <w:u w:val="single"/>
        </w:rPr>
        <w:t>XXXXXXXX</w:t>
      </w:r>
      <w:r>
        <w:rPr>
          <w:rFonts w:hint="eastAsia" w:ascii="宋体" w:hAnsi="宋体"/>
          <w:color w:val="auto"/>
          <w:sz w:val="24"/>
          <w:highlight w:val="none"/>
        </w:rPr>
        <w:t>（供应商的名称）全权处理本项目磋商的有关事宜。</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一、我方自愿按照磋商文件规定的各项要求向采购人提供所需服务，</w:t>
      </w:r>
      <w:r>
        <w:rPr>
          <w:rFonts w:hint="eastAsia" w:ascii="宋体" w:hAnsi="宋体"/>
          <w:color w:val="auto"/>
          <w:sz w:val="24"/>
          <w:highlight w:val="none"/>
          <w:lang w:eastAsia="zh-CN"/>
        </w:rPr>
        <w:t>服务时间</w:t>
      </w:r>
      <w:r>
        <w:rPr>
          <w:rFonts w:hint="eastAsia" w:ascii="宋体" w:hAnsi="宋体"/>
          <w:color w:val="auto"/>
          <w:sz w:val="24"/>
          <w:highlight w:val="none"/>
        </w:rPr>
        <w:t>为</w:t>
      </w:r>
      <w:r>
        <w:rPr>
          <w:rFonts w:hint="eastAsia" w:ascii="宋体" w:hAnsi="宋体"/>
          <w:color w:val="auto"/>
          <w:sz w:val="24"/>
          <w:highlight w:val="none"/>
          <w:u w:val="single"/>
        </w:rPr>
        <w:t>XXXXXXXX。</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二、如我方成交，我方将严格履行政府采购合同规定的责任和义务。</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三、我方为本项目提交的响应文件正本壹份，副本XXXX份，电子文档X</w:t>
      </w:r>
      <w:r>
        <w:rPr>
          <w:rFonts w:ascii="宋体" w:hAnsi="宋体"/>
          <w:color w:val="auto"/>
          <w:sz w:val="24"/>
          <w:highlight w:val="none"/>
        </w:rPr>
        <w:t>X</w:t>
      </w:r>
      <w:r>
        <w:rPr>
          <w:rFonts w:hint="eastAsia" w:ascii="宋体" w:hAnsi="宋体"/>
          <w:color w:val="auto"/>
          <w:sz w:val="24"/>
          <w:highlight w:val="none"/>
        </w:rPr>
        <w:t>份，用于磋商响应。</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四、我方愿意提供贵单位可能另外要求的，与磋商响应有关的文件资料，并保证我方已提供和将要提供的文件资料是真实、准确的。</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 xml:space="preserve">五、本次磋商，我方递交的响应文件有效期为磋商文件规定起算之日起 </w:t>
      </w:r>
      <w:r>
        <w:rPr>
          <w:rFonts w:ascii="宋体" w:hAnsi="宋体"/>
          <w:color w:val="auto"/>
          <w:sz w:val="24"/>
          <w:highlight w:val="none"/>
        </w:rPr>
        <w:t>XX</w:t>
      </w:r>
      <w:r>
        <w:rPr>
          <w:rFonts w:hint="eastAsia" w:ascii="宋体" w:hAnsi="宋体"/>
          <w:color w:val="auto"/>
          <w:sz w:val="24"/>
          <w:highlight w:val="none"/>
        </w:rPr>
        <w:t>天。</w:t>
      </w:r>
    </w:p>
    <w:p>
      <w:pPr>
        <w:widowControl/>
        <w:spacing w:line="360" w:lineRule="atLeast"/>
        <w:ind w:firstLine="470" w:firstLineChars="196"/>
        <w:jc w:val="left"/>
        <w:outlineLvl w:val="1"/>
        <w:rPr>
          <w:rFonts w:ascii="宋体" w:hAnsi="宋体"/>
          <w:color w:val="auto"/>
          <w:sz w:val="24"/>
          <w:highlight w:val="none"/>
        </w:rPr>
      </w:pPr>
    </w:p>
    <w:p>
      <w:pPr>
        <w:widowControl/>
        <w:spacing w:after="0"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供应商名称：XXXX（单位公章）。</w:t>
      </w:r>
    </w:p>
    <w:p>
      <w:pPr>
        <w:widowControl/>
        <w:spacing w:after="0"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法定代表人/单位负责人或授权代表（签字或加盖个人名章）：XXXX。</w:t>
      </w:r>
    </w:p>
    <w:p>
      <w:pPr>
        <w:widowControl/>
        <w:spacing w:after="0"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通讯地址：XXXX。</w:t>
      </w:r>
    </w:p>
    <w:p>
      <w:pPr>
        <w:widowControl/>
        <w:spacing w:after="0"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邮政编码：XXXX。</w:t>
      </w:r>
    </w:p>
    <w:p>
      <w:pPr>
        <w:widowControl/>
        <w:spacing w:after="0"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联系电话：XXXX。</w:t>
      </w:r>
    </w:p>
    <w:p>
      <w:pPr>
        <w:widowControl/>
        <w:spacing w:after="0"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传    真：XXXX。</w:t>
      </w:r>
    </w:p>
    <w:p>
      <w:pPr>
        <w:widowControl/>
        <w:spacing w:after="0"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日    期：XXXX年XXXX月XXXX日。</w:t>
      </w:r>
    </w:p>
    <w:p>
      <w:pPr>
        <w:widowControl/>
        <w:spacing w:after="0" w:line="240" w:lineRule="auto"/>
        <w:jc w:val="left"/>
        <w:outlineLvl w:val="1"/>
        <w:rPr>
          <w:rFonts w:ascii="宋体" w:hAnsi="宋体"/>
          <w:b/>
          <w:color w:val="auto"/>
          <w:sz w:val="32"/>
          <w:szCs w:val="32"/>
          <w:highlight w:val="none"/>
        </w:rPr>
      </w:pPr>
      <w:bookmarkStart w:id="24" w:name="_Toc308164824"/>
      <w:r>
        <w:rPr>
          <w:rFonts w:hint="eastAsia" w:ascii="宋体" w:hAnsi="宋体"/>
          <w:b/>
          <w:color w:val="auto"/>
          <w:sz w:val="32"/>
          <w:szCs w:val="32"/>
          <w:highlight w:val="none"/>
        </w:rPr>
        <w:br w:type="page"/>
      </w:r>
    </w:p>
    <w:p>
      <w:pPr>
        <w:widowControl/>
        <w:spacing w:after="0" w:line="240" w:lineRule="auto"/>
        <w:jc w:val="left"/>
        <w:outlineLvl w:val="1"/>
        <w:rPr>
          <w:rFonts w:ascii="宋体" w:hAnsi="宋体"/>
          <w:b/>
          <w:color w:val="auto"/>
          <w:sz w:val="32"/>
          <w:szCs w:val="32"/>
          <w:highlight w:val="none"/>
        </w:rPr>
      </w:pPr>
      <w:r>
        <w:rPr>
          <w:rFonts w:hint="eastAsia" w:ascii="宋体" w:hAnsi="宋体"/>
          <w:b/>
          <w:color w:val="auto"/>
          <w:sz w:val="32"/>
          <w:szCs w:val="32"/>
          <w:highlight w:val="none"/>
        </w:rPr>
        <w:t>格式2-3</w:t>
      </w:r>
    </w:p>
    <w:p>
      <w:pPr>
        <w:widowControl/>
        <w:jc w:val="center"/>
        <w:outlineLvl w:val="1"/>
        <w:rPr>
          <w:rFonts w:ascii="仿宋" w:hAnsi="仿宋" w:eastAsia="仿宋"/>
          <w:b/>
          <w:color w:val="auto"/>
          <w:sz w:val="24"/>
          <w:highlight w:val="none"/>
        </w:rPr>
      </w:pPr>
      <w:r>
        <w:rPr>
          <w:rFonts w:hint="eastAsia" w:ascii="宋体" w:hAnsi="宋体" w:eastAsia="宋体" w:cs="宋体"/>
          <w:b/>
          <w:color w:val="auto"/>
          <w:sz w:val="32"/>
          <w:szCs w:val="32"/>
          <w:highlight w:val="none"/>
        </w:rPr>
        <w:t>承诺函（实质性要求）</w:t>
      </w:r>
    </w:p>
    <w:p>
      <w:pPr>
        <w:rPr>
          <w:rFonts w:ascii="宋体" w:hAnsi="宋体"/>
          <w:color w:val="auto"/>
          <w:sz w:val="24"/>
          <w:highlight w:val="none"/>
        </w:rPr>
      </w:pPr>
      <w:r>
        <w:rPr>
          <w:rFonts w:hint="eastAsia" w:ascii="宋体" w:hAnsi="宋体"/>
          <w:color w:val="auto"/>
          <w:sz w:val="24"/>
          <w:highlight w:val="none"/>
        </w:rPr>
        <w:t>XXX（采购代理机构名称）：</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我方作为本次采购项目的供应商，根据磋商文件要求，现郑重承诺如下：</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一、我方已认真阅读并接受本项目</w:t>
      </w:r>
      <w:r>
        <w:rPr>
          <w:rFonts w:ascii="宋体" w:hAnsi="宋体"/>
          <w:color w:val="auto"/>
          <w:sz w:val="24"/>
          <w:highlight w:val="none"/>
        </w:rPr>
        <w:t>磋商</w:t>
      </w:r>
      <w:r>
        <w:rPr>
          <w:rFonts w:hint="eastAsia" w:ascii="宋体" w:hAnsi="宋体"/>
          <w:color w:val="auto"/>
          <w:sz w:val="24"/>
          <w:highlight w:val="none"/>
        </w:rPr>
        <w:t>文件第二章的全部实质性要求</w:t>
      </w:r>
      <w:r>
        <w:rPr>
          <w:rFonts w:ascii="宋体" w:hAnsi="宋体"/>
          <w:color w:val="auto"/>
          <w:sz w:val="24"/>
          <w:highlight w:val="none"/>
        </w:rPr>
        <w:t>，如对磋商</w:t>
      </w:r>
      <w:r>
        <w:rPr>
          <w:rFonts w:hint="eastAsia" w:ascii="宋体" w:hAnsi="宋体"/>
          <w:color w:val="auto"/>
          <w:sz w:val="24"/>
          <w:highlight w:val="none"/>
        </w:rPr>
        <w:t>文件</w:t>
      </w:r>
      <w:r>
        <w:rPr>
          <w:rFonts w:ascii="宋体" w:hAnsi="宋体"/>
          <w:color w:val="auto"/>
          <w:sz w:val="24"/>
          <w:highlight w:val="none"/>
        </w:rPr>
        <w:t>有异议，</w:t>
      </w:r>
      <w:r>
        <w:rPr>
          <w:rFonts w:hint="eastAsia" w:ascii="宋体" w:hAnsi="宋体"/>
          <w:color w:val="auto"/>
          <w:sz w:val="24"/>
          <w:highlight w:val="none"/>
        </w:rPr>
        <w:t>已</w:t>
      </w:r>
      <w:r>
        <w:rPr>
          <w:rFonts w:ascii="宋体" w:hAnsi="宋体"/>
          <w:color w:val="auto"/>
          <w:sz w:val="24"/>
          <w:highlight w:val="none"/>
        </w:rPr>
        <w:t>依法进行维权救济，不存在对磋商</w:t>
      </w:r>
      <w:r>
        <w:rPr>
          <w:rFonts w:hint="eastAsia" w:ascii="宋体" w:hAnsi="宋体"/>
          <w:color w:val="auto"/>
          <w:sz w:val="24"/>
          <w:highlight w:val="none"/>
        </w:rPr>
        <w:t>文件</w:t>
      </w:r>
      <w:r>
        <w:rPr>
          <w:rFonts w:ascii="宋体" w:hAnsi="宋体"/>
          <w:color w:val="auto"/>
          <w:sz w:val="24"/>
          <w:highlight w:val="none"/>
        </w:rPr>
        <w:t>有异议的同时又参加</w:t>
      </w:r>
      <w:r>
        <w:rPr>
          <w:rFonts w:hint="eastAsia" w:ascii="宋体" w:hAnsi="宋体"/>
          <w:color w:val="auto"/>
          <w:sz w:val="24"/>
          <w:highlight w:val="none"/>
        </w:rPr>
        <w:t>磋商</w:t>
      </w:r>
      <w:r>
        <w:rPr>
          <w:rFonts w:ascii="宋体" w:hAnsi="宋体"/>
          <w:color w:val="auto"/>
          <w:sz w:val="24"/>
          <w:highlight w:val="none"/>
        </w:rPr>
        <w:t>以求侥幸</w:t>
      </w:r>
      <w:r>
        <w:rPr>
          <w:rFonts w:hint="eastAsia" w:ascii="宋体" w:hAnsi="宋体"/>
          <w:color w:val="auto"/>
          <w:sz w:val="24"/>
          <w:highlight w:val="none"/>
        </w:rPr>
        <w:t>成交</w:t>
      </w:r>
      <w:r>
        <w:rPr>
          <w:rFonts w:ascii="宋体" w:hAnsi="宋体"/>
          <w:color w:val="auto"/>
          <w:sz w:val="24"/>
          <w:highlight w:val="none"/>
        </w:rPr>
        <w:t>或者为实现其他非法目的的行为。</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二、在参加本次采购活动中，不存在与单位负责人为同一人或者存在直接控股、管理关系的其他供应商参与同一合同项下的政府采购活动的行为。</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三</w:t>
      </w:r>
      <w:r>
        <w:rPr>
          <w:rFonts w:ascii="宋体" w:hAnsi="宋体"/>
          <w:color w:val="auto"/>
          <w:sz w:val="24"/>
          <w:highlight w:val="none"/>
        </w:rPr>
        <w:t>、</w:t>
      </w:r>
      <w:r>
        <w:rPr>
          <w:rFonts w:hint="eastAsia" w:ascii="宋体" w:hAnsi="宋体"/>
          <w:color w:val="auto"/>
          <w:sz w:val="24"/>
          <w:highlight w:val="none"/>
        </w:rPr>
        <w:t>为采购项目提供整体设计、规范编制或者项目管理、监理、检测等服务的供应商，不得再参加该采购项目的其他采购活动，我方</w:t>
      </w:r>
      <w:r>
        <w:rPr>
          <w:rFonts w:ascii="宋体" w:hAnsi="宋体"/>
          <w:color w:val="auto"/>
          <w:sz w:val="24"/>
          <w:highlight w:val="none"/>
        </w:rPr>
        <w:t>承诺</w:t>
      </w:r>
      <w:r>
        <w:rPr>
          <w:rFonts w:hint="eastAsia" w:ascii="宋体" w:hAnsi="宋体"/>
          <w:color w:val="auto"/>
          <w:sz w:val="24"/>
          <w:highlight w:val="none"/>
        </w:rPr>
        <w:t>不属于此类禁止参加本项目的供应商</w:t>
      </w:r>
      <w:r>
        <w:rPr>
          <w:rFonts w:ascii="宋体" w:hAnsi="宋体"/>
          <w:color w:val="auto"/>
          <w:sz w:val="24"/>
          <w:highlight w:val="none"/>
        </w:rPr>
        <w:t>。</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四、在参加本次采购活动中，不存在和其他供应商在同一合同项下的采购项目中，同时委托同一个自然人、同一家庭的人员、同一单位的人员作为代理人的行为。</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五、我方实际控制人或者中高级管理人员，不存在同时是采购代理机构工作人员的情形。</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六、不存在同一母公司的两家以上的子公司，以不同供应商身份同时参加本项目同一合同项下的采购活动的</w:t>
      </w:r>
      <w:r>
        <w:rPr>
          <w:rFonts w:ascii="宋体" w:hAnsi="宋体"/>
          <w:color w:val="auto"/>
          <w:sz w:val="24"/>
          <w:highlight w:val="none"/>
        </w:rPr>
        <w:t>情形</w:t>
      </w:r>
      <w:r>
        <w:rPr>
          <w:rFonts w:hint="eastAsia" w:ascii="宋体" w:hAnsi="宋体"/>
          <w:color w:val="auto"/>
          <w:sz w:val="24"/>
          <w:highlight w:val="none"/>
        </w:rPr>
        <w:t>。</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七、我方与采购代理机构不存在关联关系，也不是采购代理机构的母公司或子公司。</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八、响应文件中提供的任何资料和技术、服务、商务等响应承诺情况都是真实的、有效的、合法的。</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十、国家或行业主管部门对采购产品的技术标准、质量标准和资格资质条件等有强制性规定的，我方</w:t>
      </w:r>
      <w:r>
        <w:rPr>
          <w:rFonts w:ascii="宋体" w:hAnsi="宋体"/>
          <w:color w:val="auto"/>
          <w:sz w:val="24"/>
          <w:highlight w:val="none"/>
        </w:rPr>
        <w:t>承诺符合其要求。</w:t>
      </w:r>
    </w:p>
    <w:p>
      <w:pPr>
        <w:widowControl/>
        <w:spacing w:after="0" w:line="360" w:lineRule="auto"/>
        <w:ind w:firstLine="470" w:firstLineChars="196"/>
        <w:jc w:val="left"/>
        <w:outlineLvl w:val="1"/>
        <w:rPr>
          <w:rFonts w:ascii="宋体" w:hAnsi="宋体"/>
          <w:color w:val="auto"/>
          <w:sz w:val="24"/>
          <w:highlight w:val="none"/>
        </w:rPr>
      </w:pPr>
      <w:r>
        <w:rPr>
          <w:rFonts w:hint="eastAsia" w:ascii="宋体" w:hAnsi="宋体"/>
          <w:color w:val="auto"/>
          <w:sz w:val="24"/>
          <w:highlight w:val="none"/>
        </w:rPr>
        <w:t>十一、参加本次采购活动，我方完全同意磋商</w:t>
      </w:r>
      <w:r>
        <w:rPr>
          <w:rFonts w:ascii="宋体" w:hAnsi="宋体"/>
          <w:color w:val="auto"/>
          <w:sz w:val="24"/>
          <w:highlight w:val="none"/>
        </w:rPr>
        <w:t>文件第二章关于</w:t>
      </w:r>
      <w:r>
        <w:rPr>
          <w:rFonts w:hint="eastAsia" w:ascii="宋体" w:hAnsi="宋体"/>
          <w:color w:val="auto"/>
          <w:sz w:val="24"/>
          <w:highlight w:val="none"/>
        </w:rPr>
        <w:t>“磋商费用”、“合同</w:t>
      </w:r>
      <w:r>
        <w:rPr>
          <w:rFonts w:ascii="宋体" w:hAnsi="宋体"/>
          <w:color w:val="auto"/>
          <w:sz w:val="24"/>
          <w:highlight w:val="none"/>
        </w:rPr>
        <w:t>分包</w:t>
      </w:r>
      <w:r>
        <w:rPr>
          <w:rFonts w:hint="eastAsia" w:ascii="宋体" w:hAnsi="宋体"/>
          <w:color w:val="auto"/>
          <w:sz w:val="24"/>
          <w:highlight w:val="none"/>
        </w:rPr>
        <w:t>”、</w:t>
      </w:r>
      <w:r>
        <w:rPr>
          <w:rFonts w:ascii="宋体" w:hAnsi="宋体"/>
          <w:color w:val="auto"/>
          <w:sz w:val="24"/>
          <w:highlight w:val="none"/>
        </w:rPr>
        <w:t>“</w:t>
      </w:r>
      <w:r>
        <w:rPr>
          <w:rFonts w:hint="eastAsia" w:ascii="宋体" w:hAnsi="宋体"/>
          <w:color w:val="auto"/>
          <w:sz w:val="24"/>
          <w:highlight w:val="none"/>
        </w:rPr>
        <w:t>合同</w:t>
      </w:r>
      <w:r>
        <w:rPr>
          <w:rFonts w:ascii="宋体" w:hAnsi="宋体"/>
          <w:color w:val="auto"/>
          <w:sz w:val="24"/>
          <w:highlight w:val="none"/>
        </w:rPr>
        <w:t>转包”</w:t>
      </w:r>
      <w:r>
        <w:rPr>
          <w:rFonts w:hint="eastAsia" w:ascii="宋体" w:hAnsi="宋体"/>
          <w:color w:val="auto"/>
          <w:sz w:val="24"/>
          <w:highlight w:val="none"/>
        </w:rPr>
        <w:t>的</w:t>
      </w:r>
      <w:r>
        <w:rPr>
          <w:rFonts w:ascii="宋体" w:hAnsi="宋体"/>
          <w:color w:val="auto"/>
          <w:sz w:val="24"/>
          <w:highlight w:val="none"/>
        </w:rPr>
        <w:t>实质性要求</w:t>
      </w:r>
      <w:r>
        <w:rPr>
          <w:rFonts w:hint="eastAsia" w:ascii="宋体" w:hAnsi="宋体"/>
          <w:color w:val="auto"/>
          <w:sz w:val="24"/>
          <w:highlight w:val="none"/>
        </w:rPr>
        <w:t>，</w:t>
      </w:r>
      <w:r>
        <w:rPr>
          <w:rFonts w:ascii="宋体" w:hAnsi="宋体"/>
          <w:color w:val="auto"/>
          <w:sz w:val="24"/>
          <w:highlight w:val="none"/>
        </w:rPr>
        <w:t>并承诺严格按照</w:t>
      </w:r>
      <w:r>
        <w:rPr>
          <w:rFonts w:hint="eastAsia" w:ascii="宋体" w:hAnsi="宋体"/>
          <w:color w:val="auto"/>
          <w:sz w:val="24"/>
          <w:highlight w:val="none"/>
        </w:rPr>
        <w:t>磋商</w:t>
      </w:r>
      <w:r>
        <w:rPr>
          <w:rFonts w:ascii="宋体" w:hAnsi="宋体"/>
          <w:color w:val="auto"/>
          <w:sz w:val="24"/>
          <w:highlight w:val="none"/>
        </w:rPr>
        <w:t>文件要求</w:t>
      </w:r>
      <w:r>
        <w:rPr>
          <w:rFonts w:hint="eastAsia" w:ascii="宋体" w:hAnsi="宋体"/>
          <w:color w:val="auto"/>
          <w:sz w:val="24"/>
          <w:highlight w:val="none"/>
        </w:rPr>
        <w:t>履行</w:t>
      </w:r>
      <w:r>
        <w:rPr>
          <w:rFonts w:ascii="宋体" w:hAnsi="宋体"/>
          <w:color w:val="auto"/>
          <w:sz w:val="24"/>
          <w:highlight w:val="none"/>
        </w:rPr>
        <w:t>。</w:t>
      </w:r>
    </w:p>
    <w:p>
      <w:pPr>
        <w:widowControl/>
        <w:spacing w:after="0" w:line="360" w:lineRule="auto"/>
        <w:ind w:firstLine="470" w:firstLineChars="196"/>
        <w:jc w:val="left"/>
        <w:outlineLvl w:val="1"/>
        <w:rPr>
          <w:rFonts w:hint="eastAsia" w:ascii="宋体" w:hAnsi="宋体"/>
          <w:color w:val="auto"/>
          <w:sz w:val="24"/>
          <w:highlight w:val="none"/>
        </w:rPr>
      </w:pPr>
      <w:r>
        <w:rPr>
          <w:rFonts w:hint="eastAsia" w:ascii="宋体" w:hAnsi="宋体"/>
          <w:color w:val="auto"/>
          <w:sz w:val="24"/>
          <w:highlight w:val="none"/>
        </w:rPr>
        <w:t>我方对上述承诺的内容事项真实性负责。如经查实上述承诺的内容事项存在虚假，我方愿意接受以提供虚假材料谋取成交的法律责任。</w:t>
      </w:r>
    </w:p>
    <w:p>
      <w:pPr>
        <w:pStyle w:val="2"/>
        <w:rPr>
          <w:color w:val="auto"/>
          <w:highlight w:val="none"/>
        </w:rPr>
      </w:pP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法定代表人/单位负责人或授权代表（签字或加盖个人印章）：XXX</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供应商名称：XXXX（盖章）</w:t>
      </w:r>
    </w:p>
    <w:p>
      <w:pPr>
        <w:spacing w:after="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日    期：XXX年XXX月XXX日</w:t>
      </w:r>
    </w:p>
    <w:p>
      <w:pPr>
        <w:pStyle w:val="2"/>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9"/>
        <w:rPr>
          <w:rFonts w:hint="eastAsia" w:ascii="宋体" w:hAnsi="宋体"/>
          <w:color w:val="auto"/>
          <w:sz w:val="24"/>
          <w:highlight w:val="none"/>
        </w:rPr>
      </w:pPr>
    </w:p>
    <w:p>
      <w:pPr>
        <w:pStyle w:val="2"/>
        <w:rPr>
          <w:rFonts w:hint="eastAsia" w:ascii="宋体" w:hAnsi="宋体"/>
          <w:color w:val="auto"/>
          <w:sz w:val="24"/>
          <w:highlight w:val="none"/>
        </w:rPr>
      </w:pPr>
    </w:p>
    <w:p>
      <w:pPr>
        <w:pStyle w:val="29"/>
        <w:rPr>
          <w:rFonts w:hint="eastAsia" w:ascii="宋体" w:hAnsi="宋体"/>
          <w:color w:val="auto"/>
          <w:sz w:val="24"/>
          <w:highlight w:val="none"/>
        </w:rPr>
      </w:pPr>
    </w:p>
    <w:p>
      <w:pPr>
        <w:widowControl/>
        <w:spacing w:after="0" w:line="240" w:lineRule="auto"/>
        <w:jc w:val="left"/>
        <w:rPr>
          <w:rFonts w:hint="eastAsia" w:ascii="宋体" w:hAnsi="宋体"/>
          <w:b/>
          <w:color w:val="auto"/>
          <w:sz w:val="32"/>
          <w:szCs w:val="32"/>
          <w:highlight w:val="none"/>
        </w:rPr>
      </w:pPr>
    </w:p>
    <w:p>
      <w:pPr>
        <w:widowControl/>
        <w:spacing w:after="0" w:line="240" w:lineRule="auto"/>
        <w:jc w:val="left"/>
        <w:rPr>
          <w:rFonts w:hint="eastAsia" w:ascii="宋体" w:hAnsi="宋体"/>
          <w:b/>
          <w:color w:val="auto"/>
          <w:sz w:val="32"/>
          <w:szCs w:val="32"/>
          <w:highlight w:val="none"/>
        </w:rPr>
      </w:pPr>
    </w:p>
    <w:p>
      <w:pPr>
        <w:widowControl/>
        <w:spacing w:after="0" w:line="240" w:lineRule="auto"/>
        <w:jc w:val="left"/>
        <w:rPr>
          <w:rFonts w:hint="eastAsia" w:ascii="宋体" w:hAnsi="宋体"/>
          <w:b/>
          <w:color w:val="auto"/>
          <w:sz w:val="32"/>
          <w:szCs w:val="32"/>
          <w:highlight w:val="none"/>
        </w:rPr>
      </w:pPr>
    </w:p>
    <w:p>
      <w:pPr>
        <w:widowControl/>
        <w:spacing w:after="0" w:line="240" w:lineRule="auto"/>
        <w:jc w:val="left"/>
        <w:rPr>
          <w:rFonts w:hint="eastAsia" w:ascii="宋体" w:hAnsi="宋体"/>
          <w:b/>
          <w:color w:val="auto"/>
          <w:sz w:val="32"/>
          <w:szCs w:val="32"/>
          <w:highlight w:val="none"/>
        </w:rPr>
      </w:pPr>
    </w:p>
    <w:p>
      <w:pPr>
        <w:pStyle w:val="29"/>
        <w:ind w:left="0" w:leftChars="0" w:firstLine="0" w:firstLineChars="0"/>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格式2-</w:t>
      </w:r>
      <w:r>
        <w:rPr>
          <w:rFonts w:hint="eastAsia" w:ascii="宋体" w:hAnsi="宋体"/>
          <w:b/>
          <w:color w:val="auto"/>
          <w:sz w:val="32"/>
          <w:szCs w:val="32"/>
          <w:highlight w:val="none"/>
          <w:lang w:val="en-US" w:eastAsia="zh-CN"/>
        </w:rPr>
        <w:t>4</w:t>
      </w:r>
    </w:p>
    <w:p>
      <w:pPr>
        <w:widowControl/>
        <w:spacing w:line="360" w:lineRule="atLeast"/>
        <w:jc w:val="center"/>
        <w:outlineLvl w:val="1"/>
        <w:rPr>
          <w:rFonts w:ascii="宋体" w:hAnsi="宋体"/>
          <w:b/>
          <w:color w:val="auto"/>
          <w:sz w:val="32"/>
          <w:szCs w:val="32"/>
          <w:highlight w:val="none"/>
        </w:rPr>
      </w:pPr>
      <w:r>
        <w:rPr>
          <w:rFonts w:hint="eastAsia" w:ascii="宋体" w:hAnsi="宋体"/>
          <w:b/>
          <w:color w:val="auto"/>
          <w:sz w:val="32"/>
          <w:szCs w:val="32"/>
          <w:highlight w:val="none"/>
        </w:rPr>
        <w:t>供应商基本情况表</w:t>
      </w:r>
    </w:p>
    <w:tbl>
      <w:tblPr>
        <w:tblStyle w:val="30"/>
        <w:tblW w:w="9499"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60"/>
        <w:gridCol w:w="1106"/>
        <w:gridCol w:w="1432"/>
        <w:gridCol w:w="1443"/>
        <w:gridCol w:w="1526"/>
        <w:gridCol w:w="183"/>
        <w:gridCol w:w="799"/>
        <w:gridCol w:w="125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6" w:hRule="atLeast"/>
          <w:jc w:val="center"/>
        </w:trPr>
        <w:tc>
          <w:tcPr>
            <w:tcW w:w="1760"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供应商名称</w:t>
            </w:r>
          </w:p>
        </w:tc>
        <w:tc>
          <w:tcPr>
            <w:tcW w:w="7739" w:type="dxa"/>
            <w:gridSpan w:val="7"/>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7" w:hRule="atLeast"/>
          <w:jc w:val="center"/>
        </w:trPr>
        <w:tc>
          <w:tcPr>
            <w:tcW w:w="1760"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注册地址</w:t>
            </w:r>
          </w:p>
        </w:tc>
        <w:tc>
          <w:tcPr>
            <w:tcW w:w="3981" w:type="dxa"/>
            <w:gridSpan w:val="3"/>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1526"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邮政编码</w:t>
            </w:r>
          </w:p>
        </w:tc>
        <w:tc>
          <w:tcPr>
            <w:tcW w:w="2232" w:type="dxa"/>
            <w:gridSpan w:val="3"/>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1760" w:type="dxa"/>
            <w:vMerge w:val="restart"/>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联系方式</w:t>
            </w:r>
          </w:p>
        </w:tc>
        <w:tc>
          <w:tcPr>
            <w:tcW w:w="1106"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联系人</w:t>
            </w:r>
          </w:p>
        </w:tc>
        <w:tc>
          <w:tcPr>
            <w:tcW w:w="2875"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1526" w:type="dxa"/>
            <w:vAlign w:val="center"/>
          </w:tcPr>
          <w:p>
            <w:pPr>
              <w:widowControl/>
              <w:spacing w:after="0"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电话</w:t>
            </w:r>
          </w:p>
        </w:tc>
        <w:tc>
          <w:tcPr>
            <w:tcW w:w="2232" w:type="dxa"/>
            <w:gridSpan w:val="3"/>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367" w:hRule="atLeast"/>
          <w:jc w:val="center"/>
        </w:trPr>
        <w:tc>
          <w:tcPr>
            <w:tcW w:w="1760" w:type="dxa"/>
            <w:vMerge w:val="continue"/>
            <w:vAlign w:val="center"/>
          </w:tcPr>
          <w:p>
            <w:pPr>
              <w:spacing w:after="0"/>
              <w:rPr>
                <w:rFonts w:ascii="宋体" w:hAnsi="宋体"/>
                <w:color w:val="auto"/>
                <w:highlight w:val="none"/>
              </w:rPr>
            </w:pPr>
          </w:p>
        </w:tc>
        <w:tc>
          <w:tcPr>
            <w:tcW w:w="1106"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传真</w:t>
            </w:r>
          </w:p>
        </w:tc>
        <w:tc>
          <w:tcPr>
            <w:tcW w:w="2875"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1526" w:type="dxa"/>
            <w:vAlign w:val="center"/>
          </w:tcPr>
          <w:p>
            <w:pPr>
              <w:widowControl/>
              <w:spacing w:after="0"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网址</w:t>
            </w:r>
          </w:p>
        </w:tc>
        <w:tc>
          <w:tcPr>
            <w:tcW w:w="2232" w:type="dxa"/>
            <w:gridSpan w:val="3"/>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1760"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组织结构</w:t>
            </w:r>
          </w:p>
        </w:tc>
        <w:tc>
          <w:tcPr>
            <w:tcW w:w="7739" w:type="dxa"/>
            <w:gridSpan w:val="7"/>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1072" w:hRule="atLeast"/>
          <w:jc w:val="center"/>
        </w:trPr>
        <w:tc>
          <w:tcPr>
            <w:tcW w:w="1760"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法定代表人/单位负责人</w:t>
            </w:r>
          </w:p>
        </w:tc>
        <w:tc>
          <w:tcPr>
            <w:tcW w:w="1106"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姓名</w:t>
            </w:r>
          </w:p>
        </w:tc>
        <w:tc>
          <w:tcPr>
            <w:tcW w:w="1432" w:type="dxa"/>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1443"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技术职称</w:t>
            </w:r>
          </w:p>
        </w:tc>
        <w:tc>
          <w:tcPr>
            <w:tcW w:w="1526" w:type="dxa"/>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982" w:type="dxa"/>
            <w:gridSpan w:val="2"/>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电话</w:t>
            </w:r>
          </w:p>
        </w:tc>
        <w:tc>
          <w:tcPr>
            <w:tcW w:w="1250" w:type="dxa"/>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7" w:hRule="atLeast"/>
          <w:jc w:val="center"/>
        </w:trPr>
        <w:tc>
          <w:tcPr>
            <w:tcW w:w="1760"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技术负责人</w:t>
            </w:r>
          </w:p>
        </w:tc>
        <w:tc>
          <w:tcPr>
            <w:tcW w:w="1106"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姓名</w:t>
            </w:r>
          </w:p>
        </w:tc>
        <w:tc>
          <w:tcPr>
            <w:tcW w:w="1432" w:type="dxa"/>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1443"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技术职称</w:t>
            </w:r>
          </w:p>
        </w:tc>
        <w:tc>
          <w:tcPr>
            <w:tcW w:w="1526" w:type="dxa"/>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982" w:type="dxa"/>
            <w:gridSpan w:val="2"/>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电话</w:t>
            </w:r>
          </w:p>
        </w:tc>
        <w:tc>
          <w:tcPr>
            <w:tcW w:w="1250" w:type="dxa"/>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1760"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成立时间</w:t>
            </w:r>
          </w:p>
        </w:tc>
        <w:tc>
          <w:tcPr>
            <w:tcW w:w="2538"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5201" w:type="dxa"/>
            <w:gridSpan w:val="5"/>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760"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企业资质等级</w:t>
            </w:r>
          </w:p>
        </w:tc>
        <w:tc>
          <w:tcPr>
            <w:tcW w:w="2538"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1443" w:type="dxa"/>
            <w:vMerge w:val="restart"/>
            <w:vAlign w:val="center"/>
          </w:tcPr>
          <w:p>
            <w:pPr>
              <w:widowControl/>
              <w:spacing w:after="0"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其中</w:t>
            </w:r>
          </w:p>
        </w:tc>
        <w:tc>
          <w:tcPr>
            <w:tcW w:w="1709" w:type="dxa"/>
            <w:gridSpan w:val="2"/>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项目经理</w:t>
            </w:r>
          </w:p>
        </w:tc>
        <w:tc>
          <w:tcPr>
            <w:tcW w:w="2049"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760"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营业执照号</w:t>
            </w:r>
          </w:p>
        </w:tc>
        <w:tc>
          <w:tcPr>
            <w:tcW w:w="2538"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1443" w:type="dxa"/>
            <w:vMerge w:val="continue"/>
            <w:vAlign w:val="center"/>
          </w:tcPr>
          <w:p>
            <w:pPr>
              <w:spacing w:after="0"/>
              <w:rPr>
                <w:rFonts w:ascii="宋体" w:hAnsi="宋体"/>
                <w:color w:val="auto"/>
                <w:highlight w:val="none"/>
              </w:rPr>
            </w:pPr>
          </w:p>
        </w:tc>
        <w:tc>
          <w:tcPr>
            <w:tcW w:w="1709" w:type="dxa"/>
            <w:gridSpan w:val="2"/>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高级职称人员</w:t>
            </w:r>
          </w:p>
        </w:tc>
        <w:tc>
          <w:tcPr>
            <w:tcW w:w="2049"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760"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注册资金</w:t>
            </w:r>
          </w:p>
        </w:tc>
        <w:tc>
          <w:tcPr>
            <w:tcW w:w="2538"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1443" w:type="dxa"/>
            <w:vMerge w:val="continue"/>
            <w:vAlign w:val="center"/>
          </w:tcPr>
          <w:p>
            <w:pPr>
              <w:spacing w:after="0"/>
              <w:rPr>
                <w:rFonts w:ascii="宋体" w:hAnsi="宋体"/>
                <w:color w:val="auto"/>
                <w:highlight w:val="none"/>
              </w:rPr>
            </w:pPr>
          </w:p>
        </w:tc>
        <w:tc>
          <w:tcPr>
            <w:tcW w:w="1709" w:type="dxa"/>
            <w:gridSpan w:val="2"/>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中级职称人员</w:t>
            </w:r>
          </w:p>
        </w:tc>
        <w:tc>
          <w:tcPr>
            <w:tcW w:w="2049"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1760"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开户银行</w:t>
            </w:r>
          </w:p>
        </w:tc>
        <w:tc>
          <w:tcPr>
            <w:tcW w:w="2538"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1443" w:type="dxa"/>
            <w:vMerge w:val="continue"/>
            <w:vAlign w:val="center"/>
          </w:tcPr>
          <w:p>
            <w:pPr>
              <w:spacing w:after="0"/>
              <w:rPr>
                <w:rFonts w:ascii="宋体" w:hAnsi="宋体"/>
                <w:color w:val="auto"/>
                <w:highlight w:val="none"/>
              </w:rPr>
            </w:pPr>
          </w:p>
        </w:tc>
        <w:tc>
          <w:tcPr>
            <w:tcW w:w="1709" w:type="dxa"/>
            <w:gridSpan w:val="2"/>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初级职称人员</w:t>
            </w:r>
          </w:p>
        </w:tc>
        <w:tc>
          <w:tcPr>
            <w:tcW w:w="2049"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7" w:hRule="atLeast"/>
          <w:jc w:val="center"/>
        </w:trPr>
        <w:tc>
          <w:tcPr>
            <w:tcW w:w="1760" w:type="dxa"/>
            <w:vAlign w:val="center"/>
          </w:tcPr>
          <w:p>
            <w:pPr>
              <w:widowControl/>
              <w:spacing w:after="0"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账号</w:t>
            </w:r>
          </w:p>
        </w:tc>
        <w:tc>
          <w:tcPr>
            <w:tcW w:w="2538"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c>
          <w:tcPr>
            <w:tcW w:w="1443" w:type="dxa"/>
            <w:vMerge w:val="continue"/>
            <w:vAlign w:val="center"/>
          </w:tcPr>
          <w:p>
            <w:pPr>
              <w:spacing w:after="0"/>
              <w:rPr>
                <w:rFonts w:ascii="宋体" w:hAnsi="宋体"/>
                <w:color w:val="auto"/>
                <w:highlight w:val="none"/>
              </w:rPr>
            </w:pPr>
          </w:p>
        </w:tc>
        <w:tc>
          <w:tcPr>
            <w:tcW w:w="1709"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技工</w:t>
            </w:r>
          </w:p>
        </w:tc>
        <w:tc>
          <w:tcPr>
            <w:tcW w:w="2049" w:type="dxa"/>
            <w:gridSpan w:val="2"/>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148" w:hRule="atLeast"/>
          <w:jc w:val="center"/>
        </w:trPr>
        <w:tc>
          <w:tcPr>
            <w:tcW w:w="1760" w:type="dxa"/>
            <w:vAlign w:val="center"/>
          </w:tcPr>
          <w:p>
            <w:pPr>
              <w:widowControl/>
              <w:spacing w:after="0" w:line="360" w:lineRule="atLeast"/>
              <w:jc w:val="left"/>
              <w:outlineLvl w:val="1"/>
              <w:rPr>
                <w:rFonts w:ascii="宋体" w:hAnsi="宋体"/>
                <w:color w:val="auto"/>
                <w:sz w:val="24"/>
                <w:highlight w:val="none"/>
              </w:rPr>
            </w:pPr>
            <w:r>
              <w:rPr>
                <w:rFonts w:hint="eastAsia" w:ascii="宋体" w:hAnsi="宋体"/>
                <w:color w:val="auto"/>
                <w:sz w:val="24"/>
                <w:highlight w:val="none"/>
              </w:rPr>
              <w:t>经营范围</w:t>
            </w:r>
          </w:p>
        </w:tc>
        <w:tc>
          <w:tcPr>
            <w:tcW w:w="7739" w:type="dxa"/>
            <w:gridSpan w:val="7"/>
            <w:vAlign w:val="center"/>
          </w:tcPr>
          <w:p>
            <w:pPr>
              <w:widowControl/>
              <w:spacing w:after="0" w:line="360" w:lineRule="atLeas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59" w:hRule="atLeast"/>
          <w:jc w:val="center"/>
        </w:trPr>
        <w:tc>
          <w:tcPr>
            <w:tcW w:w="1760" w:type="dxa"/>
          </w:tcPr>
          <w:p>
            <w:pPr>
              <w:widowControl/>
              <w:spacing w:after="0" w:line="360" w:lineRule="atLeast"/>
              <w:outlineLvl w:val="1"/>
              <w:rPr>
                <w:rFonts w:ascii="宋体" w:hAnsi="宋体"/>
                <w:color w:val="auto"/>
                <w:sz w:val="24"/>
                <w:highlight w:val="none"/>
              </w:rPr>
            </w:pPr>
            <w:r>
              <w:rPr>
                <w:rFonts w:hint="eastAsia" w:ascii="宋体" w:hAnsi="宋体"/>
                <w:color w:val="auto"/>
                <w:sz w:val="24"/>
                <w:highlight w:val="none"/>
              </w:rPr>
              <w:t>备注</w:t>
            </w:r>
          </w:p>
        </w:tc>
        <w:tc>
          <w:tcPr>
            <w:tcW w:w="7739" w:type="dxa"/>
            <w:gridSpan w:val="7"/>
          </w:tcPr>
          <w:p>
            <w:pPr>
              <w:widowControl/>
              <w:spacing w:after="0" w:line="360" w:lineRule="atLeast"/>
              <w:ind w:firstLine="470" w:firstLineChars="196"/>
              <w:jc w:val="left"/>
              <w:outlineLvl w:val="1"/>
              <w:rPr>
                <w:rFonts w:ascii="宋体" w:hAnsi="宋体"/>
                <w:color w:val="auto"/>
                <w:sz w:val="24"/>
                <w:highlight w:val="none"/>
              </w:rPr>
            </w:pPr>
          </w:p>
        </w:tc>
      </w:tr>
    </w:tbl>
    <w:p>
      <w:pPr>
        <w:adjustRightInd w:val="0"/>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 xml:space="preserve"> </w:t>
      </w:r>
    </w:p>
    <w:p>
      <w:pPr>
        <w:widowControl/>
        <w:tabs>
          <w:tab w:val="left" w:pos="8127"/>
        </w:tabs>
        <w:spacing w:after="0"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供应商名称：XXX（盖单位公章）</w:t>
      </w:r>
    </w:p>
    <w:p>
      <w:pPr>
        <w:widowControl/>
        <w:tabs>
          <w:tab w:val="left" w:pos="8127"/>
        </w:tabs>
        <w:spacing w:after="0"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法定代表人/单位负责人或授权代表（签字或加盖个人印章）：XXX</w:t>
      </w:r>
    </w:p>
    <w:p>
      <w:pPr>
        <w:widowControl/>
        <w:tabs>
          <w:tab w:val="left" w:pos="8127"/>
        </w:tabs>
        <w:spacing w:after="0" w:line="360" w:lineRule="auto"/>
        <w:ind w:firstLine="480" w:firstLineChars="200"/>
        <w:jc w:val="left"/>
        <w:outlineLvl w:val="1"/>
        <w:rPr>
          <w:rFonts w:ascii="宋体" w:hAnsi="宋体"/>
          <w:color w:val="auto"/>
          <w:sz w:val="24"/>
          <w:highlight w:val="none"/>
        </w:rPr>
      </w:pPr>
      <w:r>
        <w:rPr>
          <w:rFonts w:hint="eastAsia" w:ascii="宋体" w:hAnsi="宋体"/>
          <w:color w:val="auto"/>
          <w:sz w:val="24"/>
          <w:highlight w:val="none"/>
        </w:rPr>
        <w:t>日期：XXX年XXX月XXX日</w:t>
      </w:r>
    </w:p>
    <w:p>
      <w:pPr>
        <w:rPr>
          <w:rFonts w:hint="eastAsia" w:ascii="宋体" w:hAnsi="宋体" w:eastAsia="宋体"/>
          <w:b/>
          <w:color w:val="auto"/>
          <w:sz w:val="32"/>
          <w:szCs w:val="32"/>
          <w:highlight w:val="none"/>
          <w:lang w:val="en-US" w:eastAsia="zh-CN"/>
        </w:rPr>
      </w:pPr>
      <w:r>
        <w:rPr>
          <w:rFonts w:ascii="宋体" w:hAnsi="宋体"/>
          <w:b/>
          <w:color w:val="auto"/>
          <w:sz w:val="32"/>
          <w:szCs w:val="32"/>
          <w:highlight w:val="none"/>
        </w:rPr>
        <w:br w:type="page"/>
      </w:r>
      <w:r>
        <w:rPr>
          <w:rFonts w:hint="eastAsia" w:ascii="宋体" w:hAnsi="宋体"/>
          <w:b/>
          <w:color w:val="auto"/>
          <w:sz w:val="32"/>
          <w:szCs w:val="32"/>
          <w:highlight w:val="none"/>
        </w:rPr>
        <w:t>格式2-</w:t>
      </w:r>
      <w:r>
        <w:rPr>
          <w:rFonts w:hint="eastAsia" w:ascii="宋体" w:hAnsi="宋体"/>
          <w:b/>
          <w:color w:val="auto"/>
          <w:sz w:val="32"/>
          <w:szCs w:val="32"/>
          <w:highlight w:val="none"/>
          <w:lang w:val="en-US" w:eastAsia="zh-CN"/>
        </w:rPr>
        <w:t>5</w:t>
      </w:r>
    </w:p>
    <w:p>
      <w:pPr>
        <w:jc w:val="center"/>
        <w:rPr>
          <w:rFonts w:ascii="宋体" w:hAnsi="宋体"/>
          <w:b/>
          <w:color w:val="auto"/>
          <w:sz w:val="32"/>
          <w:szCs w:val="32"/>
          <w:highlight w:val="none"/>
        </w:rPr>
      </w:pPr>
      <w:r>
        <w:rPr>
          <w:rFonts w:hint="eastAsia" w:ascii="宋体" w:hAnsi="宋体"/>
          <w:b/>
          <w:color w:val="auto"/>
          <w:sz w:val="32"/>
          <w:szCs w:val="32"/>
          <w:highlight w:val="none"/>
        </w:rPr>
        <w:t>技术、服务要求应答表</w:t>
      </w:r>
    </w:p>
    <w:tbl>
      <w:tblPr>
        <w:tblStyle w:val="30"/>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279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包号</w:t>
            </w:r>
          </w:p>
        </w:tc>
        <w:tc>
          <w:tcPr>
            <w:tcW w:w="2795" w:type="dxa"/>
            <w:vAlign w:val="center"/>
          </w:tcPr>
          <w:p>
            <w:pPr>
              <w:jc w:val="center"/>
              <w:rPr>
                <w:rFonts w:ascii="宋体" w:hAnsi="宋体" w:cs="宋体"/>
                <w:color w:val="auto"/>
                <w:sz w:val="24"/>
                <w:highlight w:val="none"/>
              </w:rPr>
            </w:pPr>
            <w:r>
              <w:rPr>
                <w:rFonts w:hint="eastAsia" w:ascii="宋体" w:hAnsi="宋体" w:cs="宋体"/>
                <w:color w:val="auto"/>
                <w:sz w:val="24"/>
                <w:highlight w:val="none"/>
                <w:lang w:eastAsia="zh-CN"/>
              </w:rPr>
              <w:t>磋商文件</w:t>
            </w:r>
            <w:r>
              <w:rPr>
                <w:rFonts w:hint="eastAsia" w:ascii="宋体" w:hAnsi="宋体" w:cs="宋体"/>
                <w:color w:val="auto"/>
                <w:sz w:val="24"/>
                <w:highlight w:val="none"/>
              </w:rPr>
              <w:t>要求</w:t>
            </w:r>
          </w:p>
        </w:tc>
        <w:tc>
          <w:tcPr>
            <w:tcW w:w="2193"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193" w:type="dxa"/>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193" w:type="dxa"/>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193" w:type="dxa"/>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193" w:type="dxa"/>
          </w:tcPr>
          <w:p>
            <w:pPr>
              <w:jc w:val="center"/>
              <w:rPr>
                <w:rFonts w:ascii="仿宋" w:hAnsi="仿宋" w:eastAsia="仿宋"/>
                <w:color w:val="auto"/>
                <w:sz w:val="24"/>
                <w:highlight w:val="none"/>
              </w:rPr>
            </w:pPr>
          </w:p>
        </w:tc>
      </w:tr>
    </w:tbl>
    <w:p>
      <w:pPr>
        <w:pStyle w:val="87"/>
        <w:tabs>
          <w:tab w:val="left" w:pos="0"/>
        </w:tabs>
        <w:ind w:firstLine="482"/>
        <w:rPr>
          <w:rFonts w:hint="eastAsia" w:ascii="宋体" w:hAnsi="宋体" w:eastAsia="宋体" w:cs="Times New Roman"/>
          <w:color w:val="auto"/>
          <w:highlight w:val="none"/>
        </w:rPr>
      </w:pPr>
      <w:r>
        <w:rPr>
          <w:rFonts w:hint="eastAsia"/>
          <w:color w:val="auto"/>
          <w:highlight w:val="none"/>
        </w:rPr>
        <w:t>注：</w:t>
      </w:r>
      <w:r>
        <w:rPr>
          <w:rFonts w:hint="eastAsia" w:ascii="宋体" w:hAnsi="宋体" w:eastAsia="宋体" w:cs="Times New Roman"/>
          <w:color w:val="auto"/>
          <w:highlight w:val="none"/>
        </w:rPr>
        <w:t>如与磋商文件</w:t>
      </w:r>
      <w:r>
        <w:rPr>
          <w:rFonts w:hint="eastAsia" w:cs="Times New Roman"/>
          <w:color w:val="auto"/>
          <w:highlight w:val="none"/>
          <w:lang w:val="en-US" w:eastAsia="zh-CN"/>
        </w:rPr>
        <w:t>第六章</w:t>
      </w:r>
      <w:r>
        <w:rPr>
          <w:rFonts w:hint="eastAsia" w:ascii="宋体" w:hAnsi="宋体" w:eastAsia="宋体" w:cs="Times New Roman"/>
          <w:color w:val="auto"/>
          <w:highlight w:val="none"/>
        </w:rPr>
        <w:t>的技术、服务要求有偏离(包括正偏离和负偏离)，请将偏离条款逐条应答。如与磋商文件技术、服务要求的所有条款无偏离，则无须在此表中应答，视为默认完全响应和接受磋商文件所有技术、服务要求，供应商不得以未作应答而拒不接受。供应商必须据实填写，不得虚假应答，否则将取消其成交资格。</w:t>
      </w:r>
    </w:p>
    <w:p>
      <w:pPr>
        <w:pStyle w:val="87"/>
        <w:ind w:firstLine="482"/>
        <w:rPr>
          <w:color w:val="auto"/>
          <w:highlight w:val="none"/>
        </w:rPr>
      </w:pPr>
    </w:p>
    <w:p>
      <w:pPr>
        <w:ind w:firstLine="480" w:firstLineChars="200"/>
        <w:rPr>
          <w:rFonts w:ascii="宋体" w:hAnsi="宋体" w:cs="宋体"/>
          <w:color w:val="auto"/>
          <w:sz w:val="24"/>
          <w:highlight w:val="none"/>
        </w:rPr>
      </w:pPr>
    </w:p>
    <w:p>
      <w:pPr>
        <w:adjustRightInd w:val="0"/>
        <w:spacing w:line="400" w:lineRule="exact"/>
        <w:jc w:val="left"/>
        <w:rPr>
          <w:rFonts w:ascii="宋体" w:hAnsi="宋体" w:cs="宋体"/>
          <w:color w:val="auto"/>
          <w:sz w:val="24"/>
          <w:highlight w:val="none"/>
        </w:rPr>
      </w:pP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供应商名称：XXX（盖单位公章）</w:t>
      </w: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法定代表人/单位负责人或授权代表（签字或加盖个人印章）：XXX</w:t>
      </w: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日期：XXX年XXX月XXX日</w:t>
      </w:r>
    </w:p>
    <w:p>
      <w:pPr>
        <w:spacing w:line="400" w:lineRule="exact"/>
        <w:rPr>
          <w:rFonts w:ascii="仿宋" w:hAnsi="仿宋" w:eastAsia="仿宋"/>
          <w:color w:val="auto"/>
          <w:highlight w:val="none"/>
        </w:rPr>
      </w:pPr>
    </w:p>
    <w:p>
      <w:pPr>
        <w:pStyle w:val="29"/>
        <w:ind w:firstLine="0" w:firstLineChars="0"/>
        <w:jc w:val="center"/>
        <w:rPr>
          <w:b/>
          <w:bCs/>
          <w:color w:val="auto"/>
          <w:sz w:val="36"/>
          <w:szCs w:val="36"/>
          <w:highlight w:val="none"/>
        </w:rPr>
      </w:pPr>
    </w:p>
    <w:p>
      <w:pPr>
        <w:widowControl/>
        <w:spacing w:after="0" w:line="240" w:lineRule="auto"/>
        <w:jc w:val="left"/>
        <w:rPr>
          <w:b/>
          <w:bCs/>
          <w:color w:val="auto"/>
          <w:sz w:val="36"/>
          <w:szCs w:val="36"/>
          <w:highlight w:val="none"/>
        </w:rPr>
      </w:pPr>
    </w:p>
    <w:p>
      <w:pPr>
        <w:widowControl/>
        <w:spacing w:after="0" w:line="240" w:lineRule="auto"/>
        <w:jc w:val="left"/>
        <w:rPr>
          <w:rFonts w:ascii="宋体" w:hAnsi="宋体"/>
          <w:b/>
          <w:color w:val="auto"/>
          <w:sz w:val="32"/>
          <w:szCs w:val="32"/>
          <w:highlight w:val="none"/>
        </w:rPr>
      </w:pPr>
      <w:r>
        <w:rPr>
          <w:rFonts w:ascii="宋体" w:hAnsi="宋体"/>
          <w:b/>
          <w:color w:val="auto"/>
          <w:sz w:val="32"/>
          <w:szCs w:val="32"/>
          <w:highlight w:val="none"/>
        </w:rPr>
        <w:br w:type="page"/>
      </w:r>
    </w:p>
    <w:p>
      <w:pPr>
        <w:spacing w:after="0" w:line="360" w:lineRule="auto"/>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格式2-</w:t>
      </w:r>
      <w:r>
        <w:rPr>
          <w:rFonts w:hint="eastAsia" w:ascii="宋体" w:hAnsi="宋体"/>
          <w:b/>
          <w:color w:val="auto"/>
          <w:sz w:val="32"/>
          <w:szCs w:val="32"/>
          <w:highlight w:val="none"/>
          <w:lang w:val="en-US" w:eastAsia="zh-CN"/>
        </w:rPr>
        <w:t>6</w:t>
      </w:r>
    </w:p>
    <w:p>
      <w:pPr>
        <w:jc w:val="center"/>
        <w:rPr>
          <w:rFonts w:ascii="宋体" w:hAnsi="宋体"/>
          <w:b/>
          <w:color w:val="auto"/>
          <w:sz w:val="32"/>
          <w:szCs w:val="32"/>
          <w:highlight w:val="none"/>
        </w:rPr>
      </w:pPr>
      <w:r>
        <w:rPr>
          <w:rFonts w:hint="eastAsia" w:ascii="宋体" w:hAnsi="宋体"/>
          <w:b/>
          <w:color w:val="auto"/>
          <w:sz w:val="32"/>
          <w:szCs w:val="32"/>
          <w:highlight w:val="none"/>
        </w:rPr>
        <w:t>商务应答表</w:t>
      </w:r>
    </w:p>
    <w:tbl>
      <w:tblPr>
        <w:tblStyle w:val="30"/>
        <w:tblW w:w="88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序号</w:t>
            </w:r>
          </w:p>
        </w:tc>
        <w:tc>
          <w:tcPr>
            <w:tcW w:w="279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包号</w:t>
            </w:r>
          </w:p>
        </w:tc>
        <w:tc>
          <w:tcPr>
            <w:tcW w:w="2795" w:type="dxa"/>
            <w:vAlign w:val="center"/>
          </w:tcPr>
          <w:p>
            <w:pPr>
              <w:jc w:val="center"/>
              <w:rPr>
                <w:rFonts w:ascii="宋体" w:hAnsi="宋体" w:cs="宋体"/>
                <w:color w:val="auto"/>
                <w:sz w:val="24"/>
                <w:highlight w:val="none"/>
              </w:rPr>
            </w:pPr>
            <w:r>
              <w:rPr>
                <w:rFonts w:hint="eastAsia" w:ascii="宋体" w:hAnsi="宋体" w:cs="宋体"/>
                <w:color w:val="auto"/>
                <w:sz w:val="24"/>
                <w:highlight w:val="none"/>
                <w:lang w:eastAsia="zh-CN"/>
              </w:rPr>
              <w:t>磋商文件</w:t>
            </w:r>
            <w:r>
              <w:rPr>
                <w:rFonts w:hint="eastAsia" w:ascii="宋体" w:hAnsi="宋体" w:cs="宋体"/>
                <w:color w:val="auto"/>
                <w:sz w:val="24"/>
                <w:highlight w:val="none"/>
              </w:rPr>
              <w:t>要求</w:t>
            </w:r>
          </w:p>
        </w:tc>
        <w:tc>
          <w:tcPr>
            <w:tcW w:w="2324"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324" w:type="dxa"/>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324" w:type="dxa"/>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324" w:type="dxa"/>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795" w:type="dxa"/>
          </w:tcPr>
          <w:p>
            <w:pPr>
              <w:jc w:val="center"/>
              <w:rPr>
                <w:rFonts w:ascii="仿宋" w:hAnsi="仿宋" w:eastAsia="仿宋"/>
                <w:color w:val="auto"/>
                <w:sz w:val="24"/>
                <w:highlight w:val="none"/>
              </w:rPr>
            </w:pPr>
          </w:p>
        </w:tc>
        <w:tc>
          <w:tcPr>
            <w:tcW w:w="2324" w:type="dxa"/>
          </w:tcPr>
          <w:p>
            <w:pPr>
              <w:jc w:val="center"/>
              <w:rPr>
                <w:rFonts w:ascii="仿宋" w:hAnsi="仿宋" w:eastAsia="仿宋"/>
                <w:color w:val="auto"/>
                <w:sz w:val="24"/>
                <w:highlight w:val="none"/>
              </w:rPr>
            </w:pPr>
          </w:p>
        </w:tc>
      </w:tr>
    </w:tbl>
    <w:p>
      <w:pPr>
        <w:pStyle w:val="87"/>
        <w:tabs>
          <w:tab w:val="left" w:pos="0"/>
        </w:tabs>
        <w:ind w:firstLine="482"/>
        <w:rPr>
          <w:rFonts w:hint="eastAsia" w:ascii="宋体" w:hAnsi="宋体" w:eastAsia="宋体" w:cs="Times New Roman"/>
          <w:color w:val="auto"/>
          <w:highlight w:val="none"/>
        </w:rPr>
      </w:pPr>
      <w:r>
        <w:rPr>
          <w:rFonts w:hint="eastAsia" w:ascii="宋体" w:hAnsi="宋体" w:eastAsia="宋体" w:cs="Times New Roman"/>
          <w:color w:val="auto"/>
          <w:highlight w:val="none"/>
        </w:rPr>
        <w:t>注：如与磋商文件</w:t>
      </w:r>
      <w:r>
        <w:rPr>
          <w:rFonts w:hint="eastAsia" w:cs="Times New Roman"/>
          <w:color w:val="auto"/>
          <w:highlight w:val="none"/>
          <w:lang w:val="en-US" w:eastAsia="zh-CN"/>
        </w:rPr>
        <w:t>第六章</w:t>
      </w:r>
      <w:r>
        <w:rPr>
          <w:rFonts w:hint="eastAsia" w:ascii="宋体" w:hAnsi="宋体" w:eastAsia="宋体" w:cs="Times New Roman"/>
          <w:color w:val="auto"/>
          <w:highlight w:val="none"/>
        </w:rPr>
        <w:t>的商务要求有偏离(包括正偏离和负偏离)，请将偏离条款逐条应答。如与磋商文件商务要求的所有条款无偏离，则无须在此表中应答，视为默认完全响应和接受磋商文件所有商务要求，供应商不得以未作应答而拒不接受。供应商必须据实填写，不得虚假应答，否则将取消其成交资格。</w:t>
      </w:r>
    </w:p>
    <w:p>
      <w:pPr>
        <w:adjustRightInd w:val="0"/>
        <w:spacing w:line="400" w:lineRule="exact"/>
        <w:ind w:firstLine="480" w:firstLineChars="200"/>
        <w:jc w:val="left"/>
        <w:rPr>
          <w:rFonts w:ascii="宋体" w:hAnsi="宋体" w:cs="宋体"/>
          <w:color w:val="auto"/>
          <w:sz w:val="24"/>
          <w:highlight w:val="none"/>
        </w:rPr>
      </w:pPr>
    </w:p>
    <w:p>
      <w:pPr>
        <w:adjustRightInd w:val="0"/>
        <w:spacing w:line="400" w:lineRule="exact"/>
        <w:ind w:firstLine="480" w:firstLineChars="200"/>
        <w:jc w:val="left"/>
        <w:rPr>
          <w:rFonts w:ascii="宋体" w:hAnsi="宋体" w:cs="宋体"/>
          <w:color w:val="auto"/>
          <w:sz w:val="24"/>
          <w:highlight w:val="none"/>
        </w:rPr>
      </w:pP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供应商名称：XXX（盖单位公章）</w:t>
      </w: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法定代表人/单位负责人或授权代表（签字或加盖个人印章）：XXX</w:t>
      </w:r>
    </w:p>
    <w:p>
      <w:pPr>
        <w:adjustRightIn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日期：XXX年XXX月XXX日</w:t>
      </w:r>
    </w:p>
    <w:p>
      <w:pPr>
        <w:pStyle w:val="29"/>
        <w:ind w:firstLine="0" w:firstLineChars="0"/>
        <w:jc w:val="center"/>
        <w:rPr>
          <w:b/>
          <w:bCs/>
          <w:color w:val="auto"/>
          <w:sz w:val="36"/>
          <w:szCs w:val="36"/>
          <w:highlight w:val="none"/>
        </w:rPr>
      </w:pPr>
    </w:p>
    <w:p>
      <w:pPr>
        <w:widowControl/>
        <w:spacing w:after="0" w:line="240" w:lineRule="auto"/>
        <w:jc w:val="left"/>
        <w:rPr>
          <w:b/>
          <w:bCs/>
          <w:color w:val="auto"/>
          <w:sz w:val="36"/>
          <w:szCs w:val="36"/>
          <w:highlight w:val="none"/>
        </w:rPr>
      </w:pPr>
      <w:r>
        <w:rPr>
          <w:b/>
          <w:bCs/>
          <w:color w:val="auto"/>
          <w:sz w:val="36"/>
          <w:szCs w:val="36"/>
          <w:highlight w:val="none"/>
        </w:rPr>
        <w:br w:type="page"/>
      </w:r>
    </w:p>
    <w:bookmarkEnd w:id="17"/>
    <w:bookmarkEnd w:id="22"/>
    <w:bookmarkEnd w:id="24"/>
    <w:p>
      <w:pPr>
        <w:spacing w:after="0" w:line="360" w:lineRule="auto"/>
        <w:rPr>
          <w:rFonts w:hint="default" w:ascii="宋体" w:hAnsi="宋体" w:eastAsia="宋体"/>
          <w:b/>
          <w:color w:val="auto"/>
          <w:sz w:val="32"/>
          <w:szCs w:val="32"/>
          <w:highlight w:val="none"/>
          <w:lang w:val="en-US" w:eastAsia="zh-CN"/>
        </w:rPr>
      </w:pPr>
      <w:bookmarkStart w:id="25" w:name="PO_默认文件内容_26"/>
      <w:r>
        <w:rPr>
          <w:rFonts w:hint="eastAsia" w:ascii="宋体" w:hAnsi="宋体"/>
          <w:b/>
          <w:color w:val="auto"/>
          <w:sz w:val="32"/>
          <w:szCs w:val="32"/>
          <w:highlight w:val="none"/>
        </w:rPr>
        <w:t>格式2-</w:t>
      </w:r>
      <w:r>
        <w:rPr>
          <w:rFonts w:hint="eastAsia" w:ascii="宋体" w:hAnsi="宋体"/>
          <w:b/>
          <w:color w:val="auto"/>
          <w:sz w:val="32"/>
          <w:szCs w:val="32"/>
          <w:highlight w:val="none"/>
          <w:lang w:val="en-US" w:eastAsia="zh-CN"/>
        </w:rPr>
        <w:t>7</w:t>
      </w:r>
    </w:p>
    <w:p>
      <w:pPr>
        <w:widowControl/>
        <w:spacing w:after="0" w:line="280" w:lineRule="exact"/>
        <w:jc w:val="center"/>
        <w:outlineLvl w:val="1"/>
        <w:rPr>
          <w:rFonts w:ascii="宋体" w:hAnsi="宋体"/>
          <w:b/>
          <w:color w:val="auto"/>
          <w:sz w:val="24"/>
          <w:szCs w:val="32"/>
          <w:highlight w:val="none"/>
        </w:rPr>
      </w:pPr>
      <w:r>
        <w:rPr>
          <w:rFonts w:hint="eastAsia" w:ascii="宋体" w:hAnsi="宋体"/>
          <w:b/>
          <w:color w:val="auto"/>
          <w:sz w:val="24"/>
          <w:szCs w:val="32"/>
          <w:highlight w:val="none"/>
        </w:rPr>
        <w:t>商务、技术、服务应答附表</w:t>
      </w:r>
    </w:p>
    <w:p>
      <w:pPr>
        <w:widowControl/>
        <w:spacing w:after="0" w:line="280" w:lineRule="exact"/>
        <w:jc w:val="center"/>
        <w:rPr>
          <w:rFonts w:ascii="宋体" w:hAnsi="宋体"/>
          <w:b/>
          <w:color w:val="auto"/>
          <w:sz w:val="24"/>
          <w:szCs w:val="32"/>
          <w:highlight w:val="none"/>
        </w:rPr>
      </w:pPr>
      <w:r>
        <w:rPr>
          <w:rFonts w:hint="eastAsia" w:ascii="宋体" w:hAnsi="宋体"/>
          <w:b/>
          <w:color w:val="auto"/>
          <w:sz w:val="24"/>
          <w:szCs w:val="32"/>
          <w:highlight w:val="none"/>
        </w:rPr>
        <w:t>（仅用于成交结果公告，此表不作为评审内容）</w:t>
      </w:r>
    </w:p>
    <w:p>
      <w:pPr>
        <w:widowControl/>
        <w:spacing w:after="0" w:line="340" w:lineRule="exact"/>
        <w:ind w:firstLine="480"/>
        <w:jc w:val="left"/>
        <w:rPr>
          <w:rFonts w:ascii="宋体" w:hAnsi="宋体" w:cs="宋体"/>
          <w:bCs/>
          <w:color w:val="auto"/>
          <w:sz w:val="24"/>
          <w:highlight w:val="none"/>
        </w:rPr>
      </w:pPr>
      <w:r>
        <w:rPr>
          <w:rFonts w:hint="eastAsia" w:ascii="宋体" w:hAnsi="宋体" w:cs="宋体"/>
          <w:bCs/>
          <w:color w:val="auto"/>
          <w:sz w:val="24"/>
          <w:highlight w:val="none"/>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30"/>
        <w:tblW w:w="888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948"/>
        <w:gridCol w:w="175"/>
        <w:gridCol w:w="1923"/>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8885" w:type="dxa"/>
            <w:gridSpan w:val="9"/>
            <w:vAlign w:val="center"/>
          </w:tcPr>
          <w:p>
            <w:pPr>
              <w:widowControl/>
              <w:spacing w:after="0" w:line="340" w:lineRule="exact"/>
              <w:jc w:val="center"/>
              <w:outlineLvl w:val="1"/>
              <w:rPr>
                <w:rFonts w:ascii="宋体" w:hAnsi="宋体"/>
                <w:color w:val="auto"/>
                <w:sz w:val="24"/>
                <w:highlight w:val="none"/>
              </w:rPr>
            </w:pPr>
            <w:r>
              <w:rPr>
                <w:rFonts w:hint="eastAsia" w:ascii="宋体" w:hAnsi="宋体" w:cs="宋体"/>
                <w:b/>
                <w:color w:val="auto"/>
                <w:kern w:val="0"/>
                <w:sz w:val="24"/>
                <w:highlight w:val="none"/>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62" w:hRule="atLeast"/>
          <w:jc w:val="center"/>
        </w:trPr>
        <w:tc>
          <w:tcPr>
            <w:tcW w:w="2123" w:type="dxa"/>
            <w:gridSpan w:val="2"/>
            <w:vAlign w:val="center"/>
          </w:tcPr>
          <w:p>
            <w:pPr>
              <w:widowControl/>
              <w:spacing w:after="0" w:line="340" w:lineRule="exact"/>
              <w:jc w:val="left"/>
              <w:outlineLvl w:val="1"/>
              <w:rPr>
                <w:rFonts w:ascii="宋体" w:hAnsi="宋体"/>
                <w:color w:val="auto"/>
                <w:sz w:val="24"/>
                <w:highlight w:val="none"/>
              </w:rPr>
            </w:pPr>
            <w:r>
              <w:rPr>
                <w:rFonts w:hint="eastAsia" w:ascii="宋体" w:hAnsi="宋体"/>
                <w:color w:val="auto"/>
                <w:sz w:val="24"/>
                <w:highlight w:val="none"/>
              </w:rPr>
              <w:t>*项目名称</w:t>
            </w:r>
          </w:p>
        </w:tc>
        <w:tc>
          <w:tcPr>
            <w:tcW w:w="6762" w:type="dxa"/>
            <w:gridSpan w:val="7"/>
            <w:vAlign w:val="center"/>
          </w:tcPr>
          <w:p>
            <w:pPr>
              <w:widowControl/>
              <w:spacing w:after="0" w:line="340" w:lineRule="exac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123" w:type="dxa"/>
            <w:gridSpan w:val="2"/>
            <w:vAlign w:val="center"/>
          </w:tcPr>
          <w:p>
            <w:pPr>
              <w:widowControl/>
              <w:spacing w:after="0" w:line="340" w:lineRule="exact"/>
              <w:jc w:val="left"/>
              <w:outlineLvl w:val="1"/>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eastAsia="zh-CN"/>
              </w:rPr>
              <w:t>供应商</w:t>
            </w:r>
            <w:r>
              <w:rPr>
                <w:rFonts w:hint="eastAsia" w:ascii="宋体" w:hAnsi="宋体"/>
                <w:color w:val="auto"/>
                <w:sz w:val="24"/>
                <w:highlight w:val="none"/>
              </w:rPr>
              <w:t>名称</w:t>
            </w:r>
          </w:p>
        </w:tc>
        <w:tc>
          <w:tcPr>
            <w:tcW w:w="6762" w:type="dxa"/>
            <w:gridSpan w:val="7"/>
            <w:vAlign w:val="center"/>
          </w:tcPr>
          <w:p>
            <w:pPr>
              <w:widowControl/>
              <w:spacing w:after="0" w:line="340" w:lineRule="exac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123" w:type="dxa"/>
            <w:gridSpan w:val="2"/>
            <w:vAlign w:val="center"/>
          </w:tcPr>
          <w:p>
            <w:pPr>
              <w:widowControl/>
              <w:spacing w:after="0" w:line="340" w:lineRule="exact"/>
              <w:jc w:val="left"/>
              <w:outlineLvl w:val="1"/>
              <w:rPr>
                <w:rFonts w:ascii="宋体" w:hAnsi="宋体"/>
                <w:color w:val="auto"/>
                <w:sz w:val="24"/>
                <w:highlight w:val="none"/>
              </w:rPr>
            </w:pPr>
            <w:r>
              <w:rPr>
                <w:rFonts w:hint="eastAsia" w:ascii="宋体" w:hAnsi="宋体"/>
                <w:color w:val="auto"/>
                <w:sz w:val="24"/>
                <w:highlight w:val="none"/>
              </w:rPr>
              <w:t>*注册地址</w:t>
            </w:r>
          </w:p>
        </w:tc>
        <w:tc>
          <w:tcPr>
            <w:tcW w:w="3273" w:type="dxa"/>
            <w:gridSpan w:val="3"/>
            <w:tcBorders>
              <w:right w:val="single" w:color="auto" w:sz="4" w:space="0"/>
            </w:tcBorders>
            <w:vAlign w:val="center"/>
          </w:tcPr>
          <w:p>
            <w:pPr>
              <w:widowControl/>
              <w:spacing w:after="0" w:line="340" w:lineRule="exact"/>
              <w:jc w:val="left"/>
              <w:outlineLvl w:val="1"/>
              <w:rPr>
                <w:rFonts w:ascii="宋体" w:hAnsi="宋体"/>
                <w:color w:val="auto"/>
                <w:sz w:val="24"/>
                <w:highlight w:val="none"/>
              </w:rPr>
            </w:pPr>
          </w:p>
        </w:tc>
        <w:tc>
          <w:tcPr>
            <w:tcW w:w="1590" w:type="dxa"/>
            <w:gridSpan w:val="3"/>
            <w:tcBorders>
              <w:left w:val="single" w:color="auto" w:sz="4" w:space="0"/>
              <w:right w:val="single" w:color="auto" w:sz="4" w:space="0"/>
            </w:tcBorders>
            <w:vAlign w:val="center"/>
          </w:tcPr>
          <w:p>
            <w:pPr>
              <w:widowControl/>
              <w:spacing w:after="0" w:line="340" w:lineRule="exact"/>
              <w:jc w:val="left"/>
              <w:outlineLvl w:val="1"/>
              <w:rPr>
                <w:rFonts w:ascii="宋体" w:hAnsi="宋体"/>
                <w:color w:val="auto"/>
                <w:sz w:val="24"/>
                <w:highlight w:val="none"/>
              </w:rPr>
            </w:pPr>
            <w:r>
              <w:rPr>
                <w:rFonts w:hint="eastAsia" w:ascii="宋体" w:hAnsi="宋体"/>
                <w:color w:val="auto"/>
                <w:sz w:val="24"/>
                <w:highlight w:val="none"/>
              </w:rPr>
              <w:t>*行政区域</w:t>
            </w:r>
          </w:p>
        </w:tc>
        <w:tc>
          <w:tcPr>
            <w:tcW w:w="1899" w:type="dxa"/>
            <w:tcBorders>
              <w:left w:val="single" w:color="auto" w:sz="4" w:space="0"/>
            </w:tcBorders>
            <w:vAlign w:val="center"/>
          </w:tcPr>
          <w:p>
            <w:pPr>
              <w:widowControl/>
              <w:spacing w:after="0" w:line="340" w:lineRule="exac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jc w:val="center"/>
        </w:trPr>
        <w:tc>
          <w:tcPr>
            <w:tcW w:w="2123" w:type="dxa"/>
            <w:gridSpan w:val="2"/>
            <w:vAlign w:val="center"/>
          </w:tcPr>
          <w:p>
            <w:pPr>
              <w:widowControl/>
              <w:spacing w:after="0" w:line="340" w:lineRule="exact"/>
              <w:jc w:val="left"/>
              <w:outlineLvl w:val="1"/>
              <w:rPr>
                <w:rFonts w:ascii="宋体" w:hAnsi="宋体"/>
                <w:color w:val="auto"/>
                <w:sz w:val="24"/>
                <w:highlight w:val="none"/>
              </w:rPr>
            </w:pPr>
            <w:r>
              <w:rPr>
                <w:rFonts w:hint="eastAsia" w:ascii="宋体" w:hAnsi="宋体"/>
                <w:color w:val="auto"/>
                <w:sz w:val="24"/>
                <w:highlight w:val="none"/>
              </w:rPr>
              <w:t>*供应商规模</w:t>
            </w:r>
          </w:p>
        </w:tc>
        <w:tc>
          <w:tcPr>
            <w:tcW w:w="6762" w:type="dxa"/>
            <w:gridSpan w:val="7"/>
            <w:vAlign w:val="center"/>
          </w:tcPr>
          <w:p>
            <w:pPr>
              <w:widowControl/>
              <w:spacing w:after="0" w:line="340" w:lineRule="exact"/>
              <w:jc w:val="center"/>
              <w:outlineLvl w:val="1"/>
              <w:rPr>
                <w:rFonts w:ascii="宋体" w:hAnsi="宋体"/>
                <w:color w:val="auto"/>
                <w:sz w:val="24"/>
                <w:highlight w:val="none"/>
              </w:rPr>
            </w:pPr>
            <w:r>
              <w:rPr>
                <w:rFonts w:hint="eastAsia" w:ascii="宋体" w:hAnsi="宋体" w:cs="黑体"/>
                <w:color w:val="auto"/>
                <w:szCs w:val="21"/>
                <w:highlight w:val="none"/>
              </w:rPr>
              <w:t>□</w:t>
            </w:r>
            <w:r>
              <w:rPr>
                <w:rFonts w:hint="eastAsia" w:ascii="宋体" w:hAnsi="宋体"/>
                <w:color w:val="auto"/>
                <w:szCs w:val="21"/>
                <w:highlight w:val="none"/>
              </w:rPr>
              <w:t xml:space="preserve">大型企业   </w:t>
            </w:r>
            <w:r>
              <w:rPr>
                <w:rFonts w:hint="eastAsia" w:ascii="宋体" w:hAnsi="宋体" w:cs="黑体"/>
                <w:color w:val="auto"/>
                <w:szCs w:val="21"/>
                <w:highlight w:val="none"/>
              </w:rPr>
              <w:t>□</w:t>
            </w:r>
            <w:r>
              <w:rPr>
                <w:rFonts w:hint="eastAsia" w:ascii="宋体" w:hAnsi="宋体"/>
                <w:color w:val="auto"/>
                <w:szCs w:val="21"/>
                <w:highlight w:val="none"/>
              </w:rPr>
              <w:t xml:space="preserve">中型企业   </w:t>
            </w:r>
            <w:r>
              <w:rPr>
                <w:rFonts w:hint="eastAsia" w:ascii="宋体" w:hAnsi="宋体" w:cs="黑体"/>
                <w:color w:val="auto"/>
                <w:szCs w:val="21"/>
                <w:highlight w:val="none"/>
              </w:rPr>
              <w:t>□</w:t>
            </w:r>
            <w:r>
              <w:rPr>
                <w:rFonts w:hint="eastAsia" w:ascii="宋体" w:hAnsi="宋体"/>
                <w:color w:val="auto"/>
                <w:szCs w:val="21"/>
                <w:highlight w:val="none"/>
              </w:rPr>
              <w:t>小微型企业（对应处打“</w:t>
            </w:r>
            <w:r>
              <w:rPr>
                <w:rFonts w:hint="eastAsia" w:ascii="宋体" w:hAnsi="宋体" w:cs="宋体"/>
                <w:color w:val="auto"/>
                <w:szCs w:val="21"/>
                <w:highlight w:val="none"/>
              </w:rPr>
              <w:t>√”</w:t>
            </w:r>
            <w:r>
              <w:rPr>
                <w:rFonts w:hint="eastAsia" w:ascii="宋体" w:hAnsi="宋体"/>
                <w:color w:val="auto"/>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jc w:val="center"/>
        </w:trPr>
        <w:tc>
          <w:tcPr>
            <w:tcW w:w="2123" w:type="dxa"/>
            <w:gridSpan w:val="2"/>
            <w:vMerge w:val="restart"/>
            <w:vAlign w:val="center"/>
          </w:tcPr>
          <w:p>
            <w:pPr>
              <w:widowControl/>
              <w:spacing w:after="0" w:line="340" w:lineRule="exact"/>
              <w:jc w:val="left"/>
              <w:outlineLvl w:val="1"/>
              <w:rPr>
                <w:rFonts w:ascii="宋体" w:hAnsi="宋体"/>
                <w:color w:val="auto"/>
                <w:sz w:val="24"/>
                <w:highlight w:val="none"/>
              </w:rPr>
            </w:pPr>
            <w:r>
              <w:rPr>
                <w:rFonts w:hint="eastAsia" w:ascii="宋体" w:hAnsi="宋体"/>
                <w:color w:val="auto"/>
                <w:sz w:val="24"/>
                <w:highlight w:val="none"/>
              </w:rPr>
              <w:t>*单位联系方式</w:t>
            </w:r>
          </w:p>
        </w:tc>
        <w:tc>
          <w:tcPr>
            <w:tcW w:w="1923" w:type="dxa"/>
            <w:vAlign w:val="center"/>
          </w:tcPr>
          <w:p>
            <w:pPr>
              <w:widowControl/>
              <w:spacing w:after="0" w:line="340" w:lineRule="exact"/>
              <w:jc w:val="left"/>
              <w:outlineLvl w:val="1"/>
              <w:rPr>
                <w:rFonts w:ascii="宋体" w:hAnsi="宋体"/>
                <w:color w:val="auto"/>
                <w:sz w:val="24"/>
                <w:highlight w:val="none"/>
              </w:rPr>
            </w:pPr>
            <w:r>
              <w:rPr>
                <w:rFonts w:hint="eastAsia" w:ascii="宋体" w:hAnsi="宋体"/>
                <w:color w:val="auto"/>
                <w:sz w:val="24"/>
                <w:highlight w:val="none"/>
              </w:rPr>
              <w:t>*单位联系人</w:t>
            </w:r>
          </w:p>
        </w:tc>
        <w:tc>
          <w:tcPr>
            <w:tcW w:w="1380" w:type="dxa"/>
            <w:gridSpan w:val="3"/>
            <w:vAlign w:val="center"/>
          </w:tcPr>
          <w:p>
            <w:pPr>
              <w:widowControl/>
              <w:spacing w:after="0" w:line="340" w:lineRule="exact"/>
              <w:ind w:firstLine="470" w:firstLineChars="196"/>
              <w:jc w:val="left"/>
              <w:outlineLvl w:val="1"/>
              <w:rPr>
                <w:rFonts w:ascii="宋体" w:hAnsi="宋体"/>
                <w:color w:val="auto"/>
                <w:sz w:val="24"/>
                <w:highlight w:val="none"/>
              </w:rPr>
            </w:pPr>
          </w:p>
        </w:tc>
        <w:tc>
          <w:tcPr>
            <w:tcW w:w="1529" w:type="dxa"/>
            <w:vAlign w:val="center"/>
          </w:tcPr>
          <w:p>
            <w:pPr>
              <w:widowControl/>
              <w:spacing w:after="0" w:line="340" w:lineRule="exact"/>
              <w:jc w:val="left"/>
              <w:outlineLvl w:val="1"/>
              <w:rPr>
                <w:rFonts w:ascii="宋体" w:hAnsi="宋体"/>
                <w:color w:val="auto"/>
                <w:sz w:val="24"/>
                <w:highlight w:val="none"/>
              </w:rPr>
            </w:pPr>
            <w:r>
              <w:rPr>
                <w:rFonts w:hint="eastAsia" w:ascii="宋体" w:hAnsi="宋体"/>
                <w:color w:val="auto"/>
                <w:sz w:val="24"/>
                <w:highlight w:val="none"/>
              </w:rPr>
              <w:t>*单位电话</w:t>
            </w:r>
          </w:p>
        </w:tc>
        <w:tc>
          <w:tcPr>
            <w:tcW w:w="1930" w:type="dxa"/>
            <w:gridSpan w:val="2"/>
            <w:vAlign w:val="center"/>
          </w:tcPr>
          <w:p>
            <w:pPr>
              <w:widowControl/>
              <w:spacing w:after="0" w:line="340" w:lineRule="exac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2123" w:type="dxa"/>
            <w:gridSpan w:val="2"/>
            <w:vMerge w:val="continue"/>
            <w:vAlign w:val="center"/>
          </w:tcPr>
          <w:p>
            <w:pPr>
              <w:spacing w:after="0" w:line="340" w:lineRule="exact"/>
              <w:rPr>
                <w:rFonts w:ascii="宋体" w:hAnsi="宋体"/>
                <w:color w:val="auto"/>
                <w:highlight w:val="none"/>
              </w:rPr>
            </w:pPr>
          </w:p>
        </w:tc>
        <w:tc>
          <w:tcPr>
            <w:tcW w:w="1923" w:type="dxa"/>
            <w:vAlign w:val="center"/>
          </w:tcPr>
          <w:p>
            <w:pPr>
              <w:widowControl/>
              <w:spacing w:after="0" w:line="340" w:lineRule="exact"/>
              <w:jc w:val="left"/>
              <w:outlineLvl w:val="1"/>
              <w:rPr>
                <w:rFonts w:ascii="宋体" w:hAnsi="宋体"/>
                <w:color w:val="auto"/>
                <w:sz w:val="24"/>
                <w:highlight w:val="none"/>
              </w:rPr>
            </w:pPr>
            <w:r>
              <w:rPr>
                <w:rFonts w:hint="eastAsia" w:ascii="宋体" w:hAnsi="宋体"/>
                <w:color w:val="auto"/>
                <w:sz w:val="24"/>
                <w:highlight w:val="none"/>
              </w:rPr>
              <w:t>*单位邮箱</w:t>
            </w:r>
          </w:p>
        </w:tc>
        <w:tc>
          <w:tcPr>
            <w:tcW w:w="4839" w:type="dxa"/>
            <w:gridSpan w:val="6"/>
            <w:vAlign w:val="center"/>
          </w:tcPr>
          <w:p>
            <w:pPr>
              <w:widowControl/>
              <w:spacing w:after="0" w:line="340" w:lineRule="exact"/>
              <w:ind w:firstLine="470" w:firstLineChars="196"/>
              <w:jc w:val="left"/>
              <w:outlineLvl w:val="1"/>
              <w:rPr>
                <w:rFonts w:ascii="宋体"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8885" w:type="dxa"/>
            <w:gridSpan w:val="9"/>
            <w:vAlign w:val="center"/>
          </w:tcPr>
          <w:p>
            <w:pPr>
              <w:widowControl/>
              <w:spacing w:after="0" w:line="340" w:lineRule="exact"/>
              <w:ind w:firstLine="472" w:firstLineChars="196"/>
              <w:jc w:val="left"/>
              <w:outlineLvl w:val="1"/>
              <w:rPr>
                <w:rFonts w:ascii="宋体" w:hAnsi="宋体"/>
                <w:color w:val="auto"/>
                <w:sz w:val="24"/>
                <w:highlight w:val="none"/>
              </w:rPr>
            </w:pPr>
            <w:r>
              <w:rPr>
                <w:rFonts w:hint="eastAsia" w:ascii="宋体" w:hAnsi="宋体"/>
                <w:b/>
                <w:bCs/>
                <w:color w:val="auto"/>
                <w:sz w:val="24"/>
                <w:highlight w:val="none"/>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48" w:type="dxa"/>
            <w:vMerge w:val="restart"/>
            <w:tcBorders>
              <w:right w:val="single" w:color="auto" w:sz="4" w:space="0"/>
            </w:tcBorders>
            <w:vAlign w:val="center"/>
          </w:tcPr>
          <w:p>
            <w:pPr>
              <w:widowControl/>
              <w:spacing w:after="0" w:line="340" w:lineRule="exact"/>
              <w:jc w:val="left"/>
              <w:outlineLvl w:val="1"/>
              <w:rPr>
                <w:rFonts w:ascii="宋体" w:hAnsi="宋体"/>
                <w:b/>
                <w:bCs/>
                <w:color w:val="auto"/>
                <w:sz w:val="24"/>
                <w:highlight w:val="none"/>
              </w:rPr>
            </w:pPr>
            <w:r>
              <w:rPr>
                <w:rFonts w:hint="eastAsia" w:ascii="宋体" w:hAnsi="宋体"/>
                <w:b/>
                <w:bCs/>
                <w:color w:val="auto"/>
                <w:sz w:val="24"/>
                <w:highlight w:val="none"/>
              </w:rPr>
              <w:t>供应商应答“</w:t>
            </w:r>
            <w:r>
              <w:rPr>
                <w:rFonts w:hint="eastAsia" w:ascii="宋体" w:hAnsi="宋体"/>
                <w:b/>
                <w:bCs/>
                <w:color w:val="auto"/>
                <w:sz w:val="24"/>
                <w:highlight w:val="none"/>
                <w:lang w:eastAsia="zh-CN"/>
              </w:rPr>
              <w:t>磋商文件</w:t>
            </w:r>
            <w:r>
              <w:rPr>
                <w:rFonts w:hint="eastAsia" w:ascii="宋体" w:hAnsi="宋体"/>
                <w:b/>
                <w:bCs/>
                <w:color w:val="auto"/>
                <w:sz w:val="24"/>
                <w:highlight w:val="none"/>
              </w:rPr>
              <w:t>”的主要内容</w:t>
            </w:r>
          </w:p>
        </w:tc>
        <w:tc>
          <w:tcPr>
            <w:tcW w:w="2373" w:type="dxa"/>
            <w:gridSpan w:val="3"/>
            <w:tcBorders>
              <w:left w:val="single" w:color="auto" w:sz="4" w:space="0"/>
              <w:right w:val="single" w:color="auto" w:sz="4" w:space="0"/>
            </w:tcBorders>
            <w:vAlign w:val="center"/>
          </w:tcPr>
          <w:p>
            <w:pPr>
              <w:spacing w:after="0" w:line="340" w:lineRule="exact"/>
              <w:jc w:val="left"/>
              <w:rPr>
                <w:rFonts w:ascii="宋体" w:hAnsi="宋体"/>
                <w:b/>
                <w:bCs/>
                <w:color w:val="auto"/>
                <w:sz w:val="24"/>
                <w:highlight w:val="none"/>
              </w:rPr>
            </w:pPr>
            <w:r>
              <w:rPr>
                <w:rFonts w:hint="eastAsia" w:ascii="宋体" w:hAnsi="宋体" w:cs="宋体"/>
                <w:bCs/>
                <w:color w:val="auto"/>
                <w:kern w:val="0"/>
                <w:sz w:val="24"/>
                <w:highlight w:val="none"/>
              </w:rPr>
              <w:t>主要中标或者成交标的的名称</w:t>
            </w:r>
          </w:p>
        </w:tc>
        <w:tc>
          <w:tcPr>
            <w:tcW w:w="4564" w:type="dxa"/>
            <w:gridSpan w:val="5"/>
            <w:tcBorders>
              <w:left w:val="single" w:color="auto" w:sz="4" w:space="0"/>
            </w:tcBorders>
            <w:vAlign w:val="center"/>
          </w:tcPr>
          <w:p>
            <w:pPr>
              <w:spacing w:after="0" w:line="340" w:lineRule="exact"/>
              <w:jc w:val="left"/>
              <w:rPr>
                <w:rFonts w:ascii="宋体"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48" w:type="dxa"/>
            <w:vMerge w:val="continue"/>
            <w:tcBorders>
              <w:right w:val="single" w:color="auto" w:sz="4" w:space="0"/>
            </w:tcBorders>
            <w:vAlign w:val="center"/>
          </w:tcPr>
          <w:p>
            <w:pPr>
              <w:widowControl/>
              <w:spacing w:after="0" w:line="340" w:lineRule="exact"/>
              <w:ind w:firstLine="472" w:firstLineChars="196"/>
              <w:jc w:val="left"/>
              <w:outlineLvl w:val="1"/>
              <w:rPr>
                <w:rFonts w:ascii="宋体" w:hAnsi="宋体"/>
                <w:b/>
                <w:bCs/>
                <w:color w:val="auto"/>
                <w:sz w:val="24"/>
                <w:highlight w:val="none"/>
              </w:rPr>
            </w:pPr>
          </w:p>
        </w:tc>
        <w:tc>
          <w:tcPr>
            <w:tcW w:w="2373" w:type="dxa"/>
            <w:gridSpan w:val="3"/>
            <w:tcBorders>
              <w:left w:val="single" w:color="auto" w:sz="4" w:space="0"/>
              <w:right w:val="single" w:color="auto" w:sz="4" w:space="0"/>
            </w:tcBorders>
            <w:vAlign w:val="center"/>
          </w:tcPr>
          <w:p>
            <w:pPr>
              <w:spacing w:after="0" w:line="340" w:lineRule="exact"/>
              <w:jc w:val="left"/>
              <w:rPr>
                <w:rFonts w:ascii="宋体" w:hAnsi="宋体"/>
                <w:b/>
                <w:bCs/>
                <w:color w:val="auto"/>
                <w:sz w:val="24"/>
                <w:highlight w:val="none"/>
              </w:rPr>
            </w:pPr>
            <w:r>
              <w:rPr>
                <w:rFonts w:hint="eastAsia" w:ascii="宋体" w:hAnsi="宋体" w:cs="宋体"/>
                <w:bCs/>
                <w:color w:val="auto"/>
                <w:kern w:val="0"/>
                <w:sz w:val="24"/>
                <w:highlight w:val="none"/>
              </w:rPr>
              <w:t>主要中标或者成交标的的规格型号</w:t>
            </w:r>
          </w:p>
        </w:tc>
        <w:tc>
          <w:tcPr>
            <w:tcW w:w="4564" w:type="dxa"/>
            <w:gridSpan w:val="5"/>
            <w:tcBorders>
              <w:left w:val="single" w:color="auto" w:sz="4" w:space="0"/>
            </w:tcBorders>
            <w:vAlign w:val="center"/>
          </w:tcPr>
          <w:p>
            <w:pPr>
              <w:spacing w:after="0" w:line="340" w:lineRule="exact"/>
              <w:jc w:val="left"/>
              <w:rPr>
                <w:rFonts w:ascii="宋体"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48" w:type="dxa"/>
            <w:vMerge w:val="continue"/>
            <w:tcBorders>
              <w:right w:val="single" w:color="auto" w:sz="4" w:space="0"/>
            </w:tcBorders>
            <w:vAlign w:val="center"/>
          </w:tcPr>
          <w:p>
            <w:pPr>
              <w:widowControl/>
              <w:spacing w:after="0" w:line="340" w:lineRule="exact"/>
              <w:ind w:firstLine="472" w:firstLineChars="196"/>
              <w:jc w:val="left"/>
              <w:outlineLvl w:val="1"/>
              <w:rPr>
                <w:rFonts w:ascii="宋体" w:hAnsi="宋体"/>
                <w:b/>
                <w:bCs/>
                <w:color w:val="auto"/>
                <w:sz w:val="24"/>
                <w:highlight w:val="none"/>
              </w:rPr>
            </w:pPr>
          </w:p>
        </w:tc>
        <w:tc>
          <w:tcPr>
            <w:tcW w:w="2373" w:type="dxa"/>
            <w:gridSpan w:val="3"/>
            <w:tcBorders>
              <w:left w:val="single" w:color="auto" w:sz="4" w:space="0"/>
              <w:right w:val="single" w:color="auto" w:sz="4" w:space="0"/>
            </w:tcBorders>
            <w:vAlign w:val="center"/>
          </w:tcPr>
          <w:p>
            <w:pPr>
              <w:spacing w:after="0" w:line="340" w:lineRule="exact"/>
              <w:jc w:val="left"/>
              <w:rPr>
                <w:rFonts w:ascii="宋体" w:hAnsi="宋体"/>
                <w:b/>
                <w:bCs/>
                <w:color w:val="auto"/>
                <w:sz w:val="24"/>
                <w:highlight w:val="none"/>
              </w:rPr>
            </w:pPr>
            <w:r>
              <w:rPr>
                <w:rFonts w:hint="eastAsia" w:ascii="宋体" w:hAnsi="宋体" w:cs="宋体"/>
                <w:bCs/>
                <w:color w:val="auto"/>
                <w:kern w:val="0"/>
                <w:sz w:val="24"/>
                <w:highlight w:val="none"/>
              </w:rPr>
              <w:t>主要中标或者成交标的的数量</w:t>
            </w:r>
          </w:p>
        </w:tc>
        <w:tc>
          <w:tcPr>
            <w:tcW w:w="4564" w:type="dxa"/>
            <w:gridSpan w:val="5"/>
            <w:tcBorders>
              <w:left w:val="single" w:color="auto" w:sz="4" w:space="0"/>
            </w:tcBorders>
            <w:vAlign w:val="center"/>
          </w:tcPr>
          <w:p>
            <w:pPr>
              <w:spacing w:after="0" w:line="340" w:lineRule="exact"/>
              <w:jc w:val="left"/>
              <w:rPr>
                <w:rFonts w:ascii="宋体"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48" w:type="dxa"/>
            <w:vMerge w:val="continue"/>
            <w:tcBorders>
              <w:right w:val="single" w:color="auto" w:sz="4" w:space="0"/>
            </w:tcBorders>
            <w:vAlign w:val="center"/>
          </w:tcPr>
          <w:p>
            <w:pPr>
              <w:widowControl/>
              <w:spacing w:after="0" w:line="340" w:lineRule="exact"/>
              <w:ind w:firstLine="472" w:firstLineChars="196"/>
              <w:jc w:val="left"/>
              <w:outlineLvl w:val="1"/>
              <w:rPr>
                <w:rFonts w:ascii="宋体" w:hAnsi="宋体"/>
                <w:b/>
                <w:bCs/>
                <w:color w:val="auto"/>
                <w:sz w:val="24"/>
                <w:highlight w:val="none"/>
              </w:rPr>
            </w:pPr>
          </w:p>
        </w:tc>
        <w:tc>
          <w:tcPr>
            <w:tcW w:w="2373" w:type="dxa"/>
            <w:gridSpan w:val="3"/>
            <w:tcBorders>
              <w:left w:val="single" w:color="auto" w:sz="4" w:space="0"/>
              <w:right w:val="single" w:color="auto" w:sz="4" w:space="0"/>
            </w:tcBorders>
            <w:vAlign w:val="center"/>
          </w:tcPr>
          <w:p>
            <w:pPr>
              <w:spacing w:after="0" w:line="340" w:lineRule="exact"/>
              <w:jc w:val="left"/>
              <w:rPr>
                <w:rFonts w:ascii="宋体" w:hAnsi="宋体"/>
                <w:b/>
                <w:bCs/>
                <w:color w:val="auto"/>
                <w:sz w:val="24"/>
                <w:highlight w:val="none"/>
              </w:rPr>
            </w:pPr>
            <w:r>
              <w:rPr>
                <w:rFonts w:hint="eastAsia" w:ascii="宋体" w:hAnsi="宋体" w:cs="宋体"/>
                <w:bCs/>
                <w:color w:val="auto"/>
                <w:kern w:val="0"/>
                <w:sz w:val="24"/>
                <w:highlight w:val="none"/>
              </w:rPr>
              <w:t>主要中标或者成交标的的单价</w:t>
            </w:r>
          </w:p>
        </w:tc>
        <w:tc>
          <w:tcPr>
            <w:tcW w:w="4564" w:type="dxa"/>
            <w:gridSpan w:val="5"/>
            <w:tcBorders>
              <w:left w:val="single" w:color="auto" w:sz="4" w:space="0"/>
            </w:tcBorders>
            <w:vAlign w:val="center"/>
          </w:tcPr>
          <w:p>
            <w:pPr>
              <w:spacing w:after="0" w:line="340" w:lineRule="exact"/>
              <w:jc w:val="left"/>
              <w:rPr>
                <w:rFonts w:ascii="宋体"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jc w:val="center"/>
        </w:trPr>
        <w:tc>
          <w:tcPr>
            <w:tcW w:w="1948" w:type="dxa"/>
            <w:vMerge w:val="continue"/>
            <w:tcBorders>
              <w:right w:val="single" w:color="auto" w:sz="4" w:space="0"/>
            </w:tcBorders>
            <w:vAlign w:val="center"/>
          </w:tcPr>
          <w:p>
            <w:pPr>
              <w:widowControl/>
              <w:spacing w:after="0" w:line="340" w:lineRule="exact"/>
              <w:ind w:firstLine="472" w:firstLineChars="196"/>
              <w:jc w:val="left"/>
              <w:outlineLvl w:val="1"/>
              <w:rPr>
                <w:rFonts w:ascii="宋体" w:hAnsi="宋体"/>
                <w:b/>
                <w:bCs/>
                <w:color w:val="auto"/>
                <w:sz w:val="24"/>
                <w:highlight w:val="none"/>
              </w:rPr>
            </w:pPr>
          </w:p>
        </w:tc>
        <w:tc>
          <w:tcPr>
            <w:tcW w:w="2373" w:type="dxa"/>
            <w:gridSpan w:val="3"/>
            <w:tcBorders>
              <w:left w:val="single" w:color="auto" w:sz="4" w:space="0"/>
              <w:right w:val="single" w:color="auto" w:sz="4" w:space="0"/>
            </w:tcBorders>
            <w:vAlign w:val="center"/>
          </w:tcPr>
          <w:p>
            <w:pPr>
              <w:spacing w:after="0" w:line="340" w:lineRule="exact"/>
              <w:jc w:val="left"/>
              <w:rPr>
                <w:rFonts w:ascii="宋体" w:hAnsi="宋体"/>
                <w:b/>
                <w:bCs/>
                <w:color w:val="auto"/>
                <w:sz w:val="24"/>
                <w:highlight w:val="none"/>
              </w:rPr>
            </w:pPr>
            <w:r>
              <w:rPr>
                <w:rFonts w:hint="eastAsia" w:ascii="宋体" w:hAnsi="宋体" w:cs="宋体"/>
                <w:bCs/>
                <w:color w:val="auto"/>
                <w:kern w:val="0"/>
                <w:sz w:val="24"/>
                <w:highlight w:val="none"/>
              </w:rPr>
              <w:t>主要中标或者成交标的的服务要求（如：交货期、质保期、售后服务等等）</w:t>
            </w:r>
          </w:p>
        </w:tc>
        <w:tc>
          <w:tcPr>
            <w:tcW w:w="4564" w:type="dxa"/>
            <w:gridSpan w:val="5"/>
            <w:tcBorders>
              <w:left w:val="single" w:color="auto" w:sz="4" w:space="0"/>
            </w:tcBorders>
            <w:vAlign w:val="center"/>
          </w:tcPr>
          <w:p>
            <w:pPr>
              <w:numPr>
                <w:ilvl w:val="0"/>
                <w:numId w:val="3"/>
              </w:numPr>
              <w:spacing w:after="0" w:line="340" w:lineRule="exact"/>
              <w:jc w:val="left"/>
              <w:rPr>
                <w:rFonts w:ascii="宋体" w:hAnsi="宋体" w:cs="宋体"/>
                <w:bCs/>
                <w:color w:val="auto"/>
                <w:sz w:val="24"/>
                <w:highlight w:val="none"/>
              </w:rPr>
            </w:pPr>
            <w:r>
              <w:rPr>
                <w:rFonts w:hint="eastAsia" w:ascii="宋体" w:hAnsi="宋体" w:cs="宋体"/>
                <w:bCs/>
                <w:color w:val="auto"/>
                <w:sz w:val="24"/>
                <w:highlight w:val="none"/>
              </w:rPr>
              <w:t>....</w:t>
            </w:r>
          </w:p>
          <w:p>
            <w:pPr>
              <w:numPr>
                <w:ilvl w:val="0"/>
                <w:numId w:val="3"/>
              </w:numPr>
              <w:spacing w:after="0" w:line="340" w:lineRule="exact"/>
              <w:jc w:val="left"/>
              <w:rPr>
                <w:rFonts w:ascii="宋体" w:hAnsi="宋体" w:cs="宋体"/>
                <w:bCs/>
                <w:color w:val="auto"/>
                <w:sz w:val="24"/>
                <w:highlight w:val="none"/>
              </w:rPr>
            </w:pPr>
            <w:r>
              <w:rPr>
                <w:rFonts w:hint="eastAsia" w:ascii="宋体" w:hAnsi="宋体" w:cs="宋体"/>
                <w:bCs/>
                <w:color w:val="auto"/>
                <w:sz w:val="24"/>
                <w:highlight w:val="none"/>
              </w:rPr>
              <w:t>....</w:t>
            </w:r>
          </w:p>
          <w:p>
            <w:pPr>
              <w:numPr>
                <w:ilvl w:val="0"/>
                <w:numId w:val="3"/>
              </w:numPr>
              <w:spacing w:after="0" w:line="340" w:lineRule="exact"/>
              <w:jc w:val="left"/>
              <w:rPr>
                <w:rFonts w:ascii="宋体" w:hAnsi="宋体" w:cs="宋体"/>
                <w:bCs/>
                <w:color w:val="auto"/>
                <w:sz w:val="24"/>
                <w:highlight w:val="none"/>
              </w:rPr>
            </w:pPr>
            <w:r>
              <w:rPr>
                <w:rFonts w:hint="eastAsia" w:ascii="宋体" w:hAnsi="宋体" w:cs="宋体"/>
                <w:bCs/>
                <w:color w:val="auto"/>
                <w:sz w:val="24"/>
                <w:highlight w:val="none"/>
              </w:rPr>
              <w:t>....</w:t>
            </w:r>
          </w:p>
          <w:p>
            <w:pPr>
              <w:spacing w:after="0" w:line="340" w:lineRule="exact"/>
              <w:jc w:val="left"/>
              <w:rPr>
                <w:rFonts w:ascii="宋体" w:hAnsi="宋体"/>
                <w:b/>
                <w:bCs/>
                <w:color w:val="auto"/>
                <w:sz w:val="24"/>
                <w:highlight w:val="none"/>
              </w:rPr>
            </w:pPr>
            <w:r>
              <w:rPr>
                <w:rFonts w:hint="eastAsia" w:ascii="宋体" w:hAnsi="宋体" w:cs="宋体"/>
                <w:bCs/>
                <w:color w:val="auto"/>
                <w:sz w:val="24"/>
                <w:highlight w:val="none"/>
              </w:rPr>
              <w:t>......</w:t>
            </w:r>
          </w:p>
        </w:tc>
      </w:tr>
    </w:tbl>
    <w:p>
      <w:pPr>
        <w:spacing w:after="0" w:line="300" w:lineRule="exact"/>
        <w:rPr>
          <w:rFonts w:ascii="宋体" w:hAnsi="宋体"/>
          <w:color w:val="auto"/>
          <w:sz w:val="24"/>
          <w:highlight w:val="none"/>
        </w:rPr>
      </w:pPr>
      <w:r>
        <w:rPr>
          <w:rFonts w:hint="eastAsia" w:ascii="宋体" w:hAnsi="宋体"/>
          <w:color w:val="auto"/>
          <w:sz w:val="24"/>
          <w:highlight w:val="none"/>
        </w:rPr>
        <w:t>注：</w:t>
      </w:r>
    </w:p>
    <w:p>
      <w:pPr>
        <w:numPr>
          <w:ilvl w:val="0"/>
          <w:numId w:val="4"/>
        </w:numPr>
        <w:spacing w:after="0" w:line="300" w:lineRule="exact"/>
        <w:rPr>
          <w:rFonts w:ascii="宋体" w:hAnsi="宋体"/>
          <w:color w:val="auto"/>
          <w:sz w:val="24"/>
          <w:highlight w:val="none"/>
        </w:rPr>
      </w:pPr>
      <w:r>
        <w:rPr>
          <w:rFonts w:hint="eastAsia" w:ascii="宋体" w:hAnsi="宋体"/>
          <w:color w:val="auto"/>
          <w:sz w:val="24"/>
          <w:highlight w:val="none"/>
        </w:rPr>
        <w:t>供应商需如实完善表格内容。</w:t>
      </w:r>
    </w:p>
    <w:p>
      <w:pPr>
        <w:numPr>
          <w:ilvl w:val="0"/>
          <w:numId w:val="4"/>
        </w:numPr>
        <w:spacing w:after="0" w:line="300" w:lineRule="exact"/>
        <w:rPr>
          <w:rFonts w:ascii="宋体" w:hAnsi="宋体"/>
          <w:color w:val="auto"/>
          <w:sz w:val="24"/>
          <w:highlight w:val="none"/>
        </w:rPr>
      </w:pPr>
      <w:r>
        <w:rPr>
          <w:rFonts w:hint="eastAsia" w:ascii="宋体" w:hAnsi="宋体"/>
          <w:color w:val="auto"/>
          <w:sz w:val="24"/>
          <w:highlight w:val="none"/>
        </w:rPr>
        <w:t>供应商应答的主要内容应与响应文件一致，可以进行简要概括性表述。</w:t>
      </w:r>
    </w:p>
    <w:p>
      <w:pPr>
        <w:numPr>
          <w:ilvl w:val="0"/>
          <w:numId w:val="4"/>
        </w:numPr>
        <w:spacing w:after="0" w:line="300" w:lineRule="exact"/>
        <w:rPr>
          <w:rFonts w:ascii="宋体" w:hAnsi="宋体"/>
          <w:color w:val="auto"/>
          <w:sz w:val="24"/>
          <w:highlight w:val="none"/>
        </w:rPr>
      </w:pPr>
      <w:r>
        <w:rPr>
          <w:rFonts w:hint="eastAsia" w:ascii="宋体" w:hAnsi="宋体"/>
          <w:color w:val="auto"/>
          <w:sz w:val="24"/>
          <w:highlight w:val="none"/>
        </w:rPr>
        <w:t>供应商应答的主要内容仅用于结果公告，供应商自行完善的内容视为不涉及供应商商业秘密。若供应商没有填写或没有递交此表，视为允许采购代理机构将供应商响应文件中所有相关的应答内容进行公告。</w:t>
      </w:r>
    </w:p>
    <w:p>
      <w:pPr>
        <w:widowControl/>
        <w:spacing w:after="0" w:line="340" w:lineRule="exact"/>
        <w:ind w:firstLine="470" w:firstLineChars="196"/>
        <w:jc w:val="left"/>
        <w:outlineLvl w:val="1"/>
        <w:rPr>
          <w:rFonts w:ascii="宋体" w:hAnsi="宋体"/>
          <w:color w:val="auto"/>
          <w:sz w:val="24"/>
          <w:highlight w:val="none"/>
        </w:rPr>
      </w:pPr>
      <w:r>
        <w:rPr>
          <w:rFonts w:hint="eastAsia" w:ascii="宋体" w:hAnsi="宋体"/>
          <w:color w:val="auto"/>
          <w:sz w:val="24"/>
          <w:highlight w:val="none"/>
        </w:rPr>
        <w:t>供应商名称：XXXX（单位盖章）。</w:t>
      </w:r>
    </w:p>
    <w:p>
      <w:pPr>
        <w:widowControl/>
        <w:spacing w:after="0" w:line="340" w:lineRule="exact"/>
        <w:ind w:firstLine="470" w:firstLineChars="196"/>
        <w:jc w:val="left"/>
        <w:outlineLvl w:val="1"/>
        <w:rPr>
          <w:rFonts w:ascii="宋体" w:hAnsi="宋体"/>
          <w:color w:val="auto"/>
          <w:sz w:val="24"/>
          <w:highlight w:val="none"/>
        </w:rPr>
      </w:pPr>
      <w:r>
        <w:rPr>
          <w:rFonts w:hint="eastAsia" w:ascii="宋体" w:hAnsi="宋体"/>
          <w:color w:val="auto"/>
          <w:sz w:val="24"/>
          <w:highlight w:val="none"/>
        </w:rPr>
        <w:t>法定代表人/单位负责人或授权代表（签字或加盖个人名章）：XXXX。</w:t>
      </w:r>
    </w:p>
    <w:p>
      <w:pPr>
        <w:widowControl/>
        <w:spacing w:after="0" w:line="340" w:lineRule="exact"/>
        <w:ind w:firstLine="470" w:firstLineChars="196"/>
        <w:jc w:val="left"/>
        <w:outlineLvl w:val="1"/>
        <w:rPr>
          <w:rFonts w:ascii="宋体" w:hAnsi="宋体"/>
          <w:b/>
          <w:color w:val="auto"/>
          <w:sz w:val="24"/>
          <w:highlight w:val="none"/>
        </w:rPr>
      </w:pPr>
      <w:r>
        <w:rPr>
          <w:rFonts w:hint="eastAsia" w:ascii="宋体" w:hAnsi="宋体"/>
          <w:color w:val="auto"/>
          <w:sz w:val="24"/>
          <w:highlight w:val="none"/>
        </w:rPr>
        <w:t>报价日期: XXXX。</w:t>
      </w:r>
    </w:p>
    <w:p>
      <w:pPr>
        <w:spacing w:after="0" w:line="360" w:lineRule="auto"/>
        <w:rPr>
          <w:rFonts w:hint="default" w:ascii="宋体" w:hAnsi="宋体" w:eastAsia="宋体"/>
          <w:b/>
          <w:color w:val="auto"/>
          <w:sz w:val="32"/>
          <w:szCs w:val="32"/>
          <w:highlight w:val="none"/>
          <w:lang w:val="en-US" w:eastAsia="zh-CN"/>
        </w:rPr>
      </w:pPr>
      <w:r>
        <w:rPr>
          <w:rFonts w:hint="eastAsia" w:ascii="宋体" w:hAnsi="宋体"/>
          <w:b/>
          <w:color w:val="auto"/>
          <w:sz w:val="32"/>
          <w:szCs w:val="32"/>
          <w:highlight w:val="none"/>
        </w:rPr>
        <w:t>格式2-</w:t>
      </w:r>
      <w:r>
        <w:rPr>
          <w:rFonts w:hint="eastAsia" w:ascii="宋体" w:hAnsi="宋体"/>
          <w:b/>
          <w:color w:val="auto"/>
          <w:sz w:val="32"/>
          <w:szCs w:val="32"/>
          <w:highlight w:val="none"/>
          <w:lang w:val="en-US" w:eastAsia="zh-CN"/>
        </w:rPr>
        <w:t>8</w:t>
      </w:r>
    </w:p>
    <w:p>
      <w:pPr>
        <w:widowControl/>
        <w:spacing w:line="360" w:lineRule="atLeast"/>
        <w:jc w:val="center"/>
        <w:outlineLvl w:val="1"/>
        <w:rPr>
          <w:rFonts w:ascii="宋体" w:hAnsi="宋体"/>
          <w:b/>
          <w:color w:val="auto"/>
          <w:sz w:val="32"/>
          <w:szCs w:val="32"/>
          <w:highlight w:val="none"/>
        </w:rPr>
      </w:pPr>
      <w:r>
        <w:rPr>
          <w:rFonts w:hint="eastAsia" w:ascii="宋体" w:hAnsi="宋体"/>
          <w:b/>
          <w:color w:val="auto"/>
          <w:sz w:val="32"/>
          <w:szCs w:val="32"/>
          <w:highlight w:val="none"/>
        </w:rPr>
        <w:t>供应商类似项目业绩一览表</w:t>
      </w:r>
      <w:bookmarkStart w:id="26" w:name="_Toc217446089"/>
    </w:p>
    <w:bookmarkEnd w:id="26"/>
    <w:p>
      <w:pPr>
        <w:pStyle w:val="69"/>
        <w:ind w:firstLine="480" w:firstLineChars="200"/>
        <w:rPr>
          <w:color w:val="auto"/>
          <w:highlight w:val="non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69"/>
        <w:ind w:firstLine="480" w:firstLineChars="200"/>
        <w:rPr>
          <w:color w:val="auto"/>
          <w:highlight w:val="non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rPr>
        <w:t xml:space="preserve">                            </w:t>
      </w:r>
    </w:p>
    <w:tbl>
      <w:tblPr>
        <w:tblStyle w:val="30"/>
        <w:tblW w:w="939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10"/>
        <w:gridCol w:w="1566"/>
        <w:gridCol w:w="1436"/>
        <w:gridCol w:w="1263"/>
        <w:gridCol w:w="1370"/>
        <w:gridCol w:w="10"/>
        <w:gridCol w:w="1763"/>
        <w:gridCol w:w="10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8" w:hRule="atLeast"/>
          <w:jc w:val="center"/>
        </w:trPr>
        <w:tc>
          <w:tcPr>
            <w:tcW w:w="910" w:type="dxa"/>
            <w:tcBorders>
              <w:top w:val="single" w:color="auto" w:sz="4" w:space="0"/>
            </w:tcBorders>
            <w:vAlign w:val="center"/>
          </w:tcPr>
          <w:p>
            <w:pPr>
              <w:widowControl/>
              <w:spacing w:line="360" w:lineRule="atLeast"/>
              <w:jc w:val="left"/>
              <w:outlineLvl w:val="1"/>
              <w:rPr>
                <w:rFonts w:ascii="宋体" w:hAnsi="宋体"/>
                <w:b/>
                <w:color w:val="auto"/>
                <w:sz w:val="24"/>
                <w:highlight w:val="none"/>
              </w:rPr>
            </w:pPr>
            <w:r>
              <w:rPr>
                <w:rFonts w:hint="eastAsia" w:ascii="宋体" w:hAnsi="宋体"/>
                <w:b/>
                <w:color w:val="auto"/>
                <w:sz w:val="24"/>
                <w:highlight w:val="none"/>
              </w:rPr>
              <w:t>年份</w:t>
            </w:r>
          </w:p>
        </w:tc>
        <w:tc>
          <w:tcPr>
            <w:tcW w:w="1566" w:type="dxa"/>
            <w:vAlign w:val="center"/>
          </w:tcPr>
          <w:p>
            <w:pPr>
              <w:widowControl/>
              <w:spacing w:line="360" w:lineRule="atLeast"/>
              <w:jc w:val="left"/>
              <w:outlineLvl w:val="1"/>
              <w:rPr>
                <w:rFonts w:ascii="宋体" w:hAnsi="宋体"/>
                <w:b/>
                <w:color w:val="auto"/>
                <w:sz w:val="24"/>
                <w:highlight w:val="none"/>
              </w:rPr>
            </w:pPr>
            <w:r>
              <w:rPr>
                <w:rFonts w:hint="eastAsia" w:ascii="宋体" w:hAnsi="宋体"/>
                <w:b/>
                <w:color w:val="auto"/>
                <w:sz w:val="24"/>
                <w:highlight w:val="none"/>
              </w:rPr>
              <w:t>用户名称</w:t>
            </w:r>
          </w:p>
        </w:tc>
        <w:tc>
          <w:tcPr>
            <w:tcW w:w="1436" w:type="dxa"/>
            <w:vAlign w:val="center"/>
          </w:tcPr>
          <w:p>
            <w:pPr>
              <w:widowControl/>
              <w:spacing w:line="360" w:lineRule="atLeast"/>
              <w:jc w:val="left"/>
              <w:outlineLvl w:val="1"/>
              <w:rPr>
                <w:rFonts w:ascii="宋体" w:hAnsi="宋体"/>
                <w:b/>
                <w:color w:val="auto"/>
                <w:sz w:val="24"/>
                <w:highlight w:val="none"/>
              </w:rPr>
            </w:pPr>
            <w:r>
              <w:rPr>
                <w:rFonts w:hint="eastAsia" w:ascii="宋体" w:hAnsi="宋体"/>
                <w:b/>
                <w:color w:val="auto"/>
                <w:sz w:val="24"/>
                <w:highlight w:val="none"/>
              </w:rPr>
              <w:t>项目名称</w:t>
            </w:r>
          </w:p>
        </w:tc>
        <w:tc>
          <w:tcPr>
            <w:tcW w:w="1263" w:type="dxa"/>
            <w:vAlign w:val="center"/>
          </w:tcPr>
          <w:p>
            <w:pPr>
              <w:widowControl/>
              <w:spacing w:line="360" w:lineRule="atLeast"/>
              <w:jc w:val="left"/>
              <w:outlineLvl w:val="1"/>
              <w:rPr>
                <w:rFonts w:ascii="宋体" w:hAnsi="宋体"/>
                <w:b/>
                <w:color w:val="auto"/>
                <w:sz w:val="24"/>
                <w:highlight w:val="none"/>
              </w:rPr>
            </w:pPr>
            <w:r>
              <w:rPr>
                <w:rFonts w:hint="eastAsia" w:ascii="宋体" w:hAnsi="宋体"/>
                <w:b/>
                <w:color w:val="auto"/>
                <w:sz w:val="24"/>
                <w:highlight w:val="none"/>
              </w:rPr>
              <w:t>完成时间</w:t>
            </w:r>
          </w:p>
        </w:tc>
        <w:tc>
          <w:tcPr>
            <w:tcW w:w="1370" w:type="dxa"/>
            <w:vAlign w:val="center"/>
          </w:tcPr>
          <w:p>
            <w:pPr>
              <w:widowControl/>
              <w:spacing w:line="360" w:lineRule="atLeast"/>
              <w:jc w:val="left"/>
              <w:outlineLvl w:val="1"/>
              <w:rPr>
                <w:rFonts w:ascii="宋体" w:hAnsi="宋体"/>
                <w:b/>
                <w:color w:val="auto"/>
                <w:sz w:val="24"/>
                <w:highlight w:val="none"/>
              </w:rPr>
            </w:pPr>
            <w:r>
              <w:rPr>
                <w:rFonts w:hint="eastAsia" w:ascii="宋体" w:hAnsi="宋体"/>
                <w:b/>
                <w:color w:val="auto"/>
                <w:sz w:val="24"/>
                <w:highlight w:val="none"/>
              </w:rPr>
              <w:t>合同金额</w:t>
            </w:r>
          </w:p>
        </w:tc>
        <w:tc>
          <w:tcPr>
            <w:tcW w:w="1773" w:type="dxa"/>
            <w:gridSpan w:val="2"/>
            <w:tcBorders>
              <w:right w:val="single" w:color="auto" w:sz="4" w:space="0"/>
            </w:tcBorders>
            <w:vAlign w:val="center"/>
          </w:tcPr>
          <w:p>
            <w:pPr>
              <w:widowControl/>
              <w:spacing w:line="360" w:lineRule="atLeast"/>
              <w:jc w:val="left"/>
              <w:outlineLvl w:val="1"/>
              <w:rPr>
                <w:rFonts w:ascii="宋体" w:hAnsi="宋体"/>
                <w:b/>
                <w:color w:val="auto"/>
                <w:sz w:val="24"/>
                <w:highlight w:val="none"/>
              </w:rPr>
            </w:pPr>
            <w:r>
              <w:rPr>
                <w:rFonts w:hint="eastAsia" w:ascii="宋体" w:hAnsi="宋体"/>
                <w:b/>
                <w:color w:val="auto"/>
                <w:sz w:val="24"/>
                <w:highlight w:val="none"/>
              </w:rPr>
              <w:t>是否通过验收</w:t>
            </w:r>
          </w:p>
        </w:tc>
        <w:tc>
          <w:tcPr>
            <w:tcW w:w="1079" w:type="dxa"/>
            <w:tcBorders>
              <w:left w:val="single" w:color="auto" w:sz="4" w:space="0"/>
            </w:tcBorders>
            <w:vAlign w:val="center"/>
          </w:tcPr>
          <w:p>
            <w:pPr>
              <w:widowControl/>
              <w:spacing w:line="360" w:lineRule="atLeast"/>
              <w:jc w:val="left"/>
              <w:outlineLvl w:val="1"/>
              <w:rPr>
                <w:rFonts w:ascii="宋体" w:hAnsi="宋体"/>
                <w:b/>
                <w:color w:val="auto"/>
                <w:sz w:val="24"/>
                <w:highlight w:val="none"/>
              </w:rPr>
            </w:pPr>
            <w:r>
              <w:rPr>
                <w:rFonts w:hint="eastAsia" w:ascii="宋体" w:hAnsi="宋体"/>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3" w:hRule="atLeast"/>
          <w:jc w:val="center"/>
        </w:trPr>
        <w:tc>
          <w:tcPr>
            <w:tcW w:w="910"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566"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436"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263"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370"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773" w:type="dxa"/>
            <w:gridSpan w:val="2"/>
            <w:tcBorders>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079" w:type="dxa"/>
            <w:tcBorders>
              <w:lef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3" w:hRule="atLeast"/>
          <w:jc w:val="center"/>
        </w:trPr>
        <w:tc>
          <w:tcPr>
            <w:tcW w:w="910"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566"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436"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263"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370"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773" w:type="dxa"/>
            <w:gridSpan w:val="2"/>
            <w:tcBorders>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079" w:type="dxa"/>
            <w:tcBorders>
              <w:lef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3" w:hRule="atLeast"/>
          <w:jc w:val="center"/>
        </w:trPr>
        <w:tc>
          <w:tcPr>
            <w:tcW w:w="910"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566"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436"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263"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370"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773" w:type="dxa"/>
            <w:gridSpan w:val="2"/>
            <w:tcBorders>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079" w:type="dxa"/>
            <w:tcBorders>
              <w:lef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3" w:hRule="atLeast"/>
          <w:jc w:val="center"/>
        </w:trPr>
        <w:tc>
          <w:tcPr>
            <w:tcW w:w="910"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566" w:type="dxa"/>
            <w:tcBorders>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436" w:type="dxa"/>
            <w:tcBorders>
              <w:lef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263"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370"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773" w:type="dxa"/>
            <w:gridSpan w:val="2"/>
            <w:tcBorders>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079" w:type="dxa"/>
            <w:tcBorders>
              <w:lef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3" w:hRule="atLeast"/>
          <w:jc w:val="center"/>
        </w:trPr>
        <w:tc>
          <w:tcPr>
            <w:tcW w:w="910" w:type="dxa"/>
            <w:tcBorders>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566"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436"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263"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380"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763"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079" w:type="dxa"/>
            <w:tcBorders>
              <w:lef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3" w:hRule="atLeast"/>
          <w:jc w:val="center"/>
        </w:trPr>
        <w:tc>
          <w:tcPr>
            <w:tcW w:w="910"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566"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436"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263"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380" w:type="dxa"/>
            <w:gridSpan w:val="2"/>
            <w:tcBorders>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763"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079" w:type="dxa"/>
            <w:tcBorders>
              <w:lef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3" w:hRule="atLeast"/>
          <w:jc w:val="center"/>
        </w:trPr>
        <w:tc>
          <w:tcPr>
            <w:tcW w:w="910"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566"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436"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263" w:type="dxa"/>
            <w:vAlign w:val="center"/>
          </w:tcPr>
          <w:p>
            <w:pPr>
              <w:widowControl/>
              <w:spacing w:line="360" w:lineRule="atLeast"/>
              <w:ind w:firstLine="470" w:firstLineChars="196"/>
              <w:jc w:val="left"/>
              <w:outlineLvl w:val="1"/>
              <w:rPr>
                <w:rFonts w:ascii="宋体" w:hAnsi="宋体"/>
                <w:color w:val="auto"/>
                <w:sz w:val="24"/>
                <w:highlight w:val="none"/>
              </w:rPr>
            </w:pPr>
          </w:p>
        </w:tc>
        <w:tc>
          <w:tcPr>
            <w:tcW w:w="1380" w:type="dxa"/>
            <w:gridSpan w:val="2"/>
            <w:tcBorders>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763"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079" w:type="dxa"/>
            <w:tcBorders>
              <w:lef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33" w:hRule="atLeast"/>
          <w:jc w:val="center"/>
        </w:trPr>
        <w:tc>
          <w:tcPr>
            <w:tcW w:w="910" w:type="dxa"/>
            <w:tcBorders>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566" w:type="dxa"/>
            <w:tcBorders>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436" w:type="dxa"/>
            <w:tcBorders>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263" w:type="dxa"/>
            <w:tcBorders>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380"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763"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079"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3" w:hRule="atLeast"/>
          <w:jc w:val="center"/>
        </w:trPr>
        <w:tc>
          <w:tcPr>
            <w:tcW w:w="91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56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43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26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380"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763"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079"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23" w:hRule="atLeast"/>
          <w:jc w:val="center"/>
        </w:trPr>
        <w:tc>
          <w:tcPr>
            <w:tcW w:w="91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56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43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26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380"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763"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079"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38" w:hRule="atLeast"/>
          <w:jc w:val="center"/>
        </w:trPr>
        <w:tc>
          <w:tcPr>
            <w:tcW w:w="910" w:type="dxa"/>
            <w:tcBorders>
              <w:top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566" w:type="dxa"/>
            <w:tcBorders>
              <w:top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436" w:type="dxa"/>
            <w:tcBorders>
              <w:top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263" w:type="dxa"/>
            <w:tcBorders>
              <w:top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380"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763"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c>
          <w:tcPr>
            <w:tcW w:w="1079"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宋体" w:hAnsi="宋体"/>
                <w:color w:val="auto"/>
                <w:sz w:val="24"/>
                <w:highlight w:val="none"/>
              </w:rPr>
            </w:pPr>
          </w:p>
        </w:tc>
      </w:tr>
    </w:tbl>
    <w:p>
      <w:pPr>
        <w:widowControl/>
        <w:spacing w:line="360" w:lineRule="atLeast"/>
        <w:ind w:firstLine="470" w:firstLineChars="196"/>
        <w:jc w:val="left"/>
        <w:outlineLvl w:val="1"/>
        <w:rPr>
          <w:rFonts w:ascii="宋体" w:hAnsi="宋体"/>
          <w:color w:val="auto"/>
          <w:sz w:val="24"/>
          <w:highlight w:val="none"/>
        </w:rPr>
      </w:pPr>
    </w:p>
    <w:p>
      <w:pPr>
        <w:widowControl/>
        <w:spacing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注：以上业绩需提供磋商文件要求的有关书面证明材料。</w:t>
      </w:r>
    </w:p>
    <w:p>
      <w:pPr>
        <w:widowControl/>
        <w:spacing w:line="360" w:lineRule="atLeast"/>
        <w:ind w:firstLine="470" w:firstLineChars="196"/>
        <w:jc w:val="left"/>
        <w:outlineLvl w:val="1"/>
        <w:rPr>
          <w:rFonts w:ascii="宋体" w:hAnsi="宋体"/>
          <w:color w:val="auto"/>
          <w:sz w:val="24"/>
          <w:highlight w:val="none"/>
        </w:rPr>
      </w:pPr>
    </w:p>
    <w:p>
      <w:pPr>
        <w:widowControl/>
        <w:spacing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供应商名称：XXXX（单位盖章）。</w:t>
      </w:r>
    </w:p>
    <w:p>
      <w:pPr>
        <w:widowControl/>
        <w:spacing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法定代表人/单位负责人或授权代表（签字或加盖个人名章）：XXXX。</w:t>
      </w:r>
    </w:p>
    <w:p>
      <w:pPr>
        <w:widowControl/>
        <w:spacing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日期: XXXX。</w:t>
      </w:r>
    </w:p>
    <w:p>
      <w:pPr>
        <w:widowControl/>
        <w:spacing w:after="0" w:line="360" w:lineRule="atLeast"/>
        <w:jc w:val="left"/>
        <w:outlineLvl w:val="1"/>
        <w:rPr>
          <w:rFonts w:hint="default" w:ascii="宋体" w:hAnsi="宋体" w:eastAsia="宋体"/>
          <w:b/>
          <w:color w:val="auto"/>
          <w:sz w:val="32"/>
          <w:szCs w:val="32"/>
          <w:highlight w:val="none"/>
          <w:lang w:val="en-US" w:eastAsia="zh-CN"/>
        </w:rPr>
      </w:pPr>
      <w:bookmarkStart w:id="27" w:name="_Toc217446090"/>
      <w:r>
        <w:rPr>
          <w:rFonts w:hint="eastAsia" w:ascii="宋体" w:hAnsi="宋体"/>
          <w:b/>
          <w:color w:val="auto"/>
          <w:sz w:val="32"/>
          <w:szCs w:val="32"/>
          <w:highlight w:val="none"/>
        </w:rPr>
        <w:br w:type="page"/>
      </w:r>
      <w:r>
        <w:rPr>
          <w:rFonts w:hint="eastAsia" w:ascii="宋体" w:hAnsi="宋体"/>
          <w:b/>
          <w:color w:val="auto"/>
          <w:sz w:val="32"/>
          <w:szCs w:val="32"/>
          <w:highlight w:val="none"/>
        </w:rPr>
        <w:t>格式2-</w:t>
      </w:r>
      <w:r>
        <w:rPr>
          <w:rFonts w:hint="eastAsia" w:ascii="宋体" w:hAnsi="宋体"/>
          <w:b/>
          <w:color w:val="auto"/>
          <w:sz w:val="32"/>
          <w:szCs w:val="32"/>
          <w:highlight w:val="none"/>
          <w:lang w:val="en-US" w:eastAsia="zh-CN"/>
        </w:rPr>
        <w:t>9</w:t>
      </w:r>
    </w:p>
    <w:p>
      <w:pPr>
        <w:pStyle w:val="2"/>
        <w:jc w:val="center"/>
        <w:rPr>
          <w:color w:val="auto"/>
          <w:highlight w:val="none"/>
        </w:rPr>
      </w:pPr>
      <w:r>
        <w:rPr>
          <w:rFonts w:hint="eastAsia" w:ascii="宋体" w:hAnsi="宋体"/>
          <w:b/>
          <w:color w:val="auto"/>
          <w:sz w:val="32"/>
          <w:szCs w:val="32"/>
          <w:highlight w:val="none"/>
        </w:rPr>
        <w:t>供应商本项目管理、技术、服务人员情况表</w:t>
      </w:r>
    </w:p>
    <w:bookmarkEnd w:id="27"/>
    <w:p>
      <w:pPr>
        <w:pStyle w:val="69"/>
        <w:ind w:firstLine="480" w:firstLineChars="200"/>
        <w:rPr>
          <w:color w:val="auto"/>
          <w:highlight w:val="none"/>
        </w:rPr>
      </w:pPr>
      <w:bookmarkStart w:id="28" w:name="_Toc217446091"/>
      <w:r>
        <w:rPr>
          <w:rFonts w:hint="eastAsia"/>
          <w:color w:val="auto"/>
          <w:highlight w:val="none"/>
        </w:rPr>
        <w:t xml:space="preserve">项目名称： </w:t>
      </w:r>
      <w:r>
        <w:rPr>
          <w:rFonts w:hint="eastAsia"/>
          <w:color w:val="auto"/>
          <w:highlight w:val="none"/>
          <w:u w:val="single"/>
        </w:rPr>
        <w:t xml:space="preserve">                              </w:t>
      </w:r>
      <w:r>
        <w:rPr>
          <w:rFonts w:hint="eastAsia"/>
          <w:color w:val="auto"/>
          <w:highlight w:val="none"/>
        </w:rPr>
        <w:t xml:space="preserve">                             </w:t>
      </w:r>
    </w:p>
    <w:p>
      <w:pPr>
        <w:pStyle w:val="69"/>
        <w:ind w:firstLine="480" w:firstLineChars="200"/>
        <w:rPr>
          <w:color w:val="auto"/>
          <w:highlight w:val="none"/>
        </w:rPr>
      </w:pPr>
      <w:r>
        <w:rPr>
          <w:rFonts w:hint="eastAsia"/>
          <w:color w:val="auto"/>
          <w:highlight w:val="none"/>
        </w:rPr>
        <w:t>项目编号：</w:t>
      </w:r>
      <w:r>
        <w:rPr>
          <w:rFonts w:hint="eastAsia"/>
          <w:color w:val="auto"/>
          <w:highlight w:val="none"/>
          <w:u w:val="single"/>
        </w:rPr>
        <w:t xml:space="preserve">                              </w:t>
      </w:r>
    </w:p>
    <w:tbl>
      <w:tblPr>
        <w:tblStyle w:val="30"/>
        <w:tblW w:w="8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948"/>
        <w:gridCol w:w="948"/>
        <w:gridCol w:w="948"/>
        <w:gridCol w:w="948"/>
        <w:gridCol w:w="1000"/>
        <w:gridCol w:w="1129"/>
        <w:gridCol w:w="996"/>
        <w:gridCol w:w="8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21" w:type="dxa"/>
            <w:vMerge w:val="restart"/>
            <w:vAlign w:val="center"/>
          </w:tcPr>
          <w:p>
            <w:pPr>
              <w:widowControl/>
              <w:spacing w:line="360" w:lineRule="atLeast"/>
              <w:jc w:val="center"/>
              <w:outlineLvl w:val="1"/>
              <w:rPr>
                <w:rFonts w:ascii="宋体" w:hAnsi="宋体"/>
                <w:b/>
                <w:color w:val="auto"/>
                <w:sz w:val="24"/>
                <w:highlight w:val="none"/>
              </w:rPr>
            </w:pPr>
            <w:r>
              <w:rPr>
                <w:rFonts w:hint="eastAsia" w:ascii="宋体" w:hAnsi="宋体"/>
                <w:b/>
                <w:color w:val="auto"/>
                <w:sz w:val="24"/>
                <w:highlight w:val="none"/>
              </w:rPr>
              <w:t>类别</w:t>
            </w:r>
          </w:p>
        </w:tc>
        <w:tc>
          <w:tcPr>
            <w:tcW w:w="948" w:type="dxa"/>
            <w:vMerge w:val="restart"/>
            <w:vAlign w:val="center"/>
          </w:tcPr>
          <w:p>
            <w:pPr>
              <w:widowControl/>
              <w:spacing w:line="360" w:lineRule="atLeast"/>
              <w:jc w:val="center"/>
              <w:outlineLvl w:val="1"/>
              <w:rPr>
                <w:rFonts w:ascii="宋体" w:hAnsi="宋体"/>
                <w:b/>
                <w:color w:val="auto"/>
                <w:sz w:val="24"/>
                <w:highlight w:val="none"/>
              </w:rPr>
            </w:pPr>
            <w:r>
              <w:rPr>
                <w:rFonts w:hint="eastAsia" w:ascii="宋体" w:hAnsi="宋体"/>
                <w:b/>
                <w:color w:val="auto"/>
                <w:sz w:val="24"/>
                <w:highlight w:val="none"/>
              </w:rPr>
              <w:t>职务</w:t>
            </w:r>
          </w:p>
        </w:tc>
        <w:tc>
          <w:tcPr>
            <w:tcW w:w="948" w:type="dxa"/>
            <w:vMerge w:val="restart"/>
            <w:vAlign w:val="center"/>
          </w:tcPr>
          <w:p>
            <w:pPr>
              <w:widowControl/>
              <w:spacing w:line="360" w:lineRule="atLeast"/>
              <w:jc w:val="center"/>
              <w:outlineLvl w:val="1"/>
              <w:rPr>
                <w:rFonts w:ascii="宋体" w:hAnsi="宋体"/>
                <w:b/>
                <w:color w:val="auto"/>
                <w:sz w:val="24"/>
                <w:highlight w:val="none"/>
              </w:rPr>
            </w:pPr>
            <w:r>
              <w:rPr>
                <w:rFonts w:hint="eastAsia" w:ascii="宋体" w:hAnsi="宋体"/>
                <w:b/>
                <w:color w:val="auto"/>
                <w:sz w:val="24"/>
                <w:highlight w:val="none"/>
              </w:rPr>
              <w:t>姓名</w:t>
            </w:r>
          </w:p>
        </w:tc>
        <w:tc>
          <w:tcPr>
            <w:tcW w:w="948" w:type="dxa"/>
            <w:vMerge w:val="restart"/>
            <w:vAlign w:val="center"/>
          </w:tcPr>
          <w:p>
            <w:pPr>
              <w:widowControl/>
              <w:spacing w:line="360" w:lineRule="atLeast"/>
              <w:jc w:val="center"/>
              <w:outlineLvl w:val="1"/>
              <w:rPr>
                <w:rFonts w:ascii="宋体" w:hAnsi="宋体"/>
                <w:b/>
                <w:color w:val="auto"/>
                <w:sz w:val="24"/>
                <w:highlight w:val="none"/>
              </w:rPr>
            </w:pPr>
            <w:r>
              <w:rPr>
                <w:rFonts w:hint="eastAsia" w:ascii="宋体" w:hAnsi="宋体"/>
                <w:b/>
                <w:color w:val="auto"/>
                <w:sz w:val="24"/>
                <w:highlight w:val="none"/>
              </w:rPr>
              <w:t>职称</w:t>
            </w:r>
          </w:p>
        </w:tc>
        <w:tc>
          <w:tcPr>
            <w:tcW w:w="948" w:type="dxa"/>
            <w:vMerge w:val="restart"/>
            <w:vAlign w:val="center"/>
          </w:tcPr>
          <w:p>
            <w:pPr>
              <w:widowControl/>
              <w:spacing w:line="360" w:lineRule="atLeast"/>
              <w:jc w:val="center"/>
              <w:outlineLvl w:val="1"/>
              <w:rPr>
                <w:rFonts w:ascii="宋体" w:hAnsi="宋体"/>
                <w:b/>
                <w:color w:val="auto"/>
                <w:sz w:val="24"/>
                <w:highlight w:val="none"/>
              </w:rPr>
            </w:pPr>
            <w:r>
              <w:rPr>
                <w:rFonts w:hint="eastAsia" w:ascii="宋体" w:hAnsi="宋体"/>
                <w:b/>
                <w:color w:val="auto"/>
                <w:sz w:val="24"/>
                <w:highlight w:val="none"/>
              </w:rPr>
              <w:t>常住地</w:t>
            </w:r>
          </w:p>
        </w:tc>
        <w:tc>
          <w:tcPr>
            <w:tcW w:w="3985" w:type="dxa"/>
            <w:gridSpan w:val="4"/>
            <w:vAlign w:val="center"/>
          </w:tcPr>
          <w:p>
            <w:pPr>
              <w:widowControl/>
              <w:spacing w:line="360" w:lineRule="atLeast"/>
              <w:ind w:firstLine="472" w:firstLineChars="196"/>
              <w:jc w:val="center"/>
              <w:outlineLvl w:val="1"/>
              <w:rPr>
                <w:rFonts w:ascii="宋体" w:hAnsi="宋体"/>
                <w:b/>
                <w:color w:val="auto"/>
                <w:sz w:val="24"/>
                <w:highlight w:val="none"/>
              </w:rPr>
            </w:pPr>
            <w:r>
              <w:rPr>
                <w:rFonts w:hint="eastAsia" w:ascii="宋体" w:hAnsi="宋体"/>
                <w:b/>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21" w:type="dxa"/>
            <w:vMerge w:val="continue"/>
            <w:vAlign w:val="center"/>
          </w:tcPr>
          <w:p>
            <w:pPr>
              <w:jc w:val="center"/>
              <w:rPr>
                <w:rFonts w:ascii="宋体" w:hAnsi="宋体"/>
                <w:b/>
                <w:color w:val="auto"/>
                <w:highlight w:val="none"/>
              </w:rPr>
            </w:pPr>
          </w:p>
        </w:tc>
        <w:tc>
          <w:tcPr>
            <w:tcW w:w="948" w:type="dxa"/>
            <w:vMerge w:val="continue"/>
            <w:vAlign w:val="center"/>
          </w:tcPr>
          <w:p>
            <w:pPr>
              <w:jc w:val="center"/>
              <w:rPr>
                <w:rFonts w:ascii="宋体" w:hAnsi="宋体"/>
                <w:b/>
                <w:color w:val="auto"/>
                <w:highlight w:val="none"/>
              </w:rPr>
            </w:pPr>
          </w:p>
        </w:tc>
        <w:tc>
          <w:tcPr>
            <w:tcW w:w="948" w:type="dxa"/>
            <w:vMerge w:val="continue"/>
            <w:vAlign w:val="center"/>
          </w:tcPr>
          <w:p>
            <w:pPr>
              <w:jc w:val="center"/>
              <w:rPr>
                <w:rFonts w:ascii="宋体" w:hAnsi="宋体"/>
                <w:b/>
                <w:color w:val="auto"/>
                <w:highlight w:val="none"/>
              </w:rPr>
            </w:pPr>
          </w:p>
        </w:tc>
        <w:tc>
          <w:tcPr>
            <w:tcW w:w="948" w:type="dxa"/>
            <w:vMerge w:val="continue"/>
            <w:vAlign w:val="center"/>
          </w:tcPr>
          <w:p>
            <w:pPr>
              <w:jc w:val="center"/>
              <w:rPr>
                <w:rFonts w:ascii="宋体" w:hAnsi="宋体"/>
                <w:b/>
                <w:color w:val="auto"/>
                <w:highlight w:val="none"/>
              </w:rPr>
            </w:pPr>
          </w:p>
        </w:tc>
        <w:tc>
          <w:tcPr>
            <w:tcW w:w="948" w:type="dxa"/>
            <w:vMerge w:val="continue"/>
            <w:vAlign w:val="center"/>
          </w:tcPr>
          <w:p>
            <w:pPr>
              <w:jc w:val="center"/>
              <w:rPr>
                <w:rFonts w:ascii="宋体" w:hAnsi="宋体"/>
                <w:b/>
                <w:color w:val="auto"/>
                <w:highlight w:val="none"/>
              </w:rPr>
            </w:pPr>
          </w:p>
        </w:tc>
        <w:tc>
          <w:tcPr>
            <w:tcW w:w="1000" w:type="dxa"/>
            <w:vAlign w:val="center"/>
          </w:tcPr>
          <w:p>
            <w:pPr>
              <w:widowControl/>
              <w:spacing w:after="0" w:line="360" w:lineRule="atLeast"/>
              <w:jc w:val="center"/>
              <w:outlineLvl w:val="1"/>
              <w:rPr>
                <w:rFonts w:ascii="宋体" w:hAnsi="宋体"/>
                <w:b/>
                <w:color w:val="auto"/>
                <w:sz w:val="24"/>
                <w:highlight w:val="none"/>
              </w:rPr>
            </w:pPr>
            <w:r>
              <w:rPr>
                <w:rFonts w:hint="eastAsia" w:ascii="宋体" w:hAnsi="宋体"/>
                <w:b/>
                <w:color w:val="auto"/>
                <w:sz w:val="24"/>
                <w:highlight w:val="none"/>
              </w:rPr>
              <w:t>证书</w:t>
            </w:r>
          </w:p>
          <w:p>
            <w:pPr>
              <w:widowControl/>
              <w:spacing w:after="0" w:line="360" w:lineRule="atLeast"/>
              <w:jc w:val="center"/>
              <w:outlineLvl w:val="1"/>
              <w:rPr>
                <w:rFonts w:ascii="宋体" w:hAnsi="宋体"/>
                <w:b/>
                <w:color w:val="auto"/>
                <w:sz w:val="24"/>
                <w:highlight w:val="none"/>
              </w:rPr>
            </w:pPr>
            <w:r>
              <w:rPr>
                <w:rFonts w:hint="eastAsia" w:ascii="宋体" w:hAnsi="宋体"/>
                <w:b/>
                <w:color w:val="auto"/>
                <w:sz w:val="24"/>
                <w:highlight w:val="none"/>
              </w:rPr>
              <w:t>名称</w:t>
            </w:r>
          </w:p>
        </w:tc>
        <w:tc>
          <w:tcPr>
            <w:tcW w:w="1129" w:type="dxa"/>
            <w:vAlign w:val="center"/>
          </w:tcPr>
          <w:p>
            <w:pPr>
              <w:widowControl/>
              <w:spacing w:after="0" w:line="360" w:lineRule="atLeast"/>
              <w:jc w:val="center"/>
              <w:outlineLvl w:val="1"/>
              <w:rPr>
                <w:rFonts w:ascii="宋体" w:hAnsi="宋体"/>
                <w:b/>
                <w:color w:val="auto"/>
                <w:sz w:val="24"/>
                <w:highlight w:val="none"/>
              </w:rPr>
            </w:pPr>
            <w:r>
              <w:rPr>
                <w:rFonts w:hint="eastAsia" w:ascii="宋体" w:hAnsi="宋体"/>
                <w:b/>
                <w:color w:val="auto"/>
                <w:sz w:val="24"/>
                <w:highlight w:val="none"/>
              </w:rPr>
              <w:t>级别</w:t>
            </w:r>
          </w:p>
        </w:tc>
        <w:tc>
          <w:tcPr>
            <w:tcW w:w="996" w:type="dxa"/>
            <w:vAlign w:val="center"/>
          </w:tcPr>
          <w:p>
            <w:pPr>
              <w:widowControl/>
              <w:spacing w:after="0" w:line="360" w:lineRule="atLeast"/>
              <w:jc w:val="center"/>
              <w:outlineLvl w:val="1"/>
              <w:rPr>
                <w:rFonts w:ascii="宋体" w:hAnsi="宋体"/>
                <w:b/>
                <w:color w:val="auto"/>
                <w:sz w:val="24"/>
                <w:highlight w:val="none"/>
              </w:rPr>
            </w:pPr>
            <w:r>
              <w:rPr>
                <w:rFonts w:hint="eastAsia" w:ascii="宋体" w:hAnsi="宋体"/>
                <w:b/>
                <w:color w:val="auto"/>
                <w:sz w:val="24"/>
                <w:highlight w:val="none"/>
              </w:rPr>
              <w:t>证号</w:t>
            </w:r>
          </w:p>
        </w:tc>
        <w:tc>
          <w:tcPr>
            <w:tcW w:w="861" w:type="dxa"/>
            <w:vAlign w:val="center"/>
          </w:tcPr>
          <w:p>
            <w:pPr>
              <w:widowControl/>
              <w:spacing w:after="0" w:line="360" w:lineRule="atLeast"/>
              <w:jc w:val="center"/>
              <w:outlineLvl w:val="1"/>
              <w:rPr>
                <w:rFonts w:ascii="宋体" w:hAnsi="宋体"/>
                <w:b/>
                <w:color w:val="auto"/>
                <w:sz w:val="24"/>
                <w:highlight w:val="none"/>
              </w:rPr>
            </w:pPr>
            <w:r>
              <w:rPr>
                <w:rFonts w:hint="eastAsia" w:ascii="宋体" w:hAnsi="宋体"/>
                <w:b/>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1121" w:type="dxa"/>
            <w:vMerge w:val="restart"/>
            <w:vAlign w:val="center"/>
          </w:tcPr>
          <w:p>
            <w:pPr>
              <w:widowControl/>
              <w:spacing w:after="0" w:line="240" w:lineRule="auto"/>
              <w:jc w:val="center"/>
              <w:outlineLvl w:val="1"/>
              <w:rPr>
                <w:rFonts w:ascii="宋体" w:hAnsi="宋体"/>
                <w:color w:val="auto"/>
                <w:sz w:val="24"/>
                <w:highlight w:val="none"/>
              </w:rPr>
            </w:pPr>
            <w:r>
              <w:rPr>
                <w:rFonts w:hint="eastAsia" w:ascii="宋体" w:hAnsi="宋体"/>
                <w:color w:val="auto"/>
                <w:sz w:val="24"/>
                <w:highlight w:val="none"/>
              </w:rPr>
              <w:t>管理</w:t>
            </w:r>
          </w:p>
          <w:p>
            <w:pPr>
              <w:widowControl/>
              <w:spacing w:after="0" w:line="240" w:lineRule="auto"/>
              <w:jc w:val="center"/>
              <w:outlineLvl w:val="1"/>
              <w:rPr>
                <w:rFonts w:ascii="宋体" w:hAnsi="宋体"/>
                <w:color w:val="auto"/>
                <w:sz w:val="24"/>
                <w:highlight w:val="none"/>
              </w:rPr>
            </w:pPr>
            <w:r>
              <w:rPr>
                <w:rFonts w:hint="eastAsia" w:ascii="宋体" w:hAnsi="宋体"/>
                <w:color w:val="auto"/>
                <w:sz w:val="24"/>
                <w:highlight w:val="none"/>
              </w:rPr>
              <w:t>人员</w:t>
            </w: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1000" w:type="dxa"/>
          </w:tcPr>
          <w:p>
            <w:pPr>
              <w:widowControl/>
              <w:spacing w:line="360" w:lineRule="atLeast"/>
              <w:ind w:firstLine="470" w:firstLineChars="196"/>
              <w:jc w:val="left"/>
              <w:outlineLvl w:val="1"/>
              <w:rPr>
                <w:rFonts w:ascii="宋体" w:hAnsi="宋体"/>
                <w:color w:val="auto"/>
                <w:sz w:val="24"/>
                <w:highlight w:val="none"/>
              </w:rPr>
            </w:pPr>
          </w:p>
        </w:tc>
        <w:tc>
          <w:tcPr>
            <w:tcW w:w="1129" w:type="dxa"/>
          </w:tcPr>
          <w:p>
            <w:pPr>
              <w:widowControl/>
              <w:spacing w:line="360" w:lineRule="atLeast"/>
              <w:ind w:firstLine="470" w:firstLineChars="196"/>
              <w:jc w:val="left"/>
              <w:outlineLvl w:val="1"/>
              <w:rPr>
                <w:rFonts w:ascii="宋体" w:hAnsi="宋体"/>
                <w:color w:val="auto"/>
                <w:sz w:val="24"/>
                <w:highlight w:val="none"/>
              </w:rPr>
            </w:pPr>
          </w:p>
        </w:tc>
        <w:tc>
          <w:tcPr>
            <w:tcW w:w="996" w:type="dxa"/>
          </w:tcPr>
          <w:p>
            <w:pPr>
              <w:widowControl/>
              <w:spacing w:line="360" w:lineRule="atLeast"/>
              <w:ind w:firstLine="470" w:firstLineChars="196"/>
              <w:jc w:val="left"/>
              <w:outlineLvl w:val="1"/>
              <w:rPr>
                <w:rFonts w:ascii="宋体" w:hAnsi="宋体"/>
                <w:color w:val="auto"/>
                <w:sz w:val="24"/>
                <w:highlight w:val="none"/>
              </w:rPr>
            </w:pPr>
          </w:p>
        </w:tc>
        <w:tc>
          <w:tcPr>
            <w:tcW w:w="861" w:type="dxa"/>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21" w:type="dxa"/>
            <w:vMerge w:val="continue"/>
            <w:vAlign w:val="center"/>
          </w:tcPr>
          <w:p>
            <w:pPr>
              <w:spacing w:after="0" w:line="240" w:lineRule="auto"/>
              <w:jc w:val="center"/>
              <w:rPr>
                <w:rFonts w:ascii="宋体" w:hAnsi="宋体"/>
                <w:color w:val="auto"/>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1000" w:type="dxa"/>
          </w:tcPr>
          <w:p>
            <w:pPr>
              <w:widowControl/>
              <w:spacing w:line="360" w:lineRule="atLeast"/>
              <w:ind w:firstLine="470" w:firstLineChars="196"/>
              <w:jc w:val="left"/>
              <w:outlineLvl w:val="1"/>
              <w:rPr>
                <w:rFonts w:ascii="宋体" w:hAnsi="宋体"/>
                <w:color w:val="auto"/>
                <w:sz w:val="24"/>
                <w:highlight w:val="none"/>
              </w:rPr>
            </w:pPr>
          </w:p>
        </w:tc>
        <w:tc>
          <w:tcPr>
            <w:tcW w:w="1129" w:type="dxa"/>
          </w:tcPr>
          <w:p>
            <w:pPr>
              <w:widowControl/>
              <w:spacing w:line="360" w:lineRule="atLeast"/>
              <w:ind w:firstLine="470" w:firstLineChars="196"/>
              <w:jc w:val="left"/>
              <w:outlineLvl w:val="1"/>
              <w:rPr>
                <w:rFonts w:ascii="宋体" w:hAnsi="宋体"/>
                <w:color w:val="auto"/>
                <w:sz w:val="24"/>
                <w:highlight w:val="none"/>
              </w:rPr>
            </w:pPr>
          </w:p>
        </w:tc>
        <w:tc>
          <w:tcPr>
            <w:tcW w:w="996" w:type="dxa"/>
          </w:tcPr>
          <w:p>
            <w:pPr>
              <w:widowControl/>
              <w:spacing w:line="360" w:lineRule="atLeast"/>
              <w:ind w:firstLine="470" w:firstLineChars="196"/>
              <w:jc w:val="left"/>
              <w:outlineLvl w:val="1"/>
              <w:rPr>
                <w:rFonts w:ascii="宋体" w:hAnsi="宋体"/>
                <w:color w:val="auto"/>
                <w:sz w:val="24"/>
                <w:highlight w:val="none"/>
              </w:rPr>
            </w:pPr>
          </w:p>
        </w:tc>
        <w:tc>
          <w:tcPr>
            <w:tcW w:w="861" w:type="dxa"/>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1121" w:type="dxa"/>
            <w:vMerge w:val="continue"/>
            <w:vAlign w:val="center"/>
          </w:tcPr>
          <w:p>
            <w:pPr>
              <w:spacing w:after="0" w:line="240" w:lineRule="auto"/>
              <w:jc w:val="center"/>
              <w:rPr>
                <w:rFonts w:ascii="宋体" w:hAnsi="宋体"/>
                <w:color w:val="auto"/>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1000" w:type="dxa"/>
          </w:tcPr>
          <w:p>
            <w:pPr>
              <w:widowControl/>
              <w:spacing w:line="360" w:lineRule="atLeast"/>
              <w:ind w:firstLine="470" w:firstLineChars="196"/>
              <w:jc w:val="left"/>
              <w:outlineLvl w:val="1"/>
              <w:rPr>
                <w:rFonts w:ascii="宋体" w:hAnsi="宋体"/>
                <w:color w:val="auto"/>
                <w:sz w:val="24"/>
                <w:highlight w:val="none"/>
              </w:rPr>
            </w:pPr>
          </w:p>
        </w:tc>
        <w:tc>
          <w:tcPr>
            <w:tcW w:w="1129" w:type="dxa"/>
          </w:tcPr>
          <w:p>
            <w:pPr>
              <w:widowControl/>
              <w:spacing w:line="360" w:lineRule="atLeast"/>
              <w:ind w:firstLine="470" w:firstLineChars="196"/>
              <w:jc w:val="left"/>
              <w:outlineLvl w:val="1"/>
              <w:rPr>
                <w:rFonts w:ascii="宋体" w:hAnsi="宋体"/>
                <w:color w:val="auto"/>
                <w:sz w:val="24"/>
                <w:highlight w:val="none"/>
              </w:rPr>
            </w:pPr>
          </w:p>
        </w:tc>
        <w:tc>
          <w:tcPr>
            <w:tcW w:w="996" w:type="dxa"/>
          </w:tcPr>
          <w:p>
            <w:pPr>
              <w:widowControl/>
              <w:spacing w:line="360" w:lineRule="atLeast"/>
              <w:ind w:firstLine="470" w:firstLineChars="196"/>
              <w:jc w:val="left"/>
              <w:outlineLvl w:val="1"/>
              <w:rPr>
                <w:rFonts w:ascii="宋体" w:hAnsi="宋体"/>
                <w:color w:val="auto"/>
                <w:sz w:val="24"/>
                <w:highlight w:val="none"/>
              </w:rPr>
            </w:pPr>
          </w:p>
        </w:tc>
        <w:tc>
          <w:tcPr>
            <w:tcW w:w="861" w:type="dxa"/>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21" w:type="dxa"/>
            <w:vMerge w:val="restart"/>
            <w:vAlign w:val="center"/>
          </w:tcPr>
          <w:p>
            <w:pPr>
              <w:widowControl/>
              <w:spacing w:after="0" w:line="240" w:lineRule="auto"/>
              <w:jc w:val="center"/>
              <w:outlineLvl w:val="1"/>
              <w:rPr>
                <w:rFonts w:ascii="宋体" w:hAnsi="宋体"/>
                <w:color w:val="auto"/>
                <w:sz w:val="24"/>
                <w:highlight w:val="none"/>
              </w:rPr>
            </w:pPr>
            <w:r>
              <w:rPr>
                <w:rFonts w:hint="eastAsia" w:ascii="宋体" w:hAnsi="宋体"/>
                <w:color w:val="auto"/>
                <w:sz w:val="24"/>
                <w:highlight w:val="none"/>
              </w:rPr>
              <w:t>技术</w:t>
            </w:r>
          </w:p>
          <w:p>
            <w:pPr>
              <w:widowControl/>
              <w:spacing w:after="0" w:line="240" w:lineRule="auto"/>
              <w:jc w:val="center"/>
              <w:outlineLvl w:val="1"/>
              <w:rPr>
                <w:rFonts w:ascii="宋体" w:hAnsi="宋体"/>
                <w:color w:val="auto"/>
                <w:sz w:val="24"/>
                <w:highlight w:val="none"/>
              </w:rPr>
            </w:pPr>
            <w:r>
              <w:rPr>
                <w:rFonts w:hint="eastAsia" w:ascii="宋体" w:hAnsi="宋体"/>
                <w:color w:val="auto"/>
                <w:sz w:val="24"/>
                <w:highlight w:val="none"/>
              </w:rPr>
              <w:t>人员</w:t>
            </w: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1000" w:type="dxa"/>
          </w:tcPr>
          <w:p>
            <w:pPr>
              <w:widowControl/>
              <w:spacing w:line="360" w:lineRule="atLeast"/>
              <w:ind w:firstLine="470" w:firstLineChars="196"/>
              <w:jc w:val="left"/>
              <w:outlineLvl w:val="1"/>
              <w:rPr>
                <w:rFonts w:ascii="宋体" w:hAnsi="宋体"/>
                <w:color w:val="auto"/>
                <w:sz w:val="24"/>
                <w:highlight w:val="none"/>
              </w:rPr>
            </w:pPr>
          </w:p>
        </w:tc>
        <w:tc>
          <w:tcPr>
            <w:tcW w:w="1129" w:type="dxa"/>
          </w:tcPr>
          <w:p>
            <w:pPr>
              <w:widowControl/>
              <w:spacing w:line="360" w:lineRule="atLeast"/>
              <w:ind w:firstLine="470" w:firstLineChars="196"/>
              <w:jc w:val="left"/>
              <w:outlineLvl w:val="1"/>
              <w:rPr>
                <w:rFonts w:ascii="宋体" w:hAnsi="宋体"/>
                <w:color w:val="auto"/>
                <w:sz w:val="24"/>
                <w:highlight w:val="none"/>
              </w:rPr>
            </w:pPr>
          </w:p>
        </w:tc>
        <w:tc>
          <w:tcPr>
            <w:tcW w:w="996" w:type="dxa"/>
          </w:tcPr>
          <w:p>
            <w:pPr>
              <w:widowControl/>
              <w:spacing w:line="360" w:lineRule="atLeast"/>
              <w:ind w:firstLine="470" w:firstLineChars="196"/>
              <w:jc w:val="left"/>
              <w:outlineLvl w:val="1"/>
              <w:rPr>
                <w:rFonts w:ascii="宋体" w:hAnsi="宋体"/>
                <w:color w:val="auto"/>
                <w:sz w:val="24"/>
                <w:highlight w:val="none"/>
              </w:rPr>
            </w:pPr>
          </w:p>
        </w:tc>
        <w:tc>
          <w:tcPr>
            <w:tcW w:w="861" w:type="dxa"/>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1121" w:type="dxa"/>
            <w:vMerge w:val="continue"/>
            <w:vAlign w:val="center"/>
          </w:tcPr>
          <w:p>
            <w:pPr>
              <w:spacing w:after="0" w:line="240" w:lineRule="auto"/>
              <w:jc w:val="center"/>
              <w:rPr>
                <w:rFonts w:ascii="宋体" w:hAnsi="宋体"/>
                <w:color w:val="auto"/>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1000" w:type="dxa"/>
          </w:tcPr>
          <w:p>
            <w:pPr>
              <w:widowControl/>
              <w:spacing w:line="360" w:lineRule="atLeast"/>
              <w:ind w:firstLine="470" w:firstLineChars="196"/>
              <w:jc w:val="left"/>
              <w:outlineLvl w:val="1"/>
              <w:rPr>
                <w:rFonts w:ascii="宋体" w:hAnsi="宋体"/>
                <w:color w:val="auto"/>
                <w:sz w:val="24"/>
                <w:highlight w:val="none"/>
              </w:rPr>
            </w:pPr>
          </w:p>
        </w:tc>
        <w:tc>
          <w:tcPr>
            <w:tcW w:w="1129" w:type="dxa"/>
          </w:tcPr>
          <w:p>
            <w:pPr>
              <w:widowControl/>
              <w:spacing w:line="360" w:lineRule="atLeast"/>
              <w:ind w:firstLine="470" w:firstLineChars="196"/>
              <w:jc w:val="left"/>
              <w:outlineLvl w:val="1"/>
              <w:rPr>
                <w:rFonts w:ascii="宋体" w:hAnsi="宋体"/>
                <w:color w:val="auto"/>
                <w:sz w:val="24"/>
                <w:highlight w:val="none"/>
              </w:rPr>
            </w:pPr>
          </w:p>
        </w:tc>
        <w:tc>
          <w:tcPr>
            <w:tcW w:w="996" w:type="dxa"/>
          </w:tcPr>
          <w:p>
            <w:pPr>
              <w:widowControl/>
              <w:spacing w:line="360" w:lineRule="atLeast"/>
              <w:ind w:firstLine="470" w:firstLineChars="196"/>
              <w:jc w:val="left"/>
              <w:outlineLvl w:val="1"/>
              <w:rPr>
                <w:rFonts w:ascii="宋体" w:hAnsi="宋体"/>
                <w:color w:val="auto"/>
                <w:sz w:val="24"/>
                <w:highlight w:val="none"/>
              </w:rPr>
            </w:pPr>
          </w:p>
        </w:tc>
        <w:tc>
          <w:tcPr>
            <w:tcW w:w="861" w:type="dxa"/>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21" w:type="dxa"/>
            <w:vMerge w:val="continue"/>
            <w:vAlign w:val="center"/>
          </w:tcPr>
          <w:p>
            <w:pPr>
              <w:spacing w:after="0" w:line="240" w:lineRule="auto"/>
              <w:jc w:val="center"/>
              <w:rPr>
                <w:rFonts w:ascii="宋体" w:hAnsi="宋体"/>
                <w:color w:val="auto"/>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1000" w:type="dxa"/>
          </w:tcPr>
          <w:p>
            <w:pPr>
              <w:widowControl/>
              <w:spacing w:line="360" w:lineRule="atLeast"/>
              <w:ind w:firstLine="470" w:firstLineChars="196"/>
              <w:jc w:val="left"/>
              <w:outlineLvl w:val="1"/>
              <w:rPr>
                <w:rFonts w:ascii="宋体" w:hAnsi="宋体"/>
                <w:color w:val="auto"/>
                <w:sz w:val="24"/>
                <w:highlight w:val="none"/>
              </w:rPr>
            </w:pPr>
          </w:p>
        </w:tc>
        <w:tc>
          <w:tcPr>
            <w:tcW w:w="1129" w:type="dxa"/>
          </w:tcPr>
          <w:p>
            <w:pPr>
              <w:widowControl/>
              <w:spacing w:line="360" w:lineRule="atLeast"/>
              <w:ind w:firstLine="470" w:firstLineChars="196"/>
              <w:jc w:val="left"/>
              <w:outlineLvl w:val="1"/>
              <w:rPr>
                <w:rFonts w:ascii="宋体" w:hAnsi="宋体"/>
                <w:color w:val="auto"/>
                <w:sz w:val="24"/>
                <w:highlight w:val="none"/>
              </w:rPr>
            </w:pPr>
          </w:p>
        </w:tc>
        <w:tc>
          <w:tcPr>
            <w:tcW w:w="996" w:type="dxa"/>
          </w:tcPr>
          <w:p>
            <w:pPr>
              <w:widowControl/>
              <w:spacing w:line="360" w:lineRule="atLeast"/>
              <w:ind w:firstLine="470" w:firstLineChars="196"/>
              <w:jc w:val="left"/>
              <w:outlineLvl w:val="1"/>
              <w:rPr>
                <w:rFonts w:ascii="宋体" w:hAnsi="宋体"/>
                <w:color w:val="auto"/>
                <w:sz w:val="24"/>
                <w:highlight w:val="none"/>
              </w:rPr>
            </w:pPr>
          </w:p>
        </w:tc>
        <w:tc>
          <w:tcPr>
            <w:tcW w:w="861" w:type="dxa"/>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jc w:val="center"/>
        </w:trPr>
        <w:tc>
          <w:tcPr>
            <w:tcW w:w="1121" w:type="dxa"/>
            <w:vMerge w:val="restart"/>
            <w:vAlign w:val="center"/>
          </w:tcPr>
          <w:p>
            <w:pPr>
              <w:widowControl/>
              <w:spacing w:after="0" w:line="240" w:lineRule="auto"/>
              <w:jc w:val="center"/>
              <w:outlineLvl w:val="1"/>
              <w:rPr>
                <w:rFonts w:ascii="宋体" w:hAnsi="宋体"/>
                <w:color w:val="auto"/>
                <w:sz w:val="24"/>
                <w:highlight w:val="none"/>
              </w:rPr>
            </w:pPr>
            <w:r>
              <w:rPr>
                <w:rFonts w:hint="eastAsia" w:ascii="宋体" w:hAnsi="宋体"/>
                <w:color w:val="auto"/>
                <w:sz w:val="24"/>
                <w:highlight w:val="none"/>
              </w:rPr>
              <w:t>售后服务人员</w:t>
            </w: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1000" w:type="dxa"/>
          </w:tcPr>
          <w:p>
            <w:pPr>
              <w:widowControl/>
              <w:spacing w:line="360" w:lineRule="atLeast"/>
              <w:ind w:firstLine="470" w:firstLineChars="196"/>
              <w:jc w:val="left"/>
              <w:outlineLvl w:val="1"/>
              <w:rPr>
                <w:rFonts w:ascii="宋体" w:hAnsi="宋体"/>
                <w:color w:val="auto"/>
                <w:sz w:val="24"/>
                <w:highlight w:val="none"/>
              </w:rPr>
            </w:pPr>
          </w:p>
        </w:tc>
        <w:tc>
          <w:tcPr>
            <w:tcW w:w="1129" w:type="dxa"/>
          </w:tcPr>
          <w:p>
            <w:pPr>
              <w:widowControl/>
              <w:spacing w:line="360" w:lineRule="atLeast"/>
              <w:ind w:firstLine="470" w:firstLineChars="196"/>
              <w:jc w:val="left"/>
              <w:outlineLvl w:val="1"/>
              <w:rPr>
                <w:rFonts w:ascii="宋体" w:hAnsi="宋体"/>
                <w:color w:val="auto"/>
                <w:sz w:val="24"/>
                <w:highlight w:val="none"/>
              </w:rPr>
            </w:pPr>
          </w:p>
        </w:tc>
        <w:tc>
          <w:tcPr>
            <w:tcW w:w="996" w:type="dxa"/>
          </w:tcPr>
          <w:p>
            <w:pPr>
              <w:widowControl/>
              <w:spacing w:line="360" w:lineRule="atLeast"/>
              <w:ind w:firstLine="470" w:firstLineChars="196"/>
              <w:jc w:val="left"/>
              <w:outlineLvl w:val="1"/>
              <w:rPr>
                <w:rFonts w:ascii="宋体" w:hAnsi="宋体"/>
                <w:color w:val="auto"/>
                <w:sz w:val="24"/>
                <w:highlight w:val="none"/>
              </w:rPr>
            </w:pPr>
          </w:p>
        </w:tc>
        <w:tc>
          <w:tcPr>
            <w:tcW w:w="861" w:type="dxa"/>
          </w:tcPr>
          <w:p>
            <w:pPr>
              <w:widowControl/>
              <w:spacing w:line="360" w:lineRule="atLeast"/>
              <w:ind w:firstLine="470" w:firstLineChars="196"/>
              <w:jc w:val="left"/>
              <w:outlineLvl w:val="1"/>
              <w:rPr>
                <w:rFonts w:ascii="宋体"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1121" w:type="dxa"/>
            <w:vMerge w:val="continue"/>
            <w:tcBorders>
              <w:bottom w:val="single" w:color="auto" w:sz="4" w:space="0"/>
            </w:tcBorders>
          </w:tcPr>
          <w:p>
            <w:pPr>
              <w:rPr>
                <w:rFonts w:ascii="宋体" w:hAnsi="宋体"/>
                <w:color w:val="auto"/>
                <w:highlight w:val="none"/>
              </w:rPr>
            </w:pPr>
          </w:p>
        </w:tc>
        <w:tc>
          <w:tcPr>
            <w:tcW w:w="948" w:type="dxa"/>
            <w:tcBorders>
              <w:bottom w:val="single" w:color="auto" w:sz="4" w:space="0"/>
            </w:tcBorders>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948" w:type="dxa"/>
          </w:tcPr>
          <w:p>
            <w:pPr>
              <w:widowControl/>
              <w:spacing w:line="360" w:lineRule="atLeast"/>
              <w:ind w:firstLine="470" w:firstLineChars="196"/>
              <w:jc w:val="left"/>
              <w:outlineLvl w:val="1"/>
              <w:rPr>
                <w:rFonts w:ascii="宋体" w:hAnsi="宋体"/>
                <w:color w:val="auto"/>
                <w:sz w:val="24"/>
                <w:highlight w:val="none"/>
              </w:rPr>
            </w:pPr>
          </w:p>
        </w:tc>
        <w:tc>
          <w:tcPr>
            <w:tcW w:w="1000" w:type="dxa"/>
          </w:tcPr>
          <w:p>
            <w:pPr>
              <w:widowControl/>
              <w:spacing w:line="360" w:lineRule="atLeast"/>
              <w:ind w:firstLine="470" w:firstLineChars="196"/>
              <w:jc w:val="left"/>
              <w:outlineLvl w:val="1"/>
              <w:rPr>
                <w:rFonts w:ascii="宋体" w:hAnsi="宋体"/>
                <w:color w:val="auto"/>
                <w:sz w:val="24"/>
                <w:highlight w:val="none"/>
              </w:rPr>
            </w:pPr>
          </w:p>
        </w:tc>
        <w:tc>
          <w:tcPr>
            <w:tcW w:w="1129" w:type="dxa"/>
          </w:tcPr>
          <w:p>
            <w:pPr>
              <w:widowControl/>
              <w:spacing w:line="360" w:lineRule="atLeast"/>
              <w:ind w:firstLine="470" w:firstLineChars="196"/>
              <w:jc w:val="left"/>
              <w:outlineLvl w:val="1"/>
              <w:rPr>
                <w:rFonts w:ascii="宋体" w:hAnsi="宋体"/>
                <w:color w:val="auto"/>
                <w:sz w:val="24"/>
                <w:highlight w:val="none"/>
              </w:rPr>
            </w:pPr>
          </w:p>
        </w:tc>
        <w:tc>
          <w:tcPr>
            <w:tcW w:w="996" w:type="dxa"/>
          </w:tcPr>
          <w:p>
            <w:pPr>
              <w:widowControl/>
              <w:spacing w:line="360" w:lineRule="atLeast"/>
              <w:ind w:firstLine="470" w:firstLineChars="196"/>
              <w:jc w:val="left"/>
              <w:outlineLvl w:val="1"/>
              <w:rPr>
                <w:rFonts w:ascii="宋体" w:hAnsi="宋体"/>
                <w:color w:val="auto"/>
                <w:sz w:val="24"/>
                <w:highlight w:val="none"/>
              </w:rPr>
            </w:pPr>
          </w:p>
        </w:tc>
        <w:tc>
          <w:tcPr>
            <w:tcW w:w="861" w:type="dxa"/>
          </w:tcPr>
          <w:p>
            <w:pPr>
              <w:widowControl/>
              <w:spacing w:line="360" w:lineRule="atLeast"/>
              <w:ind w:firstLine="470" w:firstLineChars="196"/>
              <w:jc w:val="left"/>
              <w:outlineLvl w:val="1"/>
              <w:rPr>
                <w:rFonts w:ascii="宋体" w:hAnsi="宋体"/>
                <w:color w:val="auto"/>
                <w:sz w:val="24"/>
                <w:highlight w:val="none"/>
              </w:rPr>
            </w:pPr>
          </w:p>
        </w:tc>
      </w:tr>
    </w:tbl>
    <w:p>
      <w:pPr>
        <w:widowControl/>
        <w:spacing w:line="360" w:lineRule="atLeast"/>
        <w:ind w:firstLine="470" w:firstLineChars="196"/>
        <w:jc w:val="left"/>
        <w:outlineLvl w:val="1"/>
        <w:rPr>
          <w:rFonts w:ascii="宋体" w:hAnsi="宋体"/>
          <w:color w:val="auto"/>
          <w:sz w:val="24"/>
          <w:highlight w:val="none"/>
        </w:rPr>
      </w:pPr>
    </w:p>
    <w:p>
      <w:pPr>
        <w:widowControl/>
        <w:spacing w:line="360" w:lineRule="atLeast"/>
        <w:ind w:firstLine="472" w:firstLineChars="196"/>
        <w:jc w:val="left"/>
        <w:outlineLvl w:val="1"/>
        <w:rPr>
          <w:rFonts w:ascii="宋体" w:hAnsi="宋体"/>
          <w:b/>
          <w:color w:val="auto"/>
          <w:sz w:val="24"/>
          <w:highlight w:val="none"/>
        </w:rPr>
      </w:pPr>
      <w:r>
        <w:rPr>
          <w:rFonts w:hint="eastAsia" w:ascii="宋体" w:hAnsi="宋体"/>
          <w:b/>
          <w:color w:val="auto"/>
          <w:sz w:val="24"/>
          <w:highlight w:val="none"/>
        </w:rPr>
        <w:t>注：供应商根据自身实际情况填写，对不涉及的内容可填写“/”。</w:t>
      </w:r>
    </w:p>
    <w:p>
      <w:pPr>
        <w:widowControl/>
        <w:spacing w:line="360" w:lineRule="atLeast"/>
        <w:jc w:val="left"/>
        <w:outlineLvl w:val="1"/>
        <w:rPr>
          <w:rFonts w:ascii="宋体" w:hAnsi="宋体"/>
          <w:color w:val="auto"/>
          <w:sz w:val="24"/>
          <w:highlight w:val="none"/>
        </w:rPr>
      </w:pPr>
    </w:p>
    <w:p>
      <w:pPr>
        <w:widowControl/>
        <w:spacing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供应商名称：XXXX（单位盖章）。</w:t>
      </w:r>
    </w:p>
    <w:p>
      <w:pPr>
        <w:widowControl/>
        <w:spacing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法定代表人/单位负责人或授权代表（签字或加盖个人名章）：XXXX。</w:t>
      </w:r>
    </w:p>
    <w:p>
      <w:pPr>
        <w:widowControl/>
        <w:spacing w:line="360" w:lineRule="atLeast"/>
        <w:ind w:firstLine="470" w:firstLineChars="196"/>
        <w:jc w:val="left"/>
        <w:outlineLvl w:val="1"/>
        <w:rPr>
          <w:rFonts w:ascii="宋体" w:hAnsi="宋体"/>
          <w:color w:val="auto"/>
          <w:sz w:val="24"/>
          <w:highlight w:val="none"/>
        </w:rPr>
      </w:pPr>
      <w:r>
        <w:rPr>
          <w:rFonts w:hint="eastAsia" w:ascii="宋体" w:hAnsi="宋体"/>
          <w:color w:val="auto"/>
          <w:sz w:val="24"/>
          <w:highlight w:val="none"/>
        </w:rPr>
        <w:t>日期: XXXX。</w:t>
      </w:r>
    </w:p>
    <w:p>
      <w:pPr>
        <w:spacing w:line="360" w:lineRule="auto"/>
        <w:rPr>
          <w:rFonts w:ascii="宋体" w:hAnsi="宋体" w:cs="宋体"/>
          <w:color w:val="auto"/>
          <w:sz w:val="24"/>
          <w:highlight w:val="none"/>
        </w:rPr>
        <w:sectPr>
          <w:headerReference r:id="rId8" w:type="default"/>
          <w:footerReference r:id="rId10" w:type="default"/>
          <w:headerReference r:id="rId9" w:type="even"/>
          <w:pgSz w:w="11906" w:h="16838"/>
          <w:pgMar w:top="1440" w:right="1080" w:bottom="1440" w:left="1080" w:header="851" w:footer="992" w:gutter="0"/>
          <w:cols w:space="720" w:num="1"/>
          <w:docGrid w:type="lines" w:linePitch="312" w:charSpace="0"/>
        </w:sectPr>
      </w:pPr>
      <w:r>
        <w:rPr>
          <w:rFonts w:hint="eastAsia" w:ascii="宋体" w:hAnsi="宋体"/>
          <w:b/>
          <w:color w:val="auto"/>
          <w:sz w:val="32"/>
          <w:szCs w:val="32"/>
          <w:highlight w:val="none"/>
        </w:rPr>
        <w:br w:type="page"/>
      </w:r>
      <w:bookmarkEnd w:id="28"/>
      <w:bookmarkStart w:id="29" w:name="_Toc28495"/>
    </w:p>
    <w:p>
      <w:pPr>
        <w:widowControl/>
        <w:spacing w:after="0" w:line="360" w:lineRule="atLeast"/>
        <w:jc w:val="left"/>
        <w:outlineLvl w:val="1"/>
        <w:rPr>
          <w:rFonts w:hint="default" w:ascii="宋体" w:hAnsi="宋体" w:eastAsia="宋体"/>
          <w:b/>
          <w:color w:val="auto"/>
          <w:sz w:val="32"/>
          <w:szCs w:val="32"/>
          <w:highlight w:val="none"/>
          <w:lang w:val="en-US" w:eastAsia="zh-CN"/>
        </w:rPr>
      </w:pPr>
      <w:bookmarkStart w:id="30" w:name="_Toc73912825"/>
      <w:r>
        <w:rPr>
          <w:rFonts w:hint="eastAsia" w:ascii="宋体" w:hAnsi="宋体"/>
          <w:b/>
          <w:color w:val="auto"/>
          <w:sz w:val="32"/>
          <w:szCs w:val="32"/>
          <w:highlight w:val="none"/>
        </w:rPr>
        <w:t>格式2-</w:t>
      </w:r>
      <w:r>
        <w:rPr>
          <w:rFonts w:hint="eastAsia" w:ascii="宋体" w:hAnsi="宋体"/>
          <w:b/>
          <w:color w:val="auto"/>
          <w:sz w:val="32"/>
          <w:szCs w:val="32"/>
          <w:highlight w:val="none"/>
          <w:lang w:val="en-US" w:eastAsia="zh-CN"/>
        </w:rPr>
        <w:t>10</w:t>
      </w:r>
    </w:p>
    <w:p>
      <w:pPr>
        <w:widowControl/>
        <w:spacing w:after="0" w:line="240" w:lineRule="auto"/>
        <w:jc w:val="center"/>
        <w:rPr>
          <w:rFonts w:ascii="宋体" w:hAnsi="宋体"/>
          <w:b/>
          <w:color w:val="auto"/>
          <w:sz w:val="32"/>
          <w:szCs w:val="32"/>
          <w:highlight w:val="none"/>
        </w:rPr>
      </w:pPr>
      <w:r>
        <w:rPr>
          <w:rFonts w:ascii="宋体" w:hAnsi="宋体"/>
          <w:b/>
          <w:color w:val="auto"/>
          <w:sz w:val="32"/>
          <w:szCs w:val="32"/>
          <w:highlight w:val="none"/>
        </w:rPr>
        <w:t>服务方案</w:t>
      </w:r>
    </w:p>
    <w:p>
      <w:pPr>
        <w:widowControl/>
        <w:spacing w:after="0" w:line="240" w:lineRule="auto"/>
        <w:jc w:val="center"/>
        <w:rPr>
          <w:rFonts w:ascii="宋体" w:hAnsi="宋体"/>
          <w:color w:val="auto"/>
          <w:sz w:val="32"/>
          <w:szCs w:val="32"/>
          <w:highlight w:val="none"/>
        </w:rPr>
      </w:pPr>
      <w:r>
        <w:rPr>
          <w:rFonts w:hint="eastAsia" w:ascii="宋体" w:hAnsi="宋体"/>
          <w:color w:val="auto"/>
          <w:sz w:val="32"/>
          <w:szCs w:val="32"/>
          <w:highlight w:val="none"/>
        </w:rPr>
        <w:t>（</w:t>
      </w:r>
      <w:r>
        <w:rPr>
          <w:rFonts w:ascii="宋体" w:hAnsi="宋体"/>
          <w:color w:val="auto"/>
          <w:sz w:val="32"/>
          <w:szCs w:val="32"/>
          <w:highlight w:val="none"/>
        </w:rPr>
        <w:t>格式自拟</w:t>
      </w:r>
      <w:r>
        <w:rPr>
          <w:rFonts w:hint="eastAsia" w:ascii="宋体" w:hAnsi="宋体"/>
          <w:color w:val="auto"/>
          <w:sz w:val="32"/>
          <w:szCs w:val="32"/>
          <w:highlight w:val="none"/>
        </w:rPr>
        <w:t>）</w:t>
      </w:r>
    </w:p>
    <w:p>
      <w:pPr>
        <w:widowControl/>
        <w:spacing w:after="0" w:line="240" w:lineRule="auto"/>
        <w:jc w:val="left"/>
        <w:rPr>
          <w:rFonts w:ascii="宋体" w:hAnsi="宋体"/>
          <w:b/>
          <w:bCs/>
          <w:color w:val="auto"/>
          <w:kern w:val="44"/>
          <w:sz w:val="36"/>
          <w:szCs w:val="36"/>
          <w:highlight w:val="none"/>
        </w:rPr>
      </w:pPr>
      <w:r>
        <w:rPr>
          <w:rFonts w:ascii="宋体" w:hAnsi="宋体"/>
          <w:color w:val="auto"/>
          <w:sz w:val="36"/>
          <w:szCs w:val="36"/>
          <w:highlight w:val="none"/>
        </w:rPr>
        <w:br w:type="page"/>
      </w:r>
    </w:p>
    <w:p>
      <w:pPr>
        <w:pStyle w:val="3"/>
        <w:spacing w:before="0" w:after="0" w:line="360" w:lineRule="auto"/>
        <w:jc w:val="center"/>
        <w:rPr>
          <w:rFonts w:ascii="宋体" w:hAnsi="宋体"/>
          <w:color w:val="auto"/>
          <w:sz w:val="36"/>
          <w:szCs w:val="36"/>
          <w:highlight w:val="none"/>
        </w:rPr>
      </w:pPr>
      <w:r>
        <w:rPr>
          <w:rFonts w:hint="eastAsia" w:ascii="宋体" w:hAnsi="宋体"/>
          <w:color w:val="auto"/>
          <w:sz w:val="36"/>
          <w:szCs w:val="36"/>
          <w:highlight w:val="none"/>
        </w:rPr>
        <w:t>第四章  供应商和响应产品的资格、资质性及其他类似效力要求</w:t>
      </w:r>
      <w:bookmarkEnd w:id="29"/>
      <w:bookmarkEnd w:id="30"/>
    </w:p>
    <w:p>
      <w:pPr>
        <w:spacing w:after="0" w:line="360" w:lineRule="auto"/>
        <w:ind w:firstLine="482" w:firstLineChars="200"/>
        <w:rPr>
          <w:rFonts w:ascii="宋体" w:hAnsi="宋体"/>
          <w:b/>
          <w:bCs/>
          <w:color w:val="auto"/>
          <w:sz w:val="24"/>
          <w:highlight w:val="none"/>
        </w:rPr>
      </w:pPr>
      <w:bookmarkStart w:id="31" w:name="_Toc1588"/>
      <w:r>
        <w:rPr>
          <w:rFonts w:hint="eastAsia" w:ascii="宋体" w:hAnsi="宋体"/>
          <w:b/>
          <w:bCs/>
          <w:color w:val="auto"/>
          <w:sz w:val="24"/>
          <w:highlight w:val="none"/>
        </w:rPr>
        <w:t>一、参加采购的供应商应具备下列资格条件：</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1.具有独立承担民事责任的能力；</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2.具有良好的商业信誉和健全的财务会计制度；</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3.具有履行合同所必须的设备和专业技术能力；</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4.具有依法缴纳税收和社会保障资金的良好记录；</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5.参加本次政府采购活动前三年内，在经营活动中没有重大违法记录；</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rPr>
        <w:t>6.法律、行政法规规定的其他条件；</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eastAsia="宋体" w:cs="Times New Roman"/>
          <w:color w:val="auto"/>
          <w:spacing w:val="-4"/>
          <w:sz w:val="24"/>
          <w:highlight w:val="none"/>
          <w:lang w:val="en-US" w:eastAsia="zh-CN"/>
        </w:rPr>
        <w:t>7.落实政府采购政策：本项目专门面向中小企业。</w:t>
      </w:r>
    </w:p>
    <w:p>
      <w:pPr>
        <w:spacing w:after="0" w:line="360" w:lineRule="auto"/>
        <w:ind w:firstLine="464" w:firstLineChars="200"/>
        <w:rPr>
          <w:rFonts w:hint="default" w:ascii="宋体" w:hAnsi="宋体" w:eastAsia="宋体" w:cs="Times New Roman"/>
          <w:color w:val="auto"/>
          <w:spacing w:val="-4"/>
          <w:sz w:val="24"/>
          <w:highlight w:val="none"/>
          <w:lang w:val="en-US" w:eastAsia="zh-CN"/>
        </w:rPr>
      </w:pPr>
      <w:r>
        <w:rPr>
          <w:rFonts w:hint="eastAsia" w:ascii="宋体" w:hAnsi="宋体" w:cs="Times New Roman"/>
          <w:color w:val="auto"/>
          <w:spacing w:val="-4"/>
          <w:sz w:val="24"/>
          <w:highlight w:val="none"/>
          <w:lang w:val="en-US" w:eastAsia="zh-CN"/>
        </w:rPr>
        <w:t>8</w:t>
      </w:r>
      <w:r>
        <w:rPr>
          <w:rFonts w:hint="eastAsia" w:ascii="宋体" w:hAnsi="宋体" w:eastAsia="宋体" w:cs="Times New Roman"/>
          <w:color w:val="auto"/>
          <w:spacing w:val="-4"/>
          <w:sz w:val="24"/>
          <w:highlight w:val="none"/>
        </w:rPr>
        <w:t>.采购人根据采购项目提出的特殊条件</w:t>
      </w:r>
      <w:r>
        <w:rPr>
          <w:rFonts w:hint="eastAsia" w:ascii="宋体" w:hAnsi="宋体" w:eastAsia="宋体" w:cs="Times New Roman"/>
          <w:color w:val="auto"/>
          <w:spacing w:val="-4"/>
          <w:sz w:val="24"/>
          <w:highlight w:val="none"/>
          <w:lang w:eastAsia="zh-CN"/>
        </w:rPr>
        <w:t>：</w:t>
      </w:r>
      <w:r>
        <w:rPr>
          <w:rFonts w:hint="eastAsia" w:ascii="宋体" w:hAnsi="宋体" w:eastAsia="宋体" w:cs="Times New Roman"/>
          <w:color w:val="auto"/>
          <w:spacing w:val="-4"/>
          <w:sz w:val="24"/>
          <w:highlight w:val="none"/>
          <w:lang w:val="en-US" w:eastAsia="zh-CN"/>
        </w:rPr>
        <w:t>无</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cs="Times New Roman"/>
          <w:color w:val="auto"/>
          <w:spacing w:val="-4"/>
          <w:sz w:val="24"/>
          <w:highlight w:val="none"/>
          <w:lang w:val="en-US" w:eastAsia="zh-CN"/>
        </w:rPr>
        <w:t>9</w:t>
      </w:r>
      <w:r>
        <w:rPr>
          <w:rFonts w:hint="eastAsia" w:ascii="宋体" w:hAnsi="宋体" w:eastAsia="宋体" w:cs="Times New Roman"/>
          <w:color w:val="auto"/>
          <w:spacing w:val="-4"/>
          <w:sz w:val="24"/>
          <w:highlight w:val="none"/>
        </w:rPr>
        <w:t>.本项目不允许联合体参加。</w:t>
      </w:r>
    </w:p>
    <w:p>
      <w:pPr>
        <w:spacing w:after="0" w:line="360" w:lineRule="auto"/>
        <w:ind w:firstLine="464" w:firstLineChars="200"/>
        <w:rPr>
          <w:rFonts w:hint="eastAsia" w:ascii="宋体" w:hAnsi="宋体" w:eastAsia="宋体" w:cs="Times New Roman"/>
          <w:color w:val="auto"/>
          <w:spacing w:val="-4"/>
          <w:sz w:val="24"/>
          <w:highlight w:val="none"/>
        </w:rPr>
      </w:pPr>
      <w:r>
        <w:rPr>
          <w:rFonts w:hint="eastAsia" w:ascii="宋体" w:hAnsi="宋体" w:cs="Times New Roman"/>
          <w:color w:val="auto"/>
          <w:spacing w:val="-4"/>
          <w:sz w:val="24"/>
          <w:highlight w:val="none"/>
          <w:lang w:val="en-US" w:eastAsia="zh-CN"/>
        </w:rPr>
        <w:t>10</w:t>
      </w:r>
      <w:r>
        <w:rPr>
          <w:rFonts w:hint="eastAsia" w:ascii="宋体" w:hAnsi="宋体" w:eastAsia="宋体" w:cs="Times New Roman"/>
          <w:color w:val="auto"/>
          <w:spacing w:val="-4"/>
          <w:sz w:val="24"/>
          <w:highlight w:val="none"/>
        </w:rPr>
        <w:t>.按照规定获取了磋商文件。</w:t>
      </w:r>
    </w:p>
    <w:p>
      <w:pPr>
        <w:spacing w:after="0" w:line="360" w:lineRule="auto"/>
        <w:ind w:firstLine="482" w:firstLineChars="200"/>
        <w:rPr>
          <w:rFonts w:hint="eastAsia" w:ascii="宋体" w:hAnsi="宋体" w:eastAsia="宋体" w:cs="Times New Roman"/>
          <w:b/>
          <w:bCs/>
          <w:color w:val="auto"/>
          <w:sz w:val="24"/>
          <w:highlight w:val="none"/>
        </w:rPr>
      </w:pPr>
      <w:r>
        <w:rPr>
          <w:rFonts w:hint="eastAsia" w:ascii="宋体" w:hAnsi="宋体" w:eastAsia="宋体" w:cs="Times New Roman"/>
          <w:b/>
          <w:bCs/>
          <w:color w:val="auto"/>
          <w:sz w:val="24"/>
          <w:highlight w:val="none"/>
          <w:lang w:val="en-US" w:eastAsia="zh-CN"/>
        </w:rPr>
        <w:t>二、</w:t>
      </w:r>
      <w:r>
        <w:rPr>
          <w:rFonts w:hint="eastAsia" w:ascii="宋体" w:hAnsi="宋体" w:eastAsia="宋体" w:cs="Times New Roman"/>
          <w:b/>
          <w:bCs/>
          <w:color w:val="auto"/>
          <w:sz w:val="24"/>
          <w:highlight w:val="none"/>
        </w:rPr>
        <w:t>其他类似效力要求：</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授权参加本次采购活动的供应商代表证明材料。</w:t>
      </w:r>
    </w:p>
    <w:p>
      <w:pPr>
        <w:spacing w:after="0" w:line="360" w:lineRule="auto"/>
        <w:ind w:firstLine="442" w:firstLineChars="200"/>
        <w:rPr>
          <w:rFonts w:hint="eastAsia" w:ascii="宋体" w:hAnsi="宋体" w:eastAsia="宋体" w:cs="Times New Roman"/>
          <w:b/>
          <w:bCs/>
          <w:color w:val="auto"/>
          <w:sz w:val="22"/>
          <w:szCs w:val="22"/>
          <w:highlight w:val="none"/>
        </w:rPr>
      </w:pPr>
      <w:r>
        <w:rPr>
          <w:rFonts w:hint="eastAsia" w:ascii="宋体" w:hAnsi="宋体" w:eastAsia="宋体" w:cs="Times New Roman"/>
          <w:b/>
          <w:bCs/>
          <w:color w:val="auto"/>
          <w:sz w:val="22"/>
          <w:szCs w:val="22"/>
          <w:highlight w:val="none"/>
        </w:rPr>
        <w:t>注：1.资格要求中“5.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供应商在参加政府采购活动前3年内因违法经营被禁止在一定期限内参加政府采购活动，期限届满的，可以参加政府采购活动。</w:t>
      </w:r>
    </w:p>
    <w:p>
      <w:pPr>
        <w:spacing w:after="0" w:line="360" w:lineRule="auto"/>
        <w:ind w:firstLine="442" w:firstLineChars="200"/>
        <w:rPr>
          <w:rFonts w:ascii="宋体" w:hAnsi="宋体"/>
          <w:b/>
          <w:bCs/>
          <w:color w:val="auto"/>
          <w:sz w:val="22"/>
          <w:szCs w:val="22"/>
          <w:highlight w:val="none"/>
        </w:rPr>
      </w:pPr>
      <w:r>
        <w:rPr>
          <w:rFonts w:hint="eastAsia" w:ascii="宋体" w:hAnsi="宋体" w:eastAsia="宋体" w:cs="Times New Roman"/>
          <w:b/>
          <w:bCs/>
          <w:color w:val="auto"/>
          <w:sz w:val="22"/>
          <w:szCs w:val="22"/>
          <w:highlight w:val="none"/>
        </w:rPr>
        <w:t>2.供应商在参加政府采购活动前，被纳入法院、工商行政管理部门、税务部门、银行认定的失信名单且在有效期内，或者在前三年政府采购合同履约过程中及其他经营活动（合同）履约过程中未依法履约被有关行政部门处罚（处理）的，本项目不认定其具有良好的商业信誉。</w:t>
      </w:r>
    </w:p>
    <w:p>
      <w:pPr>
        <w:pStyle w:val="3"/>
        <w:spacing w:before="0" w:after="0" w:line="360" w:lineRule="auto"/>
        <w:jc w:val="center"/>
        <w:rPr>
          <w:rFonts w:ascii="等线" w:hAnsi="等线" w:eastAsia="等线"/>
          <w:color w:val="auto"/>
          <w:highlight w:val="none"/>
        </w:rPr>
      </w:pPr>
      <w:r>
        <w:rPr>
          <w:rFonts w:hint="eastAsia" w:ascii="宋体" w:hAnsi="宋体"/>
          <w:color w:val="auto"/>
          <w:highlight w:val="none"/>
        </w:rPr>
        <w:br w:type="page"/>
      </w:r>
      <w:bookmarkStart w:id="32" w:name="_Toc73912826"/>
      <w:r>
        <w:rPr>
          <w:rFonts w:hint="eastAsia" w:ascii="宋体" w:hAnsi="宋体"/>
          <w:color w:val="auto"/>
          <w:sz w:val="36"/>
          <w:szCs w:val="36"/>
          <w:highlight w:val="none"/>
        </w:rPr>
        <w:t>第五章  供应商应当提供的资格、资质性及其他类似效力要求的相关证明材料</w:t>
      </w:r>
      <w:bookmarkEnd w:id="25"/>
      <w:bookmarkEnd w:id="31"/>
      <w:bookmarkEnd w:id="32"/>
      <w:bookmarkStart w:id="33" w:name="_Toc217446093"/>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一、供应商应提交的资格证明材料</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（一）资格要求相关证明材料：</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2.具备良好商业信誉的证明材料（提供承诺函，格式自拟）；</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w:t>
      </w:r>
      <w:r>
        <w:rPr>
          <w:rFonts w:hint="eastAsia" w:ascii="宋体" w:hAnsi="宋体" w:cs="Times New Roman"/>
          <w:color w:val="auto"/>
          <w:sz w:val="24"/>
          <w:highlight w:val="none"/>
          <w:lang w:eastAsia="zh-CN"/>
        </w:rPr>
        <w:t>响应文件</w:t>
      </w:r>
      <w:r>
        <w:rPr>
          <w:rFonts w:hint="eastAsia" w:ascii="宋体" w:hAnsi="宋体" w:eastAsia="宋体" w:cs="Times New Roman"/>
          <w:color w:val="auto"/>
          <w:sz w:val="24"/>
          <w:highlight w:val="none"/>
        </w:rPr>
        <w:t>递交截止日一年内银行出具的资信证明（复印件），④供应商注册时间截至</w:t>
      </w:r>
      <w:r>
        <w:rPr>
          <w:rFonts w:hint="eastAsia" w:ascii="宋体" w:hAnsi="宋体" w:cs="Times New Roman"/>
          <w:color w:val="auto"/>
          <w:sz w:val="24"/>
          <w:highlight w:val="none"/>
          <w:lang w:eastAsia="zh-CN"/>
        </w:rPr>
        <w:t>响应文件</w:t>
      </w:r>
      <w:r>
        <w:rPr>
          <w:rFonts w:hint="eastAsia" w:ascii="宋体" w:hAnsi="宋体" w:eastAsia="宋体" w:cs="Times New Roman"/>
          <w:color w:val="auto"/>
          <w:sz w:val="24"/>
          <w:highlight w:val="none"/>
        </w:rPr>
        <w:t>递交截止日不足一年的，也可提供加盖工商备案主管部门印章的公司章程复印件，⑤供应商为事业单位或其他组织(不具备法人条件的组织，如合伙组织、个体工商户、农村承包经营户等)或自然人时，可提供承诺函。｝</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4.具有依法缴纳税收和社会保障资金的良好记录（提供承诺函，格式自拟）；</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5.具备履行合同所必需的设备和专业技术能力的证明材料（提供承诺函，格式自拟）；</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6.参加政府采购活动前3年内在经营活动中没有重大违法记录的承诺函；</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7.具备法律、行政法规规定的其他条件的证明材料（提供承诺函，格式自拟）；</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8.落实政府采购政策：本项目专门面向中小企业。</w:t>
      </w:r>
    </w:p>
    <w:p>
      <w:pPr>
        <w:spacing w:after="0"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cs="Times New Roman"/>
          <w:color w:val="auto"/>
          <w:sz w:val="24"/>
          <w:highlight w:val="none"/>
          <w:lang w:val="en-US" w:eastAsia="zh-CN"/>
        </w:rPr>
        <w:t>9</w:t>
      </w:r>
      <w:r>
        <w:rPr>
          <w:rFonts w:hint="eastAsia" w:ascii="宋体" w:hAnsi="宋体" w:eastAsia="宋体" w:cs="Times New Roman"/>
          <w:color w:val="auto"/>
          <w:sz w:val="24"/>
          <w:highlight w:val="none"/>
        </w:rPr>
        <w:t>.根据采购项目提出的特殊条件：</w:t>
      </w:r>
      <w:r>
        <w:rPr>
          <w:rFonts w:hint="eastAsia" w:ascii="宋体" w:hAnsi="宋体" w:cs="Times New Roman"/>
          <w:color w:val="auto"/>
          <w:sz w:val="24"/>
          <w:highlight w:val="none"/>
          <w:lang w:val="en-US" w:eastAsia="zh-CN"/>
        </w:rPr>
        <w:t>无。</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cs="Times New Roman"/>
          <w:color w:val="auto"/>
          <w:sz w:val="24"/>
          <w:highlight w:val="none"/>
          <w:lang w:val="en-US" w:eastAsia="zh-CN"/>
        </w:rPr>
        <w:t>10</w:t>
      </w:r>
      <w:r>
        <w:rPr>
          <w:rFonts w:hint="eastAsia" w:ascii="宋体" w:hAnsi="宋体" w:eastAsia="宋体" w:cs="Times New Roman"/>
          <w:color w:val="auto"/>
          <w:sz w:val="24"/>
          <w:highlight w:val="none"/>
        </w:rPr>
        <w:t>.按照规定获取了</w:t>
      </w:r>
      <w:r>
        <w:rPr>
          <w:rFonts w:hint="eastAsia" w:ascii="宋体" w:hAnsi="宋体" w:cs="Times New Roman"/>
          <w:color w:val="auto"/>
          <w:sz w:val="24"/>
          <w:highlight w:val="none"/>
          <w:lang w:eastAsia="zh-CN"/>
        </w:rPr>
        <w:t>磋商文件</w:t>
      </w:r>
      <w:r>
        <w:rPr>
          <w:rFonts w:hint="eastAsia" w:ascii="宋体" w:hAnsi="宋体" w:eastAsia="宋体" w:cs="Times New Roman"/>
          <w:color w:val="auto"/>
          <w:sz w:val="24"/>
          <w:highlight w:val="none"/>
        </w:rPr>
        <w:t>（由代理机构提供供应商获取</w:t>
      </w:r>
      <w:r>
        <w:rPr>
          <w:rFonts w:hint="eastAsia" w:ascii="宋体" w:hAnsi="宋体" w:cs="Times New Roman"/>
          <w:color w:val="auto"/>
          <w:sz w:val="24"/>
          <w:highlight w:val="none"/>
          <w:lang w:eastAsia="zh-CN"/>
        </w:rPr>
        <w:t>磋商文件</w:t>
      </w:r>
      <w:r>
        <w:rPr>
          <w:rFonts w:hint="eastAsia" w:ascii="宋体" w:hAnsi="宋体" w:eastAsia="宋体" w:cs="Times New Roman"/>
          <w:color w:val="auto"/>
          <w:sz w:val="24"/>
          <w:highlight w:val="none"/>
        </w:rPr>
        <w:t>情况的相关证明材料，供应商不再提供证明材料）；</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cs="Times New Roman"/>
          <w:color w:val="auto"/>
          <w:sz w:val="24"/>
          <w:highlight w:val="none"/>
          <w:lang w:val="en-US" w:eastAsia="zh-CN"/>
        </w:rPr>
        <w:t>11</w:t>
      </w:r>
      <w:r>
        <w:rPr>
          <w:rFonts w:hint="eastAsia" w:ascii="宋体" w:hAnsi="宋体" w:eastAsia="宋体" w:cs="Times New Roman"/>
          <w:color w:val="auto"/>
          <w:sz w:val="24"/>
          <w:highlight w:val="none"/>
        </w:rPr>
        <w:t>.有效的联合体协议（如涉及须提供）；</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（二）其他类似效力要求相关证明材料：</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（1）法定代表人/单位负责人身份证明材料复印件。</w:t>
      </w:r>
    </w:p>
    <w:p>
      <w:pPr>
        <w:spacing w:after="0"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pStyle w:val="2"/>
        <w:rPr>
          <w:rFonts w:hint="eastAsia"/>
          <w:color w:val="auto"/>
          <w:highlight w:val="none"/>
        </w:rPr>
      </w:pPr>
    </w:p>
    <w:p>
      <w:pPr>
        <w:spacing w:after="0" w:line="360" w:lineRule="auto"/>
        <w:ind w:firstLine="442" w:firstLineChars="200"/>
        <w:rPr>
          <w:rFonts w:hint="eastAsia" w:ascii="宋体" w:hAnsi="宋体" w:eastAsia="宋体" w:cs="Times New Roman"/>
          <w:b/>
          <w:bCs/>
          <w:color w:val="auto"/>
          <w:sz w:val="22"/>
          <w:szCs w:val="22"/>
          <w:highlight w:val="none"/>
        </w:rPr>
      </w:pPr>
      <w:r>
        <w:rPr>
          <w:rFonts w:hint="eastAsia" w:ascii="宋体" w:hAnsi="宋体" w:eastAsia="宋体" w:cs="Times New Roman"/>
          <w:b/>
          <w:bCs/>
          <w:color w:val="auto"/>
          <w:sz w:val="22"/>
          <w:szCs w:val="22"/>
          <w:highlight w:val="none"/>
        </w:rPr>
        <w:t>注：1.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采购代理机构通过“信用中国”网站、“中国政府采购网”等渠道对供应商进行信用记录查询，并将查询记录存档。凡被列入失信被执行人、重大税收违法案件当事人名单、政府采购严重违法失信行为记录名单的，视为存在不良信用记录，参与本项目的将被拒绝。</w:t>
      </w:r>
    </w:p>
    <w:p>
      <w:pPr>
        <w:spacing w:after="0" w:line="360" w:lineRule="auto"/>
        <w:ind w:firstLine="442" w:firstLineChars="200"/>
        <w:rPr>
          <w:rFonts w:hint="eastAsia" w:ascii="宋体" w:hAnsi="宋体" w:eastAsia="宋体" w:cs="Times New Roman"/>
          <w:b/>
          <w:bCs/>
          <w:color w:val="auto"/>
          <w:sz w:val="22"/>
          <w:szCs w:val="22"/>
          <w:highlight w:val="none"/>
        </w:rPr>
      </w:pPr>
      <w:r>
        <w:rPr>
          <w:rFonts w:hint="eastAsia" w:ascii="宋体" w:hAnsi="宋体" w:eastAsia="宋体" w:cs="Times New Roman"/>
          <w:b/>
          <w:bCs/>
          <w:color w:val="auto"/>
          <w:sz w:val="22"/>
          <w:szCs w:val="22"/>
          <w:highlight w:val="none"/>
        </w:rPr>
        <w:t>2.以上要求的资料复印件（身份证明材料、</w:t>
      </w:r>
      <w:r>
        <w:rPr>
          <w:rFonts w:hint="eastAsia" w:ascii="宋体" w:hAnsi="宋体" w:cs="Times New Roman"/>
          <w:b/>
          <w:bCs/>
          <w:color w:val="auto"/>
          <w:sz w:val="22"/>
          <w:szCs w:val="22"/>
          <w:highlight w:val="none"/>
          <w:lang w:eastAsia="zh-CN"/>
        </w:rPr>
        <w:t>磋商文件</w:t>
      </w:r>
      <w:r>
        <w:rPr>
          <w:rFonts w:hint="eastAsia" w:ascii="宋体" w:hAnsi="宋体" w:eastAsia="宋体" w:cs="Times New Roman"/>
          <w:b/>
          <w:bCs/>
          <w:color w:val="auto"/>
          <w:sz w:val="22"/>
          <w:szCs w:val="22"/>
          <w:highlight w:val="none"/>
        </w:rPr>
        <w:t xml:space="preserve">购买情况证明材料除外）均须加盖供应商单位的公章（鲜章）。 </w:t>
      </w:r>
    </w:p>
    <w:p>
      <w:pPr>
        <w:spacing w:after="0" w:line="360" w:lineRule="auto"/>
        <w:ind w:firstLine="442" w:firstLineChars="200"/>
        <w:rPr>
          <w:rFonts w:hint="eastAsia" w:ascii="宋体" w:hAnsi="宋体" w:eastAsia="宋体" w:cs="Times New Roman"/>
          <w:b/>
          <w:bCs/>
          <w:color w:val="auto"/>
          <w:sz w:val="22"/>
          <w:szCs w:val="22"/>
          <w:highlight w:val="none"/>
        </w:rPr>
      </w:pPr>
      <w:r>
        <w:rPr>
          <w:rFonts w:hint="eastAsia" w:ascii="宋体" w:hAnsi="宋体" w:eastAsia="宋体" w:cs="Times New Roman"/>
          <w:b/>
          <w:bCs/>
          <w:color w:val="auto"/>
          <w:sz w:val="22"/>
          <w:szCs w:val="22"/>
          <w:highlight w:val="none"/>
          <w:lang w:val="en-US" w:eastAsia="zh-CN"/>
        </w:rPr>
        <w:t>3.</w:t>
      </w:r>
      <w:r>
        <w:rPr>
          <w:rFonts w:hint="eastAsia" w:ascii="宋体" w:hAnsi="宋体" w:eastAsia="宋体" w:cs="Times New Roman"/>
          <w:b/>
          <w:bCs/>
          <w:color w:val="auto"/>
          <w:sz w:val="22"/>
          <w:szCs w:val="22"/>
          <w:highlight w:val="none"/>
        </w:rPr>
        <w:t>本章要求提供的相关证明材料应当与第四章的规定要求对应，除供应商自愿以外，不能要求供应商提供额外的证明材料。如果要求提供额外的证明材料，供应商有权拒绝提供，且不影响响应文件的有效性和完整性。</w:t>
      </w:r>
    </w:p>
    <w:p>
      <w:pPr>
        <w:spacing w:after="0" w:line="360" w:lineRule="auto"/>
        <w:ind w:firstLine="442" w:firstLineChars="200"/>
        <w:rPr>
          <w:rFonts w:hint="eastAsia" w:ascii="宋体" w:hAnsi="宋体" w:eastAsia="宋体" w:cs="Times New Roman"/>
          <w:b/>
          <w:bCs/>
          <w:color w:val="auto"/>
          <w:sz w:val="22"/>
          <w:szCs w:val="22"/>
          <w:highlight w:val="none"/>
        </w:rPr>
      </w:pPr>
      <w:r>
        <w:rPr>
          <w:rFonts w:hint="eastAsia" w:ascii="宋体" w:hAnsi="宋体" w:eastAsia="宋体" w:cs="Times New Roman"/>
          <w:b/>
          <w:bCs/>
          <w:color w:val="auto"/>
          <w:sz w:val="22"/>
          <w:szCs w:val="22"/>
          <w:highlight w:val="none"/>
          <w:lang w:val="en-US" w:eastAsia="zh-CN"/>
        </w:rPr>
        <w:t>4.</w:t>
      </w:r>
      <w:r>
        <w:rPr>
          <w:rFonts w:hint="eastAsia" w:ascii="宋体" w:hAnsi="宋体" w:eastAsia="宋体" w:cs="Times New Roman"/>
          <w:b/>
          <w:bCs/>
          <w:color w:val="auto"/>
          <w:sz w:val="22"/>
          <w:szCs w:val="22"/>
          <w:highlight w:val="none"/>
        </w:rPr>
        <w:t>本章要求提供的相关证明材料删除应当结合采购项目具体情况和供应商的组织机构性质确定，不得一概而论。</w:t>
      </w:r>
    </w:p>
    <w:p>
      <w:pPr>
        <w:spacing w:line="360" w:lineRule="auto"/>
        <w:rPr>
          <w:rFonts w:ascii="宋体" w:hAnsi="宋体"/>
          <w:color w:val="auto"/>
          <w:sz w:val="24"/>
          <w:highlight w:val="none"/>
        </w:rPr>
        <w:sectPr>
          <w:pgSz w:w="11906" w:h="16838"/>
          <w:pgMar w:top="1440" w:right="1080" w:bottom="1440" w:left="1080" w:header="851" w:footer="992" w:gutter="0"/>
          <w:cols w:space="720" w:num="1"/>
          <w:docGrid w:type="lines" w:linePitch="312" w:charSpace="0"/>
        </w:sectPr>
      </w:pPr>
    </w:p>
    <w:p>
      <w:pPr>
        <w:pStyle w:val="3"/>
        <w:spacing w:before="0" w:after="0" w:line="360" w:lineRule="auto"/>
        <w:jc w:val="center"/>
        <w:rPr>
          <w:rFonts w:ascii="宋体" w:hAnsi="宋体"/>
          <w:color w:val="auto"/>
          <w:sz w:val="36"/>
          <w:szCs w:val="36"/>
          <w:highlight w:val="none"/>
        </w:rPr>
      </w:pPr>
      <w:bookmarkStart w:id="34" w:name="_Toc73912827"/>
      <w:bookmarkStart w:id="35" w:name="PO_默认文件内容_32"/>
      <w:r>
        <w:rPr>
          <w:rFonts w:hint="eastAsia" w:ascii="宋体" w:hAnsi="宋体"/>
          <w:color w:val="auto"/>
          <w:sz w:val="36"/>
          <w:szCs w:val="36"/>
          <w:highlight w:val="none"/>
        </w:rPr>
        <w:t>第六章  采购项目技术、服务、政府采购合同内容条款及其他商务要求</w:t>
      </w:r>
      <w:bookmarkEnd w:id="33"/>
      <w:bookmarkEnd w:id="34"/>
      <w:bookmarkStart w:id="36" w:name="_Toc24786"/>
    </w:p>
    <w:p>
      <w:pPr>
        <w:spacing w:line="360" w:lineRule="auto"/>
        <w:rPr>
          <w:rFonts w:ascii="宋体" w:hAnsi="宋体" w:eastAsia="宋体"/>
          <w:b/>
          <w:bCs/>
          <w:color w:val="auto"/>
          <w:sz w:val="24"/>
          <w:highlight w:val="none"/>
        </w:rPr>
      </w:pPr>
      <w:r>
        <w:rPr>
          <w:rFonts w:hint="eastAsia" w:ascii="宋体" w:hAnsi="宋体" w:eastAsia="宋体"/>
          <w:b/>
          <w:bCs/>
          <w:color w:val="auto"/>
          <w:sz w:val="24"/>
          <w:highlight w:val="none"/>
        </w:rPr>
        <w:t>一、项目概述</w:t>
      </w:r>
    </w:p>
    <w:p>
      <w:pPr>
        <w:spacing w:after="0"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现有江家菜地、荷塘月色和幸福梅林3座污水处理站，日处理污水量2000吨。为保障污水处理站正常运行，现对运行管理服务单位进行采购招标</w:t>
      </w:r>
      <w:r>
        <w:rPr>
          <w:rFonts w:ascii="宋体" w:hAnsi="宋体" w:eastAsia="宋体"/>
          <w:color w:val="auto"/>
          <w:sz w:val="24"/>
          <w:highlight w:val="none"/>
        </w:rPr>
        <w:t>。</w:t>
      </w:r>
      <w:r>
        <w:rPr>
          <w:rFonts w:hint="eastAsia" w:ascii="宋体" w:hAnsi="宋体" w:eastAsia="宋体"/>
          <w:color w:val="auto"/>
          <w:sz w:val="24"/>
          <w:highlight w:val="none"/>
        </w:rPr>
        <w:t>服务期限为三年，合同一年一签（考核合格后方能续签下一年）。本项目共1个包，采购预算为</w:t>
      </w:r>
      <w:r>
        <w:rPr>
          <w:rFonts w:hint="eastAsia" w:ascii="宋体" w:hAnsi="宋体" w:eastAsia="宋体" w:cs="仿宋"/>
          <w:color w:val="auto"/>
          <w:sz w:val="24"/>
          <w:highlight w:val="none"/>
        </w:rPr>
        <w:t>127</w:t>
      </w:r>
      <w:r>
        <w:rPr>
          <w:rFonts w:hint="eastAsia" w:ascii="宋体" w:hAnsi="宋体" w:eastAsia="宋体" w:cs="仿宋"/>
          <w:color w:val="auto"/>
          <w:sz w:val="24"/>
          <w:highlight w:val="none"/>
          <w:lang w:val="en-US" w:eastAsia="zh-CN"/>
        </w:rPr>
        <w:t>.</w:t>
      </w:r>
      <w:r>
        <w:rPr>
          <w:rFonts w:hint="eastAsia" w:ascii="宋体" w:hAnsi="宋体" w:eastAsia="宋体" w:cs="仿宋"/>
          <w:color w:val="auto"/>
          <w:sz w:val="24"/>
          <w:highlight w:val="none"/>
        </w:rPr>
        <w:t>458</w:t>
      </w:r>
      <w:r>
        <w:rPr>
          <w:rFonts w:hint="eastAsia" w:ascii="宋体" w:hAnsi="宋体" w:eastAsia="宋体" w:cs="仿宋"/>
          <w:color w:val="auto"/>
          <w:sz w:val="24"/>
          <w:highlight w:val="none"/>
          <w:lang w:val="en-US" w:eastAsia="zh-CN"/>
        </w:rPr>
        <w:t>万</w:t>
      </w:r>
      <w:r>
        <w:rPr>
          <w:rFonts w:hint="eastAsia" w:ascii="宋体" w:hAnsi="宋体" w:eastAsia="宋体" w:cs="仿宋"/>
          <w:color w:val="auto"/>
          <w:sz w:val="24"/>
          <w:highlight w:val="none"/>
        </w:rPr>
        <w:t>元/年，最高限价127</w:t>
      </w:r>
      <w:r>
        <w:rPr>
          <w:rFonts w:hint="eastAsia" w:ascii="宋体" w:hAnsi="宋体" w:eastAsia="宋体" w:cs="仿宋"/>
          <w:color w:val="auto"/>
          <w:sz w:val="24"/>
          <w:highlight w:val="none"/>
          <w:lang w:val="en-US" w:eastAsia="zh-CN"/>
        </w:rPr>
        <w:t>.</w:t>
      </w:r>
      <w:r>
        <w:rPr>
          <w:rFonts w:hint="eastAsia" w:ascii="宋体" w:hAnsi="宋体" w:eastAsia="宋体" w:cs="仿宋"/>
          <w:color w:val="auto"/>
          <w:sz w:val="24"/>
          <w:highlight w:val="none"/>
        </w:rPr>
        <w:t>458</w:t>
      </w:r>
      <w:r>
        <w:rPr>
          <w:rFonts w:hint="eastAsia" w:ascii="宋体" w:hAnsi="宋体" w:eastAsia="宋体" w:cs="仿宋"/>
          <w:color w:val="auto"/>
          <w:sz w:val="24"/>
          <w:highlight w:val="none"/>
          <w:lang w:val="en-US" w:eastAsia="zh-CN"/>
        </w:rPr>
        <w:t>万</w:t>
      </w:r>
      <w:r>
        <w:rPr>
          <w:rFonts w:hint="eastAsia" w:ascii="宋体" w:hAnsi="宋体" w:eastAsia="宋体" w:cs="仿宋"/>
          <w:color w:val="auto"/>
          <w:sz w:val="24"/>
          <w:highlight w:val="none"/>
        </w:rPr>
        <w:t>元/年。</w:t>
      </w:r>
    </w:p>
    <w:p>
      <w:pPr>
        <w:spacing w:line="360" w:lineRule="auto"/>
        <w:rPr>
          <w:rFonts w:hint="eastAsia" w:ascii="宋体" w:hAnsi="宋体" w:eastAsia="宋体"/>
          <w:b/>
          <w:bCs/>
          <w:color w:val="auto"/>
          <w:sz w:val="24"/>
          <w:highlight w:val="none"/>
        </w:rPr>
      </w:pPr>
      <w:r>
        <w:rPr>
          <w:rFonts w:hint="eastAsia" w:ascii="宋体" w:hAnsi="宋体" w:eastAsia="宋体"/>
          <w:b/>
          <w:bCs/>
          <w:color w:val="auto"/>
          <w:sz w:val="24"/>
          <w:highlight w:val="none"/>
        </w:rPr>
        <w:t>二、服务内容及技术要求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2" w:firstLineChars="200"/>
        <w:jc w:val="both"/>
        <w:textAlignment w:val="auto"/>
        <w:rPr>
          <w:rFonts w:hint="eastAsia" w:ascii="宋体" w:hAnsi="宋体" w:eastAsia="宋体"/>
          <w:b/>
          <w:color w:val="auto"/>
          <w:sz w:val="24"/>
          <w:highlight w:val="none"/>
        </w:rPr>
      </w:pPr>
      <w:r>
        <w:rPr>
          <w:rFonts w:hint="eastAsia" w:ascii="宋体" w:hAnsi="宋体" w:eastAsia="宋体"/>
          <w:b/>
          <w:color w:val="auto"/>
          <w:sz w:val="24"/>
          <w:highlight w:val="none"/>
        </w:rPr>
        <w:t>（一）服务内容：</w:t>
      </w:r>
    </w:p>
    <w:p>
      <w:pPr>
        <w:spacing w:after="0" w:line="360" w:lineRule="auto"/>
        <w:ind w:firstLine="480" w:firstLineChars="20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1.对3座污水处理站内的各类设施进行监管，熟练掌握曝气盘、紫外线消毒等设备的操作程序，处理各类突发应急事件；</w:t>
      </w:r>
    </w:p>
    <w:p>
      <w:pPr>
        <w:spacing w:after="0" w:line="360" w:lineRule="auto"/>
        <w:ind w:firstLine="480" w:firstLineChars="20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2.进行日常检查和维护，确保各类设施设备状态完好，使用功能正常可靠，各类金属制件表面无损坏或严重锈蚀；</w:t>
      </w:r>
    </w:p>
    <w:p>
      <w:pPr>
        <w:spacing w:after="0" w:line="360" w:lineRule="auto"/>
        <w:ind w:firstLine="480" w:firstLineChars="20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3.全天候对污水处理站进行运营、值守，确保污水处理站出水水质达标排放；</w:t>
      </w:r>
    </w:p>
    <w:p>
      <w:pPr>
        <w:spacing w:after="0" w:line="360" w:lineRule="auto"/>
        <w:ind w:firstLine="480" w:firstLineChars="20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4.定期清除隔油格栅、曝气池、沉淀池内的漂浮物、堵塞物和杂质；污水处理站区域道路、办公区域等清理；污水处理站区域内绿化、花木等的维护与管理；</w:t>
      </w:r>
    </w:p>
    <w:p>
      <w:pPr>
        <w:spacing w:after="0" w:line="360" w:lineRule="auto"/>
        <w:ind w:firstLine="480" w:firstLineChars="20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5.定期对污水处理站设备进行检修和维护；</w:t>
      </w:r>
    </w:p>
    <w:p>
      <w:pPr>
        <w:spacing w:after="0" w:line="360" w:lineRule="auto"/>
        <w:ind w:firstLine="480" w:firstLineChars="200"/>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6.按照环保要求，定期对进站水质和出水水质进行抽样检查；</w:t>
      </w:r>
    </w:p>
    <w:p>
      <w:pPr>
        <w:spacing w:after="0" w:line="360" w:lineRule="auto"/>
        <w:ind w:firstLine="480" w:firstLineChars="200"/>
        <w:rPr>
          <w:rFonts w:hint="default" w:ascii="宋体" w:hAnsi="宋体" w:eastAsia="宋体"/>
          <w:color w:val="auto"/>
          <w:sz w:val="24"/>
          <w:highlight w:val="none"/>
        </w:rPr>
      </w:pPr>
      <w:r>
        <w:rPr>
          <w:rFonts w:hint="eastAsia" w:ascii="宋体" w:hAnsi="宋体" w:eastAsia="宋体"/>
          <w:color w:val="auto"/>
          <w:sz w:val="24"/>
          <w:highlight w:val="none"/>
          <w:lang w:val="en-US" w:eastAsia="zh-CN"/>
        </w:rPr>
        <w:t>7.负责污水处理站安全运行，有安全运行手册和制度，站区内运行严格执行安全制度。</w:t>
      </w:r>
    </w:p>
    <w:p>
      <w:pPr>
        <w:spacing w:line="360" w:lineRule="auto"/>
        <w:ind w:firstLine="480" w:firstLineChars="200"/>
        <w:rPr>
          <w:rFonts w:hint="eastAsia" w:ascii="宋体" w:hAnsi="宋体" w:eastAsia="宋体"/>
          <w:b/>
          <w:color w:val="auto"/>
          <w:sz w:val="24"/>
          <w:highlight w:val="none"/>
        </w:rPr>
      </w:pP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提供运行服务人员，承担污水处理</w:t>
      </w:r>
      <w:r>
        <w:rPr>
          <w:rFonts w:hint="eastAsia" w:ascii="宋体" w:hAnsi="宋体" w:eastAsia="宋体"/>
          <w:color w:val="auto"/>
          <w:sz w:val="24"/>
          <w:highlight w:val="none"/>
          <w:lang w:val="en-US" w:eastAsia="zh-CN"/>
        </w:rPr>
        <w:t>站</w:t>
      </w:r>
      <w:r>
        <w:rPr>
          <w:rFonts w:hint="eastAsia" w:ascii="宋体" w:hAnsi="宋体" w:eastAsia="宋体"/>
          <w:color w:val="auto"/>
          <w:sz w:val="24"/>
          <w:highlight w:val="none"/>
        </w:rPr>
        <w:t>的运行管理工作及污水管道清掏服务包含但不限于动力费、药剂费、自来水费、</w:t>
      </w:r>
      <w:r>
        <w:rPr>
          <w:rFonts w:ascii="宋体" w:hAnsi="宋体" w:eastAsia="宋体"/>
          <w:color w:val="auto"/>
          <w:sz w:val="24"/>
          <w:highlight w:val="none"/>
        </w:rPr>
        <w:t>污泥处理运输费</w:t>
      </w:r>
      <w:r>
        <w:rPr>
          <w:rFonts w:hint="eastAsia" w:ascii="宋体" w:hAnsi="宋体" w:eastAsia="宋体"/>
          <w:color w:val="auto"/>
          <w:sz w:val="24"/>
          <w:highlight w:val="none"/>
        </w:rPr>
        <w:t>、</w:t>
      </w:r>
      <w:r>
        <w:rPr>
          <w:rFonts w:ascii="宋体" w:hAnsi="宋体" w:eastAsia="宋体"/>
          <w:color w:val="auto"/>
          <w:sz w:val="24"/>
          <w:highlight w:val="none"/>
        </w:rPr>
        <w:t>工资及福利费</w:t>
      </w:r>
      <w:r>
        <w:rPr>
          <w:rFonts w:hint="eastAsia" w:ascii="宋体" w:hAnsi="宋体" w:eastAsia="宋体"/>
          <w:color w:val="auto"/>
          <w:sz w:val="24"/>
          <w:highlight w:val="none"/>
        </w:rPr>
        <w:t>、</w:t>
      </w:r>
      <w:r>
        <w:rPr>
          <w:rFonts w:ascii="宋体" w:hAnsi="宋体" w:eastAsia="宋体"/>
          <w:color w:val="auto"/>
          <w:sz w:val="24"/>
          <w:highlight w:val="none"/>
        </w:rPr>
        <w:t>运营维护费</w:t>
      </w:r>
      <w:r>
        <w:rPr>
          <w:rFonts w:hint="eastAsia" w:ascii="宋体" w:hAnsi="宋体" w:eastAsia="宋体"/>
          <w:color w:val="auto"/>
          <w:sz w:val="24"/>
          <w:highlight w:val="none"/>
        </w:rPr>
        <w:t>、</w:t>
      </w:r>
      <w:r>
        <w:rPr>
          <w:rFonts w:ascii="宋体" w:hAnsi="宋体" w:eastAsia="宋体"/>
          <w:color w:val="auto"/>
          <w:sz w:val="24"/>
          <w:highlight w:val="none"/>
        </w:rPr>
        <w:t>水质检测费</w:t>
      </w:r>
      <w:r>
        <w:rPr>
          <w:rFonts w:hint="eastAsia" w:ascii="宋体" w:hAnsi="宋体" w:eastAsia="宋体"/>
          <w:color w:val="auto"/>
          <w:sz w:val="24"/>
          <w:highlight w:val="none"/>
        </w:rPr>
        <w:t>、</w:t>
      </w:r>
      <w:r>
        <w:rPr>
          <w:rFonts w:ascii="宋体" w:hAnsi="宋体" w:eastAsia="宋体"/>
          <w:color w:val="auto"/>
          <w:sz w:val="24"/>
          <w:highlight w:val="none"/>
        </w:rPr>
        <w:t>管理费及其他</w:t>
      </w:r>
      <w:r>
        <w:rPr>
          <w:rFonts w:hint="eastAsia" w:ascii="宋体" w:hAnsi="宋体" w:eastAsia="宋体"/>
          <w:color w:val="auto"/>
          <w:sz w:val="24"/>
          <w:highlight w:val="none"/>
        </w:rPr>
        <w:t>费用</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避免污水溢流的环境问题，使得江家菜地、荷塘月色和幸福梅林3座污水处理站处理出水主要污染物指标达到《城镇污水处理厂污染物排放标准》（GB18918-2002）一级A标准。</w:t>
      </w:r>
    </w:p>
    <w:p>
      <w:pPr>
        <w:spacing w:line="360" w:lineRule="auto"/>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（二）设计水量：</w:t>
      </w:r>
    </w:p>
    <w:p>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江家菜地污水处理站：江家菜地污水处理站位于成都市锦江区江家堰，</w:t>
      </w:r>
      <w:r>
        <w:rPr>
          <w:rFonts w:ascii="宋体" w:hAnsi="宋体" w:eastAsia="宋体"/>
          <w:color w:val="auto"/>
          <w:sz w:val="24"/>
          <w:highlight w:val="none"/>
        </w:rPr>
        <w:t>日处理量为800吨</w:t>
      </w:r>
      <w:r>
        <w:rPr>
          <w:rFonts w:hint="eastAsia" w:ascii="宋体" w:hAnsi="宋体" w:eastAsia="宋体"/>
          <w:color w:val="auto"/>
          <w:sz w:val="24"/>
          <w:highlight w:val="none"/>
        </w:rPr>
        <w:t>。</w:t>
      </w:r>
    </w:p>
    <w:p>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幸福梅林污水处理站：幸福梅林污水处理站位于成都市锦江区幸福梅林，</w:t>
      </w:r>
      <w:r>
        <w:rPr>
          <w:rFonts w:ascii="宋体" w:hAnsi="宋体" w:eastAsia="宋体"/>
          <w:color w:val="auto"/>
          <w:sz w:val="24"/>
          <w:highlight w:val="none"/>
        </w:rPr>
        <w:t>日处理量为800吨</w:t>
      </w:r>
      <w:r>
        <w:rPr>
          <w:rFonts w:hint="eastAsia" w:ascii="宋体" w:hAnsi="宋体" w:eastAsia="宋体"/>
          <w:color w:val="auto"/>
          <w:sz w:val="24"/>
          <w:highlight w:val="none"/>
        </w:rPr>
        <w:t>。</w:t>
      </w:r>
    </w:p>
    <w:p>
      <w:pPr>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荷塘月色污水处理站：荷塘月色污水处理站位于成都市锦江区万福村，</w:t>
      </w:r>
      <w:r>
        <w:rPr>
          <w:rFonts w:ascii="宋体" w:hAnsi="宋体" w:eastAsia="宋体"/>
          <w:color w:val="auto"/>
          <w:sz w:val="24"/>
          <w:highlight w:val="none"/>
        </w:rPr>
        <w:t>日处理量为</w:t>
      </w:r>
      <w:r>
        <w:rPr>
          <w:rFonts w:hint="eastAsia" w:ascii="宋体" w:hAnsi="宋体" w:eastAsia="宋体"/>
          <w:color w:val="auto"/>
          <w:sz w:val="24"/>
          <w:highlight w:val="none"/>
        </w:rPr>
        <w:t>4</w:t>
      </w:r>
      <w:r>
        <w:rPr>
          <w:rFonts w:ascii="宋体" w:hAnsi="宋体" w:eastAsia="宋体"/>
          <w:color w:val="auto"/>
          <w:sz w:val="24"/>
          <w:highlight w:val="none"/>
        </w:rPr>
        <w:t>00吨</w:t>
      </w:r>
      <w:r>
        <w:rPr>
          <w:rFonts w:hint="eastAsia" w:ascii="宋体" w:hAnsi="宋体" w:eastAsia="宋体"/>
          <w:color w:val="auto"/>
          <w:sz w:val="24"/>
          <w:highlight w:val="none"/>
        </w:rPr>
        <w:t>。</w:t>
      </w:r>
    </w:p>
    <w:p>
      <w:pPr>
        <w:spacing w:line="360" w:lineRule="auto"/>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（三）出水水质要求：</w:t>
      </w:r>
      <w:r>
        <w:rPr>
          <w:rFonts w:hint="eastAsia" w:ascii="宋体" w:hAnsi="宋体" w:eastAsia="宋体"/>
          <w:color w:val="auto"/>
          <w:sz w:val="24"/>
          <w:highlight w:val="none"/>
        </w:rPr>
        <w:t>江家菜地、荷塘月色和幸福梅林3座污水处理站处理出水主要污染物指标达到《城镇污水处理厂污染物排放标准》（GB18918-2002）一级A标准。</w:t>
      </w:r>
    </w:p>
    <w:p>
      <w:pPr>
        <w:spacing w:line="360" w:lineRule="auto"/>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（四）</w:t>
      </w:r>
      <w:r>
        <w:rPr>
          <w:rFonts w:ascii="宋体" w:hAnsi="宋体" w:eastAsia="宋体"/>
          <w:b/>
          <w:bCs/>
          <w:color w:val="auto"/>
          <w:sz w:val="24"/>
          <w:highlight w:val="none"/>
        </w:rPr>
        <w:t>出水水质检测包括</w:t>
      </w:r>
      <w:r>
        <w:rPr>
          <w:rFonts w:hint="eastAsia" w:ascii="宋体" w:hAnsi="宋体" w:eastAsia="宋体"/>
          <w:b/>
          <w:bCs/>
          <w:color w:val="auto"/>
          <w:sz w:val="24"/>
          <w:highlight w:val="none"/>
        </w:rPr>
        <w:t>：</w:t>
      </w:r>
    </w:p>
    <w:p>
      <w:pPr>
        <w:snapToGrid w:val="0"/>
        <w:spacing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a.自检:成交供应商按照国家对污水处理厂运营管理相关规定对进出水进行自检，并整理形成档案，备采购人检查</w:t>
      </w:r>
      <w:r>
        <w:rPr>
          <w:rFonts w:hint="eastAsia" w:ascii="宋体" w:hAnsi="宋体" w:eastAsia="宋体"/>
          <w:color w:val="auto"/>
          <w:sz w:val="24"/>
          <w:highlight w:val="none"/>
        </w:rPr>
        <w:t>；</w:t>
      </w:r>
    </w:p>
    <w:p>
      <w:pPr>
        <w:snapToGrid w:val="0"/>
        <w:spacing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b.采购人抽检:采购人根据工作需要，定期或不定期对污水处理厂进出水水质</w:t>
      </w:r>
      <w:r>
        <w:rPr>
          <w:rFonts w:hint="eastAsia" w:ascii="宋体" w:hAnsi="宋体" w:eastAsia="宋体"/>
          <w:color w:val="auto"/>
          <w:sz w:val="24"/>
          <w:highlight w:val="none"/>
        </w:rPr>
        <w:t>请第三方</w:t>
      </w:r>
      <w:r>
        <w:rPr>
          <w:rFonts w:ascii="宋体" w:hAnsi="宋体" w:eastAsia="宋体"/>
          <w:color w:val="auto"/>
          <w:sz w:val="24"/>
          <w:highlight w:val="none"/>
        </w:rPr>
        <w:t>资质单位进行抽检</w:t>
      </w:r>
      <w:r>
        <w:rPr>
          <w:rFonts w:hint="eastAsia" w:ascii="宋体" w:hAnsi="宋体" w:eastAsia="宋体"/>
          <w:color w:val="auto"/>
          <w:sz w:val="24"/>
          <w:highlight w:val="none"/>
        </w:rPr>
        <w:t>；</w:t>
      </w:r>
    </w:p>
    <w:p>
      <w:pPr>
        <w:snapToGrid w:val="0"/>
        <w:spacing w:line="360" w:lineRule="auto"/>
        <w:ind w:firstLine="480" w:firstLineChars="200"/>
        <w:rPr>
          <w:rFonts w:ascii="宋体" w:hAnsi="宋体" w:eastAsia="宋体"/>
          <w:color w:val="auto"/>
          <w:sz w:val="24"/>
          <w:highlight w:val="none"/>
        </w:rPr>
      </w:pPr>
      <w:r>
        <w:rPr>
          <w:rFonts w:ascii="宋体" w:hAnsi="宋体" w:eastAsia="宋体"/>
          <w:color w:val="auto"/>
          <w:sz w:val="24"/>
          <w:highlight w:val="none"/>
        </w:rPr>
        <w:t>c、环保部门监测:环保部门按国家有关规定进行监测。</w:t>
      </w:r>
    </w:p>
    <w:p>
      <w:pPr>
        <w:spacing w:line="360" w:lineRule="auto"/>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（五）运营管理质量要求</w:t>
      </w:r>
    </w:p>
    <w:p>
      <w:pPr>
        <w:snapToGrid w:val="0"/>
        <w:spacing w:line="360" w:lineRule="auto"/>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1、锦江区的3座小型污水处理站的的运行管理</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1.1保证3座污水处理站出水水质主要污染物指标达到《城镇污水处理厂污染物排放标准》（GB18918-2002）一级A排放标准。</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1.2在设备及供电正常的情况下，保证全天24小时正常运行。污水处理设备年正常运行率达到90%，即全年污水处理设备正常运行应达到330天（正常停电除外）。</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1.3保证在运行管理过程中严格遵守安全操作规程。</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1.4按规范化、专业化管理要求，合理设置管理岗位。运行管理人员必须通过规范化、专业化培训，方能上岗；从事专业性工作的操作人员（水电工、管道工、维修工等），上网必须持有相应的岗位资格证书。</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1.5做到自我约束机制，加强企业内部管理，提高生产效率，减少不必要的资源浪费，以达到控制运行成本的目的。</w:t>
      </w:r>
    </w:p>
    <w:p>
      <w:pPr>
        <w:snapToGrid w:val="0"/>
        <w:spacing w:line="360" w:lineRule="auto"/>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2、国有资产的管理</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2.1在运行管理期间，按照污水处理设施、设备的规范操作规程，正确使用，以避免因操作不当对污水处理设施、设备的损坏。除不可抗力的条件外，不得任意损坏、丢失、遗弃相关设备及设施、不得改变其相关构筑物建筑结构等，保证国有资产的不流失和非正常损耗。</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2.2在运行管理期间，定期对污水处理设施、设备进行维修、保养，以提高设施、设备的正常使用率，以减少设备的检修费及及延长设备的使用寿命。</w:t>
      </w:r>
    </w:p>
    <w:p>
      <w:pPr>
        <w:snapToGrid w:val="0"/>
        <w:spacing w:line="360" w:lineRule="auto"/>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3、设备维修及保养管理</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按照规定的工况和运转规律，对设备进行正确的操作和维修保养。</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3.1正确使用设备，操作人员必须严格按照操作规程进行操作，设备使用过程中作好工况记录。</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3.2做好设备养护，各种设备应制定保养规程，保养工作必须作好保养记录。</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3.3做好设备检修，对主要设备制定明确检修周期，实行定期检修。对常规修理，制定检修工料定额，以降低检修成本，每次检修都要作好记录。</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3.4完善设备管理程序，作好从设备的购置、安装、调试、验收、使用、保养、检修直到报废以及更新全过程的管理工作，建立完备的设备档案和各项管理制度。</w:t>
      </w:r>
    </w:p>
    <w:p>
      <w:pPr>
        <w:snapToGrid w:val="0"/>
        <w:spacing w:line="360" w:lineRule="auto"/>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4、供电、用电设备的管理</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4.1供电系统24小时正常运行，发生断电事故立即排除，若不能及时排除，则启动应急预案（发电）并及时通知供电局，进行交涉解决。</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4.2定期巡视会议室、办公室、卫生间、楼道、道路的照明设施，发现问题及时解决。</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4.3保证污水处理系统用电正常，在污水处理系统未运行时，不得任意耗电，浪费资源。</w:t>
      </w:r>
    </w:p>
    <w:p>
      <w:pPr>
        <w:snapToGrid w:val="0"/>
        <w:spacing w:line="360" w:lineRule="auto"/>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5、环境卫生、保洁管理</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5.1保持污水处理区域的整洁，保证污水管道、空气管道、流量计的畅通以及及时清除溢流堰和二沉池水面的杂物、浮渣。</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5.2保证办公区域不敷洁无杂物、无积水，垃圾桶、果皮箱外表整洁，无遗撒，夏季对垃圾箱、垃圾堆放地、果皮箱喷药、消毒，无蚊蝇滋生，及时清运垃圾，使环境卫生达到市文明单位标准，空气流通无异味。</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5.3道路清扫合格率达100%，保洁合格率达95%。清扫保洁质量应到达“七无”标准，即：路面无堆积物，无砖瓦土石，无果皮、纸屑、塑料袋，无烟头，无积水，无痰迹，无积泥积灰。</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6、绿地、绿化管理</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6.1保持绿化设计的整体造型和绿化效果，花木、绿地修剪整齐，及时清除杂草、杂物。</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6.2无破坏、践踏、占用绿地的现象。</w:t>
      </w:r>
    </w:p>
    <w:p>
      <w:pPr>
        <w:snapToGrid w:val="0"/>
        <w:spacing w:line="360" w:lineRule="auto"/>
        <w:ind w:firstLine="480" w:firstLineChars="200"/>
        <w:rPr>
          <w:rFonts w:hint="eastAsia" w:ascii="宋体" w:hAnsi="宋体" w:eastAsia="宋体"/>
          <w:color w:val="auto"/>
          <w:sz w:val="24"/>
          <w:highlight w:val="none"/>
        </w:rPr>
      </w:pPr>
      <w:r>
        <w:rPr>
          <w:rFonts w:hint="eastAsia" w:ascii="宋体" w:hAnsi="宋体" w:eastAsia="宋体"/>
          <w:color w:val="auto"/>
          <w:sz w:val="24"/>
          <w:highlight w:val="none"/>
        </w:rPr>
        <w:t>6.3在正常浇灌前提下，节约用水，管理好绿化用水。</w:t>
      </w:r>
    </w:p>
    <w:p>
      <w:pPr>
        <w:spacing w:line="360" w:lineRule="auto"/>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（六）安全管理要求</w:t>
      </w:r>
    </w:p>
    <w:p>
      <w:pPr>
        <w:snapToGrid w:val="0"/>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对各岗位操作人员进行安全培训，制定应急预案并定期演练，操作人在岗期</w:t>
      </w:r>
      <w:r>
        <w:rPr>
          <w:rFonts w:ascii="宋体" w:hAnsi="宋体" w:eastAsia="宋体"/>
          <w:color w:val="auto"/>
          <w:sz w:val="24"/>
          <w:highlight w:val="none"/>
        </w:rPr>
        <w:t>间应遵守相关安全操作规程。</w:t>
      </w:r>
    </w:p>
    <w:p>
      <w:pPr>
        <w:snapToGrid w:val="0"/>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★安全承诺：</w:t>
      </w:r>
      <w:r>
        <w:rPr>
          <w:rFonts w:hint="eastAsia" w:ascii="宋体" w:hAnsi="宋体" w:eastAsia="宋体"/>
          <w:color w:val="auto"/>
          <w:sz w:val="24"/>
          <w:highlight w:val="none"/>
          <w:lang w:eastAsia="zh-CN"/>
        </w:rPr>
        <w:t>供应商</w:t>
      </w:r>
      <w:r>
        <w:rPr>
          <w:rFonts w:hint="eastAsia" w:ascii="宋体" w:hAnsi="宋体" w:eastAsia="宋体"/>
          <w:color w:val="auto"/>
          <w:sz w:val="24"/>
          <w:highlight w:val="none"/>
        </w:rPr>
        <w:t>对本服务项目实施中的一切安全责任（人身安全、财</w:t>
      </w:r>
      <w:r>
        <w:rPr>
          <w:rFonts w:ascii="宋体" w:hAnsi="宋体" w:eastAsia="宋体"/>
          <w:color w:val="auto"/>
          <w:sz w:val="24"/>
          <w:highlight w:val="none"/>
        </w:rPr>
        <w:t>产安全、环境安全、人事纠纷等）由成交供应商自行负责（提供安全责任承诺函原件，加盖鲜章）</w:t>
      </w:r>
    </w:p>
    <w:p>
      <w:pPr>
        <w:spacing w:line="360" w:lineRule="auto"/>
        <w:ind w:firstLine="482" w:firstLineChars="200"/>
        <w:rPr>
          <w:rFonts w:hint="eastAsia" w:ascii="宋体" w:hAnsi="宋体" w:eastAsia="宋体"/>
          <w:b/>
          <w:color w:val="auto"/>
          <w:sz w:val="24"/>
          <w:highlight w:val="none"/>
        </w:rPr>
      </w:pPr>
      <w:r>
        <w:rPr>
          <w:rFonts w:hint="eastAsia" w:ascii="宋体" w:hAnsi="宋体" w:eastAsia="宋体"/>
          <w:b/>
          <w:color w:val="auto"/>
          <w:sz w:val="24"/>
          <w:highlight w:val="none"/>
        </w:rPr>
        <w:t>（七）运维人员</w:t>
      </w:r>
      <w:r>
        <w:rPr>
          <w:rFonts w:hint="eastAsia" w:ascii="宋体" w:hAnsi="宋体" w:eastAsia="宋体"/>
          <w:b/>
          <w:color w:val="auto"/>
          <w:sz w:val="24"/>
          <w:highlight w:val="none"/>
          <w:lang w:val="en-US" w:eastAsia="zh-CN"/>
        </w:rPr>
        <w:t>基本</w:t>
      </w:r>
      <w:r>
        <w:rPr>
          <w:rFonts w:hint="eastAsia" w:ascii="宋体" w:hAnsi="宋体" w:eastAsia="宋体"/>
          <w:b/>
          <w:color w:val="auto"/>
          <w:sz w:val="24"/>
          <w:highlight w:val="none"/>
        </w:rPr>
        <w:t>要求</w:t>
      </w:r>
    </w:p>
    <w:p>
      <w:pPr>
        <w:snapToGrid w:val="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运营管理人员要求每站不低于3名，总计9名；专业维修技术人员要求水工、电工各1名，其它工种1名共3名；管理人员要求配备给排水专业技术人员2名，安全管理人员1名，项目经理1名共4名。</w:t>
      </w:r>
    </w:p>
    <w:p>
      <w:pPr>
        <w:spacing w:line="360" w:lineRule="auto"/>
        <w:rPr>
          <w:rFonts w:hint="eastAsia" w:ascii="宋体" w:hAnsi="宋体" w:eastAsia="宋体"/>
          <w:b/>
          <w:bCs/>
          <w:color w:val="auto"/>
          <w:sz w:val="24"/>
          <w:highlight w:val="none"/>
        </w:rPr>
      </w:pPr>
      <w:r>
        <w:rPr>
          <w:rFonts w:hint="eastAsia" w:ascii="宋体" w:hAnsi="宋体" w:eastAsia="宋体"/>
          <w:b/>
          <w:bCs/>
          <w:color w:val="auto"/>
          <w:sz w:val="24"/>
          <w:highlight w:val="none"/>
        </w:rPr>
        <w:t>三、商务要求</w:t>
      </w:r>
    </w:p>
    <w:p>
      <w:pPr>
        <w:snapToGrid w:val="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★1、服务地点：采购人指定地点。</w:t>
      </w:r>
    </w:p>
    <w:p>
      <w:pPr>
        <w:snapToGrid w:val="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★2、服务期限：三年，合同一年一签（考核合格后方能续签下一年）</w:t>
      </w:r>
    </w:p>
    <w:p>
      <w:pPr>
        <w:snapToGrid w:val="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★3、报价：本采购项目实行包干价（包含但不限于委托运行管理服务成本、药剂费、能源费、制造费、污泥处理费、保险费、人员工资及福利待遇等全部费用）。</w:t>
      </w:r>
    </w:p>
    <w:p>
      <w:pPr>
        <w:snapToGrid w:val="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★4、付款方式：按月支付（年度服务费</w:t>
      </w:r>
      <w:r>
        <w:rPr>
          <w:rFonts w:ascii="宋体" w:hAnsi="宋体" w:eastAsia="宋体"/>
          <w:color w:val="auto"/>
          <w:sz w:val="24"/>
          <w:highlight w:val="none"/>
        </w:rPr>
        <w:t>/</w:t>
      </w:r>
      <w:r>
        <w:rPr>
          <w:rFonts w:hint="eastAsia" w:ascii="宋体" w:hAnsi="宋体" w:eastAsia="宋体"/>
          <w:color w:val="auto"/>
          <w:sz w:val="24"/>
          <w:highlight w:val="none"/>
        </w:rPr>
        <w:t>12月</w:t>
      </w:r>
      <w:r>
        <w:rPr>
          <w:rFonts w:ascii="宋体" w:hAnsi="宋体" w:eastAsia="宋体"/>
          <w:color w:val="auto"/>
          <w:sz w:val="24"/>
          <w:highlight w:val="none"/>
        </w:rPr>
        <w:t>）</w:t>
      </w:r>
      <w:r>
        <w:rPr>
          <w:rFonts w:hint="eastAsia" w:ascii="宋体" w:hAnsi="宋体" w:eastAsia="宋体"/>
          <w:color w:val="auto"/>
          <w:sz w:val="24"/>
          <w:highlight w:val="none"/>
        </w:rPr>
        <w:t>。采购方于每个月对供应商运行情况进行考核，根据考核结果支付上月服务费。每次付款前，成交供应商应提供正式的票据，否则采购人有权拒绝付款，由此造成的损失由成交供应商自行承担。</w:t>
      </w:r>
    </w:p>
    <w:p>
      <w:pPr>
        <w:snapToGrid w:val="0"/>
        <w:spacing w:after="0"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★5、验收方式：成交人与采购人应严格按照《财政部关于进一步加强政府采购需求和履约验收管理的指导意见》（财库〔2016〕205号）的要求及国家现行相关质量验收规范合格标准要求进行验收。</w:t>
      </w:r>
    </w:p>
    <w:p>
      <w:pPr>
        <w:snapToGrid w:val="0"/>
        <w:spacing w:line="360" w:lineRule="auto"/>
        <w:ind w:firstLine="482" w:firstLineChars="200"/>
        <w:rPr>
          <w:rFonts w:hint="eastAsia" w:ascii="宋体" w:hAnsi="宋体" w:eastAsia="宋体"/>
          <w:b/>
          <w:color w:val="auto"/>
          <w:sz w:val="24"/>
          <w:highlight w:val="none"/>
        </w:rPr>
      </w:pPr>
    </w:p>
    <w:p>
      <w:pPr>
        <w:snapToGrid w:val="0"/>
        <w:spacing w:line="360" w:lineRule="auto"/>
        <w:ind w:firstLine="482" w:firstLineChars="200"/>
        <w:rPr>
          <w:rFonts w:hint="eastAsia" w:ascii="宋体" w:hAnsi="宋体" w:eastAsia="宋体"/>
          <w:b/>
          <w:color w:val="auto"/>
          <w:sz w:val="24"/>
          <w:highlight w:val="none"/>
        </w:rPr>
      </w:pPr>
    </w:p>
    <w:p>
      <w:pPr>
        <w:snapToGrid w:val="0"/>
        <w:spacing w:line="360" w:lineRule="auto"/>
        <w:ind w:firstLine="482" w:firstLineChars="200"/>
        <w:rPr>
          <w:rFonts w:ascii="宋体" w:hAnsi="宋体" w:eastAsia="宋体"/>
          <w:b/>
          <w:color w:val="auto"/>
          <w:sz w:val="24"/>
          <w:highlight w:val="none"/>
        </w:rPr>
      </w:pPr>
      <w:r>
        <w:rPr>
          <w:rFonts w:hint="eastAsia" w:ascii="宋体" w:hAnsi="宋体" w:eastAsia="宋体"/>
          <w:b/>
          <w:color w:val="auto"/>
          <w:sz w:val="24"/>
          <w:highlight w:val="none"/>
        </w:rPr>
        <w:t>注：以下标注“★”为实质性要求，不允许有负偏离，否则视为无效响应。</w:t>
      </w:r>
    </w:p>
    <w:p>
      <w:pPr>
        <w:snapToGrid w:val="0"/>
        <w:spacing w:line="440" w:lineRule="exact"/>
        <w:ind w:firstLine="422" w:firstLineChars="200"/>
        <w:rPr>
          <w:rFonts w:hint="eastAsia" w:ascii="宋体" w:hAnsi="宋体" w:eastAsia="宋体"/>
          <w:b/>
          <w:bCs/>
          <w:color w:val="auto"/>
          <w:szCs w:val="21"/>
          <w:highlight w:val="none"/>
        </w:rPr>
      </w:pPr>
    </w:p>
    <w:p>
      <w:pPr>
        <w:widowControl/>
        <w:spacing w:after="0" w:line="240" w:lineRule="auto"/>
        <w:jc w:val="left"/>
        <w:rPr>
          <w:rFonts w:ascii="宋体" w:hAnsi="宋体" w:eastAsia="宋体"/>
          <w:b/>
          <w:bCs/>
          <w:color w:val="auto"/>
          <w:szCs w:val="21"/>
          <w:highlight w:val="none"/>
        </w:rPr>
      </w:pPr>
      <w:r>
        <w:rPr>
          <w:rFonts w:ascii="宋体" w:hAnsi="宋体" w:eastAsia="宋体"/>
          <w:b/>
          <w:bCs/>
          <w:color w:val="auto"/>
          <w:szCs w:val="21"/>
          <w:highlight w:val="none"/>
        </w:rPr>
        <w:br w:type="page"/>
      </w:r>
      <w:r>
        <w:rPr>
          <w:rFonts w:hint="eastAsia" w:ascii="宋体" w:hAnsi="宋体" w:eastAsia="宋体"/>
          <w:b/>
          <w:bCs/>
          <w:color w:val="auto"/>
          <w:szCs w:val="21"/>
          <w:highlight w:val="none"/>
        </w:rPr>
        <w:t>附件</w:t>
      </w:r>
      <w:r>
        <w:rPr>
          <w:rFonts w:hint="eastAsia" w:ascii="宋体" w:hAnsi="宋体" w:eastAsia="宋体"/>
          <w:color w:val="auto"/>
          <w:sz w:val="24"/>
          <w:highlight w:val="none"/>
        </w:rPr>
        <w:t>：考核办法</w:t>
      </w:r>
    </w:p>
    <w:p>
      <w:pPr>
        <w:snapToGrid w:val="0"/>
        <w:spacing w:line="440" w:lineRule="exact"/>
        <w:ind w:firstLine="480" w:firstLineChars="200"/>
        <w:rPr>
          <w:rFonts w:ascii="宋体" w:hAnsi="宋体" w:eastAsia="宋体"/>
          <w:color w:val="auto"/>
          <w:sz w:val="24"/>
          <w:highlight w:val="none"/>
        </w:rPr>
      </w:pPr>
      <w:r>
        <w:rPr>
          <w:rFonts w:hint="eastAsia" w:ascii="宋体" w:hAnsi="宋体" w:eastAsia="宋体"/>
          <w:color w:val="auto"/>
          <w:sz w:val="24"/>
          <w:highlight w:val="none"/>
        </w:rPr>
        <w:t xml:space="preserve">1.考核采用月考核制，月考核主体为采购方业务管理科室牵头组织的联合体。 </w:t>
      </w:r>
    </w:p>
    <w:p>
      <w:pPr>
        <w:snapToGrid w:val="0"/>
        <w:spacing w:line="440" w:lineRule="exact"/>
        <w:ind w:firstLine="480" w:firstLineChars="200"/>
        <w:rPr>
          <w:rFonts w:ascii="宋体" w:hAnsi="宋体" w:eastAsia="宋体"/>
          <w:color w:val="auto"/>
          <w:sz w:val="24"/>
          <w:highlight w:val="none"/>
        </w:rPr>
      </w:pPr>
      <w:r>
        <w:rPr>
          <w:rFonts w:hint="eastAsia" w:ascii="宋体" w:hAnsi="宋体" w:eastAsia="宋体"/>
          <w:color w:val="auto"/>
          <w:sz w:val="24"/>
          <w:highlight w:val="none"/>
        </w:rPr>
        <w:t>2.月考核得根据考核评分标准一次性评定，考核时间为每月最后一个月的25日前后，月考核得分作为本月管理维护服务质量得分（管理维护服务质量达标分为80分），并将此作为管理维护费用支付的依据。</w:t>
      </w:r>
    </w:p>
    <w:p>
      <w:pPr>
        <w:pStyle w:val="2"/>
        <w:spacing w:line="240" w:lineRule="auto"/>
        <w:ind w:firstLine="2891" w:firstLineChars="1200"/>
        <w:rPr>
          <w:rFonts w:ascii="宋体" w:hAnsi="宋体" w:eastAsia="宋体"/>
          <w:color w:val="auto"/>
          <w:highlight w:val="none"/>
        </w:rPr>
      </w:pPr>
      <w:r>
        <w:rPr>
          <w:rFonts w:hint="eastAsia" w:ascii="宋体" w:hAnsi="宋体" w:eastAsia="宋体" w:cs="宋体"/>
          <w:b/>
          <w:bCs/>
          <w:color w:val="auto"/>
          <w:kern w:val="0"/>
          <w:sz w:val="24"/>
          <w:highlight w:val="none"/>
        </w:rPr>
        <w:t>污水处理运营考核表</w:t>
      </w:r>
    </w:p>
    <w:tbl>
      <w:tblPr>
        <w:tblStyle w:val="30"/>
        <w:tblpPr w:leftFromText="180" w:rightFromText="180" w:vertAnchor="text" w:horzAnchor="page" w:tblpXSpec="center" w:tblpY="872"/>
        <w:tblOverlap w:val="never"/>
        <w:tblW w:w="9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859"/>
        <w:gridCol w:w="942"/>
        <w:gridCol w:w="5877"/>
        <w:gridCol w:w="793"/>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1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eastAsia="宋体"/>
                <w:b/>
                <w:bCs/>
                <w:color w:val="auto"/>
                <w:szCs w:val="21"/>
                <w:highlight w:val="none"/>
              </w:rPr>
            </w:pPr>
            <w:r>
              <w:rPr>
                <w:rFonts w:hint="eastAsia" w:ascii="宋体" w:hAnsi="宋体" w:eastAsia="宋体"/>
                <w:b/>
                <w:bCs/>
                <w:color w:val="auto"/>
                <w:szCs w:val="21"/>
                <w:highlight w:val="none"/>
              </w:rPr>
              <w:t>序号</w:t>
            </w:r>
          </w:p>
        </w:tc>
        <w:tc>
          <w:tcPr>
            <w:tcW w:w="85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eastAsia="宋体"/>
                <w:b/>
                <w:bCs/>
                <w:color w:val="auto"/>
                <w:szCs w:val="21"/>
                <w:highlight w:val="none"/>
              </w:rPr>
            </w:pPr>
            <w:r>
              <w:rPr>
                <w:rFonts w:hint="eastAsia" w:ascii="宋体" w:hAnsi="宋体" w:eastAsia="宋体"/>
                <w:b/>
                <w:bCs/>
                <w:color w:val="auto"/>
                <w:szCs w:val="21"/>
                <w:highlight w:val="none"/>
              </w:rPr>
              <w:t>考核项目</w:t>
            </w:r>
          </w:p>
        </w:tc>
        <w:tc>
          <w:tcPr>
            <w:tcW w:w="94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eastAsia="宋体"/>
                <w:b/>
                <w:bCs/>
                <w:color w:val="auto"/>
                <w:szCs w:val="21"/>
                <w:highlight w:val="none"/>
              </w:rPr>
            </w:pPr>
            <w:r>
              <w:rPr>
                <w:rFonts w:hint="eastAsia" w:ascii="宋体" w:hAnsi="宋体" w:eastAsia="宋体"/>
                <w:b/>
                <w:bCs/>
                <w:color w:val="auto"/>
                <w:szCs w:val="21"/>
                <w:highlight w:val="none"/>
              </w:rPr>
              <w:t>考核内容</w:t>
            </w:r>
          </w:p>
        </w:tc>
        <w:tc>
          <w:tcPr>
            <w:tcW w:w="5877"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eastAsia="宋体"/>
                <w:b/>
                <w:bCs/>
                <w:color w:val="auto"/>
                <w:szCs w:val="21"/>
                <w:highlight w:val="none"/>
              </w:rPr>
            </w:pPr>
            <w:r>
              <w:rPr>
                <w:rFonts w:hint="eastAsia" w:ascii="宋体" w:hAnsi="宋体" w:eastAsia="宋体"/>
                <w:b/>
                <w:bCs/>
                <w:color w:val="auto"/>
                <w:szCs w:val="21"/>
                <w:highlight w:val="none"/>
              </w:rPr>
              <w:t>考核细则</w:t>
            </w:r>
          </w:p>
        </w:tc>
        <w:tc>
          <w:tcPr>
            <w:tcW w:w="7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eastAsia="宋体"/>
                <w:b/>
                <w:bCs/>
                <w:color w:val="auto"/>
                <w:szCs w:val="21"/>
                <w:highlight w:val="none"/>
              </w:rPr>
            </w:pPr>
            <w:r>
              <w:rPr>
                <w:rFonts w:hint="eastAsia" w:ascii="宋体" w:hAnsi="宋体" w:eastAsia="宋体"/>
                <w:b/>
                <w:bCs/>
                <w:color w:val="auto"/>
                <w:szCs w:val="21"/>
                <w:highlight w:val="none"/>
              </w:rPr>
              <w:t>标准分值</w:t>
            </w:r>
          </w:p>
        </w:tc>
        <w:tc>
          <w:tcPr>
            <w:tcW w:w="79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ascii="宋体" w:hAnsi="宋体" w:eastAsia="宋体"/>
                <w:b/>
                <w:bCs/>
                <w:color w:val="auto"/>
                <w:szCs w:val="21"/>
                <w:highlight w:val="none"/>
              </w:rPr>
            </w:pPr>
            <w:r>
              <w:rPr>
                <w:rFonts w:hint="eastAsia" w:ascii="宋体" w:hAnsi="宋体" w:eastAsia="宋体"/>
                <w:b/>
                <w:bCs/>
                <w:color w:val="auto"/>
                <w:szCs w:val="21"/>
                <w:highlight w:val="none"/>
              </w:rPr>
              <w:t>得分情况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1</w:t>
            </w:r>
          </w:p>
        </w:tc>
        <w:tc>
          <w:tcPr>
            <w:tcW w:w="85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基础管理22分</w:t>
            </w: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人员管理</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从业人员配置符合相应规定，技术负责人具备相应专业职称，岗位人员要培训合格持证上岗；上述条件每有一项不满足扣1分，扣完为止。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ascii="宋体" w:hAnsi="宋体" w:eastAsia="宋体"/>
                <w:color w:val="auto"/>
                <w:szCs w:val="21"/>
                <w:highlight w:val="none"/>
              </w:rPr>
            </w:pPr>
            <w:r>
              <w:rPr>
                <w:rFonts w:hint="eastAsia" w:ascii="宋体" w:hAnsi="宋体" w:eastAsia="宋体"/>
                <w:color w:val="auto"/>
                <w:szCs w:val="21"/>
                <w:highlight w:val="none"/>
              </w:rPr>
              <w:t>4</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标准化管理</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建立健全的管理制度；制度没有一项不健全扣1分，扣完为止。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4</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信息管理</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建立信息管理制定，按规定及时、准确、完整上报各种报表和资料，如报表、资料上报不及时、不完整的扣2分，扣完为止。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4</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财务管理</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建立和执行完整的财务管理制定，根据生产运行核算污水处理成本；财务管理不规范和未进行成本核算的扣2分，扣完为止。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4</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档案管理</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建立档案管理制度，按要求配置档案管理人员，资料收集完善归档；未建立档案制定、未按要求配置档案管理人员、资料残缺不全不规范的，扣1分，扣完为止。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3</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lang w:val="en-US" w:eastAsia="zh-CN"/>
              </w:rPr>
              <w:t>站点</w:t>
            </w:r>
            <w:r>
              <w:rPr>
                <w:rFonts w:hint="eastAsia" w:ascii="宋体" w:hAnsi="宋体" w:eastAsia="宋体"/>
                <w:color w:val="auto"/>
                <w:szCs w:val="21"/>
                <w:highlight w:val="none"/>
              </w:rPr>
              <w:t>环境管理</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lang w:eastAsia="zh-CN"/>
              </w:rPr>
              <w:t>站点</w:t>
            </w:r>
            <w:r>
              <w:rPr>
                <w:rFonts w:hint="eastAsia" w:ascii="宋体" w:hAnsi="宋体" w:eastAsia="宋体"/>
                <w:color w:val="auto"/>
                <w:szCs w:val="21"/>
                <w:highlight w:val="none"/>
              </w:rPr>
              <w:t>环境优美，道路整洁，标识标牌齐全规范；道路不整洁、标识标牌不齐全规范的扣1分，扣完为止。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3</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2</w:t>
            </w:r>
          </w:p>
        </w:tc>
        <w:tc>
          <w:tcPr>
            <w:tcW w:w="85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排水防涝设施运行管理8分</w:t>
            </w: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信息化管理</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建立排水设施地理信息系统（GIS）；未建立或未按要求填报信息系统的扣3分。</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2</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设施巡查和保护</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按CJJ68标准规定进行管网、设施巡查、建立巡查记录；未巡查或无巡查记录或记录不完整的扣1分，当年或上年度因管道坍塌、井盖丢失等造成的安全责任事故扣1分，无设施保护范围内有关扰动作业设施保护方案和记录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4</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排水设施养护管理</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建立维护计划，对排水设施定期维护，泵站及养护机械设备完好率不低于95%（雨水泵98%），设施维护或检修影响排水应提前24小时通知相关排水户，检查井井盖完好；上述要求每一项不满足扣1分，扣完为止。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2</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3</w:t>
            </w:r>
          </w:p>
        </w:tc>
        <w:tc>
          <w:tcPr>
            <w:tcW w:w="85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水质管理20分</w:t>
            </w: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水质检测制度</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健全的水质检测制度，不健全的扣1分，扣完为止。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4</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水质检测能力</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建立有与污水处理规模相适应的水质检测化验机构，检测人员和设施、设备能保障本单位水质检测化验需要；未建立或不满足的扣2分，扣完为止。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4</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水质检测实施</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按照相关规定检测项目和频次实施检测工作；日常检测频次不符合标准规范或原始记录、检测报告不规范或数据保存不完整的扣2分，扣完为止。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4</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进水水质</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水质不符合工艺设计规定范围时，应采取相应措施并向行政主管部门报告；如为采取措施或未报告扣2分，扣完为止。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4</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出水水质</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出水水质应符合国家及地方标准；如出现一月不达标(按月平均达标计，COD、BOD5、SS、NH3-N、TP、TN、大肠杆菌指标有一项超过设计出水标准，视为全月不达标)，扣2分，扣完为止。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4</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4</w:t>
            </w:r>
          </w:p>
        </w:tc>
        <w:tc>
          <w:tcPr>
            <w:tcW w:w="85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运行管理20分</w:t>
            </w: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机构健全</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机构设置合理，人员配备适当；如管理机构不健全或岗位职责不明确扣1分，扣完为止。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3</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操作规程</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污水处理按工艺流程分别制定安全操作规程，有明确清晰的工程流程，有明确的工艺参数、工艺调整指导性技术资料；如工艺流程未分别制定安全操作规程、没有明确工作流程、没有工艺参数、工艺调整指导性技术资料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3</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工艺运行状态</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工艺运行应当保障各污水处理流程正常运行，对工艺流程、各单位工艺运行状态清晰、准确、完整记录；如工艺运行不正常、状态记录不完整、不清晰、不准确扣1分，扣完为止。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5</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污泥处理处置</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对工艺系统中的污泥指标有定时、详细、完整的记录，污泥含水率≤80%,(按平均污泥含水率计分或以现场抽检结果为准), 污泥或者处理处置后的污泥去向、用途、用量等跟踪、记录联单完整、规范，按规定检测污泥泥质，并做好检测记录；上述内容无记录或记录不完整或污泥含水率&gt;80%或处理后的污泥月检指标超标或污泥安全处理率未达规划目标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5</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运营信息报告与公布</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运营原始记录、统计报表报表完整、规范，按要求填报“全国城镇污水处理管理信息系统”，按要求向当地城镇排水主管部门报送水质水量、成本等信息。定期向社会公开有关水质、水量为运维信息；如上述信息记录不完整、数据填报不准确、未向当地主管部门报送水质、水量、成本等信息、未定期向社会公开水质、水量等维护运营信息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3</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污水再生利用</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污水再生用于厂内绿化冲洗、厂外市政杂用、工业、景观、农用等；未进行污水再生利用的扣1分，扣完为止。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1</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5</w:t>
            </w:r>
          </w:p>
        </w:tc>
        <w:tc>
          <w:tcPr>
            <w:tcW w:w="85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设备管理10分</w:t>
            </w: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机构与人员配置</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有专门的设备管理机构，人员配置，岗位职责明确；如无设备管理机构、无人员岗位职责、人员配置不合理的扣1分，扣完为止。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2</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7"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管理制度</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有健全、规范的设备管理制度，有完整、准确的设备台账；如无设备管理制度或无台账的扣1分，扣完为止。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2</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维护与保养</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应坚持经常性的设备清洁、维护与保养，达到清洁经常、润滑良好、紧定可靠、调整适中，不带故障运行的管理要求；设备保养不达标或设备带故障运行的扣1分，扣完为止。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3</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设备完好率</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设备完好率≥95%(按照城镇污水处理厂运营质量评价标准》计算公式计算；设备完好率低于95%的，每低一个百分点扣1分，扣完为止。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2</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设备档案</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有健全、完整的设备档案资料、设备销售资料、使用运行、保养维护及报废更新有完整记录；如为建立档案或不完整的扣1分，扣完为止。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1</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6</w:t>
            </w:r>
          </w:p>
        </w:tc>
        <w:tc>
          <w:tcPr>
            <w:tcW w:w="85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安全管理10分</w:t>
            </w: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管理体系与责任体系</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实行安全工作主要导领负责制和按级分责任制，建立安全管理体系。按要求设置安全生产专兼职监管人员；未实行安全工作主要导领负责制和按级分责任制，未建立安全管理体系。未按要求设置安全生产专兼职监管人员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2</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管理制度</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建立安全生产相关制度（岗位责任制度、安全防护制度、危险作业现场监护制度），建立、执行关键岗位安全生产操作规程；未建立安全生产相关制度（岗位责任制度、安全防护制度、危险作业现场监护制度），未建立、执行关键岗位安全生产操作规程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2</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安全隐患管理</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应定期进行安全隐患排查，制订安全隐患整改方案，并对整改完成情况进行跟踪评估；未定期进行安全隐患排查，未制订安全隐患整改方案，并对整改完成情况进行跟踪评估的扣1分，扣完为止。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2</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重点部位防护</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重点安全防护部位有明显的安全警示标识，高危作业现场有明确的安全监控措施；重点安全防护部位没有明显的安全警示标识，高危作业现场没有明确的安全监控措施的扣1分，扣完为止。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2</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危化品管理</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危险化学品采购、储存存及使用符合规范要求；如危险化学品采购、储存存及使用符合规范不符合要求扣1分。</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1</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安全救生防护器材</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污水处理构筑物上应按要求配备救生防护器材；未配置的扣1分。</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1</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13"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r>
              <w:rPr>
                <w:rFonts w:hint="eastAsia" w:ascii="宋体" w:hAnsi="宋体" w:eastAsia="宋体"/>
                <w:color w:val="auto"/>
                <w:szCs w:val="21"/>
                <w:highlight w:val="none"/>
              </w:rPr>
              <w:t>7</w:t>
            </w:r>
          </w:p>
        </w:tc>
        <w:tc>
          <w:tcPr>
            <w:tcW w:w="859"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应急管理10分</w:t>
            </w: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应急预案</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制定本单位应急预案（全生产、职业卫生、环境保护、自然灾害等突发事件）；未制定的扣4分。</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4</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应急队伍</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建立应急指挥组织机构、应急队伍、应急人员通讯畅通；未建立应急指挥组织机构、应急队伍、应急人员通讯不畅通扣1分，扣完为止。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3</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71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85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olor w:val="auto"/>
                <w:szCs w:val="21"/>
                <w:highlight w:val="none"/>
              </w:rPr>
            </w:pPr>
          </w:p>
        </w:tc>
        <w:tc>
          <w:tcPr>
            <w:tcW w:w="942"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应急演练及物资储备</w:t>
            </w:r>
          </w:p>
        </w:tc>
        <w:tc>
          <w:tcPr>
            <w:tcW w:w="5877" w:type="dxa"/>
            <w:tcBorders>
              <w:top w:val="single" w:color="auto" w:sz="4" w:space="0"/>
              <w:left w:val="single" w:color="auto" w:sz="4" w:space="0"/>
              <w:bottom w:val="single" w:color="auto" w:sz="4" w:space="0"/>
              <w:right w:val="single" w:color="auto" w:sz="4" w:space="0"/>
            </w:tcBorders>
            <w:vAlign w:val="center"/>
          </w:tcPr>
          <w:p>
            <w:pPr>
              <w:snapToGrid w:val="0"/>
              <w:spacing w:line="240" w:lineRule="auto"/>
              <w:rPr>
                <w:rFonts w:ascii="宋体" w:hAnsi="宋体" w:eastAsia="宋体"/>
                <w:color w:val="auto"/>
                <w:szCs w:val="21"/>
                <w:highlight w:val="none"/>
              </w:rPr>
            </w:pPr>
            <w:r>
              <w:rPr>
                <w:rFonts w:hint="eastAsia" w:ascii="宋体" w:hAnsi="宋体" w:eastAsia="宋体"/>
                <w:color w:val="auto"/>
                <w:szCs w:val="21"/>
                <w:highlight w:val="none"/>
              </w:rPr>
              <w:t>按照规定组织演练，结合演练和抢险效果及时对预案进行修改和完善，按要求配备应急物资、抢险装备；未按照规定组织演练，未结合演练和抢险效果及时对预案进行修改和完善，未按要求配备应急物资、抢险装备扣1分，扣完为止。</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eastAsia="宋体"/>
                <w:color w:val="auto"/>
                <w:szCs w:val="21"/>
                <w:highlight w:val="none"/>
              </w:rPr>
            </w:pPr>
            <w:r>
              <w:rPr>
                <w:rFonts w:hint="eastAsia" w:ascii="宋体" w:hAnsi="宋体" w:eastAsia="宋体"/>
                <w:color w:val="auto"/>
                <w:szCs w:val="21"/>
                <w:highlight w:val="none"/>
              </w:rPr>
              <w:t>3</w:t>
            </w:r>
          </w:p>
        </w:tc>
        <w:tc>
          <w:tcPr>
            <w:tcW w:w="7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eastAsia="宋体"/>
                <w:color w:val="auto"/>
                <w:szCs w:val="21"/>
                <w:highlight w:val="none"/>
              </w:rPr>
            </w:pPr>
          </w:p>
        </w:tc>
      </w:tr>
    </w:tbl>
    <w:p>
      <w:pPr>
        <w:widowControl/>
        <w:spacing w:line="360" w:lineRule="auto"/>
        <w:jc w:val="left"/>
        <w:rPr>
          <w:rFonts w:ascii="宋体" w:hAnsi="宋体" w:eastAsia="宋体"/>
          <w:color w:val="auto"/>
          <w:szCs w:val="21"/>
          <w:highlight w:val="none"/>
        </w:rPr>
      </w:pPr>
      <w:r>
        <w:rPr>
          <w:rFonts w:hint="eastAsia" w:ascii="宋体" w:hAnsi="宋体" w:eastAsia="宋体" w:cs="宋体"/>
          <w:color w:val="auto"/>
          <w:kern w:val="0"/>
          <w:szCs w:val="21"/>
          <w:highlight w:val="none"/>
        </w:rPr>
        <w:t>3.在每月的考核中，考核服务质量得分≧80分，采购人足额支付服务费用；若考核服务质量得分低于 80分，则每少1分扣减当月管理维护费人民5000.00元。年度综合得分低于</w:t>
      </w:r>
      <w:r>
        <w:rPr>
          <w:rFonts w:hint="eastAsia" w:ascii="宋体" w:hAnsi="宋体" w:eastAsia="宋体" w:cs="宋体"/>
          <w:color w:val="auto"/>
          <w:kern w:val="0"/>
          <w:szCs w:val="21"/>
          <w:highlight w:val="none"/>
          <w:lang w:val="en-US" w:eastAsia="zh-CN"/>
        </w:rPr>
        <w:t>8</w:t>
      </w:r>
      <w:r>
        <w:rPr>
          <w:rFonts w:hint="eastAsia" w:ascii="宋体" w:hAnsi="宋体" w:eastAsia="宋体" w:cs="宋体"/>
          <w:color w:val="auto"/>
          <w:kern w:val="0"/>
          <w:szCs w:val="21"/>
          <w:highlight w:val="none"/>
        </w:rPr>
        <w:t>0分为不合格，采购人拒签下一年合同（12个月平均得分）</w:t>
      </w:r>
    </w:p>
    <w:p>
      <w:pPr>
        <w:pStyle w:val="97"/>
        <w:rPr>
          <w:color w:val="auto"/>
          <w:highlight w:val="none"/>
        </w:rPr>
      </w:pPr>
    </w:p>
    <w:p>
      <w:pPr>
        <w:pStyle w:val="97"/>
        <w:rPr>
          <w:color w:val="auto"/>
          <w:highlight w:val="none"/>
        </w:rPr>
      </w:pPr>
    </w:p>
    <w:p>
      <w:pPr>
        <w:pStyle w:val="97"/>
        <w:rPr>
          <w:color w:val="auto"/>
          <w:highlight w:val="none"/>
        </w:rPr>
      </w:pPr>
    </w:p>
    <w:p>
      <w:pPr>
        <w:pStyle w:val="97"/>
        <w:rPr>
          <w:color w:val="auto"/>
          <w:highlight w:val="none"/>
        </w:rPr>
      </w:pPr>
    </w:p>
    <w:p>
      <w:pPr>
        <w:pStyle w:val="97"/>
        <w:rPr>
          <w:color w:val="auto"/>
          <w:highlight w:val="none"/>
        </w:rPr>
      </w:pPr>
    </w:p>
    <w:p>
      <w:pPr>
        <w:pStyle w:val="97"/>
        <w:rPr>
          <w:color w:val="auto"/>
          <w:highlight w:val="none"/>
        </w:rPr>
      </w:pPr>
    </w:p>
    <w:p>
      <w:pPr>
        <w:pStyle w:val="97"/>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29"/>
        <w:rPr>
          <w:color w:val="auto"/>
          <w:highlight w:val="none"/>
        </w:rPr>
      </w:pPr>
    </w:p>
    <w:p>
      <w:pPr>
        <w:pStyle w:val="3"/>
        <w:spacing w:before="0" w:after="0" w:line="360" w:lineRule="auto"/>
        <w:jc w:val="center"/>
        <w:rPr>
          <w:rFonts w:ascii="宋体" w:hAnsi="宋体"/>
          <w:color w:val="auto"/>
          <w:sz w:val="36"/>
          <w:szCs w:val="36"/>
          <w:highlight w:val="none"/>
        </w:rPr>
      </w:pPr>
      <w:bookmarkStart w:id="37" w:name="_Toc73912828"/>
      <w:r>
        <w:rPr>
          <w:rFonts w:hint="eastAsia" w:ascii="宋体" w:hAnsi="宋体"/>
          <w:color w:val="auto"/>
          <w:sz w:val="36"/>
          <w:szCs w:val="36"/>
          <w:highlight w:val="none"/>
        </w:rPr>
        <w:t>第七章  磋商内容、磋商过程中可实质性变动的内容</w:t>
      </w:r>
      <w:bookmarkEnd w:id="37"/>
    </w:p>
    <w:p>
      <w:pPr>
        <w:keepNext/>
        <w:spacing w:after="0" w:line="360" w:lineRule="auto"/>
        <w:ind w:firstLine="241" w:firstLineChars="100"/>
        <w:outlineLvl w:val="1"/>
        <w:rPr>
          <w:rFonts w:ascii="宋体" w:hAnsi="宋体"/>
          <w:b/>
          <w:bCs/>
          <w:color w:val="auto"/>
          <w:sz w:val="24"/>
          <w:highlight w:val="none"/>
        </w:rPr>
      </w:pPr>
      <w:r>
        <w:rPr>
          <w:rFonts w:hint="eastAsia" w:ascii="宋体" w:hAnsi="宋体"/>
          <w:b/>
          <w:bCs/>
          <w:color w:val="auto"/>
          <w:sz w:val="24"/>
          <w:highlight w:val="none"/>
        </w:rPr>
        <w:t xml:space="preserve"> </w:t>
      </w:r>
    </w:p>
    <w:p>
      <w:pPr>
        <w:keepNext/>
        <w:spacing w:after="0" w:line="360" w:lineRule="auto"/>
        <w:ind w:firstLine="720" w:firstLineChars="300"/>
        <w:outlineLvl w:val="1"/>
        <w:rPr>
          <w:rFonts w:ascii="宋体" w:hAnsi="宋体"/>
          <w:color w:val="auto"/>
          <w:sz w:val="24"/>
          <w:highlight w:val="none"/>
        </w:rPr>
      </w:pPr>
      <w:r>
        <w:rPr>
          <w:rFonts w:hint="eastAsia" w:ascii="宋体" w:hAnsi="宋体"/>
          <w:color w:val="auto"/>
          <w:sz w:val="24"/>
          <w:highlight w:val="none"/>
        </w:rPr>
        <w:t>针对本项目</w:t>
      </w:r>
      <w:r>
        <w:rPr>
          <w:rFonts w:hint="eastAsia" w:ascii="宋体" w:hAnsi="宋体"/>
          <w:color w:val="auto"/>
          <w:sz w:val="24"/>
          <w:highlight w:val="none"/>
          <w:lang w:eastAsia="zh-CN"/>
        </w:rPr>
        <w:t>磋商文件</w:t>
      </w:r>
      <w:r>
        <w:rPr>
          <w:rFonts w:hint="eastAsia" w:ascii="宋体" w:hAnsi="宋体"/>
          <w:color w:val="auto"/>
          <w:sz w:val="24"/>
          <w:highlight w:val="none"/>
        </w:rPr>
        <w:t>第六章、第九章所包含的技术、服务要求以及合同草案条款，在磋商过程中，磋商小组在获得采购人代表确认的前提下，可以根据磋商情况实质性变动相关内容。磋商小组多磋商文件作出的实质性变动是磋商文件的有效组成部分，磋商小组会及时以书面形式通知所有参加磋商的供应商。</w:t>
      </w:r>
    </w:p>
    <w:p>
      <w:pPr>
        <w:widowControl/>
        <w:spacing w:after="0" w:line="240" w:lineRule="auto"/>
        <w:jc w:val="left"/>
        <w:rPr>
          <w:rFonts w:ascii="宋体" w:hAnsi="宋体"/>
          <w:b/>
          <w:bCs/>
          <w:color w:val="auto"/>
          <w:kern w:val="44"/>
          <w:sz w:val="36"/>
          <w:szCs w:val="36"/>
          <w:highlight w:val="none"/>
        </w:rPr>
      </w:pPr>
    </w:p>
    <w:p>
      <w:pPr>
        <w:widowControl/>
        <w:spacing w:after="0" w:line="240" w:lineRule="auto"/>
        <w:jc w:val="left"/>
        <w:rPr>
          <w:rFonts w:ascii="宋体" w:hAnsi="宋体"/>
          <w:b/>
          <w:bCs/>
          <w:color w:val="auto"/>
          <w:kern w:val="44"/>
          <w:sz w:val="36"/>
          <w:szCs w:val="36"/>
          <w:highlight w:val="none"/>
        </w:rPr>
      </w:pPr>
      <w:r>
        <w:rPr>
          <w:rFonts w:ascii="宋体" w:hAnsi="宋体"/>
          <w:color w:val="auto"/>
          <w:sz w:val="36"/>
          <w:szCs w:val="36"/>
          <w:highlight w:val="none"/>
        </w:rPr>
        <w:br w:type="page"/>
      </w:r>
    </w:p>
    <w:p>
      <w:pPr>
        <w:pStyle w:val="3"/>
        <w:spacing w:before="0" w:after="0" w:line="360" w:lineRule="auto"/>
        <w:jc w:val="center"/>
        <w:rPr>
          <w:rFonts w:ascii="宋体" w:hAnsi="宋体"/>
          <w:color w:val="auto"/>
          <w:sz w:val="36"/>
          <w:szCs w:val="36"/>
          <w:highlight w:val="none"/>
        </w:rPr>
      </w:pPr>
      <w:bookmarkStart w:id="38" w:name="_Toc73912829"/>
      <w:r>
        <w:rPr>
          <w:rFonts w:hint="eastAsia" w:ascii="宋体" w:hAnsi="宋体"/>
          <w:color w:val="auto"/>
          <w:sz w:val="36"/>
          <w:szCs w:val="36"/>
          <w:highlight w:val="none"/>
        </w:rPr>
        <w:t>第八章  评审办法</w:t>
      </w:r>
      <w:bookmarkEnd w:id="36"/>
      <w:bookmarkEnd w:id="38"/>
      <w:bookmarkStart w:id="39" w:name="_Hlt101846155"/>
      <w:bookmarkEnd w:id="39"/>
      <w:bookmarkStart w:id="40" w:name="_Toc183582280"/>
      <w:bookmarkStart w:id="41" w:name="_Toc217446097"/>
      <w:bookmarkStart w:id="42" w:name="_Toc183682415"/>
      <w:bookmarkStart w:id="43" w:name="_Toc208849007"/>
    </w:p>
    <w:bookmarkEnd w:id="40"/>
    <w:bookmarkEnd w:id="41"/>
    <w:bookmarkEnd w:id="42"/>
    <w:bookmarkEnd w:id="43"/>
    <w:p>
      <w:pPr>
        <w:keepNext/>
        <w:spacing w:after="0" w:line="360" w:lineRule="auto"/>
        <w:ind w:firstLine="482" w:firstLineChars="200"/>
        <w:outlineLvl w:val="1"/>
        <w:rPr>
          <w:rFonts w:hint="eastAsia" w:ascii="宋体" w:hAnsi="宋体"/>
          <w:b/>
          <w:bCs/>
          <w:color w:val="auto"/>
          <w:sz w:val="24"/>
          <w:highlight w:val="none"/>
        </w:rPr>
      </w:pPr>
      <w:bookmarkStart w:id="44" w:name="_Toc23042"/>
      <w:r>
        <w:rPr>
          <w:rFonts w:hint="eastAsia" w:ascii="宋体" w:hAnsi="宋体"/>
          <w:b/>
          <w:bCs/>
          <w:color w:val="auto"/>
          <w:sz w:val="24"/>
          <w:highlight w:val="none"/>
        </w:rPr>
        <w:t>1.总则</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1.1 根据《中华人民共和国政府采购法》、《中华人民共和国政府采购法实施条例》、《政府采购竞争性磋商采购方式管理暂行办法》等法律制度，结合本采购项目特点制定本磋商方法。</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1.2 磋商工作由采购代理机构负责组织，具体磋商由采购代理机构依法组建的磋商小组负责。</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1.3 磋商工作应遵循公平、公正、科学及择优的原则，并以相同的磋商程序和标准对待所有的供应商。</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1.4 磋商小组按照磋商文件规定的磋商程序、评分方法和标准进行评审，并独立履行下列职责：</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（一）熟悉和理解磋商文件，确定磋商文件内容是否违反国家有关强制性规定或者磋商文件存在歧义、重大缺陷，根据需要书面要求采购人、采购代理机构对磋商文件作出解释；</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（二）审查供应商响应文件是否满足磋商文件要求，并作出公正评价；</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（三）根据需要要求供应商对响应文件中含义不明确、同类问题表述不一致或者有明显文字和计算错误的内容等作出必要的澄清、说明或者更正；</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（四）推荐成交供应商，或者受采购人委托确定成交供应商；</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（五）起草评审报告并进行签署；</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（六）向采购人/采购代理机构、财政部门或者其他监督部门报告非法干预评审工作的行为；</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（七）法律、法规和规章规定的其他职责。</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1.5磋商过程独立、保密。供应商非法干预磋商过程的，其响应文件作无效处理。</w:t>
      </w:r>
    </w:p>
    <w:p>
      <w:pPr>
        <w:keepNext/>
        <w:spacing w:after="0" w:line="360" w:lineRule="auto"/>
        <w:ind w:firstLine="482" w:firstLineChars="200"/>
        <w:outlineLvl w:val="1"/>
        <w:rPr>
          <w:rFonts w:ascii="宋体" w:hAnsi="宋体"/>
          <w:b/>
          <w:bCs/>
          <w:color w:val="auto"/>
          <w:sz w:val="24"/>
          <w:highlight w:val="none"/>
        </w:rPr>
      </w:pPr>
      <w:r>
        <w:rPr>
          <w:rFonts w:hint="eastAsia" w:ascii="宋体" w:hAnsi="宋体"/>
          <w:b/>
          <w:bCs/>
          <w:color w:val="auto"/>
          <w:sz w:val="24"/>
          <w:highlight w:val="none"/>
        </w:rPr>
        <w:t>2.磋商程序</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2.1审查磋商文件和停止评审。</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keepNext/>
        <w:spacing w:after="0" w:line="360" w:lineRule="auto"/>
        <w:ind w:firstLine="480" w:firstLineChars="200"/>
        <w:outlineLvl w:val="1"/>
        <w:rPr>
          <w:rFonts w:hint="eastAsia" w:ascii="宋体" w:hAnsi="宋体"/>
          <w:color w:val="auto"/>
          <w:sz w:val="24"/>
          <w:highlight w:val="none"/>
        </w:rPr>
      </w:pPr>
      <w:r>
        <w:rPr>
          <w:rFonts w:hint="eastAsia" w:ascii="宋体" w:hAnsi="宋体"/>
          <w:color w:val="auto"/>
          <w:sz w:val="24"/>
          <w:highlight w:val="none"/>
        </w:rPr>
        <w:t>2.1.2 本磋商文件有下列情形之一的，磋商小组应当停止评审：</w:t>
      </w:r>
    </w:p>
    <w:p>
      <w:pPr>
        <w:keepNext/>
        <w:spacing w:after="0" w:line="360" w:lineRule="auto"/>
        <w:ind w:firstLine="480" w:firstLineChars="200"/>
        <w:outlineLvl w:val="1"/>
        <w:rPr>
          <w:rFonts w:hint="eastAsia" w:ascii="宋体" w:hAnsi="宋体"/>
          <w:color w:val="auto"/>
          <w:sz w:val="24"/>
          <w:highlight w:val="none"/>
        </w:rPr>
      </w:pPr>
      <w:r>
        <w:rPr>
          <w:rFonts w:hint="eastAsia" w:ascii="宋体" w:hAnsi="宋体"/>
          <w:color w:val="auto"/>
          <w:sz w:val="24"/>
          <w:highlight w:val="none"/>
        </w:rPr>
        <w:t>（1）磋商文件的规定存在歧义、重大缺陷的；</w:t>
      </w:r>
    </w:p>
    <w:p>
      <w:pPr>
        <w:keepNext/>
        <w:spacing w:after="0" w:line="360" w:lineRule="auto"/>
        <w:ind w:firstLine="480" w:firstLineChars="200"/>
        <w:outlineLvl w:val="1"/>
        <w:rPr>
          <w:rFonts w:hint="eastAsia" w:ascii="宋体" w:hAnsi="宋体"/>
          <w:color w:val="auto"/>
          <w:sz w:val="24"/>
          <w:highlight w:val="none"/>
        </w:rPr>
      </w:pPr>
      <w:r>
        <w:rPr>
          <w:rFonts w:hint="eastAsia" w:ascii="宋体" w:hAnsi="宋体"/>
          <w:color w:val="auto"/>
          <w:sz w:val="24"/>
          <w:highlight w:val="none"/>
        </w:rPr>
        <w:t>（2）磋商文件明显以不合理条件对供应商实行差别待遇或者歧视待遇的；</w:t>
      </w:r>
    </w:p>
    <w:p>
      <w:pPr>
        <w:keepNext/>
        <w:spacing w:after="0" w:line="360" w:lineRule="auto"/>
        <w:ind w:firstLine="480" w:firstLineChars="200"/>
        <w:outlineLvl w:val="1"/>
        <w:rPr>
          <w:rFonts w:hint="eastAsia" w:ascii="宋体" w:hAnsi="宋体"/>
          <w:color w:val="auto"/>
          <w:sz w:val="24"/>
          <w:highlight w:val="none"/>
        </w:rPr>
      </w:pPr>
      <w:r>
        <w:rPr>
          <w:rFonts w:hint="eastAsia" w:ascii="宋体" w:hAnsi="宋体"/>
          <w:color w:val="auto"/>
          <w:sz w:val="24"/>
          <w:highlight w:val="none"/>
        </w:rPr>
        <w:t>（3）采购项目属于国家规定的优先、强制采购范围，但是磋商文件未依法体现优先、强制采购相关规定的；</w:t>
      </w:r>
    </w:p>
    <w:p>
      <w:pPr>
        <w:keepNext/>
        <w:spacing w:after="0" w:line="360" w:lineRule="auto"/>
        <w:ind w:firstLine="480" w:firstLineChars="200"/>
        <w:outlineLvl w:val="1"/>
        <w:rPr>
          <w:rFonts w:hint="eastAsia" w:ascii="宋体" w:hAnsi="宋体"/>
          <w:color w:val="auto"/>
          <w:sz w:val="24"/>
          <w:highlight w:val="none"/>
        </w:rPr>
      </w:pPr>
      <w:r>
        <w:rPr>
          <w:rFonts w:hint="eastAsia" w:ascii="宋体" w:hAnsi="宋体"/>
          <w:color w:val="auto"/>
          <w:sz w:val="24"/>
          <w:highlight w:val="none"/>
        </w:rPr>
        <w:t>（4）采购项目属于政府采购促进中小企业发展的范围，但是磋商文件未依法体现促进中小企业发展相关规定的；</w:t>
      </w:r>
    </w:p>
    <w:p>
      <w:pPr>
        <w:keepNext/>
        <w:spacing w:after="0" w:line="360" w:lineRule="auto"/>
        <w:ind w:firstLine="480" w:firstLineChars="200"/>
        <w:outlineLvl w:val="1"/>
        <w:rPr>
          <w:rFonts w:hint="eastAsia" w:ascii="宋体" w:hAnsi="宋体"/>
          <w:color w:val="auto"/>
          <w:sz w:val="24"/>
          <w:highlight w:val="none"/>
        </w:rPr>
      </w:pPr>
      <w:r>
        <w:rPr>
          <w:rFonts w:hint="eastAsia" w:ascii="宋体" w:hAnsi="宋体"/>
          <w:color w:val="auto"/>
          <w:sz w:val="24"/>
          <w:highlight w:val="none"/>
        </w:rPr>
        <w:t>（5）磋商文件将供应商的资格条件列为评分因素的；</w:t>
      </w:r>
    </w:p>
    <w:p>
      <w:pPr>
        <w:keepNext/>
        <w:spacing w:after="0" w:line="360" w:lineRule="auto"/>
        <w:ind w:firstLine="480" w:firstLineChars="200"/>
        <w:outlineLvl w:val="1"/>
        <w:rPr>
          <w:rFonts w:hint="eastAsia" w:ascii="宋体" w:hAnsi="宋体"/>
          <w:color w:val="auto"/>
          <w:sz w:val="24"/>
          <w:highlight w:val="none"/>
        </w:rPr>
      </w:pPr>
      <w:r>
        <w:rPr>
          <w:rFonts w:hint="eastAsia" w:ascii="宋体" w:hAnsi="宋体"/>
          <w:color w:val="auto"/>
          <w:sz w:val="24"/>
          <w:highlight w:val="none"/>
        </w:rPr>
        <w:t>（6）磋商文件载明的成交原则不合法的；</w:t>
      </w:r>
    </w:p>
    <w:p>
      <w:pPr>
        <w:keepNext/>
        <w:spacing w:after="0" w:line="360" w:lineRule="auto"/>
        <w:ind w:firstLine="480" w:firstLineChars="200"/>
        <w:outlineLvl w:val="1"/>
        <w:rPr>
          <w:rFonts w:hint="eastAsia" w:ascii="宋体" w:hAnsi="宋体"/>
          <w:color w:val="auto"/>
          <w:sz w:val="24"/>
          <w:highlight w:val="none"/>
        </w:rPr>
      </w:pPr>
      <w:r>
        <w:rPr>
          <w:rFonts w:hint="eastAsia" w:ascii="宋体" w:hAnsi="宋体"/>
          <w:color w:val="auto"/>
          <w:sz w:val="24"/>
          <w:highlight w:val="none"/>
        </w:rPr>
        <w:t>（7）磋商文件有违反国家其他有关强制性规定的情形。</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2.1.3 出现本条2.1.2规定应当停止评审情形的，磋商小组应当向采购组织单位书面说明情况。除本条规定的情形外，磋商小组不得以任何方式和理由停止评审。</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2.2资格性审查。</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2.2.1本项目需要磋商小组进行资格性检查。</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磋商小组应依据法律法规和磋商文件的规定，对响应文件是否按照规定要求提供资格性证明材料、是否属于禁止参加磋商的供应商等进行审查，以确定供应商是否具备磋商资格。</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2.2.2资格性审查结束后，磋商小组应当出具资格性审查报告，没有通过资格审查的供应商，磋商小组应当在资格审查报告中说明原因。</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2.2.3采购人或者采购代理机构宣布未通过资格性审查的供应商名单时，应当告知供应商未通过审查的原因。</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2.3 通过资格性审查的供应商不足3家的（本章2.3.1的情况除外），终止本次采购活动，并发布终止采购活动公告。</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2.3.1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2.4磋商。</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2.4.2每轮磋商开始前，磋商小组应根据磋商文件的规定，并结合各供应商的响应文件拟定磋商内容。</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2.4.4对磋商文件作出的实质性变动是磋商文件的有效组成部分，磋商小组应当及时以书面形式同时通知所有参加磋商的供应商。</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p>
    <w:p>
      <w:pPr>
        <w:autoSpaceDE w:val="0"/>
        <w:autoSpaceDN w:val="0"/>
        <w:adjustRightInd w:val="0"/>
        <w:snapToGrid w:val="0"/>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2.4.6磋商过程中，磋商小组对响应文件的有效性、完整性和响应程度进行审查，审查中发现供应商响应文件属于下列情况之一的，应按照无效响应文件处理：</w:t>
      </w:r>
    </w:p>
    <w:p>
      <w:pPr>
        <w:autoSpaceDE w:val="0"/>
        <w:autoSpaceDN w:val="0"/>
        <w:adjustRightInd w:val="0"/>
        <w:snapToGrid w:val="0"/>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（1）响应文件正副本数量不足的；</w:t>
      </w:r>
    </w:p>
    <w:p>
      <w:pPr>
        <w:autoSpaceDE w:val="0"/>
        <w:autoSpaceDN w:val="0"/>
        <w:adjustRightInd w:val="0"/>
        <w:snapToGrid w:val="0"/>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（2）响应文件组成明显不符合</w:t>
      </w:r>
      <w:r>
        <w:rPr>
          <w:rFonts w:hint="eastAsia" w:ascii="宋体" w:hAnsi="宋体"/>
          <w:color w:val="auto"/>
          <w:sz w:val="24"/>
          <w:highlight w:val="none"/>
          <w:lang w:eastAsia="zh-CN"/>
        </w:rPr>
        <w:t>磋商文件</w:t>
      </w:r>
      <w:r>
        <w:rPr>
          <w:rFonts w:hint="eastAsia" w:ascii="宋体" w:hAnsi="宋体"/>
          <w:color w:val="auto"/>
          <w:sz w:val="24"/>
          <w:highlight w:val="none"/>
        </w:rPr>
        <w:t>的规定要求，影响评审委员会评判的；</w:t>
      </w:r>
    </w:p>
    <w:p>
      <w:pPr>
        <w:autoSpaceDE w:val="0"/>
        <w:autoSpaceDN w:val="0"/>
        <w:adjustRightInd w:val="0"/>
        <w:snapToGrid w:val="0"/>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（3）响应文件的语言、计量单位、知识产权、响应有效期等不符合</w:t>
      </w:r>
      <w:r>
        <w:rPr>
          <w:rFonts w:hint="eastAsia" w:ascii="宋体" w:hAnsi="宋体"/>
          <w:color w:val="auto"/>
          <w:sz w:val="24"/>
          <w:highlight w:val="none"/>
          <w:lang w:eastAsia="zh-CN"/>
        </w:rPr>
        <w:t>磋商文件</w:t>
      </w:r>
      <w:r>
        <w:rPr>
          <w:rFonts w:hint="eastAsia" w:ascii="宋体" w:hAnsi="宋体"/>
          <w:color w:val="auto"/>
          <w:sz w:val="24"/>
          <w:highlight w:val="none"/>
        </w:rPr>
        <w:t>的规定，影响磋商小组评判的；</w:t>
      </w:r>
    </w:p>
    <w:p>
      <w:pPr>
        <w:autoSpaceDE w:val="0"/>
        <w:autoSpaceDN w:val="0"/>
        <w:adjustRightInd w:val="0"/>
        <w:snapToGrid w:val="0"/>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（4）经最终磋商后，供应商的响应文件仍不能完全响应</w:t>
      </w:r>
      <w:r>
        <w:rPr>
          <w:rFonts w:hint="eastAsia" w:ascii="宋体" w:hAnsi="宋体"/>
          <w:color w:val="auto"/>
          <w:sz w:val="24"/>
          <w:highlight w:val="none"/>
          <w:lang w:eastAsia="zh-CN"/>
        </w:rPr>
        <w:t>磋商文件</w:t>
      </w:r>
      <w:r>
        <w:rPr>
          <w:rFonts w:hint="eastAsia" w:ascii="宋体" w:hAnsi="宋体"/>
          <w:color w:val="auto"/>
          <w:sz w:val="24"/>
          <w:highlight w:val="none"/>
        </w:rPr>
        <w:t>的实质性要求的；</w:t>
      </w:r>
    </w:p>
    <w:p>
      <w:pPr>
        <w:autoSpaceDE w:val="0"/>
        <w:autoSpaceDN w:val="0"/>
        <w:adjustRightInd w:val="0"/>
        <w:snapToGrid w:val="0"/>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 xml:space="preserve"> (5) 未载明或者载明的采购项目</w:t>
      </w:r>
      <w:r>
        <w:rPr>
          <w:rFonts w:hint="eastAsia" w:ascii="宋体" w:hAnsi="宋体"/>
          <w:color w:val="auto"/>
          <w:sz w:val="24"/>
          <w:highlight w:val="none"/>
          <w:lang w:eastAsia="zh-CN"/>
        </w:rPr>
        <w:t>服务时间</w:t>
      </w:r>
      <w:r>
        <w:rPr>
          <w:rFonts w:hint="eastAsia" w:ascii="宋体" w:hAnsi="宋体"/>
          <w:color w:val="auto"/>
          <w:sz w:val="24"/>
          <w:highlight w:val="none"/>
        </w:rPr>
        <w:t>、方式、数量及其他政府采购合同实质性内容与本竞争性磋商文件要求不一致，且采购单位无法接受的。</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 xml:space="preserve"> </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6）</w:t>
      </w:r>
      <w:r>
        <w:rPr>
          <w:rFonts w:hint="eastAsia" w:ascii="宋体" w:hAnsi="宋体"/>
          <w:color w:val="auto"/>
          <w:sz w:val="24"/>
          <w:highlight w:val="none"/>
        </w:rPr>
        <w:t>属于竞争性磋商文件中无效响应情形的。</w:t>
      </w:r>
    </w:p>
    <w:p>
      <w:pPr>
        <w:autoSpaceDE w:val="0"/>
        <w:autoSpaceDN w:val="0"/>
        <w:adjustRightInd w:val="0"/>
        <w:snapToGrid w:val="0"/>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但磋商小组对响应文件签署、盖章等进行审查过程中，有下列情形的，磋商小组应当评定为不影响整个响应文件有效性和采购活动公平竞争，并通过响应文件的有效性审查：</w:t>
      </w:r>
    </w:p>
    <w:p>
      <w:pPr>
        <w:autoSpaceDE w:val="0"/>
        <w:autoSpaceDN w:val="0"/>
        <w:adjustRightInd w:val="0"/>
        <w:snapToGrid w:val="0"/>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 xml:space="preserve"> （1）响应文件存在个别地方（总数不能超过2个）没有法定代表人/单位负责人签字，但有法定代表人/单位负责人的私人印章或者有效授权代理人签字的；</w:t>
      </w:r>
    </w:p>
    <w:p>
      <w:pPr>
        <w:autoSpaceDE w:val="0"/>
        <w:autoSpaceDN w:val="0"/>
        <w:adjustRightInd w:val="0"/>
        <w:snapToGrid w:val="0"/>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 xml:space="preserve"> （2）响应文件除</w:t>
      </w:r>
      <w:r>
        <w:rPr>
          <w:rFonts w:hint="eastAsia" w:ascii="宋体" w:hAnsi="宋体"/>
          <w:color w:val="auto"/>
          <w:sz w:val="24"/>
          <w:highlight w:val="none"/>
          <w:lang w:eastAsia="zh-CN"/>
        </w:rPr>
        <w:t>磋商文件</w:t>
      </w:r>
      <w:r>
        <w:rPr>
          <w:rFonts w:hint="eastAsia" w:ascii="宋体" w:hAnsi="宋体"/>
          <w:color w:val="auto"/>
          <w:sz w:val="24"/>
          <w:highlight w:val="none"/>
        </w:rPr>
        <w:t>明确要求加盖单位(法人)公章的以外，其他地方以相关专用章加盖的；</w:t>
      </w:r>
    </w:p>
    <w:p>
      <w:pPr>
        <w:autoSpaceDE w:val="0"/>
        <w:autoSpaceDN w:val="0"/>
        <w:adjustRightInd w:val="0"/>
        <w:snapToGrid w:val="0"/>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 xml:space="preserve"> （3）以骑缝章的形式代替响应文件内容逐页盖章的（但是骑缝章模糊不清，印章名称无法辨认的除外）。</w:t>
      </w:r>
    </w:p>
    <w:p>
      <w:pPr>
        <w:autoSpaceDE w:val="0"/>
        <w:autoSpaceDN w:val="0"/>
        <w:adjustRightInd w:val="0"/>
        <w:snapToGrid w:val="0"/>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2.4.7磋商过程中，磋商的任何一方不得透露与磋商有关的其他供应商的技术资料、价格和其他信息。</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2.4.8磋商过程中，磋商小组发现或者知晓供应商存在违法、违纪行为的，磋商小组应当将该供应商响应文件作无效处理，不允许其提交最后报价。</w:t>
      </w:r>
    </w:p>
    <w:p>
      <w:pPr>
        <w:keepNext/>
        <w:spacing w:after="0" w:line="360" w:lineRule="auto"/>
        <w:ind w:firstLine="480" w:firstLineChars="200"/>
        <w:outlineLvl w:val="1"/>
        <w:rPr>
          <w:rFonts w:ascii="宋体" w:hAnsi="宋体"/>
          <w:color w:val="auto"/>
          <w:sz w:val="24"/>
          <w:highlight w:val="none"/>
        </w:rPr>
      </w:pPr>
      <w:r>
        <w:rPr>
          <w:rFonts w:hint="eastAsia" w:ascii="宋体" w:hAnsi="宋体"/>
          <w:color w:val="auto"/>
          <w:sz w:val="24"/>
          <w:highlight w:val="none"/>
        </w:rPr>
        <w:t>2.4.9磋商完成后，磋商小组应出具磋商情况记录表，磋商情况记录表需包含磋商内容、磋商意见、实质性变动内容等。</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2.5报价。</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2.5.1本次磋商采购采用现场报价，响应文件报价不作为评审的依据，以现场报价为准），参与报价的供应商按磋商小组要求进行报价。报价超过竞争性磋商文件规定的政府采购预算（或最高限价）或者相关报价不符合</w:t>
      </w:r>
      <w:r>
        <w:rPr>
          <w:rFonts w:hint="eastAsia" w:ascii="宋体" w:hAnsi="宋体"/>
          <w:color w:val="auto"/>
          <w:sz w:val="24"/>
          <w:highlight w:val="none"/>
          <w:lang w:eastAsia="zh-CN"/>
        </w:rPr>
        <w:t>磋商文件</w:t>
      </w:r>
      <w:r>
        <w:rPr>
          <w:rFonts w:hint="eastAsia" w:ascii="宋体" w:hAnsi="宋体"/>
          <w:color w:val="auto"/>
          <w:sz w:val="24"/>
          <w:highlight w:val="none"/>
        </w:rPr>
        <w:t>其他的报价规定的，应按照无效响应文件处理。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2.5.2磋商文件能够详细列明采购标的的技术、服务要求的，磋商结束后，磋商小组应当要求所有实质性响应的供应商在规定时间内提交最后报价，提交最后报价的供应商不得少于3家（本章2.3.1和2.5.3的情况除外）。或磋商文件不能详细列明采购标的的技术、服务要求，需经磋商由供应商提供最终设计方案或解决方案的，磋商结束后，磋商小组应当按照少数服从多数的原则投票推荐3家以上（本章2.3.1和2.5.3的情况除外）供应商的设计方案或者解决方案，并要求其在规定时间内提交最后报价。</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2.5.3符合《政府采购竞争性磋商采购方式管理暂行办法财库》〔2014〕214号第三条第四项情形的，提交最后报价的供应商可以为2家。</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2.5.5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2.5.6报价如果出现下列不一致的，可按以下原则进行修改：</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（一）</w:t>
      </w:r>
      <w:r>
        <w:rPr>
          <w:rFonts w:hint="eastAsia" w:ascii="宋体" w:hAnsi="宋体" w:cs="宋体"/>
          <w:color w:val="auto"/>
          <w:kern w:val="0"/>
          <w:sz w:val="24"/>
          <w:highlight w:val="none"/>
        </w:rPr>
        <w:t>大写金额和小写金额不一致的，以大写金额为准</w:t>
      </w:r>
      <w:r>
        <w:rPr>
          <w:rFonts w:hint="eastAsia" w:ascii="宋体" w:hAnsi="宋体"/>
          <w:color w:val="auto"/>
          <w:sz w:val="24"/>
          <w:highlight w:val="none"/>
        </w:rPr>
        <w:t>，但大写金额文字存在错误的，应当先对大写金额的文字错误进行澄清、说明或者更正，再行修正。</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（二）</w:t>
      </w:r>
      <w:r>
        <w:rPr>
          <w:rFonts w:hint="eastAsia" w:ascii="宋体" w:hAnsi="宋体" w:cs="宋体"/>
          <w:color w:val="auto"/>
          <w:kern w:val="0"/>
          <w:sz w:val="24"/>
          <w:highlight w:val="none"/>
        </w:rPr>
        <w:t>总价金额与按单价汇总金额不一致的，以单价金额计算结果为准，</w:t>
      </w:r>
      <w:r>
        <w:rPr>
          <w:rFonts w:hint="eastAsia" w:ascii="宋体" w:hAnsi="宋体"/>
          <w:color w:val="auto"/>
          <w:sz w:val="24"/>
          <w:highlight w:val="none"/>
        </w:rPr>
        <w:t>但</w:t>
      </w:r>
      <w:r>
        <w:rPr>
          <w:rFonts w:hint="eastAsia" w:ascii="宋体" w:hAnsi="宋体" w:cs="宋体"/>
          <w:color w:val="auto"/>
          <w:kern w:val="0"/>
          <w:sz w:val="24"/>
          <w:highlight w:val="none"/>
        </w:rPr>
        <w:t>单价或者单价汇总金额存在数字或者</w:t>
      </w:r>
      <w:r>
        <w:rPr>
          <w:rFonts w:hint="eastAsia" w:ascii="宋体" w:hAnsi="宋体"/>
          <w:color w:val="auto"/>
          <w:sz w:val="24"/>
          <w:highlight w:val="none"/>
        </w:rPr>
        <w:t>文字错误的，应当先对</w:t>
      </w:r>
      <w:r>
        <w:rPr>
          <w:rFonts w:hint="eastAsia" w:ascii="宋体" w:hAnsi="宋体" w:cs="宋体"/>
          <w:color w:val="auto"/>
          <w:kern w:val="0"/>
          <w:sz w:val="24"/>
          <w:highlight w:val="none"/>
        </w:rPr>
        <w:t>数字或者</w:t>
      </w:r>
      <w:r>
        <w:rPr>
          <w:rFonts w:hint="eastAsia" w:ascii="宋体" w:hAnsi="宋体"/>
          <w:color w:val="auto"/>
          <w:sz w:val="24"/>
          <w:highlight w:val="none"/>
        </w:rPr>
        <w:t>文字错误进行澄清、说明或者更正，再行修正。</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（三）单价金额小数点</w:t>
      </w:r>
      <w:r>
        <w:rPr>
          <w:rFonts w:hint="eastAsia" w:ascii="宋体" w:hAnsi="宋体" w:cs="宋体"/>
          <w:color w:val="auto"/>
          <w:kern w:val="0"/>
          <w:sz w:val="24"/>
          <w:highlight w:val="none"/>
        </w:rPr>
        <w:t>或者百分比有明显错位的</w:t>
      </w:r>
      <w:r>
        <w:rPr>
          <w:rFonts w:hint="eastAsia" w:ascii="宋体" w:hAnsi="宋体"/>
          <w:color w:val="auto"/>
          <w:sz w:val="24"/>
          <w:highlight w:val="none"/>
        </w:rPr>
        <w:t>，以总价为准，修正单价。</w:t>
      </w:r>
    </w:p>
    <w:p>
      <w:pPr>
        <w:spacing w:after="0" w:line="360" w:lineRule="auto"/>
        <w:ind w:firstLine="240" w:firstLineChars="100"/>
        <w:jc w:val="left"/>
        <w:rPr>
          <w:rFonts w:ascii="宋体" w:hAnsi="宋体" w:cs="宋体"/>
          <w:color w:val="auto"/>
          <w:kern w:val="0"/>
          <w:sz w:val="24"/>
          <w:highlight w:val="none"/>
        </w:rPr>
      </w:pPr>
      <w:r>
        <w:rPr>
          <w:rFonts w:hint="eastAsia" w:ascii="宋体" w:hAnsi="宋体" w:cs="宋体"/>
          <w:color w:val="auto"/>
          <w:kern w:val="0"/>
          <w:sz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不得未经澄清、说明或者更正，直接将供应商响应文件作为无效处理。对不同文字文本响应文件的解释发生异议的，以中文文本为准。</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2.6比较与评价。由磋商小组采用综合评分法对提交最后报价的供应商的响应文件和最后报价进行综合评分，具体要求详见本章综合评分部分。</w:t>
      </w:r>
    </w:p>
    <w:p>
      <w:pPr>
        <w:spacing w:after="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2.9采购组织单位现场复核评审结果。</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（1）资格性审查认定错误的；</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（2）分值汇总计算错误的；</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（3）分项评分超出评分标准范围的；</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（4）客观评分不一致的。</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采购代理机构复核过程中，磋商小组成员不得离开评审现场。</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2.9.2有下列情形之一的，不得现场修改评审结果：</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（1）磋商小组已经出具磋商报告并且离开评审现场的；</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（2）采购代理机构现场复核时，复核工作人员数量不足的；</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（3）采购代理机构现场复核时，没有采购监督人员现场监督的；</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（4）采购代理机构现场复核内容超出规定范围的；</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（5）采购代理机构未提供书面建议的。</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2.10编写磋商报告。磋商小组推荐成交候选供应商后，应向采购代理机构出具磋商报告。磋商报告应当包括以下主要内容：</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（1）邀请供应商参加采购活动的具体方式和相关情况；</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（2）响应文件开启日期和地点；</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（3）获取磋商文件的供应商名单和磋商小组成员名单；</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（4）评审情况记录和说明，包括对供应商的资格审查情况、供应商响应文件审查情况、磋商情况、报价情况等；</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（5）提出的成交候选供应商的排序名单及理由。</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2.12供应商澄清、说明</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2.13终止磋商采购活动。</w:t>
      </w:r>
    </w:p>
    <w:p>
      <w:pPr>
        <w:spacing w:after="0" w:line="360" w:lineRule="auto"/>
        <w:ind w:firstLine="480" w:firstLineChars="200"/>
        <w:rPr>
          <w:rFonts w:ascii="宋体" w:hAnsi="宋体"/>
          <w:color w:val="auto"/>
          <w:sz w:val="24"/>
          <w:highlight w:val="none"/>
        </w:rPr>
      </w:pPr>
      <w:r>
        <w:rPr>
          <w:rFonts w:hint="eastAsia" w:ascii="宋体" w:hAnsi="宋体"/>
          <w:color w:val="auto"/>
          <w:sz w:val="24"/>
          <w:highlight w:val="none"/>
        </w:rPr>
        <w:t>出现下列情形之一的，采购人或者采购代理机构应当终止竞争性磋商采购活动，发布项目终止公告并说明原因，重新开展采购活动：</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（1）因情况变化，不再符合规定的竞争性磋商采购方式适用情形的；</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（2）出现影响采购公正的违法、违规行为的；</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（3）除本章2.3.1和2.5.3的情况外，在采购过程中符合要求的供应商或者报价未超过采购预算的供应商不足3家的。</w:t>
      </w:r>
    </w:p>
    <w:p>
      <w:pPr>
        <w:spacing w:after="0" w:line="360" w:lineRule="auto"/>
        <w:ind w:firstLine="482" w:firstLineChars="200"/>
        <w:rPr>
          <w:rFonts w:ascii="宋体" w:hAnsi="宋体"/>
          <w:b/>
          <w:bCs/>
          <w:color w:val="auto"/>
          <w:sz w:val="24"/>
          <w:highlight w:val="none"/>
        </w:rPr>
      </w:pPr>
      <w:r>
        <w:rPr>
          <w:rFonts w:hint="eastAsia" w:ascii="宋体" w:hAnsi="宋体"/>
          <w:b/>
          <w:bCs/>
          <w:color w:val="auto"/>
          <w:sz w:val="24"/>
          <w:highlight w:val="none"/>
        </w:rPr>
        <w:t>3.综合评分</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3.1本次综合评分的因素详见综合评分明细表。</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3.3综合评分明细表</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3.3.1综合评分明细表的制定以科学合理、降低评委会自由裁量权为原则。</w:t>
      </w:r>
    </w:p>
    <w:p>
      <w:pPr>
        <w:widowControl/>
        <w:spacing w:after="0"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3.3.2 综合评分明细表按须知表中的相关要求进行价格调整，再参与价格分评审。</w:t>
      </w:r>
    </w:p>
    <w:p>
      <w:pPr>
        <w:widowControl/>
        <w:spacing w:after="0" w:line="360" w:lineRule="auto"/>
        <w:ind w:firstLine="240" w:firstLineChars="100"/>
        <w:jc w:val="left"/>
        <w:rPr>
          <w:rFonts w:hint="eastAsia" w:ascii="宋体" w:hAnsi="宋体"/>
          <w:color w:val="auto"/>
          <w:sz w:val="24"/>
          <w:highlight w:val="none"/>
        </w:rPr>
      </w:pPr>
      <w:r>
        <w:rPr>
          <w:rFonts w:hint="eastAsia" w:ascii="宋体" w:hAnsi="宋体"/>
          <w:color w:val="auto"/>
          <w:sz w:val="24"/>
          <w:highlight w:val="none"/>
        </w:rPr>
        <w:t>3.3.3综合评分明细表</w:t>
      </w:r>
    </w:p>
    <w:tbl>
      <w:tblPr>
        <w:tblStyle w:val="30"/>
        <w:tblpPr w:leftFromText="180" w:rightFromText="180" w:vertAnchor="text" w:horzAnchor="page" w:tblpXSpec="center" w:tblpY="537"/>
        <w:tblOverlap w:val="never"/>
        <w:tblW w:w="103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5"/>
        <w:gridCol w:w="1320"/>
        <w:gridCol w:w="1250"/>
        <w:gridCol w:w="6013"/>
        <w:gridCol w:w="9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9" w:hRule="atLeast"/>
          <w:tblHeader/>
          <w:jc w:val="center"/>
        </w:trPr>
        <w:tc>
          <w:tcPr>
            <w:tcW w:w="785" w:type="dxa"/>
            <w:tcBorders>
              <w:top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 w:val="22"/>
                <w:szCs w:val="28"/>
                <w:highlight w:val="none"/>
              </w:rPr>
            </w:pPr>
            <w:r>
              <w:rPr>
                <w:rFonts w:hint="eastAsia" w:ascii="宋体" w:hAnsi="宋体" w:eastAsia="宋体" w:cs="宋体"/>
                <w:b/>
                <w:color w:val="auto"/>
                <w:sz w:val="22"/>
                <w:szCs w:val="28"/>
                <w:highlight w:val="none"/>
              </w:rPr>
              <w:t>序号</w:t>
            </w:r>
          </w:p>
        </w:tc>
        <w:tc>
          <w:tcPr>
            <w:tcW w:w="1320" w:type="dxa"/>
            <w:tcBorders>
              <w:top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 w:val="22"/>
                <w:szCs w:val="28"/>
                <w:highlight w:val="none"/>
              </w:rPr>
            </w:pPr>
            <w:r>
              <w:rPr>
                <w:rFonts w:hint="eastAsia" w:ascii="宋体" w:hAnsi="宋体" w:eastAsia="宋体" w:cs="宋体"/>
                <w:b/>
                <w:color w:val="auto"/>
                <w:sz w:val="22"/>
                <w:szCs w:val="28"/>
                <w:highlight w:val="none"/>
              </w:rPr>
              <w:t>评分因素及权重</w:t>
            </w:r>
          </w:p>
        </w:tc>
        <w:tc>
          <w:tcPr>
            <w:tcW w:w="12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 w:val="22"/>
                <w:szCs w:val="28"/>
                <w:highlight w:val="none"/>
              </w:rPr>
            </w:pPr>
            <w:r>
              <w:rPr>
                <w:rFonts w:hint="eastAsia" w:ascii="宋体" w:hAnsi="宋体" w:eastAsia="宋体" w:cs="宋体"/>
                <w:b/>
                <w:color w:val="auto"/>
                <w:sz w:val="22"/>
                <w:szCs w:val="28"/>
                <w:highlight w:val="none"/>
              </w:rPr>
              <w:t>分值</w:t>
            </w:r>
          </w:p>
        </w:tc>
        <w:tc>
          <w:tcPr>
            <w:tcW w:w="601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 w:val="22"/>
                <w:szCs w:val="28"/>
                <w:highlight w:val="none"/>
              </w:rPr>
            </w:pPr>
            <w:r>
              <w:rPr>
                <w:rFonts w:hint="eastAsia" w:ascii="宋体" w:hAnsi="宋体" w:eastAsia="宋体" w:cs="宋体"/>
                <w:b/>
                <w:color w:val="auto"/>
                <w:sz w:val="22"/>
                <w:szCs w:val="28"/>
                <w:highlight w:val="none"/>
              </w:rPr>
              <w:t>评分标准</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color w:val="auto"/>
                <w:sz w:val="22"/>
                <w:szCs w:val="28"/>
                <w:highlight w:val="none"/>
              </w:rPr>
            </w:pPr>
            <w:r>
              <w:rPr>
                <w:rFonts w:hint="eastAsia" w:ascii="宋体" w:hAnsi="宋体" w:eastAsia="宋体" w:cs="宋体"/>
                <w:b/>
                <w:color w:val="auto"/>
                <w:sz w:val="22"/>
                <w:szCs w:val="28"/>
                <w:highlight w:val="none"/>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76" w:hRule="atLeast"/>
          <w:jc w:val="center"/>
        </w:trPr>
        <w:tc>
          <w:tcPr>
            <w:tcW w:w="785" w:type="dxa"/>
            <w:tcBorders>
              <w:top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1</w:t>
            </w:r>
          </w:p>
        </w:tc>
        <w:tc>
          <w:tcPr>
            <w:tcW w:w="1320" w:type="dxa"/>
            <w:tcBorders>
              <w:top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报价部分</w:t>
            </w:r>
          </w:p>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1</w:t>
            </w:r>
            <w:r>
              <w:rPr>
                <w:rFonts w:hint="eastAsia" w:ascii="宋体" w:hAnsi="宋体" w:cs="宋体"/>
                <w:color w:val="auto"/>
                <w:sz w:val="22"/>
                <w:szCs w:val="28"/>
                <w:highlight w:val="none"/>
                <w:lang w:val="en-US" w:eastAsia="zh-CN"/>
              </w:rPr>
              <w:t>0</w:t>
            </w:r>
            <w:r>
              <w:rPr>
                <w:rFonts w:hint="eastAsia" w:ascii="宋体" w:hAnsi="宋体" w:eastAsia="宋体" w:cs="宋体"/>
                <w:color w:val="auto"/>
                <w:sz w:val="22"/>
                <w:szCs w:val="28"/>
                <w:highlight w:val="none"/>
              </w:rPr>
              <w:t>%</w:t>
            </w:r>
          </w:p>
        </w:tc>
        <w:tc>
          <w:tcPr>
            <w:tcW w:w="125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1</w:t>
            </w:r>
            <w:r>
              <w:rPr>
                <w:rFonts w:hint="eastAsia" w:ascii="宋体" w:hAnsi="宋体" w:cs="宋体"/>
                <w:color w:val="auto"/>
                <w:sz w:val="22"/>
                <w:szCs w:val="28"/>
                <w:highlight w:val="none"/>
                <w:lang w:val="en-US" w:eastAsia="zh-CN"/>
              </w:rPr>
              <w:t>0</w:t>
            </w:r>
            <w:r>
              <w:rPr>
                <w:rFonts w:hint="eastAsia" w:ascii="宋体" w:hAnsi="宋体" w:eastAsia="宋体" w:cs="宋体"/>
                <w:color w:val="auto"/>
                <w:sz w:val="22"/>
                <w:szCs w:val="28"/>
                <w:highlight w:val="none"/>
              </w:rPr>
              <w:t>分</w:t>
            </w:r>
          </w:p>
        </w:tc>
        <w:tc>
          <w:tcPr>
            <w:tcW w:w="6013"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满足</w:t>
            </w:r>
            <w:r>
              <w:rPr>
                <w:rFonts w:hint="eastAsia" w:ascii="宋体" w:hAnsi="宋体" w:cs="宋体"/>
                <w:color w:val="auto"/>
                <w:sz w:val="22"/>
                <w:szCs w:val="28"/>
                <w:highlight w:val="none"/>
                <w:lang w:eastAsia="zh-CN"/>
              </w:rPr>
              <w:t>磋商文件</w:t>
            </w:r>
            <w:r>
              <w:rPr>
                <w:rFonts w:hint="eastAsia" w:ascii="宋体" w:hAnsi="宋体" w:eastAsia="宋体" w:cs="宋体"/>
                <w:color w:val="auto"/>
                <w:sz w:val="22"/>
                <w:szCs w:val="28"/>
                <w:highlight w:val="none"/>
              </w:rPr>
              <w:t>要求且最后报价最低的供应商的价格为投标基准价，其价格分为满分。其他供应商的价格分统一按照下列公式计算：</w:t>
            </w:r>
          </w:p>
          <w:p>
            <w:pPr>
              <w:spacing w:line="240" w:lineRule="auto"/>
              <w:jc w:val="left"/>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投标报价得分=(投标基准价/投标报价)×</w:t>
            </w:r>
            <w:r>
              <w:rPr>
                <w:rFonts w:hint="eastAsia" w:ascii="宋体" w:hAnsi="宋体" w:cs="宋体"/>
                <w:color w:val="auto"/>
                <w:sz w:val="22"/>
                <w:szCs w:val="28"/>
                <w:highlight w:val="none"/>
                <w:lang w:val="en-US" w:eastAsia="zh-CN"/>
              </w:rPr>
              <w:t>10</w:t>
            </w:r>
            <w:r>
              <w:rPr>
                <w:rFonts w:hint="eastAsia" w:ascii="宋体" w:hAnsi="宋体" w:eastAsia="宋体" w:cs="宋体"/>
                <w:color w:val="auto"/>
                <w:sz w:val="22"/>
                <w:szCs w:val="28"/>
                <w:highlight w:val="none"/>
              </w:rPr>
              <w:t>%×100；</w:t>
            </w:r>
          </w:p>
          <w:p>
            <w:pPr>
              <w:spacing w:line="240" w:lineRule="auto"/>
              <w:jc w:val="left"/>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注：1.小微企业(残疾人福利性单位、监狱企业视同小微企业)价格扣除及失信企业价格惩戒加成或扣分政策按照</w:t>
            </w:r>
            <w:r>
              <w:rPr>
                <w:rFonts w:hint="eastAsia" w:ascii="宋体" w:hAnsi="宋体" w:cs="宋体"/>
                <w:color w:val="auto"/>
                <w:sz w:val="22"/>
                <w:szCs w:val="28"/>
                <w:highlight w:val="none"/>
                <w:lang w:val="en-US" w:eastAsia="zh-CN"/>
              </w:rPr>
              <w:t>磋商</w:t>
            </w:r>
            <w:r>
              <w:rPr>
                <w:rFonts w:hint="eastAsia" w:ascii="宋体" w:hAnsi="宋体" w:eastAsia="宋体" w:cs="宋体"/>
                <w:color w:val="auto"/>
                <w:sz w:val="22"/>
                <w:szCs w:val="28"/>
                <w:highlight w:val="none"/>
              </w:rPr>
              <w:t>须知表的相关要求执行。</w:t>
            </w:r>
          </w:p>
          <w:p>
            <w:pPr>
              <w:spacing w:line="240" w:lineRule="auto"/>
              <w:jc w:val="left"/>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2.因落实政府采购政策进行价格调整的，以调整后的价格计算投标基准价和最后报价。</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共同评审因素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05" w:hRule="atLeast"/>
          <w:jc w:val="center"/>
        </w:trPr>
        <w:tc>
          <w:tcPr>
            <w:tcW w:w="785" w:type="dxa"/>
            <w:vMerge w:val="restart"/>
            <w:tcBorders>
              <w:top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2</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p>
          <w:p>
            <w:pPr>
              <w:jc w:val="center"/>
              <w:rPr>
                <w:rFonts w:hint="eastAsia" w:ascii="宋体" w:hAnsi="宋体" w:eastAsia="宋体" w:cs="宋体"/>
                <w:color w:val="auto"/>
                <w:sz w:val="22"/>
                <w:szCs w:val="28"/>
                <w:highlight w:val="none"/>
              </w:rPr>
            </w:pPr>
          </w:p>
          <w:p>
            <w:pPr>
              <w:jc w:val="center"/>
              <w:rPr>
                <w:rFonts w:hint="eastAsia" w:ascii="宋体" w:hAnsi="宋体" w:eastAsia="宋体" w:cs="宋体"/>
                <w:color w:val="auto"/>
                <w:sz w:val="22"/>
                <w:szCs w:val="28"/>
                <w:highlight w:val="none"/>
              </w:rPr>
            </w:pPr>
          </w:p>
          <w:p>
            <w:pPr>
              <w:jc w:val="center"/>
              <w:rPr>
                <w:rFonts w:hint="eastAsia" w:ascii="宋体" w:hAnsi="宋体" w:eastAsia="宋体" w:cs="宋体"/>
                <w:color w:val="auto"/>
                <w:sz w:val="22"/>
                <w:szCs w:val="28"/>
                <w:highlight w:val="none"/>
              </w:rPr>
            </w:pPr>
          </w:p>
          <w:p>
            <w:pPr>
              <w:jc w:val="center"/>
              <w:rPr>
                <w:rFonts w:hint="eastAsia" w:ascii="宋体" w:hAnsi="宋体" w:eastAsia="宋体" w:cs="宋体"/>
                <w:color w:val="auto"/>
                <w:sz w:val="22"/>
                <w:szCs w:val="28"/>
                <w:highlight w:val="none"/>
              </w:rPr>
            </w:pPr>
          </w:p>
          <w:p>
            <w:pPr>
              <w:jc w:val="center"/>
              <w:rPr>
                <w:rFonts w:hint="eastAsia" w:ascii="宋体" w:hAnsi="宋体" w:eastAsia="宋体" w:cs="宋体"/>
                <w:color w:val="auto"/>
                <w:sz w:val="22"/>
                <w:szCs w:val="28"/>
                <w:highlight w:val="none"/>
              </w:rPr>
            </w:pPr>
          </w:p>
          <w:p>
            <w:pPr>
              <w:jc w:val="center"/>
              <w:rPr>
                <w:rFonts w:hint="eastAsia" w:ascii="宋体" w:hAnsi="宋体" w:eastAsia="宋体" w:cs="宋体"/>
                <w:color w:val="auto"/>
                <w:sz w:val="22"/>
                <w:szCs w:val="28"/>
                <w:highlight w:val="none"/>
              </w:rPr>
            </w:pPr>
          </w:p>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技术部分</w:t>
            </w:r>
            <w:r>
              <w:rPr>
                <w:rFonts w:hint="eastAsia" w:ascii="宋体" w:hAnsi="宋体" w:eastAsia="宋体" w:cs="宋体"/>
                <w:color w:val="auto"/>
                <w:sz w:val="22"/>
                <w:szCs w:val="28"/>
                <w:highlight w:val="none"/>
                <w:lang w:val="en-US" w:eastAsia="zh-CN"/>
              </w:rPr>
              <w:t>6</w:t>
            </w:r>
            <w:r>
              <w:rPr>
                <w:rFonts w:hint="eastAsia" w:ascii="宋体" w:hAnsi="宋体" w:cs="宋体"/>
                <w:color w:val="auto"/>
                <w:sz w:val="22"/>
                <w:szCs w:val="28"/>
                <w:highlight w:val="none"/>
                <w:lang w:val="en-US" w:eastAsia="zh-CN"/>
              </w:rPr>
              <w:t>7</w:t>
            </w:r>
            <w:r>
              <w:rPr>
                <w:rFonts w:hint="eastAsia" w:ascii="宋体" w:hAnsi="宋体" w:eastAsia="宋体" w:cs="宋体"/>
                <w:color w:val="auto"/>
                <w:sz w:val="22"/>
                <w:szCs w:val="28"/>
                <w:highlight w:val="none"/>
              </w:rPr>
              <w:t>%</w:t>
            </w:r>
          </w:p>
        </w:tc>
        <w:tc>
          <w:tcPr>
            <w:tcW w:w="1250"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日常运行管理方案</w:t>
            </w:r>
          </w:p>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（20分）</w:t>
            </w:r>
          </w:p>
        </w:tc>
        <w:tc>
          <w:tcPr>
            <w:tcW w:w="6013" w:type="dxa"/>
            <w:tcBorders>
              <w:top w:val="single" w:color="auto" w:sz="4" w:space="0"/>
              <w:left w:val="single" w:color="auto" w:sz="4" w:space="0"/>
              <w:bottom w:val="single" w:color="auto" w:sz="4" w:space="0"/>
              <w:right w:val="single" w:color="auto" w:sz="4" w:space="0"/>
            </w:tcBorders>
            <w:vAlign w:val="center"/>
          </w:tcPr>
          <w:p>
            <w:pPr>
              <w:pStyle w:val="2"/>
              <w:rPr>
                <w:rFonts w:hint="eastAsia"/>
                <w:color w:val="auto"/>
                <w:highlight w:val="none"/>
              </w:rPr>
            </w:pPr>
            <w:r>
              <w:rPr>
                <w:rFonts w:hint="eastAsia"/>
                <w:color w:val="auto"/>
                <w:highlight w:val="none"/>
              </w:rPr>
              <w:t>根据</w:t>
            </w:r>
            <w:r>
              <w:rPr>
                <w:rFonts w:hint="eastAsia"/>
                <w:color w:val="auto"/>
                <w:highlight w:val="none"/>
                <w:lang w:eastAsia="zh-CN"/>
              </w:rPr>
              <w:t>供应商</w:t>
            </w:r>
            <w:r>
              <w:rPr>
                <w:rFonts w:hint="eastAsia"/>
                <w:color w:val="auto"/>
                <w:highlight w:val="none"/>
              </w:rPr>
              <w:t>提供的</w:t>
            </w:r>
            <w:r>
              <w:rPr>
                <w:rFonts w:hint="eastAsia"/>
                <w:color w:val="auto"/>
                <w:highlight w:val="none"/>
                <w:lang w:val="en-US" w:eastAsia="zh-CN"/>
              </w:rPr>
              <w:t>日常</w:t>
            </w:r>
            <w:r>
              <w:rPr>
                <w:rFonts w:hint="eastAsia"/>
                <w:color w:val="auto"/>
                <w:highlight w:val="none"/>
              </w:rPr>
              <w:t>运行管理项目维护方案进行打分。内容：①项目运行管理组织机构、②人员分工、③人员工作职能、④日常管理制度、⑤人员专业知识日常培训。方案</w:t>
            </w:r>
            <w:r>
              <w:rPr>
                <w:rFonts w:hint="eastAsia"/>
                <w:color w:val="auto"/>
                <w:highlight w:val="none"/>
                <w:lang w:val="zh-CN"/>
              </w:rPr>
              <w:t>成熟</w:t>
            </w:r>
            <w:r>
              <w:rPr>
                <w:rFonts w:hint="eastAsia"/>
                <w:color w:val="auto"/>
                <w:highlight w:val="none"/>
              </w:rPr>
              <w:t>完善、</w:t>
            </w:r>
            <w:r>
              <w:rPr>
                <w:rFonts w:hint="eastAsia"/>
                <w:color w:val="auto"/>
                <w:highlight w:val="none"/>
                <w:lang w:val="zh-CN"/>
              </w:rPr>
              <w:t>完全符合本项目实际情况</w:t>
            </w:r>
            <w:r>
              <w:rPr>
                <w:rFonts w:hint="eastAsia"/>
                <w:color w:val="auto"/>
                <w:highlight w:val="none"/>
              </w:rPr>
              <w:t>的得</w:t>
            </w:r>
            <w:r>
              <w:rPr>
                <w:rFonts w:hint="eastAsia"/>
                <w:color w:val="auto"/>
                <w:highlight w:val="none"/>
                <w:lang w:val="en-US" w:eastAsia="zh-CN"/>
              </w:rPr>
              <w:t>20</w:t>
            </w:r>
            <w:r>
              <w:rPr>
                <w:rFonts w:hint="eastAsia"/>
                <w:color w:val="auto"/>
                <w:highlight w:val="none"/>
              </w:rPr>
              <w:t>分。每有一项缺失的扣</w:t>
            </w:r>
            <w:r>
              <w:rPr>
                <w:rFonts w:hint="eastAsia"/>
                <w:color w:val="auto"/>
                <w:highlight w:val="none"/>
                <w:lang w:val="en-US" w:eastAsia="zh-CN"/>
              </w:rPr>
              <w:t>4</w:t>
            </w:r>
            <w:r>
              <w:rPr>
                <w:rFonts w:hint="eastAsia"/>
                <w:color w:val="auto"/>
                <w:highlight w:val="none"/>
              </w:rPr>
              <w:t>分，每有一项缺陷的扣</w:t>
            </w:r>
            <w:r>
              <w:rPr>
                <w:rFonts w:hint="eastAsia"/>
                <w:color w:val="auto"/>
                <w:highlight w:val="none"/>
                <w:lang w:val="en-US" w:eastAsia="zh-CN"/>
              </w:rPr>
              <w:t>2</w:t>
            </w:r>
            <w:r>
              <w:rPr>
                <w:rFonts w:hint="eastAsia"/>
                <w:color w:val="auto"/>
                <w:highlight w:val="none"/>
              </w:rPr>
              <w:t>分。“缺陷”是指：描述有歧义或逻辑有漏洞或夸大描述或方案内容与实际需求不相符或方案内容体现不齐全或与项目需求结合不够紧密。</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技术评审因素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785" w:type="dxa"/>
            <w:vMerge w:val="continue"/>
            <w:tcBorders>
              <w:right w:val="single" w:color="auto" w:sz="4" w:space="0"/>
            </w:tcBorders>
            <w:vAlign w:val="center"/>
          </w:tcPr>
          <w:p>
            <w:pPr>
              <w:jc w:val="center"/>
              <w:rPr>
                <w:rFonts w:hint="eastAsia" w:ascii="宋体" w:hAnsi="宋体" w:eastAsia="宋体" w:cs="宋体"/>
                <w:color w:val="auto"/>
                <w:sz w:val="22"/>
                <w:szCs w:val="28"/>
                <w:highlight w:val="none"/>
              </w:rPr>
            </w:pPr>
          </w:p>
        </w:tc>
        <w:tc>
          <w:tcPr>
            <w:tcW w:w="1320"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p>
        </w:tc>
        <w:tc>
          <w:tcPr>
            <w:tcW w:w="1250"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运行管理项目设施维护方案</w:t>
            </w:r>
          </w:p>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（20分）</w:t>
            </w:r>
          </w:p>
        </w:tc>
        <w:tc>
          <w:tcPr>
            <w:tcW w:w="6013"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根据</w:t>
            </w:r>
            <w:r>
              <w:rPr>
                <w:rFonts w:hint="eastAsia" w:ascii="宋体" w:hAnsi="宋体" w:cs="宋体"/>
                <w:color w:val="auto"/>
                <w:sz w:val="22"/>
                <w:szCs w:val="28"/>
                <w:highlight w:val="none"/>
                <w:lang w:eastAsia="zh-CN"/>
              </w:rPr>
              <w:t>供应商</w:t>
            </w:r>
            <w:r>
              <w:rPr>
                <w:rFonts w:hint="eastAsia" w:ascii="宋体" w:hAnsi="宋体" w:eastAsia="宋体" w:cs="宋体"/>
                <w:color w:val="auto"/>
                <w:sz w:val="22"/>
                <w:szCs w:val="28"/>
                <w:highlight w:val="none"/>
              </w:rPr>
              <w:t>提供的运行管理项目设施维护方案进行打分。内容：①项目运行工作计划、②设备维护保养制度、③设备故障鉴定、④运行台账建立、⑤运行技术人员培训。</w:t>
            </w:r>
            <w:r>
              <w:rPr>
                <w:rFonts w:hint="eastAsia"/>
                <w:color w:val="auto"/>
                <w:highlight w:val="none"/>
              </w:rPr>
              <w:t>方案</w:t>
            </w:r>
            <w:r>
              <w:rPr>
                <w:rFonts w:hint="eastAsia"/>
                <w:color w:val="auto"/>
                <w:highlight w:val="none"/>
                <w:lang w:val="zh-CN"/>
              </w:rPr>
              <w:t>成熟</w:t>
            </w:r>
            <w:r>
              <w:rPr>
                <w:rFonts w:hint="eastAsia"/>
                <w:color w:val="auto"/>
                <w:highlight w:val="none"/>
              </w:rPr>
              <w:t>完善、</w:t>
            </w:r>
            <w:r>
              <w:rPr>
                <w:rFonts w:hint="eastAsia"/>
                <w:color w:val="auto"/>
                <w:highlight w:val="none"/>
                <w:lang w:val="zh-CN"/>
              </w:rPr>
              <w:t>完全符合本项目实际情况</w:t>
            </w:r>
            <w:r>
              <w:rPr>
                <w:rFonts w:hint="eastAsia"/>
                <w:color w:val="auto"/>
                <w:highlight w:val="none"/>
              </w:rPr>
              <w:t>的得</w:t>
            </w:r>
            <w:r>
              <w:rPr>
                <w:rFonts w:hint="eastAsia"/>
                <w:color w:val="auto"/>
                <w:highlight w:val="none"/>
                <w:lang w:val="en-US" w:eastAsia="zh-CN"/>
              </w:rPr>
              <w:t>20</w:t>
            </w:r>
            <w:r>
              <w:rPr>
                <w:rFonts w:hint="eastAsia"/>
                <w:color w:val="auto"/>
                <w:highlight w:val="none"/>
              </w:rPr>
              <w:t>分。每有一项缺失的扣</w:t>
            </w:r>
            <w:r>
              <w:rPr>
                <w:rFonts w:hint="eastAsia"/>
                <w:color w:val="auto"/>
                <w:highlight w:val="none"/>
                <w:lang w:val="en-US" w:eastAsia="zh-CN"/>
              </w:rPr>
              <w:t>4</w:t>
            </w:r>
            <w:r>
              <w:rPr>
                <w:rFonts w:hint="eastAsia"/>
                <w:color w:val="auto"/>
                <w:highlight w:val="none"/>
              </w:rPr>
              <w:t>分，每有一项缺陷的扣</w:t>
            </w:r>
            <w:r>
              <w:rPr>
                <w:rFonts w:hint="eastAsia"/>
                <w:color w:val="auto"/>
                <w:highlight w:val="none"/>
                <w:lang w:val="en-US" w:eastAsia="zh-CN"/>
              </w:rPr>
              <w:t>2</w:t>
            </w:r>
            <w:r>
              <w:rPr>
                <w:rFonts w:hint="eastAsia"/>
                <w:color w:val="auto"/>
                <w:highlight w:val="none"/>
              </w:rPr>
              <w:t>分。“缺陷”是指：描述有歧义或逻辑有漏洞或夸大描述或方案内容与实际需求不相符或方案内容体现不齐全或与项目需求结合不够紧密。</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技术评审因素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3" w:hRule="atLeast"/>
          <w:jc w:val="center"/>
        </w:trPr>
        <w:tc>
          <w:tcPr>
            <w:tcW w:w="785" w:type="dxa"/>
            <w:vMerge w:val="continue"/>
            <w:tcBorders>
              <w:right w:val="single" w:color="auto" w:sz="4" w:space="0"/>
            </w:tcBorders>
            <w:vAlign w:val="center"/>
          </w:tcPr>
          <w:p>
            <w:pPr>
              <w:jc w:val="center"/>
              <w:rPr>
                <w:rFonts w:hint="eastAsia" w:ascii="宋体" w:hAnsi="宋体" w:eastAsia="宋体" w:cs="宋体"/>
                <w:color w:val="auto"/>
                <w:sz w:val="22"/>
                <w:szCs w:val="28"/>
                <w:highlight w:val="none"/>
              </w:rPr>
            </w:pPr>
          </w:p>
        </w:tc>
        <w:tc>
          <w:tcPr>
            <w:tcW w:w="1320"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p>
        </w:tc>
        <w:tc>
          <w:tcPr>
            <w:tcW w:w="1250"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突发事件处理、应急预案（</w:t>
            </w:r>
            <w:r>
              <w:rPr>
                <w:rFonts w:hint="eastAsia" w:ascii="宋体" w:hAnsi="宋体" w:cs="宋体"/>
                <w:color w:val="auto"/>
                <w:sz w:val="22"/>
                <w:szCs w:val="28"/>
                <w:highlight w:val="none"/>
                <w:lang w:val="en-US" w:eastAsia="zh-CN"/>
              </w:rPr>
              <w:t>20</w:t>
            </w:r>
            <w:r>
              <w:rPr>
                <w:rFonts w:hint="eastAsia" w:ascii="宋体" w:hAnsi="宋体" w:eastAsia="宋体" w:cs="宋体"/>
                <w:color w:val="auto"/>
                <w:sz w:val="22"/>
                <w:szCs w:val="28"/>
                <w:highlight w:val="none"/>
              </w:rPr>
              <w:t>分）</w:t>
            </w:r>
          </w:p>
        </w:tc>
        <w:tc>
          <w:tcPr>
            <w:tcW w:w="6013"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根据</w:t>
            </w:r>
            <w:r>
              <w:rPr>
                <w:rFonts w:hint="eastAsia" w:ascii="宋体" w:hAnsi="宋体" w:cs="宋体"/>
                <w:color w:val="auto"/>
                <w:sz w:val="22"/>
                <w:szCs w:val="28"/>
                <w:highlight w:val="none"/>
                <w:lang w:eastAsia="zh-CN"/>
              </w:rPr>
              <w:t>供应商</w:t>
            </w:r>
            <w:r>
              <w:rPr>
                <w:rFonts w:hint="eastAsia" w:ascii="宋体" w:hAnsi="宋体" w:eastAsia="宋体" w:cs="宋体"/>
                <w:color w:val="auto"/>
                <w:sz w:val="22"/>
                <w:szCs w:val="28"/>
                <w:highlight w:val="none"/>
              </w:rPr>
              <w:t>提供的突发事件处理、应急预案进行打分。内容：①运营突发事件及应急处理预案、②应急演练计划、③应急演练方案、④应急保障措施、⑤突发事件处理善后。</w:t>
            </w:r>
            <w:r>
              <w:rPr>
                <w:rFonts w:hint="eastAsia"/>
                <w:color w:val="auto"/>
                <w:highlight w:val="none"/>
              </w:rPr>
              <w:t>方案</w:t>
            </w:r>
            <w:r>
              <w:rPr>
                <w:rFonts w:hint="eastAsia"/>
                <w:color w:val="auto"/>
                <w:highlight w:val="none"/>
                <w:lang w:val="zh-CN"/>
              </w:rPr>
              <w:t>成熟</w:t>
            </w:r>
            <w:r>
              <w:rPr>
                <w:rFonts w:hint="eastAsia"/>
                <w:color w:val="auto"/>
                <w:highlight w:val="none"/>
              </w:rPr>
              <w:t>完善、</w:t>
            </w:r>
            <w:r>
              <w:rPr>
                <w:rFonts w:hint="eastAsia"/>
                <w:color w:val="auto"/>
                <w:highlight w:val="none"/>
                <w:lang w:val="zh-CN"/>
              </w:rPr>
              <w:t>完全符合本项目实际情况</w:t>
            </w:r>
            <w:r>
              <w:rPr>
                <w:rFonts w:hint="eastAsia"/>
                <w:color w:val="auto"/>
                <w:highlight w:val="none"/>
              </w:rPr>
              <w:t>的得</w:t>
            </w:r>
            <w:r>
              <w:rPr>
                <w:rFonts w:hint="eastAsia"/>
                <w:color w:val="auto"/>
                <w:highlight w:val="none"/>
                <w:lang w:val="en-US" w:eastAsia="zh-CN"/>
              </w:rPr>
              <w:t>20</w:t>
            </w:r>
            <w:r>
              <w:rPr>
                <w:rFonts w:hint="eastAsia"/>
                <w:color w:val="auto"/>
                <w:highlight w:val="none"/>
              </w:rPr>
              <w:t>分。每有一项缺失的扣</w:t>
            </w:r>
            <w:r>
              <w:rPr>
                <w:rFonts w:hint="eastAsia"/>
                <w:color w:val="auto"/>
                <w:highlight w:val="none"/>
                <w:lang w:val="en-US" w:eastAsia="zh-CN"/>
              </w:rPr>
              <w:t>4</w:t>
            </w:r>
            <w:r>
              <w:rPr>
                <w:rFonts w:hint="eastAsia"/>
                <w:color w:val="auto"/>
                <w:highlight w:val="none"/>
              </w:rPr>
              <w:t>分，每有一项缺陷的扣</w:t>
            </w:r>
            <w:r>
              <w:rPr>
                <w:rFonts w:hint="eastAsia"/>
                <w:color w:val="auto"/>
                <w:highlight w:val="none"/>
                <w:lang w:val="en-US" w:eastAsia="zh-CN"/>
              </w:rPr>
              <w:t>2</w:t>
            </w:r>
            <w:r>
              <w:rPr>
                <w:rFonts w:hint="eastAsia"/>
                <w:color w:val="auto"/>
                <w:highlight w:val="none"/>
              </w:rPr>
              <w:t>分。“缺陷”是指：描述有歧义或逻辑有漏洞或夸大描述或方案内容与实际需求不相符或方案内容体现不齐全或与项目需求结合不够紧密。</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技术评审因素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85" w:type="dxa"/>
            <w:tcBorders>
              <w:right w:val="single" w:color="auto" w:sz="4" w:space="0"/>
            </w:tcBorders>
            <w:vAlign w:val="center"/>
          </w:tcPr>
          <w:p>
            <w:pPr>
              <w:jc w:val="center"/>
              <w:rPr>
                <w:rFonts w:hint="eastAsia" w:ascii="宋体" w:hAnsi="宋体" w:eastAsia="宋体" w:cs="宋体"/>
                <w:color w:val="auto"/>
                <w:sz w:val="22"/>
                <w:szCs w:val="28"/>
                <w:highlight w:val="none"/>
              </w:rPr>
            </w:pPr>
          </w:p>
        </w:tc>
        <w:tc>
          <w:tcPr>
            <w:tcW w:w="1320" w:type="dxa"/>
            <w:tcBorders>
              <w:left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p>
        </w:tc>
        <w:tc>
          <w:tcPr>
            <w:tcW w:w="1250" w:type="dxa"/>
            <w:tcBorders>
              <w:top w:val="single" w:color="auto" w:sz="4" w:space="0"/>
              <w:left w:val="single" w:color="auto" w:sz="4" w:space="0"/>
              <w:right w:val="single" w:color="auto" w:sz="4" w:space="0"/>
            </w:tcBorders>
            <w:vAlign w:val="center"/>
          </w:tcPr>
          <w:p>
            <w:pPr>
              <w:keepNext w:val="0"/>
              <w:keepLines w:val="0"/>
              <w:widowControl/>
              <w:suppressLineNumbers w:val="0"/>
              <w:jc w:val="center"/>
              <w:rPr>
                <w:rFonts w:hint="eastAsia" w:ascii="宋体" w:hAnsi="宋体" w:eastAsia="宋体" w:cs="宋体"/>
                <w:color w:val="auto"/>
                <w:sz w:val="22"/>
                <w:szCs w:val="28"/>
                <w:highlight w:val="none"/>
              </w:rPr>
            </w:pPr>
            <w:r>
              <w:rPr>
                <w:rFonts w:hint="eastAsia" w:ascii="宋体" w:hAnsi="宋体" w:eastAsia="宋体" w:cs="宋体"/>
                <w:color w:val="auto"/>
                <w:kern w:val="2"/>
                <w:sz w:val="22"/>
                <w:szCs w:val="24"/>
                <w:highlight w:val="none"/>
                <w:lang w:val="en-US" w:eastAsia="zh-CN" w:bidi="ar"/>
              </w:rPr>
              <w:t>安全生产保障措施</w:t>
            </w:r>
          </w:p>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w:t>
            </w:r>
            <w:r>
              <w:rPr>
                <w:rFonts w:hint="eastAsia" w:ascii="宋体" w:hAnsi="宋体" w:eastAsia="宋体" w:cs="宋体"/>
                <w:color w:val="auto"/>
                <w:sz w:val="22"/>
                <w:szCs w:val="28"/>
                <w:highlight w:val="none"/>
                <w:lang w:val="en-US" w:eastAsia="zh-CN"/>
              </w:rPr>
              <w:t>7</w:t>
            </w:r>
            <w:r>
              <w:rPr>
                <w:rFonts w:hint="eastAsia" w:ascii="宋体" w:hAnsi="宋体" w:eastAsia="宋体" w:cs="宋体"/>
                <w:color w:val="auto"/>
                <w:sz w:val="22"/>
                <w:szCs w:val="28"/>
                <w:highlight w:val="none"/>
              </w:rPr>
              <w:t>分）</w:t>
            </w:r>
          </w:p>
        </w:tc>
        <w:tc>
          <w:tcPr>
            <w:tcW w:w="6013" w:type="dxa"/>
            <w:tcBorders>
              <w:top w:val="single" w:color="auto" w:sz="4" w:space="0"/>
              <w:left w:val="single" w:color="auto" w:sz="4" w:space="0"/>
              <w:bottom w:val="single" w:color="auto" w:sz="4" w:space="0"/>
              <w:right w:val="single" w:color="auto" w:sz="4" w:space="0"/>
            </w:tcBorders>
            <w:vAlign w:val="center"/>
          </w:tcPr>
          <w:p>
            <w:pPr>
              <w:spacing w:line="240" w:lineRule="auto"/>
              <w:jc w:val="left"/>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根据</w:t>
            </w:r>
            <w:r>
              <w:rPr>
                <w:rFonts w:hint="eastAsia" w:ascii="宋体" w:hAnsi="宋体" w:cs="宋体"/>
                <w:color w:val="auto"/>
                <w:sz w:val="22"/>
                <w:szCs w:val="28"/>
                <w:highlight w:val="none"/>
                <w:lang w:eastAsia="zh-CN"/>
              </w:rPr>
              <w:t>供应商</w:t>
            </w:r>
            <w:r>
              <w:rPr>
                <w:rFonts w:hint="eastAsia" w:ascii="宋体" w:hAnsi="宋体" w:eastAsia="宋体" w:cs="宋体"/>
                <w:color w:val="auto"/>
                <w:sz w:val="22"/>
                <w:szCs w:val="28"/>
                <w:highlight w:val="none"/>
              </w:rPr>
              <w:t>提供的</w:t>
            </w:r>
            <w:r>
              <w:rPr>
                <w:rFonts w:hint="eastAsia" w:ascii="宋体" w:hAnsi="宋体" w:eastAsia="宋体" w:cs="宋体"/>
                <w:color w:val="auto"/>
                <w:sz w:val="22"/>
                <w:szCs w:val="28"/>
                <w:highlight w:val="none"/>
                <w:lang w:val="en-US" w:eastAsia="zh-CN"/>
              </w:rPr>
              <w:t>安全生产保障措施</w:t>
            </w:r>
            <w:r>
              <w:rPr>
                <w:rFonts w:hint="eastAsia" w:ascii="宋体" w:hAnsi="宋体" w:eastAsia="宋体" w:cs="宋体"/>
                <w:color w:val="auto"/>
                <w:sz w:val="22"/>
                <w:szCs w:val="28"/>
                <w:highlight w:val="none"/>
              </w:rPr>
              <w:t>进行打分</w:t>
            </w:r>
            <w:r>
              <w:rPr>
                <w:rFonts w:hint="eastAsia" w:ascii="宋体" w:hAnsi="宋体" w:eastAsia="宋体" w:cs="宋体"/>
                <w:color w:val="auto"/>
                <w:sz w:val="22"/>
                <w:szCs w:val="28"/>
                <w:highlight w:val="none"/>
                <w:lang w:val="en-US" w:eastAsia="zh-CN"/>
              </w:rPr>
              <w:t xml:space="preserve"> 。</w:t>
            </w:r>
            <w:r>
              <w:rPr>
                <w:rFonts w:hint="eastAsia" w:ascii="宋体" w:hAnsi="宋体" w:eastAsia="宋体" w:cs="宋体"/>
                <w:color w:val="auto"/>
                <w:sz w:val="22"/>
                <w:szCs w:val="28"/>
                <w:highlight w:val="none"/>
              </w:rPr>
              <w:t>内容：①</w:t>
            </w:r>
            <w:r>
              <w:rPr>
                <w:rFonts w:hint="eastAsia" w:ascii="宋体" w:hAnsi="宋体" w:eastAsia="宋体" w:cs="宋体"/>
                <w:color w:val="auto"/>
                <w:sz w:val="22"/>
                <w:szCs w:val="28"/>
                <w:highlight w:val="none"/>
                <w:lang w:val="en-US" w:eastAsia="zh-CN"/>
              </w:rPr>
              <w:t>安全教育及培训计划</w:t>
            </w:r>
            <w:r>
              <w:rPr>
                <w:rFonts w:hint="eastAsia" w:ascii="宋体" w:hAnsi="宋体" w:eastAsia="宋体" w:cs="宋体"/>
                <w:color w:val="auto"/>
                <w:sz w:val="22"/>
                <w:szCs w:val="28"/>
                <w:highlight w:val="none"/>
              </w:rPr>
              <w:t>②公共污水管道清掏</w:t>
            </w:r>
            <w:r>
              <w:rPr>
                <w:rFonts w:hint="eastAsia" w:ascii="宋体" w:hAnsi="宋体" w:eastAsia="宋体" w:cs="宋体"/>
                <w:color w:val="auto"/>
                <w:sz w:val="22"/>
                <w:szCs w:val="28"/>
                <w:highlight w:val="none"/>
                <w:lang w:val="en-US" w:eastAsia="zh-CN"/>
              </w:rPr>
              <w:t>安全技术措施。</w:t>
            </w:r>
            <w:r>
              <w:rPr>
                <w:rFonts w:hint="eastAsia"/>
                <w:color w:val="auto"/>
                <w:highlight w:val="none"/>
              </w:rPr>
              <w:t>方案</w:t>
            </w:r>
            <w:r>
              <w:rPr>
                <w:rFonts w:hint="eastAsia"/>
                <w:color w:val="auto"/>
                <w:highlight w:val="none"/>
                <w:lang w:val="zh-CN"/>
              </w:rPr>
              <w:t>成熟</w:t>
            </w:r>
            <w:r>
              <w:rPr>
                <w:rFonts w:hint="eastAsia"/>
                <w:color w:val="auto"/>
                <w:highlight w:val="none"/>
              </w:rPr>
              <w:t>完善、</w:t>
            </w:r>
            <w:r>
              <w:rPr>
                <w:rFonts w:hint="eastAsia"/>
                <w:color w:val="auto"/>
                <w:highlight w:val="none"/>
                <w:lang w:val="zh-CN"/>
              </w:rPr>
              <w:t>完全符合本项目实际情况</w:t>
            </w:r>
            <w:r>
              <w:rPr>
                <w:rFonts w:hint="eastAsia"/>
                <w:color w:val="auto"/>
                <w:highlight w:val="none"/>
              </w:rPr>
              <w:t>的得</w:t>
            </w:r>
            <w:r>
              <w:rPr>
                <w:rFonts w:hint="eastAsia"/>
                <w:color w:val="auto"/>
                <w:highlight w:val="none"/>
                <w:lang w:val="en-US" w:eastAsia="zh-CN"/>
              </w:rPr>
              <w:t>7</w:t>
            </w:r>
            <w:r>
              <w:rPr>
                <w:rFonts w:hint="eastAsia"/>
                <w:color w:val="auto"/>
                <w:highlight w:val="none"/>
              </w:rPr>
              <w:t>分。每有一项缺失的扣</w:t>
            </w:r>
            <w:r>
              <w:rPr>
                <w:rFonts w:hint="eastAsia"/>
                <w:color w:val="auto"/>
                <w:highlight w:val="none"/>
                <w:lang w:val="en-US" w:eastAsia="zh-CN"/>
              </w:rPr>
              <w:t>3.5</w:t>
            </w:r>
            <w:r>
              <w:rPr>
                <w:rFonts w:hint="eastAsia"/>
                <w:color w:val="auto"/>
                <w:highlight w:val="none"/>
              </w:rPr>
              <w:t>分，每有一项缺陷的扣</w:t>
            </w:r>
            <w:r>
              <w:rPr>
                <w:rFonts w:hint="eastAsia"/>
                <w:color w:val="auto"/>
                <w:highlight w:val="none"/>
                <w:lang w:val="en-US" w:eastAsia="zh-CN"/>
              </w:rPr>
              <w:t>1.75</w:t>
            </w:r>
            <w:r>
              <w:rPr>
                <w:rFonts w:hint="eastAsia"/>
                <w:color w:val="auto"/>
                <w:highlight w:val="none"/>
              </w:rPr>
              <w:t>分。“缺陷”是指：描述有歧义或逻辑有漏洞或夸大描述或方案内容与实际需求不相符或方案内容体现不齐全或与项目需求结合不够紧密。</w:t>
            </w:r>
          </w:p>
        </w:tc>
        <w:tc>
          <w:tcPr>
            <w:tcW w:w="99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技术评审因素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91" w:hRule="atLeast"/>
          <w:jc w:val="center"/>
        </w:trPr>
        <w:tc>
          <w:tcPr>
            <w:tcW w:w="785" w:type="dxa"/>
            <w:tcBorders>
              <w:top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3</w:t>
            </w:r>
          </w:p>
        </w:tc>
        <w:tc>
          <w:tcPr>
            <w:tcW w:w="1320" w:type="dxa"/>
            <w:tcBorders>
              <w:top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商务部分</w:t>
            </w:r>
            <w:r>
              <w:rPr>
                <w:rFonts w:hint="eastAsia" w:ascii="宋体" w:hAnsi="宋体" w:eastAsia="宋体" w:cs="宋体"/>
                <w:color w:val="auto"/>
                <w:sz w:val="22"/>
                <w:szCs w:val="28"/>
                <w:highlight w:val="none"/>
                <w:lang w:val="en-US" w:eastAsia="zh-CN"/>
              </w:rPr>
              <w:t>23</w:t>
            </w:r>
            <w:r>
              <w:rPr>
                <w:rFonts w:hint="eastAsia" w:ascii="宋体" w:hAnsi="宋体" w:eastAsia="宋体" w:cs="宋体"/>
                <w:color w:val="auto"/>
                <w:sz w:val="22"/>
                <w:szCs w:val="28"/>
                <w:highlight w:val="none"/>
              </w:rPr>
              <w:t>%</w:t>
            </w:r>
          </w:p>
        </w:tc>
        <w:tc>
          <w:tcPr>
            <w:tcW w:w="1250" w:type="dxa"/>
            <w:tcBorders>
              <w:top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项目配备人员</w:t>
            </w:r>
          </w:p>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（2</w:t>
            </w:r>
            <w:r>
              <w:rPr>
                <w:rFonts w:hint="eastAsia" w:ascii="宋体" w:hAnsi="宋体" w:eastAsia="宋体" w:cs="宋体"/>
                <w:color w:val="auto"/>
                <w:sz w:val="22"/>
                <w:szCs w:val="28"/>
                <w:highlight w:val="none"/>
                <w:lang w:val="en-US" w:eastAsia="zh-CN"/>
              </w:rPr>
              <w:t>3</w:t>
            </w:r>
            <w:r>
              <w:rPr>
                <w:rFonts w:hint="eastAsia" w:ascii="宋体" w:hAnsi="宋体" w:eastAsia="宋体" w:cs="宋体"/>
                <w:color w:val="auto"/>
                <w:sz w:val="22"/>
                <w:szCs w:val="28"/>
                <w:highlight w:val="none"/>
              </w:rPr>
              <w:t>分）</w:t>
            </w:r>
          </w:p>
        </w:tc>
        <w:tc>
          <w:tcPr>
            <w:tcW w:w="6013" w:type="dxa"/>
            <w:tcBorders>
              <w:top w:val="single" w:color="auto" w:sz="4" w:space="0"/>
              <w:left w:val="single" w:color="auto" w:sz="4" w:space="0"/>
              <w:right w:val="single" w:color="auto" w:sz="4" w:space="0"/>
            </w:tcBorders>
          </w:tcPr>
          <w:p>
            <w:pPr>
              <w:spacing w:line="240" w:lineRule="auto"/>
              <w:jc w:val="left"/>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满足基本</w:t>
            </w:r>
            <w:r>
              <w:rPr>
                <w:rFonts w:hint="eastAsia" w:ascii="宋体" w:hAnsi="宋体" w:eastAsia="宋体" w:cs="宋体"/>
                <w:color w:val="auto"/>
                <w:sz w:val="22"/>
                <w:szCs w:val="28"/>
                <w:highlight w:val="none"/>
                <w:lang w:val="en-US" w:eastAsia="zh-CN"/>
              </w:rPr>
              <w:t>人员要求基本</w:t>
            </w:r>
            <w:r>
              <w:rPr>
                <w:rFonts w:hint="eastAsia" w:ascii="宋体" w:hAnsi="宋体" w:eastAsia="宋体" w:cs="宋体"/>
                <w:color w:val="auto"/>
                <w:sz w:val="22"/>
                <w:szCs w:val="28"/>
                <w:highlight w:val="none"/>
              </w:rPr>
              <w:t>配置基础上</w:t>
            </w:r>
          </w:p>
          <w:p>
            <w:pPr>
              <w:spacing w:line="240" w:lineRule="auto"/>
              <w:jc w:val="left"/>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①项目负责人：具有大专或以上学历人员得5分，本项最高得</w:t>
            </w:r>
            <w:r>
              <w:rPr>
                <w:rFonts w:hint="eastAsia" w:ascii="宋体" w:hAnsi="宋体" w:eastAsia="宋体" w:cs="宋体"/>
                <w:color w:val="auto"/>
                <w:sz w:val="22"/>
                <w:szCs w:val="28"/>
                <w:highlight w:val="none"/>
                <w:lang w:val="en-US" w:eastAsia="zh-CN"/>
              </w:rPr>
              <w:t>5</w:t>
            </w:r>
            <w:r>
              <w:rPr>
                <w:rFonts w:hint="eastAsia" w:ascii="宋体" w:hAnsi="宋体" w:eastAsia="宋体" w:cs="宋体"/>
                <w:color w:val="auto"/>
                <w:sz w:val="22"/>
                <w:szCs w:val="28"/>
                <w:highlight w:val="none"/>
              </w:rPr>
              <w:t>分；</w:t>
            </w:r>
          </w:p>
          <w:p>
            <w:pPr>
              <w:spacing w:line="240" w:lineRule="auto"/>
              <w:jc w:val="left"/>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②其他人员：每提供一个具有大专或以上学历人员得6分，本项最高得18分。</w:t>
            </w:r>
          </w:p>
          <w:p>
            <w:pPr>
              <w:spacing w:line="240" w:lineRule="auto"/>
              <w:jc w:val="left"/>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注：提供上述人员相关证明材料扫描件或复印件。注：提供上述人员相关证明材料扫描件或复印件。</w:t>
            </w:r>
          </w:p>
        </w:tc>
        <w:tc>
          <w:tcPr>
            <w:tcW w:w="990"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rPr>
              <w:t>共同评审因素</w:t>
            </w:r>
          </w:p>
        </w:tc>
      </w:tr>
    </w:tbl>
    <w:p>
      <w:pPr>
        <w:spacing w:after="0" w:line="240" w:lineRule="auto"/>
        <w:rPr>
          <w:rFonts w:ascii="宋体" w:hAnsi="宋体"/>
          <w:color w:val="auto"/>
          <w:sz w:val="24"/>
          <w:highlight w:val="none"/>
        </w:rPr>
      </w:pPr>
      <w:r>
        <w:rPr>
          <w:rFonts w:hint="eastAsia" w:ascii="宋体" w:hAnsi="宋体"/>
          <w:color w:val="auto"/>
          <w:sz w:val="24"/>
          <w:highlight w:val="none"/>
        </w:rPr>
        <w:t>注：评分的取值按四舍五入法，保留小数点后两位。</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3.3.4评审得分＝（A1＋A2＋……＋An）/NA＋（B1＋B2＋……＋Bn）/ NB＋（C1＋C2＋……＋Cn）/ NC＋（D1＋D2＋……＋Dn）/ ND</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spacing w:after="0" w:line="360" w:lineRule="auto"/>
        <w:ind w:firstLine="241" w:firstLineChars="100"/>
        <w:rPr>
          <w:rFonts w:ascii="宋体" w:hAnsi="宋体"/>
          <w:b/>
          <w:bCs/>
          <w:color w:val="auto"/>
          <w:sz w:val="24"/>
          <w:highlight w:val="none"/>
        </w:rPr>
      </w:pPr>
      <w:r>
        <w:rPr>
          <w:rFonts w:hint="eastAsia" w:ascii="宋体" w:hAnsi="宋体"/>
          <w:b/>
          <w:bCs/>
          <w:color w:val="auto"/>
          <w:sz w:val="24"/>
          <w:highlight w:val="none"/>
        </w:rPr>
        <w:t>4.磋商纪律及注意事项</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4.1磋商小组内部讨论的情况和意见必须保密，任何人不得以任何形式透露给供应商或与供应商有关的单位或个人。</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4.2在磋商过程中，供应商不得以任何形式对磋商小组成员进行旨在影响谈判结果的私下接触，否则将取消其参与磋商的资格。</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4.3对各供应商的商业秘密，磋商小组成员应予以保密，不得泄露给其他供应商。</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4.4 磋商小组独立评判，推荐成交候选人，并写出书面报告。</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4.5 磋商小组可根据需要对供应商进行实地考察。</w:t>
      </w:r>
    </w:p>
    <w:p>
      <w:pPr>
        <w:spacing w:after="0" w:line="360" w:lineRule="auto"/>
        <w:ind w:firstLine="241" w:firstLineChars="100"/>
        <w:rPr>
          <w:rFonts w:ascii="宋体" w:hAnsi="宋体"/>
          <w:b/>
          <w:bCs/>
          <w:color w:val="auto"/>
          <w:sz w:val="24"/>
          <w:highlight w:val="none"/>
        </w:rPr>
      </w:pPr>
      <w:r>
        <w:rPr>
          <w:rFonts w:hint="eastAsia" w:ascii="宋体" w:hAnsi="宋体"/>
          <w:b/>
          <w:bCs/>
          <w:color w:val="auto"/>
          <w:sz w:val="24"/>
          <w:highlight w:val="none"/>
        </w:rPr>
        <w:t>5.磋商小组在政府采购活动中承担以下义务：</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（一）遵守评审工作纪律；</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（二）按照客观、公正、审慎的原则，根据磋商文件规定的评审程序、评审方法和评审标准进行独立评审；</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（三）不得泄露评审文件、评审情况和在评审过程中获悉的商业秘密；</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（四）及时向财政部门报告评审过程中发现的采购人、采购代理机构向评审专家做倾向性、误导性的解释或者说明，以及供应商行贿、提供虚假材料或者串通等违法行为；</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（五）发现磋商文件内容违反国家有关强制性规定或者磋商文件存在歧义、重大缺陷导致评审工作无法进行时，停止评审并向采购人或者采购代理机构书面说明情况；</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（六）及时向财政、监察等部门举报在评审过程中受到非法干预的情况；</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（七）配合答复处理供应商的询问、质疑和投诉等事项；</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（八）法律、法规和规章规定的其他义务。</w:t>
      </w:r>
    </w:p>
    <w:p>
      <w:pPr>
        <w:spacing w:after="0" w:line="360" w:lineRule="auto"/>
        <w:ind w:firstLine="241" w:firstLineChars="100"/>
        <w:rPr>
          <w:rFonts w:ascii="宋体" w:hAnsi="宋体"/>
          <w:b/>
          <w:bCs/>
          <w:color w:val="auto"/>
          <w:sz w:val="24"/>
          <w:highlight w:val="none"/>
        </w:rPr>
      </w:pPr>
      <w:r>
        <w:rPr>
          <w:rFonts w:hint="eastAsia" w:ascii="宋体" w:hAnsi="宋体"/>
          <w:b/>
          <w:bCs/>
          <w:color w:val="auto"/>
          <w:sz w:val="24"/>
          <w:highlight w:val="none"/>
        </w:rPr>
        <w:t>6.评审专家在政府采购活动中应当遵守以下工作纪律：</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（一）不得参加与自己有《中华人民共和国政府采购法实施条例》第九条规定的利害关系的政府采购项目的评审活动。发现参加了与自己有利害关系的评审活动，须主动提出回避，退出评审；</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（二）评审前，应当将通讯工具或者相关电子设备交由采购代理机构统一保管；</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（三）评审过程中，不得与外界联系，因发生不可预见情况，确实需要与外界联系的，应当在监督人员监督之下办理；</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（五）在评审过程中和评审结束后，不得记录、复制或带走任何评审资料，不得向外界透露评审内容；</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（六）评审现场服从采购代理机构工作人员的管理，接受现场监督人员的合法监督；</w:t>
      </w:r>
    </w:p>
    <w:p>
      <w:pPr>
        <w:spacing w:after="0" w:line="360" w:lineRule="auto"/>
        <w:ind w:firstLine="240" w:firstLineChars="100"/>
        <w:rPr>
          <w:rFonts w:ascii="宋体" w:hAnsi="宋体"/>
          <w:color w:val="auto"/>
          <w:sz w:val="24"/>
          <w:highlight w:val="none"/>
        </w:rPr>
      </w:pPr>
      <w:r>
        <w:rPr>
          <w:rFonts w:hint="eastAsia" w:ascii="宋体" w:hAnsi="宋体"/>
          <w:color w:val="auto"/>
          <w:sz w:val="24"/>
          <w:highlight w:val="none"/>
        </w:rPr>
        <w:t>（七）遵守有关廉洁自律规定，不得私下接触供应商，不得收受供应商及有关业务单位和个人的财物或好处，不得接受采购代理机构的请托。</w:t>
      </w:r>
    </w:p>
    <w:p>
      <w:pPr>
        <w:pStyle w:val="3"/>
        <w:spacing w:before="0" w:after="0" w:line="360" w:lineRule="auto"/>
        <w:jc w:val="center"/>
        <w:rPr>
          <w:rFonts w:ascii="宋体" w:hAnsi="宋体"/>
          <w:color w:val="auto"/>
          <w:sz w:val="36"/>
          <w:szCs w:val="36"/>
          <w:highlight w:val="none"/>
        </w:rPr>
      </w:pPr>
      <w:r>
        <w:rPr>
          <w:rFonts w:hint="eastAsia" w:ascii="宋体" w:hAnsi="宋体"/>
          <w:color w:val="auto"/>
          <w:sz w:val="24"/>
          <w:szCs w:val="24"/>
          <w:highlight w:val="none"/>
        </w:rPr>
        <w:br w:type="page"/>
      </w:r>
      <w:bookmarkEnd w:id="44"/>
      <w:bookmarkStart w:id="45" w:name="_Toc73912830"/>
      <w:r>
        <w:rPr>
          <w:rFonts w:hint="eastAsia" w:ascii="宋体" w:hAnsi="宋体"/>
          <w:color w:val="auto"/>
          <w:sz w:val="36"/>
          <w:szCs w:val="36"/>
          <w:highlight w:val="none"/>
        </w:rPr>
        <w:t>第九章</w:t>
      </w:r>
      <w:r>
        <w:rPr>
          <w:rFonts w:ascii="宋体" w:hAnsi="宋体"/>
          <w:color w:val="auto"/>
          <w:sz w:val="36"/>
          <w:szCs w:val="36"/>
          <w:highlight w:val="none"/>
        </w:rPr>
        <w:t xml:space="preserve">  </w:t>
      </w:r>
      <w:r>
        <w:rPr>
          <w:rFonts w:hint="eastAsia" w:ascii="宋体" w:hAnsi="宋体"/>
          <w:color w:val="auto"/>
          <w:sz w:val="36"/>
          <w:szCs w:val="36"/>
          <w:highlight w:val="none"/>
        </w:rPr>
        <w:t>政府采购合同</w:t>
      </w:r>
      <w:bookmarkEnd w:id="45"/>
    </w:p>
    <w:p>
      <w:pPr>
        <w:pStyle w:val="27"/>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政府采购合同（草拟稿，最终以实际签订版本为准）</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合同编号：XXXX。</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签订地点：XXXX。</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签订时间：XXXX年XX月XX日。</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采购人（甲方）：</w:t>
      </w:r>
    </w:p>
    <w:p>
      <w:pPr>
        <w:snapToGrid w:val="0"/>
        <w:spacing w:line="24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供应商（乙方）：</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依据《中华人民共和国民法典》、《中华人民共和国政府采购法》与项目行业有关的法律法规，以及XXXX项目（项目编号：XXXX）的《</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》，乙方的《</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》及《</w:t>
      </w:r>
      <w:r>
        <w:rPr>
          <w:rFonts w:hint="eastAsia" w:ascii="宋体" w:hAnsi="宋体" w:eastAsia="宋体" w:cs="宋体"/>
          <w:color w:val="auto"/>
          <w:sz w:val="24"/>
          <w:szCs w:val="24"/>
          <w:highlight w:val="none"/>
          <w:lang w:eastAsia="zh-CN"/>
        </w:rPr>
        <w:t>成交通知书</w:t>
      </w:r>
      <w:r>
        <w:rPr>
          <w:rFonts w:hint="eastAsia" w:ascii="宋体" w:hAnsi="宋体" w:eastAsia="宋体" w:cs="宋体"/>
          <w:color w:val="auto"/>
          <w:sz w:val="24"/>
          <w:szCs w:val="24"/>
          <w:highlight w:val="none"/>
        </w:rPr>
        <w:t>》，甲、乙双方同意签订本合同。详细技术说明及其他有关合同项目的特定信息由合同附件予以说明，合同附件及本项目的《</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成交通知书</w:t>
      </w:r>
      <w:r>
        <w:rPr>
          <w:rFonts w:hint="eastAsia" w:ascii="宋体" w:hAnsi="宋体" w:eastAsia="宋体" w:cs="宋体"/>
          <w:color w:val="auto"/>
          <w:sz w:val="24"/>
          <w:szCs w:val="24"/>
          <w:highlight w:val="none"/>
        </w:rPr>
        <w:t>》等均为本合同的组成部分。</w:t>
      </w:r>
    </w:p>
    <w:p>
      <w:pPr>
        <w:numPr>
          <w:ilvl w:val="0"/>
          <w:numId w:val="5"/>
        </w:numPr>
        <w:snapToGrid w:val="0"/>
        <w:spacing w:line="24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项目基本情况</w:t>
      </w:r>
    </w:p>
    <w:p>
      <w:pPr>
        <w:numPr>
          <w:ilvl w:val="0"/>
          <w:numId w:val="5"/>
        </w:numPr>
        <w:snapToGrid w:val="0"/>
        <w:spacing w:line="24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合同期限</w:t>
      </w:r>
    </w:p>
    <w:p>
      <w:pPr>
        <w:numPr>
          <w:ilvl w:val="0"/>
          <w:numId w:val="5"/>
        </w:numPr>
        <w:snapToGrid w:val="0"/>
        <w:spacing w:line="240" w:lineRule="auto"/>
        <w:rPr>
          <w:rFonts w:hint="eastAsia" w:ascii="宋体" w:hAnsi="宋体" w:eastAsia="宋体" w:cs="宋体"/>
          <w:b/>
          <w:color w:val="auto"/>
          <w:sz w:val="24"/>
          <w:szCs w:val="24"/>
          <w:highlight w:val="none"/>
        </w:rPr>
      </w:pPr>
      <w:bookmarkStart w:id="46" w:name="_Toc283019214"/>
      <w:bookmarkStart w:id="47" w:name="_Toc185395249"/>
      <w:bookmarkStart w:id="48" w:name="_Toc239233914"/>
      <w:bookmarkStart w:id="49" w:name="_Toc232492928"/>
      <w:bookmarkStart w:id="50" w:name="_Toc238984975"/>
      <w:bookmarkStart w:id="51" w:name="_Toc282696226"/>
      <w:bookmarkStart w:id="52" w:name="_Toc225654644"/>
      <w:bookmarkStart w:id="53" w:name="_Toc251768862"/>
      <w:bookmarkStart w:id="54" w:name="_Toc212019594"/>
      <w:bookmarkStart w:id="55" w:name="_Toc211854449"/>
      <w:bookmarkStart w:id="56" w:name="_Toc286993786"/>
      <w:bookmarkStart w:id="57" w:name="_Toc241833903"/>
      <w:bookmarkStart w:id="58" w:name="_Toc247334841"/>
      <w:bookmarkStart w:id="59" w:name="_Toc211911348"/>
      <w:bookmarkStart w:id="60" w:name="_Toc239568418"/>
      <w:bookmarkStart w:id="61" w:name="_Toc225670751"/>
      <w:bookmarkStart w:id="62" w:name="_Toc237145406"/>
      <w:bookmarkStart w:id="63" w:name="_Toc225244852"/>
      <w:r>
        <w:rPr>
          <w:rFonts w:hint="eastAsia" w:ascii="宋体" w:hAnsi="宋体" w:eastAsia="宋体" w:cs="宋体"/>
          <w:b/>
          <w:color w:val="auto"/>
          <w:sz w:val="24"/>
          <w:szCs w:val="24"/>
          <w:highlight w:val="none"/>
        </w:rPr>
        <w:t>服务内容与质量标准</w:t>
      </w:r>
    </w:p>
    <w:p>
      <w:pPr>
        <w:snapToGrid w:val="0"/>
        <w:spacing w:line="24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1、XXXX；</w:t>
      </w:r>
    </w:p>
    <w:p>
      <w:pPr>
        <w:snapToGrid w:val="0"/>
        <w:spacing w:line="24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2、XXXX；</w:t>
      </w:r>
    </w:p>
    <w:p>
      <w:pPr>
        <w:snapToGrid w:val="0"/>
        <w:spacing w:line="240" w:lineRule="auto"/>
        <w:ind w:left="56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3、XXXX．</w:t>
      </w:r>
    </w:p>
    <w:p>
      <w:pPr>
        <w:snapToGrid w:val="0"/>
        <w:spacing w:line="240" w:lineRule="auto"/>
        <w:ind w:firstLine="63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numPr>
          <w:ilvl w:val="0"/>
          <w:numId w:val="5"/>
        </w:numPr>
        <w:snapToGrid w:val="0"/>
        <w:spacing w:line="24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服务费用及支付方式</w:t>
      </w:r>
    </w:p>
    <w:p>
      <w:pPr>
        <w:numPr>
          <w:ilvl w:val="0"/>
          <w:numId w:val="6"/>
        </w:numPr>
        <w:snapToGrid w:val="0"/>
        <w:spacing w:line="240" w:lineRule="auto"/>
        <w:ind w:firstLine="567"/>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本项目服务费用由以下组成：</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1、XX万元；</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2、XX万元；</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3、XX万元。</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pPr>
        <w:numPr>
          <w:ilvl w:val="0"/>
          <w:numId w:val="6"/>
        </w:numPr>
        <w:tabs>
          <w:tab w:val="left" w:pos="780"/>
        </w:tabs>
        <w:snapToGrid w:val="0"/>
        <w:spacing w:line="240" w:lineRule="auto"/>
        <w:ind w:firstLine="56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服务费支付方式： </w:t>
      </w:r>
    </w:p>
    <w:p>
      <w:pPr>
        <w:numPr>
          <w:ilvl w:val="0"/>
          <w:numId w:val="5"/>
        </w:numPr>
        <w:snapToGrid w:val="0"/>
        <w:spacing w:line="24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知识产权</w:t>
      </w:r>
    </w:p>
    <w:p>
      <w:pPr>
        <w:tabs>
          <w:tab w:val="left" w:pos="1440"/>
        </w:tabs>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乙方应保证所提供的服务或其任何一部分均不会侵犯任何第三方的专利权、商标权或著作权。</w:t>
      </w:r>
    </w:p>
    <w:p>
      <w:pPr>
        <w:numPr>
          <w:ilvl w:val="0"/>
          <w:numId w:val="5"/>
        </w:numPr>
        <w:snapToGrid w:val="0"/>
        <w:spacing w:line="24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无产权瑕疵条款</w:t>
      </w:r>
    </w:p>
    <w:p>
      <w:pPr>
        <w:tabs>
          <w:tab w:val="left" w:pos="1440"/>
        </w:tabs>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乙方保证所提供的服务的所有权完全属于乙方且无任何抵押、查封等产权瑕疵。如有产权瑕疵的，视为乙方违约。乙方应负担由此而产生的一切损失。</w:t>
      </w:r>
    </w:p>
    <w:p>
      <w:pPr>
        <w:numPr>
          <w:ilvl w:val="0"/>
          <w:numId w:val="5"/>
        </w:numPr>
        <w:snapToGrid w:val="0"/>
        <w:spacing w:line="24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甲方的权利和义务</w:t>
      </w:r>
    </w:p>
    <w:p>
      <w:pPr>
        <w:adjustRightInd w:val="0"/>
        <w:snapToGrid w:val="0"/>
        <w:spacing w:line="240" w:lineRule="auto"/>
        <w:ind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1、甲方有权对合同规定范围内乙方的服务行为进行监督和检查，拥有监管权。有权定期核对乙方提供服务所配备的人员数量。对甲方认为不合理的部分有权下达整改通知书，并要求乙方限期整改。</w:t>
      </w:r>
    </w:p>
    <w:p>
      <w:pPr>
        <w:adjustRightInd w:val="0"/>
        <w:snapToGrid w:val="0"/>
        <w:spacing w:line="240" w:lineRule="auto"/>
        <w:ind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2、甲方有权依据双方签订的考评办法对乙方提供的服务进行定期考评。</w:t>
      </w:r>
    </w:p>
    <w:p>
      <w:pPr>
        <w:adjustRightInd w:val="0"/>
        <w:snapToGrid w:val="0"/>
        <w:spacing w:line="240" w:lineRule="auto"/>
        <w:ind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3、负责检查监督乙方管理工作的实施及制度的执行情况。</w:t>
      </w:r>
    </w:p>
    <w:p>
      <w:pPr>
        <w:adjustRightInd w:val="0"/>
        <w:snapToGrid w:val="0"/>
        <w:spacing w:line="240" w:lineRule="auto"/>
        <w:ind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4、根据本合同规定，按时向乙方支付应付服务费用。</w:t>
      </w:r>
    </w:p>
    <w:p>
      <w:pPr>
        <w:adjustRightInd w:val="0"/>
        <w:snapToGrid w:val="0"/>
        <w:spacing w:line="240" w:lineRule="auto"/>
        <w:ind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5、国家法律、法规所规定由甲方承担的其它责任。</w:t>
      </w:r>
    </w:p>
    <w:p>
      <w:pPr>
        <w:numPr>
          <w:ilvl w:val="0"/>
          <w:numId w:val="5"/>
        </w:numPr>
        <w:snapToGrid w:val="0"/>
        <w:spacing w:line="24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乙方的权利和义务</w:t>
      </w:r>
    </w:p>
    <w:p>
      <w:pPr>
        <w:adjustRightInd w:val="0"/>
        <w:snapToGrid w:val="0"/>
        <w:spacing w:line="240" w:lineRule="auto"/>
        <w:ind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1、对本合同规定的委托服务范围内的项目享有管理权及服务义务。</w:t>
      </w:r>
    </w:p>
    <w:p>
      <w:pPr>
        <w:adjustRightInd w:val="0"/>
        <w:snapToGrid w:val="0"/>
        <w:spacing w:line="240" w:lineRule="auto"/>
        <w:ind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2、根据本合同的规定向甲方收取相关服务费用，并有权在本项目管理范围内管理及合理使用。</w:t>
      </w:r>
    </w:p>
    <w:p>
      <w:pPr>
        <w:adjustRightInd w:val="0"/>
        <w:snapToGrid w:val="0"/>
        <w:spacing w:line="240" w:lineRule="auto"/>
        <w:ind w:firstLine="480" w:firstLineChars="200"/>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3、及时向甲方通告本项目服务范围内有关服务的重大事项，及时配合处理投诉。</w:t>
      </w:r>
    </w:p>
    <w:p>
      <w:pPr>
        <w:adjustRightInd w:val="0"/>
        <w:snapToGrid w:val="0"/>
        <w:spacing w:line="240" w:lineRule="auto"/>
        <w:ind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bCs/>
          <w:color w:val="auto"/>
          <w:sz w:val="24"/>
          <w:szCs w:val="24"/>
          <w:highlight w:val="none"/>
        </w:rPr>
        <w:t>接受项目行业管理部门及政府有关部门的指导，接受甲方的监督。</w:t>
      </w:r>
    </w:p>
    <w:p>
      <w:pPr>
        <w:adjustRightInd w:val="0"/>
        <w:snapToGrid w:val="0"/>
        <w:spacing w:line="240" w:lineRule="auto"/>
        <w:ind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5、国家法律、法规所规定由乙方承担的其它责任。</w:t>
      </w:r>
    </w:p>
    <w:p>
      <w:pPr>
        <w:numPr>
          <w:ilvl w:val="0"/>
          <w:numId w:val="5"/>
        </w:numPr>
        <w:snapToGrid w:val="0"/>
        <w:spacing w:line="24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违约责任</w:t>
      </w:r>
    </w:p>
    <w:p>
      <w:pPr>
        <w:adjustRightInd w:val="0"/>
        <w:snapToGrid w:val="0"/>
        <w:spacing w:line="240" w:lineRule="auto"/>
        <w:ind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1、甲乙双方必须遵守本合同并执行合同中的各项规定，保证本合同的正常履行。</w:t>
      </w:r>
    </w:p>
    <w:p>
      <w:pPr>
        <w:adjustRightInd w:val="0"/>
        <w:snapToGrid w:val="0"/>
        <w:spacing w:line="240" w:lineRule="auto"/>
        <w:ind w:firstLine="480" w:firstLineChars="200"/>
        <w:jc w:val="left"/>
        <w:textAlignment w:val="baseline"/>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numPr>
          <w:ilvl w:val="0"/>
          <w:numId w:val="5"/>
        </w:numPr>
        <w:snapToGrid w:val="0"/>
        <w:spacing w:line="24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不可抗力事件处理</w:t>
      </w:r>
    </w:p>
    <w:p>
      <w:pPr>
        <w:tabs>
          <w:tab w:val="left" w:pos="0"/>
        </w:tabs>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1、在合同有效期内，任何一方因不可抗力事件导致不能履行合同，则合同履行期可延长，其延长期与不可抗力影响期相同。</w:t>
      </w:r>
    </w:p>
    <w:p>
      <w:pPr>
        <w:tabs>
          <w:tab w:val="left" w:pos="0"/>
        </w:tabs>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2、不可抗力事件发生后，应立即通知对方，并寄送有关权威机构出具的证明。</w:t>
      </w:r>
    </w:p>
    <w:p>
      <w:pPr>
        <w:tabs>
          <w:tab w:val="left" w:pos="0"/>
        </w:tabs>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3、不可抗力事件延续XX天以上，双方应通过友好协商，确定是否继续履行合同。</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Pr>
        <w:numPr>
          <w:ilvl w:val="0"/>
          <w:numId w:val="5"/>
        </w:numPr>
        <w:snapToGrid w:val="0"/>
        <w:spacing w:line="240" w:lineRule="auto"/>
        <w:rPr>
          <w:rFonts w:hint="eastAsia" w:ascii="宋体" w:hAnsi="宋体" w:eastAsia="宋体" w:cs="宋体"/>
          <w:b/>
          <w:color w:val="auto"/>
          <w:sz w:val="24"/>
          <w:szCs w:val="24"/>
          <w:highlight w:val="none"/>
        </w:rPr>
      </w:pPr>
      <w:bookmarkStart w:id="64" w:name="_Toc241833908"/>
      <w:bookmarkStart w:id="65" w:name="_Toc225670756"/>
      <w:bookmarkStart w:id="66" w:name="_Toc211911353"/>
      <w:bookmarkStart w:id="67" w:name="_Toc232492933"/>
      <w:bookmarkStart w:id="68" w:name="_Toc225654649"/>
      <w:bookmarkStart w:id="69" w:name="_Toc251768867"/>
      <w:bookmarkStart w:id="70" w:name="_Toc185395254"/>
      <w:bookmarkStart w:id="71" w:name="_Toc212019599"/>
      <w:bookmarkStart w:id="72" w:name="_Toc286993792"/>
      <w:bookmarkStart w:id="73" w:name="_Toc239233919"/>
      <w:bookmarkStart w:id="74" w:name="_Toc211854454"/>
      <w:bookmarkStart w:id="75" w:name="_Toc237145411"/>
      <w:bookmarkStart w:id="76" w:name="_Toc225244857"/>
      <w:bookmarkStart w:id="77" w:name="_Toc247334846"/>
      <w:bookmarkStart w:id="78" w:name="_Toc238984980"/>
      <w:bookmarkStart w:id="79" w:name="_Toc239568423"/>
      <w:r>
        <w:rPr>
          <w:rFonts w:hint="eastAsia" w:ascii="宋体" w:hAnsi="宋体" w:eastAsia="宋体" w:cs="宋体"/>
          <w:b/>
          <w:color w:val="auto"/>
          <w:sz w:val="24"/>
          <w:szCs w:val="24"/>
          <w:highlight w:val="none"/>
        </w:rPr>
        <w:t>解决合同纠纷的方式</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tabs>
          <w:tab w:val="left" w:pos="0"/>
        </w:tabs>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1、在执行本合同中发生的或与本合同有关的争端，双方应通过友好协商解决，经协商在XX天内不能达成协议时，应提交成都仲裁委员会仲裁。</w:t>
      </w:r>
    </w:p>
    <w:p>
      <w:pPr>
        <w:tabs>
          <w:tab w:val="left" w:pos="0"/>
        </w:tabs>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2、仲裁裁决应为最终决定，并对双方具有约束力。</w:t>
      </w:r>
    </w:p>
    <w:p>
      <w:pPr>
        <w:tabs>
          <w:tab w:val="left" w:pos="0"/>
        </w:tabs>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3、除另有裁决外，仲裁费应由败诉方负担。 </w:t>
      </w:r>
    </w:p>
    <w:p>
      <w:pPr>
        <w:tabs>
          <w:tab w:val="left" w:pos="0"/>
        </w:tabs>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4、在仲裁期间，除正在进行仲裁部分外，合同其他部分继续执行。  </w:t>
      </w:r>
    </w:p>
    <w:p>
      <w:pPr>
        <w:numPr>
          <w:ilvl w:val="0"/>
          <w:numId w:val="5"/>
        </w:numPr>
        <w:snapToGrid w:val="0"/>
        <w:spacing w:line="240" w:lineRule="auto"/>
        <w:rPr>
          <w:rFonts w:hint="eastAsia" w:ascii="宋体" w:hAnsi="宋体" w:eastAsia="宋体" w:cs="宋体"/>
          <w:b/>
          <w:color w:val="auto"/>
          <w:sz w:val="24"/>
          <w:szCs w:val="24"/>
          <w:highlight w:val="none"/>
        </w:rPr>
      </w:pPr>
      <w:bookmarkStart w:id="80" w:name="_Toc225654650"/>
      <w:bookmarkStart w:id="81" w:name="_Toc212019600"/>
      <w:bookmarkStart w:id="82" w:name="_Toc211911354"/>
      <w:bookmarkStart w:id="83" w:name="_Toc211854455"/>
      <w:bookmarkStart w:id="84" w:name="_Toc238984981"/>
      <w:bookmarkStart w:id="85" w:name="_Toc247334847"/>
      <w:bookmarkStart w:id="86" w:name="_Toc237145412"/>
      <w:bookmarkStart w:id="87" w:name="_Toc283019219"/>
      <w:bookmarkStart w:id="88" w:name="_Toc239568424"/>
      <w:bookmarkStart w:id="89" w:name="_Toc185395255"/>
      <w:bookmarkStart w:id="90" w:name="_Toc232492934"/>
      <w:bookmarkStart w:id="91" w:name="_Toc282696231"/>
      <w:bookmarkStart w:id="92" w:name="_Toc225244858"/>
      <w:bookmarkStart w:id="93" w:name="_Toc241833909"/>
      <w:bookmarkStart w:id="94" w:name="_Toc251768868"/>
      <w:bookmarkStart w:id="95" w:name="_Toc225670757"/>
      <w:bookmarkStart w:id="96" w:name="_Toc239233920"/>
      <w:bookmarkStart w:id="97" w:name="_Toc286993793"/>
      <w:r>
        <w:rPr>
          <w:rFonts w:hint="eastAsia" w:ascii="宋体" w:hAnsi="宋体" w:eastAsia="宋体" w:cs="宋体"/>
          <w:b/>
          <w:color w:val="auto"/>
          <w:sz w:val="24"/>
          <w:szCs w:val="24"/>
          <w:highlight w:val="none"/>
        </w:rPr>
        <w:t>合同</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Pr>
          <w:rFonts w:hint="eastAsia" w:ascii="宋体" w:hAnsi="宋体" w:eastAsia="宋体" w:cs="宋体"/>
          <w:b/>
          <w:color w:val="auto"/>
          <w:sz w:val="24"/>
          <w:szCs w:val="24"/>
          <w:highlight w:val="none"/>
        </w:rPr>
        <w:t>生效及其他</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1、合同经双方法定代表人或授权委托代理人签字并加盖单位公章后生效。</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2、合同执行中涉及采购资金和采购内容修改或补充的，须经政府采购监管部门审批，并签书面补充协议报政府采购监督管理部门备案，方可作为主合同不可分割的一部分。</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3、本合同一式XX份，自双方签章之日起起效。甲方XX份，乙方XX份，政府采购代理机构XX份，同级财政部门备案XX份，具有同等法律效力。</w:t>
      </w:r>
    </w:p>
    <w:p>
      <w:pPr>
        <w:numPr>
          <w:ilvl w:val="0"/>
          <w:numId w:val="5"/>
        </w:numPr>
        <w:snapToGrid w:val="0"/>
        <w:spacing w:line="24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附件</w:t>
      </w:r>
    </w:p>
    <w:p>
      <w:pPr>
        <w:snapToGrid w:val="0"/>
        <w:spacing w:line="24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1、项目</w:t>
      </w:r>
      <w:r>
        <w:rPr>
          <w:rFonts w:hint="eastAsia" w:ascii="宋体" w:hAnsi="宋体" w:eastAsia="宋体" w:cs="宋体"/>
          <w:color w:val="auto"/>
          <w:sz w:val="24"/>
          <w:szCs w:val="24"/>
          <w:highlight w:val="none"/>
          <w:lang w:eastAsia="zh-CN"/>
        </w:rPr>
        <w:t>磋商文件</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2、项目修改澄清文件</w:t>
      </w:r>
    </w:p>
    <w:p>
      <w:pPr>
        <w:snapToGrid w:val="0"/>
        <w:spacing w:line="24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3、项目</w:t>
      </w:r>
      <w:r>
        <w:rPr>
          <w:rFonts w:hint="eastAsia" w:ascii="宋体" w:hAnsi="宋体" w:eastAsia="宋体" w:cs="宋体"/>
          <w:color w:val="auto"/>
          <w:sz w:val="24"/>
          <w:szCs w:val="24"/>
          <w:highlight w:val="none"/>
          <w:lang w:eastAsia="zh-CN"/>
        </w:rPr>
        <w:t>响应文件</w:t>
      </w:r>
    </w:p>
    <w:p>
      <w:pPr>
        <w:snapToGrid w:val="0"/>
        <w:spacing w:line="24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成交通知书</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5、其他</w:t>
      </w:r>
    </w:p>
    <w:p>
      <w:pPr>
        <w:pStyle w:val="2"/>
        <w:rPr>
          <w:rFonts w:hint="eastAsia" w:ascii="宋体" w:hAnsi="宋体" w:eastAsia="宋体" w:cs="宋体"/>
          <w:color w:val="auto"/>
          <w:sz w:val="24"/>
          <w:szCs w:val="24"/>
          <w:highlight w:val="none"/>
        </w:rPr>
      </w:pP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   （盖章）</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乙方：（盖章）</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法定代表人（授权代表）：</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法定代表人（授权代表）：</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地址：</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开户银行：</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账号：</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电话：</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传真：</w:t>
      </w:r>
    </w:p>
    <w:p>
      <w:pPr>
        <w:snapToGrid w:val="0"/>
        <w:spacing w:line="24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签约日期：XX年XX月XX日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签约日期：XX年XX月XX日</w:t>
      </w:r>
    </w:p>
    <w:p>
      <w:pPr>
        <w:rPr>
          <w:color w:val="auto"/>
          <w:highlight w:val="none"/>
        </w:rPr>
      </w:pPr>
      <w:r>
        <w:rPr>
          <w:rFonts w:hint="eastAsia" w:ascii="仿宋" w:hAnsi="仿宋" w:eastAsia="仿宋"/>
          <w:color w:val="auto"/>
          <w:highlight w:val="none"/>
        </w:rPr>
        <w:br w:type="page"/>
      </w:r>
    </w:p>
    <w:p>
      <w:pPr>
        <w:pStyle w:val="3"/>
        <w:spacing w:before="0" w:after="0" w:line="360" w:lineRule="auto"/>
        <w:jc w:val="left"/>
        <w:rPr>
          <w:rFonts w:ascii="宋体" w:hAnsi="宋体"/>
          <w:color w:val="auto"/>
          <w:sz w:val="24"/>
          <w:szCs w:val="24"/>
          <w:highlight w:val="none"/>
        </w:rPr>
      </w:pPr>
      <w:bookmarkStart w:id="98" w:name="_Toc73912832"/>
      <w:r>
        <w:rPr>
          <w:rFonts w:hint="eastAsia" w:ascii="宋体" w:hAnsi="宋体"/>
          <w:color w:val="auto"/>
          <w:sz w:val="24"/>
          <w:szCs w:val="24"/>
          <w:highlight w:val="none"/>
        </w:rPr>
        <w:t>附件一：</w:t>
      </w:r>
      <w:bookmarkEnd w:id="98"/>
    </w:p>
    <w:tbl>
      <w:tblPr>
        <w:tblStyle w:val="30"/>
        <w:tblW w:w="10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7"/>
        <w:gridCol w:w="2735"/>
        <w:gridCol w:w="1902"/>
        <w:gridCol w:w="3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10220" w:type="dxa"/>
            <w:gridSpan w:val="4"/>
            <w:tcBorders>
              <w:top w:val="nil"/>
              <w:left w:val="nil"/>
              <w:bottom w:val="single" w:color="auto" w:sz="4" w:space="0"/>
              <w:right w:val="nil"/>
            </w:tcBorders>
          </w:tcPr>
          <w:p>
            <w:pPr>
              <w:pStyle w:val="29"/>
              <w:ind w:firstLine="0" w:firstLineChars="0"/>
              <w:jc w:val="center"/>
              <w:rPr>
                <w:b/>
                <w:bCs/>
                <w:color w:val="auto"/>
                <w:sz w:val="28"/>
                <w:szCs w:val="28"/>
                <w:highlight w:val="none"/>
              </w:rPr>
            </w:pPr>
            <w:r>
              <w:rPr>
                <w:rFonts w:hint="eastAsia"/>
                <w:b/>
                <w:bCs/>
                <w:color w:val="auto"/>
                <w:sz w:val="32"/>
                <w:szCs w:val="32"/>
                <w:highlight w:val="none"/>
              </w:rPr>
              <w:t>报名登记表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0220" w:type="dxa"/>
            <w:gridSpan w:val="4"/>
            <w:tcBorders>
              <w:top w:val="single" w:color="auto" w:sz="4" w:space="0"/>
              <w:left w:val="single" w:color="auto" w:sz="4" w:space="0"/>
              <w:bottom w:val="single" w:color="auto" w:sz="4" w:space="0"/>
              <w:right w:val="single" w:color="auto" w:sz="4" w:space="0"/>
            </w:tcBorders>
            <w:vAlign w:val="center"/>
          </w:tcPr>
          <w:p>
            <w:pPr>
              <w:pStyle w:val="29"/>
              <w:ind w:firstLine="0" w:firstLineChars="0"/>
              <w:rPr>
                <w:b/>
                <w:bCs/>
                <w:color w:val="auto"/>
                <w:sz w:val="22"/>
                <w:szCs w:val="22"/>
                <w:highlight w:val="none"/>
              </w:rPr>
            </w:pPr>
            <w:r>
              <w:rPr>
                <w:rFonts w:hint="eastAsia"/>
                <w:b/>
                <w:bCs/>
                <w:color w:val="auto"/>
                <w:sz w:val="22"/>
                <w:szCs w:val="22"/>
                <w:highlight w:val="none"/>
              </w:rPr>
              <w:t>项目名称：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10220" w:type="dxa"/>
            <w:gridSpan w:val="4"/>
            <w:tcBorders>
              <w:top w:val="single" w:color="auto" w:sz="4" w:space="0"/>
              <w:left w:val="single" w:color="auto" w:sz="4" w:space="0"/>
              <w:bottom w:val="single" w:color="auto" w:sz="4" w:space="0"/>
              <w:right w:val="single" w:color="auto" w:sz="4" w:space="0"/>
            </w:tcBorders>
            <w:vAlign w:val="center"/>
          </w:tcPr>
          <w:p>
            <w:pPr>
              <w:pStyle w:val="29"/>
              <w:ind w:firstLine="0" w:firstLineChars="0"/>
              <w:rPr>
                <w:b/>
                <w:bCs/>
                <w:color w:val="auto"/>
                <w:sz w:val="22"/>
                <w:szCs w:val="22"/>
                <w:highlight w:val="none"/>
              </w:rPr>
            </w:pPr>
            <w:r>
              <w:rPr>
                <w:rFonts w:hint="eastAsia"/>
                <w:b/>
                <w:bCs/>
                <w:color w:val="auto"/>
                <w:sz w:val="22"/>
                <w:szCs w:val="22"/>
                <w:highlight w:val="none"/>
              </w:rPr>
              <w:t>采购编号：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0220" w:type="dxa"/>
            <w:gridSpan w:val="4"/>
            <w:tcBorders>
              <w:top w:val="single" w:color="auto" w:sz="4" w:space="0"/>
              <w:left w:val="single" w:color="auto" w:sz="4" w:space="0"/>
              <w:bottom w:val="single" w:color="auto" w:sz="4" w:space="0"/>
              <w:right w:val="single" w:color="auto" w:sz="4" w:space="0"/>
            </w:tcBorders>
            <w:vAlign w:val="center"/>
          </w:tcPr>
          <w:p>
            <w:pPr>
              <w:pStyle w:val="29"/>
              <w:ind w:firstLine="0" w:firstLineChars="0"/>
              <w:rPr>
                <w:b/>
                <w:bCs/>
                <w:color w:val="auto"/>
                <w:sz w:val="22"/>
                <w:szCs w:val="22"/>
                <w:highlight w:val="none"/>
              </w:rPr>
            </w:pPr>
            <w:r>
              <w:rPr>
                <w:rFonts w:hint="eastAsia"/>
                <w:b/>
                <w:bCs/>
                <w:color w:val="auto"/>
                <w:sz w:val="22"/>
                <w:szCs w:val="22"/>
                <w:highlight w:val="none"/>
              </w:rPr>
              <w:t>报名单位名称：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10220" w:type="dxa"/>
            <w:gridSpan w:val="4"/>
            <w:tcBorders>
              <w:top w:val="single" w:color="auto" w:sz="4" w:space="0"/>
              <w:left w:val="single" w:color="auto" w:sz="4" w:space="0"/>
              <w:bottom w:val="single" w:color="auto" w:sz="4" w:space="0"/>
              <w:right w:val="single" w:color="auto" w:sz="4" w:space="0"/>
            </w:tcBorders>
            <w:vAlign w:val="center"/>
          </w:tcPr>
          <w:p>
            <w:pPr>
              <w:pStyle w:val="29"/>
              <w:ind w:firstLine="0" w:firstLineChars="0"/>
              <w:rPr>
                <w:b/>
                <w:bCs/>
                <w:color w:val="auto"/>
                <w:sz w:val="22"/>
                <w:szCs w:val="22"/>
                <w:highlight w:val="none"/>
              </w:rPr>
            </w:pPr>
            <w:r>
              <w:rPr>
                <w:rFonts w:hint="eastAsia"/>
                <w:b/>
                <w:bCs/>
                <w:color w:val="auto"/>
                <w:sz w:val="22"/>
                <w:szCs w:val="22"/>
                <w:highlight w:val="none"/>
              </w:rPr>
              <w:t>报名单位地址：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2037" w:type="dxa"/>
            <w:vMerge w:val="restart"/>
            <w:tcBorders>
              <w:top w:val="nil"/>
              <w:left w:val="single" w:color="auto" w:sz="4" w:space="0"/>
              <w:bottom w:val="single" w:color="auto" w:sz="4" w:space="0"/>
              <w:right w:val="single" w:color="auto" w:sz="4" w:space="0"/>
            </w:tcBorders>
          </w:tcPr>
          <w:p>
            <w:pPr>
              <w:pStyle w:val="29"/>
              <w:ind w:firstLine="0" w:firstLineChars="0"/>
              <w:jc w:val="center"/>
              <w:rPr>
                <w:b/>
                <w:bCs/>
                <w:color w:val="auto"/>
                <w:sz w:val="22"/>
                <w:szCs w:val="22"/>
                <w:highlight w:val="none"/>
              </w:rPr>
            </w:pPr>
          </w:p>
          <w:p>
            <w:pPr>
              <w:pStyle w:val="29"/>
              <w:ind w:firstLine="0" w:firstLineChars="0"/>
              <w:jc w:val="center"/>
              <w:rPr>
                <w:b/>
                <w:bCs/>
                <w:color w:val="auto"/>
                <w:sz w:val="22"/>
                <w:szCs w:val="22"/>
                <w:highlight w:val="none"/>
              </w:rPr>
            </w:pPr>
          </w:p>
          <w:p>
            <w:pPr>
              <w:pStyle w:val="29"/>
              <w:ind w:firstLine="0" w:firstLineChars="0"/>
              <w:jc w:val="center"/>
              <w:rPr>
                <w:b/>
                <w:bCs/>
                <w:color w:val="auto"/>
                <w:sz w:val="22"/>
                <w:szCs w:val="22"/>
                <w:highlight w:val="none"/>
              </w:rPr>
            </w:pPr>
          </w:p>
          <w:p>
            <w:pPr>
              <w:pStyle w:val="29"/>
              <w:ind w:firstLine="0" w:firstLineChars="0"/>
              <w:jc w:val="center"/>
              <w:rPr>
                <w:b/>
                <w:bCs/>
                <w:color w:val="auto"/>
                <w:sz w:val="22"/>
                <w:szCs w:val="22"/>
                <w:highlight w:val="none"/>
              </w:rPr>
            </w:pPr>
            <w:r>
              <w:rPr>
                <w:rFonts w:hint="eastAsia"/>
                <w:b/>
                <w:bCs/>
                <w:color w:val="auto"/>
                <w:sz w:val="22"/>
                <w:szCs w:val="22"/>
                <w:highlight w:val="none"/>
              </w:rPr>
              <w:t>报名单位联系方式</w:t>
            </w:r>
          </w:p>
        </w:tc>
        <w:tc>
          <w:tcPr>
            <w:tcW w:w="2735" w:type="dxa"/>
            <w:tcBorders>
              <w:top w:val="single" w:color="auto" w:sz="4" w:space="0"/>
              <w:left w:val="nil"/>
              <w:bottom w:val="single" w:color="auto" w:sz="4" w:space="0"/>
              <w:right w:val="single" w:color="auto" w:sz="4" w:space="0"/>
            </w:tcBorders>
          </w:tcPr>
          <w:p>
            <w:pPr>
              <w:pStyle w:val="29"/>
              <w:ind w:firstLine="0" w:firstLineChars="0"/>
              <w:rPr>
                <w:b/>
                <w:bCs/>
                <w:color w:val="auto"/>
                <w:sz w:val="22"/>
                <w:szCs w:val="22"/>
                <w:highlight w:val="none"/>
              </w:rPr>
            </w:pPr>
            <w:r>
              <w:rPr>
                <w:rFonts w:hint="eastAsia"/>
                <w:b/>
                <w:bCs/>
                <w:color w:val="auto"/>
                <w:sz w:val="22"/>
                <w:szCs w:val="22"/>
                <w:highlight w:val="none"/>
              </w:rPr>
              <w:t>联系人：</w:t>
            </w:r>
          </w:p>
        </w:tc>
        <w:tc>
          <w:tcPr>
            <w:tcW w:w="1902" w:type="dxa"/>
            <w:vMerge w:val="restart"/>
            <w:tcBorders>
              <w:top w:val="single" w:color="auto" w:sz="4" w:space="0"/>
              <w:left w:val="nil"/>
              <w:bottom w:val="single" w:color="auto" w:sz="4" w:space="0"/>
              <w:right w:val="single" w:color="auto" w:sz="4" w:space="0"/>
            </w:tcBorders>
          </w:tcPr>
          <w:p>
            <w:pPr>
              <w:pStyle w:val="29"/>
              <w:ind w:firstLine="0" w:firstLineChars="0"/>
              <w:rPr>
                <w:b/>
                <w:bCs/>
                <w:color w:val="auto"/>
                <w:sz w:val="22"/>
                <w:szCs w:val="22"/>
                <w:highlight w:val="none"/>
              </w:rPr>
            </w:pPr>
          </w:p>
          <w:p>
            <w:pPr>
              <w:pStyle w:val="29"/>
              <w:ind w:firstLine="0" w:firstLineChars="0"/>
              <w:rPr>
                <w:b/>
                <w:bCs/>
                <w:color w:val="auto"/>
                <w:sz w:val="22"/>
                <w:szCs w:val="22"/>
                <w:highlight w:val="none"/>
              </w:rPr>
            </w:pPr>
          </w:p>
          <w:p>
            <w:pPr>
              <w:pStyle w:val="29"/>
              <w:ind w:firstLine="0" w:firstLineChars="0"/>
              <w:rPr>
                <w:b/>
                <w:bCs/>
                <w:color w:val="auto"/>
                <w:sz w:val="22"/>
                <w:szCs w:val="22"/>
                <w:highlight w:val="none"/>
              </w:rPr>
            </w:pPr>
          </w:p>
          <w:p>
            <w:pPr>
              <w:pStyle w:val="29"/>
              <w:ind w:firstLine="0" w:firstLineChars="0"/>
              <w:jc w:val="center"/>
              <w:rPr>
                <w:b/>
                <w:bCs/>
                <w:color w:val="auto"/>
                <w:sz w:val="22"/>
                <w:szCs w:val="22"/>
                <w:highlight w:val="none"/>
              </w:rPr>
            </w:pPr>
            <w:r>
              <w:rPr>
                <w:rFonts w:hint="eastAsia"/>
                <w:b/>
                <w:bCs/>
                <w:color w:val="auto"/>
                <w:sz w:val="22"/>
                <w:szCs w:val="22"/>
                <w:highlight w:val="none"/>
              </w:rPr>
              <w:t>报名相关资料及时间</w:t>
            </w:r>
          </w:p>
        </w:tc>
        <w:tc>
          <w:tcPr>
            <w:tcW w:w="3546" w:type="dxa"/>
            <w:tcBorders>
              <w:top w:val="single" w:color="auto" w:sz="4" w:space="0"/>
              <w:left w:val="nil"/>
              <w:bottom w:val="single" w:color="auto" w:sz="4" w:space="0"/>
              <w:right w:val="single" w:color="auto" w:sz="4" w:space="0"/>
            </w:tcBorders>
          </w:tcPr>
          <w:p>
            <w:pPr>
              <w:pStyle w:val="29"/>
              <w:spacing w:line="273" w:lineRule="auto"/>
              <w:ind w:firstLine="0" w:firstLineChars="0"/>
              <w:rPr>
                <w:b/>
                <w:bCs/>
                <w:color w:val="auto"/>
                <w:sz w:val="22"/>
                <w:szCs w:val="22"/>
                <w:highlight w:val="none"/>
              </w:rPr>
            </w:pPr>
            <w:r>
              <w:rPr>
                <w:rFonts w:hint="eastAsia"/>
                <w:b/>
                <w:bCs/>
                <w:color w:val="auto"/>
                <w:sz w:val="22"/>
                <w:szCs w:val="22"/>
                <w:highlight w:val="none"/>
              </w:rPr>
              <w:t>介绍信：</w:t>
            </w:r>
          </w:p>
          <w:p>
            <w:pPr>
              <w:pStyle w:val="29"/>
              <w:spacing w:line="273" w:lineRule="auto"/>
              <w:ind w:firstLine="0" w:firstLineChars="0"/>
              <w:rPr>
                <w:b/>
                <w:bCs/>
                <w:color w:val="auto"/>
                <w:sz w:val="22"/>
                <w:szCs w:val="22"/>
                <w:highlight w:val="none"/>
              </w:rPr>
            </w:pPr>
            <w:r>
              <w:rPr>
                <w:rFonts w:hint="eastAsia"/>
                <w:b/>
                <w:bCs/>
                <w:color w:val="auto"/>
                <w:sz w:val="22"/>
                <w:szCs w:val="22"/>
                <w:highlight w:val="none"/>
              </w:rPr>
              <w:t xml:space="preserve">原件 </w:t>
            </w:r>
            <w:r>
              <w:rPr>
                <w:rFonts w:hint="eastAsia" w:ascii="宋体" w:hAnsi="宋体"/>
                <w:b/>
                <w:bCs/>
                <w:color w:val="auto"/>
                <w:sz w:val="22"/>
                <w:szCs w:val="22"/>
                <w:highlight w:val="none"/>
              </w:rPr>
              <w:t>□</w:t>
            </w:r>
            <w:r>
              <w:rPr>
                <w:rFonts w:hint="eastAsia"/>
                <w:b/>
                <w:bCs/>
                <w:color w:val="auto"/>
                <w:sz w:val="22"/>
                <w:szCs w:val="22"/>
                <w:highlight w:val="none"/>
              </w:rPr>
              <w:t xml:space="preserve">      复印件 </w:t>
            </w:r>
            <w:r>
              <w:rPr>
                <w:rFonts w:hint="eastAsia" w:ascii="宋体" w:hAnsi="宋体"/>
                <w:b/>
                <w:bCs/>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2037" w:type="dxa"/>
            <w:vMerge w:val="continue"/>
            <w:tcBorders>
              <w:top w:val="nil"/>
              <w:left w:val="single" w:color="auto" w:sz="4" w:space="0"/>
              <w:bottom w:val="single" w:color="auto" w:sz="4" w:space="0"/>
              <w:right w:val="single" w:color="auto" w:sz="4" w:space="0"/>
            </w:tcBorders>
            <w:vAlign w:val="center"/>
          </w:tcPr>
          <w:p>
            <w:pPr>
              <w:widowControl/>
              <w:jc w:val="left"/>
              <w:rPr>
                <w:b/>
                <w:bCs/>
                <w:color w:val="auto"/>
                <w:sz w:val="22"/>
                <w:szCs w:val="22"/>
                <w:highlight w:val="none"/>
              </w:rPr>
            </w:pPr>
          </w:p>
        </w:tc>
        <w:tc>
          <w:tcPr>
            <w:tcW w:w="2735" w:type="dxa"/>
            <w:tcBorders>
              <w:top w:val="single" w:color="auto" w:sz="4" w:space="0"/>
              <w:left w:val="nil"/>
              <w:bottom w:val="single" w:color="auto" w:sz="4" w:space="0"/>
              <w:right w:val="single" w:color="auto" w:sz="4" w:space="0"/>
            </w:tcBorders>
          </w:tcPr>
          <w:p>
            <w:pPr>
              <w:pStyle w:val="29"/>
              <w:ind w:firstLine="0" w:firstLineChars="0"/>
              <w:rPr>
                <w:b/>
                <w:bCs/>
                <w:color w:val="auto"/>
                <w:sz w:val="22"/>
                <w:szCs w:val="22"/>
                <w:highlight w:val="none"/>
              </w:rPr>
            </w:pPr>
            <w:r>
              <w:rPr>
                <w:rFonts w:hint="eastAsia"/>
                <w:b/>
                <w:bCs/>
                <w:color w:val="auto"/>
                <w:sz w:val="22"/>
                <w:szCs w:val="22"/>
                <w:highlight w:val="none"/>
              </w:rPr>
              <w:t>联系邮箱：</w:t>
            </w:r>
          </w:p>
        </w:tc>
        <w:tc>
          <w:tcPr>
            <w:tcW w:w="0" w:type="auto"/>
            <w:vMerge w:val="continue"/>
            <w:tcBorders>
              <w:top w:val="single" w:color="auto" w:sz="4" w:space="0"/>
              <w:left w:val="nil"/>
              <w:bottom w:val="single" w:color="auto" w:sz="4" w:space="0"/>
              <w:right w:val="single" w:color="auto" w:sz="4" w:space="0"/>
            </w:tcBorders>
            <w:vAlign w:val="center"/>
          </w:tcPr>
          <w:p>
            <w:pPr>
              <w:widowControl/>
              <w:jc w:val="left"/>
              <w:rPr>
                <w:b/>
                <w:bCs/>
                <w:color w:val="auto"/>
                <w:sz w:val="22"/>
                <w:szCs w:val="22"/>
                <w:highlight w:val="none"/>
              </w:rPr>
            </w:pPr>
          </w:p>
        </w:tc>
        <w:tc>
          <w:tcPr>
            <w:tcW w:w="3546" w:type="dxa"/>
            <w:tcBorders>
              <w:top w:val="single" w:color="auto" w:sz="4" w:space="0"/>
              <w:left w:val="nil"/>
              <w:bottom w:val="single" w:color="auto" w:sz="4" w:space="0"/>
              <w:right w:val="single" w:color="auto" w:sz="4" w:space="0"/>
            </w:tcBorders>
          </w:tcPr>
          <w:p>
            <w:pPr>
              <w:pStyle w:val="29"/>
              <w:spacing w:line="273" w:lineRule="auto"/>
              <w:ind w:firstLine="0" w:firstLineChars="0"/>
              <w:rPr>
                <w:b/>
                <w:bCs/>
                <w:color w:val="auto"/>
                <w:sz w:val="22"/>
                <w:szCs w:val="22"/>
                <w:highlight w:val="none"/>
              </w:rPr>
            </w:pPr>
            <w:r>
              <w:rPr>
                <w:rFonts w:hint="eastAsia"/>
                <w:b/>
                <w:bCs/>
                <w:color w:val="auto"/>
                <w:sz w:val="22"/>
                <w:szCs w:val="22"/>
                <w:highlight w:val="none"/>
              </w:rPr>
              <w:t>经办人身份证：</w:t>
            </w:r>
          </w:p>
          <w:p>
            <w:pPr>
              <w:pStyle w:val="29"/>
              <w:spacing w:line="273" w:lineRule="auto"/>
              <w:ind w:firstLine="0" w:firstLineChars="0"/>
              <w:rPr>
                <w:b/>
                <w:bCs/>
                <w:color w:val="auto"/>
                <w:sz w:val="22"/>
                <w:szCs w:val="22"/>
                <w:highlight w:val="none"/>
              </w:rPr>
            </w:pPr>
            <w:r>
              <w:rPr>
                <w:rFonts w:hint="eastAsia"/>
                <w:b/>
                <w:bCs/>
                <w:color w:val="auto"/>
                <w:sz w:val="22"/>
                <w:szCs w:val="22"/>
                <w:highlight w:val="none"/>
              </w:rPr>
              <w:t xml:space="preserve">原件 </w:t>
            </w:r>
            <w:r>
              <w:rPr>
                <w:rFonts w:hint="eastAsia" w:ascii="宋体" w:hAnsi="宋体"/>
                <w:b/>
                <w:bCs/>
                <w:color w:val="auto"/>
                <w:sz w:val="22"/>
                <w:szCs w:val="22"/>
                <w:highlight w:val="none"/>
              </w:rPr>
              <w:t>□</w:t>
            </w:r>
            <w:r>
              <w:rPr>
                <w:rFonts w:hint="eastAsia"/>
                <w:b/>
                <w:bCs/>
                <w:color w:val="auto"/>
                <w:sz w:val="22"/>
                <w:szCs w:val="22"/>
                <w:highlight w:val="none"/>
              </w:rPr>
              <w:t xml:space="preserve">      复印件 </w:t>
            </w:r>
            <w:r>
              <w:rPr>
                <w:rFonts w:hint="eastAsia" w:ascii="宋体" w:hAnsi="宋体"/>
                <w:b/>
                <w:bCs/>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jc w:val="center"/>
        </w:trPr>
        <w:tc>
          <w:tcPr>
            <w:tcW w:w="2037" w:type="dxa"/>
            <w:vMerge w:val="continue"/>
            <w:tcBorders>
              <w:top w:val="nil"/>
              <w:left w:val="single" w:color="auto" w:sz="4" w:space="0"/>
              <w:bottom w:val="single" w:color="auto" w:sz="4" w:space="0"/>
              <w:right w:val="single" w:color="auto" w:sz="4" w:space="0"/>
            </w:tcBorders>
            <w:vAlign w:val="center"/>
          </w:tcPr>
          <w:p>
            <w:pPr>
              <w:widowControl/>
              <w:jc w:val="left"/>
              <w:rPr>
                <w:b/>
                <w:bCs/>
                <w:color w:val="auto"/>
                <w:sz w:val="22"/>
                <w:szCs w:val="22"/>
                <w:highlight w:val="none"/>
              </w:rPr>
            </w:pPr>
          </w:p>
        </w:tc>
        <w:tc>
          <w:tcPr>
            <w:tcW w:w="2735" w:type="dxa"/>
            <w:tcBorders>
              <w:top w:val="single" w:color="auto" w:sz="4" w:space="0"/>
              <w:left w:val="nil"/>
              <w:bottom w:val="single" w:color="auto" w:sz="4" w:space="0"/>
              <w:right w:val="single" w:color="auto" w:sz="4" w:space="0"/>
            </w:tcBorders>
          </w:tcPr>
          <w:p>
            <w:pPr>
              <w:pStyle w:val="29"/>
              <w:ind w:firstLine="0" w:firstLineChars="0"/>
              <w:rPr>
                <w:b/>
                <w:bCs/>
                <w:color w:val="auto"/>
                <w:sz w:val="22"/>
                <w:szCs w:val="22"/>
                <w:highlight w:val="none"/>
              </w:rPr>
            </w:pPr>
            <w:r>
              <w:rPr>
                <w:rFonts w:hint="eastAsia"/>
                <w:b/>
                <w:bCs/>
                <w:color w:val="auto"/>
                <w:sz w:val="22"/>
                <w:szCs w:val="22"/>
                <w:highlight w:val="none"/>
              </w:rPr>
              <w:t>联系电话：</w:t>
            </w:r>
          </w:p>
        </w:tc>
        <w:tc>
          <w:tcPr>
            <w:tcW w:w="0" w:type="auto"/>
            <w:vMerge w:val="continue"/>
            <w:tcBorders>
              <w:top w:val="single" w:color="auto" w:sz="4" w:space="0"/>
              <w:left w:val="nil"/>
              <w:bottom w:val="single" w:color="auto" w:sz="4" w:space="0"/>
              <w:right w:val="single" w:color="auto" w:sz="4" w:space="0"/>
            </w:tcBorders>
            <w:vAlign w:val="center"/>
          </w:tcPr>
          <w:p>
            <w:pPr>
              <w:widowControl/>
              <w:jc w:val="left"/>
              <w:rPr>
                <w:b/>
                <w:bCs/>
                <w:color w:val="auto"/>
                <w:sz w:val="22"/>
                <w:szCs w:val="22"/>
                <w:highlight w:val="none"/>
              </w:rPr>
            </w:pPr>
          </w:p>
        </w:tc>
        <w:tc>
          <w:tcPr>
            <w:tcW w:w="3546" w:type="dxa"/>
            <w:tcBorders>
              <w:top w:val="single" w:color="auto" w:sz="4" w:space="0"/>
              <w:left w:val="nil"/>
              <w:bottom w:val="single" w:color="auto" w:sz="4" w:space="0"/>
              <w:right w:val="single" w:color="auto" w:sz="4" w:space="0"/>
            </w:tcBorders>
          </w:tcPr>
          <w:p>
            <w:pPr>
              <w:pStyle w:val="29"/>
              <w:spacing w:line="273" w:lineRule="auto"/>
              <w:ind w:firstLine="0" w:firstLineChars="0"/>
              <w:rPr>
                <w:b/>
                <w:bCs/>
                <w:color w:val="auto"/>
                <w:sz w:val="22"/>
                <w:szCs w:val="22"/>
                <w:highlight w:val="none"/>
              </w:rPr>
            </w:pPr>
            <w:r>
              <w:rPr>
                <w:rFonts w:hint="eastAsia"/>
                <w:b/>
                <w:bCs/>
                <w:color w:val="auto"/>
                <w:sz w:val="22"/>
                <w:szCs w:val="22"/>
                <w:highlight w:val="none"/>
              </w:rPr>
              <w:t>报名时间：</w:t>
            </w:r>
          </w:p>
          <w:p>
            <w:pPr>
              <w:pStyle w:val="29"/>
              <w:spacing w:line="273" w:lineRule="auto"/>
              <w:ind w:firstLine="0" w:firstLineChars="0"/>
              <w:rPr>
                <w:b/>
                <w:bCs/>
                <w:color w:val="auto"/>
                <w:sz w:val="22"/>
                <w:szCs w:val="22"/>
                <w:highlight w:val="none"/>
                <w:u w:val="single"/>
              </w:rPr>
            </w:pPr>
            <w:r>
              <w:rPr>
                <w:rFonts w:hint="eastAsia" w:ascii="宋体" w:hAnsi="宋体"/>
                <w:b/>
                <w:bCs/>
                <w:color w:val="auto"/>
                <w:sz w:val="22"/>
                <w:szCs w:val="22"/>
                <w:highlight w:val="none"/>
                <w:u w:val="single"/>
              </w:rPr>
              <w:t xml:space="preserve">2021 </w:t>
            </w:r>
            <w:r>
              <w:rPr>
                <w:rFonts w:hint="eastAsia"/>
                <w:b/>
                <w:bCs/>
                <w:color w:val="auto"/>
                <w:sz w:val="22"/>
                <w:szCs w:val="22"/>
                <w:highlight w:val="none"/>
              </w:rPr>
              <w:t>年</w:t>
            </w:r>
            <w:r>
              <w:rPr>
                <w:rFonts w:hint="eastAsia"/>
                <w:b/>
                <w:bCs/>
                <w:color w:val="auto"/>
                <w:sz w:val="22"/>
                <w:szCs w:val="22"/>
                <w:highlight w:val="none"/>
                <w:u w:val="single"/>
              </w:rPr>
              <w:t xml:space="preserve">     </w:t>
            </w:r>
            <w:r>
              <w:rPr>
                <w:rFonts w:hint="eastAsia"/>
                <w:b/>
                <w:bCs/>
                <w:color w:val="auto"/>
                <w:sz w:val="22"/>
                <w:szCs w:val="22"/>
                <w:highlight w:val="none"/>
              </w:rPr>
              <w:t>月</w:t>
            </w:r>
            <w:r>
              <w:rPr>
                <w:rFonts w:hint="eastAsia"/>
                <w:b/>
                <w:bCs/>
                <w:color w:val="auto"/>
                <w:sz w:val="22"/>
                <w:szCs w:val="22"/>
                <w:highlight w:val="none"/>
                <w:u w:val="single"/>
              </w:rPr>
              <w:t xml:space="preserve">     </w:t>
            </w:r>
            <w:r>
              <w:rPr>
                <w:rFonts w:hint="eastAsia"/>
                <w:b/>
                <w:bCs/>
                <w:color w:val="auto"/>
                <w:sz w:val="22"/>
                <w:szCs w:val="22"/>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9" w:hRule="atLeast"/>
          <w:jc w:val="center"/>
        </w:trPr>
        <w:tc>
          <w:tcPr>
            <w:tcW w:w="2037" w:type="dxa"/>
            <w:tcBorders>
              <w:top w:val="single" w:color="auto" w:sz="4" w:space="0"/>
              <w:left w:val="single" w:color="auto" w:sz="4" w:space="0"/>
              <w:bottom w:val="single" w:color="auto" w:sz="4" w:space="0"/>
              <w:right w:val="single" w:color="auto" w:sz="4" w:space="0"/>
            </w:tcBorders>
          </w:tcPr>
          <w:p>
            <w:pPr>
              <w:pStyle w:val="29"/>
              <w:ind w:firstLine="0" w:firstLineChars="0"/>
              <w:jc w:val="center"/>
              <w:rPr>
                <w:b/>
                <w:bCs/>
                <w:color w:val="auto"/>
                <w:sz w:val="22"/>
                <w:szCs w:val="22"/>
                <w:highlight w:val="none"/>
              </w:rPr>
            </w:pPr>
          </w:p>
          <w:p>
            <w:pPr>
              <w:pStyle w:val="29"/>
              <w:ind w:firstLine="0" w:firstLineChars="0"/>
              <w:jc w:val="center"/>
              <w:rPr>
                <w:b/>
                <w:bCs/>
                <w:color w:val="auto"/>
                <w:sz w:val="22"/>
                <w:szCs w:val="22"/>
                <w:highlight w:val="none"/>
              </w:rPr>
            </w:pPr>
          </w:p>
          <w:p>
            <w:pPr>
              <w:pStyle w:val="29"/>
              <w:ind w:firstLine="0" w:firstLineChars="0"/>
              <w:jc w:val="center"/>
              <w:rPr>
                <w:b/>
                <w:bCs/>
                <w:color w:val="auto"/>
                <w:sz w:val="22"/>
                <w:szCs w:val="22"/>
                <w:highlight w:val="none"/>
              </w:rPr>
            </w:pPr>
            <w:r>
              <w:rPr>
                <w:rFonts w:hint="eastAsia"/>
                <w:b/>
                <w:bCs/>
                <w:color w:val="auto"/>
                <w:sz w:val="22"/>
                <w:szCs w:val="22"/>
                <w:highlight w:val="none"/>
              </w:rPr>
              <w:t>获取方式</w:t>
            </w:r>
          </w:p>
        </w:tc>
        <w:tc>
          <w:tcPr>
            <w:tcW w:w="2735" w:type="dxa"/>
            <w:tcBorders>
              <w:top w:val="single" w:color="auto" w:sz="4" w:space="0"/>
              <w:left w:val="nil"/>
              <w:bottom w:val="single" w:color="auto" w:sz="4" w:space="0"/>
              <w:right w:val="single" w:color="auto" w:sz="4" w:space="0"/>
            </w:tcBorders>
          </w:tcPr>
          <w:p>
            <w:pPr>
              <w:pStyle w:val="29"/>
              <w:spacing w:line="360" w:lineRule="auto"/>
              <w:ind w:firstLine="0" w:firstLineChars="0"/>
              <w:rPr>
                <w:b/>
                <w:bCs/>
                <w:color w:val="auto"/>
                <w:sz w:val="22"/>
                <w:szCs w:val="22"/>
                <w:highlight w:val="none"/>
              </w:rPr>
            </w:pPr>
          </w:p>
          <w:p>
            <w:pPr>
              <w:pStyle w:val="29"/>
              <w:spacing w:line="360" w:lineRule="auto"/>
              <w:ind w:firstLine="0" w:firstLineChars="0"/>
              <w:rPr>
                <w:b/>
                <w:bCs/>
                <w:color w:val="auto"/>
                <w:sz w:val="22"/>
                <w:szCs w:val="22"/>
                <w:highlight w:val="none"/>
              </w:rPr>
            </w:pPr>
            <w:r>
              <w:rPr>
                <w:rFonts w:hint="eastAsia"/>
                <w:b/>
                <w:bCs/>
                <w:color w:val="auto"/>
                <w:sz w:val="22"/>
                <w:szCs w:val="22"/>
                <w:highlight w:val="none"/>
              </w:rPr>
              <w:t>现场报名</w:t>
            </w:r>
            <w:r>
              <w:rPr>
                <w:rFonts w:hint="eastAsia" w:ascii="宋体" w:hAnsi="宋体"/>
                <w:b/>
                <w:bCs/>
                <w:color w:val="auto"/>
                <w:sz w:val="22"/>
                <w:szCs w:val="22"/>
                <w:highlight w:val="none"/>
              </w:rPr>
              <w:t>□</w:t>
            </w:r>
          </w:p>
          <w:p>
            <w:pPr>
              <w:pStyle w:val="29"/>
              <w:spacing w:line="360" w:lineRule="auto"/>
              <w:ind w:firstLine="0" w:firstLineChars="0"/>
              <w:rPr>
                <w:b/>
                <w:bCs/>
                <w:color w:val="auto"/>
                <w:sz w:val="22"/>
                <w:szCs w:val="22"/>
                <w:highlight w:val="none"/>
              </w:rPr>
            </w:pPr>
            <w:r>
              <w:rPr>
                <w:rFonts w:hint="eastAsia"/>
                <w:b/>
                <w:bCs/>
                <w:color w:val="auto"/>
                <w:sz w:val="22"/>
                <w:szCs w:val="22"/>
                <w:highlight w:val="none"/>
              </w:rPr>
              <w:t>网络报名</w:t>
            </w:r>
            <w:r>
              <w:rPr>
                <w:rFonts w:hint="eastAsia" w:ascii="宋体" w:hAnsi="宋体"/>
                <w:b/>
                <w:bCs/>
                <w:color w:val="auto"/>
                <w:sz w:val="22"/>
                <w:szCs w:val="22"/>
                <w:highlight w:val="none"/>
              </w:rPr>
              <w:t>□</w:t>
            </w:r>
          </w:p>
        </w:tc>
        <w:tc>
          <w:tcPr>
            <w:tcW w:w="1902" w:type="dxa"/>
            <w:tcBorders>
              <w:top w:val="single" w:color="auto" w:sz="4" w:space="0"/>
              <w:left w:val="nil"/>
              <w:bottom w:val="single" w:color="auto" w:sz="4" w:space="0"/>
              <w:right w:val="single" w:color="auto" w:sz="4" w:space="0"/>
            </w:tcBorders>
          </w:tcPr>
          <w:p>
            <w:pPr>
              <w:pStyle w:val="29"/>
              <w:ind w:firstLine="0" w:firstLineChars="0"/>
              <w:jc w:val="center"/>
              <w:rPr>
                <w:b/>
                <w:bCs/>
                <w:color w:val="auto"/>
                <w:sz w:val="22"/>
                <w:szCs w:val="22"/>
                <w:highlight w:val="none"/>
              </w:rPr>
            </w:pPr>
          </w:p>
          <w:p>
            <w:pPr>
              <w:pStyle w:val="29"/>
              <w:ind w:firstLine="0" w:firstLineChars="0"/>
              <w:rPr>
                <w:b/>
                <w:bCs/>
                <w:color w:val="auto"/>
                <w:sz w:val="22"/>
                <w:szCs w:val="22"/>
                <w:highlight w:val="none"/>
              </w:rPr>
            </w:pPr>
          </w:p>
          <w:p>
            <w:pPr>
              <w:pStyle w:val="29"/>
              <w:ind w:firstLine="0" w:firstLineChars="0"/>
              <w:rPr>
                <w:b/>
                <w:bCs/>
                <w:color w:val="auto"/>
                <w:sz w:val="22"/>
                <w:szCs w:val="22"/>
                <w:highlight w:val="none"/>
              </w:rPr>
            </w:pPr>
            <w:r>
              <w:rPr>
                <w:rFonts w:hint="eastAsia"/>
                <w:b/>
                <w:bCs/>
                <w:color w:val="auto"/>
                <w:sz w:val="22"/>
                <w:szCs w:val="22"/>
                <w:highlight w:val="none"/>
              </w:rPr>
              <w:t>获取资料类型</w:t>
            </w:r>
          </w:p>
        </w:tc>
        <w:tc>
          <w:tcPr>
            <w:tcW w:w="3546" w:type="dxa"/>
            <w:tcBorders>
              <w:top w:val="single" w:color="auto" w:sz="4" w:space="0"/>
              <w:left w:val="nil"/>
              <w:bottom w:val="single" w:color="auto" w:sz="4" w:space="0"/>
              <w:right w:val="single" w:color="auto" w:sz="4" w:space="0"/>
            </w:tcBorders>
          </w:tcPr>
          <w:p>
            <w:pPr>
              <w:pStyle w:val="29"/>
              <w:spacing w:line="273" w:lineRule="auto"/>
              <w:ind w:firstLine="0" w:firstLineChars="0"/>
              <w:rPr>
                <w:b/>
                <w:bCs/>
                <w:color w:val="auto"/>
                <w:sz w:val="22"/>
                <w:szCs w:val="22"/>
                <w:highlight w:val="none"/>
              </w:rPr>
            </w:pPr>
            <w:r>
              <w:rPr>
                <w:rFonts w:hint="eastAsia"/>
                <w:b/>
                <w:bCs/>
                <w:color w:val="auto"/>
                <w:sz w:val="22"/>
                <w:szCs w:val="22"/>
                <w:highlight w:val="none"/>
                <w:lang w:val="en-US" w:eastAsia="zh-CN"/>
              </w:rPr>
              <w:t>磋商文件</w:t>
            </w:r>
            <w:r>
              <w:rPr>
                <w:rFonts w:hint="eastAsia"/>
                <w:b/>
                <w:bCs/>
                <w:color w:val="auto"/>
                <w:sz w:val="22"/>
                <w:szCs w:val="22"/>
                <w:highlight w:val="none"/>
              </w:rPr>
              <w:t xml:space="preserve"> </w:t>
            </w:r>
            <w:r>
              <w:rPr>
                <w:rFonts w:hint="eastAsia" w:ascii="宋体" w:hAnsi="宋体"/>
                <w:b/>
                <w:bCs/>
                <w:color w:val="auto"/>
                <w:sz w:val="22"/>
                <w:szCs w:val="22"/>
                <w:highlight w:val="none"/>
              </w:rPr>
              <w:t xml:space="preserve">□  </w:t>
            </w:r>
          </w:p>
          <w:p>
            <w:pPr>
              <w:pStyle w:val="29"/>
              <w:spacing w:line="273" w:lineRule="auto"/>
              <w:ind w:firstLine="0" w:firstLineChars="0"/>
              <w:rPr>
                <w:b/>
                <w:bCs/>
                <w:color w:val="auto"/>
                <w:sz w:val="22"/>
                <w:szCs w:val="22"/>
                <w:highlight w:val="none"/>
              </w:rPr>
            </w:pPr>
            <w:r>
              <w:rPr>
                <w:rFonts w:hint="eastAsia"/>
                <w:b/>
                <w:bCs/>
                <w:color w:val="auto"/>
                <w:sz w:val="22"/>
                <w:szCs w:val="22"/>
                <w:highlight w:val="none"/>
              </w:rPr>
              <w:t xml:space="preserve">磋商文件 </w:t>
            </w:r>
            <w:r>
              <w:rPr>
                <w:rFonts w:hint="eastAsia" w:ascii="宋体" w:hAnsi="宋体"/>
                <w:b/>
                <w:bCs/>
                <w:color w:val="auto"/>
                <w:sz w:val="22"/>
                <w:szCs w:val="22"/>
                <w:highlight w:val="none"/>
              </w:rPr>
              <w:t xml:space="preserve">□  </w:t>
            </w:r>
          </w:p>
          <w:p>
            <w:pPr>
              <w:pStyle w:val="29"/>
              <w:spacing w:line="273" w:lineRule="auto"/>
              <w:ind w:firstLine="0" w:firstLineChars="0"/>
              <w:rPr>
                <w:rFonts w:ascii="宋体" w:hAnsi="宋体"/>
                <w:b/>
                <w:bCs/>
                <w:color w:val="auto"/>
                <w:sz w:val="22"/>
                <w:szCs w:val="22"/>
                <w:highlight w:val="none"/>
              </w:rPr>
            </w:pPr>
            <w:r>
              <w:rPr>
                <w:rFonts w:hint="eastAsia"/>
                <w:b/>
                <w:bCs/>
                <w:color w:val="auto"/>
                <w:sz w:val="22"/>
                <w:szCs w:val="22"/>
                <w:highlight w:val="none"/>
              </w:rPr>
              <w:t xml:space="preserve">谈判文件 </w:t>
            </w:r>
            <w:r>
              <w:rPr>
                <w:rFonts w:hint="eastAsia" w:ascii="宋体" w:hAnsi="宋体"/>
                <w:b/>
                <w:bCs/>
                <w:color w:val="auto"/>
                <w:sz w:val="22"/>
                <w:szCs w:val="22"/>
                <w:highlight w:val="none"/>
              </w:rPr>
              <w:t xml:space="preserve">□  </w:t>
            </w:r>
          </w:p>
          <w:p>
            <w:pPr>
              <w:pStyle w:val="29"/>
              <w:spacing w:line="273" w:lineRule="auto"/>
              <w:ind w:firstLine="0" w:firstLineChars="0"/>
              <w:rPr>
                <w:rFonts w:ascii="宋体" w:hAnsi="宋体"/>
                <w:b/>
                <w:bCs/>
                <w:color w:val="auto"/>
                <w:sz w:val="22"/>
                <w:szCs w:val="22"/>
                <w:highlight w:val="none"/>
              </w:rPr>
            </w:pPr>
            <w:r>
              <w:rPr>
                <w:rFonts w:hint="eastAsia" w:ascii="宋体" w:hAnsi="宋体"/>
                <w:b/>
                <w:bCs/>
                <w:color w:val="auto"/>
                <w:sz w:val="22"/>
                <w:szCs w:val="22"/>
                <w:highlight w:val="none"/>
              </w:rPr>
              <w:t>询价文件 □</w:t>
            </w:r>
          </w:p>
          <w:p>
            <w:pPr>
              <w:pStyle w:val="29"/>
              <w:spacing w:line="273" w:lineRule="auto"/>
              <w:ind w:firstLine="0" w:firstLineChars="0"/>
              <w:rPr>
                <w:b/>
                <w:bCs/>
                <w:color w:val="auto"/>
                <w:sz w:val="22"/>
                <w:szCs w:val="22"/>
                <w:highlight w:val="none"/>
              </w:rPr>
            </w:pPr>
            <w:r>
              <w:rPr>
                <w:rFonts w:hint="eastAsia" w:ascii="宋体" w:hAnsi="宋体"/>
                <w:b/>
                <w:bCs/>
                <w:color w:val="auto"/>
                <w:sz w:val="22"/>
                <w:szCs w:val="22"/>
                <w:highlight w:val="none"/>
              </w:rPr>
              <w:t>比选文件 □</w:t>
            </w:r>
          </w:p>
        </w:tc>
      </w:tr>
    </w:tbl>
    <w:p>
      <w:pPr>
        <w:widowControl/>
        <w:spacing w:after="0" w:line="240" w:lineRule="auto"/>
        <w:jc w:val="left"/>
        <w:rPr>
          <w:rFonts w:ascii="宋体" w:hAnsi="宋体"/>
          <w:b/>
          <w:bCs/>
          <w:color w:val="auto"/>
          <w:sz w:val="24"/>
          <w:highlight w:val="none"/>
        </w:rPr>
      </w:pPr>
    </w:p>
    <w:p>
      <w:pPr>
        <w:widowControl/>
        <w:spacing w:after="0" w:line="360" w:lineRule="auto"/>
        <w:ind w:firstLine="482" w:firstLineChars="200"/>
        <w:jc w:val="left"/>
        <w:rPr>
          <w:b/>
          <w:bCs/>
          <w:color w:val="auto"/>
          <w:sz w:val="24"/>
          <w:highlight w:val="none"/>
        </w:rPr>
      </w:pPr>
      <w:r>
        <w:rPr>
          <w:rFonts w:hint="eastAsia" w:ascii="宋体" w:hAnsi="宋体"/>
          <w:b/>
          <w:bCs/>
          <w:color w:val="auto"/>
          <w:sz w:val="24"/>
          <w:highlight w:val="none"/>
        </w:rPr>
        <w:t>注：</w:t>
      </w:r>
      <w:r>
        <w:rPr>
          <w:rFonts w:hint="eastAsia"/>
          <w:b/>
          <w:bCs/>
          <w:color w:val="auto"/>
          <w:sz w:val="24"/>
          <w:highlight w:val="none"/>
        </w:rPr>
        <w:t>①根据公告要求提供相关资料并在相关信息处</w:t>
      </w:r>
      <w:r>
        <w:rPr>
          <w:rFonts w:hint="eastAsia" w:ascii="宋体" w:hAnsi="宋体"/>
          <w:b/>
          <w:bCs/>
          <w:color w:val="auto"/>
          <w:sz w:val="24"/>
          <w:highlight w:val="none"/>
        </w:rPr>
        <w:t>☑</w:t>
      </w:r>
      <w:r>
        <w:rPr>
          <w:rFonts w:hint="eastAsia"/>
          <w:b/>
          <w:bCs/>
          <w:color w:val="auto"/>
          <w:sz w:val="24"/>
          <w:highlight w:val="none"/>
        </w:rPr>
        <w:t xml:space="preserve"> </w:t>
      </w:r>
      <w:r>
        <w:rPr>
          <w:rFonts w:hint="eastAsia" w:ascii="宋体" w:hAnsi="宋体"/>
          <w:b/>
          <w:bCs/>
          <w:color w:val="auto"/>
          <w:sz w:val="24"/>
          <w:highlight w:val="none"/>
        </w:rPr>
        <w:t>；</w:t>
      </w:r>
    </w:p>
    <w:p>
      <w:pPr>
        <w:pStyle w:val="29"/>
        <w:spacing w:line="360" w:lineRule="auto"/>
        <w:ind w:firstLine="964" w:firstLineChars="400"/>
        <w:rPr>
          <w:b/>
          <w:bCs/>
          <w:color w:val="auto"/>
          <w:szCs w:val="21"/>
          <w:highlight w:val="none"/>
        </w:rPr>
      </w:pPr>
      <w:r>
        <w:rPr>
          <w:rFonts w:hint="eastAsia"/>
          <w:b/>
          <w:bCs/>
          <w:color w:val="auto"/>
          <w:sz w:val="24"/>
          <w:highlight w:val="none"/>
        </w:rPr>
        <w:t>②供应商于磋商当日将报名资料纸质版原件交予代理机构处存档。</w:t>
      </w:r>
    </w:p>
    <w:p>
      <w:pPr>
        <w:pStyle w:val="29"/>
        <w:ind w:firstLine="0" w:firstLineChars="0"/>
        <w:rPr>
          <w:color w:val="auto"/>
          <w:highlight w:val="none"/>
        </w:rPr>
      </w:pPr>
      <w:r>
        <w:rPr>
          <w:color w:val="auto"/>
          <w:highlight w:val="none"/>
        </w:rPr>
        <w:t xml:space="preserve"> </w:t>
      </w:r>
    </w:p>
    <w:p>
      <w:pPr>
        <w:pStyle w:val="29"/>
        <w:ind w:firstLine="0" w:firstLineChars="0"/>
        <w:rPr>
          <w:color w:val="auto"/>
          <w:highlight w:val="none"/>
        </w:rPr>
      </w:pPr>
      <w:r>
        <w:rPr>
          <w:color w:val="auto"/>
          <w:highlight w:val="none"/>
        </w:rPr>
        <w:t xml:space="preserve"> </w:t>
      </w:r>
    </w:p>
    <w:p>
      <w:pPr>
        <w:pStyle w:val="29"/>
        <w:ind w:firstLine="482" w:firstLineChars="200"/>
        <w:rPr>
          <w:b w:val="0"/>
          <w:bCs w:val="0"/>
          <w:color w:val="auto"/>
          <w:kern w:val="2"/>
          <w:sz w:val="36"/>
          <w:szCs w:val="36"/>
          <w:highlight w:val="none"/>
        </w:rPr>
      </w:pPr>
      <w:r>
        <w:rPr>
          <w:rFonts w:hint="eastAsia" w:ascii="宋体" w:hAnsi="宋体"/>
          <w:b/>
          <w:bCs/>
          <w:color w:val="auto"/>
          <w:sz w:val="24"/>
          <w:highlight w:val="none"/>
        </w:rPr>
        <w:br w:type="page"/>
      </w:r>
      <w:bookmarkStart w:id="99" w:name="_Toc73912833"/>
      <w:r>
        <w:rPr>
          <w:rFonts w:hint="eastAsia" w:ascii="宋体" w:hAnsi="宋体"/>
          <w:color w:val="auto"/>
          <w:sz w:val="24"/>
          <w:szCs w:val="24"/>
          <w:highlight w:val="none"/>
        </w:rPr>
        <w:t>附件二：</w:t>
      </w:r>
      <w:bookmarkEnd w:id="99"/>
    </w:p>
    <w:p>
      <w:pPr>
        <w:pStyle w:val="29"/>
        <w:ind w:firstLine="0" w:firstLineChars="0"/>
        <w:jc w:val="center"/>
        <w:rPr>
          <w:rFonts w:hint="eastAsia"/>
          <w:b/>
          <w:bCs/>
          <w:color w:val="auto"/>
          <w:sz w:val="36"/>
          <w:szCs w:val="36"/>
          <w:highlight w:val="none"/>
        </w:rPr>
      </w:pPr>
      <w:r>
        <w:rPr>
          <w:rFonts w:hint="eastAsia"/>
          <w:b/>
          <w:bCs/>
          <w:color w:val="auto"/>
          <w:sz w:val="36"/>
          <w:szCs w:val="36"/>
          <w:highlight w:val="none"/>
        </w:rPr>
        <w:t>最后报价表</w:t>
      </w:r>
    </w:p>
    <w:p>
      <w:pPr>
        <w:pStyle w:val="29"/>
        <w:ind w:firstLine="0" w:firstLineChars="0"/>
        <w:jc w:val="center"/>
        <w:rPr>
          <w:rFonts w:hint="eastAsia"/>
          <w:b/>
          <w:bCs/>
          <w:color w:val="auto"/>
          <w:sz w:val="36"/>
          <w:szCs w:val="36"/>
          <w:highlight w:val="none"/>
        </w:rPr>
      </w:pP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0"/>
        <w:gridCol w:w="3030"/>
        <w:gridCol w:w="1509"/>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3030" w:type="dxa"/>
            <w:vAlign w:val="center"/>
          </w:tcPr>
          <w:p>
            <w:pPr>
              <w:widowControl/>
              <w:spacing w:after="0" w:line="360" w:lineRule="auto"/>
              <w:jc w:val="center"/>
              <w:outlineLvl w:val="1"/>
              <w:rPr>
                <w:rFonts w:ascii="宋体" w:hAnsi="宋体" w:eastAsia="宋体" w:cs="仿宋"/>
                <w:color w:val="auto"/>
                <w:sz w:val="24"/>
                <w:highlight w:val="none"/>
              </w:rPr>
            </w:pPr>
            <w:r>
              <w:rPr>
                <w:rFonts w:hint="eastAsia" w:ascii="宋体" w:hAnsi="宋体" w:eastAsia="宋体" w:cs="仿宋"/>
                <w:color w:val="auto"/>
                <w:sz w:val="24"/>
                <w:highlight w:val="none"/>
              </w:rPr>
              <w:t>服务内容</w:t>
            </w:r>
          </w:p>
        </w:tc>
        <w:tc>
          <w:tcPr>
            <w:tcW w:w="3030" w:type="dxa"/>
            <w:vAlign w:val="center"/>
          </w:tcPr>
          <w:p>
            <w:pPr>
              <w:widowControl/>
              <w:spacing w:after="0" w:line="360" w:lineRule="auto"/>
              <w:jc w:val="center"/>
              <w:outlineLvl w:val="1"/>
              <w:rPr>
                <w:rFonts w:ascii="宋体" w:hAnsi="宋体" w:eastAsia="宋体" w:cs="仿宋"/>
                <w:color w:val="auto"/>
                <w:sz w:val="24"/>
                <w:highlight w:val="none"/>
              </w:rPr>
            </w:pPr>
            <w:r>
              <w:rPr>
                <w:rFonts w:hint="eastAsia" w:ascii="宋体" w:hAnsi="宋体" w:eastAsia="宋体" w:cs="仿宋"/>
                <w:color w:val="auto"/>
                <w:sz w:val="24"/>
                <w:highlight w:val="none"/>
              </w:rPr>
              <w:t>报价（元/年）</w:t>
            </w:r>
          </w:p>
        </w:tc>
        <w:tc>
          <w:tcPr>
            <w:tcW w:w="1509" w:type="dxa"/>
            <w:vAlign w:val="center"/>
          </w:tcPr>
          <w:p>
            <w:pPr>
              <w:widowControl/>
              <w:spacing w:after="0" w:line="360" w:lineRule="auto"/>
              <w:jc w:val="center"/>
              <w:outlineLvl w:val="1"/>
              <w:rPr>
                <w:rFonts w:hint="eastAsia" w:ascii="宋体" w:hAnsi="宋体" w:eastAsia="宋体" w:cs="仿宋"/>
                <w:color w:val="auto"/>
                <w:sz w:val="24"/>
                <w:highlight w:val="none"/>
              </w:rPr>
            </w:pPr>
            <w:r>
              <w:rPr>
                <w:rFonts w:hint="eastAsia" w:ascii="宋体" w:hAnsi="宋体" w:eastAsia="宋体" w:cs="仿宋"/>
                <w:color w:val="auto"/>
                <w:sz w:val="24"/>
                <w:highlight w:val="none"/>
              </w:rPr>
              <w:t>服务期限</w:t>
            </w:r>
          </w:p>
        </w:tc>
        <w:tc>
          <w:tcPr>
            <w:tcW w:w="1509" w:type="dxa"/>
            <w:vAlign w:val="center"/>
          </w:tcPr>
          <w:p>
            <w:pPr>
              <w:widowControl/>
              <w:spacing w:after="0" w:line="360" w:lineRule="auto"/>
              <w:jc w:val="center"/>
              <w:outlineLvl w:val="1"/>
              <w:rPr>
                <w:rFonts w:ascii="宋体" w:hAnsi="宋体" w:eastAsia="宋体" w:cs="仿宋"/>
                <w:color w:val="auto"/>
                <w:sz w:val="24"/>
                <w:highlight w:val="none"/>
              </w:rPr>
            </w:pPr>
            <w:r>
              <w:rPr>
                <w:rFonts w:hint="eastAsia" w:ascii="宋体" w:hAnsi="宋体" w:eastAsia="宋体"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3030" w:type="dxa"/>
            <w:vAlign w:val="center"/>
          </w:tcPr>
          <w:p>
            <w:pPr>
              <w:widowControl/>
              <w:spacing w:after="0" w:line="360" w:lineRule="auto"/>
              <w:jc w:val="center"/>
              <w:outlineLvl w:val="1"/>
              <w:rPr>
                <w:rFonts w:ascii="宋体" w:hAnsi="宋体" w:eastAsia="宋体" w:cs="仿宋"/>
                <w:color w:val="auto"/>
                <w:sz w:val="24"/>
                <w:highlight w:val="none"/>
              </w:rPr>
            </w:pPr>
            <w:r>
              <w:rPr>
                <w:rFonts w:hint="eastAsia" w:ascii="宋体" w:hAnsi="宋体" w:eastAsia="宋体" w:cs="仿宋"/>
                <w:color w:val="auto"/>
                <w:sz w:val="24"/>
                <w:highlight w:val="none"/>
              </w:rPr>
              <w:t>江家菜地污水处理站</w:t>
            </w:r>
          </w:p>
        </w:tc>
        <w:tc>
          <w:tcPr>
            <w:tcW w:w="3030" w:type="dxa"/>
            <w:vAlign w:val="center"/>
          </w:tcPr>
          <w:p>
            <w:pPr>
              <w:widowControl/>
              <w:spacing w:after="0" w:line="360" w:lineRule="auto"/>
              <w:jc w:val="center"/>
              <w:outlineLvl w:val="1"/>
              <w:rPr>
                <w:rFonts w:ascii="宋体" w:hAnsi="宋体" w:eastAsia="宋体" w:cs="仿宋"/>
                <w:color w:val="auto"/>
                <w:sz w:val="24"/>
                <w:highlight w:val="none"/>
              </w:rPr>
            </w:pPr>
          </w:p>
        </w:tc>
        <w:tc>
          <w:tcPr>
            <w:tcW w:w="1509" w:type="dxa"/>
            <w:vAlign w:val="center"/>
          </w:tcPr>
          <w:p>
            <w:pPr>
              <w:widowControl/>
              <w:spacing w:after="0" w:line="360" w:lineRule="auto"/>
              <w:jc w:val="center"/>
              <w:outlineLvl w:val="1"/>
              <w:rPr>
                <w:rFonts w:ascii="宋体" w:hAnsi="宋体" w:eastAsia="宋体" w:cs="仿宋"/>
                <w:color w:val="auto"/>
                <w:sz w:val="24"/>
                <w:highlight w:val="none"/>
              </w:rPr>
            </w:pPr>
          </w:p>
        </w:tc>
        <w:tc>
          <w:tcPr>
            <w:tcW w:w="1509" w:type="dxa"/>
            <w:vAlign w:val="center"/>
          </w:tcPr>
          <w:p>
            <w:pPr>
              <w:widowControl/>
              <w:spacing w:after="0" w:line="360" w:lineRule="auto"/>
              <w:jc w:val="center"/>
              <w:outlineLvl w:val="1"/>
              <w:rPr>
                <w:rFonts w:ascii="宋体" w:hAnsi="宋体" w:eastAsia="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3030" w:type="dxa"/>
            <w:vAlign w:val="center"/>
          </w:tcPr>
          <w:p>
            <w:pPr>
              <w:widowControl/>
              <w:spacing w:after="0" w:line="360" w:lineRule="auto"/>
              <w:jc w:val="center"/>
              <w:outlineLvl w:val="1"/>
              <w:rPr>
                <w:rFonts w:ascii="宋体" w:hAnsi="宋体" w:eastAsia="宋体" w:cs="仿宋"/>
                <w:color w:val="auto"/>
                <w:sz w:val="24"/>
                <w:highlight w:val="none"/>
              </w:rPr>
            </w:pPr>
            <w:r>
              <w:rPr>
                <w:rFonts w:hint="eastAsia" w:ascii="宋体" w:hAnsi="宋体" w:eastAsia="宋体" w:cs="仿宋"/>
                <w:color w:val="auto"/>
                <w:sz w:val="24"/>
                <w:highlight w:val="none"/>
              </w:rPr>
              <w:t>幸福梅林污水处理站</w:t>
            </w:r>
          </w:p>
        </w:tc>
        <w:tc>
          <w:tcPr>
            <w:tcW w:w="3030" w:type="dxa"/>
            <w:vAlign w:val="center"/>
          </w:tcPr>
          <w:p>
            <w:pPr>
              <w:widowControl/>
              <w:spacing w:after="0" w:line="360" w:lineRule="auto"/>
              <w:jc w:val="center"/>
              <w:outlineLvl w:val="1"/>
              <w:rPr>
                <w:rFonts w:ascii="宋体" w:hAnsi="宋体" w:eastAsia="宋体" w:cs="仿宋"/>
                <w:color w:val="auto"/>
                <w:sz w:val="24"/>
                <w:highlight w:val="none"/>
              </w:rPr>
            </w:pPr>
          </w:p>
        </w:tc>
        <w:tc>
          <w:tcPr>
            <w:tcW w:w="1509" w:type="dxa"/>
            <w:vAlign w:val="center"/>
          </w:tcPr>
          <w:p>
            <w:pPr>
              <w:widowControl/>
              <w:spacing w:after="0" w:line="360" w:lineRule="auto"/>
              <w:jc w:val="center"/>
              <w:outlineLvl w:val="1"/>
              <w:rPr>
                <w:rFonts w:ascii="宋体" w:hAnsi="宋体" w:eastAsia="宋体" w:cs="仿宋"/>
                <w:color w:val="auto"/>
                <w:sz w:val="24"/>
                <w:highlight w:val="none"/>
              </w:rPr>
            </w:pPr>
          </w:p>
        </w:tc>
        <w:tc>
          <w:tcPr>
            <w:tcW w:w="1509" w:type="dxa"/>
            <w:vAlign w:val="center"/>
          </w:tcPr>
          <w:p>
            <w:pPr>
              <w:widowControl/>
              <w:spacing w:after="0" w:line="360" w:lineRule="auto"/>
              <w:jc w:val="center"/>
              <w:outlineLvl w:val="1"/>
              <w:rPr>
                <w:rFonts w:ascii="宋体" w:hAnsi="宋体" w:eastAsia="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3030" w:type="dxa"/>
            <w:vAlign w:val="center"/>
          </w:tcPr>
          <w:p>
            <w:pPr>
              <w:widowControl/>
              <w:spacing w:after="0" w:line="360" w:lineRule="auto"/>
              <w:jc w:val="center"/>
              <w:outlineLvl w:val="1"/>
              <w:rPr>
                <w:rFonts w:ascii="宋体" w:hAnsi="宋体" w:eastAsia="宋体" w:cs="仿宋"/>
                <w:color w:val="auto"/>
                <w:sz w:val="24"/>
                <w:highlight w:val="none"/>
              </w:rPr>
            </w:pPr>
            <w:r>
              <w:rPr>
                <w:rFonts w:hint="eastAsia" w:ascii="宋体" w:hAnsi="宋体" w:eastAsia="宋体" w:cs="仿宋"/>
                <w:color w:val="auto"/>
                <w:sz w:val="24"/>
                <w:highlight w:val="none"/>
              </w:rPr>
              <w:t>荷塘月色污水处理站</w:t>
            </w:r>
          </w:p>
        </w:tc>
        <w:tc>
          <w:tcPr>
            <w:tcW w:w="3030" w:type="dxa"/>
            <w:vAlign w:val="center"/>
          </w:tcPr>
          <w:p>
            <w:pPr>
              <w:widowControl/>
              <w:spacing w:after="0" w:line="360" w:lineRule="auto"/>
              <w:jc w:val="center"/>
              <w:outlineLvl w:val="1"/>
              <w:rPr>
                <w:rFonts w:ascii="宋体" w:hAnsi="宋体" w:eastAsia="宋体" w:cs="仿宋"/>
                <w:color w:val="auto"/>
                <w:sz w:val="24"/>
                <w:highlight w:val="none"/>
              </w:rPr>
            </w:pPr>
          </w:p>
        </w:tc>
        <w:tc>
          <w:tcPr>
            <w:tcW w:w="1509" w:type="dxa"/>
            <w:vAlign w:val="center"/>
          </w:tcPr>
          <w:p>
            <w:pPr>
              <w:widowControl/>
              <w:spacing w:after="0" w:line="360" w:lineRule="auto"/>
              <w:jc w:val="center"/>
              <w:outlineLvl w:val="1"/>
              <w:rPr>
                <w:rFonts w:ascii="宋体" w:hAnsi="宋体" w:eastAsia="宋体" w:cs="仿宋"/>
                <w:color w:val="auto"/>
                <w:sz w:val="24"/>
                <w:highlight w:val="none"/>
              </w:rPr>
            </w:pPr>
          </w:p>
        </w:tc>
        <w:tc>
          <w:tcPr>
            <w:tcW w:w="1509" w:type="dxa"/>
            <w:vAlign w:val="center"/>
          </w:tcPr>
          <w:p>
            <w:pPr>
              <w:widowControl/>
              <w:spacing w:after="0" w:line="360" w:lineRule="auto"/>
              <w:jc w:val="center"/>
              <w:outlineLvl w:val="1"/>
              <w:rPr>
                <w:rFonts w:ascii="宋体" w:hAnsi="宋体" w:eastAsia="宋体"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9078" w:type="dxa"/>
            <w:gridSpan w:val="4"/>
            <w:vAlign w:val="center"/>
          </w:tcPr>
          <w:p>
            <w:pPr>
              <w:widowControl/>
              <w:spacing w:after="0" w:line="360" w:lineRule="auto"/>
              <w:jc w:val="left"/>
              <w:outlineLvl w:val="1"/>
              <w:rPr>
                <w:rFonts w:ascii="宋体" w:hAnsi="宋体" w:eastAsia="宋体" w:cs="仿宋"/>
                <w:bCs/>
                <w:color w:val="auto"/>
                <w:sz w:val="24"/>
                <w:highlight w:val="none"/>
              </w:rPr>
            </w:pPr>
            <w:r>
              <w:rPr>
                <w:rFonts w:hint="eastAsia" w:ascii="宋体" w:hAnsi="宋体" w:eastAsia="宋体" w:cs="仿宋"/>
                <w:bCs/>
                <w:color w:val="auto"/>
                <w:sz w:val="24"/>
                <w:highlight w:val="none"/>
              </w:rPr>
              <w:t>报价</w:t>
            </w:r>
            <w:r>
              <w:rPr>
                <w:rFonts w:hint="eastAsia" w:ascii="宋体" w:hAnsi="宋体" w:eastAsia="宋体" w:cs="仿宋"/>
                <w:bCs/>
                <w:color w:val="auto"/>
                <w:sz w:val="24"/>
                <w:highlight w:val="none"/>
                <w:lang w:val="en-US" w:eastAsia="zh-CN"/>
              </w:rPr>
              <w:t>合计</w:t>
            </w:r>
            <w:r>
              <w:rPr>
                <w:rFonts w:hint="eastAsia" w:ascii="宋体" w:hAnsi="宋体" w:eastAsia="宋体" w:cs="仿宋"/>
                <w:bCs/>
                <w:color w:val="auto"/>
                <w:sz w:val="24"/>
                <w:highlight w:val="none"/>
              </w:rPr>
              <w:t>小写：</w:t>
            </w:r>
            <w:r>
              <w:rPr>
                <w:rFonts w:hint="eastAsia" w:ascii="宋体" w:hAnsi="宋体" w:eastAsia="宋体" w:cs="仿宋"/>
                <w:bCs/>
                <w:color w:val="auto"/>
                <w:sz w:val="24"/>
                <w:highlight w:val="none"/>
                <w:u w:val="single"/>
              </w:rPr>
              <w:t xml:space="preserve">    </w:t>
            </w:r>
            <w:r>
              <w:rPr>
                <w:rFonts w:hint="eastAsia" w:ascii="宋体" w:hAnsi="宋体" w:eastAsia="宋体" w:cs="仿宋"/>
                <w:bCs/>
                <w:color w:val="auto"/>
                <w:sz w:val="24"/>
                <w:highlight w:val="none"/>
                <w:u w:val="single"/>
                <w:lang w:val="en-US" w:eastAsia="zh-CN"/>
              </w:rPr>
              <w:t xml:space="preserve">    </w:t>
            </w:r>
            <w:r>
              <w:rPr>
                <w:rFonts w:hint="eastAsia" w:ascii="宋体" w:hAnsi="宋体" w:eastAsia="宋体" w:cs="仿宋"/>
                <w:bCs/>
                <w:color w:val="auto"/>
                <w:sz w:val="24"/>
                <w:highlight w:val="none"/>
                <w:u w:val="single"/>
              </w:rPr>
              <w:t xml:space="preserve">    </w:t>
            </w:r>
            <w:r>
              <w:rPr>
                <w:rFonts w:hint="eastAsia" w:ascii="宋体" w:hAnsi="宋体" w:eastAsia="宋体" w:cs="仿宋"/>
                <w:bCs/>
                <w:color w:val="auto"/>
                <w:sz w:val="24"/>
                <w:highlight w:val="none"/>
              </w:rPr>
              <w:t>元/年 ，大写</w:t>
            </w:r>
            <w:r>
              <w:rPr>
                <w:rFonts w:hint="eastAsia" w:ascii="宋体" w:hAnsi="宋体" w:eastAsia="宋体" w:cs="仿宋"/>
                <w:bCs/>
                <w:color w:val="auto"/>
                <w:sz w:val="24"/>
                <w:highlight w:val="none"/>
                <w:u w:val="single"/>
              </w:rPr>
              <w:t xml:space="preserve">       </w:t>
            </w:r>
          </w:p>
        </w:tc>
      </w:tr>
    </w:tbl>
    <w:p>
      <w:pPr>
        <w:ind w:right="1302" w:rightChars="620"/>
        <w:rPr>
          <w:rFonts w:ascii="仿宋" w:hAnsi="仿宋" w:eastAsia="仿宋"/>
          <w:color w:val="auto"/>
          <w:sz w:val="24"/>
          <w:highlight w:val="none"/>
        </w:rPr>
      </w:pPr>
    </w:p>
    <w:p>
      <w:pPr>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注: 1.所有报价均用人民币表示, 报价应是最终用户验收合格后的总价，</w:t>
      </w:r>
      <w:r>
        <w:rPr>
          <w:rFonts w:hint="eastAsia" w:ascii="宋体" w:hAnsi="宋体"/>
          <w:b/>
          <w:bCs/>
          <w:color w:val="auto"/>
          <w:sz w:val="21"/>
          <w:szCs w:val="21"/>
          <w:highlight w:val="none"/>
          <w:lang w:val="en-US" w:eastAsia="zh-CN"/>
        </w:rPr>
        <w:t>本项目为</w:t>
      </w:r>
      <w:r>
        <w:rPr>
          <w:rFonts w:hint="eastAsia" w:ascii="宋体" w:hAnsi="宋体"/>
          <w:b/>
          <w:bCs/>
          <w:color w:val="auto"/>
          <w:sz w:val="21"/>
          <w:szCs w:val="21"/>
          <w:highlight w:val="none"/>
        </w:rPr>
        <w:t xml:space="preserve">包干价（包含但不限于包含但不限于动力费、药剂费、自来水费、污泥处理运输费、工资及福利费、运营维护费、水质检测费、管理费及其他费用。 </w:t>
      </w:r>
    </w:p>
    <w:p>
      <w:pPr>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2.“报价表”为多页的，每页均需由法定代表人或授权代表签字并盖供应商公章（鲜章）。</w:t>
      </w:r>
    </w:p>
    <w:p>
      <w:pPr>
        <w:ind w:firstLine="422" w:firstLineChars="200"/>
        <w:rPr>
          <w:rFonts w:hint="eastAsia" w:ascii="宋体" w:hAnsi="宋体"/>
          <w:b/>
          <w:bCs/>
          <w:color w:val="auto"/>
          <w:sz w:val="21"/>
          <w:szCs w:val="21"/>
          <w:highlight w:val="none"/>
        </w:rPr>
      </w:pPr>
      <w:r>
        <w:rPr>
          <w:rFonts w:hint="eastAsia" w:ascii="宋体" w:hAnsi="宋体"/>
          <w:b/>
          <w:bCs/>
          <w:color w:val="auto"/>
          <w:sz w:val="21"/>
          <w:szCs w:val="21"/>
          <w:highlight w:val="none"/>
        </w:rPr>
        <w:t>3.以上表格如不能完全表达清楚供应商认为必要的费用明细，供应商可自行补充。</w:t>
      </w:r>
    </w:p>
    <w:p>
      <w:pPr>
        <w:widowControl/>
        <w:spacing w:line="360" w:lineRule="atLeast"/>
        <w:jc w:val="left"/>
        <w:outlineLvl w:val="1"/>
        <w:rPr>
          <w:rFonts w:ascii="宋体" w:hAnsi="宋体"/>
          <w:color w:val="auto"/>
          <w:sz w:val="24"/>
          <w:highlight w:val="none"/>
        </w:rPr>
      </w:pPr>
    </w:p>
    <w:p>
      <w:pPr>
        <w:keepNext w:val="0"/>
        <w:keepLines w:val="0"/>
        <w:pageBreakBefore w:val="0"/>
        <w:widowControl/>
        <w:kinsoku/>
        <w:wordWrap/>
        <w:overflowPunct/>
        <w:topLinePunct w:val="0"/>
        <w:autoSpaceDE/>
        <w:autoSpaceDN/>
        <w:bidi w:val="0"/>
        <w:adjustRightInd/>
        <w:snapToGrid/>
        <w:spacing w:line="360" w:lineRule="atLeast"/>
        <w:ind w:firstLine="480" w:firstLineChars="200"/>
        <w:jc w:val="left"/>
        <w:textAlignment w:val="auto"/>
        <w:outlineLvl w:val="1"/>
        <w:rPr>
          <w:rFonts w:ascii="宋体" w:hAnsi="宋体"/>
          <w:color w:val="auto"/>
          <w:sz w:val="24"/>
          <w:highlight w:val="none"/>
        </w:rPr>
      </w:pPr>
      <w:r>
        <w:rPr>
          <w:rFonts w:hint="eastAsia" w:ascii="宋体" w:hAnsi="宋体"/>
          <w:color w:val="auto"/>
          <w:sz w:val="24"/>
          <w:highlight w:val="none"/>
        </w:rPr>
        <w:t>供应商名称：XXX</w:t>
      </w:r>
    </w:p>
    <w:p>
      <w:pPr>
        <w:keepNext w:val="0"/>
        <w:keepLines w:val="0"/>
        <w:pageBreakBefore w:val="0"/>
        <w:widowControl/>
        <w:kinsoku/>
        <w:wordWrap/>
        <w:overflowPunct/>
        <w:topLinePunct w:val="0"/>
        <w:autoSpaceDE/>
        <w:autoSpaceDN/>
        <w:bidi w:val="0"/>
        <w:adjustRightInd/>
        <w:snapToGrid/>
        <w:spacing w:line="360" w:lineRule="atLeast"/>
        <w:ind w:firstLine="480" w:firstLineChars="200"/>
        <w:jc w:val="left"/>
        <w:textAlignment w:val="auto"/>
        <w:outlineLvl w:val="1"/>
        <w:rPr>
          <w:rFonts w:ascii="宋体" w:hAnsi="宋体"/>
          <w:color w:val="auto"/>
          <w:sz w:val="24"/>
          <w:highlight w:val="none"/>
        </w:rPr>
      </w:pPr>
      <w:r>
        <w:rPr>
          <w:rFonts w:hint="eastAsia" w:ascii="宋体" w:hAnsi="宋体"/>
          <w:color w:val="auto"/>
          <w:sz w:val="24"/>
          <w:highlight w:val="none"/>
        </w:rPr>
        <w:t>法定代表人/单位负责人或授权代表（签字或加盖个人印章）：XXX</w:t>
      </w:r>
    </w:p>
    <w:p>
      <w:pPr>
        <w:keepNext w:val="0"/>
        <w:keepLines w:val="0"/>
        <w:pageBreakBefore w:val="0"/>
        <w:widowControl/>
        <w:kinsoku/>
        <w:wordWrap/>
        <w:overflowPunct/>
        <w:topLinePunct w:val="0"/>
        <w:autoSpaceDE/>
        <w:autoSpaceDN/>
        <w:bidi w:val="0"/>
        <w:adjustRightInd/>
        <w:snapToGrid/>
        <w:spacing w:line="360" w:lineRule="atLeast"/>
        <w:ind w:firstLine="480" w:firstLineChars="200"/>
        <w:jc w:val="left"/>
        <w:textAlignment w:val="auto"/>
        <w:outlineLvl w:val="1"/>
        <w:rPr>
          <w:rFonts w:ascii="宋体" w:hAnsi="宋体"/>
          <w:color w:val="auto"/>
          <w:sz w:val="24"/>
          <w:highlight w:val="none"/>
        </w:rPr>
      </w:pPr>
      <w:r>
        <w:rPr>
          <w:rFonts w:hint="eastAsia" w:ascii="宋体" w:hAnsi="宋体"/>
          <w:color w:val="auto"/>
          <w:sz w:val="24"/>
          <w:highlight w:val="none"/>
        </w:rPr>
        <w:t xml:space="preserve">日      期：XXX年XXX月XXX日 </w:t>
      </w:r>
    </w:p>
    <w:p>
      <w:pPr>
        <w:ind w:firstLine="321" w:firstLineChars="200"/>
        <w:rPr>
          <w:rFonts w:hint="eastAsia" w:ascii="宋体" w:hAnsi="宋体"/>
          <w:b/>
          <w:bCs/>
          <w:color w:val="auto"/>
          <w:sz w:val="16"/>
          <w:szCs w:val="16"/>
          <w:highlight w:val="none"/>
        </w:rPr>
      </w:pPr>
    </w:p>
    <w:p>
      <w:pPr>
        <w:rPr>
          <w:rFonts w:hint="eastAsia" w:ascii="宋体" w:hAnsi="宋体"/>
          <w:b/>
          <w:bCs/>
          <w:color w:val="auto"/>
          <w:sz w:val="16"/>
          <w:szCs w:val="16"/>
          <w:highlight w:val="none"/>
        </w:rPr>
      </w:pPr>
      <w:r>
        <w:rPr>
          <w:rFonts w:hint="eastAsia" w:ascii="宋体" w:hAnsi="宋体"/>
          <w:b/>
          <w:bCs/>
          <w:color w:val="auto"/>
          <w:sz w:val="16"/>
          <w:szCs w:val="16"/>
          <w:highlight w:val="none"/>
        </w:rPr>
        <w:t>温馨提示：</w:t>
      </w:r>
      <w:r>
        <w:rPr>
          <w:rFonts w:hint="eastAsia" w:ascii="宋体" w:hAnsi="宋体"/>
          <w:b w:val="0"/>
          <w:bCs w:val="0"/>
          <w:color w:val="auto"/>
          <w:sz w:val="16"/>
          <w:szCs w:val="16"/>
          <w:highlight w:val="none"/>
        </w:rPr>
        <w:t>最终报价表提供原件一份；供应商可将最终报价表填好，签字盖章后带到磋商现场，待响应文件通过审查后在规定时间内递交；供应商也可在磋商现场填写，但必须在磋商小组规定时间内递交，未在规定时间内递交视为自愿放弃最后报价资格。</w:t>
      </w:r>
    </w:p>
    <w:p>
      <w:pPr>
        <w:widowControl/>
        <w:spacing w:after="0" w:line="240" w:lineRule="auto"/>
        <w:jc w:val="left"/>
        <w:rPr>
          <w:color w:val="auto"/>
          <w:highlight w:val="none"/>
        </w:rPr>
        <w:sectPr>
          <w:pgSz w:w="11906" w:h="16838"/>
          <w:pgMar w:top="1440" w:right="1080" w:bottom="1440" w:left="1080" w:header="851" w:footer="992" w:gutter="0"/>
          <w:cols w:space="720" w:num="1"/>
          <w:docGrid w:type="lines" w:linePitch="312" w:charSpace="0"/>
        </w:sectPr>
      </w:pPr>
      <w:r>
        <w:rPr>
          <w:rFonts w:ascii="宋体" w:hAnsi="宋体"/>
          <w:b/>
          <w:color w:val="auto"/>
          <w:sz w:val="24"/>
          <w:szCs w:val="28"/>
          <w:highlight w:val="none"/>
        </w:rPr>
        <w:br w:type="page"/>
      </w:r>
    </w:p>
    <w:bookmarkEnd w:id="35"/>
    <w:p>
      <w:pPr>
        <w:spacing w:line="360" w:lineRule="auto"/>
        <w:rPr>
          <w:rFonts w:hint="default" w:ascii="宋体" w:hAnsi="宋体" w:eastAsia="宋体"/>
          <w:b/>
          <w:bCs/>
          <w:color w:val="auto"/>
          <w:highlight w:val="none"/>
          <w:lang w:val="en-US" w:eastAsia="zh-CN"/>
        </w:rPr>
      </w:pPr>
      <w:r>
        <w:rPr>
          <w:rFonts w:hint="eastAsia" w:ascii="宋体" w:hAnsi="宋体"/>
          <w:b/>
          <w:bCs/>
          <w:color w:val="auto"/>
          <w:highlight w:val="none"/>
        </w:rPr>
        <w:t>附件</w:t>
      </w:r>
      <w:r>
        <w:rPr>
          <w:rFonts w:hint="eastAsia" w:ascii="宋体" w:hAnsi="宋体"/>
          <w:b/>
          <w:bCs/>
          <w:color w:val="auto"/>
          <w:highlight w:val="none"/>
          <w:lang w:val="en-US" w:eastAsia="zh-CN"/>
        </w:rPr>
        <w:t>三</w:t>
      </w:r>
      <w:r>
        <w:rPr>
          <w:rFonts w:hint="eastAsia" w:ascii="宋体" w:hAnsi="宋体"/>
          <w:b/>
          <w:bCs/>
          <w:color w:val="auto"/>
          <w:highlight w:val="none"/>
        </w:rPr>
        <w:t>：四川省财政厅关于推进四川省政府采购供应商信用融资工作的通知</w:t>
      </w:r>
    </w:p>
    <w:p>
      <w:pPr>
        <w:rPr>
          <w:rFonts w:hAnsi="宋体" w:cs="宋体"/>
          <w:color w:val="auto"/>
          <w:sz w:val="18"/>
          <w:szCs w:val="18"/>
          <w:highlight w:val="none"/>
        </w:rPr>
      </w:pPr>
      <w:r>
        <w:rPr>
          <w:rFonts w:hAnsi="宋体" w:cs="宋体"/>
          <w:color w:val="auto"/>
          <w:sz w:val="18"/>
          <w:szCs w:val="18"/>
          <w:highlight w:val="none"/>
        </w:rPr>
        <w:drawing>
          <wp:inline distT="0" distB="0" distL="114300" distR="114300">
            <wp:extent cx="5838825" cy="1713865"/>
            <wp:effectExtent l="0" t="0" r="9525" b="63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4"/>
                    <a:stretch>
                      <a:fillRect/>
                    </a:stretch>
                  </pic:blipFill>
                  <pic:spPr>
                    <a:xfrm>
                      <a:off x="0" y="0"/>
                      <a:ext cx="5838825" cy="1713865"/>
                    </a:xfrm>
                    <a:prstGeom prst="rect">
                      <a:avLst/>
                    </a:prstGeom>
                    <a:noFill/>
                    <a:ln>
                      <a:noFill/>
                    </a:ln>
                  </pic:spPr>
                </pic:pic>
              </a:graphicData>
            </a:graphic>
          </wp:inline>
        </w:drawing>
      </w:r>
    </w:p>
    <w:p>
      <w:pPr>
        <w:widowControl/>
        <w:shd w:val="clear" w:color="auto" w:fill="FFFFFF"/>
        <w:spacing w:before="100" w:beforeAutospacing="1" w:line="480" w:lineRule="auto"/>
        <w:jc w:val="left"/>
        <w:rPr>
          <w:rFonts w:hAnsi="宋体" w:cs="Times New Roman"/>
          <w:color w:val="auto"/>
          <w:sz w:val="24"/>
          <w:szCs w:val="24"/>
          <w:highlight w:val="none"/>
        </w:rPr>
      </w:pPr>
      <w:r>
        <w:rPr>
          <w:rFonts w:hint="eastAsia" w:hAnsi="宋体" w:cs="宋体"/>
          <w:color w:val="auto"/>
          <w:sz w:val="32"/>
          <w:szCs w:val="32"/>
          <w:highlight w:val="none"/>
        </w:rPr>
        <w:t xml:space="preserve">  </w:t>
      </w:r>
      <w:r>
        <w:rPr>
          <w:rFonts w:hint="eastAsia" w:hAnsi="宋体" w:cs="Times New Roman"/>
          <w:color w:val="auto"/>
          <w:sz w:val="24"/>
          <w:szCs w:val="24"/>
          <w:highlight w:val="none"/>
        </w:rPr>
        <w:t>各市（州）、扩权县（市）财政局，各省直机关、事业单位、团体组织，各金融机构，各采购代理机构，各政府采购供应商：</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为贯彻落实党的十九大精神、国务院“放管服”改革决策部署、省委十一届三次全会“大力推进创新驱动发展战略”精神，助力解决政府采购中标、成交供应商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一、融资概念</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widowControl/>
        <w:shd w:val="clear" w:color="auto" w:fill="FFFFFF"/>
        <w:spacing w:line="580" w:lineRule="atLeast"/>
        <w:ind w:left="634"/>
        <w:jc w:val="left"/>
        <w:rPr>
          <w:rFonts w:hAnsi="宋体" w:cs="Times New Roman"/>
          <w:color w:val="auto"/>
          <w:sz w:val="24"/>
          <w:szCs w:val="24"/>
          <w:highlight w:val="none"/>
        </w:rPr>
      </w:pPr>
      <w:r>
        <w:rPr>
          <w:rFonts w:hint="eastAsia" w:hAnsi="宋体" w:cs="Times New Roman"/>
          <w:color w:val="auto"/>
          <w:sz w:val="24"/>
          <w:szCs w:val="24"/>
          <w:highlight w:val="none"/>
        </w:rPr>
        <w:t>二、基本原则</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（一）财政引导，市场运行</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财政部门推进“政采贷”，银行和供应商按照自愿原则参与。供应商自愿选择是否申请“政采贷”，银行依据其内部审查制度和决策程序决定是否为供应商提供融资，自担风险。</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（二）建立机制，服务银企</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财政部门与银行建立“政采贷”工作机制，推动政府采购政策功能和金融资源的有机结合，拓宽银行的融资业务，助力解决政府采购中标、成交供应商资金不足、融资难、融资贵的困难，促进企业健康发展。</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（三）优质优惠，加强扶持</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三、基本条件</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（一）银行暨“政采贷”金融产品</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1、征集。</w:t>
      </w:r>
      <w:r>
        <w:rPr>
          <w:rFonts w:hint="eastAsia" w:hAnsi="宋体" w:cs="Times New Roman"/>
          <w:color w:val="auto"/>
          <w:sz w:val="24"/>
          <w:szCs w:val="24"/>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申请材料应当包括银行基本情况、“政采贷”产品名称、申请贷款条件、申请贷款方式、申请贷款程序、贷款审查流程、贷款额度、发放贷款时间、收款方式及其他优质服务和优惠承诺等。</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银行提供的“政采贷”产品应当满足“无抵押担保、程序简便、利率优惠、放款及时”的基本条件以及本通知其他相关规定。</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银行申请材料中应当载明其自愿提供“政采贷”产品，自担风险，不得要求或者变相要求财政部门和采购人为其提供风险担保、承诺。</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2、公示。</w:t>
      </w:r>
      <w:r>
        <w:rPr>
          <w:rFonts w:hint="eastAsia" w:hAnsi="宋体" w:cs="Times New Roman"/>
          <w:color w:val="auto"/>
          <w:sz w:val="24"/>
          <w:szCs w:val="24"/>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（二）供应商</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政府采购供应商向银行申请“政采贷”，应当满足下列基本条件：</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1、</w:t>
      </w:r>
      <w:r>
        <w:rPr>
          <w:rFonts w:hint="eastAsia" w:hAnsi="宋体" w:cs="Times New Roman"/>
          <w:color w:val="auto"/>
          <w:sz w:val="24"/>
          <w:szCs w:val="24"/>
          <w:highlight w:val="none"/>
        </w:rPr>
        <w:t>具有依法承担民事责任的能力；</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2、</w:t>
      </w:r>
      <w:r>
        <w:rPr>
          <w:rFonts w:hint="eastAsia" w:hAnsi="宋体" w:cs="Times New Roman"/>
          <w:color w:val="auto"/>
          <w:sz w:val="24"/>
          <w:szCs w:val="24"/>
          <w:highlight w:val="none"/>
        </w:rPr>
        <w:t>具有依法履行政府采购合同的能力；</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3、</w:t>
      </w:r>
      <w:r>
        <w:rPr>
          <w:rFonts w:hint="eastAsia" w:hAnsi="宋体" w:cs="Times New Roman"/>
          <w:color w:val="auto"/>
          <w:sz w:val="24"/>
          <w:szCs w:val="24"/>
          <w:highlight w:val="none"/>
        </w:rPr>
        <w:t>参加的政府采购活动未被财政部门依法暂停、责令重新开展或者认定中标、成交无效；</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4、</w:t>
      </w:r>
      <w:r>
        <w:rPr>
          <w:rFonts w:hint="eastAsia" w:hAnsi="宋体" w:cs="Times New Roman"/>
          <w:color w:val="auto"/>
          <w:sz w:val="24"/>
          <w:szCs w:val="24"/>
          <w:highlight w:val="none"/>
        </w:rPr>
        <w:t>无《政府采购法》第二十二条第一款第（五）项所称的重大违法记录；</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5、</w:t>
      </w:r>
      <w:r>
        <w:rPr>
          <w:rFonts w:hint="eastAsia" w:hAnsi="宋体" w:cs="Times New Roman"/>
          <w:color w:val="auto"/>
          <w:sz w:val="24"/>
          <w:szCs w:val="24"/>
          <w:highlight w:val="none"/>
        </w:rPr>
        <w:t>未被法院、市场监管、税务、银行等部门单位纳入失信名单且在有效期内；</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6、</w:t>
      </w:r>
      <w:r>
        <w:rPr>
          <w:rFonts w:hint="eastAsia" w:hAnsi="宋体" w:cs="Times New Roman"/>
          <w:color w:val="auto"/>
          <w:sz w:val="24"/>
          <w:szCs w:val="24"/>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7、</w:t>
      </w:r>
      <w:r>
        <w:rPr>
          <w:rFonts w:hint="eastAsia" w:hAnsi="宋体" w:cs="Times New Roman"/>
          <w:color w:val="auto"/>
          <w:sz w:val="24"/>
          <w:szCs w:val="24"/>
          <w:highlight w:val="none"/>
        </w:rPr>
        <w:t>其他银行要求的不属于提供财产抵押或第三方担保的条件。</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四、构建平台</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四川省财政厅将在四川政府采购网统一构建四川省“政采贷”信息化服务平台，推进四川省“政采贷”工作信息化建设。</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五、财金互动</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六、基本流程</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（一）意向申请</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（二）正式申请</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widowControl/>
        <w:shd w:val="clear" w:color="auto" w:fill="FFFFFF"/>
        <w:spacing w:line="580" w:lineRule="atLeast"/>
        <w:ind w:firstLine="622"/>
        <w:jc w:val="left"/>
        <w:rPr>
          <w:rFonts w:hAnsi="宋体" w:cs="Times New Roman"/>
          <w:color w:val="auto"/>
          <w:sz w:val="24"/>
          <w:szCs w:val="24"/>
          <w:highlight w:val="none"/>
        </w:rPr>
      </w:pPr>
      <w:r>
        <w:rPr>
          <w:rFonts w:hint="eastAsia" w:hAnsi="宋体" w:cs="Times New Roman"/>
          <w:b/>
          <w:bCs/>
          <w:color w:val="auto"/>
          <w:sz w:val="24"/>
          <w:szCs w:val="24"/>
          <w:highlight w:val="none"/>
        </w:rPr>
        <w:t>（三）贷款审查</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（四）信息报送</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（五）资金支付</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政府采购资金支付过程中，银行需要查询采购资金支付进程有关信息的，财政部门和采购人应当支持。</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七、职责要求</w:t>
      </w:r>
    </w:p>
    <w:p>
      <w:pPr>
        <w:widowControl/>
        <w:shd w:val="clear" w:color="auto" w:fill="FFFFFF"/>
        <w:spacing w:line="580" w:lineRule="atLeast"/>
        <w:ind w:firstLine="622"/>
        <w:jc w:val="left"/>
        <w:rPr>
          <w:rFonts w:hAnsi="宋体" w:cs="Times New Roman"/>
          <w:color w:val="auto"/>
          <w:sz w:val="24"/>
          <w:szCs w:val="24"/>
          <w:highlight w:val="none"/>
        </w:rPr>
      </w:pPr>
      <w:r>
        <w:rPr>
          <w:rFonts w:hint="eastAsia" w:hAnsi="宋体" w:cs="Times New Roman"/>
          <w:b/>
          <w:bCs/>
          <w:color w:val="auto"/>
          <w:sz w:val="24"/>
          <w:szCs w:val="24"/>
          <w:highlight w:val="none"/>
        </w:rPr>
        <w:t>（一）</w:t>
      </w:r>
      <w:r>
        <w:rPr>
          <w:rFonts w:hint="eastAsia" w:hAnsi="宋体" w:cs="Times New Roman"/>
          <w:color w:val="auto"/>
          <w:sz w:val="24"/>
          <w:szCs w:val="24"/>
          <w:highlight w:val="none"/>
        </w:rPr>
        <w:t xml:space="preserve">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 </w:t>
      </w:r>
    </w:p>
    <w:p>
      <w:pPr>
        <w:widowControl/>
        <w:shd w:val="clear" w:color="auto" w:fill="FFFFFF"/>
        <w:spacing w:line="580" w:lineRule="atLeast"/>
        <w:ind w:firstLine="622"/>
        <w:jc w:val="left"/>
        <w:rPr>
          <w:rFonts w:hAnsi="宋体" w:cs="Times New Roman"/>
          <w:color w:val="auto"/>
          <w:sz w:val="24"/>
          <w:szCs w:val="24"/>
          <w:highlight w:val="none"/>
        </w:rPr>
      </w:pPr>
      <w:r>
        <w:rPr>
          <w:rFonts w:hint="eastAsia" w:hAnsi="宋体" w:cs="Times New Roman"/>
          <w:b/>
          <w:bCs/>
          <w:color w:val="auto"/>
          <w:sz w:val="24"/>
          <w:szCs w:val="24"/>
          <w:highlight w:val="none"/>
        </w:rPr>
        <w:t>（二）</w:t>
      </w:r>
      <w:r>
        <w:rPr>
          <w:rFonts w:hint="eastAsia" w:hAnsi="宋体" w:cs="Times New Roman"/>
          <w:color w:val="auto"/>
          <w:sz w:val="24"/>
          <w:szCs w:val="24"/>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（三）</w:t>
      </w:r>
      <w:r>
        <w:rPr>
          <w:rFonts w:hint="eastAsia" w:hAnsi="宋体" w:cs="Times New Roman"/>
          <w:color w:val="auto"/>
          <w:sz w:val="24"/>
          <w:szCs w:val="24"/>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widowControl/>
        <w:shd w:val="clear" w:color="auto" w:fill="FFFFFF"/>
        <w:spacing w:line="580" w:lineRule="atLeast"/>
        <w:ind w:firstLine="622"/>
        <w:jc w:val="left"/>
        <w:rPr>
          <w:rFonts w:hAnsi="宋体" w:cs="Times New Roman"/>
          <w:color w:val="auto"/>
          <w:sz w:val="24"/>
          <w:szCs w:val="24"/>
          <w:highlight w:val="none"/>
        </w:rPr>
      </w:pPr>
      <w:r>
        <w:rPr>
          <w:rFonts w:hint="eastAsia" w:hAnsi="宋体" w:cs="Times New Roman"/>
          <w:b/>
          <w:bCs/>
          <w:color w:val="auto"/>
          <w:sz w:val="24"/>
          <w:szCs w:val="24"/>
          <w:highlight w:val="none"/>
        </w:rPr>
        <w:t>（四）</w:t>
      </w:r>
      <w:r>
        <w:rPr>
          <w:rFonts w:hint="eastAsia" w:hAnsi="宋体" w:cs="Times New Roman"/>
          <w:color w:val="auto"/>
          <w:sz w:val="24"/>
          <w:szCs w:val="24"/>
          <w:highlight w:val="none"/>
        </w:rPr>
        <w:t>采购代理机构在组织实施政府采购活动中，应当采取有效方式，向供应商宣传“政采贷”政策。银行需要借用采购代理机构的场所直接向供应商介绍其“政采贷”产品的，采购代理机构应当支持。</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（五）</w:t>
      </w:r>
      <w:r>
        <w:rPr>
          <w:rFonts w:hint="eastAsia" w:hAnsi="宋体" w:cs="Times New Roman"/>
          <w:color w:val="auto"/>
          <w:sz w:val="24"/>
          <w:szCs w:val="24"/>
          <w:highlight w:val="none"/>
        </w:rPr>
        <w:t>供应商应当依法参加政府采购活动，公平竞争，诚实守信，严格按照政府采购合同履约，严格按照借款合同偿还债务。</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（六）</w:t>
      </w:r>
      <w:r>
        <w:rPr>
          <w:rFonts w:hint="eastAsia" w:hAnsi="宋体" w:cs="Times New Roman"/>
          <w:color w:val="auto"/>
          <w:sz w:val="24"/>
          <w:szCs w:val="24"/>
          <w:highlight w:val="none"/>
        </w:rPr>
        <w:t>财政部门、采购人、采购代理机构及其他有关单位和个人不得违规干预供应商选择“政采贷”银行及其产品，也不得违规干预银行向供应商进行贷款。</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（七）</w:t>
      </w:r>
      <w:r>
        <w:rPr>
          <w:rFonts w:hint="eastAsia" w:hAnsi="宋体" w:cs="Times New Roman"/>
          <w:color w:val="auto"/>
          <w:sz w:val="24"/>
          <w:szCs w:val="24"/>
          <w:highlight w:val="none"/>
        </w:rPr>
        <w:t>相关单位和个人在开展“政采贷”工作过程中，发现新问题、新情况或者有意见建议的，请及时向四川省财政厅反馈。</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八、违规处理</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（一）银行违规处理</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（二）供应商违规处理</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b/>
          <w:bCs/>
          <w:color w:val="auto"/>
          <w:sz w:val="24"/>
          <w:szCs w:val="24"/>
          <w:highlight w:val="none"/>
        </w:rPr>
        <w:t>（三）其他违规处理</w:t>
      </w:r>
    </w:p>
    <w:p>
      <w:pPr>
        <w:widowControl/>
        <w:shd w:val="clear" w:color="auto" w:fill="FFFFFF"/>
        <w:spacing w:line="580" w:lineRule="atLeast"/>
        <w:ind w:firstLine="628"/>
        <w:jc w:val="left"/>
        <w:rPr>
          <w:rFonts w:hAnsi="宋体" w:cs="Times New Roman"/>
          <w:color w:val="auto"/>
          <w:sz w:val="24"/>
          <w:szCs w:val="24"/>
          <w:highlight w:val="none"/>
        </w:rPr>
      </w:pPr>
      <w:r>
        <w:rPr>
          <w:rFonts w:hint="eastAsia" w:hAnsi="宋体" w:cs="Times New Roman"/>
          <w:color w:val="auto"/>
          <w:sz w:val="24"/>
          <w:szCs w:val="24"/>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widowControl/>
        <w:shd w:val="clear" w:color="auto" w:fill="FFFFFF"/>
        <w:spacing w:line="580" w:lineRule="atLeast"/>
        <w:ind w:firstLine="628"/>
        <w:jc w:val="left"/>
        <w:rPr>
          <w:rFonts w:hAnsi="宋体" w:cs="Times New Roman"/>
          <w:color w:val="auto"/>
          <w:sz w:val="24"/>
          <w:szCs w:val="24"/>
          <w:highlight w:val="none"/>
        </w:rPr>
      </w:pPr>
      <w:r>
        <w:rPr>
          <w:rFonts w:hAnsi="宋体" w:cs="Times New Roman"/>
          <w:color w:val="auto"/>
          <w:sz w:val="24"/>
          <w:szCs w:val="24"/>
          <w:highlight w:val="none"/>
        </w:rPr>
        <w:t> </w:t>
      </w:r>
      <w:r>
        <w:rPr>
          <w:rFonts w:hint="eastAsia" w:hAnsi="宋体" w:cs="Times New Roman"/>
          <w:color w:val="auto"/>
          <w:sz w:val="24"/>
          <w:szCs w:val="24"/>
          <w:highlight w:val="none"/>
        </w:rPr>
        <w:t>附件：四川省“政采贷”信息统计表</w:t>
      </w:r>
    </w:p>
    <w:p>
      <w:pPr>
        <w:widowControl/>
        <w:shd w:val="clear" w:color="auto" w:fill="FFFFFF"/>
        <w:spacing w:before="100" w:beforeAutospacing="1" w:after="240" w:line="720" w:lineRule="auto"/>
        <w:jc w:val="right"/>
        <w:rPr>
          <w:rFonts w:hAnsi="宋体" w:cs="宋体"/>
          <w:color w:val="auto"/>
          <w:sz w:val="18"/>
          <w:szCs w:val="18"/>
          <w:highlight w:val="none"/>
        </w:rPr>
      </w:pPr>
      <w:r>
        <w:rPr>
          <w:rFonts w:hAnsi="宋体" w:cs="宋体"/>
          <w:color w:val="auto"/>
          <w:sz w:val="18"/>
          <w:szCs w:val="18"/>
          <w:highlight w:val="none"/>
        </w:rPr>
        <w:drawing>
          <wp:inline distT="0" distB="0" distL="114300" distR="114300">
            <wp:extent cx="1181735" cy="1085215"/>
            <wp:effectExtent l="0" t="0" r="18415" b="6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5"/>
                    <a:stretch>
                      <a:fillRect/>
                    </a:stretch>
                  </pic:blipFill>
                  <pic:spPr>
                    <a:xfrm>
                      <a:off x="0" y="0"/>
                      <a:ext cx="1181735" cy="1085215"/>
                    </a:xfrm>
                    <a:prstGeom prst="rect">
                      <a:avLst/>
                    </a:prstGeom>
                    <a:noFill/>
                    <a:ln>
                      <a:noFill/>
                    </a:ln>
                  </pic:spPr>
                </pic:pic>
              </a:graphicData>
            </a:graphic>
          </wp:inline>
        </w:drawing>
      </w:r>
    </w:p>
    <w:p>
      <w:pPr>
        <w:pStyle w:val="29"/>
        <w:ind w:firstLine="210"/>
        <w:rPr>
          <w:rFonts w:ascii="宋体" w:hAnsi="宋体"/>
          <w:color w:val="auto"/>
          <w:highlight w:val="none"/>
        </w:rPr>
      </w:pPr>
    </w:p>
    <w:p>
      <w:pPr>
        <w:rPr>
          <w:rFonts w:hint="eastAsia" w:ascii="宋体" w:hAnsi="宋体"/>
          <w:b/>
          <w:bCs/>
          <w:color w:val="auto"/>
          <w:highlight w:val="none"/>
          <w:lang w:val="en-US" w:eastAsia="zh-CN"/>
        </w:rPr>
      </w:pPr>
      <w:r>
        <w:rPr>
          <w:rFonts w:hint="eastAsia" w:ascii="宋体" w:hAnsi="宋体"/>
          <w:b/>
          <w:bCs/>
          <w:color w:val="auto"/>
          <w:highlight w:val="none"/>
          <w:lang w:val="en-US" w:eastAsia="zh-CN"/>
        </w:rPr>
        <w:br w:type="page"/>
      </w:r>
    </w:p>
    <w:p>
      <w:pPr>
        <w:spacing w:line="360" w:lineRule="auto"/>
        <w:rPr>
          <w:rFonts w:hint="eastAsia" w:ascii="宋体" w:hAnsi="宋体"/>
          <w:b/>
          <w:bCs/>
          <w:color w:val="auto"/>
          <w:highlight w:val="none"/>
          <w:lang w:val="en-US" w:eastAsia="zh-CN"/>
        </w:rPr>
      </w:pPr>
      <w:r>
        <w:rPr>
          <w:rFonts w:hint="eastAsia" w:ascii="宋体" w:hAnsi="宋体"/>
          <w:b/>
          <w:bCs/>
          <w:color w:val="auto"/>
          <w:highlight w:val="none"/>
          <w:lang w:val="en-US" w:eastAsia="zh-CN"/>
        </w:rPr>
        <w:t>附件四：</w:t>
      </w:r>
    </w:p>
    <w:p>
      <w:pPr>
        <w:pStyle w:val="2"/>
        <w:rPr>
          <w:rFonts w:hint="default"/>
          <w:color w:val="auto"/>
          <w:highlight w:val="none"/>
          <w:lang w:val="en-US" w:eastAsia="zh-CN"/>
        </w:rPr>
      </w:pPr>
      <w:r>
        <w:rPr>
          <w:rFonts w:hint="eastAsia" w:ascii="宋体" w:hAnsi="宋体"/>
          <w:color w:val="auto"/>
          <w:highlight w:val="none"/>
        </w:rPr>
        <w:drawing>
          <wp:inline distT="0" distB="0" distL="0" distR="0">
            <wp:extent cx="5971540" cy="7998460"/>
            <wp:effectExtent l="0" t="0" r="1016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r>
        <w:rPr>
          <w:rFonts w:hint="eastAsia" w:ascii="宋体" w:hAnsi="宋体"/>
          <w:color w:val="auto"/>
          <w:highlight w:val="none"/>
        </w:rPr>
        <w:drawing>
          <wp:inline distT="0" distB="0" distL="0" distR="0">
            <wp:extent cx="5910580" cy="8364220"/>
            <wp:effectExtent l="0" t="0" r="1397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r>
        <w:rPr>
          <w:rFonts w:hint="eastAsia" w:ascii="宋体" w:hAnsi="宋体"/>
          <w:color w:val="auto"/>
          <w:highlight w:val="none"/>
        </w:rPr>
        <w:drawing>
          <wp:inline distT="0" distB="0" distL="0" distR="0">
            <wp:extent cx="5930900" cy="7664450"/>
            <wp:effectExtent l="0" t="0" r="12700"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r>
        <w:rPr>
          <w:rFonts w:hint="eastAsia" w:ascii="宋体" w:hAnsi="宋体"/>
          <w:color w:val="auto"/>
          <w:highlight w:val="none"/>
        </w:rPr>
        <w:drawing>
          <wp:inline distT="0" distB="0" distL="0" distR="0">
            <wp:extent cx="5882640" cy="832485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r>
        <w:rPr>
          <w:rFonts w:hint="eastAsia" w:ascii="宋体" w:hAnsi="宋体"/>
          <w:color w:val="auto"/>
          <w:highlight w:val="none"/>
        </w:rPr>
        <w:drawing>
          <wp:inline distT="0" distB="0" distL="0" distR="0">
            <wp:extent cx="5859780" cy="7603490"/>
            <wp:effectExtent l="0" t="0" r="7620" b="165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r>
        <w:rPr>
          <w:rFonts w:hint="eastAsia" w:ascii="宋体" w:hAnsi="宋体"/>
          <w:color w:val="auto"/>
          <w:highlight w:val="none"/>
        </w:rPr>
        <w:drawing>
          <wp:inline distT="0" distB="0" distL="0" distR="0">
            <wp:extent cx="5875655" cy="8314690"/>
            <wp:effectExtent l="0" t="0" r="10795"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r>
        <w:rPr>
          <w:rFonts w:hint="eastAsia" w:ascii="宋体" w:hAnsi="宋体"/>
          <w:color w:val="auto"/>
          <w:highlight w:val="none"/>
        </w:rPr>
        <w:drawing>
          <wp:inline distT="0" distB="0" distL="0" distR="0">
            <wp:extent cx="5970905" cy="8053705"/>
            <wp:effectExtent l="0" t="0" r="1079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r>
        <w:rPr>
          <w:rFonts w:hint="eastAsia" w:ascii="宋体" w:hAnsi="宋体"/>
          <w:color w:val="auto"/>
          <w:highlight w:val="none"/>
        </w:rPr>
        <w:drawing>
          <wp:inline distT="0" distB="0" distL="0" distR="0">
            <wp:extent cx="5920105" cy="8364220"/>
            <wp:effectExtent l="0" t="0" r="4445" b="177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r>
        <w:rPr>
          <w:rFonts w:hint="eastAsia" w:ascii="宋体" w:hAnsi="宋体"/>
          <w:color w:val="auto"/>
          <w:highlight w:val="none"/>
        </w:rPr>
        <w:drawing>
          <wp:inline distT="0" distB="0" distL="0" distR="0">
            <wp:extent cx="5868035" cy="7672705"/>
            <wp:effectExtent l="0" t="0" r="1841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r>
        <w:rPr>
          <w:rFonts w:hint="eastAsia" w:ascii="宋体" w:hAnsi="宋体"/>
          <w:color w:val="auto"/>
          <w:highlight w:val="none"/>
        </w:rPr>
        <w:drawing>
          <wp:inline distT="0" distB="0" distL="0" distR="0">
            <wp:extent cx="5899785" cy="8348980"/>
            <wp:effectExtent l="0" t="0" r="5715"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r>
        <w:rPr>
          <w:rFonts w:hint="eastAsia" w:ascii="宋体" w:hAnsi="宋体"/>
          <w:color w:val="auto"/>
          <w:highlight w:val="none"/>
        </w:rPr>
        <w:drawing>
          <wp:inline distT="0" distB="0" distL="0" distR="0">
            <wp:extent cx="5923280" cy="7786370"/>
            <wp:effectExtent l="0" t="0" r="1270"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r>
        <w:rPr>
          <w:rFonts w:hint="eastAsia" w:ascii="宋体" w:hAnsi="宋体"/>
          <w:color w:val="auto"/>
          <w:highlight w:val="none"/>
        </w:rPr>
        <w:drawing>
          <wp:inline distT="0" distB="0" distL="0" distR="0">
            <wp:extent cx="5899785" cy="8335010"/>
            <wp:effectExtent l="0" t="0" r="5715"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r>
        <w:rPr>
          <w:rFonts w:hint="eastAsia" w:ascii="宋体" w:hAnsi="宋体"/>
          <w:color w:val="auto"/>
          <w:highlight w:val="none"/>
        </w:rPr>
        <w:drawing>
          <wp:inline distT="0" distB="0" distL="0" distR="0">
            <wp:extent cx="6010910" cy="7740015"/>
            <wp:effectExtent l="0" t="0" r="8890"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r>
        <w:rPr>
          <w:rFonts w:hint="eastAsia" w:ascii="宋体" w:hAnsi="宋体"/>
          <w:color w:val="auto"/>
          <w:highlight w:val="none"/>
        </w:rPr>
        <w:drawing>
          <wp:inline distT="0" distB="0" distL="0" distR="0">
            <wp:extent cx="5899785" cy="8348980"/>
            <wp:effectExtent l="0" t="0" r="5715" b="139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r>
        <w:rPr>
          <w:rFonts w:hint="eastAsia" w:ascii="宋体" w:hAnsi="宋体"/>
          <w:color w:val="auto"/>
          <w:highlight w:val="none"/>
        </w:rPr>
        <w:drawing>
          <wp:inline distT="0" distB="0" distL="0" distR="0">
            <wp:extent cx="5970905" cy="7463790"/>
            <wp:effectExtent l="0" t="0" r="10795"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footerReference r:id="rId11" w:type="default"/>
      <w:footerReference r:id="rId12" w:type="even"/>
      <w:pgSz w:w="11906" w:h="16838"/>
      <w:pgMar w:top="720" w:right="1274" w:bottom="720" w:left="1276"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monospace">
    <w:altName w:val="Segoe Print"/>
    <w:panose1 w:val="00000000000000000000"/>
    <w:charset w:val="00"/>
    <w:family w:val="auto"/>
    <w:pitch w:val="default"/>
    <w:sig w:usb0="00000000" w:usb1="00000000" w:usb2="00000000" w:usb3="00000000" w:csb0="00000000" w:csb1="00000000"/>
  </w:font>
  <w:font w:name="Eʩ">
    <w:altName w:val="微软雅黑"/>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4"/>
      </w:rPr>
    </w:pPr>
    <w:r>
      <w:fldChar w:fldCharType="begin"/>
    </w:r>
    <w:r>
      <w:rPr>
        <w:rStyle w:val="34"/>
      </w:rPr>
      <w:instrText xml:space="preserve">PAGE  </w:instrText>
    </w:r>
    <w:r>
      <w:fldChar w:fldCharType="separate"/>
    </w:r>
    <w:r>
      <w:rPr>
        <w:rStyle w:val="34"/>
      </w:rPr>
      <w:t>3</w:t>
    </w:r>
    <w: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4"/>
      </w:rPr>
    </w:pPr>
    <w:r>
      <w:fldChar w:fldCharType="begin"/>
    </w:r>
    <w:r>
      <w:rPr>
        <w:rStyle w:val="34"/>
      </w:rPr>
      <w:instrText xml:space="preserve">PAGE  </w:instrText>
    </w:r>
    <w:r>
      <w:fldChar w:fldCharType="separate"/>
    </w:r>
    <w:r>
      <w:rPr>
        <w:rStyle w:val="34"/>
      </w:rPr>
      <w:t>2</w: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4"/>
      </w:rPr>
    </w:pPr>
    <w:r>
      <w:fldChar w:fldCharType="begin"/>
    </w:r>
    <w:r>
      <w:rPr>
        <w:rStyle w:val="34"/>
      </w:rPr>
      <w:instrText xml:space="preserve">PAGE  </w:instrText>
    </w:r>
    <w:r>
      <w:fldChar w:fldCharType="separate"/>
    </w:r>
    <w:r>
      <w:rPr>
        <w:rStyle w:val="34"/>
      </w:rPr>
      <w:t>69</w:t>
    </w:r>
    <w:r>
      <w:fldChar w:fldCharType="end"/>
    </w:r>
  </w:p>
  <w:p>
    <w:pPr>
      <w:pStyle w:val="18"/>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4"/>
      </w:rPr>
    </w:pPr>
    <w:r>
      <w:fldChar w:fldCharType="begin"/>
    </w:r>
    <w:r>
      <w:rPr>
        <w:rStyle w:val="34"/>
      </w:rPr>
      <w:instrText xml:space="preserve">PAGE  </w:instrText>
    </w:r>
    <w:r>
      <w:fldChar w:fldCharType="separate"/>
    </w:r>
    <w:r>
      <w:rPr>
        <w:rStyle w:val="34"/>
      </w:rPr>
      <w:t>99</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4"/>
      </w:rPr>
    </w:pPr>
    <w:r>
      <w:fldChar w:fldCharType="begin"/>
    </w:r>
    <w:r>
      <w:rPr>
        <w:rStyle w:val="34"/>
      </w:rPr>
      <w:instrText xml:space="preserve">PAGE  </w:instrText>
    </w:r>
    <w:r>
      <w:fldChar w:fldCharType="separate"/>
    </w:r>
    <w:r>
      <w:rPr>
        <w:rStyle w:val="34"/>
      </w:rPr>
      <w:t>100</w:t>
    </w:r>
    <w:r>
      <w:fldChar w:fldCharType="end"/>
    </w: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tab/>
    </w:r>
    <w:r>
      <w:drawing>
        <wp:inline distT="0" distB="0" distL="0" distR="0">
          <wp:extent cx="1771650" cy="247650"/>
          <wp:effectExtent l="0" t="0" r="0" b="0"/>
          <wp:docPr id="29" name="图片 29" descr="C:\Users\ADMINI~1\AppData\Local\Temp\ksohtml72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1\AppData\Local\Temp\ksohtml7252\wp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47650"/>
                  </a:xfrm>
                  <a:prstGeom prst="rect">
                    <a:avLst/>
                  </a:prstGeom>
                  <a:noFill/>
                  <a:ln>
                    <a:noFill/>
                  </a:ln>
                </pic:spPr>
              </pic:pic>
            </a:graphicData>
          </a:graphic>
        </wp:inline>
      </w:drawing>
    </w:r>
    <w:r>
      <w:rPr>
        <w:rFonts w:hint="eastAsia" w:ascii="宋体" w:hAnsi="宋体"/>
      </w:rPr>
      <w:t xml:space="preserve">                                                   </w:t>
    </w:r>
    <w:r>
      <w:rPr>
        <w:rFonts w:hint="eastAsia" w:ascii="黑体" w:hAnsi="黑体" w:eastAsia="黑体"/>
        <w:sz w:val="16"/>
        <w:szCs w:val="16"/>
      </w:rPr>
      <w:t>公开 透明 公平 诚信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inline distT="0" distB="0" distL="0" distR="0">
          <wp:extent cx="1771650" cy="247650"/>
          <wp:effectExtent l="0" t="0" r="0" b="0"/>
          <wp:docPr id="28" name="图片 28" descr="C:\Users\ADMINI~1\AppData\Local\Temp\ksohtml72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1\AppData\Local\Temp\ksohtml7252\wp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47650"/>
                  </a:xfrm>
                  <a:prstGeom prst="rect">
                    <a:avLst/>
                  </a:prstGeom>
                  <a:noFill/>
                  <a:ln>
                    <a:noFill/>
                  </a:ln>
                </pic:spPr>
              </pic:pic>
            </a:graphicData>
          </a:graphic>
        </wp:inline>
      </w:drawing>
    </w:r>
    <w:r>
      <w:rPr>
        <w:rFonts w:hint="eastAsia" w:ascii="宋体" w:hAnsi="宋体"/>
      </w:rPr>
      <w:t xml:space="preserve">                                                   </w:t>
    </w:r>
    <w:r>
      <w:rPr>
        <w:rFonts w:hint="eastAsia" w:ascii="黑体" w:hAnsi="黑体" w:eastAsia="黑体"/>
        <w:sz w:val="16"/>
        <w:szCs w:val="16"/>
      </w:rPr>
      <w:t>公开 透明 公平 诚信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drawing>
        <wp:inline distT="0" distB="0" distL="0" distR="0">
          <wp:extent cx="1771650" cy="247650"/>
          <wp:effectExtent l="0" t="0" r="0" b="0"/>
          <wp:docPr id="2" name="图片 2" descr="C:\Users\ADMINI~1\AppData\Local\Temp\ksohtml72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ksohtml7252\wp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47650"/>
                  </a:xfrm>
                  <a:prstGeom prst="rect">
                    <a:avLst/>
                  </a:prstGeom>
                  <a:noFill/>
                  <a:ln>
                    <a:noFill/>
                  </a:ln>
                </pic:spPr>
              </pic:pic>
            </a:graphicData>
          </a:graphic>
        </wp:inline>
      </w:drawing>
    </w:r>
    <w:r>
      <w:rPr>
        <w:rFonts w:hint="eastAsia" w:ascii="宋体" w:hAnsi="宋体"/>
      </w:rPr>
      <w:t xml:space="preserve">                                             </w:t>
    </w:r>
    <w:r>
      <w:rPr>
        <w:rFonts w:hint="eastAsia" w:ascii="宋体" w:hAnsi="宋体"/>
        <w:lang w:val="en-US" w:eastAsia="zh-CN"/>
      </w:rPr>
      <w:t xml:space="preserve">               </w:t>
    </w:r>
    <w:r>
      <w:rPr>
        <w:rFonts w:hint="eastAsia" w:ascii="黑体" w:hAnsi="黑体" w:eastAsia="黑体"/>
        <w:sz w:val="16"/>
        <w:szCs w:val="16"/>
      </w:rPr>
      <w:t>公开 透明 公平 诚信</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tab/>
    </w:r>
    <w:r>
      <w:drawing>
        <wp:inline distT="0" distB="0" distL="0" distR="0">
          <wp:extent cx="1771650" cy="247650"/>
          <wp:effectExtent l="0" t="0" r="0" b="0"/>
          <wp:docPr id="31" name="图片 31" descr="C:\Users\ADMINI~1\AppData\Local\Temp\ksohtml72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ksohtml7252\wp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47650"/>
                  </a:xfrm>
                  <a:prstGeom prst="rect">
                    <a:avLst/>
                  </a:prstGeom>
                  <a:noFill/>
                  <a:ln>
                    <a:noFill/>
                  </a:ln>
                </pic:spPr>
              </pic:pic>
            </a:graphicData>
          </a:graphic>
        </wp:inline>
      </w:drawing>
    </w:r>
    <w:r>
      <w:rPr>
        <w:rFonts w:hint="eastAsia" w:ascii="宋体" w:hAnsi="宋体"/>
      </w:rPr>
      <w:t xml:space="preserve">                                            </w:t>
    </w:r>
    <w:r>
      <w:rPr>
        <w:rFonts w:hint="eastAsia" w:ascii="宋体" w:hAnsi="宋体"/>
        <w:lang w:val="en-US" w:eastAsia="zh-CN"/>
      </w:rPr>
      <w:t xml:space="preserve">        </w:t>
    </w:r>
    <w:r>
      <w:rPr>
        <w:rFonts w:hint="eastAsia" w:ascii="黑体" w:hAnsi="黑体" w:eastAsia="黑体"/>
        <w:sz w:val="16"/>
        <w:szCs w:val="16"/>
      </w:rPr>
      <w:t>公开 透明 公平 诚信</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pPr>
    <w:r>
      <w:drawing>
        <wp:inline distT="0" distB="0" distL="0" distR="0">
          <wp:extent cx="1771650" cy="247650"/>
          <wp:effectExtent l="0" t="0" r="0" b="0"/>
          <wp:docPr id="30" name="图片 30" descr="C:\Users\ADMINI~1\AppData\Local\Temp\ksohtml725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1\AppData\Local\Temp\ksohtml7252\wps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771650" cy="247650"/>
                  </a:xfrm>
                  <a:prstGeom prst="rect">
                    <a:avLst/>
                  </a:prstGeom>
                  <a:noFill/>
                  <a:ln>
                    <a:noFill/>
                  </a:ln>
                </pic:spPr>
              </pic:pic>
            </a:graphicData>
          </a:graphic>
        </wp:inline>
      </w:drawing>
    </w:r>
    <w:r>
      <w:rPr>
        <w:rFonts w:hint="eastAsia" w:ascii="宋体" w:hAnsi="宋体"/>
      </w:rPr>
      <w:t xml:space="preserve">                                            </w:t>
    </w:r>
    <w:r>
      <w:rPr>
        <w:rFonts w:hint="eastAsia" w:ascii="宋体" w:hAnsi="宋体"/>
        <w:lang w:val="en-US" w:eastAsia="zh-CN"/>
      </w:rPr>
      <w:t xml:space="preserve">            </w:t>
    </w:r>
    <w:r>
      <w:rPr>
        <w:rFonts w:hint="eastAsia" w:ascii="黑体" w:hAnsi="黑体" w:eastAsia="黑体"/>
        <w:sz w:val="16"/>
        <w:szCs w:val="16"/>
      </w:rPr>
      <w:t>公开 透明 公平 诚信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55732C"/>
    <w:multiLevelType w:val="singleLevel"/>
    <w:tmpl w:val="8155732C"/>
    <w:lvl w:ilvl="0" w:tentative="0">
      <w:start w:val="6"/>
      <w:numFmt w:val="chineseCounting"/>
      <w:suff w:val="nothing"/>
      <w:lvlText w:val="%1、"/>
      <w:lvlJc w:val="left"/>
      <w:rPr>
        <w:rFonts w:hint="eastAsia"/>
      </w:rPr>
    </w:lvl>
  </w:abstractNum>
  <w:abstractNum w:abstractNumId="1">
    <w:nsid w:val="1D9C2199"/>
    <w:multiLevelType w:val="multilevel"/>
    <w:tmpl w:val="1D9C2199"/>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C2C4B8D"/>
    <w:multiLevelType w:val="singleLevel"/>
    <w:tmpl w:val="2C2C4B8D"/>
    <w:lvl w:ilvl="0" w:tentative="0">
      <w:start w:val="1"/>
      <w:numFmt w:val="japaneseCounting"/>
      <w:lvlText w:val="第%1条"/>
      <w:lvlJc w:val="left"/>
      <w:pPr>
        <w:tabs>
          <w:tab w:val="left" w:pos="1521"/>
        </w:tabs>
        <w:ind w:left="1521" w:hanging="1095"/>
      </w:pPr>
      <w:rPr>
        <w:rFonts w:hint="eastAsia"/>
      </w:rPr>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98"/>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587D89C6"/>
    <w:multiLevelType w:val="singleLevel"/>
    <w:tmpl w:val="587D89C6"/>
    <w:lvl w:ilvl="0" w:tentative="0">
      <w:start w:val="1"/>
      <w:numFmt w:val="decimal"/>
      <w:suff w:val="nothing"/>
      <w:lvlText w:val="%1、"/>
      <w:lvlJc w:val="left"/>
    </w:lvl>
  </w:abstractNum>
  <w:abstractNum w:abstractNumId="5">
    <w:nsid w:val="58807131"/>
    <w:multiLevelType w:val="singleLevel"/>
    <w:tmpl w:val="58807131"/>
    <w:lvl w:ilvl="0" w:tentative="0">
      <w:start w:val="1"/>
      <w:numFmt w:val="decimal"/>
      <w:suff w:val="nothing"/>
      <w:lvlText w:val="%1、"/>
      <w:lvlJc w:val="left"/>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226E"/>
    <w:rsid w:val="0001262E"/>
    <w:rsid w:val="00012C36"/>
    <w:rsid w:val="00017150"/>
    <w:rsid w:val="00022E18"/>
    <w:rsid w:val="00026152"/>
    <w:rsid w:val="00031B04"/>
    <w:rsid w:val="00034908"/>
    <w:rsid w:val="00036751"/>
    <w:rsid w:val="00036EEF"/>
    <w:rsid w:val="00044F1A"/>
    <w:rsid w:val="00051966"/>
    <w:rsid w:val="0005583F"/>
    <w:rsid w:val="000558AA"/>
    <w:rsid w:val="00060755"/>
    <w:rsid w:val="00060BF7"/>
    <w:rsid w:val="00062AA7"/>
    <w:rsid w:val="00063B2E"/>
    <w:rsid w:val="0006572F"/>
    <w:rsid w:val="000705EB"/>
    <w:rsid w:val="00072E9C"/>
    <w:rsid w:val="00075C5E"/>
    <w:rsid w:val="000760E2"/>
    <w:rsid w:val="00084E2E"/>
    <w:rsid w:val="00085D82"/>
    <w:rsid w:val="0008757B"/>
    <w:rsid w:val="00090339"/>
    <w:rsid w:val="00090B42"/>
    <w:rsid w:val="0009100F"/>
    <w:rsid w:val="000912B1"/>
    <w:rsid w:val="00091BAB"/>
    <w:rsid w:val="00093327"/>
    <w:rsid w:val="00093620"/>
    <w:rsid w:val="00095107"/>
    <w:rsid w:val="000965E1"/>
    <w:rsid w:val="000A133D"/>
    <w:rsid w:val="000A1509"/>
    <w:rsid w:val="000A246A"/>
    <w:rsid w:val="000A2840"/>
    <w:rsid w:val="000A2A8E"/>
    <w:rsid w:val="000A3DA2"/>
    <w:rsid w:val="000A5AC1"/>
    <w:rsid w:val="000A6D45"/>
    <w:rsid w:val="000A70F2"/>
    <w:rsid w:val="000B36E8"/>
    <w:rsid w:val="000B4220"/>
    <w:rsid w:val="000C038C"/>
    <w:rsid w:val="000C297C"/>
    <w:rsid w:val="000C44EF"/>
    <w:rsid w:val="000C5ABD"/>
    <w:rsid w:val="000C6FE5"/>
    <w:rsid w:val="000D22E0"/>
    <w:rsid w:val="000D2B0E"/>
    <w:rsid w:val="000D717B"/>
    <w:rsid w:val="000E06D5"/>
    <w:rsid w:val="000F1224"/>
    <w:rsid w:val="000F7505"/>
    <w:rsid w:val="001040AB"/>
    <w:rsid w:val="001043AF"/>
    <w:rsid w:val="00105C93"/>
    <w:rsid w:val="001068FD"/>
    <w:rsid w:val="001069C1"/>
    <w:rsid w:val="00107A0B"/>
    <w:rsid w:val="00114138"/>
    <w:rsid w:val="0011592E"/>
    <w:rsid w:val="001169EC"/>
    <w:rsid w:val="00120063"/>
    <w:rsid w:val="001300AD"/>
    <w:rsid w:val="001324D0"/>
    <w:rsid w:val="00136C6E"/>
    <w:rsid w:val="0014031B"/>
    <w:rsid w:val="00140525"/>
    <w:rsid w:val="001406AF"/>
    <w:rsid w:val="0014129A"/>
    <w:rsid w:val="001437C2"/>
    <w:rsid w:val="00143C97"/>
    <w:rsid w:val="001440A3"/>
    <w:rsid w:val="001453C0"/>
    <w:rsid w:val="001506A0"/>
    <w:rsid w:val="0015270D"/>
    <w:rsid w:val="001567DA"/>
    <w:rsid w:val="001634E8"/>
    <w:rsid w:val="001635E5"/>
    <w:rsid w:val="0016546D"/>
    <w:rsid w:val="00167BED"/>
    <w:rsid w:val="001706BF"/>
    <w:rsid w:val="00170FCA"/>
    <w:rsid w:val="0017673A"/>
    <w:rsid w:val="00176F15"/>
    <w:rsid w:val="00177C67"/>
    <w:rsid w:val="00181D0E"/>
    <w:rsid w:val="00190666"/>
    <w:rsid w:val="00191066"/>
    <w:rsid w:val="0019289D"/>
    <w:rsid w:val="00194D30"/>
    <w:rsid w:val="00194FCB"/>
    <w:rsid w:val="00197444"/>
    <w:rsid w:val="0019755D"/>
    <w:rsid w:val="001A2D0B"/>
    <w:rsid w:val="001A34F3"/>
    <w:rsid w:val="001A39D8"/>
    <w:rsid w:val="001A6079"/>
    <w:rsid w:val="001A6131"/>
    <w:rsid w:val="001A6996"/>
    <w:rsid w:val="001B171B"/>
    <w:rsid w:val="001B1735"/>
    <w:rsid w:val="001B3EC5"/>
    <w:rsid w:val="001B62A4"/>
    <w:rsid w:val="001B66A5"/>
    <w:rsid w:val="001B6CE3"/>
    <w:rsid w:val="001C03A0"/>
    <w:rsid w:val="001C2626"/>
    <w:rsid w:val="001C6ECA"/>
    <w:rsid w:val="001D39C4"/>
    <w:rsid w:val="001D3E1F"/>
    <w:rsid w:val="001D4748"/>
    <w:rsid w:val="001D4C75"/>
    <w:rsid w:val="001E4CD3"/>
    <w:rsid w:val="001E69D8"/>
    <w:rsid w:val="001E7DDD"/>
    <w:rsid w:val="001F126B"/>
    <w:rsid w:val="001F1980"/>
    <w:rsid w:val="001F1BA6"/>
    <w:rsid w:val="001F521E"/>
    <w:rsid w:val="001F7393"/>
    <w:rsid w:val="001F76E7"/>
    <w:rsid w:val="0020039F"/>
    <w:rsid w:val="00202A19"/>
    <w:rsid w:val="00202FBF"/>
    <w:rsid w:val="00203942"/>
    <w:rsid w:val="00203A74"/>
    <w:rsid w:val="002120E1"/>
    <w:rsid w:val="002129B6"/>
    <w:rsid w:val="0021461E"/>
    <w:rsid w:val="00216109"/>
    <w:rsid w:val="00217312"/>
    <w:rsid w:val="0022001E"/>
    <w:rsid w:val="002224CC"/>
    <w:rsid w:val="00225D67"/>
    <w:rsid w:val="00227213"/>
    <w:rsid w:val="00227396"/>
    <w:rsid w:val="002313A7"/>
    <w:rsid w:val="00232F9A"/>
    <w:rsid w:val="002345F1"/>
    <w:rsid w:val="00234CA2"/>
    <w:rsid w:val="0023577B"/>
    <w:rsid w:val="00237A7C"/>
    <w:rsid w:val="00262ACE"/>
    <w:rsid w:val="002636ED"/>
    <w:rsid w:val="002648FE"/>
    <w:rsid w:val="00266675"/>
    <w:rsid w:val="002703ED"/>
    <w:rsid w:val="002703F8"/>
    <w:rsid w:val="00275EC7"/>
    <w:rsid w:val="00283CB8"/>
    <w:rsid w:val="002967CE"/>
    <w:rsid w:val="00297306"/>
    <w:rsid w:val="00297E79"/>
    <w:rsid w:val="002A3283"/>
    <w:rsid w:val="002A70C2"/>
    <w:rsid w:val="002B0245"/>
    <w:rsid w:val="002B0731"/>
    <w:rsid w:val="002B1E39"/>
    <w:rsid w:val="002B2897"/>
    <w:rsid w:val="002B3F90"/>
    <w:rsid w:val="002B734E"/>
    <w:rsid w:val="002C195F"/>
    <w:rsid w:val="002C1D66"/>
    <w:rsid w:val="002C48FA"/>
    <w:rsid w:val="002D042C"/>
    <w:rsid w:val="002D4ECA"/>
    <w:rsid w:val="002D52B6"/>
    <w:rsid w:val="002E328B"/>
    <w:rsid w:val="002E4062"/>
    <w:rsid w:val="002E649C"/>
    <w:rsid w:val="00301A28"/>
    <w:rsid w:val="003026FD"/>
    <w:rsid w:val="003028D5"/>
    <w:rsid w:val="0030347A"/>
    <w:rsid w:val="00304395"/>
    <w:rsid w:val="00306CA5"/>
    <w:rsid w:val="003070DB"/>
    <w:rsid w:val="003073D8"/>
    <w:rsid w:val="00307829"/>
    <w:rsid w:val="00307A20"/>
    <w:rsid w:val="003115B9"/>
    <w:rsid w:val="00313703"/>
    <w:rsid w:val="00314A71"/>
    <w:rsid w:val="00316B01"/>
    <w:rsid w:val="00316EB4"/>
    <w:rsid w:val="003226A5"/>
    <w:rsid w:val="0032327E"/>
    <w:rsid w:val="0032420A"/>
    <w:rsid w:val="00325209"/>
    <w:rsid w:val="003300C6"/>
    <w:rsid w:val="003300EE"/>
    <w:rsid w:val="0033060A"/>
    <w:rsid w:val="00330FC4"/>
    <w:rsid w:val="00331608"/>
    <w:rsid w:val="00332D89"/>
    <w:rsid w:val="003354C8"/>
    <w:rsid w:val="00336716"/>
    <w:rsid w:val="00340159"/>
    <w:rsid w:val="003451B3"/>
    <w:rsid w:val="003462A7"/>
    <w:rsid w:val="00346B52"/>
    <w:rsid w:val="00347D55"/>
    <w:rsid w:val="00351DDE"/>
    <w:rsid w:val="00354F55"/>
    <w:rsid w:val="00361FF8"/>
    <w:rsid w:val="00363398"/>
    <w:rsid w:val="0036414E"/>
    <w:rsid w:val="003651A1"/>
    <w:rsid w:val="00366AAD"/>
    <w:rsid w:val="00367B8E"/>
    <w:rsid w:val="00370B3A"/>
    <w:rsid w:val="00372A5D"/>
    <w:rsid w:val="003733EE"/>
    <w:rsid w:val="003738E0"/>
    <w:rsid w:val="003739B7"/>
    <w:rsid w:val="00374A00"/>
    <w:rsid w:val="003759E8"/>
    <w:rsid w:val="00376884"/>
    <w:rsid w:val="003818B6"/>
    <w:rsid w:val="00394D48"/>
    <w:rsid w:val="00397B1B"/>
    <w:rsid w:val="00397CB0"/>
    <w:rsid w:val="003A079A"/>
    <w:rsid w:val="003A30C2"/>
    <w:rsid w:val="003A32A6"/>
    <w:rsid w:val="003A3336"/>
    <w:rsid w:val="003A6A7E"/>
    <w:rsid w:val="003B11F4"/>
    <w:rsid w:val="003C1555"/>
    <w:rsid w:val="003C6641"/>
    <w:rsid w:val="003C76C3"/>
    <w:rsid w:val="003D09DE"/>
    <w:rsid w:val="003D2186"/>
    <w:rsid w:val="003D3C37"/>
    <w:rsid w:val="003E03F4"/>
    <w:rsid w:val="003E0BB3"/>
    <w:rsid w:val="003E15DF"/>
    <w:rsid w:val="003E1ABC"/>
    <w:rsid w:val="003F07BA"/>
    <w:rsid w:val="003F68AD"/>
    <w:rsid w:val="00405E3F"/>
    <w:rsid w:val="00411EAE"/>
    <w:rsid w:val="00414662"/>
    <w:rsid w:val="00414E18"/>
    <w:rsid w:val="00415F60"/>
    <w:rsid w:val="00416ED9"/>
    <w:rsid w:val="00417E87"/>
    <w:rsid w:val="004316F4"/>
    <w:rsid w:val="00431D6C"/>
    <w:rsid w:val="00434342"/>
    <w:rsid w:val="00437902"/>
    <w:rsid w:val="00445E84"/>
    <w:rsid w:val="004476A3"/>
    <w:rsid w:val="00447BA7"/>
    <w:rsid w:val="00450051"/>
    <w:rsid w:val="0045177D"/>
    <w:rsid w:val="004521B2"/>
    <w:rsid w:val="004557B0"/>
    <w:rsid w:val="00460537"/>
    <w:rsid w:val="004741F2"/>
    <w:rsid w:val="0047571F"/>
    <w:rsid w:val="00482AB7"/>
    <w:rsid w:val="004836E9"/>
    <w:rsid w:val="00493260"/>
    <w:rsid w:val="00493894"/>
    <w:rsid w:val="00494396"/>
    <w:rsid w:val="004A0508"/>
    <w:rsid w:val="004A30DB"/>
    <w:rsid w:val="004A5D0C"/>
    <w:rsid w:val="004A69C4"/>
    <w:rsid w:val="004B0037"/>
    <w:rsid w:val="004B30A1"/>
    <w:rsid w:val="004B4A5A"/>
    <w:rsid w:val="004C42FC"/>
    <w:rsid w:val="004D1262"/>
    <w:rsid w:val="004D13CF"/>
    <w:rsid w:val="004D1906"/>
    <w:rsid w:val="004D288D"/>
    <w:rsid w:val="004D2ED7"/>
    <w:rsid w:val="004D3115"/>
    <w:rsid w:val="004D491F"/>
    <w:rsid w:val="004E26F0"/>
    <w:rsid w:val="004E4B68"/>
    <w:rsid w:val="004E4E93"/>
    <w:rsid w:val="004F037A"/>
    <w:rsid w:val="004F258F"/>
    <w:rsid w:val="004F5CFF"/>
    <w:rsid w:val="00503A89"/>
    <w:rsid w:val="00503DB5"/>
    <w:rsid w:val="0050640E"/>
    <w:rsid w:val="005068F8"/>
    <w:rsid w:val="00506C10"/>
    <w:rsid w:val="00507FA7"/>
    <w:rsid w:val="00512FBE"/>
    <w:rsid w:val="00513636"/>
    <w:rsid w:val="00514469"/>
    <w:rsid w:val="00516CD7"/>
    <w:rsid w:val="005212C2"/>
    <w:rsid w:val="0052133F"/>
    <w:rsid w:val="00521724"/>
    <w:rsid w:val="00521906"/>
    <w:rsid w:val="00522C34"/>
    <w:rsid w:val="0052371A"/>
    <w:rsid w:val="005307ED"/>
    <w:rsid w:val="00534D59"/>
    <w:rsid w:val="00535A0F"/>
    <w:rsid w:val="005414A8"/>
    <w:rsid w:val="00542838"/>
    <w:rsid w:val="00550215"/>
    <w:rsid w:val="00550AED"/>
    <w:rsid w:val="00551D4E"/>
    <w:rsid w:val="00553CAF"/>
    <w:rsid w:val="00556240"/>
    <w:rsid w:val="005568FE"/>
    <w:rsid w:val="00561BDA"/>
    <w:rsid w:val="00562C92"/>
    <w:rsid w:val="0056515B"/>
    <w:rsid w:val="005717CE"/>
    <w:rsid w:val="00572247"/>
    <w:rsid w:val="005724DC"/>
    <w:rsid w:val="00572826"/>
    <w:rsid w:val="005756B7"/>
    <w:rsid w:val="00575FAE"/>
    <w:rsid w:val="00576A9F"/>
    <w:rsid w:val="00580755"/>
    <w:rsid w:val="00583F6C"/>
    <w:rsid w:val="00584A71"/>
    <w:rsid w:val="00586BFF"/>
    <w:rsid w:val="00587EDE"/>
    <w:rsid w:val="005915B1"/>
    <w:rsid w:val="005929D6"/>
    <w:rsid w:val="0059308F"/>
    <w:rsid w:val="00593607"/>
    <w:rsid w:val="00594789"/>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679A"/>
    <w:rsid w:val="005C7DD5"/>
    <w:rsid w:val="005D07BF"/>
    <w:rsid w:val="005D2247"/>
    <w:rsid w:val="005D2D57"/>
    <w:rsid w:val="005D3A0A"/>
    <w:rsid w:val="005D7308"/>
    <w:rsid w:val="005E112B"/>
    <w:rsid w:val="005E15C7"/>
    <w:rsid w:val="005E25EC"/>
    <w:rsid w:val="005E4EBE"/>
    <w:rsid w:val="005E602F"/>
    <w:rsid w:val="005E6359"/>
    <w:rsid w:val="005E709D"/>
    <w:rsid w:val="005F6D60"/>
    <w:rsid w:val="006005C1"/>
    <w:rsid w:val="0060236E"/>
    <w:rsid w:val="0060494D"/>
    <w:rsid w:val="00605736"/>
    <w:rsid w:val="006076C7"/>
    <w:rsid w:val="00613F2B"/>
    <w:rsid w:val="00614A60"/>
    <w:rsid w:val="00614DC0"/>
    <w:rsid w:val="00615BA3"/>
    <w:rsid w:val="00615BEE"/>
    <w:rsid w:val="0061709A"/>
    <w:rsid w:val="00621550"/>
    <w:rsid w:val="006243C6"/>
    <w:rsid w:val="00627859"/>
    <w:rsid w:val="006310EB"/>
    <w:rsid w:val="00632B8B"/>
    <w:rsid w:val="00634B10"/>
    <w:rsid w:val="006363E3"/>
    <w:rsid w:val="00636410"/>
    <w:rsid w:val="00640A83"/>
    <w:rsid w:val="0064197F"/>
    <w:rsid w:val="0065034A"/>
    <w:rsid w:val="00650AD0"/>
    <w:rsid w:val="00653EF4"/>
    <w:rsid w:val="006568FB"/>
    <w:rsid w:val="0066396F"/>
    <w:rsid w:val="0066536E"/>
    <w:rsid w:val="00665C6C"/>
    <w:rsid w:val="00670317"/>
    <w:rsid w:val="00670C5C"/>
    <w:rsid w:val="006728A0"/>
    <w:rsid w:val="00672C40"/>
    <w:rsid w:val="00680D58"/>
    <w:rsid w:val="006821B1"/>
    <w:rsid w:val="0068412C"/>
    <w:rsid w:val="00685341"/>
    <w:rsid w:val="006853DD"/>
    <w:rsid w:val="00690CCA"/>
    <w:rsid w:val="006940AD"/>
    <w:rsid w:val="00695F95"/>
    <w:rsid w:val="00696FA3"/>
    <w:rsid w:val="00697C2D"/>
    <w:rsid w:val="006A0A85"/>
    <w:rsid w:val="006A4F7D"/>
    <w:rsid w:val="006A5099"/>
    <w:rsid w:val="006A64E7"/>
    <w:rsid w:val="006B1BDD"/>
    <w:rsid w:val="006B4813"/>
    <w:rsid w:val="006B72C5"/>
    <w:rsid w:val="006B7484"/>
    <w:rsid w:val="006C34CB"/>
    <w:rsid w:val="006C5A79"/>
    <w:rsid w:val="006D76E4"/>
    <w:rsid w:val="006E0A2F"/>
    <w:rsid w:val="006E0B95"/>
    <w:rsid w:val="006E2549"/>
    <w:rsid w:val="006E4C50"/>
    <w:rsid w:val="006E57A0"/>
    <w:rsid w:val="006E6822"/>
    <w:rsid w:val="006F1ACB"/>
    <w:rsid w:val="006F2FC8"/>
    <w:rsid w:val="006F52E3"/>
    <w:rsid w:val="006F5B4B"/>
    <w:rsid w:val="006F6F3F"/>
    <w:rsid w:val="007014F1"/>
    <w:rsid w:val="00702FC0"/>
    <w:rsid w:val="00704120"/>
    <w:rsid w:val="00704D34"/>
    <w:rsid w:val="00706260"/>
    <w:rsid w:val="0070720E"/>
    <w:rsid w:val="00707412"/>
    <w:rsid w:val="007171DF"/>
    <w:rsid w:val="007173C5"/>
    <w:rsid w:val="0071749F"/>
    <w:rsid w:val="00720623"/>
    <w:rsid w:val="00721BDE"/>
    <w:rsid w:val="00722565"/>
    <w:rsid w:val="00727510"/>
    <w:rsid w:val="00727E31"/>
    <w:rsid w:val="00731235"/>
    <w:rsid w:val="00732B25"/>
    <w:rsid w:val="007343BC"/>
    <w:rsid w:val="00737C32"/>
    <w:rsid w:val="00742246"/>
    <w:rsid w:val="0075240E"/>
    <w:rsid w:val="00757214"/>
    <w:rsid w:val="00757FC3"/>
    <w:rsid w:val="00760C67"/>
    <w:rsid w:val="00764E89"/>
    <w:rsid w:val="007716C1"/>
    <w:rsid w:val="00771E82"/>
    <w:rsid w:val="00774AB9"/>
    <w:rsid w:val="00775E7A"/>
    <w:rsid w:val="00776BF1"/>
    <w:rsid w:val="0078341B"/>
    <w:rsid w:val="007925B1"/>
    <w:rsid w:val="007935F3"/>
    <w:rsid w:val="0079593C"/>
    <w:rsid w:val="007A18B5"/>
    <w:rsid w:val="007A5D3E"/>
    <w:rsid w:val="007A683D"/>
    <w:rsid w:val="007A6B50"/>
    <w:rsid w:val="007A6B90"/>
    <w:rsid w:val="007B008A"/>
    <w:rsid w:val="007B6747"/>
    <w:rsid w:val="007C4FFF"/>
    <w:rsid w:val="007C62A2"/>
    <w:rsid w:val="007C7FFE"/>
    <w:rsid w:val="007D0FB9"/>
    <w:rsid w:val="007D1567"/>
    <w:rsid w:val="007D4C01"/>
    <w:rsid w:val="007D7C0B"/>
    <w:rsid w:val="007E2E12"/>
    <w:rsid w:val="007E4426"/>
    <w:rsid w:val="007E5745"/>
    <w:rsid w:val="007E61D1"/>
    <w:rsid w:val="007F2892"/>
    <w:rsid w:val="007F4A47"/>
    <w:rsid w:val="007F4B05"/>
    <w:rsid w:val="007F5172"/>
    <w:rsid w:val="00800D11"/>
    <w:rsid w:val="00804334"/>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0F51"/>
    <w:rsid w:val="00835F45"/>
    <w:rsid w:val="00840853"/>
    <w:rsid w:val="0084215B"/>
    <w:rsid w:val="0084260F"/>
    <w:rsid w:val="00842B97"/>
    <w:rsid w:val="00850BCA"/>
    <w:rsid w:val="00850CA7"/>
    <w:rsid w:val="00851FCF"/>
    <w:rsid w:val="00852BD7"/>
    <w:rsid w:val="00855FB8"/>
    <w:rsid w:val="00856530"/>
    <w:rsid w:val="00860720"/>
    <w:rsid w:val="00863B65"/>
    <w:rsid w:val="00863FD7"/>
    <w:rsid w:val="00864238"/>
    <w:rsid w:val="00873C23"/>
    <w:rsid w:val="00876DBD"/>
    <w:rsid w:val="0088578D"/>
    <w:rsid w:val="00885B24"/>
    <w:rsid w:val="008915CC"/>
    <w:rsid w:val="0089237C"/>
    <w:rsid w:val="008934C6"/>
    <w:rsid w:val="00893DAE"/>
    <w:rsid w:val="008A0B0C"/>
    <w:rsid w:val="008A2AF9"/>
    <w:rsid w:val="008A3E70"/>
    <w:rsid w:val="008B1E46"/>
    <w:rsid w:val="008B5C9C"/>
    <w:rsid w:val="008B61A4"/>
    <w:rsid w:val="008C059C"/>
    <w:rsid w:val="008D1ECA"/>
    <w:rsid w:val="008D6A9F"/>
    <w:rsid w:val="008E02F9"/>
    <w:rsid w:val="008E349C"/>
    <w:rsid w:val="008E36B3"/>
    <w:rsid w:val="008E489D"/>
    <w:rsid w:val="008E4AB1"/>
    <w:rsid w:val="008E5771"/>
    <w:rsid w:val="008F0FFB"/>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B05"/>
    <w:rsid w:val="00916F97"/>
    <w:rsid w:val="009251C5"/>
    <w:rsid w:val="009257B9"/>
    <w:rsid w:val="00925A35"/>
    <w:rsid w:val="00931E9C"/>
    <w:rsid w:val="009326CC"/>
    <w:rsid w:val="00935B9F"/>
    <w:rsid w:val="00940945"/>
    <w:rsid w:val="0094114F"/>
    <w:rsid w:val="0094344D"/>
    <w:rsid w:val="00944128"/>
    <w:rsid w:val="00944604"/>
    <w:rsid w:val="00944F84"/>
    <w:rsid w:val="00947BCD"/>
    <w:rsid w:val="00953456"/>
    <w:rsid w:val="0095491F"/>
    <w:rsid w:val="00957A6B"/>
    <w:rsid w:val="009611BF"/>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6FE"/>
    <w:rsid w:val="009979FD"/>
    <w:rsid w:val="00997B29"/>
    <w:rsid w:val="009A0A72"/>
    <w:rsid w:val="009A0B08"/>
    <w:rsid w:val="009A38FC"/>
    <w:rsid w:val="009A3D29"/>
    <w:rsid w:val="009B1577"/>
    <w:rsid w:val="009B3F19"/>
    <w:rsid w:val="009B62F2"/>
    <w:rsid w:val="009B6D5B"/>
    <w:rsid w:val="009B7BA3"/>
    <w:rsid w:val="009C165E"/>
    <w:rsid w:val="009C23E6"/>
    <w:rsid w:val="009C524C"/>
    <w:rsid w:val="009C613A"/>
    <w:rsid w:val="009C6271"/>
    <w:rsid w:val="009C7795"/>
    <w:rsid w:val="009D1FD5"/>
    <w:rsid w:val="009D5489"/>
    <w:rsid w:val="009D60C2"/>
    <w:rsid w:val="009E31BE"/>
    <w:rsid w:val="009E4BD4"/>
    <w:rsid w:val="009E5664"/>
    <w:rsid w:val="009E66AF"/>
    <w:rsid w:val="009F0956"/>
    <w:rsid w:val="009F0D87"/>
    <w:rsid w:val="009F2BDF"/>
    <w:rsid w:val="009F4AFF"/>
    <w:rsid w:val="009F72AD"/>
    <w:rsid w:val="00A00504"/>
    <w:rsid w:val="00A01D50"/>
    <w:rsid w:val="00A02ADE"/>
    <w:rsid w:val="00A0428C"/>
    <w:rsid w:val="00A0608C"/>
    <w:rsid w:val="00A12EDC"/>
    <w:rsid w:val="00A14C10"/>
    <w:rsid w:val="00A15F01"/>
    <w:rsid w:val="00A20D61"/>
    <w:rsid w:val="00A214F2"/>
    <w:rsid w:val="00A23584"/>
    <w:rsid w:val="00A30A91"/>
    <w:rsid w:val="00A30D68"/>
    <w:rsid w:val="00A3404F"/>
    <w:rsid w:val="00A34123"/>
    <w:rsid w:val="00A41976"/>
    <w:rsid w:val="00A43E09"/>
    <w:rsid w:val="00A44B42"/>
    <w:rsid w:val="00A44C13"/>
    <w:rsid w:val="00A51597"/>
    <w:rsid w:val="00A52300"/>
    <w:rsid w:val="00A53201"/>
    <w:rsid w:val="00A55B4C"/>
    <w:rsid w:val="00A56826"/>
    <w:rsid w:val="00A57FAB"/>
    <w:rsid w:val="00A61AC1"/>
    <w:rsid w:val="00A63261"/>
    <w:rsid w:val="00A632E6"/>
    <w:rsid w:val="00A64A7B"/>
    <w:rsid w:val="00A65329"/>
    <w:rsid w:val="00A66FE3"/>
    <w:rsid w:val="00A72A4A"/>
    <w:rsid w:val="00A73275"/>
    <w:rsid w:val="00A73AA3"/>
    <w:rsid w:val="00A73B70"/>
    <w:rsid w:val="00A73C7A"/>
    <w:rsid w:val="00A75066"/>
    <w:rsid w:val="00A77BAE"/>
    <w:rsid w:val="00A82873"/>
    <w:rsid w:val="00A82D03"/>
    <w:rsid w:val="00A86910"/>
    <w:rsid w:val="00A95415"/>
    <w:rsid w:val="00A96DDE"/>
    <w:rsid w:val="00AA07C9"/>
    <w:rsid w:val="00AA1C81"/>
    <w:rsid w:val="00AA20E1"/>
    <w:rsid w:val="00AA3393"/>
    <w:rsid w:val="00AA6433"/>
    <w:rsid w:val="00AB0302"/>
    <w:rsid w:val="00AB40B8"/>
    <w:rsid w:val="00AB7BF3"/>
    <w:rsid w:val="00AC3CD1"/>
    <w:rsid w:val="00AC3E85"/>
    <w:rsid w:val="00AC5321"/>
    <w:rsid w:val="00AC6736"/>
    <w:rsid w:val="00AD0386"/>
    <w:rsid w:val="00AD0A60"/>
    <w:rsid w:val="00AD35B6"/>
    <w:rsid w:val="00AD40EC"/>
    <w:rsid w:val="00AD76EC"/>
    <w:rsid w:val="00AD7D41"/>
    <w:rsid w:val="00AE0F63"/>
    <w:rsid w:val="00AE310B"/>
    <w:rsid w:val="00AE3136"/>
    <w:rsid w:val="00AE5163"/>
    <w:rsid w:val="00AE55DC"/>
    <w:rsid w:val="00AF220B"/>
    <w:rsid w:val="00AF36EF"/>
    <w:rsid w:val="00AF5EB2"/>
    <w:rsid w:val="00B122D1"/>
    <w:rsid w:val="00B150CC"/>
    <w:rsid w:val="00B15BC4"/>
    <w:rsid w:val="00B2007F"/>
    <w:rsid w:val="00B21360"/>
    <w:rsid w:val="00B238C8"/>
    <w:rsid w:val="00B243DE"/>
    <w:rsid w:val="00B253EC"/>
    <w:rsid w:val="00B27E55"/>
    <w:rsid w:val="00B30B38"/>
    <w:rsid w:val="00B4327E"/>
    <w:rsid w:val="00B50900"/>
    <w:rsid w:val="00B5278E"/>
    <w:rsid w:val="00B52A1D"/>
    <w:rsid w:val="00B54097"/>
    <w:rsid w:val="00B55FA0"/>
    <w:rsid w:val="00B57B8A"/>
    <w:rsid w:val="00B67AD7"/>
    <w:rsid w:val="00B738FB"/>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0826"/>
    <w:rsid w:val="00BB3849"/>
    <w:rsid w:val="00BB5969"/>
    <w:rsid w:val="00BC1700"/>
    <w:rsid w:val="00BC2510"/>
    <w:rsid w:val="00BC3689"/>
    <w:rsid w:val="00BC5BF2"/>
    <w:rsid w:val="00BC5FFF"/>
    <w:rsid w:val="00BC613E"/>
    <w:rsid w:val="00BD577F"/>
    <w:rsid w:val="00BE71D3"/>
    <w:rsid w:val="00BF1AA7"/>
    <w:rsid w:val="00BF1C57"/>
    <w:rsid w:val="00BF4179"/>
    <w:rsid w:val="00BF596E"/>
    <w:rsid w:val="00C00746"/>
    <w:rsid w:val="00C017FA"/>
    <w:rsid w:val="00C01ECC"/>
    <w:rsid w:val="00C027CC"/>
    <w:rsid w:val="00C049EB"/>
    <w:rsid w:val="00C06829"/>
    <w:rsid w:val="00C076EC"/>
    <w:rsid w:val="00C079D9"/>
    <w:rsid w:val="00C100AD"/>
    <w:rsid w:val="00C1509D"/>
    <w:rsid w:val="00C16C1B"/>
    <w:rsid w:val="00C177A5"/>
    <w:rsid w:val="00C21D6F"/>
    <w:rsid w:val="00C234D2"/>
    <w:rsid w:val="00C2388F"/>
    <w:rsid w:val="00C251CE"/>
    <w:rsid w:val="00C26293"/>
    <w:rsid w:val="00C27400"/>
    <w:rsid w:val="00C31163"/>
    <w:rsid w:val="00C351E4"/>
    <w:rsid w:val="00C35DF4"/>
    <w:rsid w:val="00C36C73"/>
    <w:rsid w:val="00C37EAD"/>
    <w:rsid w:val="00C421B6"/>
    <w:rsid w:val="00C45703"/>
    <w:rsid w:val="00C5022C"/>
    <w:rsid w:val="00C508C1"/>
    <w:rsid w:val="00C51E55"/>
    <w:rsid w:val="00C52CC6"/>
    <w:rsid w:val="00C54028"/>
    <w:rsid w:val="00C54267"/>
    <w:rsid w:val="00C573F3"/>
    <w:rsid w:val="00C63A38"/>
    <w:rsid w:val="00C63D4F"/>
    <w:rsid w:val="00C71858"/>
    <w:rsid w:val="00C72D09"/>
    <w:rsid w:val="00C770D0"/>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02A4"/>
    <w:rsid w:val="00CE1B22"/>
    <w:rsid w:val="00CE4310"/>
    <w:rsid w:val="00CE4D93"/>
    <w:rsid w:val="00CE6CCF"/>
    <w:rsid w:val="00CF14CB"/>
    <w:rsid w:val="00CF1560"/>
    <w:rsid w:val="00CF27A1"/>
    <w:rsid w:val="00CF3CD2"/>
    <w:rsid w:val="00CF4580"/>
    <w:rsid w:val="00D000EC"/>
    <w:rsid w:val="00D01A9B"/>
    <w:rsid w:val="00D04761"/>
    <w:rsid w:val="00D05321"/>
    <w:rsid w:val="00D12E04"/>
    <w:rsid w:val="00D13549"/>
    <w:rsid w:val="00D1590C"/>
    <w:rsid w:val="00D161C7"/>
    <w:rsid w:val="00D175EB"/>
    <w:rsid w:val="00D205DD"/>
    <w:rsid w:val="00D2353A"/>
    <w:rsid w:val="00D26E6D"/>
    <w:rsid w:val="00D2749D"/>
    <w:rsid w:val="00D316C7"/>
    <w:rsid w:val="00D3319D"/>
    <w:rsid w:val="00D35E79"/>
    <w:rsid w:val="00D42338"/>
    <w:rsid w:val="00D42F50"/>
    <w:rsid w:val="00D453B3"/>
    <w:rsid w:val="00D457E7"/>
    <w:rsid w:val="00D52173"/>
    <w:rsid w:val="00D52A47"/>
    <w:rsid w:val="00D53546"/>
    <w:rsid w:val="00D55027"/>
    <w:rsid w:val="00D551CA"/>
    <w:rsid w:val="00D614AD"/>
    <w:rsid w:val="00D63995"/>
    <w:rsid w:val="00D67157"/>
    <w:rsid w:val="00D70335"/>
    <w:rsid w:val="00D7091B"/>
    <w:rsid w:val="00D731CA"/>
    <w:rsid w:val="00D73B4C"/>
    <w:rsid w:val="00D7441E"/>
    <w:rsid w:val="00D76165"/>
    <w:rsid w:val="00D773C7"/>
    <w:rsid w:val="00D805D4"/>
    <w:rsid w:val="00D80944"/>
    <w:rsid w:val="00D80E0A"/>
    <w:rsid w:val="00D82776"/>
    <w:rsid w:val="00D846B8"/>
    <w:rsid w:val="00D868C4"/>
    <w:rsid w:val="00D87BCF"/>
    <w:rsid w:val="00D90F59"/>
    <w:rsid w:val="00D9143C"/>
    <w:rsid w:val="00D91D78"/>
    <w:rsid w:val="00D977CB"/>
    <w:rsid w:val="00DA1E5D"/>
    <w:rsid w:val="00DA22FB"/>
    <w:rsid w:val="00DA4A29"/>
    <w:rsid w:val="00DA51BA"/>
    <w:rsid w:val="00DA6C14"/>
    <w:rsid w:val="00DA71C9"/>
    <w:rsid w:val="00DC09C7"/>
    <w:rsid w:val="00DC103C"/>
    <w:rsid w:val="00DC1A76"/>
    <w:rsid w:val="00DC38DC"/>
    <w:rsid w:val="00DC4D8C"/>
    <w:rsid w:val="00DD4C4F"/>
    <w:rsid w:val="00DD5BDA"/>
    <w:rsid w:val="00DD773B"/>
    <w:rsid w:val="00DE25B3"/>
    <w:rsid w:val="00DE3088"/>
    <w:rsid w:val="00DE3B1C"/>
    <w:rsid w:val="00DE40E4"/>
    <w:rsid w:val="00DE44FF"/>
    <w:rsid w:val="00DE4D28"/>
    <w:rsid w:val="00DE5C62"/>
    <w:rsid w:val="00DF6339"/>
    <w:rsid w:val="00DF634F"/>
    <w:rsid w:val="00E01326"/>
    <w:rsid w:val="00E01F8E"/>
    <w:rsid w:val="00E04587"/>
    <w:rsid w:val="00E04E6B"/>
    <w:rsid w:val="00E04F29"/>
    <w:rsid w:val="00E04FAA"/>
    <w:rsid w:val="00E05FC4"/>
    <w:rsid w:val="00E10006"/>
    <w:rsid w:val="00E100A1"/>
    <w:rsid w:val="00E14F06"/>
    <w:rsid w:val="00E16E9A"/>
    <w:rsid w:val="00E17D3C"/>
    <w:rsid w:val="00E219AE"/>
    <w:rsid w:val="00E21EEB"/>
    <w:rsid w:val="00E2284A"/>
    <w:rsid w:val="00E22F39"/>
    <w:rsid w:val="00E24FAF"/>
    <w:rsid w:val="00E275F6"/>
    <w:rsid w:val="00E310A1"/>
    <w:rsid w:val="00E35AE6"/>
    <w:rsid w:val="00E36411"/>
    <w:rsid w:val="00E36E25"/>
    <w:rsid w:val="00E44350"/>
    <w:rsid w:val="00E46283"/>
    <w:rsid w:val="00E47B16"/>
    <w:rsid w:val="00E51527"/>
    <w:rsid w:val="00E51D6C"/>
    <w:rsid w:val="00E51E5E"/>
    <w:rsid w:val="00E52017"/>
    <w:rsid w:val="00E55CA7"/>
    <w:rsid w:val="00E55E19"/>
    <w:rsid w:val="00E61C9F"/>
    <w:rsid w:val="00E62188"/>
    <w:rsid w:val="00E6303A"/>
    <w:rsid w:val="00E64F68"/>
    <w:rsid w:val="00E67189"/>
    <w:rsid w:val="00E67D91"/>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3DFF"/>
    <w:rsid w:val="00EA4F56"/>
    <w:rsid w:val="00EB54DE"/>
    <w:rsid w:val="00EB6418"/>
    <w:rsid w:val="00EB68DE"/>
    <w:rsid w:val="00EB6A49"/>
    <w:rsid w:val="00EB77BF"/>
    <w:rsid w:val="00EC166C"/>
    <w:rsid w:val="00EC4AC3"/>
    <w:rsid w:val="00ED46D0"/>
    <w:rsid w:val="00ED4D98"/>
    <w:rsid w:val="00ED661A"/>
    <w:rsid w:val="00EE0EE7"/>
    <w:rsid w:val="00EE2410"/>
    <w:rsid w:val="00EE602D"/>
    <w:rsid w:val="00EF577B"/>
    <w:rsid w:val="00F148EA"/>
    <w:rsid w:val="00F24379"/>
    <w:rsid w:val="00F24508"/>
    <w:rsid w:val="00F2458F"/>
    <w:rsid w:val="00F269E0"/>
    <w:rsid w:val="00F26FBC"/>
    <w:rsid w:val="00F275DE"/>
    <w:rsid w:val="00F279C4"/>
    <w:rsid w:val="00F308BA"/>
    <w:rsid w:val="00F32C53"/>
    <w:rsid w:val="00F3326A"/>
    <w:rsid w:val="00F3333D"/>
    <w:rsid w:val="00F34D39"/>
    <w:rsid w:val="00F42037"/>
    <w:rsid w:val="00F42830"/>
    <w:rsid w:val="00F43258"/>
    <w:rsid w:val="00F43C59"/>
    <w:rsid w:val="00F51FDE"/>
    <w:rsid w:val="00F529B1"/>
    <w:rsid w:val="00F55083"/>
    <w:rsid w:val="00F60555"/>
    <w:rsid w:val="00F63291"/>
    <w:rsid w:val="00F6393F"/>
    <w:rsid w:val="00F64880"/>
    <w:rsid w:val="00F67E3B"/>
    <w:rsid w:val="00F74358"/>
    <w:rsid w:val="00F74FE4"/>
    <w:rsid w:val="00F75689"/>
    <w:rsid w:val="00F75C07"/>
    <w:rsid w:val="00F75D5E"/>
    <w:rsid w:val="00F77320"/>
    <w:rsid w:val="00F81882"/>
    <w:rsid w:val="00F85BBF"/>
    <w:rsid w:val="00F91DC6"/>
    <w:rsid w:val="00F93F50"/>
    <w:rsid w:val="00F94479"/>
    <w:rsid w:val="00F94BCF"/>
    <w:rsid w:val="00F95A37"/>
    <w:rsid w:val="00F95AC4"/>
    <w:rsid w:val="00FA3199"/>
    <w:rsid w:val="00FA3562"/>
    <w:rsid w:val="00FA3653"/>
    <w:rsid w:val="00FA4264"/>
    <w:rsid w:val="00FB0145"/>
    <w:rsid w:val="00FB01D1"/>
    <w:rsid w:val="00FB6C34"/>
    <w:rsid w:val="00FB7E82"/>
    <w:rsid w:val="00FC0553"/>
    <w:rsid w:val="00FC0FBF"/>
    <w:rsid w:val="00FC1AB5"/>
    <w:rsid w:val="00FC2AD1"/>
    <w:rsid w:val="00FC3E7F"/>
    <w:rsid w:val="00FC4006"/>
    <w:rsid w:val="00FC51D7"/>
    <w:rsid w:val="00FC5976"/>
    <w:rsid w:val="00FC5AC5"/>
    <w:rsid w:val="00FC6E32"/>
    <w:rsid w:val="00FD14A7"/>
    <w:rsid w:val="00FD2977"/>
    <w:rsid w:val="00FD32A4"/>
    <w:rsid w:val="00FD70DB"/>
    <w:rsid w:val="00FD787E"/>
    <w:rsid w:val="00FE0947"/>
    <w:rsid w:val="00FE3057"/>
    <w:rsid w:val="00FE31E8"/>
    <w:rsid w:val="00FE45BA"/>
    <w:rsid w:val="00FE5A31"/>
    <w:rsid w:val="00FE6AA7"/>
    <w:rsid w:val="00FE6B0B"/>
    <w:rsid w:val="00FF1086"/>
    <w:rsid w:val="00FF1FF8"/>
    <w:rsid w:val="00FF4CFC"/>
    <w:rsid w:val="00FF658A"/>
    <w:rsid w:val="00FF78B2"/>
    <w:rsid w:val="00FF7B67"/>
    <w:rsid w:val="010C15E7"/>
    <w:rsid w:val="01270413"/>
    <w:rsid w:val="016B3CA6"/>
    <w:rsid w:val="01CD7511"/>
    <w:rsid w:val="022E6D4C"/>
    <w:rsid w:val="02317836"/>
    <w:rsid w:val="02430B2B"/>
    <w:rsid w:val="02653EC1"/>
    <w:rsid w:val="02A72977"/>
    <w:rsid w:val="02E836CB"/>
    <w:rsid w:val="03386882"/>
    <w:rsid w:val="03465405"/>
    <w:rsid w:val="03AF6C1D"/>
    <w:rsid w:val="03C93DE4"/>
    <w:rsid w:val="03CF276F"/>
    <w:rsid w:val="03FE7515"/>
    <w:rsid w:val="04104985"/>
    <w:rsid w:val="04B812D7"/>
    <w:rsid w:val="05052E25"/>
    <w:rsid w:val="05DD0FD8"/>
    <w:rsid w:val="062126EF"/>
    <w:rsid w:val="066104EC"/>
    <w:rsid w:val="0662250D"/>
    <w:rsid w:val="069756C9"/>
    <w:rsid w:val="06EA41D2"/>
    <w:rsid w:val="06F82B78"/>
    <w:rsid w:val="072E42E3"/>
    <w:rsid w:val="07D729CE"/>
    <w:rsid w:val="07EF1F6E"/>
    <w:rsid w:val="08404482"/>
    <w:rsid w:val="0968446C"/>
    <w:rsid w:val="09880AD8"/>
    <w:rsid w:val="0AA5328F"/>
    <w:rsid w:val="0B134589"/>
    <w:rsid w:val="0B7E48FD"/>
    <w:rsid w:val="0BFB0153"/>
    <w:rsid w:val="0C2D260D"/>
    <w:rsid w:val="0C2E138F"/>
    <w:rsid w:val="0CA00E3D"/>
    <w:rsid w:val="0CFC2EE8"/>
    <w:rsid w:val="0D417D41"/>
    <w:rsid w:val="0E2F068D"/>
    <w:rsid w:val="0E545AFA"/>
    <w:rsid w:val="0E7B6916"/>
    <w:rsid w:val="0EB47F78"/>
    <w:rsid w:val="0F1D3E7F"/>
    <w:rsid w:val="0F416241"/>
    <w:rsid w:val="0F4628FA"/>
    <w:rsid w:val="0F594D76"/>
    <w:rsid w:val="0F9B2B5E"/>
    <w:rsid w:val="0FB34829"/>
    <w:rsid w:val="0FD13773"/>
    <w:rsid w:val="0FF24AF1"/>
    <w:rsid w:val="105B51DC"/>
    <w:rsid w:val="10B02E63"/>
    <w:rsid w:val="10C14D02"/>
    <w:rsid w:val="1186624C"/>
    <w:rsid w:val="11C22947"/>
    <w:rsid w:val="11C96F3F"/>
    <w:rsid w:val="12E26741"/>
    <w:rsid w:val="1308440F"/>
    <w:rsid w:val="13404493"/>
    <w:rsid w:val="135607B7"/>
    <w:rsid w:val="13B6593C"/>
    <w:rsid w:val="13BB5EEE"/>
    <w:rsid w:val="14537884"/>
    <w:rsid w:val="14593BBF"/>
    <w:rsid w:val="14B538EB"/>
    <w:rsid w:val="14D56C28"/>
    <w:rsid w:val="151C338A"/>
    <w:rsid w:val="1565002B"/>
    <w:rsid w:val="158730B6"/>
    <w:rsid w:val="15B378D8"/>
    <w:rsid w:val="15E45DCF"/>
    <w:rsid w:val="164973BC"/>
    <w:rsid w:val="16D229E9"/>
    <w:rsid w:val="173D66F2"/>
    <w:rsid w:val="17430389"/>
    <w:rsid w:val="175C0959"/>
    <w:rsid w:val="177941D0"/>
    <w:rsid w:val="17DC532F"/>
    <w:rsid w:val="17EF566D"/>
    <w:rsid w:val="18056EA1"/>
    <w:rsid w:val="18800267"/>
    <w:rsid w:val="18E32688"/>
    <w:rsid w:val="19201D08"/>
    <w:rsid w:val="19731B79"/>
    <w:rsid w:val="198122A9"/>
    <w:rsid w:val="1A024AC4"/>
    <w:rsid w:val="1AA57B5F"/>
    <w:rsid w:val="1B260840"/>
    <w:rsid w:val="1B4D1584"/>
    <w:rsid w:val="1B8E24F5"/>
    <w:rsid w:val="1BC059B5"/>
    <w:rsid w:val="1BE761D2"/>
    <w:rsid w:val="1BF33AF1"/>
    <w:rsid w:val="1C2407D2"/>
    <w:rsid w:val="1C2A2AFB"/>
    <w:rsid w:val="1C392717"/>
    <w:rsid w:val="1C757AF5"/>
    <w:rsid w:val="1D314742"/>
    <w:rsid w:val="1DB73C31"/>
    <w:rsid w:val="1E5006DD"/>
    <w:rsid w:val="1E5B0364"/>
    <w:rsid w:val="1E626810"/>
    <w:rsid w:val="1E7C1444"/>
    <w:rsid w:val="1E824DE0"/>
    <w:rsid w:val="1EE44777"/>
    <w:rsid w:val="1EEE2BD2"/>
    <w:rsid w:val="1EF03A45"/>
    <w:rsid w:val="1F013C7C"/>
    <w:rsid w:val="1F3A1F0D"/>
    <w:rsid w:val="1F515A41"/>
    <w:rsid w:val="20205FAE"/>
    <w:rsid w:val="207F54C3"/>
    <w:rsid w:val="208E2D86"/>
    <w:rsid w:val="20A41BDD"/>
    <w:rsid w:val="20F70F28"/>
    <w:rsid w:val="21354379"/>
    <w:rsid w:val="21432F64"/>
    <w:rsid w:val="21D218F6"/>
    <w:rsid w:val="21EE38EF"/>
    <w:rsid w:val="223B4504"/>
    <w:rsid w:val="224A72AF"/>
    <w:rsid w:val="22547760"/>
    <w:rsid w:val="22723839"/>
    <w:rsid w:val="230B6C59"/>
    <w:rsid w:val="23C823BC"/>
    <w:rsid w:val="23F70B9D"/>
    <w:rsid w:val="24057464"/>
    <w:rsid w:val="24A42D4D"/>
    <w:rsid w:val="24D34D10"/>
    <w:rsid w:val="24F46692"/>
    <w:rsid w:val="257E1190"/>
    <w:rsid w:val="25D57113"/>
    <w:rsid w:val="26122061"/>
    <w:rsid w:val="26D60601"/>
    <w:rsid w:val="26E51EF5"/>
    <w:rsid w:val="26F13299"/>
    <w:rsid w:val="26FE01DA"/>
    <w:rsid w:val="27C6584F"/>
    <w:rsid w:val="28012834"/>
    <w:rsid w:val="28017784"/>
    <w:rsid w:val="287F157E"/>
    <w:rsid w:val="289A6423"/>
    <w:rsid w:val="28D41922"/>
    <w:rsid w:val="28DD78F7"/>
    <w:rsid w:val="29256893"/>
    <w:rsid w:val="292B72E0"/>
    <w:rsid w:val="298F6BD6"/>
    <w:rsid w:val="29CC726F"/>
    <w:rsid w:val="29D5537D"/>
    <w:rsid w:val="2AD02892"/>
    <w:rsid w:val="2AED414D"/>
    <w:rsid w:val="2B7A199A"/>
    <w:rsid w:val="2B812B85"/>
    <w:rsid w:val="2BB97180"/>
    <w:rsid w:val="2C5300D5"/>
    <w:rsid w:val="2D0D28E2"/>
    <w:rsid w:val="2D2864D4"/>
    <w:rsid w:val="2D6405B3"/>
    <w:rsid w:val="2D760EEF"/>
    <w:rsid w:val="2DAA40C0"/>
    <w:rsid w:val="2DD32383"/>
    <w:rsid w:val="2DE50909"/>
    <w:rsid w:val="2E3E17D4"/>
    <w:rsid w:val="2E480042"/>
    <w:rsid w:val="2E917FC7"/>
    <w:rsid w:val="2EA93A54"/>
    <w:rsid w:val="2EB1759E"/>
    <w:rsid w:val="2EBB33A4"/>
    <w:rsid w:val="2EE72320"/>
    <w:rsid w:val="2EE8455C"/>
    <w:rsid w:val="2F8F3B3E"/>
    <w:rsid w:val="2FC414F3"/>
    <w:rsid w:val="2FE60929"/>
    <w:rsid w:val="2FF058D0"/>
    <w:rsid w:val="30680E94"/>
    <w:rsid w:val="309243EC"/>
    <w:rsid w:val="30D70117"/>
    <w:rsid w:val="30E42F09"/>
    <w:rsid w:val="31274B61"/>
    <w:rsid w:val="314B29C9"/>
    <w:rsid w:val="31922776"/>
    <w:rsid w:val="31B441AF"/>
    <w:rsid w:val="31FD248B"/>
    <w:rsid w:val="32A81084"/>
    <w:rsid w:val="32B067C4"/>
    <w:rsid w:val="32D70991"/>
    <w:rsid w:val="3362102F"/>
    <w:rsid w:val="33B2679E"/>
    <w:rsid w:val="33DC14FA"/>
    <w:rsid w:val="344F66EA"/>
    <w:rsid w:val="34F34C56"/>
    <w:rsid w:val="35600022"/>
    <w:rsid w:val="357A5788"/>
    <w:rsid w:val="360308BC"/>
    <w:rsid w:val="36147632"/>
    <w:rsid w:val="36530971"/>
    <w:rsid w:val="36561BAE"/>
    <w:rsid w:val="36610C56"/>
    <w:rsid w:val="366B24CA"/>
    <w:rsid w:val="37133678"/>
    <w:rsid w:val="3743015F"/>
    <w:rsid w:val="3758600C"/>
    <w:rsid w:val="376916D4"/>
    <w:rsid w:val="376E6E4C"/>
    <w:rsid w:val="38095396"/>
    <w:rsid w:val="38335DA3"/>
    <w:rsid w:val="385666E5"/>
    <w:rsid w:val="38DB70E7"/>
    <w:rsid w:val="392A7F5E"/>
    <w:rsid w:val="393C1940"/>
    <w:rsid w:val="3A9C0079"/>
    <w:rsid w:val="3AD16F1E"/>
    <w:rsid w:val="3B192EFF"/>
    <w:rsid w:val="3BC55099"/>
    <w:rsid w:val="3BCE25E6"/>
    <w:rsid w:val="3C1B106D"/>
    <w:rsid w:val="3C5853F3"/>
    <w:rsid w:val="3C7D5846"/>
    <w:rsid w:val="3CB95B5A"/>
    <w:rsid w:val="3CBC2745"/>
    <w:rsid w:val="3CEA2ACF"/>
    <w:rsid w:val="3D0C77C5"/>
    <w:rsid w:val="3D48523F"/>
    <w:rsid w:val="3D8B06B4"/>
    <w:rsid w:val="3DC46A40"/>
    <w:rsid w:val="3F3618F0"/>
    <w:rsid w:val="3FC14E74"/>
    <w:rsid w:val="40275E65"/>
    <w:rsid w:val="404A6865"/>
    <w:rsid w:val="40651CB5"/>
    <w:rsid w:val="40731D0B"/>
    <w:rsid w:val="40BD25B1"/>
    <w:rsid w:val="41540A99"/>
    <w:rsid w:val="41B63174"/>
    <w:rsid w:val="41BC1F10"/>
    <w:rsid w:val="42032A8D"/>
    <w:rsid w:val="424B3AFB"/>
    <w:rsid w:val="42E250CC"/>
    <w:rsid w:val="434B5241"/>
    <w:rsid w:val="43765341"/>
    <w:rsid w:val="43890447"/>
    <w:rsid w:val="43D229DB"/>
    <w:rsid w:val="443E0BB9"/>
    <w:rsid w:val="44F443D1"/>
    <w:rsid w:val="45E505B7"/>
    <w:rsid w:val="45E60474"/>
    <w:rsid w:val="46886E13"/>
    <w:rsid w:val="46C1077C"/>
    <w:rsid w:val="46CE0949"/>
    <w:rsid w:val="476756F9"/>
    <w:rsid w:val="47756B56"/>
    <w:rsid w:val="478F3EA7"/>
    <w:rsid w:val="47AD3F78"/>
    <w:rsid w:val="482B5C12"/>
    <w:rsid w:val="485D5162"/>
    <w:rsid w:val="492C3528"/>
    <w:rsid w:val="49B4651F"/>
    <w:rsid w:val="49D066E0"/>
    <w:rsid w:val="49D639C4"/>
    <w:rsid w:val="49E329B9"/>
    <w:rsid w:val="4A1323D0"/>
    <w:rsid w:val="4A9C1DE8"/>
    <w:rsid w:val="4AED1B3A"/>
    <w:rsid w:val="4BF670EE"/>
    <w:rsid w:val="4CE6400E"/>
    <w:rsid w:val="4CF906E8"/>
    <w:rsid w:val="4D3F6637"/>
    <w:rsid w:val="4D5670A7"/>
    <w:rsid w:val="4D5D1F52"/>
    <w:rsid w:val="4DBC63C0"/>
    <w:rsid w:val="4E540763"/>
    <w:rsid w:val="4E72442D"/>
    <w:rsid w:val="4EB0364A"/>
    <w:rsid w:val="4EDA2568"/>
    <w:rsid w:val="4EF23AD2"/>
    <w:rsid w:val="4F5D7111"/>
    <w:rsid w:val="4F7B3104"/>
    <w:rsid w:val="4F8E36B5"/>
    <w:rsid w:val="4FA45F82"/>
    <w:rsid w:val="4FC20AA7"/>
    <w:rsid w:val="4FE80B78"/>
    <w:rsid w:val="4FF026F6"/>
    <w:rsid w:val="50385FA5"/>
    <w:rsid w:val="505F1EFD"/>
    <w:rsid w:val="50B70587"/>
    <w:rsid w:val="50F2027E"/>
    <w:rsid w:val="513D1102"/>
    <w:rsid w:val="519A03E7"/>
    <w:rsid w:val="51C26FB3"/>
    <w:rsid w:val="521024B8"/>
    <w:rsid w:val="523978C1"/>
    <w:rsid w:val="52DD0A68"/>
    <w:rsid w:val="52EC7E76"/>
    <w:rsid w:val="5345588D"/>
    <w:rsid w:val="53B034DF"/>
    <w:rsid w:val="544725CF"/>
    <w:rsid w:val="54DE0F4F"/>
    <w:rsid w:val="54E53259"/>
    <w:rsid w:val="54E97D97"/>
    <w:rsid w:val="55A77A68"/>
    <w:rsid w:val="55B769EE"/>
    <w:rsid w:val="560B1770"/>
    <w:rsid w:val="563D07A6"/>
    <w:rsid w:val="568527A9"/>
    <w:rsid w:val="57787D9B"/>
    <w:rsid w:val="577C1E80"/>
    <w:rsid w:val="579E6879"/>
    <w:rsid w:val="57F34C18"/>
    <w:rsid w:val="588C0AAD"/>
    <w:rsid w:val="58AA3B72"/>
    <w:rsid w:val="58F05AD9"/>
    <w:rsid w:val="59036554"/>
    <w:rsid w:val="5911664D"/>
    <w:rsid w:val="59200143"/>
    <w:rsid w:val="59ED747D"/>
    <w:rsid w:val="5A6F6844"/>
    <w:rsid w:val="5A812E59"/>
    <w:rsid w:val="5A977B58"/>
    <w:rsid w:val="5A995DAB"/>
    <w:rsid w:val="5ABA7460"/>
    <w:rsid w:val="5AC46452"/>
    <w:rsid w:val="5AD20BC0"/>
    <w:rsid w:val="5AF779F8"/>
    <w:rsid w:val="5B080608"/>
    <w:rsid w:val="5B615B1B"/>
    <w:rsid w:val="5B9C24F1"/>
    <w:rsid w:val="5B9E50D3"/>
    <w:rsid w:val="5BB46CAC"/>
    <w:rsid w:val="5C105F94"/>
    <w:rsid w:val="5C251D7A"/>
    <w:rsid w:val="5CBF064C"/>
    <w:rsid w:val="5CFA1CEF"/>
    <w:rsid w:val="5D2C49EA"/>
    <w:rsid w:val="5D6D5743"/>
    <w:rsid w:val="5DB73653"/>
    <w:rsid w:val="5DC368B7"/>
    <w:rsid w:val="5DE44F8E"/>
    <w:rsid w:val="5E2F576D"/>
    <w:rsid w:val="5E4274C8"/>
    <w:rsid w:val="5E841822"/>
    <w:rsid w:val="5EC82C37"/>
    <w:rsid w:val="5EF210D2"/>
    <w:rsid w:val="5F042BD4"/>
    <w:rsid w:val="5F230F76"/>
    <w:rsid w:val="5F233790"/>
    <w:rsid w:val="5F2447E2"/>
    <w:rsid w:val="5FC85777"/>
    <w:rsid w:val="602A170A"/>
    <w:rsid w:val="60437933"/>
    <w:rsid w:val="605A28BD"/>
    <w:rsid w:val="60700D8F"/>
    <w:rsid w:val="610B183C"/>
    <w:rsid w:val="61613AC5"/>
    <w:rsid w:val="61D640C8"/>
    <w:rsid w:val="61E473B3"/>
    <w:rsid w:val="621D5FD0"/>
    <w:rsid w:val="625351F3"/>
    <w:rsid w:val="62553A9B"/>
    <w:rsid w:val="62A954D2"/>
    <w:rsid w:val="632E2264"/>
    <w:rsid w:val="63855F1F"/>
    <w:rsid w:val="63D66D3A"/>
    <w:rsid w:val="642D00F8"/>
    <w:rsid w:val="6445786C"/>
    <w:rsid w:val="657910F5"/>
    <w:rsid w:val="65C02314"/>
    <w:rsid w:val="65CB0101"/>
    <w:rsid w:val="65FA5B9B"/>
    <w:rsid w:val="66B54665"/>
    <w:rsid w:val="67557264"/>
    <w:rsid w:val="67A13825"/>
    <w:rsid w:val="67AC14B0"/>
    <w:rsid w:val="67DE30A0"/>
    <w:rsid w:val="68517281"/>
    <w:rsid w:val="68567627"/>
    <w:rsid w:val="69247457"/>
    <w:rsid w:val="698A4060"/>
    <w:rsid w:val="69BA7752"/>
    <w:rsid w:val="69CB7457"/>
    <w:rsid w:val="69E14866"/>
    <w:rsid w:val="6A1A6766"/>
    <w:rsid w:val="6A3B5037"/>
    <w:rsid w:val="6A6A1E0D"/>
    <w:rsid w:val="6A9F19A0"/>
    <w:rsid w:val="6B7867DE"/>
    <w:rsid w:val="6BA90006"/>
    <w:rsid w:val="6BF65381"/>
    <w:rsid w:val="6BF8470A"/>
    <w:rsid w:val="6C011291"/>
    <w:rsid w:val="6C161E18"/>
    <w:rsid w:val="6CAF7339"/>
    <w:rsid w:val="6CBB08C6"/>
    <w:rsid w:val="6D2A351D"/>
    <w:rsid w:val="6D2C5AA6"/>
    <w:rsid w:val="6D950280"/>
    <w:rsid w:val="6DB50892"/>
    <w:rsid w:val="6E3431D3"/>
    <w:rsid w:val="6E815E20"/>
    <w:rsid w:val="6EC35D97"/>
    <w:rsid w:val="6EC86813"/>
    <w:rsid w:val="6EE87C44"/>
    <w:rsid w:val="6F827E1F"/>
    <w:rsid w:val="6FBE33DD"/>
    <w:rsid w:val="70695629"/>
    <w:rsid w:val="71C9438B"/>
    <w:rsid w:val="71EB232F"/>
    <w:rsid w:val="71F22395"/>
    <w:rsid w:val="72437EB5"/>
    <w:rsid w:val="72E03AF4"/>
    <w:rsid w:val="732F3A9D"/>
    <w:rsid w:val="73310943"/>
    <w:rsid w:val="734E45BF"/>
    <w:rsid w:val="736E713E"/>
    <w:rsid w:val="73821076"/>
    <w:rsid w:val="73AA2969"/>
    <w:rsid w:val="73B22405"/>
    <w:rsid w:val="73CF1F2D"/>
    <w:rsid w:val="73FC1BEE"/>
    <w:rsid w:val="741C7C7A"/>
    <w:rsid w:val="747D0FD1"/>
    <w:rsid w:val="74822716"/>
    <w:rsid w:val="74A77D79"/>
    <w:rsid w:val="74BB2C8C"/>
    <w:rsid w:val="74EE2280"/>
    <w:rsid w:val="750D3D28"/>
    <w:rsid w:val="7539035B"/>
    <w:rsid w:val="756176A1"/>
    <w:rsid w:val="75C5459B"/>
    <w:rsid w:val="765866EF"/>
    <w:rsid w:val="766429FA"/>
    <w:rsid w:val="767F7384"/>
    <w:rsid w:val="76D45B66"/>
    <w:rsid w:val="76FE2417"/>
    <w:rsid w:val="771E653D"/>
    <w:rsid w:val="77222009"/>
    <w:rsid w:val="7763578D"/>
    <w:rsid w:val="788E700F"/>
    <w:rsid w:val="78F9488D"/>
    <w:rsid w:val="794006DB"/>
    <w:rsid w:val="7958468D"/>
    <w:rsid w:val="79D85CE8"/>
    <w:rsid w:val="7A1E0BB7"/>
    <w:rsid w:val="7A322C02"/>
    <w:rsid w:val="7AB97850"/>
    <w:rsid w:val="7AC411D6"/>
    <w:rsid w:val="7AF65F04"/>
    <w:rsid w:val="7B052BD7"/>
    <w:rsid w:val="7B072853"/>
    <w:rsid w:val="7B5B2FAF"/>
    <w:rsid w:val="7B6C5582"/>
    <w:rsid w:val="7BA10F88"/>
    <w:rsid w:val="7BB90BF8"/>
    <w:rsid w:val="7C815E42"/>
    <w:rsid w:val="7CA44252"/>
    <w:rsid w:val="7CB56E8E"/>
    <w:rsid w:val="7DA40457"/>
    <w:rsid w:val="7DB479EE"/>
    <w:rsid w:val="7DCD6635"/>
    <w:rsid w:val="7DE5443E"/>
    <w:rsid w:val="7E9C1324"/>
    <w:rsid w:val="7E9F7603"/>
    <w:rsid w:val="7EE36967"/>
    <w:rsid w:val="7F017977"/>
    <w:rsid w:val="7F4108E0"/>
    <w:rsid w:val="7F4D390F"/>
    <w:rsid w:val="7F8A3EF9"/>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iPriority="0" w:name="Body Text Indent 2"/>
    <w:lsdException w:uiPriority="0" w:name="Body Text Indent 3"/>
    <w:lsdException w:qFormat="1" w:uiPriority="99"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iPriority="0" w:name="E-mail Signature"/>
    <w:lsdException w:qFormat="1" w:unhideWhenUsed="0" w:uiPriority="0"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55"/>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9"/>
    <w:qFormat/>
    <w:uiPriority w:val="99"/>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5"/>
    <w:unhideWhenUsed/>
    <w:qFormat/>
    <w:uiPriority w:val="99"/>
    <w:pPr>
      <w:spacing w:after="120"/>
    </w:pPr>
  </w:style>
  <w:style w:type="paragraph" w:styleId="6">
    <w:name w:val="toc 7"/>
    <w:basedOn w:val="1"/>
    <w:next w:val="1"/>
    <w:qFormat/>
    <w:uiPriority w:val="0"/>
    <w:pPr>
      <w:ind w:left="2520" w:leftChars="1200"/>
    </w:pPr>
  </w:style>
  <w:style w:type="paragraph" w:styleId="7">
    <w:name w:val="Normal Indent"/>
    <w:basedOn w:val="1"/>
    <w:qFormat/>
    <w:uiPriority w:val="99"/>
    <w:pPr>
      <w:ind w:firstLine="200" w:firstLineChars="200"/>
    </w:pPr>
  </w:style>
  <w:style w:type="paragraph" w:styleId="8">
    <w:name w:val="Document Map"/>
    <w:basedOn w:val="1"/>
    <w:link w:val="50"/>
    <w:qFormat/>
    <w:uiPriority w:val="0"/>
    <w:rPr>
      <w:rFonts w:ascii="宋体"/>
      <w:sz w:val="18"/>
      <w:szCs w:val="18"/>
    </w:rPr>
  </w:style>
  <w:style w:type="paragraph" w:styleId="9">
    <w:name w:val="annotation text"/>
    <w:basedOn w:val="1"/>
    <w:link w:val="48"/>
    <w:qFormat/>
    <w:uiPriority w:val="0"/>
    <w:pPr>
      <w:jc w:val="left"/>
    </w:pPr>
  </w:style>
  <w:style w:type="paragraph" w:styleId="10">
    <w:name w:val="Body Text Indent"/>
    <w:basedOn w:val="1"/>
    <w:qFormat/>
    <w:uiPriority w:val="0"/>
    <w:pPr>
      <w:ind w:firstLine="630"/>
    </w:pPr>
    <w:rPr>
      <w:sz w:val="32"/>
      <w:szCs w:val="20"/>
    </w:rPr>
  </w:style>
  <w:style w:type="paragraph" w:styleId="11">
    <w:name w:val="Block Text"/>
    <w:basedOn w:val="1"/>
    <w:semiHidden/>
    <w:unhideWhenUsed/>
    <w:qFormat/>
    <w:uiPriority w:val="99"/>
    <w:pPr>
      <w:spacing w:before="100" w:beforeAutospacing="1" w:after="120" w:line="240" w:lineRule="auto"/>
      <w:ind w:left="1440" w:leftChars="700" w:right="1440" w:rightChars="700"/>
    </w:pPr>
    <w:rPr>
      <w:rFonts w:cs="宋体"/>
      <w:szCs w:val="21"/>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Plain Text"/>
    <w:basedOn w:val="1"/>
    <w:link w:val="95"/>
    <w:unhideWhenUsed/>
    <w:qFormat/>
    <w:uiPriority w:val="99"/>
    <w:pPr>
      <w:spacing w:before="100" w:beforeAutospacing="1" w:line="256" w:lineRule="auto"/>
    </w:pPr>
    <w:rPr>
      <w:rFonts w:ascii="宋体" w:hAnsi="Courier New"/>
      <w:szCs w:val="21"/>
    </w:rPr>
  </w:style>
  <w:style w:type="paragraph" w:styleId="15">
    <w:name w:val="toc 8"/>
    <w:basedOn w:val="1"/>
    <w:next w:val="1"/>
    <w:qFormat/>
    <w:uiPriority w:val="0"/>
    <w:pPr>
      <w:ind w:left="2940" w:leftChars="1400"/>
    </w:pPr>
  </w:style>
  <w:style w:type="paragraph" w:styleId="16">
    <w:name w:val="Body Text Indent 2"/>
    <w:basedOn w:val="1"/>
    <w:link w:val="91"/>
    <w:semiHidden/>
    <w:unhideWhenUsed/>
    <w:qFormat/>
    <w:uiPriority w:val="0"/>
    <w:pPr>
      <w:spacing w:after="120" w:line="480" w:lineRule="auto"/>
      <w:ind w:left="420" w:leftChars="200"/>
    </w:pPr>
  </w:style>
  <w:style w:type="paragraph" w:styleId="17">
    <w:name w:val="Balloon Text"/>
    <w:basedOn w:val="1"/>
    <w:link w:val="47"/>
    <w:qFormat/>
    <w:uiPriority w:val="0"/>
    <w:rPr>
      <w:sz w:val="18"/>
      <w:szCs w:val="18"/>
    </w:rPr>
  </w:style>
  <w:style w:type="paragraph" w:styleId="18">
    <w:name w:val="footer"/>
    <w:basedOn w:val="1"/>
    <w:link w:val="62"/>
    <w:qFormat/>
    <w:uiPriority w:val="99"/>
    <w:pPr>
      <w:tabs>
        <w:tab w:val="center" w:pos="4153"/>
        <w:tab w:val="right" w:pos="8306"/>
      </w:tabs>
      <w:snapToGrid w:val="0"/>
      <w:jc w:val="left"/>
    </w:pPr>
    <w:rPr>
      <w:sz w:val="18"/>
      <w:szCs w:val="20"/>
    </w:rPr>
  </w:style>
  <w:style w:type="paragraph" w:styleId="19">
    <w:name w:val="header"/>
    <w:basedOn w:val="1"/>
    <w:link w:val="68"/>
    <w:qFormat/>
    <w:uiPriority w:val="99"/>
    <w:pPr>
      <w:pBdr>
        <w:bottom w:val="single" w:color="auto" w:sz="6" w:space="1"/>
      </w:pBdr>
      <w:tabs>
        <w:tab w:val="center" w:pos="4153"/>
        <w:tab w:val="right" w:pos="8306"/>
      </w:tabs>
      <w:snapToGrid w:val="0"/>
      <w:jc w:val="center"/>
    </w:pPr>
    <w:rPr>
      <w:sz w:val="18"/>
      <w:szCs w:val="20"/>
    </w:rPr>
  </w:style>
  <w:style w:type="paragraph" w:styleId="20">
    <w:name w:val="toc 1"/>
    <w:basedOn w:val="1"/>
    <w:next w:val="1"/>
    <w:qFormat/>
    <w:uiPriority w:val="39"/>
  </w:style>
  <w:style w:type="paragraph" w:styleId="21">
    <w:name w:val="toc 4"/>
    <w:basedOn w:val="1"/>
    <w:next w:val="1"/>
    <w:qFormat/>
    <w:uiPriority w:val="0"/>
    <w:pPr>
      <w:ind w:left="1260" w:leftChars="600"/>
    </w:pPr>
  </w:style>
  <w:style w:type="paragraph" w:styleId="22">
    <w:name w:val="Subtitle"/>
    <w:basedOn w:val="1"/>
    <w:next w:val="1"/>
    <w:qFormat/>
    <w:uiPriority w:val="0"/>
    <w:pPr>
      <w:spacing w:line="312" w:lineRule="auto"/>
      <w:jc w:val="left"/>
      <w:outlineLvl w:val="1"/>
    </w:pPr>
    <w:rPr>
      <w:rFonts w:ascii="Cambria" w:hAnsi="Cambria"/>
      <w:b/>
      <w:bCs/>
      <w:kern w:val="28"/>
      <w:szCs w:val="32"/>
    </w:rPr>
  </w:style>
  <w:style w:type="paragraph" w:styleId="23">
    <w:name w:val="toc 6"/>
    <w:basedOn w:val="1"/>
    <w:next w:val="1"/>
    <w:qFormat/>
    <w:uiPriority w:val="0"/>
    <w:pPr>
      <w:ind w:left="2100" w:leftChars="1000"/>
    </w:pPr>
  </w:style>
  <w:style w:type="paragraph" w:styleId="24">
    <w:name w:val="toc 2"/>
    <w:basedOn w:val="1"/>
    <w:next w:val="1"/>
    <w:qFormat/>
    <w:uiPriority w:val="0"/>
    <w:pPr>
      <w:ind w:left="420" w:leftChars="200"/>
    </w:pPr>
  </w:style>
  <w:style w:type="paragraph" w:styleId="25">
    <w:name w:val="toc 9"/>
    <w:basedOn w:val="1"/>
    <w:next w:val="1"/>
    <w:qFormat/>
    <w:uiPriority w:val="0"/>
    <w:pPr>
      <w:ind w:left="3360" w:leftChars="1600"/>
    </w:pPr>
  </w:style>
  <w:style w:type="paragraph" w:styleId="26">
    <w:name w:val="Normal (Web)"/>
    <w:basedOn w:val="1"/>
    <w:qFormat/>
    <w:uiPriority w:val="0"/>
    <w:pPr>
      <w:widowControl/>
      <w:spacing w:before="100" w:beforeAutospacing="1" w:after="100" w:afterAutospacing="1"/>
      <w:jc w:val="left"/>
    </w:pPr>
    <w:rPr>
      <w:rFonts w:ascii="宋体"/>
      <w:kern w:val="0"/>
      <w:sz w:val="18"/>
      <w:szCs w:val="18"/>
    </w:rPr>
  </w:style>
  <w:style w:type="paragraph" w:styleId="27">
    <w:name w:val="Title"/>
    <w:basedOn w:val="1"/>
    <w:next w:val="1"/>
    <w:link w:val="78"/>
    <w:qFormat/>
    <w:uiPriority w:val="99"/>
    <w:pPr>
      <w:spacing w:before="240" w:after="60" w:line="240" w:lineRule="auto"/>
      <w:jc w:val="center"/>
      <w:outlineLvl w:val="0"/>
    </w:pPr>
    <w:rPr>
      <w:rFonts w:ascii="等线 Light" w:hAnsi="等线 Light" w:eastAsia="等线"/>
      <w:b/>
      <w:bCs/>
      <w:sz w:val="32"/>
      <w:szCs w:val="32"/>
    </w:rPr>
  </w:style>
  <w:style w:type="paragraph" w:styleId="28">
    <w:name w:val="annotation subject"/>
    <w:basedOn w:val="9"/>
    <w:next w:val="9"/>
    <w:link w:val="54"/>
    <w:qFormat/>
    <w:uiPriority w:val="0"/>
    <w:rPr>
      <w:b/>
      <w:bCs/>
    </w:rPr>
  </w:style>
  <w:style w:type="paragraph" w:styleId="29">
    <w:name w:val="Body Text First Indent"/>
    <w:basedOn w:val="2"/>
    <w:qFormat/>
    <w:uiPriority w:val="0"/>
    <w:pPr>
      <w:ind w:firstLine="420" w:firstLineChars="100"/>
    </w:pPr>
  </w:style>
  <w:style w:type="table" w:styleId="31">
    <w:name w:val="Table Grid"/>
    <w:basedOn w:val="3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rPr>
  </w:style>
  <w:style w:type="character" w:styleId="34">
    <w:name w:val="page number"/>
    <w:qFormat/>
    <w:uiPriority w:val="0"/>
  </w:style>
  <w:style w:type="character" w:styleId="35">
    <w:name w:val="FollowedHyperlink"/>
    <w:basedOn w:val="32"/>
    <w:semiHidden/>
    <w:unhideWhenUsed/>
    <w:qFormat/>
    <w:uiPriority w:val="0"/>
    <w:rPr>
      <w:color w:val="954F72" w:themeColor="followedHyperlink"/>
      <w:u w:val="single"/>
      <w14:textFill>
        <w14:solidFill>
          <w14:schemeClr w14:val="folHlink"/>
        </w14:solidFill>
      </w14:textFill>
    </w:rPr>
  </w:style>
  <w:style w:type="character" w:styleId="36">
    <w:name w:val="Emphasis"/>
    <w:basedOn w:val="32"/>
    <w:qFormat/>
    <w:uiPriority w:val="0"/>
    <w:rPr>
      <w:b/>
    </w:rPr>
  </w:style>
  <w:style w:type="character" w:styleId="37">
    <w:name w:val="HTML Definition"/>
    <w:basedOn w:val="32"/>
    <w:semiHidden/>
    <w:unhideWhenUsed/>
    <w:qFormat/>
    <w:uiPriority w:val="0"/>
  </w:style>
  <w:style w:type="character" w:styleId="38">
    <w:name w:val="HTML Typewriter"/>
    <w:basedOn w:val="32"/>
    <w:semiHidden/>
    <w:unhideWhenUsed/>
    <w:qFormat/>
    <w:uiPriority w:val="0"/>
    <w:rPr>
      <w:rFonts w:hint="default" w:ascii="monospace" w:hAnsi="monospace" w:eastAsia="monospace" w:cs="monospace"/>
      <w:sz w:val="20"/>
    </w:rPr>
  </w:style>
  <w:style w:type="character" w:styleId="39">
    <w:name w:val="HTML Acronym"/>
    <w:basedOn w:val="32"/>
    <w:semiHidden/>
    <w:unhideWhenUsed/>
    <w:qFormat/>
    <w:uiPriority w:val="0"/>
  </w:style>
  <w:style w:type="character" w:styleId="40">
    <w:name w:val="HTML Variable"/>
    <w:basedOn w:val="32"/>
    <w:semiHidden/>
    <w:unhideWhenUsed/>
    <w:qFormat/>
    <w:uiPriority w:val="0"/>
  </w:style>
  <w:style w:type="character" w:styleId="41">
    <w:name w:val="Hyperlink"/>
    <w:basedOn w:val="32"/>
    <w:unhideWhenUsed/>
    <w:qFormat/>
    <w:uiPriority w:val="99"/>
    <w:rPr>
      <w:color w:val="0563C1" w:themeColor="hyperlink"/>
      <w:u w:val="single"/>
      <w14:textFill>
        <w14:solidFill>
          <w14:schemeClr w14:val="hlink"/>
        </w14:solidFill>
      </w14:textFill>
    </w:rPr>
  </w:style>
  <w:style w:type="character" w:styleId="42">
    <w:name w:val="HTML Code"/>
    <w:basedOn w:val="32"/>
    <w:semiHidden/>
    <w:unhideWhenUsed/>
    <w:qFormat/>
    <w:uiPriority w:val="0"/>
    <w:rPr>
      <w:rFonts w:ascii="monospace" w:hAnsi="monospace" w:eastAsia="monospace" w:cs="monospace"/>
      <w:sz w:val="20"/>
    </w:rPr>
  </w:style>
  <w:style w:type="character" w:styleId="43">
    <w:name w:val="annotation reference"/>
    <w:qFormat/>
    <w:uiPriority w:val="99"/>
    <w:rPr>
      <w:sz w:val="21"/>
      <w:szCs w:val="21"/>
    </w:rPr>
  </w:style>
  <w:style w:type="character" w:styleId="44">
    <w:name w:val="HTML Cite"/>
    <w:basedOn w:val="32"/>
    <w:semiHidden/>
    <w:unhideWhenUsed/>
    <w:qFormat/>
    <w:uiPriority w:val="0"/>
  </w:style>
  <w:style w:type="character" w:styleId="45">
    <w:name w:val="HTML Keyboard"/>
    <w:basedOn w:val="32"/>
    <w:semiHidden/>
    <w:unhideWhenUsed/>
    <w:qFormat/>
    <w:uiPriority w:val="0"/>
    <w:rPr>
      <w:rFonts w:hint="default" w:ascii="monospace" w:hAnsi="monospace" w:eastAsia="monospace" w:cs="monospace"/>
      <w:sz w:val="20"/>
    </w:rPr>
  </w:style>
  <w:style w:type="character" w:styleId="46">
    <w:name w:val="HTML Sample"/>
    <w:basedOn w:val="32"/>
    <w:semiHidden/>
    <w:unhideWhenUsed/>
    <w:qFormat/>
    <w:uiPriority w:val="0"/>
    <w:rPr>
      <w:rFonts w:hint="default" w:ascii="monospace" w:hAnsi="monospace" w:eastAsia="monospace" w:cs="monospace"/>
    </w:rPr>
  </w:style>
  <w:style w:type="character" w:customStyle="1" w:styleId="47">
    <w:name w:val="批注框文本 字符"/>
    <w:link w:val="17"/>
    <w:qFormat/>
    <w:uiPriority w:val="0"/>
    <w:rPr>
      <w:kern w:val="2"/>
      <w:sz w:val="18"/>
      <w:szCs w:val="18"/>
    </w:rPr>
  </w:style>
  <w:style w:type="character" w:customStyle="1" w:styleId="48">
    <w:name w:val="批注文字 字符"/>
    <w:link w:val="9"/>
    <w:qFormat/>
    <w:uiPriority w:val="0"/>
    <w:rPr>
      <w:kern w:val="2"/>
      <w:sz w:val="21"/>
      <w:szCs w:val="24"/>
    </w:rPr>
  </w:style>
  <w:style w:type="character" w:customStyle="1" w:styleId="49">
    <w:name w:val="font91"/>
    <w:qFormat/>
    <w:uiPriority w:val="0"/>
    <w:rPr>
      <w:rFonts w:hint="eastAsia" w:ascii="宋体" w:hAnsi="宋体" w:eastAsia="宋体" w:cs="宋体"/>
      <w:color w:val="FF0000"/>
      <w:sz w:val="21"/>
      <w:szCs w:val="21"/>
      <w:u w:val="single"/>
    </w:rPr>
  </w:style>
  <w:style w:type="character" w:customStyle="1" w:styleId="50">
    <w:name w:val="文档结构图 字符"/>
    <w:link w:val="8"/>
    <w:qFormat/>
    <w:uiPriority w:val="0"/>
    <w:rPr>
      <w:rFonts w:ascii="宋体"/>
      <w:kern w:val="2"/>
      <w:sz w:val="18"/>
      <w:szCs w:val="18"/>
    </w:rPr>
  </w:style>
  <w:style w:type="character" w:customStyle="1" w:styleId="51">
    <w:name w:val="font101"/>
    <w:qFormat/>
    <w:uiPriority w:val="0"/>
    <w:rPr>
      <w:rFonts w:hint="eastAsia" w:ascii="宋体" w:hAnsi="宋体" w:eastAsia="宋体" w:cs="宋体"/>
      <w:color w:val="000000"/>
      <w:sz w:val="21"/>
      <w:szCs w:val="21"/>
      <w:u w:val="single"/>
    </w:rPr>
  </w:style>
  <w:style w:type="character" w:customStyle="1" w:styleId="52">
    <w:name w:val="font111"/>
    <w:qFormat/>
    <w:uiPriority w:val="0"/>
    <w:rPr>
      <w:rFonts w:hint="default" w:ascii="Eʩ" w:hAnsi="Eʩ" w:eastAsia="Eʩ" w:cs="Eʩ"/>
      <w:color w:val="000000"/>
      <w:sz w:val="21"/>
      <w:szCs w:val="21"/>
      <w:u w:val="single"/>
    </w:rPr>
  </w:style>
  <w:style w:type="character" w:customStyle="1" w:styleId="53">
    <w:name w:val="font31"/>
    <w:qFormat/>
    <w:uiPriority w:val="0"/>
    <w:rPr>
      <w:rFonts w:hint="eastAsia" w:ascii="宋体" w:hAnsi="宋体" w:eastAsia="宋体" w:cs="宋体"/>
      <w:color w:val="000000"/>
      <w:sz w:val="21"/>
      <w:szCs w:val="21"/>
      <w:u w:val="none"/>
    </w:rPr>
  </w:style>
  <w:style w:type="character" w:customStyle="1" w:styleId="54">
    <w:name w:val="批注主题 字符"/>
    <w:link w:val="28"/>
    <w:qFormat/>
    <w:uiPriority w:val="0"/>
    <w:rPr>
      <w:b/>
      <w:bCs/>
      <w:kern w:val="2"/>
      <w:sz w:val="21"/>
      <w:szCs w:val="24"/>
    </w:rPr>
  </w:style>
  <w:style w:type="character" w:customStyle="1" w:styleId="55">
    <w:name w:val="标题 1 字符"/>
    <w:link w:val="3"/>
    <w:qFormat/>
    <w:uiPriority w:val="0"/>
    <w:rPr>
      <w:b/>
      <w:bCs/>
      <w:kern w:val="44"/>
      <w:sz w:val="44"/>
      <w:szCs w:val="44"/>
    </w:rPr>
  </w:style>
  <w:style w:type="paragraph" w:customStyle="1" w:styleId="56">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57">
    <w:name w:val="样式 首行缩进:  2 字符"/>
    <w:basedOn w:val="1"/>
    <w:qFormat/>
    <w:uiPriority w:val="0"/>
    <w:pPr>
      <w:spacing w:line="400" w:lineRule="exact"/>
      <w:ind w:firstLine="200" w:firstLineChars="200"/>
    </w:pPr>
    <w:rPr>
      <w:rFonts w:cs="宋体"/>
      <w:sz w:val="24"/>
    </w:rPr>
  </w:style>
  <w:style w:type="paragraph" w:customStyle="1" w:styleId="58">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59">
    <w:name w:val="正文首行缩进两字符"/>
    <w:basedOn w:val="1"/>
    <w:qFormat/>
    <w:uiPriority w:val="0"/>
    <w:pPr>
      <w:spacing w:line="360" w:lineRule="auto"/>
      <w:ind w:firstLine="200" w:firstLineChars="200"/>
    </w:pPr>
  </w:style>
  <w:style w:type="character" w:customStyle="1" w:styleId="60">
    <w:name w:val="批注文字 Char1"/>
    <w:basedOn w:val="32"/>
    <w:qFormat/>
    <w:uiPriority w:val="0"/>
    <w:rPr>
      <w:rFonts w:ascii="Times New Roman" w:hAnsi="Times New Roman" w:eastAsia="宋体" w:cs="Times New Roman"/>
      <w:szCs w:val="24"/>
    </w:rPr>
  </w:style>
  <w:style w:type="paragraph" w:customStyle="1" w:styleId="61">
    <w:name w:val="修订1"/>
    <w:hidden/>
    <w:unhideWhenUsed/>
    <w:qFormat/>
    <w:uiPriority w:val="99"/>
    <w:rPr>
      <w:rFonts w:ascii="Calibri" w:hAnsi="Calibri" w:eastAsia="宋体" w:cs="Times New Roman"/>
      <w:kern w:val="2"/>
      <w:sz w:val="21"/>
      <w:szCs w:val="24"/>
      <w:lang w:val="en-US" w:eastAsia="zh-CN" w:bidi="ar-SA"/>
    </w:rPr>
  </w:style>
  <w:style w:type="character" w:customStyle="1" w:styleId="62">
    <w:name w:val="页脚 字符"/>
    <w:link w:val="18"/>
    <w:qFormat/>
    <w:uiPriority w:val="99"/>
    <w:rPr>
      <w:kern w:val="2"/>
      <w:sz w:val="18"/>
    </w:rPr>
  </w:style>
  <w:style w:type="paragraph" w:styleId="63">
    <w:name w:val="List Paragraph"/>
    <w:basedOn w:val="1"/>
    <w:unhideWhenUsed/>
    <w:qFormat/>
    <w:uiPriority w:val="99"/>
    <w:pPr>
      <w:ind w:firstLine="420" w:firstLineChars="200"/>
    </w:pPr>
  </w:style>
  <w:style w:type="paragraph" w:customStyle="1" w:styleId="64">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65">
    <w:name w:val="正文文本 字符"/>
    <w:basedOn w:val="32"/>
    <w:link w:val="2"/>
    <w:qFormat/>
    <w:uiPriority w:val="99"/>
    <w:rPr>
      <w:kern w:val="2"/>
      <w:sz w:val="21"/>
      <w:szCs w:val="24"/>
    </w:rPr>
  </w:style>
  <w:style w:type="paragraph" w:customStyle="1" w:styleId="66">
    <w:name w:val="修订2"/>
    <w:hidden/>
    <w:semiHidden/>
    <w:qFormat/>
    <w:uiPriority w:val="99"/>
    <w:rPr>
      <w:rFonts w:ascii="Calibri" w:hAnsi="Calibri" w:eastAsia="宋体" w:cs="Times New Roman"/>
      <w:kern w:val="2"/>
      <w:sz w:val="21"/>
      <w:szCs w:val="24"/>
      <w:lang w:val="en-US" w:eastAsia="zh-CN" w:bidi="ar-SA"/>
    </w:rPr>
  </w:style>
  <w:style w:type="paragraph" w:customStyle="1" w:styleId="67">
    <w:name w:val="00、封面正文(与其他内容无关的格式)"/>
    <w:basedOn w:val="1"/>
    <w:qFormat/>
    <w:uiPriority w:val="0"/>
    <w:pPr>
      <w:tabs>
        <w:tab w:val="left" w:pos="0"/>
      </w:tabs>
      <w:adjustRightInd w:val="0"/>
      <w:snapToGrid w:val="0"/>
      <w:spacing w:after="0" w:line="440" w:lineRule="exact"/>
      <w:jc w:val="left"/>
    </w:pPr>
    <w:rPr>
      <w:rFonts w:ascii="宋体" w:hAnsi="宋体" w:cstheme="minorBidi"/>
      <w:sz w:val="24"/>
    </w:rPr>
  </w:style>
  <w:style w:type="character" w:customStyle="1" w:styleId="68">
    <w:name w:val="页眉 字符"/>
    <w:basedOn w:val="32"/>
    <w:link w:val="19"/>
    <w:qFormat/>
    <w:uiPriority w:val="99"/>
    <w:rPr>
      <w:kern w:val="2"/>
      <w:sz w:val="18"/>
    </w:rPr>
  </w:style>
  <w:style w:type="paragraph" w:customStyle="1" w:styleId="69">
    <w:name w:val="01、普通正文"/>
    <w:basedOn w:val="1"/>
    <w:link w:val="70"/>
    <w:qFormat/>
    <w:uiPriority w:val="0"/>
    <w:pPr>
      <w:tabs>
        <w:tab w:val="left" w:pos="0"/>
      </w:tabs>
      <w:wordWrap w:val="0"/>
      <w:topLinePunct/>
      <w:adjustRightInd w:val="0"/>
      <w:snapToGrid w:val="0"/>
      <w:spacing w:after="0" w:line="440" w:lineRule="exact"/>
      <w:jc w:val="left"/>
    </w:pPr>
    <w:rPr>
      <w:rFonts w:ascii="宋体" w:hAnsi="宋体" w:cstheme="minorBidi"/>
      <w:snapToGrid w:val="0"/>
      <w:sz w:val="24"/>
    </w:rPr>
  </w:style>
  <w:style w:type="character" w:customStyle="1" w:styleId="70">
    <w:name w:val="01、普通正文 Char"/>
    <w:link w:val="69"/>
    <w:qFormat/>
    <w:uiPriority w:val="0"/>
    <w:rPr>
      <w:rFonts w:ascii="宋体" w:hAnsi="宋体" w:cstheme="minorBidi"/>
      <w:snapToGrid w:val="0"/>
      <w:kern w:val="2"/>
      <w:sz w:val="24"/>
      <w:szCs w:val="24"/>
    </w:rPr>
  </w:style>
  <w:style w:type="paragraph" w:customStyle="1" w:styleId="71">
    <w:name w:val="13、表格内居中正文"/>
    <w:basedOn w:val="1"/>
    <w:qFormat/>
    <w:uiPriority w:val="0"/>
    <w:pPr>
      <w:tabs>
        <w:tab w:val="left" w:pos="0"/>
      </w:tabs>
      <w:wordWrap w:val="0"/>
      <w:topLinePunct/>
      <w:adjustRightInd w:val="0"/>
      <w:snapToGrid w:val="0"/>
      <w:spacing w:after="0" w:line="360" w:lineRule="exact"/>
      <w:jc w:val="center"/>
    </w:pPr>
    <w:rPr>
      <w:rFonts w:ascii="宋体" w:hAnsi="宋体" w:cstheme="minorBidi"/>
    </w:rPr>
  </w:style>
  <w:style w:type="paragraph" w:customStyle="1" w:styleId="72">
    <w:name w:val="12、表格内左对齐正文"/>
    <w:basedOn w:val="1"/>
    <w:link w:val="75"/>
    <w:qFormat/>
    <w:uiPriority w:val="0"/>
    <w:pPr>
      <w:tabs>
        <w:tab w:val="left" w:pos="0"/>
      </w:tabs>
      <w:wordWrap w:val="0"/>
      <w:topLinePunct/>
      <w:adjustRightInd w:val="0"/>
      <w:snapToGrid w:val="0"/>
      <w:spacing w:after="0" w:line="360" w:lineRule="exact"/>
      <w:ind w:left="48" w:leftChars="20"/>
      <w:jc w:val="left"/>
    </w:pPr>
    <w:rPr>
      <w:rFonts w:ascii="宋体" w:hAnsi="宋体" w:cstheme="minorBidi"/>
      <w:snapToGrid w:val="0"/>
    </w:rPr>
  </w:style>
  <w:style w:type="paragraph" w:customStyle="1" w:styleId="73">
    <w:name w:val="04“一、”正文二级标题"/>
    <w:basedOn w:val="69"/>
    <w:link w:val="74"/>
    <w:qFormat/>
    <w:uiPriority w:val="0"/>
    <w:pPr>
      <w:ind w:firstLine="803" w:firstLineChars="200"/>
    </w:pPr>
  </w:style>
  <w:style w:type="character" w:customStyle="1" w:styleId="74">
    <w:name w:val="04“一、”正文二级标题 Char"/>
    <w:link w:val="73"/>
    <w:qFormat/>
    <w:uiPriority w:val="0"/>
    <w:rPr>
      <w:rFonts w:ascii="宋体" w:hAnsi="宋体" w:cstheme="minorBidi"/>
      <w:snapToGrid w:val="0"/>
      <w:kern w:val="2"/>
      <w:sz w:val="24"/>
      <w:szCs w:val="24"/>
    </w:rPr>
  </w:style>
  <w:style w:type="character" w:customStyle="1" w:styleId="75">
    <w:name w:val="12、表格内左对齐正文 Char"/>
    <w:link w:val="72"/>
    <w:qFormat/>
    <w:uiPriority w:val="0"/>
    <w:rPr>
      <w:rFonts w:ascii="宋体" w:hAnsi="宋体" w:cstheme="minorBidi"/>
      <w:snapToGrid w:val="0"/>
      <w:kern w:val="2"/>
      <w:sz w:val="21"/>
      <w:szCs w:val="24"/>
    </w:rPr>
  </w:style>
  <w:style w:type="paragraph" w:customStyle="1" w:styleId="76">
    <w:name w:val="15、“一、”二级标题"/>
    <w:basedOn w:val="1"/>
    <w:qFormat/>
    <w:uiPriority w:val="0"/>
    <w:pPr>
      <w:wordWrap w:val="0"/>
      <w:topLinePunct/>
      <w:adjustRightInd w:val="0"/>
      <w:snapToGrid w:val="0"/>
      <w:spacing w:before="100" w:beforeAutospacing="1" w:after="100" w:afterAutospacing="1" w:line="440" w:lineRule="exact"/>
      <w:ind w:left="840" w:hanging="420"/>
      <w:jc w:val="left"/>
      <w:outlineLvl w:val="1"/>
    </w:pPr>
    <w:rPr>
      <w:rFonts w:ascii="宋体" w:hAnsi="宋体"/>
      <w:b/>
      <w:bCs/>
      <w:sz w:val="24"/>
    </w:rPr>
  </w:style>
  <w:style w:type="table" w:customStyle="1" w:styleId="77">
    <w:name w:val="网格型1"/>
    <w:basedOn w:val="30"/>
    <w:qFormat/>
    <w:uiPriority w:val="0"/>
    <w:rPr>
      <w:rFonts w:ascii="等线" w:hAnsi="等线" w:eastAsia="等线"/>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8">
    <w:name w:val="标题 字符"/>
    <w:basedOn w:val="32"/>
    <w:link w:val="27"/>
    <w:qFormat/>
    <w:uiPriority w:val="99"/>
    <w:rPr>
      <w:rFonts w:ascii="等线 Light" w:hAnsi="等线 Light" w:eastAsia="等线"/>
      <w:b/>
      <w:bCs/>
      <w:kern w:val="2"/>
      <w:sz w:val="32"/>
      <w:szCs w:val="32"/>
    </w:rPr>
  </w:style>
  <w:style w:type="paragraph" w:customStyle="1" w:styleId="79">
    <w:name w:val="列出段落1"/>
    <w:basedOn w:val="1"/>
    <w:qFormat/>
    <w:uiPriority w:val="0"/>
    <w:pPr>
      <w:spacing w:after="0" w:line="240" w:lineRule="auto"/>
      <w:ind w:firstLine="420" w:firstLineChars="200"/>
    </w:pPr>
    <w:rPr>
      <w:rFonts w:ascii="Times New Roman" w:hAnsi="Times New Roman"/>
      <w:szCs w:val="21"/>
    </w:rPr>
  </w:style>
  <w:style w:type="paragraph" w:customStyle="1" w:styleId="80">
    <w:name w:val="14、“第一章”一级标题"/>
    <w:basedOn w:val="69"/>
    <w:qFormat/>
    <w:uiPriority w:val="0"/>
    <w:pPr>
      <w:spacing w:before="50" w:beforeLines="50" w:after="50" w:afterLines="50" w:line="240" w:lineRule="auto"/>
      <w:jc w:val="center"/>
      <w:outlineLvl w:val="0"/>
    </w:pPr>
    <w:rPr>
      <w:b/>
      <w:sz w:val="36"/>
    </w:rPr>
  </w:style>
  <w:style w:type="paragraph" w:customStyle="1" w:styleId="81">
    <w:name w:val="16、“(一)”三级标题"/>
    <w:basedOn w:val="69"/>
    <w:qFormat/>
    <w:uiPriority w:val="0"/>
    <w:pPr>
      <w:ind w:firstLine="803" w:firstLineChars="200"/>
      <w:outlineLvl w:val="2"/>
    </w:pPr>
    <w:rPr>
      <w:b/>
    </w:rPr>
  </w:style>
  <w:style w:type="paragraph" w:customStyle="1" w:styleId="82">
    <w:name w:val="17“1.”四级标题"/>
    <w:basedOn w:val="1"/>
    <w:qFormat/>
    <w:uiPriority w:val="0"/>
    <w:pPr>
      <w:tabs>
        <w:tab w:val="left" w:pos="0"/>
      </w:tabs>
      <w:wordWrap w:val="0"/>
      <w:topLinePunct/>
      <w:adjustRightInd w:val="0"/>
      <w:snapToGrid w:val="0"/>
      <w:spacing w:after="0" w:line="440" w:lineRule="exact"/>
      <w:ind w:firstLine="803" w:firstLineChars="200"/>
      <w:jc w:val="left"/>
    </w:pPr>
    <w:rPr>
      <w:rFonts w:ascii="宋体" w:hAnsi="宋体" w:cstheme="minorBidi"/>
      <w:sz w:val="24"/>
    </w:rPr>
  </w:style>
  <w:style w:type="paragraph" w:customStyle="1" w:styleId="83">
    <w:name w:val="18、“1.1”五级标题"/>
    <w:basedOn w:val="82"/>
    <w:qFormat/>
    <w:uiPriority w:val="0"/>
  </w:style>
  <w:style w:type="paragraph" w:customStyle="1" w:styleId="84">
    <w:name w:val="19、“(1)”六级标题"/>
    <w:basedOn w:val="82"/>
    <w:qFormat/>
    <w:uiPriority w:val="0"/>
  </w:style>
  <w:style w:type="character" w:customStyle="1" w:styleId="85">
    <w:name w:val="15"/>
    <w:basedOn w:val="32"/>
    <w:qFormat/>
    <w:uiPriority w:val="0"/>
    <w:rPr>
      <w:rFonts w:hint="eastAsia" w:ascii="宋体" w:hAnsi="宋体" w:eastAsia="宋体"/>
      <w:sz w:val="21"/>
      <w:szCs w:val="21"/>
    </w:rPr>
  </w:style>
  <w:style w:type="paragraph" w:customStyle="1" w:styleId="86">
    <w:name w:val="21、第三章“(一)”三级标题"/>
    <w:basedOn w:val="69"/>
    <w:qFormat/>
    <w:uiPriority w:val="0"/>
    <w:pPr>
      <w:pageBreakBefore/>
      <w:tabs>
        <w:tab w:val="clear" w:pos="0"/>
      </w:tabs>
      <w:spacing w:beforeLines="50" w:afterLines="50"/>
      <w:jc w:val="center"/>
      <w:outlineLvl w:val="2"/>
    </w:pPr>
    <w:rPr>
      <w:rFonts w:cs="Times New Roman"/>
      <w:b/>
      <w:bCs/>
      <w:snapToGrid/>
      <w:sz w:val="28"/>
      <w:szCs w:val="28"/>
    </w:rPr>
  </w:style>
  <w:style w:type="paragraph" w:customStyle="1" w:styleId="87">
    <w:name w:val="03、“注：”正文(加粗，首行缩进2字符)"/>
    <w:basedOn w:val="69"/>
    <w:qFormat/>
    <w:uiPriority w:val="0"/>
    <w:pPr>
      <w:tabs>
        <w:tab w:val="clear" w:pos="0"/>
      </w:tabs>
      <w:ind w:firstLine="480" w:firstLineChars="200"/>
    </w:pPr>
    <w:rPr>
      <w:rFonts w:cs="Times New Roman"/>
      <w:b/>
      <w:bCs/>
      <w:snapToGrid/>
    </w:rPr>
  </w:style>
  <w:style w:type="character" w:customStyle="1" w:styleId="88">
    <w:name w:val="未处理的提及1"/>
    <w:basedOn w:val="32"/>
    <w:semiHidden/>
    <w:unhideWhenUsed/>
    <w:qFormat/>
    <w:uiPriority w:val="99"/>
    <w:rPr>
      <w:color w:val="605E5C"/>
      <w:shd w:val="clear" w:color="auto" w:fill="E1DFDD"/>
    </w:rPr>
  </w:style>
  <w:style w:type="character" w:customStyle="1" w:styleId="89">
    <w:name w:val="标题 2 字符"/>
    <w:basedOn w:val="32"/>
    <w:link w:val="4"/>
    <w:qFormat/>
    <w:uiPriority w:val="99"/>
    <w:rPr>
      <w:rFonts w:ascii="Arial" w:hAnsi="Arial" w:eastAsia="黑体"/>
      <w:b/>
      <w:bCs/>
      <w:kern w:val="2"/>
      <w:sz w:val="32"/>
      <w:szCs w:val="32"/>
    </w:rPr>
  </w:style>
  <w:style w:type="paragraph" w:customStyle="1" w:styleId="90">
    <w:name w:val="正文2"/>
    <w:qFormat/>
    <w:uiPriority w:val="0"/>
    <w:pPr>
      <w:jc w:val="both"/>
    </w:pPr>
    <w:rPr>
      <w:rFonts w:ascii="Times New Roman" w:hAnsi="Times New Roman" w:eastAsia="宋体" w:cs="Times New Roman"/>
      <w:kern w:val="2"/>
      <w:sz w:val="21"/>
      <w:szCs w:val="21"/>
      <w:lang w:val="en-US" w:eastAsia="zh-CN" w:bidi="ar-SA"/>
    </w:rPr>
  </w:style>
  <w:style w:type="character" w:customStyle="1" w:styleId="91">
    <w:name w:val="正文文本缩进 2 字符"/>
    <w:basedOn w:val="32"/>
    <w:link w:val="16"/>
    <w:semiHidden/>
    <w:qFormat/>
    <w:uiPriority w:val="0"/>
    <w:rPr>
      <w:rFonts w:ascii="Calibri" w:hAnsi="Calibri"/>
      <w:kern w:val="2"/>
      <w:sz w:val="21"/>
      <w:szCs w:val="24"/>
    </w:rPr>
  </w:style>
  <w:style w:type="paragraph" w:customStyle="1" w:styleId="92">
    <w:name w:val="GW-正文"/>
    <w:basedOn w:val="1"/>
    <w:qFormat/>
    <w:uiPriority w:val="0"/>
    <w:pPr>
      <w:spacing w:after="0" w:line="360" w:lineRule="auto"/>
      <w:ind w:firstLine="200" w:firstLineChars="200"/>
    </w:pPr>
    <w:rPr>
      <w:rFonts w:ascii="Times New Roman" w:hAnsi="Times New Roman" w:eastAsia="仿宋_GB2312"/>
      <w:sz w:val="24"/>
    </w:rPr>
  </w:style>
  <w:style w:type="character" w:customStyle="1" w:styleId="93">
    <w:name w:val="16"/>
    <w:basedOn w:val="32"/>
    <w:qFormat/>
    <w:uiPriority w:val="0"/>
    <w:rPr>
      <w:rFonts w:hint="eastAsia" w:ascii="宋体" w:hAnsi="宋体" w:eastAsia="宋体"/>
      <w:sz w:val="21"/>
      <w:szCs w:val="21"/>
    </w:rPr>
  </w:style>
  <w:style w:type="paragraph" w:customStyle="1" w:styleId="94">
    <w:name w:val="正文3"/>
    <w:qFormat/>
    <w:uiPriority w:val="0"/>
    <w:pPr>
      <w:jc w:val="both"/>
    </w:pPr>
    <w:rPr>
      <w:rFonts w:ascii="Calibri" w:hAnsi="Calibri" w:eastAsia="宋体" w:cs="Calibri"/>
      <w:kern w:val="2"/>
      <w:sz w:val="21"/>
      <w:szCs w:val="21"/>
      <w:lang w:val="en-US" w:eastAsia="zh-CN" w:bidi="ar-SA"/>
    </w:rPr>
  </w:style>
  <w:style w:type="character" w:customStyle="1" w:styleId="95">
    <w:name w:val="纯文本 字符"/>
    <w:basedOn w:val="32"/>
    <w:link w:val="14"/>
    <w:qFormat/>
    <w:uiPriority w:val="99"/>
    <w:rPr>
      <w:rFonts w:ascii="宋体" w:hAnsi="Courier New"/>
      <w:kern w:val="2"/>
      <w:sz w:val="21"/>
      <w:szCs w:val="21"/>
    </w:rPr>
  </w:style>
  <w:style w:type="paragraph" w:customStyle="1" w:styleId="96">
    <w:name w:val="_Style 2"/>
    <w:basedOn w:val="1"/>
    <w:qFormat/>
    <w:uiPriority w:val="0"/>
    <w:pPr>
      <w:spacing w:before="100" w:beforeAutospacing="1" w:line="256" w:lineRule="auto"/>
      <w:ind w:firstLine="420" w:firstLineChars="200"/>
    </w:pPr>
    <w:rPr>
      <w:sz w:val="18"/>
      <w:szCs w:val="18"/>
    </w:rPr>
  </w:style>
  <w:style w:type="paragraph" w:customStyle="1" w:styleId="97">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8">
    <w:name w:val="标题 5（有编号）（绿盟科技）"/>
    <w:basedOn w:val="1"/>
    <w:next w:val="99"/>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99">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100">
    <w:name w:val="hover1"/>
    <w:basedOn w:val="32"/>
    <w:qFormat/>
    <w:uiPriority w:val="0"/>
    <w:rPr>
      <w:color w:val="2590EB"/>
    </w:rPr>
  </w:style>
  <w:style w:type="character" w:customStyle="1" w:styleId="101">
    <w:name w:val="hover2"/>
    <w:basedOn w:val="32"/>
    <w:qFormat/>
    <w:uiPriority w:val="0"/>
    <w:rPr>
      <w:color w:val="2590EB"/>
    </w:rPr>
  </w:style>
  <w:style w:type="character" w:customStyle="1" w:styleId="102">
    <w:name w:val="hover3"/>
    <w:basedOn w:val="32"/>
    <w:qFormat/>
    <w:uiPriority w:val="0"/>
  </w:style>
  <w:style w:type="character" w:customStyle="1" w:styleId="103">
    <w:name w:val="mini-outputtext1"/>
    <w:basedOn w:val="32"/>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C3AEFF-7D34-4C02-823F-502EDDD0A3E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99</Pages>
  <Words>44452</Words>
  <Characters>46222</Characters>
  <Lines>298</Lines>
  <Paragraphs>83</Paragraphs>
  <TotalTime>0</TotalTime>
  <ScaleCrop>false</ScaleCrop>
  <LinksUpToDate>false</LinksUpToDate>
  <CharactersWithSpaces>47178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2021-04-29T02:33:00Z</dcterms:created>
  <dc:creator>s</dc:creator>
  <cp:lastModifiedBy>Administrator</cp:lastModifiedBy>
  <dcterms:modified xsi:type="dcterms:W3CDTF">2021-09-03T02:05:39Z</dcterms:modified>
  <dc:title>招标编号：xxxx [xxxx] xx号</dc:title>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