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5"/>
        <w:spacing w:before="120" w:beforeLines="50" w:line="360" w:lineRule="auto"/>
        <w:rPr>
          <w:rFonts w:hint="eastAsia" w:ascii="宋体" w:hAnsi="宋体" w:eastAsia="宋体" w:cs="宋体"/>
          <w:b/>
          <w:bCs/>
          <w:color w:val="auto"/>
          <w:sz w:val="40"/>
          <w:szCs w:val="40"/>
          <w:highlight w:val="none"/>
        </w:rPr>
      </w:pPr>
      <w:bookmarkStart w:id="0" w:name="_Toc5725"/>
      <w:bookmarkStart w:id="1" w:name="_Toc578"/>
      <w:bookmarkStart w:id="2" w:name="_Toc6478"/>
      <w:bookmarkStart w:id="1208" w:name="_GoBack"/>
      <w:bookmarkEnd w:id="1208"/>
      <w:r>
        <w:rPr>
          <w:rFonts w:hint="eastAsia" w:ascii="宋体" w:hAnsi="宋体" w:eastAsia="宋体" w:cs="宋体"/>
          <w:b/>
          <w:bCs/>
          <w:color w:val="auto"/>
          <w:sz w:val="40"/>
          <w:szCs w:val="40"/>
          <w:highlight w:val="none"/>
        </w:rPr>
        <w:t xml:space="preserve">项目编号：510101202101103  </w:t>
      </w:r>
    </w:p>
    <w:p>
      <w:pPr>
        <w:pStyle w:val="45"/>
        <w:spacing w:line="360" w:lineRule="auto"/>
        <w:rPr>
          <w:rFonts w:hint="eastAsia" w:ascii="宋体" w:hAnsi="宋体" w:eastAsia="宋体" w:cs="宋体"/>
          <w:b/>
          <w:bCs/>
          <w:color w:val="auto"/>
          <w:sz w:val="40"/>
          <w:szCs w:val="40"/>
          <w:highlight w:val="none"/>
        </w:rPr>
      </w:pPr>
      <w:r>
        <w:rPr>
          <w:rFonts w:hint="eastAsia" w:ascii="宋体" w:hAnsi="宋体" w:eastAsia="宋体" w:cs="宋体"/>
          <w:b/>
          <w:bCs/>
          <w:color w:val="auto"/>
          <w:sz w:val="40"/>
          <w:szCs w:val="40"/>
          <w:highlight w:val="none"/>
        </w:rPr>
        <w:t>内部编号：ZCQXZB-2021-0</w:t>
      </w:r>
      <w:r>
        <w:rPr>
          <w:rFonts w:hint="eastAsia" w:cs="宋体"/>
          <w:b/>
          <w:bCs/>
          <w:color w:val="auto"/>
          <w:sz w:val="40"/>
          <w:szCs w:val="40"/>
          <w:highlight w:val="none"/>
          <w:lang w:val="en-US" w:eastAsia="zh-CN"/>
        </w:rPr>
        <w:t>444</w:t>
      </w:r>
      <w:r>
        <w:rPr>
          <w:rFonts w:hint="eastAsia" w:ascii="宋体" w:hAnsi="宋体" w:eastAsia="宋体" w:cs="宋体"/>
          <w:b/>
          <w:bCs/>
          <w:color w:val="auto"/>
          <w:sz w:val="40"/>
          <w:szCs w:val="40"/>
          <w:highlight w:val="none"/>
        </w:rPr>
        <w:t>B</w:t>
      </w:r>
    </w:p>
    <w:p>
      <w:pPr>
        <w:pStyle w:val="45"/>
        <w:spacing w:line="360" w:lineRule="auto"/>
        <w:rPr>
          <w:rFonts w:hint="eastAsia" w:ascii="宋体" w:hAnsi="宋体" w:eastAsia="宋体" w:cs="宋体"/>
          <w:b/>
          <w:bCs/>
          <w:color w:val="auto"/>
          <w:sz w:val="40"/>
          <w:szCs w:val="40"/>
          <w:highlight w:val="none"/>
        </w:rPr>
      </w:pPr>
      <w:r>
        <w:rPr>
          <w:rFonts w:hint="eastAsia" w:ascii="宋体" w:hAnsi="宋体" w:eastAsia="宋体" w:cs="宋体"/>
          <w:b/>
          <w:bCs/>
          <w:color w:val="auto"/>
          <w:sz w:val="40"/>
          <w:szCs w:val="40"/>
          <w:highlight w:val="none"/>
        </w:rPr>
        <w:t xml:space="preserve">项目名称：成都市技师学院赛教融合竞赛能力提升基地建设配套(智能制造实训基地虚实一体工作站)采购项目 </w:t>
      </w:r>
    </w:p>
    <w:p>
      <w:pPr>
        <w:pStyle w:val="45"/>
        <w:wordWrap w:val="0"/>
        <w:topLinePunct/>
        <w:spacing w:before="3360" w:beforeLines="1400" w:after="3360" w:afterLines="1400" w:line="240" w:lineRule="auto"/>
        <w:jc w:val="center"/>
        <w:rPr>
          <w:rFonts w:hint="eastAsia" w:ascii="宋体" w:hAnsi="宋体" w:eastAsia="宋体" w:cs="宋体"/>
          <w:b/>
          <w:bCs/>
          <w:color w:val="auto"/>
          <w:sz w:val="96"/>
          <w:szCs w:val="96"/>
          <w:highlight w:val="none"/>
        </w:rPr>
      </w:pPr>
      <w:r>
        <w:rPr>
          <w:rFonts w:hint="eastAsia" w:ascii="宋体" w:hAnsi="宋体" w:eastAsia="宋体" w:cs="宋体"/>
          <w:b/>
          <w:bCs/>
          <w:color w:val="auto"/>
          <w:sz w:val="96"/>
          <w:szCs w:val="96"/>
          <w:highlight w:val="none"/>
        </w:rPr>
        <w:t>招标文件</w:t>
      </w:r>
    </w:p>
    <w:p>
      <w:pPr>
        <w:pStyle w:val="45"/>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中国·四川</w:t>
      </w:r>
    </w:p>
    <w:p>
      <w:pPr>
        <w:pStyle w:val="45"/>
        <w:spacing w:line="360" w:lineRule="auto"/>
        <w:ind w:left="2400" w:leftChars="10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采   购   人：成都市技师学院         </w:t>
      </w:r>
    </w:p>
    <w:p>
      <w:pPr>
        <w:pStyle w:val="45"/>
        <w:spacing w:line="360" w:lineRule="auto"/>
        <w:ind w:left="2400" w:leftChars="10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采购代理机构：四川乾新招投标代理有限公司</w:t>
      </w:r>
    </w:p>
    <w:p>
      <w:pPr>
        <w:pStyle w:val="45"/>
        <w:spacing w:line="360" w:lineRule="auto"/>
        <w:ind w:left="2400" w:leftChars="10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文  件 编 制：由采购人和采购代理机构共同编制</w:t>
      </w:r>
    </w:p>
    <w:p>
      <w:pPr>
        <w:pStyle w:val="45"/>
        <w:spacing w:line="360" w:lineRule="auto"/>
        <w:jc w:val="center"/>
        <w:rPr>
          <w:rFonts w:hint="eastAsia" w:ascii="宋体" w:hAnsi="宋体" w:eastAsia="宋体" w:cs="宋体"/>
          <w:b/>
          <w:bCs/>
          <w:color w:val="auto"/>
          <w:sz w:val="28"/>
          <w:szCs w:val="28"/>
          <w:highlight w:val="none"/>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NumType w:start="0"/>
          <w:cols w:space="720" w:num="1"/>
          <w:titlePg/>
          <w:docGrid w:linePitch="312" w:charSpace="0"/>
        </w:sectPr>
      </w:pPr>
      <w:r>
        <w:rPr>
          <w:rFonts w:hint="eastAsia" w:ascii="宋体" w:hAnsi="宋体" w:eastAsia="宋体" w:cs="宋体"/>
          <w:b/>
          <w:bCs/>
          <w:color w:val="auto"/>
          <w:sz w:val="28"/>
          <w:szCs w:val="28"/>
          <w:highlight w:val="none"/>
        </w:rPr>
        <w:t>2021年8月</w:t>
      </w:r>
    </w:p>
    <w:p>
      <w:pPr>
        <w:pStyle w:val="45"/>
        <w:spacing w:line="240" w:lineRule="auto"/>
        <w:jc w:val="center"/>
        <w:rPr>
          <w:rFonts w:hint="eastAsia" w:ascii="宋体" w:hAnsi="宋体" w:eastAsia="宋体" w:cs="宋体"/>
          <w:b/>
          <w:bCs/>
          <w:color w:val="auto"/>
          <w:sz w:val="40"/>
          <w:szCs w:val="40"/>
          <w:highlight w:val="none"/>
        </w:rPr>
      </w:pPr>
      <w:bookmarkStart w:id="3" w:name="_Toc452473646"/>
      <w:bookmarkStart w:id="4" w:name="_Toc502651262"/>
      <w:bookmarkStart w:id="5" w:name="_Toc373139265"/>
      <w:bookmarkStart w:id="6" w:name="_Toc371958974"/>
      <w:bookmarkStart w:id="7" w:name="_Toc336690878"/>
      <w:bookmarkStart w:id="8" w:name="_Toc372620750"/>
      <w:r>
        <w:rPr>
          <w:rFonts w:hint="eastAsia" w:ascii="宋体" w:hAnsi="宋体" w:eastAsia="宋体" w:cs="宋体"/>
          <w:b/>
          <w:bCs/>
          <w:color w:val="auto"/>
          <w:sz w:val="40"/>
          <w:szCs w:val="40"/>
          <w:highlight w:val="none"/>
        </w:rPr>
        <w:t>政府采购阳光宣言</w:t>
      </w:r>
      <w:bookmarkEnd w:id="3"/>
      <w:bookmarkEnd w:id="4"/>
    </w:p>
    <w:p>
      <w:pPr>
        <w:pStyle w:val="45"/>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四川乾新践行公平竞争、诚信的核心价值观，诚信于股东、诚信于服务对象、诚信于员工、诚信于社会。</w:t>
      </w:r>
    </w:p>
    <w:p>
      <w:pPr>
        <w:pStyle w:val="45"/>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四川乾新全体员工严格遵守《乾新十戒》和《员工廉洁从业规定》，遵纪守法，强化自律，廉洁从业，规范经营。</w:t>
      </w:r>
    </w:p>
    <w:p>
      <w:pPr>
        <w:pStyle w:val="45"/>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坚决维护国家利益和社会公共利益，严守商业道德，悉心维护采购人和供应商权益，开展公平竞争，努力提供优质、细心、专业的服务，为采购人创造价值，与采购人共同成长。坚持不懈反对“四风”，厉行节约，反对浪费，求真务实，克己奉公，精益求精，追求卓越，以出色的效益回报股东，回报社会。</w:t>
      </w:r>
    </w:p>
    <w:p>
      <w:pPr>
        <w:pStyle w:val="45"/>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四川乾新与服务对象之间是简单的政企、企事业、企业与企业之间的关系，不存在个人利益动机。四川乾新员工追逐阳光下的公司利润和个人价值，以廉为荣、以贪为耻，忠于职责，恪守《员工廉洁从业规定》。倡导遵守以下行为准则：</w:t>
      </w:r>
    </w:p>
    <w:p>
      <w:pPr>
        <w:pStyle w:val="46"/>
        <w:ind w:firstLine="480"/>
        <w:rPr>
          <w:rFonts w:hint="eastAsia" w:ascii="宋体" w:hAnsi="宋体" w:eastAsia="宋体" w:cs="宋体"/>
          <w:color w:val="auto"/>
          <w:highlight w:val="none"/>
        </w:rPr>
      </w:pPr>
      <w:r>
        <w:rPr>
          <w:rFonts w:hint="eastAsia" w:ascii="宋体" w:hAnsi="宋体" w:eastAsia="宋体" w:cs="宋体"/>
          <w:color w:val="auto"/>
          <w:highlight w:val="none"/>
        </w:rPr>
        <w:t>四川乾新不以向采购人及其亲属提供任何个人利益的方式谋求合作关系；</w:t>
      </w:r>
    </w:p>
    <w:p>
      <w:pPr>
        <w:pStyle w:val="46"/>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四川乾新不迷信任何实际存在的或虚构的所谓关系； </w:t>
      </w:r>
    </w:p>
    <w:p>
      <w:pPr>
        <w:pStyle w:val="46"/>
        <w:ind w:firstLine="480"/>
        <w:rPr>
          <w:rFonts w:hint="eastAsia" w:ascii="宋体" w:hAnsi="宋体" w:eastAsia="宋体" w:cs="宋体"/>
          <w:color w:val="auto"/>
          <w:highlight w:val="none"/>
        </w:rPr>
      </w:pPr>
      <w:r>
        <w:rPr>
          <w:rFonts w:hint="eastAsia" w:ascii="宋体" w:hAnsi="宋体" w:eastAsia="宋体" w:cs="宋体"/>
          <w:color w:val="auto"/>
          <w:highlight w:val="none"/>
        </w:rPr>
        <w:t>四川乾新不采取恶性竞争等不正当手段竞争业务；</w:t>
      </w:r>
    </w:p>
    <w:p>
      <w:pPr>
        <w:pStyle w:val="46"/>
        <w:ind w:firstLine="480"/>
        <w:rPr>
          <w:rFonts w:hint="eastAsia" w:ascii="宋体" w:hAnsi="宋体" w:eastAsia="宋体" w:cs="宋体"/>
          <w:color w:val="auto"/>
          <w:highlight w:val="none"/>
        </w:rPr>
      </w:pPr>
      <w:r>
        <w:rPr>
          <w:rFonts w:hint="eastAsia" w:ascii="宋体" w:hAnsi="宋体" w:eastAsia="宋体" w:cs="宋体"/>
          <w:color w:val="auto"/>
          <w:highlight w:val="none"/>
        </w:rPr>
        <w:t>四川乾新不向采购人提供好处费、回扣、现金及有价证券、支付凭证、贵重礼物；</w:t>
      </w:r>
    </w:p>
    <w:p>
      <w:pPr>
        <w:pStyle w:val="46"/>
        <w:ind w:firstLine="480"/>
        <w:rPr>
          <w:rFonts w:hint="eastAsia" w:ascii="宋体" w:hAnsi="宋体" w:eastAsia="宋体" w:cs="宋体"/>
          <w:color w:val="auto"/>
          <w:highlight w:val="none"/>
        </w:rPr>
      </w:pPr>
      <w:r>
        <w:rPr>
          <w:rFonts w:hint="eastAsia" w:ascii="宋体" w:hAnsi="宋体" w:eastAsia="宋体" w:cs="宋体"/>
          <w:color w:val="auto"/>
          <w:highlight w:val="none"/>
        </w:rPr>
        <w:t>四川乾新不给采购人及其亲属报销任何费用；不向采购人及其亲属提供住房、交通工具、通讯工具、家电、高档办公用品等物品；不向采购人及其亲属的家庭装修、婚丧嫁娶、工作安排、出国、留学等提供资金及物资的资助；</w:t>
      </w:r>
    </w:p>
    <w:p>
      <w:pPr>
        <w:pStyle w:val="46"/>
        <w:ind w:firstLine="480"/>
        <w:rPr>
          <w:rFonts w:hint="eastAsia" w:ascii="宋体" w:hAnsi="宋体" w:eastAsia="宋体" w:cs="宋体"/>
          <w:color w:val="auto"/>
          <w:highlight w:val="none"/>
        </w:rPr>
      </w:pPr>
      <w:r>
        <w:rPr>
          <w:rFonts w:hint="eastAsia" w:ascii="宋体" w:hAnsi="宋体" w:eastAsia="宋体" w:cs="宋体"/>
          <w:color w:val="auto"/>
          <w:highlight w:val="none"/>
        </w:rPr>
        <w:t>供应商在参与项目时公平竞争，充分发挥市场主体作用，降低采购成本，节约采购资金；</w:t>
      </w:r>
    </w:p>
    <w:p>
      <w:pPr>
        <w:pStyle w:val="46"/>
        <w:ind w:firstLine="480"/>
        <w:rPr>
          <w:rFonts w:hint="eastAsia" w:ascii="宋体" w:hAnsi="宋体" w:eastAsia="宋体" w:cs="宋体"/>
          <w:color w:val="auto"/>
          <w:highlight w:val="none"/>
        </w:rPr>
      </w:pPr>
      <w:r>
        <w:rPr>
          <w:rFonts w:hint="eastAsia" w:ascii="宋体" w:hAnsi="宋体" w:eastAsia="宋体" w:cs="宋体"/>
          <w:color w:val="auto"/>
          <w:highlight w:val="none"/>
        </w:rPr>
        <w:t>四川乾新不与采购人、供应商串通投标；</w:t>
      </w:r>
    </w:p>
    <w:p>
      <w:pPr>
        <w:pStyle w:val="46"/>
        <w:ind w:firstLine="480"/>
        <w:rPr>
          <w:rFonts w:hint="eastAsia" w:ascii="宋体" w:hAnsi="宋体" w:eastAsia="宋体" w:cs="宋体"/>
          <w:color w:val="auto"/>
          <w:highlight w:val="none"/>
        </w:rPr>
      </w:pPr>
      <w:r>
        <w:rPr>
          <w:rFonts w:hint="eastAsia" w:ascii="宋体" w:hAnsi="宋体" w:eastAsia="宋体" w:cs="宋体"/>
          <w:color w:val="auto"/>
          <w:highlight w:val="none"/>
        </w:rPr>
        <w:t>四川乾新、采购人不与供应商就标底、其他单位的投标书等商业秘密及合同中的质量、价格、验收等条款进行私下商谈或者达成默契；</w:t>
      </w:r>
    </w:p>
    <w:p>
      <w:pPr>
        <w:pStyle w:val="46"/>
        <w:ind w:firstLine="480"/>
        <w:rPr>
          <w:rFonts w:hint="eastAsia" w:ascii="宋体" w:hAnsi="宋体" w:eastAsia="宋体" w:cs="宋体"/>
          <w:color w:val="auto"/>
          <w:highlight w:val="none"/>
        </w:rPr>
      </w:pPr>
      <w:r>
        <w:rPr>
          <w:rFonts w:hint="eastAsia" w:ascii="宋体" w:hAnsi="宋体" w:eastAsia="宋体" w:cs="宋体"/>
          <w:color w:val="auto"/>
          <w:highlight w:val="none"/>
        </w:rPr>
        <w:t>四川乾新坚决杜绝以下行为：①乾新员工有行贿倾向、建议等行为；②乾新员工有索贿、受贿等行为。</w:t>
      </w:r>
    </w:p>
    <w:p>
      <w:pPr>
        <w:pStyle w:val="45"/>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如出现违反宣言的行为，请及时向四川乾新监察部投诉或举报，经核查属实的，严格按照公司规定处理，涉及违法违纪的将追究相关法律责任。请各采购人及供应商积极宣传本宣言，了解并自觉践行宣言，共同营造公开、公平、公正、诚实信用、讲求绩效的政采营商环境，共同推动政府采购行业健康发展。 </w:t>
      </w:r>
    </w:p>
    <w:p>
      <w:pPr>
        <w:pStyle w:val="45"/>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监察部投诉及举报邮箱：scqxzb_shl@163.com</w:t>
      </w:r>
    </w:p>
    <w:p>
      <w:pPr>
        <w:pStyle w:val="45"/>
        <w:ind w:firstLine="480" w:firstLineChars="200"/>
        <w:rPr>
          <w:rFonts w:hint="eastAsia" w:ascii="宋体" w:hAnsi="宋体" w:eastAsia="宋体" w:cs="宋体"/>
          <w:color w:val="auto"/>
          <w:highlight w:val="none"/>
        </w:rPr>
        <w:sectPr>
          <w:headerReference r:id="rId11" w:type="first"/>
          <w:footerReference r:id="rId13" w:type="first"/>
          <w:headerReference r:id="rId10" w:type="default"/>
          <w:footerReference r:id="rId12" w:type="default"/>
          <w:pgSz w:w="11906" w:h="16838"/>
          <w:pgMar w:top="1440" w:right="1083" w:bottom="1440" w:left="1083" w:header="851" w:footer="992" w:gutter="0"/>
          <w:cols w:space="720" w:num="1"/>
          <w:titlePg/>
          <w:docGrid w:linePitch="312" w:charSpace="0"/>
        </w:sectPr>
      </w:pPr>
      <w:r>
        <w:rPr>
          <w:rFonts w:hint="eastAsia" w:ascii="宋体" w:hAnsi="宋体" w:eastAsia="宋体" w:cs="宋体"/>
          <w:color w:val="auto"/>
          <w:highlight w:val="none"/>
        </w:rPr>
        <w:t>监察部投诉及举报电话：028-62630990</w:t>
      </w:r>
      <w:bookmarkEnd w:id="5"/>
      <w:bookmarkEnd w:id="6"/>
      <w:bookmarkEnd w:id="7"/>
      <w:bookmarkEnd w:id="8"/>
    </w:p>
    <w:p>
      <w:pPr>
        <w:pStyle w:val="45"/>
        <w:jc w:val="center"/>
        <w:rPr>
          <w:rFonts w:hint="eastAsia" w:ascii="宋体" w:hAnsi="宋体" w:eastAsia="宋体" w:cs="宋体"/>
          <w:color w:val="auto"/>
          <w:highlight w:val="none"/>
        </w:rPr>
      </w:pPr>
      <w:r>
        <w:rPr>
          <w:rFonts w:hint="eastAsia" w:ascii="宋体" w:hAnsi="宋体" w:eastAsia="宋体" w:cs="宋体"/>
          <w:color w:val="auto"/>
          <w:highlight w:val="none"/>
        </w:rPr>
        <w:t>目  录</w:t>
      </w:r>
      <w:bookmarkEnd w:id="0"/>
      <w:bookmarkEnd w:id="1"/>
    </w:p>
    <w:p>
      <w:pPr>
        <w:pStyle w:val="17"/>
        <w:tabs>
          <w:tab w:val="clear" w:pos="0"/>
        </w:tabs>
        <w:rPr>
          <w:rFonts w:hint="eastAsia" w:ascii="宋体" w:hAnsi="宋体" w:eastAsia="宋体" w:cs="宋体"/>
          <w:w w:val="100"/>
          <w:sz w:val="21"/>
        </w:rPr>
      </w:pPr>
      <w:bookmarkStart w:id="9" w:name="_Toc15794"/>
      <w:bookmarkStart w:id="10" w:name="_Toc26242"/>
      <w:bookmarkStart w:id="11" w:name="_Toc28748"/>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TOC \o "1-3" \h \u </w:instrText>
      </w:r>
      <w:r>
        <w:rPr>
          <w:rFonts w:hint="eastAsia" w:ascii="宋体" w:hAnsi="宋体" w:eastAsia="宋体" w:cs="宋体"/>
          <w:color w:val="auto"/>
          <w:highlight w:val="none"/>
        </w:rPr>
        <w:fldChar w:fldCharType="separate"/>
      </w: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_Toc31672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第一章 </w:t>
      </w:r>
      <w:r>
        <w:rPr>
          <w:rFonts w:hint="eastAsia" w:ascii="宋体" w:hAnsi="宋体" w:eastAsia="宋体" w:cs="宋体"/>
          <w:w w:val="100"/>
          <w:sz w:val="21"/>
          <w:highlight w:val="none"/>
        </w:rPr>
        <w:t>投标邀请</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_Toc31672 \h </w:instrText>
      </w:r>
      <w:r>
        <w:rPr>
          <w:rFonts w:hint="eastAsia" w:ascii="宋体" w:hAnsi="宋体" w:eastAsia="宋体" w:cs="宋体"/>
          <w:w w:val="100"/>
          <w:sz w:val="21"/>
        </w:rPr>
        <w:fldChar w:fldCharType="separate"/>
      </w:r>
      <w:r>
        <w:rPr>
          <w:rFonts w:hint="eastAsia" w:ascii="宋体" w:hAnsi="宋体" w:eastAsia="宋体" w:cs="宋体"/>
          <w:w w:val="100"/>
          <w:sz w:val="21"/>
        </w:rPr>
        <w:t>4</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7"/>
        <w:tabs>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_Toc5195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第二章 </w:t>
      </w:r>
      <w:r>
        <w:rPr>
          <w:rFonts w:hint="eastAsia" w:ascii="宋体" w:hAnsi="宋体" w:eastAsia="宋体" w:cs="宋体"/>
          <w:w w:val="100"/>
          <w:sz w:val="21"/>
          <w:highlight w:val="none"/>
        </w:rPr>
        <w:t>投标人须知</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_Toc5195 \h </w:instrText>
      </w:r>
      <w:r>
        <w:rPr>
          <w:rFonts w:hint="eastAsia" w:ascii="宋体" w:hAnsi="宋体" w:eastAsia="宋体" w:cs="宋体"/>
          <w:w w:val="100"/>
          <w:sz w:val="21"/>
        </w:rPr>
        <w:fldChar w:fldCharType="separate"/>
      </w:r>
      <w:r>
        <w:rPr>
          <w:rFonts w:hint="eastAsia" w:ascii="宋体" w:hAnsi="宋体" w:eastAsia="宋体" w:cs="宋体"/>
          <w:w w:val="100"/>
          <w:sz w:val="21"/>
        </w:rPr>
        <w:t>7</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_Toc9677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lang w:val="en-US"/>
        </w:rPr>
        <w:t xml:space="preserve">一、 </w:t>
      </w:r>
      <w:r>
        <w:rPr>
          <w:rFonts w:hint="eastAsia" w:ascii="宋体" w:hAnsi="宋体" w:eastAsia="宋体" w:cs="宋体"/>
          <w:w w:val="100"/>
          <w:sz w:val="21"/>
          <w:highlight w:val="none"/>
        </w:rPr>
        <w:t>投标人须知前附表</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_Toc9677 \h </w:instrText>
      </w:r>
      <w:r>
        <w:rPr>
          <w:rFonts w:hint="eastAsia" w:ascii="宋体" w:hAnsi="宋体" w:eastAsia="宋体" w:cs="宋体"/>
          <w:w w:val="100"/>
          <w:sz w:val="21"/>
        </w:rPr>
        <w:fldChar w:fldCharType="separate"/>
      </w:r>
      <w:r>
        <w:rPr>
          <w:rFonts w:hint="eastAsia" w:ascii="宋体" w:hAnsi="宋体" w:eastAsia="宋体" w:cs="宋体"/>
          <w:w w:val="100"/>
          <w:sz w:val="21"/>
        </w:rPr>
        <w:t>7</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_Toc25032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lang w:val="en-US"/>
        </w:rPr>
        <w:t xml:space="preserve">二、 </w:t>
      </w:r>
      <w:r>
        <w:rPr>
          <w:rFonts w:hint="eastAsia" w:ascii="宋体" w:hAnsi="宋体" w:eastAsia="宋体" w:cs="宋体"/>
          <w:w w:val="100"/>
          <w:sz w:val="21"/>
          <w:highlight w:val="none"/>
        </w:rPr>
        <w:t>总 则</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_Toc25032 \h </w:instrText>
      </w:r>
      <w:r>
        <w:rPr>
          <w:rFonts w:hint="eastAsia" w:ascii="宋体" w:hAnsi="宋体" w:eastAsia="宋体" w:cs="宋体"/>
          <w:w w:val="100"/>
          <w:sz w:val="21"/>
        </w:rPr>
        <w:fldChar w:fldCharType="separate"/>
      </w:r>
      <w:r>
        <w:rPr>
          <w:rFonts w:hint="eastAsia" w:ascii="宋体" w:hAnsi="宋体" w:eastAsia="宋体" w:cs="宋体"/>
          <w:w w:val="100"/>
          <w:sz w:val="21"/>
        </w:rPr>
        <w:t>13</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_Toc5576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(一) </w:t>
      </w:r>
      <w:r>
        <w:rPr>
          <w:rFonts w:hint="eastAsia" w:ascii="宋体" w:hAnsi="宋体" w:eastAsia="宋体" w:cs="宋体"/>
          <w:w w:val="100"/>
          <w:sz w:val="21"/>
          <w:highlight w:val="none"/>
        </w:rPr>
        <w:t>适用范围</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_Toc5576 \h </w:instrText>
      </w:r>
      <w:r>
        <w:rPr>
          <w:rFonts w:hint="eastAsia" w:ascii="宋体" w:hAnsi="宋体" w:eastAsia="宋体" w:cs="宋体"/>
          <w:w w:val="100"/>
          <w:sz w:val="21"/>
        </w:rPr>
        <w:fldChar w:fldCharType="separate"/>
      </w:r>
      <w:r>
        <w:rPr>
          <w:rFonts w:hint="eastAsia" w:ascii="宋体" w:hAnsi="宋体" w:eastAsia="宋体" w:cs="宋体"/>
          <w:w w:val="100"/>
          <w:sz w:val="21"/>
        </w:rPr>
        <w:t>13</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_Toc21924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(二) </w:t>
      </w:r>
      <w:r>
        <w:rPr>
          <w:rFonts w:hint="eastAsia" w:ascii="宋体" w:hAnsi="宋体" w:eastAsia="宋体" w:cs="宋体"/>
          <w:w w:val="100"/>
          <w:sz w:val="21"/>
          <w:highlight w:val="none"/>
        </w:rPr>
        <w:t>有关定义</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_Toc21924 \h </w:instrText>
      </w:r>
      <w:r>
        <w:rPr>
          <w:rFonts w:hint="eastAsia" w:ascii="宋体" w:hAnsi="宋体" w:eastAsia="宋体" w:cs="宋体"/>
          <w:w w:val="100"/>
          <w:sz w:val="21"/>
        </w:rPr>
        <w:fldChar w:fldCharType="separate"/>
      </w:r>
      <w:r>
        <w:rPr>
          <w:rFonts w:hint="eastAsia" w:ascii="宋体" w:hAnsi="宋体" w:eastAsia="宋体" w:cs="宋体"/>
          <w:w w:val="100"/>
          <w:sz w:val="21"/>
        </w:rPr>
        <w:t>13</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_Toc1897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(三) </w:t>
      </w:r>
      <w:r>
        <w:rPr>
          <w:rFonts w:hint="eastAsia" w:ascii="宋体" w:hAnsi="宋体" w:eastAsia="宋体" w:cs="宋体"/>
          <w:w w:val="100"/>
          <w:sz w:val="21"/>
          <w:highlight w:val="none"/>
        </w:rPr>
        <w:t>合格的投标人(实质性要求)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_Toc1897 \h </w:instrText>
      </w:r>
      <w:r>
        <w:rPr>
          <w:rFonts w:hint="eastAsia" w:ascii="宋体" w:hAnsi="宋体" w:eastAsia="宋体" w:cs="宋体"/>
          <w:w w:val="100"/>
          <w:sz w:val="21"/>
        </w:rPr>
        <w:fldChar w:fldCharType="separate"/>
      </w:r>
      <w:r>
        <w:rPr>
          <w:rFonts w:hint="eastAsia" w:ascii="宋体" w:hAnsi="宋体" w:eastAsia="宋体" w:cs="宋体"/>
          <w:w w:val="100"/>
          <w:sz w:val="21"/>
        </w:rPr>
        <w:t>13</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_Toc20283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(四) </w:t>
      </w:r>
      <w:r>
        <w:rPr>
          <w:rFonts w:hint="eastAsia" w:ascii="宋体" w:hAnsi="宋体" w:eastAsia="宋体" w:cs="宋体"/>
          <w:w w:val="100"/>
          <w:sz w:val="21"/>
          <w:highlight w:val="none"/>
        </w:rPr>
        <w:t>投标费用(实质性要求)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_Toc20283 \h </w:instrText>
      </w:r>
      <w:r>
        <w:rPr>
          <w:rFonts w:hint="eastAsia" w:ascii="宋体" w:hAnsi="宋体" w:eastAsia="宋体" w:cs="宋体"/>
          <w:w w:val="100"/>
          <w:sz w:val="21"/>
        </w:rPr>
        <w:fldChar w:fldCharType="separate"/>
      </w:r>
      <w:r>
        <w:rPr>
          <w:rFonts w:hint="eastAsia" w:ascii="宋体" w:hAnsi="宋体" w:eastAsia="宋体" w:cs="宋体"/>
          <w:w w:val="100"/>
          <w:sz w:val="21"/>
        </w:rPr>
        <w:t>13</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_Toc3283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(五) </w:t>
      </w:r>
      <w:r>
        <w:rPr>
          <w:rFonts w:hint="eastAsia" w:ascii="宋体" w:hAnsi="宋体" w:eastAsia="宋体" w:cs="宋体"/>
          <w:w w:val="100"/>
          <w:sz w:val="21"/>
          <w:highlight w:val="none"/>
        </w:rPr>
        <w:t>充分、公平竞争保障措施(实质性要求)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_Toc3283 \h </w:instrText>
      </w:r>
      <w:r>
        <w:rPr>
          <w:rFonts w:hint="eastAsia" w:ascii="宋体" w:hAnsi="宋体" w:eastAsia="宋体" w:cs="宋体"/>
          <w:w w:val="100"/>
          <w:sz w:val="21"/>
        </w:rPr>
        <w:fldChar w:fldCharType="separate"/>
      </w:r>
      <w:r>
        <w:rPr>
          <w:rFonts w:hint="eastAsia" w:ascii="宋体" w:hAnsi="宋体" w:eastAsia="宋体" w:cs="宋体"/>
          <w:w w:val="100"/>
          <w:sz w:val="21"/>
        </w:rPr>
        <w:t>13</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_Toc20366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lang w:val="en-US"/>
        </w:rPr>
        <w:t xml:space="preserve">三、 </w:t>
      </w:r>
      <w:r>
        <w:rPr>
          <w:rFonts w:hint="eastAsia" w:ascii="宋体" w:hAnsi="宋体" w:eastAsia="宋体" w:cs="宋体"/>
          <w:w w:val="100"/>
          <w:sz w:val="21"/>
          <w:highlight w:val="none"/>
        </w:rPr>
        <w:t>招标文件</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_Toc20366 \h </w:instrText>
      </w:r>
      <w:r>
        <w:rPr>
          <w:rFonts w:hint="eastAsia" w:ascii="宋体" w:hAnsi="宋体" w:eastAsia="宋体" w:cs="宋体"/>
          <w:w w:val="100"/>
          <w:sz w:val="21"/>
        </w:rPr>
        <w:fldChar w:fldCharType="separate"/>
      </w:r>
      <w:r>
        <w:rPr>
          <w:rFonts w:hint="eastAsia" w:ascii="宋体" w:hAnsi="宋体" w:eastAsia="宋体" w:cs="宋体"/>
          <w:w w:val="100"/>
          <w:sz w:val="21"/>
        </w:rPr>
        <w:t>14</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_Toc9412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(一) </w:t>
      </w:r>
      <w:r>
        <w:rPr>
          <w:rFonts w:hint="eastAsia" w:ascii="宋体" w:hAnsi="宋体" w:eastAsia="宋体" w:cs="宋体"/>
          <w:w w:val="100"/>
          <w:sz w:val="21"/>
          <w:highlight w:val="none"/>
        </w:rPr>
        <w:t>招标文件的构成</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_Toc9412 \h </w:instrText>
      </w:r>
      <w:r>
        <w:rPr>
          <w:rFonts w:hint="eastAsia" w:ascii="宋体" w:hAnsi="宋体" w:eastAsia="宋体" w:cs="宋体"/>
          <w:w w:val="100"/>
          <w:sz w:val="21"/>
        </w:rPr>
        <w:fldChar w:fldCharType="separate"/>
      </w:r>
      <w:r>
        <w:rPr>
          <w:rFonts w:hint="eastAsia" w:ascii="宋体" w:hAnsi="宋体" w:eastAsia="宋体" w:cs="宋体"/>
          <w:w w:val="100"/>
          <w:sz w:val="21"/>
        </w:rPr>
        <w:t>14</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_Toc23839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(二) </w:t>
      </w:r>
      <w:r>
        <w:rPr>
          <w:rFonts w:hint="eastAsia" w:ascii="宋体" w:hAnsi="宋体" w:eastAsia="宋体" w:cs="宋体"/>
          <w:w w:val="100"/>
          <w:sz w:val="21"/>
          <w:highlight w:val="none"/>
        </w:rPr>
        <w:t>招标文件的澄清和修改</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_Toc23839 \h </w:instrText>
      </w:r>
      <w:r>
        <w:rPr>
          <w:rFonts w:hint="eastAsia" w:ascii="宋体" w:hAnsi="宋体" w:eastAsia="宋体" w:cs="宋体"/>
          <w:w w:val="100"/>
          <w:sz w:val="21"/>
        </w:rPr>
        <w:fldChar w:fldCharType="separate"/>
      </w:r>
      <w:r>
        <w:rPr>
          <w:rFonts w:hint="eastAsia" w:ascii="宋体" w:hAnsi="宋体" w:eastAsia="宋体" w:cs="宋体"/>
          <w:w w:val="100"/>
          <w:sz w:val="21"/>
        </w:rPr>
        <w:t>15</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_Toc7048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(三) </w:t>
      </w:r>
      <w:r>
        <w:rPr>
          <w:rFonts w:hint="eastAsia" w:ascii="宋体" w:hAnsi="宋体" w:eastAsia="宋体" w:cs="宋体"/>
          <w:w w:val="100"/>
          <w:sz w:val="21"/>
          <w:highlight w:val="none"/>
        </w:rPr>
        <w:t>答疑会和现场考察</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_Toc7048 \h </w:instrText>
      </w:r>
      <w:r>
        <w:rPr>
          <w:rFonts w:hint="eastAsia" w:ascii="宋体" w:hAnsi="宋体" w:eastAsia="宋体" w:cs="宋体"/>
          <w:w w:val="100"/>
          <w:sz w:val="21"/>
        </w:rPr>
        <w:fldChar w:fldCharType="separate"/>
      </w:r>
      <w:r>
        <w:rPr>
          <w:rFonts w:hint="eastAsia" w:ascii="宋体" w:hAnsi="宋体" w:eastAsia="宋体" w:cs="宋体"/>
          <w:w w:val="100"/>
          <w:sz w:val="21"/>
        </w:rPr>
        <w:t>16</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_Toc15249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lang w:val="en-US"/>
        </w:rPr>
        <w:t xml:space="preserve">四、 </w:t>
      </w:r>
      <w:r>
        <w:rPr>
          <w:rFonts w:hint="eastAsia" w:ascii="宋体" w:hAnsi="宋体" w:eastAsia="宋体" w:cs="宋体"/>
          <w:w w:val="100"/>
          <w:sz w:val="21"/>
          <w:highlight w:val="none"/>
        </w:rPr>
        <w:t>投标文件</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_Toc15249 \h </w:instrText>
      </w:r>
      <w:r>
        <w:rPr>
          <w:rFonts w:hint="eastAsia" w:ascii="宋体" w:hAnsi="宋体" w:eastAsia="宋体" w:cs="宋体"/>
          <w:w w:val="100"/>
          <w:sz w:val="21"/>
        </w:rPr>
        <w:fldChar w:fldCharType="separate"/>
      </w:r>
      <w:r>
        <w:rPr>
          <w:rFonts w:hint="eastAsia" w:ascii="宋体" w:hAnsi="宋体" w:eastAsia="宋体" w:cs="宋体"/>
          <w:w w:val="100"/>
          <w:sz w:val="21"/>
        </w:rPr>
        <w:t>16</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_Toc21653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(一) </w:t>
      </w:r>
      <w:r>
        <w:rPr>
          <w:rFonts w:hint="eastAsia" w:ascii="宋体" w:hAnsi="宋体" w:eastAsia="宋体" w:cs="宋体"/>
          <w:w w:val="100"/>
          <w:sz w:val="21"/>
          <w:highlight w:val="none"/>
        </w:rPr>
        <w:t>投标文件的语言(实质性要求)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_Toc21653 \h </w:instrText>
      </w:r>
      <w:r>
        <w:rPr>
          <w:rFonts w:hint="eastAsia" w:ascii="宋体" w:hAnsi="宋体" w:eastAsia="宋体" w:cs="宋体"/>
          <w:w w:val="100"/>
          <w:sz w:val="21"/>
        </w:rPr>
        <w:fldChar w:fldCharType="separate"/>
      </w:r>
      <w:r>
        <w:rPr>
          <w:rFonts w:hint="eastAsia" w:ascii="宋体" w:hAnsi="宋体" w:eastAsia="宋体" w:cs="宋体"/>
          <w:w w:val="100"/>
          <w:sz w:val="21"/>
        </w:rPr>
        <w:t>16</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_Toc15711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(二) </w:t>
      </w:r>
      <w:r>
        <w:rPr>
          <w:rFonts w:hint="eastAsia" w:ascii="宋体" w:hAnsi="宋体" w:eastAsia="宋体" w:cs="宋体"/>
          <w:w w:val="100"/>
          <w:sz w:val="21"/>
          <w:highlight w:val="none"/>
        </w:rPr>
        <w:t>计量单位(实质性要求)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_Toc15711 \h </w:instrText>
      </w:r>
      <w:r>
        <w:rPr>
          <w:rFonts w:hint="eastAsia" w:ascii="宋体" w:hAnsi="宋体" w:eastAsia="宋体" w:cs="宋体"/>
          <w:w w:val="100"/>
          <w:sz w:val="21"/>
        </w:rPr>
        <w:fldChar w:fldCharType="separate"/>
      </w:r>
      <w:r>
        <w:rPr>
          <w:rFonts w:hint="eastAsia" w:ascii="宋体" w:hAnsi="宋体" w:eastAsia="宋体" w:cs="宋体"/>
          <w:w w:val="100"/>
          <w:sz w:val="21"/>
        </w:rPr>
        <w:t>16</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_Toc18927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(三) </w:t>
      </w:r>
      <w:r>
        <w:rPr>
          <w:rFonts w:hint="eastAsia" w:ascii="宋体" w:hAnsi="宋体" w:eastAsia="宋体" w:cs="宋体"/>
          <w:w w:val="100"/>
          <w:sz w:val="21"/>
          <w:highlight w:val="none"/>
        </w:rPr>
        <w:t>投标货币(实质性要求)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_Toc18927 \h </w:instrText>
      </w:r>
      <w:r>
        <w:rPr>
          <w:rFonts w:hint="eastAsia" w:ascii="宋体" w:hAnsi="宋体" w:eastAsia="宋体" w:cs="宋体"/>
          <w:w w:val="100"/>
          <w:sz w:val="21"/>
        </w:rPr>
        <w:fldChar w:fldCharType="separate"/>
      </w:r>
      <w:r>
        <w:rPr>
          <w:rFonts w:hint="eastAsia" w:ascii="宋体" w:hAnsi="宋体" w:eastAsia="宋体" w:cs="宋体"/>
          <w:w w:val="100"/>
          <w:sz w:val="21"/>
        </w:rPr>
        <w:t>16</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_Toc26660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(四) </w:t>
      </w:r>
      <w:r>
        <w:rPr>
          <w:rFonts w:hint="eastAsia" w:ascii="宋体" w:hAnsi="宋体" w:eastAsia="宋体" w:cs="宋体"/>
          <w:w w:val="100"/>
          <w:sz w:val="21"/>
          <w:highlight w:val="none"/>
        </w:rPr>
        <w:t>联合体投标(实质性要求)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_Toc26660 \h </w:instrText>
      </w:r>
      <w:r>
        <w:rPr>
          <w:rFonts w:hint="eastAsia" w:ascii="宋体" w:hAnsi="宋体" w:eastAsia="宋体" w:cs="宋体"/>
          <w:w w:val="100"/>
          <w:sz w:val="21"/>
        </w:rPr>
        <w:fldChar w:fldCharType="separate"/>
      </w:r>
      <w:r>
        <w:rPr>
          <w:rFonts w:hint="eastAsia" w:ascii="宋体" w:hAnsi="宋体" w:eastAsia="宋体" w:cs="宋体"/>
          <w:w w:val="100"/>
          <w:sz w:val="21"/>
        </w:rPr>
        <w:t>16</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_Toc14278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(五) </w:t>
      </w:r>
      <w:r>
        <w:rPr>
          <w:rFonts w:hint="eastAsia" w:ascii="宋体" w:hAnsi="宋体" w:eastAsia="宋体" w:cs="宋体"/>
          <w:w w:val="100"/>
          <w:sz w:val="21"/>
          <w:highlight w:val="none"/>
        </w:rPr>
        <w:t>知识产权(实质性要求)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_Toc14278 \h </w:instrText>
      </w:r>
      <w:r>
        <w:rPr>
          <w:rFonts w:hint="eastAsia" w:ascii="宋体" w:hAnsi="宋体" w:eastAsia="宋体" w:cs="宋体"/>
          <w:w w:val="100"/>
          <w:sz w:val="21"/>
        </w:rPr>
        <w:fldChar w:fldCharType="separate"/>
      </w:r>
      <w:r>
        <w:rPr>
          <w:rFonts w:hint="eastAsia" w:ascii="宋体" w:hAnsi="宋体" w:eastAsia="宋体" w:cs="宋体"/>
          <w:w w:val="100"/>
          <w:sz w:val="21"/>
        </w:rPr>
        <w:t>16</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_Toc10314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(六) </w:t>
      </w:r>
      <w:r>
        <w:rPr>
          <w:rFonts w:hint="eastAsia" w:ascii="宋体" w:hAnsi="宋体" w:eastAsia="宋体" w:cs="宋体"/>
          <w:w w:val="100"/>
          <w:sz w:val="21"/>
          <w:highlight w:val="none"/>
        </w:rPr>
        <w:t>投标文件的组成</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_Toc10314 \h </w:instrText>
      </w:r>
      <w:r>
        <w:rPr>
          <w:rFonts w:hint="eastAsia" w:ascii="宋体" w:hAnsi="宋体" w:eastAsia="宋体" w:cs="宋体"/>
          <w:w w:val="100"/>
          <w:sz w:val="21"/>
        </w:rPr>
        <w:fldChar w:fldCharType="separate"/>
      </w:r>
      <w:r>
        <w:rPr>
          <w:rFonts w:hint="eastAsia" w:ascii="宋体" w:hAnsi="宋体" w:eastAsia="宋体" w:cs="宋体"/>
          <w:w w:val="100"/>
          <w:sz w:val="21"/>
        </w:rPr>
        <w:t>17</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_Toc24047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(七) </w:t>
      </w:r>
      <w:r>
        <w:rPr>
          <w:rFonts w:hint="eastAsia" w:ascii="宋体" w:hAnsi="宋体" w:eastAsia="宋体" w:cs="宋体"/>
          <w:w w:val="100"/>
          <w:sz w:val="21"/>
          <w:highlight w:val="none"/>
        </w:rPr>
        <w:t>投标文件格式</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_Toc24047 \h </w:instrText>
      </w:r>
      <w:r>
        <w:rPr>
          <w:rFonts w:hint="eastAsia" w:ascii="宋体" w:hAnsi="宋体" w:eastAsia="宋体" w:cs="宋体"/>
          <w:w w:val="100"/>
          <w:sz w:val="21"/>
        </w:rPr>
        <w:fldChar w:fldCharType="separate"/>
      </w:r>
      <w:r>
        <w:rPr>
          <w:rFonts w:hint="eastAsia" w:ascii="宋体" w:hAnsi="宋体" w:eastAsia="宋体" w:cs="宋体"/>
          <w:w w:val="100"/>
          <w:sz w:val="21"/>
        </w:rPr>
        <w:t>18</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_Toc30496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(八) </w:t>
      </w:r>
      <w:r>
        <w:rPr>
          <w:rFonts w:hint="eastAsia" w:ascii="宋体" w:hAnsi="宋体" w:eastAsia="宋体" w:cs="宋体"/>
          <w:w w:val="100"/>
          <w:sz w:val="21"/>
          <w:highlight w:val="none"/>
        </w:rPr>
        <w:t>投标保证金</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_Toc30496 \h </w:instrText>
      </w:r>
      <w:r>
        <w:rPr>
          <w:rFonts w:hint="eastAsia" w:ascii="宋体" w:hAnsi="宋体" w:eastAsia="宋体" w:cs="宋体"/>
          <w:w w:val="100"/>
          <w:sz w:val="21"/>
        </w:rPr>
        <w:fldChar w:fldCharType="separate"/>
      </w:r>
      <w:r>
        <w:rPr>
          <w:rFonts w:hint="eastAsia" w:ascii="宋体" w:hAnsi="宋体" w:eastAsia="宋体" w:cs="宋体"/>
          <w:w w:val="100"/>
          <w:sz w:val="21"/>
        </w:rPr>
        <w:t>18</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_Toc19998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(九) </w:t>
      </w:r>
      <w:r>
        <w:rPr>
          <w:rFonts w:hint="eastAsia" w:ascii="宋体" w:hAnsi="宋体" w:eastAsia="宋体" w:cs="宋体"/>
          <w:w w:val="100"/>
          <w:sz w:val="21"/>
          <w:highlight w:val="none"/>
        </w:rPr>
        <w:t>投标有效期(实质性要求)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_Toc19998 \h </w:instrText>
      </w:r>
      <w:r>
        <w:rPr>
          <w:rFonts w:hint="eastAsia" w:ascii="宋体" w:hAnsi="宋体" w:eastAsia="宋体" w:cs="宋体"/>
          <w:w w:val="100"/>
          <w:sz w:val="21"/>
        </w:rPr>
        <w:fldChar w:fldCharType="separate"/>
      </w:r>
      <w:r>
        <w:rPr>
          <w:rFonts w:hint="eastAsia" w:ascii="宋体" w:hAnsi="宋体" w:eastAsia="宋体" w:cs="宋体"/>
          <w:w w:val="100"/>
          <w:sz w:val="21"/>
        </w:rPr>
        <w:t>18</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_Toc11938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(十) </w:t>
      </w:r>
      <w:r>
        <w:rPr>
          <w:rFonts w:hint="eastAsia" w:ascii="宋体" w:hAnsi="宋体" w:eastAsia="宋体" w:cs="宋体"/>
          <w:w w:val="100"/>
          <w:sz w:val="21"/>
          <w:highlight w:val="none"/>
        </w:rPr>
        <w:t>投标文件的印制和签署</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_Toc11938 \h </w:instrText>
      </w:r>
      <w:r>
        <w:rPr>
          <w:rFonts w:hint="eastAsia" w:ascii="宋体" w:hAnsi="宋体" w:eastAsia="宋体" w:cs="宋体"/>
          <w:w w:val="100"/>
          <w:sz w:val="21"/>
        </w:rPr>
        <w:fldChar w:fldCharType="separate"/>
      </w:r>
      <w:r>
        <w:rPr>
          <w:rFonts w:hint="eastAsia" w:ascii="宋体" w:hAnsi="宋体" w:eastAsia="宋体" w:cs="宋体"/>
          <w:w w:val="100"/>
          <w:sz w:val="21"/>
        </w:rPr>
        <w:t>19</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_Toc13587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(十一) </w:t>
      </w:r>
      <w:r>
        <w:rPr>
          <w:rFonts w:hint="eastAsia" w:ascii="宋体" w:hAnsi="宋体" w:eastAsia="宋体" w:cs="宋体"/>
          <w:w w:val="100"/>
          <w:sz w:val="21"/>
          <w:highlight w:val="none"/>
        </w:rPr>
        <w:t>投标文件的密封和标注</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_Toc13587 \h </w:instrText>
      </w:r>
      <w:r>
        <w:rPr>
          <w:rFonts w:hint="eastAsia" w:ascii="宋体" w:hAnsi="宋体" w:eastAsia="宋体" w:cs="宋体"/>
          <w:w w:val="100"/>
          <w:sz w:val="21"/>
        </w:rPr>
        <w:fldChar w:fldCharType="separate"/>
      </w:r>
      <w:r>
        <w:rPr>
          <w:rFonts w:hint="eastAsia" w:ascii="宋体" w:hAnsi="宋体" w:eastAsia="宋体" w:cs="宋体"/>
          <w:w w:val="100"/>
          <w:sz w:val="21"/>
        </w:rPr>
        <w:t>19</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_Toc24693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(十二) </w:t>
      </w:r>
      <w:r>
        <w:rPr>
          <w:rFonts w:hint="eastAsia" w:ascii="宋体" w:hAnsi="宋体" w:eastAsia="宋体" w:cs="宋体"/>
          <w:w w:val="100"/>
          <w:sz w:val="21"/>
          <w:highlight w:val="none"/>
        </w:rPr>
        <w:t>投标文件的递交</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_Toc24693 \h </w:instrText>
      </w:r>
      <w:r>
        <w:rPr>
          <w:rFonts w:hint="eastAsia" w:ascii="宋体" w:hAnsi="宋体" w:eastAsia="宋体" w:cs="宋体"/>
          <w:w w:val="100"/>
          <w:sz w:val="21"/>
        </w:rPr>
        <w:fldChar w:fldCharType="separate"/>
      </w:r>
      <w:r>
        <w:rPr>
          <w:rFonts w:hint="eastAsia" w:ascii="宋体" w:hAnsi="宋体" w:eastAsia="宋体" w:cs="宋体"/>
          <w:w w:val="100"/>
          <w:sz w:val="21"/>
        </w:rPr>
        <w:t>20</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_Toc15900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(十三) </w:t>
      </w:r>
      <w:r>
        <w:rPr>
          <w:rFonts w:hint="eastAsia" w:ascii="宋体" w:hAnsi="宋体" w:eastAsia="宋体" w:cs="宋体"/>
          <w:w w:val="100"/>
          <w:sz w:val="21"/>
          <w:highlight w:val="none"/>
        </w:rPr>
        <w:t>投标文件的修改和撤回</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_Toc15900 \h </w:instrText>
      </w:r>
      <w:r>
        <w:rPr>
          <w:rFonts w:hint="eastAsia" w:ascii="宋体" w:hAnsi="宋体" w:eastAsia="宋体" w:cs="宋体"/>
          <w:w w:val="100"/>
          <w:sz w:val="21"/>
        </w:rPr>
        <w:fldChar w:fldCharType="separate"/>
      </w:r>
      <w:r>
        <w:rPr>
          <w:rFonts w:hint="eastAsia" w:ascii="宋体" w:hAnsi="宋体" w:eastAsia="宋体" w:cs="宋体"/>
          <w:w w:val="100"/>
          <w:sz w:val="21"/>
        </w:rPr>
        <w:t>20</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_Toc29167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lang w:val="en-US"/>
        </w:rPr>
        <w:t xml:space="preserve">五、 </w:t>
      </w:r>
      <w:r>
        <w:rPr>
          <w:rFonts w:hint="eastAsia" w:ascii="宋体" w:hAnsi="宋体" w:eastAsia="宋体" w:cs="宋体"/>
          <w:w w:val="100"/>
          <w:sz w:val="21"/>
          <w:highlight w:val="none"/>
        </w:rPr>
        <w:t>开标和中标</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_Toc29167 \h </w:instrText>
      </w:r>
      <w:r>
        <w:rPr>
          <w:rFonts w:hint="eastAsia" w:ascii="宋体" w:hAnsi="宋体" w:eastAsia="宋体" w:cs="宋体"/>
          <w:w w:val="100"/>
          <w:sz w:val="21"/>
        </w:rPr>
        <w:fldChar w:fldCharType="separate"/>
      </w:r>
      <w:r>
        <w:rPr>
          <w:rFonts w:hint="eastAsia" w:ascii="宋体" w:hAnsi="宋体" w:eastAsia="宋体" w:cs="宋体"/>
          <w:w w:val="100"/>
          <w:sz w:val="21"/>
        </w:rPr>
        <w:t>20</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_Toc27534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(一) </w:t>
      </w:r>
      <w:r>
        <w:rPr>
          <w:rFonts w:hint="eastAsia" w:ascii="宋体" w:hAnsi="宋体" w:eastAsia="宋体" w:cs="宋体"/>
          <w:w w:val="100"/>
          <w:sz w:val="21"/>
          <w:highlight w:val="none"/>
        </w:rPr>
        <w:t>开标</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_Toc27534 \h </w:instrText>
      </w:r>
      <w:r>
        <w:rPr>
          <w:rFonts w:hint="eastAsia" w:ascii="宋体" w:hAnsi="宋体" w:eastAsia="宋体" w:cs="宋体"/>
          <w:w w:val="100"/>
          <w:sz w:val="21"/>
        </w:rPr>
        <w:fldChar w:fldCharType="separate"/>
      </w:r>
      <w:r>
        <w:rPr>
          <w:rFonts w:hint="eastAsia" w:ascii="宋体" w:hAnsi="宋体" w:eastAsia="宋体" w:cs="宋体"/>
          <w:w w:val="100"/>
          <w:sz w:val="21"/>
        </w:rPr>
        <w:t>20</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_Toc3356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(二) </w:t>
      </w:r>
      <w:r>
        <w:rPr>
          <w:rFonts w:hint="eastAsia" w:ascii="宋体" w:hAnsi="宋体" w:eastAsia="宋体" w:cs="宋体"/>
          <w:w w:val="100"/>
          <w:sz w:val="21"/>
          <w:highlight w:val="none"/>
        </w:rPr>
        <w:t>开标程序</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_Toc3356 \h </w:instrText>
      </w:r>
      <w:r>
        <w:rPr>
          <w:rFonts w:hint="eastAsia" w:ascii="宋体" w:hAnsi="宋体" w:eastAsia="宋体" w:cs="宋体"/>
          <w:w w:val="100"/>
          <w:sz w:val="21"/>
        </w:rPr>
        <w:fldChar w:fldCharType="separate"/>
      </w:r>
      <w:r>
        <w:rPr>
          <w:rFonts w:hint="eastAsia" w:ascii="宋体" w:hAnsi="宋体" w:eastAsia="宋体" w:cs="宋体"/>
          <w:w w:val="100"/>
          <w:sz w:val="21"/>
        </w:rPr>
        <w:t>21</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_Toc21542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(三) </w:t>
      </w:r>
      <w:r>
        <w:rPr>
          <w:rFonts w:hint="eastAsia" w:ascii="宋体" w:hAnsi="宋体" w:eastAsia="宋体" w:cs="宋体"/>
          <w:w w:val="100"/>
          <w:sz w:val="21"/>
          <w:highlight w:val="none"/>
        </w:rPr>
        <w:t>开评标过程存档</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_Toc21542 \h </w:instrText>
      </w:r>
      <w:r>
        <w:rPr>
          <w:rFonts w:hint="eastAsia" w:ascii="宋体" w:hAnsi="宋体" w:eastAsia="宋体" w:cs="宋体"/>
          <w:w w:val="100"/>
          <w:sz w:val="21"/>
        </w:rPr>
        <w:fldChar w:fldCharType="separate"/>
      </w:r>
      <w:r>
        <w:rPr>
          <w:rFonts w:hint="eastAsia" w:ascii="宋体" w:hAnsi="宋体" w:eastAsia="宋体" w:cs="宋体"/>
          <w:w w:val="100"/>
          <w:sz w:val="21"/>
        </w:rPr>
        <w:t>22</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_Toc14105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(四) </w:t>
      </w:r>
      <w:r>
        <w:rPr>
          <w:rFonts w:hint="eastAsia" w:ascii="宋体" w:hAnsi="宋体" w:eastAsia="宋体" w:cs="宋体"/>
          <w:w w:val="100"/>
          <w:sz w:val="21"/>
          <w:highlight w:val="none"/>
        </w:rPr>
        <w:t>中标结果</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_Toc14105 \h </w:instrText>
      </w:r>
      <w:r>
        <w:rPr>
          <w:rFonts w:hint="eastAsia" w:ascii="宋体" w:hAnsi="宋体" w:eastAsia="宋体" w:cs="宋体"/>
          <w:w w:val="100"/>
          <w:sz w:val="21"/>
        </w:rPr>
        <w:fldChar w:fldCharType="separate"/>
      </w:r>
      <w:r>
        <w:rPr>
          <w:rFonts w:hint="eastAsia" w:ascii="宋体" w:hAnsi="宋体" w:eastAsia="宋体" w:cs="宋体"/>
          <w:w w:val="100"/>
          <w:sz w:val="21"/>
        </w:rPr>
        <w:t>22</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_Toc29820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(五) </w:t>
      </w:r>
      <w:r>
        <w:rPr>
          <w:rFonts w:hint="eastAsia" w:ascii="宋体" w:hAnsi="宋体" w:eastAsia="宋体" w:cs="宋体"/>
          <w:w w:val="100"/>
          <w:sz w:val="21"/>
          <w:highlight w:val="none"/>
        </w:rPr>
        <w:t>中标通知书</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_Toc29820 \h </w:instrText>
      </w:r>
      <w:r>
        <w:rPr>
          <w:rFonts w:hint="eastAsia" w:ascii="宋体" w:hAnsi="宋体" w:eastAsia="宋体" w:cs="宋体"/>
          <w:w w:val="100"/>
          <w:sz w:val="21"/>
        </w:rPr>
        <w:fldChar w:fldCharType="separate"/>
      </w:r>
      <w:r>
        <w:rPr>
          <w:rFonts w:hint="eastAsia" w:ascii="宋体" w:hAnsi="宋体" w:eastAsia="宋体" w:cs="宋体"/>
          <w:w w:val="100"/>
          <w:sz w:val="21"/>
        </w:rPr>
        <w:t>22</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_Toc7757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lang w:val="en-US"/>
        </w:rPr>
        <w:t xml:space="preserve">六、 </w:t>
      </w:r>
      <w:r>
        <w:rPr>
          <w:rFonts w:hint="eastAsia" w:ascii="宋体" w:hAnsi="宋体" w:eastAsia="宋体" w:cs="宋体"/>
          <w:w w:val="100"/>
          <w:sz w:val="21"/>
          <w:highlight w:val="none"/>
        </w:rPr>
        <w:t>签订及履行合同和验收</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_Toc7757 \h </w:instrText>
      </w:r>
      <w:r>
        <w:rPr>
          <w:rFonts w:hint="eastAsia" w:ascii="宋体" w:hAnsi="宋体" w:eastAsia="宋体" w:cs="宋体"/>
          <w:w w:val="100"/>
          <w:sz w:val="21"/>
        </w:rPr>
        <w:fldChar w:fldCharType="separate"/>
      </w:r>
      <w:r>
        <w:rPr>
          <w:rFonts w:hint="eastAsia" w:ascii="宋体" w:hAnsi="宋体" w:eastAsia="宋体" w:cs="宋体"/>
          <w:w w:val="100"/>
          <w:sz w:val="21"/>
        </w:rPr>
        <w:t>22</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_Toc31971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(一) </w:t>
      </w:r>
      <w:r>
        <w:rPr>
          <w:rFonts w:hint="eastAsia" w:ascii="宋体" w:hAnsi="宋体" w:eastAsia="宋体" w:cs="宋体"/>
          <w:w w:val="100"/>
          <w:sz w:val="21"/>
          <w:highlight w:val="none"/>
        </w:rPr>
        <w:t>签订合同</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_Toc31971 \h </w:instrText>
      </w:r>
      <w:r>
        <w:rPr>
          <w:rFonts w:hint="eastAsia" w:ascii="宋体" w:hAnsi="宋体" w:eastAsia="宋体" w:cs="宋体"/>
          <w:w w:val="100"/>
          <w:sz w:val="21"/>
        </w:rPr>
        <w:fldChar w:fldCharType="separate"/>
      </w:r>
      <w:r>
        <w:rPr>
          <w:rFonts w:hint="eastAsia" w:ascii="宋体" w:hAnsi="宋体" w:eastAsia="宋体" w:cs="宋体"/>
          <w:w w:val="100"/>
          <w:sz w:val="21"/>
        </w:rPr>
        <w:t>22</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_Toc1846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(二) </w:t>
      </w:r>
      <w:r>
        <w:rPr>
          <w:rFonts w:hint="eastAsia" w:ascii="宋体" w:hAnsi="宋体" w:eastAsia="宋体" w:cs="宋体"/>
          <w:w w:val="100"/>
          <w:sz w:val="21"/>
          <w:highlight w:val="none"/>
        </w:rPr>
        <w:t>合同分包(实质性要求)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_Toc1846 \h </w:instrText>
      </w:r>
      <w:r>
        <w:rPr>
          <w:rFonts w:hint="eastAsia" w:ascii="宋体" w:hAnsi="宋体" w:eastAsia="宋体" w:cs="宋体"/>
          <w:w w:val="100"/>
          <w:sz w:val="21"/>
        </w:rPr>
        <w:fldChar w:fldCharType="separate"/>
      </w:r>
      <w:r>
        <w:rPr>
          <w:rFonts w:hint="eastAsia" w:ascii="宋体" w:hAnsi="宋体" w:eastAsia="宋体" w:cs="宋体"/>
          <w:w w:val="100"/>
          <w:sz w:val="21"/>
        </w:rPr>
        <w:t>23</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_Toc1898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(三) </w:t>
      </w:r>
      <w:r>
        <w:rPr>
          <w:rFonts w:hint="eastAsia" w:ascii="宋体" w:hAnsi="宋体" w:eastAsia="宋体" w:cs="宋体"/>
          <w:w w:val="100"/>
          <w:sz w:val="21"/>
          <w:highlight w:val="none"/>
        </w:rPr>
        <w:t>合同转包(实质性要求)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_Toc1898 \h </w:instrText>
      </w:r>
      <w:r>
        <w:rPr>
          <w:rFonts w:hint="eastAsia" w:ascii="宋体" w:hAnsi="宋体" w:eastAsia="宋体" w:cs="宋体"/>
          <w:w w:val="100"/>
          <w:sz w:val="21"/>
        </w:rPr>
        <w:fldChar w:fldCharType="separate"/>
      </w:r>
      <w:r>
        <w:rPr>
          <w:rFonts w:hint="eastAsia" w:ascii="宋体" w:hAnsi="宋体" w:eastAsia="宋体" w:cs="宋体"/>
          <w:w w:val="100"/>
          <w:sz w:val="21"/>
        </w:rPr>
        <w:t>23</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_Toc13553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(四) </w:t>
      </w:r>
      <w:r>
        <w:rPr>
          <w:rFonts w:hint="eastAsia" w:ascii="宋体" w:hAnsi="宋体" w:eastAsia="宋体" w:cs="宋体"/>
          <w:w w:val="100"/>
          <w:sz w:val="21"/>
          <w:highlight w:val="none"/>
        </w:rPr>
        <w:t>补充合同</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_Toc13553 \h </w:instrText>
      </w:r>
      <w:r>
        <w:rPr>
          <w:rFonts w:hint="eastAsia" w:ascii="宋体" w:hAnsi="宋体" w:eastAsia="宋体" w:cs="宋体"/>
          <w:w w:val="100"/>
          <w:sz w:val="21"/>
        </w:rPr>
        <w:fldChar w:fldCharType="separate"/>
      </w:r>
      <w:r>
        <w:rPr>
          <w:rFonts w:hint="eastAsia" w:ascii="宋体" w:hAnsi="宋体" w:eastAsia="宋体" w:cs="宋体"/>
          <w:w w:val="100"/>
          <w:sz w:val="21"/>
        </w:rPr>
        <w:t>23</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_Toc16101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(五) </w:t>
      </w:r>
      <w:r>
        <w:rPr>
          <w:rFonts w:hint="eastAsia" w:ascii="宋体" w:hAnsi="宋体" w:eastAsia="宋体" w:cs="宋体"/>
          <w:w w:val="100"/>
          <w:sz w:val="21"/>
          <w:highlight w:val="none"/>
        </w:rPr>
        <w:t>合同公告备案</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_Toc16101 \h </w:instrText>
      </w:r>
      <w:r>
        <w:rPr>
          <w:rFonts w:hint="eastAsia" w:ascii="宋体" w:hAnsi="宋体" w:eastAsia="宋体" w:cs="宋体"/>
          <w:w w:val="100"/>
          <w:sz w:val="21"/>
        </w:rPr>
        <w:fldChar w:fldCharType="separate"/>
      </w:r>
      <w:r>
        <w:rPr>
          <w:rFonts w:hint="eastAsia" w:ascii="宋体" w:hAnsi="宋体" w:eastAsia="宋体" w:cs="宋体"/>
          <w:w w:val="100"/>
          <w:sz w:val="21"/>
        </w:rPr>
        <w:t>23</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_Toc21153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(六) </w:t>
      </w:r>
      <w:r>
        <w:rPr>
          <w:rFonts w:hint="eastAsia" w:ascii="宋体" w:hAnsi="宋体" w:eastAsia="宋体" w:cs="宋体"/>
          <w:w w:val="100"/>
          <w:sz w:val="21"/>
          <w:highlight w:val="none"/>
        </w:rPr>
        <w:t>履约保证金(实质性要求)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_Toc21153 \h </w:instrText>
      </w:r>
      <w:r>
        <w:rPr>
          <w:rFonts w:hint="eastAsia" w:ascii="宋体" w:hAnsi="宋体" w:eastAsia="宋体" w:cs="宋体"/>
          <w:w w:val="100"/>
          <w:sz w:val="21"/>
        </w:rPr>
        <w:fldChar w:fldCharType="separate"/>
      </w:r>
      <w:r>
        <w:rPr>
          <w:rFonts w:hint="eastAsia" w:ascii="宋体" w:hAnsi="宋体" w:eastAsia="宋体" w:cs="宋体"/>
          <w:w w:val="100"/>
          <w:sz w:val="21"/>
        </w:rPr>
        <w:t>23</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_Toc1817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(七) </w:t>
      </w:r>
      <w:r>
        <w:rPr>
          <w:rFonts w:hint="eastAsia" w:ascii="宋体" w:hAnsi="宋体" w:eastAsia="宋体" w:cs="宋体"/>
          <w:w w:val="100"/>
          <w:sz w:val="21"/>
          <w:highlight w:val="none"/>
        </w:rPr>
        <w:t>履行合同</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_Toc1817 \h </w:instrText>
      </w:r>
      <w:r>
        <w:rPr>
          <w:rFonts w:hint="eastAsia" w:ascii="宋体" w:hAnsi="宋体" w:eastAsia="宋体" w:cs="宋体"/>
          <w:w w:val="100"/>
          <w:sz w:val="21"/>
        </w:rPr>
        <w:fldChar w:fldCharType="separate"/>
      </w:r>
      <w:r>
        <w:rPr>
          <w:rFonts w:hint="eastAsia" w:ascii="宋体" w:hAnsi="宋体" w:eastAsia="宋体" w:cs="宋体"/>
          <w:w w:val="100"/>
          <w:sz w:val="21"/>
        </w:rPr>
        <w:t>23</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_Toc19802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(八) </w:t>
      </w:r>
      <w:r>
        <w:rPr>
          <w:rFonts w:hint="eastAsia" w:ascii="宋体" w:hAnsi="宋体" w:eastAsia="宋体" w:cs="宋体"/>
          <w:w w:val="100"/>
          <w:sz w:val="21"/>
          <w:highlight w:val="none"/>
        </w:rPr>
        <w:t>验收</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_Toc19802 \h </w:instrText>
      </w:r>
      <w:r>
        <w:rPr>
          <w:rFonts w:hint="eastAsia" w:ascii="宋体" w:hAnsi="宋体" w:eastAsia="宋体" w:cs="宋体"/>
          <w:w w:val="100"/>
          <w:sz w:val="21"/>
        </w:rPr>
        <w:fldChar w:fldCharType="separate"/>
      </w:r>
      <w:r>
        <w:rPr>
          <w:rFonts w:hint="eastAsia" w:ascii="宋体" w:hAnsi="宋体" w:eastAsia="宋体" w:cs="宋体"/>
          <w:w w:val="100"/>
          <w:sz w:val="21"/>
        </w:rPr>
        <w:t>23</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_Toc30603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(九) </w:t>
      </w:r>
      <w:r>
        <w:rPr>
          <w:rFonts w:hint="eastAsia" w:ascii="宋体" w:hAnsi="宋体" w:eastAsia="宋体" w:cs="宋体"/>
          <w:w w:val="100"/>
          <w:sz w:val="21"/>
          <w:highlight w:val="none"/>
        </w:rPr>
        <w:t>资金支付方式、时间、条件</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_Toc30603 \h </w:instrText>
      </w:r>
      <w:r>
        <w:rPr>
          <w:rFonts w:hint="eastAsia" w:ascii="宋体" w:hAnsi="宋体" w:eastAsia="宋体" w:cs="宋体"/>
          <w:w w:val="100"/>
          <w:sz w:val="21"/>
        </w:rPr>
        <w:fldChar w:fldCharType="separate"/>
      </w:r>
      <w:r>
        <w:rPr>
          <w:rFonts w:hint="eastAsia" w:ascii="宋体" w:hAnsi="宋体" w:eastAsia="宋体" w:cs="宋体"/>
          <w:w w:val="100"/>
          <w:sz w:val="21"/>
        </w:rPr>
        <w:t>24</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_Toc19020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lang w:val="en-US"/>
        </w:rPr>
        <w:t xml:space="preserve">七、 </w:t>
      </w:r>
      <w:r>
        <w:rPr>
          <w:rFonts w:hint="eastAsia" w:ascii="宋体" w:hAnsi="宋体" w:eastAsia="宋体" w:cs="宋体"/>
          <w:w w:val="100"/>
          <w:sz w:val="21"/>
          <w:highlight w:val="none"/>
        </w:rPr>
        <w:t>投标纪律要求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_Toc19020 \h </w:instrText>
      </w:r>
      <w:r>
        <w:rPr>
          <w:rFonts w:hint="eastAsia" w:ascii="宋体" w:hAnsi="宋体" w:eastAsia="宋体" w:cs="宋体"/>
          <w:w w:val="100"/>
          <w:sz w:val="21"/>
        </w:rPr>
        <w:fldChar w:fldCharType="separate"/>
      </w:r>
      <w:r>
        <w:rPr>
          <w:rFonts w:hint="eastAsia" w:ascii="宋体" w:hAnsi="宋体" w:eastAsia="宋体" w:cs="宋体"/>
          <w:w w:val="100"/>
          <w:sz w:val="21"/>
        </w:rPr>
        <w:t>24</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_Toc17791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lang w:val="en-US"/>
        </w:rPr>
        <w:t xml:space="preserve">八、 </w:t>
      </w:r>
      <w:r>
        <w:rPr>
          <w:rFonts w:hint="eastAsia" w:ascii="宋体" w:hAnsi="宋体" w:eastAsia="宋体" w:cs="宋体"/>
          <w:w w:val="100"/>
          <w:sz w:val="21"/>
          <w:highlight w:val="none"/>
        </w:rPr>
        <w:t>其他</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_Toc17791 \h </w:instrText>
      </w:r>
      <w:r>
        <w:rPr>
          <w:rFonts w:hint="eastAsia" w:ascii="宋体" w:hAnsi="宋体" w:eastAsia="宋体" w:cs="宋体"/>
          <w:w w:val="100"/>
          <w:sz w:val="21"/>
        </w:rPr>
        <w:fldChar w:fldCharType="separate"/>
      </w:r>
      <w:r>
        <w:rPr>
          <w:rFonts w:hint="eastAsia" w:ascii="宋体" w:hAnsi="宋体" w:eastAsia="宋体" w:cs="宋体"/>
          <w:w w:val="100"/>
          <w:sz w:val="21"/>
        </w:rPr>
        <w:t>24</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_Toc818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(一) </w:t>
      </w:r>
      <w:r>
        <w:rPr>
          <w:rFonts w:hint="eastAsia" w:ascii="宋体" w:hAnsi="宋体" w:eastAsia="宋体" w:cs="宋体"/>
          <w:w w:val="100"/>
          <w:sz w:val="21"/>
          <w:highlight w:val="none"/>
        </w:rPr>
        <w:t>询问、质疑和投诉</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_Toc818 \h </w:instrText>
      </w:r>
      <w:r>
        <w:rPr>
          <w:rFonts w:hint="eastAsia" w:ascii="宋体" w:hAnsi="宋体" w:eastAsia="宋体" w:cs="宋体"/>
          <w:w w:val="100"/>
          <w:sz w:val="21"/>
        </w:rPr>
        <w:fldChar w:fldCharType="separate"/>
      </w:r>
      <w:r>
        <w:rPr>
          <w:rFonts w:hint="eastAsia" w:ascii="宋体" w:hAnsi="宋体" w:eastAsia="宋体" w:cs="宋体"/>
          <w:w w:val="100"/>
          <w:sz w:val="21"/>
        </w:rPr>
        <w:t>24</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_Toc24357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(二) </w:t>
      </w:r>
      <w:r>
        <w:rPr>
          <w:rFonts w:hint="eastAsia" w:ascii="宋体" w:hAnsi="宋体" w:eastAsia="宋体" w:cs="宋体"/>
          <w:w w:val="100"/>
          <w:sz w:val="21"/>
          <w:highlight w:val="none"/>
        </w:rPr>
        <w:t>关于行贿犯罪档案查询工作的规定</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_Toc24357 \h </w:instrText>
      </w:r>
      <w:r>
        <w:rPr>
          <w:rFonts w:hint="eastAsia" w:ascii="宋体" w:hAnsi="宋体" w:eastAsia="宋体" w:cs="宋体"/>
          <w:w w:val="100"/>
          <w:sz w:val="21"/>
        </w:rPr>
        <w:fldChar w:fldCharType="separate"/>
      </w:r>
      <w:r>
        <w:rPr>
          <w:rFonts w:hint="eastAsia" w:ascii="宋体" w:hAnsi="宋体" w:eastAsia="宋体" w:cs="宋体"/>
          <w:w w:val="100"/>
          <w:sz w:val="21"/>
        </w:rPr>
        <w:t>24</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_Toc25431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(三) </w:t>
      </w:r>
      <w:r>
        <w:rPr>
          <w:rFonts w:hint="eastAsia" w:ascii="宋体" w:hAnsi="宋体" w:eastAsia="宋体" w:cs="宋体"/>
          <w:w w:val="100"/>
          <w:sz w:val="21"/>
          <w:highlight w:val="none"/>
        </w:rPr>
        <w:t>串通投标的情形</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_Toc25431 \h </w:instrText>
      </w:r>
      <w:r>
        <w:rPr>
          <w:rFonts w:hint="eastAsia" w:ascii="宋体" w:hAnsi="宋体" w:eastAsia="宋体" w:cs="宋体"/>
          <w:w w:val="100"/>
          <w:sz w:val="21"/>
        </w:rPr>
        <w:fldChar w:fldCharType="separate"/>
      </w:r>
      <w:r>
        <w:rPr>
          <w:rFonts w:hint="eastAsia" w:ascii="宋体" w:hAnsi="宋体" w:eastAsia="宋体" w:cs="宋体"/>
          <w:w w:val="100"/>
          <w:sz w:val="21"/>
        </w:rPr>
        <w:t>25</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_Toc18703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(四) </w:t>
      </w:r>
      <w:r>
        <w:rPr>
          <w:rFonts w:hint="eastAsia" w:ascii="宋体" w:hAnsi="宋体" w:eastAsia="宋体" w:cs="宋体"/>
          <w:w w:val="100"/>
          <w:sz w:val="21"/>
          <w:highlight w:val="none"/>
        </w:rPr>
        <w:t>投标人信用信息查询</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_Toc18703 \h </w:instrText>
      </w:r>
      <w:r>
        <w:rPr>
          <w:rFonts w:hint="eastAsia" w:ascii="宋体" w:hAnsi="宋体" w:eastAsia="宋体" w:cs="宋体"/>
          <w:w w:val="100"/>
          <w:sz w:val="21"/>
        </w:rPr>
        <w:fldChar w:fldCharType="separate"/>
      </w:r>
      <w:r>
        <w:rPr>
          <w:rFonts w:hint="eastAsia" w:ascii="宋体" w:hAnsi="宋体" w:eastAsia="宋体" w:cs="宋体"/>
          <w:w w:val="100"/>
          <w:sz w:val="21"/>
        </w:rPr>
        <w:t>25</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_Toc20913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(五) </w:t>
      </w:r>
      <w:r>
        <w:rPr>
          <w:rFonts w:hint="eastAsia" w:ascii="宋体" w:hAnsi="宋体" w:eastAsia="宋体" w:cs="宋体"/>
          <w:w w:val="100"/>
          <w:sz w:val="21"/>
          <w:highlight w:val="none"/>
        </w:rPr>
        <w:t>解释说明</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_Toc20913 \h </w:instrText>
      </w:r>
      <w:r>
        <w:rPr>
          <w:rFonts w:hint="eastAsia" w:ascii="宋体" w:hAnsi="宋体" w:eastAsia="宋体" w:cs="宋体"/>
          <w:w w:val="100"/>
          <w:sz w:val="21"/>
        </w:rPr>
        <w:fldChar w:fldCharType="separate"/>
      </w:r>
      <w:r>
        <w:rPr>
          <w:rFonts w:hint="eastAsia" w:ascii="宋体" w:hAnsi="宋体" w:eastAsia="宋体" w:cs="宋体"/>
          <w:w w:val="100"/>
          <w:sz w:val="21"/>
        </w:rPr>
        <w:t>25</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7"/>
        <w:tabs>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_Toc6234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第三章 </w:t>
      </w:r>
      <w:r>
        <w:rPr>
          <w:rFonts w:hint="eastAsia" w:ascii="宋体" w:hAnsi="宋体" w:eastAsia="宋体" w:cs="宋体"/>
          <w:w w:val="100"/>
          <w:sz w:val="21"/>
          <w:highlight w:val="none"/>
        </w:rPr>
        <w:t>投标文件格式</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_Toc6234 \h </w:instrText>
      </w:r>
      <w:r>
        <w:rPr>
          <w:rFonts w:hint="eastAsia" w:ascii="宋体" w:hAnsi="宋体" w:eastAsia="宋体" w:cs="宋体"/>
          <w:w w:val="100"/>
          <w:sz w:val="21"/>
        </w:rPr>
        <w:fldChar w:fldCharType="separate"/>
      </w:r>
      <w:r>
        <w:rPr>
          <w:rFonts w:hint="eastAsia" w:ascii="宋体" w:hAnsi="宋体" w:eastAsia="宋体" w:cs="宋体"/>
          <w:w w:val="100"/>
          <w:sz w:val="21"/>
        </w:rPr>
        <w:t>26</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_Toc14561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szCs w:val="32"/>
          <w:highlight w:val="none"/>
        </w:rPr>
        <w:t>第一部分 资格、资质性及其他类似效力投标文件(格式)</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_Toc14561 \h </w:instrText>
      </w:r>
      <w:r>
        <w:rPr>
          <w:rFonts w:hint="eastAsia" w:ascii="宋体" w:hAnsi="宋体" w:eastAsia="宋体" w:cs="宋体"/>
          <w:w w:val="100"/>
          <w:sz w:val="21"/>
        </w:rPr>
        <w:fldChar w:fldCharType="separate"/>
      </w:r>
      <w:r>
        <w:rPr>
          <w:rFonts w:hint="eastAsia" w:ascii="宋体" w:hAnsi="宋体" w:eastAsia="宋体" w:cs="宋体"/>
          <w:w w:val="100"/>
          <w:sz w:val="21"/>
        </w:rPr>
        <w:t>29</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_Toc30522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一、 </w:t>
      </w:r>
      <w:r>
        <w:rPr>
          <w:rFonts w:hint="eastAsia" w:ascii="宋体" w:hAnsi="宋体" w:eastAsia="宋体" w:cs="宋体"/>
          <w:w w:val="100"/>
          <w:sz w:val="21"/>
          <w:highlight w:val="none"/>
        </w:rPr>
        <w:t>法定代表人/单位负责人授权书</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_Toc30522 \h </w:instrText>
      </w:r>
      <w:r>
        <w:rPr>
          <w:rFonts w:hint="eastAsia" w:ascii="宋体" w:hAnsi="宋体" w:eastAsia="宋体" w:cs="宋体"/>
          <w:w w:val="100"/>
          <w:sz w:val="21"/>
        </w:rPr>
        <w:fldChar w:fldCharType="separate"/>
      </w:r>
      <w:r>
        <w:rPr>
          <w:rFonts w:hint="eastAsia" w:ascii="宋体" w:hAnsi="宋体" w:eastAsia="宋体" w:cs="宋体"/>
          <w:w w:val="100"/>
          <w:sz w:val="21"/>
        </w:rPr>
        <w:t>30</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_Toc9235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一、 </w:t>
      </w:r>
      <w:r>
        <w:rPr>
          <w:rFonts w:hint="eastAsia" w:ascii="宋体" w:hAnsi="宋体" w:eastAsia="宋体" w:cs="宋体"/>
          <w:w w:val="100"/>
          <w:sz w:val="21"/>
          <w:highlight w:val="none"/>
        </w:rPr>
        <w:t>法定代表人/单位负责人证明书</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_Toc9235 \h </w:instrText>
      </w:r>
      <w:r>
        <w:rPr>
          <w:rFonts w:hint="eastAsia" w:ascii="宋体" w:hAnsi="宋体" w:eastAsia="宋体" w:cs="宋体"/>
          <w:w w:val="100"/>
          <w:sz w:val="21"/>
        </w:rPr>
        <w:fldChar w:fldCharType="separate"/>
      </w:r>
      <w:r>
        <w:rPr>
          <w:rFonts w:hint="eastAsia" w:ascii="宋体" w:hAnsi="宋体" w:eastAsia="宋体" w:cs="宋体"/>
          <w:w w:val="100"/>
          <w:sz w:val="21"/>
        </w:rPr>
        <w:t>31</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_Toc20167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二、 </w:t>
      </w:r>
      <w:r>
        <w:rPr>
          <w:rFonts w:hint="eastAsia" w:ascii="宋体" w:hAnsi="宋体" w:eastAsia="宋体" w:cs="宋体"/>
          <w:w w:val="100"/>
          <w:sz w:val="21"/>
          <w:highlight w:val="none"/>
        </w:rPr>
        <w:t>具有独立承担民事责任的能力的证明材料</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_Toc20167 \h </w:instrText>
      </w:r>
      <w:r>
        <w:rPr>
          <w:rFonts w:hint="eastAsia" w:ascii="宋体" w:hAnsi="宋体" w:eastAsia="宋体" w:cs="宋体"/>
          <w:w w:val="100"/>
          <w:sz w:val="21"/>
        </w:rPr>
        <w:fldChar w:fldCharType="separate"/>
      </w:r>
      <w:r>
        <w:rPr>
          <w:rFonts w:hint="eastAsia" w:ascii="宋体" w:hAnsi="宋体" w:eastAsia="宋体" w:cs="宋体"/>
          <w:w w:val="100"/>
          <w:sz w:val="21"/>
        </w:rPr>
        <w:t>32</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_Toc16414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三、 </w:t>
      </w:r>
      <w:r>
        <w:rPr>
          <w:rFonts w:hint="eastAsia" w:ascii="宋体" w:hAnsi="宋体" w:eastAsia="宋体" w:cs="宋体"/>
          <w:w w:val="100"/>
          <w:sz w:val="21"/>
          <w:highlight w:val="none"/>
        </w:rPr>
        <w:t>投标人具有良好的商业信誉和健全的财务会计制度的证明材料</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_Toc16414 \h </w:instrText>
      </w:r>
      <w:r>
        <w:rPr>
          <w:rFonts w:hint="eastAsia" w:ascii="宋体" w:hAnsi="宋体" w:eastAsia="宋体" w:cs="宋体"/>
          <w:w w:val="100"/>
          <w:sz w:val="21"/>
        </w:rPr>
        <w:fldChar w:fldCharType="separate"/>
      </w:r>
      <w:r>
        <w:rPr>
          <w:rFonts w:hint="eastAsia" w:ascii="宋体" w:hAnsi="宋体" w:eastAsia="宋体" w:cs="宋体"/>
          <w:w w:val="100"/>
          <w:sz w:val="21"/>
        </w:rPr>
        <w:t>33</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_Toc18486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四、 </w:t>
      </w:r>
      <w:r>
        <w:rPr>
          <w:rFonts w:hint="eastAsia" w:ascii="宋体" w:hAnsi="宋体" w:eastAsia="宋体" w:cs="宋体"/>
          <w:w w:val="100"/>
          <w:sz w:val="21"/>
          <w:highlight w:val="none"/>
        </w:rPr>
        <w:t>投标人具有依法缴纳税收和社会保障资金的良好记录的证明材料</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_Toc18486 \h </w:instrText>
      </w:r>
      <w:r>
        <w:rPr>
          <w:rFonts w:hint="eastAsia" w:ascii="宋体" w:hAnsi="宋体" w:eastAsia="宋体" w:cs="宋体"/>
          <w:w w:val="100"/>
          <w:sz w:val="21"/>
        </w:rPr>
        <w:fldChar w:fldCharType="separate"/>
      </w:r>
      <w:r>
        <w:rPr>
          <w:rFonts w:hint="eastAsia" w:ascii="宋体" w:hAnsi="宋体" w:eastAsia="宋体" w:cs="宋体"/>
          <w:w w:val="100"/>
          <w:sz w:val="21"/>
        </w:rPr>
        <w:t>34</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_Toc19018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五、 </w:t>
      </w:r>
      <w:r>
        <w:rPr>
          <w:rFonts w:hint="eastAsia" w:ascii="宋体" w:hAnsi="宋体" w:eastAsia="宋体" w:cs="宋体"/>
          <w:w w:val="100"/>
          <w:sz w:val="21"/>
          <w:highlight w:val="none"/>
        </w:rPr>
        <w:t>投标人具有履行合同所必需的设备和专业技术能力证明材料</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_Toc19018 \h </w:instrText>
      </w:r>
      <w:r>
        <w:rPr>
          <w:rFonts w:hint="eastAsia" w:ascii="宋体" w:hAnsi="宋体" w:eastAsia="宋体" w:cs="宋体"/>
          <w:w w:val="100"/>
          <w:sz w:val="21"/>
        </w:rPr>
        <w:fldChar w:fldCharType="separate"/>
      </w:r>
      <w:r>
        <w:rPr>
          <w:rFonts w:hint="eastAsia" w:ascii="宋体" w:hAnsi="宋体" w:eastAsia="宋体" w:cs="宋体"/>
          <w:w w:val="100"/>
          <w:sz w:val="21"/>
        </w:rPr>
        <w:t>35</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_Toc10473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六、 </w:t>
      </w:r>
      <w:r>
        <w:rPr>
          <w:rFonts w:hint="eastAsia" w:ascii="宋体" w:hAnsi="宋体" w:eastAsia="宋体" w:cs="宋体"/>
          <w:w w:val="100"/>
          <w:sz w:val="21"/>
          <w:highlight w:val="none"/>
        </w:rPr>
        <w:t>投标人参加政府采购活动前三年内，在经营活动中没有重大违法记录的证明材料</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_Toc10473 \h </w:instrText>
      </w:r>
      <w:r>
        <w:rPr>
          <w:rFonts w:hint="eastAsia" w:ascii="宋体" w:hAnsi="宋体" w:eastAsia="宋体" w:cs="宋体"/>
          <w:w w:val="100"/>
          <w:sz w:val="21"/>
        </w:rPr>
        <w:fldChar w:fldCharType="separate"/>
      </w:r>
      <w:r>
        <w:rPr>
          <w:rFonts w:hint="eastAsia" w:ascii="宋体" w:hAnsi="宋体" w:eastAsia="宋体" w:cs="宋体"/>
          <w:w w:val="100"/>
          <w:sz w:val="21"/>
        </w:rPr>
        <w:t>36</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_Toc681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lang w:val="zh-CN"/>
        </w:rPr>
        <w:t xml:space="preserve">七、 </w:t>
      </w:r>
      <w:r>
        <w:rPr>
          <w:rFonts w:hint="eastAsia" w:ascii="宋体" w:hAnsi="宋体" w:eastAsia="宋体" w:cs="宋体"/>
          <w:w w:val="100"/>
          <w:sz w:val="21"/>
          <w:highlight w:val="none"/>
        </w:rPr>
        <w:t>投标人</w:t>
      </w:r>
      <w:r>
        <w:rPr>
          <w:rFonts w:hint="eastAsia" w:ascii="宋体" w:hAnsi="宋体" w:eastAsia="宋体" w:cs="宋体"/>
          <w:w w:val="100"/>
          <w:sz w:val="21"/>
          <w:highlight w:val="none"/>
          <w:lang w:val="zh-CN"/>
        </w:rPr>
        <w:t>及其现任法定代表人、主要负责人不得具有行贿犯罪记录</w:t>
      </w:r>
      <w:r>
        <w:rPr>
          <w:rFonts w:hint="eastAsia" w:ascii="宋体" w:hAnsi="宋体" w:eastAsia="宋体" w:cs="宋体"/>
          <w:w w:val="100"/>
          <w:sz w:val="21"/>
          <w:highlight w:val="none"/>
        </w:rPr>
        <w:t>的承诺函</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_Toc681 \h </w:instrText>
      </w:r>
      <w:r>
        <w:rPr>
          <w:rFonts w:hint="eastAsia" w:ascii="宋体" w:hAnsi="宋体" w:eastAsia="宋体" w:cs="宋体"/>
          <w:w w:val="100"/>
          <w:sz w:val="21"/>
        </w:rPr>
        <w:fldChar w:fldCharType="separate"/>
      </w:r>
      <w:r>
        <w:rPr>
          <w:rFonts w:hint="eastAsia" w:ascii="宋体" w:hAnsi="宋体" w:eastAsia="宋体" w:cs="宋体"/>
          <w:w w:val="100"/>
          <w:sz w:val="21"/>
        </w:rPr>
        <w:t>37</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_Toc26622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八、 </w:t>
      </w:r>
      <w:r>
        <w:rPr>
          <w:rFonts w:hint="eastAsia" w:ascii="宋体" w:hAnsi="宋体" w:eastAsia="宋体" w:cs="宋体"/>
          <w:w w:val="100"/>
          <w:sz w:val="21"/>
          <w:highlight w:val="none"/>
        </w:rPr>
        <w:t>中小企业声明函(货物)</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_Toc26622 \h </w:instrText>
      </w:r>
      <w:r>
        <w:rPr>
          <w:rFonts w:hint="eastAsia" w:ascii="宋体" w:hAnsi="宋体" w:eastAsia="宋体" w:cs="宋体"/>
          <w:w w:val="100"/>
          <w:sz w:val="21"/>
        </w:rPr>
        <w:fldChar w:fldCharType="separate"/>
      </w:r>
      <w:r>
        <w:rPr>
          <w:rFonts w:hint="eastAsia" w:ascii="宋体" w:hAnsi="宋体" w:eastAsia="宋体" w:cs="宋体"/>
          <w:w w:val="100"/>
          <w:sz w:val="21"/>
        </w:rPr>
        <w:t>38</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_Toc9712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九、 </w:t>
      </w:r>
      <w:r>
        <w:rPr>
          <w:rFonts w:hint="eastAsia" w:ascii="宋体" w:hAnsi="宋体" w:eastAsia="宋体" w:cs="宋体"/>
          <w:w w:val="100"/>
          <w:sz w:val="21"/>
          <w:highlight w:val="none"/>
        </w:rPr>
        <w:t>监狱企业相关证明材料(如涉及)</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_Toc9712 \h </w:instrText>
      </w:r>
      <w:r>
        <w:rPr>
          <w:rFonts w:hint="eastAsia" w:ascii="宋体" w:hAnsi="宋体" w:eastAsia="宋体" w:cs="宋体"/>
          <w:w w:val="100"/>
          <w:sz w:val="21"/>
        </w:rPr>
        <w:fldChar w:fldCharType="separate"/>
      </w:r>
      <w:r>
        <w:rPr>
          <w:rFonts w:hint="eastAsia" w:ascii="宋体" w:hAnsi="宋体" w:eastAsia="宋体" w:cs="宋体"/>
          <w:w w:val="100"/>
          <w:sz w:val="21"/>
        </w:rPr>
        <w:t>39</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_Toc21276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十、 </w:t>
      </w:r>
      <w:r>
        <w:rPr>
          <w:rFonts w:hint="eastAsia" w:ascii="宋体" w:hAnsi="宋体" w:eastAsia="宋体" w:cs="宋体"/>
          <w:w w:val="100"/>
          <w:sz w:val="21"/>
          <w:highlight w:val="none"/>
        </w:rPr>
        <w:t>残疾人福利性单位声明函(如涉及)</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_Toc21276 \h </w:instrText>
      </w:r>
      <w:r>
        <w:rPr>
          <w:rFonts w:hint="eastAsia" w:ascii="宋体" w:hAnsi="宋体" w:eastAsia="宋体" w:cs="宋体"/>
          <w:w w:val="100"/>
          <w:sz w:val="21"/>
        </w:rPr>
        <w:fldChar w:fldCharType="separate"/>
      </w:r>
      <w:r>
        <w:rPr>
          <w:rFonts w:hint="eastAsia" w:ascii="宋体" w:hAnsi="宋体" w:eastAsia="宋体" w:cs="宋体"/>
          <w:w w:val="100"/>
          <w:sz w:val="21"/>
        </w:rPr>
        <w:t>40</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_Toc26778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十一、 </w:t>
      </w:r>
      <w:r>
        <w:rPr>
          <w:rFonts w:hint="eastAsia" w:ascii="宋体" w:hAnsi="宋体" w:eastAsia="宋体" w:cs="宋体"/>
          <w:w w:val="100"/>
          <w:sz w:val="21"/>
          <w:highlight w:val="none"/>
        </w:rPr>
        <w:t>符合《中华人民共和国政府采购法》第二十二条规定的条件的承诺及声明函</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_Toc26778 \h </w:instrText>
      </w:r>
      <w:r>
        <w:rPr>
          <w:rFonts w:hint="eastAsia" w:ascii="宋体" w:hAnsi="宋体" w:eastAsia="宋体" w:cs="宋体"/>
          <w:w w:val="100"/>
          <w:sz w:val="21"/>
        </w:rPr>
        <w:fldChar w:fldCharType="separate"/>
      </w:r>
      <w:r>
        <w:rPr>
          <w:rFonts w:hint="eastAsia" w:ascii="宋体" w:hAnsi="宋体" w:eastAsia="宋体" w:cs="宋体"/>
          <w:w w:val="100"/>
          <w:sz w:val="21"/>
        </w:rPr>
        <w:t>41</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_Toc9087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szCs w:val="32"/>
          <w:highlight w:val="none"/>
        </w:rPr>
        <w:t>第二部分 其他投标文件(格式)</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_Toc9087 \h </w:instrText>
      </w:r>
      <w:r>
        <w:rPr>
          <w:rFonts w:hint="eastAsia" w:ascii="宋体" w:hAnsi="宋体" w:eastAsia="宋体" w:cs="宋体"/>
          <w:w w:val="100"/>
          <w:sz w:val="21"/>
        </w:rPr>
        <w:fldChar w:fldCharType="separate"/>
      </w:r>
      <w:r>
        <w:rPr>
          <w:rFonts w:hint="eastAsia" w:ascii="宋体" w:hAnsi="宋体" w:eastAsia="宋体" w:cs="宋体"/>
          <w:w w:val="100"/>
          <w:sz w:val="21"/>
        </w:rPr>
        <w:t>42</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_Toc6821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一、 </w:t>
      </w:r>
      <w:r>
        <w:rPr>
          <w:rFonts w:hint="eastAsia" w:ascii="宋体" w:hAnsi="宋体" w:eastAsia="宋体" w:cs="宋体"/>
          <w:w w:val="100"/>
          <w:sz w:val="21"/>
          <w:highlight w:val="none"/>
        </w:rPr>
        <w:t>投标函</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_Toc6821 \h </w:instrText>
      </w:r>
      <w:r>
        <w:rPr>
          <w:rFonts w:hint="eastAsia" w:ascii="宋体" w:hAnsi="宋体" w:eastAsia="宋体" w:cs="宋体"/>
          <w:w w:val="100"/>
          <w:sz w:val="21"/>
        </w:rPr>
        <w:fldChar w:fldCharType="separate"/>
      </w:r>
      <w:r>
        <w:rPr>
          <w:rFonts w:hint="eastAsia" w:ascii="宋体" w:hAnsi="宋体" w:eastAsia="宋体" w:cs="宋体"/>
          <w:w w:val="100"/>
          <w:sz w:val="21"/>
        </w:rPr>
        <w:t>43</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_Toc12255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二、 </w:t>
      </w:r>
      <w:r>
        <w:rPr>
          <w:rFonts w:hint="eastAsia" w:ascii="宋体" w:hAnsi="宋体" w:eastAsia="宋体" w:cs="宋体"/>
          <w:w w:val="100"/>
          <w:sz w:val="21"/>
          <w:highlight w:val="none"/>
        </w:rPr>
        <w:t>实质性要求承诺</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_Toc12255 \h </w:instrText>
      </w:r>
      <w:r>
        <w:rPr>
          <w:rFonts w:hint="eastAsia" w:ascii="宋体" w:hAnsi="宋体" w:eastAsia="宋体" w:cs="宋体"/>
          <w:w w:val="100"/>
          <w:sz w:val="21"/>
        </w:rPr>
        <w:fldChar w:fldCharType="separate"/>
      </w:r>
      <w:r>
        <w:rPr>
          <w:rFonts w:hint="eastAsia" w:ascii="宋体" w:hAnsi="宋体" w:eastAsia="宋体" w:cs="宋体"/>
          <w:w w:val="100"/>
          <w:sz w:val="21"/>
        </w:rPr>
        <w:t>44</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_Toc27040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三、 </w:t>
      </w:r>
      <w:r>
        <w:rPr>
          <w:rFonts w:hint="eastAsia" w:ascii="宋体" w:hAnsi="宋体" w:eastAsia="宋体" w:cs="宋体"/>
          <w:w w:val="100"/>
          <w:sz w:val="21"/>
          <w:highlight w:val="none"/>
        </w:rPr>
        <w:t>投标人基本情况表</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_Toc27040 \h </w:instrText>
      </w:r>
      <w:r>
        <w:rPr>
          <w:rFonts w:hint="eastAsia" w:ascii="宋体" w:hAnsi="宋体" w:eastAsia="宋体" w:cs="宋体"/>
          <w:w w:val="100"/>
          <w:sz w:val="21"/>
        </w:rPr>
        <w:fldChar w:fldCharType="separate"/>
      </w:r>
      <w:r>
        <w:rPr>
          <w:rFonts w:hint="eastAsia" w:ascii="宋体" w:hAnsi="宋体" w:eastAsia="宋体" w:cs="宋体"/>
          <w:w w:val="100"/>
          <w:sz w:val="21"/>
        </w:rPr>
        <w:t>46</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_Toc21444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四、 </w:t>
      </w:r>
      <w:r>
        <w:rPr>
          <w:rFonts w:hint="eastAsia" w:ascii="宋体" w:hAnsi="宋体" w:eastAsia="宋体" w:cs="宋体"/>
          <w:w w:val="100"/>
          <w:sz w:val="21"/>
          <w:highlight w:val="none"/>
        </w:rPr>
        <w:t>开标一览表</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_Toc21444 \h </w:instrText>
      </w:r>
      <w:r>
        <w:rPr>
          <w:rFonts w:hint="eastAsia" w:ascii="宋体" w:hAnsi="宋体" w:eastAsia="宋体" w:cs="宋体"/>
          <w:w w:val="100"/>
          <w:sz w:val="21"/>
        </w:rPr>
        <w:fldChar w:fldCharType="separate"/>
      </w:r>
      <w:r>
        <w:rPr>
          <w:rFonts w:hint="eastAsia" w:ascii="宋体" w:hAnsi="宋体" w:eastAsia="宋体" w:cs="宋体"/>
          <w:w w:val="100"/>
          <w:sz w:val="21"/>
        </w:rPr>
        <w:t>47</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_Toc1038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lang w:val="en-US" w:eastAsia="zh-CN"/>
        </w:rPr>
        <w:t xml:space="preserve">五、 </w:t>
      </w:r>
      <w:r>
        <w:rPr>
          <w:rFonts w:hint="eastAsia" w:ascii="宋体" w:hAnsi="宋体" w:eastAsia="宋体" w:cs="宋体"/>
          <w:w w:val="100"/>
          <w:sz w:val="21"/>
          <w:highlight w:val="none"/>
          <w:lang w:val="en-US" w:eastAsia="zh-CN"/>
        </w:rPr>
        <w:t>分项报价明细表</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_Toc1038 \h </w:instrText>
      </w:r>
      <w:r>
        <w:rPr>
          <w:rFonts w:hint="eastAsia" w:ascii="宋体" w:hAnsi="宋体" w:eastAsia="宋体" w:cs="宋体"/>
          <w:w w:val="100"/>
          <w:sz w:val="21"/>
        </w:rPr>
        <w:fldChar w:fldCharType="separate"/>
      </w:r>
      <w:r>
        <w:rPr>
          <w:rFonts w:hint="eastAsia" w:ascii="宋体" w:hAnsi="宋体" w:eastAsia="宋体" w:cs="宋体"/>
          <w:w w:val="100"/>
          <w:sz w:val="21"/>
        </w:rPr>
        <w:t>48</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_Toc18493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六、 </w:t>
      </w:r>
      <w:r>
        <w:rPr>
          <w:rFonts w:hint="eastAsia" w:ascii="宋体" w:hAnsi="宋体" w:eastAsia="宋体" w:cs="宋体"/>
          <w:w w:val="100"/>
          <w:sz w:val="21"/>
          <w:highlight w:val="none"/>
        </w:rPr>
        <w:t>商务应答表</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_Toc18493 \h </w:instrText>
      </w:r>
      <w:r>
        <w:rPr>
          <w:rFonts w:hint="eastAsia" w:ascii="宋体" w:hAnsi="宋体" w:eastAsia="宋体" w:cs="宋体"/>
          <w:w w:val="100"/>
          <w:sz w:val="21"/>
        </w:rPr>
        <w:fldChar w:fldCharType="separate"/>
      </w:r>
      <w:r>
        <w:rPr>
          <w:rFonts w:hint="eastAsia" w:ascii="宋体" w:hAnsi="宋体" w:eastAsia="宋体" w:cs="宋体"/>
          <w:w w:val="100"/>
          <w:sz w:val="21"/>
        </w:rPr>
        <w:t>51</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_Toc22779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七、 </w:t>
      </w:r>
      <w:r>
        <w:rPr>
          <w:rFonts w:hint="eastAsia" w:ascii="宋体" w:hAnsi="宋体" w:eastAsia="宋体" w:cs="宋体"/>
          <w:w w:val="100"/>
          <w:sz w:val="21"/>
          <w:highlight w:val="none"/>
        </w:rPr>
        <w:t>投标产品技术参数应答表</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_Toc22779 \h </w:instrText>
      </w:r>
      <w:r>
        <w:rPr>
          <w:rFonts w:hint="eastAsia" w:ascii="宋体" w:hAnsi="宋体" w:eastAsia="宋体" w:cs="宋体"/>
          <w:w w:val="100"/>
          <w:sz w:val="21"/>
        </w:rPr>
        <w:fldChar w:fldCharType="separate"/>
      </w:r>
      <w:r>
        <w:rPr>
          <w:rFonts w:hint="eastAsia" w:ascii="宋体" w:hAnsi="宋体" w:eastAsia="宋体" w:cs="宋体"/>
          <w:w w:val="100"/>
          <w:sz w:val="21"/>
        </w:rPr>
        <w:t>52</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_Toc14737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八、 </w:t>
      </w:r>
      <w:r>
        <w:rPr>
          <w:rFonts w:hint="eastAsia" w:ascii="宋体" w:hAnsi="宋体" w:eastAsia="宋体" w:cs="宋体"/>
          <w:w w:val="100"/>
          <w:sz w:val="21"/>
          <w:highlight w:val="none"/>
        </w:rPr>
        <w:t>履约能力及相关证明</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_Toc14737 \h </w:instrText>
      </w:r>
      <w:r>
        <w:rPr>
          <w:rFonts w:hint="eastAsia" w:ascii="宋体" w:hAnsi="宋体" w:eastAsia="宋体" w:cs="宋体"/>
          <w:w w:val="100"/>
          <w:sz w:val="21"/>
        </w:rPr>
        <w:fldChar w:fldCharType="separate"/>
      </w:r>
      <w:r>
        <w:rPr>
          <w:rFonts w:hint="eastAsia" w:ascii="宋体" w:hAnsi="宋体" w:eastAsia="宋体" w:cs="宋体"/>
          <w:w w:val="100"/>
          <w:sz w:val="21"/>
        </w:rPr>
        <w:t>53</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_Toc8016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九、 </w:t>
      </w:r>
      <w:r>
        <w:rPr>
          <w:rFonts w:hint="eastAsia" w:ascii="宋体" w:hAnsi="宋体" w:eastAsia="宋体" w:cs="宋体"/>
          <w:w w:val="100"/>
          <w:sz w:val="21"/>
          <w:highlight w:val="none"/>
        </w:rPr>
        <w:t>投标人针对本项目人员配置情况表</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_Toc8016 \h </w:instrText>
      </w:r>
      <w:r>
        <w:rPr>
          <w:rFonts w:hint="eastAsia" w:ascii="宋体" w:hAnsi="宋体" w:eastAsia="宋体" w:cs="宋体"/>
          <w:w w:val="100"/>
          <w:sz w:val="21"/>
        </w:rPr>
        <w:fldChar w:fldCharType="separate"/>
      </w:r>
      <w:r>
        <w:rPr>
          <w:rFonts w:hint="eastAsia" w:ascii="宋体" w:hAnsi="宋体" w:eastAsia="宋体" w:cs="宋体"/>
          <w:w w:val="100"/>
          <w:sz w:val="21"/>
        </w:rPr>
        <w:t>54</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_Toc22461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十、 </w:t>
      </w:r>
      <w:r>
        <w:rPr>
          <w:rFonts w:hint="eastAsia" w:ascii="宋体" w:hAnsi="宋体" w:eastAsia="宋体" w:cs="宋体"/>
          <w:w w:val="100"/>
          <w:sz w:val="21"/>
          <w:highlight w:val="none"/>
        </w:rPr>
        <w:t>商品包装、快递包装承诺函</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_Toc22461 \h </w:instrText>
      </w:r>
      <w:r>
        <w:rPr>
          <w:rFonts w:hint="eastAsia" w:ascii="宋体" w:hAnsi="宋体" w:eastAsia="宋体" w:cs="宋体"/>
          <w:w w:val="100"/>
          <w:sz w:val="21"/>
        </w:rPr>
        <w:fldChar w:fldCharType="separate"/>
      </w:r>
      <w:r>
        <w:rPr>
          <w:rFonts w:hint="eastAsia" w:ascii="宋体" w:hAnsi="宋体" w:eastAsia="宋体" w:cs="宋体"/>
          <w:w w:val="100"/>
          <w:sz w:val="21"/>
        </w:rPr>
        <w:t>55</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3"/>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_Toc12523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十一、 </w:t>
      </w:r>
      <w:r>
        <w:rPr>
          <w:rFonts w:hint="eastAsia" w:ascii="宋体" w:hAnsi="宋体" w:eastAsia="宋体" w:cs="宋体"/>
          <w:w w:val="100"/>
          <w:sz w:val="21"/>
          <w:highlight w:val="none"/>
        </w:rPr>
        <w:t>招标代理服务费承诺函</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_Toc12523 \h </w:instrText>
      </w:r>
      <w:r>
        <w:rPr>
          <w:rFonts w:hint="eastAsia" w:ascii="宋体" w:hAnsi="宋体" w:eastAsia="宋体" w:cs="宋体"/>
          <w:w w:val="100"/>
          <w:sz w:val="21"/>
        </w:rPr>
        <w:fldChar w:fldCharType="separate"/>
      </w:r>
      <w:r>
        <w:rPr>
          <w:rFonts w:hint="eastAsia" w:ascii="宋体" w:hAnsi="宋体" w:eastAsia="宋体" w:cs="宋体"/>
          <w:w w:val="100"/>
          <w:sz w:val="21"/>
        </w:rPr>
        <w:t>56</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7"/>
        <w:tabs>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_Toc8115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第四章 </w:t>
      </w:r>
      <w:r>
        <w:rPr>
          <w:rFonts w:hint="eastAsia" w:ascii="宋体" w:hAnsi="宋体" w:eastAsia="宋体" w:cs="宋体"/>
          <w:w w:val="100"/>
          <w:sz w:val="21"/>
          <w:highlight w:val="none"/>
        </w:rPr>
        <w:t>投标人和投标产品的资格、资质性及其他类似效力要求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_Toc8115 \h </w:instrText>
      </w:r>
      <w:r>
        <w:rPr>
          <w:rFonts w:hint="eastAsia" w:ascii="宋体" w:hAnsi="宋体" w:eastAsia="宋体" w:cs="宋体"/>
          <w:w w:val="100"/>
          <w:sz w:val="21"/>
        </w:rPr>
        <w:fldChar w:fldCharType="separate"/>
      </w:r>
      <w:r>
        <w:rPr>
          <w:rFonts w:hint="eastAsia" w:ascii="宋体" w:hAnsi="宋体" w:eastAsia="宋体" w:cs="宋体"/>
          <w:w w:val="100"/>
          <w:sz w:val="21"/>
        </w:rPr>
        <w:t>57</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_Toc8021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lang w:val="zh-CN"/>
        </w:rPr>
        <w:t xml:space="preserve">一、 </w:t>
      </w:r>
      <w:r>
        <w:rPr>
          <w:rFonts w:hint="eastAsia" w:ascii="宋体" w:hAnsi="宋体" w:eastAsia="宋体" w:cs="宋体"/>
          <w:w w:val="100"/>
          <w:sz w:val="21"/>
          <w:highlight w:val="none"/>
        </w:rPr>
        <w:t>投标人资格、资质性及其他类似效力要求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_Toc8021 \h </w:instrText>
      </w:r>
      <w:r>
        <w:rPr>
          <w:rFonts w:hint="eastAsia" w:ascii="宋体" w:hAnsi="宋体" w:eastAsia="宋体" w:cs="宋体"/>
          <w:w w:val="100"/>
          <w:sz w:val="21"/>
        </w:rPr>
        <w:fldChar w:fldCharType="separate"/>
      </w:r>
      <w:r>
        <w:rPr>
          <w:rFonts w:hint="eastAsia" w:ascii="宋体" w:hAnsi="宋体" w:eastAsia="宋体" w:cs="宋体"/>
          <w:w w:val="100"/>
          <w:sz w:val="21"/>
        </w:rPr>
        <w:t>57</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_Toc19375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二、 </w:t>
      </w:r>
      <w:r>
        <w:rPr>
          <w:rFonts w:hint="eastAsia" w:ascii="宋体" w:hAnsi="宋体" w:eastAsia="宋体" w:cs="宋体"/>
          <w:w w:val="100"/>
          <w:sz w:val="21"/>
          <w:highlight w:val="none"/>
        </w:rPr>
        <w:t>投标产品的资格、资质性及其他类似效力要求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_Toc19375 \h </w:instrText>
      </w:r>
      <w:r>
        <w:rPr>
          <w:rFonts w:hint="eastAsia" w:ascii="宋体" w:hAnsi="宋体" w:eastAsia="宋体" w:cs="宋体"/>
          <w:w w:val="100"/>
          <w:sz w:val="21"/>
        </w:rPr>
        <w:fldChar w:fldCharType="separate"/>
      </w:r>
      <w:r>
        <w:rPr>
          <w:rFonts w:hint="eastAsia" w:ascii="宋体" w:hAnsi="宋体" w:eastAsia="宋体" w:cs="宋体"/>
          <w:w w:val="100"/>
          <w:sz w:val="21"/>
        </w:rPr>
        <w:t>57</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_Toc22349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三、 </w:t>
      </w:r>
      <w:r>
        <w:rPr>
          <w:rFonts w:hint="eastAsia" w:ascii="宋体" w:hAnsi="宋体" w:eastAsia="宋体" w:cs="宋体"/>
          <w:w w:val="100"/>
          <w:sz w:val="21"/>
          <w:highlight w:val="none"/>
        </w:rPr>
        <w:t>其他类似效力要求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_Toc22349 \h </w:instrText>
      </w:r>
      <w:r>
        <w:rPr>
          <w:rFonts w:hint="eastAsia" w:ascii="宋体" w:hAnsi="宋体" w:eastAsia="宋体" w:cs="宋体"/>
          <w:w w:val="100"/>
          <w:sz w:val="21"/>
        </w:rPr>
        <w:fldChar w:fldCharType="separate"/>
      </w:r>
      <w:r>
        <w:rPr>
          <w:rFonts w:hint="eastAsia" w:ascii="宋体" w:hAnsi="宋体" w:eastAsia="宋体" w:cs="宋体"/>
          <w:w w:val="100"/>
          <w:sz w:val="21"/>
        </w:rPr>
        <w:t>57</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7"/>
        <w:tabs>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_Toc2851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第五章 </w:t>
      </w:r>
      <w:r>
        <w:rPr>
          <w:rFonts w:hint="eastAsia" w:ascii="宋体" w:hAnsi="宋体" w:eastAsia="宋体" w:cs="宋体"/>
          <w:w w:val="100"/>
          <w:sz w:val="21"/>
          <w:highlight w:val="none"/>
        </w:rPr>
        <w:t>资格性审查内容</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_Toc2851 \h </w:instrText>
      </w:r>
      <w:r>
        <w:rPr>
          <w:rFonts w:hint="eastAsia" w:ascii="宋体" w:hAnsi="宋体" w:eastAsia="宋体" w:cs="宋体"/>
          <w:w w:val="100"/>
          <w:sz w:val="21"/>
        </w:rPr>
        <w:fldChar w:fldCharType="separate"/>
      </w:r>
      <w:r>
        <w:rPr>
          <w:rFonts w:hint="eastAsia" w:ascii="宋体" w:hAnsi="宋体" w:eastAsia="宋体" w:cs="宋体"/>
          <w:w w:val="100"/>
          <w:sz w:val="21"/>
        </w:rPr>
        <w:t>59</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_Toc4478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一、 </w:t>
      </w:r>
      <w:r>
        <w:rPr>
          <w:rFonts w:hint="eastAsia" w:ascii="宋体" w:hAnsi="宋体" w:eastAsia="宋体" w:cs="宋体"/>
          <w:w w:val="100"/>
          <w:sz w:val="21"/>
          <w:highlight w:val="none"/>
        </w:rPr>
        <w:t>应当提供的投标人及投标产品资格、资质性及其他类似效力要求的相关证明材料</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_Toc4478 \h </w:instrText>
      </w:r>
      <w:r>
        <w:rPr>
          <w:rFonts w:hint="eastAsia" w:ascii="宋体" w:hAnsi="宋体" w:eastAsia="宋体" w:cs="宋体"/>
          <w:w w:val="100"/>
          <w:sz w:val="21"/>
        </w:rPr>
        <w:fldChar w:fldCharType="separate"/>
      </w:r>
      <w:r>
        <w:rPr>
          <w:rFonts w:hint="eastAsia" w:ascii="宋体" w:hAnsi="宋体" w:eastAsia="宋体" w:cs="宋体"/>
          <w:w w:val="100"/>
          <w:sz w:val="21"/>
        </w:rPr>
        <w:t>59</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_Toc26373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二、 </w:t>
      </w:r>
      <w:r>
        <w:rPr>
          <w:rFonts w:hint="eastAsia" w:ascii="宋体" w:hAnsi="宋体" w:eastAsia="宋体" w:cs="宋体"/>
          <w:w w:val="100"/>
          <w:sz w:val="21"/>
          <w:highlight w:val="none"/>
        </w:rPr>
        <w:t>审查程序</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_Toc26373 \h </w:instrText>
      </w:r>
      <w:r>
        <w:rPr>
          <w:rFonts w:hint="eastAsia" w:ascii="宋体" w:hAnsi="宋体" w:eastAsia="宋体" w:cs="宋体"/>
          <w:w w:val="100"/>
          <w:sz w:val="21"/>
        </w:rPr>
        <w:fldChar w:fldCharType="separate"/>
      </w:r>
      <w:r>
        <w:rPr>
          <w:rFonts w:hint="eastAsia" w:ascii="宋体" w:hAnsi="宋体" w:eastAsia="宋体" w:cs="宋体"/>
          <w:w w:val="100"/>
          <w:sz w:val="21"/>
        </w:rPr>
        <w:t>61</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7"/>
        <w:tabs>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_Toc541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第六章 </w:t>
      </w:r>
      <w:r>
        <w:rPr>
          <w:rFonts w:hint="eastAsia" w:ascii="宋体" w:hAnsi="宋体" w:eastAsia="宋体" w:cs="宋体"/>
          <w:w w:val="100"/>
          <w:sz w:val="21"/>
          <w:highlight w:val="none"/>
        </w:rPr>
        <w:t>招标项目技术、服务、政府采购合同内容条款及其他商务要求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_Toc541 \h </w:instrText>
      </w:r>
      <w:r>
        <w:rPr>
          <w:rFonts w:hint="eastAsia" w:ascii="宋体" w:hAnsi="宋体" w:eastAsia="宋体" w:cs="宋体"/>
          <w:w w:val="100"/>
          <w:sz w:val="21"/>
        </w:rPr>
        <w:fldChar w:fldCharType="separate"/>
      </w:r>
      <w:r>
        <w:rPr>
          <w:rFonts w:hint="eastAsia" w:ascii="宋体" w:hAnsi="宋体" w:eastAsia="宋体" w:cs="宋体"/>
          <w:w w:val="100"/>
          <w:sz w:val="21"/>
        </w:rPr>
        <w:t>62</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_Toc7553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一、 </w:t>
      </w:r>
      <w:r>
        <w:rPr>
          <w:rFonts w:hint="eastAsia" w:ascii="宋体" w:hAnsi="宋体" w:eastAsia="宋体" w:cs="宋体"/>
          <w:w w:val="100"/>
          <w:sz w:val="21"/>
          <w:highlight w:val="none"/>
        </w:rPr>
        <w:t>项目概述</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_Toc7553 \h </w:instrText>
      </w:r>
      <w:r>
        <w:rPr>
          <w:rFonts w:hint="eastAsia" w:ascii="宋体" w:hAnsi="宋体" w:eastAsia="宋体" w:cs="宋体"/>
          <w:w w:val="100"/>
          <w:sz w:val="21"/>
        </w:rPr>
        <w:fldChar w:fldCharType="separate"/>
      </w:r>
      <w:r>
        <w:rPr>
          <w:rFonts w:hint="eastAsia" w:ascii="宋体" w:hAnsi="宋体" w:eastAsia="宋体" w:cs="宋体"/>
          <w:w w:val="100"/>
          <w:sz w:val="21"/>
        </w:rPr>
        <w:t>62</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_Toc1602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二、 </w:t>
      </w:r>
      <w:r>
        <w:rPr>
          <w:rFonts w:hint="eastAsia" w:ascii="宋体" w:hAnsi="宋体" w:eastAsia="宋体" w:cs="宋体"/>
          <w:w w:val="100"/>
          <w:sz w:val="21"/>
          <w:highlight w:val="none"/>
        </w:rPr>
        <w:t>本项目核心产品</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_Toc1602 \h </w:instrText>
      </w:r>
      <w:r>
        <w:rPr>
          <w:rFonts w:hint="eastAsia" w:ascii="宋体" w:hAnsi="宋体" w:eastAsia="宋体" w:cs="宋体"/>
          <w:w w:val="100"/>
          <w:sz w:val="21"/>
        </w:rPr>
        <w:fldChar w:fldCharType="separate"/>
      </w:r>
      <w:r>
        <w:rPr>
          <w:rFonts w:hint="eastAsia" w:ascii="宋体" w:hAnsi="宋体" w:eastAsia="宋体" w:cs="宋体"/>
          <w:w w:val="100"/>
          <w:sz w:val="21"/>
        </w:rPr>
        <w:t>62</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_Toc22628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三、 </w:t>
      </w:r>
      <w:r>
        <w:rPr>
          <w:rFonts w:hint="eastAsia" w:ascii="宋体" w:hAnsi="宋体" w:eastAsia="宋体" w:cs="宋体"/>
          <w:w w:val="100"/>
          <w:sz w:val="21"/>
          <w:highlight w:val="none"/>
        </w:rPr>
        <w:t>采购清单</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_Toc22628 \h </w:instrText>
      </w:r>
      <w:r>
        <w:rPr>
          <w:rFonts w:hint="eastAsia" w:ascii="宋体" w:hAnsi="宋体" w:eastAsia="宋体" w:cs="宋体"/>
          <w:w w:val="100"/>
          <w:sz w:val="21"/>
        </w:rPr>
        <w:fldChar w:fldCharType="separate"/>
      </w:r>
      <w:r>
        <w:rPr>
          <w:rFonts w:hint="eastAsia" w:ascii="宋体" w:hAnsi="宋体" w:eastAsia="宋体" w:cs="宋体"/>
          <w:w w:val="100"/>
          <w:sz w:val="21"/>
        </w:rPr>
        <w:t>62</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_Toc17721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四、 </w:t>
      </w:r>
      <w:r>
        <w:rPr>
          <w:rFonts w:hint="eastAsia" w:ascii="宋体" w:hAnsi="宋体" w:eastAsia="宋体" w:cs="宋体"/>
          <w:w w:val="100"/>
          <w:sz w:val="21"/>
          <w:highlight w:val="none"/>
        </w:rPr>
        <w:t>技术参数及配置要求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_Toc17721 \h </w:instrText>
      </w:r>
      <w:r>
        <w:rPr>
          <w:rFonts w:hint="eastAsia" w:ascii="宋体" w:hAnsi="宋体" w:eastAsia="宋体" w:cs="宋体"/>
          <w:w w:val="100"/>
          <w:sz w:val="21"/>
        </w:rPr>
        <w:fldChar w:fldCharType="separate"/>
      </w:r>
      <w:r>
        <w:rPr>
          <w:rFonts w:hint="eastAsia" w:ascii="宋体" w:hAnsi="宋体" w:eastAsia="宋体" w:cs="宋体"/>
          <w:w w:val="100"/>
          <w:sz w:val="21"/>
        </w:rPr>
        <w:t>62</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_Toc31677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szCs w:val="24"/>
        </w:rPr>
        <w:t xml:space="preserve">五、 </w:t>
      </w:r>
      <w:r>
        <w:rPr>
          <w:rFonts w:hint="eastAsia" w:ascii="宋体" w:hAnsi="宋体" w:eastAsia="宋体" w:cs="宋体"/>
          <w:w w:val="100"/>
          <w:sz w:val="21"/>
          <w:szCs w:val="24"/>
          <w:highlight w:val="none"/>
        </w:rPr>
        <w:t>商务要求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_Toc31677 \h </w:instrText>
      </w:r>
      <w:r>
        <w:rPr>
          <w:rFonts w:hint="eastAsia" w:ascii="宋体" w:hAnsi="宋体" w:eastAsia="宋体" w:cs="宋体"/>
          <w:w w:val="100"/>
          <w:sz w:val="21"/>
        </w:rPr>
        <w:fldChar w:fldCharType="separate"/>
      </w:r>
      <w:r>
        <w:rPr>
          <w:rFonts w:hint="eastAsia" w:ascii="宋体" w:hAnsi="宋体" w:eastAsia="宋体" w:cs="宋体"/>
          <w:w w:val="100"/>
          <w:sz w:val="21"/>
        </w:rPr>
        <w:t>72</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_Toc11545 </w:instrText>
      </w:r>
      <w:r>
        <w:rPr>
          <w:rFonts w:hint="eastAsia" w:ascii="宋体" w:hAnsi="宋体" w:eastAsia="宋体" w:cs="宋体"/>
          <w:w w:val="100"/>
          <w:sz w:val="21"/>
          <w:highlight w:val="none"/>
        </w:rPr>
        <w:fldChar w:fldCharType="separate"/>
      </w:r>
      <w:r>
        <w:rPr>
          <w:rFonts w:hint="eastAsia" w:ascii="宋体" w:hAnsi="宋体" w:eastAsia="宋体" w:cs="宋体"/>
          <w:bCs/>
          <w:w w:val="100"/>
          <w:sz w:val="21"/>
          <w:szCs w:val="24"/>
        </w:rPr>
        <w:t xml:space="preserve">六、 </w:t>
      </w:r>
      <w:r>
        <w:rPr>
          <w:rFonts w:hint="eastAsia" w:ascii="宋体" w:hAnsi="宋体" w:eastAsia="宋体" w:cs="宋体"/>
          <w:bCs/>
          <w:w w:val="100"/>
          <w:sz w:val="21"/>
          <w:szCs w:val="24"/>
          <w:highlight w:val="none"/>
        </w:rPr>
        <w:t>验收标准和方法</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_Toc11545 \h </w:instrText>
      </w:r>
      <w:r>
        <w:rPr>
          <w:rFonts w:hint="eastAsia" w:ascii="宋体" w:hAnsi="宋体" w:eastAsia="宋体" w:cs="宋体"/>
          <w:w w:val="100"/>
          <w:sz w:val="21"/>
        </w:rPr>
        <w:fldChar w:fldCharType="separate"/>
      </w:r>
      <w:r>
        <w:rPr>
          <w:rFonts w:hint="eastAsia" w:ascii="宋体" w:hAnsi="宋体" w:eastAsia="宋体" w:cs="宋体"/>
          <w:w w:val="100"/>
          <w:sz w:val="21"/>
        </w:rPr>
        <w:t>75</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8"/>
        <w:tabs>
          <w:tab w:val="right" w:leader="dot" w:pos="9746"/>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_Toc30331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szCs w:val="24"/>
        </w:rPr>
        <w:t xml:space="preserve">七、 </w:t>
      </w:r>
      <w:r>
        <w:rPr>
          <w:rFonts w:hint="eastAsia" w:ascii="宋体" w:hAnsi="宋体" w:eastAsia="宋体" w:cs="宋体"/>
          <w:w w:val="100"/>
          <w:sz w:val="21"/>
          <w:szCs w:val="24"/>
          <w:highlight w:val="none"/>
        </w:rPr>
        <w:t>履约能力要求</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_Toc30331 \h </w:instrText>
      </w:r>
      <w:r>
        <w:rPr>
          <w:rFonts w:hint="eastAsia" w:ascii="宋体" w:hAnsi="宋体" w:eastAsia="宋体" w:cs="宋体"/>
          <w:w w:val="100"/>
          <w:sz w:val="21"/>
        </w:rPr>
        <w:fldChar w:fldCharType="separate"/>
      </w:r>
      <w:r>
        <w:rPr>
          <w:rFonts w:hint="eastAsia" w:ascii="宋体" w:hAnsi="宋体" w:eastAsia="宋体" w:cs="宋体"/>
          <w:w w:val="100"/>
          <w:sz w:val="21"/>
        </w:rPr>
        <w:t>75</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7"/>
        <w:tabs>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_Toc11623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第七章 </w:t>
      </w:r>
      <w:r>
        <w:rPr>
          <w:rFonts w:hint="eastAsia" w:ascii="宋体" w:hAnsi="宋体" w:eastAsia="宋体" w:cs="宋体"/>
          <w:w w:val="100"/>
          <w:sz w:val="21"/>
          <w:highlight w:val="none"/>
        </w:rPr>
        <w:t>评标办法</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_Toc11623 \h </w:instrText>
      </w:r>
      <w:r>
        <w:rPr>
          <w:rFonts w:hint="eastAsia" w:ascii="宋体" w:hAnsi="宋体" w:eastAsia="宋体" w:cs="宋体"/>
          <w:w w:val="100"/>
          <w:sz w:val="21"/>
        </w:rPr>
        <w:fldChar w:fldCharType="separate"/>
      </w:r>
      <w:r>
        <w:rPr>
          <w:rFonts w:hint="eastAsia" w:ascii="宋体" w:hAnsi="宋体" w:eastAsia="宋体" w:cs="宋体"/>
          <w:w w:val="100"/>
          <w:sz w:val="21"/>
        </w:rPr>
        <w:t>77</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7"/>
        <w:tabs>
          <w:tab w:val="clear" w:pos="0"/>
        </w:tabs>
        <w:rPr>
          <w:rFonts w:hint="eastAsia" w:ascii="宋体" w:hAnsi="宋体" w:eastAsia="宋体" w:cs="宋体"/>
          <w:w w:val="100"/>
          <w:sz w:val="21"/>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_Toc14812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第八章 </w:t>
      </w:r>
      <w:r>
        <w:rPr>
          <w:rFonts w:hint="eastAsia" w:ascii="宋体" w:hAnsi="宋体" w:eastAsia="宋体" w:cs="宋体"/>
          <w:w w:val="100"/>
          <w:sz w:val="21"/>
          <w:highlight w:val="none"/>
        </w:rPr>
        <w:t>政府采购合同(参考文本)</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_Toc14812 \h </w:instrText>
      </w:r>
      <w:r>
        <w:rPr>
          <w:rFonts w:hint="eastAsia" w:ascii="宋体" w:hAnsi="宋体" w:eastAsia="宋体" w:cs="宋体"/>
          <w:w w:val="100"/>
          <w:sz w:val="21"/>
        </w:rPr>
        <w:fldChar w:fldCharType="separate"/>
      </w:r>
      <w:r>
        <w:rPr>
          <w:rFonts w:hint="eastAsia" w:ascii="宋体" w:hAnsi="宋体" w:eastAsia="宋体" w:cs="宋体"/>
          <w:w w:val="100"/>
          <w:sz w:val="21"/>
        </w:rPr>
        <w:t>87</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pStyle w:val="17"/>
        <w:tabs>
          <w:tab w:val="clear" w:pos="0"/>
        </w:tabs>
        <w:rPr>
          <w:rFonts w:hint="eastAsia" w:ascii="宋体" w:hAnsi="宋体" w:eastAsia="宋体" w:cs="宋体"/>
        </w:rPr>
      </w:pPr>
      <w:r>
        <w:rPr>
          <w:rFonts w:hint="eastAsia" w:ascii="宋体" w:hAnsi="宋体" w:eastAsia="宋体" w:cs="宋体"/>
          <w:color w:val="auto"/>
          <w:w w:val="100"/>
          <w:sz w:val="21"/>
          <w:highlight w:val="none"/>
        </w:rPr>
        <w:fldChar w:fldCharType="begin"/>
      </w:r>
      <w:r>
        <w:rPr>
          <w:rFonts w:hint="eastAsia" w:ascii="宋体" w:hAnsi="宋体" w:eastAsia="宋体" w:cs="宋体"/>
          <w:w w:val="100"/>
          <w:sz w:val="21"/>
          <w:highlight w:val="none"/>
        </w:rPr>
        <w:instrText xml:space="preserve"> HYPERLINK \l _Toc19481 </w:instrText>
      </w:r>
      <w:r>
        <w:rPr>
          <w:rFonts w:hint="eastAsia" w:ascii="宋体" w:hAnsi="宋体" w:eastAsia="宋体" w:cs="宋体"/>
          <w:w w:val="100"/>
          <w:sz w:val="21"/>
          <w:highlight w:val="none"/>
        </w:rPr>
        <w:fldChar w:fldCharType="separate"/>
      </w:r>
      <w:r>
        <w:rPr>
          <w:rFonts w:hint="eastAsia" w:ascii="宋体" w:hAnsi="宋体" w:eastAsia="宋体" w:cs="宋体"/>
          <w:w w:val="100"/>
          <w:sz w:val="21"/>
        </w:rPr>
        <w:t xml:space="preserve">第九章 </w:t>
      </w:r>
      <w:r>
        <w:rPr>
          <w:rFonts w:hint="eastAsia" w:ascii="宋体" w:hAnsi="宋体" w:eastAsia="宋体" w:cs="宋体"/>
          <w:w w:val="100"/>
          <w:sz w:val="21"/>
          <w:highlight w:val="none"/>
        </w:rPr>
        <w:t>附件</w:t>
      </w:r>
      <w:r>
        <w:rPr>
          <w:rFonts w:hint="eastAsia" w:ascii="宋体" w:hAnsi="宋体" w:eastAsia="宋体" w:cs="宋体"/>
          <w:w w:val="100"/>
          <w:sz w:val="21"/>
        </w:rPr>
        <w:tab/>
      </w:r>
      <w:r>
        <w:rPr>
          <w:rFonts w:hint="eastAsia" w:ascii="宋体" w:hAnsi="宋体" w:eastAsia="宋体" w:cs="宋体"/>
          <w:w w:val="100"/>
          <w:sz w:val="21"/>
        </w:rPr>
        <w:fldChar w:fldCharType="begin"/>
      </w:r>
      <w:r>
        <w:rPr>
          <w:rFonts w:hint="eastAsia" w:ascii="宋体" w:hAnsi="宋体" w:eastAsia="宋体" w:cs="宋体"/>
          <w:w w:val="100"/>
          <w:sz w:val="21"/>
        </w:rPr>
        <w:instrText xml:space="preserve"> PAGEREF _Toc19481 \h </w:instrText>
      </w:r>
      <w:r>
        <w:rPr>
          <w:rFonts w:hint="eastAsia" w:ascii="宋体" w:hAnsi="宋体" w:eastAsia="宋体" w:cs="宋体"/>
          <w:w w:val="100"/>
          <w:sz w:val="21"/>
        </w:rPr>
        <w:fldChar w:fldCharType="separate"/>
      </w:r>
      <w:r>
        <w:rPr>
          <w:rFonts w:hint="eastAsia" w:ascii="宋体" w:hAnsi="宋体" w:eastAsia="宋体" w:cs="宋体"/>
          <w:w w:val="100"/>
          <w:sz w:val="21"/>
        </w:rPr>
        <w:t>95</w:t>
      </w:r>
      <w:r>
        <w:rPr>
          <w:rFonts w:hint="eastAsia" w:ascii="宋体" w:hAnsi="宋体" w:eastAsia="宋体" w:cs="宋体"/>
          <w:w w:val="100"/>
          <w:sz w:val="21"/>
        </w:rPr>
        <w:fldChar w:fldCharType="end"/>
      </w:r>
      <w:r>
        <w:rPr>
          <w:rFonts w:hint="eastAsia" w:ascii="宋体" w:hAnsi="宋体" w:eastAsia="宋体" w:cs="宋体"/>
          <w:color w:val="auto"/>
          <w:w w:val="100"/>
          <w:sz w:val="21"/>
          <w:highlight w:val="none"/>
        </w:rPr>
        <w:fldChar w:fldCharType="end"/>
      </w:r>
    </w:p>
    <w:p>
      <w:pPr>
        <w:rPr>
          <w:rFonts w:hint="eastAsia" w:ascii="宋体" w:hAnsi="宋体" w:eastAsia="宋体" w:cs="宋体"/>
          <w:color w:val="auto"/>
          <w:highlight w:val="none"/>
        </w:rPr>
      </w:pPr>
      <w:r>
        <w:rPr>
          <w:rFonts w:hint="eastAsia" w:ascii="宋体" w:hAnsi="宋体" w:eastAsia="宋体" w:cs="宋体"/>
          <w:color w:val="auto"/>
          <w:highlight w:val="none"/>
        </w:rPr>
        <w:fldChar w:fldCharType="end"/>
      </w:r>
    </w:p>
    <w:p>
      <w:pPr>
        <w:pStyle w:val="29"/>
        <w:spacing w:before="120" w:after="120"/>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2"/>
      <w:bookmarkEnd w:id="9"/>
      <w:bookmarkEnd w:id="10"/>
      <w:bookmarkStart w:id="12" w:name="_Toc9731"/>
      <w:bookmarkStart w:id="13" w:name="_Toc31672"/>
      <w:bookmarkStart w:id="14" w:name="_Toc213397009"/>
      <w:bookmarkStart w:id="15" w:name="_Toc217446031"/>
      <w:bookmarkStart w:id="16" w:name="_Toc213396759"/>
      <w:bookmarkStart w:id="17" w:name="_Toc213496267"/>
      <w:bookmarkStart w:id="18" w:name="_Toc213396945"/>
      <w:r>
        <w:rPr>
          <w:rFonts w:hint="eastAsia" w:ascii="宋体" w:hAnsi="宋体" w:eastAsia="宋体" w:cs="宋体"/>
          <w:color w:val="auto"/>
          <w:highlight w:val="none"/>
        </w:rPr>
        <w:t>投标邀请</w:t>
      </w:r>
      <w:bookmarkEnd w:id="11"/>
      <w:bookmarkEnd w:id="12"/>
      <w:bookmarkEnd w:id="13"/>
    </w:p>
    <w:p>
      <w:pPr>
        <w:pStyle w:val="34"/>
        <w:rPr>
          <w:rFonts w:hint="eastAsia" w:ascii="宋体" w:hAnsi="宋体" w:eastAsia="宋体" w:cs="宋体"/>
          <w:color w:val="auto"/>
          <w:highlight w:val="none"/>
        </w:rPr>
      </w:pPr>
      <w:r>
        <w:rPr>
          <w:rFonts w:hint="eastAsia" w:ascii="宋体" w:hAnsi="宋体" w:eastAsia="宋体" w:cs="宋体"/>
          <w:color w:val="auto"/>
          <w:highlight w:val="none"/>
          <w:lang w:val="zh-CN"/>
        </w:rPr>
        <w:t>四川乾新招投标代理有限公司</w:t>
      </w:r>
      <w:r>
        <w:rPr>
          <w:rFonts w:hint="eastAsia" w:ascii="宋体" w:hAnsi="宋体" w:eastAsia="宋体" w:cs="宋体"/>
          <w:color w:val="auto"/>
          <w:highlight w:val="none"/>
        </w:rPr>
        <w:t>受成都市技师学院的委托，拟对成都市技师学院赛教融合竞赛能力提升基地建设配套(智能制造实训基地虚实一体工作站)采购项目进行国内公开招标，兹邀请符合本次招标要求的供应商参加投标。</w:t>
      </w:r>
    </w:p>
    <w:p>
      <w:pPr>
        <w:pStyle w:val="30"/>
        <w:numPr>
          <w:ilvl w:val="0"/>
          <w:numId w:val="7"/>
        </w:numPr>
        <w:spacing w:line="420" w:lineRule="exact"/>
        <w:ind w:firstLine="482" w:firstLineChars="200"/>
        <w:rPr>
          <w:rFonts w:hint="eastAsia" w:ascii="宋体" w:hAnsi="宋体" w:eastAsia="宋体" w:cs="宋体"/>
          <w:color w:val="auto"/>
          <w:highlight w:val="none"/>
        </w:rPr>
      </w:pPr>
      <w:r>
        <w:rPr>
          <w:rFonts w:hint="eastAsia" w:ascii="宋体" w:hAnsi="宋体" w:eastAsia="宋体" w:cs="宋体"/>
          <w:b/>
          <w:bCs/>
          <w:color w:val="auto"/>
          <w:highlight w:val="none"/>
        </w:rPr>
        <w:t>项目编号：510101202101103</w:t>
      </w:r>
      <w:r>
        <w:rPr>
          <w:rFonts w:hint="eastAsia" w:ascii="宋体" w:hAnsi="宋体" w:eastAsia="宋体" w:cs="宋体"/>
          <w:color w:val="auto"/>
          <w:highlight w:val="none"/>
        </w:rPr>
        <w:t xml:space="preserve">          </w:t>
      </w:r>
    </w:p>
    <w:p>
      <w:pPr>
        <w:pStyle w:val="30"/>
        <w:numPr>
          <w:ilvl w:val="0"/>
          <w:numId w:val="7"/>
        </w:numPr>
        <w:spacing w:line="420" w:lineRule="exact"/>
        <w:ind w:firstLine="482" w:firstLineChars="200"/>
        <w:rPr>
          <w:rFonts w:hint="eastAsia" w:ascii="宋体" w:hAnsi="宋体" w:eastAsia="宋体" w:cs="宋体"/>
          <w:color w:val="auto"/>
          <w:highlight w:val="none"/>
        </w:rPr>
      </w:pPr>
      <w:r>
        <w:rPr>
          <w:rFonts w:hint="eastAsia" w:ascii="宋体" w:hAnsi="宋体" w:eastAsia="宋体" w:cs="宋体"/>
          <w:b/>
          <w:bCs/>
          <w:color w:val="auto"/>
          <w:highlight w:val="none"/>
        </w:rPr>
        <w:t>项目名称：</w:t>
      </w:r>
      <w:r>
        <w:rPr>
          <w:rFonts w:hint="eastAsia" w:ascii="宋体" w:hAnsi="宋体" w:eastAsia="宋体" w:cs="宋体"/>
          <w:color w:val="auto"/>
          <w:highlight w:val="none"/>
        </w:rPr>
        <w:t>成都市技师学院赛教融合竞赛能力提升基地建设配套(智能制造实训基地虚实一体工作站)采购项目</w:t>
      </w:r>
    </w:p>
    <w:p>
      <w:pPr>
        <w:pStyle w:val="30"/>
        <w:numPr>
          <w:ilvl w:val="0"/>
          <w:numId w:val="7"/>
        </w:numPr>
        <w:spacing w:line="420" w:lineRule="exact"/>
        <w:ind w:firstLine="482" w:firstLineChars="200"/>
        <w:rPr>
          <w:rFonts w:hint="eastAsia" w:ascii="宋体" w:hAnsi="宋体" w:eastAsia="宋体" w:cs="宋体"/>
          <w:color w:val="auto"/>
          <w:highlight w:val="none"/>
        </w:rPr>
      </w:pPr>
      <w:r>
        <w:rPr>
          <w:rFonts w:hint="eastAsia" w:ascii="宋体" w:hAnsi="宋体" w:eastAsia="宋体" w:cs="宋体"/>
          <w:b/>
          <w:bCs/>
          <w:color w:val="auto"/>
          <w:highlight w:val="none"/>
        </w:rPr>
        <w:t>资金来源：根据成都市财政局下达的《成都市市级政府采购实施计划备案表》(备案号：(2021)2529号)，该项目预算资金为人民币75万元，采购品目：教学专用仪器。</w:t>
      </w:r>
    </w:p>
    <w:p>
      <w:pPr>
        <w:pStyle w:val="30"/>
        <w:numPr>
          <w:ilvl w:val="0"/>
          <w:numId w:val="7"/>
        </w:numPr>
        <w:spacing w:line="420" w:lineRule="exa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招标项目简介：</w:t>
      </w:r>
    </w:p>
    <w:p>
      <w:pPr>
        <w:pStyle w:val="30"/>
        <w:ind w:firstLine="482" w:firstLineChars="200"/>
        <w:rPr>
          <w:rFonts w:hint="eastAsia" w:ascii="宋体" w:hAnsi="宋体" w:eastAsia="宋体" w:cs="宋体"/>
          <w:color w:val="auto"/>
          <w:highlight w:val="none"/>
        </w:rPr>
      </w:pPr>
      <w:r>
        <w:rPr>
          <w:rFonts w:hint="eastAsia" w:ascii="宋体" w:hAnsi="宋体" w:eastAsia="宋体" w:cs="宋体"/>
          <w:b/>
          <w:bCs/>
          <w:color w:val="auto"/>
          <w:highlight w:val="none"/>
        </w:rPr>
        <w:t>(一)采购内容：</w:t>
      </w:r>
      <w:r>
        <w:rPr>
          <w:rFonts w:hint="eastAsia" w:ascii="宋体" w:hAnsi="宋体" w:eastAsia="宋体" w:cs="宋体"/>
          <w:color w:val="auto"/>
          <w:highlight w:val="none"/>
        </w:rPr>
        <w:t>智能制造实训基地虚实一体工作站一套，共计1个包，设置1名中标人，具体详见招标文件第六章。</w:t>
      </w:r>
    </w:p>
    <w:p>
      <w:pPr>
        <w:pStyle w:val="30"/>
        <w:ind w:firstLine="482" w:firstLineChars="200"/>
        <w:rPr>
          <w:rFonts w:hint="eastAsia" w:ascii="宋体" w:hAnsi="宋体" w:eastAsia="宋体" w:cs="宋体"/>
          <w:color w:val="auto"/>
          <w:highlight w:val="none"/>
        </w:rPr>
      </w:pPr>
      <w:r>
        <w:rPr>
          <w:rFonts w:hint="eastAsia" w:ascii="宋体" w:hAnsi="宋体" w:eastAsia="宋体" w:cs="宋体"/>
          <w:b/>
          <w:bCs/>
          <w:color w:val="auto"/>
          <w:highlight w:val="none"/>
        </w:rPr>
        <w:t>(二)采购用途：</w:t>
      </w:r>
      <w:r>
        <w:rPr>
          <w:rFonts w:hint="eastAsia" w:ascii="宋体" w:hAnsi="宋体" w:eastAsia="宋体" w:cs="宋体"/>
          <w:color w:val="auto"/>
          <w:highlight w:val="none"/>
        </w:rPr>
        <w:t>用于进一步提升基地的产、学、研能力，虚实结合，提升智能制造产业高技能人才培养水平，支撑智能制造专业群建设。</w:t>
      </w:r>
    </w:p>
    <w:p>
      <w:pPr>
        <w:pStyle w:val="30"/>
        <w:ind w:firstLine="482" w:firstLineChars="200"/>
        <w:rPr>
          <w:rFonts w:hint="eastAsia" w:ascii="宋体" w:hAnsi="宋体" w:eastAsia="宋体" w:cs="宋体"/>
          <w:color w:val="auto"/>
          <w:highlight w:val="none"/>
        </w:rPr>
      </w:pPr>
      <w:r>
        <w:rPr>
          <w:rFonts w:hint="eastAsia" w:ascii="宋体" w:hAnsi="宋体" w:eastAsia="宋体" w:cs="宋体"/>
          <w:b/>
          <w:bCs/>
          <w:color w:val="auto"/>
          <w:highlight w:val="none"/>
        </w:rPr>
        <w:t>(三)项目性质：</w:t>
      </w:r>
      <w:r>
        <w:rPr>
          <w:rFonts w:hint="eastAsia" w:ascii="宋体" w:hAnsi="宋体" w:eastAsia="宋体" w:cs="宋体"/>
          <w:color w:val="auto"/>
          <w:highlight w:val="none"/>
        </w:rPr>
        <w:t>政府采购。</w:t>
      </w:r>
    </w:p>
    <w:p>
      <w:pPr>
        <w:pStyle w:val="30"/>
        <w:numPr>
          <w:ilvl w:val="0"/>
          <w:numId w:val="7"/>
        </w:numPr>
        <w:spacing w:line="420" w:lineRule="exa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供应商参加本次政府采购活动应具备下列条件：</w:t>
      </w:r>
    </w:p>
    <w:p>
      <w:pPr>
        <w:pStyle w:val="30"/>
        <w:spacing w:line="460" w:lineRule="exact"/>
        <w:ind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rPr>
        <w:t>(一)</w:t>
      </w:r>
      <w:r>
        <w:rPr>
          <w:rFonts w:hint="eastAsia" w:ascii="宋体" w:hAnsi="宋体" w:eastAsia="宋体" w:cs="宋体"/>
          <w:color w:val="auto"/>
          <w:highlight w:val="none"/>
          <w:lang w:val="zh-CN"/>
        </w:rPr>
        <w:t>符合《中华人民共和国政府采购法》第二十二条规定的条件：</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1.具有独立承担</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"http://www.lawtime.cn/info/minfa/mszeren/" \t "_blank"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民事责任</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的能力；</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2.具有良好的商业信誉和健全的财务会计制度；</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3.具有履行合同所必需的设备和专业技术能力；</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4.有依法缴纳税收和</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"http://www.lawtime.cn/info/laodong/shehuibaozhang/" \t "_blank"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社会保障</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资金的良好记录；</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5.参加政府采购活动前三年内，在经营活动中没有重大违法记录；</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6.法律、</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"http://www.lawtime.cn/info/sifakaoshi/xingzhengfa/" \t "_blank"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行政法</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规规定的其他条件；</w:t>
      </w:r>
    </w:p>
    <w:p>
      <w:pPr>
        <w:pStyle w:val="30"/>
        <w:ind w:firstLine="480" w:firstLineChars="200"/>
        <w:rPr>
          <w:rFonts w:hint="eastAsia" w:ascii="宋体" w:hAnsi="宋体" w:eastAsia="宋体" w:cs="宋体"/>
          <w:b/>
          <w:bCs/>
          <w:color w:val="auto"/>
          <w:highlight w:val="none"/>
        </w:rPr>
      </w:pPr>
      <w:r>
        <w:rPr>
          <w:rFonts w:hint="eastAsia" w:ascii="宋体" w:hAnsi="宋体" w:eastAsia="宋体" w:cs="宋体"/>
          <w:color w:val="auto"/>
          <w:highlight w:val="none"/>
        </w:rPr>
        <w:t>(二)</w:t>
      </w:r>
      <w:r>
        <w:rPr>
          <w:rFonts w:hint="eastAsia" w:ascii="宋体" w:hAnsi="宋体" w:eastAsia="宋体" w:cs="宋体"/>
          <w:color w:val="auto"/>
          <w:highlight w:val="none"/>
          <w:lang w:val="zh-CN"/>
        </w:rPr>
        <w:t>落实政府采购政策需满足的资格要求：本项目</w:t>
      </w:r>
      <w:r>
        <w:rPr>
          <w:rFonts w:hint="eastAsia" w:ascii="宋体" w:hAnsi="宋体" w:eastAsia="宋体" w:cs="宋体"/>
          <w:color w:val="auto"/>
          <w:highlight w:val="none"/>
        </w:rPr>
        <w:t>为</w:t>
      </w:r>
      <w:r>
        <w:rPr>
          <w:rFonts w:hint="eastAsia" w:ascii="宋体" w:hAnsi="宋体" w:eastAsia="宋体" w:cs="宋体"/>
          <w:color w:val="auto"/>
          <w:highlight w:val="none"/>
          <w:lang w:val="zh-CN"/>
        </w:rPr>
        <w:t>专门面向中小企业采购的项目，</w:t>
      </w:r>
      <w:r>
        <w:rPr>
          <w:rFonts w:hint="eastAsia" w:ascii="宋体" w:hAnsi="宋体" w:eastAsia="宋体" w:cs="宋体"/>
          <w:color w:val="auto"/>
          <w:highlight w:val="none"/>
        </w:rPr>
        <w:t>投标人</w:t>
      </w:r>
      <w:r>
        <w:rPr>
          <w:rFonts w:hint="eastAsia" w:cs="宋体"/>
          <w:color w:val="auto"/>
          <w:highlight w:val="none"/>
          <w:lang w:val="en-US" w:eastAsia="zh-CN"/>
        </w:rPr>
        <w:t>提供的全部货物</w:t>
      </w:r>
      <w:r>
        <w:rPr>
          <w:rFonts w:hint="eastAsia" w:ascii="宋体" w:hAnsi="宋体" w:eastAsia="宋体" w:cs="宋体"/>
          <w:color w:val="auto"/>
          <w:highlight w:val="none"/>
          <w:lang w:val="zh-CN"/>
        </w:rPr>
        <w:t>应</w:t>
      </w:r>
      <w:r>
        <w:rPr>
          <w:rFonts w:hint="eastAsia" w:cs="宋体"/>
          <w:color w:val="auto"/>
          <w:highlight w:val="none"/>
          <w:lang w:val="en-US" w:eastAsia="zh-CN"/>
        </w:rPr>
        <w:t>由</w:t>
      </w:r>
      <w:r>
        <w:rPr>
          <w:rFonts w:hint="eastAsia" w:ascii="宋体" w:hAnsi="宋体" w:eastAsia="宋体" w:cs="宋体"/>
          <w:color w:val="auto"/>
          <w:highlight w:val="none"/>
          <w:lang w:val="zh-CN"/>
        </w:rPr>
        <w:t>中、小、微</w:t>
      </w:r>
      <w:r>
        <w:rPr>
          <w:rFonts w:hint="eastAsia" w:ascii="宋体" w:hAnsi="宋体" w:eastAsia="宋体" w:cs="宋体"/>
          <w:color w:val="auto"/>
          <w:highlight w:val="none"/>
        </w:rPr>
        <w:t>型</w:t>
      </w:r>
      <w:r>
        <w:rPr>
          <w:rFonts w:hint="eastAsia" w:ascii="宋体" w:hAnsi="宋体" w:eastAsia="宋体" w:cs="宋体"/>
          <w:color w:val="auto"/>
          <w:highlight w:val="none"/>
          <w:lang w:val="zh-CN"/>
        </w:rPr>
        <w:t>企业</w:t>
      </w:r>
      <w:r>
        <w:rPr>
          <w:rFonts w:hint="eastAsia" w:cs="宋体"/>
          <w:color w:val="auto"/>
          <w:highlight w:val="none"/>
          <w:lang w:val="en-US" w:eastAsia="zh-CN"/>
        </w:rPr>
        <w:t>制造</w:t>
      </w:r>
      <w:r>
        <w:rPr>
          <w:rFonts w:hint="eastAsia" w:ascii="宋体" w:hAnsi="宋体" w:eastAsia="宋体" w:cs="宋体"/>
          <w:color w:val="auto"/>
          <w:highlight w:val="none"/>
          <w:lang w:val="zh-CN"/>
        </w:rPr>
        <w:t>(监狱企业、残疾人福利性单位视同小微企业，</w:t>
      </w:r>
      <w:r>
        <w:rPr>
          <w:rFonts w:hint="eastAsia" w:ascii="宋体" w:hAnsi="宋体" w:eastAsia="宋体" w:cs="宋体"/>
          <w:color w:val="auto"/>
          <w:highlight w:val="none"/>
        </w:rPr>
        <w:t>符合中小企业划分标准的个体工商户视同中小企业</w:t>
      </w:r>
      <w:r>
        <w:rPr>
          <w:rFonts w:hint="eastAsia" w:ascii="宋体" w:hAnsi="宋体" w:eastAsia="宋体" w:cs="宋体"/>
          <w:color w:val="auto"/>
          <w:highlight w:val="none"/>
          <w:lang w:val="zh-CN"/>
        </w:rPr>
        <w:t>)。</w:t>
      </w:r>
    </w:p>
    <w:p>
      <w:pPr>
        <w:pStyle w:val="30"/>
        <w:spacing w:line="460" w:lineRule="exact"/>
        <w:ind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rPr>
        <w:t>(三)</w:t>
      </w:r>
      <w:r>
        <w:rPr>
          <w:rFonts w:hint="eastAsia" w:ascii="宋体" w:hAnsi="宋体" w:eastAsia="宋体" w:cs="宋体"/>
          <w:color w:val="auto"/>
          <w:highlight w:val="none"/>
          <w:lang w:val="zh-CN"/>
        </w:rPr>
        <w:t>本项目的特定资格要求：</w:t>
      </w:r>
      <w:r>
        <w:rPr>
          <w:rFonts w:hint="eastAsia" w:ascii="宋体" w:hAnsi="宋体" w:eastAsia="宋体" w:cs="宋体"/>
          <w:color w:val="auto"/>
          <w:highlight w:val="none"/>
        </w:rPr>
        <w:t>本项目不接受联合体投标。</w:t>
      </w:r>
    </w:p>
    <w:p>
      <w:pPr>
        <w:pStyle w:val="30"/>
        <w:numPr>
          <w:ilvl w:val="0"/>
          <w:numId w:val="7"/>
        </w:numPr>
        <w:spacing w:line="420" w:lineRule="exa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禁止参加本次采购活动的供应商</w:t>
      </w:r>
    </w:p>
    <w:p>
      <w:pPr>
        <w:pStyle w:val="45"/>
        <w:spacing w:line="420" w:lineRule="exact"/>
        <w:ind w:firstLine="480" w:firstLineChars="200"/>
        <w:rPr>
          <w:rFonts w:hint="eastAsia" w:ascii="宋体" w:hAnsi="宋体" w:eastAsia="宋体" w:cs="宋体"/>
          <w:color w:val="auto"/>
          <w:highlight w:val="none"/>
        </w:rPr>
      </w:pPr>
      <w:bookmarkStart w:id="19" w:name="PO_默认文件内容_4"/>
      <w:r>
        <w:rPr>
          <w:rFonts w:hint="eastAsia" w:ascii="宋体" w:hAnsi="宋体" w:eastAsia="宋体" w:cs="宋体"/>
          <w:color w:val="auto"/>
          <w:highlight w:val="none"/>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参加本项目的采购活动。</w:t>
      </w:r>
    </w:p>
    <w:bookmarkEnd w:id="19"/>
    <w:p>
      <w:pPr>
        <w:pStyle w:val="30"/>
        <w:numPr>
          <w:ilvl w:val="0"/>
          <w:numId w:val="7"/>
        </w:numPr>
        <w:spacing w:line="420" w:lineRule="exa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获取招标文件的时间期限、地点、方式</w:t>
      </w:r>
    </w:p>
    <w:p>
      <w:pPr>
        <w:pStyle w:val="30"/>
        <w:ind w:firstLine="482" w:firstLineChars="200"/>
        <w:rPr>
          <w:rFonts w:hint="eastAsia" w:ascii="宋体" w:hAnsi="宋体" w:eastAsia="宋体" w:cs="宋体"/>
          <w:color w:val="auto"/>
          <w:highlight w:val="none"/>
          <w:lang w:val="zh-CN"/>
        </w:rPr>
      </w:pPr>
      <w:r>
        <w:rPr>
          <w:rFonts w:hint="eastAsia" w:ascii="宋体" w:hAnsi="宋体" w:eastAsia="宋体" w:cs="宋体"/>
          <w:b/>
          <w:bCs/>
          <w:color w:val="auto"/>
          <w:highlight w:val="none"/>
        </w:rPr>
        <w:t>(一)获取招标文件的时间期限(即报名时间)</w:t>
      </w:r>
      <w:r>
        <w:rPr>
          <w:rFonts w:hint="eastAsia" w:ascii="宋体" w:hAnsi="宋体" w:eastAsia="宋体" w:cs="宋体"/>
          <w:color w:val="auto"/>
          <w:highlight w:val="none"/>
        </w:rPr>
        <w:t>：</w:t>
      </w:r>
      <w:r>
        <w:rPr>
          <w:rFonts w:hint="eastAsia" w:ascii="宋体" w:hAnsi="宋体" w:eastAsia="宋体" w:cs="宋体"/>
          <w:color w:val="auto"/>
          <w:highlight w:val="none"/>
          <w:u w:val="single"/>
        </w:rPr>
        <w:t>2021年</w:t>
      </w:r>
      <w:r>
        <w:rPr>
          <w:rFonts w:hint="eastAsia" w:cs="宋体"/>
          <w:color w:val="auto"/>
          <w:highlight w:val="none"/>
          <w:u w:val="single"/>
          <w:lang w:val="en-US" w:eastAsia="zh-CN"/>
        </w:rPr>
        <w:t>08</w:t>
      </w:r>
      <w:r>
        <w:rPr>
          <w:rFonts w:hint="eastAsia" w:ascii="宋体" w:hAnsi="宋体" w:eastAsia="宋体" w:cs="宋体"/>
          <w:color w:val="auto"/>
          <w:highlight w:val="none"/>
          <w:u w:val="single"/>
        </w:rPr>
        <w:t>月</w:t>
      </w:r>
      <w:r>
        <w:rPr>
          <w:rFonts w:hint="eastAsia" w:cs="宋体"/>
          <w:color w:val="auto"/>
          <w:highlight w:val="none"/>
          <w:u w:val="single"/>
          <w:lang w:val="en-US" w:eastAsia="zh-CN"/>
        </w:rPr>
        <w:t>13</w:t>
      </w:r>
      <w:r>
        <w:rPr>
          <w:rFonts w:hint="eastAsia" w:ascii="宋体" w:hAnsi="宋体" w:eastAsia="宋体" w:cs="宋体"/>
          <w:color w:val="auto"/>
          <w:highlight w:val="none"/>
          <w:u w:val="single"/>
        </w:rPr>
        <w:t>日至2021年</w:t>
      </w:r>
      <w:r>
        <w:rPr>
          <w:rFonts w:hint="eastAsia" w:cs="宋体"/>
          <w:color w:val="auto"/>
          <w:highlight w:val="none"/>
          <w:u w:val="single"/>
          <w:lang w:val="en-US" w:eastAsia="zh-CN"/>
        </w:rPr>
        <w:t>08</w:t>
      </w:r>
      <w:r>
        <w:rPr>
          <w:rFonts w:hint="eastAsia" w:ascii="宋体" w:hAnsi="宋体" w:eastAsia="宋体" w:cs="宋体"/>
          <w:color w:val="auto"/>
          <w:highlight w:val="none"/>
          <w:u w:val="single"/>
        </w:rPr>
        <w:t>月</w:t>
      </w:r>
      <w:r>
        <w:rPr>
          <w:rFonts w:hint="eastAsia" w:cs="宋体"/>
          <w:color w:val="auto"/>
          <w:highlight w:val="none"/>
          <w:u w:val="single"/>
          <w:lang w:val="en-US" w:eastAsia="zh-CN"/>
        </w:rPr>
        <w:t>19</w:t>
      </w:r>
      <w:r>
        <w:rPr>
          <w:rFonts w:hint="eastAsia" w:ascii="宋体" w:hAnsi="宋体" w:eastAsia="宋体" w:cs="宋体"/>
          <w:color w:val="auto"/>
          <w:highlight w:val="none"/>
          <w:u w:val="single"/>
        </w:rPr>
        <w:t>日，每天上午9时00分至12时00分，下午14时00分至17时00分(北京时间，法定节假日除外)。</w:t>
      </w:r>
    </w:p>
    <w:p>
      <w:pPr>
        <w:pStyle w:val="30"/>
        <w:ind w:firstLine="482" w:firstLineChars="200"/>
        <w:rPr>
          <w:rFonts w:hint="eastAsia" w:ascii="宋体" w:hAnsi="宋体" w:eastAsia="宋体" w:cs="宋体"/>
          <w:color w:val="auto"/>
          <w:highlight w:val="none"/>
          <w:lang w:val="zh-CN"/>
        </w:rPr>
      </w:pPr>
      <w:r>
        <w:rPr>
          <w:rFonts w:hint="eastAsia" w:ascii="宋体" w:hAnsi="宋体" w:eastAsia="宋体" w:cs="宋体"/>
          <w:b/>
          <w:bCs/>
          <w:color w:val="auto"/>
          <w:highlight w:val="none"/>
        </w:rPr>
        <w:t>(二)获取招标文件的地点：http：//www.qxztb.cn</w:t>
      </w:r>
    </w:p>
    <w:p>
      <w:pPr>
        <w:pStyle w:val="30"/>
        <w:spacing w:line="460" w:lineRule="exa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(三)获取招标文件的方式：</w:t>
      </w:r>
    </w:p>
    <w:p>
      <w:pPr>
        <w:pStyle w:val="30"/>
        <w:spacing w:line="460" w:lineRule="exact"/>
        <w:ind w:firstLine="482" w:firstLineChars="200"/>
        <w:rPr>
          <w:rFonts w:hint="eastAsia" w:ascii="宋体" w:hAnsi="宋体" w:eastAsia="宋体" w:cs="宋体"/>
          <w:color w:val="auto"/>
          <w:highlight w:val="none"/>
        </w:rPr>
      </w:pPr>
      <w:r>
        <w:rPr>
          <w:rFonts w:hint="eastAsia" w:ascii="宋体" w:hAnsi="宋体" w:eastAsia="宋体" w:cs="宋体"/>
          <w:b/>
          <w:bCs/>
          <w:color w:val="auto"/>
          <w:highlight w:val="none"/>
        </w:rPr>
        <w:t>1.</w:t>
      </w:r>
      <w:r>
        <w:rPr>
          <w:rFonts w:hint="eastAsia" w:ascii="宋体" w:hAnsi="宋体" w:eastAsia="宋体" w:cs="宋体"/>
          <w:b/>
          <w:bCs/>
          <w:color w:val="auto"/>
          <w:highlight w:val="none"/>
        </w:rPr>
        <w:tab/>
      </w:r>
      <w:r>
        <w:rPr>
          <w:rFonts w:hint="eastAsia" w:ascii="宋体" w:hAnsi="宋体" w:eastAsia="宋体" w:cs="宋体"/>
          <w:b/>
          <w:bCs/>
          <w:color w:val="auto"/>
          <w:highlight w:val="none"/>
        </w:rPr>
        <w:t>在本项目招标文件获取时间期限内，在采购代理机构指定网站(http：//www.qxztb.cn)获取，具体获取流程详见该网站的“标书在线获取流程”。</w:t>
      </w:r>
    </w:p>
    <w:p>
      <w:pPr>
        <w:pStyle w:val="30"/>
        <w:spacing w:line="460" w:lineRule="exact"/>
        <w:ind w:firstLine="482" w:firstLineChars="200"/>
        <w:rPr>
          <w:rFonts w:hint="eastAsia" w:ascii="宋体" w:hAnsi="宋体" w:eastAsia="宋体" w:cs="宋体"/>
          <w:b/>
          <w:bCs/>
          <w:color w:val="auto"/>
          <w:highlight w:val="none"/>
          <w:lang w:val="zh-CN"/>
        </w:rPr>
      </w:pPr>
      <w:r>
        <w:rPr>
          <w:rFonts w:hint="eastAsia" w:ascii="宋体" w:hAnsi="宋体" w:eastAsia="宋体" w:cs="宋体"/>
          <w:b/>
          <w:bCs/>
          <w:color w:val="auto"/>
          <w:highlight w:val="none"/>
        </w:rPr>
        <w:t>2.报名咨询电话：</w:t>
      </w:r>
      <w:r>
        <w:rPr>
          <w:rFonts w:hint="eastAsia" w:ascii="宋体" w:hAnsi="宋体" w:eastAsia="宋体" w:cs="宋体"/>
          <w:b/>
          <w:bCs/>
          <w:color w:val="auto"/>
          <w:highlight w:val="none"/>
          <w:lang w:val="zh-CN"/>
        </w:rPr>
        <w:t>028-61375575、62600820、62630990转601或602。</w:t>
      </w:r>
    </w:p>
    <w:p>
      <w:pPr>
        <w:pStyle w:val="30"/>
        <w:ind w:firstLine="482" w:firstLineChars="200"/>
        <w:rPr>
          <w:rFonts w:hint="eastAsia" w:ascii="宋体" w:hAnsi="宋体" w:eastAsia="宋体" w:cs="宋体"/>
          <w:color w:val="auto"/>
          <w:highlight w:val="none"/>
        </w:rPr>
      </w:pPr>
      <w:r>
        <w:rPr>
          <w:rFonts w:hint="eastAsia" w:ascii="宋体" w:hAnsi="宋体" w:eastAsia="宋体" w:cs="宋体"/>
          <w:b/>
          <w:bCs/>
          <w:color w:val="auto"/>
          <w:highlight w:val="none"/>
        </w:rPr>
        <w:t>(四)招标文件免费提供</w:t>
      </w:r>
      <w:r>
        <w:rPr>
          <w:rFonts w:hint="eastAsia" w:ascii="宋体" w:hAnsi="宋体" w:eastAsia="宋体" w:cs="宋体"/>
          <w:b/>
          <w:bCs/>
          <w:color w:val="auto"/>
          <w:highlight w:val="none"/>
          <w:lang w:val="zh-CN"/>
        </w:rPr>
        <w:t xml:space="preserve">, </w:t>
      </w:r>
      <w:r>
        <w:rPr>
          <w:rFonts w:hint="eastAsia" w:ascii="宋体" w:hAnsi="宋体" w:eastAsia="宋体" w:cs="宋体"/>
          <w:b/>
          <w:bCs/>
          <w:color w:val="auto"/>
          <w:highlight w:val="none"/>
        </w:rPr>
        <w:t>投标资格不得转让。</w:t>
      </w:r>
    </w:p>
    <w:p>
      <w:pPr>
        <w:pStyle w:val="30"/>
        <w:ind w:firstLine="482" w:firstLineChars="200"/>
        <w:rPr>
          <w:rFonts w:hint="eastAsia" w:ascii="宋体" w:hAnsi="宋体" w:eastAsia="宋体" w:cs="宋体"/>
          <w:color w:val="auto"/>
          <w:highlight w:val="none"/>
        </w:rPr>
      </w:pPr>
      <w:r>
        <w:rPr>
          <w:rFonts w:hint="eastAsia" w:ascii="宋体" w:hAnsi="宋体" w:eastAsia="宋体" w:cs="宋体"/>
          <w:b/>
          <w:bCs/>
          <w:color w:val="auto"/>
          <w:highlight w:val="none"/>
        </w:rPr>
        <w:t>(五)</w:t>
      </w:r>
      <w:r>
        <w:rPr>
          <w:rFonts w:hint="eastAsia" w:ascii="宋体" w:hAnsi="宋体" w:eastAsia="宋体" w:cs="宋体"/>
          <w:color w:val="auto"/>
          <w:highlight w:val="none"/>
        </w:rPr>
        <w:t>供应商应在规定的时间内按上述要求</w:t>
      </w: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获取本招标文件并登记，否则均无资格参加该项目的投标。</w:t>
      </w:r>
    </w:p>
    <w:p>
      <w:pPr>
        <w:pStyle w:val="30"/>
        <w:numPr>
          <w:ilvl w:val="0"/>
          <w:numId w:val="7"/>
        </w:numPr>
        <w:spacing w:line="420" w:lineRule="exa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投标文件的递交</w:t>
      </w: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(一)投标文件递交起止时间：2021年</w:t>
      </w:r>
      <w:r>
        <w:rPr>
          <w:rFonts w:hint="eastAsia" w:cs="宋体"/>
          <w:color w:val="auto"/>
          <w:highlight w:val="none"/>
          <w:lang w:val="en-US" w:eastAsia="zh-CN"/>
        </w:rPr>
        <w:t>09</w:t>
      </w:r>
      <w:r>
        <w:rPr>
          <w:rFonts w:hint="eastAsia" w:ascii="宋体" w:hAnsi="宋体" w:eastAsia="宋体" w:cs="宋体"/>
          <w:color w:val="auto"/>
          <w:highlight w:val="none"/>
        </w:rPr>
        <w:t>月</w:t>
      </w:r>
      <w:r>
        <w:rPr>
          <w:rFonts w:hint="eastAsia" w:cs="宋体"/>
          <w:color w:val="auto"/>
          <w:highlight w:val="none"/>
          <w:lang w:val="en-US" w:eastAsia="zh-CN"/>
        </w:rPr>
        <w:t>02</w:t>
      </w:r>
      <w:r>
        <w:rPr>
          <w:rFonts w:hint="eastAsia" w:ascii="宋体" w:hAnsi="宋体" w:eastAsia="宋体" w:cs="宋体"/>
          <w:color w:val="auto"/>
          <w:highlight w:val="none"/>
        </w:rPr>
        <w:t>日1</w:t>
      </w:r>
      <w:r>
        <w:rPr>
          <w:rFonts w:hint="eastAsia" w:cs="宋体"/>
          <w:color w:val="auto"/>
          <w:highlight w:val="none"/>
          <w:lang w:val="en-US" w:eastAsia="zh-CN"/>
        </w:rPr>
        <w:t>0</w:t>
      </w:r>
      <w:r>
        <w:rPr>
          <w:rFonts w:hint="eastAsia" w:ascii="宋体" w:hAnsi="宋体" w:eastAsia="宋体" w:cs="宋体"/>
          <w:color w:val="auto"/>
          <w:highlight w:val="none"/>
        </w:rPr>
        <w:t>时00分至1</w:t>
      </w:r>
      <w:r>
        <w:rPr>
          <w:rFonts w:hint="eastAsia" w:cs="宋体"/>
          <w:color w:val="auto"/>
          <w:highlight w:val="none"/>
          <w:lang w:val="en-US" w:eastAsia="zh-CN"/>
        </w:rPr>
        <w:t>0</w:t>
      </w:r>
      <w:r>
        <w:rPr>
          <w:rFonts w:hint="eastAsia" w:ascii="宋体" w:hAnsi="宋体" w:eastAsia="宋体" w:cs="宋体"/>
          <w:color w:val="auto"/>
          <w:highlight w:val="none"/>
        </w:rPr>
        <w:t>时30分。</w:t>
      </w: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(二)投标文件递交地点：</w:t>
      </w:r>
      <w:r>
        <w:rPr>
          <w:rFonts w:hint="eastAsia" w:ascii="宋体" w:hAnsi="宋体" w:eastAsia="宋体" w:cs="宋体"/>
          <w:color w:val="auto"/>
          <w:highlight w:val="none"/>
          <w:lang w:val="zh-CN"/>
        </w:rPr>
        <w:t>成都市高新区吉庆三路333号蜀都中心二期一号楼一单元401号</w:t>
      </w:r>
      <w:r>
        <w:rPr>
          <w:rFonts w:hint="eastAsia" w:ascii="宋体" w:hAnsi="宋体" w:eastAsia="宋体" w:cs="宋体"/>
          <w:color w:val="auto"/>
          <w:highlight w:val="none"/>
        </w:rPr>
        <w:t>本项目开标室。</w:t>
      </w: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(三)投标文件必须在投标截止时间前送达开标地点，逾期送达的投标文件恕不接收，本次招标不接受邮寄的投标文件。</w:t>
      </w:r>
    </w:p>
    <w:p>
      <w:pPr>
        <w:pStyle w:val="30"/>
        <w:numPr>
          <w:ilvl w:val="0"/>
          <w:numId w:val="7"/>
        </w:numPr>
        <w:spacing w:line="420" w:lineRule="exa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提交投标文件截止时间及开标时间：</w:t>
      </w:r>
      <w:r>
        <w:rPr>
          <w:rFonts w:hint="eastAsia" w:ascii="宋体" w:hAnsi="宋体" w:eastAsia="宋体" w:cs="宋体"/>
          <w:color w:val="auto"/>
          <w:highlight w:val="none"/>
        </w:rPr>
        <w:t>2021年</w:t>
      </w:r>
      <w:r>
        <w:rPr>
          <w:rFonts w:hint="eastAsia" w:cs="宋体"/>
          <w:color w:val="auto"/>
          <w:highlight w:val="none"/>
          <w:lang w:val="en-US" w:eastAsia="zh-CN"/>
        </w:rPr>
        <w:t>09</w:t>
      </w:r>
      <w:r>
        <w:rPr>
          <w:rFonts w:hint="eastAsia" w:ascii="宋体" w:hAnsi="宋体" w:eastAsia="宋体" w:cs="宋体"/>
          <w:color w:val="auto"/>
          <w:highlight w:val="none"/>
        </w:rPr>
        <w:t>月</w:t>
      </w:r>
      <w:r>
        <w:rPr>
          <w:rFonts w:hint="eastAsia" w:cs="宋体"/>
          <w:color w:val="auto"/>
          <w:highlight w:val="none"/>
          <w:lang w:val="en-US" w:eastAsia="zh-CN"/>
        </w:rPr>
        <w:t>02</w:t>
      </w:r>
      <w:r>
        <w:rPr>
          <w:rFonts w:hint="eastAsia" w:ascii="宋体" w:hAnsi="宋体" w:eastAsia="宋体" w:cs="宋体"/>
          <w:color w:val="auto"/>
          <w:highlight w:val="none"/>
        </w:rPr>
        <w:t>日1</w:t>
      </w:r>
      <w:r>
        <w:rPr>
          <w:rFonts w:hint="eastAsia" w:cs="宋体"/>
          <w:color w:val="auto"/>
          <w:highlight w:val="none"/>
          <w:lang w:val="en-US" w:eastAsia="zh-CN"/>
        </w:rPr>
        <w:t>0</w:t>
      </w:r>
      <w:r>
        <w:rPr>
          <w:rFonts w:hint="eastAsia" w:ascii="宋体" w:hAnsi="宋体" w:eastAsia="宋体" w:cs="宋体"/>
          <w:color w:val="auto"/>
          <w:highlight w:val="none"/>
        </w:rPr>
        <w:t>时30分。</w:t>
      </w:r>
    </w:p>
    <w:p>
      <w:pPr>
        <w:pStyle w:val="30"/>
        <w:numPr>
          <w:ilvl w:val="0"/>
          <w:numId w:val="7"/>
        </w:numPr>
        <w:spacing w:line="420" w:lineRule="exa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开标地点：</w:t>
      </w:r>
      <w:r>
        <w:rPr>
          <w:rFonts w:hint="eastAsia" w:ascii="宋体" w:hAnsi="宋体" w:eastAsia="宋体" w:cs="宋体"/>
          <w:color w:val="auto"/>
          <w:highlight w:val="none"/>
          <w:lang w:val="zh-CN"/>
        </w:rPr>
        <w:t>成都市高新区吉庆三路333号蜀都中心二期一号楼一单元401号</w:t>
      </w:r>
      <w:r>
        <w:rPr>
          <w:rFonts w:hint="eastAsia" w:ascii="宋体" w:hAnsi="宋体" w:eastAsia="宋体" w:cs="宋体"/>
          <w:color w:val="auto"/>
          <w:highlight w:val="none"/>
        </w:rPr>
        <w:t>本项目开标室。</w:t>
      </w:r>
    </w:p>
    <w:p>
      <w:pPr>
        <w:pStyle w:val="30"/>
        <w:numPr>
          <w:ilvl w:val="0"/>
          <w:numId w:val="7"/>
        </w:numPr>
        <w:spacing w:line="420" w:lineRule="exa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采购信息发布媒体：</w:t>
      </w:r>
      <w:r>
        <w:rPr>
          <w:rFonts w:hint="eastAsia" w:ascii="宋体" w:hAnsi="宋体" w:eastAsia="宋体" w:cs="宋体"/>
          <w:color w:val="auto"/>
          <w:highlight w:val="none"/>
        </w:rPr>
        <w:t>“四川政府采购网”。</w:t>
      </w:r>
    </w:p>
    <w:p>
      <w:pPr>
        <w:pStyle w:val="30"/>
        <w:numPr>
          <w:ilvl w:val="0"/>
          <w:numId w:val="7"/>
        </w:numPr>
        <w:spacing w:line="420" w:lineRule="exa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供应商信用融资：</w:t>
      </w:r>
    </w:p>
    <w:p>
      <w:pPr>
        <w:pStyle w:val="34"/>
        <w:spacing w:line="420" w:lineRule="exact"/>
        <w:jc w:val="both"/>
        <w:rPr>
          <w:rFonts w:hint="eastAsia" w:ascii="宋体" w:hAnsi="宋体" w:eastAsia="宋体" w:cs="宋体"/>
          <w:color w:val="auto"/>
          <w:highlight w:val="none"/>
        </w:rPr>
      </w:pPr>
      <w:r>
        <w:rPr>
          <w:rFonts w:hint="eastAsia" w:ascii="宋体" w:hAnsi="宋体" w:eastAsia="宋体" w:cs="宋体"/>
          <w:color w:val="auto"/>
          <w:highlight w:val="none"/>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通知书向银行提出贷款意向申请，并按照相关规定要求和贷款流程申请信用融资贷款。</w:t>
      </w:r>
    </w:p>
    <w:p>
      <w:pPr>
        <w:pStyle w:val="30"/>
        <w:numPr>
          <w:ilvl w:val="0"/>
          <w:numId w:val="7"/>
        </w:numPr>
        <w:spacing w:line="420" w:lineRule="exa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对本次招标提出询问，请按以下方式联系：</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(一)采购人信息</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名    称：成都市技师学院</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地    址：成都市郫都区红光镇港通北三路1899号</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联 系 人：何倩  </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联系方式：028-64907283</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(二)采购代理机构信息</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名    称：四川乾新招投标代理有限公司</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地    址：</w:t>
      </w:r>
      <w:r>
        <w:rPr>
          <w:rFonts w:hint="eastAsia" w:ascii="宋体" w:hAnsi="宋体" w:eastAsia="宋体" w:cs="宋体"/>
          <w:color w:val="auto"/>
          <w:highlight w:val="none"/>
          <w:lang w:val="zh-CN"/>
        </w:rPr>
        <w:t>成都市高新区吉庆三路333号蜀都中心二期一号楼一单元401号</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联 系 人：王朝钢 </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val="zh-CN"/>
        </w:rPr>
        <w:t>联系电话：028-61375575、62600820、62630990转</w:t>
      </w:r>
      <w:r>
        <w:rPr>
          <w:rFonts w:hint="eastAsia" w:ascii="宋体" w:hAnsi="宋体" w:eastAsia="宋体" w:cs="宋体"/>
          <w:color w:val="auto"/>
          <w:highlight w:val="none"/>
        </w:rPr>
        <w:t>627</w:t>
      </w:r>
    </w:p>
    <w:p>
      <w:pPr>
        <w:pStyle w:val="30"/>
        <w:spacing w:line="460" w:lineRule="exact"/>
        <w:ind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传    真：</w:t>
      </w:r>
      <w:r>
        <w:rPr>
          <w:rFonts w:hint="eastAsia" w:ascii="宋体" w:hAnsi="宋体" w:eastAsia="宋体" w:cs="宋体"/>
          <w:color w:val="auto"/>
          <w:highlight w:val="none"/>
        </w:rPr>
        <w:t>028-</w:t>
      </w:r>
      <w:r>
        <w:rPr>
          <w:rFonts w:hint="eastAsia" w:ascii="宋体" w:hAnsi="宋体" w:eastAsia="宋体" w:cs="宋体"/>
          <w:color w:val="auto"/>
          <w:highlight w:val="none"/>
          <w:lang w:val="zh-CN"/>
        </w:rPr>
        <w:t>83381</w:t>
      </w:r>
      <w:r>
        <w:rPr>
          <w:rFonts w:hint="eastAsia" w:ascii="宋体" w:hAnsi="宋体" w:eastAsia="宋体" w:cs="宋体"/>
          <w:color w:val="auto"/>
          <w:highlight w:val="none"/>
        </w:rPr>
        <w:t>268</w:t>
      </w:r>
    </w:p>
    <w:p>
      <w:pPr>
        <w:pStyle w:val="30"/>
        <w:spacing w:line="460" w:lineRule="exact"/>
        <w:ind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电子邮件：</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"mailto:scqxzb@163.com"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lang w:val="zh-CN"/>
        </w:rPr>
        <w:t>scqxzb@163.com</w:t>
      </w:r>
      <w:r>
        <w:rPr>
          <w:rFonts w:hint="eastAsia" w:ascii="宋体" w:hAnsi="宋体" w:eastAsia="宋体" w:cs="宋体"/>
          <w:color w:val="auto"/>
          <w:highlight w:val="none"/>
          <w:lang w:val="zh-CN"/>
        </w:rPr>
        <w:fldChar w:fldCharType="end"/>
      </w:r>
    </w:p>
    <w:p>
      <w:pPr>
        <w:pStyle w:val="29"/>
        <w:spacing w:before="120" w:after="120"/>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14"/>
      <w:bookmarkEnd w:id="15"/>
      <w:bookmarkEnd w:id="16"/>
      <w:bookmarkEnd w:id="17"/>
      <w:bookmarkEnd w:id="18"/>
      <w:bookmarkStart w:id="20" w:name="_Toc30888"/>
      <w:bookmarkStart w:id="21" w:name="_Toc7416"/>
      <w:bookmarkStart w:id="22" w:name="_Toc25668"/>
      <w:bookmarkStart w:id="23" w:name="_Toc5195"/>
      <w:bookmarkStart w:id="24" w:name="_Toc2482"/>
      <w:r>
        <w:rPr>
          <w:rFonts w:hint="eastAsia" w:ascii="宋体" w:hAnsi="宋体" w:eastAsia="宋体" w:cs="宋体"/>
          <w:color w:val="auto"/>
          <w:highlight w:val="none"/>
        </w:rPr>
        <w:t>投标人须知</w:t>
      </w:r>
      <w:bookmarkEnd w:id="20"/>
      <w:bookmarkEnd w:id="21"/>
      <w:bookmarkEnd w:id="22"/>
      <w:bookmarkEnd w:id="23"/>
      <w:bookmarkEnd w:id="24"/>
    </w:p>
    <w:p>
      <w:pPr>
        <w:pStyle w:val="53"/>
        <w:spacing w:before="120" w:after="120"/>
        <w:rPr>
          <w:rFonts w:hint="eastAsia" w:ascii="宋体" w:hAnsi="宋体" w:eastAsia="宋体" w:cs="宋体"/>
          <w:color w:val="auto"/>
          <w:highlight w:val="none"/>
        </w:rPr>
      </w:pPr>
      <w:bookmarkStart w:id="25" w:name="_Toc31215"/>
      <w:bookmarkStart w:id="26" w:name="_Toc213396760"/>
      <w:bookmarkStart w:id="27" w:name="_Toc213496268"/>
      <w:bookmarkStart w:id="28" w:name="_Toc213397010"/>
      <w:bookmarkStart w:id="29" w:name="_Toc213396946"/>
      <w:bookmarkStart w:id="30" w:name="_Toc9677"/>
      <w:bookmarkStart w:id="31" w:name="_Toc189727030"/>
      <w:bookmarkStart w:id="32" w:name="_Toc217446032"/>
      <w:bookmarkStart w:id="33" w:name="_Toc14035"/>
      <w:bookmarkStart w:id="34" w:name="_Toc28824"/>
      <w:bookmarkStart w:id="35" w:name="_Toc327196261"/>
      <w:bookmarkStart w:id="36" w:name="_Toc6734"/>
      <w:r>
        <w:rPr>
          <w:rFonts w:hint="eastAsia" w:ascii="宋体" w:hAnsi="宋体" w:eastAsia="宋体" w:cs="宋体"/>
          <w:color w:val="auto"/>
          <w:highlight w:val="none"/>
        </w:rPr>
        <w:t>投标人须知前附表</w:t>
      </w:r>
      <w:bookmarkEnd w:id="25"/>
      <w:bookmarkEnd w:id="26"/>
      <w:bookmarkEnd w:id="27"/>
      <w:bookmarkEnd w:id="28"/>
      <w:bookmarkEnd w:id="29"/>
      <w:bookmarkEnd w:id="30"/>
      <w:bookmarkEnd w:id="31"/>
      <w:bookmarkEnd w:id="32"/>
      <w:bookmarkEnd w:id="33"/>
      <w:bookmarkEnd w:id="34"/>
      <w:bookmarkEnd w:id="35"/>
      <w:bookmarkEnd w:id="36"/>
    </w:p>
    <w:tbl>
      <w:tblPr>
        <w:tblStyle w:val="22"/>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2009"/>
        <w:gridCol w:w="7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70" w:type="dxa"/>
            <w:vAlign w:val="center"/>
          </w:tcPr>
          <w:p>
            <w:pPr>
              <w:pStyle w:val="55"/>
              <w:spacing w:line="320" w:lineRule="exact"/>
              <w:ind w:left="28" w:right="12" w:rightChars="5"/>
              <w:rPr>
                <w:rFonts w:hint="eastAsia" w:ascii="宋体" w:hAnsi="宋体" w:eastAsia="宋体" w:cs="宋体"/>
                <w:b/>
                <w:bCs/>
                <w:color w:val="auto"/>
                <w:szCs w:val="21"/>
                <w:highlight w:val="none"/>
                <w:lang w:val="zh-CN"/>
              </w:rPr>
            </w:pPr>
            <w:bookmarkStart w:id="37" w:name="_Toc327196262"/>
            <w:r>
              <w:rPr>
                <w:rFonts w:hint="eastAsia" w:ascii="宋体" w:hAnsi="宋体" w:eastAsia="宋体" w:cs="宋体"/>
                <w:b/>
                <w:bCs/>
                <w:color w:val="auto"/>
                <w:szCs w:val="21"/>
                <w:highlight w:val="none"/>
                <w:lang w:val="zh-CN"/>
              </w:rPr>
              <w:t>序号</w:t>
            </w:r>
          </w:p>
        </w:tc>
        <w:tc>
          <w:tcPr>
            <w:tcW w:w="2009" w:type="dxa"/>
            <w:vAlign w:val="center"/>
          </w:tcPr>
          <w:p>
            <w:pPr>
              <w:pStyle w:val="55"/>
              <w:spacing w:line="320" w:lineRule="exact"/>
              <w:ind w:left="28" w:right="12" w:rightChars="5"/>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rPr>
              <w:t>条款名称</w:t>
            </w:r>
            <w:r>
              <w:rPr>
                <w:rFonts w:hint="eastAsia" w:ascii="宋体" w:hAnsi="宋体" w:eastAsia="宋体" w:cs="宋体"/>
                <w:b/>
                <w:bCs/>
                <w:color w:val="auto"/>
                <w:szCs w:val="21"/>
                <w:highlight w:val="none"/>
                <w:lang w:val="zh-CN"/>
              </w:rPr>
              <w:t xml:space="preserve"> </w:t>
            </w:r>
          </w:p>
        </w:tc>
        <w:tc>
          <w:tcPr>
            <w:tcW w:w="7171" w:type="dxa"/>
            <w:vAlign w:val="center"/>
          </w:tcPr>
          <w:p>
            <w:pPr>
              <w:pStyle w:val="55"/>
              <w:spacing w:line="320" w:lineRule="exact"/>
              <w:ind w:left="28" w:right="12" w:rightChars="5"/>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ind w:left="24" w:leftChars="10" w:right="24" w:rightChars="10"/>
              <w:rPr>
                <w:rFonts w:hint="eastAsia" w:ascii="宋体" w:hAnsi="宋体" w:eastAsia="宋体" w:cs="宋体"/>
                <w:color w:val="auto"/>
                <w:highlight w:val="none"/>
              </w:rPr>
            </w:pPr>
            <w:r>
              <w:rPr>
                <w:rFonts w:hint="eastAsia" w:ascii="宋体" w:hAnsi="宋体" w:eastAsia="宋体" w:cs="宋体"/>
                <w:color w:val="auto"/>
                <w:highlight w:val="none"/>
              </w:rPr>
              <w:t>采购预算、报价要求</w:t>
            </w:r>
          </w:p>
          <w:p>
            <w:pPr>
              <w:pStyle w:val="55"/>
              <w:ind w:left="24" w:leftChars="10" w:right="24" w:rightChars="10"/>
              <w:rPr>
                <w:rFonts w:hint="eastAsia" w:ascii="宋体" w:hAnsi="宋体" w:eastAsia="宋体" w:cs="宋体"/>
                <w:color w:val="auto"/>
                <w:szCs w:val="21"/>
                <w:highlight w:val="none"/>
                <w:lang w:val="zh-CN"/>
              </w:rPr>
            </w:pPr>
            <w:r>
              <w:rPr>
                <w:rFonts w:hint="eastAsia" w:ascii="宋体" w:hAnsi="宋体" w:eastAsia="宋体" w:cs="宋体"/>
                <w:color w:val="auto"/>
                <w:highlight w:val="none"/>
              </w:rPr>
              <w:t>(实质性要求)</w:t>
            </w:r>
          </w:p>
        </w:tc>
        <w:tc>
          <w:tcPr>
            <w:tcW w:w="7171" w:type="dxa"/>
            <w:vAlign w:val="center"/>
          </w:tcPr>
          <w:p>
            <w:pPr>
              <w:pStyle w:val="52"/>
              <w:ind w:left="60" w:leftChars="25" w:right="60" w:rightChars="25"/>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zh-CN"/>
              </w:rPr>
              <w:t>本项目</w:t>
            </w:r>
            <w:r>
              <w:rPr>
                <w:rFonts w:hint="eastAsia" w:ascii="宋体" w:hAnsi="宋体" w:eastAsia="宋体" w:cs="宋体"/>
                <w:color w:val="auto"/>
                <w:highlight w:val="none"/>
              </w:rPr>
              <w:t>采购</w:t>
            </w:r>
            <w:r>
              <w:rPr>
                <w:rFonts w:hint="eastAsia" w:ascii="宋体" w:hAnsi="宋体" w:eastAsia="宋体" w:cs="宋体"/>
                <w:color w:val="auto"/>
                <w:highlight w:val="none"/>
                <w:lang w:val="zh-CN"/>
              </w:rPr>
              <w:t>预算为人民币</w:t>
            </w:r>
            <w:r>
              <w:rPr>
                <w:rFonts w:hint="eastAsia" w:ascii="宋体" w:hAnsi="宋体" w:eastAsia="宋体" w:cs="宋体"/>
                <w:color w:val="auto"/>
                <w:highlight w:val="none"/>
              </w:rPr>
              <w:t>750000</w:t>
            </w:r>
            <w:r>
              <w:rPr>
                <w:rFonts w:hint="eastAsia" w:ascii="宋体" w:hAnsi="宋体" w:eastAsia="宋体" w:cs="宋体"/>
                <w:color w:val="auto"/>
                <w:highlight w:val="none"/>
                <w:lang w:val="zh-CN"/>
              </w:rPr>
              <w:t>元。</w:t>
            </w:r>
          </w:p>
          <w:p>
            <w:pPr>
              <w:pStyle w:val="52"/>
              <w:ind w:left="60" w:leftChars="25" w:right="60" w:rightChars="25"/>
              <w:rPr>
                <w:rFonts w:hint="eastAsia" w:ascii="宋体" w:hAnsi="宋体" w:eastAsia="宋体" w:cs="宋体"/>
                <w:color w:val="auto"/>
                <w:szCs w:val="21"/>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zh-CN"/>
              </w:rPr>
              <w:t>本项目</w:t>
            </w:r>
            <w:r>
              <w:rPr>
                <w:rFonts w:hint="eastAsia" w:ascii="宋体" w:hAnsi="宋体" w:eastAsia="宋体" w:cs="宋体"/>
                <w:color w:val="auto"/>
                <w:highlight w:val="none"/>
              </w:rPr>
              <w:t>投标报价</w:t>
            </w:r>
            <w:r>
              <w:rPr>
                <w:rFonts w:hint="eastAsia" w:ascii="宋体" w:hAnsi="宋体" w:eastAsia="宋体" w:cs="宋体"/>
                <w:color w:val="auto"/>
                <w:highlight w:val="none"/>
                <w:lang w:val="zh-CN"/>
              </w:rPr>
              <w:t>不</w:t>
            </w:r>
            <w:r>
              <w:rPr>
                <w:rFonts w:hint="eastAsia" w:ascii="宋体" w:hAnsi="宋体" w:eastAsia="宋体" w:cs="宋体"/>
                <w:color w:val="auto"/>
                <w:highlight w:val="none"/>
              </w:rPr>
              <w:t>得</w:t>
            </w:r>
            <w:r>
              <w:rPr>
                <w:rFonts w:hint="eastAsia" w:ascii="宋体" w:hAnsi="宋体" w:eastAsia="宋体" w:cs="宋体"/>
                <w:color w:val="auto"/>
                <w:highlight w:val="none"/>
                <w:lang w:val="zh-CN"/>
              </w:rPr>
              <w:t>超过</w:t>
            </w:r>
            <w:r>
              <w:rPr>
                <w:rFonts w:hint="eastAsia" w:ascii="宋体" w:hAnsi="宋体" w:eastAsia="宋体" w:cs="宋体"/>
                <w:color w:val="auto"/>
                <w:highlight w:val="none"/>
              </w:rPr>
              <w:t>采购</w:t>
            </w:r>
            <w:r>
              <w:rPr>
                <w:rFonts w:hint="eastAsia" w:ascii="宋体" w:hAnsi="宋体" w:eastAsia="宋体" w:cs="宋体"/>
                <w:color w:val="auto"/>
                <w:highlight w:val="none"/>
                <w:lang w:val="zh-CN"/>
              </w:rPr>
              <w:t>预算，</w:t>
            </w:r>
            <w:r>
              <w:rPr>
                <w:rFonts w:hint="eastAsia" w:ascii="宋体" w:hAnsi="宋体" w:eastAsia="宋体" w:cs="宋体"/>
                <w:color w:val="auto"/>
                <w:highlight w:val="none"/>
              </w:rPr>
              <w:t>否则将被视为无效投标。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项目属性</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本项目属于货物类采购项目，不对其中涉及的服务的承接商是否享受中小企业扶持政策作出要求。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本项目所属行业</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本项目所属行业为工业。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定向采购</w:t>
            </w:r>
          </w:p>
        </w:tc>
        <w:tc>
          <w:tcPr>
            <w:tcW w:w="7171" w:type="dxa"/>
            <w:vAlign w:val="center"/>
          </w:tcPr>
          <w:p>
            <w:pPr>
              <w:pStyle w:val="52"/>
              <w:spacing w:line="320" w:lineRule="exact"/>
              <w:ind w:left="0"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本项目为</w:t>
            </w:r>
            <w:r>
              <w:rPr>
                <w:rFonts w:hint="eastAsia" w:ascii="宋体" w:hAnsi="宋体" w:eastAsia="宋体" w:cs="宋体"/>
                <w:color w:val="auto"/>
                <w:szCs w:val="21"/>
                <w:highlight w:val="none"/>
                <w:lang w:val="zh-CN"/>
              </w:rPr>
              <w:t>专门面向中小</w:t>
            </w:r>
            <w:r>
              <w:rPr>
                <w:rFonts w:hint="eastAsia" w:ascii="宋体" w:hAnsi="宋体" w:eastAsia="宋体" w:cs="宋体"/>
                <w:color w:val="auto"/>
                <w:szCs w:val="21"/>
                <w:highlight w:val="none"/>
              </w:rPr>
              <w:t>微</w:t>
            </w:r>
            <w:r>
              <w:rPr>
                <w:rFonts w:hint="eastAsia" w:ascii="宋体" w:hAnsi="宋体" w:eastAsia="宋体" w:cs="宋体"/>
                <w:color w:val="auto"/>
                <w:szCs w:val="21"/>
                <w:highlight w:val="none"/>
                <w:lang w:val="zh-CN"/>
              </w:rPr>
              <w:t>企业</w:t>
            </w:r>
            <w:r>
              <w:rPr>
                <w:rFonts w:hint="eastAsia" w:ascii="宋体" w:hAnsi="宋体" w:eastAsia="宋体" w:cs="宋体"/>
                <w:color w:val="auto"/>
                <w:szCs w:val="21"/>
                <w:highlight w:val="none"/>
              </w:rPr>
              <w:t>采购</w:t>
            </w:r>
            <w:r>
              <w:rPr>
                <w:rFonts w:hint="eastAsia" w:ascii="宋体" w:hAnsi="宋体" w:eastAsia="宋体" w:cs="宋体"/>
                <w:color w:val="auto"/>
                <w:szCs w:val="21"/>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是否允许进口产品</w:t>
            </w:r>
          </w:p>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w:t>
            </w:r>
            <w:r>
              <w:rPr>
                <w:rFonts w:hint="eastAsia" w:ascii="宋体" w:hAnsi="宋体" w:eastAsia="宋体" w:cs="宋体"/>
                <w:color w:val="auto"/>
                <w:highlight w:val="none"/>
              </w:rPr>
              <w:t>(实质性要求)</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本项目不允许进口产品投标，</w:t>
            </w:r>
            <w:r>
              <w:rPr>
                <w:rFonts w:hint="eastAsia" w:ascii="宋体" w:hAnsi="宋体" w:eastAsia="宋体" w:cs="宋体"/>
                <w:color w:val="auto"/>
                <w:szCs w:val="21"/>
                <w:highlight w:val="none"/>
                <w:lang w:val="zh-CN"/>
              </w:rPr>
              <w:t>根据《中华人民共和国政府采购法》第十条的规定，本项目采购本国</w:t>
            </w:r>
            <w:r>
              <w:rPr>
                <w:rFonts w:hint="eastAsia" w:ascii="宋体" w:hAnsi="宋体" w:eastAsia="宋体" w:cs="宋体"/>
                <w:color w:val="auto"/>
                <w:szCs w:val="21"/>
                <w:highlight w:val="none"/>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采购方式</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评标方法</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合同分包</w:t>
            </w:r>
          </w:p>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(实质性要求)</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本项目不允许供应商以合同分包形式进行投标。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联合体投标</w:t>
            </w:r>
          </w:p>
          <w:p>
            <w:pPr>
              <w:pStyle w:val="55"/>
              <w:spacing w:line="320" w:lineRule="exact"/>
              <w:ind w:left="28"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(实质性要求)</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p>
            <w:pPr>
              <w:pStyle w:val="55"/>
              <w:spacing w:line="320" w:lineRule="exact"/>
              <w:ind w:left="28"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(实质性要求)</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备选投标方案和报价</w:t>
            </w:r>
          </w:p>
          <w:p>
            <w:pPr>
              <w:pStyle w:val="55"/>
              <w:spacing w:line="320" w:lineRule="exact"/>
              <w:ind w:left="28"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(实质性要求)</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现场考察、标前</w:t>
            </w:r>
          </w:p>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答疑会</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采购代理机构可以视采购项目的具体情况，组织投标人进行现场考察或开标前答疑会，但不得单独或分别组织只有一个投标人参加的现场考察和答疑会。若组织答疑会和现场考察以采购代理机构通知为准。</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2.投标人考察现场所发生的一切费用由投标人自行承担。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投标保证金</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低于成本价不正当竞争预防措施</w:t>
            </w:r>
          </w:p>
          <w:p>
            <w:pPr>
              <w:pStyle w:val="55"/>
              <w:spacing w:line="320" w:lineRule="exact"/>
              <w:ind w:left="28"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(实质性要求)</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小微企业、监狱企业、残疾人福利性单位</w:t>
            </w:r>
            <w:r>
              <w:rPr>
                <w:rFonts w:hint="eastAsia" w:cs="宋体"/>
                <w:color w:val="auto"/>
                <w:szCs w:val="21"/>
                <w:highlight w:val="none"/>
                <w:lang w:val="en-US" w:eastAsia="zh-CN"/>
              </w:rPr>
              <w:t>扶持政策</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rPr>
            </w:pPr>
            <w:r>
              <w:rPr>
                <w:rFonts w:hint="eastAsia" w:cs="宋体"/>
                <w:b/>
                <w:bCs/>
                <w:color w:val="auto"/>
                <w:szCs w:val="21"/>
                <w:highlight w:val="none"/>
                <w:lang w:val="en-US" w:eastAsia="zh-CN"/>
              </w:rPr>
              <w:t>本项目为</w:t>
            </w:r>
            <w:r>
              <w:rPr>
                <w:rFonts w:hint="eastAsia" w:ascii="宋体" w:hAnsi="宋体" w:eastAsia="宋体" w:cs="宋体"/>
                <w:b/>
                <w:bCs/>
                <w:color w:val="auto"/>
                <w:szCs w:val="21"/>
                <w:highlight w:val="none"/>
              </w:rPr>
              <w:t>专门面向中小企业采购的项目，不再执行价格评审优惠的扶持政策。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品牌或者供应商</w:t>
            </w:r>
          </w:p>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(如涉及)</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若采购文件涉及品牌或者供应商，其目的是为了准确清楚说明采购项目的技术标准和要求，其意思表示为“参照或相当于”品牌或者供应商，其品牌或供应商具有可替代性。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节能产品、环境标志产品、无线局域网产品采购政策</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1.节能、环保产品政府采购政策：</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本项目采购的产品属于品目清单强制采购范围(节能产品政府采购品目清单中带“★”号产品)的，供应商应按上述要求提供产品认证证书复印件并加盖供应商单位公章，否则投标无效(实质性要求)。</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本项目采购的产品属于品目清单优先采购范围的，按照第七章《综合评分明细表》的规则进行加分。</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注：对政府采购节能产品、环境标志产品实施品目清单管理。财政部、发展改革委、生态环境部等部门确定实施政府优先采购和强制采购的产品类别，以品目清单的形式发布并适时调整。</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2.无线局域网产品政府采购政策：</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本项目采购的产品属于中国政府采购网公布的《无线局域网认证产品政府采购清单》的，按照第七章《综合评分明细表》的规则进行加分。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其他强制性规定</w:t>
            </w:r>
          </w:p>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(实质性要求)</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国家或行业主管部门对采购产品的技术标准、质量标准和资格资质条件等有强制性规定的，必须符合其要求。如涉及3C认证产品的3C认证证书在投标文件中提供3C证书复印件或强制性认证产品符合性声明函原件。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评</w:t>
            </w:r>
            <w:r>
              <w:rPr>
                <w:rFonts w:hint="eastAsia" w:ascii="宋体" w:hAnsi="宋体" w:eastAsia="宋体" w:cs="宋体"/>
                <w:color w:val="auto"/>
                <w:szCs w:val="21"/>
                <w:highlight w:val="none"/>
              </w:rPr>
              <w:t>审</w:t>
            </w:r>
            <w:r>
              <w:rPr>
                <w:rFonts w:hint="eastAsia" w:ascii="宋体" w:hAnsi="宋体" w:eastAsia="宋体" w:cs="宋体"/>
                <w:color w:val="auto"/>
                <w:szCs w:val="21"/>
                <w:highlight w:val="none"/>
                <w:lang w:val="zh-CN"/>
              </w:rPr>
              <w:t>情况的公告</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1.所有供应商投标文件资格性、符合性审查情况、采用综合评分法时的总得分和分项汇总得分情况、《中小企业声明函》(如涉及)、评审结果等将在“四川政府采购网”采购结果公告附件中予以公告。</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中标通知书领取</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采购代理机构在中标人确定后2个工作日内，在“四川政府采购网”发布中标公告，</w:t>
            </w:r>
            <w:r>
              <w:rPr>
                <w:rFonts w:hint="eastAsia" w:ascii="宋体" w:hAnsi="宋体" w:eastAsia="宋体" w:cs="宋体"/>
                <w:color w:val="auto"/>
                <w:szCs w:val="21"/>
                <w:highlight w:val="none"/>
              </w:rPr>
              <w:t>采购代理机构将中标通知书快递至中标人。</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联系人：</w:t>
            </w:r>
            <w:r>
              <w:rPr>
                <w:rFonts w:hint="eastAsia" w:ascii="宋体" w:hAnsi="宋体" w:eastAsia="宋体" w:cs="宋体"/>
                <w:color w:val="auto"/>
                <w:szCs w:val="21"/>
                <w:highlight w:val="none"/>
              </w:rPr>
              <w:t>张婵媛</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联系电话：028-61375575、62600820、62630990转601或602</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地址：</w:t>
            </w:r>
            <w:r>
              <w:rPr>
                <w:rFonts w:hint="eastAsia" w:ascii="宋体" w:hAnsi="宋体" w:eastAsia="宋体" w:cs="宋体"/>
                <w:color w:val="auto"/>
                <w:szCs w:val="21"/>
                <w:highlight w:val="none"/>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lang w:val="zh-CN"/>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w:t>
            </w:r>
            <w:r>
              <w:rPr>
                <w:rFonts w:hint="eastAsia" w:ascii="宋体" w:hAnsi="宋体" w:eastAsia="宋体" w:cs="宋体"/>
                <w:color w:val="auto"/>
                <w:szCs w:val="21"/>
                <w:highlight w:val="none"/>
                <w:lang w:val="zh-CN"/>
              </w:rPr>
              <w:t>代理服务费</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1.招标代理服务费以成本加合理利润为原则，以实际中标金额为计费基数，按照下列收费标准计算出收费基准价格后下浮20%收取。</w:t>
            </w:r>
          </w:p>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zh-CN"/>
              </w:rPr>
              <w:t>.代理服务费率标准和代理服务费计算方法</w:t>
            </w:r>
          </w:p>
          <w:tbl>
            <w:tblPr>
              <w:tblStyle w:val="22"/>
              <w:tblW w:w="5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90"/>
              <w:gridCol w:w="1180"/>
              <w:gridCol w:w="118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金额(万元)</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zh-CN"/>
                    </w:rPr>
                    <w:t>类型</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货物类</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服务类</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100以下</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1.5%</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1.5%</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100－500</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1.1%</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0.8%</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500－1000</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0.8%</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0.45%</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1000－5000</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0.5%</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0.25%</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5000－10000</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0.25%</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0.1%</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10000－100000</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0.05%</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0.05%</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1000000以上</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0.01%</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0.01%</w:t>
                  </w:r>
                </w:p>
              </w:tc>
              <w:tc>
                <w:tcPr>
                  <w:tcW w:w="1180" w:type="dxa"/>
                  <w:vAlign w:val="center"/>
                </w:tcPr>
                <w:p>
                  <w:pPr>
                    <w:pStyle w:val="52"/>
                    <w:spacing w:line="320" w:lineRule="exact"/>
                    <w:ind w:left="28" w:leftChars="0" w:right="12" w:rightChars="5"/>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0.01%</w:t>
                  </w:r>
                </w:p>
              </w:tc>
            </w:tr>
          </w:tbl>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注：</w:t>
            </w:r>
          </w:p>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(1)按本表费率计算的收费为代理服务全过程的收费基准价格。</w:t>
            </w:r>
          </w:p>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(2)采购代理机构下浮比例为20%。</w:t>
            </w:r>
          </w:p>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(3)代理服务收费按差额定率累进法计算。</w:t>
            </w:r>
          </w:p>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例如：某工程代理业务中标金额为6000万元，计算代理服务收费额如下：</w:t>
            </w:r>
          </w:p>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100万元×1.00%=1万元</w:t>
            </w:r>
          </w:p>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(500－100)万元×0.70%=2.8万元</w:t>
            </w:r>
          </w:p>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(1000－500)万元×0.55%=2.75万元</w:t>
            </w:r>
          </w:p>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(5000－1000)万元×0.35%=14万元</w:t>
            </w:r>
          </w:p>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(6000－5000)万元×0.20%=2万元</w:t>
            </w:r>
          </w:p>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最终代理服务=(1+2.8+2.75+14+2)*(1</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zh-CN"/>
              </w:rPr>
              <w:t>20%)=18.04(万元)</w:t>
            </w:r>
          </w:p>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zh-CN"/>
              </w:rPr>
              <w:t>.</w:t>
            </w:r>
            <w:r>
              <w:rPr>
                <w:rFonts w:hint="eastAsia" w:ascii="宋体" w:hAnsi="宋体" w:eastAsia="宋体" w:cs="宋体"/>
                <w:color w:val="auto"/>
                <w:szCs w:val="21"/>
                <w:highlight w:val="none"/>
              </w:rPr>
              <w:t>收取方式：中标</w:t>
            </w:r>
            <w:r>
              <w:rPr>
                <w:rFonts w:hint="eastAsia" w:ascii="宋体" w:hAnsi="宋体" w:eastAsia="宋体" w:cs="宋体"/>
                <w:color w:val="auto"/>
                <w:szCs w:val="21"/>
                <w:highlight w:val="none"/>
                <w:lang w:val="zh-CN"/>
              </w:rPr>
              <w:t>通知发出后二个工作日内由</w:t>
            </w:r>
            <w:r>
              <w:rPr>
                <w:rFonts w:hint="eastAsia" w:ascii="宋体" w:hAnsi="宋体" w:eastAsia="宋体" w:cs="宋体"/>
                <w:color w:val="auto"/>
                <w:szCs w:val="21"/>
                <w:highlight w:val="none"/>
              </w:rPr>
              <w:t>中标供应商</w:t>
            </w:r>
            <w:r>
              <w:rPr>
                <w:rFonts w:hint="eastAsia" w:ascii="宋体" w:hAnsi="宋体" w:eastAsia="宋体" w:cs="宋体"/>
                <w:color w:val="auto"/>
                <w:szCs w:val="21"/>
                <w:highlight w:val="none"/>
                <w:lang w:val="zh-CN"/>
              </w:rPr>
              <w:t>一次性支付</w:t>
            </w:r>
            <w:r>
              <w:rPr>
                <w:rFonts w:hint="eastAsia" w:ascii="宋体" w:hAnsi="宋体" w:eastAsia="宋体" w:cs="宋体"/>
                <w:color w:val="auto"/>
                <w:szCs w:val="21"/>
                <w:highlight w:val="none"/>
              </w:rPr>
              <w:t>至采购代理机构。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keepNext w:val="0"/>
              <w:keepLines w:val="0"/>
              <w:pageBreakBefore w:val="0"/>
              <w:widowControl w:val="0"/>
              <w:numPr>
                <w:ilvl w:val="0"/>
                <w:numId w:val="8"/>
              </w:numPr>
              <w:kinsoku/>
              <w:overflowPunct/>
              <w:autoSpaceDE/>
              <w:autoSpaceDN/>
              <w:bidi w:val="0"/>
              <w:adjustRightInd w:val="0"/>
              <w:snapToGrid w:val="0"/>
              <w:spacing w:line="320" w:lineRule="exact"/>
              <w:ind w:left="28" w:right="12" w:rightChars="5" w:firstLine="0" w:firstLineChars="0"/>
              <w:textAlignment w:val="auto"/>
              <w:rPr>
                <w:rFonts w:hint="eastAsia" w:ascii="宋体" w:hAnsi="宋体" w:eastAsia="宋体" w:cs="宋体"/>
                <w:color w:val="auto"/>
                <w:sz w:val="21"/>
                <w:szCs w:val="21"/>
                <w:highlight w:val="none"/>
              </w:rPr>
            </w:pPr>
          </w:p>
        </w:tc>
        <w:tc>
          <w:tcPr>
            <w:tcW w:w="2009" w:type="dxa"/>
            <w:vAlign w:val="center"/>
          </w:tcPr>
          <w:p>
            <w:pPr>
              <w:pStyle w:val="55"/>
              <w:keepNext w:val="0"/>
              <w:keepLines w:val="0"/>
              <w:pageBreakBefore w:val="0"/>
              <w:widowControl w:val="0"/>
              <w:kinsoku/>
              <w:overflowPunct/>
              <w:autoSpaceDE/>
              <w:autoSpaceDN/>
              <w:bidi w:val="0"/>
              <w:adjustRightInd w:val="0"/>
              <w:snapToGrid w:val="0"/>
              <w:spacing w:line="320" w:lineRule="exact"/>
              <w:ind w:left="28" w:right="12" w:rightChars="5"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履约保证金</w:t>
            </w:r>
          </w:p>
          <w:p>
            <w:pPr>
              <w:pStyle w:val="55"/>
              <w:keepNext w:val="0"/>
              <w:keepLines w:val="0"/>
              <w:pageBreakBefore w:val="0"/>
              <w:widowControl w:val="0"/>
              <w:kinsoku/>
              <w:overflowPunct/>
              <w:autoSpaceDE/>
              <w:autoSpaceDN/>
              <w:bidi w:val="0"/>
              <w:adjustRightInd w:val="0"/>
              <w:snapToGrid w:val="0"/>
              <w:spacing w:line="320" w:lineRule="exact"/>
              <w:ind w:left="28"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(实质性要求)</w:t>
            </w:r>
          </w:p>
        </w:tc>
        <w:tc>
          <w:tcPr>
            <w:tcW w:w="7171" w:type="dxa"/>
            <w:vAlign w:val="center"/>
          </w:tcPr>
          <w:p>
            <w:pPr>
              <w:pStyle w:val="10"/>
              <w:keepNext w:val="0"/>
              <w:keepLines w:val="0"/>
              <w:pageBreakBefore w:val="0"/>
              <w:widowControl w:val="0"/>
              <w:kinsoku/>
              <w:overflowPunct/>
              <w:autoSpaceDE/>
              <w:autoSpaceDN/>
              <w:bidi w:val="0"/>
              <w:adjustRightInd w:val="0"/>
              <w:snapToGrid w:val="0"/>
              <w:spacing w:line="320" w:lineRule="exact"/>
              <w:ind w:left="28"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1.本项目履约保证金为中标金额的</w:t>
            </w:r>
            <w:r>
              <w:rPr>
                <w:rFonts w:hint="eastAsia" w:ascii="宋体" w:hAnsi="宋体" w:eastAsia="宋体" w:cs="宋体"/>
                <w:color w:val="auto"/>
                <w:sz w:val="21"/>
                <w:szCs w:val="21"/>
                <w:highlight w:val="none"/>
                <w:lang w:val="en-US" w:eastAsia="zh-CN"/>
              </w:rPr>
              <w:t>百分之五</w:t>
            </w:r>
            <w:r>
              <w:rPr>
                <w:rFonts w:hint="eastAsia" w:ascii="宋体" w:hAnsi="宋体" w:eastAsia="宋体" w:cs="宋体"/>
                <w:color w:val="auto"/>
                <w:sz w:val="21"/>
                <w:szCs w:val="21"/>
                <w:highlight w:val="none"/>
              </w:rPr>
              <w:t>，供应商应在中标通知书发出之日起至合同签订前，以支票、汇票、本票或者金融机构出具的保函等非现金形式向采购人交纳规定金额的履约保证金，履行合同约定(含售后服务)完毕后,无质量问题和违约责任情况，供应商凭“验收报告单”、“收到退还履约保证金的收据”、“履约保证金退还申请”到采购人计财处办理，无息退还。采购人收到投标人提交的履约保证金退还申请等资料</w:t>
            </w:r>
            <w:r>
              <w:rPr>
                <w:rFonts w:hint="eastAsia" w:ascii="宋体" w:hAnsi="宋体" w:eastAsia="宋体" w:cs="宋体"/>
                <w:color w:val="auto"/>
                <w:sz w:val="21"/>
                <w:szCs w:val="21"/>
                <w:highlight w:val="none"/>
                <w:lang w:val="en-US" w:eastAsia="zh-CN"/>
              </w:rPr>
              <w:t>并经采购人审核后</w:t>
            </w:r>
            <w:r>
              <w:rPr>
                <w:rFonts w:hint="eastAsia" w:ascii="宋体" w:hAnsi="宋体" w:eastAsia="宋体" w:cs="宋体"/>
                <w:color w:val="auto"/>
                <w:sz w:val="21"/>
                <w:szCs w:val="21"/>
                <w:highlight w:val="none"/>
              </w:rPr>
              <w:t>，30个日历日内退还投标人应退部分履约保证金。因采购人原因逾期退还的，还应向投标人支付未退还金额万分之五/天的违约金</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违约金最高不得超多未退还金额的百分之</w:t>
            </w:r>
            <w:r>
              <w:rPr>
                <w:rFonts w:hint="eastAsia" w:ascii="宋体" w:hAnsi="宋体" w:eastAsia="宋体" w:cs="宋体"/>
                <w:color w:val="auto"/>
                <w:sz w:val="21"/>
                <w:szCs w:val="21"/>
                <w:highlight w:val="none"/>
                <w:lang w:val="en-US" w:eastAsia="zh-CN"/>
              </w:rPr>
              <w:t>二十</w:t>
            </w:r>
            <w:r>
              <w:rPr>
                <w:rFonts w:hint="eastAsia" w:ascii="宋体" w:hAnsi="宋体" w:eastAsia="宋体" w:cs="宋体"/>
                <w:color w:val="auto"/>
                <w:sz w:val="21"/>
                <w:szCs w:val="21"/>
                <w:highlight w:val="none"/>
              </w:rPr>
              <w:t>。</w:t>
            </w:r>
          </w:p>
          <w:p>
            <w:pPr>
              <w:pStyle w:val="52"/>
              <w:keepNext w:val="0"/>
              <w:keepLines w:val="0"/>
              <w:pageBreakBefore w:val="0"/>
              <w:widowControl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2.履约保证金汇入的银行及账号：</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收款账号：成都市技师学院</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开户行：工行成都红光支行</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银行账号：4402054609100031151</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3.如中标人未按时足额向采购人交纳履约保证金，采购人有权按照评审报告确定的中标候选人名单顺序，确定下一候选人为中标供应商，或重新开展政府采购活动。</w:t>
            </w:r>
          </w:p>
          <w:p>
            <w:pPr>
              <w:pStyle w:val="52"/>
              <w:keepNext w:val="0"/>
              <w:keepLines w:val="0"/>
              <w:pageBreakBefore w:val="0"/>
              <w:widowControl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4.履约保证金不予退还情形：一是投标人未按合同要求履行的，其履约保证金全部扣除。二是投标人缴纳了履约保证金，但因自身原因被取消中标资格或在中标通知书发出之日起30</w:t>
            </w:r>
            <w:r>
              <w:rPr>
                <w:rFonts w:hint="eastAsia" w:ascii="宋体" w:hAnsi="宋体" w:eastAsia="宋体" w:cs="宋体"/>
                <w:color w:val="auto"/>
                <w:sz w:val="21"/>
                <w:szCs w:val="21"/>
                <w:highlight w:val="none"/>
                <w:lang w:val="en-US" w:eastAsia="zh-CN"/>
              </w:rPr>
              <w:t>个</w:t>
            </w:r>
            <w:r>
              <w:rPr>
                <w:rFonts w:hint="eastAsia" w:ascii="宋体" w:hAnsi="宋体" w:eastAsia="宋体" w:cs="宋体"/>
                <w:color w:val="auto"/>
                <w:sz w:val="21"/>
                <w:szCs w:val="21"/>
                <w:highlight w:val="none"/>
              </w:rPr>
              <w:t>日历天(含法定节假日)内投标人不按招标文件确定的事项与采购人签订合同的，其履约保证金不予退还；三是法律法规或合同约定的其他情形。</w:t>
            </w:r>
            <w:r>
              <w:rPr>
                <w:rFonts w:hint="eastAsia" w:ascii="宋体" w:hAnsi="宋体" w:eastAsia="宋体" w:cs="宋体"/>
                <w:color w:val="auto"/>
                <w:sz w:val="21"/>
                <w:szCs w:val="21"/>
                <w:highlight w:val="none"/>
                <w:lang w:val="zh-CN"/>
              </w:rPr>
              <w:t>履约保证金不予退还的，将按照有关规定上缴国库。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政府采购供应商信用融资</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通知书向银行提出贷款意向申请。</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3.“政采贷”政策咨询电话：</w:t>
            </w:r>
            <w:r>
              <w:rPr>
                <w:rFonts w:hint="eastAsia" w:ascii="宋体" w:hAnsi="宋体" w:eastAsia="宋体" w:cs="宋体"/>
                <w:color w:val="auto"/>
                <w:szCs w:val="21"/>
                <w:highlight w:val="none"/>
                <w:lang w:val="zh-CN"/>
              </w:rPr>
              <w:t>028-61375575转6</w:t>
            </w:r>
            <w:r>
              <w:rPr>
                <w:rFonts w:hint="eastAsia" w:ascii="宋体" w:hAnsi="宋体" w:eastAsia="宋体" w:cs="宋体"/>
                <w:color w:val="auto"/>
                <w:szCs w:val="21"/>
                <w:highlight w:val="none"/>
              </w:rPr>
              <w:t>08。</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注：相关政策文件详见本招标文件附件内容。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政府采购合同公告</w:t>
            </w:r>
          </w:p>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备案</w:t>
            </w:r>
          </w:p>
        </w:tc>
        <w:tc>
          <w:tcPr>
            <w:tcW w:w="7171" w:type="dxa"/>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政府采购合同签订之日起2个工作日内，政府采购合同将在“四川政府采购网”公告；政府采购合同签订之日起七个工作日内，政府采购合同将向本采购项目同级财政部门</w:t>
            </w:r>
            <w:r>
              <w:rPr>
                <w:rFonts w:hint="eastAsia" w:ascii="宋体" w:hAnsi="宋体" w:eastAsia="宋体" w:cs="宋体"/>
                <w:color w:val="auto"/>
                <w:szCs w:val="21"/>
                <w:highlight w:val="none"/>
                <w:lang w:val="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供应商询问</w:t>
            </w:r>
          </w:p>
        </w:tc>
        <w:tc>
          <w:tcPr>
            <w:tcW w:w="7171" w:type="dxa"/>
          </w:tcPr>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1.根据委托代理协议约定，采购人负责对采购文件技术参数部分的询问答复，四川乾新招投标代理有限公司负责采购文件技术参数部分以外的询问答复。</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2.询问内容不得涉及评审秘密、国家机密和商业秘密等保密内容。</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联系人：</w:t>
            </w:r>
            <w:r>
              <w:rPr>
                <w:rFonts w:hint="eastAsia" w:ascii="宋体" w:hAnsi="宋体" w:eastAsia="宋体" w:cs="宋体"/>
                <w:color w:val="auto"/>
                <w:szCs w:val="21"/>
                <w:highlight w:val="none"/>
              </w:rPr>
              <w:t>王朝钢</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联系电话：</w:t>
            </w:r>
            <w:r>
              <w:rPr>
                <w:rFonts w:hint="eastAsia" w:ascii="宋体" w:hAnsi="宋体" w:eastAsia="宋体" w:cs="宋体"/>
                <w:color w:val="auto"/>
                <w:szCs w:val="21"/>
                <w:highlight w:val="none"/>
              </w:rPr>
              <w:t>028-61375575、62600820、62630990转636</w:t>
            </w:r>
          </w:p>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地址：成都市高新区吉庆三路333号蜀都中心二期一号楼一单元401号</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邮编：610041</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询问提出的范围及主体：①采购文件及采购信息公告环节：依法获取采购文件的潜在供应商可以对采购文件及采购信息公告的内容向四川乾新招投标代理有限公司或采购人提出询问，仅对采购信息公告内容提出询问的，不限制询问主体。②采购过程、采购结果环节：参与采购活动的供应商可以对采购过程、采购结果相关问题向四川乾新招投标代理有限公司提出询问，未参与采购活动的供应商不得对此环节提出询问。③询问提出的时间原则上以政府采购活动中有效质疑的时间计算为准。</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供应商质疑</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1.根据委托代理协议约定，对于采购文件(招标文件技术条款和除政府采购法第二十二条之外的其他资格条件、专业商务要求)的质疑由采购人负责答复；对于采购过程或采购结果由四川乾新招投标代理有限公司负责答复。</w:t>
            </w:r>
            <w:r>
              <w:rPr>
                <w:rFonts w:hint="eastAsia" w:ascii="宋体" w:hAnsi="宋体" w:eastAsia="宋体" w:cs="宋体"/>
                <w:color w:val="auto"/>
                <w:szCs w:val="21"/>
                <w:highlight w:val="none"/>
              </w:rPr>
              <w:br w:type="textWrapping"/>
            </w:r>
            <w:r>
              <w:rPr>
                <w:rFonts w:hint="eastAsia" w:ascii="宋体" w:hAnsi="宋体" w:eastAsia="宋体" w:cs="宋体"/>
                <w:color w:val="auto"/>
                <w:szCs w:val="21"/>
                <w:highlight w:val="none"/>
              </w:rPr>
              <w:t>2.供应商提出质疑应当坚持依法依规、诚实信用原则；不得超出采购文件、采购过程、采购结果的范围，不得进行虚假、恶意质疑，不得以质疑为手段获取不当得利、实现非法目的。</w:t>
            </w:r>
            <w:r>
              <w:rPr>
                <w:rFonts w:hint="eastAsia" w:ascii="宋体" w:hAnsi="宋体" w:eastAsia="宋体" w:cs="宋体"/>
                <w:color w:val="auto"/>
                <w:szCs w:val="21"/>
                <w:highlight w:val="none"/>
              </w:rPr>
              <w:br w:type="textWrapping"/>
            </w:r>
            <w:r>
              <w:rPr>
                <w:rFonts w:hint="eastAsia" w:ascii="宋体" w:hAnsi="宋体" w:eastAsia="宋体" w:cs="宋体"/>
                <w:color w:val="auto"/>
                <w:szCs w:val="21"/>
                <w:highlight w:val="none"/>
              </w:rPr>
              <w:t>3.提出质疑函的时限要求：供应商认为采购文件、采购过程、中标使其权益受到损害的，可以在知道或者应知其权益受到损害之日起7个工作日内，以书面形式向采购人、采购代理机构提出质疑。</w:t>
            </w:r>
            <w:r>
              <w:rPr>
                <w:rFonts w:hint="eastAsia" w:ascii="宋体" w:hAnsi="宋体" w:eastAsia="宋体" w:cs="宋体"/>
                <w:color w:val="auto"/>
                <w:szCs w:val="21"/>
                <w:highlight w:val="none"/>
              </w:rPr>
              <w:br w:type="textWrapping"/>
            </w:r>
            <w:r>
              <w:rPr>
                <w:rFonts w:hint="eastAsia" w:ascii="宋体" w:hAnsi="宋体" w:eastAsia="宋体" w:cs="宋体"/>
                <w:color w:val="auto"/>
                <w:szCs w:val="21"/>
                <w:highlight w:val="none"/>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联系人：滕德伟</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联系部门：质量控制部</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联系电话：028-61375575、62600820、62630990转656</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通讯地址：</w:t>
            </w:r>
            <w:r>
              <w:rPr>
                <w:rFonts w:hint="eastAsia" w:ascii="宋体" w:hAnsi="宋体" w:eastAsia="宋体" w:cs="宋体"/>
                <w:color w:val="auto"/>
                <w:szCs w:val="21"/>
                <w:highlight w:val="none"/>
                <w:lang w:val="zh-CN"/>
              </w:rPr>
              <w:t>成都市高新区吉庆三路333号蜀都中心二期一号楼一单元401号</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邮编：610041</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注：①根据《中华人民共和国政府采购法》等法律法规规定，供应商质疑应当有明确的请求和必要的证明材料，须符合《政府采购质疑和投诉办法》(财政部第94号令)规定，并使用财政部下发《质疑函》范本。</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明确的请求是指：供应商对采购文件还是对采购过程还是对中标结果提出质疑；想要达到的结果，如中标无效、废标、重新组织采购、赔偿、追究法律责任等；</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必要的证明材料是指：包含供应商的营业执照、授权委托书(法定代表人质疑时无需提供)、委托代理人身份证明、参加采购项目的证明、权益受到损害的证明材料、证明提出质疑的事实存在的材料等。</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供应商投诉</w:t>
            </w:r>
          </w:p>
        </w:tc>
        <w:tc>
          <w:tcPr>
            <w:tcW w:w="7171" w:type="dxa"/>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投诉受理单位：成都市财政局</w:t>
            </w:r>
          </w:p>
          <w:p>
            <w:pPr>
              <w:pStyle w:val="52"/>
              <w:spacing w:line="320" w:lineRule="exact"/>
              <w:ind w:left="28" w:leftChars="0" w:right="12" w:rightChars="5"/>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联系电话：028-61882648</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地址：四川省成都市锦城大道366号</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邮编：610041 </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服务质量投诉电话</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联系人：滕德伟</w:t>
            </w:r>
          </w:p>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联系电话：028-61375575、62600820、62630990转656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声明承诺提醒</w:t>
            </w:r>
          </w:p>
        </w:tc>
        <w:tc>
          <w:tcPr>
            <w:tcW w:w="7171" w:type="dxa"/>
            <w:vAlign w:val="center"/>
          </w:tcPr>
          <w:p>
            <w:pPr>
              <w:pStyle w:val="55"/>
              <w:spacing w:line="320" w:lineRule="exact"/>
              <w:ind w:left="28" w:right="12" w:rightChars="5"/>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投标人的投标</w:t>
            </w:r>
            <w:r>
              <w:rPr>
                <w:rFonts w:hint="eastAsia" w:ascii="宋体" w:hAnsi="宋体" w:eastAsia="宋体" w:cs="宋体"/>
                <w:color w:val="auto"/>
                <w:szCs w:val="21"/>
                <w:highlight w:val="none"/>
                <w:lang w:val="zh-CN"/>
              </w:rPr>
              <w:t>文件中提供的各种声明和承诺应当真实有效，无效声明和承诺、虚假声明和承诺将由</w:t>
            </w:r>
            <w:r>
              <w:rPr>
                <w:rFonts w:hint="eastAsia" w:ascii="宋体" w:hAnsi="宋体" w:eastAsia="宋体" w:cs="宋体"/>
                <w:color w:val="auto"/>
                <w:szCs w:val="21"/>
                <w:highlight w:val="none"/>
              </w:rPr>
              <w:t>投标人自行</w:t>
            </w:r>
            <w:r>
              <w:rPr>
                <w:rFonts w:hint="eastAsia" w:ascii="宋体" w:hAnsi="宋体" w:eastAsia="宋体" w:cs="宋体"/>
                <w:color w:val="auto"/>
                <w:szCs w:val="21"/>
                <w:highlight w:val="none"/>
                <w:lang w:val="zh-CN"/>
              </w:rPr>
              <w:t>承担由此带来的</w:t>
            </w:r>
            <w:r>
              <w:rPr>
                <w:rFonts w:hint="eastAsia" w:ascii="宋体" w:hAnsi="宋体" w:eastAsia="宋体" w:cs="宋体"/>
                <w:color w:val="auto"/>
                <w:szCs w:val="21"/>
                <w:highlight w:val="none"/>
              </w:rPr>
              <w:t>一切</w:t>
            </w:r>
            <w:r>
              <w:rPr>
                <w:rFonts w:hint="eastAsia" w:ascii="宋体" w:hAnsi="宋体" w:eastAsia="宋体" w:cs="宋体"/>
                <w:color w:val="auto"/>
                <w:szCs w:val="21"/>
                <w:highlight w:val="none"/>
                <w:lang w:val="zh-CN"/>
              </w:rPr>
              <w:t>不利后果，</w:t>
            </w:r>
            <w:r>
              <w:rPr>
                <w:rFonts w:hint="eastAsia" w:ascii="宋体" w:hAnsi="宋体" w:eastAsia="宋体" w:cs="宋体"/>
                <w:color w:val="auto"/>
                <w:szCs w:val="21"/>
                <w:highlight w:val="none"/>
              </w:rPr>
              <w:t>采购代理机构</w:t>
            </w:r>
            <w:r>
              <w:rPr>
                <w:rFonts w:hint="eastAsia" w:ascii="宋体" w:hAnsi="宋体" w:eastAsia="宋体" w:cs="宋体"/>
                <w:color w:val="auto"/>
                <w:szCs w:val="21"/>
                <w:highlight w:val="none"/>
                <w:lang w:val="zh-CN"/>
              </w:rPr>
              <w:t>还将报告监管部门追究</w:t>
            </w:r>
            <w:r>
              <w:rPr>
                <w:rFonts w:hint="eastAsia" w:ascii="宋体" w:hAnsi="宋体" w:eastAsia="宋体" w:cs="宋体"/>
                <w:color w:val="auto"/>
                <w:szCs w:val="21"/>
                <w:highlight w:val="none"/>
              </w:rPr>
              <w:t>其</w:t>
            </w:r>
            <w:r>
              <w:rPr>
                <w:rFonts w:hint="eastAsia" w:ascii="宋体" w:hAnsi="宋体" w:eastAsia="宋体" w:cs="宋体"/>
                <w:color w:val="auto"/>
                <w:szCs w:val="21"/>
                <w:highlight w:val="none"/>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55"/>
              <w:numPr>
                <w:ilvl w:val="0"/>
                <w:numId w:val="8"/>
              </w:numPr>
              <w:spacing w:line="320" w:lineRule="exact"/>
              <w:ind w:left="28" w:right="12" w:rightChars="5"/>
              <w:rPr>
                <w:rFonts w:hint="eastAsia" w:ascii="宋体" w:hAnsi="宋体" w:eastAsia="宋体" w:cs="宋体"/>
                <w:color w:val="auto"/>
                <w:szCs w:val="21"/>
                <w:highlight w:val="none"/>
              </w:rPr>
            </w:pPr>
          </w:p>
        </w:tc>
        <w:tc>
          <w:tcPr>
            <w:tcW w:w="2009" w:type="dxa"/>
            <w:vAlign w:val="center"/>
          </w:tcPr>
          <w:p>
            <w:pPr>
              <w:pStyle w:val="55"/>
              <w:spacing w:line="320" w:lineRule="exact"/>
              <w:ind w:left="28"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c>
          <w:tcPr>
            <w:tcW w:w="7171" w:type="dxa"/>
            <w:vAlign w:val="center"/>
          </w:tcPr>
          <w:p>
            <w:pPr>
              <w:pStyle w:val="52"/>
              <w:spacing w:line="320" w:lineRule="exact"/>
              <w:ind w:left="28" w:leftChars="0" w:right="12" w:rightChars="5"/>
              <w:rPr>
                <w:rFonts w:hint="eastAsia" w:ascii="宋体" w:hAnsi="宋体" w:eastAsia="宋体" w:cs="宋体"/>
                <w:color w:val="auto"/>
                <w:szCs w:val="21"/>
                <w:highlight w:val="none"/>
              </w:rPr>
            </w:pPr>
            <w:r>
              <w:rPr>
                <w:rFonts w:hint="eastAsia" w:ascii="宋体" w:hAnsi="宋体" w:eastAsia="宋体" w:cs="宋体"/>
                <w:color w:val="auto"/>
                <w:szCs w:val="21"/>
                <w:highlight w:val="none"/>
              </w:rPr>
              <w:t>若招标文件中其他内容与投标人须知前附表内容不一致的，以投标人须知前附表为准。</w:t>
            </w:r>
          </w:p>
        </w:tc>
      </w:tr>
    </w:tbl>
    <w:p>
      <w:pPr>
        <w:pStyle w:val="53"/>
        <w:spacing w:before="120" w:after="120"/>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38" w:name="_Toc26593"/>
      <w:bookmarkStart w:id="39" w:name="_Toc25032"/>
      <w:bookmarkStart w:id="40" w:name="_Toc23295"/>
      <w:bookmarkStart w:id="41" w:name="_Toc2042"/>
      <w:bookmarkStart w:id="42" w:name="_Toc4011"/>
      <w:r>
        <w:rPr>
          <w:rFonts w:hint="eastAsia" w:ascii="宋体" w:hAnsi="宋体" w:eastAsia="宋体" w:cs="宋体"/>
          <w:color w:val="auto"/>
          <w:highlight w:val="none"/>
        </w:rPr>
        <w:t>总 则</w:t>
      </w:r>
      <w:bookmarkEnd w:id="37"/>
      <w:bookmarkEnd w:id="38"/>
      <w:bookmarkEnd w:id="39"/>
      <w:bookmarkEnd w:id="40"/>
      <w:bookmarkEnd w:id="41"/>
      <w:bookmarkEnd w:id="42"/>
    </w:p>
    <w:p>
      <w:pPr>
        <w:pStyle w:val="32"/>
        <w:ind w:firstLine="482"/>
        <w:rPr>
          <w:rFonts w:hint="eastAsia" w:ascii="宋体" w:hAnsi="宋体" w:eastAsia="宋体" w:cs="宋体"/>
          <w:color w:val="auto"/>
          <w:highlight w:val="none"/>
        </w:rPr>
      </w:pPr>
      <w:bookmarkStart w:id="43" w:name="_Toc307501086"/>
      <w:bookmarkStart w:id="44" w:name="_Toc308084574"/>
      <w:bookmarkStart w:id="45" w:name="_Toc29532"/>
      <w:bookmarkStart w:id="46" w:name="_Toc20769"/>
      <w:bookmarkStart w:id="47" w:name="_Toc5790"/>
      <w:bookmarkStart w:id="48" w:name="_Toc309897492"/>
      <w:bookmarkStart w:id="49" w:name="_Toc217446034"/>
      <w:bookmarkStart w:id="50" w:name="_Toc307564829"/>
      <w:bookmarkStart w:id="51" w:name="_Toc319440119"/>
      <w:bookmarkStart w:id="52" w:name="_Toc3601"/>
      <w:bookmarkStart w:id="53" w:name="_Toc12046"/>
      <w:bookmarkStart w:id="54" w:name="_Toc327196263"/>
      <w:bookmarkStart w:id="55" w:name="_Toc31870"/>
      <w:bookmarkStart w:id="56" w:name="_Toc32483"/>
      <w:bookmarkStart w:id="57" w:name="_Toc319439877"/>
      <w:bookmarkStart w:id="58" w:name="_Toc308188129"/>
      <w:bookmarkStart w:id="59" w:name="_Toc32648"/>
      <w:bookmarkStart w:id="60" w:name="_Toc28450"/>
      <w:bookmarkStart w:id="61" w:name="_Toc5576"/>
      <w:bookmarkStart w:id="62" w:name="_Toc23796"/>
      <w:bookmarkStart w:id="63" w:name="_Toc10311"/>
      <w:r>
        <w:rPr>
          <w:rFonts w:hint="eastAsia" w:ascii="宋体" w:hAnsi="宋体" w:eastAsia="宋体" w:cs="宋体"/>
          <w:color w:val="auto"/>
          <w:highlight w:val="none"/>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46"/>
        <w:numPr>
          <w:ilvl w:val="2"/>
          <w:numId w:val="0"/>
        </w:numPr>
        <w:ind w:left="480" w:leftChars="200"/>
        <w:rPr>
          <w:rFonts w:hint="eastAsia" w:ascii="宋体" w:hAnsi="宋体" w:eastAsia="宋体" w:cs="宋体"/>
          <w:color w:val="auto"/>
          <w:highlight w:val="none"/>
        </w:rPr>
      </w:pPr>
      <w:r>
        <w:rPr>
          <w:rFonts w:hint="eastAsia" w:ascii="宋体" w:hAnsi="宋体" w:eastAsia="宋体" w:cs="宋体"/>
          <w:color w:val="auto"/>
          <w:highlight w:val="none"/>
        </w:rPr>
        <w:t>本招标文件仅适用于本次公开招标采购项目。</w:t>
      </w:r>
    </w:p>
    <w:p>
      <w:pPr>
        <w:pStyle w:val="32"/>
        <w:ind w:firstLine="482"/>
        <w:rPr>
          <w:rFonts w:hint="eastAsia" w:ascii="宋体" w:hAnsi="宋体" w:eastAsia="宋体" w:cs="宋体"/>
          <w:color w:val="auto"/>
          <w:highlight w:val="none"/>
        </w:rPr>
      </w:pPr>
      <w:bookmarkStart w:id="64" w:name="_Toc16858"/>
      <w:bookmarkStart w:id="65" w:name="_Toc7942"/>
      <w:bookmarkStart w:id="66" w:name="_Toc307501087"/>
      <w:bookmarkStart w:id="67" w:name="_Toc24751"/>
      <w:bookmarkStart w:id="68" w:name="_Toc319440120"/>
      <w:bookmarkStart w:id="69" w:name="_Toc327196264"/>
      <w:bookmarkStart w:id="70" w:name="_Toc12194"/>
      <w:bookmarkStart w:id="71" w:name="_Toc156"/>
      <w:bookmarkStart w:id="72" w:name="_Toc24985"/>
      <w:bookmarkStart w:id="73" w:name="_Toc319439878"/>
      <w:bookmarkStart w:id="74" w:name="_Toc2775"/>
      <w:bookmarkStart w:id="75" w:name="_Toc308084575"/>
      <w:bookmarkStart w:id="76" w:name="_Toc21924"/>
      <w:bookmarkStart w:id="77" w:name="_Toc307564830"/>
      <w:bookmarkStart w:id="78" w:name="_Toc309897493"/>
      <w:bookmarkStart w:id="79" w:name="_Toc19069"/>
      <w:bookmarkStart w:id="80" w:name="_Toc13022"/>
      <w:bookmarkStart w:id="81" w:name="_Toc217446035"/>
      <w:bookmarkStart w:id="82" w:name="_Toc19670"/>
      <w:bookmarkStart w:id="83" w:name="_Toc524"/>
      <w:bookmarkStart w:id="84" w:name="_Toc308188130"/>
      <w:r>
        <w:rPr>
          <w:rFonts w:hint="eastAsia" w:ascii="宋体" w:hAnsi="宋体" w:eastAsia="宋体" w:cs="宋体"/>
          <w:color w:val="auto"/>
          <w:highlight w:val="none"/>
        </w:rPr>
        <w:t>有关定义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“采购人”系指依法进行政府采购的国家机关、事业单位、团体组织。本次招标的采购人是成都市技师学院。</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“采购代理机构”系指根据采购人的委托依法办理招标事宜的采购机构。本次招标的采购代理机构是四川乾新招投标代理有限公司。</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“招标采购单位”系指“采购人”和“采购代理机构”的统称。</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“投标人”系指购买了招标文件拟参加投标和向采购人提供货物及相应服务的供应商。</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本招标文件各部分规定的期间以时、日、月、年计算。期间开始的时和日，不计算在期间内，而从次日开始计算。期间届满的最后一天是节假日的，以节假日后的第一日为期间届满的日期。</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本招标文件各部分规定的时间均以北京时间为准。</w:t>
      </w:r>
    </w:p>
    <w:p>
      <w:pPr>
        <w:pStyle w:val="32"/>
        <w:ind w:firstLine="482"/>
        <w:rPr>
          <w:rFonts w:hint="eastAsia" w:ascii="宋体" w:hAnsi="宋体" w:eastAsia="宋体" w:cs="宋体"/>
          <w:color w:val="auto"/>
          <w:highlight w:val="none"/>
        </w:rPr>
      </w:pPr>
      <w:bookmarkStart w:id="85" w:name="_Toc183682344"/>
      <w:bookmarkStart w:id="86" w:name="_Toc23383"/>
      <w:bookmarkStart w:id="87" w:name="_Toc308084576"/>
      <w:bookmarkStart w:id="88" w:name="_Toc3060"/>
      <w:bookmarkStart w:id="89" w:name="_Toc22174"/>
      <w:bookmarkStart w:id="90" w:name="_Toc307564831"/>
      <w:bookmarkStart w:id="91" w:name="_Toc26508"/>
      <w:bookmarkStart w:id="92" w:name="_Toc7511"/>
      <w:bookmarkStart w:id="93" w:name="_Toc327196265"/>
      <w:bookmarkStart w:id="94" w:name="_Toc319439879"/>
      <w:bookmarkStart w:id="95" w:name="_Toc217390843"/>
      <w:bookmarkStart w:id="96" w:name="_Toc183582207"/>
      <w:bookmarkStart w:id="97" w:name="_Toc217446036"/>
      <w:bookmarkStart w:id="98" w:name="_Toc24547"/>
      <w:bookmarkStart w:id="99" w:name="_Toc309897494"/>
      <w:bookmarkStart w:id="100" w:name="_Toc29784"/>
      <w:bookmarkStart w:id="101" w:name="_Toc308188131"/>
      <w:bookmarkStart w:id="102" w:name="_Toc30244"/>
      <w:bookmarkStart w:id="103" w:name="_Toc319440121"/>
      <w:bookmarkStart w:id="104" w:name="_Toc307501088"/>
      <w:bookmarkStart w:id="105" w:name="_Toc4501"/>
      <w:bookmarkStart w:id="106" w:name="_Toc30689"/>
      <w:bookmarkStart w:id="107" w:name="_Toc31295"/>
      <w:bookmarkStart w:id="108" w:name="_Toc1897"/>
      <w:r>
        <w:rPr>
          <w:rFonts w:hint="eastAsia" w:ascii="宋体" w:hAnsi="宋体" w:eastAsia="宋体" w:cs="宋体"/>
          <w:color w:val="auto"/>
          <w:highlight w:val="none"/>
        </w:rPr>
        <w:t>合格的投标人</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ascii="宋体" w:hAnsi="宋体" w:eastAsia="宋体" w:cs="宋体"/>
          <w:color w:val="auto"/>
          <w:highlight w:val="none"/>
        </w:rPr>
        <w:t>(实质性要求)</w:t>
      </w:r>
      <w:bookmarkEnd w:id="105"/>
      <w:bookmarkEnd w:id="106"/>
      <w:bookmarkEnd w:id="107"/>
      <w:bookmarkEnd w:id="108"/>
    </w:p>
    <w:p>
      <w:pPr>
        <w:pStyle w:val="34"/>
        <w:rPr>
          <w:rFonts w:hint="eastAsia" w:ascii="宋体" w:hAnsi="宋体" w:eastAsia="宋体" w:cs="宋体"/>
          <w:color w:val="auto"/>
          <w:highlight w:val="none"/>
        </w:rPr>
      </w:pPr>
      <w:r>
        <w:rPr>
          <w:rFonts w:hint="eastAsia" w:ascii="宋体" w:hAnsi="宋体" w:eastAsia="宋体" w:cs="宋体"/>
          <w:color w:val="auto"/>
          <w:highlight w:val="none"/>
        </w:rPr>
        <w:t>合格的投标人应具备以下条件：</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本招标文件“投标邀请”第五条规定的条件；</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遵守国家有关的法律、法规、规章和其他政策制度；</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向采购代理机构依法获取了招标文件并完成登记。</w:t>
      </w:r>
    </w:p>
    <w:p>
      <w:pPr>
        <w:pStyle w:val="32"/>
        <w:ind w:firstLine="482"/>
        <w:rPr>
          <w:rFonts w:hint="eastAsia" w:ascii="宋体" w:hAnsi="宋体" w:eastAsia="宋体" w:cs="宋体"/>
          <w:color w:val="auto"/>
          <w:highlight w:val="none"/>
        </w:rPr>
      </w:pPr>
      <w:bookmarkStart w:id="109" w:name="_Toc307564832"/>
      <w:bookmarkStart w:id="110" w:name="_Toc308084577"/>
      <w:bookmarkStart w:id="111" w:name="_Toc5067"/>
      <w:bookmarkStart w:id="112" w:name="_Toc217446037"/>
      <w:bookmarkStart w:id="113" w:name="_Toc327196266"/>
      <w:bookmarkStart w:id="114" w:name="_Toc21649"/>
      <w:bookmarkStart w:id="115" w:name="_Toc14323"/>
      <w:bookmarkStart w:id="116" w:name="_Toc28895"/>
      <w:bookmarkStart w:id="117" w:name="_Toc319440122"/>
      <w:bookmarkStart w:id="118" w:name="_Toc308188132"/>
      <w:bookmarkStart w:id="119" w:name="_Toc309897495"/>
      <w:bookmarkStart w:id="120" w:name="_Toc26952"/>
      <w:bookmarkStart w:id="121" w:name="_Toc319439880"/>
      <w:bookmarkStart w:id="122" w:name="_Toc4414"/>
      <w:bookmarkStart w:id="123" w:name="_Toc12293"/>
      <w:bookmarkStart w:id="124" w:name="_Toc307501089"/>
      <w:bookmarkStart w:id="125" w:name="_Toc183582208"/>
      <w:bookmarkStart w:id="126" w:name="_Toc183682345"/>
      <w:bookmarkStart w:id="127" w:name="_Toc9761"/>
      <w:bookmarkStart w:id="128" w:name="_Toc20283"/>
      <w:bookmarkStart w:id="129" w:name="_Toc20132"/>
      <w:bookmarkStart w:id="130" w:name="_Toc31729"/>
      <w:bookmarkStart w:id="131" w:name="_Toc7047"/>
      <w:r>
        <w:rPr>
          <w:rFonts w:hint="eastAsia" w:ascii="宋体" w:hAnsi="宋体" w:eastAsia="宋体" w:cs="宋体"/>
          <w:color w:val="auto"/>
          <w:highlight w:val="none"/>
        </w:rPr>
        <w:t>投标费用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ascii="宋体" w:hAnsi="宋体" w:eastAsia="宋体" w:cs="宋体"/>
          <w:color w:val="auto"/>
          <w:highlight w:val="none"/>
        </w:rPr>
        <w:t>(实质性要求)</w:t>
      </w:r>
      <w:bookmarkEnd w:id="128"/>
      <w:bookmarkEnd w:id="129"/>
      <w:bookmarkEnd w:id="130"/>
      <w:bookmarkEnd w:id="131"/>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投标人参加投标的有关费用由投标人自行承担。</w:t>
      </w:r>
    </w:p>
    <w:p>
      <w:pPr>
        <w:pStyle w:val="32"/>
        <w:ind w:firstLine="482"/>
        <w:rPr>
          <w:rFonts w:hint="eastAsia" w:ascii="宋体" w:hAnsi="宋体" w:eastAsia="宋体" w:cs="宋体"/>
          <w:color w:val="auto"/>
          <w:highlight w:val="none"/>
        </w:rPr>
      </w:pPr>
      <w:bookmarkStart w:id="132" w:name="_Toc28490"/>
      <w:bookmarkStart w:id="133" w:name="_Toc27604"/>
      <w:bookmarkStart w:id="134" w:name="_Toc307564833"/>
      <w:bookmarkStart w:id="135" w:name="_Toc11996"/>
      <w:bookmarkStart w:id="136" w:name="_Toc308084578"/>
      <w:bookmarkStart w:id="137" w:name="_Toc18993"/>
      <w:bookmarkStart w:id="138" w:name="_Toc18984"/>
      <w:bookmarkStart w:id="139" w:name="_Toc27927"/>
      <w:bookmarkStart w:id="140" w:name="_Toc319440123"/>
      <w:bookmarkStart w:id="141" w:name="_Toc307501090"/>
      <w:bookmarkStart w:id="142" w:name="_Toc11131"/>
      <w:bookmarkStart w:id="143" w:name="_Toc308188133"/>
      <w:bookmarkStart w:id="144" w:name="_Toc309897496"/>
      <w:bookmarkStart w:id="145" w:name="_Toc7710"/>
      <w:bookmarkStart w:id="146" w:name="_Toc319439881"/>
      <w:bookmarkStart w:id="147" w:name="_Toc327196267"/>
      <w:bookmarkStart w:id="148" w:name="_Toc433"/>
      <w:bookmarkStart w:id="149" w:name="_Toc3283"/>
      <w:bookmarkStart w:id="150" w:name="_Toc5564"/>
      <w:bookmarkStart w:id="151" w:name="_Toc11923"/>
      <w:r>
        <w:rPr>
          <w:rFonts w:hint="eastAsia" w:ascii="宋体" w:hAnsi="宋体" w:eastAsia="宋体" w:cs="宋体"/>
          <w:color w:val="auto"/>
          <w:highlight w:val="none"/>
        </w:rPr>
        <w:t>充分、公平竞争保障措施</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ascii="宋体" w:hAnsi="宋体" w:eastAsia="宋体" w:cs="宋体"/>
          <w:color w:val="auto"/>
          <w:highlight w:val="none"/>
        </w:rPr>
        <w:t>(实质性要求)</w:t>
      </w:r>
      <w:bookmarkEnd w:id="148"/>
      <w:bookmarkEnd w:id="149"/>
      <w:bookmarkEnd w:id="150"/>
      <w:bookmarkEnd w:id="151"/>
    </w:p>
    <w:p>
      <w:pPr>
        <w:pStyle w:val="33"/>
        <w:ind w:firstLine="480"/>
        <w:rPr>
          <w:rFonts w:hint="eastAsia" w:ascii="宋体" w:hAnsi="宋体" w:eastAsia="宋体" w:cs="宋体"/>
          <w:color w:val="auto"/>
          <w:highlight w:val="none"/>
        </w:rPr>
      </w:pPr>
      <w:bookmarkStart w:id="152" w:name="_Toc89075875"/>
      <w:bookmarkStart w:id="153" w:name="_Toc217446038"/>
      <w:bookmarkStart w:id="154" w:name="_Toc13891"/>
      <w:bookmarkStart w:id="155" w:name="_Toc77400779"/>
      <w:bookmarkStart w:id="156" w:name="_Toc183682346"/>
      <w:bookmarkStart w:id="157" w:name="_Toc183582209"/>
      <w:bookmarkStart w:id="158" w:name="_Toc327196268"/>
      <w:r>
        <w:rPr>
          <w:rFonts w:hint="eastAsia" w:ascii="宋体" w:hAnsi="宋体" w:eastAsia="宋体" w:cs="宋体"/>
          <w:color w:val="auto"/>
          <w:highlight w:val="none"/>
        </w:rPr>
        <w:t>提供相同品牌产品处理。</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随机抽签的方式确定一个投标人获得中标人推荐资格，其他同品牌投标人不作为中标候选人。</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本采购项目核心产品为：</w:t>
      </w:r>
      <w:r>
        <w:rPr>
          <w:rFonts w:hint="eastAsia" w:ascii="宋体" w:hAnsi="宋体" w:eastAsia="宋体" w:cs="宋体"/>
          <w:b/>
          <w:bCs/>
          <w:color w:val="auto"/>
          <w:highlight w:val="none"/>
        </w:rPr>
        <w:t>智能制造实训基地虚实一体工作站</w:t>
      </w:r>
      <w:r>
        <w:rPr>
          <w:rFonts w:hint="eastAsia" w:ascii="宋体" w:hAnsi="宋体" w:eastAsia="宋体" w:cs="宋体"/>
          <w:color w:val="auto"/>
          <w:highlight w:val="none"/>
        </w:rPr>
        <w:t>，若为相同品牌产品按前款规定执行。</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利害关系供应商处理。</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前期参与供应商处理。</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34"/>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注：本项目符合本条规定的供应商是：浙江康贝尔科教设备有限公司、广州欧维德教学设备制造有限公司、广州车胜教学设备有限公司，参加本项目投标的按无效投标处理。</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利害关系代理人处理。</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在同一合同项下的采购项目中，若有2家及以上的供应商同时委托同一个自然人、同一家庭的人员、同一单位的人员作为其代理人，其投标文件作为无效处理。</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供应商实际控制人或者中高级管理人员，同时是采购代理机构工作人员，不得参与本项目政府采购活动。</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同一母公司的两家以上的子公司只能组成联合体参加本项目同一合同项下的采购活动，不得以不同供应商身份同时参加本项目同一合同项下的采购活动</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供应商与采购代理机构存在关联关系，或者是采购代理机构的母公司或子公司，不得参加本项目政府采购活动。</w:t>
      </w:r>
    </w:p>
    <w:p>
      <w:pPr>
        <w:pStyle w:val="53"/>
        <w:spacing w:before="120" w:after="120"/>
        <w:rPr>
          <w:rFonts w:hint="eastAsia" w:ascii="宋体" w:hAnsi="宋体" w:eastAsia="宋体" w:cs="宋体"/>
          <w:color w:val="auto"/>
          <w:highlight w:val="none"/>
        </w:rPr>
      </w:pPr>
      <w:bookmarkStart w:id="159" w:name="_Toc14125"/>
      <w:bookmarkStart w:id="160" w:name="_Toc27564"/>
      <w:bookmarkStart w:id="161" w:name="_Toc12561"/>
      <w:bookmarkStart w:id="162" w:name="_Toc20366"/>
      <w:r>
        <w:rPr>
          <w:rFonts w:hint="eastAsia" w:ascii="宋体" w:hAnsi="宋体" w:eastAsia="宋体" w:cs="宋体"/>
          <w:color w:val="auto"/>
          <w:highlight w:val="none"/>
        </w:rPr>
        <w:t>招标文件</w:t>
      </w:r>
      <w:bookmarkEnd w:id="152"/>
      <w:bookmarkEnd w:id="153"/>
      <w:bookmarkEnd w:id="154"/>
      <w:bookmarkEnd w:id="155"/>
      <w:bookmarkEnd w:id="156"/>
      <w:bookmarkEnd w:id="157"/>
      <w:bookmarkEnd w:id="158"/>
      <w:bookmarkEnd w:id="159"/>
      <w:bookmarkEnd w:id="160"/>
      <w:bookmarkEnd w:id="161"/>
      <w:bookmarkEnd w:id="162"/>
    </w:p>
    <w:p>
      <w:pPr>
        <w:pStyle w:val="32"/>
        <w:numPr>
          <w:ilvl w:val="2"/>
          <w:numId w:val="9"/>
        </w:numPr>
        <w:ind w:firstLine="482"/>
        <w:rPr>
          <w:rFonts w:hint="eastAsia" w:ascii="宋体" w:hAnsi="宋体" w:eastAsia="宋体" w:cs="宋体"/>
          <w:color w:val="auto"/>
          <w:highlight w:val="none"/>
        </w:rPr>
      </w:pPr>
      <w:bookmarkStart w:id="163" w:name="_Toc309897498"/>
      <w:bookmarkStart w:id="164" w:name="_Toc25650"/>
      <w:bookmarkStart w:id="165" w:name="_Toc319440125"/>
      <w:bookmarkStart w:id="166" w:name="_Toc22520"/>
      <w:bookmarkStart w:id="167" w:name="_Toc9412"/>
      <w:bookmarkStart w:id="168" w:name="_Toc21985"/>
      <w:bookmarkStart w:id="169" w:name="_Toc29642"/>
      <w:bookmarkStart w:id="170" w:name="_Toc307564835"/>
      <w:bookmarkStart w:id="171" w:name="_Toc183582210"/>
      <w:bookmarkStart w:id="172" w:name="_Toc25874"/>
      <w:bookmarkStart w:id="173" w:name="_Toc5983"/>
      <w:bookmarkStart w:id="174" w:name="_Toc308188135"/>
      <w:bookmarkStart w:id="175" w:name="_Toc327196269"/>
      <w:bookmarkStart w:id="176" w:name="_Toc8808"/>
      <w:bookmarkStart w:id="177" w:name="_Toc308084580"/>
      <w:bookmarkStart w:id="178" w:name="_Toc217446039"/>
      <w:bookmarkStart w:id="179" w:name="_Toc16404"/>
      <w:bookmarkStart w:id="180" w:name="_Toc307501092"/>
      <w:bookmarkStart w:id="181" w:name="_Toc319439883"/>
      <w:bookmarkStart w:id="182" w:name="_Toc24565"/>
      <w:bookmarkStart w:id="183" w:name="_Toc183682347"/>
      <w:bookmarkStart w:id="184" w:name="_Toc19030"/>
      <w:bookmarkStart w:id="185" w:name="_Toc29703"/>
      <w:r>
        <w:rPr>
          <w:rFonts w:hint="eastAsia" w:ascii="宋体" w:hAnsi="宋体" w:eastAsia="宋体" w:cs="宋体"/>
          <w:color w:val="auto"/>
          <w:highlight w:val="none"/>
        </w:rPr>
        <w:t>招标文件的构成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投标邀请；</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投标人须知(包括投标文件的密封、签署、盖章要求等)；</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投标人应当提交的资格、资信证明文件；</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为落实政府采购政策，采购标的需满足的要求，以及投标人须提供的证明材料；</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投标文件编制要求、投标报价要求和保证金交纳、退还方式以及不予退还的情形；</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采购项目预算金额，设定最高限价的，还应当公开最高限价；</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采购项目的技术规格、数量、服务标准、验收等要求，包括附件、图纸(如涉及)等；</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拟签订的合同文本；</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货物、服务提供的时间、地点、方式；</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采购资金的支付方式、时间、条件；</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评标方法、评标标准和投标无效情形；</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投标有效期；</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投标截止时间、开标时间及地点；</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采购代理机构代理费用的收取标准和方式；</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投标人信用信息查询渠道及截止时点、信用信息查询记录和证据留存的具体方式、信用信息的使用规则等；</w:t>
      </w:r>
    </w:p>
    <w:p>
      <w:pPr>
        <w:pStyle w:val="35"/>
        <w:ind w:firstLine="480"/>
        <w:rPr>
          <w:rFonts w:hint="eastAsia" w:ascii="宋体" w:hAnsi="宋体" w:eastAsia="宋体" w:cs="宋体"/>
          <w:color w:val="auto"/>
          <w:highlight w:val="none"/>
        </w:rPr>
      </w:pPr>
      <w:r>
        <w:rPr>
          <w:rFonts w:hint="eastAsia" w:ascii="宋体" w:hAnsi="宋体" w:eastAsia="宋体" w:cs="宋体"/>
          <w:color w:val="auto"/>
          <w:highlight w:val="none"/>
        </w:rPr>
        <w:t>省级以上财政部门规定的其他事项。</w:t>
      </w:r>
    </w:p>
    <w:p>
      <w:pPr>
        <w:pStyle w:val="33"/>
        <w:numPr>
          <w:ilvl w:val="3"/>
          <w:numId w:val="9"/>
        </w:numPr>
        <w:ind w:firstLine="480"/>
        <w:rPr>
          <w:rFonts w:hint="eastAsia" w:ascii="宋体" w:hAnsi="宋体" w:eastAsia="宋体" w:cs="宋体"/>
          <w:color w:val="auto"/>
          <w:highlight w:val="none"/>
        </w:rPr>
      </w:pPr>
      <w:r>
        <w:rPr>
          <w:rFonts w:hint="eastAsia" w:ascii="宋体" w:hAnsi="宋体" w:eastAsia="宋体" w:cs="宋体"/>
          <w:color w:val="auto"/>
          <w:highlight w:val="none"/>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32"/>
        <w:ind w:firstLine="482"/>
        <w:rPr>
          <w:rFonts w:hint="eastAsia" w:ascii="宋体" w:hAnsi="宋体" w:eastAsia="宋体" w:cs="宋体"/>
          <w:color w:val="auto"/>
          <w:highlight w:val="none"/>
        </w:rPr>
      </w:pPr>
      <w:bookmarkStart w:id="186" w:name="_Toc183682348"/>
      <w:bookmarkStart w:id="187" w:name="_Toc183582211"/>
      <w:bookmarkStart w:id="188" w:name="_Toc31172"/>
      <w:bookmarkStart w:id="189" w:name="_Toc308084581"/>
      <w:bookmarkStart w:id="190" w:name="_Toc11995"/>
      <w:bookmarkStart w:id="191" w:name="_Toc27690"/>
      <w:bookmarkStart w:id="192" w:name="_Toc19612"/>
      <w:bookmarkStart w:id="193" w:name="_Toc13600"/>
      <w:bookmarkStart w:id="194" w:name="_Toc16291"/>
      <w:bookmarkStart w:id="195" w:name="_Toc319440126"/>
      <w:bookmarkStart w:id="196" w:name="_Toc7541"/>
      <w:bookmarkStart w:id="197" w:name="_Toc22085"/>
      <w:bookmarkStart w:id="198" w:name="_Toc307564836"/>
      <w:bookmarkStart w:id="199" w:name="_Toc23839"/>
      <w:bookmarkStart w:id="200" w:name="_Toc17632"/>
      <w:bookmarkStart w:id="201" w:name="_Toc307501093"/>
      <w:bookmarkStart w:id="202" w:name="_Toc25894"/>
      <w:bookmarkStart w:id="203" w:name="_Toc319439884"/>
      <w:bookmarkStart w:id="204" w:name="_Toc26020"/>
      <w:bookmarkStart w:id="205" w:name="_Toc217446040"/>
      <w:bookmarkStart w:id="206" w:name="_Toc309897499"/>
      <w:bookmarkStart w:id="207" w:name="_Toc327196270"/>
      <w:bookmarkStart w:id="208" w:name="_Toc308188136"/>
      <w:r>
        <w:rPr>
          <w:rFonts w:hint="eastAsia" w:ascii="宋体" w:hAnsi="宋体" w:eastAsia="宋体" w:cs="宋体"/>
          <w:color w:val="auto"/>
          <w:highlight w:val="none"/>
        </w:rPr>
        <w:t>招标文件的澄清</w:t>
      </w:r>
      <w:bookmarkEnd w:id="186"/>
      <w:bookmarkEnd w:id="187"/>
      <w:r>
        <w:rPr>
          <w:rFonts w:hint="eastAsia" w:ascii="宋体" w:hAnsi="宋体" w:eastAsia="宋体" w:cs="宋体"/>
          <w:color w:val="auto"/>
          <w:highlight w:val="none"/>
        </w:rPr>
        <w:t>和修改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33"/>
        <w:ind w:firstLine="480"/>
        <w:rPr>
          <w:rFonts w:hint="eastAsia" w:ascii="宋体" w:hAnsi="宋体" w:eastAsia="宋体" w:cs="宋体"/>
          <w:color w:val="auto"/>
          <w:highlight w:val="none"/>
        </w:rPr>
      </w:pPr>
      <w:bookmarkStart w:id="209" w:name="_Toc7026"/>
      <w:bookmarkStart w:id="210" w:name="_Toc24226"/>
      <w:bookmarkStart w:id="211" w:name="_Toc307501094"/>
      <w:bookmarkStart w:id="212" w:name="_Toc208848971"/>
      <w:bookmarkStart w:id="213" w:name="_Toc3159"/>
      <w:bookmarkStart w:id="214" w:name="_Toc217446041"/>
      <w:bookmarkStart w:id="215" w:name="_Toc6811"/>
      <w:bookmarkStart w:id="216" w:name="_Toc9735"/>
      <w:bookmarkStart w:id="217" w:name="_Toc2637"/>
      <w:bookmarkStart w:id="218" w:name="_Toc307564837"/>
      <w:bookmarkStart w:id="219" w:name="_Toc8838"/>
      <w:bookmarkStart w:id="220" w:name="_Toc3361"/>
      <w:bookmarkStart w:id="221" w:name="_Toc319440127"/>
      <w:bookmarkStart w:id="222" w:name="_Toc22061"/>
      <w:bookmarkStart w:id="223" w:name="_Toc327196271"/>
      <w:bookmarkStart w:id="224" w:name="_Toc17111"/>
      <w:bookmarkStart w:id="225" w:name="_Toc309897500"/>
      <w:bookmarkStart w:id="226" w:name="_Toc319439885"/>
      <w:bookmarkStart w:id="227" w:name="_Toc308188137"/>
      <w:bookmarkStart w:id="228" w:name="_Toc308084582"/>
      <w:r>
        <w:rPr>
          <w:rFonts w:hint="eastAsia" w:ascii="宋体" w:hAnsi="宋体" w:eastAsia="宋体" w:cs="宋体"/>
          <w:color w:val="auto"/>
          <w:highlight w:val="none"/>
        </w:rPr>
        <w:t>在投标截止时间前，招标采购单位无论出于何种原因，可以对招标文件进行澄清或者修改；投标人认为需要对招标文件进行澄清或者修改的，可以以书面形式向招标采购单位提出申请，但招标采购单位可以决定是否采纳投标人的申请事项。</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33"/>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投标人应于投标文件递交截止时间之前在“四川政府采购网”查询本项目的更正公告，以保证其对招标文件做出准确的响应。投标人未按要求下载相关文件，或由于未及时关注更正公告的信息造成的后果，其责任由投标人自行负责。</w:t>
      </w:r>
    </w:p>
    <w:p>
      <w:pPr>
        <w:pStyle w:val="34"/>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采购代理机构将通过报名系统将更正通知发送至所有购买招标文件的供应商，供应商在收到相应更正通知后，将更正公告打印后加盖单位公章扫描并通过报名系统提交至采购代理机构。如供应商未给予书面回复，则视为收到并认可该更正通知的内容。</w:t>
      </w:r>
    </w:p>
    <w:p>
      <w:pPr>
        <w:pStyle w:val="32"/>
        <w:ind w:firstLine="482"/>
        <w:rPr>
          <w:rFonts w:hint="eastAsia" w:ascii="宋体" w:hAnsi="宋体" w:eastAsia="宋体" w:cs="宋体"/>
          <w:color w:val="auto"/>
          <w:highlight w:val="none"/>
        </w:rPr>
      </w:pPr>
      <w:bookmarkStart w:id="229" w:name="_Toc31570"/>
      <w:bookmarkStart w:id="230" w:name="_Toc7048"/>
      <w:r>
        <w:rPr>
          <w:rFonts w:hint="eastAsia" w:ascii="宋体" w:hAnsi="宋体" w:eastAsia="宋体" w:cs="宋体"/>
          <w:color w:val="auto"/>
          <w:highlight w:val="none"/>
        </w:rPr>
        <w:t>答疑会和现场考察</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33"/>
        <w:ind w:firstLine="480"/>
        <w:rPr>
          <w:rFonts w:hint="eastAsia" w:ascii="宋体" w:hAnsi="宋体" w:eastAsia="宋体" w:cs="宋体"/>
          <w:color w:val="auto"/>
          <w:highlight w:val="none"/>
        </w:rPr>
      </w:pPr>
      <w:bookmarkStart w:id="231" w:name="_Toc327196272"/>
      <w:bookmarkStart w:id="232" w:name="_Toc217446042"/>
      <w:bookmarkStart w:id="233" w:name="_Toc183582214"/>
      <w:bookmarkStart w:id="234" w:name="_Toc89075876"/>
      <w:bookmarkStart w:id="235" w:name="_Toc183682351"/>
      <w:bookmarkStart w:id="236" w:name="_Toc77400780"/>
      <w:bookmarkStart w:id="237" w:name="_Toc20199"/>
      <w:r>
        <w:rPr>
          <w:rFonts w:hint="eastAsia" w:ascii="宋体" w:hAnsi="宋体" w:eastAsia="宋体" w:cs="宋体"/>
          <w:color w:val="auto"/>
          <w:highlight w:val="none"/>
        </w:rPr>
        <w:t>采购人、采购代理机构可以视采购项目的具体情况，组织投标人进行现场考察或开标前答疑会，但不得单独或分别组织只有一个投标人参加的现场考察和答疑会。若组织答疑会和现场考察以采购代理机构通知为准。</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投标人考察现场所发生的一切费用由投标人自行承担。</w:t>
      </w:r>
    </w:p>
    <w:p>
      <w:pPr>
        <w:pStyle w:val="53"/>
        <w:spacing w:before="120" w:after="120"/>
        <w:rPr>
          <w:rFonts w:hint="eastAsia" w:ascii="宋体" w:hAnsi="宋体" w:eastAsia="宋体" w:cs="宋体"/>
          <w:color w:val="auto"/>
          <w:highlight w:val="none"/>
        </w:rPr>
      </w:pPr>
      <w:bookmarkStart w:id="238" w:name="_Toc16131"/>
      <w:bookmarkStart w:id="239" w:name="_Toc615"/>
      <w:bookmarkStart w:id="240" w:name="_Toc27479"/>
      <w:bookmarkStart w:id="241" w:name="_Toc15249"/>
      <w:r>
        <w:rPr>
          <w:rFonts w:hint="eastAsia" w:ascii="宋体" w:hAnsi="宋体" w:eastAsia="宋体" w:cs="宋体"/>
          <w:color w:val="auto"/>
          <w:highlight w:val="none"/>
        </w:rPr>
        <w:t>投标文件</w:t>
      </w:r>
      <w:bookmarkEnd w:id="231"/>
      <w:bookmarkEnd w:id="232"/>
      <w:bookmarkEnd w:id="233"/>
      <w:bookmarkEnd w:id="234"/>
      <w:bookmarkEnd w:id="235"/>
      <w:bookmarkEnd w:id="236"/>
      <w:bookmarkEnd w:id="237"/>
      <w:bookmarkEnd w:id="238"/>
      <w:bookmarkEnd w:id="239"/>
      <w:bookmarkEnd w:id="240"/>
      <w:bookmarkEnd w:id="241"/>
    </w:p>
    <w:p>
      <w:pPr>
        <w:pStyle w:val="32"/>
        <w:numPr>
          <w:ilvl w:val="2"/>
          <w:numId w:val="10"/>
        </w:numPr>
        <w:ind w:firstLine="482"/>
        <w:rPr>
          <w:rFonts w:hint="eastAsia" w:ascii="宋体" w:hAnsi="宋体" w:eastAsia="宋体" w:cs="宋体"/>
          <w:color w:val="auto"/>
          <w:highlight w:val="none"/>
        </w:rPr>
      </w:pPr>
      <w:bookmarkStart w:id="242" w:name="_Toc2601"/>
      <w:bookmarkStart w:id="243" w:name="_Toc183682352"/>
      <w:bookmarkStart w:id="244" w:name="_Toc319440129"/>
      <w:bookmarkStart w:id="245" w:name="_Toc26076"/>
      <w:bookmarkStart w:id="246" w:name="_Toc1641"/>
      <w:bookmarkStart w:id="247" w:name="_Toc27053"/>
      <w:bookmarkStart w:id="248" w:name="_Toc183582215"/>
      <w:bookmarkStart w:id="249" w:name="_Toc319439887"/>
      <w:bookmarkStart w:id="250" w:name="_Toc308188139"/>
      <w:bookmarkStart w:id="251" w:name="_Toc21169"/>
      <w:bookmarkStart w:id="252" w:name="_Toc307501096"/>
      <w:bookmarkStart w:id="253" w:name="_Toc309897502"/>
      <w:bookmarkStart w:id="254" w:name="_Toc327196273"/>
      <w:bookmarkStart w:id="255" w:name="_Toc23564"/>
      <w:bookmarkStart w:id="256" w:name="_Toc217446043"/>
      <w:bookmarkStart w:id="257" w:name="_Toc3041"/>
      <w:bookmarkStart w:id="258" w:name="_Toc29330"/>
      <w:bookmarkStart w:id="259" w:name="_Toc307564839"/>
      <w:bookmarkStart w:id="260" w:name="_Toc308084584"/>
      <w:bookmarkStart w:id="261" w:name="_Toc21653"/>
      <w:bookmarkStart w:id="262" w:name="_Toc8388"/>
      <w:bookmarkStart w:id="263" w:name="_Toc14178"/>
      <w:bookmarkStart w:id="264" w:name="_Toc11217"/>
      <w:r>
        <w:rPr>
          <w:rFonts w:hint="eastAsia" w:ascii="宋体" w:hAnsi="宋体" w:eastAsia="宋体" w:cs="宋体"/>
          <w:color w:val="auto"/>
          <w:highlight w:val="none"/>
        </w:rPr>
        <w:t>投标文件的语言</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ascii="宋体" w:hAnsi="宋体" w:eastAsia="宋体" w:cs="宋体"/>
          <w:color w:val="auto"/>
          <w:highlight w:val="none"/>
        </w:rPr>
        <w:t>(实质性要求)</w:t>
      </w:r>
      <w:bookmarkEnd w:id="261"/>
      <w:bookmarkEnd w:id="262"/>
      <w:bookmarkEnd w:id="263"/>
      <w:bookmarkEnd w:id="264"/>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供应商的法定代表人为外籍人士的，法定代表人的签字和护照、行业标准、国家标准、国际标准或行业认证等需要以非中文表述且不宜翻译为中文的除外。</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翻译的中文资料与外文资料如果出现差异和矛盾时，以中文为准。但不能故意错误翻译，否则，投标人的投标文件将作为无效投标处理。</w:t>
      </w:r>
    </w:p>
    <w:p>
      <w:pPr>
        <w:pStyle w:val="32"/>
        <w:ind w:firstLine="482"/>
        <w:rPr>
          <w:rFonts w:hint="eastAsia" w:ascii="宋体" w:hAnsi="宋体" w:eastAsia="宋体" w:cs="宋体"/>
          <w:color w:val="auto"/>
          <w:highlight w:val="none"/>
        </w:rPr>
      </w:pPr>
      <w:bookmarkStart w:id="265" w:name="_Toc20091"/>
      <w:bookmarkStart w:id="266" w:name="_Toc217446044"/>
      <w:bookmarkStart w:id="267" w:name="_Toc20188"/>
      <w:bookmarkStart w:id="268" w:name="_Toc15145"/>
      <w:bookmarkStart w:id="269" w:name="_Toc308188140"/>
      <w:bookmarkStart w:id="270" w:name="_Toc2379"/>
      <w:bookmarkStart w:id="271" w:name="_Toc307564840"/>
      <w:bookmarkStart w:id="272" w:name="_Toc15226"/>
      <w:bookmarkStart w:id="273" w:name="_Toc183682353"/>
      <w:bookmarkStart w:id="274" w:name="_Toc183582216"/>
      <w:bookmarkStart w:id="275" w:name="_Toc309897503"/>
      <w:bookmarkStart w:id="276" w:name="_Toc308084585"/>
      <w:bookmarkStart w:id="277" w:name="_Toc319439888"/>
      <w:bookmarkStart w:id="278" w:name="_Toc319440130"/>
      <w:bookmarkStart w:id="279" w:name="_Toc11901"/>
      <w:bookmarkStart w:id="280" w:name="_Toc17444"/>
      <w:bookmarkStart w:id="281" w:name="_Toc12195"/>
      <w:bookmarkStart w:id="282" w:name="_Toc307501097"/>
      <w:bookmarkStart w:id="283" w:name="_Toc327196274"/>
      <w:bookmarkStart w:id="284" w:name="_Toc18700"/>
      <w:bookmarkStart w:id="285" w:name="_Toc12658"/>
      <w:bookmarkStart w:id="286" w:name="_Toc10594"/>
      <w:bookmarkStart w:id="287" w:name="_Toc15711"/>
      <w:r>
        <w:rPr>
          <w:rFonts w:hint="eastAsia" w:ascii="宋体" w:hAnsi="宋体" w:eastAsia="宋体" w:cs="宋体"/>
          <w:color w:val="auto"/>
          <w:highlight w:val="none"/>
        </w:rPr>
        <w:t>计量单位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ascii="宋体" w:hAnsi="宋体" w:eastAsia="宋体" w:cs="宋体"/>
          <w:color w:val="auto"/>
          <w:highlight w:val="none"/>
        </w:rPr>
        <w:t>(实质性要求)</w:t>
      </w:r>
      <w:bookmarkEnd w:id="284"/>
      <w:bookmarkEnd w:id="285"/>
      <w:bookmarkEnd w:id="286"/>
      <w:bookmarkEnd w:id="287"/>
    </w:p>
    <w:p>
      <w:pPr>
        <w:pStyle w:val="34"/>
        <w:rPr>
          <w:rFonts w:hint="eastAsia" w:ascii="宋体" w:hAnsi="宋体" w:eastAsia="宋体" w:cs="宋体"/>
          <w:color w:val="auto"/>
          <w:highlight w:val="none"/>
        </w:rPr>
      </w:pPr>
      <w:r>
        <w:rPr>
          <w:rFonts w:hint="eastAsia" w:ascii="宋体" w:hAnsi="宋体" w:eastAsia="宋体" w:cs="宋体"/>
          <w:color w:val="auto"/>
          <w:highlight w:val="none"/>
        </w:rPr>
        <w:t>除技术规格及要求中另有规定外，本采购项下的投标均采用国家法定的计量单位。</w:t>
      </w:r>
    </w:p>
    <w:p>
      <w:pPr>
        <w:pStyle w:val="32"/>
        <w:ind w:firstLine="482"/>
        <w:rPr>
          <w:rFonts w:hint="eastAsia" w:ascii="宋体" w:hAnsi="宋体" w:eastAsia="宋体" w:cs="宋体"/>
          <w:color w:val="auto"/>
          <w:highlight w:val="none"/>
        </w:rPr>
      </w:pPr>
      <w:bookmarkStart w:id="288" w:name="_Toc327196275"/>
      <w:bookmarkStart w:id="289" w:name="_Toc308084586"/>
      <w:bookmarkStart w:id="290" w:name="_Toc25216"/>
      <w:bookmarkStart w:id="291" w:name="_Toc15435"/>
      <w:bookmarkStart w:id="292" w:name="_Toc308188141"/>
      <w:bookmarkStart w:id="293" w:name="_Toc319439889"/>
      <w:bookmarkStart w:id="294" w:name="_Toc307501098"/>
      <w:bookmarkStart w:id="295" w:name="_Toc307564841"/>
      <w:bookmarkStart w:id="296" w:name="_Toc22739"/>
      <w:bookmarkStart w:id="297" w:name="_Toc698"/>
      <w:bookmarkStart w:id="298" w:name="_Toc8881"/>
      <w:bookmarkStart w:id="299" w:name="_Toc217446045"/>
      <w:bookmarkStart w:id="300" w:name="_Toc24761"/>
      <w:bookmarkStart w:id="301" w:name="_Toc8803"/>
      <w:bookmarkStart w:id="302" w:name="_Toc309897504"/>
      <w:bookmarkStart w:id="303" w:name="_Toc16798"/>
      <w:bookmarkStart w:id="304" w:name="_Toc319440131"/>
      <w:bookmarkStart w:id="305" w:name="_Toc18927"/>
      <w:bookmarkStart w:id="306" w:name="_Toc20780"/>
      <w:bookmarkStart w:id="307" w:name="_Toc19960"/>
      <w:bookmarkStart w:id="308" w:name="_Toc11633"/>
      <w:r>
        <w:rPr>
          <w:rFonts w:hint="eastAsia" w:ascii="宋体" w:hAnsi="宋体" w:eastAsia="宋体" w:cs="宋体"/>
          <w:color w:val="auto"/>
          <w:highlight w:val="none"/>
        </w:rPr>
        <w:t>投标货币</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ascii="宋体" w:hAnsi="宋体" w:eastAsia="宋体" w:cs="宋体"/>
          <w:color w:val="auto"/>
          <w:highlight w:val="none"/>
        </w:rPr>
        <w:t>(实质性要求)</w:t>
      </w:r>
      <w:bookmarkEnd w:id="305"/>
      <w:bookmarkEnd w:id="306"/>
      <w:bookmarkEnd w:id="307"/>
      <w:bookmarkEnd w:id="308"/>
    </w:p>
    <w:p>
      <w:pPr>
        <w:pStyle w:val="34"/>
        <w:rPr>
          <w:rFonts w:hint="eastAsia" w:ascii="宋体" w:hAnsi="宋体" w:eastAsia="宋体" w:cs="宋体"/>
          <w:color w:val="auto"/>
          <w:highlight w:val="none"/>
        </w:rPr>
      </w:pPr>
      <w:r>
        <w:rPr>
          <w:rFonts w:hint="eastAsia" w:ascii="宋体" w:hAnsi="宋体" w:eastAsia="宋体" w:cs="宋体"/>
          <w:color w:val="auto"/>
          <w:highlight w:val="none"/>
        </w:rPr>
        <w:t>本次招标项目的投标均以人民币报价。</w:t>
      </w:r>
    </w:p>
    <w:p>
      <w:pPr>
        <w:pStyle w:val="32"/>
        <w:ind w:firstLine="482"/>
        <w:rPr>
          <w:rFonts w:hint="eastAsia" w:ascii="宋体" w:hAnsi="宋体" w:eastAsia="宋体" w:cs="宋体"/>
          <w:color w:val="auto"/>
          <w:highlight w:val="none"/>
        </w:rPr>
      </w:pPr>
      <w:bookmarkStart w:id="309" w:name="_Toc307501099"/>
      <w:bookmarkStart w:id="310" w:name="_Toc21894"/>
      <w:bookmarkStart w:id="311" w:name="_Toc32667"/>
      <w:bookmarkStart w:id="312" w:name="_Toc15074"/>
      <w:bookmarkStart w:id="313" w:name="_Toc4336"/>
      <w:bookmarkStart w:id="314" w:name="_Toc308188142"/>
      <w:bookmarkStart w:id="315" w:name="_Toc25923"/>
      <w:bookmarkStart w:id="316" w:name="_Toc319440132"/>
      <w:bookmarkStart w:id="317" w:name="_Toc309897505"/>
      <w:bookmarkStart w:id="318" w:name="_Toc308084587"/>
      <w:bookmarkStart w:id="319" w:name="_Toc327196276"/>
      <w:bookmarkStart w:id="320" w:name="_Toc8550"/>
      <w:bookmarkStart w:id="321" w:name="_Toc217446046"/>
      <w:bookmarkStart w:id="322" w:name="_Toc24432"/>
      <w:bookmarkStart w:id="323" w:name="_Toc25266"/>
      <w:bookmarkStart w:id="324" w:name="_Toc21797"/>
      <w:bookmarkStart w:id="325" w:name="_Toc307564842"/>
      <w:bookmarkStart w:id="326" w:name="_Toc7935"/>
      <w:bookmarkStart w:id="327" w:name="_Toc16409"/>
      <w:bookmarkStart w:id="328" w:name="_Toc32108"/>
      <w:bookmarkStart w:id="329" w:name="_Toc319439890"/>
      <w:bookmarkStart w:id="330" w:name="_Toc26660"/>
      <w:bookmarkStart w:id="331" w:name="_Toc319439891"/>
      <w:bookmarkStart w:id="332" w:name="_Toc18912"/>
      <w:bookmarkStart w:id="333" w:name="_Toc327196277"/>
      <w:bookmarkStart w:id="334" w:name="_Toc307564843"/>
      <w:bookmarkStart w:id="335" w:name="_Toc217446047"/>
      <w:bookmarkStart w:id="336" w:name="_Toc2050"/>
      <w:bookmarkStart w:id="337" w:name="_Toc307501100"/>
      <w:bookmarkStart w:id="338" w:name="_Toc309897506"/>
      <w:bookmarkStart w:id="339" w:name="_Toc7819"/>
      <w:bookmarkStart w:id="340" w:name="_Toc308084588"/>
      <w:bookmarkStart w:id="341" w:name="_Toc27877"/>
      <w:bookmarkStart w:id="342" w:name="_Toc3781"/>
      <w:bookmarkStart w:id="343" w:name="_Toc10974"/>
      <w:bookmarkStart w:id="344" w:name="_Toc13754"/>
      <w:bookmarkStart w:id="345" w:name="_Toc319440133"/>
      <w:bookmarkStart w:id="346" w:name="_Toc308188143"/>
      <w:bookmarkStart w:id="347" w:name="_Toc30958"/>
      <w:bookmarkStart w:id="348" w:name="_Toc9626"/>
      <w:bookmarkStart w:id="349" w:name="_Toc15468"/>
      <w:r>
        <w:rPr>
          <w:rFonts w:hint="eastAsia" w:ascii="宋体" w:hAnsi="宋体" w:eastAsia="宋体" w:cs="宋体"/>
          <w:color w:val="auto"/>
          <w:highlight w:val="none"/>
        </w:rPr>
        <w:t>联合体投标</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hint="eastAsia" w:ascii="宋体" w:hAnsi="宋体" w:eastAsia="宋体" w:cs="宋体"/>
          <w:color w:val="auto"/>
          <w:highlight w:val="none"/>
        </w:rPr>
        <w:t>(实质性要求)</w:t>
      </w:r>
      <w:bookmarkEnd w:id="330"/>
    </w:p>
    <w:p>
      <w:pPr>
        <w:pStyle w:val="30"/>
        <w:ind w:firstLine="480" w:firstLineChars="200"/>
        <w:rPr>
          <w:rFonts w:hint="eastAsia" w:ascii="宋体" w:hAnsi="宋体" w:eastAsia="宋体" w:cs="宋体"/>
          <w:color w:val="auto"/>
          <w:highlight w:val="none"/>
        </w:rPr>
      </w:pPr>
      <w:bookmarkStart w:id="350" w:name="_Toc30421"/>
      <w:r>
        <w:rPr>
          <w:rFonts w:hint="eastAsia" w:ascii="宋体" w:hAnsi="宋体" w:eastAsia="宋体" w:cs="宋体"/>
          <w:color w:val="auto"/>
          <w:highlight w:val="none"/>
        </w:rPr>
        <w:t>本项目不接受联合体投标。</w:t>
      </w:r>
    </w:p>
    <w:p>
      <w:pPr>
        <w:pStyle w:val="32"/>
        <w:ind w:firstLine="482"/>
        <w:rPr>
          <w:rFonts w:hint="eastAsia" w:ascii="宋体" w:hAnsi="宋体" w:eastAsia="宋体" w:cs="宋体"/>
          <w:color w:val="auto"/>
          <w:highlight w:val="none"/>
        </w:rPr>
      </w:pPr>
      <w:bookmarkStart w:id="351" w:name="_Toc14278"/>
      <w:r>
        <w:rPr>
          <w:rFonts w:hint="eastAsia" w:ascii="宋体" w:hAnsi="宋体" w:eastAsia="宋体" w:cs="宋体"/>
          <w:color w:val="auto"/>
          <w:highlight w:val="none"/>
        </w:rPr>
        <w:t>知识产权</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hint="eastAsia" w:ascii="宋体" w:hAnsi="宋体" w:eastAsia="宋体" w:cs="宋体"/>
          <w:color w:val="auto"/>
          <w:highlight w:val="none"/>
        </w:rPr>
        <w:t>(实质性要求)</w:t>
      </w:r>
      <w:bookmarkEnd w:id="348"/>
      <w:bookmarkEnd w:id="349"/>
      <w:bookmarkEnd w:id="350"/>
      <w:bookmarkEnd w:id="351"/>
    </w:p>
    <w:p>
      <w:pPr>
        <w:pStyle w:val="33"/>
        <w:ind w:firstLine="480"/>
        <w:rPr>
          <w:rFonts w:hint="eastAsia" w:ascii="宋体" w:hAnsi="宋体" w:eastAsia="宋体" w:cs="宋体"/>
          <w:color w:val="auto"/>
          <w:highlight w:val="none"/>
        </w:rPr>
      </w:pPr>
      <w:bookmarkStart w:id="352" w:name="_Toc11856"/>
      <w:bookmarkStart w:id="353" w:name="_Toc319440134"/>
      <w:bookmarkStart w:id="354" w:name="_Toc183582217"/>
      <w:bookmarkStart w:id="355" w:name="_Toc30708"/>
      <w:bookmarkStart w:id="356" w:name="_Toc8432"/>
      <w:bookmarkStart w:id="357" w:name="_Toc1140"/>
      <w:bookmarkStart w:id="358" w:name="_Toc183682354"/>
      <w:bookmarkStart w:id="359" w:name="_Toc16281"/>
      <w:bookmarkStart w:id="360" w:name="_Toc6143"/>
      <w:bookmarkStart w:id="361" w:name="_Toc319439892"/>
      <w:bookmarkStart w:id="362" w:name="_Toc2706"/>
      <w:bookmarkStart w:id="363" w:name="_Toc5369"/>
      <w:bookmarkStart w:id="364" w:name="_Toc309897507"/>
      <w:bookmarkStart w:id="365" w:name="_Toc10817"/>
      <w:bookmarkStart w:id="366" w:name="_Toc307501101"/>
      <w:bookmarkStart w:id="367" w:name="_Toc7660"/>
      <w:bookmarkStart w:id="368" w:name="_Toc308084589"/>
      <w:bookmarkStart w:id="369" w:name="_Toc217446048"/>
      <w:bookmarkStart w:id="370" w:name="_Toc308188144"/>
      <w:bookmarkStart w:id="371" w:name="_Toc307564844"/>
      <w:bookmarkStart w:id="372" w:name="_Toc327196278"/>
      <w:r>
        <w:rPr>
          <w:rFonts w:hint="eastAsia" w:ascii="宋体" w:hAnsi="宋体" w:eastAsia="宋体" w:cs="宋体"/>
          <w:color w:val="auto"/>
          <w:highlight w:val="none"/>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采购人享有本项目实施过程中产生的知识成果及知识产权。</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人如欲在项目实施过程中采用自有知识成果，需在投标文件中声明，并提供相关知识产权证明文件。使用该知识成果后，投标人需提供相关技术文档，并承诺提供无限期技术支持，采购人享有永久使用权，同时需在投标文件中提供声明，并提供相关知识产权证明文件，否则视为投标人未在本项目实施过程中采用自有知识成果，不影响有效性。</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如采用投标人所不拥有的知识产权，则在投标报价中必须包括合法获取该知识产权的相关费用。 </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如采购项目涉及知识产权时按照此条要求执行，并在评审时作实质性审查。</w:t>
      </w:r>
    </w:p>
    <w:p>
      <w:pPr>
        <w:pStyle w:val="32"/>
        <w:ind w:firstLine="482"/>
        <w:rPr>
          <w:rFonts w:hint="eastAsia" w:ascii="宋体" w:hAnsi="宋体" w:eastAsia="宋体" w:cs="宋体"/>
          <w:color w:val="auto"/>
          <w:highlight w:val="none"/>
        </w:rPr>
      </w:pPr>
      <w:bookmarkStart w:id="373" w:name="_Toc10314"/>
      <w:bookmarkStart w:id="374" w:name="_Toc28370"/>
      <w:r>
        <w:rPr>
          <w:rFonts w:hint="eastAsia" w:ascii="宋体" w:hAnsi="宋体" w:eastAsia="宋体" w:cs="宋体"/>
          <w:color w:val="auto"/>
          <w:highlight w:val="none"/>
        </w:rPr>
        <w:t>投标文件的组成</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34"/>
        <w:rPr>
          <w:rFonts w:hint="eastAsia" w:ascii="宋体" w:hAnsi="宋体" w:eastAsia="宋体" w:cs="宋体"/>
          <w:color w:val="auto"/>
          <w:highlight w:val="none"/>
        </w:rPr>
      </w:pPr>
      <w:bookmarkStart w:id="375" w:name="_Toc307501102"/>
      <w:bookmarkStart w:id="376" w:name="_Toc217446049"/>
      <w:bookmarkStart w:id="377" w:name="_Toc183582218"/>
      <w:bookmarkStart w:id="378" w:name="_Toc183682355"/>
      <w:r>
        <w:rPr>
          <w:rFonts w:hint="eastAsia" w:ascii="宋体" w:hAnsi="宋体" w:eastAsia="宋体" w:cs="宋体"/>
          <w:color w:val="auto"/>
          <w:highlight w:val="none"/>
        </w:rPr>
        <w:t>投标人应按照招标文件的规定和要求编制投标文件，否则视为无效投标。投标人拟在中标后将中标项目的非主体、非关键性工作交由他人完成的，应当在投标文件中载明。投标人编写的投标文件应包括以下两部分：</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第一部分：资格、资质性及其他类似效力投标文件(用于资格审查)</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按照招标文件第四、五章要求提供相关资格、资质性及其他类似效力要求的相关证明材料。</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第二部分：其它投标文件(用于资格审查以外的评标)</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按照招标文件要求提供以下相关材料：</w:t>
      </w:r>
    </w:p>
    <w:p>
      <w:pPr>
        <w:pStyle w:val="35"/>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 报价部分</w:t>
      </w:r>
      <w:r>
        <w:rPr>
          <w:rFonts w:hint="eastAsia" w:ascii="宋体" w:hAnsi="宋体" w:eastAsia="宋体" w:cs="宋体"/>
          <w:b/>
          <w:bCs/>
          <w:color w:val="auto"/>
          <w:highlight w:val="none"/>
          <w:lang w:val="zh-CN"/>
        </w:rPr>
        <w:t>(实质性要求)</w:t>
      </w:r>
    </w:p>
    <w:p>
      <w:pPr>
        <w:pStyle w:val="47"/>
        <w:numPr>
          <w:ilvl w:val="3"/>
          <w:numId w:val="0"/>
        </w:numPr>
        <w:ind w:left="480" w:leftChars="200"/>
        <w:rPr>
          <w:rFonts w:hint="eastAsia" w:ascii="宋体" w:hAnsi="宋体" w:eastAsia="宋体" w:cs="宋体"/>
          <w:color w:val="auto"/>
          <w:highlight w:val="none"/>
        </w:rPr>
      </w:pPr>
      <w:r>
        <w:rPr>
          <w:rFonts w:hint="eastAsia" w:ascii="宋体" w:hAnsi="宋体" w:eastAsia="宋体" w:cs="宋体"/>
          <w:color w:val="auto"/>
          <w:highlight w:val="none"/>
        </w:rPr>
        <w:t>投标人按照以下要求填写的“开标一览表”。本次招标报价要求：</w:t>
      </w:r>
    </w:p>
    <w:p>
      <w:pPr>
        <w:pStyle w:val="36"/>
        <w:ind w:firstLine="480"/>
        <w:rPr>
          <w:rFonts w:hint="eastAsia" w:ascii="宋体" w:hAnsi="宋体" w:eastAsia="宋体" w:cs="宋体"/>
          <w:color w:val="auto"/>
          <w:highlight w:val="none"/>
        </w:rPr>
      </w:pPr>
      <w:r>
        <w:rPr>
          <w:rFonts w:hint="eastAsia" w:ascii="宋体" w:hAnsi="宋体" w:eastAsia="宋体" w:cs="宋体"/>
          <w:color w:val="auto"/>
          <w:highlight w:val="none"/>
        </w:rPr>
        <w:t>投标人的报价是投标人响应招标项目要求的全部采购内容的价格体现，包括完成本项目所涉及的一切费用。</w:t>
      </w:r>
    </w:p>
    <w:p>
      <w:pPr>
        <w:pStyle w:val="36"/>
        <w:ind w:firstLine="480"/>
        <w:rPr>
          <w:rFonts w:hint="eastAsia" w:ascii="宋体" w:hAnsi="宋体" w:eastAsia="宋体" w:cs="宋体"/>
          <w:color w:val="auto"/>
          <w:highlight w:val="none"/>
        </w:rPr>
      </w:pPr>
      <w:r>
        <w:rPr>
          <w:rFonts w:hint="eastAsia" w:ascii="宋体" w:hAnsi="宋体" w:eastAsia="宋体" w:cs="宋体"/>
          <w:color w:val="auto"/>
          <w:highlight w:val="none"/>
        </w:rPr>
        <w:t>投标人只允许有一个报价，并且在合同履行过程中是固定不变的，任何有选择或可调整的报价将不予接受，并按无效投标处理。</w:t>
      </w:r>
    </w:p>
    <w:p>
      <w:pPr>
        <w:pStyle w:val="35"/>
        <w:ind w:firstLine="482"/>
        <w:rPr>
          <w:rFonts w:hint="eastAsia" w:ascii="宋体" w:hAnsi="宋体" w:eastAsia="宋体" w:cs="宋体"/>
          <w:b/>
          <w:bCs/>
          <w:color w:val="auto"/>
          <w:highlight w:val="none"/>
          <w:lang w:val="zh-CN"/>
        </w:rPr>
      </w:pPr>
      <w:r>
        <w:rPr>
          <w:rFonts w:hint="eastAsia" w:ascii="宋体" w:hAnsi="宋体" w:eastAsia="宋体" w:cs="宋体"/>
          <w:b/>
          <w:bCs/>
          <w:color w:val="auto"/>
          <w:highlight w:val="none"/>
        </w:rPr>
        <w:t xml:space="preserve"> 技术</w:t>
      </w:r>
      <w:r>
        <w:rPr>
          <w:rFonts w:hint="eastAsia" w:ascii="宋体" w:hAnsi="宋体" w:eastAsia="宋体" w:cs="宋体"/>
          <w:b/>
          <w:bCs/>
          <w:color w:val="auto"/>
          <w:highlight w:val="none"/>
          <w:lang w:val="zh-CN"/>
        </w:rPr>
        <w:t>部分</w:t>
      </w:r>
    </w:p>
    <w:p>
      <w:pPr>
        <w:pStyle w:val="34"/>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投标人按照招标文件要求做出的</w:t>
      </w:r>
      <w:r>
        <w:rPr>
          <w:rFonts w:hint="eastAsia" w:ascii="宋体" w:hAnsi="宋体" w:eastAsia="宋体" w:cs="宋体"/>
          <w:color w:val="auto"/>
          <w:highlight w:val="none"/>
        </w:rPr>
        <w:t>技术</w:t>
      </w:r>
      <w:r>
        <w:rPr>
          <w:rFonts w:hint="eastAsia" w:ascii="宋体" w:hAnsi="宋体" w:eastAsia="宋体" w:cs="宋体"/>
          <w:color w:val="auto"/>
          <w:highlight w:val="none"/>
          <w:lang w:val="zh-CN"/>
        </w:rPr>
        <w:t>应答，主要是针对招标项目的</w:t>
      </w:r>
      <w:r>
        <w:rPr>
          <w:rFonts w:hint="eastAsia" w:ascii="宋体" w:hAnsi="宋体" w:eastAsia="宋体" w:cs="宋体"/>
          <w:color w:val="auto"/>
          <w:highlight w:val="none"/>
        </w:rPr>
        <w:t>技术</w:t>
      </w:r>
      <w:r>
        <w:rPr>
          <w:rFonts w:hint="eastAsia" w:ascii="宋体" w:hAnsi="宋体" w:eastAsia="宋体" w:cs="宋体"/>
          <w:color w:val="auto"/>
          <w:highlight w:val="none"/>
          <w:lang w:val="zh-CN"/>
        </w:rPr>
        <w:t>要求做出的实质性响应和满足。投标人的</w:t>
      </w:r>
      <w:r>
        <w:rPr>
          <w:rFonts w:hint="eastAsia" w:ascii="宋体" w:hAnsi="宋体" w:eastAsia="宋体" w:cs="宋体"/>
          <w:color w:val="auto"/>
          <w:highlight w:val="none"/>
        </w:rPr>
        <w:t>技术应答应尽可能</w:t>
      </w:r>
      <w:r>
        <w:rPr>
          <w:rFonts w:hint="eastAsia" w:ascii="宋体" w:hAnsi="宋体" w:eastAsia="宋体" w:cs="宋体"/>
          <w:color w:val="auto"/>
          <w:highlight w:val="none"/>
          <w:lang w:val="zh-CN"/>
        </w:rPr>
        <w:t>包括下列内容：</w:t>
      </w:r>
    </w:p>
    <w:p>
      <w:pPr>
        <w:pStyle w:val="36"/>
        <w:ind w:firstLine="480"/>
        <w:rPr>
          <w:rFonts w:hint="eastAsia" w:ascii="宋体" w:hAnsi="宋体" w:eastAsia="宋体" w:cs="宋体"/>
          <w:color w:val="auto"/>
          <w:highlight w:val="none"/>
        </w:rPr>
      </w:pPr>
      <w:r>
        <w:rPr>
          <w:rFonts w:hint="eastAsia" w:ascii="宋体" w:hAnsi="宋体" w:eastAsia="宋体" w:cs="宋体"/>
          <w:color w:val="auto"/>
          <w:highlight w:val="none"/>
        </w:rPr>
        <w:t>投标产品的品牌、规格、型号、产地、配置；</w:t>
      </w:r>
    </w:p>
    <w:p>
      <w:pPr>
        <w:pStyle w:val="36"/>
        <w:ind w:firstLine="480"/>
        <w:rPr>
          <w:rFonts w:hint="eastAsia" w:ascii="宋体" w:hAnsi="宋体" w:eastAsia="宋体" w:cs="宋体"/>
          <w:color w:val="auto"/>
          <w:highlight w:val="none"/>
        </w:rPr>
      </w:pPr>
      <w:r>
        <w:rPr>
          <w:rFonts w:hint="eastAsia" w:ascii="宋体" w:hAnsi="宋体" w:eastAsia="宋体" w:cs="宋体"/>
          <w:color w:val="auto"/>
          <w:highlight w:val="none"/>
        </w:rPr>
        <w:t>投标产品本身的详细的技术指标和参数(应当尽可能提供检测报告、产品使用说明书、用户手册等材料予以佐证)；</w:t>
      </w:r>
    </w:p>
    <w:p>
      <w:pPr>
        <w:pStyle w:val="36"/>
        <w:ind w:firstLine="480"/>
        <w:rPr>
          <w:rFonts w:hint="eastAsia" w:ascii="宋体" w:hAnsi="宋体" w:eastAsia="宋体" w:cs="宋体"/>
          <w:color w:val="auto"/>
          <w:highlight w:val="none"/>
        </w:rPr>
      </w:pPr>
      <w:r>
        <w:rPr>
          <w:rFonts w:hint="eastAsia" w:ascii="宋体" w:hAnsi="宋体" w:eastAsia="宋体" w:cs="宋体"/>
          <w:color w:val="auto"/>
          <w:highlight w:val="none"/>
        </w:rPr>
        <w:t>投标产品技术参数应答表；</w:t>
      </w:r>
    </w:p>
    <w:p>
      <w:pPr>
        <w:pStyle w:val="36"/>
        <w:ind w:firstLine="480"/>
        <w:rPr>
          <w:rFonts w:hint="eastAsia" w:ascii="宋体" w:hAnsi="宋体" w:eastAsia="宋体" w:cs="宋体"/>
          <w:color w:val="auto"/>
          <w:highlight w:val="none"/>
        </w:rPr>
      </w:pPr>
      <w:r>
        <w:rPr>
          <w:rFonts w:hint="eastAsia" w:ascii="宋体" w:hAnsi="宋体" w:eastAsia="宋体" w:cs="宋体"/>
          <w:color w:val="auto"/>
          <w:highlight w:val="none"/>
        </w:rPr>
        <w:t>产品彩页资料(如涉及需经过有关部门广告审核)；</w:t>
      </w:r>
    </w:p>
    <w:p>
      <w:pPr>
        <w:pStyle w:val="36"/>
        <w:ind w:firstLine="480"/>
        <w:rPr>
          <w:rFonts w:hint="eastAsia" w:ascii="宋体" w:hAnsi="宋体" w:eastAsia="宋体" w:cs="宋体"/>
          <w:color w:val="auto"/>
          <w:highlight w:val="none"/>
        </w:rPr>
      </w:pPr>
      <w:r>
        <w:rPr>
          <w:rFonts w:hint="eastAsia" w:ascii="宋体" w:hAnsi="宋体" w:eastAsia="宋体" w:cs="宋体"/>
          <w:color w:val="auto"/>
          <w:highlight w:val="none"/>
        </w:rPr>
        <w:t>产品使用环境条件；</w:t>
      </w:r>
    </w:p>
    <w:p>
      <w:pPr>
        <w:pStyle w:val="36"/>
        <w:ind w:firstLine="480"/>
        <w:rPr>
          <w:rFonts w:hint="eastAsia" w:ascii="宋体" w:hAnsi="宋体" w:eastAsia="宋体" w:cs="宋体"/>
          <w:color w:val="auto"/>
          <w:highlight w:val="none"/>
        </w:rPr>
      </w:pPr>
      <w:r>
        <w:rPr>
          <w:rFonts w:hint="eastAsia" w:ascii="宋体" w:hAnsi="宋体" w:eastAsia="宋体" w:cs="宋体"/>
          <w:color w:val="auto"/>
          <w:highlight w:val="none"/>
        </w:rPr>
        <w:t>产品验收标准和验收方法；</w:t>
      </w:r>
    </w:p>
    <w:p>
      <w:pPr>
        <w:pStyle w:val="36"/>
        <w:ind w:firstLine="480"/>
        <w:rPr>
          <w:rFonts w:hint="eastAsia" w:ascii="宋体" w:hAnsi="宋体" w:eastAsia="宋体" w:cs="宋体"/>
          <w:color w:val="auto"/>
          <w:highlight w:val="none"/>
        </w:rPr>
      </w:pPr>
      <w:r>
        <w:rPr>
          <w:rFonts w:hint="eastAsia" w:ascii="宋体" w:hAnsi="宋体" w:eastAsia="宋体" w:cs="宋体"/>
          <w:color w:val="auto"/>
          <w:highlight w:val="none"/>
        </w:rPr>
        <w:t>产品验收清单(注明各部件的品名、数量、价格、规格型号和原产地或生产厂家)；</w:t>
      </w:r>
    </w:p>
    <w:p>
      <w:pPr>
        <w:pStyle w:val="36"/>
        <w:ind w:firstLine="480"/>
        <w:rPr>
          <w:rFonts w:hint="eastAsia" w:ascii="宋体" w:hAnsi="宋体" w:eastAsia="宋体" w:cs="宋体"/>
          <w:color w:val="auto"/>
          <w:highlight w:val="none"/>
        </w:rPr>
      </w:pPr>
      <w:r>
        <w:rPr>
          <w:rFonts w:hint="eastAsia" w:ascii="宋体" w:hAnsi="宋体" w:eastAsia="宋体" w:cs="宋体"/>
          <w:color w:val="auto"/>
          <w:highlight w:val="none"/>
        </w:rPr>
        <w:t>投标人认为需要提供的文件和资料。</w:t>
      </w:r>
    </w:p>
    <w:p>
      <w:pPr>
        <w:pStyle w:val="35"/>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 商务部分</w:t>
      </w:r>
    </w:p>
    <w:p>
      <w:pPr>
        <w:pStyle w:val="35"/>
        <w:numPr>
          <w:ilvl w:val="4"/>
          <w:numId w:val="0"/>
        </w:numPr>
        <w:ind w:left="480" w:leftChars="200"/>
        <w:rPr>
          <w:rFonts w:hint="eastAsia" w:ascii="宋体" w:hAnsi="宋体" w:eastAsia="宋体" w:cs="宋体"/>
          <w:color w:val="auto"/>
          <w:highlight w:val="none"/>
        </w:rPr>
      </w:pPr>
      <w:r>
        <w:rPr>
          <w:rFonts w:hint="eastAsia" w:ascii="宋体" w:hAnsi="宋体" w:eastAsia="宋体" w:cs="宋体"/>
          <w:color w:val="auto"/>
          <w:highlight w:val="none"/>
        </w:rPr>
        <w:t>投标人按照招标文件要求提供的有关证明材料；至少应包括但不限于以下内容：</w:t>
      </w:r>
    </w:p>
    <w:p>
      <w:pPr>
        <w:pStyle w:val="36"/>
        <w:ind w:firstLine="480"/>
        <w:rPr>
          <w:rFonts w:hint="eastAsia" w:ascii="宋体" w:hAnsi="宋体" w:eastAsia="宋体" w:cs="宋体"/>
          <w:color w:val="auto"/>
          <w:highlight w:val="none"/>
        </w:rPr>
      </w:pPr>
      <w:bookmarkStart w:id="379" w:name="_Toc177972289"/>
      <w:bookmarkStart w:id="380" w:name="_Toc177972975"/>
      <w:bookmarkStart w:id="381" w:name="_Toc310410799"/>
      <w:bookmarkStart w:id="382" w:name="_Toc310411990"/>
      <w:bookmarkStart w:id="383" w:name="_Toc148505258"/>
      <w:bookmarkStart w:id="384" w:name="_Toc310412059"/>
      <w:bookmarkStart w:id="385" w:name="_Toc338418069"/>
      <w:r>
        <w:rPr>
          <w:rFonts w:hint="eastAsia" w:ascii="宋体" w:hAnsi="宋体" w:eastAsia="宋体" w:cs="宋体"/>
          <w:color w:val="auto"/>
          <w:highlight w:val="none"/>
        </w:rPr>
        <w:t>投标函；</w:t>
      </w:r>
    </w:p>
    <w:p>
      <w:pPr>
        <w:pStyle w:val="36"/>
        <w:ind w:firstLine="480"/>
        <w:rPr>
          <w:rFonts w:hint="eastAsia" w:ascii="宋体" w:hAnsi="宋体" w:eastAsia="宋体" w:cs="宋体"/>
          <w:color w:val="auto"/>
          <w:highlight w:val="none"/>
        </w:rPr>
      </w:pPr>
      <w:r>
        <w:rPr>
          <w:rFonts w:hint="eastAsia" w:ascii="宋体" w:hAnsi="宋体" w:eastAsia="宋体" w:cs="宋体"/>
          <w:color w:val="auto"/>
          <w:highlight w:val="none"/>
        </w:rPr>
        <w:t>投标人基本情况表；</w:t>
      </w:r>
    </w:p>
    <w:p>
      <w:pPr>
        <w:pStyle w:val="36"/>
        <w:ind w:firstLine="480"/>
        <w:rPr>
          <w:rFonts w:hint="eastAsia" w:ascii="宋体" w:hAnsi="宋体" w:eastAsia="宋体" w:cs="宋体"/>
          <w:color w:val="auto"/>
          <w:highlight w:val="none"/>
        </w:rPr>
      </w:pPr>
      <w:r>
        <w:rPr>
          <w:rFonts w:hint="eastAsia" w:ascii="宋体" w:hAnsi="宋体" w:eastAsia="宋体" w:cs="宋体"/>
          <w:color w:val="auto"/>
          <w:highlight w:val="none"/>
        </w:rPr>
        <w:t>商务应答表；</w:t>
      </w:r>
    </w:p>
    <w:p>
      <w:pPr>
        <w:pStyle w:val="36"/>
        <w:ind w:firstLine="480"/>
        <w:rPr>
          <w:rFonts w:hint="eastAsia" w:ascii="宋体" w:hAnsi="宋体" w:eastAsia="宋体" w:cs="宋体"/>
          <w:color w:val="auto"/>
          <w:highlight w:val="none"/>
        </w:rPr>
      </w:pPr>
      <w:r>
        <w:rPr>
          <w:rFonts w:hint="eastAsia" w:ascii="宋体" w:hAnsi="宋体" w:eastAsia="宋体" w:cs="宋体"/>
          <w:color w:val="auto"/>
          <w:highlight w:val="none"/>
        </w:rPr>
        <w:t>招标代理服务费承诺函；</w:t>
      </w:r>
    </w:p>
    <w:p>
      <w:pPr>
        <w:pStyle w:val="36"/>
        <w:ind w:firstLine="480"/>
        <w:rPr>
          <w:rFonts w:hint="eastAsia" w:ascii="宋体" w:hAnsi="宋体" w:eastAsia="宋体" w:cs="宋体"/>
          <w:color w:val="auto"/>
          <w:highlight w:val="none"/>
        </w:rPr>
      </w:pPr>
      <w:r>
        <w:rPr>
          <w:rFonts w:hint="eastAsia" w:ascii="宋体" w:hAnsi="宋体" w:eastAsia="宋体" w:cs="宋体"/>
          <w:color w:val="auto"/>
          <w:highlight w:val="none"/>
        </w:rPr>
        <w:t>投标人认为应当提供的其他证明材料；</w:t>
      </w:r>
    </w:p>
    <w:p>
      <w:pPr>
        <w:pStyle w:val="36"/>
        <w:ind w:firstLine="480"/>
        <w:rPr>
          <w:rFonts w:hint="eastAsia" w:ascii="宋体" w:hAnsi="宋体" w:eastAsia="宋体" w:cs="宋体"/>
          <w:color w:val="auto"/>
          <w:highlight w:val="none"/>
        </w:rPr>
      </w:pPr>
      <w:r>
        <w:rPr>
          <w:rFonts w:hint="eastAsia" w:ascii="宋体" w:hAnsi="宋体" w:eastAsia="宋体" w:cs="宋体"/>
          <w:color w:val="auto"/>
          <w:highlight w:val="none"/>
        </w:rPr>
        <w:t>招标文件规定的其他商务要求。</w:t>
      </w:r>
    </w:p>
    <w:bookmarkEnd w:id="379"/>
    <w:bookmarkEnd w:id="380"/>
    <w:bookmarkEnd w:id="381"/>
    <w:bookmarkEnd w:id="382"/>
    <w:bookmarkEnd w:id="383"/>
    <w:bookmarkEnd w:id="384"/>
    <w:bookmarkEnd w:id="385"/>
    <w:p>
      <w:pPr>
        <w:pStyle w:val="35"/>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 售后服务</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投标人按照招标文件中售后服务要求作出的积极响应和承诺。</w:t>
      </w:r>
    </w:p>
    <w:p>
      <w:pPr>
        <w:pStyle w:val="35"/>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 其他部分</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投标人按照招标文件要求作出的其他应答和承诺。</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注：以上1、2要求提供的证明材料均需加盖投标人公章，若未加盖投标人公章的，则该证明材料涉及的评分项不予评分，涉及资格条件或实质性要求的评审项按未通过处理。</w:t>
      </w:r>
    </w:p>
    <w:p>
      <w:pPr>
        <w:pStyle w:val="34"/>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若综合评分明细表和技术参数中需要提供的证明材料上述未提及，投标人根据综合评分明细表和技术参数要求提供相关的证明材料。</w:t>
      </w:r>
    </w:p>
    <w:p>
      <w:pPr>
        <w:pStyle w:val="32"/>
        <w:ind w:firstLine="482"/>
        <w:rPr>
          <w:rFonts w:hint="eastAsia" w:ascii="宋体" w:hAnsi="宋体" w:eastAsia="宋体" w:cs="宋体"/>
          <w:color w:val="auto"/>
          <w:highlight w:val="none"/>
        </w:rPr>
      </w:pPr>
      <w:bookmarkStart w:id="386" w:name="_Toc32288"/>
      <w:bookmarkStart w:id="387" w:name="_Toc1874"/>
      <w:bookmarkStart w:id="388" w:name="_Toc31136"/>
      <w:bookmarkStart w:id="389" w:name="_Toc15763"/>
      <w:bookmarkStart w:id="390" w:name="_Toc6789"/>
      <w:bookmarkStart w:id="391" w:name="_Toc319439893"/>
      <w:bookmarkStart w:id="392" w:name="_Toc23655"/>
      <w:bookmarkStart w:id="393" w:name="_Toc309897508"/>
      <w:bookmarkStart w:id="394" w:name="_Toc308084590"/>
      <w:bookmarkStart w:id="395" w:name="_Toc307564845"/>
      <w:bookmarkStart w:id="396" w:name="_Toc24047"/>
      <w:bookmarkStart w:id="397" w:name="_Toc3096"/>
      <w:bookmarkStart w:id="398" w:name="_Toc4288"/>
      <w:bookmarkStart w:id="399" w:name="_Toc31194"/>
      <w:bookmarkStart w:id="400" w:name="_Toc26967"/>
      <w:bookmarkStart w:id="401" w:name="_Toc319440135"/>
      <w:bookmarkStart w:id="402" w:name="_Toc32103"/>
      <w:bookmarkStart w:id="403" w:name="_Toc308188145"/>
      <w:bookmarkStart w:id="404" w:name="_Toc327196279"/>
      <w:r>
        <w:rPr>
          <w:rFonts w:hint="eastAsia" w:ascii="宋体" w:hAnsi="宋体" w:eastAsia="宋体" w:cs="宋体"/>
          <w:color w:val="auto"/>
          <w:highlight w:val="none"/>
        </w:rPr>
        <w:t>投标文件格式</w:t>
      </w:r>
      <w:bookmarkEnd w:id="375"/>
      <w:bookmarkEnd w:id="376"/>
      <w:bookmarkEnd w:id="377"/>
      <w:bookmarkEnd w:id="37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Fonts w:hint="eastAsia" w:ascii="宋体" w:hAnsi="宋体" w:eastAsia="宋体" w:cs="宋体"/>
          <w:color w:val="auto"/>
          <w:highlight w:val="none"/>
        </w:rPr>
        <w:tab/>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投标人应按照招标文件第三章中提供的“投标文件格式”填写相关内容。</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对于没有格式要求的由投标人自行编写。</w:t>
      </w:r>
    </w:p>
    <w:p>
      <w:pPr>
        <w:pStyle w:val="32"/>
        <w:ind w:firstLine="482"/>
        <w:rPr>
          <w:rFonts w:hint="eastAsia" w:ascii="宋体" w:hAnsi="宋体" w:eastAsia="宋体" w:cs="宋体"/>
          <w:color w:val="auto"/>
          <w:highlight w:val="none"/>
        </w:rPr>
      </w:pPr>
      <w:bookmarkStart w:id="405" w:name="_Toc319439894"/>
      <w:bookmarkStart w:id="406" w:name="_Toc308188146"/>
      <w:bookmarkStart w:id="407" w:name="_Toc183682360"/>
      <w:bookmarkStart w:id="408" w:name="_Toc217446050"/>
      <w:bookmarkStart w:id="409" w:name="_Toc308084591"/>
      <w:bookmarkStart w:id="410" w:name="_Toc307564846"/>
      <w:bookmarkStart w:id="411" w:name="_Toc21967"/>
      <w:bookmarkStart w:id="412" w:name="_Toc27418"/>
      <w:bookmarkStart w:id="413" w:name="_Toc30496"/>
      <w:bookmarkStart w:id="414" w:name="_Toc2456"/>
      <w:bookmarkStart w:id="415" w:name="_Toc20642"/>
      <w:bookmarkStart w:id="416" w:name="_Toc16016"/>
      <w:bookmarkStart w:id="417" w:name="_Toc327196280"/>
      <w:bookmarkStart w:id="418" w:name="_Toc183582223"/>
      <w:bookmarkStart w:id="419" w:name="_Toc31944"/>
      <w:bookmarkStart w:id="420" w:name="_Toc21884"/>
      <w:bookmarkStart w:id="421" w:name="_Toc14382"/>
      <w:bookmarkStart w:id="422" w:name="_Toc14436"/>
      <w:bookmarkStart w:id="423" w:name="_Toc307501103"/>
      <w:bookmarkStart w:id="424" w:name="_Toc29891"/>
      <w:bookmarkStart w:id="425" w:name="_Toc309897509"/>
      <w:bookmarkStart w:id="426" w:name="_Toc319440136"/>
      <w:bookmarkStart w:id="427" w:name="_Toc4102"/>
      <w:r>
        <w:rPr>
          <w:rFonts w:hint="eastAsia" w:ascii="宋体" w:hAnsi="宋体" w:eastAsia="宋体" w:cs="宋体"/>
          <w:color w:val="auto"/>
          <w:highlight w:val="none"/>
        </w:rPr>
        <w:t>投标保证金</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33"/>
        <w:numPr>
          <w:ilvl w:val="3"/>
          <w:numId w:val="0"/>
        </w:numPr>
        <w:ind w:left="480" w:leftChars="200"/>
        <w:rPr>
          <w:rFonts w:hint="eastAsia" w:ascii="宋体" w:hAnsi="宋体" w:eastAsia="宋体" w:cs="宋体"/>
          <w:color w:val="auto"/>
          <w:highlight w:val="none"/>
        </w:rPr>
      </w:pPr>
      <w:bookmarkStart w:id="428" w:name="_Toc9356"/>
      <w:bookmarkStart w:id="429" w:name="_Toc307501104"/>
      <w:bookmarkStart w:id="430" w:name="_Toc307564847"/>
      <w:bookmarkStart w:id="431" w:name="_Toc183682361"/>
      <w:bookmarkStart w:id="432" w:name="_Toc308188147"/>
      <w:bookmarkStart w:id="433" w:name="_Toc26011"/>
      <w:bookmarkStart w:id="434" w:name="_Toc27589"/>
      <w:bookmarkStart w:id="435" w:name="_Toc183582224"/>
      <w:bookmarkStart w:id="436" w:name="_Toc217446051"/>
      <w:bookmarkStart w:id="437" w:name="_Toc17857"/>
      <w:bookmarkStart w:id="438" w:name="_Toc31284"/>
      <w:bookmarkStart w:id="439" w:name="_Toc319439895"/>
      <w:bookmarkStart w:id="440" w:name="_Toc29434"/>
      <w:bookmarkStart w:id="441" w:name="_Toc308084592"/>
      <w:bookmarkStart w:id="442" w:name="_Toc13956"/>
      <w:bookmarkStart w:id="443" w:name="_Toc21338"/>
      <w:bookmarkStart w:id="444" w:name="_Toc309897510"/>
      <w:bookmarkStart w:id="445" w:name="_Toc327196281"/>
      <w:bookmarkStart w:id="446" w:name="_Toc319440137"/>
      <w:r>
        <w:rPr>
          <w:rFonts w:hint="eastAsia" w:ascii="宋体" w:hAnsi="宋体" w:eastAsia="宋体" w:cs="宋体"/>
          <w:color w:val="auto"/>
          <w:highlight w:val="none"/>
        </w:rPr>
        <w:t>本项目不收取投标保证金。</w:t>
      </w:r>
    </w:p>
    <w:p>
      <w:pPr>
        <w:pStyle w:val="32"/>
        <w:ind w:firstLine="482"/>
        <w:rPr>
          <w:rFonts w:hint="eastAsia" w:ascii="宋体" w:hAnsi="宋体" w:eastAsia="宋体" w:cs="宋体"/>
          <w:color w:val="auto"/>
          <w:highlight w:val="none"/>
        </w:rPr>
      </w:pPr>
      <w:bookmarkStart w:id="447" w:name="_Toc20243"/>
      <w:bookmarkStart w:id="448" w:name="_Toc19998"/>
      <w:bookmarkStart w:id="449" w:name="_Toc19115"/>
      <w:bookmarkStart w:id="450" w:name="_Toc30115"/>
      <w:r>
        <w:rPr>
          <w:rFonts w:hint="eastAsia" w:ascii="宋体" w:hAnsi="宋体" w:eastAsia="宋体" w:cs="宋体"/>
          <w:color w:val="auto"/>
          <w:highlight w:val="none"/>
        </w:rPr>
        <w:t>投标有效期</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hint="eastAsia" w:ascii="宋体" w:hAnsi="宋体" w:eastAsia="宋体" w:cs="宋体"/>
          <w:color w:val="auto"/>
          <w:highlight w:val="none"/>
        </w:rPr>
        <w:t>(实质性要求</w:t>
      </w:r>
      <w:bookmarkEnd w:id="447"/>
      <w:r>
        <w:rPr>
          <w:rFonts w:hint="eastAsia" w:ascii="宋体" w:hAnsi="宋体" w:eastAsia="宋体" w:cs="宋体"/>
          <w:color w:val="auto"/>
          <w:highlight w:val="none"/>
        </w:rPr>
        <w:t>)</w:t>
      </w:r>
      <w:bookmarkEnd w:id="448"/>
      <w:bookmarkEnd w:id="449"/>
      <w:bookmarkEnd w:id="450"/>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有效期为提交投标文件的截止之日起90日。投标人投标文件中必须载明投标有效期，投标文件中载明的投标有效期可以长于招标文件规定的期限，但不得短于招标文件规定的期限。否则，其投标文件将作为无效投标处理。</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32"/>
        <w:ind w:firstLine="482"/>
        <w:rPr>
          <w:rFonts w:hint="eastAsia" w:ascii="宋体" w:hAnsi="宋体" w:eastAsia="宋体" w:cs="宋体"/>
          <w:color w:val="auto"/>
          <w:highlight w:val="none"/>
        </w:rPr>
      </w:pPr>
      <w:bookmarkStart w:id="451" w:name="_Toc307564848"/>
      <w:bookmarkStart w:id="452" w:name="_Toc307501105"/>
      <w:bookmarkStart w:id="453" w:name="_Toc308084593"/>
      <w:bookmarkStart w:id="454" w:name="_Toc6239"/>
      <w:bookmarkStart w:id="455" w:name="_Toc309897511"/>
      <w:bookmarkStart w:id="456" w:name="_Toc7213"/>
      <w:bookmarkStart w:id="457" w:name="_Toc217446052"/>
      <w:bookmarkStart w:id="458" w:name="_Toc308188148"/>
      <w:bookmarkStart w:id="459" w:name="_Toc27612"/>
      <w:bookmarkStart w:id="460" w:name="_Toc183682362"/>
      <w:bookmarkStart w:id="461" w:name="_Toc327196282"/>
      <w:bookmarkStart w:id="462" w:name="_Toc319440138"/>
      <w:bookmarkStart w:id="463" w:name="_Toc25471"/>
      <w:bookmarkStart w:id="464" w:name="_Toc27461"/>
      <w:bookmarkStart w:id="465" w:name="_Toc319439896"/>
      <w:bookmarkStart w:id="466" w:name="_Toc24656"/>
      <w:bookmarkStart w:id="467" w:name="_Toc22593"/>
      <w:bookmarkStart w:id="468" w:name="_Toc11938"/>
      <w:bookmarkStart w:id="469" w:name="_Toc183582225"/>
      <w:bookmarkStart w:id="470" w:name="_Toc26817"/>
      <w:bookmarkStart w:id="471" w:name="_Toc3077"/>
      <w:bookmarkStart w:id="472" w:name="_Toc3717"/>
      <w:bookmarkStart w:id="473" w:name="_Toc12545"/>
      <w:r>
        <w:rPr>
          <w:rFonts w:hint="eastAsia" w:ascii="宋体" w:hAnsi="宋体" w:eastAsia="宋体" w:cs="宋体"/>
          <w:color w:val="auto"/>
          <w:highlight w:val="none"/>
        </w:rPr>
        <w:t>投标文件的印制和签署</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33"/>
        <w:ind w:firstLine="480"/>
        <w:rPr>
          <w:rFonts w:hint="eastAsia" w:ascii="宋体" w:hAnsi="宋体" w:eastAsia="宋体" w:cs="宋体"/>
          <w:color w:val="auto"/>
          <w:highlight w:val="none"/>
        </w:rPr>
      </w:pPr>
      <w:bookmarkStart w:id="474" w:name="_Toc89075877"/>
      <w:bookmarkStart w:id="475" w:name="_Toc77400781"/>
      <w:bookmarkStart w:id="476" w:name="_Toc183682363"/>
      <w:bookmarkStart w:id="477" w:name="_Toc183582226"/>
      <w:bookmarkStart w:id="478" w:name="_Toc10555"/>
      <w:bookmarkStart w:id="479" w:name="_Toc17010"/>
      <w:bookmarkStart w:id="480" w:name="_Toc6805"/>
      <w:bookmarkStart w:id="481" w:name="_Toc309897512"/>
      <w:bookmarkStart w:id="482" w:name="_Toc308084594"/>
      <w:bookmarkStart w:id="483" w:name="_Toc217446053"/>
      <w:bookmarkStart w:id="484" w:name="_Toc319440139"/>
      <w:bookmarkStart w:id="485" w:name="_Toc308188149"/>
      <w:bookmarkStart w:id="486" w:name="_Toc27443"/>
      <w:bookmarkStart w:id="487" w:name="_Toc319439897"/>
      <w:bookmarkStart w:id="488" w:name="_Toc16752"/>
      <w:bookmarkStart w:id="489" w:name="_Toc19839"/>
      <w:bookmarkStart w:id="490" w:name="_Toc19635"/>
      <w:bookmarkStart w:id="491" w:name="_Toc13153"/>
      <w:bookmarkStart w:id="492" w:name="_Toc23619"/>
      <w:bookmarkStart w:id="493" w:name="_Toc327196283"/>
      <w:bookmarkStart w:id="494" w:name="_Toc307501106"/>
      <w:bookmarkStart w:id="495" w:name="_Toc23675"/>
      <w:bookmarkStart w:id="496" w:name="_Toc5019"/>
      <w:bookmarkStart w:id="497" w:name="_Toc307564849"/>
      <w:r>
        <w:rPr>
          <w:rFonts w:hint="eastAsia" w:ascii="宋体" w:hAnsi="宋体" w:eastAsia="宋体" w:cs="宋体"/>
          <w:color w:val="auto"/>
          <w:highlight w:val="none"/>
        </w:rPr>
        <w:t>投标文件分《资格、资质性及其他类似效力投标文件》、《其他投标文件》两部分，分册装订，内容不得相互混装。</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投标文件按招标文件要求的格式进行密封。资格、资质性及其他类似效力投标文件用于采购人或采购代理机构对投标人进行资格审查，其他投标文件用于评标委员会评审。</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投标人递交的投标文件为一式叁份，其中正本壹份、副本贰份，单独提交用于开标唱标的“开标一览表”壹份原件(加盖公章，复印件无效)</w:t>
      </w:r>
      <w:r>
        <w:rPr>
          <w:rFonts w:hint="eastAsia" w:ascii="宋体" w:hAnsi="宋体" w:eastAsia="宋体" w:cs="宋体"/>
          <w:b/>
          <w:bCs/>
          <w:color w:val="auto"/>
          <w:highlight w:val="none"/>
        </w:rPr>
        <w:t>(实质性要求)</w:t>
      </w:r>
      <w:r>
        <w:rPr>
          <w:rFonts w:hint="eastAsia" w:ascii="宋体" w:hAnsi="宋体" w:eastAsia="宋体" w:cs="宋体"/>
          <w:color w:val="auto"/>
          <w:highlight w:val="none"/>
        </w:rPr>
        <w:t>。</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“开标一览表”除单独密封提交外，还应编制于其他投标文件正副本内，如有遗漏，将视为无效投标</w:t>
      </w:r>
      <w:r>
        <w:rPr>
          <w:rFonts w:hint="eastAsia" w:ascii="宋体" w:hAnsi="宋体" w:eastAsia="宋体" w:cs="宋体"/>
          <w:b/>
          <w:bCs/>
          <w:color w:val="auto"/>
          <w:highlight w:val="none"/>
        </w:rPr>
        <w:t>(实质性要求)</w:t>
      </w:r>
      <w:r>
        <w:rPr>
          <w:rFonts w:hint="eastAsia" w:ascii="宋体" w:hAnsi="宋体" w:eastAsia="宋体" w:cs="宋体"/>
          <w:color w:val="auto"/>
          <w:highlight w:val="none"/>
        </w:rPr>
        <w:t>。</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投标文件正本和副本统一用A4幅面纸印制(图、表、证件、宣传资料、技术证明材料可以除外)，逐页编码，可双面打印。</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投标文件的正本和副本应采用左侧胶装，不得散装或者活页装订。</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若投标文件内容较多，可分册装订，并在封面标明次序及册数。</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投标文件中的证明、证件及附件等复印件应集中紧附在相应正文内容后面，并尽量与前面正文部分的顺序相对应。</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文件的打印和书写应清楚工整，任何签字、行间插字、涂改或增删，必须由投标人的法定代表人或其授权代表签字或盖个人印鉴(签字可用具有法定效力的个人印章代替)不得使用专用章(如经济合同章、投标专用章等)或下属单位印章代替</w:t>
      </w:r>
      <w:r>
        <w:rPr>
          <w:rFonts w:hint="eastAsia" w:ascii="宋体" w:hAnsi="宋体" w:eastAsia="宋体" w:cs="宋体"/>
          <w:b/>
          <w:bCs/>
          <w:color w:val="auto"/>
          <w:highlight w:val="none"/>
        </w:rPr>
        <w:t>(实质性要求)</w:t>
      </w:r>
      <w:r>
        <w:rPr>
          <w:rFonts w:hint="eastAsia" w:ascii="宋体" w:hAnsi="宋体" w:eastAsia="宋体" w:cs="宋体"/>
          <w:color w:val="auto"/>
          <w:highlight w:val="none"/>
        </w:rPr>
        <w:t>。</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投标文件应根据上述要求制作，签署、盖章，内容应完整。</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本招标文件要求的复印件是指对图文进行复制后的文件，包括扫描、复印、影印等方式复制的材料。</w:t>
      </w:r>
    </w:p>
    <w:p>
      <w:pPr>
        <w:pStyle w:val="32"/>
        <w:ind w:firstLine="482"/>
        <w:rPr>
          <w:rFonts w:hint="eastAsia" w:ascii="宋体" w:hAnsi="宋体" w:eastAsia="宋体" w:cs="宋体"/>
          <w:color w:val="auto"/>
          <w:highlight w:val="none"/>
        </w:rPr>
      </w:pPr>
      <w:bookmarkStart w:id="498" w:name="_Toc13587"/>
      <w:r>
        <w:rPr>
          <w:rFonts w:hint="eastAsia" w:ascii="宋体" w:hAnsi="宋体" w:eastAsia="宋体" w:cs="宋体"/>
          <w:color w:val="auto"/>
          <w:highlight w:val="none"/>
        </w:rPr>
        <w:t>投标文件的密封和标</w:t>
      </w:r>
      <w:bookmarkEnd w:id="474"/>
      <w:bookmarkEnd w:id="475"/>
      <w:bookmarkEnd w:id="476"/>
      <w:bookmarkEnd w:id="477"/>
      <w:r>
        <w:rPr>
          <w:rFonts w:hint="eastAsia" w:ascii="宋体" w:hAnsi="宋体" w:eastAsia="宋体" w:cs="宋体"/>
          <w:color w:val="auto"/>
          <w:highlight w:val="none"/>
        </w:rPr>
        <w:t>注</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33"/>
        <w:ind w:firstLine="480"/>
        <w:rPr>
          <w:rFonts w:hint="eastAsia" w:ascii="宋体" w:hAnsi="宋体" w:eastAsia="宋体" w:cs="宋体"/>
          <w:color w:val="auto"/>
          <w:highlight w:val="none"/>
        </w:rPr>
      </w:pPr>
      <w:bookmarkStart w:id="499" w:name="_Toc183582227"/>
      <w:bookmarkStart w:id="500" w:name="_Toc183682364"/>
      <w:bookmarkStart w:id="501" w:name="_Toc319440140"/>
      <w:bookmarkStart w:id="502" w:name="_Toc327196284"/>
      <w:bookmarkStart w:id="503" w:name="_Toc25113"/>
      <w:bookmarkStart w:id="504" w:name="_Toc319439898"/>
      <w:bookmarkStart w:id="505" w:name="_Toc308084595"/>
      <w:bookmarkStart w:id="506" w:name="_Toc2092"/>
      <w:bookmarkStart w:id="507" w:name="_Toc7231"/>
      <w:bookmarkStart w:id="508" w:name="_Toc307501107"/>
      <w:bookmarkStart w:id="509" w:name="_Toc5768"/>
      <w:bookmarkStart w:id="510" w:name="_Toc309897513"/>
      <w:bookmarkStart w:id="511" w:name="_Toc217446054"/>
      <w:bookmarkStart w:id="512" w:name="_Toc307564850"/>
      <w:bookmarkStart w:id="513" w:name="_Toc54"/>
      <w:bookmarkStart w:id="514" w:name="_Toc20273"/>
      <w:bookmarkStart w:id="515" w:name="_Toc308188150"/>
      <w:r>
        <w:rPr>
          <w:rFonts w:hint="eastAsia" w:ascii="宋体" w:hAnsi="宋体" w:eastAsia="宋体" w:cs="宋体"/>
          <w:color w:val="auto"/>
          <w:highlight w:val="none"/>
        </w:rPr>
        <w:t>投标人应在投标文件正本和所有副本的封面上注明投标人名称、项目编号、项目名称、投标日期。</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资格、资质性及其他类似效力投标文件、其他投标文件、用于开标唱标单独提交的开标一览表，应分别封装于不同的密封袋内，密封袋的封口处应粘贴牢固，密封袋上应分别标上“资格、资质性及其他类似效力投标文件”、“其他投标文件”、“开标一览表”字样，并注明投标人名称、项目名称、项目编号、投标日期，并在封口处加盖投标人公章。</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未按照招标文件要求密封的投标文件，将被采购代理机构拒收。</w:t>
      </w:r>
    </w:p>
    <w:p>
      <w:pPr>
        <w:pStyle w:val="32"/>
        <w:ind w:firstLine="482"/>
        <w:rPr>
          <w:rFonts w:hint="eastAsia" w:ascii="宋体" w:hAnsi="宋体" w:eastAsia="宋体" w:cs="宋体"/>
          <w:color w:val="auto"/>
          <w:highlight w:val="none"/>
        </w:rPr>
      </w:pPr>
      <w:bookmarkStart w:id="516" w:name="_Toc24693"/>
      <w:bookmarkStart w:id="517" w:name="_Toc30361"/>
      <w:bookmarkStart w:id="518" w:name="_Toc19406"/>
      <w:bookmarkStart w:id="519" w:name="_Toc27234"/>
      <w:bookmarkStart w:id="520" w:name="_Toc9965"/>
      <w:bookmarkStart w:id="521" w:name="_Toc25947"/>
      <w:r>
        <w:rPr>
          <w:rFonts w:hint="eastAsia" w:ascii="宋体" w:hAnsi="宋体" w:eastAsia="宋体" w:cs="宋体"/>
          <w:color w:val="auto"/>
          <w:highlight w:val="none"/>
        </w:rPr>
        <w:t>投标文件的</w:t>
      </w:r>
      <w:bookmarkEnd w:id="499"/>
      <w:bookmarkEnd w:id="500"/>
      <w:r>
        <w:rPr>
          <w:rFonts w:hint="eastAsia" w:ascii="宋体" w:hAnsi="宋体" w:eastAsia="宋体" w:cs="宋体"/>
          <w:color w:val="auto"/>
          <w:highlight w:val="none"/>
        </w:rPr>
        <w:t>递交</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投标人应在招标文件规定的投标截止时间前，将投标文件按招标文件规定密封后送达开标地点。</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逾期送达或者未按照招标文件要求密封的投标文件，将被采购代理机构拒收，并告知投标人不予接收的原因。</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递交投标文件时，投标供应商名称和投标文件的项目编号应当与报名供应商名称和招标文件的项目编号一致。但是，投标文件实质内容与报名供应商名称和招标文件的项目编号一致，只是封面文字错误的，可以在评标过程中当面予以澄清，以有效的澄清材料作为认定投标文件是否有效的依据。</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本次招标不接收邮寄的投标文件。</w:t>
      </w:r>
    </w:p>
    <w:p>
      <w:pPr>
        <w:pStyle w:val="32"/>
        <w:ind w:firstLine="482"/>
        <w:rPr>
          <w:rFonts w:hint="eastAsia" w:ascii="宋体" w:hAnsi="宋体" w:eastAsia="宋体" w:cs="宋体"/>
          <w:color w:val="auto"/>
          <w:highlight w:val="none"/>
        </w:rPr>
      </w:pPr>
      <w:bookmarkStart w:id="522" w:name="_Toc183582228"/>
      <w:bookmarkStart w:id="523" w:name="_Toc183682365"/>
      <w:bookmarkStart w:id="524" w:name="_Toc307501108"/>
      <w:bookmarkStart w:id="525" w:name="_Toc319440141"/>
      <w:bookmarkStart w:id="526" w:name="_Toc309897514"/>
      <w:bookmarkStart w:id="527" w:name="_Toc22634"/>
      <w:bookmarkStart w:id="528" w:name="_Toc3865"/>
      <w:bookmarkStart w:id="529" w:name="_Toc1451"/>
      <w:bookmarkStart w:id="530" w:name="_Toc327196285"/>
      <w:bookmarkStart w:id="531" w:name="_Toc217446055"/>
      <w:bookmarkStart w:id="532" w:name="_Toc308084596"/>
      <w:bookmarkStart w:id="533" w:name="_Toc6140"/>
      <w:bookmarkStart w:id="534" w:name="_Toc23816"/>
      <w:bookmarkStart w:id="535" w:name="_Toc308188151"/>
      <w:bookmarkStart w:id="536" w:name="_Toc7313"/>
      <w:bookmarkStart w:id="537" w:name="_Toc307564851"/>
      <w:bookmarkStart w:id="538" w:name="_Toc17045"/>
      <w:bookmarkStart w:id="539" w:name="_Toc15900"/>
      <w:bookmarkStart w:id="540" w:name="_Toc26118"/>
      <w:bookmarkStart w:id="541" w:name="_Toc4178"/>
      <w:bookmarkStart w:id="542" w:name="_Toc12138"/>
      <w:bookmarkStart w:id="543" w:name="_Toc319439899"/>
      <w:bookmarkStart w:id="544" w:name="_Toc15674"/>
      <w:r>
        <w:rPr>
          <w:rFonts w:hint="eastAsia" w:ascii="宋体" w:hAnsi="宋体" w:eastAsia="宋体" w:cs="宋体"/>
          <w:color w:val="auto"/>
          <w:highlight w:val="none"/>
        </w:rPr>
        <w:t>投标文件的修改和撤</w:t>
      </w:r>
      <w:bookmarkEnd w:id="522"/>
      <w:bookmarkEnd w:id="523"/>
      <w:r>
        <w:rPr>
          <w:rFonts w:hint="eastAsia" w:ascii="宋体" w:hAnsi="宋体" w:eastAsia="宋体" w:cs="宋体"/>
          <w:color w:val="auto"/>
          <w:highlight w:val="none"/>
        </w:rPr>
        <w:t>回</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投标人的修改书或撤回通知书，应由其法定代表人/单位负责人或授权代表签署并盖单位印章。修改书应按第二章第四节第十一条规定进行密封和标注，并在密封袋上标注“修改”字样。</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在投标截止时间之后，投标人不得对其递交的投标文件做任何修改，撤回投标的，将按照有关规定进行相应处理。</w:t>
      </w:r>
    </w:p>
    <w:p>
      <w:pPr>
        <w:pStyle w:val="53"/>
        <w:spacing w:before="120" w:after="120"/>
        <w:rPr>
          <w:rFonts w:hint="eastAsia" w:ascii="宋体" w:hAnsi="宋体" w:eastAsia="宋体" w:cs="宋体"/>
          <w:color w:val="auto"/>
          <w:highlight w:val="none"/>
        </w:rPr>
      </w:pPr>
      <w:bookmarkStart w:id="545" w:name="_Toc29167"/>
      <w:bookmarkStart w:id="546" w:name="_Toc15691"/>
      <w:bookmarkStart w:id="547" w:name="_Toc183582231"/>
      <w:bookmarkStart w:id="548" w:name="_Toc217446056"/>
      <w:bookmarkStart w:id="549" w:name="_Toc77400782"/>
      <w:bookmarkStart w:id="550" w:name="_Toc16817"/>
      <w:bookmarkStart w:id="551" w:name="_Toc21531"/>
      <w:bookmarkStart w:id="552" w:name="_Toc327196286"/>
      <w:bookmarkStart w:id="553" w:name="_Toc89075878"/>
      <w:bookmarkStart w:id="554" w:name="_Toc24962"/>
      <w:bookmarkStart w:id="555" w:name="_Toc183682368"/>
      <w:r>
        <w:rPr>
          <w:rFonts w:hint="eastAsia" w:ascii="宋体" w:hAnsi="宋体" w:eastAsia="宋体" w:cs="宋体"/>
          <w:color w:val="auto"/>
          <w:highlight w:val="none"/>
        </w:rPr>
        <w:t>开标和中标</w:t>
      </w:r>
      <w:bookmarkEnd w:id="545"/>
      <w:bookmarkEnd w:id="546"/>
      <w:bookmarkEnd w:id="547"/>
      <w:bookmarkEnd w:id="548"/>
      <w:bookmarkEnd w:id="549"/>
      <w:bookmarkEnd w:id="550"/>
      <w:bookmarkEnd w:id="551"/>
      <w:bookmarkEnd w:id="552"/>
      <w:bookmarkEnd w:id="553"/>
      <w:bookmarkEnd w:id="554"/>
      <w:bookmarkEnd w:id="555"/>
    </w:p>
    <w:p>
      <w:pPr>
        <w:pStyle w:val="32"/>
        <w:numPr>
          <w:ilvl w:val="2"/>
          <w:numId w:val="11"/>
        </w:numPr>
        <w:ind w:firstLine="482"/>
        <w:rPr>
          <w:rFonts w:hint="eastAsia" w:ascii="宋体" w:hAnsi="宋体" w:eastAsia="宋体" w:cs="宋体"/>
          <w:color w:val="auto"/>
          <w:highlight w:val="none"/>
        </w:rPr>
      </w:pPr>
      <w:bookmarkStart w:id="556" w:name="_Toc217446057"/>
      <w:bookmarkStart w:id="557" w:name="_Toc308084598"/>
      <w:bookmarkStart w:id="558" w:name="_Toc183582232"/>
      <w:bookmarkStart w:id="559" w:name="_Toc307564853"/>
      <w:bookmarkStart w:id="560" w:name="_Toc18049"/>
      <w:bookmarkStart w:id="561" w:name="_Toc15426"/>
      <w:bookmarkStart w:id="562" w:name="_Toc309897516"/>
      <w:bookmarkStart w:id="563" w:name="_Toc319439901"/>
      <w:bookmarkStart w:id="564" w:name="_Toc11957"/>
      <w:bookmarkStart w:id="565" w:name="_Toc8915"/>
      <w:bookmarkStart w:id="566" w:name="_Toc319440143"/>
      <w:bookmarkStart w:id="567" w:name="_Toc29493"/>
      <w:bookmarkStart w:id="568" w:name="_Toc13303"/>
      <w:bookmarkStart w:id="569" w:name="_Toc327196287"/>
      <w:bookmarkStart w:id="570" w:name="_Toc6289"/>
      <w:bookmarkStart w:id="571" w:name="_Toc23998"/>
      <w:bookmarkStart w:id="572" w:name="_Toc29031"/>
      <w:bookmarkStart w:id="573" w:name="_Toc307501110"/>
      <w:bookmarkStart w:id="574" w:name="_Toc19952"/>
      <w:bookmarkStart w:id="575" w:name="_Toc27534"/>
      <w:bookmarkStart w:id="576" w:name="_Toc13237"/>
      <w:bookmarkStart w:id="577" w:name="_Toc308188153"/>
      <w:bookmarkStart w:id="578" w:name="_Toc183682369"/>
      <w:r>
        <w:rPr>
          <w:rFonts w:hint="eastAsia" w:ascii="宋体" w:hAnsi="宋体" w:eastAsia="宋体" w:cs="宋体"/>
          <w:color w:val="auto"/>
          <w:highlight w:val="none"/>
        </w:rPr>
        <w:t>开标</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33"/>
        <w:numPr>
          <w:ilvl w:val="3"/>
          <w:numId w:val="12"/>
        </w:numPr>
        <w:ind w:firstLine="480"/>
        <w:rPr>
          <w:rFonts w:hint="eastAsia" w:ascii="宋体" w:hAnsi="宋体" w:eastAsia="宋体" w:cs="宋体"/>
          <w:color w:val="auto"/>
          <w:highlight w:val="none"/>
        </w:rPr>
      </w:pPr>
      <w:bookmarkStart w:id="579" w:name="_Toc308084599"/>
      <w:bookmarkStart w:id="580" w:name="_Toc319439902"/>
      <w:bookmarkStart w:id="581" w:name="_Toc308188154"/>
      <w:bookmarkStart w:id="582" w:name="_Toc309897517"/>
      <w:bookmarkStart w:id="583" w:name="_Toc319440144"/>
      <w:bookmarkStart w:id="584" w:name="_Toc307564854"/>
      <w:bookmarkStart w:id="585" w:name="_Toc327196288"/>
      <w:bookmarkStart w:id="586" w:name="_Toc307501111"/>
      <w:bookmarkStart w:id="587" w:name="_Toc217446058"/>
      <w:r>
        <w:rPr>
          <w:rFonts w:hint="eastAsia" w:ascii="宋体" w:hAnsi="宋体" w:eastAsia="宋体" w:cs="宋体"/>
          <w:color w:val="auto"/>
          <w:highlight w:val="none"/>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p>
    <w:p>
      <w:pPr>
        <w:pStyle w:val="33"/>
        <w:numPr>
          <w:ilvl w:val="3"/>
          <w:numId w:val="12"/>
        </w:numPr>
        <w:ind w:firstLine="480"/>
        <w:rPr>
          <w:rFonts w:hint="eastAsia" w:ascii="宋体" w:hAnsi="宋体" w:eastAsia="宋体" w:cs="宋体"/>
          <w:color w:val="auto"/>
          <w:highlight w:val="none"/>
        </w:rPr>
      </w:pPr>
      <w:r>
        <w:rPr>
          <w:rFonts w:hint="eastAsia" w:ascii="宋体" w:hAnsi="宋体" w:eastAsia="宋体" w:cs="宋体"/>
          <w:color w:val="auto"/>
          <w:highlight w:val="none"/>
        </w:rPr>
        <w:t>开标活动对外公开，在保证正常开标秩序的前提下，允许除投标人及其代表之外的其他人员观摩开标活动。其他人员需要参加开标活动的，须事先向采购代理机构书面申请并取得同意后方能参加，且在开标现场须服从采购代理机构的安排。</w:t>
      </w:r>
    </w:p>
    <w:p>
      <w:pPr>
        <w:pStyle w:val="33"/>
        <w:numPr>
          <w:ilvl w:val="3"/>
          <w:numId w:val="12"/>
        </w:numPr>
        <w:ind w:firstLine="480"/>
        <w:rPr>
          <w:rFonts w:hint="eastAsia" w:ascii="宋体" w:hAnsi="宋体" w:eastAsia="宋体" w:cs="宋体"/>
          <w:color w:val="auto"/>
          <w:highlight w:val="none"/>
        </w:rPr>
      </w:pPr>
      <w:r>
        <w:rPr>
          <w:rFonts w:hint="eastAsia" w:ascii="宋体" w:hAnsi="宋体" w:eastAsia="宋体" w:cs="宋体"/>
          <w:color w:val="auto"/>
          <w:highlight w:val="none"/>
        </w:rPr>
        <w:t>开标时，可根据具体情况邀请有关监督管理部门对开标活动进行现场监督。</w:t>
      </w:r>
    </w:p>
    <w:p>
      <w:pPr>
        <w:pStyle w:val="33"/>
        <w:numPr>
          <w:ilvl w:val="3"/>
          <w:numId w:val="12"/>
        </w:numPr>
        <w:ind w:firstLine="480"/>
        <w:rPr>
          <w:rFonts w:hint="eastAsia" w:ascii="宋体" w:hAnsi="宋体" w:eastAsia="宋体" w:cs="宋体"/>
          <w:color w:val="auto"/>
          <w:highlight w:val="none"/>
        </w:rPr>
      </w:pPr>
      <w:r>
        <w:rPr>
          <w:rFonts w:hint="eastAsia" w:ascii="宋体" w:hAnsi="宋体" w:eastAsia="宋体" w:cs="宋体"/>
          <w:color w:val="auto"/>
          <w:highlight w:val="none"/>
        </w:rPr>
        <w:t>开标时，由投标人或者其推选的代表先检查其自己递交的投标文件的密封情况，经确认无误后，由招标工作人员将投标人单独提交用于开标唱标的“开标一览表”当众拆封，并由唱标人员按照招标文件规定的内容进行宣读。</w:t>
      </w:r>
    </w:p>
    <w:p>
      <w:pPr>
        <w:pStyle w:val="33"/>
        <w:numPr>
          <w:ilvl w:val="3"/>
          <w:numId w:val="12"/>
        </w:numPr>
        <w:ind w:firstLine="480"/>
        <w:rPr>
          <w:rFonts w:hint="eastAsia" w:ascii="宋体" w:hAnsi="宋体" w:eastAsia="宋体" w:cs="宋体"/>
          <w:color w:val="auto"/>
          <w:highlight w:val="none"/>
        </w:rPr>
      </w:pPr>
      <w:r>
        <w:rPr>
          <w:rFonts w:hint="eastAsia" w:ascii="宋体" w:hAnsi="宋体" w:eastAsia="宋体" w:cs="宋体"/>
          <w:color w:val="auto"/>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至开标主持人或者现场监督人员，要求开标现场记录人员予以记录，但不得干扰、阻挠开标工作的正常进行。</w:t>
      </w:r>
    </w:p>
    <w:p>
      <w:pPr>
        <w:pStyle w:val="33"/>
        <w:numPr>
          <w:ilvl w:val="3"/>
          <w:numId w:val="12"/>
        </w:numPr>
        <w:ind w:firstLine="480"/>
        <w:rPr>
          <w:rFonts w:hint="eastAsia" w:ascii="宋体" w:hAnsi="宋体" w:eastAsia="宋体" w:cs="宋体"/>
          <w:color w:val="auto"/>
          <w:highlight w:val="none"/>
        </w:rPr>
      </w:pPr>
      <w:r>
        <w:rPr>
          <w:rFonts w:hint="eastAsia" w:ascii="宋体" w:hAnsi="宋体" w:eastAsia="宋体" w:cs="宋体"/>
          <w:color w:val="auto"/>
          <w:highlight w:val="none"/>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33"/>
        <w:numPr>
          <w:ilvl w:val="3"/>
          <w:numId w:val="12"/>
        </w:numPr>
        <w:ind w:firstLine="480"/>
        <w:rPr>
          <w:rFonts w:hint="eastAsia" w:ascii="宋体" w:hAnsi="宋体" w:eastAsia="宋体" w:cs="宋体"/>
          <w:color w:val="auto"/>
          <w:highlight w:val="none"/>
        </w:rPr>
      </w:pPr>
      <w:r>
        <w:rPr>
          <w:rFonts w:hint="eastAsia" w:ascii="宋体" w:hAnsi="宋体" w:eastAsia="宋体" w:cs="宋体"/>
          <w:color w:val="auto"/>
          <w:highlight w:val="none"/>
        </w:rPr>
        <w:t>投标文件中相关内容与“开标一览表”不一致的，以“开标一览表”为准。对不同文字文本投标文件的解释发生异议的，以中文文本为准。</w:t>
      </w:r>
    </w:p>
    <w:p>
      <w:pPr>
        <w:pStyle w:val="33"/>
        <w:numPr>
          <w:ilvl w:val="3"/>
          <w:numId w:val="12"/>
        </w:numPr>
        <w:ind w:firstLine="480"/>
        <w:rPr>
          <w:rFonts w:hint="eastAsia" w:ascii="宋体" w:hAnsi="宋体" w:eastAsia="宋体" w:cs="宋体"/>
          <w:color w:val="auto"/>
          <w:highlight w:val="none"/>
        </w:rPr>
      </w:pPr>
      <w:r>
        <w:rPr>
          <w:rFonts w:hint="eastAsia" w:ascii="宋体" w:hAnsi="宋体" w:eastAsia="宋体" w:cs="宋体"/>
          <w:color w:val="auto"/>
          <w:highlight w:val="none"/>
        </w:rPr>
        <w:t>所有投标唱标完毕，如投标人代表对宣读的“开标一览表”上的内容有异议的，应在获得开标会主持人同意后当场提出。如确实属于唱标人员宣读错了的，经现场监督人员核实后，当场予以更正。</w:t>
      </w:r>
    </w:p>
    <w:p>
      <w:pPr>
        <w:pStyle w:val="32"/>
        <w:numPr>
          <w:ilvl w:val="2"/>
          <w:numId w:val="11"/>
        </w:numPr>
        <w:ind w:firstLine="482"/>
        <w:rPr>
          <w:rFonts w:hint="eastAsia" w:ascii="宋体" w:hAnsi="宋体" w:eastAsia="宋体" w:cs="宋体"/>
          <w:color w:val="auto"/>
          <w:highlight w:val="none"/>
        </w:rPr>
      </w:pPr>
      <w:bookmarkStart w:id="588" w:name="_Toc15266"/>
      <w:bookmarkStart w:id="589" w:name="_Toc10782"/>
      <w:bookmarkStart w:id="590" w:name="_Toc20885"/>
      <w:bookmarkStart w:id="591" w:name="_Toc17927"/>
      <w:bookmarkStart w:id="592" w:name="_Toc26350"/>
      <w:bookmarkStart w:id="593" w:name="_Toc827"/>
      <w:bookmarkStart w:id="594" w:name="_Toc7168"/>
      <w:bookmarkStart w:id="595" w:name="_Toc24509"/>
      <w:bookmarkStart w:id="596" w:name="_Toc3356"/>
      <w:bookmarkStart w:id="597" w:name="_Toc12755"/>
      <w:bookmarkStart w:id="598" w:name="_Toc5097"/>
      <w:bookmarkStart w:id="599" w:name="_Toc18256"/>
      <w:r>
        <w:rPr>
          <w:rFonts w:hint="eastAsia" w:ascii="宋体" w:hAnsi="宋体" w:eastAsia="宋体" w:cs="宋体"/>
          <w:color w:val="auto"/>
          <w:highlight w:val="none"/>
        </w:rPr>
        <w:t>开标程序</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34"/>
        <w:rPr>
          <w:rFonts w:hint="eastAsia" w:ascii="宋体" w:hAnsi="宋体" w:eastAsia="宋体" w:cs="宋体"/>
          <w:color w:val="auto"/>
          <w:highlight w:val="none"/>
        </w:rPr>
      </w:pPr>
      <w:r>
        <w:rPr>
          <w:rFonts w:hint="eastAsia" w:ascii="宋体" w:hAnsi="宋体" w:eastAsia="宋体" w:cs="宋体"/>
          <w:color w:val="auto"/>
          <w:highlight w:val="none"/>
        </w:rPr>
        <w:t>开标会主持人按照招标文件规定的开标时间宣布开标，按照规定要求主持开标会。开标将按以下程序进行：</w:t>
      </w:r>
    </w:p>
    <w:p>
      <w:pPr>
        <w:pStyle w:val="33"/>
        <w:numPr>
          <w:ilvl w:val="3"/>
          <w:numId w:val="11"/>
        </w:numPr>
        <w:ind w:firstLine="480"/>
        <w:rPr>
          <w:rFonts w:hint="eastAsia" w:ascii="宋体" w:hAnsi="宋体" w:eastAsia="宋体" w:cs="宋体"/>
          <w:color w:val="auto"/>
          <w:highlight w:val="none"/>
        </w:rPr>
      </w:pPr>
      <w:bookmarkStart w:id="600" w:name="_Toc13447"/>
      <w:bookmarkStart w:id="601" w:name="_Toc13983"/>
      <w:bookmarkStart w:id="602" w:name="_Toc183582238"/>
      <w:bookmarkStart w:id="603" w:name="_Toc183682375"/>
      <w:bookmarkStart w:id="604" w:name="_Toc319440145"/>
      <w:bookmarkStart w:id="605" w:name="_Toc13751"/>
      <w:bookmarkStart w:id="606" w:name="_Toc8800"/>
      <w:bookmarkStart w:id="607" w:name="_Toc308188155"/>
      <w:bookmarkStart w:id="608" w:name="_Toc307564855"/>
      <w:bookmarkStart w:id="609" w:name="_Toc28481"/>
      <w:bookmarkStart w:id="610" w:name="_Toc217446063"/>
      <w:bookmarkStart w:id="611" w:name="_Toc9806"/>
      <w:bookmarkStart w:id="612" w:name="_Toc28123"/>
      <w:bookmarkStart w:id="613" w:name="_Toc309897518"/>
      <w:bookmarkStart w:id="614" w:name="_Toc307501112"/>
      <w:bookmarkStart w:id="615" w:name="_Toc319439903"/>
      <w:bookmarkStart w:id="616" w:name="_Toc308084600"/>
      <w:bookmarkStart w:id="617" w:name="_Toc489"/>
      <w:bookmarkStart w:id="618" w:name="_Toc15967"/>
      <w:bookmarkStart w:id="619" w:name="_Toc327196289"/>
      <w:bookmarkStart w:id="620" w:name="_Toc16512"/>
      <w:r>
        <w:rPr>
          <w:rFonts w:hint="eastAsia" w:ascii="宋体" w:hAnsi="宋体" w:eastAsia="宋体" w:cs="宋体"/>
          <w:color w:val="auto"/>
          <w:highlight w:val="none"/>
        </w:rPr>
        <w:t>宣布开标会开始。当众宣布参加开标会主持人(唱标人)、会议记录人以及根据情况邀请的现场监督人等工作人员，根据“投标文件递交登记表”宣布参加投标的供应商名单。</w:t>
      </w:r>
    </w:p>
    <w:p>
      <w:pPr>
        <w:pStyle w:val="33"/>
        <w:numPr>
          <w:ilvl w:val="3"/>
          <w:numId w:val="11"/>
        </w:numPr>
        <w:ind w:firstLine="480"/>
        <w:rPr>
          <w:rFonts w:hint="eastAsia" w:ascii="宋体" w:hAnsi="宋体" w:eastAsia="宋体" w:cs="宋体"/>
          <w:color w:val="auto"/>
          <w:highlight w:val="none"/>
        </w:rPr>
      </w:pPr>
      <w:r>
        <w:rPr>
          <w:rFonts w:hint="eastAsia" w:ascii="宋体" w:hAnsi="宋体" w:eastAsia="宋体" w:cs="宋体"/>
          <w:color w:val="auto"/>
          <w:highlight w:val="none"/>
        </w:rPr>
        <w:t>宣布会场纪律和有关注意事项，根据投标人或者其推选的代表对投标文件密封的检查结果，当众宣布投标文件的密封情况。</w:t>
      </w:r>
    </w:p>
    <w:p>
      <w:pPr>
        <w:pStyle w:val="33"/>
        <w:numPr>
          <w:ilvl w:val="3"/>
          <w:numId w:val="11"/>
        </w:numPr>
        <w:ind w:firstLine="480"/>
        <w:rPr>
          <w:rFonts w:hint="eastAsia" w:ascii="宋体" w:hAnsi="宋体" w:eastAsia="宋体" w:cs="宋体"/>
          <w:color w:val="auto"/>
          <w:highlight w:val="none"/>
        </w:rPr>
      </w:pPr>
      <w:r>
        <w:rPr>
          <w:rFonts w:hint="eastAsia" w:ascii="宋体" w:hAnsi="宋体" w:eastAsia="宋体" w:cs="宋体"/>
          <w:color w:val="auto"/>
          <w:highlight w:val="none"/>
        </w:rPr>
        <w:t>投标人不足3家的，不得开标。</w:t>
      </w:r>
    </w:p>
    <w:p>
      <w:pPr>
        <w:pStyle w:val="33"/>
        <w:numPr>
          <w:ilvl w:val="3"/>
          <w:numId w:val="11"/>
        </w:numPr>
        <w:ind w:firstLine="480"/>
        <w:rPr>
          <w:rFonts w:hint="eastAsia" w:ascii="宋体" w:hAnsi="宋体" w:eastAsia="宋体" w:cs="宋体"/>
          <w:color w:val="auto"/>
          <w:highlight w:val="none"/>
        </w:rPr>
      </w:pPr>
      <w:r>
        <w:rPr>
          <w:rFonts w:hint="eastAsia" w:ascii="宋体" w:hAnsi="宋体" w:eastAsia="宋体" w:cs="宋体"/>
          <w:color w:val="auto"/>
          <w:highlight w:val="none"/>
        </w:rPr>
        <w:t>开标唱标。主持人宣布开标后，由现场工作人员按任意顺序对单独用于开标唱标的“开标一览表”当众进行拆封，由唱标人员宣读投标人名称、投标价格(价格折扣)、或招标文件允许提供的备选投标方案和投标文件的其他主要内容。未宣读的投标价格(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33"/>
        <w:numPr>
          <w:ilvl w:val="3"/>
          <w:numId w:val="11"/>
        </w:numPr>
        <w:ind w:firstLine="480"/>
        <w:rPr>
          <w:rFonts w:hint="eastAsia" w:ascii="宋体" w:hAnsi="宋体" w:eastAsia="宋体" w:cs="宋体"/>
          <w:color w:val="auto"/>
          <w:highlight w:val="none"/>
        </w:rPr>
      </w:pPr>
      <w:r>
        <w:rPr>
          <w:rFonts w:hint="eastAsia" w:ascii="宋体" w:hAnsi="宋体" w:eastAsia="宋体" w:cs="宋体"/>
          <w:color w:val="auto"/>
          <w:highlight w:val="none"/>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33"/>
        <w:numPr>
          <w:ilvl w:val="3"/>
          <w:numId w:val="11"/>
        </w:numPr>
        <w:ind w:firstLine="480"/>
        <w:rPr>
          <w:rFonts w:hint="eastAsia" w:ascii="宋体" w:hAnsi="宋体" w:eastAsia="宋体" w:cs="宋体"/>
          <w:color w:val="auto"/>
          <w:highlight w:val="none"/>
        </w:rPr>
      </w:pPr>
      <w:r>
        <w:rPr>
          <w:rFonts w:hint="eastAsia" w:ascii="宋体" w:hAnsi="宋体" w:eastAsia="宋体" w:cs="宋体"/>
          <w:color w:val="auto"/>
          <w:highlight w:val="none"/>
        </w:rPr>
        <w:t>宣布开标会结束。主持人宣布开标会结束。所有投标人代表应立即退场(招标文件要求有演示、介绍等的除外)。同时所有投标人应保持通讯设备的畅通，以方便在评标过程中评标委员会要求投标人对投标文件的必要澄清。投标人自行在“四川政府采购网”查询评标结果。</w:t>
      </w:r>
    </w:p>
    <w:bookmarkEnd w:id="600"/>
    <w:bookmarkEnd w:id="601"/>
    <w:p>
      <w:pPr>
        <w:pStyle w:val="32"/>
        <w:ind w:firstLine="482"/>
        <w:rPr>
          <w:rFonts w:hint="eastAsia" w:ascii="宋体" w:hAnsi="宋体" w:eastAsia="宋体" w:cs="宋体"/>
          <w:color w:val="auto"/>
          <w:highlight w:val="none"/>
        </w:rPr>
      </w:pPr>
      <w:bookmarkStart w:id="621" w:name="_Toc21542"/>
      <w:bookmarkStart w:id="622" w:name="_Toc6332"/>
      <w:bookmarkStart w:id="623" w:name="_Toc128"/>
      <w:r>
        <w:rPr>
          <w:rFonts w:hint="eastAsia" w:ascii="宋体" w:hAnsi="宋体" w:eastAsia="宋体" w:cs="宋体"/>
          <w:color w:val="auto"/>
          <w:highlight w:val="none"/>
        </w:rPr>
        <w:t>开评标过程存档</w:t>
      </w:r>
      <w:bookmarkEnd w:id="621"/>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开标和评标过程进行全过程电子监控，并将电子监控资料存储介质留存归档。</w:t>
      </w:r>
    </w:p>
    <w:p>
      <w:pPr>
        <w:pStyle w:val="32"/>
        <w:ind w:firstLine="482"/>
        <w:rPr>
          <w:rFonts w:hint="eastAsia" w:ascii="宋体" w:hAnsi="宋体" w:eastAsia="宋体" w:cs="宋体"/>
          <w:color w:val="auto"/>
          <w:highlight w:val="none"/>
        </w:rPr>
      </w:pPr>
      <w:bookmarkStart w:id="624" w:name="_Toc14105"/>
      <w:bookmarkStart w:id="625" w:name="_Toc32453"/>
      <w:r>
        <w:rPr>
          <w:rFonts w:hint="eastAsia" w:ascii="宋体" w:hAnsi="宋体" w:eastAsia="宋体" w:cs="宋体"/>
          <w:color w:val="auto"/>
          <w:highlight w:val="none"/>
        </w:rPr>
        <w:t>中标结果</w:t>
      </w:r>
      <w:bookmarkEnd w:id="624"/>
    </w:p>
    <w:p>
      <w:pPr>
        <w:pStyle w:val="33"/>
        <w:ind w:firstLine="480"/>
        <w:rPr>
          <w:rFonts w:hint="eastAsia" w:ascii="宋体" w:hAnsi="宋体" w:eastAsia="宋体" w:cs="宋体"/>
          <w:color w:val="auto"/>
          <w:highlight w:val="none"/>
        </w:rPr>
      </w:pPr>
      <w:bookmarkStart w:id="626" w:name="_Toc29809"/>
      <w:r>
        <w:rPr>
          <w:rFonts w:hint="eastAsia" w:ascii="宋体" w:hAnsi="宋体" w:eastAsia="宋体" w:cs="宋体"/>
          <w:color w:val="auto"/>
          <w:highlight w:val="none"/>
        </w:rPr>
        <w:t>采购人确定中标供应商后，将及时书面通知采购代理机构，</w:t>
      </w:r>
      <w:r>
        <w:rPr>
          <w:rFonts w:hint="eastAsia" w:ascii="宋体" w:hAnsi="宋体" w:eastAsia="宋体" w:cs="宋体"/>
          <w:snapToGrid w:val="0"/>
          <w:color w:val="auto"/>
          <w:highlight w:val="none"/>
        </w:rPr>
        <w:t>采购代理机构在中标供应商确定后2个工作日内，在“四川政府采购网”发布中标公告</w:t>
      </w:r>
      <w:r>
        <w:rPr>
          <w:rFonts w:hint="eastAsia" w:ascii="宋体" w:hAnsi="宋体" w:eastAsia="宋体" w:cs="宋体"/>
          <w:color w:val="auto"/>
          <w:highlight w:val="none"/>
        </w:rPr>
        <w:t>。</w:t>
      </w:r>
      <w:bookmarkEnd w:id="626"/>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投标人中标后应当及时领取中标通知书，不能及时领取或拒绝领取中标通知书的，采购代理机构中标通知书快递至中标人。</w:t>
      </w:r>
    </w:p>
    <w:p>
      <w:pPr>
        <w:pStyle w:val="33"/>
        <w:ind w:firstLine="480"/>
        <w:rPr>
          <w:rFonts w:hint="eastAsia" w:ascii="宋体" w:hAnsi="宋体" w:eastAsia="宋体" w:cs="宋体"/>
          <w:color w:val="auto"/>
          <w:highlight w:val="none"/>
        </w:rPr>
      </w:pPr>
      <w:bookmarkStart w:id="627" w:name="_Toc25350"/>
      <w:r>
        <w:rPr>
          <w:rFonts w:hint="eastAsia" w:ascii="宋体" w:hAnsi="宋体" w:eastAsia="宋体" w:cs="宋体"/>
          <w:color w:val="auto"/>
          <w:highlight w:val="none"/>
        </w:rPr>
        <w:t>采购项目需要交纳履约保证金的，中标供应商应当按照规定和要求及时向采购人交纳。</w:t>
      </w:r>
      <w:bookmarkEnd w:id="627"/>
    </w:p>
    <w:p>
      <w:pPr>
        <w:pStyle w:val="32"/>
        <w:ind w:firstLine="482"/>
        <w:rPr>
          <w:rFonts w:hint="eastAsia" w:ascii="宋体" w:hAnsi="宋体" w:eastAsia="宋体" w:cs="宋体"/>
          <w:color w:val="auto"/>
          <w:highlight w:val="none"/>
        </w:rPr>
      </w:pPr>
      <w:bookmarkStart w:id="628" w:name="_Toc29820"/>
      <w:r>
        <w:rPr>
          <w:rFonts w:hint="eastAsia" w:ascii="宋体" w:hAnsi="宋体" w:eastAsia="宋体" w:cs="宋体"/>
          <w:color w:val="auto"/>
          <w:highlight w:val="none"/>
        </w:rPr>
        <w:t>中标通知</w:t>
      </w:r>
      <w:bookmarkEnd w:id="602"/>
      <w:bookmarkEnd w:id="603"/>
      <w:r>
        <w:rPr>
          <w:rFonts w:hint="eastAsia" w:ascii="宋体" w:hAnsi="宋体" w:eastAsia="宋体" w:cs="宋体"/>
          <w:color w:val="auto"/>
          <w:highlight w:val="none"/>
        </w:rPr>
        <w:t>书</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bookmarkEnd w:id="623"/>
      <w:bookmarkEnd w:id="625"/>
      <w:bookmarkEnd w:id="628"/>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中标通知书为签订政府采购合同的依据，是合同的有效组成部分。</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中标通知书对采购人和中标人均具有法律效力。中标通知书发出后，采购人改变中标结果，或者中标人无正当理由放弃中标的，应当承担相应的法律责任。</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53"/>
        <w:spacing w:before="120" w:after="120"/>
        <w:rPr>
          <w:rFonts w:hint="eastAsia" w:ascii="宋体" w:hAnsi="宋体" w:eastAsia="宋体" w:cs="宋体"/>
          <w:color w:val="auto"/>
          <w:highlight w:val="none"/>
        </w:rPr>
      </w:pPr>
      <w:bookmarkStart w:id="629" w:name="_Toc30422"/>
      <w:bookmarkStart w:id="630" w:name="_Toc10354"/>
      <w:bookmarkStart w:id="631" w:name="_Toc7757"/>
      <w:bookmarkStart w:id="632" w:name="_Toc217446064"/>
      <w:bookmarkStart w:id="633" w:name="_Toc2685"/>
      <w:bookmarkStart w:id="634" w:name="_Toc13383"/>
      <w:bookmarkStart w:id="635" w:name="_Toc327196290"/>
      <w:bookmarkStart w:id="636" w:name="_Toc183582240"/>
      <w:bookmarkStart w:id="637" w:name="_Toc183682377"/>
      <w:r>
        <w:rPr>
          <w:rFonts w:hint="eastAsia" w:ascii="宋体" w:hAnsi="宋体" w:eastAsia="宋体" w:cs="宋体"/>
          <w:color w:val="auto"/>
          <w:highlight w:val="none"/>
        </w:rPr>
        <w:t>签订及履行合同和验收</w:t>
      </w:r>
      <w:bookmarkEnd w:id="629"/>
      <w:bookmarkEnd w:id="630"/>
      <w:bookmarkEnd w:id="631"/>
      <w:bookmarkEnd w:id="632"/>
      <w:bookmarkEnd w:id="633"/>
      <w:bookmarkEnd w:id="634"/>
      <w:bookmarkEnd w:id="635"/>
    </w:p>
    <w:p>
      <w:pPr>
        <w:pStyle w:val="32"/>
        <w:numPr>
          <w:ilvl w:val="2"/>
          <w:numId w:val="13"/>
        </w:numPr>
        <w:ind w:firstLine="482"/>
        <w:rPr>
          <w:rFonts w:hint="eastAsia" w:ascii="宋体" w:hAnsi="宋体" w:eastAsia="宋体" w:cs="宋体"/>
          <w:color w:val="auto"/>
          <w:highlight w:val="none"/>
        </w:rPr>
      </w:pPr>
      <w:bookmarkStart w:id="638" w:name="_Toc31971"/>
      <w:bookmarkStart w:id="639" w:name="_Toc20427"/>
      <w:bookmarkStart w:id="640" w:name="_Toc4460"/>
      <w:bookmarkStart w:id="641" w:name="_Toc24949"/>
      <w:bookmarkStart w:id="642" w:name="_Toc3130"/>
      <w:bookmarkStart w:id="643" w:name="_Toc16835"/>
      <w:bookmarkStart w:id="644" w:name="_Toc308084602"/>
      <w:bookmarkStart w:id="645" w:name="_Toc327196291"/>
      <w:bookmarkStart w:id="646" w:name="_Toc25992"/>
      <w:bookmarkStart w:id="647" w:name="_Toc319439905"/>
      <w:bookmarkStart w:id="648" w:name="_Toc27989"/>
      <w:bookmarkStart w:id="649" w:name="_Toc307564857"/>
      <w:bookmarkStart w:id="650" w:name="_Toc27214"/>
      <w:bookmarkStart w:id="651" w:name="_Toc307501114"/>
      <w:bookmarkStart w:id="652" w:name="_Toc308188157"/>
      <w:bookmarkStart w:id="653" w:name="_Toc9464"/>
      <w:bookmarkStart w:id="654" w:name="_Toc5659"/>
      <w:bookmarkStart w:id="655" w:name="_Toc515"/>
      <w:bookmarkStart w:id="656" w:name="_Toc309897520"/>
      <w:bookmarkStart w:id="657" w:name="_Toc217446065"/>
      <w:bookmarkStart w:id="658" w:name="_Toc319440147"/>
      <w:r>
        <w:rPr>
          <w:rFonts w:hint="eastAsia" w:ascii="宋体" w:hAnsi="宋体" w:eastAsia="宋体" w:cs="宋体"/>
          <w:color w:val="auto"/>
          <w:highlight w:val="none"/>
        </w:rPr>
        <w:t>签订合同</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33"/>
        <w:ind w:firstLine="480"/>
        <w:rPr>
          <w:rFonts w:hint="eastAsia" w:ascii="宋体" w:hAnsi="宋体" w:eastAsia="宋体" w:cs="宋体"/>
          <w:color w:val="auto"/>
          <w:highlight w:val="none"/>
        </w:rPr>
      </w:pPr>
      <w:bookmarkStart w:id="659" w:name="_Toc319439906"/>
      <w:bookmarkStart w:id="660" w:name="_Toc217446066"/>
      <w:bookmarkStart w:id="661" w:name="_Toc309897521"/>
      <w:bookmarkStart w:id="662" w:name="_Toc307564858"/>
      <w:bookmarkStart w:id="663" w:name="_Toc12852"/>
      <w:bookmarkStart w:id="664" w:name="_Toc307501115"/>
      <w:bookmarkStart w:id="665" w:name="_Toc308084603"/>
      <w:bookmarkStart w:id="666" w:name="_Toc308188158"/>
      <w:bookmarkStart w:id="667" w:name="_Toc3758"/>
      <w:bookmarkStart w:id="668" w:name="_Toc12489"/>
      <w:bookmarkStart w:id="669" w:name="_Toc31397"/>
      <w:bookmarkStart w:id="670" w:name="_Toc20139"/>
      <w:bookmarkStart w:id="671" w:name="_Toc327196292"/>
      <w:bookmarkStart w:id="672" w:name="_Toc319440148"/>
      <w:bookmarkStart w:id="673" w:name="_Toc31670"/>
      <w:bookmarkStart w:id="674" w:name="_Toc25756"/>
      <w:bookmarkStart w:id="675" w:name="_Toc24196"/>
      <w:bookmarkStart w:id="676" w:name="_Toc26000"/>
      <w:bookmarkStart w:id="677" w:name="_Toc29795"/>
      <w:r>
        <w:rPr>
          <w:rFonts w:hint="eastAsia" w:ascii="宋体" w:hAnsi="宋体" w:eastAsia="宋体" w:cs="宋体"/>
          <w:color w:val="auto"/>
          <w:highlight w:val="none"/>
        </w:rPr>
        <w:t>中标人在收到采购代理机构发出的《中标通知书》后，应在中标通知书发出之日起30日内与采购人签订采购合同。由于中标人的原因逾期未与采购人签订采购合同的，将视为放弃中标，取消其中标资格并将按相关规定进行处理。</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政府采购合同应当包括采购人与中标人的名称和住所、标的、数量、质量、价款或者报酬、履行期限及地点和方式、验收要求、违约责任、解决争议的方法等内容。</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本项目的招标文件、中标供应商提交的投标文件、评审中的澄清、中标通知书等文件均具有法律约束力，属于合同组成部分。</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中标人因不可抗力原因不能履行采购合同或放弃中标的，采购人可以与排在中标人之后第一位的中标候选人签订采购合同，以此类推。</w:t>
      </w:r>
    </w:p>
    <w:p>
      <w:pPr>
        <w:pStyle w:val="33"/>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中标人在合同签订之后2个工作日内，将签订的合同(1份)送采购代理机构进行归档留存。</w:t>
      </w:r>
    </w:p>
    <w:p>
      <w:pPr>
        <w:pStyle w:val="32"/>
        <w:numPr>
          <w:ilvl w:val="2"/>
          <w:numId w:val="13"/>
        </w:numPr>
        <w:ind w:firstLine="482"/>
        <w:rPr>
          <w:rFonts w:hint="eastAsia" w:ascii="宋体" w:hAnsi="宋体" w:eastAsia="宋体" w:cs="宋体"/>
          <w:color w:val="auto"/>
          <w:highlight w:val="none"/>
        </w:rPr>
      </w:pPr>
      <w:bookmarkStart w:id="678" w:name="_Toc12864"/>
      <w:bookmarkStart w:id="679" w:name="_Toc1846"/>
      <w:r>
        <w:rPr>
          <w:rFonts w:hint="eastAsia" w:ascii="宋体" w:hAnsi="宋体" w:eastAsia="宋体" w:cs="宋体"/>
          <w:color w:val="auto"/>
          <w:highlight w:val="none"/>
        </w:rPr>
        <w:t>合同</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Fonts w:hint="eastAsia" w:ascii="宋体" w:hAnsi="宋体" w:eastAsia="宋体" w:cs="宋体"/>
          <w:color w:val="auto"/>
          <w:highlight w:val="none"/>
        </w:rPr>
        <w:t>分包</w:t>
      </w:r>
      <w:bookmarkEnd w:id="674"/>
      <w:bookmarkEnd w:id="675"/>
      <w:r>
        <w:rPr>
          <w:rFonts w:hint="eastAsia" w:ascii="宋体" w:hAnsi="宋体" w:eastAsia="宋体" w:cs="宋体"/>
          <w:color w:val="auto"/>
          <w:highlight w:val="none"/>
        </w:rPr>
        <w:t>(实质性要求)</w:t>
      </w:r>
      <w:bookmarkEnd w:id="676"/>
      <w:bookmarkEnd w:id="677"/>
      <w:bookmarkEnd w:id="678"/>
      <w:bookmarkEnd w:id="679"/>
    </w:p>
    <w:p>
      <w:pPr>
        <w:pStyle w:val="34"/>
        <w:rPr>
          <w:rFonts w:hint="eastAsia" w:ascii="宋体" w:hAnsi="宋体" w:eastAsia="宋体" w:cs="宋体"/>
          <w:color w:val="auto"/>
          <w:highlight w:val="none"/>
        </w:rPr>
      </w:pPr>
      <w:r>
        <w:rPr>
          <w:rFonts w:hint="eastAsia" w:ascii="宋体" w:hAnsi="宋体" w:eastAsia="宋体" w:cs="宋体"/>
          <w:color w:val="auto"/>
          <w:highlight w:val="none"/>
        </w:rPr>
        <w:t>本项目不允许供应商以合同分包形式进行投标。</w:t>
      </w:r>
    </w:p>
    <w:p>
      <w:pPr>
        <w:pStyle w:val="32"/>
        <w:numPr>
          <w:ilvl w:val="2"/>
          <w:numId w:val="13"/>
        </w:numPr>
        <w:ind w:firstLine="482"/>
        <w:rPr>
          <w:rFonts w:hint="eastAsia" w:ascii="宋体" w:hAnsi="宋体" w:eastAsia="宋体" w:cs="宋体"/>
          <w:color w:val="auto"/>
          <w:highlight w:val="none"/>
        </w:rPr>
      </w:pPr>
      <w:bookmarkStart w:id="680" w:name="_Toc5242"/>
      <w:bookmarkStart w:id="681" w:name="_Toc29526"/>
      <w:bookmarkStart w:id="682" w:name="_Toc28937"/>
      <w:bookmarkStart w:id="683" w:name="_Toc1898"/>
      <w:bookmarkStart w:id="684" w:name="_Toc308084604"/>
      <w:bookmarkStart w:id="685" w:name="_Toc307564859"/>
      <w:bookmarkStart w:id="686" w:name="_Toc19999"/>
      <w:bookmarkStart w:id="687" w:name="_Toc30827"/>
      <w:bookmarkStart w:id="688" w:name="_Toc319440149"/>
      <w:bookmarkStart w:id="689" w:name="_Toc30954"/>
      <w:bookmarkStart w:id="690" w:name="_Toc319439907"/>
      <w:bookmarkStart w:id="691" w:name="_Toc15644"/>
      <w:bookmarkStart w:id="692" w:name="_Toc29332"/>
      <w:bookmarkStart w:id="693" w:name="_Toc29842"/>
      <w:bookmarkStart w:id="694" w:name="_Toc29552"/>
      <w:bookmarkStart w:id="695" w:name="_Toc327196293"/>
      <w:bookmarkStart w:id="696" w:name="_Toc309897522"/>
      <w:bookmarkStart w:id="697" w:name="_Toc308188159"/>
      <w:bookmarkStart w:id="698" w:name="_Toc16143"/>
      <w:bookmarkStart w:id="699" w:name="_Toc217446067"/>
      <w:bookmarkStart w:id="700" w:name="_Toc307501116"/>
      <w:r>
        <w:rPr>
          <w:rFonts w:hint="eastAsia" w:ascii="宋体" w:hAnsi="宋体" w:eastAsia="宋体" w:cs="宋体"/>
          <w:color w:val="auto"/>
          <w:highlight w:val="none"/>
        </w:rPr>
        <w:t>合同转包(实质性要求)</w:t>
      </w:r>
      <w:bookmarkEnd w:id="680"/>
      <w:bookmarkEnd w:id="681"/>
      <w:bookmarkEnd w:id="682"/>
      <w:bookmarkEnd w:id="683"/>
    </w:p>
    <w:p>
      <w:pPr>
        <w:pStyle w:val="34"/>
        <w:rPr>
          <w:rFonts w:hint="eastAsia" w:ascii="宋体" w:hAnsi="宋体" w:eastAsia="宋体" w:cs="宋体"/>
          <w:color w:val="auto"/>
          <w:highlight w:val="none"/>
        </w:rPr>
      </w:pPr>
      <w:r>
        <w:rPr>
          <w:rFonts w:hint="eastAsia" w:ascii="宋体" w:hAnsi="宋体" w:eastAsia="宋体" w:cs="宋体"/>
          <w:color w:val="auto"/>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中标人转包的，视同拒绝履行政府采购合同义务，将依法追究法律责任。</w:t>
      </w:r>
    </w:p>
    <w:p>
      <w:pPr>
        <w:pStyle w:val="32"/>
        <w:numPr>
          <w:ilvl w:val="2"/>
          <w:numId w:val="13"/>
        </w:numPr>
        <w:ind w:firstLine="482"/>
        <w:rPr>
          <w:rFonts w:hint="eastAsia" w:ascii="宋体" w:hAnsi="宋体" w:eastAsia="宋体" w:cs="宋体"/>
          <w:color w:val="auto"/>
          <w:highlight w:val="none"/>
        </w:rPr>
      </w:pPr>
      <w:bookmarkStart w:id="701" w:name="_Toc9592"/>
      <w:bookmarkStart w:id="702" w:name="_Toc11992"/>
      <w:bookmarkStart w:id="703" w:name="_Toc13553"/>
      <w:bookmarkStart w:id="704" w:name="_Toc12603"/>
      <w:r>
        <w:rPr>
          <w:rFonts w:hint="eastAsia" w:ascii="宋体" w:hAnsi="宋体" w:eastAsia="宋体" w:cs="宋体"/>
          <w:color w:val="auto"/>
          <w:highlight w:val="none"/>
        </w:rPr>
        <w:t>补充合同</w:t>
      </w:r>
      <w:bookmarkEnd w:id="701"/>
      <w:bookmarkEnd w:id="702"/>
      <w:bookmarkEnd w:id="703"/>
      <w:bookmarkEnd w:id="704"/>
    </w:p>
    <w:p>
      <w:pPr>
        <w:pStyle w:val="34"/>
        <w:rPr>
          <w:rFonts w:hint="eastAsia" w:ascii="宋体" w:hAnsi="宋体" w:eastAsia="宋体" w:cs="宋体"/>
          <w:color w:val="auto"/>
          <w:highlight w:val="none"/>
        </w:rPr>
      </w:pPr>
      <w:r>
        <w:rPr>
          <w:rFonts w:hint="eastAsia" w:ascii="宋体" w:hAnsi="宋体" w:eastAsia="宋体" w:cs="宋体"/>
          <w:color w:val="auto"/>
          <w:highlight w:val="none"/>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Pr>
        <w:pStyle w:val="32"/>
        <w:numPr>
          <w:ilvl w:val="2"/>
          <w:numId w:val="13"/>
        </w:numPr>
        <w:ind w:firstLine="482"/>
        <w:rPr>
          <w:rFonts w:hint="eastAsia" w:ascii="宋体" w:hAnsi="宋体" w:eastAsia="宋体" w:cs="宋体"/>
          <w:color w:val="auto"/>
          <w:highlight w:val="none"/>
        </w:rPr>
      </w:pPr>
      <w:bookmarkStart w:id="705" w:name="_Toc16101"/>
      <w:bookmarkStart w:id="706" w:name="_Toc308164812"/>
      <w:bookmarkStart w:id="707" w:name="_Toc24147"/>
      <w:bookmarkStart w:id="708" w:name="_Toc24237"/>
      <w:bookmarkStart w:id="709" w:name="_Toc31704"/>
      <w:bookmarkStart w:id="710" w:name="_Toc319439908"/>
      <w:bookmarkStart w:id="711" w:name="_Toc309897523"/>
      <w:bookmarkStart w:id="712" w:name="_Toc19537"/>
      <w:bookmarkStart w:id="713" w:name="_Toc319440150"/>
      <w:bookmarkStart w:id="714" w:name="_Toc22746"/>
      <w:bookmarkStart w:id="715" w:name="_Toc327196294"/>
      <w:bookmarkStart w:id="716" w:name="_Toc27686"/>
      <w:bookmarkStart w:id="717" w:name="_Toc308188160"/>
      <w:bookmarkStart w:id="718" w:name="_Toc217446068"/>
      <w:bookmarkStart w:id="719" w:name="_Toc16034"/>
      <w:bookmarkStart w:id="720" w:name="_Toc28404"/>
      <w:bookmarkStart w:id="721" w:name="_Toc307501117"/>
      <w:bookmarkStart w:id="722" w:name="_Toc30856"/>
      <w:bookmarkStart w:id="723" w:name="_Toc307564860"/>
      <w:bookmarkStart w:id="724" w:name="_Toc308084605"/>
      <w:bookmarkStart w:id="725" w:name="_Toc27331"/>
      <w:bookmarkStart w:id="726" w:name="_Toc11533"/>
      <w:r>
        <w:rPr>
          <w:rFonts w:hint="eastAsia" w:ascii="宋体" w:hAnsi="宋体" w:eastAsia="宋体" w:cs="宋体"/>
          <w:color w:val="auto"/>
          <w:highlight w:val="none"/>
        </w:rPr>
        <w:t>合同公告备案</w:t>
      </w:r>
      <w:bookmarkEnd w:id="705"/>
    </w:p>
    <w:p>
      <w:pPr>
        <w:pStyle w:val="34"/>
        <w:rPr>
          <w:rFonts w:hint="eastAsia" w:ascii="宋体" w:hAnsi="宋体" w:eastAsia="宋体" w:cs="宋体"/>
          <w:color w:val="auto"/>
          <w:highlight w:val="none"/>
        </w:rPr>
      </w:pPr>
      <w:r>
        <w:rPr>
          <w:rFonts w:hint="eastAsia" w:ascii="宋体" w:hAnsi="宋体" w:eastAsia="宋体" w:cs="宋体"/>
          <w:color w:val="auto"/>
          <w:highlight w:val="none"/>
        </w:rPr>
        <w:t>采购人应当自政府采购合同签订(双方当事人均已签字盖章)之日起2个工作日内，将政府采购合同在省级以上人民政府财政部门指定的媒体“四川政府采购网”公告，但政府采购合同中涉及国家秘密、商业秘密的内容除外。</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采购人应当将政府采购合同副本自签订(双方当事人均已签字盖章)之日起七个工作日内通过“四川政府采购网”报同级财政部门备案。</w:t>
      </w:r>
    </w:p>
    <w:p>
      <w:pPr>
        <w:pStyle w:val="32"/>
        <w:numPr>
          <w:ilvl w:val="2"/>
          <w:numId w:val="13"/>
        </w:numPr>
        <w:ind w:firstLine="482"/>
        <w:rPr>
          <w:rFonts w:hint="eastAsia" w:ascii="宋体" w:hAnsi="宋体" w:eastAsia="宋体" w:cs="宋体"/>
          <w:color w:val="auto"/>
          <w:highlight w:val="none"/>
        </w:rPr>
      </w:pPr>
      <w:bookmarkStart w:id="727" w:name="_Toc21153"/>
      <w:r>
        <w:rPr>
          <w:rFonts w:hint="eastAsia" w:ascii="宋体" w:hAnsi="宋体" w:eastAsia="宋体" w:cs="宋体"/>
          <w:color w:val="auto"/>
          <w:highlight w:val="none"/>
        </w:rPr>
        <w:t>履约保证金</w:t>
      </w:r>
      <w:bookmarkEnd w:id="706"/>
      <w:r>
        <w:rPr>
          <w:rFonts w:hint="eastAsia" w:ascii="宋体" w:hAnsi="宋体" w:eastAsia="宋体" w:cs="宋体"/>
          <w:color w:val="auto"/>
          <w:highlight w:val="none"/>
        </w:rPr>
        <w:t>(实质性要求)</w:t>
      </w:r>
      <w:bookmarkEnd w:id="707"/>
      <w:bookmarkEnd w:id="708"/>
      <w:bookmarkEnd w:id="709"/>
      <w:bookmarkEnd w:id="727"/>
    </w:p>
    <w:p>
      <w:pPr>
        <w:pStyle w:val="33"/>
        <w:numPr>
          <w:ilvl w:val="3"/>
          <w:numId w:val="0"/>
        </w:numPr>
        <w:ind w:left="480" w:leftChars="200"/>
        <w:rPr>
          <w:rFonts w:hint="eastAsia" w:ascii="宋体" w:hAnsi="宋体" w:eastAsia="宋体" w:cs="宋体"/>
          <w:color w:val="auto"/>
          <w:highlight w:val="none"/>
        </w:rPr>
      </w:pPr>
      <w:r>
        <w:rPr>
          <w:rFonts w:hint="eastAsia" w:ascii="宋体" w:hAnsi="宋体" w:eastAsia="宋体" w:cs="宋体"/>
          <w:color w:val="auto"/>
          <w:highlight w:val="none"/>
        </w:rPr>
        <w:t>详见招标文件第六章。</w:t>
      </w:r>
    </w:p>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Pr>
        <w:pStyle w:val="32"/>
        <w:numPr>
          <w:ilvl w:val="2"/>
          <w:numId w:val="13"/>
        </w:numPr>
        <w:ind w:firstLine="482"/>
        <w:rPr>
          <w:rFonts w:hint="eastAsia" w:ascii="宋体" w:hAnsi="宋体" w:eastAsia="宋体" w:cs="宋体"/>
          <w:color w:val="auto"/>
          <w:highlight w:val="none"/>
        </w:rPr>
      </w:pPr>
      <w:bookmarkStart w:id="728" w:name="_Toc1817"/>
      <w:bookmarkStart w:id="729" w:name="_Toc13194"/>
      <w:bookmarkStart w:id="730" w:name="_Toc15310"/>
      <w:bookmarkStart w:id="731" w:name="_Toc29503"/>
      <w:bookmarkStart w:id="732" w:name="_Toc9815"/>
      <w:bookmarkStart w:id="733" w:name="_Toc319440152"/>
      <w:bookmarkStart w:id="734" w:name="_Toc217446070"/>
      <w:bookmarkStart w:id="735" w:name="_Toc309897525"/>
      <w:bookmarkStart w:id="736" w:name="_Toc307564862"/>
      <w:bookmarkStart w:id="737" w:name="_Toc27114"/>
      <w:bookmarkStart w:id="738" w:name="_Toc327196296"/>
      <w:bookmarkStart w:id="739" w:name="_Toc5754"/>
      <w:bookmarkStart w:id="740" w:name="_Toc308084607"/>
      <w:bookmarkStart w:id="741" w:name="_Toc307501119"/>
      <w:bookmarkStart w:id="742" w:name="_Toc319439910"/>
      <w:bookmarkStart w:id="743" w:name="_Toc15219"/>
      <w:bookmarkStart w:id="744" w:name="_Toc18547"/>
      <w:bookmarkStart w:id="745" w:name="_Toc308188162"/>
      <w:bookmarkStart w:id="746" w:name="_Toc9916"/>
      <w:bookmarkStart w:id="747" w:name="_Toc17018"/>
      <w:bookmarkStart w:id="748" w:name="_Toc27872"/>
      <w:r>
        <w:rPr>
          <w:rFonts w:hint="eastAsia" w:ascii="宋体" w:hAnsi="宋体" w:eastAsia="宋体" w:cs="宋体"/>
          <w:color w:val="auto"/>
          <w:highlight w:val="none"/>
        </w:rPr>
        <w:t>履行合同</w:t>
      </w:r>
      <w:bookmarkEnd w:id="728"/>
      <w:bookmarkEnd w:id="729"/>
      <w:bookmarkEnd w:id="730"/>
      <w:bookmarkEnd w:id="731"/>
    </w:p>
    <w:p>
      <w:pPr>
        <w:pStyle w:val="33"/>
        <w:ind w:firstLine="480"/>
        <w:rPr>
          <w:rFonts w:hint="eastAsia" w:ascii="宋体" w:hAnsi="宋体" w:eastAsia="宋体" w:cs="宋体"/>
          <w:color w:val="auto"/>
          <w:highlight w:val="none"/>
        </w:rPr>
      </w:pPr>
      <w:bookmarkStart w:id="749" w:name="_Toc31"/>
      <w:bookmarkStart w:id="750" w:name="_Toc12435"/>
      <w:r>
        <w:rPr>
          <w:rFonts w:hint="eastAsia" w:ascii="宋体" w:hAnsi="宋体" w:eastAsia="宋体" w:cs="宋体"/>
          <w:color w:val="auto"/>
          <w:highlight w:val="none"/>
        </w:rPr>
        <w:t>采购人与中标人应当根据合同的约定依法履行合同义务。</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政府采购合同的履行、违约责任和解决争议的方法等适用《中华人民共和国民法典》。</w:t>
      </w:r>
    </w:p>
    <w:p>
      <w:pPr>
        <w:pStyle w:val="32"/>
        <w:numPr>
          <w:ilvl w:val="2"/>
          <w:numId w:val="13"/>
        </w:numPr>
        <w:ind w:firstLine="482"/>
        <w:rPr>
          <w:rFonts w:hint="eastAsia" w:ascii="宋体" w:hAnsi="宋体" w:eastAsia="宋体" w:cs="宋体"/>
          <w:color w:val="auto"/>
          <w:highlight w:val="none"/>
        </w:rPr>
      </w:pPr>
      <w:bookmarkStart w:id="751" w:name="_Toc22276"/>
      <w:bookmarkStart w:id="752" w:name="_Toc19802"/>
      <w:r>
        <w:rPr>
          <w:rFonts w:hint="eastAsia" w:ascii="宋体" w:hAnsi="宋体" w:eastAsia="宋体" w:cs="宋体"/>
          <w:color w:val="auto"/>
          <w:highlight w:val="none"/>
        </w:rPr>
        <w:t>验收</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33"/>
        <w:numPr>
          <w:ilvl w:val="3"/>
          <w:numId w:val="0"/>
        </w:numPr>
        <w:ind w:left="480" w:leftChars="200"/>
        <w:rPr>
          <w:rFonts w:hint="eastAsia" w:ascii="宋体" w:hAnsi="宋体" w:eastAsia="宋体" w:cs="宋体"/>
          <w:color w:val="auto"/>
          <w:highlight w:val="none"/>
        </w:rPr>
      </w:pPr>
      <w:bookmarkStart w:id="753" w:name="_Toc217446071"/>
      <w:r>
        <w:rPr>
          <w:rFonts w:hint="eastAsia" w:ascii="宋体" w:hAnsi="宋体" w:eastAsia="宋体" w:cs="宋体"/>
          <w:color w:val="auto"/>
          <w:highlight w:val="none"/>
        </w:rPr>
        <w:t>详见招标文件第六章。</w:t>
      </w:r>
    </w:p>
    <w:bookmarkEnd w:id="636"/>
    <w:bookmarkEnd w:id="637"/>
    <w:bookmarkEnd w:id="753"/>
    <w:p>
      <w:pPr>
        <w:pStyle w:val="32"/>
        <w:numPr>
          <w:ilvl w:val="2"/>
          <w:numId w:val="13"/>
        </w:numPr>
        <w:ind w:firstLine="482"/>
        <w:rPr>
          <w:rFonts w:hint="eastAsia" w:ascii="宋体" w:hAnsi="宋体" w:eastAsia="宋体" w:cs="宋体"/>
          <w:color w:val="auto"/>
          <w:highlight w:val="none"/>
        </w:rPr>
      </w:pPr>
      <w:bookmarkStart w:id="754" w:name="_Toc308164818"/>
      <w:bookmarkStart w:id="755" w:name="_Toc17896"/>
      <w:bookmarkStart w:id="756" w:name="_Toc30603"/>
      <w:bookmarkStart w:id="757" w:name="_Toc3266"/>
      <w:bookmarkStart w:id="758" w:name="_Toc16716"/>
      <w:bookmarkStart w:id="759" w:name="_Toc16219"/>
      <w:bookmarkStart w:id="760" w:name="_Toc327196297"/>
      <w:bookmarkStart w:id="761" w:name="_Toc217446074"/>
      <w:bookmarkStart w:id="762" w:name="_Toc183582243"/>
      <w:bookmarkStart w:id="763" w:name="_Toc183682380"/>
      <w:r>
        <w:rPr>
          <w:rFonts w:hint="eastAsia" w:ascii="宋体" w:hAnsi="宋体" w:eastAsia="宋体" w:cs="宋体"/>
          <w:color w:val="auto"/>
          <w:highlight w:val="none"/>
        </w:rPr>
        <w:t>资金支付</w:t>
      </w:r>
      <w:bookmarkEnd w:id="754"/>
      <w:r>
        <w:rPr>
          <w:rFonts w:hint="eastAsia" w:ascii="宋体" w:hAnsi="宋体" w:eastAsia="宋体" w:cs="宋体"/>
          <w:color w:val="auto"/>
          <w:highlight w:val="none"/>
        </w:rPr>
        <w:t>方式、时间、条件</w:t>
      </w:r>
      <w:bookmarkEnd w:id="755"/>
      <w:bookmarkEnd w:id="756"/>
      <w:bookmarkEnd w:id="757"/>
      <w:bookmarkEnd w:id="758"/>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采购资金的支付方式：采购人将按照政府采购合同规定，及时向中标人以银行转账方式支付采购资金。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采购资金的支付时间：详见招标文件第六章。</w:t>
      </w:r>
    </w:p>
    <w:p>
      <w:pPr>
        <w:pStyle w:val="33"/>
        <w:ind w:firstLine="480"/>
        <w:rPr>
          <w:rFonts w:hint="eastAsia" w:ascii="宋体" w:hAnsi="宋体" w:eastAsia="宋体" w:cs="宋体"/>
          <w:color w:val="auto"/>
          <w:highlight w:val="none"/>
        </w:rPr>
      </w:pPr>
      <w:r>
        <w:rPr>
          <w:rFonts w:hint="eastAsia" w:ascii="宋体" w:hAnsi="宋体" w:eastAsia="宋体" w:cs="宋体"/>
          <w:color w:val="auto"/>
          <w:highlight w:val="none"/>
        </w:rPr>
        <w:t>采购资金的支付条件：详见招标文件第六章。</w:t>
      </w:r>
    </w:p>
    <w:p>
      <w:pPr>
        <w:pStyle w:val="53"/>
        <w:spacing w:before="120" w:after="120"/>
        <w:rPr>
          <w:rFonts w:hint="eastAsia" w:ascii="宋体" w:hAnsi="宋体" w:eastAsia="宋体" w:cs="宋体"/>
          <w:color w:val="auto"/>
          <w:highlight w:val="none"/>
        </w:rPr>
      </w:pPr>
      <w:bookmarkStart w:id="764" w:name="_Toc19020"/>
      <w:bookmarkStart w:id="765" w:name="_Toc27770"/>
      <w:bookmarkStart w:id="766" w:name="_Toc3955"/>
      <w:bookmarkStart w:id="767" w:name="_Toc15972"/>
      <w:r>
        <w:rPr>
          <w:rFonts w:hint="eastAsia" w:ascii="宋体" w:hAnsi="宋体" w:eastAsia="宋体" w:cs="宋体"/>
          <w:color w:val="auto"/>
          <w:highlight w:val="none"/>
        </w:rPr>
        <w:t>投标纪律要求</w:t>
      </w:r>
      <w:bookmarkEnd w:id="759"/>
      <w:bookmarkEnd w:id="760"/>
      <w:bookmarkEnd w:id="761"/>
      <w:bookmarkEnd w:id="764"/>
      <w:bookmarkEnd w:id="765"/>
      <w:bookmarkEnd w:id="766"/>
      <w:bookmarkEnd w:id="767"/>
    </w:p>
    <w:p>
      <w:pPr>
        <w:pStyle w:val="34"/>
        <w:rPr>
          <w:rFonts w:hint="eastAsia" w:ascii="宋体" w:hAnsi="宋体" w:eastAsia="宋体" w:cs="宋体"/>
          <w:color w:val="auto"/>
          <w:highlight w:val="none"/>
        </w:rPr>
      </w:pPr>
      <w:bookmarkStart w:id="768" w:name="_Toc5014"/>
      <w:bookmarkStart w:id="769" w:name="_Toc1828"/>
      <w:bookmarkStart w:id="770" w:name="_Toc308188164"/>
      <w:bookmarkStart w:id="771" w:name="_Toc217446075"/>
      <w:bookmarkStart w:id="772" w:name="_Toc10754"/>
      <w:bookmarkStart w:id="773" w:name="_Toc319439912"/>
      <w:bookmarkStart w:id="774" w:name="_Toc31498"/>
      <w:bookmarkStart w:id="775" w:name="_Toc30964"/>
      <w:bookmarkStart w:id="776" w:name="_Toc21018"/>
      <w:bookmarkStart w:id="777" w:name="_Toc20490"/>
      <w:bookmarkStart w:id="778" w:name="_Toc327196298"/>
      <w:bookmarkStart w:id="779" w:name="_Toc17887"/>
      <w:bookmarkStart w:id="780" w:name="_Toc308084609"/>
      <w:bookmarkStart w:id="781" w:name="_Toc6284"/>
      <w:bookmarkStart w:id="782" w:name="_Toc319440154"/>
      <w:bookmarkStart w:id="783" w:name="_Toc307564864"/>
      <w:bookmarkStart w:id="784" w:name="_Toc27399"/>
      <w:bookmarkStart w:id="785" w:name="_Toc307501121"/>
      <w:bookmarkStart w:id="786" w:name="_Toc309897527"/>
      <w:bookmarkStart w:id="787" w:name="_Toc11074"/>
      <w:r>
        <w:rPr>
          <w:rFonts w:hint="eastAsia" w:ascii="宋体" w:hAnsi="宋体" w:eastAsia="宋体" w:cs="宋体"/>
          <w:color w:val="auto"/>
          <w:highlight w:val="none"/>
        </w:rPr>
        <w:t>投标人不得具有的情形</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Fonts w:hint="eastAsia" w:ascii="宋体" w:hAnsi="宋体" w:eastAsia="宋体" w:cs="宋体"/>
          <w:color w:val="auto"/>
          <w:highlight w:val="none"/>
        </w:rPr>
        <w:t>：</w:t>
      </w:r>
    </w:p>
    <w:p>
      <w:pPr>
        <w:pStyle w:val="44"/>
        <w:numPr>
          <w:ilvl w:val="1"/>
          <w:numId w:val="14"/>
        </w:numPr>
        <w:ind w:firstLine="480"/>
        <w:rPr>
          <w:rFonts w:hint="eastAsia" w:ascii="宋体" w:hAnsi="宋体" w:eastAsia="宋体" w:cs="宋体"/>
          <w:color w:val="auto"/>
          <w:highlight w:val="none"/>
        </w:rPr>
      </w:pPr>
      <w:r>
        <w:rPr>
          <w:rFonts w:hint="eastAsia" w:ascii="宋体" w:hAnsi="宋体" w:eastAsia="宋体" w:cs="宋体"/>
          <w:color w:val="auto"/>
          <w:highlight w:val="none"/>
        </w:rPr>
        <w:t>提供虚假材料谋取中标；</w:t>
      </w:r>
    </w:p>
    <w:p>
      <w:pPr>
        <w:pStyle w:val="44"/>
        <w:numPr>
          <w:ilvl w:val="1"/>
          <w:numId w:val="14"/>
        </w:numPr>
        <w:ind w:firstLine="480"/>
        <w:rPr>
          <w:rFonts w:hint="eastAsia" w:ascii="宋体" w:hAnsi="宋体" w:eastAsia="宋体" w:cs="宋体"/>
          <w:color w:val="auto"/>
          <w:highlight w:val="none"/>
        </w:rPr>
      </w:pPr>
      <w:r>
        <w:rPr>
          <w:rFonts w:hint="eastAsia" w:ascii="宋体" w:hAnsi="宋体" w:eastAsia="宋体" w:cs="宋体"/>
          <w:color w:val="auto"/>
          <w:highlight w:val="none"/>
        </w:rPr>
        <w:t>采取不正当手段诋毁、排挤其他投标人；</w:t>
      </w:r>
    </w:p>
    <w:p>
      <w:pPr>
        <w:pStyle w:val="44"/>
        <w:numPr>
          <w:ilvl w:val="1"/>
          <w:numId w:val="14"/>
        </w:numPr>
        <w:ind w:firstLine="480"/>
        <w:rPr>
          <w:rFonts w:hint="eastAsia" w:ascii="宋体" w:hAnsi="宋体" w:eastAsia="宋体" w:cs="宋体"/>
          <w:color w:val="auto"/>
          <w:highlight w:val="none"/>
        </w:rPr>
      </w:pPr>
      <w:r>
        <w:rPr>
          <w:rFonts w:hint="eastAsia" w:ascii="宋体" w:hAnsi="宋体" w:eastAsia="宋体" w:cs="宋体"/>
          <w:color w:val="auto"/>
          <w:highlight w:val="none"/>
        </w:rPr>
        <w:t>与招标采购单位、其他投标人恶意串通；</w:t>
      </w:r>
    </w:p>
    <w:p>
      <w:pPr>
        <w:pStyle w:val="44"/>
        <w:numPr>
          <w:ilvl w:val="1"/>
          <w:numId w:val="14"/>
        </w:numPr>
        <w:ind w:firstLine="480"/>
        <w:rPr>
          <w:rFonts w:hint="eastAsia" w:ascii="宋体" w:hAnsi="宋体" w:eastAsia="宋体" w:cs="宋体"/>
          <w:color w:val="auto"/>
          <w:highlight w:val="none"/>
        </w:rPr>
      </w:pPr>
      <w:r>
        <w:rPr>
          <w:rFonts w:hint="eastAsia" w:ascii="宋体" w:hAnsi="宋体" w:eastAsia="宋体" w:cs="宋体"/>
          <w:color w:val="auto"/>
          <w:highlight w:val="none"/>
        </w:rPr>
        <w:t>向招标采购单位、评标委员会成员行贿或者提供其他不正当利益；</w:t>
      </w:r>
    </w:p>
    <w:p>
      <w:pPr>
        <w:pStyle w:val="44"/>
        <w:numPr>
          <w:ilvl w:val="1"/>
          <w:numId w:val="14"/>
        </w:numPr>
        <w:ind w:firstLine="480"/>
        <w:rPr>
          <w:rFonts w:hint="eastAsia" w:ascii="宋体" w:hAnsi="宋体" w:eastAsia="宋体" w:cs="宋体"/>
          <w:color w:val="auto"/>
          <w:highlight w:val="none"/>
        </w:rPr>
      </w:pPr>
      <w:r>
        <w:rPr>
          <w:rFonts w:hint="eastAsia" w:ascii="宋体" w:hAnsi="宋体" w:eastAsia="宋体" w:cs="宋体"/>
          <w:color w:val="auto"/>
          <w:highlight w:val="none"/>
        </w:rPr>
        <w:t>在招标过程中与招标采购单位进行协商谈判；</w:t>
      </w:r>
    </w:p>
    <w:p>
      <w:pPr>
        <w:pStyle w:val="44"/>
        <w:numPr>
          <w:ilvl w:val="1"/>
          <w:numId w:val="14"/>
        </w:numPr>
        <w:ind w:firstLine="480"/>
        <w:rPr>
          <w:rFonts w:hint="eastAsia" w:ascii="宋体" w:hAnsi="宋体" w:eastAsia="宋体" w:cs="宋体"/>
          <w:color w:val="auto"/>
          <w:highlight w:val="none"/>
        </w:rPr>
      </w:pPr>
      <w:r>
        <w:rPr>
          <w:rFonts w:hint="eastAsia" w:ascii="宋体" w:hAnsi="宋体" w:eastAsia="宋体" w:cs="宋体"/>
          <w:color w:val="auto"/>
          <w:highlight w:val="none"/>
        </w:rPr>
        <w:t>中标或者成交后无正当理由拒不与采购人签订政府采购合同；</w:t>
      </w:r>
    </w:p>
    <w:p>
      <w:pPr>
        <w:pStyle w:val="44"/>
        <w:numPr>
          <w:ilvl w:val="1"/>
          <w:numId w:val="14"/>
        </w:numPr>
        <w:ind w:firstLine="480"/>
        <w:rPr>
          <w:rFonts w:hint="eastAsia" w:ascii="宋体" w:hAnsi="宋体" w:eastAsia="宋体" w:cs="宋体"/>
          <w:color w:val="auto"/>
          <w:highlight w:val="none"/>
        </w:rPr>
      </w:pPr>
      <w:r>
        <w:rPr>
          <w:rFonts w:hint="eastAsia" w:ascii="宋体" w:hAnsi="宋体" w:eastAsia="宋体" w:cs="宋体"/>
          <w:color w:val="auto"/>
          <w:highlight w:val="none"/>
        </w:rPr>
        <w:t>未按照采购文件确定的事项签订政府采购合同；</w:t>
      </w:r>
    </w:p>
    <w:p>
      <w:pPr>
        <w:pStyle w:val="44"/>
        <w:numPr>
          <w:ilvl w:val="1"/>
          <w:numId w:val="14"/>
        </w:numPr>
        <w:ind w:firstLine="480"/>
        <w:rPr>
          <w:rFonts w:hint="eastAsia" w:ascii="宋体" w:hAnsi="宋体" w:eastAsia="宋体" w:cs="宋体"/>
          <w:color w:val="auto"/>
          <w:highlight w:val="none"/>
        </w:rPr>
      </w:pPr>
      <w:r>
        <w:rPr>
          <w:rFonts w:hint="eastAsia" w:ascii="宋体" w:hAnsi="宋体" w:eastAsia="宋体" w:cs="宋体"/>
          <w:color w:val="auto"/>
          <w:highlight w:val="none"/>
        </w:rPr>
        <w:t>将政府采购合同转包或者违规分包；</w:t>
      </w:r>
    </w:p>
    <w:p>
      <w:pPr>
        <w:pStyle w:val="44"/>
        <w:numPr>
          <w:ilvl w:val="1"/>
          <w:numId w:val="14"/>
        </w:numPr>
        <w:ind w:firstLine="480"/>
        <w:rPr>
          <w:rFonts w:hint="eastAsia" w:ascii="宋体" w:hAnsi="宋体" w:eastAsia="宋体" w:cs="宋体"/>
          <w:color w:val="auto"/>
          <w:highlight w:val="none"/>
        </w:rPr>
      </w:pPr>
      <w:r>
        <w:rPr>
          <w:rFonts w:hint="eastAsia" w:ascii="宋体" w:hAnsi="宋体" w:eastAsia="宋体" w:cs="宋体"/>
          <w:color w:val="auto"/>
          <w:highlight w:val="none"/>
        </w:rPr>
        <w:t>提供假冒伪劣产品；</w:t>
      </w:r>
    </w:p>
    <w:p>
      <w:pPr>
        <w:pStyle w:val="44"/>
        <w:numPr>
          <w:ilvl w:val="1"/>
          <w:numId w:val="14"/>
        </w:numPr>
        <w:ind w:firstLine="480"/>
        <w:rPr>
          <w:rFonts w:hint="eastAsia" w:ascii="宋体" w:hAnsi="宋体" w:eastAsia="宋体" w:cs="宋体"/>
          <w:color w:val="auto"/>
          <w:highlight w:val="none"/>
        </w:rPr>
      </w:pPr>
      <w:r>
        <w:rPr>
          <w:rFonts w:hint="eastAsia" w:ascii="宋体" w:hAnsi="宋体" w:eastAsia="宋体" w:cs="宋体"/>
          <w:color w:val="auto"/>
          <w:highlight w:val="none"/>
        </w:rPr>
        <w:t>擅自变更、中止或者终止政府采购合同；</w:t>
      </w:r>
    </w:p>
    <w:p>
      <w:pPr>
        <w:pStyle w:val="44"/>
        <w:numPr>
          <w:ilvl w:val="1"/>
          <w:numId w:val="14"/>
        </w:numPr>
        <w:ind w:firstLine="480"/>
        <w:rPr>
          <w:rFonts w:hint="eastAsia" w:ascii="宋体" w:hAnsi="宋体" w:eastAsia="宋体" w:cs="宋体"/>
          <w:color w:val="auto"/>
          <w:highlight w:val="none"/>
        </w:rPr>
      </w:pPr>
      <w:r>
        <w:rPr>
          <w:rFonts w:hint="eastAsia" w:ascii="宋体" w:hAnsi="宋体" w:eastAsia="宋体" w:cs="宋体"/>
          <w:color w:val="auto"/>
          <w:highlight w:val="none"/>
        </w:rPr>
        <w:t>拒绝有关部门的监督检查或者向监督检查部门提供虚假情况；</w:t>
      </w:r>
    </w:p>
    <w:p>
      <w:pPr>
        <w:pStyle w:val="44"/>
        <w:numPr>
          <w:ilvl w:val="1"/>
          <w:numId w:val="14"/>
        </w:numPr>
        <w:ind w:firstLine="480"/>
        <w:rPr>
          <w:rFonts w:hint="eastAsia" w:ascii="宋体" w:hAnsi="宋体" w:eastAsia="宋体" w:cs="宋体"/>
          <w:color w:val="auto"/>
          <w:highlight w:val="none"/>
        </w:rPr>
      </w:pPr>
      <w:r>
        <w:rPr>
          <w:rFonts w:hint="eastAsia" w:ascii="宋体" w:hAnsi="宋体" w:eastAsia="宋体" w:cs="宋体"/>
          <w:color w:val="auto"/>
          <w:highlight w:val="none"/>
        </w:rPr>
        <w:t>法律法规规定的其他情形。</w:t>
      </w:r>
    </w:p>
    <w:p>
      <w:pPr>
        <w:pStyle w:val="30"/>
        <w:ind w:firstLine="480" w:firstLineChars="200"/>
        <w:rPr>
          <w:rFonts w:hint="eastAsia" w:ascii="宋体" w:hAnsi="宋体" w:eastAsia="宋体" w:cs="宋体"/>
          <w:color w:val="auto"/>
          <w:highlight w:val="none"/>
        </w:rPr>
      </w:pPr>
      <w:bookmarkStart w:id="788" w:name="_Toc217446078"/>
      <w:bookmarkStart w:id="789" w:name="_Toc525"/>
      <w:bookmarkStart w:id="790" w:name="_Toc20327"/>
      <w:bookmarkStart w:id="791" w:name="_Toc8765"/>
      <w:r>
        <w:rPr>
          <w:rFonts w:hint="eastAsia" w:ascii="宋体" w:hAnsi="宋体" w:eastAsia="宋体" w:cs="宋体"/>
          <w:color w:val="auto"/>
          <w:highlight w:val="none"/>
        </w:rPr>
        <w:t>投标人有上述情形的，按照规定追究法律责任，具备(一)～(十)条情形之一的，同时将取消中标资格或者认定中标无效。</w:t>
      </w:r>
    </w:p>
    <w:bookmarkEnd w:id="762"/>
    <w:bookmarkEnd w:id="763"/>
    <w:bookmarkEnd w:id="788"/>
    <w:bookmarkEnd w:id="789"/>
    <w:bookmarkEnd w:id="790"/>
    <w:bookmarkEnd w:id="791"/>
    <w:p>
      <w:pPr>
        <w:pStyle w:val="53"/>
        <w:spacing w:before="120" w:after="120"/>
        <w:rPr>
          <w:rFonts w:hint="eastAsia" w:ascii="宋体" w:hAnsi="宋体" w:eastAsia="宋体" w:cs="宋体"/>
          <w:color w:val="auto"/>
          <w:highlight w:val="none"/>
        </w:rPr>
      </w:pPr>
      <w:bookmarkStart w:id="792" w:name="_Toc17791"/>
      <w:bookmarkStart w:id="793" w:name="_Toc12421"/>
      <w:bookmarkStart w:id="794" w:name="_Toc9092"/>
      <w:bookmarkStart w:id="795" w:name="_Toc24434"/>
      <w:bookmarkStart w:id="796" w:name="_Toc1652"/>
      <w:bookmarkStart w:id="797" w:name="_Toc24165"/>
      <w:bookmarkStart w:id="798" w:name="_Toc414"/>
      <w:bookmarkStart w:id="799" w:name="_Toc21424"/>
      <w:bookmarkStart w:id="800" w:name="_Toc327196301"/>
      <w:bookmarkStart w:id="801" w:name="_Toc5589"/>
      <w:r>
        <w:rPr>
          <w:rFonts w:hint="eastAsia" w:ascii="宋体" w:hAnsi="宋体" w:eastAsia="宋体" w:cs="宋体"/>
          <w:color w:val="auto"/>
          <w:highlight w:val="none"/>
        </w:rPr>
        <w:t>其他</w:t>
      </w:r>
      <w:bookmarkEnd w:id="792"/>
    </w:p>
    <w:p>
      <w:pPr>
        <w:pStyle w:val="32"/>
        <w:numPr>
          <w:ilvl w:val="2"/>
          <w:numId w:val="15"/>
        </w:numPr>
        <w:spacing w:line="430" w:lineRule="exact"/>
        <w:ind w:firstLine="482"/>
        <w:rPr>
          <w:rFonts w:hint="eastAsia" w:ascii="宋体" w:hAnsi="宋体" w:eastAsia="宋体" w:cs="宋体"/>
          <w:color w:val="auto"/>
          <w:highlight w:val="none"/>
        </w:rPr>
      </w:pPr>
      <w:bookmarkStart w:id="802" w:name="_Toc818"/>
      <w:r>
        <w:rPr>
          <w:rFonts w:hint="eastAsia" w:ascii="宋体" w:hAnsi="宋体" w:eastAsia="宋体" w:cs="宋体"/>
          <w:color w:val="auto"/>
          <w:highlight w:val="none"/>
        </w:rPr>
        <w:t>询问</w:t>
      </w:r>
      <w:bookmarkEnd w:id="793"/>
      <w:bookmarkEnd w:id="794"/>
      <w:bookmarkEnd w:id="795"/>
      <w:bookmarkEnd w:id="796"/>
      <w:bookmarkEnd w:id="797"/>
      <w:bookmarkEnd w:id="798"/>
      <w:r>
        <w:rPr>
          <w:rFonts w:hint="eastAsia" w:ascii="宋体" w:hAnsi="宋体" w:eastAsia="宋体" w:cs="宋体"/>
          <w:color w:val="auto"/>
          <w:highlight w:val="none"/>
        </w:rPr>
        <w:t>、质疑和投诉</w:t>
      </w:r>
      <w:bookmarkEnd w:id="802"/>
    </w:p>
    <w:bookmarkEnd w:id="799"/>
    <w:bookmarkEnd w:id="800"/>
    <w:p>
      <w:pPr>
        <w:pStyle w:val="34"/>
        <w:spacing w:line="430" w:lineRule="exact"/>
        <w:rPr>
          <w:rFonts w:hint="eastAsia" w:ascii="宋体" w:hAnsi="宋体" w:eastAsia="宋体" w:cs="宋体"/>
          <w:color w:val="auto"/>
          <w:highlight w:val="none"/>
        </w:rPr>
      </w:pPr>
      <w:r>
        <w:rPr>
          <w:rFonts w:hint="eastAsia" w:ascii="宋体" w:hAnsi="宋体" w:eastAsia="宋体" w:cs="宋体"/>
          <w:color w:val="auto"/>
          <w:highlight w:val="none"/>
        </w:rPr>
        <w:t>具体详见投标人须知前附表。</w:t>
      </w:r>
    </w:p>
    <w:p>
      <w:pPr>
        <w:pStyle w:val="32"/>
        <w:numPr>
          <w:ilvl w:val="2"/>
          <w:numId w:val="15"/>
        </w:numPr>
        <w:spacing w:line="430" w:lineRule="exact"/>
        <w:ind w:firstLine="482"/>
        <w:rPr>
          <w:rFonts w:hint="eastAsia" w:ascii="宋体" w:hAnsi="宋体" w:eastAsia="宋体" w:cs="宋体"/>
          <w:color w:val="auto"/>
          <w:highlight w:val="none"/>
        </w:rPr>
      </w:pPr>
      <w:bookmarkStart w:id="803" w:name="_Toc11575"/>
      <w:bookmarkStart w:id="804" w:name="_Toc22454"/>
      <w:bookmarkStart w:id="805" w:name="_Toc24357"/>
      <w:bookmarkStart w:id="806" w:name="_Toc27417"/>
      <w:bookmarkStart w:id="807" w:name="_Toc8852"/>
      <w:r>
        <w:rPr>
          <w:rFonts w:hint="eastAsia" w:ascii="宋体" w:hAnsi="宋体" w:eastAsia="宋体" w:cs="宋体"/>
          <w:color w:val="auto"/>
          <w:highlight w:val="none"/>
        </w:rPr>
        <w:t>关于行贿犯罪档案查询工作的规定</w:t>
      </w:r>
      <w:bookmarkEnd w:id="803"/>
      <w:bookmarkEnd w:id="804"/>
      <w:bookmarkEnd w:id="805"/>
      <w:bookmarkEnd w:id="806"/>
      <w:bookmarkEnd w:id="807"/>
    </w:p>
    <w:p>
      <w:pPr>
        <w:pStyle w:val="34"/>
        <w:spacing w:line="430" w:lineRule="exact"/>
        <w:rPr>
          <w:rFonts w:hint="eastAsia" w:ascii="宋体" w:hAnsi="宋体" w:eastAsia="宋体" w:cs="宋体"/>
          <w:color w:val="auto"/>
          <w:highlight w:val="none"/>
        </w:rPr>
      </w:pPr>
      <w:bookmarkStart w:id="808" w:name="_Toc25217"/>
      <w:bookmarkStart w:id="809" w:name="_Toc24870"/>
      <w:r>
        <w:rPr>
          <w:rFonts w:hint="eastAsia" w:ascii="宋体" w:hAnsi="宋体" w:eastAsia="宋体" w:cs="宋体"/>
          <w:color w:val="auto"/>
          <w:highlight w:val="none"/>
        </w:rPr>
        <w:t>因国家检察机关职务犯罪侦查部门转隶工作已经完成，供应商参与采购活动时须按照采购文件要求提供承诺函或由采购代理机构通过“中国裁判文书网”查询，并将查询记录存档。</w:t>
      </w:r>
    </w:p>
    <w:p>
      <w:pPr>
        <w:pStyle w:val="32"/>
        <w:numPr>
          <w:ilvl w:val="2"/>
          <w:numId w:val="15"/>
        </w:numPr>
        <w:spacing w:line="430" w:lineRule="exact"/>
        <w:ind w:firstLine="482"/>
        <w:rPr>
          <w:rFonts w:hint="eastAsia" w:ascii="宋体" w:hAnsi="宋体" w:eastAsia="宋体" w:cs="宋体"/>
          <w:color w:val="auto"/>
          <w:highlight w:val="none"/>
        </w:rPr>
      </w:pPr>
      <w:bookmarkStart w:id="810" w:name="_Toc25431"/>
      <w:bookmarkStart w:id="811" w:name="_Toc28559"/>
      <w:r>
        <w:rPr>
          <w:rFonts w:hint="eastAsia" w:ascii="宋体" w:hAnsi="宋体" w:eastAsia="宋体" w:cs="宋体"/>
          <w:color w:val="auto"/>
          <w:highlight w:val="none"/>
        </w:rPr>
        <w:t>串通投标的情形</w:t>
      </w:r>
      <w:bookmarkEnd w:id="808"/>
      <w:bookmarkEnd w:id="809"/>
      <w:bookmarkEnd w:id="810"/>
      <w:bookmarkEnd w:id="811"/>
    </w:p>
    <w:p>
      <w:pPr>
        <w:pStyle w:val="34"/>
        <w:spacing w:line="430" w:lineRule="exact"/>
        <w:rPr>
          <w:rFonts w:hint="eastAsia" w:ascii="宋体" w:hAnsi="宋体" w:eastAsia="宋体" w:cs="宋体"/>
          <w:color w:val="auto"/>
          <w:highlight w:val="none"/>
        </w:rPr>
      </w:pPr>
      <w:r>
        <w:rPr>
          <w:rFonts w:hint="eastAsia" w:ascii="宋体" w:hAnsi="宋体" w:eastAsia="宋体" w:cs="宋体"/>
          <w:color w:val="auto"/>
          <w:highlight w:val="none"/>
        </w:rPr>
        <w:t>有下列情形之一的，视为投标人串通投标，其投标无效。</w:t>
      </w:r>
    </w:p>
    <w:p>
      <w:pPr>
        <w:pStyle w:val="34"/>
        <w:spacing w:line="430" w:lineRule="exact"/>
        <w:rPr>
          <w:rFonts w:hint="eastAsia" w:ascii="宋体" w:hAnsi="宋体" w:eastAsia="宋体" w:cs="宋体"/>
          <w:color w:val="auto"/>
          <w:highlight w:val="none"/>
        </w:rPr>
      </w:pPr>
      <w:r>
        <w:rPr>
          <w:rFonts w:hint="eastAsia" w:ascii="宋体" w:hAnsi="宋体" w:eastAsia="宋体" w:cs="宋体"/>
          <w:color w:val="auto"/>
          <w:highlight w:val="none"/>
        </w:rPr>
        <w:t>1.不同投标人的投标文件由同一单位或者个人编制；</w:t>
      </w:r>
    </w:p>
    <w:p>
      <w:pPr>
        <w:pStyle w:val="34"/>
        <w:spacing w:line="430" w:lineRule="exact"/>
        <w:rPr>
          <w:rFonts w:hint="eastAsia" w:ascii="宋体" w:hAnsi="宋体" w:eastAsia="宋体" w:cs="宋体"/>
          <w:color w:val="auto"/>
          <w:highlight w:val="none"/>
        </w:rPr>
      </w:pPr>
      <w:r>
        <w:rPr>
          <w:rFonts w:hint="eastAsia" w:ascii="宋体" w:hAnsi="宋体" w:eastAsia="宋体" w:cs="宋体"/>
          <w:color w:val="auto"/>
          <w:highlight w:val="none"/>
        </w:rPr>
        <w:t>2.不同投标人委托同一单位或者个人办理投标事宜；</w:t>
      </w:r>
    </w:p>
    <w:p>
      <w:pPr>
        <w:pStyle w:val="34"/>
        <w:spacing w:line="430" w:lineRule="exact"/>
        <w:rPr>
          <w:rFonts w:hint="eastAsia" w:ascii="宋体" w:hAnsi="宋体" w:eastAsia="宋体" w:cs="宋体"/>
          <w:color w:val="auto"/>
          <w:highlight w:val="none"/>
        </w:rPr>
      </w:pPr>
      <w:r>
        <w:rPr>
          <w:rFonts w:hint="eastAsia" w:ascii="宋体" w:hAnsi="宋体" w:eastAsia="宋体" w:cs="宋体"/>
          <w:color w:val="auto"/>
          <w:highlight w:val="none"/>
        </w:rPr>
        <w:t>3.不同投标人的投标文件载明的项目管理成员或者联系人员为同一人；</w:t>
      </w:r>
    </w:p>
    <w:p>
      <w:pPr>
        <w:pStyle w:val="34"/>
        <w:spacing w:line="430" w:lineRule="exact"/>
        <w:rPr>
          <w:rFonts w:hint="eastAsia" w:ascii="宋体" w:hAnsi="宋体" w:eastAsia="宋体" w:cs="宋体"/>
          <w:color w:val="auto"/>
          <w:highlight w:val="none"/>
        </w:rPr>
      </w:pPr>
      <w:r>
        <w:rPr>
          <w:rFonts w:hint="eastAsia" w:ascii="宋体" w:hAnsi="宋体" w:eastAsia="宋体" w:cs="宋体"/>
          <w:color w:val="auto"/>
          <w:highlight w:val="none"/>
        </w:rPr>
        <w:t>4.不同投标人的投标文件异常一致或者投标报价呈规律性差异；</w:t>
      </w:r>
    </w:p>
    <w:p>
      <w:pPr>
        <w:pStyle w:val="34"/>
        <w:spacing w:line="430" w:lineRule="exact"/>
        <w:rPr>
          <w:rFonts w:hint="eastAsia" w:ascii="宋体" w:hAnsi="宋体" w:eastAsia="宋体" w:cs="宋体"/>
          <w:color w:val="auto"/>
          <w:highlight w:val="none"/>
        </w:rPr>
      </w:pPr>
      <w:r>
        <w:rPr>
          <w:rFonts w:hint="eastAsia" w:ascii="宋体" w:hAnsi="宋体" w:eastAsia="宋体" w:cs="宋体"/>
          <w:color w:val="auto"/>
          <w:highlight w:val="none"/>
        </w:rPr>
        <w:t>5.不同投标人的投标文件相互混装。</w:t>
      </w:r>
    </w:p>
    <w:p>
      <w:pPr>
        <w:pStyle w:val="32"/>
        <w:numPr>
          <w:ilvl w:val="2"/>
          <w:numId w:val="15"/>
        </w:numPr>
        <w:spacing w:line="430" w:lineRule="exact"/>
        <w:ind w:firstLine="482"/>
        <w:rPr>
          <w:rFonts w:hint="eastAsia" w:ascii="宋体" w:hAnsi="宋体" w:eastAsia="宋体" w:cs="宋体"/>
          <w:color w:val="auto"/>
          <w:highlight w:val="none"/>
        </w:rPr>
      </w:pPr>
      <w:bookmarkStart w:id="812" w:name="_Toc18703"/>
      <w:bookmarkStart w:id="813" w:name="_Toc21656"/>
      <w:bookmarkStart w:id="814" w:name="_Toc10983"/>
      <w:bookmarkStart w:id="815" w:name="_Toc32334"/>
      <w:bookmarkStart w:id="816" w:name="_Toc17038"/>
      <w:bookmarkStart w:id="817" w:name="_Toc22192"/>
      <w:r>
        <w:rPr>
          <w:rFonts w:hint="eastAsia" w:ascii="宋体" w:hAnsi="宋体" w:eastAsia="宋体" w:cs="宋体"/>
          <w:color w:val="auto"/>
          <w:highlight w:val="none"/>
        </w:rPr>
        <w:t>投标人信用信息查询</w:t>
      </w:r>
      <w:bookmarkEnd w:id="812"/>
      <w:bookmarkEnd w:id="813"/>
      <w:bookmarkEnd w:id="814"/>
      <w:bookmarkEnd w:id="815"/>
      <w:bookmarkEnd w:id="816"/>
      <w:bookmarkEnd w:id="817"/>
    </w:p>
    <w:p>
      <w:pPr>
        <w:pStyle w:val="44"/>
        <w:numPr>
          <w:ilvl w:val="1"/>
          <w:numId w:val="0"/>
        </w:numPr>
        <w:spacing w:line="43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1.投标人信用信息查询渠道</w:t>
      </w:r>
    </w:p>
    <w:p>
      <w:pPr>
        <w:pStyle w:val="34"/>
        <w:spacing w:line="430" w:lineRule="exact"/>
        <w:rPr>
          <w:rFonts w:hint="eastAsia" w:ascii="宋体" w:hAnsi="宋体" w:eastAsia="宋体" w:cs="宋体"/>
          <w:color w:val="auto"/>
          <w:highlight w:val="none"/>
        </w:rPr>
      </w:pPr>
      <w:r>
        <w:rPr>
          <w:rFonts w:hint="eastAsia" w:ascii="宋体" w:hAnsi="宋体" w:eastAsia="宋体" w:cs="宋体"/>
          <w:color w:val="auto"/>
          <w:highlight w:val="none"/>
        </w:rPr>
        <w:t>“信用中国”网站(www.creditchina.gov.cn)、“中国政府采购网”(www.ccgp.gov.cn)等。</w:t>
      </w:r>
    </w:p>
    <w:p>
      <w:pPr>
        <w:pStyle w:val="44"/>
        <w:numPr>
          <w:ilvl w:val="1"/>
          <w:numId w:val="0"/>
        </w:numPr>
        <w:spacing w:line="43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2.投标人信用信息查询截止时点</w:t>
      </w:r>
    </w:p>
    <w:p>
      <w:pPr>
        <w:pStyle w:val="34"/>
        <w:spacing w:line="430" w:lineRule="exact"/>
        <w:rPr>
          <w:rFonts w:hint="eastAsia" w:ascii="宋体" w:hAnsi="宋体" w:eastAsia="宋体" w:cs="宋体"/>
          <w:color w:val="auto"/>
          <w:highlight w:val="none"/>
        </w:rPr>
      </w:pPr>
      <w:r>
        <w:rPr>
          <w:rFonts w:hint="eastAsia" w:ascii="宋体" w:hAnsi="宋体" w:eastAsia="宋体" w:cs="宋体"/>
          <w:color w:val="auto"/>
          <w:highlight w:val="none"/>
        </w:rPr>
        <w:t>信用信息查询在资格审查阶段完成。</w:t>
      </w:r>
    </w:p>
    <w:p>
      <w:pPr>
        <w:pStyle w:val="44"/>
        <w:numPr>
          <w:ilvl w:val="1"/>
          <w:numId w:val="0"/>
        </w:numPr>
        <w:spacing w:line="43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3.投标人信用信息查询记录和证据留存的具体方式</w:t>
      </w:r>
    </w:p>
    <w:p>
      <w:pPr>
        <w:pStyle w:val="34"/>
        <w:spacing w:line="430" w:lineRule="exact"/>
        <w:rPr>
          <w:rFonts w:hint="eastAsia" w:ascii="宋体" w:hAnsi="宋体" w:eastAsia="宋体" w:cs="宋体"/>
          <w:color w:val="auto"/>
          <w:highlight w:val="none"/>
        </w:rPr>
      </w:pPr>
      <w:r>
        <w:rPr>
          <w:rFonts w:hint="eastAsia" w:ascii="宋体" w:hAnsi="宋体" w:eastAsia="宋体" w:cs="宋体"/>
          <w:color w:val="auto"/>
          <w:highlight w:val="none"/>
        </w:rPr>
        <w:t>采购代理机构通过“信用中国”网站、“中国政府采购网”等渠道对供应商进行信用记录查询，并将查询记录存档。</w:t>
      </w:r>
    </w:p>
    <w:p>
      <w:pPr>
        <w:pStyle w:val="44"/>
        <w:numPr>
          <w:ilvl w:val="1"/>
          <w:numId w:val="0"/>
        </w:numPr>
        <w:spacing w:line="43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4.投标人信用信息的使用：凡被列入失信被执行人、重大税收违法案件当事人名单、政府采购严重违法失信行为记录名单的，视为存在不良信用记录，参与本项目的将被拒绝。</w:t>
      </w:r>
    </w:p>
    <w:p>
      <w:pPr>
        <w:pStyle w:val="32"/>
        <w:numPr>
          <w:ilvl w:val="2"/>
          <w:numId w:val="15"/>
        </w:numPr>
        <w:spacing w:line="430" w:lineRule="exact"/>
        <w:ind w:firstLine="482"/>
        <w:rPr>
          <w:rFonts w:hint="eastAsia" w:ascii="宋体" w:hAnsi="宋体" w:eastAsia="宋体" w:cs="宋体"/>
          <w:color w:val="auto"/>
          <w:highlight w:val="none"/>
        </w:rPr>
      </w:pPr>
      <w:bookmarkStart w:id="818" w:name="_Toc20913"/>
      <w:r>
        <w:rPr>
          <w:rFonts w:hint="eastAsia" w:ascii="宋体" w:hAnsi="宋体" w:eastAsia="宋体" w:cs="宋体"/>
          <w:color w:val="auto"/>
          <w:highlight w:val="none"/>
        </w:rPr>
        <w:t>解释说明</w:t>
      </w:r>
      <w:bookmarkEnd w:id="818"/>
    </w:p>
    <w:p>
      <w:pPr>
        <w:pStyle w:val="44"/>
        <w:numPr>
          <w:ilvl w:val="1"/>
          <w:numId w:val="0"/>
        </w:numPr>
        <w:spacing w:line="43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本招标文件中作为实质性要求的内容，除明确要求需在投标时提供承诺函等证明材料的外，采购人或采购代理机构或评标委员会在评审时，仅对投标文件是否违背实质性要求进行审查，如该项未违背实质性要求，视为满足实质性要求。</w:t>
      </w:r>
    </w:p>
    <w:p>
      <w:pPr>
        <w:pStyle w:val="44"/>
        <w:numPr>
          <w:ilvl w:val="1"/>
          <w:numId w:val="0"/>
        </w:numPr>
        <w:spacing w:line="43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本招标文件中所引用的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44"/>
        <w:numPr>
          <w:ilvl w:val="1"/>
          <w:numId w:val="0"/>
        </w:numPr>
        <w:spacing w:line="43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3.国家或行业主管部门对供应商和采购产品的技术标准、质量标准和资格资质条件等有强制性规定的，必须符合其要求</w:t>
      </w:r>
      <w:r>
        <w:rPr>
          <w:rFonts w:hint="eastAsia" w:ascii="宋体" w:hAnsi="宋体" w:eastAsia="宋体" w:cs="宋体"/>
          <w:b/>
          <w:bCs/>
          <w:color w:val="auto"/>
          <w:highlight w:val="none"/>
        </w:rPr>
        <w:t>(实质性要求)</w:t>
      </w:r>
      <w:r>
        <w:rPr>
          <w:rFonts w:hint="eastAsia" w:ascii="宋体" w:hAnsi="宋体" w:eastAsia="宋体" w:cs="宋体"/>
          <w:color w:val="auto"/>
          <w:highlight w:val="none"/>
        </w:rPr>
        <w:t>。</w:t>
      </w:r>
    </w:p>
    <w:p>
      <w:pPr>
        <w:pStyle w:val="44"/>
        <w:numPr>
          <w:ilvl w:val="1"/>
          <w:numId w:val="0"/>
        </w:numPr>
        <w:spacing w:line="43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4.本项目涉及企业资质、产品认证、人员执业资格等描述与国家最新要求不一致时以最新要求为准。</w:t>
      </w:r>
    </w:p>
    <w:p>
      <w:pPr>
        <w:pStyle w:val="29"/>
        <w:numPr>
          <w:ilvl w:val="0"/>
          <w:numId w:val="9"/>
        </w:numPr>
        <w:spacing w:before="120" w:after="120"/>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801"/>
      <w:bookmarkStart w:id="819" w:name="_Toc4206"/>
      <w:bookmarkStart w:id="820" w:name="_Toc6234"/>
      <w:bookmarkStart w:id="821" w:name="_Toc29575"/>
      <w:bookmarkStart w:id="822" w:name="_Toc25961"/>
      <w:bookmarkStart w:id="823" w:name="_Toc31402"/>
      <w:r>
        <w:rPr>
          <w:rFonts w:hint="eastAsia" w:ascii="宋体" w:hAnsi="宋体" w:eastAsia="宋体" w:cs="宋体"/>
          <w:color w:val="auto"/>
          <w:highlight w:val="none"/>
        </w:rPr>
        <w:t>投标文件格式</w:t>
      </w:r>
      <w:bookmarkEnd w:id="819"/>
      <w:bookmarkEnd w:id="820"/>
      <w:bookmarkEnd w:id="821"/>
      <w:bookmarkEnd w:id="822"/>
      <w:bookmarkEnd w:id="823"/>
    </w:p>
    <w:p>
      <w:pPr>
        <w:pStyle w:val="57"/>
        <w:ind w:firstLine="480"/>
        <w:rPr>
          <w:rFonts w:hint="eastAsia" w:ascii="宋体" w:hAnsi="宋体" w:eastAsia="宋体" w:cs="宋体"/>
          <w:color w:val="auto"/>
          <w:highlight w:val="none"/>
        </w:rPr>
      </w:pPr>
      <w:bookmarkStart w:id="824" w:name="_Toc287367101"/>
      <w:bookmarkStart w:id="825" w:name="_Toc182759327"/>
      <w:bookmarkStart w:id="826" w:name="_Toc182629023"/>
      <w:bookmarkStart w:id="827" w:name="_Toc316462354"/>
      <w:bookmarkStart w:id="828" w:name="_Toc16460"/>
      <w:bookmarkStart w:id="829" w:name="_Toc439161746"/>
      <w:bookmarkStart w:id="830" w:name="_Toc294688711"/>
      <w:bookmarkStart w:id="831" w:name="_Toc294701519"/>
      <w:bookmarkStart w:id="832" w:name="_Toc295978802"/>
      <w:bookmarkStart w:id="833" w:name="_Toc211218954"/>
      <w:r>
        <w:rPr>
          <w:rFonts w:hint="eastAsia" w:ascii="宋体" w:hAnsi="宋体" w:eastAsia="宋体" w:cs="宋体"/>
          <w:color w:val="auto"/>
          <w:highlight w:val="none"/>
        </w:rPr>
        <w:t>一、本章所制投标文件格式，除格式中明确将该格式作为实质性要求的，一律不具有强制性。</w:t>
      </w:r>
    </w:p>
    <w:p>
      <w:pPr>
        <w:pStyle w:val="57"/>
        <w:ind w:firstLine="480"/>
        <w:rPr>
          <w:rFonts w:hint="eastAsia" w:ascii="宋体" w:hAnsi="宋体" w:eastAsia="宋体" w:cs="宋体"/>
          <w:color w:val="auto"/>
          <w:highlight w:val="none"/>
        </w:rPr>
      </w:pPr>
      <w:r>
        <w:rPr>
          <w:rFonts w:hint="eastAsia" w:ascii="宋体" w:hAnsi="宋体" w:eastAsia="宋体" w:cs="宋体"/>
          <w:color w:val="auto"/>
          <w:highlight w:val="none"/>
        </w:rPr>
        <w:t>二、本章所制投标文件格式有关表格中的备注栏，由投标人根据自身投标情况作解释性说明，不作为必填项。</w:t>
      </w:r>
    </w:p>
    <w:p>
      <w:pPr>
        <w:pStyle w:val="57"/>
        <w:ind w:firstLine="480"/>
        <w:rPr>
          <w:rFonts w:hint="eastAsia" w:ascii="宋体" w:hAnsi="宋体" w:eastAsia="宋体" w:cs="宋体"/>
          <w:color w:val="auto"/>
          <w:highlight w:val="none"/>
        </w:rPr>
      </w:pPr>
      <w:r>
        <w:rPr>
          <w:rFonts w:hint="eastAsia" w:ascii="宋体" w:hAnsi="宋体" w:eastAsia="宋体" w:cs="宋体"/>
          <w:color w:val="auto"/>
          <w:highlight w:val="none"/>
        </w:rPr>
        <w:t>三、本章格式中“注”的内容，供应商可自行决定是否保留在投标文件中，未保留的视为供应商默认接受“注”的内容。</w:t>
      </w:r>
    </w:p>
    <w:p>
      <w:pPr>
        <w:pStyle w:val="57"/>
        <w:ind w:firstLine="480"/>
        <w:rPr>
          <w:rFonts w:hint="eastAsia" w:ascii="宋体" w:hAnsi="宋体" w:eastAsia="宋体" w:cs="宋体"/>
          <w:color w:val="auto"/>
          <w:highlight w:val="none"/>
        </w:rPr>
      </w:pPr>
      <w:r>
        <w:rPr>
          <w:rFonts w:hint="eastAsia" w:ascii="宋体" w:hAnsi="宋体" w:eastAsia="宋体" w:cs="宋体"/>
          <w:color w:val="auto"/>
          <w:highlight w:val="none"/>
        </w:rPr>
        <w:t>四、本章所制投标文件格式中需要填写的相关内容事项，可能会与本采购项目无关，在不改变投标文件原义、不影响本项目采购需求的情况下，投标人可以不予填写，但应当注明。</w:t>
      </w:r>
    </w:p>
    <w:p>
      <w:pPr>
        <w:pStyle w:val="3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5"/>
        <w:rPr>
          <w:rFonts w:hint="eastAsia" w:ascii="宋体" w:hAnsi="宋体" w:eastAsia="宋体" w:cs="宋体"/>
          <w:color w:val="auto"/>
          <w:highlight w:val="none"/>
        </w:rPr>
      </w:pPr>
      <w:r>
        <w:rPr>
          <w:rFonts w:hint="eastAsia" w:ascii="宋体" w:hAnsi="宋体" w:eastAsia="宋体" w:cs="宋体"/>
          <w:color w:val="auto"/>
          <w:highlight w:val="none"/>
        </w:rPr>
        <w:t>附件：密封袋的格式</w:t>
      </w:r>
    </w:p>
    <w:p>
      <w:pPr>
        <w:pStyle w:val="45"/>
        <w:rPr>
          <w:rFonts w:hint="eastAsia" w:ascii="宋体" w:hAnsi="宋体" w:eastAsia="宋体" w:cs="宋体"/>
          <w:color w:val="auto"/>
          <w:highlight w:val="none"/>
        </w:rPr>
      </w:pPr>
    </w:p>
    <w:p>
      <w:pPr>
        <w:pStyle w:val="45"/>
        <w:rPr>
          <w:rFonts w:hint="eastAsia" w:ascii="宋体" w:hAnsi="宋体" w:eastAsia="宋体" w:cs="宋体"/>
          <w:color w:val="auto"/>
          <w:highlight w:val="none"/>
        </w:rPr>
      </w:pPr>
    </w:p>
    <w:p>
      <w:pPr>
        <w:pStyle w:val="45"/>
        <w:rPr>
          <w:rFonts w:hint="eastAsia" w:ascii="宋体" w:hAnsi="宋体" w:eastAsia="宋体" w:cs="宋体"/>
          <w:color w:val="auto"/>
          <w:highlight w:val="none"/>
        </w:rPr>
      </w:pPr>
    </w:p>
    <w:tbl>
      <w:tblPr>
        <w:tblStyle w:val="22"/>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tcPr>
          <w:p>
            <w:pPr>
              <w:pStyle w:val="45"/>
              <w:rPr>
                <w:rFonts w:hint="eastAsia" w:ascii="宋体" w:hAnsi="宋体" w:eastAsia="宋体" w:cs="宋体"/>
                <w:color w:val="auto"/>
                <w:highlight w:val="none"/>
              </w:rPr>
            </w:pPr>
          </w:p>
          <w:p>
            <w:pPr>
              <w:pStyle w:val="45"/>
              <w:ind w:left="2400" w:leftChars="1000"/>
              <w:rPr>
                <w:rFonts w:hint="eastAsia" w:ascii="宋体" w:hAnsi="宋体" w:eastAsia="宋体" w:cs="宋体"/>
                <w:color w:val="auto"/>
                <w:highlight w:val="non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45"/>
              <w:ind w:left="2400" w:leftChars="1000"/>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45"/>
              <w:rPr>
                <w:rFonts w:hint="eastAsia" w:ascii="宋体" w:hAnsi="宋体" w:eastAsia="宋体" w:cs="宋体"/>
                <w:color w:val="auto"/>
                <w:highlight w:val="none"/>
              </w:rPr>
            </w:pPr>
          </w:p>
          <w:p>
            <w:pPr>
              <w:pStyle w:val="45"/>
              <w:rPr>
                <w:rFonts w:hint="eastAsia" w:ascii="宋体" w:hAnsi="宋体" w:eastAsia="宋体" w:cs="宋体"/>
                <w:color w:val="auto"/>
                <w:highlight w:val="none"/>
              </w:rPr>
            </w:pPr>
          </w:p>
          <w:p>
            <w:pPr>
              <w:pStyle w:val="45"/>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资格、资质性及其他类似效力投标文件/其他投标文件</w:t>
            </w:r>
          </w:p>
          <w:p>
            <w:pPr>
              <w:pStyle w:val="45"/>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/开标一览表</w:t>
            </w:r>
          </w:p>
          <w:p>
            <w:pPr>
              <w:pStyle w:val="45"/>
              <w:rPr>
                <w:rFonts w:hint="eastAsia" w:ascii="宋体" w:hAnsi="宋体" w:eastAsia="宋体" w:cs="宋体"/>
                <w:color w:val="auto"/>
                <w:highlight w:val="none"/>
              </w:rPr>
            </w:pPr>
          </w:p>
          <w:p>
            <w:pPr>
              <w:pStyle w:val="45"/>
              <w:ind w:left="2400" w:leftChars="1000"/>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45"/>
              <w:ind w:left="2400" w:leftChars="1000"/>
              <w:rPr>
                <w:rFonts w:hint="eastAsia" w:ascii="宋体" w:hAnsi="宋体" w:eastAsia="宋体" w:cs="宋体"/>
                <w:color w:val="auto"/>
                <w:highlight w:val="none"/>
              </w:rPr>
            </w:pPr>
            <w:r>
              <w:rPr>
                <w:rFonts w:hint="eastAsia" w:ascii="宋体" w:hAnsi="宋体" w:eastAsia="宋体" w:cs="宋体"/>
                <w:color w:val="auto"/>
                <w:highlight w:val="none"/>
              </w:rPr>
              <w:t>投标日期：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45"/>
              <w:rPr>
                <w:rFonts w:hint="eastAsia" w:ascii="宋体" w:hAnsi="宋体" w:eastAsia="宋体" w:cs="宋体"/>
                <w:color w:val="auto"/>
                <w:highlight w:val="none"/>
              </w:rPr>
            </w:pPr>
          </w:p>
        </w:tc>
      </w:tr>
    </w:tbl>
    <w:p>
      <w:pPr>
        <w:pStyle w:val="45"/>
        <w:rPr>
          <w:rFonts w:hint="eastAsia" w:ascii="宋体" w:hAnsi="宋体" w:eastAsia="宋体" w:cs="宋体"/>
          <w:color w:val="auto"/>
          <w:highlight w:val="none"/>
        </w:rPr>
      </w:pPr>
      <w:bookmarkStart w:id="834" w:name="_Toc6994"/>
      <w:bookmarkStart w:id="835" w:name="_Toc11581"/>
      <w:r>
        <w:rPr>
          <w:rFonts w:hint="eastAsia" w:ascii="宋体" w:hAnsi="宋体" w:eastAsia="宋体" w:cs="宋体"/>
          <w:color w:val="auto"/>
          <w:highlight w:val="none"/>
        </w:rPr>
        <w:br w:type="page"/>
      </w:r>
    </w:p>
    <w:p>
      <w:pPr>
        <w:pStyle w:val="45"/>
        <w:rPr>
          <w:rFonts w:hint="eastAsia" w:ascii="宋体" w:hAnsi="宋体" w:eastAsia="宋体" w:cs="宋体"/>
          <w:color w:val="auto"/>
          <w:highlight w:val="none"/>
        </w:rPr>
      </w:pPr>
      <w:r>
        <w:rPr>
          <w:rFonts w:hint="eastAsia" w:ascii="宋体" w:hAnsi="宋体" w:eastAsia="宋体" w:cs="宋体"/>
          <w:color w:val="auto"/>
          <w:highlight w:val="none"/>
        </w:rPr>
        <w:t>投标文件封面格式</w:t>
      </w:r>
      <w:bookmarkEnd w:id="824"/>
      <w:bookmarkEnd w:id="825"/>
      <w:bookmarkEnd w:id="826"/>
      <w:bookmarkEnd w:id="827"/>
      <w:bookmarkEnd w:id="828"/>
      <w:bookmarkEnd w:id="829"/>
      <w:bookmarkEnd w:id="830"/>
      <w:bookmarkEnd w:id="831"/>
      <w:bookmarkEnd w:id="832"/>
      <w:bookmarkEnd w:id="833"/>
      <w:bookmarkEnd w:id="834"/>
      <w:bookmarkEnd w:id="835"/>
    </w:p>
    <w:p>
      <w:pPr>
        <w:pStyle w:val="45"/>
        <w:rPr>
          <w:rFonts w:hint="eastAsia" w:ascii="宋体" w:hAnsi="宋体" w:eastAsia="宋体" w:cs="宋体"/>
          <w:color w:val="auto"/>
          <w:highlight w:val="none"/>
        </w:rPr>
      </w:pPr>
      <w:r>
        <w:rPr>
          <w:rFonts w:hint="eastAsia" w:ascii="宋体" w:hAnsi="宋体" w:eastAsia="宋体" w:cs="宋体"/>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b/>
                                <w:sz w:val="28"/>
                                <w:szCs w:val="28"/>
                              </w:rPr>
                            </w:pPr>
                            <w:r>
                              <w:rPr>
                                <w:rFonts w:hint="eastAsia"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cs="宋体"/>
                          <w:b/>
                          <w:sz w:val="28"/>
                          <w:szCs w:val="28"/>
                        </w:rPr>
                      </w:pPr>
                      <w:r>
                        <w:rPr>
                          <w:rFonts w:hint="eastAsia" w:cs="宋体"/>
                          <w:b/>
                          <w:sz w:val="28"/>
                          <w:szCs w:val="28"/>
                        </w:rPr>
                        <w:t>正本或副本</w:t>
                      </w:r>
                    </w:p>
                  </w:txbxContent>
                </v:textbox>
              </v:rect>
            </w:pict>
          </mc:Fallback>
        </mc:AlternateContent>
      </w:r>
    </w:p>
    <w:p>
      <w:pPr>
        <w:pStyle w:val="45"/>
        <w:rPr>
          <w:rFonts w:hint="eastAsia" w:ascii="宋体" w:hAnsi="宋体" w:eastAsia="宋体" w:cs="宋体"/>
          <w:color w:val="auto"/>
          <w:highlight w:val="none"/>
        </w:rPr>
      </w:pPr>
    </w:p>
    <w:p>
      <w:pPr>
        <w:pStyle w:val="45"/>
        <w:rPr>
          <w:rFonts w:hint="eastAsia" w:ascii="宋体" w:hAnsi="宋体" w:eastAsia="宋体" w:cs="宋体"/>
          <w:color w:val="auto"/>
          <w:highlight w:val="none"/>
        </w:rPr>
      </w:pPr>
    </w:p>
    <w:p>
      <w:pPr>
        <w:pStyle w:val="45"/>
        <w:rPr>
          <w:rFonts w:hint="eastAsia" w:ascii="宋体" w:hAnsi="宋体" w:eastAsia="宋体" w:cs="宋体"/>
          <w:color w:val="auto"/>
          <w:highlight w:val="none"/>
        </w:rPr>
      </w:pPr>
    </w:p>
    <w:p>
      <w:pPr>
        <w:pStyle w:val="45"/>
        <w:spacing w:line="360" w:lineRule="auto"/>
        <w:jc w:val="center"/>
        <w:rPr>
          <w:rFonts w:hint="eastAsia" w:ascii="宋体" w:hAnsi="宋体" w:eastAsia="宋体" w:cs="宋体"/>
          <w:b/>
          <w:bCs/>
          <w:color w:val="auto"/>
          <w:sz w:val="48"/>
          <w:szCs w:val="48"/>
          <w:highlight w:val="none"/>
        </w:rPr>
      </w:pPr>
    </w:p>
    <w:p>
      <w:pPr>
        <w:pStyle w:val="45"/>
        <w:spacing w:line="360" w:lineRule="auto"/>
        <w:jc w:val="center"/>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rPr>
        <w:t>资格、资质性及其他类似效力投标文件</w:t>
      </w:r>
    </w:p>
    <w:p>
      <w:pPr>
        <w:pStyle w:val="45"/>
        <w:spacing w:line="360" w:lineRule="auto"/>
        <w:jc w:val="center"/>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rPr>
        <w:t>/其他投标文件</w:t>
      </w:r>
    </w:p>
    <w:p>
      <w:pPr>
        <w:pStyle w:val="45"/>
        <w:rPr>
          <w:rFonts w:hint="eastAsia" w:ascii="宋体" w:hAnsi="宋体" w:eastAsia="宋体" w:cs="宋体"/>
          <w:color w:val="auto"/>
          <w:highlight w:val="none"/>
        </w:rPr>
      </w:pPr>
    </w:p>
    <w:p>
      <w:pPr>
        <w:pStyle w:val="45"/>
        <w:spacing w:line="480" w:lineRule="auto"/>
        <w:ind w:left="2400" w:leftChars="1000"/>
        <w:rPr>
          <w:rFonts w:hint="eastAsia" w:ascii="宋体" w:hAnsi="宋体" w:eastAsia="宋体" w:cs="宋体"/>
          <w:b/>
          <w:bCs/>
          <w:color w:val="auto"/>
          <w:sz w:val="32"/>
          <w:szCs w:val="32"/>
          <w:highlight w:val="none"/>
        </w:rPr>
      </w:pPr>
    </w:p>
    <w:p>
      <w:pPr>
        <w:pStyle w:val="45"/>
        <w:spacing w:line="480" w:lineRule="auto"/>
        <w:ind w:left="2400" w:leftChars="1000"/>
        <w:rPr>
          <w:rFonts w:hint="eastAsia" w:ascii="宋体" w:hAnsi="宋体" w:eastAsia="宋体" w:cs="宋体"/>
          <w:b/>
          <w:bCs/>
          <w:color w:val="auto"/>
          <w:sz w:val="32"/>
          <w:szCs w:val="32"/>
          <w:highlight w:val="none"/>
        </w:rPr>
      </w:pPr>
    </w:p>
    <w:p>
      <w:pPr>
        <w:pStyle w:val="45"/>
        <w:spacing w:line="480" w:lineRule="auto"/>
        <w:ind w:left="2400" w:leftChars="1000"/>
        <w:rPr>
          <w:rFonts w:hint="eastAsia" w:ascii="宋体" w:hAnsi="宋体" w:eastAsia="宋体" w:cs="宋体"/>
          <w:b/>
          <w:bCs/>
          <w:color w:val="auto"/>
          <w:sz w:val="32"/>
          <w:szCs w:val="32"/>
          <w:highlight w:val="none"/>
        </w:rPr>
      </w:pPr>
    </w:p>
    <w:p>
      <w:pPr>
        <w:pStyle w:val="45"/>
        <w:spacing w:line="480" w:lineRule="auto"/>
        <w:ind w:left="2400" w:leftChars="1000"/>
        <w:rPr>
          <w:rFonts w:hint="eastAsia" w:ascii="宋体" w:hAnsi="宋体" w:eastAsia="宋体" w:cs="宋体"/>
          <w:b/>
          <w:bCs/>
          <w:color w:val="auto"/>
          <w:sz w:val="32"/>
          <w:szCs w:val="32"/>
          <w:highlight w:val="none"/>
        </w:rPr>
      </w:pPr>
    </w:p>
    <w:p>
      <w:pPr>
        <w:pStyle w:val="45"/>
        <w:spacing w:line="480" w:lineRule="auto"/>
        <w:ind w:left="2400" w:leftChars="100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项目名称：</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 xml:space="preserve">                      </w:t>
      </w:r>
    </w:p>
    <w:p>
      <w:pPr>
        <w:pStyle w:val="45"/>
        <w:spacing w:line="480" w:lineRule="auto"/>
        <w:ind w:left="2400" w:leftChars="100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项目编号：</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 xml:space="preserve">                      </w:t>
      </w:r>
    </w:p>
    <w:p>
      <w:pPr>
        <w:pStyle w:val="45"/>
        <w:spacing w:line="480" w:lineRule="auto"/>
        <w:ind w:left="2400" w:leftChars="100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投标人名称：</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 xml:space="preserve">                </w:t>
      </w:r>
    </w:p>
    <w:p>
      <w:pPr>
        <w:pStyle w:val="45"/>
        <w:spacing w:line="480" w:lineRule="auto"/>
        <w:ind w:left="2400" w:leftChars="100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投标日期：</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年</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月</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日</w:t>
      </w:r>
    </w:p>
    <w:p>
      <w:pPr>
        <w:pStyle w:val="30"/>
        <w:rPr>
          <w:rFonts w:hint="eastAsia" w:ascii="宋体" w:hAnsi="宋体" w:eastAsia="宋体" w:cs="宋体"/>
          <w:color w:val="auto"/>
          <w:highlight w:val="none"/>
        </w:rPr>
      </w:pPr>
      <w:bookmarkStart w:id="836" w:name="_Toc5565"/>
      <w:bookmarkStart w:id="837" w:name="_Toc31011"/>
      <w:bookmarkStart w:id="838" w:name="_Toc5306"/>
      <w:bookmarkStart w:id="839" w:name="_Toc11556"/>
      <w:r>
        <w:rPr>
          <w:rFonts w:hint="eastAsia" w:ascii="宋体" w:hAnsi="宋体" w:eastAsia="宋体" w:cs="宋体"/>
          <w:color w:val="auto"/>
          <w:highlight w:val="none"/>
        </w:rPr>
        <w:br w:type="page"/>
      </w:r>
    </w:p>
    <w:bookmarkEnd w:id="836"/>
    <w:bookmarkEnd w:id="837"/>
    <w:bookmarkEnd w:id="838"/>
    <w:bookmarkEnd w:id="839"/>
    <w:p>
      <w:pPr>
        <w:pStyle w:val="30"/>
        <w:rPr>
          <w:rFonts w:hint="eastAsia" w:ascii="宋体" w:hAnsi="宋体" w:eastAsia="宋体" w:cs="宋体"/>
          <w:color w:val="auto"/>
          <w:highlight w:val="none"/>
        </w:rPr>
      </w:pPr>
      <w:bookmarkStart w:id="840" w:name="_Toc15611"/>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bookmarkStart w:id="841" w:name="_Toc24630"/>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1"/>
        <w:numPr>
          <w:ilvl w:val="1"/>
          <w:numId w:val="0"/>
        </w:numPr>
        <w:spacing w:before="480" w:beforeLines="200"/>
        <w:jc w:val="center"/>
        <w:rPr>
          <w:rFonts w:hint="eastAsia" w:ascii="宋体" w:hAnsi="宋体" w:eastAsia="宋体" w:cs="宋体"/>
          <w:color w:val="auto"/>
          <w:sz w:val="32"/>
          <w:szCs w:val="32"/>
          <w:highlight w:val="none"/>
        </w:rPr>
      </w:pPr>
      <w:bookmarkStart w:id="842" w:name="_Toc14561"/>
      <w:r>
        <w:rPr>
          <w:rFonts w:hint="eastAsia" w:ascii="宋体" w:hAnsi="宋体" w:eastAsia="宋体" w:cs="宋体"/>
          <w:color w:val="auto"/>
          <w:sz w:val="32"/>
          <w:szCs w:val="32"/>
          <w:highlight w:val="none"/>
        </w:rPr>
        <w:t>第一部分 资格、资质性及其他类似效力投标文件(格式)</w:t>
      </w:r>
      <w:bookmarkEnd w:id="840"/>
      <w:bookmarkEnd w:id="841"/>
      <w:bookmarkEnd w:id="842"/>
      <w:bookmarkStart w:id="843" w:name="_Toc23537"/>
      <w:bookmarkStart w:id="844" w:name="_Toc16168"/>
    </w:p>
    <w:p>
      <w:pPr>
        <w:pStyle w:val="30"/>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843"/>
      <w:bookmarkEnd w:id="844"/>
      <w:bookmarkStart w:id="845" w:name="_Toc26837"/>
      <w:bookmarkStart w:id="846" w:name="_Toc4996"/>
    </w:p>
    <w:p>
      <w:pPr>
        <w:pStyle w:val="54"/>
        <w:numPr>
          <w:ilvl w:val="0"/>
          <w:numId w:val="16"/>
        </w:numPr>
        <w:spacing w:before="120" w:after="120"/>
        <w:ind w:firstLine="0"/>
        <w:rPr>
          <w:rFonts w:hint="eastAsia" w:ascii="宋体" w:hAnsi="宋体" w:eastAsia="宋体" w:cs="宋体"/>
          <w:color w:val="auto"/>
          <w:highlight w:val="none"/>
        </w:rPr>
      </w:pPr>
      <w:bookmarkStart w:id="847" w:name="_Toc30522"/>
      <w:r>
        <w:rPr>
          <w:rFonts w:hint="eastAsia" w:ascii="宋体" w:hAnsi="宋体" w:eastAsia="宋体" w:cs="宋体"/>
          <w:color w:val="auto"/>
          <w:highlight w:val="none"/>
        </w:rPr>
        <w:t>法定代表人/单位负责人授权书</w:t>
      </w:r>
      <w:bookmarkEnd w:id="845"/>
      <w:bookmarkEnd w:id="846"/>
      <w:bookmarkEnd w:id="847"/>
    </w:p>
    <w:p>
      <w:pPr>
        <w:pStyle w:val="3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(采购代理机构名称)：</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本授权声明：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(投标人名称)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(法定代表人/单位负责人姓名、职务)授权</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(被授权人姓名、职务、身份证号码)为我方参加“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(项目名称)(项目编号：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)”投标活动的合法代表，以我方名义全权处理该项目有关投标、签订合同以及执行合同等一切事宜，我单位均予承认，所产生的法律后果均由我单位承担。</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特此声明。</w:t>
      </w: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4"/>
        <w:rPr>
          <w:rFonts w:hint="eastAsia" w:ascii="宋体" w:hAnsi="宋体" w:eastAsia="宋体" w:cs="宋体"/>
          <w:color w:val="auto"/>
          <w:highlight w:val="none"/>
        </w:rPr>
      </w:pPr>
      <w:r>
        <w:rPr>
          <w:rFonts w:hint="eastAsia" w:ascii="宋体" w:hAnsi="宋体" w:eastAsia="宋体" w:cs="宋体"/>
          <w:color w:val="auto"/>
          <w:highlight w:val="none"/>
        </w:rPr>
        <w:t>法定代表人/单位负责人：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(签字或盖章)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授权代表：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(签字或盖章)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30"/>
        <w:rPr>
          <w:rFonts w:hint="eastAsia" w:ascii="宋体" w:hAnsi="宋体" w:eastAsia="宋体" w:cs="宋体"/>
          <w:color w:val="auto"/>
          <w:highlight w:val="none"/>
        </w:rPr>
      </w:pP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注：1.法定代表人/单位负责人不亲自参加投标，而授权代表参加投标的适用。</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2.供应商为法人单位时提供“法定代表人授权书”，供应商为其他组织时提供“负责人授权书”，供应商为自然人时提供“自然人身份证明材料”。</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3.应附法定代表人/单位负责人身份证明材料复印件和授权代表身份证明材料复印件。</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4.身份证明材料包括居民身份证或户口本或军官证或护照等。</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5.身份证明材料应同时提供其在有效期的材料，如居民身份证正、反面复印件。</w:t>
      </w:r>
    </w:p>
    <w:p>
      <w:pPr>
        <w:pStyle w:val="3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4"/>
        <w:numPr>
          <w:ilvl w:val="0"/>
          <w:numId w:val="17"/>
        </w:numPr>
        <w:spacing w:before="120" w:after="120"/>
        <w:ind w:firstLine="0"/>
        <w:rPr>
          <w:rFonts w:hint="eastAsia" w:ascii="宋体" w:hAnsi="宋体" w:eastAsia="宋体" w:cs="宋体"/>
          <w:color w:val="auto"/>
          <w:highlight w:val="none"/>
        </w:rPr>
      </w:pPr>
      <w:bookmarkStart w:id="848" w:name="_Toc9688"/>
      <w:bookmarkStart w:id="849" w:name="_Toc9235"/>
      <w:bookmarkStart w:id="850" w:name="_Toc9243"/>
      <w:bookmarkStart w:id="851" w:name="_Toc5501"/>
      <w:bookmarkStart w:id="852" w:name="_Toc22140"/>
      <w:r>
        <w:rPr>
          <w:rFonts w:hint="eastAsia" w:ascii="宋体" w:hAnsi="宋体" w:eastAsia="宋体" w:cs="宋体"/>
          <w:color w:val="auto"/>
          <w:highlight w:val="none"/>
        </w:rPr>
        <w:t>法定代表人/单位负责人证明书</w:t>
      </w:r>
      <w:bookmarkEnd w:id="848"/>
      <w:bookmarkEnd w:id="849"/>
      <w:bookmarkEnd w:id="850"/>
      <w:bookmarkEnd w:id="851"/>
      <w:bookmarkEnd w:id="852"/>
    </w:p>
    <w:p>
      <w:pPr>
        <w:pStyle w:val="34"/>
        <w:rPr>
          <w:rFonts w:hint="eastAsia" w:ascii="宋体" w:hAnsi="宋体" w:eastAsia="宋体" w:cs="宋体"/>
          <w:color w:val="auto"/>
          <w:highlight w:val="none"/>
        </w:rPr>
      </w:pPr>
      <w:r>
        <w:rPr>
          <w:rFonts w:hint="eastAsia" w:ascii="宋体" w:hAnsi="宋体" w:eastAsia="宋体" w:cs="宋体"/>
          <w:color w:val="auto"/>
          <w:highlight w:val="none"/>
        </w:rPr>
        <w:t>单位名称：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地    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姓    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性别：</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职务：</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本人系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(投标人名称)的法定代表人/单位负责人。就参加你单位组织的“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(项目名称)(项目编号：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)”的投标活动、并参与项目的投标、签订合同以及执行合同等一切事宜，我单位均予承认，所产生的法律后果均由我单位承担。</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特此证明。</w:t>
      </w: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(盖章) </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法定代表人/单位负责人：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(签字或盖章)</w:t>
      </w:r>
    </w:p>
    <w:p>
      <w:pPr>
        <w:pStyle w:val="34"/>
        <w:rPr>
          <w:rFonts w:hint="eastAsia" w:ascii="宋体" w:hAnsi="宋体" w:eastAsia="宋体" w:cs="宋体"/>
          <w:color w:val="auto"/>
          <w:highlight w:val="none"/>
          <w:u w:val="single"/>
        </w:rPr>
      </w:pPr>
      <w:r>
        <w:rPr>
          <w:rFonts w:hint="eastAsia" w:ascii="宋体" w:hAnsi="宋体" w:eastAsia="宋体" w:cs="宋体"/>
          <w:color w:val="auto"/>
          <w:highlight w:val="none"/>
        </w:rPr>
        <w:t>投标日期：</w:t>
      </w:r>
      <w:r>
        <w:rPr>
          <w:rFonts w:hint="eastAsia" w:ascii="宋体" w:hAnsi="宋体" w:eastAsia="宋体" w:cs="宋体"/>
          <w:color w:val="auto"/>
          <w:highlight w:val="none"/>
          <w:u w:val="single"/>
        </w:rPr>
        <w:t xml:space="preserve">             </w:t>
      </w:r>
    </w:p>
    <w:p>
      <w:pPr>
        <w:pStyle w:val="34"/>
        <w:rPr>
          <w:rFonts w:hint="eastAsia" w:ascii="宋体" w:hAnsi="宋体" w:eastAsia="宋体" w:cs="宋体"/>
          <w:color w:val="auto"/>
          <w:highlight w:val="none"/>
        </w:rPr>
      </w:pP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注：1.法定代表人/单位负责人亲自参加投标时适用本证明书。</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2.应附法定代表人/单位负责人身份证明材料复印件。</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3.身份证明材料包括居民身份证或户口本或军官证或护照等。</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4.身份证明材料应同时提供其在有效期的材料，如居民身份证正、反面复印件。</w:t>
      </w:r>
    </w:p>
    <w:p>
      <w:pPr>
        <w:pStyle w:val="54"/>
        <w:numPr>
          <w:ilvl w:val="0"/>
          <w:numId w:val="17"/>
        </w:numPr>
        <w:spacing w:before="120" w:after="120"/>
        <w:ind w:firstLine="0"/>
        <w:rPr>
          <w:rFonts w:hint="eastAsia" w:ascii="宋体" w:hAnsi="宋体" w:eastAsia="宋体" w:cs="宋体"/>
          <w:color w:val="auto"/>
          <w:highlight w:val="none"/>
        </w:rPr>
      </w:pPr>
      <w:bookmarkStart w:id="853" w:name="_Toc20167"/>
      <w:bookmarkStart w:id="854" w:name="_Toc22152"/>
      <w:bookmarkStart w:id="855" w:name="_Toc28837"/>
      <w:bookmarkStart w:id="856" w:name="_Toc28397"/>
      <w:bookmarkStart w:id="857" w:name="_Toc3822"/>
      <w:bookmarkStart w:id="858" w:name="_Toc28024"/>
      <w:bookmarkStart w:id="859" w:name="_Toc29937"/>
      <w:bookmarkStart w:id="860" w:name="_Toc14566"/>
      <w:r>
        <w:rPr>
          <w:rFonts w:hint="eastAsia" w:ascii="宋体" w:hAnsi="宋体" w:eastAsia="宋体" w:cs="宋体"/>
          <w:color w:val="auto"/>
          <w:highlight w:val="none"/>
        </w:rPr>
        <w:t>具有独立承担民事责任的能力的证明材料</w:t>
      </w:r>
      <w:bookmarkEnd w:id="853"/>
      <w:bookmarkEnd w:id="854"/>
      <w:bookmarkEnd w:id="855"/>
    </w:p>
    <w:p>
      <w:pPr>
        <w:pStyle w:val="34"/>
        <w:rPr>
          <w:rFonts w:hint="eastAsia" w:ascii="宋体" w:hAnsi="宋体" w:eastAsia="宋体" w:cs="宋体"/>
          <w:color w:val="auto"/>
          <w:highlight w:val="none"/>
        </w:rPr>
      </w:pPr>
      <w:r>
        <w:rPr>
          <w:rFonts w:hint="eastAsia" w:ascii="宋体" w:hAnsi="宋体" w:eastAsia="宋体" w:cs="宋体"/>
          <w:color w:val="auto"/>
          <w:highlight w:val="none"/>
        </w:rPr>
        <w:t>①投标人若为企业法人：提供“营业执照”副本复印件；未换证的提供“营业执照副本、税务登记证副本、组织机构代码证副本”复印件；②若为事业法人：提供“统一社会信用代码法人登记证书”复印件；未换证的提交“事业法人登记证书、组织机构代码证”复印件；③若为其他组织：提供“对应主管部门颁发的准许执业证明文件或营业执照副本”复印件；④若为自然人：提供“身份证明材料”。</w:t>
      </w:r>
    </w:p>
    <w:bookmarkEnd w:id="856"/>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注：1.以上证明材料应满足此条要求①发证机关有年检要求的，应按规定通过年检；②在有效期内；③复印件加盖投标人公章；</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2.</w:t>
      </w:r>
      <w:bookmarkEnd w:id="857"/>
      <w:r>
        <w:rPr>
          <w:rFonts w:hint="eastAsia" w:ascii="宋体" w:hAnsi="宋体" w:eastAsia="宋体" w:cs="宋体"/>
          <w:color w:val="auto"/>
          <w:highlight w:val="none"/>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3.根据国务院办公厅关于加快推进“多证合一”改革的指导意见(国办发〔2017〕41号)等政策要求，若资格要求涉及的登记、备案等有关事项和各类证照已实行多证合一的，提供多证合一证照副本复印件。</w:t>
      </w:r>
    </w:p>
    <w:p>
      <w:pPr>
        <w:pStyle w:val="30"/>
        <w:rPr>
          <w:rFonts w:hint="eastAsia" w:ascii="宋体" w:hAnsi="宋体" w:eastAsia="宋体" w:cs="宋体"/>
          <w:color w:val="auto"/>
          <w:highlight w:val="none"/>
        </w:rPr>
      </w:pPr>
    </w:p>
    <w:p>
      <w:pPr>
        <w:pStyle w:val="54"/>
        <w:numPr>
          <w:ilvl w:val="0"/>
          <w:numId w:val="17"/>
        </w:numPr>
        <w:spacing w:before="120" w:after="120"/>
        <w:ind w:firstLine="0"/>
        <w:rPr>
          <w:rFonts w:hint="eastAsia" w:ascii="宋体" w:hAnsi="宋体" w:eastAsia="宋体" w:cs="宋体"/>
          <w:color w:val="auto"/>
          <w:highlight w:val="none"/>
        </w:rPr>
      </w:pPr>
      <w:bookmarkStart w:id="861" w:name="_Toc16414"/>
      <w:r>
        <w:rPr>
          <w:rFonts w:hint="eastAsia" w:ascii="宋体" w:hAnsi="宋体" w:eastAsia="宋体" w:cs="宋体"/>
          <w:color w:val="auto"/>
          <w:highlight w:val="none"/>
        </w:rPr>
        <w:t>投标人具有良好的商业信誉和健全的财务会计制度的证明材料</w:t>
      </w:r>
      <w:bookmarkEnd w:id="858"/>
      <w:bookmarkEnd w:id="859"/>
      <w:bookmarkEnd w:id="861"/>
    </w:p>
    <w:bookmarkEnd w:id="860"/>
    <w:p>
      <w:pPr>
        <w:pStyle w:val="34"/>
        <w:rPr>
          <w:rFonts w:hint="eastAsia" w:ascii="宋体" w:hAnsi="宋体" w:eastAsia="宋体" w:cs="宋体"/>
          <w:color w:val="auto"/>
          <w:highlight w:val="none"/>
        </w:rPr>
      </w:pPr>
      <w:bookmarkStart w:id="862" w:name="_Toc19866"/>
      <w:bookmarkStart w:id="863" w:name="_Toc17744"/>
      <w:bookmarkStart w:id="864" w:name="_Toc5443"/>
      <w:r>
        <w:rPr>
          <w:rFonts w:hint="eastAsia" w:ascii="宋体" w:hAnsi="宋体" w:eastAsia="宋体" w:cs="宋体"/>
          <w:color w:val="auto"/>
          <w:highlight w:val="none"/>
        </w:rPr>
        <w:t>1.投标人具有良好商业信誉的证明材料。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提供具有良好的商业信誉的承诺函。</w:t>
      </w:r>
    </w:p>
    <w:p>
      <w:pPr>
        <w:pStyle w:val="34"/>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注：本项目供应商具有的良好商业信誉是指：至</w:t>
      </w:r>
      <w:r>
        <w:rPr>
          <w:rFonts w:hint="eastAsia" w:cs="宋体"/>
          <w:b/>
          <w:bCs/>
          <w:color w:val="auto"/>
          <w:highlight w:val="none"/>
          <w:lang w:val="en-US" w:eastAsia="zh-CN"/>
        </w:rPr>
        <w:t>投标</w:t>
      </w:r>
      <w:r>
        <w:rPr>
          <w:rFonts w:hint="eastAsia" w:ascii="宋体" w:hAnsi="宋体" w:eastAsia="宋体" w:cs="宋体"/>
          <w:b/>
          <w:bCs/>
          <w:color w:val="auto"/>
          <w:highlight w:val="none"/>
        </w:rPr>
        <w:t>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w:t>
      </w:r>
      <w:r>
        <w:rPr>
          <w:rFonts w:hint="eastAsia" w:cs="宋体"/>
          <w:b/>
          <w:bCs/>
          <w:color w:val="auto"/>
          <w:highlight w:val="none"/>
          <w:lang w:val="en-US" w:eastAsia="zh-CN"/>
        </w:rPr>
        <w:t>投标人</w:t>
      </w:r>
      <w:r>
        <w:rPr>
          <w:rFonts w:hint="eastAsia" w:ascii="宋体" w:hAnsi="宋体" w:eastAsia="宋体" w:cs="宋体"/>
          <w:b/>
          <w:bCs/>
          <w:color w:val="auto"/>
          <w:highlight w:val="none"/>
        </w:rPr>
        <w:t>需提供相关证明资料。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2.投标人具有健全的财务会计制度的证明材料。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(1)投标人提供2020年度经过会计师事务所审计的财务报告复印件(经审计的有效财务报告应包括报告及报告中所附的完整内容，并由注册会计师签名、盖章以及会计师事务所盖章)；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(2)投标人提供2020年度投标人内部的财务报表复印件(至少包含资产负债表)；</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(3)投标人提供投标文件递交截止日前一年内银行为其出具的资信证明复印件；</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(4)投标人注册时间截至投标文件递交截止日不足一年的，可提供公司章程复印件；</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(5)提供具有健全的财务会计制度的承诺函。</w:t>
      </w:r>
    </w:p>
    <w:p>
      <w:pPr>
        <w:pStyle w:val="56"/>
        <w:ind w:firstLine="482"/>
        <w:rPr>
          <w:rFonts w:hint="eastAsia" w:ascii="宋体" w:hAnsi="宋体" w:eastAsia="宋体" w:cs="宋体"/>
          <w:color w:val="auto"/>
          <w:highlight w:val="none"/>
        </w:rPr>
      </w:pPr>
      <w:r>
        <w:rPr>
          <w:rFonts w:hint="eastAsia" w:ascii="宋体" w:hAnsi="宋体" w:eastAsia="宋体" w:cs="宋体"/>
          <w:bCs/>
          <w:color w:val="auto"/>
          <w:highlight w:val="none"/>
        </w:rPr>
        <w:t>注：具有健全的财务会计制度的证明材料中第(1)-(5)项具有同等的投标效力，投标人可根据自身实际情况选择提供其中任意一项。</w:t>
      </w:r>
    </w:p>
    <w:p>
      <w:pPr>
        <w:pStyle w:val="54"/>
        <w:numPr>
          <w:ilvl w:val="0"/>
          <w:numId w:val="17"/>
        </w:numPr>
        <w:spacing w:before="120" w:after="120"/>
        <w:ind w:firstLine="0"/>
        <w:rPr>
          <w:rFonts w:hint="eastAsia" w:ascii="宋体" w:hAnsi="宋体" w:eastAsia="宋体" w:cs="宋体"/>
          <w:color w:val="auto"/>
          <w:highlight w:val="none"/>
        </w:rPr>
      </w:pPr>
      <w:bookmarkStart w:id="865" w:name="_Toc18486"/>
      <w:r>
        <w:rPr>
          <w:rFonts w:hint="eastAsia" w:ascii="宋体" w:hAnsi="宋体" w:eastAsia="宋体" w:cs="宋体"/>
          <w:color w:val="auto"/>
          <w:highlight w:val="none"/>
        </w:rPr>
        <w:t>投标人具有依法缴纳税收和社会保障资金的良好记录的证明材料</w:t>
      </w:r>
      <w:bookmarkEnd w:id="862"/>
      <w:bookmarkEnd w:id="863"/>
      <w:bookmarkEnd w:id="865"/>
    </w:p>
    <w:bookmarkEnd w:id="864"/>
    <w:p>
      <w:pPr>
        <w:pStyle w:val="34"/>
        <w:rPr>
          <w:rFonts w:hint="eastAsia" w:ascii="宋体" w:hAnsi="宋体" w:eastAsia="宋体" w:cs="宋体"/>
          <w:color w:val="auto"/>
          <w:highlight w:val="none"/>
        </w:rPr>
      </w:pPr>
      <w:r>
        <w:rPr>
          <w:rFonts w:hint="eastAsia" w:ascii="宋体" w:hAnsi="宋体" w:eastAsia="宋体" w:cs="宋体"/>
          <w:color w:val="auto"/>
          <w:highlight w:val="none"/>
        </w:rPr>
        <w:t>提供具有</w:t>
      </w:r>
      <w:r>
        <w:rPr>
          <w:rFonts w:hint="eastAsia" w:ascii="宋体" w:hAnsi="宋体" w:eastAsia="宋体" w:cs="宋体"/>
          <w:color w:val="auto"/>
          <w:highlight w:val="none"/>
          <w:lang w:val="zh-CN"/>
        </w:rPr>
        <w:t>依法缴纳税收和社会保障资金的良好记录</w:t>
      </w:r>
      <w:r>
        <w:rPr>
          <w:rFonts w:hint="eastAsia" w:ascii="宋体" w:hAnsi="宋体" w:eastAsia="宋体" w:cs="宋体"/>
          <w:color w:val="auto"/>
          <w:highlight w:val="none"/>
        </w:rPr>
        <w:t>的承诺函。</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注：格式自拟，或参照《符合&lt;中华人民共和国政府采购法&gt;第二十二条规定的条件的承诺及声明函》的格式提供承诺函。</w:t>
      </w:r>
    </w:p>
    <w:p>
      <w:pPr>
        <w:pStyle w:val="3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4"/>
        <w:numPr>
          <w:ilvl w:val="0"/>
          <w:numId w:val="17"/>
        </w:numPr>
        <w:spacing w:before="120" w:after="120"/>
        <w:ind w:firstLine="0"/>
        <w:rPr>
          <w:rFonts w:hint="eastAsia" w:ascii="宋体" w:hAnsi="宋体" w:eastAsia="宋体" w:cs="宋体"/>
          <w:color w:val="auto"/>
          <w:highlight w:val="none"/>
        </w:rPr>
      </w:pPr>
      <w:bookmarkStart w:id="866" w:name="_Toc16336"/>
      <w:bookmarkStart w:id="867" w:name="_Toc15870"/>
      <w:bookmarkStart w:id="868" w:name="_Toc19018"/>
      <w:r>
        <w:rPr>
          <w:rFonts w:hint="eastAsia" w:ascii="宋体" w:hAnsi="宋体" w:eastAsia="宋体" w:cs="宋体"/>
          <w:color w:val="auto"/>
          <w:highlight w:val="none"/>
        </w:rPr>
        <w:t>投标人具有履行合同所必需的设备和专业技术能力证明材料</w:t>
      </w:r>
      <w:bookmarkEnd w:id="866"/>
      <w:bookmarkEnd w:id="867"/>
      <w:bookmarkEnd w:id="868"/>
    </w:p>
    <w:p>
      <w:pPr>
        <w:pStyle w:val="34"/>
        <w:rPr>
          <w:rFonts w:hint="eastAsia" w:ascii="宋体" w:hAnsi="宋体" w:eastAsia="宋体" w:cs="宋体"/>
          <w:color w:val="auto"/>
          <w:highlight w:val="none"/>
        </w:rPr>
      </w:pPr>
      <w:r>
        <w:rPr>
          <w:rFonts w:hint="eastAsia" w:ascii="宋体" w:hAnsi="宋体" w:eastAsia="宋体" w:cs="宋体"/>
          <w:color w:val="auto"/>
          <w:highlight w:val="none"/>
        </w:rPr>
        <w:t>提供具有履行合同所必需的设备和专业技术能力的承诺函。</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注：格式自拟，或参照《符合&lt;中华人民共和国政府采购法&gt;第二十二条规定的条件的承诺及声明函》的格式提供承诺函。</w:t>
      </w:r>
    </w:p>
    <w:p>
      <w:pPr>
        <w:pStyle w:val="3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4"/>
        <w:numPr>
          <w:ilvl w:val="0"/>
          <w:numId w:val="17"/>
        </w:numPr>
        <w:spacing w:before="120" w:after="120"/>
        <w:ind w:firstLine="0"/>
        <w:rPr>
          <w:rFonts w:hint="eastAsia" w:ascii="宋体" w:hAnsi="宋体" w:eastAsia="宋体" w:cs="宋体"/>
          <w:color w:val="auto"/>
          <w:highlight w:val="none"/>
        </w:rPr>
      </w:pPr>
      <w:bookmarkStart w:id="869" w:name="_Toc21379"/>
      <w:bookmarkStart w:id="870" w:name="_Toc10473"/>
      <w:r>
        <w:rPr>
          <w:rFonts w:hint="eastAsia" w:ascii="宋体" w:hAnsi="宋体" w:eastAsia="宋体" w:cs="宋体"/>
          <w:color w:val="auto"/>
          <w:highlight w:val="none"/>
        </w:rPr>
        <w:t>投标人参加政府采购活动前三年内，在经营活动中没有重大违法记录的证明材料</w:t>
      </w:r>
      <w:bookmarkEnd w:id="869"/>
      <w:bookmarkEnd w:id="870"/>
    </w:p>
    <w:p>
      <w:pPr>
        <w:pStyle w:val="34"/>
        <w:rPr>
          <w:rFonts w:hint="eastAsia" w:ascii="宋体" w:hAnsi="宋体" w:eastAsia="宋体" w:cs="宋体"/>
          <w:color w:val="auto"/>
          <w:highlight w:val="none"/>
        </w:rPr>
      </w:pPr>
      <w:bookmarkStart w:id="871" w:name="_Toc9591"/>
      <w:bookmarkStart w:id="872" w:name="_Toc14299"/>
      <w:r>
        <w:rPr>
          <w:rFonts w:hint="eastAsia" w:ascii="宋体" w:hAnsi="宋体" w:eastAsia="宋体" w:cs="宋体"/>
          <w:color w:val="auto"/>
          <w:highlight w:val="none"/>
        </w:rPr>
        <w:t>投标人提供参加本次政府采购活动前三年内，在经营活动中没有重大违法记录的书面声明(成立不足三年的，从成立之日起计算)。</w:t>
      </w:r>
    </w:p>
    <w:p>
      <w:pPr>
        <w:pStyle w:val="56"/>
        <w:ind w:firstLine="482"/>
        <w:rPr>
          <w:rFonts w:hint="eastAsia" w:ascii="宋体" w:hAnsi="宋体" w:eastAsia="宋体" w:cs="宋体"/>
          <w:color w:val="auto"/>
          <w:highlight w:val="none"/>
        </w:rPr>
      </w:pPr>
      <w:bookmarkStart w:id="873" w:name="_Toc26284"/>
      <w:bookmarkStart w:id="874" w:name="_Toc7540"/>
      <w:r>
        <w:rPr>
          <w:rFonts w:hint="eastAsia" w:ascii="宋体" w:hAnsi="宋体" w:eastAsia="宋体" w:cs="宋体"/>
          <w:color w:val="auto"/>
          <w:highlight w:val="none"/>
        </w:rPr>
        <w:t>注：格式自拟，或参照《符合&lt;中华人民共和国政府采购法&gt;第二十二条规定的条件的承诺及声明函》的格式提供声明函。</w:t>
      </w:r>
    </w:p>
    <w:bookmarkEnd w:id="871"/>
    <w:bookmarkEnd w:id="872"/>
    <w:bookmarkEnd w:id="873"/>
    <w:bookmarkEnd w:id="874"/>
    <w:p>
      <w:pPr>
        <w:pStyle w:val="54"/>
        <w:numPr>
          <w:ilvl w:val="0"/>
          <w:numId w:val="17"/>
        </w:numPr>
        <w:spacing w:before="120" w:after="120"/>
        <w:ind w:firstLine="0"/>
        <w:rPr>
          <w:rFonts w:hint="eastAsia" w:ascii="宋体" w:hAnsi="宋体" w:eastAsia="宋体" w:cs="宋体"/>
          <w:color w:val="auto"/>
          <w:highlight w:val="none"/>
          <w:lang w:val="zh-CN"/>
        </w:rPr>
      </w:pPr>
      <w:bookmarkStart w:id="875" w:name="_Toc27034"/>
      <w:bookmarkStart w:id="876" w:name="_Toc3840"/>
      <w:bookmarkStart w:id="877" w:name="_Toc17558"/>
      <w:bookmarkStart w:id="878" w:name="_Toc681"/>
      <w:bookmarkStart w:id="879" w:name="_Toc15054"/>
      <w:bookmarkStart w:id="880" w:name="_Toc4865"/>
      <w:bookmarkStart w:id="881" w:name="_Toc19166"/>
      <w:r>
        <w:rPr>
          <w:rFonts w:hint="eastAsia" w:ascii="宋体" w:hAnsi="宋体" w:eastAsia="宋体" w:cs="宋体"/>
          <w:color w:val="auto"/>
          <w:highlight w:val="none"/>
        </w:rPr>
        <w:t>投标人</w:t>
      </w:r>
      <w:r>
        <w:rPr>
          <w:rFonts w:hint="eastAsia" w:ascii="宋体" w:hAnsi="宋体" w:eastAsia="宋体" w:cs="宋体"/>
          <w:color w:val="auto"/>
          <w:highlight w:val="none"/>
          <w:lang w:val="zh-CN"/>
        </w:rPr>
        <w:t>及其现任法定代表人、主要负责人不得具有行贿犯罪记录</w:t>
      </w:r>
      <w:r>
        <w:rPr>
          <w:rFonts w:hint="eastAsia" w:ascii="宋体" w:hAnsi="宋体" w:eastAsia="宋体" w:cs="宋体"/>
          <w:color w:val="auto"/>
          <w:highlight w:val="none"/>
        </w:rPr>
        <w:t>的</w:t>
      </w:r>
      <w:bookmarkEnd w:id="875"/>
      <w:bookmarkEnd w:id="876"/>
      <w:bookmarkEnd w:id="877"/>
      <w:r>
        <w:rPr>
          <w:rFonts w:hint="eastAsia" w:ascii="宋体" w:hAnsi="宋体" w:eastAsia="宋体" w:cs="宋体"/>
          <w:color w:val="auto"/>
          <w:highlight w:val="none"/>
        </w:rPr>
        <w:t>承诺函</w:t>
      </w:r>
      <w:bookmarkEnd w:id="878"/>
    </w:p>
    <w:p>
      <w:pPr>
        <w:pStyle w:val="30"/>
        <w:adjustRightInd/>
        <w:snapToGrid/>
        <w:rPr>
          <w:rFonts w:hint="eastAsia" w:ascii="宋体" w:hAnsi="宋体" w:eastAsia="宋体" w:cs="宋体"/>
          <w:color w:val="auto"/>
          <w:highlight w:val="none"/>
        </w:rPr>
      </w:pPr>
      <w:bookmarkStart w:id="882" w:name="_Toc8455"/>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(采购代理机构名称)：</w:t>
      </w:r>
    </w:p>
    <w:p>
      <w:pPr>
        <w:pStyle w:val="30"/>
        <w:adjustRightInd/>
        <w:snapToGri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我单位作为本次采购项目的投标人，根据招标文件要求，现郑重承诺如下：</w:t>
      </w:r>
    </w:p>
    <w:p>
      <w:pPr>
        <w:pStyle w:val="34"/>
        <w:adjustRightInd/>
        <w:snapToGrid/>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(投标人名称)及其现任法定代表人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(姓名)、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(身份证号码)，主要负责人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(姓名)、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(无行贿犯罪记录的期限)均无行贿犯罪记录。     </w:t>
      </w:r>
    </w:p>
    <w:p>
      <w:pPr>
        <w:pStyle w:val="34"/>
        <w:adjustRightInd/>
        <w:snapToGrid/>
        <w:rPr>
          <w:rFonts w:hint="eastAsia" w:ascii="宋体" w:hAnsi="宋体" w:eastAsia="宋体" w:cs="宋体"/>
          <w:color w:val="auto"/>
          <w:highlight w:val="none"/>
        </w:rPr>
      </w:pPr>
      <w:r>
        <w:rPr>
          <w:rFonts w:hint="eastAsia" w:ascii="宋体" w:hAnsi="宋体" w:eastAsia="宋体" w:cs="宋体"/>
          <w:color w:val="auto"/>
          <w:highlight w:val="none"/>
        </w:rPr>
        <w:t>我单位对上述承诺的内容事项真实性、合法性负责。如经查实上述承诺的内容事项存在虚假，我单位自愿接受以提供虚假材料谋取中标所带来的所有法律责任。</w:t>
      </w:r>
    </w:p>
    <w:p>
      <w:pPr>
        <w:pStyle w:val="30"/>
        <w:adjustRightInd/>
        <w:snapToGrid/>
        <w:rPr>
          <w:rFonts w:hint="eastAsia" w:ascii="宋体" w:hAnsi="宋体" w:eastAsia="宋体" w:cs="宋体"/>
          <w:color w:val="auto"/>
          <w:highlight w:val="none"/>
        </w:rPr>
      </w:pPr>
    </w:p>
    <w:p>
      <w:pPr>
        <w:pStyle w:val="30"/>
        <w:adjustRightInd/>
        <w:snapToGrid/>
        <w:rPr>
          <w:rFonts w:hint="eastAsia" w:ascii="宋体" w:hAnsi="宋体" w:eastAsia="宋体" w:cs="宋体"/>
          <w:color w:val="auto"/>
          <w:highlight w:val="none"/>
        </w:rPr>
      </w:pP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法定代表人/单位负责人或授权代表：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(签字或盖章)</w:t>
      </w:r>
    </w:p>
    <w:p>
      <w:pPr>
        <w:pStyle w:val="33"/>
        <w:numPr>
          <w:ilvl w:val="3"/>
          <w:numId w:val="0"/>
        </w:numPr>
        <w:adjustRightInd/>
        <w:snapToGrid/>
        <w:ind w:firstLine="480" w:firstLineChars="200"/>
        <w:rPr>
          <w:rFonts w:hint="eastAsia" w:ascii="宋体" w:hAnsi="宋体" w:eastAsia="宋体" w:cs="宋体"/>
          <w:color w:val="auto"/>
          <w:highlight w:val="none"/>
          <w:u w:val="single"/>
        </w:rPr>
      </w:pPr>
      <w:r>
        <w:rPr>
          <w:rFonts w:hint="eastAsia" w:ascii="宋体" w:hAnsi="宋体" w:eastAsia="宋体" w:cs="宋体"/>
          <w:color w:val="auto"/>
          <w:highlight w:val="none"/>
        </w:rPr>
        <w:t>投标日期：</w:t>
      </w:r>
      <w:r>
        <w:rPr>
          <w:rFonts w:hint="eastAsia" w:ascii="宋体" w:hAnsi="宋体" w:eastAsia="宋体" w:cs="宋体"/>
          <w:color w:val="auto"/>
          <w:highlight w:val="none"/>
          <w:u w:val="single"/>
        </w:rPr>
        <w:t xml:space="preserve">                  </w:t>
      </w:r>
    </w:p>
    <w:p>
      <w:pPr>
        <w:pStyle w:val="33"/>
        <w:numPr>
          <w:ilvl w:val="3"/>
          <w:numId w:val="0"/>
        </w:numPr>
        <w:adjustRightInd/>
        <w:snapToGrid/>
        <w:ind w:firstLine="480" w:firstLineChars="200"/>
        <w:rPr>
          <w:rFonts w:hint="eastAsia" w:ascii="宋体" w:hAnsi="宋体" w:eastAsia="宋体" w:cs="宋体"/>
          <w:color w:val="auto"/>
          <w:highlight w:val="none"/>
          <w:u w:val="single"/>
        </w:rPr>
      </w:pPr>
    </w:p>
    <w:p>
      <w:pPr>
        <w:pStyle w:val="33"/>
        <w:numPr>
          <w:ilvl w:val="3"/>
          <w:numId w:val="0"/>
        </w:numPr>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注：投标人成立时间超过十年的，在“无行贿犯罪记录的期限”处填写“十年内”；投标人成立时间不足十年的，在“无行贿犯罪记录的期限”处填写“自我单位成立之日起至今”。</w:t>
      </w:r>
    </w:p>
    <w:p>
      <w:pPr>
        <w:pStyle w:val="30"/>
        <w:rPr>
          <w:rFonts w:hint="eastAsia" w:ascii="宋体" w:hAnsi="宋体" w:eastAsia="宋体" w:cs="宋体"/>
          <w:color w:val="auto"/>
          <w:highlight w:val="none"/>
          <w:lang w:val="zh-CN"/>
        </w:rPr>
      </w:pPr>
    </w:p>
    <w:p>
      <w:pPr>
        <w:pStyle w:val="30"/>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882"/>
      <w:bookmarkStart w:id="883" w:name="_Toc2151"/>
    </w:p>
    <w:bookmarkEnd w:id="879"/>
    <w:bookmarkEnd w:id="880"/>
    <w:bookmarkEnd w:id="881"/>
    <w:bookmarkEnd w:id="883"/>
    <w:p>
      <w:pPr>
        <w:pStyle w:val="54"/>
        <w:numPr>
          <w:ilvl w:val="0"/>
          <w:numId w:val="17"/>
        </w:numPr>
        <w:spacing w:before="120" w:after="120"/>
        <w:ind w:firstLine="0"/>
        <w:rPr>
          <w:rFonts w:hint="eastAsia" w:ascii="宋体" w:hAnsi="宋体" w:eastAsia="宋体" w:cs="宋体"/>
          <w:color w:val="auto"/>
          <w:highlight w:val="none"/>
        </w:rPr>
      </w:pPr>
      <w:bookmarkStart w:id="884" w:name="_Toc26622"/>
      <w:bookmarkStart w:id="885" w:name="_Toc15708"/>
      <w:bookmarkStart w:id="886" w:name="_Toc21855"/>
      <w:r>
        <w:rPr>
          <w:rFonts w:hint="eastAsia" w:ascii="宋体" w:hAnsi="宋体" w:eastAsia="宋体" w:cs="宋体"/>
          <w:color w:val="auto"/>
          <w:highlight w:val="none"/>
        </w:rPr>
        <w:t>中小企业声明函(货物)</w:t>
      </w:r>
      <w:bookmarkEnd w:id="884"/>
    </w:p>
    <w:p>
      <w:pPr>
        <w:pStyle w:val="56"/>
        <w:rPr>
          <w:rFonts w:hint="eastAsia" w:ascii="宋体" w:hAnsi="宋体" w:eastAsia="宋体" w:cs="宋体"/>
          <w:b w:val="0"/>
          <w:bCs/>
          <w:color w:val="auto"/>
          <w:highlight w:val="none"/>
        </w:rPr>
      </w:pPr>
      <w:r>
        <w:rPr>
          <w:rFonts w:hint="eastAsia" w:ascii="宋体" w:hAnsi="宋体" w:eastAsia="宋体" w:cs="宋体"/>
          <w:b w:val="0"/>
          <w:bCs/>
          <w:color w:val="auto"/>
          <w:highlight w:val="none"/>
        </w:rPr>
        <w:t>本公司(联合体)郑重声明，根据《政府采购促进中小企业发展管理办法》(财库﹝2020﹞46 号)的规定，本公司(联合体)参加</w:t>
      </w:r>
      <w:r>
        <w:rPr>
          <w:rFonts w:hint="eastAsia" w:ascii="宋体" w:hAnsi="宋体" w:eastAsia="宋体" w:cs="宋体"/>
          <w:b w:val="0"/>
          <w:bCs/>
          <w:color w:val="auto"/>
          <w:highlight w:val="none"/>
          <w:u w:val="single"/>
        </w:rPr>
        <w:t>(单位名称)</w:t>
      </w:r>
      <w:r>
        <w:rPr>
          <w:rFonts w:hint="eastAsia" w:ascii="宋体" w:hAnsi="宋体" w:eastAsia="宋体" w:cs="宋体"/>
          <w:b w:val="0"/>
          <w:bCs/>
          <w:color w:val="auto"/>
          <w:highlight w:val="none"/>
        </w:rPr>
        <w:t>的</w:t>
      </w:r>
      <w:r>
        <w:rPr>
          <w:rFonts w:hint="eastAsia" w:ascii="宋体" w:hAnsi="宋体" w:eastAsia="宋体" w:cs="宋体"/>
          <w:b w:val="0"/>
          <w:bCs/>
          <w:color w:val="auto"/>
          <w:highlight w:val="none"/>
          <w:u w:val="single"/>
        </w:rPr>
        <w:t>(项目名称)</w:t>
      </w:r>
      <w:r>
        <w:rPr>
          <w:rFonts w:hint="eastAsia" w:ascii="宋体" w:hAnsi="宋体" w:eastAsia="宋体" w:cs="宋体"/>
          <w:b w:val="0"/>
          <w:bCs/>
          <w:color w:val="auto"/>
          <w:highlight w:val="none"/>
        </w:rPr>
        <w:t>采购活动，提供的货物全部由符合政策要求的中小企业制造。相关企业(含联合体中的中小企业、签订分包意向协议的中小企业) 的具体情况如下：</w:t>
      </w:r>
    </w:p>
    <w:p>
      <w:pPr>
        <w:pStyle w:val="56"/>
        <w:rPr>
          <w:rFonts w:hint="eastAsia" w:ascii="宋体" w:hAnsi="宋体" w:eastAsia="宋体" w:cs="宋体"/>
          <w:b w:val="0"/>
          <w:bCs/>
          <w:color w:val="auto"/>
          <w:highlight w:val="none"/>
        </w:rPr>
      </w:pPr>
      <w:r>
        <w:rPr>
          <w:rFonts w:hint="eastAsia" w:ascii="宋体" w:hAnsi="宋体" w:eastAsia="宋体" w:cs="宋体"/>
          <w:b w:val="0"/>
          <w:bCs/>
          <w:color w:val="auto"/>
          <w:highlight w:val="none"/>
        </w:rPr>
        <w:t xml:space="preserve"> </w:t>
      </w:r>
      <w:r>
        <w:rPr>
          <w:rFonts w:hint="eastAsia" w:ascii="宋体" w:hAnsi="宋体" w:eastAsia="宋体" w:cs="宋体"/>
          <w:b w:val="0"/>
          <w:bCs/>
          <w:color w:val="auto"/>
          <w:highlight w:val="none"/>
          <w:u w:val="single"/>
        </w:rPr>
        <w:t>(标的名称)</w:t>
      </w:r>
      <w:r>
        <w:rPr>
          <w:rFonts w:hint="eastAsia" w:ascii="宋体" w:hAnsi="宋体" w:eastAsia="宋体" w:cs="宋体"/>
          <w:b w:val="0"/>
          <w:bCs/>
          <w:color w:val="auto"/>
          <w:highlight w:val="none"/>
        </w:rPr>
        <w:t>，属于</w:t>
      </w:r>
      <w:r>
        <w:rPr>
          <w:rFonts w:hint="eastAsia" w:ascii="宋体" w:hAnsi="宋体" w:eastAsia="宋体" w:cs="宋体"/>
          <w:b w:val="0"/>
          <w:bCs/>
          <w:color w:val="auto"/>
          <w:highlight w:val="none"/>
          <w:u w:val="single"/>
        </w:rPr>
        <w:t>(采购文件中明确的所属行业)</w:t>
      </w:r>
      <w:r>
        <w:rPr>
          <w:rFonts w:hint="eastAsia" w:ascii="宋体" w:hAnsi="宋体" w:eastAsia="宋体" w:cs="宋体"/>
          <w:b w:val="0"/>
          <w:bCs/>
          <w:color w:val="auto"/>
          <w:highlight w:val="none"/>
        </w:rPr>
        <w:t>行业；制造商为</w:t>
      </w:r>
      <w:r>
        <w:rPr>
          <w:rFonts w:hint="eastAsia" w:ascii="宋体" w:hAnsi="宋体" w:eastAsia="宋体" w:cs="宋体"/>
          <w:b w:val="0"/>
          <w:bCs/>
          <w:color w:val="auto"/>
          <w:highlight w:val="none"/>
          <w:u w:val="single"/>
        </w:rPr>
        <w:t>(企业名称)</w:t>
      </w:r>
      <w:r>
        <w:rPr>
          <w:rFonts w:hint="eastAsia" w:ascii="宋体" w:hAnsi="宋体" w:eastAsia="宋体" w:cs="宋体"/>
          <w:b w:val="0"/>
          <w:bCs/>
          <w:color w:val="auto"/>
          <w:highlight w:val="none"/>
        </w:rPr>
        <w:t>，从业人员</w:t>
      </w:r>
      <w:r>
        <w:rPr>
          <w:rFonts w:hint="eastAsia" w:ascii="宋体" w:hAnsi="宋体" w:eastAsia="宋体" w:cs="宋体"/>
          <w:b w:val="0"/>
          <w:bCs/>
          <w:color w:val="auto"/>
          <w:highlight w:val="none"/>
          <w:u w:val="single"/>
        </w:rPr>
        <w:t xml:space="preserve">   </w:t>
      </w:r>
      <w:r>
        <w:rPr>
          <w:rFonts w:hint="eastAsia" w:ascii="宋体" w:hAnsi="宋体" w:eastAsia="宋体" w:cs="宋体"/>
          <w:b w:val="0"/>
          <w:bCs/>
          <w:color w:val="auto"/>
          <w:highlight w:val="none"/>
        </w:rPr>
        <w:t>人，营业收入为</w:t>
      </w:r>
      <w:r>
        <w:rPr>
          <w:rFonts w:hint="eastAsia" w:ascii="宋体" w:hAnsi="宋体" w:eastAsia="宋体" w:cs="宋体"/>
          <w:b w:val="0"/>
          <w:bCs/>
          <w:color w:val="auto"/>
          <w:highlight w:val="none"/>
          <w:u w:val="single"/>
        </w:rPr>
        <w:t xml:space="preserve">   </w:t>
      </w:r>
      <w:r>
        <w:rPr>
          <w:rFonts w:hint="eastAsia" w:ascii="宋体" w:hAnsi="宋体" w:eastAsia="宋体" w:cs="宋体"/>
          <w:b w:val="0"/>
          <w:bCs/>
          <w:color w:val="auto"/>
          <w:highlight w:val="none"/>
        </w:rPr>
        <w:tab/>
      </w:r>
      <w:r>
        <w:rPr>
          <w:rFonts w:hint="eastAsia" w:ascii="宋体" w:hAnsi="宋体" w:eastAsia="宋体" w:cs="宋体"/>
          <w:b w:val="0"/>
          <w:bCs/>
          <w:color w:val="auto"/>
          <w:highlight w:val="none"/>
        </w:rPr>
        <w:t>万元，资产总额为</w:t>
      </w:r>
      <w:r>
        <w:rPr>
          <w:rFonts w:hint="eastAsia" w:ascii="宋体" w:hAnsi="宋体" w:eastAsia="宋体" w:cs="宋体"/>
          <w:b w:val="0"/>
          <w:bCs/>
          <w:color w:val="auto"/>
          <w:highlight w:val="none"/>
          <w:u w:val="single"/>
        </w:rPr>
        <w:t xml:space="preserve">   </w:t>
      </w:r>
      <w:r>
        <w:rPr>
          <w:rFonts w:hint="eastAsia" w:ascii="宋体" w:hAnsi="宋体" w:eastAsia="宋体" w:cs="宋体"/>
          <w:b w:val="0"/>
          <w:bCs/>
          <w:color w:val="auto"/>
          <w:highlight w:val="none"/>
        </w:rPr>
        <w:tab/>
      </w:r>
      <w:r>
        <w:rPr>
          <w:rFonts w:hint="eastAsia" w:ascii="宋体" w:hAnsi="宋体" w:eastAsia="宋体" w:cs="宋体"/>
          <w:b w:val="0"/>
          <w:bCs/>
          <w:color w:val="auto"/>
          <w:highlight w:val="none"/>
        </w:rPr>
        <w:t>万元，属于</w:t>
      </w:r>
      <w:r>
        <w:rPr>
          <w:rFonts w:hint="eastAsia" w:ascii="宋体" w:hAnsi="宋体" w:eastAsia="宋体" w:cs="宋体"/>
          <w:b w:val="0"/>
          <w:bCs/>
          <w:color w:val="auto"/>
          <w:highlight w:val="none"/>
          <w:u w:val="single"/>
        </w:rPr>
        <w:t>(中型企业、小型企业、微型企业)</w:t>
      </w:r>
      <w:r>
        <w:rPr>
          <w:rFonts w:hint="eastAsia" w:ascii="宋体" w:hAnsi="宋体" w:eastAsia="宋体" w:cs="宋体"/>
          <w:b w:val="0"/>
          <w:bCs/>
          <w:color w:val="auto"/>
          <w:highlight w:val="none"/>
        </w:rPr>
        <w:t>；</w:t>
      </w:r>
    </w:p>
    <w:p>
      <w:pPr>
        <w:pStyle w:val="56"/>
        <w:rPr>
          <w:rFonts w:hint="eastAsia" w:ascii="宋体" w:hAnsi="宋体" w:eastAsia="宋体" w:cs="宋体"/>
          <w:b w:val="0"/>
          <w:bCs/>
          <w:color w:val="auto"/>
          <w:highlight w:val="none"/>
        </w:rPr>
      </w:pPr>
      <w:r>
        <w:rPr>
          <w:rFonts w:hint="eastAsia" w:ascii="宋体" w:hAnsi="宋体" w:eastAsia="宋体" w:cs="宋体"/>
          <w:b w:val="0"/>
          <w:bCs/>
          <w:color w:val="auto"/>
          <w:highlight w:val="none"/>
        </w:rPr>
        <w:t xml:space="preserve"> </w:t>
      </w:r>
      <w:r>
        <w:rPr>
          <w:rFonts w:hint="eastAsia" w:ascii="宋体" w:hAnsi="宋体" w:eastAsia="宋体" w:cs="宋体"/>
          <w:b w:val="0"/>
          <w:bCs/>
          <w:color w:val="auto"/>
          <w:highlight w:val="none"/>
          <w:u w:val="single"/>
        </w:rPr>
        <w:t>(标的名称)</w:t>
      </w:r>
      <w:r>
        <w:rPr>
          <w:rFonts w:hint="eastAsia" w:ascii="宋体" w:hAnsi="宋体" w:eastAsia="宋体" w:cs="宋体"/>
          <w:b w:val="0"/>
          <w:bCs/>
          <w:color w:val="auto"/>
          <w:highlight w:val="none"/>
        </w:rPr>
        <w:t>， 属于</w:t>
      </w:r>
      <w:r>
        <w:rPr>
          <w:rFonts w:hint="eastAsia" w:ascii="宋体" w:hAnsi="宋体" w:eastAsia="宋体" w:cs="宋体"/>
          <w:b w:val="0"/>
          <w:bCs/>
          <w:color w:val="auto"/>
          <w:highlight w:val="none"/>
          <w:u w:val="single"/>
        </w:rPr>
        <w:t>(采购文件中明确的所属行业)</w:t>
      </w:r>
      <w:r>
        <w:rPr>
          <w:rFonts w:hint="eastAsia" w:ascii="宋体" w:hAnsi="宋体" w:eastAsia="宋体" w:cs="宋体"/>
          <w:b w:val="0"/>
          <w:bCs/>
          <w:color w:val="auto"/>
          <w:highlight w:val="none"/>
        </w:rPr>
        <w:t>行业；制造商为</w:t>
      </w:r>
      <w:r>
        <w:rPr>
          <w:rFonts w:hint="eastAsia" w:ascii="宋体" w:hAnsi="宋体" w:eastAsia="宋体" w:cs="宋体"/>
          <w:b w:val="0"/>
          <w:bCs/>
          <w:color w:val="auto"/>
          <w:highlight w:val="none"/>
          <w:u w:val="single"/>
        </w:rPr>
        <w:t>(企业名称)</w:t>
      </w:r>
      <w:r>
        <w:rPr>
          <w:rFonts w:hint="eastAsia" w:ascii="宋体" w:hAnsi="宋体" w:eastAsia="宋体" w:cs="宋体"/>
          <w:b w:val="0"/>
          <w:bCs/>
          <w:color w:val="auto"/>
          <w:highlight w:val="none"/>
        </w:rPr>
        <w:t>，从业人员</w:t>
      </w:r>
      <w:r>
        <w:rPr>
          <w:rFonts w:hint="eastAsia" w:ascii="宋体" w:hAnsi="宋体" w:eastAsia="宋体" w:cs="宋体"/>
          <w:b w:val="0"/>
          <w:bCs/>
          <w:color w:val="auto"/>
          <w:highlight w:val="none"/>
        </w:rPr>
        <w:tab/>
      </w:r>
      <w:r>
        <w:rPr>
          <w:rFonts w:hint="eastAsia" w:ascii="宋体" w:hAnsi="宋体" w:eastAsia="宋体" w:cs="宋体"/>
          <w:b w:val="0"/>
          <w:bCs/>
          <w:color w:val="auto"/>
          <w:highlight w:val="none"/>
          <w:u w:val="single"/>
        </w:rPr>
        <w:t xml:space="preserve">   </w:t>
      </w:r>
      <w:r>
        <w:rPr>
          <w:rFonts w:hint="eastAsia" w:ascii="宋体" w:hAnsi="宋体" w:eastAsia="宋体" w:cs="宋体"/>
          <w:b w:val="0"/>
          <w:bCs/>
          <w:color w:val="auto"/>
          <w:highlight w:val="none"/>
        </w:rPr>
        <w:t>人，营业收入为</w:t>
      </w:r>
      <w:r>
        <w:rPr>
          <w:rFonts w:hint="eastAsia" w:ascii="宋体" w:hAnsi="宋体" w:eastAsia="宋体" w:cs="宋体"/>
          <w:b w:val="0"/>
          <w:bCs/>
          <w:color w:val="auto"/>
          <w:highlight w:val="none"/>
        </w:rPr>
        <w:tab/>
      </w:r>
      <w:r>
        <w:rPr>
          <w:rFonts w:hint="eastAsia" w:ascii="宋体" w:hAnsi="宋体" w:eastAsia="宋体" w:cs="宋体"/>
          <w:b w:val="0"/>
          <w:bCs/>
          <w:color w:val="auto"/>
          <w:highlight w:val="none"/>
          <w:u w:val="single"/>
        </w:rPr>
        <w:t xml:space="preserve">   </w:t>
      </w:r>
      <w:r>
        <w:rPr>
          <w:rFonts w:hint="eastAsia" w:ascii="宋体" w:hAnsi="宋体" w:eastAsia="宋体" w:cs="宋体"/>
          <w:b w:val="0"/>
          <w:bCs/>
          <w:color w:val="auto"/>
          <w:highlight w:val="none"/>
        </w:rPr>
        <w:t>万元，资产总额为</w:t>
      </w:r>
      <w:r>
        <w:rPr>
          <w:rFonts w:hint="eastAsia" w:ascii="宋体" w:hAnsi="宋体" w:eastAsia="宋体" w:cs="宋体"/>
          <w:b w:val="0"/>
          <w:bCs/>
          <w:color w:val="auto"/>
          <w:highlight w:val="none"/>
          <w:u w:val="single"/>
        </w:rPr>
        <w:t xml:space="preserve">   </w:t>
      </w:r>
      <w:r>
        <w:rPr>
          <w:rFonts w:hint="eastAsia" w:ascii="宋体" w:hAnsi="宋体" w:eastAsia="宋体" w:cs="宋体"/>
          <w:b w:val="0"/>
          <w:bCs/>
          <w:color w:val="auto"/>
          <w:highlight w:val="none"/>
        </w:rPr>
        <w:tab/>
      </w:r>
      <w:r>
        <w:rPr>
          <w:rFonts w:hint="eastAsia" w:ascii="宋体" w:hAnsi="宋体" w:eastAsia="宋体" w:cs="宋体"/>
          <w:b w:val="0"/>
          <w:bCs/>
          <w:color w:val="auto"/>
          <w:highlight w:val="none"/>
        </w:rPr>
        <w:t>万元，属于</w:t>
      </w:r>
      <w:r>
        <w:rPr>
          <w:rFonts w:hint="eastAsia" w:ascii="宋体" w:hAnsi="宋体" w:eastAsia="宋体" w:cs="宋体"/>
          <w:b w:val="0"/>
          <w:bCs/>
          <w:color w:val="auto"/>
          <w:highlight w:val="none"/>
          <w:u w:val="single"/>
        </w:rPr>
        <w:t>(中型企业、小型企业、微型企业)</w:t>
      </w:r>
      <w:r>
        <w:rPr>
          <w:rFonts w:hint="eastAsia" w:ascii="宋体" w:hAnsi="宋体" w:eastAsia="宋体" w:cs="宋体"/>
          <w:b w:val="0"/>
          <w:bCs/>
          <w:color w:val="auto"/>
          <w:highlight w:val="none"/>
        </w:rPr>
        <w:t>；</w:t>
      </w:r>
    </w:p>
    <w:p>
      <w:pPr>
        <w:pStyle w:val="56"/>
        <w:rPr>
          <w:rFonts w:hint="eastAsia" w:ascii="宋体" w:hAnsi="宋体" w:eastAsia="宋体" w:cs="宋体"/>
          <w:b w:val="0"/>
          <w:bCs/>
          <w:color w:val="auto"/>
          <w:highlight w:val="none"/>
        </w:rPr>
      </w:pPr>
      <w:r>
        <w:rPr>
          <w:rFonts w:hint="eastAsia" w:ascii="宋体" w:hAnsi="宋体" w:eastAsia="宋体" w:cs="宋体"/>
          <w:b w:val="0"/>
          <w:bCs/>
          <w:color w:val="auto"/>
          <w:highlight w:val="none"/>
        </w:rPr>
        <w:t>……</w:t>
      </w:r>
    </w:p>
    <w:p>
      <w:pPr>
        <w:pStyle w:val="56"/>
        <w:rPr>
          <w:rFonts w:hint="eastAsia" w:ascii="宋体" w:hAnsi="宋体" w:eastAsia="宋体" w:cs="宋体"/>
          <w:b w:val="0"/>
          <w:bCs/>
          <w:color w:val="auto"/>
          <w:highlight w:val="none"/>
        </w:rPr>
      </w:pPr>
      <w:r>
        <w:rPr>
          <w:rFonts w:hint="eastAsia" w:ascii="宋体" w:hAnsi="宋体" w:eastAsia="宋体" w:cs="宋体"/>
          <w:b w:val="0"/>
          <w:bCs/>
          <w:color w:val="auto"/>
          <w:highlight w:val="none"/>
        </w:rPr>
        <w:t>以上企业，不属于大企业的分支机构，不存在控股股东为大企业的情形，也不存在与大企业的负责人为同一人的情形。</w:t>
      </w:r>
    </w:p>
    <w:p>
      <w:pPr>
        <w:pStyle w:val="56"/>
        <w:rPr>
          <w:rFonts w:hint="eastAsia" w:ascii="宋体" w:hAnsi="宋体" w:eastAsia="宋体" w:cs="宋体"/>
          <w:b w:val="0"/>
          <w:bCs/>
          <w:color w:val="auto"/>
          <w:highlight w:val="none"/>
        </w:rPr>
      </w:pPr>
      <w:r>
        <w:rPr>
          <w:rFonts w:hint="eastAsia" w:ascii="宋体" w:hAnsi="宋体" w:eastAsia="宋体" w:cs="宋体"/>
          <w:b w:val="0"/>
          <w:bCs/>
          <w:color w:val="auto"/>
          <w:highlight w:val="none"/>
        </w:rPr>
        <w:t>本企业对上述声明内容的真实性负责。如有虚假，将依法承担相应责任。</w:t>
      </w:r>
    </w:p>
    <w:p>
      <w:pPr>
        <w:pStyle w:val="30"/>
        <w:rPr>
          <w:rFonts w:hint="eastAsia" w:ascii="宋体" w:hAnsi="宋体" w:eastAsia="宋体" w:cs="宋体"/>
          <w:color w:val="auto"/>
          <w:highlight w:val="none"/>
        </w:rPr>
      </w:pPr>
    </w:p>
    <w:p>
      <w:pPr>
        <w:pStyle w:val="30"/>
        <w:ind w:left="4800" w:leftChars="2000"/>
        <w:rPr>
          <w:rFonts w:hint="eastAsia" w:ascii="宋体" w:hAnsi="宋体" w:eastAsia="宋体" w:cs="宋体"/>
          <w:color w:val="auto"/>
          <w:highlight w:val="none"/>
        </w:rPr>
      </w:pPr>
      <w:r>
        <w:rPr>
          <w:rFonts w:hint="eastAsia" w:ascii="宋体" w:hAnsi="宋体" w:eastAsia="宋体" w:cs="宋体"/>
          <w:color w:val="auto"/>
          <w:highlight w:val="none"/>
        </w:rPr>
        <w:t>企业名称(盖章)：</w:t>
      </w:r>
      <w:r>
        <w:rPr>
          <w:rFonts w:hint="eastAsia" w:ascii="宋体" w:hAnsi="宋体" w:eastAsia="宋体" w:cs="宋体"/>
          <w:color w:val="auto"/>
          <w:highlight w:val="none"/>
          <w:u w:val="single"/>
        </w:rPr>
        <w:t xml:space="preserve">        </w:t>
      </w:r>
    </w:p>
    <w:p>
      <w:pPr>
        <w:pStyle w:val="30"/>
        <w:ind w:left="4800" w:leftChars="2000"/>
        <w:rPr>
          <w:rFonts w:hint="eastAsia" w:ascii="宋体" w:hAnsi="宋体" w:eastAsia="宋体" w:cs="宋体"/>
          <w:color w:val="auto"/>
          <w:highlight w:val="none"/>
        </w:rPr>
      </w:pPr>
      <w:r>
        <w:rPr>
          <w:rFonts w:hint="eastAsia" w:ascii="宋体" w:hAnsi="宋体" w:eastAsia="宋体" w:cs="宋体"/>
          <w:color w:val="auto"/>
          <w:highlight w:val="none"/>
        </w:rPr>
        <w:t>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56"/>
        <w:ind w:firstLine="482"/>
        <w:rPr>
          <w:rFonts w:hint="eastAsia" w:ascii="宋体" w:hAnsi="宋体" w:eastAsia="宋体" w:cs="宋体"/>
          <w:color w:val="auto"/>
          <w:highlight w:val="none"/>
        </w:rPr>
      </w:pP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注：从业人员、营业收入、资产总额填报上一年度数据，无上一年度数据的新成立企业可不填报。</w:t>
      </w:r>
      <w:r>
        <w:rPr>
          <w:rFonts w:hint="eastAsia" w:ascii="宋体" w:hAnsi="宋体" w:eastAsia="宋体" w:cs="宋体"/>
          <w:color w:val="auto"/>
          <w:highlight w:val="none"/>
        </w:rPr>
        <w:br w:type="page"/>
      </w:r>
    </w:p>
    <w:p>
      <w:pPr>
        <w:pStyle w:val="54"/>
        <w:numPr>
          <w:ilvl w:val="0"/>
          <w:numId w:val="17"/>
        </w:numPr>
        <w:spacing w:before="120" w:after="120"/>
        <w:ind w:firstLine="0"/>
        <w:rPr>
          <w:rFonts w:hint="eastAsia" w:ascii="宋体" w:hAnsi="宋体" w:eastAsia="宋体" w:cs="宋体"/>
          <w:color w:val="auto"/>
          <w:highlight w:val="none"/>
        </w:rPr>
      </w:pPr>
      <w:bookmarkStart w:id="887" w:name="_Toc9712"/>
      <w:r>
        <w:rPr>
          <w:rFonts w:hint="eastAsia" w:ascii="宋体" w:hAnsi="宋体" w:eastAsia="宋体" w:cs="宋体"/>
          <w:color w:val="auto"/>
          <w:highlight w:val="none"/>
        </w:rPr>
        <w:t>监狱企业相关证明材料(如涉及)</w:t>
      </w:r>
      <w:bookmarkEnd w:id="887"/>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说明：</w:t>
      </w:r>
      <w:r>
        <w:rPr>
          <w:rFonts w:hint="eastAsia" w:cs="宋体"/>
          <w:color w:val="auto"/>
          <w:highlight w:val="none"/>
          <w:lang w:val="en-US" w:eastAsia="zh-CN"/>
        </w:rPr>
        <w:t>制造商为</w:t>
      </w:r>
      <w:r>
        <w:rPr>
          <w:rFonts w:hint="eastAsia" w:ascii="宋体" w:hAnsi="宋体" w:eastAsia="宋体" w:cs="宋体"/>
          <w:color w:val="auto"/>
          <w:highlight w:val="none"/>
        </w:rPr>
        <w:t>监狱企业时，应当提供由省级以上监狱管理局、戒毒管理局(含新疆生产建设兵团)出具的属于监狱企业的证明文件，否则作无效投标处理。</w:t>
      </w:r>
    </w:p>
    <w:p>
      <w:pPr>
        <w:pStyle w:val="56"/>
        <w:ind w:firstLine="482"/>
        <w:rPr>
          <w:rFonts w:hint="eastAsia" w:ascii="宋体" w:hAnsi="宋体" w:eastAsia="宋体" w:cs="宋体"/>
          <w:color w:val="auto"/>
          <w:highlight w:val="none"/>
        </w:rPr>
      </w:pPr>
    </w:p>
    <w:p>
      <w:pPr>
        <w:pStyle w:val="3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4"/>
        <w:numPr>
          <w:ilvl w:val="0"/>
          <w:numId w:val="17"/>
        </w:numPr>
        <w:spacing w:before="120" w:after="120"/>
        <w:ind w:firstLine="0"/>
        <w:rPr>
          <w:rFonts w:hint="eastAsia" w:ascii="宋体" w:hAnsi="宋体" w:eastAsia="宋体" w:cs="宋体"/>
          <w:color w:val="auto"/>
          <w:highlight w:val="none"/>
        </w:rPr>
      </w:pPr>
      <w:bookmarkStart w:id="888" w:name="_Toc21276"/>
      <w:r>
        <w:rPr>
          <w:rFonts w:hint="eastAsia" w:ascii="宋体" w:hAnsi="宋体" w:eastAsia="宋体" w:cs="宋体"/>
          <w:color w:val="auto"/>
          <w:highlight w:val="none"/>
        </w:rPr>
        <w:t>残疾人福利性单位声明函(如涉及)</w:t>
      </w:r>
      <w:bookmarkEnd w:id="888"/>
    </w:p>
    <w:p>
      <w:pPr>
        <w:pStyle w:val="34"/>
        <w:rPr>
          <w:rFonts w:hint="eastAsia" w:ascii="宋体" w:hAnsi="宋体" w:eastAsia="宋体" w:cs="宋体"/>
          <w:color w:val="auto"/>
          <w:highlight w:val="none"/>
        </w:rPr>
      </w:pPr>
      <w:r>
        <w:rPr>
          <w:rFonts w:hint="eastAsia" w:ascii="宋体" w:hAnsi="宋体" w:eastAsia="宋体" w:cs="宋体"/>
          <w:color w:val="auto"/>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单位的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项目采购活动提供本单位制造的货物，或者提供其他残疾人福利性单位制造的货物(不包括使用非残疾人福利性单位注册商标的货物)。</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本单位对上述声明的真实性负责。如有虚假，将依法承担相应责任。</w:t>
      </w: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ind w:left="4800" w:leftChars="2000"/>
        <w:rPr>
          <w:rFonts w:hint="eastAsia" w:ascii="宋体" w:hAnsi="宋体" w:eastAsia="宋体" w:cs="宋体"/>
          <w:color w:val="auto"/>
          <w:highlight w:val="none"/>
        </w:rPr>
      </w:pPr>
      <w:r>
        <w:rPr>
          <w:rFonts w:hint="eastAsia" w:ascii="宋体" w:hAnsi="宋体" w:eastAsia="宋体" w:cs="宋体"/>
          <w:color w:val="auto"/>
          <w:highlight w:val="none"/>
        </w:rPr>
        <w:t>单位名称：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(盖章)</w:t>
      </w:r>
    </w:p>
    <w:p>
      <w:pPr>
        <w:pStyle w:val="30"/>
        <w:ind w:left="4800" w:leftChars="2000"/>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56"/>
        <w:ind w:firstLine="482"/>
        <w:rPr>
          <w:rFonts w:hint="eastAsia" w:ascii="宋体" w:hAnsi="宋体" w:eastAsia="宋体" w:cs="宋体"/>
          <w:color w:val="auto"/>
          <w:highlight w:val="none"/>
        </w:rPr>
      </w:pPr>
    </w:p>
    <w:p>
      <w:pPr>
        <w:pStyle w:val="56"/>
        <w:ind w:firstLine="482"/>
        <w:rPr>
          <w:rFonts w:hint="eastAsia" w:ascii="宋体" w:hAnsi="宋体" w:eastAsia="宋体" w:cs="宋体"/>
          <w:color w:val="auto"/>
          <w:highlight w:val="none"/>
        </w:rPr>
      </w:pP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说明：</w:t>
      </w:r>
      <w:r>
        <w:rPr>
          <w:rFonts w:hint="eastAsia" w:cs="宋体"/>
          <w:color w:val="auto"/>
          <w:highlight w:val="none"/>
          <w:lang w:val="en-US" w:eastAsia="zh-CN"/>
        </w:rPr>
        <w:t>制造商为</w:t>
      </w:r>
      <w:r>
        <w:rPr>
          <w:rFonts w:hint="eastAsia" w:ascii="宋体" w:hAnsi="宋体" w:eastAsia="宋体" w:cs="宋体"/>
          <w:color w:val="auto"/>
          <w:highlight w:val="none"/>
        </w:rPr>
        <w:t>残疾人福利性</w:t>
      </w:r>
      <w:r>
        <w:rPr>
          <w:rFonts w:hint="eastAsia" w:ascii="宋体" w:hAnsi="宋体" w:eastAsia="宋体" w:cs="宋体"/>
          <w:color w:val="auto"/>
          <w:w w:val="95"/>
          <w:highlight w:val="none"/>
        </w:rPr>
        <w:t>单位</w:t>
      </w:r>
      <w:r>
        <w:rPr>
          <w:rFonts w:hint="eastAsia" w:ascii="宋体" w:hAnsi="宋体" w:eastAsia="宋体" w:cs="宋体"/>
          <w:color w:val="auto"/>
          <w:highlight w:val="none"/>
        </w:rPr>
        <w:t>时，应提供残疾人福利性单位声明函，否则作无效投标处理。</w:t>
      </w:r>
    </w:p>
    <w:p>
      <w:pPr>
        <w:pStyle w:val="54"/>
        <w:numPr>
          <w:ilvl w:val="0"/>
          <w:numId w:val="17"/>
        </w:numPr>
        <w:spacing w:before="120" w:after="120"/>
        <w:ind w:firstLine="0"/>
        <w:rPr>
          <w:rFonts w:hint="eastAsia" w:ascii="宋体" w:hAnsi="宋体" w:eastAsia="宋体" w:cs="宋体"/>
          <w:color w:val="auto"/>
          <w:highlight w:val="none"/>
        </w:rPr>
      </w:pPr>
      <w:bookmarkStart w:id="889" w:name="_Toc26778"/>
      <w:r>
        <w:rPr>
          <w:rFonts w:hint="eastAsia" w:ascii="宋体" w:hAnsi="宋体" w:eastAsia="宋体" w:cs="宋体"/>
          <w:color w:val="auto"/>
          <w:highlight w:val="none"/>
        </w:rPr>
        <w:t>符合《中华人民共和国政府采购法》第二十二条规定的条件的承诺及声明函</w:t>
      </w:r>
      <w:bookmarkEnd w:id="885"/>
      <w:bookmarkEnd w:id="886"/>
      <w:bookmarkEnd w:id="889"/>
    </w:p>
    <w:p>
      <w:pPr>
        <w:pStyle w:val="3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(采购代理机构名称)：</w:t>
      </w: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我公司作为本次采购项目的投标供应商，根据招标文件要求，现郑重承诺如下：</w:t>
      </w:r>
    </w:p>
    <w:p>
      <w:pPr>
        <w:pStyle w:val="46"/>
        <w:numPr>
          <w:ilvl w:val="2"/>
          <w:numId w:val="18"/>
        </w:num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具有良好的商业信誉和健全的财务会计制度； </w:t>
      </w:r>
    </w:p>
    <w:p>
      <w:pPr>
        <w:pStyle w:val="46"/>
        <w:numPr>
          <w:ilvl w:val="2"/>
          <w:numId w:val="18"/>
        </w:num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具有履行合同所必需的设备和专业技术能力； </w:t>
      </w:r>
    </w:p>
    <w:p>
      <w:pPr>
        <w:pStyle w:val="46"/>
        <w:numPr>
          <w:ilvl w:val="2"/>
          <w:numId w:val="18"/>
        </w:num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具有依法缴纳税收和社会保障资金的良好记录； </w:t>
      </w:r>
    </w:p>
    <w:p>
      <w:pPr>
        <w:pStyle w:val="46"/>
        <w:numPr>
          <w:ilvl w:val="2"/>
          <w:numId w:val="18"/>
        </w:numPr>
        <w:ind w:firstLine="480"/>
        <w:rPr>
          <w:rFonts w:hint="eastAsia" w:ascii="宋体" w:hAnsi="宋体" w:eastAsia="宋体" w:cs="宋体"/>
          <w:color w:val="auto"/>
          <w:highlight w:val="none"/>
        </w:rPr>
      </w:pPr>
      <w:r>
        <w:rPr>
          <w:rFonts w:hint="eastAsia" w:ascii="宋体" w:hAnsi="宋体" w:eastAsia="宋体" w:cs="宋体"/>
          <w:color w:val="auto"/>
          <w:highlight w:val="none"/>
        </w:rPr>
        <w:t>参加本次政府采购活动前三年内，在经营活动中没有重大违法记录(供应商成立不足三年的，从成立之日起计算)；</w:t>
      </w:r>
    </w:p>
    <w:p>
      <w:pPr>
        <w:pStyle w:val="46"/>
        <w:numPr>
          <w:ilvl w:val="2"/>
          <w:numId w:val="18"/>
        </w:numPr>
        <w:ind w:firstLine="480"/>
        <w:rPr>
          <w:rFonts w:hint="eastAsia" w:ascii="宋体" w:hAnsi="宋体" w:eastAsia="宋体" w:cs="宋体"/>
          <w:color w:val="auto"/>
          <w:highlight w:val="none"/>
        </w:rPr>
      </w:pPr>
      <w:r>
        <w:rPr>
          <w:rFonts w:hint="eastAsia" w:ascii="宋体" w:hAnsi="宋体" w:eastAsia="宋体" w:cs="宋体"/>
          <w:color w:val="auto"/>
          <w:highlight w:val="none"/>
        </w:rPr>
        <w:t>符合法律、行政法规规定的其他条件；</w:t>
      </w:r>
    </w:p>
    <w:p>
      <w:pPr>
        <w:pStyle w:val="46"/>
        <w:numPr>
          <w:ilvl w:val="2"/>
          <w:numId w:val="18"/>
        </w:numPr>
        <w:ind w:firstLine="480"/>
        <w:rPr>
          <w:rFonts w:hint="eastAsia" w:ascii="宋体" w:hAnsi="宋体" w:eastAsia="宋体" w:cs="宋体"/>
          <w:color w:val="auto"/>
          <w:highlight w:val="none"/>
        </w:rPr>
      </w:pPr>
      <w:r>
        <w:rPr>
          <w:rFonts w:hint="eastAsia" w:ascii="宋体" w:hAnsi="宋体" w:eastAsia="宋体" w:cs="宋体"/>
          <w:color w:val="auto"/>
          <w:highlight w:val="none"/>
        </w:rPr>
        <w:t>未与其他供应商组成联合体参加本项目投标。</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本公司对上述承诺的内容事项真实性、合法性负责。如经查实上述承诺的内容事项存在虚假，我公司自愿接受以提供虚假材料谋取中标所带来的所有法律责任。</w:t>
      </w: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法定代表人/单位负责人或授权代表：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(签字或盖章)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56"/>
        <w:ind w:firstLine="482"/>
        <w:rPr>
          <w:rFonts w:hint="eastAsia" w:ascii="宋体" w:hAnsi="宋体" w:eastAsia="宋体" w:cs="宋体"/>
          <w:color w:val="auto"/>
          <w:sz w:val="32"/>
          <w:szCs w:val="32"/>
          <w:highlight w:val="none"/>
        </w:rPr>
      </w:pPr>
      <w:r>
        <w:rPr>
          <w:rFonts w:hint="eastAsia" w:ascii="宋体" w:hAnsi="宋体" w:eastAsia="宋体" w:cs="宋体"/>
          <w:color w:val="auto"/>
          <w:highlight w:val="none"/>
        </w:rPr>
        <w:t>注：本部分所要求的承诺函可参照本格式或自拟格式填写均有效。</w:t>
      </w:r>
      <w:bookmarkStart w:id="890" w:name="_Toc14607"/>
      <w:bookmarkStart w:id="891" w:name="_Toc18702"/>
      <w:r>
        <w:rPr>
          <w:rFonts w:hint="eastAsia" w:ascii="宋体" w:hAnsi="宋体" w:eastAsia="宋体" w:cs="宋体"/>
          <w:color w:val="auto"/>
          <w:sz w:val="32"/>
          <w:szCs w:val="32"/>
          <w:highlight w:val="none"/>
        </w:rPr>
        <w:br w:type="page"/>
      </w:r>
    </w:p>
    <w:p>
      <w:pPr>
        <w:pStyle w:val="31"/>
        <w:numPr>
          <w:ilvl w:val="1"/>
          <w:numId w:val="0"/>
        </w:numPr>
        <w:jc w:val="center"/>
        <w:outlineLvl w:val="9"/>
        <w:rPr>
          <w:rFonts w:hint="eastAsia" w:ascii="宋体" w:hAnsi="宋体" w:eastAsia="宋体" w:cs="宋体"/>
          <w:color w:val="auto"/>
          <w:sz w:val="32"/>
          <w:szCs w:val="32"/>
          <w:highlight w:val="none"/>
        </w:rPr>
      </w:pPr>
    </w:p>
    <w:p>
      <w:pPr>
        <w:pStyle w:val="31"/>
        <w:numPr>
          <w:ilvl w:val="1"/>
          <w:numId w:val="0"/>
        </w:numPr>
        <w:jc w:val="center"/>
        <w:outlineLvl w:val="9"/>
        <w:rPr>
          <w:rFonts w:hint="eastAsia" w:ascii="宋体" w:hAnsi="宋体" w:eastAsia="宋体" w:cs="宋体"/>
          <w:color w:val="auto"/>
          <w:sz w:val="32"/>
          <w:szCs w:val="32"/>
          <w:highlight w:val="none"/>
        </w:rPr>
      </w:pPr>
    </w:p>
    <w:p>
      <w:pPr>
        <w:pStyle w:val="31"/>
        <w:numPr>
          <w:ilvl w:val="1"/>
          <w:numId w:val="0"/>
        </w:numPr>
        <w:jc w:val="center"/>
        <w:outlineLvl w:val="9"/>
        <w:rPr>
          <w:rFonts w:hint="eastAsia" w:ascii="宋体" w:hAnsi="宋体" w:eastAsia="宋体" w:cs="宋体"/>
          <w:color w:val="auto"/>
          <w:sz w:val="32"/>
          <w:szCs w:val="32"/>
          <w:highlight w:val="none"/>
        </w:rPr>
      </w:pPr>
    </w:p>
    <w:p>
      <w:pPr>
        <w:pStyle w:val="31"/>
        <w:numPr>
          <w:ilvl w:val="1"/>
          <w:numId w:val="0"/>
        </w:numPr>
        <w:jc w:val="center"/>
        <w:outlineLvl w:val="9"/>
        <w:rPr>
          <w:rFonts w:hint="eastAsia" w:ascii="宋体" w:hAnsi="宋体" w:eastAsia="宋体" w:cs="宋体"/>
          <w:color w:val="auto"/>
          <w:sz w:val="32"/>
          <w:szCs w:val="32"/>
          <w:highlight w:val="none"/>
        </w:rPr>
      </w:pPr>
    </w:p>
    <w:p>
      <w:pPr>
        <w:pStyle w:val="31"/>
        <w:numPr>
          <w:ilvl w:val="1"/>
          <w:numId w:val="0"/>
        </w:numPr>
        <w:jc w:val="center"/>
        <w:outlineLvl w:val="9"/>
        <w:rPr>
          <w:rFonts w:hint="eastAsia" w:ascii="宋体" w:hAnsi="宋体" w:eastAsia="宋体" w:cs="宋体"/>
          <w:color w:val="auto"/>
          <w:sz w:val="32"/>
          <w:szCs w:val="32"/>
          <w:highlight w:val="none"/>
        </w:rPr>
      </w:pPr>
    </w:p>
    <w:p>
      <w:pPr>
        <w:pStyle w:val="31"/>
        <w:numPr>
          <w:ilvl w:val="1"/>
          <w:numId w:val="0"/>
        </w:numPr>
        <w:jc w:val="center"/>
        <w:outlineLvl w:val="9"/>
        <w:rPr>
          <w:rFonts w:hint="eastAsia" w:ascii="宋体" w:hAnsi="宋体" w:eastAsia="宋体" w:cs="宋体"/>
          <w:color w:val="auto"/>
          <w:sz w:val="32"/>
          <w:szCs w:val="32"/>
          <w:highlight w:val="none"/>
        </w:rPr>
      </w:pPr>
    </w:p>
    <w:p>
      <w:pPr>
        <w:pStyle w:val="31"/>
        <w:numPr>
          <w:ilvl w:val="1"/>
          <w:numId w:val="0"/>
        </w:numPr>
        <w:jc w:val="center"/>
        <w:outlineLvl w:val="9"/>
        <w:rPr>
          <w:rFonts w:hint="eastAsia" w:ascii="宋体" w:hAnsi="宋体" w:eastAsia="宋体" w:cs="宋体"/>
          <w:color w:val="auto"/>
          <w:sz w:val="32"/>
          <w:szCs w:val="32"/>
          <w:highlight w:val="none"/>
        </w:rPr>
      </w:pPr>
    </w:p>
    <w:p>
      <w:pPr>
        <w:pStyle w:val="31"/>
        <w:numPr>
          <w:ilvl w:val="1"/>
          <w:numId w:val="0"/>
        </w:numPr>
        <w:jc w:val="center"/>
        <w:outlineLvl w:val="9"/>
        <w:rPr>
          <w:rFonts w:hint="eastAsia" w:ascii="宋体" w:hAnsi="宋体" w:eastAsia="宋体" w:cs="宋体"/>
          <w:color w:val="auto"/>
          <w:sz w:val="32"/>
          <w:szCs w:val="32"/>
          <w:highlight w:val="none"/>
        </w:rPr>
      </w:pPr>
    </w:p>
    <w:p>
      <w:pPr>
        <w:pStyle w:val="31"/>
        <w:numPr>
          <w:ilvl w:val="1"/>
          <w:numId w:val="0"/>
        </w:numPr>
        <w:jc w:val="center"/>
        <w:outlineLvl w:val="9"/>
        <w:rPr>
          <w:rFonts w:hint="eastAsia" w:ascii="宋体" w:hAnsi="宋体" w:eastAsia="宋体" w:cs="宋体"/>
          <w:color w:val="auto"/>
          <w:sz w:val="32"/>
          <w:szCs w:val="32"/>
          <w:highlight w:val="none"/>
        </w:rPr>
      </w:pPr>
    </w:p>
    <w:p>
      <w:pPr>
        <w:pStyle w:val="31"/>
        <w:numPr>
          <w:ilvl w:val="1"/>
          <w:numId w:val="0"/>
        </w:numPr>
        <w:jc w:val="center"/>
        <w:outlineLvl w:val="9"/>
        <w:rPr>
          <w:rFonts w:hint="eastAsia" w:ascii="宋体" w:hAnsi="宋体" w:eastAsia="宋体" w:cs="宋体"/>
          <w:color w:val="auto"/>
          <w:sz w:val="32"/>
          <w:szCs w:val="32"/>
          <w:highlight w:val="none"/>
        </w:rPr>
      </w:pPr>
    </w:p>
    <w:p>
      <w:pPr>
        <w:pStyle w:val="31"/>
        <w:numPr>
          <w:ilvl w:val="1"/>
          <w:numId w:val="0"/>
        </w:numPr>
        <w:jc w:val="center"/>
        <w:outlineLvl w:val="9"/>
        <w:rPr>
          <w:rFonts w:hint="eastAsia" w:ascii="宋体" w:hAnsi="宋体" w:eastAsia="宋体" w:cs="宋体"/>
          <w:color w:val="auto"/>
          <w:sz w:val="32"/>
          <w:szCs w:val="32"/>
          <w:highlight w:val="none"/>
        </w:rPr>
      </w:pPr>
    </w:p>
    <w:p>
      <w:pPr>
        <w:pStyle w:val="31"/>
        <w:numPr>
          <w:ilvl w:val="1"/>
          <w:numId w:val="0"/>
        </w:numPr>
        <w:jc w:val="center"/>
        <w:outlineLvl w:val="9"/>
        <w:rPr>
          <w:rFonts w:hint="eastAsia" w:ascii="宋体" w:hAnsi="宋体" w:eastAsia="宋体" w:cs="宋体"/>
          <w:color w:val="auto"/>
          <w:sz w:val="32"/>
          <w:szCs w:val="32"/>
          <w:highlight w:val="none"/>
        </w:rPr>
      </w:pPr>
    </w:p>
    <w:p>
      <w:pPr>
        <w:pStyle w:val="31"/>
        <w:numPr>
          <w:ilvl w:val="1"/>
          <w:numId w:val="0"/>
        </w:numPr>
        <w:jc w:val="center"/>
        <w:outlineLvl w:val="9"/>
        <w:rPr>
          <w:rFonts w:hint="eastAsia" w:ascii="宋体" w:hAnsi="宋体" w:eastAsia="宋体" w:cs="宋体"/>
          <w:color w:val="auto"/>
          <w:sz w:val="32"/>
          <w:szCs w:val="32"/>
          <w:highlight w:val="none"/>
        </w:rPr>
      </w:pPr>
    </w:p>
    <w:p>
      <w:pPr>
        <w:pStyle w:val="31"/>
        <w:numPr>
          <w:ilvl w:val="1"/>
          <w:numId w:val="0"/>
        </w:numPr>
        <w:jc w:val="center"/>
        <w:rPr>
          <w:rFonts w:hint="eastAsia" w:ascii="宋体" w:hAnsi="宋体" w:eastAsia="宋体" w:cs="宋体"/>
          <w:color w:val="auto"/>
          <w:sz w:val="32"/>
          <w:szCs w:val="32"/>
          <w:highlight w:val="none"/>
        </w:rPr>
      </w:pPr>
      <w:bookmarkStart w:id="892" w:name="_Toc9087"/>
      <w:r>
        <w:rPr>
          <w:rFonts w:hint="eastAsia" w:ascii="宋体" w:hAnsi="宋体" w:eastAsia="宋体" w:cs="宋体"/>
          <w:color w:val="auto"/>
          <w:sz w:val="32"/>
          <w:szCs w:val="32"/>
          <w:highlight w:val="none"/>
        </w:rPr>
        <w:t>第二部分 其他投标文件(格式)</w:t>
      </w:r>
      <w:bookmarkEnd w:id="890"/>
      <w:bookmarkEnd w:id="892"/>
    </w:p>
    <w:p>
      <w:pPr>
        <w:pStyle w:val="30"/>
        <w:rPr>
          <w:rFonts w:hint="eastAsia" w:ascii="宋体" w:hAnsi="宋体" w:eastAsia="宋体" w:cs="宋体"/>
          <w:color w:val="auto"/>
          <w:highlight w:val="none"/>
        </w:rPr>
      </w:pPr>
      <w:bookmarkStart w:id="893" w:name="_Toc26038"/>
      <w:r>
        <w:rPr>
          <w:rFonts w:hint="eastAsia" w:ascii="宋体" w:hAnsi="宋体" w:eastAsia="宋体" w:cs="宋体"/>
          <w:color w:val="auto"/>
          <w:highlight w:val="none"/>
        </w:rPr>
        <w:br w:type="page"/>
      </w:r>
    </w:p>
    <w:p>
      <w:pPr>
        <w:pStyle w:val="54"/>
        <w:numPr>
          <w:ilvl w:val="0"/>
          <w:numId w:val="19"/>
        </w:numPr>
        <w:spacing w:before="120" w:after="120"/>
        <w:ind w:firstLine="0"/>
        <w:rPr>
          <w:rFonts w:hint="eastAsia" w:ascii="宋体" w:hAnsi="宋体" w:eastAsia="宋体" w:cs="宋体"/>
          <w:color w:val="auto"/>
          <w:highlight w:val="none"/>
        </w:rPr>
      </w:pPr>
      <w:bookmarkStart w:id="894" w:name="_Toc2311"/>
      <w:bookmarkStart w:id="895" w:name="_Toc6821"/>
      <w:r>
        <w:rPr>
          <w:rFonts w:hint="eastAsia" w:ascii="宋体" w:hAnsi="宋体" w:eastAsia="宋体" w:cs="宋体"/>
          <w:color w:val="auto"/>
          <w:highlight w:val="none"/>
        </w:rPr>
        <w:t>投标函</w:t>
      </w:r>
      <w:bookmarkEnd w:id="891"/>
      <w:bookmarkEnd w:id="893"/>
      <w:bookmarkEnd w:id="894"/>
      <w:bookmarkEnd w:id="895"/>
    </w:p>
    <w:p>
      <w:pPr>
        <w:pStyle w:val="3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致：四川乾新招投标代理有限公司　</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我方全面研究了“</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(项目名称)(项目编号：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)”的招标文件，决定参加贵单位组织的本项目投标。我方授权</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(姓名、职务)代表我方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(投标人名称)全权处理本项目投标的有关事宜。</w:t>
      </w:r>
    </w:p>
    <w:p>
      <w:pPr>
        <w:pStyle w:val="46"/>
        <w:numPr>
          <w:ilvl w:val="2"/>
          <w:numId w:val="20"/>
        </w:numPr>
        <w:ind w:firstLine="480"/>
        <w:rPr>
          <w:rFonts w:hint="eastAsia" w:ascii="宋体" w:hAnsi="宋体" w:eastAsia="宋体" w:cs="宋体"/>
          <w:color w:val="auto"/>
          <w:highlight w:val="none"/>
        </w:rPr>
      </w:pPr>
      <w:r>
        <w:rPr>
          <w:rFonts w:hint="eastAsia" w:ascii="宋体" w:hAnsi="宋体" w:eastAsia="宋体" w:cs="宋体"/>
          <w:color w:val="auto"/>
          <w:highlight w:val="none"/>
        </w:rPr>
        <w:t>我方自愿按照招标文件规定的各项要求向采购人提供所需货物及服务，投标总价为人民币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元(大写：</w:t>
      </w:r>
      <w:r>
        <w:rPr>
          <w:rFonts w:hint="eastAsia" w:ascii="宋体" w:hAnsi="宋体" w:eastAsia="宋体" w:cs="宋体"/>
          <w:color w:val="auto"/>
          <w:highlight w:val="none"/>
          <w:u w:val="single"/>
        </w:rPr>
        <w:t xml:space="preserve">人民币             </w:t>
      </w:r>
      <w:r>
        <w:rPr>
          <w:rFonts w:hint="eastAsia" w:ascii="宋体" w:hAnsi="宋体" w:eastAsia="宋体" w:cs="宋体"/>
          <w:color w:val="auto"/>
          <w:highlight w:val="none"/>
        </w:rPr>
        <w:t>)，我方将严格履行合同规定的责任和义务，履约时间为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46"/>
        <w:numPr>
          <w:ilvl w:val="2"/>
          <w:numId w:val="20"/>
        </w:numPr>
        <w:ind w:firstLine="480"/>
        <w:rPr>
          <w:rFonts w:hint="eastAsia" w:ascii="宋体" w:hAnsi="宋体" w:eastAsia="宋体" w:cs="宋体"/>
          <w:color w:val="auto"/>
          <w:highlight w:val="none"/>
        </w:rPr>
      </w:pPr>
      <w:r>
        <w:rPr>
          <w:rFonts w:hint="eastAsia" w:ascii="宋体" w:hAnsi="宋体" w:eastAsia="宋体" w:cs="宋体"/>
          <w:color w:val="auto"/>
          <w:highlight w:val="none"/>
        </w:rPr>
        <w:t>我方承诺：投标有效期为提交投标文件的截止之日起90日。</w:t>
      </w:r>
    </w:p>
    <w:p>
      <w:pPr>
        <w:pStyle w:val="46"/>
        <w:numPr>
          <w:ilvl w:val="2"/>
          <w:numId w:val="20"/>
        </w:numPr>
        <w:ind w:firstLine="480"/>
        <w:rPr>
          <w:rFonts w:hint="eastAsia" w:ascii="宋体" w:hAnsi="宋体" w:eastAsia="宋体" w:cs="宋体"/>
          <w:color w:val="auto"/>
          <w:highlight w:val="none"/>
        </w:rPr>
      </w:pPr>
      <w:r>
        <w:rPr>
          <w:rFonts w:hint="eastAsia" w:ascii="宋体" w:hAnsi="宋体" w:eastAsia="宋体" w:cs="宋体"/>
          <w:color w:val="auto"/>
          <w:highlight w:val="none"/>
        </w:rPr>
        <w:t>我方完全理解采购人不一定将合同授予最低报价的投标人的行为。</w:t>
      </w:r>
    </w:p>
    <w:p>
      <w:pPr>
        <w:pStyle w:val="46"/>
        <w:numPr>
          <w:ilvl w:val="2"/>
          <w:numId w:val="20"/>
        </w:numPr>
        <w:ind w:firstLine="480"/>
        <w:rPr>
          <w:rFonts w:hint="eastAsia" w:ascii="宋体" w:hAnsi="宋体" w:eastAsia="宋体" w:cs="宋体"/>
          <w:color w:val="auto"/>
          <w:highlight w:val="none"/>
        </w:rPr>
      </w:pPr>
      <w:r>
        <w:rPr>
          <w:rFonts w:hint="eastAsia" w:ascii="宋体" w:hAnsi="宋体" w:eastAsia="宋体" w:cs="宋体"/>
          <w:color w:val="auto"/>
          <w:highlight w:val="none"/>
        </w:rPr>
        <w:t>一旦我方中标：</w:t>
      </w:r>
    </w:p>
    <w:p>
      <w:pPr>
        <w:pStyle w:val="47"/>
        <w:ind w:firstLine="480"/>
        <w:rPr>
          <w:rFonts w:hint="eastAsia" w:ascii="宋体" w:hAnsi="宋体" w:eastAsia="宋体" w:cs="宋体"/>
          <w:color w:val="auto"/>
          <w:highlight w:val="none"/>
        </w:rPr>
      </w:pPr>
      <w:r>
        <w:rPr>
          <w:rFonts w:hint="eastAsia" w:ascii="宋体" w:hAnsi="宋体" w:eastAsia="宋体" w:cs="宋体"/>
          <w:color w:val="auto"/>
          <w:highlight w:val="none"/>
        </w:rPr>
        <w:t>我方承诺在收到中标通知书后，在规定的期限内与采购人签订合同。</w:t>
      </w:r>
    </w:p>
    <w:p>
      <w:pPr>
        <w:pStyle w:val="47"/>
        <w:ind w:firstLine="480"/>
        <w:rPr>
          <w:rFonts w:hint="eastAsia" w:ascii="宋体" w:hAnsi="宋体" w:eastAsia="宋体" w:cs="宋体"/>
          <w:color w:val="auto"/>
          <w:highlight w:val="none"/>
        </w:rPr>
      </w:pPr>
      <w:r>
        <w:rPr>
          <w:rFonts w:hint="eastAsia" w:ascii="宋体" w:hAnsi="宋体" w:eastAsia="宋体" w:cs="宋体"/>
          <w:color w:val="auto"/>
          <w:highlight w:val="none"/>
        </w:rPr>
        <w:t>我方承诺按照招标文件规定的金额和方式向采购人缴纳履约保证金。</w:t>
      </w:r>
    </w:p>
    <w:p>
      <w:pPr>
        <w:pStyle w:val="47"/>
        <w:ind w:firstLine="480"/>
        <w:rPr>
          <w:rFonts w:hint="eastAsia" w:ascii="宋体" w:hAnsi="宋体" w:eastAsia="宋体" w:cs="宋体"/>
          <w:color w:val="auto"/>
          <w:highlight w:val="none"/>
        </w:rPr>
      </w:pPr>
      <w:r>
        <w:rPr>
          <w:rFonts w:hint="eastAsia" w:ascii="宋体" w:hAnsi="宋体" w:eastAsia="宋体" w:cs="宋体"/>
          <w:color w:val="auto"/>
          <w:highlight w:val="none"/>
        </w:rPr>
        <w:t>我方将严格履行政府采购合同规定的责任和义务。</w:t>
      </w:r>
    </w:p>
    <w:p>
      <w:pPr>
        <w:pStyle w:val="47"/>
        <w:ind w:firstLine="480"/>
        <w:rPr>
          <w:rFonts w:hint="eastAsia" w:ascii="宋体" w:hAnsi="宋体" w:eastAsia="宋体" w:cs="宋体"/>
          <w:color w:val="auto"/>
          <w:highlight w:val="none"/>
        </w:rPr>
      </w:pPr>
      <w:r>
        <w:rPr>
          <w:rFonts w:hint="eastAsia" w:ascii="宋体" w:hAnsi="宋体" w:eastAsia="宋体" w:cs="宋体"/>
          <w:color w:val="auto"/>
          <w:highlight w:val="none"/>
        </w:rPr>
        <w:t>我方愿意提供与投标报价有关的文件资料，并保证我方已提供和将要提供的文件资料是真实、准确的。</w:t>
      </w:r>
    </w:p>
    <w:p>
      <w:pPr>
        <w:pStyle w:val="47"/>
        <w:ind w:firstLine="480"/>
        <w:rPr>
          <w:rFonts w:hint="eastAsia" w:ascii="宋体" w:hAnsi="宋体" w:eastAsia="宋体" w:cs="宋体"/>
          <w:color w:val="auto"/>
          <w:highlight w:val="none"/>
        </w:rPr>
      </w:pPr>
      <w:r>
        <w:rPr>
          <w:rFonts w:hint="eastAsia" w:ascii="宋体" w:hAnsi="宋体" w:eastAsia="宋体" w:cs="宋体"/>
          <w:color w:val="auto"/>
          <w:highlight w:val="none"/>
        </w:rPr>
        <w:t>我方自愿按照招标文件规定的各项要求完成采购项目，接受采购人按照政府采购合同约定金额支付采购资金。</w:t>
      </w:r>
    </w:p>
    <w:p>
      <w:pPr>
        <w:pStyle w:val="47"/>
        <w:ind w:firstLine="480"/>
        <w:rPr>
          <w:rFonts w:hint="eastAsia" w:ascii="宋体" w:hAnsi="宋体" w:eastAsia="宋体" w:cs="宋体"/>
          <w:color w:val="auto"/>
          <w:highlight w:val="none"/>
        </w:rPr>
      </w:pPr>
      <w:r>
        <w:rPr>
          <w:rFonts w:hint="eastAsia" w:ascii="宋体" w:hAnsi="宋体" w:eastAsia="宋体" w:cs="宋体"/>
          <w:color w:val="auto"/>
          <w:highlight w:val="none"/>
        </w:rPr>
        <w:t>我方在参与本项目履约过程中涉及国家相关强制标准的，均按照该标准执行。</w:t>
      </w:r>
    </w:p>
    <w:p>
      <w:pPr>
        <w:pStyle w:val="46"/>
        <w:numPr>
          <w:ilvl w:val="2"/>
          <w:numId w:val="20"/>
        </w:numPr>
        <w:ind w:firstLine="480"/>
        <w:rPr>
          <w:rFonts w:hint="eastAsia" w:ascii="宋体" w:hAnsi="宋体" w:eastAsia="宋体" w:cs="宋体"/>
          <w:color w:val="auto"/>
          <w:highlight w:val="none"/>
        </w:rPr>
      </w:pPr>
      <w:r>
        <w:rPr>
          <w:rFonts w:hint="eastAsia" w:ascii="宋体" w:hAnsi="宋体" w:eastAsia="宋体" w:cs="宋体"/>
          <w:color w:val="auto"/>
          <w:highlight w:val="none"/>
        </w:rPr>
        <w:t>我方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pStyle w:val="30"/>
        <w:ind w:firstLine="480" w:firstLineChars="200"/>
        <w:rPr>
          <w:rFonts w:hint="eastAsia" w:ascii="宋体" w:hAnsi="宋体" w:eastAsia="宋体" w:cs="宋体"/>
          <w:color w:val="auto"/>
          <w:highlight w:val="none"/>
        </w:rPr>
      </w:pP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(盖章)</w:t>
      </w: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法定代表人/单位负责人或授权代表：</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(签字或盖章)</w:t>
      </w: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通讯地址：</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 xml:space="preserve">               </w:t>
      </w: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邮政编码：</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 xml:space="preserve">               </w:t>
      </w: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联系电话：</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 xml:space="preserve">               </w:t>
      </w: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传    真：</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 xml:space="preserve">               </w:t>
      </w: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投标日期：</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 xml:space="preserve">     </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4"/>
        <w:numPr>
          <w:ilvl w:val="0"/>
          <w:numId w:val="19"/>
        </w:numPr>
        <w:spacing w:before="120" w:after="120"/>
        <w:ind w:firstLine="0"/>
        <w:rPr>
          <w:rFonts w:hint="eastAsia" w:ascii="宋体" w:hAnsi="宋体" w:eastAsia="宋体" w:cs="宋体"/>
          <w:color w:val="auto"/>
          <w:highlight w:val="none"/>
        </w:rPr>
      </w:pPr>
      <w:bookmarkStart w:id="896" w:name="_Toc12255"/>
      <w:r>
        <w:rPr>
          <w:rFonts w:hint="eastAsia" w:ascii="宋体" w:hAnsi="宋体" w:eastAsia="宋体" w:cs="宋体"/>
          <w:color w:val="auto"/>
          <w:highlight w:val="none"/>
        </w:rPr>
        <w:t>实质性要求承诺</w:t>
      </w:r>
      <w:bookmarkEnd w:id="896"/>
    </w:p>
    <w:p>
      <w:pPr>
        <w:pStyle w:val="3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(采购代理机构名称)：</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我方作为本次采购项目的投标人，根据招标文件要求，现郑重承诺及声明如下：</w:t>
      </w:r>
    </w:p>
    <w:p>
      <w:pPr>
        <w:pStyle w:val="46"/>
        <w:numPr>
          <w:ilvl w:val="2"/>
          <w:numId w:val="21"/>
        </w:numPr>
        <w:ind w:firstLine="480"/>
        <w:rPr>
          <w:rFonts w:hint="eastAsia" w:ascii="宋体" w:hAnsi="宋体" w:eastAsia="宋体" w:cs="宋体"/>
          <w:color w:val="auto"/>
          <w:highlight w:val="none"/>
        </w:rPr>
      </w:pPr>
      <w:r>
        <w:rPr>
          <w:rFonts w:hint="eastAsia" w:ascii="宋体" w:hAnsi="宋体" w:eastAsia="宋体" w:cs="宋体"/>
          <w:color w:val="auto"/>
          <w:highlight w:val="none"/>
        </w:rPr>
        <w:t>我方已认真阅读并接受本项目采购文件的全部实质性要求。</w:t>
      </w:r>
    </w:p>
    <w:p>
      <w:pPr>
        <w:pStyle w:val="46"/>
        <w:numPr>
          <w:ilvl w:val="2"/>
          <w:numId w:val="21"/>
        </w:numPr>
        <w:ind w:firstLine="480"/>
        <w:rPr>
          <w:rFonts w:hint="eastAsia" w:ascii="宋体" w:hAnsi="宋体" w:eastAsia="宋体" w:cs="宋体"/>
          <w:color w:val="auto"/>
          <w:highlight w:val="none"/>
        </w:rPr>
      </w:pPr>
      <w:r>
        <w:rPr>
          <w:rFonts w:hint="eastAsia" w:ascii="宋体" w:hAnsi="宋体" w:eastAsia="宋体" w:cs="宋体"/>
          <w:color w:val="auto"/>
          <w:highlight w:val="none"/>
        </w:rPr>
        <w:t>我方参加本次采购活动，不存在与单位负责人为同一人或者存在直接控股、管理关系的其他供应商参与同一合同项下的政府采购活动的行为。与我方存在直接控股关系的单位为：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；存在管理关系的单位为：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(如不存在直接控股、管理关系的相关供应商填“无”)。</w:t>
      </w:r>
    </w:p>
    <w:p>
      <w:pPr>
        <w:pStyle w:val="46"/>
        <w:numPr>
          <w:ilvl w:val="2"/>
          <w:numId w:val="21"/>
        </w:numPr>
        <w:ind w:firstLine="480"/>
        <w:rPr>
          <w:rFonts w:hint="eastAsia" w:ascii="宋体" w:hAnsi="宋体" w:eastAsia="宋体" w:cs="宋体"/>
          <w:color w:val="auto"/>
          <w:highlight w:val="none"/>
        </w:rPr>
      </w:pPr>
      <w:r>
        <w:rPr>
          <w:rFonts w:hint="eastAsia" w:ascii="宋体" w:hAnsi="宋体" w:eastAsia="宋体" w:cs="宋体"/>
          <w:color w:val="auto"/>
          <w:highlight w:val="none"/>
        </w:rPr>
        <w:t>我方参加本次采购活动前本单位未对本次采购项目提供过整体设计、规范编制或者项目管理、监理、检测等服务。</w:t>
      </w:r>
    </w:p>
    <w:p>
      <w:pPr>
        <w:pStyle w:val="46"/>
        <w:numPr>
          <w:ilvl w:val="2"/>
          <w:numId w:val="21"/>
        </w:numPr>
        <w:ind w:firstLine="480"/>
        <w:rPr>
          <w:rFonts w:hint="eastAsia" w:ascii="宋体" w:hAnsi="宋体" w:eastAsia="宋体" w:cs="宋体"/>
          <w:color w:val="auto"/>
          <w:highlight w:val="none"/>
        </w:rPr>
      </w:pPr>
      <w:r>
        <w:rPr>
          <w:rFonts w:hint="eastAsia" w:ascii="宋体" w:hAnsi="宋体" w:eastAsia="宋体" w:cs="宋体"/>
          <w:color w:val="auto"/>
          <w:highlight w:val="none"/>
        </w:rPr>
        <w:t>我方参加本次采购活动，不存在我单位实际控制人或者中高级管理人员是本项目采购代理机构的工作人员的情形。</w:t>
      </w:r>
    </w:p>
    <w:p>
      <w:pPr>
        <w:pStyle w:val="46"/>
        <w:numPr>
          <w:ilvl w:val="2"/>
          <w:numId w:val="21"/>
        </w:numPr>
        <w:ind w:firstLine="480"/>
        <w:rPr>
          <w:rFonts w:hint="eastAsia" w:ascii="宋体" w:hAnsi="宋体" w:eastAsia="宋体" w:cs="宋体"/>
          <w:color w:val="auto"/>
          <w:highlight w:val="none"/>
        </w:rPr>
      </w:pPr>
      <w:r>
        <w:rPr>
          <w:rFonts w:hint="eastAsia" w:ascii="宋体" w:hAnsi="宋体" w:eastAsia="宋体" w:cs="宋体"/>
          <w:color w:val="auto"/>
          <w:highlight w:val="none"/>
        </w:rPr>
        <w:t>我方参加本次采购活动，不存在同一母公司的两家以上的子公司以不同供应商身份同时参加本项目同一合同项下的采购活动的情形。</w:t>
      </w:r>
    </w:p>
    <w:p>
      <w:pPr>
        <w:pStyle w:val="46"/>
        <w:numPr>
          <w:ilvl w:val="2"/>
          <w:numId w:val="21"/>
        </w:numPr>
        <w:ind w:firstLine="480"/>
        <w:rPr>
          <w:rFonts w:hint="eastAsia" w:ascii="宋体" w:hAnsi="宋体" w:eastAsia="宋体" w:cs="宋体"/>
          <w:color w:val="auto"/>
          <w:highlight w:val="none"/>
        </w:rPr>
      </w:pPr>
      <w:r>
        <w:rPr>
          <w:rFonts w:hint="eastAsia" w:ascii="宋体" w:hAnsi="宋体" w:eastAsia="宋体" w:cs="宋体"/>
          <w:color w:val="auto"/>
          <w:highlight w:val="none"/>
        </w:rPr>
        <w:t>我方参加本次采购活动，与采购代理机构不存在关联关系，不为采购代理机构的母公司或子公司。</w:t>
      </w:r>
    </w:p>
    <w:p>
      <w:pPr>
        <w:pStyle w:val="46"/>
        <w:numPr>
          <w:ilvl w:val="2"/>
          <w:numId w:val="21"/>
        </w:numPr>
        <w:ind w:firstLine="480"/>
        <w:rPr>
          <w:rFonts w:hint="eastAsia" w:ascii="宋体" w:hAnsi="宋体" w:eastAsia="宋体" w:cs="宋体"/>
          <w:color w:val="auto"/>
          <w:highlight w:val="none"/>
        </w:rPr>
      </w:pPr>
      <w:r>
        <w:rPr>
          <w:rFonts w:hint="eastAsia" w:ascii="宋体" w:hAnsi="宋体" w:eastAsia="宋体" w:cs="宋体"/>
          <w:color w:val="auto"/>
          <w:highlight w:val="none"/>
        </w:rPr>
        <w:t>我方参加本次采购活动，不存在和其他供应商在同一合同项下的采购项目中，同时委托同一个自然人、同一家庭的人员、同一单位的人员作为代理人的行为。</w:t>
      </w:r>
    </w:p>
    <w:p>
      <w:pPr>
        <w:pStyle w:val="46"/>
        <w:numPr>
          <w:ilvl w:val="2"/>
          <w:numId w:val="21"/>
        </w:numPr>
        <w:ind w:firstLine="480"/>
        <w:rPr>
          <w:rFonts w:hint="eastAsia" w:ascii="宋体" w:hAnsi="宋体" w:eastAsia="宋体" w:cs="宋体"/>
          <w:color w:val="auto"/>
          <w:highlight w:val="none"/>
        </w:rPr>
      </w:pPr>
      <w:r>
        <w:rPr>
          <w:rFonts w:hint="eastAsia" w:ascii="宋体" w:hAnsi="宋体" w:eastAsia="宋体" w:cs="宋体"/>
          <w:color w:val="auto"/>
          <w:highlight w:val="none"/>
        </w:rPr>
        <w:t>我方投标文件中提供的任何资料和技术、服务、商务等响应承诺情况都是真实的、有效的、合法的。</w:t>
      </w:r>
    </w:p>
    <w:p>
      <w:pPr>
        <w:pStyle w:val="46"/>
        <w:numPr>
          <w:ilvl w:val="2"/>
          <w:numId w:val="21"/>
        </w:numPr>
        <w:ind w:firstLine="480"/>
        <w:rPr>
          <w:rFonts w:hint="eastAsia" w:ascii="宋体" w:hAnsi="宋体" w:eastAsia="宋体" w:cs="宋体"/>
          <w:color w:val="auto"/>
          <w:highlight w:val="none"/>
        </w:rPr>
      </w:pPr>
      <w:r>
        <w:rPr>
          <w:rFonts w:hint="eastAsia" w:ascii="宋体" w:hAnsi="宋体" w:eastAsia="宋体" w:cs="宋体"/>
          <w:color w:val="auto"/>
          <w:highlight w:val="none"/>
        </w:rPr>
        <w:t>我方参加本次采购活动，我方完全同意招标文件中关于“投标费用”、“合同分包”、“合同转包”、“履约保证金”等实质性要求，并承诺严格按照招标文件要求履行。</w:t>
      </w:r>
    </w:p>
    <w:p>
      <w:pPr>
        <w:pStyle w:val="46"/>
        <w:numPr>
          <w:ilvl w:val="2"/>
          <w:numId w:val="21"/>
        </w:numPr>
        <w:ind w:firstLine="480"/>
        <w:rPr>
          <w:rFonts w:hint="eastAsia" w:ascii="宋体" w:hAnsi="宋体" w:eastAsia="宋体" w:cs="宋体"/>
          <w:color w:val="auto"/>
          <w:highlight w:val="none"/>
        </w:rPr>
      </w:pPr>
      <w:r>
        <w:rPr>
          <w:rFonts w:hint="eastAsia" w:ascii="宋体" w:hAnsi="宋体" w:eastAsia="宋体" w:cs="宋体"/>
          <w:color w:val="auto"/>
          <w:highlight w:val="none"/>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相关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本公司对上述承诺的内容事项真实性、合法性负责。如经查实上述承诺的内容事项存在虚假，我公司自愿接受以提供虚假材料谋取中标所带来的所有法律责任。</w:t>
      </w:r>
    </w:p>
    <w:p>
      <w:pPr>
        <w:pStyle w:val="30"/>
        <w:rPr>
          <w:rFonts w:hint="eastAsia" w:ascii="宋体" w:hAnsi="宋体" w:eastAsia="宋体" w:cs="宋体"/>
          <w:color w:val="auto"/>
          <w:highlight w:val="none"/>
        </w:rPr>
      </w:pP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法定代表人/单位负责人或授权代表：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(签字或盖章)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rPr>
        <w:br w:type="page"/>
      </w:r>
    </w:p>
    <w:p>
      <w:pPr>
        <w:pStyle w:val="54"/>
        <w:numPr>
          <w:ilvl w:val="0"/>
          <w:numId w:val="19"/>
        </w:numPr>
        <w:spacing w:before="120" w:after="120"/>
        <w:ind w:firstLine="0"/>
        <w:rPr>
          <w:rFonts w:hint="eastAsia" w:ascii="宋体" w:hAnsi="宋体" w:eastAsia="宋体" w:cs="宋体"/>
          <w:color w:val="auto"/>
          <w:highlight w:val="none"/>
        </w:rPr>
      </w:pPr>
      <w:bookmarkStart w:id="897" w:name="_Toc27040"/>
      <w:bookmarkStart w:id="898" w:name="_Toc17762"/>
      <w:r>
        <w:rPr>
          <w:rFonts w:hint="eastAsia" w:ascii="宋体" w:hAnsi="宋体" w:eastAsia="宋体" w:cs="宋体"/>
          <w:color w:val="auto"/>
          <w:highlight w:val="none"/>
        </w:rPr>
        <w:t>投标人基本情况表</w:t>
      </w:r>
      <w:bookmarkEnd w:id="897"/>
      <w:bookmarkEnd w:id="898"/>
    </w:p>
    <w:tbl>
      <w:tblPr>
        <w:tblStyle w:val="22"/>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投标人名称</w:t>
            </w:r>
          </w:p>
        </w:tc>
        <w:tc>
          <w:tcPr>
            <w:tcW w:w="8000" w:type="dxa"/>
            <w:gridSpan w:val="7"/>
            <w:vAlign w:val="center"/>
          </w:tcPr>
          <w:p>
            <w:pPr>
              <w:pStyle w:val="55"/>
              <w:spacing w:line="48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注册地址</w:t>
            </w:r>
          </w:p>
        </w:tc>
        <w:tc>
          <w:tcPr>
            <w:tcW w:w="3826" w:type="dxa"/>
            <w:gridSpan w:val="3"/>
            <w:vAlign w:val="center"/>
          </w:tcPr>
          <w:p>
            <w:pPr>
              <w:pStyle w:val="55"/>
              <w:spacing w:line="480" w:lineRule="exact"/>
              <w:rPr>
                <w:rFonts w:hint="eastAsia" w:ascii="宋体" w:hAnsi="宋体" w:eastAsia="宋体" w:cs="宋体"/>
                <w:color w:val="auto"/>
                <w:highlight w:val="none"/>
              </w:rPr>
            </w:pPr>
          </w:p>
        </w:tc>
        <w:tc>
          <w:tcPr>
            <w:tcW w:w="1548"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邮政编码</w:t>
            </w:r>
          </w:p>
        </w:tc>
        <w:tc>
          <w:tcPr>
            <w:tcW w:w="2626" w:type="dxa"/>
            <w:gridSpan w:val="3"/>
            <w:vAlign w:val="center"/>
          </w:tcPr>
          <w:p>
            <w:pPr>
              <w:pStyle w:val="55"/>
              <w:spacing w:line="48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Merge w:val="restart"/>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联系方式</w:t>
            </w:r>
          </w:p>
        </w:tc>
        <w:tc>
          <w:tcPr>
            <w:tcW w:w="939"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联系人</w:t>
            </w:r>
          </w:p>
        </w:tc>
        <w:tc>
          <w:tcPr>
            <w:tcW w:w="2887" w:type="dxa"/>
            <w:gridSpan w:val="2"/>
            <w:vAlign w:val="center"/>
          </w:tcPr>
          <w:p>
            <w:pPr>
              <w:pStyle w:val="55"/>
              <w:spacing w:line="480" w:lineRule="exact"/>
              <w:rPr>
                <w:rFonts w:hint="eastAsia" w:ascii="宋体" w:hAnsi="宋体" w:eastAsia="宋体" w:cs="宋体"/>
                <w:color w:val="auto"/>
                <w:highlight w:val="none"/>
              </w:rPr>
            </w:pPr>
          </w:p>
        </w:tc>
        <w:tc>
          <w:tcPr>
            <w:tcW w:w="1548"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电话</w:t>
            </w:r>
          </w:p>
        </w:tc>
        <w:tc>
          <w:tcPr>
            <w:tcW w:w="2626" w:type="dxa"/>
            <w:gridSpan w:val="3"/>
            <w:vAlign w:val="center"/>
          </w:tcPr>
          <w:p>
            <w:pPr>
              <w:pStyle w:val="55"/>
              <w:spacing w:line="48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956" w:type="dxa"/>
            <w:vMerge w:val="continue"/>
            <w:vAlign w:val="center"/>
          </w:tcPr>
          <w:p>
            <w:pPr>
              <w:pStyle w:val="55"/>
              <w:spacing w:line="480" w:lineRule="exact"/>
              <w:rPr>
                <w:rFonts w:hint="eastAsia" w:ascii="宋体" w:hAnsi="宋体" w:eastAsia="宋体" w:cs="宋体"/>
                <w:color w:val="auto"/>
                <w:highlight w:val="none"/>
              </w:rPr>
            </w:pPr>
          </w:p>
        </w:tc>
        <w:tc>
          <w:tcPr>
            <w:tcW w:w="939"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传真</w:t>
            </w:r>
          </w:p>
        </w:tc>
        <w:tc>
          <w:tcPr>
            <w:tcW w:w="2887" w:type="dxa"/>
            <w:gridSpan w:val="2"/>
            <w:vAlign w:val="center"/>
          </w:tcPr>
          <w:p>
            <w:pPr>
              <w:pStyle w:val="55"/>
              <w:spacing w:line="480" w:lineRule="exact"/>
              <w:rPr>
                <w:rFonts w:hint="eastAsia" w:ascii="宋体" w:hAnsi="宋体" w:eastAsia="宋体" w:cs="宋体"/>
                <w:color w:val="auto"/>
                <w:highlight w:val="none"/>
              </w:rPr>
            </w:pPr>
          </w:p>
        </w:tc>
        <w:tc>
          <w:tcPr>
            <w:tcW w:w="1548"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网址</w:t>
            </w:r>
          </w:p>
        </w:tc>
        <w:tc>
          <w:tcPr>
            <w:tcW w:w="2626" w:type="dxa"/>
            <w:gridSpan w:val="3"/>
            <w:vAlign w:val="center"/>
          </w:tcPr>
          <w:p>
            <w:pPr>
              <w:pStyle w:val="55"/>
              <w:spacing w:line="48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56"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法定代表人</w:t>
            </w:r>
          </w:p>
        </w:tc>
        <w:tc>
          <w:tcPr>
            <w:tcW w:w="939"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姓名</w:t>
            </w:r>
          </w:p>
        </w:tc>
        <w:tc>
          <w:tcPr>
            <w:tcW w:w="1432" w:type="dxa"/>
            <w:vAlign w:val="center"/>
          </w:tcPr>
          <w:p>
            <w:pPr>
              <w:pStyle w:val="55"/>
              <w:spacing w:line="480" w:lineRule="exact"/>
              <w:rPr>
                <w:rFonts w:hint="eastAsia" w:ascii="宋体" w:hAnsi="宋体" w:eastAsia="宋体" w:cs="宋体"/>
                <w:color w:val="auto"/>
                <w:highlight w:val="none"/>
              </w:rPr>
            </w:pPr>
          </w:p>
        </w:tc>
        <w:tc>
          <w:tcPr>
            <w:tcW w:w="1455"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技术职称</w:t>
            </w:r>
          </w:p>
        </w:tc>
        <w:tc>
          <w:tcPr>
            <w:tcW w:w="1548" w:type="dxa"/>
            <w:vAlign w:val="center"/>
          </w:tcPr>
          <w:p>
            <w:pPr>
              <w:pStyle w:val="55"/>
              <w:spacing w:line="480" w:lineRule="exact"/>
              <w:rPr>
                <w:rFonts w:hint="eastAsia" w:ascii="宋体" w:hAnsi="宋体" w:eastAsia="宋体" w:cs="宋体"/>
                <w:color w:val="auto"/>
                <w:highlight w:val="none"/>
              </w:rPr>
            </w:pPr>
          </w:p>
        </w:tc>
        <w:tc>
          <w:tcPr>
            <w:tcW w:w="1364" w:type="dxa"/>
            <w:gridSpan w:val="2"/>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电话</w:t>
            </w:r>
          </w:p>
        </w:tc>
        <w:tc>
          <w:tcPr>
            <w:tcW w:w="1262" w:type="dxa"/>
            <w:vAlign w:val="center"/>
          </w:tcPr>
          <w:p>
            <w:pPr>
              <w:pStyle w:val="55"/>
              <w:spacing w:line="48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56"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技术负责人</w:t>
            </w:r>
          </w:p>
        </w:tc>
        <w:tc>
          <w:tcPr>
            <w:tcW w:w="939"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姓名</w:t>
            </w:r>
          </w:p>
        </w:tc>
        <w:tc>
          <w:tcPr>
            <w:tcW w:w="1432" w:type="dxa"/>
            <w:vAlign w:val="center"/>
          </w:tcPr>
          <w:p>
            <w:pPr>
              <w:pStyle w:val="55"/>
              <w:spacing w:line="480" w:lineRule="exact"/>
              <w:rPr>
                <w:rFonts w:hint="eastAsia" w:ascii="宋体" w:hAnsi="宋体" w:eastAsia="宋体" w:cs="宋体"/>
                <w:color w:val="auto"/>
                <w:highlight w:val="none"/>
              </w:rPr>
            </w:pPr>
          </w:p>
        </w:tc>
        <w:tc>
          <w:tcPr>
            <w:tcW w:w="1455"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技术职称</w:t>
            </w:r>
          </w:p>
        </w:tc>
        <w:tc>
          <w:tcPr>
            <w:tcW w:w="1548" w:type="dxa"/>
            <w:vAlign w:val="center"/>
          </w:tcPr>
          <w:p>
            <w:pPr>
              <w:pStyle w:val="55"/>
              <w:spacing w:line="480" w:lineRule="exact"/>
              <w:rPr>
                <w:rFonts w:hint="eastAsia" w:ascii="宋体" w:hAnsi="宋体" w:eastAsia="宋体" w:cs="宋体"/>
                <w:color w:val="auto"/>
                <w:highlight w:val="none"/>
              </w:rPr>
            </w:pPr>
          </w:p>
        </w:tc>
        <w:tc>
          <w:tcPr>
            <w:tcW w:w="1364" w:type="dxa"/>
            <w:gridSpan w:val="2"/>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电话</w:t>
            </w:r>
          </w:p>
        </w:tc>
        <w:tc>
          <w:tcPr>
            <w:tcW w:w="1262" w:type="dxa"/>
            <w:vAlign w:val="center"/>
          </w:tcPr>
          <w:p>
            <w:pPr>
              <w:pStyle w:val="55"/>
              <w:spacing w:line="48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成立时间</w:t>
            </w:r>
          </w:p>
        </w:tc>
        <w:tc>
          <w:tcPr>
            <w:tcW w:w="2371" w:type="dxa"/>
            <w:gridSpan w:val="2"/>
            <w:vAlign w:val="center"/>
          </w:tcPr>
          <w:p>
            <w:pPr>
              <w:pStyle w:val="55"/>
              <w:spacing w:line="480" w:lineRule="exact"/>
              <w:rPr>
                <w:rFonts w:hint="eastAsia" w:ascii="宋体" w:hAnsi="宋体" w:eastAsia="宋体" w:cs="宋体"/>
                <w:color w:val="auto"/>
                <w:highlight w:val="none"/>
              </w:rPr>
            </w:pPr>
          </w:p>
        </w:tc>
        <w:tc>
          <w:tcPr>
            <w:tcW w:w="5629" w:type="dxa"/>
            <w:gridSpan w:val="5"/>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从业人员总人数：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企业资质等级</w:t>
            </w:r>
          </w:p>
        </w:tc>
        <w:tc>
          <w:tcPr>
            <w:tcW w:w="2371" w:type="dxa"/>
            <w:gridSpan w:val="2"/>
            <w:vAlign w:val="center"/>
          </w:tcPr>
          <w:p>
            <w:pPr>
              <w:pStyle w:val="55"/>
              <w:spacing w:line="480" w:lineRule="exact"/>
              <w:rPr>
                <w:rFonts w:hint="eastAsia" w:ascii="宋体" w:hAnsi="宋体" w:eastAsia="宋体" w:cs="宋体"/>
                <w:color w:val="auto"/>
                <w:highlight w:val="none"/>
              </w:rPr>
            </w:pPr>
          </w:p>
        </w:tc>
        <w:tc>
          <w:tcPr>
            <w:tcW w:w="1455" w:type="dxa"/>
            <w:vMerge w:val="restart"/>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其中</w:t>
            </w:r>
          </w:p>
        </w:tc>
        <w:tc>
          <w:tcPr>
            <w:tcW w:w="1734" w:type="dxa"/>
            <w:gridSpan w:val="2"/>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项目经理</w:t>
            </w:r>
          </w:p>
        </w:tc>
        <w:tc>
          <w:tcPr>
            <w:tcW w:w="2440" w:type="dxa"/>
            <w:gridSpan w:val="2"/>
            <w:vAlign w:val="center"/>
          </w:tcPr>
          <w:p>
            <w:pPr>
              <w:pStyle w:val="55"/>
              <w:spacing w:line="48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营业执照号/统一社会信用代码</w:t>
            </w:r>
          </w:p>
        </w:tc>
        <w:tc>
          <w:tcPr>
            <w:tcW w:w="2371" w:type="dxa"/>
            <w:gridSpan w:val="2"/>
            <w:vAlign w:val="center"/>
          </w:tcPr>
          <w:p>
            <w:pPr>
              <w:pStyle w:val="55"/>
              <w:spacing w:line="480" w:lineRule="exact"/>
              <w:rPr>
                <w:rFonts w:hint="eastAsia" w:ascii="宋体" w:hAnsi="宋体" w:eastAsia="宋体" w:cs="宋体"/>
                <w:color w:val="auto"/>
                <w:highlight w:val="none"/>
              </w:rPr>
            </w:pPr>
          </w:p>
        </w:tc>
        <w:tc>
          <w:tcPr>
            <w:tcW w:w="1455" w:type="dxa"/>
            <w:vMerge w:val="continue"/>
            <w:vAlign w:val="center"/>
          </w:tcPr>
          <w:p>
            <w:pPr>
              <w:pStyle w:val="55"/>
              <w:spacing w:line="480" w:lineRule="exact"/>
              <w:rPr>
                <w:rFonts w:hint="eastAsia" w:ascii="宋体" w:hAnsi="宋体" w:eastAsia="宋体" w:cs="宋体"/>
                <w:color w:val="auto"/>
                <w:highlight w:val="none"/>
              </w:rPr>
            </w:pPr>
          </w:p>
        </w:tc>
        <w:tc>
          <w:tcPr>
            <w:tcW w:w="1734" w:type="dxa"/>
            <w:gridSpan w:val="2"/>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高级职称人员</w:t>
            </w:r>
          </w:p>
        </w:tc>
        <w:tc>
          <w:tcPr>
            <w:tcW w:w="2440" w:type="dxa"/>
            <w:gridSpan w:val="2"/>
            <w:vAlign w:val="center"/>
          </w:tcPr>
          <w:p>
            <w:pPr>
              <w:pStyle w:val="55"/>
              <w:spacing w:line="48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注册资金</w:t>
            </w:r>
          </w:p>
        </w:tc>
        <w:tc>
          <w:tcPr>
            <w:tcW w:w="2371" w:type="dxa"/>
            <w:gridSpan w:val="2"/>
            <w:vAlign w:val="center"/>
          </w:tcPr>
          <w:p>
            <w:pPr>
              <w:pStyle w:val="55"/>
              <w:spacing w:line="480" w:lineRule="exact"/>
              <w:rPr>
                <w:rFonts w:hint="eastAsia" w:ascii="宋体" w:hAnsi="宋体" w:eastAsia="宋体" w:cs="宋体"/>
                <w:color w:val="auto"/>
                <w:highlight w:val="none"/>
              </w:rPr>
            </w:pPr>
          </w:p>
        </w:tc>
        <w:tc>
          <w:tcPr>
            <w:tcW w:w="1455" w:type="dxa"/>
            <w:vMerge w:val="continue"/>
            <w:vAlign w:val="center"/>
          </w:tcPr>
          <w:p>
            <w:pPr>
              <w:pStyle w:val="55"/>
              <w:spacing w:line="480" w:lineRule="exact"/>
              <w:rPr>
                <w:rFonts w:hint="eastAsia" w:ascii="宋体" w:hAnsi="宋体" w:eastAsia="宋体" w:cs="宋体"/>
                <w:color w:val="auto"/>
                <w:highlight w:val="none"/>
              </w:rPr>
            </w:pPr>
          </w:p>
        </w:tc>
        <w:tc>
          <w:tcPr>
            <w:tcW w:w="1734" w:type="dxa"/>
            <w:gridSpan w:val="2"/>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中级职称人员</w:t>
            </w:r>
          </w:p>
        </w:tc>
        <w:tc>
          <w:tcPr>
            <w:tcW w:w="2440" w:type="dxa"/>
            <w:gridSpan w:val="2"/>
            <w:vAlign w:val="center"/>
          </w:tcPr>
          <w:p>
            <w:pPr>
              <w:pStyle w:val="55"/>
              <w:spacing w:line="48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开户银行</w:t>
            </w:r>
          </w:p>
        </w:tc>
        <w:tc>
          <w:tcPr>
            <w:tcW w:w="2371" w:type="dxa"/>
            <w:gridSpan w:val="2"/>
            <w:vAlign w:val="center"/>
          </w:tcPr>
          <w:p>
            <w:pPr>
              <w:pStyle w:val="55"/>
              <w:spacing w:line="480" w:lineRule="exact"/>
              <w:rPr>
                <w:rFonts w:hint="eastAsia" w:ascii="宋体" w:hAnsi="宋体" w:eastAsia="宋体" w:cs="宋体"/>
                <w:color w:val="auto"/>
                <w:highlight w:val="none"/>
              </w:rPr>
            </w:pPr>
          </w:p>
        </w:tc>
        <w:tc>
          <w:tcPr>
            <w:tcW w:w="1455" w:type="dxa"/>
            <w:vMerge w:val="continue"/>
            <w:vAlign w:val="center"/>
          </w:tcPr>
          <w:p>
            <w:pPr>
              <w:pStyle w:val="55"/>
              <w:spacing w:line="480" w:lineRule="exact"/>
              <w:rPr>
                <w:rFonts w:hint="eastAsia" w:ascii="宋体" w:hAnsi="宋体" w:eastAsia="宋体" w:cs="宋体"/>
                <w:color w:val="auto"/>
                <w:highlight w:val="none"/>
              </w:rPr>
            </w:pPr>
          </w:p>
        </w:tc>
        <w:tc>
          <w:tcPr>
            <w:tcW w:w="1734" w:type="dxa"/>
            <w:gridSpan w:val="2"/>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初级职称人员</w:t>
            </w:r>
          </w:p>
        </w:tc>
        <w:tc>
          <w:tcPr>
            <w:tcW w:w="2440" w:type="dxa"/>
            <w:gridSpan w:val="2"/>
            <w:vAlign w:val="center"/>
          </w:tcPr>
          <w:p>
            <w:pPr>
              <w:pStyle w:val="55"/>
              <w:spacing w:line="48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账号</w:t>
            </w:r>
          </w:p>
        </w:tc>
        <w:tc>
          <w:tcPr>
            <w:tcW w:w="2371" w:type="dxa"/>
            <w:gridSpan w:val="2"/>
            <w:vAlign w:val="center"/>
          </w:tcPr>
          <w:p>
            <w:pPr>
              <w:pStyle w:val="55"/>
              <w:spacing w:line="480" w:lineRule="exact"/>
              <w:rPr>
                <w:rFonts w:hint="eastAsia" w:ascii="宋体" w:hAnsi="宋体" w:eastAsia="宋体" w:cs="宋体"/>
                <w:color w:val="auto"/>
                <w:highlight w:val="none"/>
              </w:rPr>
            </w:pPr>
          </w:p>
        </w:tc>
        <w:tc>
          <w:tcPr>
            <w:tcW w:w="1455" w:type="dxa"/>
            <w:vMerge w:val="continue"/>
            <w:vAlign w:val="center"/>
          </w:tcPr>
          <w:p>
            <w:pPr>
              <w:pStyle w:val="55"/>
              <w:spacing w:line="480" w:lineRule="exact"/>
              <w:rPr>
                <w:rFonts w:hint="eastAsia" w:ascii="宋体" w:hAnsi="宋体" w:eastAsia="宋体" w:cs="宋体"/>
                <w:color w:val="auto"/>
                <w:highlight w:val="none"/>
              </w:rPr>
            </w:pPr>
          </w:p>
        </w:tc>
        <w:tc>
          <w:tcPr>
            <w:tcW w:w="1734" w:type="dxa"/>
            <w:gridSpan w:val="2"/>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技工</w:t>
            </w:r>
          </w:p>
        </w:tc>
        <w:tc>
          <w:tcPr>
            <w:tcW w:w="2440" w:type="dxa"/>
            <w:gridSpan w:val="2"/>
            <w:vAlign w:val="center"/>
          </w:tcPr>
          <w:p>
            <w:pPr>
              <w:pStyle w:val="55"/>
              <w:spacing w:line="48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1956"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经营范围</w:t>
            </w:r>
          </w:p>
        </w:tc>
        <w:tc>
          <w:tcPr>
            <w:tcW w:w="8000" w:type="dxa"/>
            <w:gridSpan w:val="7"/>
            <w:vAlign w:val="center"/>
          </w:tcPr>
          <w:p>
            <w:pPr>
              <w:pStyle w:val="55"/>
              <w:spacing w:line="48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956" w:type="dxa"/>
            <w:vAlign w:val="center"/>
          </w:tcPr>
          <w:p>
            <w:pPr>
              <w:pStyle w:val="55"/>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备注</w:t>
            </w:r>
          </w:p>
        </w:tc>
        <w:tc>
          <w:tcPr>
            <w:tcW w:w="8000" w:type="dxa"/>
            <w:gridSpan w:val="7"/>
          </w:tcPr>
          <w:p>
            <w:pPr>
              <w:pStyle w:val="55"/>
              <w:spacing w:line="480" w:lineRule="exact"/>
              <w:rPr>
                <w:rFonts w:hint="eastAsia" w:ascii="宋体" w:hAnsi="宋体" w:eastAsia="宋体" w:cs="宋体"/>
                <w:color w:val="auto"/>
                <w:highlight w:val="none"/>
              </w:rPr>
            </w:pPr>
          </w:p>
        </w:tc>
      </w:tr>
    </w:tbl>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注：投标人根据自身实际情况填写，对不涉及的内容可填写“/”，不影响投标资质及效力。</w:t>
      </w:r>
    </w:p>
    <w:p>
      <w:pPr>
        <w:pStyle w:val="30"/>
        <w:rPr>
          <w:rFonts w:hint="eastAsia" w:ascii="宋体" w:hAnsi="宋体" w:eastAsia="宋体" w:cs="宋体"/>
          <w:color w:val="auto"/>
          <w:highlight w:val="none"/>
        </w:rPr>
      </w:pP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法定代表人/单位负责人或授权代表：</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(签字或盖章)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投标日期：</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 xml:space="preserve">       </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4"/>
        <w:numPr>
          <w:ilvl w:val="0"/>
          <w:numId w:val="19"/>
        </w:numPr>
        <w:spacing w:before="120" w:after="120"/>
        <w:ind w:firstLine="0"/>
        <w:rPr>
          <w:rFonts w:hint="eastAsia" w:ascii="宋体" w:hAnsi="宋体" w:eastAsia="宋体" w:cs="宋体"/>
          <w:color w:val="auto"/>
          <w:highlight w:val="none"/>
        </w:rPr>
      </w:pPr>
      <w:bookmarkStart w:id="899" w:name="_Toc5308"/>
      <w:bookmarkStart w:id="900" w:name="_Toc30133"/>
      <w:bookmarkStart w:id="901" w:name="_Toc21444"/>
      <w:bookmarkStart w:id="902" w:name="_Toc1650"/>
      <w:bookmarkStart w:id="903" w:name="_Toc19766"/>
      <w:r>
        <w:rPr>
          <w:rFonts w:hint="eastAsia" w:ascii="宋体" w:hAnsi="宋体" w:eastAsia="宋体" w:cs="宋体"/>
          <w:color w:val="auto"/>
          <w:highlight w:val="none"/>
        </w:rPr>
        <w:t>开标一览表</w:t>
      </w:r>
      <w:bookmarkEnd w:id="899"/>
      <w:bookmarkEnd w:id="900"/>
      <w:bookmarkEnd w:id="901"/>
      <w:bookmarkEnd w:id="902"/>
      <w:bookmarkEnd w:id="903"/>
    </w:p>
    <w:p>
      <w:pPr>
        <w:pStyle w:val="30"/>
        <w:rPr>
          <w:rFonts w:hint="eastAsia" w:ascii="宋体" w:hAnsi="宋体" w:eastAsia="宋体" w:cs="宋体"/>
          <w:color w:val="auto"/>
          <w:highlight w:val="none"/>
          <w:u w:val="singl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 xml:space="preserve">                         </w:t>
      </w:r>
    </w:p>
    <w:p>
      <w:pPr>
        <w:pStyle w:val="30"/>
        <w:rPr>
          <w:rFonts w:hint="eastAsia" w:ascii="宋体" w:hAnsi="宋体" w:eastAsia="宋体" w:cs="宋体"/>
          <w:color w:val="auto"/>
          <w:highlight w:val="none"/>
          <w:u w:val="singl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xml:space="preserve">                         </w:t>
      </w:r>
    </w:p>
    <w:tbl>
      <w:tblPr>
        <w:tblStyle w:val="2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1884"/>
        <w:gridCol w:w="1770"/>
        <w:gridCol w:w="1430"/>
        <w:gridCol w:w="1788"/>
        <w:gridCol w:w="1250"/>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94" w:type="pct"/>
            <w:vAlign w:val="center"/>
          </w:tcPr>
          <w:p>
            <w:pPr>
              <w:pStyle w:val="55"/>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946" w:type="pct"/>
            <w:vAlign w:val="center"/>
          </w:tcPr>
          <w:p>
            <w:pPr>
              <w:pStyle w:val="55"/>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设备名称</w:t>
            </w:r>
          </w:p>
        </w:tc>
        <w:tc>
          <w:tcPr>
            <w:tcW w:w="889" w:type="pct"/>
            <w:vAlign w:val="center"/>
          </w:tcPr>
          <w:p>
            <w:pPr>
              <w:pStyle w:val="55"/>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品牌及规格型号</w:t>
            </w:r>
          </w:p>
        </w:tc>
        <w:tc>
          <w:tcPr>
            <w:tcW w:w="718" w:type="pct"/>
            <w:vAlign w:val="center"/>
          </w:tcPr>
          <w:p>
            <w:pPr>
              <w:pStyle w:val="55"/>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898" w:type="pct"/>
            <w:vAlign w:val="center"/>
          </w:tcPr>
          <w:p>
            <w:pPr>
              <w:pStyle w:val="55"/>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产地</w:t>
            </w:r>
          </w:p>
        </w:tc>
        <w:tc>
          <w:tcPr>
            <w:tcW w:w="628" w:type="pct"/>
            <w:vAlign w:val="center"/>
          </w:tcPr>
          <w:p>
            <w:pPr>
              <w:pStyle w:val="55"/>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履约时间</w:t>
            </w:r>
          </w:p>
        </w:tc>
        <w:tc>
          <w:tcPr>
            <w:tcW w:w="625" w:type="pct"/>
            <w:vAlign w:val="center"/>
          </w:tcPr>
          <w:p>
            <w:pPr>
              <w:pStyle w:val="55"/>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94" w:type="pct"/>
            <w:vAlign w:val="center"/>
          </w:tcPr>
          <w:p>
            <w:pPr>
              <w:pStyle w:val="3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946" w:type="pct"/>
            <w:vAlign w:val="center"/>
          </w:tcPr>
          <w:p>
            <w:pPr>
              <w:pStyle w:val="3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智能制造实训基地虚实一体工作站</w:t>
            </w:r>
          </w:p>
        </w:tc>
        <w:tc>
          <w:tcPr>
            <w:tcW w:w="889" w:type="pct"/>
            <w:vAlign w:val="center"/>
          </w:tcPr>
          <w:p>
            <w:pPr>
              <w:pStyle w:val="30"/>
              <w:rPr>
                <w:rFonts w:hint="eastAsia" w:ascii="宋体" w:hAnsi="宋体" w:eastAsia="宋体" w:cs="宋体"/>
                <w:color w:val="auto"/>
                <w:sz w:val="21"/>
                <w:szCs w:val="21"/>
                <w:highlight w:val="none"/>
              </w:rPr>
            </w:pPr>
          </w:p>
        </w:tc>
        <w:tc>
          <w:tcPr>
            <w:tcW w:w="718" w:type="pct"/>
            <w:vAlign w:val="center"/>
          </w:tcPr>
          <w:p>
            <w:pPr>
              <w:pStyle w:val="3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898" w:type="pct"/>
            <w:vAlign w:val="center"/>
          </w:tcPr>
          <w:p>
            <w:pPr>
              <w:pStyle w:val="30"/>
              <w:jc w:val="center"/>
              <w:rPr>
                <w:rFonts w:hint="eastAsia" w:ascii="宋体" w:hAnsi="宋体" w:eastAsia="宋体" w:cs="宋体"/>
                <w:color w:val="auto"/>
                <w:sz w:val="21"/>
                <w:szCs w:val="21"/>
                <w:highlight w:val="none"/>
              </w:rPr>
            </w:pPr>
          </w:p>
        </w:tc>
        <w:tc>
          <w:tcPr>
            <w:tcW w:w="628" w:type="pct"/>
            <w:vAlign w:val="center"/>
          </w:tcPr>
          <w:p>
            <w:pPr>
              <w:pStyle w:val="30"/>
              <w:jc w:val="center"/>
              <w:rPr>
                <w:rFonts w:hint="eastAsia" w:ascii="宋体" w:hAnsi="宋体" w:eastAsia="宋体" w:cs="宋体"/>
                <w:color w:val="auto"/>
                <w:sz w:val="21"/>
                <w:szCs w:val="21"/>
                <w:highlight w:val="none"/>
              </w:rPr>
            </w:pPr>
          </w:p>
        </w:tc>
        <w:tc>
          <w:tcPr>
            <w:tcW w:w="625" w:type="pct"/>
            <w:vAlign w:val="center"/>
          </w:tcPr>
          <w:p>
            <w:pPr>
              <w:pStyle w:val="3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7"/>
            <w:vAlign w:val="center"/>
          </w:tcPr>
          <w:p>
            <w:pPr>
              <w:pStyle w:val="3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投标报价：</w:t>
            </w:r>
            <w:r>
              <w:rPr>
                <w:rFonts w:hint="eastAsia" w:ascii="宋体" w:hAnsi="宋体" w:eastAsia="宋体" w:cs="宋体"/>
                <w:b/>
                <w:bCs/>
                <w:color w:val="auto"/>
                <w:sz w:val="21"/>
                <w:szCs w:val="21"/>
                <w:highlight w:val="none"/>
                <w:u w:val="single"/>
              </w:rPr>
              <w:t xml:space="preserve">         </w:t>
            </w:r>
            <w:r>
              <w:rPr>
                <w:rFonts w:hint="eastAsia" w:ascii="宋体" w:hAnsi="宋体" w:eastAsia="宋体" w:cs="宋体"/>
                <w:b/>
                <w:bCs/>
                <w:color w:val="auto"/>
                <w:sz w:val="21"/>
                <w:szCs w:val="21"/>
                <w:highlight w:val="none"/>
              </w:rPr>
              <w:t>元(大写人民币：</w:t>
            </w:r>
            <w:r>
              <w:rPr>
                <w:rFonts w:hint="eastAsia" w:ascii="宋体" w:hAnsi="宋体" w:eastAsia="宋体" w:cs="宋体"/>
                <w:b/>
                <w:bCs/>
                <w:color w:val="auto"/>
                <w:sz w:val="21"/>
                <w:szCs w:val="21"/>
                <w:highlight w:val="none"/>
                <w:u w:val="single"/>
              </w:rPr>
              <w:t xml:space="preserve">                </w:t>
            </w:r>
            <w:r>
              <w:rPr>
                <w:rFonts w:hint="eastAsia" w:ascii="宋体" w:hAnsi="宋体" w:eastAsia="宋体" w:cs="宋体"/>
                <w:b/>
                <w:bCs/>
                <w:color w:val="auto"/>
                <w:sz w:val="21"/>
                <w:szCs w:val="21"/>
                <w:highlight w:val="none"/>
              </w:rPr>
              <w:t>)</w:t>
            </w:r>
          </w:p>
        </w:tc>
      </w:tr>
    </w:tbl>
    <w:p>
      <w:pPr>
        <w:pStyle w:val="56"/>
        <w:ind w:firstLine="482"/>
        <w:rPr>
          <w:rFonts w:hint="eastAsia" w:ascii="宋体" w:hAnsi="宋体" w:eastAsia="宋体" w:cs="宋体"/>
          <w:b w:val="0"/>
          <w:bCs/>
          <w:color w:val="auto"/>
          <w:highlight w:val="none"/>
        </w:rPr>
      </w:pPr>
      <w:r>
        <w:rPr>
          <w:rFonts w:hint="eastAsia" w:ascii="宋体" w:hAnsi="宋体" w:eastAsia="宋体" w:cs="宋体"/>
          <w:color w:val="auto"/>
          <w:highlight w:val="none"/>
        </w:rPr>
        <w:t>注：</w:t>
      </w:r>
      <w:r>
        <w:rPr>
          <w:rFonts w:hint="eastAsia" w:ascii="宋体" w:hAnsi="宋体" w:eastAsia="宋体" w:cs="宋体"/>
          <w:b w:val="0"/>
          <w:bCs/>
          <w:color w:val="auto"/>
          <w:highlight w:val="none"/>
        </w:rPr>
        <w:t>①报价应是投标人响应招标项目要求的全部采购内容的价格体现，包括但不限于包括但不限于设备的供货、包装、运输、安装、调试、培训、利润、售后服务等与完成本项目有关的所有费用。</w:t>
      </w:r>
    </w:p>
    <w:p>
      <w:pPr>
        <w:pStyle w:val="56"/>
        <w:rPr>
          <w:rFonts w:hint="eastAsia" w:ascii="宋体" w:hAnsi="宋体" w:eastAsia="宋体" w:cs="宋体"/>
          <w:b w:val="0"/>
          <w:bCs/>
          <w:color w:val="auto"/>
          <w:highlight w:val="none"/>
        </w:rPr>
      </w:pPr>
      <w:r>
        <w:rPr>
          <w:rFonts w:hint="eastAsia" w:ascii="宋体" w:hAnsi="宋体" w:eastAsia="宋体" w:cs="宋体"/>
          <w:b w:val="0"/>
          <w:bCs/>
          <w:color w:val="auto"/>
          <w:highlight w:val="none"/>
        </w:rPr>
        <w:t>②“开标一览表”为多页的，每页均需由法定代表人/单位负责人或授权代表签字并盖投标人印章，否则作无效投标处理。</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③“开标一览表”除了单独密封递交外，其他投标文件(正副本)中也应当提供，如有遗漏，将视为无效投标。</w:t>
      </w: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(盖章)</w:t>
      </w: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法定代表人/单位负责人或授权代表：</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(签字或盖章)</w:t>
      </w: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投标日期：</w:t>
      </w:r>
      <w:bookmarkStart w:id="904" w:name="_Toc7728"/>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br w:type="page"/>
      </w:r>
    </w:p>
    <w:bookmarkEnd w:id="904"/>
    <w:p>
      <w:pPr>
        <w:pStyle w:val="54"/>
        <w:numPr>
          <w:ilvl w:val="0"/>
          <w:numId w:val="19"/>
        </w:numPr>
        <w:bidi w:val="0"/>
        <w:ind w:left="0" w:leftChars="0" w:firstLine="0" w:firstLineChars="0"/>
        <w:rPr>
          <w:rFonts w:hint="eastAsia" w:ascii="宋体" w:hAnsi="宋体" w:eastAsia="宋体" w:cs="宋体"/>
          <w:color w:val="auto"/>
          <w:highlight w:val="none"/>
          <w:lang w:val="en-US" w:eastAsia="zh-CN"/>
        </w:rPr>
      </w:pPr>
      <w:bookmarkStart w:id="905" w:name="_Toc23742"/>
      <w:bookmarkStart w:id="906" w:name="_Toc1038"/>
      <w:bookmarkStart w:id="907" w:name="_Toc19101"/>
      <w:bookmarkStart w:id="908" w:name="_Toc7016"/>
      <w:bookmarkStart w:id="909" w:name="_Toc307501130"/>
      <w:bookmarkStart w:id="910" w:name="_Toc7835"/>
      <w:bookmarkStart w:id="911" w:name="_Toc307564875"/>
      <w:bookmarkStart w:id="912" w:name="_Toc327196310"/>
      <w:bookmarkStart w:id="913" w:name="_Toc25577"/>
      <w:bookmarkStart w:id="914" w:name="_Toc319440166"/>
      <w:bookmarkStart w:id="915" w:name="_Toc11461"/>
      <w:bookmarkStart w:id="916" w:name="_Toc21006"/>
      <w:bookmarkStart w:id="917" w:name="_Toc217446087"/>
      <w:bookmarkStart w:id="918" w:name="_Toc319440168"/>
      <w:bookmarkStart w:id="919" w:name="_Toc327196312"/>
      <w:bookmarkStart w:id="920" w:name="_Toc26124"/>
      <w:bookmarkStart w:id="921" w:name="_Toc24507"/>
      <w:r>
        <w:rPr>
          <w:rFonts w:hint="eastAsia" w:ascii="宋体" w:hAnsi="宋体" w:eastAsia="宋体" w:cs="宋体"/>
          <w:color w:val="auto"/>
          <w:highlight w:val="none"/>
          <w:lang w:val="en-US" w:eastAsia="zh-CN"/>
        </w:rPr>
        <w:t>分项报价明细表</w:t>
      </w:r>
      <w:bookmarkEnd w:id="905"/>
      <w:bookmarkEnd w:id="906"/>
      <w:bookmarkEnd w:id="907"/>
      <w:bookmarkEnd w:id="908"/>
    </w:p>
    <w:p>
      <w:pPr>
        <w:pStyle w:val="30"/>
        <w:bidi w:val="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项目名称：</w:t>
      </w:r>
      <w:r>
        <w:rPr>
          <w:rFonts w:hint="eastAsia" w:ascii="宋体" w:hAnsi="宋体" w:eastAsia="宋体" w:cs="宋体"/>
          <w:b w:val="0"/>
          <w:bCs w:val="0"/>
          <w:color w:val="auto"/>
          <w:highlight w:val="none"/>
          <w:u w:val="single"/>
        </w:rPr>
        <w:t xml:space="preserve">              </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b w:val="0"/>
          <w:bCs w:val="0"/>
          <w:color w:val="auto"/>
          <w:highlight w:val="none"/>
          <w:u w:val="single"/>
        </w:rPr>
        <w:t xml:space="preserve"> </w:t>
      </w:r>
    </w:p>
    <w:p>
      <w:pPr>
        <w:pStyle w:val="30"/>
        <w:bidi w:val="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项目编号：</w:t>
      </w:r>
      <w:r>
        <w:rPr>
          <w:rFonts w:hint="eastAsia" w:ascii="宋体" w:hAnsi="宋体" w:eastAsia="宋体" w:cs="宋体"/>
          <w:b w:val="0"/>
          <w:bCs w:val="0"/>
          <w:color w:val="auto"/>
          <w:highlight w:val="none"/>
          <w:u w:val="single"/>
        </w:rPr>
        <w:t xml:space="preserve">               </w:t>
      </w:r>
      <w:r>
        <w:rPr>
          <w:rFonts w:hint="eastAsia" w:ascii="宋体" w:hAnsi="宋体" w:eastAsia="宋体" w:cs="宋体"/>
          <w:b w:val="0"/>
          <w:bCs w:val="0"/>
          <w:color w:val="auto"/>
          <w:highlight w:val="none"/>
          <w:u w:val="single"/>
          <w:lang w:val="en-US" w:eastAsia="zh-CN"/>
        </w:rPr>
        <w:t xml:space="preserve">             </w:t>
      </w:r>
    </w:p>
    <w:tbl>
      <w:tblPr>
        <w:tblStyle w:val="22"/>
        <w:tblW w:w="48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874"/>
        <w:gridCol w:w="1675"/>
        <w:gridCol w:w="979"/>
        <w:gridCol w:w="958"/>
        <w:gridCol w:w="725"/>
        <w:gridCol w:w="1012"/>
        <w:gridCol w:w="680"/>
        <w:gridCol w:w="79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blHeader/>
          <w:jc w:val="center"/>
        </w:trPr>
        <w:tc>
          <w:tcPr>
            <w:tcW w:w="348" w:type="pct"/>
            <w:vAlign w:val="center"/>
          </w:tcPr>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bCs/>
                <w:color w:val="auto"/>
                <w:sz w:val="21"/>
                <w:szCs w:val="21"/>
                <w:highlight w:val="none"/>
              </w:rPr>
            </w:pPr>
            <w:bookmarkStart w:id="922" w:name="_Toc24396"/>
            <w:r>
              <w:rPr>
                <w:rFonts w:hint="eastAsia" w:ascii="宋体" w:hAnsi="宋体" w:eastAsia="宋体" w:cs="宋体"/>
                <w:b/>
                <w:bCs/>
                <w:color w:val="auto"/>
                <w:sz w:val="21"/>
                <w:szCs w:val="21"/>
                <w:highlight w:val="none"/>
              </w:rPr>
              <w:t>序号</w:t>
            </w:r>
            <w:bookmarkEnd w:id="922"/>
          </w:p>
        </w:tc>
        <w:tc>
          <w:tcPr>
            <w:tcW w:w="1312" w:type="pct"/>
            <w:gridSpan w:val="2"/>
            <w:vAlign w:val="center"/>
          </w:tcPr>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组件</w:t>
            </w:r>
            <w:r>
              <w:rPr>
                <w:rFonts w:hint="eastAsia" w:ascii="宋体" w:hAnsi="宋体" w:eastAsia="宋体" w:cs="宋体"/>
                <w:b/>
                <w:bCs/>
                <w:color w:val="auto"/>
                <w:sz w:val="21"/>
                <w:szCs w:val="21"/>
                <w:highlight w:val="none"/>
              </w:rPr>
              <w:t>名称</w:t>
            </w:r>
          </w:p>
        </w:tc>
        <w:tc>
          <w:tcPr>
            <w:tcW w:w="504" w:type="pct"/>
            <w:vAlign w:val="center"/>
          </w:tcPr>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rPr>
              <w:t>品牌</w:t>
            </w:r>
          </w:p>
        </w:tc>
        <w:tc>
          <w:tcPr>
            <w:tcW w:w="493" w:type="pct"/>
            <w:vAlign w:val="center"/>
          </w:tcPr>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规格</w:t>
            </w:r>
          </w:p>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(型号)</w:t>
            </w:r>
          </w:p>
        </w:tc>
        <w:tc>
          <w:tcPr>
            <w:tcW w:w="373" w:type="pct"/>
            <w:vAlign w:val="center"/>
          </w:tcPr>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rPr>
              <w:t>产地</w:t>
            </w:r>
          </w:p>
        </w:tc>
        <w:tc>
          <w:tcPr>
            <w:tcW w:w="521" w:type="pct"/>
            <w:vAlign w:val="center"/>
          </w:tcPr>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bCs/>
                <w:color w:val="auto"/>
                <w:sz w:val="21"/>
                <w:szCs w:val="21"/>
                <w:highlight w:val="none"/>
              </w:rPr>
            </w:pPr>
            <w:bookmarkStart w:id="923" w:name="_Toc2282"/>
            <w:r>
              <w:rPr>
                <w:rFonts w:hint="eastAsia" w:ascii="宋体" w:hAnsi="宋体" w:eastAsia="宋体" w:cs="宋体"/>
                <w:b/>
                <w:bCs/>
                <w:color w:val="auto"/>
                <w:sz w:val="21"/>
                <w:szCs w:val="21"/>
                <w:highlight w:val="none"/>
              </w:rPr>
              <w:t>单价</w:t>
            </w:r>
            <w:bookmarkEnd w:id="923"/>
            <w:r>
              <w:rPr>
                <w:rFonts w:hint="eastAsia" w:ascii="宋体" w:hAnsi="宋体" w:eastAsia="宋体" w:cs="宋体"/>
                <w:b/>
                <w:bCs/>
                <w:color w:val="auto"/>
                <w:sz w:val="21"/>
                <w:szCs w:val="21"/>
                <w:highlight w:val="none"/>
              </w:rPr>
              <w:t>(元)</w:t>
            </w:r>
          </w:p>
        </w:tc>
        <w:tc>
          <w:tcPr>
            <w:tcW w:w="350" w:type="pct"/>
            <w:vAlign w:val="center"/>
          </w:tcPr>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bCs/>
                <w:color w:val="auto"/>
                <w:sz w:val="21"/>
                <w:szCs w:val="21"/>
                <w:highlight w:val="none"/>
              </w:rPr>
            </w:pPr>
            <w:bookmarkStart w:id="924" w:name="_Toc7156"/>
            <w:r>
              <w:rPr>
                <w:rFonts w:hint="eastAsia" w:ascii="宋体" w:hAnsi="宋体" w:eastAsia="宋体" w:cs="宋体"/>
                <w:b/>
                <w:bCs/>
                <w:color w:val="auto"/>
                <w:sz w:val="21"/>
                <w:szCs w:val="21"/>
                <w:highlight w:val="none"/>
              </w:rPr>
              <w:t>数量</w:t>
            </w:r>
            <w:bookmarkEnd w:id="924"/>
          </w:p>
        </w:tc>
        <w:tc>
          <w:tcPr>
            <w:tcW w:w="408" w:type="pct"/>
            <w:vAlign w:val="center"/>
          </w:tcPr>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c>
          <w:tcPr>
            <w:tcW w:w="687" w:type="pct"/>
            <w:vAlign w:val="center"/>
          </w:tcPr>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50" w:type="pct"/>
            <w:vMerge w:val="restar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执行单元</w:t>
            </w: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工业机器人</w:t>
            </w:r>
          </w:p>
        </w:tc>
        <w:tc>
          <w:tcPr>
            <w:tcW w:w="504" w:type="pct"/>
            <w:vAlign w:val="center"/>
          </w:tcPr>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bCs/>
                <w:color w:val="auto"/>
                <w:sz w:val="21"/>
                <w:szCs w:val="21"/>
                <w:highlight w:val="none"/>
              </w:rPr>
            </w:pPr>
          </w:p>
        </w:tc>
        <w:tc>
          <w:tcPr>
            <w:tcW w:w="493" w:type="pct"/>
            <w:vAlign w:val="center"/>
          </w:tcPr>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bCs/>
                <w:color w:val="auto"/>
                <w:sz w:val="21"/>
                <w:szCs w:val="21"/>
                <w:highlight w:val="none"/>
              </w:rPr>
            </w:pPr>
          </w:p>
        </w:tc>
        <w:tc>
          <w:tcPr>
            <w:tcW w:w="373" w:type="pct"/>
            <w:vAlign w:val="center"/>
          </w:tcPr>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bCs/>
                <w:color w:val="auto"/>
                <w:sz w:val="21"/>
                <w:szCs w:val="21"/>
                <w:highlight w:val="none"/>
              </w:rPr>
            </w:pPr>
          </w:p>
        </w:tc>
        <w:tc>
          <w:tcPr>
            <w:tcW w:w="521" w:type="pct"/>
            <w:vAlign w:val="center"/>
          </w:tcPr>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bCs/>
                <w:color w:val="auto"/>
                <w:sz w:val="21"/>
                <w:szCs w:val="21"/>
                <w:highlight w:val="none"/>
              </w:rPr>
            </w:pPr>
          </w:p>
        </w:tc>
        <w:tc>
          <w:tcPr>
            <w:tcW w:w="350" w:type="pct"/>
            <w:vAlign w:val="center"/>
          </w:tcPr>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w:t>
            </w:r>
          </w:p>
        </w:tc>
        <w:tc>
          <w:tcPr>
            <w:tcW w:w="408" w:type="pct"/>
            <w:vAlign w:val="center"/>
          </w:tcPr>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台</w:t>
            </w:r>
          </w:p>
        </w:tc>
        <w:tc>
          <w:tcPr>
            <w:tcW w:w="687" w:type="pct"/>
            <w:vAlign w:val="center"/>
          </w:tcPr>
          <w:p>
            <w:pPr>
              <w:pStyle w:val="55"/>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工业机器人扩展IO模块</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工具快换模块法兰端</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平移滑台</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PLC控制器</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远程IO模块</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工作台</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配套MCD机电一体化培训课程</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套</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450" w:type="pct"/>
            <w:vMerge w:val="restar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工具单元</w:t>
            </w: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轮辐夹爪</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轮毂夹爪</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轮辋内圈夹爪</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轮辋外圈夹爪</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吸盘夹爪</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端面打磨工具</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侧面打磨工具</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工具支架</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示教器支架</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工作台</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450" w:type="pct"/>
            <w:vMerge w:val="restar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仓储单元</w:t>
            </w: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立体仓库</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远程IO模块</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轮毂零件</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工作台</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配套MCD机电一体化培训课程</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套</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450" w:type="pct"/>
            <w:vMerge w:val="restar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加工单元</w:t>
            </w: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数控机床</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台</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25.模拟刀库</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数控系统</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远程IO模块</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工作台</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450" w:type="pct"/>
            <w:vMerge w:val="restar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打磨单元</w:t>
            </w: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打磨工位</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旋转工位</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翻转工装</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吹屑工位</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远程IO模块</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工作台</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450" w:type="pct"/>
            <w:vMerge w:val="restar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检测单元</w:t>
            </w: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视觉系统</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套</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配套光源</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台</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工作台</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配套MCD机电一体化培训课程</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套</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450" w:type="pct"/>
            <w:vMerge w:val="restar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分拣单元</w:t>
            </w: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传送带</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分拣机构</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分拣工位</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远程IO模块</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工作台</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450" w:type="pct"/>
            <w:vMerge w:val="restar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总控单元</w:t>
            </w: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PLC控制器</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工业数据交换装置</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操作面板</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显示端</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移动终端</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电源模块</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气源模块</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工作台</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52.配套MCD机电一体化培训课程</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套</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450" w:type="pct"/>
            <w:vMerge w:val="restar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配套训练系统</w:t>
            </w: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离线编程软件</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自动化编程软件</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MES编程平台</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450" w:type="pct"/>
            <w:vMerge w:val="restar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配套工具</w:t>
            </w: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安装工具</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套</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HMI</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PLC CPU模块1</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PLC CPU模块2</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PLC CPU模块3</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伺服驱动器</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交流伺服电机</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伺服电机动力电缆</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450" w:type="pct"/>
            <w:vMerge w:val="continue"/>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伺服电机增量式编码器电缆</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76"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65</w:t>
            </w:r>
          </w:p>
        </w:tc>
        <w:tc>
          <w:tcPr>
            <w:tcW w:w="450" w:type="pct"/>
            <w:vAlign w:val="center"/>
          </w:tcPr>
          <w:p>
            <w:pPr>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离线编程软件</w:t>
            </w:r>
          </w:p>
        </w:tc>
        <w:tc>
          <w:tcPr>
            <w:tcW w:w="861" w:type="pct"/>
            <w:vAlign w:val="center"/>
          </w:tcPr>
          <w:p>
            <w:pPr>
              <w:pStyle w:val="82"/>
              <w:keepNext w:val="0"/>
              <w:keepLines w:val="0"/>
              <w:pageBreakBefore w:val="0"/>
              <w:widowControl w:val="0"/>
              <w:kinsoku/>
              <w:wordWrap w:val="0"/>
              <w:overflowPunct/>
              <w:autoSpaceDE/>
              <w:autoSpaceDN/>
              <w:bidi w:val="0"/>
              <w:adjustRightInd w:val="0"/>
              <w:snapToGrid w:val="0"/>
              <w:spacing w:line="30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软件节点数</w:t>
            </w:r>
          </w:p>
        </w:tc>
        <w:tc>
          <w:tcPr>
            <w:tcW w:w="504"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49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73"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521"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c>
          <w:tcPr>
            <w:tcW w:w="350"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408"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个</w:t>
            </w:r>
          </w:p>
        </w:tc>
        <w:tc>
          <w:tcPr>
            <w:tcW w:w="687" w:type="pct"/>
            <w:vAlign w:val="center"/>
          </w:tcPr>
          <w:p>
            <w:pPr>
              <w:pStyle w:val="30"/>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000" w:type="pct"/>
            <w:gridSpan w:val="10"/>
            <w:vAlign w:val="center"/>
          </w:tcPr>
          <w:p>
            <w:pPr>
              <w:pStyle w:val="52"/>
              <w:keepNext w:val="0"/>
              <w:keepLines w:val="0"/>
              <w:pageBreakBefore w:val="0"/>
              <w:widowControl w:val="0"/>
              <w:kinsoku/>
              <w:wordWrap w:val="0"/>
              <w:overflowPunct/>
              <w:autoSpaceDE/>
              <w:autoSpaceDN/>
              <w:bidi w:val="0"/>
              <w:adjustRightInd w:val="0"/>
              <w:snapToGrid w:val="0"/>
              <w:spacing w:line="300" w:lineRule="exact"/>
              <w:ind w:left="0" w:leftChars="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分项报价合计金额：</w:t>
            </w:r>
            <w:r>
              <w:rPr>
                <w:rFonts w:hint="eastAsia" w:ascii="宋体" w:hAnsi="宋体" w:eastAsia="宋体" w:cs="宋体"/>
                <w:b w:val="0"/>
                <w:bCs w:val="0"/>
                <w:color w:val="auto"/>
                <w:sz w:val="21"/>
                <w:szCs w:val="21"/>
                <w:highlight w:val="none"/>
                <w:u w:val="single"/>
              </w:rPr>
              <w:t xml:space="preserve">                   </w:t>
            </w:r>
            <w:r>
              <w:rPr>
                <w:rFonts w:hint="eastAsia" w:ascii="宋体" w:hAnsi="宋体" w:eastAsia="宋体" w:cs="宋体"/>
                <w:b w:val="0"/>
                <w:bCs w:val="0"/>
                <w:color w:val="auto"/>
                <w:sz w:val="21"/>
                <w:szCs w:val="21"/>
                <w:highlight w:val="none"/>
              </w:rPr>
              <w:t>(大写：</w:t>
            </w:r>
            <w:r>
              <w:rPr>
                <w:rFonts w:hint="eastAsia" w:ascii="宋体" w:hAnsi="宋体" w:eastAsia="宋体" w:cs="宋体"/>
                <w:b w:val="0"/>
                <w:bCs w:val="0"/>
                <w:color w:val="auto"/>
                <w:sz w:val="21"/>
                <w:szCs w:val="21"/>
                <w:highlight w:val="none"/>
                <w:u w:val="single"/>
              </w:rPr>
              <w:t xml:space="preserve">                   </w:t>
            </w:r>
            <w:r>
              <w:rPr>
                <w:rFonts w:hint="eastAsia" w:ascii="宋体" w:hAnsi="宋体" w:eastAsia="宋体" w:cs="宋体"/>
                <w:b w:val="0"/>
                <w:bCs w:val="0"/>
                <w:color w:val="auto"/>
                <w:sz w:val="21"/>
                <w:szCs w:val="21"/>
                <w:highlight w:val="none"/>
              </w:rPr>
              <w:t>)</w:t>
            </w:r>
          </w:p>
        </w:tc>
      </w:tr>
    </w:tbl>
    <w:p>
      <w:pPr>
        <w:pStyle w:val="56"/>
        <w:bidi w:val="0"/>
        <w:rPr>
          <w:rFonts w:hint="eastAsia" w:ascii="宋体" w:hAnsi="宋体" w:eastAsia="宋体" w:cs="宋体"/>
          <w:color w:val="auto"/>
          <w:highlight w:val="none"/>
        </w:rPr>
      </w:pPr>
      <w:r>
        <w:rPr>
          <w:rFonts w:hint="eastAsia" w:ascii="宋体" w:hAnsi="宋体" w:eastAsia="宋体" w:cs="宋体"/>
          <w:color w:val="auto"/>
          <w:highlight w:val="none"/>
        </w:rPr>
        <w:t>注：</w:t>
      </w: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投标人必须按“分项报价明细表”的格式详细报出投标总价的各个组成部分的报价，否则作无效投标处理。</w:t>
      </w:r>
    </w:p>
    <w:p>
      <w:pPr>
        <w:pStyle w:val="56"/>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“分项报价明细表”各分项报价合计应当与“开标一览表”报价合计相等。</w:t>
      </w:r>
    </w:p>
    <w:p>
      <w:pPr>
        <w:pStyle w:val="30"/>
        <w:bidi w:val="0"/>
        <w:rPr>
          <w:rFonts w:hint="eastAsia" w:ascii="宋体" w:hAnsi="宋体" w:eastAsia="宋体" w:cs="宋体"/>
          <w:color w:val="auto"/>
          <w:highlight w:val="none"/>
          <w:lang w:eastAsia="zh-CN"/>
        </w:rPr>
      </w:pPr>
    </w:p>
    <w:p>
      <w:pPr>
        <w:pStyle w:val="30"/>
        <w:bidi w:val="0"/>
        <w:rPr>
          <w:rFonts w:hint="eastAsia" w:ascii="宋体" w:hAnsi="宋体" w:eastAsia="宋体" w:cs="宋体"/>
          <w:color w:val="auto"/>
          <w:highlight w:val="none"/>
          <w:lang w:eastAsia="zh-CN"/>
        </w:rPr>
      </w:pPr>
    </w:p>
    <w:p>
      <w:pPr>
        <w:pStyle w:val="30"/>
        <w:bidi w:val="0"/>
        <w:rPr>
          <w:rFonts w:hint="eastAsia" w:ascii="宋体" w:hAnsi="宋体" w:eastAsia="宋体" w:cs="宋体"/>
          <w:color w:val="auto"/>
          <w:highlight w:val="none"/>
        </w:rPr>
      </w:pPr>
    </w:p>
    <w:p>
      <w:pPr>
        <w:pStyle w:val="34"/>
        <w:bidi w:val="0"/>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(盖章)</w:t>
      </w:r>
    </w:p>
    <w:p>
      <w:pPr>
        <w:pStyle w:val="34"/>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34"/>
        <w:bidi w:val="0"/>
        <w:rPr>
          <w:rFonts w:hint="eastAsia" w:ascii="宋体" w:hAnsi="宋体" w:eastAsia="宋体" w:cs="宋体"/>
          <w:color w:val="auto"/>
          <w:highlight w:val="none"/>
        </w:rPr>
      </w:pPr>
      <w:r>
        <w:rPr>
          <w:rFonts w:hint="eastAsia" w:ascii="宋体" w:hAnsi="宋体" w:eastAsia="宋体" w:cs="宋体"/>
          <w:color w:val="auto"/>
          <w:highlight w:val="none"/>
        </w:rPr>
        <w:t>投标日期：</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p>
    <w:p>
      <w:pPr>
        <w:pStyle w:val="54"/>
        <w:numPr>
          <w:ilvl w:val="0"/>
          <w:numId w:val="19"/>
        </w:numPr>
        <w:spacing w:before="120" w:after="120"/>
        <w:ind w:firstLine="0"/>
        <w:rPr>
          <w:rFonts w:hint="eastAsia" w:ascii="宋体" w:hAnsi="宋体" w:eastAsia="宋体" w:cs="宋体"/>
          <w:color w:val="auto"/>
          <w:highlight w:val="none"/>
        </w:rPr>
      </w:pPr>
      <w:bookmarkStart w:id="925" w:name="_Toc18493"/>
      <w:r>
        <w:rPr>
          <w:rFonts w:hint="eastAsia" w:ascii="宋体" w:hAnsi="宋体" w:eastAsia="宋体" w:cs="宋体"/>
          <w:color w:val="auto"/>
          <w:highlight w:val="none"/>
        </w:rPr>
        <w:t>商务应答表</w:t>
      </w:r>
      <w:bookmarkEnd w:id="909"/>
      <w:bookmarkEnd w:id="910"/>
      <w:bookmarkEnd w:id="911"/>
      <w:bookmarkEnd w:id="912"/>
      <w:bookmarkEnd w:id="913"/>
      <w:bookmarkEnd w:id="914"/>
      <w:bookmarkEnd w:id="915"/>
      <w:bookmarkEnd w:id="916"/>
      <w:bookmarkEnd w:id="917"/>
      <w:bookmarkEnd w:id="925"/>
    </w:p>
    <w:p>
      <w:pPr>
        <w:pStyle w:val="30"/>
        <w:rPr>
          <w:rFonts w:hint="eastAsia" w:ascii="宋体" w:hAnsi="宋体" w:eastAsia="宋体" w:cs="宋体"/>
          <w:color w:val="auto"/>
          <w:highlight w:val="none"/>
          <w:u w:val="singl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30"/>
        <w:rPr>
          <w:rFonts w:hint="eastAsia" w:ascii="宋体" w:hAnsi="宋体" w:eastAsia="宋体" w:cs="宋体"/>
          <w:color w:val="auto"/>
          <w:highlight w:val="non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xml:space="preserve">                             </w:t>
      </w:r>
    </w:p>
    <w:tbl>
      <w:tblPr>
        <w:tblStyle w:val="22"/>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061"/>
        <w:gridCol w:w="390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序号</w:t>
            </w:r>
          </w:p>
        </w:tc>
        <w:tc>
          <w:tcPr>
            <w:tcW w:w="4061" w:type="dxa"/>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招标文件商务要求</w:t>
            </w:r>
          </w:p>
        </w:tc>
        <w:tc>
          <w:tcPr>
            <w:tcW w:w="3900" w:type="dxa"/>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投标应答</w:t>
            </w:r>
          </w:p>
        </w:tc>
        <w:tc>
          <w:tcPr>
            <w:tcW w:w="1223" w:type="dxa"/>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55"/>
              <w:rPr>
                <w:rFonts w:hint="eastAsia" w:ascii="宋体" w:hAnsi="宋体" w:eastAsia="宋体" w:cs="宋体"/>
                <w:b/>
                <w:bCs/>
                <w:color w:val="auto"/>
                <w:highlight w:val="none"/>
              </w:rPr>
            </w:pPr>
          </w:p>
        </w:tc>
        <w:tc>
          <w:tcPr>
            <w:tcW w:w="4061" w:type="dxa"/>
          </w:tcPr>
          <w:p>
            <w:pPr>
              <w:pStyle w:val="55"/>
              <w:rPr>
                <w:rFonts w:hint="eastAsia" w:ascii="宋体" w:hAnsi="宋体" w:eastAsia="宋体" w:cs="宋体"/>
                <w:b/>
                <w:bCs/>
                <w:color w:val="auto"/>
                <w:highlight w:val="none"/>
              </w:rPr>
            </w:pPr>
          </w:p>
        </w:tc>
        <w:tc>
          <w:tcPr>
            <w:tcW w:w="3900" w:type="dxa"/>
          </w:tcPr>
          <w:p>
            <w:pPr>
              <w:pStyle w:val="55"/>
              <w:rPr>
                <w:rFonts w:hint="eastAsia" w:ascii="宋体" w:hAnsi="宋体" w:eastAsia="宋体" w:cs="宋体"/>
                <w:b/>
                <w:bCs/>
                <w:color w:val="auto"/>
                <w:highlight w:val="none"/>
              </w:rPr>
            </w:pPr>
          </w:p>
        </w:tc>
        <w:tc>
          <w:tcPr>
            <w:tcW w:w="1223" w:type="dxa"/>
          </w:tcPr>
          <w:p>
            <w:pPr>
              <w:pStyle w:val="55"/>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pStyle w:val="55"/>
              <w:rPr>
                <w:rFonts w:hint="eastAsia" w:ascii="宋体" w:hAnsi="宋体" w:eastAsia="宋体" w:cs="宋体"/>
                <w:b/>
                <w:bCs/>
                <w:color w:val="auto"/>
                <w:highlight w:val="none"/>
              </w:rPr>
            </w:pPr>
          </w:p>
        </w:tc>
        <w:tc>
          <w:tcPr>
            <w:tcW w:w="4061" w:type="dxa"/>
          </w:tcPr>
          <w:p>
            <w:pPr>
              <w:pStyle w:val="55"/>
              <w:rPr>
                <w:rFonts w:hint="eastAsia" w:ascii="宋体" w:hAnsi="宋体" w:eastAsia="宋体" w:cs="宋体"/>
                <w:b/>
                <w:bCs/>
                <w:color w:val="auto"/>
                <w:highlight w:val="none"/>
              </w:rPr>
            </w:pPr>
          </w:p>
        </w:tc>
        <w:tc>
          <w:tcPr>
            <w:tcW w:w="3900" w:type="dxa"/>
          </w:tcPr>
          <w:p>
            <w:pPr>
              <w:pStyle w:val="55"/>
              <w:rPr>
                <w:rFonts w:hint="eastAsia" w:ascii="宋体" w:hAnsi="宋体" w:eastAsia="宋体" w:cs="宋体"/>
                <w:b/>
                <w:bCs/>
                <w:color w:val="auto"/>
                <w:highlight w:val="none"/>
              </w:rPr>
            </w:pPr>
          </w:p>
        </w:tc>
        <w:tc>
          <w:tcPr>
            <w:tcW w:w="1223" w:type="dxa"/>
          </w:tcPr>
          <w:p>
            <w:pPr>
              <w:pStyle w:val="55"/>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pStyle w:val="55"/>
              <w:rPr>
                <w:rFonts w:hint="eastAsia" w:ascii="宋体" w:hAnsi="宋体" w:eastAsia="宋体" w:cs="宋体"/>
                <w:b/>
                <w:bCs/>
                <w:color w:val="auto"/>
                <w:highlight w:val="none"/>
              </w:rPr>
            </w:pPr>
          </w:p>
        </w:tc>
        <w:tc>
          <w:tcPr>
            <w:tcW w:w="4061" w:type="dxa"/>
          </w:tcPr>
          <w:p>
            <w:pPr>
              <w:pStyle w:val="55"/>
              <w:rPr>
                <w:rFonts w:hint="eastAsia" w:ascii="宋体" w:hAnsi="宋体" w:eastAsia="宋体" w:cs="宋体"/>
                <w:b/>
                <w:bCs/>
                <w:color w:val="auto"/>
                <w:highlight w:val="none"/>
              </w:rPr>
            </w:pPr>
          </w:p>
        </w:tc>
        <w:tc>
          <w:tcPr>
            <w:tcW w:w="3900" w:type="dxa"/>
          </w:tcPr>
          <w:p>
            <w:pPr>
              <w:pStyle w:val="55"/>
              <w:rPr>
                <w:rFonts w:hint="eastAsia" w:ascii="宋体" w:hAnsi="宋体" w:eastAsia="宋体" w:cs="宋体"/>
                <w:b/>
                <w:bCs/>
                <w:color w:val="auto"/>
                <w:highlight w:val="none"/>
              </w:rPr>
            </w:pPr>
          </w:p>
        </w:tc>
        <w:tc>
          <w:tcPr>
            <w:tcW w:w="1223" w:type="dxa"/>
          </w:tcPr>
          <w:p>
            <w:pPr>
              <w:pStyle w:val="55"/>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pStyle w:val="55"/>
              <w:rPr>
                <w:rFonts w:hint="eastAsia" w:ascii="宋体" w:hAnsi="宋体" w:eastAsia="宋体" w:cs="宋体"/>
                <w:b/>
                <w:bCs/>
                <w:color w:val="auto"/>
                <w:highlight w:val="none"/>
              </w:rPr>
            </w:pPr>
          </w:p>
        </w:tc>
        <w:tc>
          <w:tcPr>
            <w:tcW w:w="4061" w:type="dxa"/>
          </w:tcPr>
          <w:p>
            <w:pPr>
              <w:pStyle w:val="55"/>
              <w:rPr>
                <w:rFonts w:hint="eastAsia" w:ascii="宋体" w:hAnsi="宋体" w:eastAsia="宋体" w:cs="宋体"/>
                <w:b/>
                <w:bCs/>
                <w:color w:val="auto"/>
                <w:highlight w:val="none"/>
              </w:rPr>
            </w:pPr>
          </w:p>
        </w:tc>
        <w:tc>
          <w:tcPr>
            <w:tcW w:w="3900" w:type="dxa"/>
          </w:tcPr>
          <w:p>
            <w:pPr>
              <w:pStyle w:val="55"/>
              <w:rPr>
                <w:rFonts w:hint="eastAsia" w:ascii="宋体" w:hAnsi="宋体" w:eastAsia="宋体" w:cs="宋体"/>
                <w:b/>
                <w:bCs/>
                <w:color w:val="auto"/>
                <w:highlight w:val="none"/>
              </w:rPr>
            </w:pPr>
          </w:p>
        </w:tc>
        <w:tc>
          <w:tcPr>
            <w:tcW w:w="1223" w:type="dxa"/>
          </w:tcPr>
          <w:p>
            <w:pPr>
              <w:pStyle w:val="55"/>
              <w:rPr>
                <w:rFonts w:hint="eastAsia" w:ascii="宋体" w:hAnsi="宋体" w:eastAsia="宋体" w:cs="宋体"/>
                <w:b/>
                <w:bCs/>
                <w:color w:val="auto"/>
                <w:highlight w:val="none"/>
              </w:rPr>
            </w:pPr>
          </w:p>
        </w:tc>
      </w:tr>
    </w:tbl>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如与招标文件的商务要求有偏离(包括正偏离和负偏离)，请将偏离条款逐条应答。如与招标文件商务要求的所有条款无偏离，则无须在此表中应答，视为默认完全响应和接受招标文件所有商务要求，供应商不得以未作应答而拒不接受。供应商必须据实填写，不得虚假应答，否则将取消其中标资格。商务要求中要求提供的承诺函应单独响应。</w:t>
      </w: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法定代表人/单位负责人或授权代表：</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(签字或盖章)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投标日期：</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 xml:space="preserve">             </w:t>
      </w:r>
    </w:p>
    <w:p>
      <w:pPr>
        <w:pStyle w:val="30"/>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918"/>
    <w:bookmarkEnd w:id="919"/>
    <w:bookmarkEnd w:id="920"/>
    <w:p>
      <w:pPr>
        <w:pStyle w:val="54"/>
        <w:numPr>
          <w:ilvl w:val="0"/>
          <w:numId w:val="19"/>
        </w:numPr>
        <w:spacing w:before="120" w:after="120"/>
        <w:ind w:firstLine="0"/>
        <w:rPr>
          <w:rFonts w:hint="eastAsia" w:ascii="宋体" w:hAnsi="宋体" w:eastAsia="宋体" w:cs="宋体"/>
          <w:color w:val="auto"/>
          <w:highlight w:val="none"/>
        </w:rPr>
      </w:pPr>
      <w:bookmarkStart w:id="926" w:name="_Toc23376"/>
      <w:bookmarkStart w:id="927" w:name="_Toc22779"/>
      <w:bookmarkStart w:id="928" w:name="_Toc3995"/>
      <w:bookmarkStart w:id="929" w:name="_Toc25122"/>
      <w:bookmarkStart w:id="930" w:name="_Toc26522"/>
      <w:bookmarkStart w:id="931" w:name="_Toc23430"/>
      <w:r>
        <w:rPr>
          <w:rFonts w:hint="eastAsia" w:ascii="宋体" w:hAnsi="宋体" w:eastAsia="宋体" w:cs="宋体"/>
          <w:color w:val="auto"/>
          <w:highlight w:val="none"/>
        </w:rPr>
        <w:t>投标产品技术参数应答表</w:t>
      </w:r>
      <w:bookmarkEnd w:id="926"/>
      <w:bookmarkEnd w:id="927"/>
      <w:bookmarkEnd w:id="928"/>
      <w:bookmarkEnd w:id="929"/>
    </w:p>
    <w:p>
      <w:pPr>
        <w:pStyle w:val="30"/>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30"/>
        <w:rPr>
          <w:rFonts w:hint="eastAsia" w:ascii="宋体" w:hAnsi="宋体" w:eastAsia="宋体" w:cs="宋体"/>
          <w:color w:val="auto"/>
          <w:highlight w:val="none"/>
          <w:u w:val="singl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xml:space="preserve">                        </w:t>
      </w:r>
    </w:p>
    <w:tbl>
      <w:tblPr>
        <w:tblStyle w:val="22"/>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176"/>
        <w:gridCol w:w="2681"/>
        <w:gridCol w:w="274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序号</w:t>
            </w:r>
          </w:p>
        </w:tc>
        <w:tc>
          <w:tcPr>
            <w:tcW w:w="2176" w:type="dxa"/>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设备名称</w:t>
            </w:r>
          </w:p>
        </w:tc>
        <w:tc>
          <w:tcPr>
            <w:tcW w:w="2681" w:type="dxa"/>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招标文件技术参数及配置要求</w:t>
            </w:r>
          </w:p>
        </w:tc>
        <w:tc>
          <w:tcPr>
            <w:tcW w:w="2745" w:type="dxa"/>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投标产品技术参数</w:t>
            </w:r>
          </w:p>
        </w:tc>
        <w:tc>
          <w:tcPr>
            <w:tcW w:w="1493" w:type="dxa"/>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55"/>
              <w:rPr>
                <w:rFonts w:hint="eastAsia" w:ascii="宋体" w:hAnsi="宋体" w:eastAsia="宋体" w:cs="宋体"/>
                <w:b/>
                <w:bCs/>
                <w:color w:val="auto"/>
                <w:highlight w:val="none"/>
              </w:rPr>
            </w:pPr>
          </w:p>
        </w:tc>
        <w:tc>
          <w:tcPr>
            <w:tcW w:w="2176" w:type="dxa"/>
          </w:tcPr>
          <w:p>
            <w:pPr>
              <w:pStyle w:val="55"/>
              <w:rPr>
                <w:rFonts w:hint="eastAsia" w:ascii="宋体" w:hAnsi="宋体" w:eastAsia="宋体" w:cs="宋体"/>
                <w:b/>
                <w:bCs/>
                <w:color w:val="auto"/>
                <w:highlight w:val="none"/>
              </w:rPr>
            </w:pPr>
          </w:p>
        </w:tc>
        <w:tc>
          <w:tcPr>
            <w:tcW w:w="2681" w:type="dxa"/>
          </w:tcPr>
          <w:p>
            <w:pPr>
              <w:pStyle w:val="55"/>
              <w:rPr>
                <w:rFonts w:hint="eastAsia" w:ascii="宋体" w:hAnsi="宋体" w:eastAsia="宋体" w:cs="宋体"/>
                <w:b/>
                <w:bCs/>
                <w:color w:val="auto"/>
                <w:highlight w:val="none"/>
              </w:rPr>
            </w:pPr>
          </w:p>
        </w:tc>
        <w:tc>
          <w:tcPr>
            <w:tcW w:w="2745" w:type="dxa"/>
          </w:tcPr>
          <w:p>
            <w:pPr>
              <w:pStyle w:val="55"/>
              <w:rPr>
                <w:rFonts w:hint="eastAsia" w:ascii="宋体" w:hAnsi="宋体" w:eastAsia="宋体" w:cs="宋体"/>
                <w:b/>
                <w:bCs/>
                <w:color w:val="auto"/>
                <w:highlight w:val="none"/>
              </w:rPr>
            </w:pPr>
          </w:p>
        </w:tc>
        <w:tc>
          <w:tcPr>
            <w:tcW w:w="1493" w:type="dxa"/>
          </w:tcPr>
          <w:p>
            <w:pPr>
              <w:pStyle w:val="55"/>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55"/>
              <w:rPr>
                <w:rFonts w:hint="eastAsia" w:ascii="宋体" w:hAnsi="宋体" w:eastAsia="宋体" w:cs="宋体"/>
                <w:b/>
                <w:bCs/>
                <w:color w:val="auto"/>
                <w:highlight w:val="none"/>
              </w:rPr>
            </w:pPr>
          </w:p>
        </w:tc>
        <w:tc>
          <w:tcPr>
            <w:tcW w:w="2176" w:type="dxa"/>
          </w:tcPr>
          <w:p>
            <w:pPr>
              <w:pStyle w:val="55"/>
              <w:rPr>
                <w:rFonts w:hint="eastAsia" w:ascii="宋体" w:hAnsi="宋体" w:eastAsia="宋体" w:cs="宋体"/>
                <w:b/>
                <w:bCs/>
                <w:color w:val="auto"/>
                <w:highlight w:val="none"/>
              </w:rPr>
            </w:pPr>
          </w:p>
        </w:tc>
        <w:tc>
          <w:tcPr>
            <w:tcW w:w="2681" w:type="dxa"/>
          </w:tcPr>
          <w:p>
            <w:pPr>
              <w:pStyle w:val="55"/>
              <w:rPr>
                <w:rFonts w:hint="eastAsia" w:ascii="宋体" w:hAnsi="宋体" w:eastAsia="宋体" w:cs="宋体"/>
                <w:b/>
                <w:bCs/>
                <w:color w:val="auto"/>
                <w:highlight w:val="none"/>
              </w:rPr>
            </w:pPr>
          </w:p>
        </w:tc>
        <w:tc>
          <w:tcPr>
            <w:tcW w:w="2745" w:type="dxa"/>
          </w:tcPr>
          <w:p>
            <w:pPr>
              <w:pStyle w:val="55"/>
              <w:rPr>
                <w:rFonts w:hint="eastAsia" w:ascii="宋体" w:hAnsi="宋体" w:eastAsia="宋体" w:cs="宋体"/>
                <w:b/>
                <w:bCs/>
                <w:color w:val="auto"/>
                <w:highlight w:val="none"/>
              </w:rPr>
            </w:pPr>
          </w:p>
        </w:tc>
        <w:tc>
          <w:tcPr>
            <w:tcW w:w="1493" w:type="dxa"/>
          </w:tcPr>
          <w:p>
            <w:pPr>
              <w:pStyle w:val="55"/>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55"/>
              <w:rPr>
                <w:rFonts w:hint="eastAsia" w:ascii="宋体" w:hAnsi="宋体" w:eastAsia="宋体" w:cs="宋体"/>
                <w:b/>
                <w:bCs/>
                <w:color w:val="auto"/>
                <w:highlight w:val="none"/>
              </w:rPr>
            </w:pPr>
          </w:p>
        </w:tc>
        <w:tc>
          <w:tcPr>
            <w:tcW w:w="2176" w:type="dxa"/>
          </w:tcPr>
          <w:p>
            <w:pPr>
              <w:pStyle w:val="55"/>
              <w:rPr>
                <w:rFonts w:hint="eastAsia" w:ascii="宋体" w:hAnsi="宋体" w:eastAsia="宋体" w:cs="宋体"/>
                <w:b/>
                <w:bCs/>
                <w:color w:val="auto"/>
                <w:highlight w:val="none"/>
              </w:rPr>
            </w:pPr>
          </w:p>
        </w:tc>
        <w:tc>
          <w:tcPr>
            <w:tcW w:w="2681" w:type="dxa"/>
          </w:tcPr>
          <w:p>
            <w:pPr>
              <w:pStyle w:val="55"/>
              <w:rPr>
                <w:rFonts w:hint="eastAsia" w:ascii="宋体" w:hAnsi="宋体" w:eastAsia="宋体" w:cs="宋体"/>
                <w:b/>
                <w:bCs/>
                <w:color w:val="auto"/>
                <w:highlight w:val="none"/>
              </w:rPr>
            </w:pPr>
          </w:p>
        </w:tc>
        <w:tc>
          <w:tcPr>
            <w:tcW w:w="2745" w:type="dxa"/>
          </w:tcPr>
          <w:p>
            <w:pPr>
              <w:pStyle w:val="55"/>
              <w:rPr>
                <w:rFonts w:hint="eastAsia" w:ascii="宋体" w:hAnsi="宋体" w:eastAsia="宋体" w:cs="宋体"/>
                <w:b/>
                <w:bCs/>
                <w:color w:val="auto"/>
                <w:highlight w:val="none"/>
              </w:rPr>
            </w:pPr>
          </w:p>
        </w:tc>
        <w:tc>
          <w:tcPr>
            <w:tcW w:w="1493" w:type="dxa"/>
          </w:tcPr>
          <w:p>
            <w:pPr>
              <w:pStyle w:val="55"/>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55"/>
              <w:rPr>
                <w:rFonts w:hint="eastAsia" w:ascii="宋体" w:hAnsi="宋体" w:eastAsia="宋体" w:cs="宋体"/>
                <w:b/>
                <w:bCs/>
                <w:color w:val="auto"/>
                <w:highlight w:val="none"/>
              </w:rPr>
            </w:pPr>
          </w:p>
        </w:tc>
        <w:tc>
          <w:tcPr>
            <w:tcW w:w="2176" w:type="dxa"/>
          </w:tcPr>
          <w:p>
            <w:pPr>
              <w:pStyle w:val="55"/>
              <w:rPr>
                <w:rFonts w:hint="eastAsia" w:ascii="宋体" w:hAnsi="宋体" w:eastAsia="宋体" w:cs="宋体"/>
                <w:b/>
                <w:bCs/>
                <w:color w:val="auto"/>
                <w:highlight w:val="none"/>
              </w:rPr>
            </w:pPr>
          </w:p>
        </w:tc>
        <w:tc>
          <w:tcPr>
            <w:tcW w:w="2681" w:type="dxa"/>
          </w:tcPr>
          <w:p>
            <w:pPr>
              <w:pStyle w:val="55"/>
              <w:rPr>
                <w:rFonts w:hint="eastAsia" w:ascii="宋体" w:hAnsi="宋体" w:eastAsia="宋体" w:cs="宋体"/>
                <w:b/>
                <w:bCs/>
                <w:color w:val="auto"/>
                <w:highlight w:val="none"/>
              </w:rPr>
            </w:pPr>
          </w:p>
        </w:tc>
        <w:tc>
          <w:tcPr>
            <w:tcW w:w="2745" w:type="dxa"/>
          </w:tcPr>
          <w:p>
            <w:pPr>
              <w:pStyle w:val="55"/>
              <w:rPr>
                <w:rFonts w:hint="eastAsia" w:ascii="宋体" w:hAnsi="宋体" w:eastAsia="宋体" w:cs="宋体"/>
                <w:b/>
                <w:bCs/>
                <w:color w:val="auto"/>
                <w:highlight w:val="none"/>
              </w:rPr>
            </w:pPr>
          </w:p>
        </w:tc>
        <w:tc>
          <w:tcPr>
            <w:tcW w:w="1493" w:type="dxa"/>
          </w:tcPr>
          <w:p>
            <w:pPr>
              <w:pStyle w:val="55"/>
              <w:rPr>
                <w:rFonts w:hint="eastAsia" w:ascii="宋体" w:hAnsi="宋体" w:eastAsia="宋体" w:cs="宋体"/>
                <w:b/>
                <w:bCs/>
                <w:color w:val="auto"/>
                <w:highlight w:val="none"/>
              </w:rPr>
            </w:pPr>
          </w:p>
        </w:tc>
      </w:tr>
    </w:tbl>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注：①供应商必须把招标项目的全部“</w:t>
      </w:r>
      <w:r>
        <w:rPr>
          <w:rFonts w:hint="eastAsia" w:ascii="宋体" w:hAnsi="宋体" w:eastAsia="宋体" w:cs="宋体"/>
          <w:b/>
          <w:bCs/>
          <w:color w:val="auto"/>
          <w:highlight w:val="none"/>
        </w:rPr>
        <w:t>技术参数及配置要求</w:t>
      </w:r>
      <w:r>
        <w:rPr>
          <w:rFonts w:hint="eastAsia" w:ascii="宋体" w:hAnsi="宋体" w:eastAsia="宋体" w:cs="宋体"/>
          <w:color w:val="auto"/>
          <w:highlight w:val="none"/>
        </w:rPr>
        <w:t>”列入此表。</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②按照招标项目技术要求的顺序对应填写。</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③供应商必须据实填写，不得虚假填写，否则将取消其投标或中标资格。</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④“</w:t>
      </w:r>
      <w:r>
        <w:rPr>
          <w:rFonts w:hint="eastAsia" w:ascii="宋体" w:hAnsi="宋体" w:eastAsia="宋体" w:cs="宋体"/>
          <w:b/>
          <w:bCs/>
          <w:color w:val="auto"/>
          <w:highlight w:val="none"/>
        </w:rPr>
        <w:t>技术参数及配置要求</w:t>
      </w:r>
      <w:r>
        <w:rPr>
          <w:rFonts w:hint="eastAsia" w:ascii="宋体" w:hAnsi="宋体" w:eastAsia="宋体" w:cs="宋体"/>
          <w:color w:val="auto"/>
          <w:highlight w:val="none"/>
        </w:rPr>
        <w:t>”中实质性要求不允许负偏离，否则视为无效投标。</w:t>
      </w:r>
    </w:p>
    <w:p>
      <w:pPr>
        <w:pStyle w:val="56"/>
        <w:ind w:firstLine="482"/>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法定代表人/单位负责人或授权代表：</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(签字或盖章)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投标日期：</w:t>
      </w:r>
      <w:r>
        <w:rPr>
          <w:rFonts w:hint="eastAsia" w:ascii="宋体" w:hAnsi="宋体" w:eastAsia="宋体" w:cs="宋体"/>
          <w:bCs/>
          <w:color w:val="auto"/>
          <w:highlight w:val="none"/>
          <w:u w:val="single"/>
        </w:rPr>
        <w:t xml:space="preserve">                 </w:t>
      </w:r>
    </w:p>
    <w:p>
      <w:pPr>
        <w:pStyle w:val="30"/>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930"/>
    <w:bookmarkEnd w:id="931"/>
    <w:p>
      <w:pPr>
        <w:pStyle w:val="54"/>
        <w:numPr>
          <w:ilvl w:val="0"/>
          <w:numId w:val="19"/>
        </w:numPr>
        <w:spacing w:before="120" w:after="120"/>
        <w:ind w:firstLine="0"/>
        <w:rPr>
          <w:rFonts w:hint="eastAsia" w:ascii="宋体" w:hAnsi="宋体" w:eastAsia="宋体" w:cs="宋体"/>
          <w:color w:val="auto"/>
          <w:highlight w:val="none"/>
        </w:rPr>
      </w:pPr>
      <w:bookmarkStart w:id="932" w:name="_Toc28539"/>
      <w:bookmarkStart w:id="933" w:name="_Toc14737"/>
      <w:r>
        <w:rPr>
          <w:rFonts w:hint="eastAsia" w:ascii="宋体" w:hAnsi="宋体" w:eastAsia="宋体" w:cs="宋体"/>
          <w:color w:val="auto"/>
          <w:highlight w:val="none"/>
        </w:rPr>
        <w:t>履约能力及相关证明</w:t>
      </w:r>
      <w:bookmarkEnd w:id="932"/>
      <w:bookmarkEnd w:id="933"/>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注：格式自拟。</w:t>
      </w: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921"/>
    <w:p>
      <w:pPr>
        <w:pStyle w:val="54"/>
        <w:numPr>
          <w:ilvl w:val="0"/>
          <w:numId w:val="19"/>
        </w:numPr>
        <w:spacing w:before="120" w:after="120"/>
        <w:ind w:firstLine="0"/>
        <w:rPr>
          <w:rFonts w:hint="eastAsia" w:ascii="宋体" w:hAnsi="宋体" w:eastAsia="宋体" w:cs="宋体"/>
          <w:color w:val="auto"/>
          <w:highlight w:val="none"/>
        </w:rPr>
      </w:pPr>
      <w:bookmarkStart w:id="934" w:name="_Toc13361"/>
      <w:bookmarkStart w:id="935" w:name="_Toc8016"/>
      <w:bookmarkStart w:id="936" w:name="_Toc19240"/>
      <w:r>
        <w:rPr>
          <w:rFonts w:hint="eastAsia" w:ascii="宋体" w:hAnsi="宋体" w:eastAsia="宋体" w:cs="宋体"/>
          <w:color w:val="auto"/>
          <w:highlight w:val="none"/>
        </w:rPr>
        <w:t>投标人针对本项目人员配置情况表</w:t>
      </w:r>
      <w:bookmarkEnd w:id="934"/>
      <w:bookmarkEnd w:id="935"/>
    </w:p>
    <w:p>
      <w:pPr>
        <w:pStyle w:val="30"/>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 xml:space="preserve">                              </w:t>
      </w:r>
    </w:p>
    <w:p>
      <w:pPr>
        <w:pStyle w:val="30"/>
        <w:rPr>
          <w:rFonts w:hint="eastAsia" w:ascii="宋体" w:hAnsi="宋体" w:eastAsia="宋体" w:cs="宋体"/>
          <w:color w:val="auto"/>
          <w:highlight w:val="none"/>
          <w:u w:val="singl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xml:space="preserve">                              </w:t>
      </w:r>
    </w:p>
    <w:tbl>
      <w:tblPr>
        <w:tblStyle w:val="22"/>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类别</w:t>
            </w:r>
          </w:p>
        </w:tc>
        <w:tc>
          <w:tcPr>
            <w:tcW w:w="923" w:type="dxa"/>
            <w:vMerge w:val="restart"/>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职务(岗位)</w:t>
            </w:r>
          </w:p>
        </w:tc>
        <w:tc>
          <w:tcPr>
            <w:tcW w:w="921" w:type="dxa"/>
            <w:vMerge w:val="restart"/>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姓名</w:t>
            </w:r>
          </w:p>
        </w:tc>
        <w:tc>
          <w:tcPr>
            <w:tcW w:w="923" w:type="dxa"/>
            <w:vMerge w:val="restart"/>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职称</w:t>
            </w:r>
          </w:p>
        </w:tc>
        <w:tc>
          <w:tcPr>
            <w:tcW w:w="922" w:type="dxa"/>
            <w:vMerge w:val="restart"/>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常住地</w:t>
            </w:r>
          </w:p>
        </w:tc>
        <w:tc>
          <w:tcPr>
            <w:tcW w:w="4919" w:type="dxa"/>
            <w:gridSpan w:val="4"/>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55"/>
              <w:rPr>
                <w:rFonts w:hint="eastAsia" w:ascii="宋体" w:hAnsi="宋体" w:eastAsia="宋体" w:cs="宋体"/>
                <w:b/>
                <w:bCs/>
                <w:color w:val="auto"/>
                <w:highlight w:val="none"/>
              </w:rPr>
            </w:pPr>
          </w:p>
        </w:tc>
        <w:tc>
          <w:tcPr>
            <w:tcW w:w="923" w:type="dxa"/>
            <w:vMerge w:val="continue"/>
            <w:vAlign w:val="center"/>
          </w:tcPr>
          <w:p>
            <w:pPr>
              <w:pStyle w:val="55"/>
              <w:rPr>
                <w:rFonts w:hint="eastAsia" w:ascii="宋体" w:hAnsi="宋体" w:eastAsia="宋体" w:cs="宋体"/>
                <w:b/>
                <w:bCs/>
                <w:color w:val="auto"/>
                <w:highlight w:val="none"/>
              </w:rPr>
            </w:pPr>
          </w:p>
        </w:tc>
        <w:tc>
          <w:tcPr>
            <w:tcW w:w="921" w:type="dxa"/>
            <w:vMerge w:val="continue"/>
            <w:vAlign w:val="center"/>
          </w:tcPr>
          <w:p>
            <w:pPr>
              <w:pStyle w:val="55"/>
              <w:rPr>
                <w:rFonts w:hint="eastAsia" w:ascii="宋体" w:hAnsi="宋体" w:eastAsia="宋体" w:cs="宋体"/>
                <w:b/>
                <w:bCs/>
                <w:color w:val="auto"/>
                <w:highlight w:val="none"/>
              </w:rPr>
            </w:pPr>
          </w:p>
        </w:tc>
        <w:tc>
          <w:tcPr>
            <w:tcW w:w="923" w:type="dxa"/>
            <w:vMerge w:val="continue"/>
            <w:vAlign w:val="center"/>
          </w:tcPr>
          <w:p>
            <w:pPr>
              <w:pStyle w:val="55"/>
              <w:rPr>
                <w:rFonts w:hint="eastAsia" w:ascii="宋体" w:hAnsi="宋体" w:eastAsia="宋体" w:cs="宋体"/>
                <w:b/>
                <w:bCs/>
                <w:color w:val="auto"/>
                <w:highlight w:val="none"/>
              </w:rPr>
            </w:pPr>
          </w:p>
        </w:tc>
        <w:tc>
          <w:tcPr>
            <w:tcW w:w="922" w:type="dxa"/>
            <w:vMerge w:val="continue"/>
            <w:vAlign w:val="center"/>
          </w:tcPr>
          <w:p>
            <w:pPr>
              <w:pStyle w:val="55"/>
              <w:rPr>
                <w:rFonts w:hint="eastAsia" w:ascii="宋体" w:hAnsi="宋体" w:eastAsia="宋体" w:cs="宋体"/>
                <w:b/>
                <w:bCs/>
                <w:color w:val="auto"/>
                <w:highlight w:val="none"/>
              </w:rPr>
            </w:pPr>
          </w:p>
        </w:tc>
        <w:tc>
          <w:tcPr>
            <w:tcW w:w="1436" w:type="dxa"/>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证书名称</w:t>
            </w:r>
          </w:p>
        </w:tc>
        <w:tc>
          <w:tcPr>
            <w:tcW w:w="1022" w:type="dxa"/>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级别</w:t>
            </w:r>
          </w:p>
        </w:tc>
        <w:tc>
          <w:tcPr>
            <w:tcW w:w="1232" w:type="dxa"/>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证号</w:t>
            </w:r>
          </w:p>
        </w:tc>
        <w:tc>
          <w:tcPr>
            <w:tcW w:w="1229" w:type="dxa"/>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1" w:type="dxa"/>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2" w:type="dxa"/>
          </w:tcPr>
          <w:p>
            <w:pPr>
              <w:pStyle w:val="55"/>
              <w:rPr>
                <w:rFonts w:hint="eastAsia" w:ascii="宋体" w:hAnsi="宋体" w:eastAsia="宋体" w:cs="宋体"/>
                <w:color w:val="auto"/>
                <w:highlight w:val="none"/>
              </w:rPr>
            </w:pPr>
          </w:p>
        </w:tc>
        <w:tc>
          <w:tcPr>
            <w:tcW w:w="1436" w:type="dxa"/>
          </w:tcPr>
          <w:p>
            <w:pPr>
              <w:pStyle w:val="55"/>
              <w:rPr>
                <w:rFonts w:hint="eastAsia" w:ascii="宋体" w:hAnsi="宋体" w:eastAsia="宋体" w:cs="宋体"/>
                <w:color w:val="auto"/>
                <w:highlight w:val="none"/>
              </w:rPr>
            </w:pPr>
          </w:p>
        </w:tc>
        <w:tc>
          <w:tcPr>
            <w:tcW w:w="1022" w:type="dxa"/>
          </w:tcPr>
          <w:p>
            <w:pPr>
              <w:pStyle w:val="55"/>
              <w:rPr>
                <w:rFonts w:hint="eastAsia" w:ascii="宋体" w:hAnsi="宋体" w:eastAsia="宋体" w:cs="宋体"/>
                <w:color w:val="auto"/>
                <w:highlight w:val="none"/>
              </w:rPr>
            </w:pPr>
          </w:p>
        </w:tc>
        <w:tc>
          <w:tcPr>
            <w:tcW w:w="1232" w:type="dxa"/>
          </w:tcPr>
          <w:p>
            <w:pPr>
              <w:pStyle w:val="55"/>
              <w:rPr>
                <w:rFonts w:hint="eastAsia" w:ascii="宋体" w:hAnsi="宋体" w:eastAsia="宋体" w:cs="宋体"/>
                <w:color w:val="auto"/>
                <w:highlight w:val="none"/>
              </w:rPr>
            </w:pPr>
          </w:p>
        </w:tc>
        <w:tc>
          <w:tcPr>
            <w:tcW w:w="1229" w:type="dxa"/>
          </w:tcPr>
          <w:p>
            <w:pPr>
              <w:pStyle w:val="55"/>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1" w:type="dxa"/>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2" w:type="dxa"/>
          </w:tcPr>
          <w:p>
            <w:pPr>
              <w:pStyle w:val="55"/>
              <w:rPr>
                <w:rFonts w:hint="eastAsia" w:ascii="宋体" w:hAnsi="宋体" w:eastAsia="宋体" w:cs="宋体"/>
                <w:color w:val="auto"/>
                <w:highlight w:val="none"/>
              </w:rPr>
            </w:pPr>
          </w:p>
        </w:tc>
        <w:tc>
          <w:tcPr>
            <w:tcW w:w="1436" w:type="dxa"/>
          </w:tcPr>
          <w:p>
            <w:pPr>
              <w:pStyle w:val="55"/>
              <w:rPr>
                <w:rFonts w:hint="eastAsia" w:ascii="宋体" w:hAnsi="宋体" w:eastAsia="宋体" w:cs="宋体"/>
                <w:color w:val="auto"/>
                <w:highlight w:val="none"/>
              </w:rPr>
            </w:pPr>
          </w:p>
        </w:tc>
        <w:tc>
          <w:tcPr>
            <w:tcW w:w="1022" w:type="dxa"/>
          </w:tcPr>
          <w:p>
            <w:pPr>
              <w:pStyle w:val="55"/>
              <w:rPr>
                <w:rFonts w:hint="eastAsia" w:ascii="宋体" w:hAnsi="宋体" w:eastAsia="宋体" w:cs="宋体"/>
                <w:color w:val="auto"/>
                <w:highlight w:val="none"/>
              </w:rPr>
            </w:pPr>
          </w:p>
        </w:tc>
        <w:tc>
          <w:tcPr>
            <w:tcW w:w="1232" w:type="dxa"/>
          </w:tcPr>
          <w:p>
            <w:pPr>
              <w:pStyle w:val="55"/>
              <w:rPr>
                <w:rFonts w:hint="eastAsia" w:ascii="宋体" w:hAnsi="宋体" w:eastAsia="宋体" w:cs="宋体"/>
                <w:color w:val="auto"/>
                <w:highlight w:val="none"/>
              </w:rPr>
            </w:pPr>
          </w:p>
        </w:tc>
        <w:tc>
          <w:tcPr>
            <w:tcW w:w="1229" w:type="dxa"/>
          </w:tcPr>
          <w:p>
            <w:pPr>
              <w:pStyle w:val="55"/>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1" w:type="dxa"/>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2" w:type="dxa"/>
          </w:tcPr>
          <w:p>
            <w:pPr>
              <w:pStyle w:val="55"/>
              <w:rPr>
                <w:rFonts w:hint="eastAsia" w:ascii="宋体" w:hAnsi="宋体" w:eastAsia="宋体" w:cs="宋体"/>
                <w:color w:val="auto"/>
                <w:highlight w:val="none"/>
              </w:rPr>
            </w:pPr>
          </w:p>
        </w:tc>
        <w:tc>
          <w:tcPr>
            <w:tcW w:w="1436" w:type="dxa"/>
          </w:tcPr>
          <w:p>
            <w:pPr>
              <w:pStyle w:val="55"/>
              <w:rPr>
                <w:rFonts w:hint="eastAsia" w:ascii="宋体" w:hAnsi="宋体" w:eastAsia="宋体" w:cs="宋体"/>
                <w:color w:val="auto"/>
                <w:highlight w:val="none"/>
              </w:rPr>
            </w:pPr>
          </w:p>
        </w:tc>
        <w:tc>
          <w:tcPr>
            <w:tcW w:w="1022" w:type="dxa"/>
          </w:tcPr>
          <w:p>
            <w:pPr>
              <w:pStyle w:val="55"/>
              <w:rPr>
                <w:rFonts w:hint="eastAsia" w:ascii="宋体" w:hAnsi="宋体" w:eastAsia="宋体" w:cs="宋体"/>
                <w:color w:val="auto"/>
                <w:highlight w:val="none"/>
              </w:rPr>
            </w:pPr>
          </w:p>
        </w:tc>
        <w:tc>
          <w:tcPr>
            <w:tcW w:w="1232" w:type="dxa"/>
          </w:tcPr>
          <w:p>
            <w:pPr>
              <w:pStyle w:val="55"/>
              <w:rPr>
                <w:rFonts w:hint="eastAsia" w:ascii="宋体" w:hAnsi="宋体" w:eastAsia="宋体" w:cs="宋体"/>
                <w:color w:val="auto"/>
                <w:highlight w:val="none"/>
              </w:rPr>
            </w:pPr>
          </w:p>
        </w:tc>
        <w:tc>
          <w:tcPr>
            <w:tcW w:w="1229" w:type="dxa"/>
          </w:tcPr>
          <w:p>
            <w:pPr>
              <w:pStyle w:val="55"/>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1" w:type="dxa"/>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2" w:type="dxa"/>
          </w:tcPr>
          <w:p>
            <w:pPr>
              <w:pStyle w:val="55"/>
              <w:rPr>
                <w:rFonts w:hint="eastAsia" w:ascii="宋体" w:hAnsi="宋体" w:eastAsia="宋体" w:cs="宋体"/>
                <w:color w:val="auto"/>
                <w:highlight w:val="none"/>
              </w:rPr>
            </w:pPr>
          </w:p>
        </w:tc>
        <w:tc>
          <w:tcPr>
            <w:tcW w:w="1436" w:type="dxa"/>
          </w:tcPr>
          <w:p>
            <w:pPr>
              <w:pStyle w:val="55"/>
              <w:rPr>
                <w:rFonts w:hint="eastAsia" w:ascii="宋体" w:hAnsi="宋体" w:eastAsia="宋体" w:cs="宋体"/>
                <w:color w:val="auto"/>
                <w:highlight w:val="none"/>
              </w:rPr>
            </w:pPr>
          </w:p>
        </w:tc>
        <w:tc>
          <w:tcPr>
            <w:tcW w:w="1022" w:type="dxa"/>
          </w:tcPr>
          <w:p>
            <w:pPr>
              <w:pStyle w:val="55"/>
              <w:rPr>
                <w:rFonts w:hint="eastAsia" w:ascii="宋体" w:hAnsi="宋体" w:eastAsia="宋体" w:cs="宋体"/>
                <w:color w:val="auto"/>
                <w:highlight w:val="none"/>
              </w:rPr>
            </w:pPr>
          </w:p>
        </w:tc>
        <w:tc>
          <w:tcPr>
            <w:tcW w:w="1232" w:type="dxa"/>
          </w:tcPr>
          <w:p>
            <w:pPr>
              <w:pStyle w:val="55"/>
              <w:rPr>
                <w:rFonts w:hint="eastAsia" w:ascii="宋体" w:hAnsi="宋体" w:eastAsia="宋体" w:cs="宋体"/>
                <w:color w:val="auto"/>
                <w:highlight w:val="none"/>
              </w:rPr>
            </w:pPr>
          </w:p>
        </w:tc>
        <w:tc>
          <w:tcPr>
            <w:tcW w:w="1229" w:type="dxa"/>
          </w:tcPr>
          <w:p>
            <w:pPr>
              <w:pStyle w:val="55"/>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1" w:type="dxa"/>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2" w:type="dxa"/>
          </w:tcPr>
          <w:p>
            <w:pPr>
              <w:pStyle w:val="55"/>
              <w:rPr>
                <w:rFonts w:hint="eastAsia" w:ascii="宋体" w:hAnsi="宋体" w:eastAsia="宋体" w:cs="宋体"/>
                <w:color w:val="auto"/>
                <w:highlight w:val="none"/>
              </w:rPr>
            </w:pPr>
          </w:p>
        </w:tc>
        <w:tc>
          <w:tcPr>
            <w:tcW w:w="1436" w:type="dxa"/>
          </w:tcPr>
          <w:p>
            <w:pPr>
              <w:pStyle w:val="55"/>
              <w:rPr>
                <w:rFonts w:hint="eastAsia" w:ascii="宋体" w:hAnsi="宋体" w:eastAsia="宋体" w:cs="宋体"/>
                <w:color w:val="auto"/>
                <w:highlight w:val="none"/>
              </w:rPr>
            </w:pPr>
          </w:p>
        </w:tc>
        <w:tc>
          <w:tcPr>
            <w:tcW w:w="1022" w:type="dxa"/>
          </w:tcPr>
          <w:p>
            <w:pPr>
              <w:pStyle w:val="55"/>
              <w:rPr>
                <w:rFonts w:hint="eastAsia" w:ascii="宋体" w:hAnsi="宋体" w:eastAsia="宋体" w:cs="宋体"/>
                <w:color w:val="auto"/>
                <w:highlight w:val="none"/>
              </w:rPr>
            </w:pPr>
          </w:p>
        </w:tc>
        <w:tc>
          <w:tcPr>
            <w:tcW w:w="1232" w:type="dxa"/>
          </w:tcPr>
          <w:p>
            <w:pPr>
              <w:pStyle w:val="55"/>
              <w:rPr>
                <w:rFonts w:hint="eastAsia" w:ascii="宋体" w:hAnsi="宋体" w:eastAsia="宋体" w:cs="宋体"/>
                <w:color w:val="auto"/>
                <w:highlight w:val="none"/>
              </w:rPr>
            </w:pPr>
          </w:p>
        </w:tc>
        <w:tc>
          <w:tcPr>
            <w:tcW w:w="1229" w:type="dxa"/>
          </w:tcPr>
          <w:p>
            <w:pPr>
              <w:pStyle w:val="55"/>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1" w:type="dxa"/>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2" w:type="dxa"/>
          </w:tcPr>
          <w:p>
            <w:pPr>
              <w:pStyle w:val="55"/>
              <w:rPr>
                <w:rFonts w:hint="eastAsia" w:ascii="宋体" w:hAnsi="宋体" w:eastAsia="宋体" w:cs="宋体"/>
                <w:color w:val="auto"/>
                <w:highlight w:val="none"/>
              </w:rPr>
            </w:pPr>
          </w:p>
        </w:tc>
        <w:tc>
          <w:tcPr>
            <w:tcW w:w="1436" w:type="dxa"/>
          </w:tcPr>
          <w:p>
            <w:pPr>
              <w:pStyle w:val="55"/>
              <w:rPr>
                <w:rFonts w:hint="eastAsia" w:ascii="宋体" w:hAnsi="宋体" w:eastAsia="宋体" w:cs="宋体"/>
                <w:color w:val="auto"/>
                <w:highlight w:val="none"/>
              </w:rPr>
            </w:pPr>
          </w:p>
        </w:tc>
        <w:tc>
          <w:tcPr>
            <w:tcW w:w="1022" w:type="dxa"/>
          </w:tcPr>
          <w:p>
            <w:pPr>
              <w:pStyle w:val="55"/>
              <w:rPr>
                <w:rFonts w:hint="eastAsia" w:ascii="宋体" w:hAnsi="宋体" w:eastAsia="宋体" w:cs="宋体"/>
                <w:color w:val="auto"/>
                <w:highlight w:val="none"/>
              </w:rPr>
            </w:pPr>
          </w:p>
        </w:tc>
        <w:tc>
          <w:tcPr>
            <w:tcW w:w="1232" w:type="dxa"/>
          </w:tcPr>
          <w:p>
            <w:pPr>
              <w:pStyle w:val="55"/>
              <w:rPr>
                <w:rFonts w:hint="eastAsia" w:ascii="宋体" w:hAnsi="宋体" w:eastAsia="宋体" w:cs="宋体"/>
                <w:color w:val="auto"/>
                <w:highlight w:val="none"/>
              </w:rPr>
            </w:pPr>
          </w:p>
        </w:tc>
        <w:tc>
          <w:tcPr>
            <w:tcW w:w="1229" w:type="dxa"/>
          </w:tcPr>
          <w:p>
            <w:pPr>
              <w:pStyle w:val="55"/>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1" w:type="dxa"/>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2" w:type="dxa"/>
          </w:tcPr>
          <w:p>
            <w:pPr>
              <w:pStyle w:val="55"/>
              <w:rPr>
                <w:rFonts w:hint="eastAsia" w:ascii="宋体" w:hAnsi="宋体" w:eastAsia="宋体" w:cs="宋体"/>
                <w:color w:val="auto"/>
                <w:highlight w:val="none"/>
              </w:rPr>
            </w:pPr>
          </w:p>
        </w:tc>
        <w:tc>
          <w:tcPr>
            <w:tcW w:w="1436" w:type="dxa"/>
          </w:tcPr>
          <w:p>
            <w:pPr>
              <w:pStyle w:val="55"/>
              <w:rPr>
                <w:rFonts w:hint="eastAsia" w:ascii="宋体" w:hAnsi="宋体" w:eastAsia="宋体" w:cs="宋体"/>
                <w:color w:val="auto"/>
                <w:highlight w:val="none"/>
              </w:rPr>
            </w:pPr>
          </w:p>
        </w:tc>
        <w:tc>
          <w:tcPr>
            <w:tcW w:w="1022" w:type="dxa"/>
          </w:tcPr>
          <w:p>
            <w:pPr>
              <w:pStyle w:val="55"/>
              <w:rPr>
                <w:rFonts w:hint="eastAsia" w:ascii="宋体" w:hAnsi="宋体" w:eastAsia="宋体" w:cs="宋体"/>
                <w:color w:val="auto"/>
                <w:highlight w:val="none"/>
              </w:rPr>
            </w:pPr>
          </w:p>
        </w:tc>
        <w:tc>
          <w:tcPr>
            <w:tcW w:w="1232" w:type="dxa"/>
          </w:tcPr>
          <w:p>
            <w:pPr>
              <w:pStyle w:val="55"/>
              <w:rPr>
                <w:rFonts w:hint="eastAsia" w:ascii="宋体" w:hAnsi="宋体" w:eastAsia="宋体" w:cs="宋体"/>
                <w:color w:val="auto"/>
                <w:highlight w:val="none"/>
              </w:rPr>
            </w:pPr>
          </w:p>
        </w:tc>
        <w:tc>
          <w:tcPr>
            <w:tcW w:w="1229" w:type="dxa"/>
          </w:tcPr>
          <w:p>
            <w:pPr>
              <w:pStyle w:val="55"/>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1" w:type="dxa"/>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2" w:type="dxa"/>
          </w:tcPr>
          <w:p>
            <w:pPr>
              <w:pStyle w:val="55"/>
              <w:rPr>
                <w:rFonts w:hint="eastAsia" w:ascii="宋体" w:hAnsi="宋体" w:eastAsia="宋体" w:cs="宋体"/>
                <w:color w:val="auto"/>
                <w:highlight w:val="none"/>
              </w:rPr>
            </w:pPr>
          </w:p>
        </w:tc>
        <w:tc>
          <w:tcPr>
            <w:tcW w:w="1436" w:type="dxa"/>
          </w:tcPr>
          <w:p>
            <w:pPr>
              <w:pStyle w:val="55"/>
              <w:rPr>
                <w:rFonts w:hint="eastAsia" w:ascii="宋体" w:hAnsi="宋体" w:eastAsia="宋体" w:cs="宋体"/>
                <w:color w:val="auto"/>
                <w:highlight w:val="none"/>
              </w:rPr>
            </w:pPr>
          </w:p>
        </w:tc>
        <w:tc>
          <w:tcPr>
            <w:tcW w:w="1022" w:type="dxa"/>
          </w:tcPr>
          <w:p>
            <w:pPr>
              <w:pStyle w:val="55"/>
              <w:rPr>
                <w:rFonts w:hint="eastAsia" w:ascii="宋体" w:hAnsi="宋体" w:eastAsia="宋体" w:cs="宋体"/>
                <w:color w:val="auto"/>
                <w:highlight w:val="none"/>
              </w:rPr>
            </w:pPr>
          </w:p>
        </w:tc>
        <w:tc>
          <w:tcPr>
            <w:tcW w:w="1232" w:type="dxa"/>
          </w:tcPr>
          <w:p>
            <w:pPr>
              <w:pStyle w:val="55"/>
              <w:rPr>
                <w:rFonts w:hint="eastAsia" w:ascii="宋体" w:hAnsi="宋体" w:eastAsia="宋体" w:cs="宋体"/>
                <w:color w:val="auto"/>
                <w:highlight w:val="none"/>
              </w:rPr>
            </w:pPr>
          </w:p>
        </w:tc>
        <w:tc>
          <w:tcPr>
            <w:tcW w:w="1229" w:type="dxa"/>
          </w:tcPr>
          <w:p>
            <w:pPr>
              <w:pStyle w:val="55"/>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1" w:type="dxa"/>
          </w:tcPr>
          <w:p>
            <w:pPr>
              <w:pStyle w:val="55"/>
              <w:rPr>
                <w:rFonts w:hint="eastAsia" w:ascii="宋体" w:hAnsi="宋体" w:eastAsia="宋体" w:cs="宋体"/>
                <w:color w:val="auto"/>
                <w:highlight w:val="none"/>
              </w:rPr>
            </w:pPr>
          </w:p>
        </w:tc>
        <w:tc>
          <w:tcPr>
            <w:tcW w:w="923" w:type="dxa"/>
          </w:tcPr>
          <w:p>
            <w:pPr>
              <w:pStyle w:val="55"/>
              <w:rPr>
                <w:rFonts w:hint="eastAsia" w:ascii="宋体" w:hAnsi="宋体" w:eastAsia="宋体" w:cs="宋体"/>
                <w:color w:val="auto"/>
                <w:highlight w:val="none"/>
              </w:rPr>
            </w:pPr>
          </w:p>
        </w:tc>
        <w:tc>
          <w:tcPr>
            <w:tcW w:w="922" w:type="dxa"/>
          </w:tcPr>
          <w:p>
            <w:pPr>
              <w:pStyle w:val="55"/>
              <w:rPr>
                <w:rFonts w:hint="eastAsia" w:ascii="宋体" w:hAnsi="宋体" w:eastAsia="宋体" w:cs="宋体"/>
                <w:color w:val="auto"/>
                <w:highlight w:val="none"/>
              </w:rPr>
            </w:pPr>
          </w:p>
        </w:tc>
        <w:tc>
          <w:tcPr>
            <w:tcW w:w="1436" w:type="dxa"/>
          </w:tcPr>
          <w:p>
            <w:pPr>
              <w:pStyle w:val="55"/>
              <w:rPr>
                <w:rFonts w:hint="eastAsia" w:ascii="宋体" w:hAnsi="宋体" w:eastAsia="宋体" w:cs="宋体"/>
                <w:color w:val="auto"/>
                <w:highlight w:val="none"/>
              </w:rPr>
            </w:pPr>
          </w:p>
        </w:tc>
        <w:tc>
          <w:tcPr>
            <w:tcW w:w="1022" w:type="dxa"/>
          </w:tcPr>
          <w:p>
            <w:pPr>
              <w:pStyle w:val="55"/>
              <w:rPr>
                <w:rFonts w:hint="eastAsia" w:ascii="宋体" w:hAnsi="宋体" w:eastAsia="宋体" w:cs="宋体"/>
                <w:color w:val="auto"/>
                <w:highlight w:val="none"/>
              </w:rPr>
            </w:pPr>
          </w:p>
        </w:tc>
        <w:tc>
          <w:tcPr>
            <w:tcW w:w="1232" w:type="dxa"/>
          </w:tcPr>
          <w:p>
            <w:pPr>
              <w:pStyle w:val="55"/>
              <w:rPr>
                <w:rFonts w:hint="eastAsia" w:ascii="宋体" w:hAnsi="宋体" w:eastAsia="宋体" w:cs="宋体"/>
                <w:color w:val="auto"/>
                <w:highlight w:val="none"/>
              </w:rPr>
            </w:pPr>
          </w:p>
        </w:tc>
        <w:tc>
          <w:tcPr>
            <w:tcW w:w="1229" w:type="dxa"/>
          </w:tcPr>
          <w:p>
            <w:pPr>
              <w:pStyle w:val="55"/>
              <w:rPr>
                <w:rFonts w:hint="eastAsia" w:ascii="宋体" w:hAnsi="宋体" w:eastAsia="宋体" w:cs="宋体"/>
                <w:color w:val="auto"/>
                <w:highlight w:val="none"/>
              </w:rPr>
            </w:pPr>
          </w:p>
        </w:tc>
      </w:tr>
    </w:tbl>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注：①投标人根据自身实际情况填写，对不涉及的内容可填写“/”。②本表所列项目管理成员信息将作为主管部门监督管理是否属于串通投标的情形。</w:t>
      </w: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法定代表人/单位负责人或授权代表：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(签字或盖章)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30"/>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936"/>
    </w:p>
    <w:p>
      <w:pPr>
        <w:pStyle w:val="54"/>
        <w:numPr>
          <w:ilvl w:val="0"/>
          <w:numId w:val="19"/>
        </w:numPr>
        <w:spacing w:before="120" w:after="120"/>
        <w:ind w:firstLine="0"/>
        <w:rPr>
          <w:rFonts w:hint="eastAsia" w:ascii="宋体" w:hAnsi="宋体" w:eastAsia="宋体" w:cs="宋体"/>
          <w:color w:val="auto"/>
          <w:highlight w:val="none"/>
        </w:rPr>
      </w:pPr>
      <w:bookmarkStart w:id="937" w:name="_Toc22461"/>
      <w:bookmarkStart w:id="938" w:name="_Toc32188"/>
      <w:bookmarkStart w:id="939" w:name="_Toc18724"/>
      <w:bookmarkStart w:id="940" w:name="_Toc881"/>
      <w:r>
        <w:rPr>
          <w:rFonts w:hint="eastAsia" w:ascii="宋体" w:hAnsi="宋体" w:eastAsia="宋体" w:cs="宋体"/>
          <w:color w:val="auto"/>
          <w:highlight w:val="none"/>
        </w:rPr>
        <w:t>商品包装、快递包装承诺函</w:t>
      </w:r>
      <w:bookmarkEnd w:id="937"/>
    </w:p>
    <w:p>
      <w:pPr>
        <w:rPr>
          <w:rFonts w:hint="eastAsia" w:ascii="宋体" w:hAnsi="宋体" w:eastAsia="宋体" w:cs="宋体"/>
          <w:color w:val="auto"/>
          <w:highlight w:val="none"/>
        </w:rPr>
      </w:pPr>
      <w:r>
        <w:rPr>
          <w:rFonts w:hint="eastAsia" w:ascii="宋体" w:hAnsi="宋体" w:eastAsia="宋体" w:cs="宋体"/>
          <w:color w:val="auto"/>
          <w:highlight w:val="none"/>
        </w:rPr>
        <w:t>四川乾新招投标代理有限公司：</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我公司作为本次采购项目的投标人，根据招标文件要求，现郑重承诺如下：</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我方承诺，根据财政部等三部门联合印发商品包装和快递包装政府采购需求标准(试行)财库办〔2020〕123号文要求，若我方提供的货物、服务、工程涉及商品包装和快递包装的，将按照标准要求执行。</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本公司对上述承诺的内容事项真实性负责。如经查实上述承诺的内容事项存在虚假，我公司愿意接受以提供虚假材料谋取中标追究法律责任。</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注：《商品包装政府采购需求标准(试行)》、《快递包装政府采购需求标准(试行)》的标准详见中国政府采购网。</w:t>
      </w:r>
    </w:p>
    <w:p>
      <w:pPr>
        <w:rPr>
          <w:rFonts w:hint="eastAsia" w:ascii="宋体" w:hAnsi="宋体" w:eastAsia="宋体" w:cs="宋体"/>
          <w:color w:val="auto"/>
          <w:highlight w:val="none"/>
        </w:rPr>
      </w:pPr>
      <w:r>
        <w:rPr>
          <w:rFonts w:hint="eastAsia" w:ascii="宋体" w:hAnsi="宋体" w:eastAsia="宋体" w:cs="宋体"/>
          <w:color w:val="auto"/>
          <w:highlight w:val="none"/>
        </w:rPr>
        <w:t> </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法定代表人/单位负责人或授权代表：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(签字或盖章)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投标日期：</w:t>
      </w:r>
      <w:r>
        <w:rPr>
          <w:rFonts w:hint="eastAsia" w:ascii="宋体" w:hAnsi="宋体" w:eastAsia="宋体" w:cs="宋体"/>
          <w:color w:val="auto"/>
          <w:highlight w:val="none"/>
          <w:u w:val="single"/>
        </w:rPr>
        <w:t xml:space="preserve">                  </w:t>
      </w:r>
    </w:p>
    <w:p>
      <w:pPr>
        <w:pStyle w:val="54"/>
        <w:numPr>
          <w:ilvl w:val="0"/>
          <w:numId w:val="19"/>
        </w:numPr>
        <w:spacing w:before="120" w:after="120"/>
        <w:ind w:firstLine="0"/>
        <w:rPr>
          <w:rFonts w:hint="eastAsia" w:ascii="宋体" w:hAnsi="宋体" w:eastAsia="宋体" w:cs="宋体"/>
          <w:color w:val="auto"/>
          <w:highlight w:val="none"/>
        </w:rPr>
      </w:pPr>
      <w:bookmarkStart w:id="941" w:name="_Toc12523"/>
      <w:r>
        <w:rPr>
          <w:rFonts w:hint="eastAsia" w:ascii="宋体" w:hAnsi="宋体" w:eastAsia="宋体" w:cs="宋体"/>
          <w:color w:val="auto"/>
          <w:highlight w:val="none"/>
        </w:rPr>
        <w:t>招标代理服务费承诺函</w:t>
      </w:r>
      <w:bookmarkEnd w:id="938"/>
      <w:bookmarkEnd w:id="941"/>
    </w:p>
    <w:p>
      <w:pPr>
        <w:pStyle w:val="30"/>
        <w:rPr>
          <w:rFonts w:hint="eastAsia" w:ascii="宋体" w:hAnsi="宋体" w:eastAsia="宋体" w:cs="宋体"/>
          <w:color w:val="auto"/>
          <w:highlight w:val="none"/>
        </w:rPr>
      </w:pPr>
      <w:r>
        <w:rPr>
          <w:rFonts w:hint="eastAsia" w:ascii="宋体" w:hAnsi="宋体" w:eastAsia="宋体" w:cs="宋体"/>
          <w:color w:val="auto"/>
          <w:highlight w:val="none"/>
        </w:rPr>
        <w:t>四川乾新招投标代理有限公司：</w:t>
      </w:r>
    </w:p>
    <w:p>
      <w:pPr>
        <w:pStyle w:val="34"/>
        <w:rPr>
          <w:rFonts w:hint="eastAsia" w:ascii="宋体" w:hAnsi="宋体" w:eastAsia="宋体" w:cs="宋体"/>
          <w:b/>
          <w:bCs/>
          <w:color w:val="auto"/>
          <w:highlight w:val="none"/>
        </w:rPr>
      </w:pPr>
      <w:r>
        <w:rPr>
          <w:rFonts w:hint="eastAsia" w:ascii="宋体" w:hAnsi="宋体" w:eastAsia="宋体" w:cs="宋体"/>
          <w:color w:val="auto"/>
          <w:highlight w:val="none"/>
        </w:rPr>
        <w:t>我公司在贵公司代理的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)公开招标中若获中标，我们保证在收到中标通知后2个工作日内按</w:t>
      </w:r>
      <w:r>
        <w:rPr>
          <w:rFonts w:hint="eastAsia" w:ascii="宋体" w:hAnsi="宋体" w:eastAsia="宋体" w:cs="宋体"/>
          <w:color w:val="auto"/>
          <w:highlight w:val="none"/>
          <w:lang w:val="zh-CN"/>
        </w:rPr>
        <w:t>招标文件</w:t>
      </w:r>
      <w:r>
        <w:rPr>
          <w:rFonts w:hint="eastAsia" w:ascii="宋体" w:hAnsi="宋体" w:eastAsia="宋体" w:cs="宋体"/>
          <w:color w:val="auto"/>
          <w:highlight w:val="none"/>
        </w:rPr>
        <w:t>的规定，以支票、银行汇票、电汇、现金或经贵公司认可的一种方式，向贵公司即四川乾新招投标代理有限公司指定的银行账号，按照</w:t>
      </w:r>
      <w:r>
        <w:rPr>
          <w:rFonts w:hint="eastAsia" w:ascii="宋体" w:hAnsi="宋体" w:eastAsia="宋体" w:cs="宋体"/>
          <w:color w:val="auto"/>
          <w:highlight w:val="none"/>
          <w:lang w:val="zh-CN"/>
        </w:rPr>
        <w:t>招标文件中</w:t>
      </w:r>
      <w:r>
        <w:rPr>
          <w:rFonts w:hint="eastAsia" w:ascii="宋体" w:hAnsi="宋体" w:eastAsia="宋体" w:cs="宋体"/>
          <w:color w:val="auto"/>
          <w:highlight w:val="none"/>
        </w:rPr>
        <w:t>招标代理服务费收取标准一次性支付招标代理服务费。</w:t>
      </w:r>
      <w:r>
        <w:rPr>
          <w:rFonts w:hint="eastAsia" w:ascii="宋体" w:hAnsi="宋体" w:eastAsia="宋体" w:cs="宋体"/>
          <w:b/>
          <w:bCs/>
          <w:color w:val="auto"/>
          <w:highlight w:val="none"/>
        </w:rPr>
        <w:t>如因我公司自身原因造成取消中标资格或自愿放弃中标资格的，我司已交纳的招标代理服务费不予退还，由此造成的损失由我方自行承担。</w:t>
      </w: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p>
    <w:p>
      <w:pPr>
        <w:pStyle w:val="34"/>
        <w:rPr>
          <w:rFonts w:hint="eastAsia" w:ascii="宋体" w:hAnsi="宋体" w:eastAsia="宋体" w:cs="宋体"/>
          <w:color w:val="auto"/>
          <w:highlight w:val="none"/>
        </w:rPr>
      </w:pPr>
      <w:r>
        <w:rPr>
          <w:rFonts w:hint="eastAsia" w:ascii="宋体" w:hAnsi="宋体" w:eastAsia="宋体" w:cs="宋体"/>
          <w:color w:val="auto"/>
          <w:highlight w:val="none"/>
        </w:rPr>
        <w:t>特此承诺。</w:t>
      </w: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地  址：</w:t>
      </w:r>
      <w:r>
        <w:rPr>
          <w:rFonts w:hint="eastAsia" w:ascii="宋体" w:hAnsi="宋体" w:eastAsia="宋体" w:cs="宋体"/>
          <w:bCs/>
          <w:color w:val="auto"/>
          <w:highlight w:val="none"/>
          <w:u w:val="single"/>
        </w:rPr>
        <w:t xml:space="preserve">                </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电  话：</w:t>
      </w:r>
      <w:r>
        <w:rPr>
          <w:rFonts w:hint="eastAsia" w:ascii="宋体" w:hAnsi="宋体" w:eastAsia="宋体" w:cs="宋体"/>
          <w:bCs/>
          <w:color w:val="auto"/>
          <w:highlight w:val="none"/>
          <w:u w:val="single"/>
        </w:rPr>
        <w:t xml:space="preserve">                </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传  真：</w:t>
      </w:r>
      <w:r>
        <w:rPr>
          <w:rFonts w:hint="eastAsia" w:ascii="宋体" w:hAnsi="宋体" w:eastAsia="宋体" w:cs="宋体"/>
          <w:bCs/>
          <w:color w:val="auto"/>
          <w:highlight w:val="none"/>
          <w:u w:val="single"/>
        </w:rPr>
        <w:t xml:space="preserve">                </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邮  编：</w:t>
      </w:r>
      <w:r>
        <w:rPr>
          <w:rFonts w:hint="eastAsia" w:ascii="宋体" w:hAnsi="宋体" w:eastAsia="宋体" w:cs="宋体"/>
          <w:bCs/>
          <w:color w:val="auto"/>
          <w:highlight w:val="none"/>
          <w:u w:val="single"/>
        </w:rPr>
        <w:t xml:space="preserve">                </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法定代表人/单位负责人或授权代表：</w:t>
      </w: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rPr>
        <w:t>(签字或盖章)</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承诺日期：</w:t>
      </w:r>
      <w:r>
        <w:rPr>
          <w:rFonts w:hint="eastAsia" w:ascii="宋体" w:hAnsi="宋体" w:eastAsia="宋体" w:cs="宋体"/>
          <w:bCs/>
          <w:color w:val="auto"/>
          <w:highlight w:val="none"/>
          <w:u w:val="single"/>
        </w:rPr>
        <w:t xml:space="preserve">                </w:t>
      </w:r>
    </w:p>
    <w:p>
      <w:pPr>
        <w:pStyle w:val="3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939"/>
    <w:bookmarkEnd w:id="940"/>
    <w:p>
      <w:pPr>
        <w:pStyle w:val="29"/>
        <w:numPr>
          <w:ilvl w:val="0"/>
          <w:numId w:val="9"/>
        </w:numPr>
        <w:spacing w:before="120" w:after="120"/>
        <w:rPr>
          <w:rFonts w:hint="eastAsia" w:ascii="宋体" w:hAnsi="宋体" w:eastAsia="宋体" w:cs="宋体"/>
          <w:color w:val="auto"/>
          <w:w w:val="95"/>
          <w:highlight w:val="none"/>
        </w:rPr>
      </w:pPr>
      <w:bookmarkStart w:id="942" w:name="_Toc17786"/>
      <w:bookmarkStart w:id="943" w:name="_Toc23987"/>
      <w:bookmarkStart w:id="944" w:name="_Toc1941"/>
      <w:bookmarkStart w:id="945" w:name="_Toc8115"/>
      <w:bookmarkStart w:id="946" w:name="_Toc8502"/>
      <w:bookmarkStart w:id="947" w:name="_Toc10576"/>
      <w:bookmarkStart w:id="948" w:name="_Toc24042"/>
      <w:r>
        <w:rPr>
          <w:rFonts w:hint="eastAsia" w:ascii="宋体" w:hAnsi="宋体" w:eastAsia="宋体" w:cs="宋体"/>
          <w:color w:val="auto"/>
          <w:w w:val="95"/>
          <w:highlight w:val="none"/>
        </w:rPr>
        <w:t>投标人和投标产品的资格、资质性</w:t>
      </w:r>
      <w:bookmarkStart w:id="949" w:name="_Toc327196317"/>
      <w:bookmarkStart w:id="950" w:name="_Toc17884"/>
      <w:bookmarkStart w:id="951" w:name="_Toc307501136"/>
      <w:bookmarkStart w:id="952" w:name="_Toc319439931"/>
      <w:bookmarkStart w:id="953" w:name="_Toc21759"/>
      <w:bookmarkStart w:id="954" w:name="_Toc307564882"/>
      <w:r>
        <w:rPr>
          <w:rFonts w:hint="eastAsia" w:ascii="宋体" w:hAnsi="宋体" w:eastAsia="宋体" w:cs="宋体"/>
          <w:color w:val="auto"/>
          <w:w w:val="95"/>
          <w:highlight w:val="none"/>
        </w:rPr>
        <w:t>及其他类似效力要求</w:t>
      </w:r>
      <w:bookmarkEnd w:id="942"/>
      <w:bookmarkEnd w:id="943"/>
      <w:bookmarkEnd w:id="944"/>
      <w:bookmarkEnd w:id="945"/>
      <w:bookmarkEnd w:id="949"/>
      <w:bookmarkEnd w:id="950"/>
      <w:bookmarkEnd w:id="951"/>
      <w:bookmarkEnd w:id="952"/>
      <w:bookmarkEnd w:id="953"/>
      <w:bookmarkEnd w:id="954"/>
    </w:p>
    <w:p>
      <w:pPr>
        <w:pStyle w:val="31"/>
        <w:numPr>
          <w:ilvl w:val="1"/>
          <w:numId w:val="9"/>
        </w:numPr>
        <w:ind w:firstLine="482"/>
        <w:rPr>
          <w:rFonts w:hint="eastAsia" w:ascii="宋体" w:hAnsi="宋体" w:eastAsia="宋体" w:cs="宋体"/>
          <w:color w:val="auto"/>
          <w:highlight w:val="none"/>
          <w:lang w:val="zh-CN"/>
        </w:rPr>
      </w:pPr>
      <w:bookmarkStart w:id="955" w:name="_Toc30456"/>
      <w:bookmarkStart w:id="956" w:name="_Toc8021"/>
      <w:r>
        <w:rPr>
          <w:rFonts w:hint="eastAsia" w:ascii="宋体" w:hAnsi="宋体" w:eastAsia="宋体" w:cs="宋体"/>
          <w:color w:val="auto"/>
          <w:highlight w:val="none"/>
        </w:rPr>
        <w:t>投标人资格、资质性及其他类似效力要求</w:t>
      </w:r>
      <w:bookmarkEnd w:id="946"/>
      <w:bookmarkEnd w:id="947"/>
      <w:bookmarkEnd w:id="948"/>
      <w:bookmarkEnd w:id="955"/>
      <w:bookmarkEnd w:id="956"/>
    </w:p>
    <w:p>
      <w:pPr>
        <w:pStyle w:val="30"/>
        <w:spacing w:line="460" w:lineRule="exact"/>
        <w:ind w:firstLine="480" w:firstLineChars="200"/>
        <w:rPr>
          <w:rFonts w:hint="eastAsia" w:ascii="宋体" w:hAnsi="宋体" w:eastAsia="宋体" w:cs="宋体"/>
          <w:color w:val="auto"/>
          <w:highlight w:val="none"/>
          <w:lang w:val="zh-CN"/>
        </w:rPr>
      </w:pPr>
      <w:bookmarkStart w:id="957" w:name="_Toc5268"/>
      <w:bookmarkStart w:id="958" w:name="_Toc14656"/>
      <w:bookmarkStart w:id="959" w:name="_Toc18335"/>
      <w:bookmarkStart w:id="960" w:name="_Toc4824"/>
      <w:r>
        <w:rPr>
          <w:rFonts w:hint="eastAsia" w:ascii="宋体" w:hAnsi="宋体" w:eastAsia="宋体" w:cs="宋体"/>
          <w:color w:val="auto"/>
          <w:highlight w:val="none"/>
        </w:rPr>
        <w:t>(一)</w:t>
      </w:r>
      <w:r>
        <w:rPr>
          <w:rFonts w:hint="eastAsia" w:ascii="宋体" w:hAnsi="宋体" w:eastAsia="宋体" w:cs="宋体"/>
          <w:color w:val="auto"/>
          <w:highlight w:val="none"/>
          <w:lang w:val="zh-CN"/>
        </w:rPr>
        <w:t>符合《中华人民共和国政府采购法》第二十二条规定的条件：</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1.具有独立承担</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"http://www.lawtime.cn/info/minfa/mszeren/" \t "_blank"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民事责任</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的能力；</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2.具有良好的商业信誉和健全的财务会计制度；</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3.具有履行合同所必需的设备和专业技术能力；</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4.有依法缴纳税收和</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"http://www.lawtime.cn/info/laodong/shehuibaozhang/" \t "_blank"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社会保障</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资金的良好记录；</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5.参加政府采购活动前三年内，在经营活动中没有重大违法记录；</w:t>
      </w:r>
    </w:p>
    <w:p>
      <w:pPr>
        <w:pStyle w:val="3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6.法律、</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"http://www.lawtime.cn/info/sifakaoshi/xingzhengfa/" \t "_blank"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行政法</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规规定的其他条件；</w:t>
      </w:r>
    </w:p>
    <w:p>
      <w:pPr>
        <w:pStyle w:val="30"/>
        <w:ind w:firstLine="480" w:firstLineChars="200"/>
        <w:rPr>
          <w:rFonts w:hint="eastAsia" w:ascii="宋体" w:hAnsi="宋体" w:eastAsia="宋体" w:cs="宋体"/>
          <w:b/>
          <w:bCs/>
          <w:color w:val="auto"/>
          <w:highlight w:val="none"/>
        </w:rPr>
      </w:pPr>
      <w:r>
        <w:rPr>
          <w:rFonts w:hint="eastAsia" w:ascii="宋体" w:hAnsi="宋体" w:eastAsia="宋体" w:cs="宋体"/>
          <w:color w:val="auto"/>
          <w:highlight w:val="none"/>
        </w:rPr>
        <w:t>(二)</w:t>
      </w:r>
      <w:r>
        <w:rPr>
          <w:rFonts w:hint="eastAsia" w:ascii="宋体" w:hAnsi="宋体" w:eastAsia="宋体" w:cs="宋体"/>
          <w:color w:val="auto"/>
          <w:highlight w:val="none"/>
          <w:lang w:val="zh-CN"/>
        </w:rPr>
        <w:t>落实政府采购政策需满足的资格要求：本项目</w:t>
      </w:r>
      <w:r>
        <w:rPr>
          <w:rFonts w:hint="eastAsia" w:ascii="宋体" w:hAnsi="宋体" w:eastAsia="宋体" w:cs="宋体"/>
          <w:color w:val="auto"/>
          <w:highlight w:val="none"/>
        </w:rPr>
        <w:t>为</w:t>
      </w:r>
      <w:r>
        <w:rPr>
          <w:rFonts w:hint="eastAsia" w:ascii="宋体" w:hAnsi="宋体" w:eastAsia="宋体" w:cs="宋体"/>
          <w:color w:val="auto"/>
          <w:highlight w:val="none"/>
          <w:lang w:val="zh-CN"/>
        </w:rPr>
        <w:t>专门面向中小企业采购的项目，</w:t>
      </w:r>
      <w:r>
        <w:rPr>
          <w:rFonts w:hint="eastAsia" w:ascii="宋体" w:hAnsi="宋体" w:eastAsia="宋体" w:cs="宋体"/>
          <w:color w:val="auto"/>
          <w:highlight w:val="none"/>
        </w:rPr>
        <w:t>投标人</w:t>
      </w:r>
      <w:r>
        <w:rPr>
          <w:rFonts w:hint="eastAsia" w:cs="宋体"/>
          <w:color w:val="auto"/>
          <w:highlight w:val="none"/>
          <w:lang w:val="en-US" w:eastAsia="zh-CN"/>
        </w:rPr>
        <w:t>提供的全部货物</w:t>
      </w:r>
      <w:r>
        <w:rPr>
          <w:rFonts w:hint="eastAsia" w:ascii="宋体" w:hAnsi="宋体" w:eastAsia="宋体" w:cs="宋体"/>
          <w:color w:val="auto"/>
          <w:highlight w:val="none"/>
          <w:lang w:val="zh-CN"/>
        </w:rPr>
        <w:t>应</w:t>
      </w:r>
      <w:r>
        <w:rPr>
          <w:rFonts w:hint="eastAsia" w:cs="宋体"/>
          <w:color w:val="auto"/>
          <w:highlight w:val="none"/>
          <w:lang w:val="en-US" w:eastAsia="zh-CN"/>
        </w:rPr>
        <w:t>由</w:t>
      </w:r>
      <w:r>
        <w:rPr>
          <w:rFonts w:hint="eastAsia" w:ascii="宋体" w:hAnsi="宋体" w:eastAsia="宋体" w:cs="宋体"/>
          <w:color w:val="auto"/>
          <w:highlight w:val="none"/>
          <w:lang w:val="zh-CN"/>
        </w:rPr>
        <w:t>中、小、微</w:t>
      </w:r>
      <w:r>
        <w:rPr>
          <w:rFonts w:hint="eastAsia" w:ascii="宋体" w:hAnsi="宋体" w:eastAsia="宋体" w:cs="宋体"/>
          <w:color w:val="auto"/>
          <w:highlight w:val="none"/>
        </w:rPr>
        <w:t>型</w:t>
      </w:r>
      <w:r>
        <w:rPr>
          <w:rFonts w:hint="eastAsia" w:ascii="宋体" w:hAnsi="宋体" w:eastAsia="宋体" w:cs="宋体"/>
          <w:color w:val="auto"/>
          <w:highlight w:val="none"/>
          <w:lang w:val="zh-CN"/>
        </w:rPr>
        <w:t>企业</w:t>
      </w:r>
      <w:r>
        <w:rPr>
          <w:rFonts w:hint="eastAsia" w:cs="宋体"/>
          <w:color w:val="auto"/>
          <w:highlight w:val="none"/>
          <w:lang w:val="en-US" w:eastAsia="zh-CN"/>
        </w:rPr>
        <w:t>制造</w:t>
      </w:r>
      <w:r>
        <w:rPr>
          <w:rFonts w:hint="eastAsia" w:ascii="宋体" w:hAnsi="宋体" w:eastAsia="宋体" w:cs="宋体"/>
          <w:color w:val="auto"/>
          <w:highlight w:val="none"/>
          <w:lang w:val="zh-CN"/>
        </w:rPr>
        <w:t>(监狱企业、残疾人福利性单位视同小微企业，</w:t>
      </w:r>
      <w:r>
        <w:rPr>
          <w:rFonts w:hint="eastAsia" w:ascii="宋体" w:hAnsi="宋体" w:eastAsia="宋体" w:cs="宋体"/>
          <w:color w:val="auto"/>
          <w:highlight w:val="none"/>
        </w:rPr>
        <w:t>符合中小企业划分标准的个体工商户视同中小企业</w:t>
      </w:r>
      <w:r>
        <w:rPr>
          <w:rFonts w:hint="eastAsia" w:ascii="宋体" w:hAnsi="宋体" w:eastAsia="宋体" w:cs="宋体"/>
          <w:color w:val="auto"/>
          <w:highlight w:val="none"/>
          <w:lang w:val="zh-CN"/>
        </w:rPr>
        <w:t>)。</w:t>
      </w:r>
    </w:p>
    <w:p>
      <w:pPr>
        <w:pStyle w:val="30"/>
        <w:spacing w:line="460" w:lineRule="exact"/>
        <w:ind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rPr>
        <w:t>(三)</w:t>
      </w:r>
      <w:r>
        <w:rPr>
          <w:rFonts w:hint="eastAsia" w:ascii="宋体" w:hAnsi="宋体" w:eastAsia="宋体" w:cs="宋体"/>
          <w:color w:val="auto"/>
          <w:highlight w:val="none"/>
          <w:lang w:val="zh-CN"/>
        </w:rPr>
        <w:t>本项目的特定资格要求：</w:t>
      </w:r>
      <w:r>
        <w:rPr>
          <w:rFonts w:hint="eastAsia" w:ascii="宋体" w:hAnsi="宋体" w:eastAsia="宋体" w:cs="宋体"/>
          <w:color w:val="auto"/>
          <w:highlight w:val="none"/>
        </w:rPr>
        <w:t>本项目不接受联合体投标。</w:t>
      </w:r>
    </w:p>
    <w:p>
      <w:pPr>
        <w:pStyle w:val="31"/>
        <w:numPr>
          <w:ilvl w:val="1"/>
          <w:numId w:val="9"/>
        </w:numPr>
        <w:ind w:firstLine="482"/>
        <w:rPr>
          <w:rFonts w:hint="eastAsia" w:ascii="宋体" w:hAnsi="宋体" w:eastAsia="宋体" w:cs="宋体"/>
          <w:color w:val="auto"/>
          <w:highlight w:val="none"/>
        </w:rPr>
      </w:pPr>
      <w:bookmarkStart w:id="961" w:name="_Toc19375"/>
      <w:r>
        <w:rPr>
          <w:rFonts w:hint="eastAsia" w:ascii="宋体" w:hAnsi="宋体" w:eastAsia="宋体" w:cs="宋体"/>
          <w:color w:val="auto"/>
          <w:highlight w:val="none"/>
        </w:rPr>
        <w:t>投标产品的资格、资质性及其他类似效力要求</w:t>
      </w:r>
      <w:bookmarkEnd w:id="957"/>
      <w:bookmarkEnd w:id="958"/>
      <w:bookmarkEnd w:id="959"/>
      <w:bookmarkEnd w:id="960"/>
      <w:bookmarkEnd w:id="961"/>
    </w:p>
    <w:p>
      <w:pPr>
        <w:pStyle w:val="34"/>
        <w:rPr>
          <w:rFonts w:hint="eastAsia" w:ascii="宋体" w:hAnsi="宋体" w:eastAsia="宋体" w:cs="宋体"/>
          <w:color w:val="auto"/>
          <w:highlight w:val="none"/>
        </w:rPr>
      </w:pPr>
      <w:r>
        <w:rPr>
          <w:rFonts w:hint="eastAsia" w:ascii="宋体" w:hAnsi="宋体" w:eastAsia="宋体" w:cs="宋体"/>
          <w:color w:val="auto"/>
          <w:highlight w:val="none"/>
        </w:rPr>
        <w:t>无。</w:t>
      </w:r>
    </w:p>
    <w:p>
      <w:pPr>
        <w:pStyle w:val="31"/>
        <w:numPr>
          <w:ilvl w:val="1"/>
          <w:numId w:val="9"/>
        </w:numPr>
        <w:ind w:firstLine="482"/>
        <w:rPr>
          <w:rFonts w:hint="eastAsia" w:ascii="宋体" w:hAnsi="宋体" w:eastAsia="宋体" w:cs="宋体"/>
          <w:color w:val="auto"/>
          <w:highlight w:val="none"/>
        </w:rPr>
      </w:pPr>
      <w:bookmarkStart w:id="962" w:name="_Toc3740"/>
      <w:bookmarkStart w:id="963" w:name="_Toc22349"/>
      <w:r>
        <w:rPr>
          <w:rFonts w:hint="eastAsia" w:ascii="宋体" w:hAnsi="宋体" w:eastAsia="宋体" w:cs="宋体"/>
          <w:color w:val="auto"/>
          <w:highlight w:val="none"/>
        </w:rPr>
        <w:t>其他类似效力要求</w:t>
      </w:r>
      <w:bookmarkEnd w:id="962"/>
      <w:bookmarkEnd w:id="963"/>
    </w:p>
    <w:p>
      <w:pPr>
        <w:pStyle w:val="44"/>
        <w:numPr>
          <w:ilvl w:val="1"/>
          <w:numId w:val="22"/>
        </w:numPr>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投标供应商单位及其现任法定代表人、主要负责人不得具有行贿犯罪记录；</w:t>
      </w:r>
    </w:p>
    <w:p>
      <w:pPr>
        <w:pStyle w:val="44"/>
        <w:numPr>
          <w:ilvl w:val="1"/>
          <w:numId w:val="22"/>
        </w:numPr>
        <w:ind w:firstLine="480"/>
        <w:rPr>
          <w:rFonts w:hint="eastAsia" w:ascii="宋体" w:hAnsi="宋体" w:eastAsia="宋体" w:cs="宋体"/>
          <w:color w:val="auto"/>
          <w:highlight w:val="none"/>
        </w:rPr>
      </w:pPr>
      <w:r>
        <w:rPr>
          <w:rFonts w:hint="eastAsia" w:ascii="宋体" w:hAnsi="宋体" w:eastAsia="宋体" w:cs="宋体"/>
          <w:color w:val="auto"/>
          <w:highlight w:val="none"/>
          <w:lang w:val="zh-CN"/>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pStyle w:val="44"/>
        <w:numPr>
          <w:ilvl w:val="1"/>
          <w:numId w:val="22"/>
        </w:numPr>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投标人代表不是法定代表人</w:t>
      </w:r>
      <w:r>
        <w:rPr>
          <w:rFonts w:hint="eastAsia" w:ascii="宋体" w:hAnsi="宋体" w:eastAsia="宋体" w:cs="宋体"/>
          <w:color w:val="auto"/>
          <w:highlight w:val="none"/>
        </w:rPr>
        <w:t>/单位负责人</w:t>
      </w:r>
      <w:r>
        <w:rPr>
          <w:rFonts w:hint="eastAsia" w:ascii="宋体" w:hAnsi="宋体" w:eastAsia="宋体" w:cs="宋体"/>
          <w:color w:val="auto"/>
          <w:highlight w:val="none"/>
          <w:lang w:val="zh-CN"/>
        </w:rPr>
        <w:t>时提供针对本次投标的法定代表人</w:t>
      </w:r>
      <w:r>
        <w:rPr>
          <w:rFonts w:hint="eastAsia" w:ascii="宋体" w:hAnsi="宋体" w:eastAsia="宋体" w:cs="宋体"/>
          <w:color w:val="auto"/>
          <w:highlight w:val="none"/>
        </w:rPr>
        <w:t>/单位负责人</w:t>
      </w:r>
      <w:r>
        <w:rPr>
          <w:rFonts w:hint="eastAsia" w:ascii="宋体" w:hAnsi="宋体" w:eastAsia="宋体" w:cs="宋体"/>
          <w:color w:val="auto"/>
          <w:highlight w:val="none"/>
          <w:lang w:val="zh-CN"/>
        </w:rPr>
        <w:t>授权书原件；</w:t>
      </w:r>
    </w:p>
    <w:p>
      <w:pPr>
        <w:pStyle w:val="44"/>
        <w:numPr>
          <w:ilvl w:val="1"/>
          <w:numId w:val="22"/>
        </w:numPr>
        <w:ind w:firstLine="480"/>
        <w:rPr>
          <w:rFonts w:hint="eastAsia" w:ascii="宋体" w:hAnsi="宋体" w:eastAsia="宋体" w:cs="宋体"/>
          <w:color w:val="auto"/>
          <w:highlight w:val="none"/>
          <w:lang w:val="zh-CN"/>
        </w:rPr>
      </w:pPr>
      <w:r>
        <w:rPr>
          <w:rFonts w:hint="eastAsia" w:ascii="宋体" w:hAnsi="宋体" w:eastAsia="宋体" w:cs="宋体"/>
          <w:color w:val="auto"/>
          <w:highlight w:val="none"/>
        </w:rPr>
        <w:t>投标人代表是法定</w:t>
      </w:r>
      <w:r>
        <w:rPr>
          <w:rFonts w:hint="eastAsia" w:ascii="宋体" w:hAnsi="宋体" w:eastAsia="宋体" w:cs="宋体"/>
          <w:color w:val="auto"/>
          <w:highlight w:val="none"/>
          <w:lang w:val="zh-CN"/>
        </w:rPr>
        <w:t>代表人</w:t>
      </w:r>
      <w:r>
        <w:rPr>
          <w:rFonts w:hint="eastAsia" w:ascii="宋体" w:hAnsi="宋体" w:eastAsia="宋体" w:cs="宋体"/>
          <w:color w:val="auto"/>
          <w:highlight w:val="none"/>
        </w:rPr>
        <w:t>/单位负责人</w:t>
      </w:r>
      <w:r>
        <w:rPr>
          <w:rFonts w:hint="eastAsia" w:ascii="宋体" w:hAnsi="宋体" w:eastAsia="宋体" w:cs="宋体"/>
          <w:color w:val="auto"/>
          <w:highlight w:val="none"/>
          <w:lang w:val="zh-CN"/>
        </w:rPr>
        <w:t>时，</w:t>
      </w:r>
      <w:r>
        <w:rPr>
          <w:rFonts w:hint="eastAsia" w:ascii="宋体" w:hAnsi="宋体" w:eastAsia="宋体" w:cs="宋体"/>
          <w:color w:val="auto"/>
          <w:highlight w:val="none"/>
        </w:rPr>
        <w:t>提供法定代表人/单位负责人证明书原件。</w:t>
      </w:r>
    </w:p>
    <w:p>
      <w:pPr>
        <w:pStyle w:val="34"/>
        <w:ind w:firstLine="482"/>
        <w:rPr>
          <w:rFonts w:hint="eastAsia" w:ascii="宋体" w:hAnsi="宋体" w:eastAsia="宋体" w:cs="宋体"/>
          <w:b/>
          <w:bCs/>
          <w:color w:val="auto"/>
          <w:highlight w:val="none"/>
        </w:rPr>
      </w:pPr>
      <w:bookmarkStart w:id="964" w:name="_Toc24888"/>
      <w:r>
        <w:rPr>
          <w:rFonts w:hint="eastAsia" w:ascii="宋体" w:hAnsi="宋体" w:eastAsia="宋体" w:cs="宋体"/>
          <w:b/>
          <w:bCs/>
          <w:color w:val="auto"/>
          <w:highlight w:val="none"/>
        </w:rPr>
        <w:t>注：本项目供应商具有的良好商业信誉是指：至</w:t>
      </w:r>
      <w:r>
        <w:rPr>
          <w:rFonts w:hint="eastAsia" w:cs="宋体"/>
          <w:b/>
          <w:bCs/>
          <w:color w:val="auto"/>
          <w:highlight w:val="none"/>
          <w:lang w:val="en-US" w:eastAsia="zh-CN"/>
        </w:rPr>
        <w:t>投标</w:t>
      </w:r>
      <w:r>
        <w:rPr>
          <w:rFonts w:hint="eastAsia" w:ascii="宋体" w:hAnsi="宋体" w:eastAsia="宋体" w:cs="宋体"/>
          <w:b/>
          <w:bCs/>
          <w:color w:val="auto"/>
          <w:highlight w:val="none"/>
        </w:rPr>
        <w:t>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w:t>
      </w:r>
      <w:r>
        <w:rPr>
          <w:rFonts w:hint="eastAsia" w:cs="宋体"/>
          <w:b/>
          <w:bCs/>
          <w:color w:val="auto"/>
          <w:highlight w:val="none"/>
          <w:lang w:val="en-US" w:eastAsia="zh-CN"/>
        </w:rPr>
        <w:t>投标人</w:t>
      </w:r>
      <w:r>
        <w:rPr>
          <w:rFonts w:hint="eastAsia" w:ascii="宋体" w:hAnsi="宋体" w:eastAsia="宋体" w:cs="宋体"/>
          <w:b/>
          <w:bCs/>
          <w:color w:val="auto"/>
          <w:highlight w:val="none"/>
        </w:rPr>
        <w:t>需提供相关证明资料。</w:t>
      </w:r>
    </w:p>
    <w:p>
      <w:pPr>
        <w:pStyle w:val="34"/>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重大违法记录中的较大数额罚款的具体金额标准及范围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pStyle w:val="29"/>
        <w:numPr>
          <w:ilvl w:val="0"/>
          <w:numId w:val="9"/>
        </w:numPr>
        <w:spacing w:before="120" w:after="120"/>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964"/>
      <w:bookmarkStart w:id="965" w:name="_Toc18196"/>
      <w:bookmarkStart w:id="966" w:name="_Toc2851"/>
      <w:bookmarkStart w:id="967" w:name="_Toc22998"/>
      <w:r>
        <w:rPr>
          <w:rFonts w:hint="eastAsia" w:ascii="宋体" w:hAnsi="宋体" w:eastAsia="宋体" w:cs="宋体"/>
          <w:color w:val="auto"/>
          <w:highlight w:val="none"/>
        </w:rPr>
        <w:t>资格性审查</w:t>
      </w:r>
      <w:bookmarkEnd w:id="965"/>
      <w:r>
        <w:rPr>
          <w:rFonts w:hint="eastAsia" w:ascii="宋体" w:hAnsi="宋体" w:eastAsia="宋体" w:cs="宋体"/>
          <w:color w:val="auto"/>
          <w:highlight w:val="none"/>
        </w:rPr>
        <w:t>内容</w:t>
      </w:r>
      <w:bookmarkEnd w:id="966"/>
      <w:bookmarkEnd w:id="967"/>
    </w:p>
    <w:p>
      <w:pPr>
        <w:pStyle w:val="31"/>
        <w:numPr>
          <w:ilvl w:val="1"/>
          <w:numId w:val="9"/>
        </w:numPr>
        <w:ind w:firstLine="482"/>
        <w:rPr>
          <w:rFonts w:hint="eastAsia" w:ascii="宋体" w:hAnsi="宋体" w:eastAsia="宋体" w:cs="宋体"/>
          <w:color w:val="auto"/>
          <w:highlight w:val="none"/>
        </w:rPr>
      </w:pPr>
      <w:bookmarkStart w:id="968" w:name="_Toc17621"/>
      <w:bookmarkStart w:id="969" w:name="_Toc30344"/>
      <w:bookmarkStart w:id="970" w:name="_Toc17175"/>
      <w:bookmarkStart w:id="971" w:name="_Toc4478"/>
      <w:bookmarkStart w:id="972" w:name="_Toc3107"/>
      <w:bookmarkStart w:id="973" w:name="_Toc28265"/>
      <w:bookmarkStart w:id="974" w:name="_Toc141"/>
      <w:bookmarkStart w:id="975" w:name="_Toc10631"/>
      <w:bookmarkStart w:id="976" w:name="_Toc20678"/>
      <w:bookmarkStart w:id="977" w:name="_Toc32482"/>
      <w:r>
        <w:rPr>
          <w:rFonts w:hint="eastAsia" w:ascii="宋体" w:hAnsi="宋体" w:eastAsia="宋体" w:cs="宋体"/>
          <w:color w:val="auto"/>
          <w:highlight w:val="none"/>
        </w:rPr>
        <w:t>应当提供的投标人及投标产品资格、资质性及其他类似效力要求的相关证明材料</w:t>
      </w:r>
      <w:bookmarkEnd w:id="968"/>
      <w:bookmarkEnd w:id="969"/>
      <w:bookmarkEnd w:id="970"/>
      <w:bookmarkEnd w:id="971"/>
      <w:bookmarkEnd w:id="972"/>
      <w:bookmarkEnd w:id="973"/>
    </w:p>
    <w:p>
      <w:pPr>
        <w:pStyle w:val="44"/>
        <w:numPr>
          <w:ilvl w:val="1"/>
          <w:numId w:val="23"/>
        </w:numPr>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投标人具有独立承担民事责任的能力的证明材料；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1.投标人若为企业法人：提供“营业执照”；未换证的提供“营业执照、税务登记证、组织机构代码证”；2.若为事业法人：提供“统一社会信用代码法人登记证书”；未换证的提交“事业法人登记证书、组织机构代码证”；3.若为其他组织：提供“对应主管部门颁发的准许执业证明文件或营业执照”；4.若为自然人：提供“身份证明材料”。</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注：1.以上证明材料应满足此条要求①发证机关有年检要求的，应按规定通过年检；②在有效期内；③复印件加盖投标人公章；</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3.根据国务院办公厅关于加快推进“多证合一”改革的指导意见(国办发〔2017〕41号)等政策要求，若资格要求涉及的登记、备案等有关事项和各类证照已实行多证合一提供多证合一证照复印件。</w:t>
      </w:r>
    </w:p>
    <w:p>
      <w:pPr>
        <w:pStyle w:val="44"/>
        <w:numPr>
          <w:ilvl w:val="1"/>
          <w:numId w:val="23"/>
        </w:numPr>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投标人具有良好的商业信誉和健全的财务会计制度的证明材料；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1.投标人具有良好商业信誉的证明材料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提供具有良好的商业信誉的承诺函。</w:t>
      </w:r>
    </w:p>
    <w:p>
      <w:pPr>
        <w:pStyle w:val="34"/>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注：本项目要求供应商具有的良好商业信誉是指：至</w:t>
      </w:r>
      <w:r>
        <w:rPr>
          <w:rFonts w:hint="eastAsia" w:cs="宋体"/>
          <w:b/>
          <w:bCs/>
          <w:color w:val="auto"/>
          <w:highlight w:val="none"/>
          <w:lang w:val="en-US" w:eastAsia="zh-CN"/>
        </w:rPr>
        <w:t>投标</w:t>
      </w:r>
      <w:r>
        <w:rPr>
          <w:rFonts w:hint="eastAsia" w:ascii="宋体" w:hAnsi="宋体" w:eastAsia="宋体" w:cs="宋体"/>
          <w:b/>
          <w:bCs/>
          <w:color w:val="auto"/>
          <w:highlight w:val="none"/>
        </w:rPr>
        <w:t>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w:t>
      </w:r>
      <w:r>
        <w:rPr>
          <w:rFonts w:hint="eastAsia" w:cs="宋体"/>
          <w:b/>
          <w:bCs/>
          <w:color w:val="auto"/>
          <w:highlight w:val="none"/>
          <w:lang w:val="en-US" w:eastAsia="zh-CN"/>
        </w:rPr>
        <w:t>投标人</w:t>
      </w:r>
      <w:r>
        <w:rPr>
          <w:rFonts w:hint="eastAsia" w:ascii="宋体" w:hAnsi="宋体" w:eastAsia="宋体" w:cs="宋体"/>
          <w:b/>
          <w:bCs/>
          <w:color w:val="auto"/>
          <w:highlight w:val="none"/>
        </w:rPr>
        <w:t>需提供相关证明资料。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2.投标人具有健全的财务会计制度的证明材料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(1)投标人提供2020年度经过会计师事务所审计的财务报告复印件(经审计的有效财务报告应包括报告及报告中所附的完整内容，并由注册会计师签名、盖章以及会计师事务所盖章)；</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(2)投标人提供2020年度投标人内部的财务报表复印件(至少包含资产负债表)；</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(3)投标人提供投标文件递交截止日前一年内银行为其出具的资信证明复印件；</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(4)投标人注册时间截至投标文件递交截止日不足一年的，可提供公司章程复印件；</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(5)提供具有健全的财务会计制度的承诺函。</w:t>
      </w:r>
    </w:p>
    <w:p>
      <w:pPr>
        <w:pStyle w:val="56"/>
        <w:ind w:firstLine="482"/>
        <w:rPr>
          <w:rFonts w:hint="eastAsia" w:ascii="宋体" w:hAnsi="宋体" w:eastAsia="宋体" w:cs="宋体"/>
          <w:color w:val="auto"/>
          <w:highlight w:val="none"/>
        </w:rPr>
      </w:pPr>
      <w:r>
        <w:rPr>
          <w:rFonts w:hint="eastAsia" w:ascii="宋体" w:hAnsi="宋体" w:eastAsia="宋体" w:cs="宋体"/>
          <w:bCs/>
          <w:color w:val="auto"/>
          <w:highlight w:val="none"/>
        </w:rPr>
        <w:t>注：具有健全的财务会计制度的证明材料中第(1)-(5)项具有同等的投标效力，投标人可根据自身实际情况选择提供其中任意一项。</w:t>
      </w:r>
    </w:p>
    <w:p>
      <w:pPr>
        <w:pStyle w:val="44"/>
        <w:numPr>
          <w:ilvl w:val="1"/>
          <w:numId w:val="23"/>
        </w:numPr>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投标人具有履行合同所必需的设备和专业技术能力证明材料；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提供具有履行合同所必需的设备和专业技术能力的承诺函。</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注：格式自拟，或参照《符合&lt;中华人民共和国政府采购法&gt;第二十二条规定的条件的承诺及声明函》的格式提供承诺函。</w:t>
      </w:r>
    </w:p>
    <w:p>
      <w:pPr>
        <w:pStyle w:val="44"/>
        <w:numPr>
          <w:ilvl w:val="1"/>
          <w:numId w:val="23"/>
        </w:numPr>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投标人具有依法缴纳税收和社会保障资金的良好记录的证明材料；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提供具有</w:t>
      </w:r>
      <w:r>
        <w:rPr>
          <w:rFonts w:hint="eastAsia" w:ascii="宋体" w:hAnsi="宋体" w:eastAsia="宋体" w:cs="宋体"/>
          <w:color w:val="auto"/>
          <w:highlight w:val="none"/>
          <w:lang w:val="zh-CN"/>
        </w:rPr>
        <w:t>依法缴纳税收和社会保障资金的良好记录</w:t>
      </w:r>
      <w:r>
        <w:rPr>
          <w:rFonts w:hint="eastAsia" w:ascii="宋体" w:hAnsi="宋体" w:eastAsia="宋体" w:cs="宋体"/>
          <w:color w:val="auto"/>
          <w:highlight w:val="none"/>
        </w:rPr>
        <w:t>的承诺函。</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注：格式自拟，或参照《符合&lt;中华人民共和国政府采购法&gt;第二十二条规定的条件的承诺及声明函》的格式提供承诺函。</w:t>
      </w:r>
    </w:p>
    <w:p>
      <w:pPr>
        <w:pStyle w:val="44"/>
        <w:numPr>
          <w:ilvl w:val="1"/>
          <w:numId w:val="23"/>
        </w:numPr>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投标人参加政府采购活动前三年内，在经营活动中没有重大违法记录的证明材料；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提供参加本次政府采购活动前三年内，在经营活动中没有重大违法记录的书面声明(成立不足三年的，从成立之日起计算)。</w:t>
      </w:r>
    </w:p>
    <w:p>
      <w:pPr>
        <w:pStyle w:val="44"/>
        <w:numPr>
          <w:ilvl w:val="1"/>
          <w:numId w:val="23"/>
        </w:numPr>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投标人</w:t>
      </w:r>
      <w:r>
        <w:rPr>
          <w:rFonts w:hint="eastAsia" w:ascii="宋体" w:hAnsi="宋体" w:eastAsia="宋体" w:cs="宋体"/>
          <w:b/>
          <w:bCs/>
          <w:color w:val="auto"/>
          <w:highlight w:val="none"/>
          <w:lang w:val="zh-CN"/>
        </w:rPr>
        <w:t>及其现任法定代表人、主要负责人不得具有行贿犯罪记录</w:t>
      </w:r>
      <w:r>
        <w:rPr>
          <w:rFonts w:hint="eastAsia" w:ascii="宋体" w:hAnsi="宋体" w:eastAsia="宋体" w:cs="宋体"/>
          <w:b/>
          <w:bCs/>
          <w:color w:val="auto"/>
          <w:highlight w:val="none"/>
        </w:rPr>
        <w:t>的证明材料</w:t>
      </w:r>
      <w:r>
        <w:rPr>
          <w:rFonts w:hint="eastAsia" w:ascii="宋体" w:hAnsi="宋体" w:eastAsia="宋体" w:cs="宋体"/>
          <w:b/>
          <w:bCs/>
          <w:color w:val="auto"/>
          <w:highlight w:val="none"/>
          <w:lang w:val="zh-CN"/>
        </w:rPr>
        <w:t>；</w:t>
      </w:r>
    </w:p>
    <w:p>
      <w:pPr>
        <w:pStyle w:val="56"/>
        <w:jc w:val="both"/>
        <w:rPr>
          <w:rFonts w:hint="eastAsia" w:ascii="宋体" w:hAnsi="宋体" w:eastAsia="宋体" w:cs="宋体"/>
          <w:b w:val="0"/>
          <w:bCs/>
          <w:color w:val="auto"/>
          <w:highlight w:val="none"/>
        </w:rPr>
      </w:pPr>
      <w:r>
        <w:rPr>
          <w:rFonts w:hint="eastAsia" w:ascii="宋体" w:hAnsi="宋体" w:eastAsia="宋体" w:cs="宋体"/>
          <w:b w:val="0"/>
          <w:bCs/>
          <w:color w:val="auto"/>
          <w:highlight w:val="none"/>
        </w:rPr>
        <w:t>1.在投标文件中作出投标人及其现任法定代表人(姓名和身份证号码)、主要负责人(姓名和身份证号码)10年内(</w:t>
      </w:r>
      <w:r>
        <w:rPr>
          <w:rFonts w:hint="eastAsia" w:ascii="宋体" w:hAnsi="宋体" w:eastAsia="宋体" w:cs="宋体"/>
          <w:b w:val="0"/>
          <w:bCs/>
          <w:color w:val="auto"/>
          <w:highlight w:val="none"/>
          <w:lang w:val="zh-CN"/>
        </w:rPr>
        <w:t>若</w:t>
      </w:r>
      <w:r>
        <w:rPr>
          <w:rFonts w:hint="eastAsia" w:ascii="宋体" w:hAnsi="宋体" w:eastAsia="宋体" w:cs="宋体"/>
          <w:b w:val="0"/>
          <w:bCs/>
          <w:color w:val="auto"/>
          <w:highlight w:val="none"/>
        </w:rPr>
        <w:t>供应商</w:t>
      </w:r>
      <w:r>
        <w:rPr>
          <w:rFonts w:hint="eastAsia" w:ascii="宋体" w:hAnsi="宋体" w:eastAsia="宋体" w:cs="宋体"/>
          <w:b w:val="0"/>
          <w:bCs/>
          <w:color w:val="auto"/>
          <w:highlight w:val="none"/>
          <w:lang w:val="zh-CN"/>
        </w:rPr>
        <w:t>成立不足10年的，</w:t>
      </w:r>
      <w:r>
        <w:rPr>
          <w:rFonts w:hint="eastAsia" w:ascii="宋体" w:hAnsi="宋体" w:eastAsia="宋体" w:cs="宋体"/>
          <w:b w:val="0"/>
          <w:bCs/>
          <w:color w:val="auto"/>
          <w:highlight w:val="none"/>
        </w:rPr>
        <w:t>承诺期限为</w:t>
      </w:r>
      <w:r>
        <w:rPr>
          <w:rFonts w:hint="eastAsia" w:ascii="宋体" w:hAnsi="宋体" w:eastAsia="宋体" w:cs="宋体"/>
          <w:b w:val="0"/>
          <w:bCs/>
          <w:color w:val="auto"/>
          <w:highlight w:val="none"/>
          <w:lang w:val="zh-CN"/>
        </w:rPr>
        <w:t>成立之日起</w:t>
      </w:r>
      <w:r>
        <w:rPr>
          <w:rFonts w:hint="eastAsia" w:ascii="宋体" w:hAnsi="宋体" w:eastAsia="宋体" w:cs="宋体"/>
          <w:b w:val="0"/>
          <w:bCs/>
          <w:color w:val="auto"/>
          <w:highlight w:val="none"/>
        </w:rPr>
        <w:t>至今)无行贿犯罪记录的承诺；</w:t>
      </w:r>
    </w:p>
    <w:p>
      <w:pPr>
        <w:pStyle w:val="56"/>
        <w:jc w:val="both"/>
        <w:rPr>
          <w:rFonts w:hint="eastAsia" w:ascii="宋体" w:hAnsi="宋体" w:eastAsia="宋体" w:cs="宋体"/>
          <w:b w:val="0"/>
          <w:bCs/>
          <w:color w:val="auto"/>
          <w:highlight w:val="none"/>
          <w:lang w:val="zh-CN"/>
        </w:rPr>
      </w:pPr>
      <w:r>
        <w:rPr>
          <w:rFonts w:hint="eastAsia" w:ascii="宋体" w:hAnsi="宋体" w:eastAsia="宋体" w:cs="宋体"/>
          <w:b w:val="0"/>
          <w:bCs/>
          <w:color w:val="auto"/>
          <w:highlight w:val="none"/>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ascii="宋体" w:hAnsi="宋体" w:eastAsia="宋体" w:cs="宋体"/>
          <w:b w:val="0"/>
          <w:bCs/>
          <w:color w:val="auto"/>
          <w:highlight w:val="none"/>
          <w:lang w:val="zh-CN"/>
        </w:rPr>
        <w:t>。</w:t>
      </w:r>
    </w:p>
    <w:p>
      <w:pPr>
        <w:pStyle w:val="33"/>
        <w:numPr>
          <w:ilvl w:val="3"/>
          <w:numId w:val="0"/>
        </w:numPr>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注：①投标人采用提供承诺函方式响应的，其内容必须符合上述第1款的要求，否则将视为无效承诺；②如投标人未提供有效承诺函，且未</w:t>
      </w:r>
      <w:r>
        <w:rPr>
          <w:rFonts w:hint="eastAsia" w:ascii="宋体" w:hAnsi="宋体" w:eastAsia="宋体" w:cs="宋体"/>
          <w:b/>
          <w:color w:val="auto"/>
          <w:highlight w:val="none"/>
        </w:rPr>
        <w:t>在投标文件中书面载明</w:t>
      </w:r>
      <w:r>
        <w:rPr>
          <w:rFonts w:hint="eastAsia" w:ascii="宋体" w:hAnsi="宋体" w:eastAsia="宋体" w:cs="宋体"/>
          <w:b/>
          <w:bCs/>
          <w:color w:val="auto"/>
          <w:highlight w:val="none"/>
        </w:rPr>
        <w:t>其“现任法定代表人”(姓名和身份证号码)、“主要负责人”(姓名和身份证号码)信息的，将被视为无效投标。</w:t>
      </w:r>
    </w:p>
    <w:p>
      <w:pPr>
        <w:pStyle w:val="44"/>
        <w:numPr>
          <w:ilvl w:val="1"/>
          <w:numId w:val="23"/>
        </w:numPr>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法定代表人/单位负责人授权书原件；</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注：①附法定代表人/单位负责人和被授权人身份证正反面复印件；②法定代表人/单位负责人亲自参与投标时不需要提供。</w:t>
      </w:r>
    </w:p>
    <w:p>
      <w:pPr>
        <w:pStyle w:val="44"/>
        <w:numPr>
          <w:ilvl w:val="1"/>
          <w:numId w:val="23"/>
        </w:numPr>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法定代表人/单位负责人证明书；</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注：①附法定代表人/单位负责人身份证正反面复印件；②法定代表人/单位负责人亲自参加投标时提供本证明书。</w:t>
      </w:r>
    </w:p>
    <w:p>
      <w:pPr>
        <w:pStyle w:val="44"/>
        <w:numPr>
          <w:ilvl w:val="1"/>
          <w:numId w:val="23"/>
        </w:numPr>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法律、</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"http://www.lawtime.cn/info/sifakaoshi/xingzhengfa/" \t "_blank" </w:instrText>
      </w:r>
      <w:r>
        <w:rPr>
          <w:rFonts w:hint="eastAsia" w:ascii="宋体" w:hAnsi="宋体" w:eastAsia="宋体" w:cs="宋体"/>
          <w:color w:val="auto"/>
          <w:highlight w:val="none"/>
        </w:rPr>
        <w:fldChar w:fldCharType="separate"/>
      </w:r>
      <w:r>
        <w:rPr>
          <w:rFonts w:hint="eastAsia" w:ascii="宋体" w:hAnsi="宋体" w:eastAsia="宋体" w:cs="宋体"/>
          <w:b/>
          <w:bCs/>
          <w:color w:val="auto"/>
          <w:highlight w:val="none"/>
        </w:rPr>
        <w:t>行政法</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t>规规定的其他条件的证明材料；</w:t>
      </w:r>
    </w:p>
    <w:p>
      <w:pPr>
        <w:pStyle w:val="34"/>
        <w:rPr>
          <w:rFonts w:hint="eastAsia" w:ascii="宋体" w:hAnsi="宋体" w:eastAsia="宋体" w:cs="宋体"/>
          <w:color w:val="auto"/>
          <w:highlight w:val="none"/>
        </w:rPr>
      </w:pPr>
      <w:r>
        <w:rPr>
          <w:rFonts w:hint="eastAsia" w:ascii="宋体" w:hAnsi="宋体" w:eastAsia="宋体" w:cs="宋体"/>
          <w:color w:val="auto"/>
          <w:highlight w:val="none"/>
        </w:rPr>
        <w:t>提供符合法律、</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"http://www.lawtime.cn/info/sifakaoshi/xingzhengfa/" \t "_blank"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行政法</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规规定的其他条件的承诺函。</w:t>
      </w:r>
    </w:p>
    <w:p>
      <w:pPr>
        <w:pStyle w:val="44"/>
        <w:ind w:firstLine="482"/>
        <w:rPr>
          <w:rFonts w:hint="eastAsia" w:ascii="宋体" w:hAnsi="宋体" w:eastAsia="宋体" w:cs="宋体"/>
          <w:b/>
          <w:bCs/>
          <w:color w:val="auto"/>
          <w:highlight w:val="none"/>
          <w:lang w:val="zh-CN"/>
        </w:rPr>
      </w:pPr>
      <w:r>
        <w:rPr>
          <w:rFonts w:hint="eastAsia" w:ascii="宋体" w:hAnsi="宋体" w:eastAsia="宋体" w:cs="宋体"/>
          <w:b/>
          <w:bCs/>
          <w:color w:val="auto"/>
          <w:highlight w:val="none"/>
          <w:lang w:val="zh-CN"/>
        </w:rPr>
        <w:t>落实政策需满足的资格要求：</w:t>
      </w:r>
    </w:p>
    <w:p>
      <w:pPr>
        <w:pStyle w:val="44"/>
        <w:numPr>
          <w:ilvl w:val="1"/>
          <w:numId w:val="0"/>
        </w:numPr>
        <w:spacing w:line="430" w:lineRule="exact"/>
        <w:ind w:firstLine="480" w:firstLineChars="200"/>
        <w:jc w:val="both"/>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cs="宋体"/>
          <w:color w:val="auto"/>
          <w:highlight w:val="none"/>
          <w:lang w:val="en-US" w:eastAsia="zh-CN"/>
        </w:rPr>
        <w:t>制造商</w:t>
      </w:r>
      <w:r>
        <w:rPr>
          <w:rFonts w:hint="eastAsia" w:ascii="宋体" w:hAnsi="宋体" w:eastAsia="宋体" w:cs="宋体"/>
          <w:color w:val="auto"/>
          <w:highlight w:val="none"/>
        </w:rPr>
        <w:t>属于中、小、微型企业的提供中小企业声明函；</w:t>
      </w:r>
    </w:p>
    <w:p>
      <w:pPr>
        <w:pStyle w:val="44"/>
        <w:numPr>
          <w:ilvl w:val="1"/>
          <w:numId w:val="0"/>
        </w:numPr>
        <w:spacing w:line="430" w:lineRule="exact"/>
        <w:ind w:firstLine="480" w:firstLineChars="200"/>
        <w:jc w:val="both"/>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cs="宋体"/>
          <w:color w:val="auto"/>
          <w:highlight w:val="none"/>
          <w:lang w:val="en-US" w:eastAsia="zh-CN"/>
        </w:rPr>
        <w:t>制造商</w:t>
      </w:r>
      <w:r>
        <w:rPr>
          <w:rFonts w:hint="eastAsia" w:ascii="宋体" w:hAnsi="宋体" w:eastAsia="宋体" w:cs="宋体"/>
          <w:color w:val="auto"/>
          <w:highlight w:val="none"/>
        </w:rPr>
        <w:t>属于监狱企业的提供由省级以上监狱管理局、戒毒管理局(含新疆生产建设兵团)出具的属于监狱企业的证明文件；</w:t>
      </w:r>
    </w:p>
    <w:p>
      <w:pPr>
        <w:pStyle w:val="45"/>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cs="宋体"/>
          <w:color w:val="auto"/>
          <w:highlight w:val="none"/>
          <w:lang w:val="en-US" w:eastAsia="zh-CN"/>
        </w:rPr>
        <w:t>制造商</w:t>
      </w:r>
      <w:r>
        <w:rPr>
          <w:rFonts w:hint="eastAsia" w:ascii="宋体" w:hAnsi="宋体" w:eastAsia="宋体" w:cs="宋体"/>
          <w:color w:val="auto"/>
          <w:highlight w:val="none"/>
        </w:rPr>
        <w:t>属于残疾人福利性单位的提供残疾人福利性单位声明函。</w:t>
      </w:r>
    </w:p>
    <w:p>
      <w:pPr>
        <w:pStyle w:val="56"/>
        <w:ind w:firstLine="482"/>
        <w:rPr>
          <w:rFonts w:hint="eastAsia" w:ascii="宋体" w:hAnsi="宋体" w:eastAsia="宋体" w:cs="宋体"/>
          <w:color w:val="auto"/>
          <w:highlight w:val="none"/>
        </w:rPr>
      </w:pP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备注：①以上承诺及声明函可参照第三章投标文件格式中相关格式或自拟格式填写均有效。</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②以上要求提供的相关证明材料须加盖投标人公章，否则其资格审查作未通过处理。</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③本项目资格审查仅限于本章涉及的所有内容，若供应商未按照以上要求提供齐全，其资格审查作未通过处理。</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④投标人应对其所提供的资格证明材料来源的合法性、真实性承担法律责任。</w:t>
      </w:r>
    </w:p>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⑤以上要求提供的相关证明材料应当结合采购项目具体情况和投标人的组织机构性质确定，不得一概而论。</w:t>
      </w:r>
    </w:p>
    <w:p>
      <w:pPr>
        <w:pStyle w:val="31"/>
        <w:numPr>
          <w:ilvl w:val="1"/>
          <w:numId w:val="9"/>
        </w:numPr>
        <w:ind w:firstLine="482"/>
        <w:rPr>
          <w:rFonts w:hint="eastAsia" w:ascii="宋体" w:hAnsi="宋体" w:eastAsia="宋体" w:cs="宋体"/>
          <w:color w:val="auto"/>
          <w:highlight w:val="none"/>
        </w:rPr>
      </w:pPr>
      <w:bookmarkStart w:id="978" w:name="_Toc26373"/>
      <w:bookmarkStart w:id="979" w:name="_Toc14213"/>
      <w:r>
        <w:rPr>
          <w:rFonts w:hint="eastAsia" w:ascii="宋体" w:hAnsi="宋体" w:eastAsia="宋体" w:cs="宋体"/>
          <w:color w:val="auto"/>
          <w:highlight w:val="none"/>
        </w:rPr>
        <w:t>审查程序</w:t>
      </w:r>
      <w:bookmarkEnd w:id="974"/>
      <w:bookmarkEnd w:id="975"/>
      <w:bookmarkEnd w:id="976"/>
      <w:bookmarkEnd w:id="978"/>
      <w:bookmarkEnd w:id="979"/>
    </w:p>
    <w:p>
      <w:pPr>
        <w:pStyle w:val="44"/>
        <w:numPr>
          <w:ilvl w:val="1"/>
          <w:numId w:val="24"/>
        </w:numPr>
        <w:ind w:firstLine="480"/>
        <w:rPr>
          <w:rFonts w:hint="eastAsia" w:ascii="宋体" w:hAnsi="宋体" w:eastAsia="宋体" w:cs="宋体"/>
          <w:color w:val="auto"/>
          <w:highlight w:val="none"/>
        </w:rPr>
      </w:pPr>
      <w:r>
        <w:rPr>
          <w:rFonts w:hint="eastAsia" w:ascii="宋体" w:hAnsi="宋体" w:eastAsia="宋体" w:cs="宋体"/>
          <w:color w:val="auto"/>
          <w:highlight w:val="none"/>
        </w:rPr>
        <w:t>根据《政府采购货物和服务招标投标管理办法》(财政部令第87号)第四十四条对投标人的资格进行审查。</w:t>
      </w:r>
    </w:p>
    <w:p>
      <w:pPr>
        <w:pStyle w:val="44"/>
        <w:numPr>
          <w:ilvl w:val="1"/>
          <w:numId w:val="24"/>
        </w:numPr>
        <w:ind w:firstLine="480"/>
        <w:rPr>
          <w:rFonts w:hint="eastAsia" w:ascii="宋体" w:hAnsi="宋体" w:eastAsia="宋体" w:cs="宋体"/>
          <w:color w:val="auto"/>
          <w:highlight w:val="none"/>
        </w:rPr>
      </w:pPr>
      <w:r>
        <w:rPr>
          <w:rFonts w:hint="eastAsia" w:ascii="宋体" w:hAnsi="宋体" w:eastAsia="宋体" w:cs="宋体"/>
          <w:color w:val="auto"/>
          <w:highlight w:val="none"/>
        </w:rPr>
        <w:t>本项目由采购人或者采购代理机构依法对投标人的资格进行审查，并出具书面的资格性审查结果。</w:t>
      </w:r>
    </w:p>
    <w:p>
      <w:pPr>
        <w:pStyle w:val="44"/>
        <w:numPr>
          <w:ilvl w:val="1"/>
          <w:numId w:val="24"/>
        </w:numPr>
        <w:ind w:firstLine="480"/>
        <w:rPr>
          <w:rFonts w:hint="eastAsia" w:ascii="宋体" w:hAnsi="宋体" w:eastAsia="宋体" w:cs="宋体"/>
          <w:color w:val="auto"/>
          <w:highlight w:val="none"/>
        </w:rPr>
      </w:pPr>
      <w:r>
        <w:rPr>
          <w:rFonts w:hint="eastAsia" w:ascii="宋体" w:hAnsi="宋体" w:eastAsia="宋体" w:cs="宋体"/>
          <w:color w:val="auto"/>
          <w:highlight w:val="none"/>
        </w:rPr>
        <w:t>合格投标人不足3家的，不得评标。</w:t>
      </w:r>
    </w:p>
    <w:p>
      <w:pPr>
        <w:pStyle w:val="29"/>
        <w:numPr>
          <w:ilvl w:val="0"/>
          <w:numId w:val="9"/>
        </w:numPr>
        <w:spacing w:before="120" w:after="120"/>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977"/>
      <w:bookmarkStart w:id="980" w:name="_Toc14530"/>
      <w:bookmarkStart w:id="981" w:name="_Toc541"/>
      <w:bookmarkStart w:id="982" w:name="_Toc5955"/>
      <w:r>
        <w:rPr>
          <w:rFonts w:hint="eastAsia" w:ascii="宋体" w:hAnsi="宋体" w:eastAsia="宋体" w:cs="宋体"/>
          <w:color w:val="auto"/>
          <w:highlight w:val="none"/>
        </w:rPr>
        <w:t>招标项目技术、服务、政府采购合同内容条款及其他商务要求</w:t>
      </w:r>
      <w:bookmarkEnd w:id="980"/>
      <w:bookmarkEnd w:id="981"/>
      <w:bookmarkEnd w:id="982"/>
    </w:p>
    <w:p>
      <w:pPr>
        <w:pStyle w:val="31"/>
        <w:keepNext w:val="0"/>
        <w:keepLines w:val="0"/>
        <w:pageBreakBefore w:val="0"/>
        <w:widowControl w:val="0"/>
        <w:numPr>
          <w:ilvl w:val="1"/>
          <w:numId w:val="9"/>
        </w:numPr>
        <w:kinsoku/>
        <w:wordWrap w:val="0"/>
        <w:overflowPunct/>
        <w:topLinePunct/>
        <w:autoSpaceDE/>
        <w:autoSpaceDN/>
        <w:bidi w:val="0"/>
        <w:adjustRightInd w:val="0"/>
        <w:snapToGrid w:val="0"/>
        <w:ind w:firstLine="482"/>
        <w:textAlignment w:val="auto"/>
        <w:rPr>
          <w:rFonts w:hint="eastAsia" w:ascii="宋体" w:hAnsi="宋体" w:eastAsia="宋体" w:cs="宋体"/>
          <w:color w:val="auto"/>
          <w:highlight w:val="none"/>
        </w:rPr>
      </w:pPr>
      <w:bookmarkStart w:id="983" w:name="_Toc5869_WPSOffice_Level2"/>
      <w:bookmarkStart w:id="984" w:name="_Toc7553"/>
      <w:bookmarkStart w:id="985" w:name="_Toc3099"/>
      <w:bookmarkStart w:id="986" w:name="_Toc1684"/>
      <w:bookmarkStart w:id="987" w:name="_Toc27469"/>
      <w:bookmarkStart w:id="988" w:name="_Toc28932"/>
      <w:bookmarkStart w:id="989" w:name="_Toc12025"/>
      <w:bookmarkStart w:id="990" w:name="_Toc307501157"/>
      <w:bookmarkStart w:id="991" w:name="_Toc308084648"/>
      <w:bookmarkStart w:id="992" w:name="_Toc319439948"/>
      <w:bookmarkStart w:id="993" w:name="_Toc32159"/>
      <w:bookmarkStart w:id="994" w:name="_Toc307564899"/>
      <w:bookmarkStart w:id="995" w:name="_Toc23360"/>
      <w:bookmarkStart w:id="996" w:name="_Toc1839"/>
      <w:bookmarkStart w:id="997" w:name="_Toc1541"/>
      <w:bookmarkStart w:id="998" w:name="_Toc309897566"/>
      <w:bookmarkStart w:id="999" w:name="_Toc29864"/>
      <w:bookmarkStart w:id="1000" w:name="_Toc308188201"/>
      <w:bookmarkStart w:id="1001" w:name="_Toc319440192"/>
      <w:bookmarkStart w:id="1002" w:name="_Toc327196343"/>
      <w:bookmarkStart w:id="1003" w:name="_Toc217446060"/>
      <w:bookmarkStart w:id="1004" w:name="_Toc217446099"/>
      <w:r>
        <w:rPr>
          <w:rFonts w:hint="eastAsia" w:ascii="宋体" w:hAnsi="宋体" w:eastAsia="宋体" w:cs="宋体"/>
          <w:color w:val="auto"/>
          <w:highlight w:val="none"/>
        </w:rPr>
        <w:t>项目概述</w:t>
      </w:r>
      <w:bookmarkEnd w:id="983"/>
      <w:bookmarkEnd w:id="984"/>
      <w:bookmarkEnd w:id="985"/>
    </w:p>
    <w:p>
      <w:pPr>
        <w:pStyle w:val="3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为了进一步提升基地的产、学、研能力，虚实结合，提升智能制造产业高技能人才培养水平，支撑智能制造专业群建设，拟采购智能制造实训基地虚实一体工作站。</w:t>
      </w:r>
    </w:p>
    <w:p>
      <w:pPr>
        <w:pStyle w:val="31"/>
        <w:keepNext w:val="0"/>
        <w:keepLines w:val="0"/>
        <w:pageBreakBefore w:val="0"/>
        <w:widowControl w:val="0"/>
        <w:numPr>
          <w:ilvl w:val="1"/>
          <w:numId w:val="9"/>
        </w:numPr>
        <w:kinsoku/>
        <w:wordWrap w:val="0"/>
        <w:overflowPunct/>
        <w:topLinePunct/>
        <w:autoSpaceDE/>
        <w:autoSpaceDN/>
        <w:bidi w:val="0"/>
        <w:adjustRightInd w:val="0"/>
        <w:snapToGrid w:val="0"/>
        <w:ind w:firstLine="482"/>
        <w:textAlignment w:val="auto"/>
        <w:rPr>
          <w:rFonts w:hint="eastAsia" w:ascii="宋体" w:hAnsi="宋体" w:eastAsia="宋体" w:cs="宋体"/>
          <w:color w:val="auto"/>
          <w:highlight w:val="none"/>
        </w:rPr>
      </w:pPr>
      <w:bookmarkStart w:id="1005" w:name="_Toc1602"/>
      <w:bookmarkStart w:id="1006" w:name="_Toc2567_WPSOffice_Level2"/>
      <w:bookmarkStart w:id="1007" w:name="_Toc25039"/>
      <w:r>
        <w:rPr>
          <w:rFonts w:hint="eastAsia" w:ascii="宋体" w:hAnsi="宋体" w:eastAsia="宋体" w:cs="宋体"/>
          <w:color w:val="auto"/>
          <w:highlight w:val="none"/>
        </w:rPr>
        <w:t>本项目核心产品</w:t>
      </w:r>
      <w:bookmarkEnd w:id="1005"/>
    </w:p>
    <w:p>
      <w:pPr>
        <w:pStyle w:val="3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本项目的核心产品为：智能制造实训基地虚实一体工作站，若为相同品牌产品按招标文件第二章规定执行。</w:t>
      </w:r>
    </w:p>
    <w:p>
      <w:pPr>
        <w:pStyle w:val="31"/>
        <w:keepNext w:val="0"/>
        <w:keepLines w:val="0"/>
        <w:pageBreakBefore w:val="0"/>
        <w:widowControl w:val="0"/>
        <w:numPr>
          <w:ilvl w:val="1"/>
          <w:numId w:val="9"/>
        </w:numPr>
        <w:kinsoku/>
        <w:wordWrap w:val="0"/>
        <w:overflowPunct/>
        <w:topLinePunct/>
        <w:autoSpaceDE/>
        <w:autoSpaceDN/>
        <w:bidi w:val="0"/>
        <w:adjustRightInd w:val="0"/>
        <w:snapToGrid w:val="0"/>
        <w:ind w:firstLine="482"/>
        <w:textAlignment w:val="auto"/>
        <w:rPr>
          <w:rFonts w:hint="eastAsia" w:ascii="宋体" w:hAnsi="宋体" w:eastAsia="宋体" w:cs="宋体"/>
          <w:color w:val="auto"/>
          <w:highlight w:val="none"/>
        </w:rPr>
      </w:pPr>
      <w:bookmarkStart w:id="1008" w:name="_Toc22628"/>
      <w:r>
        <w:rPr>
          <w:rFonts w:hint="eastAsia" w:ascii="宋体" w:hAnsi="宋体" w:eastAsia="宋体" w:cs="宋体"/>
          <w:color w:val="auto"/>
          <w:highlight w:val="none"/>
        </w:rPr>
        <w:t>采购清单</w:t>
      </w:r>
      <w:bookmarkEnd w:id="1006"/>
      <w:bookmarkEnd w:id="1007"/>
      <w:bookmarkEnd w:id="1008"/>
    </w:p>
    <w:tbl>
      <w:tblPr>
        <w:tblStyle w:val="23"/>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2"/>
        <w:gridCol w:w="960"/>
        <w:gridCol w:w="1449"/>
        <w:gridCol w:w="1758"/>
        <w:gridCol w:w="1343"/>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7" w:type="pct"/>
            <w:vAlign w:val="center"/>
          </w:tcPr>
          <w:p>
            <w:pPr>
              <w:spacing w:line="40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设备名称</w:t>
            </w:r>
          </w:p>
        </w:tc>
        <w:tc>
          <w:tcPr>
            <w:tcW w:w="491" w:type="pct"/>
            <w:vAlign w:val="center"/>
          </w:tcPr>
          <w:p>
            <w:pPr>
              <w:spacing w:line="40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w:t>
            </w:r>
          </w:p>
        </w:tc>
        <w:tc>
          <w:tcPr>
            <w:tcW w:w="741" w:type="pct"/>
            <w:vAlign w:val="center"/>
          </w:tcPr>
          <w:p>
            <w:pPr>
              <w:spacing w:line="40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c>
          <w:tcPr>
            <w:tcW w:w="899" w:type="pct"/>
            <w:vAlign w:val="center"/>
          </w:tcPr>
          <w:p>
            <w:pPr>
              <w:spacing w:line="40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是否是核心产品</w:t>
            </w:r>
          </w:p>
        </w:tc>
        <w:tc>
          <w:tcPr>
            <w:tcW w:w="687" w:type="pct"/>
            <w:vAlign w:val="center"/>
          </w:tcPr>
          <w:p>
            <w:pPr>
              <w:spacing w:line="40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所属行业</w:t>
            </w:r>
          </w:p>
        </w:tc>
        <w:tc>
          <w:tcPr>
            <w:tcW w:w="593" w:type="pct"/>
            <w:vAlign w:val="center"/>
          </w:tcPr>
          <w:p>
            <w:pPr>
              <w:spacing w:line="40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7" w:type="pct"/>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智能制造实训基地虚实一体工作站</w:t>
            </w:r>
          </w:p>
        </w:tc>
        <w:tc>
          <w:tcPr>
            <w:tcW w:w="491" w:type="pct"/>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41" w:type="pct"/>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c>
          <w:tcPr>
            <w:tcW w:w="899" w:type="pct"/>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c>
          <w:tcPr>
            <w:tcW w:w="687" w:type="pct"/>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w:t>
            </w:r>
          </w:p>
        </w:tc>
        <w:tc>
          <w:tcPr>
            <w:tcW w:w="593" w:type="pct"/>
            <w:vAlign w:val="center"/>
          </w:tcPr>
          <w:p>
            <w:pPr>
              <w:spacing w:line="400" w:lineRule="exact"/>
              <w:jc w:val="center"/>
              <w:rPr>
                <w:rFonts w:hint="eastAsia" w:ascii="宋体" w:hAnsi="宋体" w:eastAsia="宋体" w:cs="宋体"/>
                <w:color w:val="auto"/>
                <w:sz w:val="21"/>
                <w:szCs w:val="21"/>
                <w:highlight w:val="none"/>
              </w:rPr>
            </w:pPr>
          </w:p>
        </w:tc>
      </w:tr>
    </w:tbl>
    <w:p>
      <w:pPr>
        <w:pStyle w:val="31"/>
        <w:numPr>
          <w:ilvl w:val="1"/>
          <w:numId w:val="9"/>
        </w:numPr>
        <w:ind w:firstLine="482"/>
        <w:rPr>
          <w:rFonts w:hint="eastAsia" w:ascii="宋体" w:hAnsi="宋体" w:eastAsia="宋体" w:cs="宋体"/>
          <w:color w:val="auto"/>
          <w:highlight w:val="none"/>
        </w:rPr>
      </w:pPr>
      <w:bookmarkStart w:id="1009" w:name="_Toc17721"/>
      <w:bookmarkStart w:id="1010" w:name="_Toc12968"/>
      <w:r>
        <w:rPr>
          <w:rFonts w:hint="eastAsia" w:ascii="宋体" w:hAnsi="宋体" w:eastAsia="宋体" w:cs="宋体"/>
          <w:color w:val="auto"/>
          <w:highlight w:val="none"/>
        </w:rPr>
        <w:t>技术参数及配置要求</w:t>
      </w:r>
      <w:bookmarkEnd w:id="1009"/>
      <w:bookmarkEnd w:id="1010"/>
    </w:p>
    <w:tbl>
      <w:tblPr>
        <w:tblStyle w:val="22"/>
        <w:tblW w:w="49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2"/>
        <w:gridCol w:w="8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08" w:type="pct"/>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组件名称</w:t>
            </w:r>
          </w:p>
        </w:tc>
        <w:tc>
          <w:tcPr>
            <w:tcW w:w="4191" w:type="pct"/>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技术参数及配置要求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执行单元</w:t>
            </w: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1.★工业机器人(1台)</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自由度串联关节桌面型工业机器人：工作范围≥580mm；有效荷重≥3kg，手臂荷重≥0.3kg；手腕设有10路集成信号源，4路集成气源；重复定位精度≤0.01mm；防护等级IP30；轴1旋转，工作范围+165°～-165°，最大速度250°/s；轴2手臂，工作范围+110°～-110°，最大速度250°/s；轴3手臂，工作范围+70°～-90°，最大速度250°/s；轴4手腕，工作范围+160°～-160°，最大速度320°/s；轴5弯曲，工作范围+120°～-120°，最大速度320°/s；轴6翻转，工作范围+400°～-400°，最大速度420°/s；1kg拾料节拍，25mm×300mm×25mm区域为0.58s，TCP最大速度6.2m/s，TCP最大加速度28m/s，加速时间0～1m/s为0.07s；电源电压为200V～600V，50/60Hz，功耗0.25kW；本体重量≥25kg；具有手动/自动模式切换旋钮、电机开启按钮及示教器接线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2.▲工业机器人扩展IO模块(1个)(提供投标产品设备制造商公开发布的彩页印刷资料)</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DeviceNet总线通讯；支持适配IO模块数量≥32个；传输距离≥5000米，总线速率≥500kbps；附带数字量输入模块2个，单模块8通道，输入信号类型PNP，输入电流典型值3mA，隔离耐压500V，隔离方式光耦隔离；附带数字量输出模块4个，单模块8通道，输出信号类型源型，驱动能力500mA/通道，隔离耐压500V，隔离方式光耦隔离；附带模拟量输出模块1个，单模块4通道，输出电压0V～10V，负载能力≥5kΩ，负载类型为阻性负载、容性负载，分辨率12位；具有远程IO适配器的网络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3.工具快换模块法兰端(1个)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针对多关节机器人设计，使气管、信号确认线一次性自动装卸；材质：铝，安装位置为机器手侧；自重≥125g，可搬重量≥3kg；锁紧力≥123N，张开力≥63N；支持9路电信号(2A，DC 24V)、6路气路连接。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4.平移滑台(1个)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工作行程≥700mm，有效负载重量≥50kg，额定运行速度≥15mm/s；驱动方式为伺服电机经减速机减速后，通过同步带带动滚珠丝杠实现旋转运动变换到直线运动，由滚珠导轨导向滑动；伺服电机额定输出400W，额定转矩1.3Nm，额定转速3000r/min，增量式17bit编码器，配套伺服放大器，输出额定电压三相AC170V/额定电流2.8A，电源输入电压三相或单相AC200V～240V/额定电流2.6A，控制方式为正弦波PWM控制/电流控制方式，配套减速机，减速比1:5；滚珠丝杠直径≥25mm，导程≥5mm，全长≥990mm，配套自润滑螺母；滚珠导轨共2个，宽度≥20mm，全长≥1240mm，每个导轨配套2个滑块；直线导轨安装有防护罩，保护导轨和丝杠等零件，配有拖链系统，外侧安装有长度标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5.PLC控制器(1个)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存储器≥75KB，装载存储器≥1MB，保持性存储器≥10KB；本体集成I/O，数字量8点输入/6点输出，模拟量2路输入；过程映像大小为1024字节输入(I)和1024字节输出(Q)；位存储器为4096字节(M)；具备1个以太网通信端口，支持PROFINET通信；实数数学运算执行速度≥2.3μs/指令，布尔运算执行速度≥0.08μs/指令；扩展IO模块，数字量输入模块1个，输入点数≥16位，类型为源型/漏型，额定电压24V DC(4mA)；具有有PLC的网络通信接口。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6.远程IO模块(1个)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ProfiNet总线通讯；支持适配IO模块数量≥32个；传输距离≥100米，总线速率≥100Mbps；附带数字量输入模块≥4个，单模块≥8通道，输入信号类型PNP，输入电流典型值3mA，隔离耐压500V，隔离方式光耦隔离；附带数字量输出模块2个，单模块8通道，输出信号类型源型，驱动能力500mA/通道，隔离耐压500V，隔离方式光耦隔离；附带模拟量输入模块1个，单模块4通道，输入电压0V～10V，输入滤波可配置(1ms～10ms)，输入阻抗≥500kΩ，分辨率12位；具有远程IO适配器的网络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7.工作台(1个)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型材结构，工作台式设计，台面可安装功能模块，底部柜体内可安装电气设备；台面长≥1360mm×宽≥680mm×厚≥20mm；底部柜体长≥1280mm×宽≥600mm×高≥700mm；底部柜体四角安装有脚轮，轮片直径≥50mm，轮片宽度25mm，可调高度≥10mm；工作台面合理布置有线槽，方便控制信号线和气路布线，且电、气分开；底部柜体上端和下端四周安装有线槽，可方便电源线、气管和通信线布线；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8.▲配套MCD机电一体化培训课程(即基本机电对象、运动副和耦合副培训课程课件1套，课件内容不少于9页)</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课程内容至少包含：</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8.1基本机电对象</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第一节 刚体、碰撞体及传送带；</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第二节 对象源、碰撞传感器与对象收集器；</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第三节 对象变换器、发送器与碰撞材料；</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第四节 基础机电对象综合学习。</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8.2运动副和耦合副</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第一节 铰链副、滑动副与固定副；</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第二节 柱面副，螺旋副与球副；</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第三节 约束，齿轮齿条与凸轮相关；</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第四节 运动曲线与电子凸轮。</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注：至少提供以上培训课程内容PPT的截图，不提供或与课程包含的内容不符合视为负偏离。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工具单元</w:t>
            </w: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9.轮辐夹爪(1个)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三指夹爪，气动驱动，自动定心，可针对零件轮辐位置稳定夹持；具有工具快换模块工具端，与工具快换法兰端配套，自重≥45g，安装后厚度≥38mm。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10.轮毂夹爪(1个)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三指夹爪，气动驱动，自动定心，可针对零件轮毂位置稳定夹持；具有工具快换模块工具端，与工具快换法兰端配套，自重≥45g，安装后厚度≥38mm。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11.轮辋内圈夹爪(1个)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三指夹爪，气动驱动，自动定心，可针对零件轮辋内圈位置稳定夹持；具有工具快换模块工具端，与工具快换法兰端配套，自重≥45g，安装后厚度≥38mm。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12.轮辋外圈夹爪(1个)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两指夹爪，气动驱动，自动定心，可针对零件轮辋外圈位置稳定夹持；具有工具快换模块工具端，与工具快换法兰端配套，自重≥45g，安装后厚度≥38mm。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13.吸盘夹爪(1个)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五位吸盘工具，可对零件轮辐的正面、反面表面稳定拾取；具有工具快换模块工具端，与工具快换法兰端配套，自重≥45g，安装后厚度≥38mm。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14.端面打磨工具(1个)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电动打磨工具，配有端面打磨头，可对零件表面进行打磨加工；具有工具快换模块工具端，与工具快换法兰端配套，自重≥45g，安装后厚度≥38mm。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15.侧面打磨工具(1个)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电动打磨工具，配有侧面打磨头，可对零件表面进行打磨加工；具有工具快换模块工具端，与工具快换法兰端配套，自重≥45g，安装后厚度≥38mm。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16.工具支架(1个)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铝合金结构：具有7个工具摆放位置，位置标号清晰标示；所有工具的定位方式相同，可互换位置，不影响正常使用。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17.示教器支架(1个)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与工业机器人示教器配套；配套线缆悬挂支架。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18.工作台(1个)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型材结构，工作台式设计，台面可安装功能模块，底部柜体内可安装电气设备；台面长≥680mm×宽≥680mm×厚≥20mm；底部柜体长≥600mm×宽≥600mm×高≥700mm；底部柜体四角安装有脚轮，轮片直径≥50mm，轮片宽度≥25mm，可调高度≥10mm；工作台面布置有线槽，控制信号线和气路布线，且电、气分开；底部柜体上端和下端四周安装有线槽，可方便电源线、气管和通信线布线；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仓储单元</w:t>
            </w: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19.立体仓库(1个)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双层共6仓位，采用铝型材作为结构支撑；每个仓位可存储1个轮毂零件；仓位托盘可由气动推杆驱动推出缩回；仓位托盘底部设置有传感器可检测当前仓位是否存有零件；每个仓位具有红绿指示灯表明当前仓位仓储状态，并有明确标识仓位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20.远程IO模块(1个)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ProfiNet总线通讯；支持适配IO模块数量≥32个；传输距离≥100米(站站距离)，总线速率≥100Mbps；附带数字量输入模块2个，单模块8通道，输入信号类型PNP，输入电流典型值3mA，隔离耐压500V，隔离方式光耦隔离；附带数字量输出模块3个，单模块8通道，输出信号类型源型，驱动能力500mA/通道，隔离耐压500V，隔离方式光耦隔离；在工作台台面上布置有远程IO适配器的网络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21.轮毂零件(6个)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材质，五幅轮毂缩比零件；轮辋直径≥102mm，最大外圈直径≥114mm，轮辋内圈直径≥88mm，轮毂直径≥28mm，整体厚度≥45mm，轮辐厚度≥16mm；具有可更换的数控加工耗材安装板，直径37mm，厚度8mm，塑料材质；零件正面、反面均具有定位槽、视觉检测区域、打磨加工区域和二维码标签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22.工作台(1个)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型材结构，工作台式设计，台面可安装功能模块，底部柜体内可安装电气设备；台面长≥680mm，宽≥680mm，厚≥20mm；底部柜体长≥600mm，宽≥600mm，高≥700mm；底部柜体四角安装有脚轮，轮片直径≥50mm，轮片宽度≥25mm，可调高度≥10mm；工作台面布置有线槽，方便控制信号线和气路布线，且电、气分开；底部柜体上端和下端四周安装有线槽，可方便电源线、气管和通信线布线；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23.▲配套MCD机电一体化培训课程(仿真序列与运动仿真培训课程课件1套，课件内容不少于7页)课程内容至少包含：</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第一节  速度控制、位置控制与力控制；</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第二节  传感器：距离、位置与倾角；</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第三节  仿真序列；</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第四节  电机荷载曲线生成与电机选型。</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注：至少提供以上培训课程内容PPT的截图，不提供或与课程包含的内容不符合视为负偏离</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08" w:type="pct"/>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加工单元</w:t>
            </w: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24.数控机床(1台)</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轴立式铣床结构，加工台面不动，主轴可实现X\Y\Z三轴加工运动；主轴为风冷电主轴，转速24000r/min，额定功率0.8kW，轴端连接为ER11，可夹持3mm直径刀柄的刀具；X轴有效行程240mm，最大运行速度30mm/s，3Nm高性能伺服电机驱动，通过同步带带动滚珠丝杠实现旋转运动变换到直线运动，由滚珠导轨导向滑动；Y轴有效行程≥250mm，最大运行速度30mm/s，3Nm高性能伺服电机驱动，通过同步带带动滚珠丝杠实现旋转运动变换到直线运动，由滚珠导轨导向滑动；Z轴有效行程≥180mm，最大运行速度30mm/s，3Nm高性能伺服电机驱动，带抱闸，通过同步带带动滚珠丝杠实现旋转运动变换到直线运动，由滚珠导轨导向滑动；夹具采用气动驱动夹紧，缸径32mm，夹具可有气动驱动前后两端定位，方便上下料；数控机床配有安全护栏，铝合金框架透明隔断，正面、背面均配有安全门，由气动驱动实现开启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25.模拟刀库(1个)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模拟刀库采用虚拟化设计，由显示屏显示当前使用刀具信息和刀库工作状态；显示，64K色，分辨率≥800×480，背光平均无故障时间不少于20000小时，可用内存10MB，支持ProfiNet通讯；侧面配装有数控机床工作指示灯，可指示当前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26.数控系统(1套)</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控系统性能为PPU24X；10.4寸显示；PLC控制基于S7-200；最大加工通道/方式组数为1，CNC用户内存5MB；具备铣削工艺；进给轴具备加加速度平滑控制、前馈控制、驱动系统动态伺服控制功能；插补轴数最大4轴，支持直线插补、圆弧插补、螺旋插补、样条插补、精优曲面功能、程序段预读功能、压缩器功能；具备刀具管理功能，刀具数最大256，刀刃数最512，支持刀具质量、刀具寿命检测功能，带替换刀具管理功能；具备OPC UA通讯接口，可将数控系统中的运行数据传输到MES软件中；提供手轮对各轴手动操作。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27.远程IO模块(1个)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ProfiNet总线通讯；支持适配IO模块数量≥32个；传输距离≥100米(站站距离)，总线速率≥100Mbps；附带数字量输入模块1个，单模块8通道，输入信号类型PNP，输入电流典型值3mA，隔离耐压500V，隔离方式光耦隔离；附带数字量输出模块1个，单模块8通道，输出信号类型源型，驱动能力500mA/通道，隔离耐压500V，隔离方式光耦隔离；在工作台台面上布置有远程IO适配器的网络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28.工作台(1个)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型材结构，工作台式设计，台面可安装功能模块，底部柜体内可安装电气设备；台面长≥1360mm×宽≥680mm×厚≥20mm；底部柜体长≥1280mm×宽≥600mm×高≥700mm；底部柜体四角安装有脚轮，轮片直径≥50mm，轮片宽度≥25mm，可调高度≥10mm；工作台面合理布置有线槽，方便控制信号线和气路布线，且电、气分开；底部柜体上端和下端四周安装有线槽，可方便电源线、气管和通信线布线；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08" w:type="pct"/>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打磨单元</w:t>
            </w: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29.打磨工位(1个)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铝合金框架结构，可稳定支撑零件加工；四爪夹具由气动驱动，可对零件轮毂位置进行稳定夹持，自动对心定位；底部配有传感器可检测当前工位是否存有零件。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30.旋转工位(1个)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框架结构，可稳定支撑零件加工；四爪夹具由气动驱动，可对零件轮辋内圈进行稳定夹持，自动对心定位；底部配有传感器可检测当前工位是否存有零件；旋转气缸可带动旋转工位整体180°旋转，实现零件沿轴线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31.翻转工装(1个)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双指夹具对零件轮辋外圈稳定夹持，自动对心定位，翻转过程无位移；旋转气缸可驱动双指夹具实现所夹持的零件在打磨工位和旋转工位间翻转；升降气缸可实现翻转后的零件在小距离内垂直放入取出工位，确保定位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32.吹屑工位(1个)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不锈钢材质，外形尺寸≥150mm×150mm×100mm；顶部开口直径130mm；两侧布置了吹气口，可将打磨后粘附在零件表面上的碎屑清除。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33.远程IO模块(1个)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ProfiNet总线通讯；支持适配IO模块数量≥32个；传输距离≥100米(站站距离)，总线速率≥100Mbps；附带数字量输入模块2个，单模块8通道，输入信号类型PNP，输入电流典型值3mA，隔离耐压500V，隔离方式光耦隔离；附带数字量输出模块2个，单模块8通道，输出信号类型源型，驱动能力500mA/通道，隔离耐压500V，隔离方式光耦隔离；在工作台台面上布置有远程IO适配器的网络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34.工作台(1个)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型材结构，工作台式设计，台面可安装功能模块，底部柜体内可安装电气设备；台面长≥680mm×宽≥680mm×厚≥20mm；底部柜体长≥600mm×宽≥600mm×高≥700mm；底部柜体四角安装有脚轮，轮片直径≥50mm，轮片宽度≥25mm，可调高度10mm；工作台面合理布置有线槽，方便控制信号线和气路布线，且电、气分开；底部柜体上端和下端四周安装有线槽，可方便电源线、气管和通信线布线；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检测单元</w:t>
            </w: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35.▲视觉系统(1套)(提供投标产品设备制造商公开发布的彩页印刷资料)</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30W像素CCD相机，彩色，有效像素≥640×480，像素尺寸7.4μm×7.4μm，电子快门；控制器为箱型，可并列处理；动作模式包括标准模式、倍速多通道输入、不间断调整；支持128场景数；利用流程编辑功能制作处理流程；支持Ethernet通信，采用无协议(TCP/UDP)；在工作台台面上布置有网络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36.配套光源(1台)</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配套漫反射环形光源，白色，明亮度可调节；光源配有保护支架，可有效防止零件掉落损坏光源；配套视觉系统显示器和操作用鼠标。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37.工作台(1个)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型材结构，工作台式设计，台面可安装功能模块，底部柜体内可安装电气设备；台面长≥680mm，宽≥680mm，厚≥20mm；底部柜体长≥600mm，宽≥600mm，高≥700mm；底部柜体四角安装有脚轮，轮片直径≥50mm，轮片宽度≥25mm，可调高度≥10mm；工作台面合理布置有线槽，方便控制信号线和气路布线，且电、气分开；底部柜体上端和下端四周安装有线槽，可方便电源线、气管和通信线布线；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38.▲配套MCD机电一体化培训课程(PLC虚拟调试培训课程课件1套，课件内容不少于10页)</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课程内容至少包含：</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第一节 信号与信号适配器；</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第二节 外部信号配置；</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第三节 软件在环虚拟调试；</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第四节 硬件在环虚拟调试。</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注：至少提供以上培训课程内容PPT的截图，不提供或与课程包含的内容不符合视为负偏离</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分拣单元</w:t>
            </w: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39.传送带(1个)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宽度≥125mm，有效长度≥1250mm；调速电机驱动，功率120W，单相220V供电，配套1:18减速比减速器，采用变频器驱动，使用电机容量0.4kW，输出额定容量1.0kVA/额定电流2.5A，电源额定输入电压单相200V～240V/额定容量1.5kVA；传送带起始端配有传感器，可检测当前位置是否有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40.分拣机构(3个)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分拣机构配有传感器，可检测当前分拣机构前是否有零件；利用垂直气缸可实现阻挡片升降，将零件拦截在指定分拣机构前；利用推动气缸可实现将零件推入指定分拣工位。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41.分拣工位(3个)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分拣工位末端配有传感器，可检测当前分拣工位是否存有零件；分拣工位末端为V型顶块，可配合顶紧气缸对零件精确定位；每个分拣工位均有明确标号。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42.远程IO模块(1个)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ProfiNet总线通讯；支持适配IO模块数量≥32个；传输距离≥100米(站站距离)，总线速率≥100Mbps；附带数字量输入模块3个，单模块8通道，输入信号类型PNP，输入电流典型值3mA，隔离耐压500V，隔离方式光耦隔离；附带数字量输出模块2个，单模块8通道，输出信号类型源型，驱动能力500mA/通道，隔离耐压500V，隔离方式光耦隔离；在工作台台面上布置有远程IO适配器的网络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43.工作台(1个)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型材结构，工作台式设计，台面可安装功能模块，底部柜体内可安装电气设备；台面长≥1360mm，宽≥680mm，厚≥20mm；底部柜体长≥1280mm，宽≥600mm，高≥700mm；底部柜体四角安装有脚轮，轮片直径≥50mm，轮片宽度≥25mm，可调高度≥10mm；工作台面合理布置有线槽，方便控制信号线和气路布线，且电、气分开；底部柜体上端和下端四周安装有线槽，可方便电源线、气管和通信线布线；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总控单元</w:t>
            </w: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44.▲PLC控制器(2个)(提供投标产品设备制造商公开发布的彩页印刷资料)</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存储器75KB，装载存储器1MB，保持性存储器10KB；本体集成I/O，数字量8点输入/6点输出，模拟量2路输入；过程映像大小为1024字节输入(I)和1024字节输出(Q)；位存储器为4096字节(M)；具备1个以太网通信端口，支持PROFINET通信；实数数学运算执行速度2.3μs/指令，布尔运算执行速度0.08μs/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45.工业数据交换装置(1个)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支持网络标准IEEE802.3、IEEE802.3u、IEEE802.3x；8个10/100/1000Mbps自适应RJ45端口；全钢材壳体，强劲散热性能保证机器稳定运行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46.操作面板(1个)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1个总电源输入开关，控制输入电源的开启关闭；1个电源模块急停按钮，切断总控单元电源模块向其他单元模块的供电；4个自定义功能按钮，1个自复位绿色灯按钮，1个自复位红色灯按钮，1个自保持绿色灯按钮，1个自保持红色灯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47.显示端(1个)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屏幕≥24寸；屏幕分辨率高清≥1366×768；屏幕比例16:9；视频接口HDMI1.4。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48.移动终端(1个)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尺寸≥8寸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支持WiFi和蓝牙连接。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49.电源模块(1个)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输入电源为三相五线制，AC 380V，50Hz，15kW，重载连接器插头，接线安全防触电；执行单元输出电源为单相三线制，AC 220V，50Hz，7kW，重载连接器插头，接线安全防触电，配空气开关和指示灯；仓储单元输出电源为单相三线制，AC 220V，50Hz，2kW，重载连接器插头，接线安全防触电，配空气开关和指示灯；加工单元输出电源为三相五线制，AC 380V，50Hz，12kW，重载连接器插头，接线安全防触电，配空气开关和指示灯；打磨单元输出电源为单相三线制，AC 220V，50Hz，2kW，重载连接器插头，接线安全防触电，配空气开关和指示灯；检测单元输出电源为单相三线制，AC 220V，50Hz，2kW，重载连接器插头，接线安全防触电，配空气开关和指示灯；分拣单元输出电源为单相三线制，AC 220V，50Hz，2kW，重载连接器插头，接线安全防触电，配空气开关和指示灯。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50.气源模块(1个)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气泵功率≥600W，排气量118L/min，最大压力8bar，储气罐24L；提供8路气路供气接口，可用于其他单元独立提供压缩空气，每路空气接口可单独开启关闭。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51.工作台(1个)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铝合金型材结构，工作台式设计，台面可安装功能模块，底部柜体内可安装电气设备；台面长≥1360mm×宽≥680mm×厚≥20mm；底部柜体长≥1280mm×宽≥600mm×高≥700mm；底部柜体四角安装有脚轮，轮片直径50mm，轮片宽度25mm，可调高度10mm；工作台面合理布置有线槽，方便控制信号线和气路布线，且电、气分开；底部柜体上端和下端四周安装有线槽，可方便电源线、气管和通信线布线；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52.▲配套MCD机电一体化培训课程(系统工程与定制行为培训课程课件1套，课件内容不少于10页)</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课程内容至少包含：</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第一节  需求、功能与逻辑；</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第二节  运动时参数与运动表达式；</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第三节  代理对象、标记表单、标记表；</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第四节  读写设备与显示更改器。</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注：至少提供以上培训课程内容PPT的截图，不提供或与课程包含的内容不符合视为负偏离。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配套训练系统</w:t>
            </w: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53.离线编程软件(1个)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正版软件，中文界面，可提供持续的中文技术支持服务，软件可使用所有功能模块，界面无“试用版”字样，需提供截图证明；具备轨迹优化功能，通过图形化方式展示机器人工作的最优区域，并通过调整曲线让机器人处于工作最优区内，解决不可达、轴超限和奇异点的问题；支持轨迹编辑功能，以图形化方式通过拖动参数曲线来编辑一条轨迹中指定个数的点，达到整条轨迹光滑过渡的效果；具备以时间轴为展示方式之一的仿真管理面板。以时间轴的方式同时展示多个机器人和运动机构的运动时序，体现相互等待关系和每条轨迹运行的起止时间、运行进度等；具备专业的后置代码编辑器。后置代码编辑器可以显示代码的行号，数字、注释和指令等关键字以不同颜色显示；函数在编辑过程中有参数提示；函数和注释可折叠隐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54.自动化编程软件(1个)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正版软件，中文界面，可提供持续的中文技术支持服务，软件可使用所有功能模块，授权无时间限制；与总控单元的PLC控制器同品牌，用于对PLC及其IO模块进行组态配置和编程编译；面向任务和用户的系统；所有的程序编辑器都具有统一的外观，优化后的工作区域画面布局工位灵活便捷；网络与设备图形化的组合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55.MES编程平台(1个)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正版软件，中文界面，可提供持续的中文技术支持服务，软件可使用所有功能模块，授权无时间限制；与总控单元的PLC控制器同品牌，用于对HMI人机界面进行组态配置和编程编译；通用的应用程序，适合所有工业领域的解决方案；内置所有操作和管理功能，可简单、有效地进行组态；可基于Web持续延展，采用开放性标准，集成简便；支持工业以太网通讯，方便大数据实时传输；基于最新软件技术的创新组态界面、适用于用户定义对象和面板的全面库设计，实现图形化组态和批量数据处理的智能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配套工具</w:t>
            </w: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56.安装工具要求</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具盒1个，内六角扳手1套，螺丝刀1把，斜口钳1把，气管剪1个，万用表1个，刀具2把，端面打磨头20个，侧面打磨头5个，单元间固定连接板15个，单元间供电连接线五线制2根，单元间供电连接线三线制5根，单元间通信连接线5m长6根，单元间通信连接线1m长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57.HMI(2个)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尺寸：≥7寸、工业以太网接口≥1个；触摸屏配方≥300个，带归档；支持矢量图、棒图、曲线图；与PLC同品牌，能够与可编程控制器(CPU单元)在同一软件平台组态。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58.PLC CPU模块1(5个)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LC具备模块化结构，可自主扩展信号模块和通讯模块；可扩展信号模块不低于8个，可扩展通讯模块不低于3个；IO接口形式为AC/DC/RLY，PLC本体至少包含14个数字输入点和10个数字输出点，以及2路模拟量输入、2路模拟量输出模块；PLC需支持浮点运算，布尔运算执行时间不高于0.08μs/指令；具备不低于6路的高速输入口，具备不低于4路的高速输出口；支持PWM输出，PWM输出不低于4路；支持运动控制指令，支持的轴数不低于4轴；具备标准工业以太网RJ45接口，支持不少于一种的工业总线通讯协议，如PROFINET，Modbus TCP，DeviceNet等。具备Web服务器功能，具有OPC通讯功能；工作存储器不低于100KB，可用专用SD卡扩展；编程语言至少支持梯形图、功能块图、指令表语言；电源：AC 120V-230V。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59.PLC CPU模块2(5个)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具备模块化结构，可扩展最多8个信号模块和3个通信模块，CPU主模块支持Profinet等现场总线通信协议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14点输入/10 点输出；2路模拟量输入；IO接口形式为DC/DC/DC。扩展模块水平插接；CPU支持浮点运算,布尔运算执行时间0.08µs/指令,用户储存器不低于4MB；高速脉冲输入不低于6路，其中不少于3路高速脉冲输入最大频率不低于90kHz</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其中不少于3路高速脉冲输入最大频率不低于25kHz；高速脉冲输出不低于4路，这4路高速脉冲输出最大频率不低于90kHz；支持PWM输出，PWM输出不低于4路，这4路PWM输出最大频率不低于90kHz；支持运动控制指令，支持的轴数不少于4轴；工业以太网接口1个，支持Profinet等现场总线通信协议；具有Web服务器功能；具有OPC功能；IP防护等级：不低于IP20；PLC要能够与变频器、伺服控制器直接进行通信</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60.PLC CPU模块3(2个)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PLC具备模块化结构，可自主扩展信号模块和通讯模块。可扩展信号模块不低于8个，可扩展通讯模块不低于3个。IO接口形式为DC/DC/DC，PLC本体至少包含14个数字输入点和10个数字输出点，以及2路模拟量输入、2路模拟量输出模块。PLC需支持浮点运算，布尔运算执行时间不高于0.08μs/指令。具备不低于6路的高速输入口，具备不低于4路的高速输出口。支持PWM输出，PWM输出不低于4路。支持运动控制指令，支持的轴数不低于4轴。具备标准工业以太网RJ45接口，支持不少于一种的工业总线通讯协议，如PROFINET，Modbus TCP，DeviceNet等。具备Web服务器功能，具有OPC通讯功能。工作存储器不低于100KB，可用专用SD卡扩展。编程语言至少支持梯形图、功能块图、指令表语言</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61.伺服驱动器(4个)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伺服驱动器输入电压：220V-240V 1AC，额定功率：不低于0.4kW；可实现以下控制模式：外部脉冲位置控制、内部设定值位置控制、速度控制、扭矩控制、复合控制和JOG控制；外部脉冲位置控制最大输入脉冲频率：不低于1MHz(5V高速差分信号)；不低于200kHz(24V单端信号)；具备RS485接口，可通过PLC的脉冲/方向接口(PTI)控制变频器；具备标准迷你USB接口，用于连接PC进行参数调试；具备20位的绝对值编码器接口或具备更高精度的编码器接口；编码器接口可以连接绝对值编码器也可以连接增量编码器。定位精度：绝对编码器(20位分辨率)。最高工作温度不低于45℃，过载能力：不低于2.5倍；具有安全扭矩停止(STO)功能；具备自动抑制机械谐振频率功能；内置基本型操作面板；伺服驱动器与CPU单元同品牌</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62.交流伺服电机(4个)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与伺服驱动器同品牌；电机轴高不低于30mm，长度不大于135mm；额定电压220V 1AC；额定功率不低于0.1kw；额定转速不低于3000rpm；自带编码器，TTL 2500 ppr；额定转矩不低于0.64N·m；伺服电机工作最高温度不低于40℃；永磁同步伺服电机与伺服驱动器配套</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63.伺服电机动力电缆(5个)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预制配套功率电缆，与伺服控制器和伺服电机配套使用；电缆长度不低于3米，铜芯线缆组成。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p>
        </w:tc>
        <w:tc>
          <w:tcPr>
            <w:tcW w:w="4191" w:type="pct"/>
            <w:shd w:val="clear" w:color="auto" w:fill="auto"/>
            <w:vAlign w:val="center"/>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64.伺服电机增量式编码器电缆(5个)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预制配套编码器信号传输电缆，用于伺服控制器和伺服电机配套使用；电缆长度不低于3米，铜芯线缆组成。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pct"/>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工业机器人离线编程软件</w:t>
            </w:r>
          </w:p>
        </w:tc>
        <w:tc>
          <w:tcPr>
            <w:tcW w:w="4191" w:type="pct"/>
            <w:shd w:val="clear" w:color="auto" w:fill="auto"/>
          </w:tcPr>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软件节点数(10个)</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65.▲正版软件，中文界面，可提供持续的中文技术支持服务，软件可使用所有功能模块，需不存在任何知识产权纠纷，软件与执行单元、工具单元、仓储单元、加工单元、打磨单元、检测单元、分拣单元、总控单元配套使用</w:t>
            </w:r>
            <w:r>
              <w:rPr>
                <w:rFonts w:hint="eastAsia" w:ascii="宋体" w:hAnsi="宋体" w:eastAsia="宋体" w:cs="宋体"/>
                <w:b/>
                <w:bCs/>
                <w:color w:val="auto"/>
                <w:sz w:val="21"/>
                <w:szCs w:val="21"/>
                <w:highlight w:val="none"/>
              </w:rPr>
              <w:t>(投标人提供基于执行单元、工具单元、仓储单元、加工单元、打磨单元、检测单元、分拣单元、总控单元这八大单元建模开发的三维模型截图)</w:t>
            </w:r>
            <w:r>
              <w:rPr>
                <w:rFonts w:hint="eastAsia" w:ascii="宋体" w:hAnsi="宋体" w:eastAsia="宋体" w:cs="宋体"/>
                <w:color w:val="auto"/>
                <w:sz w:val="21"/>
                <w:szCs w:val="21"/>
                <w:highlight w:val="none"/>
              </w:rPr>
              <w:t>；</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66.可实现多个品牌、多个型号的工业机器人进行模型导入、轨迹规划、运动仿真和控制代码输出，实现离线编程</w:t>
            </w:r>
            <w:r>
              <w:rPr>
                <w:rFonts w:hint="eastAsia" w:ascii="宋体" w:hAnsi="宋体" w:eastAsia="宋体" w:cs="宋体"/>
                <w:b/>
                <w:bCs/>
                <w:color w:val="auto"/>
                <w:sz w:val="21"/>
                <w:szCs w:val="21"/>
                <w:highlight w:val="none"/>
              </w:rPr>
              <w:t>(提供软件功能截图)</w:t>
            </w:r>
            <w:r>
              <w:rPr>
                <w:rFonts w:hint="eastAsia" w:ascii="宋体" w:hAnsi="宋体" w:eastAsia="宋体" w:cs="宋体"/>
                <w:color w:val="auto"/>
                <w:sz w:val="21"/>
                <w:szCs w:val="21"/>
                <w:highlight w:val="none"/>
              </w:rPr>
              <w:t>；</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67.轨迹生成基于CAD数据，简化轨迹生成过程，提高精度，可利用实体模型、曲面或曲线直接生成运动轨迹；</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68.▲支持多轴机器人的运动、仿真，如4轴、6轴、8轴、10轴等</w:t>
            </w:r>
            <w:r>
              <w:rPr>
                <w:rFonts w:hint="eastAsia" w:ascii="宋体" w:hAnsi="宋体" w:eastAsia="宋体" w:cs="宋体"/>
                <w:b/>
                <w:bCs/>
                <w:color w:val="auto"/>
                <w:sz w:val="21"/>
                <w:szCs w:val="21"/>
                <w:highlight w:val="none"/>
              </w:rPr>
              <w:t>(提供软件功能截图)</w:t>
            </w:r>
            <w:r>
              <w:rPr>
                <w:rFonts w:hint="eastAsia" w:ascii="宋体" w:hAnsi="宋体" w:eastAsia="宋体" w:cs="宋体"/>
                <w:color w:val="auto"/>
                <w:sz w:val="21"/>
                <w:szCs w:val="21"/>
                <w:highlight w:val="none"/>
              </w:rPr>
              <w:t>；</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69.支持变位夹具设定多种抓取姿态。如可以将一个变位夹具定义成直、弯两种状态。</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70.生成的轨迹可进行分组管理。分组后，可对轨迹组进行注释、删除等，实现对相似轨迹的统一操作</w:t>
            </w:r>
            <w:r>
              <w:rPr>
                <w:rFonts w:hint="eastAsia" w:ascii="宋体" w:hAnsi="宋体" w:eastAsia="宋体" w:cs="宋体"/>
                <w:b/>
                <w:bCs/>
                <w:color w:val="auto"/>
                <w:sz w:val="21"/>
                <w:szCs w:val="21"/>
                <w:highlight w:val="none"/>
              </w:rPr>
              <w:t>(提供软件功能截图)</w:t>
            </w:r>
            <w:r>
              <w:rPr>
                <w:rFonts w:hint="eastAsia" w:ascii="宋体" w:hAnsi="宋体" w:eastAsia="宋体" w:cs="宋体"/>
                <w:color w:val="auto"/>
                <w:sz w:val="21"/>
                <w:szCs w:val="21"/>
                <w:highlight w:val="none"/>
              </w:rPr>
              <w:t>；</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71.▲可实现将编程结果仿真运行并输出3D仿真，上传云端自动生成二维码及链接，可用手机扫描二维码后缩放、平移查看该动画。或复制链接后，通过浏览器直接播放，并可以自由切换观看视角和放大缩小</w:t>
            </w:r>
            <w:r>
              <w:rPr>
                <w:rFonts w:hint="eastAsia" w:ascii="宋体" w:hAnsi="宋体" w:eastAsia="宋体" w:cs="宋体"/>
                <w:b/>
                <w:bCs/>
                <w:color w:val="auto"/>
                <w:sz w:val="21"/>
                <w:szCs w:val="21"/>
                <w:highlight w:val="none"/>
              </w:rPr>
              <w:t>(提供软件功能截图)</w:t>
            </w:r>
            <w:r>
              <w:rPr>
                <w:rFonts w:hint="eastAsia" w:ascii="宋体" w:hAnsi="宋体" w:eastAsia="宋体" w:cs="宋体"/>
                <w:color w:val="auto"/>
                <w:sz w:val="21"/>
                <w:szCs w:val="21"/>
                <w:highlight w:val="none"/>
              </w:rPr>
              <w:t>；</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提供自定义后置通用指令库。自定义机器人时，可用业界流行的拖拽方式定义后置格式；可根据机器人品牌选择相应的后置代码模板，定义生成代码并实时预显；包含节拍统计分析功能。可统计机器人运行的全程时间、节拍、运动的平均速度、总距离、总轨迹点数等信息，方便用户评估机器人工作效率；支持机器人三维仿真和后置代码分屏同步调试运行，可实时监控仿真效果。并可显示编程代码的行号，数字、注释、指令等；具备轨迹优化功能，通过图形化方式展示机器人工作的最优区域，并通过调整曲线让机器人处于工作最优区内，解决不可达、轴超限和奇异点的问题；支持轨迹编辑功能，以图形化方式通过拖动参数曲线，来编辑一条轨迹中指定个数的点，达到让整条轨迹光滑过渡的效果</w:t>
            </w:r>
            <w:r>
              <w:rPr>
                <w:rFonts w:hint="eastAsia" w:ascii="宋体" w:hAnsi="宋体" w:eastAsia="宋体" w:cs="宋体"/>
                <w:b/>
                <w:bCs/>
                <w:color w:val="auto"/>
                <w:sz w:val="21"/>
                <w:szCs w:val="21"/>
                <w:highlight w:val="none"/>
              </w:rPr>
              <w:t>(提供软件功能截图)</w:t>
            </w:r>
            <w:r>
              <w:rPr>
                <w:rFonts w:hint="eastAsia" w:ascii="宋体" w:hAnsi="宋体" w:eastAsia="宋体" w:cs="宋体"/>
                <w:color w:val="auto"/>
                <w:sz w:val="21"/>
                <w:szCs w:val="21"/>
                <w:highlight w:val="none"/>
              </w:rPr>
              <w:t>；</w:t>
            </w:r>
          </w:p>
          <w:p>
            <w:pPr>
              <w:pStyle w:val="82"/>
              <w:keepNext w:val="0"/>
              <w:keepLines w:val="0"/>
              <w:pageBreakBefore w:val="0"/>
              <w:widowControl w:val="0"/>
              <w:kinsoku/>
              <w:wordWrap w:val="0"/>
              <w:overflowPunct/>
              <w:topLinePunct w:val="0"/>
              <w:autoSpaceDE/>
              <w:autoSpaceDN/>
              <w:bidi w:val="0"/>
              <w:adjustRightInd w:val="0"/>
              <w:snapToGrid w:val="0"/>
              <w:spacing w:line="320" w:lineRule="exact"/>
              <w:ind w:left="57" w:right="57"/>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具备以时间轴为展示方式之一的仿真管理面板。以时间轴的方式同时展示多个机器人和运动机构的运动时序，体现相互等待关系和每条轨迹运行的起止时间、运行进度等；在程序设计、仿真过程两种模式中，可通过按F11等快捷键全屏突出显示设计环境的绘图区内的模型；多显示器情况下，可实现软件和绘图区分屏显示。支持机器人在线查找。可以直接从云端机器人库中选择机器人进行离线编程，选择过程中支持搜索、筛选和排序，并推荐相似参数的机器人供用户选择；具备专业的后置代码编辑器。后置代码编辑器可以显示代码的行号，数字、注释和指令等关键字以不同颜色显示；函数在编辑过程中有参数提示；函数和注释可折叠隐藏；具有贴图功能，可通过贴图代替或简化离线编程软件虚拟场景中复杂的模型搭建；软件集成多类型、多行业在线工作站；可实现软件问题交流在线化；作品分享展示在线化；软件在线资源更新实时化；可利用3D点云数据，使设计环境和真机环境内机器人、工具、被加工零部件之间的空间位置关系保持一致，实现高精度校准；利用云服务平台，实时把控前端软件考试活动进度；考试结果通过云端智能算法自动进行打分评判；考试全程远程、自动化运行；支持仿真时显示加工效果</w:t>
            </w:r>
            <w:r>
              <w:rPr>
                <w:rFonts w:hint="eastAsia" w:ascii="宋体" w:hAnsi="宋体" w:eastAsia="宋体" w:cs="宋体"/>
                <w:b/>
                <w:bCs/>
                <w:color w:val="auto"/>
                <w:sz w:val="21"/>
                <w:szCs w:val="21"/>
                <w:highlight w:val="none"/>
              </w:rPr>
              <w:t>(提供软件功能截图)</w:t>
            </w:r>
            <w:r>
              <w:rPr>
                <w:rFonts w:hint="eastAsia" w:ascii="宋体" w:hAnsi="宋体" w:eastAsia="宋体" w:cs="宋体"/>
                <w:color w:val="auto"/>
                <w:sz w:val="21"/>
                <w:szCs w:val="21"/>
                <w:highlight w:val="none"/>
              </w:rPr>
              <w:t>。</w:t>
            </w:r>
          </w:p>
        </w:tc>
      </w:tr>
    </w:tbl>
    <w:p>
      <w:pPr>
        <w:pStyle w:val="31"/>
        <w:keepNext w:val="0"/>
        <w:keepLines w:val="0"/>
        <w:pageBreakBefore w:val="0"/>
        <w:widowControl w:val="0"/>
        <w:numPr>
          <w:ilvl w:val="1"/>
          <w:numId w:val="9"/>
        </w:numPr>
        <w:kinsoku/>
        <w:overflowPunct/>
        <w:autoSpaceDE/>
        <w:autoSpaceDN/>
        <w:bidi w:val="0"/>
        <w:adjustRightInd w:val="0"/>
        <w:snapToGrid w:val="0"/>
        <w:spacing w:line="440" w:lineRule="exact"/>
        <w:ind w:firstLine="482"/>
        <w:textAlignment w:val="auto"/>
        <w:rPr>
          <w:rFonts w:hint="eastAsia" w:ascii="宋体" w:hAnsi="宋体" w:eastAsia="宋体" w:cs="宋体"/>
          <w:color w:val="auto"/>
          <w:sz w:val="24"/>
          <w:szCs w:val="24"/>
          <w:highlight w:val="none"/>
        </w:rPr>
      </w:pPr>
      <w:bookmarkStart w:id="1011" w:name="_Toc31677"/>
      <w:bookmarkStart w:id="1012" w:name="_Toc12739"/>
      <w:bookmarkStart w:id="1013" w:name="_Toc8752_WPSOffice_Level2"/>
      <w:bookmarkStart w:id="1014" w:name="_Toc6974"/>
      <w:bookmarkStart w:id="1015" w:name="_Toc7101"/>
      <w:bookmarkStart w:id="1016" w:name="_Toc9683"/>
      <w:bookmarkStart w:id="1017" w:name="_Toc27497"/>
      <w:r>
        <w:rPr>
          <w:rFonts w:hint="eastAsia" w:ascii="宋体" w:hAnsi="宋体" w:eastAsia="宋体" w:cs="宋体"/>
          <w:color w:val="auto"/>
          <w:sz w:val="24"/>
          <w:szCs w:val="24"/>
          <w:highlight w:val="none"/>
        </w:rPr>
        <w:t>商务要求</w:t>
      </w:r>
      <w:bookmarkEnd w:id="1011"/>
    </w:p>
    <w:p>
      <w:pPr>
        <w:pStyle w:val="44"/>
        <w:keepNext w:val="0"/>
        <w:keepLines w:val="0"/>
        <w:pageBreakBefore w:val="0"/>
        <w:widowControl w:val="0"/>
        <w:numPr>
          <w:ilvl w:val="1"/>
          <w:numId w:val="25"/>
        </w:numPr>
        <w:kinsoku/>
        <w:overflowPunct/>
        <w:autoSpaceDE/>
        <w:autoSpaceDN/>
        <w:bidi w:val="0"/>
        <w:adjustRightInd w:val="0"/>
        <w:snapToGrid w:val="0"/>
        <w:spacing w:line="440" w:lineRule="exact"/>
        <w:ind w:firstLine="482"/>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履约时间及履约地点</w:t>
      </w:r>
    </w:p>
    <w:p>
      <w:pPr>
        <w:pStyle w:val="44"/>
        <w:keepNext w:val="0"/>
        <w:keepLines w:val="0"/>
        <w:pageBreakBefore w:val="0"/>
        <w:widowControl w:val="0"/>
        <w:numPr>
          <w:ilvl w:val="0"/>
          <w:numId w:val="26"/>
        </w:numPr>
        <w:tabs>
          <w:tab w:val="clear" w:pos="312"/>
        </w:tabs>
        <w:kinsoku/>
        <w:overflowPunct/>
        <w:autoSpaceDE/>
        <w:autoSpaceDN/>
        <w:bidi w:val="0"/>
        <w:adjustRightInd w:val="0"/>
        <w:snapToGrid w:val="0"/>
        <w:spacing w:line="44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★履约时间：</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供货时间：合同签订之日起10日历天内(含法定节假日), </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在采购人指定地点完成设备送货、安装、调试工作。</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售后服务时间：投标人提供360个日历天的售后服务，售后服务期的起始日期为用户现场设备验收合格之日起开始计算。</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2.★履约地点：成都市郫都区红光镇港通北三路1899号。</w:t>
      </w:r>
    </w:p>
    <w:p>
      <w:pPr>
        <w:pStyle w:val="44"/>
        <w:keepNext w:val="0"/>
        <w:keepLines w:val="0"/>
        <w:pageBreakBefore w:val="0"/>
        <w:widowControl w:val="0"/>
        <w:numPr>
          <w:ilvl w:val="1"/>
          <w:numId w:val="25"/>
        </w:numPr>
        <w:kinsoku/>
        <w:overflowPunct/>
        <w:autoSpaceDE/>
        <w:autoSpaceDN/>
        <w:bidi w:val="0"/>
        <w:adjustRightInd w:val="0"/>
        <w:snapToGrid w:val="0"/>
        <w:spacing w:line="440" w:lineRule="exact"/>
        <w:ind w:firstLine="482"/>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合同价款及支付方式</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1.★合同价款</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合同价为固定包干价格，包括但不限于设备的供货、包装、运输、安装、调试、培训、利润、售后服务等与完成本项目有关的所有费用。本合同执行期间合同总价不变，</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无须另向</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支付合同</w:t>
      </w:r>
      <w:r>
        <w:rPr>
          <w:rFonts w:hint="eastAsia" w:cs="宋体"/>
          <w:color w:val="auto"/>
          <w:sz w:val="24"/>
          <w:szCs w:val="24"/>
          <w:highlight w:val="none"/>
          <w:lang w:val="en-US" w:eastAsia="zh-CN"/>
        </w:rPr>
        <w:t>约</w:t>
      </w:r>
      <w:r>
        <w:rPr>
          <w:rFonts w:hint="eastAsia" w:ascii="宋体" w:hAnsi="宋体" w:eastAsia="宋体" w:cs="宋体"/>
          <w:color w:val="auto"/>
          <w:sz w:val="24"/>
          <w:szCs w:val="24"/>
          <w:highlight w:val="none"/>
        </w:rPr>
        <w:t>定之外的其他任何费用。</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2.★支付方式</w:t>
      </w:r>
    </w:p>
    <w:p>
      <w:pPr>
        <w:keepNext w:val="0"/>
        <w:keepLines w:val="0"/>
        <w:pageBreakBefore w:val="0"/>
        <w:widowControl w:val="0"/>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2.1.一次性银行转账付款</w:t>
      </w:r>
      <w:r>
        <w:rPr>
          <w:rFonts w:hint="eastAsia" w:cs="宋体"/>
          <w:color w:val="auto"/>
          <w:sz w:val="24"/>
          <w:szCs w:val="24"/>
          <w:highlight w:val="none"/>
          <w:lang w:eastAsia="zh-CN"/>
        </w:rPr>
        <w:t>。</w:t>
      </w:r>
      <w:r>
        <w:rPr>
          <w:rFonts w:hint="eastAsia" w:cs="宋体"/>
          <w:color w:val="auto"/>
          <w:sz w:val="24"/>
          <w:szCs w:val="24"/>
          <w:highlight w:val="none"/>
          <w:lang w:val="en-US" w:eastAsia="zh-CN"/>
        </w:rPr>
        <w:t>投标人</w:t>
      </w:r>
      <w:r>
        <w:rPr>
          <w:rFonts w:hint="eastAsia" w:ascii="宋体" w:hAnsi="宋体" w:eastAsia="宋体" w:cs="宋体"/>
          <w:color w:val="auto"/>
          <w:sz w:val="24"/>
          <w:szCs w:val="24"/>
          <w:highlight w:val="none"/>
        </w:rPr>
        <w:t>完成设备送货、安装、调试工作，</w:t>
      </w:r>
      <w:r>
        <w:rPr>
          <w:rFonts w:hint="eastAsia" w:cs="宋体"/>
          <w:color w:val="auto"/>
          <w:sz w:val="24"/>
          <w:szCs w:val="24"/>
          <w:highlight w:val="none"/>
          <w:lang w:val="en-US" w:eastAsia="zh-CN"/>
        </w:rPr>
        <w:t>且货物</w:t>
      </w:r>
      <w:r>
        <w:rPr>
          <w:rFonts w:hint="eastAsia" w:ascii="宋体" w:hAnsi="宋体" w:eastAsia="宋体" w:cs="宋体"/>
          <w:color w:val="auto"/>
          <w:sz w:val="24"/>
          <w:szCs w:val="24"/>
          <w:highlight w:val="none"/>
        </w:rPr>
        <w:t>经采购人验收合格后，采购人自收到投标人提供的符合采购人财务要求且合法有效完整的等额完税发票之日起30</w:t>
      </w:r>
      <w:r>
        <w:rPr>
          <w:rFonts w:hint="eastAsia" w:ascii="宋体" w:hAnsi="宋体" w:eastAsia="宋体" w:cs="宋体"/>
          <w:color w:val="auto"/>
          <w:sz w:val="24"/>
          <w:szCs w:val="24"/>
          <w:highlight w:val="none"/>
          <w:lang w:val="en-US" w:eastAsia="zh-CN"/>
        </w:rPr>
        <w:t>个</w:t>
      </w:r>
      <w:r>
        <w:rPr>
          <w:rFonts w:hint="eastAsia" w:ascii="宋体" w:hAnsi="宋体" w:eastAsia="宋体" w:cs="宋体"/>
          <w:color w:val="auto"/>
          <w:sz w:val="24"/>
          <w:szCs w:val="24"/>
          <w:highlight w:val="none"/>
        </w:rPr>
        <w:t>日历天内</w:t>
      </w:r>
      <w:r>
        <w:rPr>
          <w:rFonts w:hint="eastAsia" w:cs="宋体"/>
          <w:color w:val="auto"/>
          <w:sz w:val="24"/>
          <w:szCs w:val="24"/>
          <w:highlight w:val="none"/>
          <w:lang w:val="en-US" w:eastAsia="zh-CN"/>
        </w:rPr>
        <w:t>内</w:t>
      </w:r>
      <w:r>
        <w:rPr>
          <w:rFonts w:hint="eastAsia" w:ascii="宋体" w:hAnsi="宋体" w:eastAsia="宋体" w:cs="宋体"/>
          <w:color w:val="auto"/>
          <w:sz w:val="24"/>
          <w:szCs w:val="24"/>
          <w:highlight w:val="none"/>
        </w:rPr>
        <w:t>支付合同总价的</w:t>
      </w:r>
      <w:r>
        <w:rPr>
          <w:rFonts w:hint="eastAsia" w:ascii="宋体" w:hAnsi="宋体" w:eastAsia="宋体" w:cs="宋体"/>
          <w:color w:val="auto"/>
          <w:sz w:val="24"/>
          <w:szCs w:val="24"/>
          <w:highlight w:val="none"/>
          <w:lang w:val="en-US" w:eastAsia="zh-CN"/>
        </w:rPr>
        <w:t>百分之百</w:t>
      </w:r>
      <w:r>
        <w:rPr>
          <w:rFonts w:hint="eastAsia" w:ascii="宋体" w:hAnsi="宋体" w:eastAsia="宋体" w:cs="宋体"/>
          <w:color w:val="auto"/>
          <w:sz w:val="24"/>
          <w:szCs w:val="24"/>
          <w:highlight w:val="none"/>
        </w:rPr>
        <w:t>的</w:t>
      </w:r>
      <w:r>
        <w:rPr>
          <w:rFonts w:hint="eastAsia" w:cs="宋体"/>
          <w:color w:val="auto"/>
          <w:sz w:val="24"/>
          <w:szCs w:val="24"/>
          <w:highlight w:val="none"/>
          <w:lang w:val="en-US" w:eastAsia="zh-CN"/>
        </w:rPr>
        <w:t>合同款</w:t>
      </w:r>
      <w:r>
        <w:rPr>
          <w:rFonts w:hint="eastAsia" w:ascii="宋体" w:hAnsi="宋体" w:eastAsia="宋体" w:cs="宋体"/>
          <w:color w:val="auto"/>
          <w:sz w:val="24"/>
          <w:szCs w:val="24"/>
          <w:highlight w:val="none"/>
        </w:rPr>
        <w:t>；如采购人收到发票之日早于</w:t>
      </w:r>
      <w:r>
        <w:rPr>
          <w:rFonts w:hint="eastAsia" w:cs="宋体"/>
          <w:color w:val="auto"/>
          <w:sz w:val="24"/>
          <w:szCs w:val="24"/>
          <w:highlight w:val="none"/>
          <w:lang w:val="en-US" w:eastAsia="zh-CN"/>
        </w:rPr>
        <w:t>货物</w:t>
      </w:r>
      <w:r>
        <w:rPr>
          <w:rFonts w:hint="eastAsia" w:ascii="宋体" w:hAnsi="宋体" w:eastAsia="宋体" w:cs="宋体"/>
          <w:color w:val="auto"/>
          <w:sz w:val="24"/>
          <w:szCs w:val="24"/>
          <w:highlight w:val="none"/>
        </w:rPr>
        <w:t>验收合格之日， 则自</w:t>
      </w:r>
      <w:r>
        <w:rPr>
          <w:rFonts w:hint="eastAsia" w:cs="宋体"/>
          <w:color w:val="auto"/>
          <w:sz w:val="24"/>
          <w:szCs w:val="24"/>
          <w:highlight w:val="none"/>
          <w:lang w:val="en-US" w:eastAsia="zh-CN"/>
        </w:rPr>
        <w:t>货物</w:t>
      </w:r>
      <w:r>
        <w:rPr>
          <w:rFonts w:hint="eastAsia" w:ascii="宋体" w:hAnsi="宋体" w:eastAsia="宋体" w:cs="宋体"/>
          <w:color w:val="auto"/>
          <w:sz w:val="24"/>
          <w:szCs w:val="24"/>
          <w:highlight w:val="none"/>
        </w:rPr>
        <w:t>验收合格之日起30</w:t>
      </w:r>
      <w:r>
        <w:rPr>
          <w:rFonts w:hint="eastAsia" w:ascii="宋体" w:hAnsi="宋体" w:eastAsia="宋体" w:cs="宋体"/>
          <w:color w:val="auto"/>
          <w:sz w:val="24"/>
          <w:szCs w:val="24"/>
          <w:highlight w:val="none"/>
          <w:lang w:val="en-US" w:eastAsia="zh-CN"/>
        </w:rPr>
        <w:t>个</w:t>
      </w:r>
      <w:r>
        <w:rPr>
          <w:rFonts w:hint="eastAsia" w:ascii="宋体" w:hAnsi="宋体" w:eastAsia="宋体" w:cs="宋体"/>
          <w:color w:val="auto"/>
          <w:sz w:val="24"/>
          <w:szCs w:val="24"/>
          <w:highlight w:val="none"/>
        </w:rPr>
        <w:t>日历天内付款。</w:t>
      </w:r>
    </w:p>
    <w:p>
      <w:pPr>
        <w:keepNext w:val="0"/>
        <w:keepLines w:val="0"/>
        <w:pageBreakBefore w:val="0"/>
        <w:widowControl w:val="0"/>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2.2.投标人未提供增值税发票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普票</w:t>
      </w:r>
      <w:r>
        <w:rPr>
          <w:rFonts w:hint="eastAsia" w:ascii="宋体" w:hAnsi="宋体" w:eastAsia="宋体" w:cs="宋体"/>
          <w:color w:val="auto"/>
          <w:sz w:val="24"/>
          <w:szCs w:val="24"/>
          <w:highlight w:val="none"/>
          <w:lang w:val="en-US" w:eastAsia="zh-CN"/>
        </w:rPr>
        <w:t>或专票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，或发票经国税网验审不合格的，或者投标人提供的发票不满足采购人财务要求的，采购人有权拒付，且不承担逾期付款的责任。</w:t>
      </w:r>
    </w:p>
    <w:p>
      <w:pPr>
        <w:keepNext w:val="0"/>
        <w:keepLines w:val="0"/>
        <w:pageBreakBefore w:val="0"/>
        <w:widowControl w:val="0"/>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2.3.投标人</w:t>
      </w:r>
      <w:r>
        <w:rPr>
          <w:rFonts w:hint="eastAsia" w:ascii="宋体" w:hAnsi="宋体" w:eastAsia="宋体" w:cs="宋体"/>
          <w:color w:val="auto"/>
          <w:sz w:val="24"/>
          <w:szCs w:val="24"/>
          <w:highlight w:val="none"/>
        </w:rPr>
        <w:t>保证提供的银行账户信息真实有效，如果</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账户信息更改，需要在</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付款前</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个日历天内告知甲方，若因</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原因导致</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无法付款或错误付款，后果由</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自行承担。</w:t>
      </w:r>
    </w:p>
    <w:p>
      <w:pPr>
        <w:pStyle w:val="44"/>
        <w:keepNext w:val="0"/>
        <w:keepLines w:val="0"/>
        <w:pageBreakBefore w:val="0"/>
        <w:widowControl w:val="0"/>
        <w:numPr>
          <w:ilvl w:val="1"/>
          <w:numId w:val="25"/>
        </w:numPr>
        <w:kinsoku/>
        <w:overflowPunct/>
        <w:autoSpaceDE/>
        <w:autoSpaceDN/>
        <w:bidi w:val="0"/>
        <w:adjustRightInd w:val="0"/>
        <w:snapToGrid w:val="0"/>
        <w:spacing w:line="440" w:lineRule="exact"/>
        <w:ind w:firstLine="482"/>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包装、运输及质量要求</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1.投标人应保证货物(含零部件、配件等)是全新、未使用过的原装合格正品，表面无划伤、无碰撞痕迹。</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w:t>
      </w:r>
      <w:r>
        <w:rPr>
          <w:rFonts w:hint="eastAsia" w:ascii="宋体" w:hAnsi="宋体" w:eastAsia="宋体" w:cs="宋体"/>
          <w:snapToGrid w:val="0"/>
          <w:color w:val="auto"/>
          <w:sz w:val="24"/>
          <w:szCs w:val="24"/>
          <w:highlight w:val="none"/>
        </w:rPr>
        <w:t>提供的货物必须国家标准</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行业标准</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lang w:val="en-US" w:eastAsia="zh-CN"/>
        </w:rPr>
        <w:t>以及采购人的</w:t>
      </w:r>
      <w:r>
        <w:rPr>
          <w:rFonts w:hint="eastAsia" w:ascii="宋体" w:hAnsi="宋体" w:eastAsia="宋体" w:cs="宋体"/>
          <w:snapToGrid w:val="0"/>
          <w:color w:val="auto"/>
          <w:sz w:val="24"/>
          <w:szCs w:val="24"/>
          <w:highlight w:val="none"/>
        </w:rPr>
        <w:t>招标文件和</w:t>
      </w:r>
      <w:r>
        <w:rPr>
          <w:rFonts w:hint="eastAsia" w:ascii="宋体" w:hAnsi="宋体" w:eastAsia="宋体" w:cs="宋体"/>
          <w:color w:val="auto"/>
          <w:sz w:val="24"/>
          <w:szCs w:val="24"/>
          <w:highlight w:val="none"/>
        </w:rPr>
        <w:t>投标人</w:t>
      </w:r>
      <w:r>
        <w:rPr>
          <w:rFonts w:hint="eastAsia" w:ascii="宋体" w:hAnsi="宋体" w:eastAsia="宋体" w:cs="宋体"/>
          <w:snapToGrid w:val="0"/>
          <w:color w:val="auto"/>
          <w:sz w:val="24"/>
          <w:szCs w:val="24"/>
          <w:highlight w:val="none"/>
        </w:rPr>
        <w:t>的响应文件</w:t>
      </w:r>
      <w:r>
        <w:rPr>
          <w:rFonts w:hint="eastAsia" w:ascii="宋体" w:hAnsi="宋体" w:eastAsia="宋体" w:cs="宋体"/>
          <w:snapToGrid w:val="0"/>
          <w:color w:val="auto"/>
          <w:sz w:val="24"/>
          <w:szCs w:val="24"/>
          <w:highlight w:val="none"/>
          <w:lang w:val="en-US" w:eastAsia="zh-CN"/>
        </w:rPr>
        <w:t>规定的</w:t>
      </w:r>
      <w:r>
        <w:rPr>
          <w:rFonts w:hint="eastAsia" w:ascii="宋体" w:hAnsi="宋体" w:eastAsia="宋体" w:cs="宋体"/>
          <w:snapToGrid w:val="0"/>
          <w:color w:val="auto"/>
          <w:sz w:val="24"/>
          <w:szCs w:val="24"/>
          <w:highlight w:val="none"/>
        </w:rPr>
        <w:t>的质量</w:t>
      </w:r>
      <w:r>
        <w:rPr>
          <w:rFonts w:hint="eastAsia" w:ascii="宋体" w:hAnsi="宋体" w:eastAsia="宋体" w:cs="宋体"/>
          <w:snapToGrid w:val="0"/>
          <w:color w:val="auto"/>
          <w:sz w:val="24"/>
          <w:szCs w:val="24"/>
          <w:highlight w:val="none"/>
          <w:lang w:val="en-US" w:eastAsia="zh-CN"/>
        </w:rPr>
        <w:t>和</w:t>
      </w:r>
      <w:r>
        <w:rPr>
          <w:rFonts w:hint="eastAsia" w:ascii="宋体" w:hAnsi="宋体" w:eastAsia="宋体" w:cs="宋体"/>
          <w:snapToGrid w:val="0"/>
          <w:color w:val="auto"/>
          <w:sz w:val="24"/>
          <w:szCs w:val="24"/>
          <w:highlight w:val="none"/>
        </w:rPr>
        <w:t>规格的要求。</w:t>
      </w:r>
      <w:r>
        <w:rPr>
          <w:rFonts w:hint="eastAsia" w:ascii="宋体" w:hAnsi="宋体" w:eastAsia="宋体" w:cs="宋体"/>
          <w:color w:val="auto"/>
          <w:sz w:val="24"/>
          <w:szCs w:val="24"/>
          <w:highlight w:val="none"/>
        </w:rPr>
        <w:t>若投标人提供的产品的质量或规格与招标文件和投标人的投标文件不符，或证实产品是有缺陷的，包括潜在的缺陷或使用不符合要求的产品等，投标人应在接到采购人书面通知后15</w:t>
      </w:r>
      <w:r>
        <w:rPr>
          <w:rFonts w:hint="eastAsia" w:ascii="宋体" w:hAnsi="宋体" w:eastAsia="宋体" w:cs="宋体"/>
          <w:color w:val="auto"/>
          <w:sz w:val="24"/>
          <w:szCs w:val="24"/>
          <w:highlight w:val="none"/>
          <w:lang w:val="en-US" w:eastAsia="zh-CN"/>
        </w:rPr>
        <w:t>个</w:t>
      </w:r>
      <w:r>
        <w:rPr>
          <w:rFonts w:hint="eastAsia" w:ascii="宋体" w:hAnsi="宋体" w:eastAsia="宋体" w:cs="宋体"/>
          <w:color w:val="auto"/>
          <w:sz w:val="24"/>
          <w:szCs w:val="24"/>
          <w:highlight w:val="none"/>
        </w:rPr>
        <w:t>日历天内完成换货，因换货产生的费用由投标人承担，如因不合格产品给采购人造成损失，投标人还应承担赔偿责任。</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为本项目实施涉及的商品包装和快递包装，均符合财政部等三部门联合印发商品包装和快递包装政府采购需求标准(试行)(财办库〔2020〕123号)的要求，包装应适应于远距离运输、防潮、防震、防锈和防野蛮装卸，以确保货物安全无损运抵指定地点。由于包装不善所引起的货物损失均由投标人承担。</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4.包装方式为木架纸箱等包装。</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5.每一包装单元内应附详细的装箱单和质量合格凭证。</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6.投标人严格按照国家相关规范进行安装和调试。</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7.提供产品吊装、安装、数控系统等操作说明书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电子版技术资料</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pStyle w:val="44"/>
        <w:keepNext w:val="0"/>
        <w:keepLines w:val="0"/>
        <w:pageBreakBefore w:val="0"/>
        <w:widowControl w:val="0"/>
        <w:numPr>
          <w:ilvl w:val="1"/>
          <w:numId w:val="25"/>
        </w:numPr>
        <w:kinsoku/>
        <w:overflowPunct/>
        <w:autoSpaceDE/>
        <w:autoSpaceDN/>
        <w:bidi w:val="0"/>
        <w:adjustRightInd w:val="0"/>
        <w:snapToGrid w:val="0"/>
        <w:spacing w:line="440" w:lineRule="exact"/>
        <w:ind w:firstLine="482"/>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售后服务及培训要求(投标人应针对本项要求在其他投标文件中单独提供承诺函，格式自拟)</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售后服务分电话(含网络)服务和上门服务，售后服务期内，投标人在接到采购人故障报修后能在2小时内通过电话(含网络)服务排除故障的，则无需上门服务，若在规定时间内不能通过电话(含网络)服务排除故障的，投标人应在故障报修后的12小时内到达现场，到达现场后24小时内排除故障(若涉及主要零件更换或者返厂维修的故障排除时间由双方协商确定)。</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2.投标人提供承诺函，承诺智能制造实训基地虚实一体工作站的售后服务由设备制造商提供。</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3.售后服务期内经二次维修都不能达到需求的，投标人提供免费更换服务。</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4.售后服务范围包含智能制造实训基地虚实一体工作站、零部件、配件、辅材等的维护和更换</w:t>
      </w:r>
      <w:r>
        <w:rPr>
          <w:rFonts w:hint="eastAsia" w:ascii="宋体" w:hAnsi="宋体" w:eastAsia="宋体" w:cs="宋体"/>
          <w:b/>
          <w:bCs/>
          <w:color w:val="auto"/>
          <w:sz w:val="24"/>
          <w:szCs w:val="24"/>
          <w:highlight w:val="none"/>
        </w:rPr>
        <w:t>。</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5.售后服务期内涉及的人工、设备(含零部件、配件、辅材)维护和更换等费用均由供应商承担。</w:t>
      </w:r>
    </w:p>
    <w:p>
      <w:pPr>
        <w:pStyle w:val="44"/>
        <w:keepNext w:val="0"/>
        <w:keepLines w:val="0"/>
        <w:pageBreakBefore w:val="0"/>
        <w:widowControl w:val="0"/>
        <w:numPr>
          <w:ilvl w:val="1"/>
          <w:numId w:val="25"/>
        </w:numPr>
        <w:kinsoku/>
        <w:overflowPunct/>
        <w:autoSpaceDE/>
        <w:autoSpaceDN/>
        <w:bidi w:val="0"/>
        <w:adjustRightInd w:val="0"/>
        <w:snapToGrid w:val="0"/>
        <w:spacing w:line="440" w:lineRule="exact"/>
        <w:ind w:firstLine="482"/>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履约保证金</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1.本项目履约保证金为中标金额的</w:t>
      </w:r>
      <w:r>
        <w:rPr>
          <w:rFonts w:hint="eastAsia" w:ascii="宋体" w:hAnsi="宋体" w:eastAsia="宋体" w:cs="宋体"/>
          <w:color w:val="auto"/>
          <w:sz w:val="24"/>
          <w:szCs w:val="24"/>
          <w:highlight w:val="none"/>
          <w:lang w:val="en-US" w:eastAsia="zh-CN"/>
        </w:rPr>
        <w:t>百分之五</w:t>
      </w:r>
      <w:r>
        <w:rPr>
          <w:rFonts w:hint="eastAsia" w:ascii="宋体" w:hAnsi="宋体" w:eastAsia="宋体" w:cs="宋体"/>
          <w:color w:val="auto"/>
          <w:sz w:val="24"/>
          <w:szCs w:val="24"/>
          <w:highlight w:val="none"/>
        </w:rPr>
        <w:t>，供应商应在中标通知书发出之日起至合同签订前，以支票、汇票、本票或者金融机构出具的保函等非现金形式向采购人交纳规定金额的履约保证金，履行合同约定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含售后服务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毕后,无质量问题和违约责任情况，投标人凭“验收报告单”、“收到退还履约保证金的收据”、“履约保证金退还申请”到采购人计财处办理，无息退还。采购人收到投标人提交的履约保证金退还申请等资料</w:t>
      </w:r>
      <w:r>
        <w:rPr>
          <w:rFonts w:hint="eastAsia" w:ascii="宋体" w:hAnsi="宋体" w:eastAsia="宋体" w:cs="宋体"/>
          <w:color w:val="auto"/>
          <w:sz w:val="24"/>
          <w:szCs w:val="24"/>
          <w:highlight w:val="none"/>
          <w:lang w:val="en-US" w:eastAsia="zh-CN"/>
        </w:rPr>
        <w:t>并经采购人审核后</w:t>
      </w:r>
      <w:r>
        <w:rPr>
          <w:rFonts w:hint="eastAsia" w:ascii="宋体" w:hAnsi="宋体" w:eastAsia="宋体" w:cs="宋体"/>
          <w:color w:val="auto"/>
          <w:sz w:val="24"/>
          <w:szCs w:val="24"/>
          <w:highlight w:val="none"/>
        </w:rPr>
        <w:t>，30个日历日内退还投标人应退部分履约保证金。因采购人原因逾期退还的，还应向投标人支付未退还金额万分之五/天的违约金</w:t>
      </w:r>
      <w:r>
        <w:rPr>
          <w:rFonts w:hint="eastAsia" w:ascii="宋体" w:hAnsi="宋体" w:eastAsia="宋体" w:cs="宋体"/>
          <w:color w:val="auto"/>
          <w:sz w:val="24"/>
          <w:szCs w:val="24"/>
          <w:highlight w:val="none"/>
          <w:lang w:eastAsia="zh-CN"/>
        </w:rPr>
        <w:t>，违约金最高不得超</w:t>
      </w:r>
      <w:r>
        <w:rPr>
          <w:rFonts w:hint="eastAsia" w:cs="宋体"/>
          <w:color w:val="auto"/>
          <w:sz w:val="24"/>
          <w:szCs w:val="24"/>
          <w:highlight w:val="none"/>
          <w:lang w:val="en-US" w:eastAsia="zh-CN"/>
        </w:rPr>
        <w:t>过</w:t>
      </w:r>
      <w:r>
        <w:rPr>
          <w:rFonts w:hint="eastAsia" w:ascii="宋体" w:hAnsi="宋体" w:eastAsia="宋体" w:cs="宋体"/>
          <w:color w:val="auto"/>
          <w:sz w:val="24"/>
          <w:szCs w:val="24"/>
          <w:highlight w:val="none"/>
          <w:lang w:eastAsia="zh-CN"/>
        </w:rPr>
        <w:t>未退还金额的百分之</w:t>
      </w:r>
      <w:r>
        <w:rPr>
          <w:rFonts w:hint="eastAsia" w:ascii="宋体" w:hAnsi="宋体" w:eastAsia="宋体" w:cs="宋体"/>
          <w:color w:val="auto"/>
          <w:sz w:val="24"/>
          <w:szCs w:val="24"/>
          <w:highlight w:val="none"/>
          <w:lang w:val="en-US" w:eastAsia="zh-CN"/>
        </w:rPr>
        <w:t>二十</w:t>
      </w:r>
      <w:r>
        <w:rPr>
          <w:rFonts w:hint="eastAsia" w:ascii="宋体" w:hAnsi="宋体" w:eastAsia="宋体" w:cs="宋体"/>
          <w:color w:val="auto"/>
          <w:sz w:val="24"/>
          <w:szCs w:val="24"/>
          <w:highlight w:val="none"/>
          <w:lang w:eastAsia="zh-CN"/>
        </w:rPr>
        <w:t>。</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2.履约保证金汇入的银行及账号：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收款账号：成都市技师学院</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开户行：工行成都红光支行</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银行账号：4402054609100031151</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3.如中标人未按时足额向采购人交纳履约保证金，采购人有权按照评审报告确定的中标候选人名单顺序，确定下一候选人为中标供应商，或重新开展政府采购活动。</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4.履约保证金不予退还情形：一是供应商未按合同要求履行的，其履约保证金全部扣除。二是投标人缴纳了履约保证金，但因自身原因被取消中标资格或在中标通知书发出之日起30</w:t>
      </w:r>
      <w:r>
        <w:rPr>
          <w:rFonts w:hint="eastAsia" w:ascii="宋体" w:hAnsi="宋体" w:eastAsia="宋体" w:cs="宋体"/>
          <w:color w:val="auto"/>
          <w:sz w:val="24"/>
          <w:szCs w:val="24"/>
          <w:highlight w:val="none"/>
          <w:lang w:val="en-US" w:eastAsia="zh-CN"/>
        </w:rPr>
        <w:t>个</w:t>
      </w:r>
      <w:r>
        <w:rPr>
          <w:rFonts w:hint="eastAsia" w:ascii="宋体" w:hAnsi="宋体" w:eastAsia="宋体" w:cs="宋体"/>
          <w:color w:val="auto"/>
          <w:sz w:val="24"/>
          <w:szCs w:val="24"/>
          <w:highlight w:val="none"/>
        </w:rPr>
        <w:t>日历天(含法定节假日)内供应商不按招标文件确定的事项与采购人签订合同的，其履约保证金不予退还；三是法律法规或合同约定的其他情形。</w:t>
      </w:r>
      <w:r>
        <w:rPr>
          <w:rFonts w:hint="eastAsia" w:ascii="宋体" w:hAnsi="宋体" w:eastAsia="宋体" w:cs="宋体"/>
          <w:color w:val="auto"/>
          <w:sz w:val="24"/>
          <w:szCs w:val="24"/>
          <w:highlight w:val="none"/>
          <w:lang w:val="zh-CN"/>
        </w:rPr>
        <w:t>履约保证金不予退还的，将按照有关规定上缴国库。</w:t>
      </w:r>
    </w:p>
    <w:p>
      <w:pPr>
        <w:pStyle w:val="44"/>
        <w:keepNext w:val="0"/>
        <w:keepLines w:val="0"/>
        <w:pageBreakBefore w:val="0"/>
        <w:widowControl w:val="0"/>
        <w:numPr>
          <w:ilvl w:val="1"/>
          <w:numId w:val="25"/>
        </w:numPr>
        <w:kinsoku/>
        <w:overflowPunct/>
        <w:autoSpaceDE/>
        <w:autoSpaceDN/>
        <w:bidi w:val="0"/>
        <w:adjustRightInd w:val="0"/>
        <w:snapToGrid w:val="0"/>
        <w:spacing w:line="440" w:lineRule="exact"/>
        <w:ind w:firstLine="482"/>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其他商务要求</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如因投标人的工作人员在履行职务过程中的疏忽、失职、过错等故意或者过失原因给采购人造成损失或侵害，包括但不限于采购人本身的财产损失、由此而导致的采购人对任何第三方的法律责任等，投标人对此均应承担全部的赔偿责任。</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培训及要求：设备安装调试完成后，投标人对采购人进行不少于7天的技术培训，培训内容包括：理论和实际操作。投标人为所有参培人员提供文字资料和讲义等培训教材，培训教材以印刷品形式提供，费用由投标人承担。</w:t>
      </w:r>
    </w:p>
    <w:p>
      <w:pPr>
        <w:pStyle w:val="31"/>
        <w:keepNext w:val="0"/>
        <w:keepLines w:val="0"/>
        <w:pageBreakBefore w:val="0"/>
        <w:widowControl w:val="0"/>
        <w:numPr>
          <w:ilvl w:val="1"/>
          <w:numId w:val="9"/>
        </w:numPr>
        <w:kinsoku/>
        <w:overflowPunct/>
        <w:autoSpaceDE/>
        <w:autoSpaceDN/>
        <w:bidi w:val="0"/>
        <w:adjustRightInd w:val="0"/>
        <w:snapToGrid w:val="0"/>
        <w:spacing w:line="440" w:lineRule="exact"/>
        <w:ind w:firstLine="482"/>
        <w:textAlignment w:val="auto"/>
        <w:rPr>
          <w:rFonts w:hint="eastAsia" w:ascii="宋体" w:hAnsi="宋体" w:eastAsia="宋体" w:cs="宋体"/>
          <w:bCs/>
          <w:color w:val="auto"/>
          <w:sz w:val="24"/>
          <w:szCs w:val="24"/>
          <w:highlight w:val="none"/>
        </w:rPr>
      </w:pPr>
      <w:bookmarkStart w:id="1018" w:name="_Toc11545"/>
      <w:r>
        <w:rPr>
          <w:rFonts w:hint="eastAsia" w:ascii="宋体" w:hAnsi="宋体" w:eastAsia="宋体" w:cs="宋体"/>
          <w:bCs/>
          <w:color w:val="auto"/>
          <w:sz w:val="24"/>
          <w:szCs w:val="24"/>
          <w:highlight w:val="none"/>
        </w:rPr>
        <w:t>验收标准和方法</w:t>
      </w:r>
      <w:bookmarkEnd w:id="1018"/>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1.验收的主体：采购人</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2.验收的时间：</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(1)投标人完成送货、安装调试工作后，书面通知采购人</w:t>
      </w:r>
      <w:r>
        <w:rPr>
          <w:rFonts w:hint="eastAsia" w:cs="宋体"/>
          <w:color w:val="auto"/>
          <w:sz w:val="24"/>
          <w:szCs w:val="24"/>
          <w:highlight w:val="none"/>
          <w:lang w:val="en-US" w:eastAsia="zh-CN"/>
        </w:rPr>
        <w:t>进行货物</w:t>
      </w:r>
      <w:r>
        <w:rPr>
          <w:rFonts w:hint="eastAsia" w:ascii="宋体" w:hAnsi="宋体" w:eastAsia="宋体" w:cs="宋体"/>
          <w:color w:val="auto"/>
          <w:sz w:val="24"/>
          <w:szCs w:val="24"/>
          <w:highlight w:val="none"/>
        </w:rPr>
        <w:t>验收，采购人收到</w:t>
      </w:r>
      <w:r>
        <w:rPr>
          <w:rFonts w:hint="eastAsia" w:cs="宋体"/>
          <w:color w:val="auto"/>
          <w:sz w:val="24"/>
          <w:szCs w:val="24"/>
          <w:highlight w:val="none"/>
          <w:lang w:val="en-US" w:eastAsia="zh-CN"/>
        </w:rPr>
        <w:t>货物</w:t>
      </w:r>
      <w:r>
        <w:rPr>
          <w:rFonts w:hint="eastAsia" w:ascii="宋体" w:hAnsi="宋体" w:eastAsia="宋体" w:cs="宋体"/>
          <w:color w:val="auto"/>
          <w:sz w:val="24"/>
          <w:szCs w:val="24"/>
          <w:highlight w:val="none"/>
        </w:rPr>
        <w:t>验收申请后5</w:t>
      </w:r>
      <w:r>
        <w:rPr>
          <w:rFonts w:hint="eastAsia" w:ascii="宋体" w:hAnsi="宋体" w:eastAsia="宋体" w:cs="宋体"/>
          <w:color w:val="auto"/>
          <w:sz w:val="24"/>
          <w:szCs w:val="24"/>
          <w:highlight w:val="none"/>
          <w:lang w:val="en-US" w:eastAsia="zh-CN"/>
        </w:rPr>
        <w:t>个</w:t>
      </w:r>
      <w:r>
        <w:rPr>
          <w:rFonts w:hint="eastAsia" w:ascii="宋体" w:hAnsi="宋体" w:eastAsia="宋体" w:cs="宋体"/>
          <w:color w:val="auto"/>
          <w:sz w:val="24"/>
          <w:szCs w:val="24"/>
          <w:highlight w:val="none"/>
        </w:rPr>
        <w:t>日历天内完成</w:t>
      </w:r>
      <w:r>
        <w:rPr>
          <w:rFonts w:hint="eastAsia" w:cs="宋体"/>
          <w:color w:val="auto"/>
          <w:sz w:val="24"/>
          <w:szCs w:val="24"/>
          <w:highlight w:val="none"/>
          <w:lang w:val="en-US" w:eastAsia="zh-CN"/>
        </w:rPr>
        <w:t>货物</w:t>
      </w:r>
      <w:r>
        <w:rPr>
          <w:rFonts w:hint="eastAsia" w:ascii="宋体" w:hAnsi="宋体" w:eastAsia="宋体" w:cs="宋体"/>
          <w:color w:val="auto"/>
          <w:sz w:val="24"/>
          <w:szCs w:val="24"/>
          <w:highlight w:val="none"/>
        </w:rPr>
        <w:t>验收。</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(2)售后服务期结束且采购人收到投标人售后服务整体验收申请之日起5</w:t>
      </w:r>
      <w:r>
        <w:rPr>
          <w:rFonts w:hint="eastAsia" w:ascii="宋体" w:hAnsi="宋体" w:eastAsia="宋体" w:cs="宋体"/>
          <w:color w:val="auto"/>
          <w:sz w:val="24"/>
          <w:szCs w:val="24"/>
          <w:highlight w:val="none"/>
          <w:lang w:val="en-US" w:eastAsia="zh-CN"/>
        </w:rPr>
        <w:t>个</w:t>
      </w:r>
      <w:r>
        <w:rPr>
          <w:rFonts w:hint="eastAsia" w:ascii="宋体" w:hAnsi="宋体" w:eastAsia="宋体" w:cs="宋体"/>
          <w:color w:val="auto"/>
          <w:sz w:val="24"/>
          <w:szCs w:val="24"/>
          <w:highlight w:val="none"/>
        </w:rPr>
        <w:t>日历天内完成售后服务整体验收。</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3.验收的方式</w:t>
      </w:r>
      <w:r>
        <w:rPr>
          <w:rFonts w:hint="eastAsia" w:cs="宋体"/>
          <w:color w:val="auto"/>
          <w:sz w:val="24"/>
          <w:szCs w:val="24"/>
          <w:highlight w:val="none"/>
          <w:lang w:eastAsia="zh-CN"/>
        </w:rPr>
        <w:t>：</w:t>
      </w:r>
      <w:r>
        <w:rPr>
          <w:rFonts w:hint="eastAsia" w:cs="宋体"/>
          <w:color w:val="auto"/>
          <w:sz w:val="24"/>
          <w:szCs w:val="24"/>
          <w:highlight w:val="none"/>
          <w:lang w:val="en-US" w:eastAsia="zh-CN"/>
        </w:rPr>
        <w:t>货物</w:t>
      </w:r>
      <w:r>
        <w:rPr>
          <w:rFonts w:hint="eastAsia" w:ascii="宋体" w:hAnsi="宋体" w:eastAsia="宋体" w:cs="宋体"/>
          <w:color w:val="auto"/>
          <w:sz w:val="24"/>
          <w:szCs w:val="24"/>
          <w:highlight w:val="none"/>
        </w:rPr>
        <w:t>验收为现场测试验收，售后服务验收为考核验收(投标人每次按照售后服务要求提供服务的视为单次售后服务合格，售后服务期内单次售后服务合格率低于</w:t>
      </w:r>
      <w:r>
        <w:rPr>
          <w:rFonts w:hint="eastAsia" w:ascii="宋体" w:hAnsi="宋体" w:eastAsia="宋体" w:cs="宋体"/>
          <w:color w:val="auto"/>
          <w:sz w:val="24"/>
          <w:szCs w:val="24"/>
          <w:highlight w:val="none"/>
          <w:lang w:val="en-US" w:eastAsia="zh-CN"/>
        </w:rPr>
        <w:t>百分之九十五</w:t>
      </w:r>
      <w:r>
        <w:rPr>
          <w:rFonts w:hint="eastAsia" w:ascii="宋体" w:hAnsi="宋体" w:eastAsia="宋体" w:cs="宋体"/>
          <w:color w:val="auto"/>
          <w:sz w:val="24"/>
          <w:szCs w:val="24"/>
          <w:highlight w:val="none"/>
        </w:rPr>
        <w:t>视为售后服务不合格)。</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4.验收的程序：</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(1)投标人递交</w:t>
      </w:r>
      <w:r>
        <w:rPr>
          <w:rFonts w:hint="eastAsia" w:cs="宋体"/>
          <w:color w:val="auto"/>
          <w:sz w:val="24"/>
          <w:szCs w:val="24"/>
          <w:highlight w:val="none"/>
          <w:lang w:val="en-US" w:eastAsia="zh-CN"/>
        </w:rPr>
        <w:t>货物</w:t>
      </w:r>
      <w:r>
        <w:rPr>
          <w:rFonts w:hint="eastAsia" w:ascii="宋体" w:hAnsi="宋体" w:eastAsia="宋体" w:cs="宋体"/>
          <w:color w:val="auto"/>
          <w:sz w:val="24"/>
          <w:szCs w:val="24"/>
          <w:highlight w:val="none"/>
        </w:rPr>
        <w:t>验收申请后，采购人组织3人以上的验收小组进行现场测试验收；</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(2)单次售后服务完成后，由采购人的经办人现场验收并记录，该记录作为售后服务整体验收的依据。</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5.验收的内容：</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cs="宋体"/>
          <w:color w:val="auto"/>
          <w:sz w:val="24"/>
          <w:szCs w:val="24"/>
          <w:highlight w:val="none"/>
          <w:lang w:val="en-US" w:eastAsia="zh-CN"/>
        </w:rPr>
        <w:t>货物</w:t>
      </w:r>
      <w:r>
        <w:rPr>
          <w:rFonts w:hint="eastAsia" w:ascii="宋体" w:hAnsi="宋体" w:eastAsia="宋体" w:cs="宋体"/>
          <w:color w:val="auto"/>
          <w:sz w:val="24"/>
          <w:szCs w:val="24"/>
          <w:highlight w:val="none"/>
        </w:rPr>
        <w:t>验收内容包括品牌、型号、数量、外观、安装调试、运行状况、使用说明或手册、合格证书、原厂保修单等每一项技术和商务要求(售后服务除外)的履约情况；</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(2)售后服务验收内容包括售后服务要求中每一项要求的履约情况。</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6.验收的标准：按招标文件的质量要求和技术指标、投标人的投标文件及承诺、合同约定进行验收。验收合格，则签署《验收报告单》；若验收不合格，投标人应在接到采购人整改通知之日起15</w:t>
      </w:r>
      <w:r>
        <w:rPr>
          <w:rFonts w:hint="eastAsia" w:ascii="宋体" w:hAnsi="宋体" w:eastAsia="宋体" w:cs="宋体"/>
          <w:color w:val="auto"/>
          <w:sz w:val="24"/>
          <w:szCs w:val="24"/>
          <w:highlight w:val="none"/>
          <w:lang w:val="en-US" w:eastAsia="zh-CN"/>
        </w:rPr>
        <w:t>个</w:t>
      </w:r>
      <w:r>
        <w:rPr>
          <w:rFonts w:hint="eastAsia" w:ascii="宋体" w:hAnsi="宋体" w:eastAsia="宋体" w:cs="宋体"/>
          <w:color w:val="auto"/>
          <w:sz w:val="24"/>
          <w:szCs w:val="24"/>
          <w:highlight w:val="none"/>
        </w:rPr>
        <w:t>日历天内完成整改，再由采购人组织重新验收，若再次验收不合格则视为投标人不能履约，采购人有权终止合同，并按合同约定追究投标人的违约责任。</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7、其他未尽事宜应按照《财政部关于进一步加强政府采购需求和履约验收管理的指导意见》(财库〔2016〕205 号)的要求进行验收。</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交付标准及方式：投标人向采购人移交了装箱清单、配件、随机工具、使用说明或手册、合格证书、原厂保修单等资料，并在采购人指定地点完成设备安装、调整、试运行等工作且通过设备验收视为供应商交货。</w:t>
      </w:r>
    </w:p>
    <w:p>
      <w:pPr>
        <w:pStyle w:val="31"/>
        <w:keepNext w:val="0"/>
        <w:keepLines w:val="0"/>
        <w:pageBreakBefore w:val="0"/>
        <w:widowControl w:val="0"/>
        <w:numPr>
          <w:ilvl w:val="1"/>
          <w:numId w:val="9"/>
        </w:numPr>
        <w:kinsoku/>
        <w:overflowPunct/>
        <w:autoSpaceDE/>
        <w:autoSpaceDN/>
        <w:bidi w:val="0"/>
        <w:adjustRightInd w:val="0"/>
        <w:snapToGrid w:val="0"/>
        <w:spacing w:line="440" w:lineRule="exact"/>
        <w:ind w:firstLine="482"/>
        <w:textAlignment w:val="auto"/>
        <w:rPr>
          <w:rFonts w:hint="eastAsia" w:ascii="宋体" w:hAnsi="宋体" w:eastAsia="宋体" w:cs="宋体"/>
          <w:color w:val="auto"/>
          <w:sz w:val="24"/>
          <w:szCs w:val="24"/>
          <w:highlight w:val="none"/>
        </w:rPr>
      </w:pPr>
      <w:bookmarkStart w:id="1019" w:name="_Toc30331"/>
      <w:r>
        <w:rPr>
          <w:rFonts w:hint="eastAsia" w:ascii="宋体" w:hAnsi="宋体" w:eastAsia="宋体" w:cs="宋体"/>
          <w:color w:val="auto"/>
          <w:sz w:val="24"/>
          <w:szCs w:val="24"/>
          <w:highlight w:val="none"/>
        </w:rPr>
        <w:t>履约能力要求</w:t>
      </w:r>
      <w:bookmarkEnd w:id="1019"/>
    </w:p>
    <w:p>
      <w:pPr>
        <w:pStyle w:val="44"/>
        <w:keepNext w:val="0"/>
        <w:keepLines w:val="0"/>
        <w:pageBreakBefore w:val="0"/>
        <w:widowControl w:val="0"/>
        <w:numPr>
          <w:ilvl w:val="1"/>
          <w:numId w:val="27"/>
        </w:numPr>
        <w:kinsoku/>
        <w:overflowPunct/>
        <w:autoSpaceDE/>
        <w:autoSpaceDN/>
        <w:bidi w:val="0"/>
        <w:adjustRightInd w:val="0"/>
        <w:snapToGrid w:val="0"/>
        <w:spacing w:line="44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履约能力</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1.所投工业机器人离线编程软件具有计算机软件著作权登记证书。</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2.投标人针对本项目配置的培训师具有相关竞赛指导、培训相关经验。</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3.投标人或所投产品生产厂家</w:t>
      </w:r>
      <w:r>
        <w:rPr>
          <w:rFonts w:hint="eastAsia" w:cs="宋体"/>
          <w:color w:val="auto"/>
          <w:sz w:val="24"/>
          <w:szCs w:val="24"/>
          <w:highlight w:val="none"/>
          <w:lang w:val="en-US" w:eastAsia="zh-CN"/>
        </w:rPr>
        <w:t>自</w:t>
      </w:r>
      <w:r>
        <w:rPr>
          <w:rFonts w:hint="eastAsia" w:ascii="宋体" w:hAnsi="宋体" w:eastAsia="宋体" w:cs="宋体"/>
          <w:color w:val="auto"/>
          <w:sz w:val="24"/>
          <w:szCs w:val="24"/>
          <w:highlight w:val="none"/>
        </w:rPr>
        <w:t>2019年1月1日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含1日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至今具有类似项目履约经验。</w:t>
      </w:r>
    </w:p>
    <w:p>
      <w:pPr>
        <w:pStyle w:val="44"/>
        <w:keepNext w:val="0"/>
        <w:keepLines w:val="0"/>
        <w:pageBreakBefore w:val="0"/>
        <w:widowControl w:val="0"/>
        <w:numPr>
          <w:ilvl w:val="1"/>
          <w:numId w:val="27"/>
        </w:numPr>
        <w:kinsoku/>
        <w:overflowPunct/>
        <w:autoSpaceDE/>
        <w:autoSpaceDN/>
        <w:bidi w:val="0"/>
        <w:adjustRightInd w:val="0"/>
        <w:snapToGrid w:val="0"/>
        <w:spacing w:line="44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培训方案</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投标人针对本项目制定详细的培训方案：包含但不限于①培训内容(操作、运维、保养)；②培训安排；③培训流程方案等。</w:t>
      </w:r>
    </w:p>
    <w:p>
      <w:pPr>
        <w:pStyle w:val="44"/>
        <w:keepNext w:val="0"/>
        <w:keepLines w:val="0"/>
        <w:pageBreakBefore w:val="0"/>
        <w:widowControl w:val="0"/>
        <w:numPr>
          <w:ilvl w:val="1"/>
          <w:numId w:val="27"/>
        </w:numPr>
        <w:kinsoku/>
        <w:overflowPunct/>
        <w:autoSpaceDE/>
        <w:autoSpaceDN/>
        <w:bidi w:val="0"/>
        <w:adjustRightInd w:val="0"/>
        <w:snapToGrid w:val="0"/>
        <w:spacing w:line="44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售后服务方案</w:t>
      </w:r>
    </w:p>
    <w:p>
      <w:pPr>
        <w:pStyle w:val="44"/>
        <w:keepNext w:val="0"/>
        <w:keepLines w:val="0"/>
        <w:pageBreakBefore w:val="0"/>
        <w:widowControl w:val="0"/>
        <w:numPr>
          <w:ilvl w:val="1"/>
          <w:numId w:val="0"/>
        </w:numPr>
        <w:kinsoku/>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投标人针对本项目制定详细的售后服务方案：包含但不限于①维修更换方案；②应急处理方案；③响应方案等。</w:t>
      </w:r>
    </w:p>
    <w:bookmarkEnd w:id="1012"/>
    <w:bookmarkEnd w:id="1013"/>
    <w:bookmarkEnd w:id="1014"/>
    <w:bookmarkEnd w:id="1015"/>
    <w:bookmarkEnd w:id="1016"/>
    <w:bookmarkEnd w:id="1017"/>
    <w:p>
      <w:pPr>
        <w:pStyle w:val="56"/>
        <w:keepNext w:val="0"/>
        <w:keepLines w:val="0"/>
        <w:pageBreakBefore w:val="0"/>
        <w:widowControl w:val="0"/>
        <w:kinsoku/>
        <w:overflowPunct/>
        <w:autoSpaceDE/>
        <w:autoSpaceDN/>
        <w:bidi w:val="0"/>
        <w:adjustRightInd w:val="0"/>
        <w:snapToGrid w:val="0"/>
        <w:spacing w:line="440" w:lineRule="exact"/>
        <w:ind w:firstLine="482"/>
        <w:textAlignment w:val="auto"/>
        <w:rPr>
          <w:rFonts w:hint="eastAsia" w:ascii="宋体" w:hAnsi="宋体" w:eastAsia="宋体" w:cs="宋体"/>
          <w:color w:val="auto"/>
          <w:sz w:val="24"/>
          <w:szCs w:val="24"/>
          <w:highlight w:val="none"/>
        </w:rPr>
      </w:pPr>
    </w:p>
    <w:p>
      <w:pPr>
        <w:pStyle w:val="56"/>
        <w:keepNext w:val="0"/>
        <w:keepLines w:val="0"/>
        <w:pageBreakBefore w:val="0"/>
        <w:widowControl w:val="0"/>
        <w:kinsoku/>
        <w:overflowPunct/>
        <w:autoSpaceDE/>
        <w:autoSpaceDN/>
        <w:bidi w:val="0"/>
        <w:adjustRightInd w:val="0"/>
        <w:snapToGrid w:val="0"/>
        <w:spacing w:line="44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注意：①本章带“▲”号项目作为关键性指标要求。带“★”号条款为实质性要求，投标人若未满足的，将被视为无效投标。</w:t>
      </w:r>
    </w:p>
    <w:p>
      <w:pPr>
        <w:pStyle w:val="56"/>
        <w:keepNext w:val="0"/>
        <w:keepLines w:val="0"/>
        <w:pageBreakBefore w:val="0"/>
        <w:widowControl w:val="0"/>
        <w:kinsoku/>
        <w:overflowPunct/>
        <w:autoSpaceDE/>
        <w:autoSpaceDN/>
        <w:bidi w:val="0"/>
        <w:adjustRightInd w:val="0"/>
        <w:snapToGrid w:val="0"/>
        <w:spacing w:line="440" w:lineRule="exact"/>
        <w:ind w:firstLine="482"/>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②根据《财政部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本项目采购的产品属于品目清单强制采购范围的，供应商应按上述要求提供产品认证证书复印件并加盖供应商单位公章，否则投标无效。</w:t>
      </w:r>
      <w:r>
        <w:rPr>
          <w:rFonts w:hint="eastAsia" w:ascii="宋体" w:hAnsi="宋体" w:eastAsia="宋体" w:cs="宋体"/>
          <w:color w:val="auto"/>
          <w:highlight w:val="none"/>
        </w:rPr>
        <w:br w:type="page"/>
      </w:r>
    </w:p>
    <w:bookmarkEnd w:id="986"/>
    <w:bookmarkEnd w:id="987"/>
    <w:bookmarkEnd w:id="988"/>
    <w:p>
      <w:pPr>
        <w:pStyle w:val="29"/>
        <w:numPr>
          <w:ilvl w:val="0"/>
          <w:numId w:val="9"/>
        </w:numPr>
        <w:spacing w:before="120" w:after="120"/>
        <w:rPr>
          <w:rFonts w:hint="eastAsia" w:ascii="宋体" w:hAnsi="宋体" w:eastAsia="宋体" w:cs="宋体"/>
          <w:color w:val="auto"/>
          <w:highlight w:val="none"/>
        </w:rPr>
      </w:pPr>
      <w:bookmarkStart w:id="1020" w:name="_Toc11623"/>
      <w:bookmarkStart w:id="1021" w:name="_Toc32447"/>
      <w:bookmarkStart w:id="1022" w:name="_Toc10570"/>
      <w:bookmarkStart w:id="1023" w:name="_Toc183582280"/>
      <w:bookmarkStart w:id="1024" w:name="_Toc183682415"/>
      <w:bookmarkStart w:id="1025" w:name="_Toc308084645"/>
      <w:bookmarkStart w:id="1026" w:name="_Toc307501154"/>
      <w:bookmarkStart w:id="1027" w:name="_Toc1543"/>
      <w:bookmarkStart w:id="1028" w:name="_Toc483"/>
      <w:bookmarkStart w:id="1029" w:name="_Toc217446097"/>
      <w:bookmarkStart w:id="1030" w:name="_Toc3881"/>
      <w:bookmarkStart w:id="1031" w:name="_Toc25959"/>
      <w:bookmarkStart w:id="1032" w:name="_Toc308188198"/>
      <w:bookmarkStart w:id="1033" w:name="_Toc4553"/>
      <w:bookmarkStart w:id="1034" w:name="_Toc21302"/>
      <w:bookmarkStart w:id="1035" w:name="_Toc327196339"/>
      <w:bookmarkStart w:id="1036" w:name="_Toc307564896"/>
      <w:bookmarkStart w:id="1037" w:name="_Toc319440188"/>
      <w:bookmarkStart w:id="1038" w:name="_Toc11039"/>
      <w:bookmarkStart w:id="1039" w:name="_Toc2232"/>
      <w:bookmarkStart w:id="1040" w:name="_Toc309897563"/>
      <w:bookmarkStart w:id="1041" w:name="_Toc26923"/>
      <w:bookmarkStart w:id="1042" w:name="_Toc25435"/>
      <w:bookmarkStart w:id="1043" w:name="_Toc208849007"/>
      <w:bookmarkStart w:id="1044" w:name="_Toc319439946"/>
      <w:r>
        <w:rPr>
          <w:rFonts w:hint="eastAsia" w:ascii="宋体" w:hAnsi="宋体" w:eastAsia="宋体" w:cs="宋体"/>
          <w:color w:val="auto"/>
          <w:highlight w:val="none"/>
        </w:rPr>
        <w:t>评标办法</w:t>
      </w:r>
      <w:bookmarkEnd w:id="1020"/>
      <w:bookmarkEnd w:id="1021"/>
      <w:bookmarkEnd w:id="1022"/>
      <w:bookmarkStart w:id="1045" w:name="_Hlt101846155"/>
      <w:bookmarkEnd w:id="1045"/>
    </w:p>
    <w:p>
      <w:pPr>
        <w:pStyle w:val="31"/>
        <w:keepNext w:val="0"/>
        <w:keepLines w:val="0"/>
        <w:pageBreakBefore w:val="0"/>
        <w:widowControl w:val="0"/>
        <w:numPr>
          <w:ilvl w:val="1"/>
          <w:numId w:val="9"/>
        </w:numPr>
        <w:kinsoku/>
        <w:overflowPunct/>
        <w:autoSpaceDE/>
        <w:autoSpaceDN/>
        <w:bidi w:val="0"/>
        <w:adjustRightInd w:val="0"/>
        <w:snapToGrid w:val="0"/>
        <w:ind w:firstLine="482"/>
        <w:textAlignment w:val="auto"/>
        <w:rPr>
          <w:rFonts w:hint="eastAsia" w:ascii="宋体" w:hAnsi="宋体" w:eastAsia="宋体" w:cs="宋体"/>
          <w:color w:val="auto"/>
          <w:highlight w:val="none"/>
        </w:rPr>
      </w:pPr>
      <w:bookmarkStart w:id="1046" w:name="_Toc16563"/>
      <w:bookmarkStart w:id="1047" w:name="_Toc25528"/>
      <w:bookmarkStart w:id="1048" w:name="_Toc3352"/>
      <w:r>
        <w:rPr>
          <w:rFonts w:hint="eastAsia" w:ascii="宋体" w:hAnsi="宋体" w:eastAsia="宋体" w:cs="宋体"/>
          <w:color w:val="auto"/>
          <w:highlight w:val="none"/>
        </w:rPr>
        <w:t>总则</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6"/>
      <w:bookmarkEnd w:id="1047"/>
      <w:bookmarkEnd w:id="1048"/>
    </w:p>
    <w:p>
      <w:pPr>
        <w:pStyle w:val="44"/>
        <w:keepNext w:val="0"/>
        <w:keepLines w:val="0"/>
        <w:pageBreakBefore w:val="0"/>
        <w:widowControl w:val="0"/>
        <w:numPr>
          <w:ilvl w:val="1"/>
          <w:numId w:val="28"/>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根据《中华人民共和国政府采购法》、《中华人民共和国政府采购法实施条例》和《政府采购货物和服务招标投标管理办法》(财政部令第87号)等法律规章，结合采购项目特点制定本评标办法。</w:t>
      </w:r>
    </w:p>
    <w:p>
      <w:pPr>
        <w:pStyle w:val="44"/>
        <w:keepNext w:val="0"/>
        <w:keepLines w:val="0"/>
        <w:pageBreakBefore w:val="0"/>
        <w:widowControl w:val="0"/>
        <w:numPr>
          <w:ilvl w:val="1"/>
          <w:numId w:val="28"/>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评标工作由采购代理机构负责组织，具体评标事务由采购代理机构依法组建的评标委员会负责。评标委员会由采购人代表和有关技术、经济等方面的专家组成。</w:t>
      </w:r>
    </w:p>
    <w:p>
      <w:pPr>
        <w:pStyle w:val="44"/>
        <w:keepNext w:val="0"/>
        <w:keepLines w:val="0"/>
        <w:pageBreakBefore w:val="0"/>
        <w:widowControl w:val="0"/>
        <w:numPr>
          <w:ilvl w:val="1"/>
          <w:numId w:val="28"/>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评标工作应遵循公平、公正、科学及择优的原则，并以相同的评标程序和标准对待所有的投标人。</w:t>
      </w:r>
    </w:p>
    <w:p>
      <w:pPr>
        <w:pStyle w:val="44"/>
        <w:keepNext w:val="0"/>
        <w:keepLines w:val="0"/>
        <w:pageBreakBefore w:val="0"/>
        <w:widowControl w:val="0"/>
        <w:numPr>
          <w:ilvl w:val="1"/>
          <w:numId w:val="28"/>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评标委员会按照招标文件规定的评标方法和标准进行评标，并独立履行下列职责：</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bookmarkStart w:id="1049" w:name="_Toc217446098"/>
      <w:r>
        <w:rPr>
          <w:rFonts w:hint="eastAsia" w:ascii="宋体" w:hAnsi="宋体" w:eastAsia="宋体" w:cs="宋体"/>
          <w:color w:val="auto"/>
          <w:highlight w:val="none"/>
        </w:rPr>
        <w:t>审查、评价投标文件是否符合招标文件的商务、技术等实质性要求；</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要求投标人对投标文件有关事项作出澄清或者说明；</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对投标文件进行比较和评价；</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确定中标候选人名单；</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向采购人、采购代理机构或者有关部门报告评标中发现的违法行为。</w:t>
      </w:r>
    </w:p>
    <w:p>
      <w:pPr>
        <w:pStyle w:val="44"/>
        <w:keepNext w:val="0"/>
        <w:keepLines w:val="0"/>
        <w:pageBreakBefore w:val="0"/>
        <w:widowControl w:val="0"/>
        <w:numPr>
          <w:ilvl w:val="1"/>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评标过程独立、保密。投标人非法干预评标过程的行为将导致其投标文件作为无效处理。</w:t>
      </w:r>
    </w:p>
    <w:p>
      <w:pPr>
        <w:pStyle w:val="44"/>
        <w:keepNext w:val="0"/>
        <w:keepLines w:val="0"/>
        <w:pageBreakBefore w:val="0"/>
        <w:widowControl w:val="0"/>
        <w:numPr>
          <w:ilvl w:val="1"/>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评标委员会评价投标文件的响应性，对于投标人而言，除评标委员会要求其澄清、说明或者纠正而提供的资料外，仅依据投标文件本身的内容，不寻求其他外部证据。</w:t>
      </w:r>
    </w:p>
    <w:p>
      <w:pPr>
        <w:pStyle w:val="44"/>
        <w:keepNext w:val="0"/>
        <w:keepLines w:val="0"/>
        <w:pageBreakBefore w:val="0"/>
        <w:widowControl w:val="0"/>
        <w:numPr>
          <w:ilvl w:val="1"/>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评委会发现招标文件表述不明确或需要说明的事项，可提请招标采购单位书面解释说明。发现招标文件违反有关法律、法规和规章的，可以拒绝评标，并向招标采购单位书面说明情况(注明法律法规依据)。</w:t>
      </w:r>
    </w:p>
    <w:p>
      <w:pPr>
        <w:pStyle w:val="31"/>
        <w:keepNext w:val="0"/>
        <w:keepLines w:val="0"/>
        <w:pageBreakBefore w:val="0"/>
        <w:widowControl w:val="0"/>
        <w:numPr>
          <w:ilvl w:val="1"/>
          <w:numId w:val="9"/>
        </w:numPr>
        <w:kinsoku/>
        <w:overflowPunct/>
        <w:autoSpaceDE/>
        <w:autoSpaceDN/>
        <w:bidi w:val="0"/>
        <w:adjustRightInd w:val="0"/>
        <w:snapToGrid w:val="0"/>
        <w:ind w:firstLine="482"/>
        <w:textAlignment w:val="auto"/>
        <w:rPr>
          <w:rFonts w:hint="eastAsia" w:ascii="宋体" w:hAnsi="宋体" w:eastAsia="宋体" w:cs="宋体"/>
          <w:color w:val="auto"/>
          <w:highlight w:val="none"/>
        </w:rPr>
      </w:pPr>
      <w:bookmarkStart w:id="1050" w:name="_Toc25612"/>
      <w:bookmarkStart w:id="1051" w:name="_Toc5338"/>
      <w:bookmarkStart w:id="1052" w:name="_Toc8496"/>
      <w:bookmarkStart w:id="1053" w:name="_Toc10398"/>
      <w:bookmarkStart w:id="1054" w:name="_Toc3371"/>
      <w:bookmarkStart w:id="1055" w:name="_Toc26792"/>
      <w:bookmarkStart w:id="1056" w:name="_Toc319440189"/>
      <w:bookmarkStart w:id="1057" w:name="_Toc14100"/>
      <w:bookmarkStart w:id="1058" w:name="_Toc23669"/>
      <w:bookmarkStart w:id="1059" w:name="_Toc25856"/>
      <w:bookmarkStart w:id="1060" w:name="_Toc5152"/>
      <w:bookmarkStart w:id="1061" w:name="_Toc327196340"/>
      <w:bookmarkStart w:id="1062" w:name="_Toc26520"/>
      <w:bookmarkStart w:id="1063" w:name="_Toc12975"/>
      <w:bookmarkStart w:id="1064" w:name="_Toc3915"/>
      <w:r>
        <w:rPr>
          <w:rFonts w:hint="eastAsia" w:ascii="宋体" w:hAnsi="宋体" w:eastAsia="宋体" w:cs="宋体"/>
          <w:color w:val="auto"/>
          <w:highlight w:val="none"/>
        </w:rPr>
        <w:t>评标方法</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34"/>
        <w:keepNext w:val="0"/>
        <w:keepLines w:val="0"/>
        <w:pageBreakBefore w:val="0"/>
        <w:widowControl w:val="0"/>
        <w:kinsoku/>
        <w:overflow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本项目评标方法为：综合评分法。</w:t>
      </w:r>
    </w:p>
    <w:p>
      <w:pPr>
        <w:pStyle w:val="31"/>
        <w:keepNext w:val="0"/>
        <w:keepLines w:val="0"/>
        <w:pageBreakBefore w:val="0"/>
        <w:widowControl w:val="0"/>
        <w:numPr>
          <w:ilvl w:val="1"/>
          <w:numId w:val="9"/>
        </w:numPr>
        <w:kinsoku/>
        <w:overflowPunct/>
        <w:autoSpaceDE/>
        <w:autoSpaceDN/>
        <w:bidi w:val="0"/>
        <w:adjustRightInd w:val="0"/>
        <w:snapToGrid w:val="0"/>
        <w:ind w:firstLine="482"/>
        <w:textAlignment w:val="auto"/>
        <w:rPr>
          <w:rFonts w:hint="eastAsia" w:ascii="宋体" w:hAnsi="宋体" w:eastAsia="宋体" w:cs="宋体"/>
          <w:color w:val="auto"/>
          <w:highlight w:val="none"/>
        </w:rPr>
      </w:pPr>
      <w:bookmarkStart w:id="1065" w:name="_Toc19196"/>
      <w:bookmarkStart w:id="1066" w:name="_Toc17374"/>
      <w:bookmarkStart w:id="1067" w:name="_Toc12883"/>
      <w:bookmarkStart w:id="1068" w:name="_Toc319440190"/>
      <w:bookmarkStart w:id="1069" w:name="_Toc17613"/>
      <w:bookmarkStart w:id="1070" w:name="_Toc7390"/>
      <w:bookmarkStart w:id="1071" w:name="_Toc31119"/>
      <w:bookmarkStart w:id="1072" w:name="_Toc5897"/>
      <w:bookmarkStart w:id="1073" w:name="_Toc5906"/>
      <w:bookmarkStart w:id="1074" w:name="_Toc23322"/>
      <w:bookmarkStart w:id="1075" w:name="_Toc31068"/>
      <w:bookmarkStart w:id="1076" w:name="_Toc27103"/>
      <w:bookmarkStart w:id="1077" w:name="_Toc5780"/>
      <w:bookmarkStart w:id="1078" w:name="_Toc9969"/>
      <w:bookmarkStart w:id="1079" w:name="_Toc327196341"/>
      <w:r>
        <w:rPr>
          <w:rFonts w:hint="eastAsia" w:ascii="宋体" w:hAnsi="宋体" w:eastAsia="宋体" w:cs="宋体"/>
          <w:color w:val="auto"/>
          <w:highlight w:val="none"/>
        </w:rPr>
        <w:t>评标程序</w:t>
      </w:r>
      <w:bookmarkEnd w:id="1049"/>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44"/>
        <w:keepNext w:val="0"/>
        <w:keepLines w:val="0"/>
        <w:pageBreakBefore w:val="0"/>
        <w:widowControl w:val="0"/>
        <w:numPr>
          <w:ilvl w:val="1"/>
          <w:numId w:val="30"/>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熟悉招标文件和停止评标</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评标委员会正式评标前，应当熟悉招标文件，主要包括招标文件中符合性审查内容、采购项目技术、服务和商务要求、评标方法和标准以及政府采购合同主要条款等。</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评标过程中有下列情形之一的，评标委员会成员可以停止评标：</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招标采购单位未提供必要的与采购项目有关的政策制度文件或者招标文件，继续评标将导致违法或者错误评标的；</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有关单位和个人非法干预评标委员会依法独立评标的；</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其他导致评标委员会无法正常履职的情形。</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出现本条规定应当停止评标或者可以停止评标情形的，评标委员会成员应当向招标采购单位书面说明情况。除本条规定的情形外，评标委员会成员不得以任何方式和理由停止评标。</w:t>
      </w:r>
    </w:p>
    <w:p>
      <w:pPr>
        <w:pStyle w:val="44"/>
        <w:keepNext w:val="0"/>
        <w:keepLines w:val="0"/>
        <w:pageBreakBefore w:val="0"/>
        <w:widowControl w:val="0"/>
        <w:numPr>
          <w:ilvl w:val="1"/>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符合性审查</w:t>
      </w:r>
    </w:p>
    <w:p>
      <w:pPr>
        <w:pStyle w:val="34"/>
        <w:keepNext w:val="0"/>
        <w:keepLines w:val="0"/>
        <w:pageBreakBefore w:val="0"/>
        <w:widowControl w:val="0"/>
        <w:kinsoku/>
        <w:overflow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投标文件(包括单独递交的开标一览表)有下列情形的，本项目不作为实质性要求进行规定，即不作为符合性审查事项，不得作为无效投标处理：</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正副本数量齐全，只是未按照招标文件要求进行分装或者统装的；</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存在个别地方(不超过2个)没有法定代表人签字，但有法定代表人的私人印章或者有效授权代理人签字的；</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除招标文件明确要求加盖单位(法人)公章的以外，其他地方以相关专用章加盖的；</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以骑缝章的形式代替投标文件内容逐页盖章的(但是骑缝章模糊不清，印章名称无法辨认的除外)；</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其他不影响采购项目实质性要求的情形。</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除政府采购法律制度规定的情形外，本项目投标人或者其投标文件有下列情形之一的，作为无效投标处理：</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投标文件正副本数量不足的；</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投标文件组成明显不符合招标文件的规定要求，影响评标委员会评判的；</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投标文件的格式、语言、计量单位、报价货币、知识产权、投标有效期等不符合招标文件的规定，影响评标委员会评判的；</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投标报价不符合招标文件规定的价格标底和其他报价规定的；</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技术、服务应答内容没有完全响应招标文件的实质性要求的；</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招标文件有明确要求，但投标文件未载明或者载明的采购项目履约时间、方式、数量与招标文件要求不一致的；</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投标文件含有采购人不能接受的附加条件的。</w:t>
      </w:r>
    </w:p>
    <w:p>
      <w:pPr>
        <w:pStyle w:val="44"/>
        <w:keepNext w:val="0"/>
        <w:keepLines w:val="0"/>
        <w:pageBreakBefore w:val="0"/>
        <w:widowControl w:val="0"/>
        <w:numPr>
          <w:ilvl w:val="1"/>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比较与评价</w:t>
      </w:r>
    </w:p>
    <w:p>
      <w:pPr>
        <w:pStyle w:val="34"/>
        <w:keepNext w:val="0"/>
        <w:keepLines w:val="0"/>
        <w:pageBreakBefore w:val="0"/>
        <w:widowControl w:val="0"/>
        <w:kinsoku/>
        <w:overflow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评标委员会应当按照招标文件中规定的评标方法和标准，对符合性审查合格的投标文件进行商务和技术评估，综合比较与评价。</w:t>
      </w:r>
    </w:p>
    <w:p>
      <w:pPr>
        <w:pStyle w:val="44"/>
        <w:keepNext w:val="0"/>
        <w:keepLines w:val="0"/>
        <w:pageBreakBefore w:val="0"/>
        <w:widowControl w:val="0"/>
        <w:numPr>
          <w:ilvl w:val="1"/>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评标争议处理规则</w:t>
      </w:r>
    </w:p>
    <w:p>
      <w:pPr>
        <w:pStyle w:val="34"/>
        <w:keepNext w:val="0"/>
        <w:keepLines w:val="0"/>
        <w:pageBreakBefore w:val="0"/>
        <w:widowControl w:val="0"/>
        <w:kinsoku/>
        <w:overflow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成员在评标过程中，对于符合性审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44"/>
        <w:keepNext w:val="0"/>
        <w:keepLines w:val="0"/>
        <w:pageBreakBefore w:val="0"/>
        <w:widowControl w:val="0"/>
        <w:numPr>
          <w:ilvl w:val="1"/>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供应商应当书面澄清、说明或者纠正</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在评标过程中，评标委员会对投标文件中含义不明确、同类问题表述不一致或者有明显文字和计算错误的内容，应当以书面形式(须由评标委员会全体成员签字)要求供应商作出必要的书面澄清、说明或者纠正，并给予供应商必要的反馈时间。</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供应商应当书面澄清、说明或者纠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纠正不影响投标文件的效力，有效的澄清、说明或者纠正材料，是投标文件的组成部分。</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评标委员会要求供应商澄清、说明或者更正，不得超出招标文件的范围，不得以此让供应商实质改变投标文件的内容，不得影响供应商公平竞争。本项目下列内容不得澄清：</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按财政部规定应当在评标时不予承认的投标文件内容事项；</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投标文件中已经明确的内容事项；</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投标文件未提供的材料。</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本项目采购过程中，投标文件出现下列情况的，不需要供应商澄清、说明或者纠正，按照以下原则处理：</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投标文件的大写金额和小写金额不一致的，以大写金额为准，但大写金额出现文字错误，导致金额无法判断的除外；</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总价金额与按单价汇总金额不一致的，以单价汇总金额计算结果为准，但是单价金额出现计算错误、明显人为工作失误的除外；</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单价金额小数点有明显错位的，应以总价为准，并修改单价；</w:t>
      </w:r>
    </w:p>
    <w:p>
      <w:pPr>
        <w:pStyle w:val="47"/>
        <w:keepNext w:val="0"/>
        <w:keepLines w:val="0"/>
        <w:pageBreakBefore w:val="0"/>
        <w:widowControl w:val="0"/>
        <w:numPr>
          <w:ilvl w:val="3"/>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对不同语言文本投标文件的解释发生异议的，以中文文本为准。</w:t>
      </w:r>
    </w:p>
    <w:p>
      <w:pPr>
        <w:pStyle w:val="34"/>
        <w:keepNext w:val="0"/>
        <w:keepLines w:val="0"/>
        <w:pageBreakBefore w:val="0"/>
        <w:widowControl w:val="0"/>
        <w:kinsoku/>
        <w:overflowPunct/>
        <w:autoSpaceDE/>
        <w:autoSpaceDN/>
        <w:bidi w:val="0"/>
        <w:adjustRightInd w:val="0"/>
        <w:snapToGrid w:val="0"/>
        <w:textAlignment w:val="auto"/>
        <w:rPr>
          <w:rFonts w:hint="eastAsia" w:ascii="宋体" w:hAnsi="宋体" w:eastAsia="宋体" w:cs="宋体"/>
          <w:color w:val="auto"/>
          <w:highlight w:val="none"/>
        </w:rPr>
      </w:pPr>
      <w:r>
        <w:rPr>
          <w:rFonts w:hint="eastAsia" w:ascii="宋体" w:hAnsi="宋体" w:eastAsia="宋体" w:cs="宋体"/>
          <w:color w:val="auto"/>
          <w:highlight w:val="none"/>
        </w:rPr>
        <w:t>出现本条第4.2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56"/>
        <w:keepNext w:val="0"/>
        <w:keepLines w:val="0"/>
        <w:pageBreakBefore w:val="0"/>
        <w:widowControl w:val="0"/>
        <w:kinsoku/>
        <w:overflowPunct/>
        <w:autoSpaceDE/>
        <w:autoSpaceDN/>
        <w:bidi w:val="0"/>
        <w:adjustRightInd w:val="0"/>
        <w:snapToGrid w:val="0"/>
        <w:ind w:firstLine="482"/>
        <w:textAlignment w:val="auto"/>
        <w:rPr>
          <w:rFonts w:hint="eastAsia" w:ascii="宋体" w:hAnsi="宋体" w:eastAsia="宋体" w:cs="宋体"/>
          <w:color w:val="auto"/>
          <w:highlight w:val="none"/>
        </w:rPr>
      </w:pPr>
      <w:r>
        <w:rPr>
          <w:rFonts w:hint="eastAsia" w:ascii="宋体" w:hAnsi="宋体" w:eastAsia="宋体" w:cs="宋体"/>
          <w:color w:val="auto"/>
          <w:highlight w:val="none"/>
        </w:rPr>
        <w:t>注：评标委员会成员应当积极履行澄清、说明或者纠正的职责，不得将应当澄清、说明或者纠正的投标文件作无效投标处理。</w:t>
      </w:r>
    </w:p>
    <w:p>
      <w:pPr>
        <w:pStyle w:val="44"/>
        <w:keepNext w:val="0"/>
        <w:keepLines w:val="0"/>
        <w:pageBreakBefore w:val="0"/>
        <w:widowControl w:val="0"/>
        <w:numPr>
          <w:ilvl w:val="1"/>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投标文件报价出现前后不一致的，除招标文件另有规定外，按照下列规定修正：</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投标文件中开标一览表(报价表)内容与投标文件中相应内容不一致的，以开标唱标时单独提交的开标一览表(报价表)为准；</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大写金额和小写金额不一致的，以大写金额为准；</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单价金额小数点或者百分比有明显错位的，以开标一览表的总价为准，并修改单价；</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总价金额与按单价汇总金额不一致的，以单价金额计算结果为准。</w:t>
      </w:r>
    </w:p>
    <w:p>
      <w:pPr>
        <w:pStyle w:val="56"/>
        <w:keepNext w:val="0"/>
        <w:keepLines w:val="0"/>
        <w:pageBreakBefore w:val="0"/>
        <w:widowControl w:val="0"/>
        <w:kinsoku/>
        <w:overflowPunct/>
        <w:autoSpaceDE/>
        <w:autoSpaceDN/>
        <w:bidi w:val="0"/>
        <w:adjustRightInd w:val="0"/>
        <w:snapToGrid w:val="0"/>
        <w:ind w:firstLine="482"/>
        <w:textAlignment w:val="auto"/>
        <w:rPr>
          <w:rFonts w:hint="eastAsia" w:ascii="宋体" w:hAnsi="宋体" w:eastAsia="宋体" w:cs="宋体"/>
          <w:color w:val="auto"/>
          <w:highlight w:val="none"/>
        </w:rPr>
      </w:pPr>
      <w:r>
        <w:rPr>
          <w:rFonts w:hint="eastAsia" w:ascii="宋体" w:hAnsi="宋体" w:eastAsia="宋体" w:cs="宋体"/>
          <w:color w:val="auto"/>
          <w:highlight w:val="none"/>
        </w:rPr>
        <w:t>同时出现两种以上不一致的，按照前款规定的顺序修正。修正后的报价按照《政府采购货物和服务招标投标管理办法》(财政部令第87号)第五十一条第二款的规定经投标人确认后产生约束力，投标人不确认的，其投标无效。</w:t>
      </w:r>
    </w:p>
    <w:p>
      <w:pPr>
        <w:pStyle w:val="44"/>
        <w:keepNext w:val="0"/>
        <w:keepLines w:val="0"/>
        <w:pageBreakBefore w:val="0"/>
        <w:widowControl w:val="0"/>
        <w:numPr>
          <w:ilvl w:val="1"/>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低于成本价投标处理</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31"/>
        <w:keepNext w:val="0"/>
        <w:keepLines w:val="0"/>
        <w:pageBreakBefore w:val="0"/>
        <w:widowControl w:val="0"/>
        <w:numPr>
          <w:ilvl w:val="1"/>
          <w:numId w:val="9"/>
        </w:numPr>
        <w:kinsoku/>
        <w:overflowPunct/>
        <w:autoSpaceDE/>
        <w:autoSpaceDN/>
        <w:bidi w:val="0"/>
        <w:adjustRightInd w:val="0"/>
        <w:snapToGrid w:val="0"/>
        <w:ind w:firstLine="482"/>
        <w:textAlignment w:val="auto"/>
        <w:rPr>
          <w:rFonts w:hint="eastAsia" w:ascii="宋体" w:hAnsi="宋体" w:eastAsia="宋体" w:cs="宋体"/>
          <w:color w:val="auto"/>
          <w:highlight w:val="none"/>
        </w:rPr>
      </w:pPr>
      <w:bookmarkStart w:id="1080" w:name="_Toc23140"/>
      <w:bookmarkStart w:id="1081" w:name="_Toc24902"/>
      <w:bookmarkStart w:id="1082" w:name="_Toc307501155"/>
      <w:bookmarkStart w:id="1083" w:name="_Toc308188199"/>
      <w:bookmarkStart w:id="1084" w:name="_Toc217446103"/>
      <w:bookmarkStart w:id="1085" w:name="_Toc27402"/>
      <w:bookmarkStart w:id="1086" w:name="_Toc3226"/>
      <w:bookmarkStart w:id="1087" w:name="_Toc25587"/>
      <w:bookmarkStart w:id="1088" w:name="_Toc22389"/>
      <w:bookmarkStart w:id="1089" w:name="_Toc13981"/>
      <w:bookmarkStart w:id="1090" w:name="_Toc319440191"/>
      <w:bookmarkStart w:id="1091" w:name="_Toc307564897"/>
      <w:bookmarkStart w:id="1092" w:name="_Toc319439947"/>
      <w:bookmarkStart w:id="1093" w:name="_Toc327196342"/>
      <w:bookmarkStart w:id="1094" w:name="_Toc309897564"/>
      <w:bookmarkStart w:id="1095" w:name="_Toc2106"/>
      <w:bookmarkStart w:id="1096" w:name="_Toc21397"/>
      <w:bookmarkStart w:id="1097" w:name="_Toc30417"/>
      <w:bookmarkStart w:id="1098" w:name="_Toc308084646"/>
      <w:bookmarkStart w:id="1099" w:name="_Toc23187"/>
      <w:bookmarkStart w:id="1100" w:name="_Toc26213"/>
      <w:bookmarkStart w:id="1101" w:name="_Toc1756"/>
      <w:r>
        <w:rPr>
          <w:rFonts w:hint="eastAsia" w:ascii="宋体" w:hAnsi="宋体" w:eastAsia="宋体" w:cs="宋体"/>
          <w:color w:val="auto"/>
          <w:highlight w:val="none"/>
        </w:rPr>
        <w:t>评标细则及标准</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44"/>
        <w:keepNext w:val="0"/>
        <w:keepLines w:val="0"/>
        <w:pageBreakBefore w:val="0"/>
        <w:widowControl w:val="0"/>
        <w:numPr>
          <w:ilvl w:val="1"/>
          <w:numId w:val="31"/>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评委会只对通过符合性检查的投标文件，根据招标文件的要求采用相同的评标程序、评分办法及标准进行评价和比较。</w:t>
      </w:r>
    </w:p>
    <w:p>
      <w:pPr>
        <w:pStyle w:val="44"/>
        <w:keepNext w:val="0"/>
        <w:keepLines w:val="0"/>
        <w:pageBreakBefore w:val="0"/>
        <w:widowControl w:val="0"/>
        <w:numPr>
          <w:ilvl w:val="1"/>
          <w:numId w:val="31"/>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本次综合评分的因素是：详见“综合评分明细表中的评分因素及权重”。</w:t>
      </w:r>
    </w:p>
    <w:p>
      <w:pPr>
        <w:pStyle w:val="44"/>
        <w:keepNext w:val="0"/>
        <w:keepLines w:val="0"/>
        <w:pageBreakBefore w:val="0"/>
        <w:widowControl w:val="0"/>
        <w:numPr>
          <w:ilvl w:val="1"/>
          <w:numId w:val="31"/>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44"/>
        <w:keepNext w:val="0"/>
        <w:keepLines w:val="0"/>
        <w:pageBreakBefore w:val="0"/>
        <w:widowControl w:val="0"/>
        <w:numPr>
          <w:ilvl w:val="1"/>
          <w:numId w:val="31"/>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评审得分计算方法</w:t>
      </w:r>
    </w:p>
    <w:p>
      <w:pPr>
        <w:keepNext w:val="0"/>
        <w:keepLines w:val="0"/>
        <w:pageBreakBefore w:val="0"/>
        <w:widowControl w:val="0"/>
        <w:kinsoku/>
        <w:overflowPunct/>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评审得分＝(A1＋A2＋……＋An)/NA＋(B1＋B2＋……＋Bn)/ NB＋(C1＋C2＋……＋Cn)/ NC＋(D1＋D2＋……＋Dn)/ND</w:t>
      </w:r>
    </w:p>
    <w:p>
      <w:pPr>
        <w:keepNext w:val="0"/>
        <w:keepLines w:val="0"/>
        <w:pageBreakBefore w:val="0"/>
        <w:widowControl w:val="0"/>
        <w:kinsoku/>
        <w:overflowPunct/>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分别为评审委员会每个成员的打分(共同评分类)，ND为评审委员会人数。</w:t>
      </w:r>
    </w:p>
    <w:p>
      <w:pPr>
        <w:pStyle w:val="44"/>
        <w:keepNext w:val="0"/>
        <w:keepLines w:val="0"/>
        <w:pageBreakBefore w:val="0"/>
        <w:widowControl w:val="0"/>
        <w:numPr>
          <w:ilvl w:val="1"/>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综合评分明细表</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综合评分明细表的制定以科学合理、降低评委会自由裁量权为原则。</w:t>
      </w:r>
    </w:p>
    <w:p>
      <w:pPr>
        <w:pStyle w:val="46"/>
        <w:keepNext w:val="0"/>
        <w:keepLines w:val="0"/>
        <w:pageBreakBefore w:val="0"/>
        <w:widowControl w:val="0"/>
        <w:numPr>
          <w:ilvl w:val="2"/>
          <w:numId w:val="29"/>
        </w:numPr>
        <w:kinsoku/>
        <w:overflowPunct/>
        <w:autoSpaceDE/>
        <w:autoSpaceDN/>
        <w:bidi w:val="0"/>
        <w:adjustRightInd w:val="0"/>
        <w:snapToGrid w:val="0"/>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综合评分明细表</w:t>
      </w:r>
    </w:p>
    <w:tbl>
      <w:tblPr>
        <w:tblStyle w:val="22"/>
        <w:tblW w:w="10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211"/>
        <w:gridCol w:w="957"/>
        <w:gridCol w:w="6354"/>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93"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b/>
                <w:bCs/>
                <w:color w:val="auto"/>
                <w:sz w:val="21"/>
                <w:szCs w:val="21"/>
                <w:highlight w:val="none"/>
              </w:rPr>
            </w:pPr>
            <w:bookmarkStart w:id="1102" w:name="_Toc13245"/>
            <w:bookmarkStart w:id="1103" w:name="_Toc21671"/>
            <w:bookmarkStart w:id="1104" w:name="_Toc21363"/>
            <w:bookmarkStart w:id="1105" w:name="_Toc13513"/>
            <w:bookmarkStart w:id="1106" w:name="_Toc4648"/>
            <w:r>
              <w:rPr>
                <w:rFonts w:hint="eastAsia" w:ascii="宋体" w:hAnsi="宋体" w:eastAsia="宋体" w:cs="宋体"/>
                <w:b/>
                <w:bCs/>
                <w:color w:val="auto"/>
                <w:sz w:val="21"/>
                <w:szCs w:val="21"/>
                <w:highlight w:val="none"/>
              </w:rPr>
              <w:t>序号</w:t>
            </w:r>
          </w:p>
        </w:tc>
        <w:tc>
          <w:tcPr>
            <w:tcW w:w="1211"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w:t>
            </w:r>
          </w:p>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及权重</w:t>
            </w:r>
          </w:p>
        </w:tc>
        <w:tc>
          <w:tcPr>
            <w:tcW w:w="957"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6354"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935"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w:t>
            </w:r>
          </w:p>
        </w:tc>
        <w:tc>
          <w:tcPr>
            <w:tcW w:w="1211"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957"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30分</w:t>
            </w:r>
          </w:p>
        </w:tc>
        <w:tc>
          <w:tcPr>
            <w:tcW w:w="6354" w:type="dxa"/>
            <w:vAlign w:val="center"/>
          </w:tcPr>
          <w:p>
            <w:pPr>
              <w:pStyle w:val="30"/>
              <w:keepNext w:val="0"/>
              <w:keepLines w:val="0"/>
              <w:pageBreakBefore w:val="0"/>
              <w:widowControl w:val="0"/>
              <w:kinsoku/>
              <w:wordWrap w:val="0"/>
              <w:overflowPunct/>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满足招标文件要求且投标价格最低的投标报价为评标基准价，其价格分为满分。其他投标人的价格分统一按照下列公式计算：投标报价得分=(评标基准价／投标报价)×30%×100；</w:t>
            </w:r>
          </w:p>
          <w:p>
            <w:pPr>
              <w:pStyle w:val="30"/>
              <w:keepNext w:val="0"/>
              <w:keepLines w:val="0"/>
              <w:pageBreakBefore w:val="0"/>
              <w:widowControl w:val="0"/>
              <w:kinsoku/>
              <w:wordWrap w:val="0"/>
              <w:overflowPunct/>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注：评标过程中，不得去掉报价中的最高报价和最低报价。</w:t>
            </w:r>
          </w:p>
        </w:tc>
        <w:tc>
          <w:tcPr>
            <w:tcW w:w="935"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w:t>
            </w:r>
          </w:p>
        </w:tc>
        <w:tc>
          <w:tcPr>
            <w:tcW w:w="1211"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技术指标及配置</w:t>
            </w:r>
          </w:p>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w:t>
            </w:r>
          </w:p>
        </w:tc>
        <w:tc>
          <w:tcPr>
            <w:tcW w:w="957"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51分</w:t>
            </w:r>
          </w:p>
        </w:tc>
        <w:tc>
          <w:tcPr>
            <w:tcW w:w="6354" w:type="dxa"/>
            <w:vAlign w:val="center"/>
          </w:tcPr>
          <w:p>
            <w:pPr>
              <w:pStyle w:val="30"/>
              <w:keepNext w:val="0"/>
              <w:keepLines w:val="0"/>
              <w:pageBreakBefore w:val="0"/>
              <w:widowControl w:val="0"/>
              <w:kinsoku/>
              <w:wordWrap w:val="0"/>
              <w:overflowPunct/>
              <w:bidi w:val="0"/>
              <w:adjustRightInd w:val="0"/>
              <w:spacing w:line="320" w:lineRule="exact"/>
              <w:ind w:left="28" w:right="28"/>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投标产品完全响应招标文件第六章 技术参数及配置要求的得51分。在此基础上，每有一项(共10项)重要指标(带“▲”号的参数)有负偏离的，扣2分，每有一项(共62项)一般指标(非“★、▲”号的参数)有负偏离的，扣0.5分，扣完为止。</w:t>
            </w:r>
          </w:p>
          <w:p>
            <w:pPr>
              <w:pStyle w:val="30"/>
              <w:keepNext w:val="0"/>
              <w:keepLines w:val="0"/>
              <w:pageBreakBefore w:val="0"/>
              <w:widowControl w:val="0"/>
              <w:kinsoku/>
              <w:wordWrap w:val="0"/>
              <w:overflowPunct/>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注：针对招标文件中的“技术参数及配置要求”技术参数，投标人应按照招标文件“技术参数及配置要求”提供相关资料，没有按照招标文件要求提供相关资料的，该项技术参数在评审中将不予认定。</w:t>
            </w:r>
          </w:p>
        </w:tc>
        <w:tc>
          <w:tcPr>
            <w:tcW w:w="935"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技术类</w:t>
            </w:r>
          </w:p>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w:t>
            </w:r>
          </w:p>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w:t>
            </w:r>
          </w:p>
        </w:tc>
        <w:tc>
          <w:tcPr>
            <w:tcW w:w="1211"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履约能力</w:t>
            </w:r>
          </w:p>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12%</w:t>
            </w:r>
          </w:p>
        </w:tc>
        <w:tc>
          <w:tcPr>
            <w:tcW w:w="957"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12分</w:t>
            </w:r>
          </w:p>
        </w:tc>
        <w:tc>
          <w:tcPr>
            <w:tcW w:w="6354" w:type="dxa"/>
            <w:vAlign w:val="center"/>
          </w:tcPr>
          <w:p>
            <w:pPr>
              <w:pStyle w:val="38"/>
              <w:keepNext w:val="0"/>
              <w:keepLines w:val="0"/>
              <w:pageBreakBefore w:val="0"/>
              <w:widowControl w:val="0"/>
              <w:kinsoku/>
              <w:wordWrap w:val="0"/>
              <w:overflowPunct/>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1.所投工业机器人离线编程软件具有计算机软件著作权登记证书的得3分，不提供不得分。</w:t>
            </w:r>
          </w:p>
          <w:p>
            <w:pPr>
              <w:pStyle w:val="38"/>
              <w:keepNext w:val="0"/>
              <w:keepLines w:val="0"/>
              <w:pageBreakBefore w:val="0"/>
              <w:widowControl w:val="0"/>
              <w:kinsoku/>
              <w:wordWrap w:val="0"/>
              <w:overflowPunct/>
              <w:bidi w:val="0"/>
              <w:adjustRightInd w:val="0"/>
              <w:spacing w:line="320" w:lineRule="exact"/>
              <w:ind w:left="28" w:right="28"/>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注：提供有效期内的相关证书复印件。</w:t>
            </w:r>
          </w:p>
          <w:p>
            <w:pPr>
              <w:pStyle w:val="38"/>
              <w:keepNext w:val="0"/>
              <w:keepLines w:val="0"/>
              <w:pageBreakBefore w:val="0"/>
              <w:widowControl w:val="0"/>
              <w:kinsoku/>
              <w:wordWrap w:val="0"/>
              <w:overflowPunct/>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2.投标人或所投产品生产厂家</w:t>
            </w:r>
            <w:r>
              <w:rPr>
                <w:rFonts w:hint="eastAsia" w:cs="宋体"/>
                <w:color w:val="auto"/>
                <w:sz w:val="21"/>
                <w:szCs w:val="21"/>
                <w:highlight w:val="none"/>
                <w:lang w:val="en-US" w:eastAsia="zh-CN"/>
              </w:rPr>
              <w:t>自</w:t>
            </w:r>
            <w:r>
              <w:rPr>
                <w:rFonts w:hint="eastAsia" w:ascii="宋体" w:hAnsi="宋体" w:eastAsia="宋体" w:cs="宋体"/>
                <w:color w:val="auto"/>
                <w:sz w:val="21"/>
                <w:szCs w:val="21"/>
                <w:highlight w:val="none"/>
              </w:rPr>
              <w:t>2019年1月1日(含1日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至今具有类似项目履约经验的，每具有1个得1分，最多得4分。</w:t>
            </w:r>
          </w:p>
          <w:p>
            <w:pPr>
              <w:pStyle w:val="38"/>
              <w:keepNext w:val="0"/>
              <w:keepLines w:val="0"/>
              <w:pageBreakBefore w:val="0"/>
              <w:widowControl w:val="0"/>
              <w:kinsoku/>
              <w:wordWrap w:val="0"/>
              <w:overflowPunct/>
              <w:bidi w:val="0"/>
              <w:adjustRightInd w:val="0"/>
              <w:spacing w:line="320" w:lineRule="exact"/>
              <w:ind w:left="28" w:right="28"/>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注：提供合同复印件</w:t>
            </w:r>
            <w:r>
              <w:rPr>
                <w:rFonts w:hint="eastAsia" w:cs="宋体"/>
                <w:b/>
                <w:bCs/>
                <w:color w:val="auto"/>
                <w:sz w:val="21"/>
                <w:szCs w:val="21"/>
                <w:highlight w:val="none"/>
                <w:lang w:val="en-US" w:eastAsia="zh-CN"/>
              </w:rPr>
              <w:t>或</w:t>
            </w:r>
            <w:r>
              <w:rPr>
                <w:rFonts w:hint="eastAsia" w:ascii="宋体" w:hAnsi="宋体" w:eastAsia="宋体" w:cs="宋体"/>
                <w:b/>
                <w:bCs/>
                <w:color w:val="auto"/>
                <w:sz w:val="21"/>
                <w:szCs w:val="21"/>
                <w:highlight w:val="none"/>
              </w:rPr>
              <w:t>中标(成交)通知书复印件。</w:t>
            </w:r>
          </w:p>
          <w:p>
            <w:pPr>
              <w:pStyle w:val="38"/>
              <w:keepNext w:val="0"/>
              <w:keepLines w:val="0"/>
              <w:pageBreakBefore w:val="0"/>
              <w:widowControl w:val="0"/>
              <w:kinsoku/>
              <w:wordWrap w:val="0"/>
              <w:overflowPunct/>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3.投标人拟派往本项目的培训师中，具有国家级相关竞赛指导培训经验的得5分，具有省级相关竞赛指导培训经验的得3分，具有市级及以下相关竞赛指导培训经验的得1分。</w:t>
            </w:r>
          </w:p>
          <w:p>
            <w:pPr>
              <w:pStyle w:val="38"/>
              <w:keepNext w:val="0"/>
              <w:keepLines w:val="0"/>
              <w:pageBreakBefore w:val="0"/>
              <w:widowControl w:val="0"/>
              <w:kinsoku/>
              <w:wordWrap w:val="0"/>
              <w:overflowPunct/>
              <w:bidi w:val="0"/>
              <w:adjustRightInd w:val="0"/>
              <w:spacing w:line="320" w:lineRule="exact"/>
              <w:ind w:left="28" w:right="28"/>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注：提供培训师相关证书复印件及相关竞赛证明材料。若投标人拟派多人时，只选取得分最高的培训师的得分为最终得分</w:t>
            </w:r>
            <w:r>
              <w:rPr>
                <w:rFonts w:hint="eastAsia" w:ascii="宋体" w:hAnsi="宋体" w:eastAsia="宋体" w:cs="宋体"/>
                <w:b/>
                <w:bCs/>
                <w:color w:val="auto"/>
                <w:sz w:val="21"/>
                <w:szCs w:val="21"/>
                <w:highlight w:val="none"/>
                <w:lang w:eastAsia="zh-CN"/>
              </w:rPr>
              <w:t>。</w:t>
            </w:r>
          </w:p>
        </w:tc>
        <w:tc>
          <w:tcPr>
            <w:tcW w:w="935"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w:t>
            </w:r>
          </w:p>
        </w:tc>
        <w:tc>
          <w:tcPr>
            <w:tcW w:w="1211"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培训及售后服务方案6%</w:t>
            </w:r>
          </w:p>
        </w:tc>
        <w:tc>
          <w:tcPr>
            <w:tcW w:w="957"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6分</w:t>
            </w:r>
          </w:p>
        </w:tc>
        <w:tc>
          <w:tcPr>
            <w:tcW w:w="6354" w:type="dxa"/>
            <w:vAlign w:val="center"/>
          </w:tcPr>
          <w:p>
            <w:pPr>
              <w:pStyle w:val="30"/>
              <w:keepNext w:val="0"/>
              <w:keepLines w:val="0"/>
              <w:pageBreakBefore w:val="0"/>
              <w:widowControl w:val="0"/>
              <w:kinsoku/>
              <w:wordWrap w:val="0"/>
              <w:overflowPunct/>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供应商针对本项目提供的培训方案[包含①培训内容；②培训安排；③培训流程方案等]进行综合评审；以上3项内容为专门针对本项目编制，符合本项目实际情况，能够保障项目顺利实施的得3分，缺少一项内容扣1分，扣完为止。</w:t>
            </w:r>
          </w:p>
          <w:p>
            <w:pPr>
              <w:pStyle w:val="30"/>
              <w:keepNext w:val="0"/>
              <w:keepLines w:val="0"/>
              <w:pageBreakBefore w:val="0"/>
              <w:widowControl w:val="0"/>
              <w:kinsoku/>
              <w:wordWrap w:val="0"/>
              <w:overflowPunct/>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根据供应商针对本项目提供的售后服务方案[包含①维修更换方案；②应急处理方案；③响应方案等]进行综合评审；以上3项内容为专门针对本项目编制，符合本项目实际情况，能够保障项目售后服务实施的得3分，缺少一项内容扣1分，扣完为止。</w:t>
            </w:r>
          </w:p>
          <w:p>
            <w:pPr>
              <w:pStyle w:val="30"/>
              <w:keepNext w:val="0"/>
              <w:keepLines w:val="0"/>
              <w:pageBreakBefore w:val="0"/>
              <w:widowControl w:val="0"/>
              <w:kinsoku/>
              <w:wordWrap w:val="0"/>
              <w:overflowPunct/>
              <w:bidi w:val="0"/>
              <w:adjustRightInd w:val="0"/>
              <w:spacing w:line="320" w:lineRule="exact"/>
              <w:ind w:left="28" w:right="28"/>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注：以评审专家结合项目实际情况和投标文件独立评审为准。</w:t>
            </w:r>
          </w:p>
        </w:tc>
        <w:tc>
          <w:tcPr>
            <w:tcW w:w="935"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技术类</w:t>
            </w:r>
          </w:p>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w:t>
            </w:r>
          </w:p>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93"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w:t>
            </w:r>
          </w:p>
        </w:tc>
        <w:tc>
          <w:tcPr>
            <w:tcW w:w="1211" w:type="dxa"/>
            <w:vAlign w:val="center"/>
          </w:tcPr>
          <w:p>
            <w:pPr>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扶持少数民族地区1%</w:t>
            </w:r>
          </w:p>
        </w:tc>
        <w:tc>
          <w:tcPr>
            <w:tcW w:w="957" w:type="dxa"/>
            <w:vAlign w:val="center"/>
          </w:tcPr>
          <w:p>
            <w:pPr>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1分</w:t>
            </w:r>
          </w:p>
        </w:tc>
        <w:tc>
          <w:tcPr>
            <w:tcW w:w="6354" w:type="dxa"/>
            <w:vAlign w:val="center"/>
          </w:tcPr>
          <w:p>
            <w:pPr>
              <w:keepNext w:val="0"/>
              <w:keepLines w:val="0"/>
              <w:pageBreakBefore w:val="0"/>
              <w:widowControl w:val="0"/>
              <w:kinsoku/>
              <w:wordWrap w:val="0"/>
              <w:overflowPunct/>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投标人注册在少数民族地区的得1分。</w:t>
            </w:r>
          </w:p>
          <w:p>
            <w:pPr>
              <w:keepNext w:val="0"/>
              <w:keepLines w:val="0"/>
              <w:pageBreakBefore w:val="0"/>
              <w:widowControl w:val="0"/>
              <w:kinsoku/>
              <w:wordWrap w:val="0"/>
              <w:overflowPunct/>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注：指投标人注册地在民族自治区、自治州、自治县(含享受少数民族待遇的区县)、民族乡，提供营业执照副本复印件。</w:t>
            </w:r>
          </w:p>
        </w:tc>
        <w:tc>
          <w:tcPr>
            <w:tcW w:w="935" w:type="dxa"/>
            <w:vAlign w:val="center"/>
          </w:tcPr>
          <w:p>
            <w:pPr>
              <w:pStyle w:val="30"/>
              <w:keepNext w:val="0"/>
              <w:keepLines w:val="0"/>
              <w:pageBreakBefore w:val="0"/>
              <w:widowControl w:val="0"/>
              <w:kinsoku/>
              <w:wordWrap w:val="0"/>
              <w:overflowPunct/>
              <w:bidi w:val="0"/>
              <w:adjustRightInd w:val="0"/>
              <w:spacing w:line="320" w:lineRule="exact"/>
              <w:ind w:left="28" w:right="28"/>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50" w:type="dxa"/>
            <w:gridSpan w:val="5"/>
            <w:vAlign w:val="center"/>
          </w:tcPr>
          <w:p>
            <w:pPr>
              <w:pStyle w:val="30"/>
              <w:keepNext w:val="0"/>
              <w:keepLines w:val="0"/>
              <w:pageBreakBefore w:val="0"/>
              <w:widowControl w:val="0"/>
              <w:kinsoku/>
              <w:wordWrap w:val="0"/>
              <w:overflowPunct/>
              <w:bidi w:val="0"/>
              <w:adjustRightInd w:val="0"/>
              <w:spacing w:line="320" w:lineRule="exact"/>
              <w:ind w:left="28" w:right="28"/>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1 \* GB3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评分的取值按四舍五入法，小数点后保留两位。</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2 \* GB3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本表中要求提供各类证明材料，均需加盖供应商单位公章，否则将不认可该项材料的有效性。③本项目不涉及节能产品、环境标志产品、无线局域网产品，故在评审标准中不作体现。</w:t>
            </w:r>
          </w:p>
        </w:tc>
      </w:tr>
    </w:tbl>
    <w:p>
      <w:pPr>
        <w:pStyle w:val="31"/>
        <w:keepNext w:val="0"/>
        <w:keepLines w:val="0"/>
        <w:pageBreakBefore w:val="0"/>
        <w:widowControl w:val="0"/>
        <w:numPr>
          <w:ilvl w:val="1"/>
          <w:numId w:val="9"/>
        </w:numPr>
        <w:tabs>
          <w:tab w:val="left" w:pos="3603"/>
        </w:tabs>
        <w:kinsoku/>
        <w:wordWrap w:val="0"/>
        <w:overflowPunct/>
        <w:autoSpaceDE/>
        <w:autoSpaceDN/>
        <w:bidi w:val="0"/>
        <w:adjustRightInd w:val="0"/>
        <w:snapToGrid w:val="0"/>
        <w:spacing w:line="440" w:lineRule="exact"/>
        <w:ind w:firstLine="482"/>
        <w:textAlignment w:val="auto"/>
        <w:rPr>
          <w:rFonts w:hint="eastAsia" w:ascii="宋体" w:hAnsi="宋体" w:eastAsia="宋体" w:cs="宋体"/>
          <w:color w:val="auto"/>
          <w:highlight w:val="none"/>
        </w:rPr>
      </w:pPr>
      <w:bookmarkStart w:id="1107" w:name="_Toc1805"/>
      <w:bookmarkStart w:id="1108" w:name="_Toc9803"/>
      <w:r>
        <w:rPr>
          <w:rFonts w:hint="eastAsia" w:ascii="宋体" w:hAnsi="宋体" w:eastAsia="宋体" w:cs="宋体"/>
          <w:color w:val="auto"/>
          <w:highlight w:val="none"/>
        </w:rPr>
        <w:t>复核</w:t>
      </w:r>
      <w:bookmarkEnd w:id="1102"/>
      <w:bookmarkEnd w:id="1107"/>
      <w:bookmarkEnd w:id="1108"/>
      <w:r>
        <w:rPr>
          <w:rFonts w:hint="eastAsia" w:ascii="宋体" w:hAnsi="宋体" w:eastAsia="宋体" w:cs="宋体"/>
          <w:color w:val="auto"/>
          <w:highlight w:val="none"/>
        </w:rPr>
        <w:tab/>
      </w:r>
    </w:p>
    <w:p>
      <w:pPr>
        <w:pStyle w:val="44"/>
        <w:keepNext w:val="0"/>
        <w:keepLines w:val="0"/>
        <w:pageBreakBefore w:val="0"/>
        <w:widowControl w:val="0"/>
        <w:numPr>
          <w:ilvl w:val="1"/>
          <w:numId w:val="32"/>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评标委员会复核</w:t>
      </w:r>
    </w:p>
    <w:p>
      <w:pPr>
        <w:pStyle w:val="30"/>
        <w:keepNext w:val="0"/>
        <w:keepLines w:val="0"/>
        <w:pageBreakBefore w:val="0"/>
        <w:widowControl w:val="0"/>
        <w:kinsoku/>
        <w:wordWrap w:val="0"/>
        <w:overflowPunct/>
        <w:autoSpaceDE/>
        <w:autoSpaceDN/>
        <w:bidi w:val="0"/>
        <w:adjustRightInd w:val="0"/>
        <w:snapToGrid w:val="0"/>
        <w:spacing w:line="4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评分汇总结束后，评标委员会应当进行复核，特别要对拟推荐为中标候选供应商的、报价最低的、投标文件被认定为无效的进行重点复核。</w:t>
      </w:r>
    </w:p>
    <w:p>
      <w:pPr>
        <w:pStyle w:val="44"/>
        <w:keepNext w:val="0"/>
        <w:keepLines w:val="0"/>
        <w:pageBreakBefore w:val="0"/>
        <w:widowControl w:val="0"/>
        <w:numPr>
          <w:ilvl w:val="1"/>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采购代理机构现场复核评审结果</w:t>
      </w:r>
    </w:p>
    <w:p>
      <w:pPr>
        <w:pStyle w:val="46"/>
        <w:keepNext w:val="0"/>
        <w:keepLines w:val="0"/>
        <w:pageBreakBefore w:val="0"/>
        <w:widowControl w:val="0"/>
        <w:numPr>
          <w:ilvl w:val="2"/>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审结果汇总完成后，评标委员会拟出具评标报告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47"/>
        <w:keepNext w:val="0"/>
        <w:keepLines w:val="0"/>
        <w:pageBreakBefore w:val="0"/>
        <w:widowControl w:val="0"/>
        <w:numPr>
          <w:ilvl w:val="3"/>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分值汇总计算错误的；</w:t>
      </w:r>
    </w:p>
    <w:p>
      <w:pPr>
        <w:pStyle w:val="47"/>
        <w:keepNext w:val="0"/>
        <w:keepLines w:val="0"/>
        <w:pageBreakBefore w:val="0"/>
        <w:widowControl w:val="0"/>
        <w:numPr>
          <w:ilvl w:val="3"/>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分项评分超出评分标准范围的；</w:t>
      </w:r>
    </w:p>
    <w:p>
      <w:pPr>
        <w:pStyle w:val="47"/>
        <w:keepNext w:val="0"/>
        <w:keepLines w:val="0"/>
        <w:pageBreakBefore w:val="0"/>
        <w:widowControl w:val="0"/>
        <w:numPr>
          <w:ilvl w:val="3"/>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评标委员会成员对客观评审因素评分不一致的；</w:t>
      </w:r>
    </w:p>
    <w:p>
      <w:pPr>
        <w:pStyle w:val="47"/>
        <w:keepNext w:val="0"/>
        <w:keepLines w:val="0"/>
        <w:pageBreakBefore w:val="0"/>
        <w:widowControl w:val="0"/>
        <w:numPr>
          <w:ilvl w:val="3"/>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经评标委员会认定评分畸高、畸低的。</w:t>
      </w:r>
    </w:p>
    <w:p>
      <w:pPr>
        <w:pStyle w:val="34"/>
        <w:keepNext w:val="0"/>
        <w:keepLines w:val="0"/>
        <w:pageBreakBefore w:val="0"/>
        <w:widowControl w:val="0"/>
        <w:kinsoku/>
        <w:wordWrap w:val="0"/>
        <w:overflowPunct/>
        <w:autoSpaceDE/>
        <w:autoSpaceDN/>
        <w:bidi w:val="0"/>
        <w:adjustRightInd w:val="0"/>
        <w:snapToGrid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34"/>
        <w:keepNext w:val="0"/>
        <w:keepLines w:val="0"/>
        <w:pageBreakBefore w:val="0"/>
        <w:widowControl w:val="0"/>
        <w:kinsoku/>
        <w:wordWrap w:val="0"/>
        <w:overflowPunct/>
        <w:autoSpaceDE/>
        <w:autoSpaceDN/>
        <w:bidi w:val="0"/>
        <w:adjustRightInd w:val="0"/>
        <w:snapToGrid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46"/>
        <w:keepNext w:val="0"/>
        <w:keepLines w:val="0"/>
        <w:pageBreakBefore w:val="0"/>
        <w:widowControl w:val="0"/>
        <w:numPr>
          <w:ilvl w:val="2"/>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采购代理机构复核过程中，评标委员会不得离开评标现场。</w:t>
      </w:r>
    </w:p>
    <w:p>
      <w:pPr>
        <w:pStyle w:val="46"/>
        <w:keepNext w:val="0"/>
        <w:keepLines w:val="0"/>
        <w:pageBreakBefore w:val="0"/>
        <w:widowControl w:val="0"/>
        <w:numPr>
          <w:ilvl w:val="2"/>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有下列情形之一的，不得修改评标结果或者重新评标：</w:t>
      </w:r>
    </w:p>
    <w:p>
      <w:pPr>
        <w:pStyle w:val="47"/>
        <w:keepNext w:val="0"/>
        <w:keepLines w:val="0"/>
        <w:pageBreakBefore w:val="0"/>
        <w:widowControl w:val="0"/>
        <w:numPr>
          <w:ilvl w:val="3"/>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评标委员会已经出具评标报告并且离开评标现场的；</w:t>
      </w:r>
    </w:p>
    <w:p>
      <w:pPr>
        <w:pStyle w:val="47"/>
        <w:keepNext w:val="0"/>
        <w:keepLines w:val="0"/>
        <w:pageBreakBefore w:val="0"/>
        <w:widowControl w:val="0"/>
        <w:numPr>
          <w:ilvl w:val="3"/>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采购代理机构现场复核时，复核工作人员数量不足的；</w:t>
      </w:r>
    </w:p>
    <w:p>
      <w:pPr>
        <w:pStyle w:val="47"/>
        <w:keepNext w:val="0"/>
        <w:keepLines w:val="0"/>
        <w:pageBreakBefore w:val="0"/>
        <w:widowControl w:val="0"/>
        <w:numPr>
          <w:ilvl w:val="3"/>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采购代理机构现场复核时，没有采购监督人员现场监督的；</w:t>
      </w:r>
    </w:p>
    <w:p>
      <w:pPr>
        <w:pStyle w:val="47"/>
        <w:keepNext w:val="0"/>
        <w:keepLines w:val="0"/>
        <w:pageBreakBefore w:val="0"/>
        <w:widowControl w:val="0"/>
        <w:numPr>
          <w:ilvl w:val="3"/>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采购代理机构现场复核内容超出规定范围的；</w:t>
      </w:r>
    </w:p>
    <w:p>
      <w:pPr>
        <w:pStyle w:val="47"/>
        <w:keepNext w:val="0"/>
        <w:keepLines w:val="0"/>
        <w:pageBreakBefore w:val="0"/>
        <w:widowControl w:val="0"/>
        <w:numPr>
          <w:ilvl w:val="3"/>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采购代理机构未提供书面建议的。</w:t>
      </w:r>
    </w:p>
    <w:p>
      <w:pPr>
        <w:pStyle w:val="31"/>
        <w:keepNext w:val="0"/>
        <w:keepLines w:val="0"/>
        <w:pageBreakBefore w:val="0"/>
        <w:widowControl w:val="0"/>
        <w:numPr>
          <w:ilvl w:val="1"/>
          <w:numId w:val="9"/>
        </w:numPr>
        <w:kinsoku/>
        <w:wordWrap w:val="0"/>
        <w:overflowPunct/>
        <w:autoSpaceDE/>
        <w:autoSpaceDN/>
        <w:bidi w:val="0"/>
        <w:adjustRightInd w:val="0"/>
        <w:snapToGrid w:val="0"/>
        <w:spacing w:line="440" w:lineRule="exact"/>
        <w:ind w:firstLine="482"/>
        <w:textAlignment w:val="auto"/>
        <w:rPr>
          <w:rFonts w:hint="eastAsia" w:ascii="宋体" w:hAnsi="宋体" w:eastAsia="宋体" w:cs="宋体"/>
          <w:color w:val="auto"/>
          <w:highlight w:val="none"/>
        </w:rPr>
      </w:pPr>
      <w:bookmarkStart w:id="1109" w:name="_Toc6109"/>
      <w:bookmarkStart w:id="1110" w:name="_Toc22418"/>
      <w:bookmarkStart w:id="1111" w:name="_Toc31256"/>
      <w:r>
        <w:rPr>
          <w:rFonts w:hint="eastAsia" w:ascii="宋体" w:hAnsi="宋体" w:eastAsia="宋体" w:cs="宋体"/>
          <w:color w:val="auto"/>
          <w:highlight w:val="none"/>
        </w:rPr>
        <w:t>推荐中标候选供应商</w:t>
      </w:r>
      <w:bookmarkEnd w:id="1109"/>
      <w:bookmarkEnd w:id="1110"/>
      <w:bookmarkEnd w:id="1111"/>
    </w:p>
    <w:p>
      <w:pPr>
        <w:pStyle w:val="34"/>
        <w:keepNext w:val="0"/>
        <w:keepLines w:val="0"/>
        <w:pageBreakBefore w:val="0"/>
        <w:widowControl w:val="0"/>
        <w:kinsoku/>
        <w:wordWrap w:val="0"/>
        <w:overflowPunct/>
        <w:autoSpaceDE/>
        <w:autoSpaceDN/>
        <w:bidi w:val="0"/>
        <w:adjustRightInd w:val="0"/>
        <w:snapToGrid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中标候选供应商数量应当根据招标文件的规定确定，但必须按顺序排列中标候选供应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4"/>
        <w:keepNext w:val="0"/>
        <w:keepLines w:val="0"/>
        <w:pageBreakBefore w:val="0"/>
        <w:widowControl w:val="0"/>
        <w:kinsoku/>
        <w:wordWrap w:val="0"/>
        <w:overflowPunct/>
        <w:autoSpaceDE/>
        <w:autoSpaceDN/>
        <w:bidi w:val="0"/>
        <w:adjustRightInd w:val="0"/>
        <w:snapToGrid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不予认可。</w:t>
      </w:r>
    </w:p>
    <w:p>
      <w:pPr>
        <w:pStyle w:val="31"/>
        <w:keepNext w:val="0"/>
        <w:keepLines w:val="0"/>
        <w:pageBreakBefore w:val="0"/>
        <w:widowControl w:val="0"/>
        <w:numPr>
          <w:ilvl w:val="1"/>
          <w:numId w:val="9"/>
        </w:numPr>
        <w:kinsoku/>
        <w:wordWrap w:val="0"/>
        <w:overflowPunct/>
        <w:autoSpaceDE/>
        <w:autoSpaceDN/>
        <w:bidi w:val="0"/>
        <w:adjustRightInd w:val="0"/>
        <w:snapToGrid w:val="0"/>
        <w:spacing w:line="440" w:lineRule="exact"/>
        <w:ind w:firstLine="482"/>
        <w:textAlignment w:val="auto"/>
        <w:rPr>
          <w:rFonts w:hint="eastAsia" w:ascii="宋体" w:hAnsi="宋体" w:eastAsia="宋体" w:cs="宋体"/>
          <w:color w:val="auto"/>
          <w:highlight w:val="none"/>
        </w:rPr>
      </w:pPr>
      <w:bookmarkStart w:id="1112" w:name="_Toc12648"/>
      <w:bookmarkStart w:id="1113" w:name="_Toc20789"/>
      <w:bookmarkStart w:id="1114" w:name="_Toc7685"/>
      <w:r>
        <w:rPr>
          <w:rFonts w:hint="eastAsia" w:ascii="宋体" w:hAnsi="宋体" w:eastAsia="宋体" w:cs="宋体"/>
          <w:color w:val="auto"/>
          <w:highlight w:val="none"/>
        </w:rPr>
        <w:t>出具评标报告</w:t>
      </w:r>
      <w:bookmarkEnd w:id="1112"/>
      <w:bookmarkEnd w:id="1113"/>
      <w:bookmarkEnd w:id="1114"/>
    </w:p>
    <w:p>
      <w:pPr>
        <w:pStyle w:val="34"/>
        <w:keepNext w:val="0"/>
        <w:keepLines w:val="0"/>
        <w:pageBreakBefore w:val="0"/>
        <w:widowControl w:val="0"/>
        <w:kinsoku/>
        <w:wordWrap w:val="0"/>
        <w:overflowPunct/>
        <w:autoSpaceDE/>
        <w:autoSpaceDN/>
        <w:bidi w:val="0"/>
        <w:adjustRightInd w:val="0"/>
        <w:snapToGrid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评标委员会推荐中标候选供应商后，应当向招标采购单位出具评标报告。评标报告应当包括下列内容：</w:t>
      </w:r>
    </w:p>
    <w:p>
      <w:pPr>
        <w:pStyle w:val="44"/>
        <w:keepNext w:val="0"/>
        <w:keepLines w:val="0"/>
        <w:pageBreakBefore w:val="0"/>
        <w:widowControl w:val="0"/>
        <w:numPr>
          <w:ilvl w:val="1"/>
          <w:numId w:val="33"/>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招标公告刊登的媒体名称、开标日期和地点；</w:t>
      </w:r>
    </w:p>
    <w:p>
      <w:pPr>
        <w:pStyle w:val="44"/>
        <w:keepNext w:val="0"/>
        <w:keepLines w:val="0"/>
        <w:pageBreakBefore w:val="0"/>
        <w:widowControl w:val="0"/>
        <w:numPr>
          <w:ilvl w:val="1"/>
          <w:numId w:val="33"/>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投标人名单和评标委员会成员名单；</w:t>
      </w:r>
    </w:p>
    <w:p>
      <w:pPr>
        <w:pStyle w:val="44"/>
        <w:keepNext w:val="0"/>
        <w:keepLines w:val="0"/>
        <w:pageBreakBefore w:val="0"/>
        <w:widowControl w:val="0"/>
        <w:numPr>
          <w:ilvl w:val="1"/>
          <w:numId w:val="33"/>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评标方法和标准；</w:t>
      </w:r>
    </w:p>
    <w:p>
      <w:pPr>
        <w:pStyle w:val="44"/>
        <w:keepNext w:val="0"/>
        <w:keepLines w:val="0"/>
        <w:pageBreakBefore w:val="0"/>
        <w:widowControl w:val="0"/>
        <w:numPr>
          <w:ilvl w:val="1"/>
          <w:numId w:val="33"/>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开标记录和评标情况及说明，包括无效投标人名单及原因；</w:t>
      </w:r>
    </w:p>
    <w:p>
      <w:pPr>
        <w:pStyle w:val="44"/>
        <w:keepNext w:val="0"/>
        <w:keepLines w:val="0"/>
        <w:pageBreakBefore w:val="0"/>
        <w:widowControl w:val="0"/>
        <w:numPr>
          <w:ilvl w:val="1"/>
          <w:numId w:val="33"/>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评标结果，确定的中标候选人名单或者经采购人委托直接确定的中标人；</w:t>
      </w:r>
    </w:p>
    <w:p>
      <w:pPr>
        <w:pStyle w:val="44"/>
        <w:keepNext w:val="0"/>
        <w:keepLines w:val="0"/>
        <w:pageBreakBefore w:val="0"/>
        <w:widowControl w:val="0"/>
        <w:numPr>
          <w:ilvl w:val="1"/>
          <w:numId w:val="33"/>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其他需要说明的情况，包括评标过程中投标人根据评标委员会要求进行的澄清、说明或者补正，评标委员会成员的更换等。</w:t>
      </w:r>
    </w:p>
    <w:p>
      <w:pPr>
        <w:pStyle w:val="56"/>
        <w:keepNext w:val="0"/>
        <w:keepLines w:val="0"/>
        <w:pageBreakBefore w:val="0"/>
        <w:widowControl w:val="0"/>
        <w:kinsoku/>
        <w:wordWrap w:val="0"/>
        <w:overflowPunct/>
        <w:autoSpaceDE/>
        <w:autoSpaceDN/>
        <w:bidi w:val="0"/>
        <w:adjustRightInd w:val="0"/>
        <w:snapToGrid w:val="0"/>
        <w:spacing w:line="440" w:lineRule="exact"/>
        <w:ind w:firstLine="482"/>
        <w:textAlignment w:val="auto"/>
        <w:rPr>
          <w:rFonts w:hint="eastAsia" w:ascii="宋体" w:hAnsi="宋体" w:eastAsia="宋体" w:cs="宋体"/>
          <w:color w:val="auto"/>
          <w:highlight w:val="none"/>
        </w:rPr>
      </w:pPr>
      <w:r>
        <w:rPr>
          <w:rFonts w:hint="eastAsia" w:ascii="宋体" w:hAnsi="宋体" w:eastAsia="宋体" w:cs="宋体"/>
          <w:color w:val="auto"/>
          <w:highlight w:val="none"/>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31"/>
        <w:keepNext w:val="0"/>
        <w:keepLines w:val="0"/>
        <w:pageBreakBefore w:val="0"/>
        <w:widowControl w:val="0"/>
        <w:numPr>
          <w:ilvl w:val="1"/>
          <w:numId w:val="9"/>
        </w:numPr>
        <w:kinsoku/>
        <w:wordWrap w:val="0"/>
        <w:overflowPunct/>
        <w:autoSpaceDE/>
        <w:autoSpaceDN/>
        <w:bidi w:val="0"/>
        <w:adjustRightInd w:val="0"/>
        <w:snapToGrid w:val="0"/>
        <w:spacing w:line="440" w:lineRule="exact"/>
        <w:ind w:firstLine="482"/>
        <w:textAlignment w:val="auto"/>
        <w:rPr>
          <w:rFonts w:hint="eastAsia" w:ascii="宋体" w:hAnsi="宋体" w:eastAsia="宋体" w:cs="宋体"/>
          <w:color w:val="auto"/>
          <w:highlight w:val="none"/>
        </w:rPr>
      </w:pPr>
      <w:bookmarkStart w:id="1115" w:name="_Toc23409"/>
      <w:bookmarkStart w:id="1116" w:name="_Toc20645"/>
      <w:bookmarkStart w:id="1117" w:name="_Toc17073"/>
      <w:r>
        <w:rPr>
          <w:rFonts w:hint="eastAsia" w:ascii="宋体" w:hAnsi="宋体" w:eastAsia="宋体" w:cs="宋体"/>
          <w:color w:val="auto"/>
          <w:highlight w:val="none"/>
        </w:rPr>
        <w:t>废标</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103"/>
      <w:bookmarkEnd w:id="1104"/>
      <w:bookmarkEnd w:id="1105"/>
      <w:bookmarkEnd w:id="1106"/>
      <w:bookmarkEnd w:id="1115"/>
      <w:bookmarkEnd w:id="1116"/>
      <w:bookmarkEnd w:id="1117"/>
    </w:p>
    <w:p>
      <w:pPr>
        <w:pStyle w:val="34"/>
        <w:keepNext w:val="0"/>
        <w:keepLines w:val="0"/>
        <w:pageBreakBefore w:val="0"/>
        <w:widowControl w:val="0"/>
        <w:kinsoku/>
        <w:wordWrap w:val="0"/>
        <w:overflowPunct/>
        <w:autoSpaceDE/>
        <w:autoSpaceDN/>
        <w:bidi w:val="0"/>
        <w:adjustRightInd w:val="0"/>
        <w:snapToGrid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本次政府采购活动中，出现下列情形之一的，予以废标：</w:t>
      </w:r>
    </w:p>
    <w:p>
      <w:pPr>
        <w:pStyle w:val="46"/>
        <w:keepNext w:val="0"/>
        <w:keepLines w:val="0"/>
        <w:pageBreakBefore w:val="0"/>
        <w:widowControl w:val="0"/>
        <w:numPr>
          <w:ilvl w:val="2"/>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符合专业条件的供应商或者对招标文件作实质响应的供应商不足三家的；</w:t>
      </w:r>
    </w:p>
    <w:p>
      <w:pPr>
        <w:pStyle w:val="46"/>
        <w:keepNext w:val="0"/>
        <w:keepLines w:val="0"/>
        <w:pageBreakBefore w:val="0"/>
        <w:widowControl w:val="0"/>
        <w:numPr>
          <w:ilvl w:val="2"/>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出现影响采购公正的违法、违规行为的；</w:t>
      </w:r>
    </w:p>
    <w:p>
      <w:pPr>
        <w:pStyle w:val="46"/>
        <w:keepNext w:val="0"/>
        <w:keepLines w:val="0"/>
        <w:pageBreakBefore w:val="0"/>
        <w:widowControl w:val="0"/>
        <w:numPr>
          <w:ilvl w:val="2"/>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投标人的报价均超过了采购预算或最高限价，采购人不能支付的；</w:t>
      </w:r>
    </w:p>
    <w:p>
      <w:pPr>
        <w:pStyle w:val="46"/>
        <w:keepNext w:val="0"/>
        <w:keepLines w:val="0"/>
        <w:pageBreakBefore w:val="0"/>
        <w:widowControl w:val="0"/>
        <w:numPr>
          <w:ilvl w:val="2"/>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因重大变故，采购任务取消的。</w:t>
      </w:r>
    </w:p>
    <w:p>
      <w:pPr>
        <w:pStyle w:val="34"/>
        <w:keepNext w:val="0"/>
        <w:keepLines w:val="0"/>
        <w:pageBreakBefore w:val="0"/>
        <w:widowControl w:val="0"/>
        <w:kinsoku/>
        <w:wordWrap w:val="0"/>
        <w:overflowPunct/>
        <w:autoSpaceDE/>
        <w:autoSpaceDN/>
        <w:bidi w:val="0"/>
        <w:adjustRightInd w:val="0"/>
        <w:snapToGrid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废标后，采购代理机构应在“四川政府采购网”公告，并公告废标的理由。对于废标的采购项目，评标委员会应当对招标文件是否存在倾向性和歧视性、是否存在不合理条款进行论证，并出具书面论证意见。</w:t>
      </w:r>
    </w:p>
    <w:p>
      <w:pPr>
        <w:pStyle w:val="31"/>
        <w:keepNext w:val="0"/>
        <w:keepLines w:val="0"/>
        <w:pageBreakBefore w:val="0"/>
        <w:widowControl w:val="0"/>
        <w:numPr>
          <w:ilvl w:val="1"/>
          <w:numId w:val="9"/>
        </w:numPr>
        <w:kinsoku/>
        <w:wordWrap w:val="0"/>
        <w:overflowPunct/>
        <w:autoSpaceDE/>
        <w:autoSpaceDN/>
        <w:bidi w:val="0"/>
        <w:adjustRightInd w:val="0"/>
        <w:snapToGrid w:val="0"/>
        <w:spacing w:line="440" w:lineRule="exact"/>
        <w:ind w:firstLine="482"/>
        <w:textAlignment w:val="auto"/>
        <w:rPr>
          <w:rFonts w:hint="eastAsia" w:ascii="宋体" w:hAnsi="宋体" w:eastAsia="宋体" w:cs="宋体"/>
          <w:color w:val="auto"/>
          <w:highlight w:val="none"/>
        </w:rPr>
      </w:pPr>
      <w:bookmarkStart w:id="1118" w:name="_Toc2453"/>
      <w:bookmarkStart w:id="1119" w:name="_Toc17278"/>
      <w:bookmarkStart w:id="1120" w:name="_Toc308188202"/>
      <w:bookmarkStart w:id="1121" w:name="_Toc7121"/>
      <w:bookmarkStart w:id="1122" w:name="_Toc24655"/>
      <w:bookmarkStart w:id="1123" w:name="_Toc309897567"/>
      <w:bookmarkStart w:id="1124" w:name="_Toc308084649"/>
      <w:bookmarkStart w:id="1125" w:name="_Toc307501158"/>
      <w:bookmarkStart w:id="1126" w:name="_Toc768"/>
      <w:bookmarkStart w:id="1127" w:name="_Toc319439949"/>
      <w:bookmarkStart w:id="1128" w:name="_Toc21352"/>
      <w:bookmarkStart w:id="1129" w:name="_Toc13169"/>
      <w:bookmarkStart w:id="1130" w:name="_Toc31281"/>
      <w:bookmarkStart w:id="1131" w:name="_Toc10846"/>
      <w:bookmarkStart w:id="1132" w:name="_Toc327196344"/>
      <w:bookmarkStart w:id="1133" w:name="_Toc4475"/>
      <w:bookmarkStart w:id="1134" w:name="_Toc307564900"/>
      <w:bookmarkStart w:id="1135" w:name="_Toc25875"/>
      <w:bookmarkStart w:id="1136" w:name="_Toc319440193"/>
      <w:bookmarkStart w:id="1137" w:name="_Toc4794"/>
      <w:bookmarkStart w:id="1138" w:name="_Toc29957"/>
      <w:r>
        <w:rPr>
          <w:rFonts w:hint="eastAsia" w:ascii="宋体" w:hAnsi="宋体" w:eastAsia="宋体" w:cs="宋体"/>
          <w:color w:val="auto"/>
          <w:highlight w:val="none"/>
        </w:rPr>
        <w:t>定标</w:t>
      </w:r>
      <w:bookmarkEnd w:id="1003"/>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Start w:id="1139" w:name="_Toc217446061"/>
    </w:p>
    <w:p>
      <w:pPr>
        <w:pStyle w:val="44"/>
        <w:keepNext w:val="0"/>
        <w:keepLines w:val="0"/>
        <w:pageBreakBefore w:val="0"/>
        <w:widowControl w:val="0"/>
        <w:numPr>
          <w:ilvl w:val="1"/>
          <w:numId w:val="34"/>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定标原则</w:t>
      </w:r>
      <w:bookmarkEnd w:id="1139"/>
      <w:r>
        <w:rPr>
          <w:rFonts w:hint="eastAsia" w:ascii="宋体" w:hAnsi="宋体" w:eastAsia="宋体" w:cs="宋体"/>
          <w:color w:val="auto"/>
          <w:highlight w:val="none"/>
        </w:rPr>
        <w:t>：本项目根据评委会推荐的中标候选人名单，按顺序确定中标人。</w:t>
      </w:r>
    </w:p>
    <w:p>
      <w:pPr>
        <w:pStyle w:val="44"/>
        <w:keepNext w:val="0"/>
        <w:keepLines w:val="0"/>
        <w:pageBreakBefore w:val="0"/>
        <w:widowControl w:val="0"/>
        <w:numPr>
          <w:ilvl w:val="1"/>
          <w:numId w:val="34"/>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bookmarkStart w:id="1140" w:name="_Toc217446062"/>
      <w:r>
        <w:rPr>
          <w:rFonts w:hint="eastAsia" w:ascii="宋体" w:hAnsi="宋体" w:eastAsia="宋体" w:cs="宋体"/>
          <w:color w:val="auto"/>
          <w:highlight w:val="none"/>
        </w:rPr>
        <w:t>定标程序</w:t>
      </w:r>
      <w:bookmarkEnd w:id="1140"/>
    </w:p>
    <w:p>
      <w:pPr>
        <w:pStyle w:val="46"/>
        <w:keepNext w:val="0"/>
        <w:keepLines w:val="0"/>
        <w:pageBreakBefore w:val="0"/>
        <w:widowControl w:val="0"/>
        <w:numPr>
          <w:ilvl w:val="2"/>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评标委员会根据全体评标成员签字的原始评标记录和评标结果编写评标报告，推荐不少于三名中标候选人，并按照综合得分高低标明排列顺序。</w:t>
      </w:r>
    </w:p>
    <w:p>
      <w:pPr>
        <w:pStyle w:val="46"/>
        <w:keepNext w:val="0"/>
        <w:keepLines w:val="0"/>
        <w:pageBreakBefore w:val="0"/>
        <w:widowControl w:val="0"/>
        <w:numPr>
          <w:ilvl w:val="2"/>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采购代理机构在评标结束后2个工作日内将评标报告送采购人。</w:t>
      </w:r>
    </w:p>
    <w:p>
      <w:pPr>
        <w:pStyle w:val="46"/>
        <w:keepNext w:val="0"/>
        <w:keepLines w:val="0"/>
        <w:pageBreakBefore w:val="0"/>
        <w:widowControl w:val="0"/>
        <w:numPr>
          <w:ilvl w:val="2"/>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34"/>
        <w:keepNext w:val="0"/>
        <w:keepLines w:val="0"/>
        <w:pageBreakBefore w:val="0"/>
        <w:widowControl w:val="0"/>
        <w:kinsoku/>
        <w:wordWrap w:val="0"/>
        <w:overflowPunct/>
        <w:autoSpaceDE/>
        <w:autoSpaceDN/>
        <w:bidi w:val="0"/>
        <w:adjustRightInd w:val="0"/>
        <w:snapToGrid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采购人在收到评标报告5个工作日内未按评标报告推荐的中标候选人顺序确定中标人，又不能说明合法理由的，视同按评标报告推荐的顺序确定排名第一的中标候选人为中标人。</w:t>
      </w:r>
    </w:p>
    <w:p>
      <w:pPr>
        <w:pStyle w:val="46"/>
        <w:keepNext w:val="0"/>
        <w:keepLines w:val="0"/>
        <w:pageBreakBefore w:val="0"/>
        <w:widowControl w:val="0"/>
        <w:numPr>
          <w:ilvl w:val="2"/>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人。</w:t>
      </w:r>
    </w:p>
    <w:p>
      <w:pPr>
        <w:pStyle w:val="46"/>
        <w:keepNext w:val="0"/>
        <w:keepLines w:val="0"/>
        <w:pageBreakBefore w:val="0"/>
        <w:widowControl w:val="0"/>
        <w:numPr>
          <w:ilvl w:val="2"/>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投标人中标后应当及时领取中标通知书，不能及时领取或拒绝领取中标通知书的，采购代理机构将中标通知书快递至中标人。</w:t>
      </w:r>
    </w:p>
    <w:p>
      <w:pPr>
        <w:pStyle w:val="46"/>
        <w:keepNext w:val="0"/>
        <w:keepLines w:val="0"/>
        <w:pageBreakBefore w:val="0"/>
        <w:widowControl w:val="0"/>
        <w:numPr>
          <w:ilvl w:val="2"/>
          <w:numId w:val="29"/>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招标采购单位不退回投标人投标文件和其他投标资料。</w:t>
      </w:r>
    </w:p>
    <w:bookmarkEnd w:id="1004"/>
    <w:p>
      <w:pPr>
        <w:pStyle w:val="31"/>
        <w:keepNext w:val="0"/>
        <w:keepLines w:val="0"/>
        <w:pageBreakBefore w:val="0"/>
        <w:widowControl w:val="0"/>
        <w:numPr>
          <w:ilvl w:val="1"/>
          <w:numId w:val="9"/>
        </w:numPr>
        <w:kinsoku/>
        <w:wordWrap w:val="0"/>
        <w:overflowPunct/>
        <w:autoSpaceDE/>
        <w:autoSpaceDN/>
        <w:bidi w:val="0"/>
        <w:adjustRightInd w:val="0"/>
        <w:snapToGrid w:val="0"/>
        <w:spacing w:line="440" w:lineRule="exact"/>
        <w:ind w:firstLine="482"/>
        <w:textAlignment w:val="auto"/>
        <w:rPr>
          <w:rFonts w:hint="eastAsia" w:ascii="宋体" w:hAnsi="宋体" w:eastAsia="宋体" w:cs="宋体"/>
          <w:color w:val="auto"/>
          <w:highlight w:val="none"/>
        </w:rPr>
      </w:pPr>
      <w:bookmarkStart w:id="1141" w:name="_Toc309897568"/>
      <w:bookmarkStart w:id="1142" w:name="_Toc25198"/>
      <w:bookmarkStart w:id="1143" w:name="_Toc11821"/>
      <w:bookmarkStart w:id="1144" w:name="_Toc308188203"/>
      <w:bookmarkStart w:id="1145" w:name="_Toc27423"/>
      <w:bookmarkStart w:id="1146" w:name="_Toc307501159"/>
      <w:bookmarkStart w:id="1147" w:name="_Toc32114"/>
      <w:bookmarkStart w:id="1148" w:name="_Toc15982"/>
      <w:bookmarkStart w:id="1149" w:name="_Toc308084650"/>
      <w:bookmarkStart w:id="1150" w:name="_Toc27662"/>
      <w:bookmarkStart w:id="1151" w:name="_Toc319439950"/>
      <w:bookmarkStart w:id="1152" w:name="_Toc22537"/>
      <w:bookmarkStart w:id="1153" w:name="_Toc13543"/>
      <w:bookmarkStart w:id="1154" w:name="_Toc16879"/>
      <w:bookmarkStart w:id="1155" w:name="_Toc14102"/>
      <w:bookmarkStart w:id="1156" w:name="_Toc327196345"/>
      <w:bookmarkStart w:id="1157" w:name="_Toc10903"/>
      <w:bookmarkStart w:id="1158" w:name="_Toc8099"/>
      <w:bookmarkStart w:id="1159" w:name="_Toc307564901"/>
      <w:bookmarkStart w:id="1160" w:name="_Toc25084"/>
      <w:bookmarkStart w:id="1161" w:name="_Toc319440194"/>
      <w:r>
        <w:rPr>
          <w:rFonts w:hint="eastAsia" w:ascii="宋体" w:hAnsi="宋体" w:eastAsia="宋体" w:cs="宋体"/>
          <w:color w:val="auto"/>
          <w:highlight w:val="none"/>
        </w:rPr>
        <w:t>评标专家在政府采购活动中承担以下义务</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44"/>
        <w:keepNext w:val="0"/>
        <w:keepLines w:val="0"/>
        <w:pageBreakBefore w:val="0"/>
        <w:widowControl w:val="0"/>
        <w:numPr>
          <w:ilvl w:val="1"/>
          <w:numId w:val="35"/>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遵守评标工作纪律；</w:t>
      </w:r>
    </w:p>
    <w:p>
      <w:pPr>
        <w:pStyle w:val="44"/>
        <w:keepNext w:val="0"/>
        <w:keepLines w:val="0"/>
        <w:pageBreakBefore w:val="0"/>
        <w:widowControl w:val="0"/>
        <w:numPr>
          <w:ilvl w:val="1"/>
          <w:numId w:val="35"/>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按照客观、公正、审慎的原则，根据招标文件规定的评标程序、评标方法和评标标准进行独立评标；</w:t>
      </w:r>
    </w:p>
    <w:p>
      <w:pPr>
        <w:pStyle w:val="44"/>
        <w:keepNext w:val="0"/>
        <w:keepLines w:val="0"/>
        <w:pageBreakBefore w:val="0"/>
        <w:widowControl w:val="0"/>
        <w:numPr>
          <w:ilvl w:val="1"/>
          <w:numId w:val="35"/>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不得泄露评标文件、评标情况和在评标过程中获悉的商业秘密；</w:t>
      </w:r>
    </w:p>
    <w:p>
      <w:pPr>
        <w:pStyle w:val="44"/>
        <w:keepNext w:val="0"/>
        <w:keepLines w:val="0"/>
        <w:pageBreakBefore w:val="0"/>
        <w:widowControl w:val="0"/>
        <w:numPr>
          <w:ilvl w:val="1"/>
          <w:numId w:val="35"/>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及时向财政部门报告评标过程中发现的采购人、采购代理机构向评标专家做倾向性、误导性的解释或者说明，以及供应商行贿、提供虚假材料或者串通等违法行为；</w:t>
      </w:r>
    </w:p>
    <w:p>
      <w:pPr>
        <w:pStyle w:val="44"/>
        <w:keepNext w:val="0"/>
        <w:keepLines w:val="0"/>
        <w:pageBreakBefore w:val="0"/>
        <w:widowControl w:val="0"/>
        <w:numPr>
          <w:ilvl w:val="1"/>
          <w:numId w:val="35"/>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发现招标文件内容违反国家有关强制性规定或者采购文件存在歧义、重大缺陷导致评标工作无法进行时，停止评标并向采购人或者采购代理机构书面说明情况；</w:t>
      </w:r>
    </w:p>
    <w:p>
      <w:pPr>
        <w:pStyle w:val="44"/>
        <w:keepNext w:val="0"/>
        <w:keepLines w:val="0"/>
        <w:pageBreakBefore w:val="0"/>
        <w:widowControl w:val="0"/>
        <w:numPr>
          <w:ilvl w:val="1"/>
          <w:numId w:val="35"/>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及时向财政、监察等部门举报在评标过程中受到的非法干预情况；</w:t>
      </w:r>
    </w:p>
    <w:p>
      <w:pPr>
        <w:pStyle w:val="44"/>
        <w:keepNext w:val="0"/>
        <w:keepLines w:val="0"/>
        <w:pageBreakBefore w:val="0"/>
        <w:widowControl w:val="0"/>
        <w:numPr>
          <w:ilvl w:val="1"/>
          <w:numId w:val="35"/>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配合答复处理供应商的询问、质疑和投诉等事项；</w:t>
      </w:r>
    </w:p>
    <w:p>
      <w:pPr>
        <w:pStyle w:val="44"/>
        <w:keepNext w:val="0"/>
        <w:keepLines w:val="0"/>
        <w:pageBreakBefore w:val="0"/>
        <w:widowControl w:val="0"/>
        <w:numPr>
          <w:ilvl w:val="1"/>
          <w:numId w:val="35"/>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法律、法规和规章规定的其他义务。</w:t>
      </w:r>
    </w:p>
    <w:p>
      <w:pPr>
        <w:pStyle w:val="31"/>
        <w:keepNext w:val="0"/>
        <w:keepLines w:val="0"/>
        <w:pageBreakBefore w:val="0"/>
        <w:widowControl w:val="0"/>
        <w:numPr>
          <w:ilvl w:val="1"/>
          <w:numId w:val="9"/>
        </w:numPr>
        <w:kinsoku/>
        <w:wordWrap w:val="0"/>
        <w:overflowPunct/>
        <w:autoSpaceDE/>
        <w:autoSpaceDN/>
        <w:bidi w:val="0"/>
        <w:adjustRightInd w:val="0"/>
        <w:snapToGrid w:val="0"/>
        <w:spacing w:line="440" w:lineRule="exact"/>
        <w:ind w:firstLine="482"/>
        <w:textAlignment w:val="auto"/>
        <w:rPr>
          <w:rFonts w:hint="eastAsia" w:ascii="宋体" w:hAnsi="宋体" w:eastAsia="宋体" w:cs="宋体"/>
          <w:color w:val="auto"/>
          <w:highlight w:val="none"/>
        </w:rPr>
      </w:pPr>
      <w:bookmarkStart w:id="1162" w:name="_Toc22368"/>
      <w:bookmarkStart w:id="1163" w:name="_Toc29759"/>
      <w:bookmarkStart w:id="1164" w:name="_Toc28428"/>
      <w:bookmarkStart w:id="1165" w:name="_Toc24913"/>
      <w:bookmarkStart w:id="1166" w:name="_Toc319440195"/>
      <w:bookmarkStart w:id="1167" w:name="_Toc27047"/>
      <w:bookmarkStart w:id="1168" w:name="_Toc19071"/>
      <w:bookmarkStart w:id="1169" w:name="_Toc3688"/>
      <w:bookmarkStart w:id="1170" w:name="_Toc1690"/>
      <w:bookmarkStart w:id="1171" w:name="_Toc4379"/>
      <w:bookmarkStart w:id="1172" w:name="_Toc27258"/>
      <w:bookmarkStart w:id="1173" w:name="_Toc12088"/>
      <w:bookmarkStart w:id="1174" w:name="_Toc19000"/>
      <w:bookmarkStart w:id="1175" w:name="_Toc327196346"/>
      <w:bookmarkStart w:id="1176" w:name="_Toc30872"/>
      <w:r>
        <w:rPr>
          <w:rFonts w:hint="eastAsia" w:ascii="宋体" w:hAnsi="宋体" w:eastAsia="宋体" w:cs="宋体"/>
          <w:color w:val="auto"/>
          <w:highlight w:val="none"/>
        </w:rPr>
        <w:t>评标专家在政府采购活动中应当遵守以下工作纪律</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44"/>
        <w:keepNext w:val="0"/>
        <w:keepLines w:val="0"/>
        <w:pageBreakBefore w:val="0"/>
        <w:widowControl w:val="0"/>
        <w:numPr>
          <w:ilvl w:val="1"/>
          <w:numId w:val="36"/>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bookmarkStart w:id="1177" w:name="_Toc28956"/>
      <w:r>
        <w:rPr>
          <w:rFonts w:hint="eastAsia" w:ascii="宋体" w:hAnsi="宋体" w:eastAsia="宋体" w:cs="宋体"/>
          <w:color w:val="auto"/>
          <w:highlight w:val="none"/>
        </w:rPr>
        <w:t>遵行《中华人民共和国政府采购法》第十二条和《中华人民共和国政府采购法实施条例》第九条及财政部关于回避的规定；</w:t>
      </w:r>
    </w:p>
    <w:p>
      <w:pPr>
        <w:pStyle w:val="44"/>
        <w:keepNext w:val="0"/>
        <w:keepLines w:val="0"/>
        <w:pageBreakBefore w:val="0"/>
        <w:widowControl w:val="0"/>
        <w:numPr>
          <w:ilvl w:val="1"/>
          <w:numId w:val="36"/>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评标前，应当将通讯工具或者相关电子设备交由招标采购单位统一保管；</w:t>
      </w:r>
    </w:p>
    <w:p>
      <w:pPr>
        <w:pStyle w:val="44"/>
        <w:keepNext w:val="0"/>
        <w:keepLines w:val="0"/>
        <w:pageBreakBefore w:val="0"/>
        <w:widowControl w:val="0"/>
        <w:numPr>
          <w:ilvl w:val="1"/>
          <w:numId w:val="36"/>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评标过程中，不得与外界联系，因发生不可预见情况，确实需要与外界联系的，应当在监督人员监督之下办理；</w:t>
      </w:r>
    </w:p>
    <w:p>
      <w:pPr>
        <w:pStyle w:val="44"/>
        <w:keepNext w:val="0"/>
        <w:keepLines w:val="0"/>
        <w:pageBreakBefore w:val="0"/>
        <w:widowControl w:val="0"/>
        <w:numPr>
          <w:ilvl w:val="1"/>
          <w:numId w:val="36"/>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44"/>
        <w:keepNext w:val="0"/>
        <w:keepLines w:val="0"/>
        <w:pageBreakBefore w:val="0"/>
        <w:widowControl w:val="0"/>
        <w:numPr>
          <w:ilvl w:val="1"/>
          <w:numId w:val="36"/>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在评标过程中和评标结束后，不得记录、复制或带走任何评标资料，除因规定的义务外，不得向外界透露评标内容；</w:t>
      </w:r>
    </w:p>
    <w:p>
      <w:pPr>
        <w:pStyle w:val="44"/>
        <w:keepNext w:val="0"/>
        <w:keepLines w:val="0"/>
        <w:pageBreakBefore w:val="0"/>
        <w:widowControl w:val="0"/>
        <w:numPr>
          <w:ilvl w:val="1"/>
          <w:numId w:val="36"/>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服从评标现场招标采购单位的现场秩序管理，接受评标现场监督人员的合法监督；</w:t>
      </w:r>
    </w:p>
    <w:p>
      <w:pPr>
        <w:pStyle w:val="44"/>
        <w:keepNext w:val="0"/>
        <w:keepLines w:val="0"/>
        <w:pageBreakBefore w:val="0"/>
        <w:widowControl w:val="0"/>
        <w:numPr>
          <w:ilvl w:val="1"/>
          <w:numId w:val="36"/>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遵守有关廉洁自律规定，不得私下接触供应商，不得收受供应商及有关业务单位和个人的财物或好处，不得接受招标采购单位的请托。</w:t>
      </w:r>
    </w:p>
    <w:p>
      <w:pPr>
        <w:pStyle w:val="44"/>
        <w:keepNext w:val="0"/>
        <w:keepLines w:val="0"/>
        <w:pageBreakBefore w:val="0"/>
        <w:widowControl w:val="0"/>
        <w:numPr>
          <w:ilvl w:val="1"/>
          <w:numId w:val="36"/>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有关部门(机构)制定的其他评审工作纪律。</w:t>
      </w:r>
    </w:p>
    <w:p>
      <w:pPr>
        <w:pStyle w:val="31"/>
        <w:keepNext w:val="0"/>
        <w:keepLines w:val="0"/>
        <w:pageBreakBefore w:val="0"/>
        <w:widowControl w:val="0"/>
        <w:numPr>
          <w:ilvl w:val="1"/>
          <w:numId w:val="9"/>
        </w:numPr>
        <w:kinsoku/>
        <w:wordWrap w:val="0"/>
        <w:overflowPunct/>
        <w:autoSpaceDE/>
        <w:autoSpaceDN/>
        <w:bidi w:val="0"/>
        <w:adjustRightInd w:val="0"/>
        <w:snapToGrid w:val="0"/>
        <w:spacing w:line="440" w:lineRule="exact"/>
        <w:ind w:firstLine="482"/>
        <w:textAlignment w:val="auto"/>
        <w:rPr>
          <w:rFonts w:hint="eastAsia" w:ascii="宋体" w:hAnsi="宋体" w:eastAsia="宋体" w:cs="宋体"/>
          <w:color w:val="auto"/>
          <w:highlight w:val="none"/>
        </w:rPr>
      </w:pPr>
      <w:bookmarkStart w:id="1178" w:name="_Toc21505"/>
      <w:bookmarkStart w:id="1179" w:name="_Toc8256"/>
      <w:bookmarkStart w:id="1180" w:name="_Toc30239"/>
      <w:bookmarkStart w:id="1181" w:name="_Toc26220"/>
      <w:bookmarkStart w:id="1182" w:name="_Toc13640"/>
      <w:r>
        <w:rPr>
          <w:rFonts w:hint="eastAsia" w:ascii="宋体" w:hAnsi="宋体" w:eastAsia="宋体" w:cs="宋体"/>
          <w:color w:val="auto"/>
          <w:highlight w:val="none"/>
        </w:rPr>
        <w:t>评标委员会及其成员不得有下列行为</w:t>
      </w:r>
      <w:bookmarkEnd w:id="1178"/>
      <w:bookmarkEnd w:id="1179"/>
      <w:bookmarkEnd w:id="1180"/>
      <w:bookmarkEnd w:id="1181"/>
      <w:bookmarkEnd w:id="1182"/>
    </w:p>
    <w:p>
      <w:pPr>
        <w:pStyle w:val="44"/>
        <w:keepNext w:val="0"/>
        <w:keepLines w:val="0"/>
        <w:pageBreakBefore w:val="0"/>
        <w:widowControl w:val="0"/>
        <w:numPr>
          <w:ilvl w:val="1"/>
          <w:numId w:val="37"/>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确定参与评标至评标结束前私自接触投标人；</w:t>
      </w:r>
    </w:p>
    <w:p>
      <w:pPr>
        <w:pStyle w:val="44"/>
        <w:keepNext w:val="0"/>
        <w:keepLines w:val="0"/>
        <w:pageBreakBefore w:val="0"/>
        <w:widowControl w:val="0"/>
        <w:numPr>
          <w:ilvl w:val="1"/>
          <w:numId w:val="37"/>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接受投标人提出的与投标文件不一致的澄清或者说明，《政府采购货物和服务招标投标管理办法》(财政部令第87号)第五十一条规定的情形除外；</w:t>
      </w:r>
    </w:p>
    <w:p>
      <w:pPr>
        <w:pStyle w:val="44"/>
        <w:keepNext w:val="0"/>
        <w:keepLines w:val="0"/>
        <w:pageBreakBefore w:val="0"/>
        <w:widowControl w:val="0"/>
        <w:numPr>
          <w:ilvl w:val="1"/>
          <w:numId w:val="37"/>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违反评标纪律发表倾向性意见或者征询采购人的倾向性意见；</w:t>
      </w:r>
    </w:p>
    <w:p>
      <w:pPr>
        <w:pStyle w:val="44"/>
        <w:keepNext w:val="0"/>
        <w:keepLines w:val="0"/>
        <w:pageBreakBefore w:val="0"/>
        <w:widowControl w:val="0"/>
        <w:numPr>
          <w:ilvl w:val="1"/>
          <w:numId w:val="37"/>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对需要专业判断的主观评审因素协商评分；</w:t>
      </w:r>
    </w:p>
    <w:p>
      <w:pPr>
        <w:pStyle w:val="44"/>
        <w:keepNext w:val="0"/>
        <w:keepLines w:val="0"/>
        <w:pageBreakBefore w:val="0"/>
        <w:widowControl w:val="0"/>
        <w:numPr>
          <w:ilvl w:val="1"/>
          <w:numId w:val="37"/>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在评标过程中擅离职守，影响评标程序正常进行的；</w:t>
      </w:r>
    </w:p>
    <w:p>
      <w:pPr>
        <w:pStyle w:val="44"/>
        <w:keepNext w:val="0"/>
        <w:keepLines w:val="0"/>
        <w:pageBreakBefore w:val="0"/>
        <w:widowControl w:val="0"/>
        <w:numPr>
          <w:ilvl w:val="1"/>
          <w:numId w:val="37"/>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记录、复制或者带走任何评标资料；</w:t>
      </w:r>
    </w:p>
    <w:p>
      <w:pPr>
        <w:pStyle w:val="44"/>
        <w:keepNext w:val="0"/>
        <w:keepLines w:val="0"/>
        <w:pageBreakBefore w:val="0"/>
        <w:widowControl w:val="0"/>
        <w:numPr>
          <w:ilvl w:val="1"/>
          <w:numId w:val="37"/>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其他不遵守评标纪律的行为。</w:t>
      </w:r>
    </w:p>
    <w:p>
      <w:pPr>
        <w:pStyle w:val="34"/>
        <w:keepNext w:val="0"/>
        <w:keepLines w:val="0"/>
        <w:pageBreakBefore w:val="0"/>
        <w:widowControl w:val="0"/>
        <w:kinsoku/>
        <w:wordWrap w:val="0"/>
        <w:overflowPunct/>
        <w:autoSpaceDE/>
        <w:autoSpaceDN/>
        <w:bidi w:val="0"/>
        <w:adjustRightInd w:val="0"/>
        <w:snapToGrid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评标委员会成员有前款第一至五项行为之一的，其评审意见无效，并不得获取评审劳务报酬和报销异地评审差旅费。</w:t>
      </w:r>
    </w:p>
    <w:p>
      <w:pPr>
        <w:pStyle w:val="31"/>
        <w:keepNext w:val="0"/>
        <w:keepLines w:val="0"/>
        <w:pageBreakBefore w:val="0"/>
        <w:widowControl w:val="0"/>
        <w:numPr>
          <w:ilvl w:val="1"/>
          <w:numId w:val="9"/>
        </w:numPr>
        <w:kinsoku/>
        <w:wordWrap w:val="0"/>
        <w:overflowPunct/>
        <w:autoSpaceDE/>
        <w:autoSpaceDN/>
        <w:bidi w:val="0"/>
        <w:adjustRightInd w:val="0"/>
        <w:snapToGrid w:val="0"/>
        <w:spacing w:line="440" w:lineRule="exact"/>
        <w:ind w:firstLine="482"/>
        <w:textAlignment w:val="auto"/>
        <w:rPr>
          <w:rFonts w:hint="eastAsia" w:ascii="宋体" w:hAnsi="宋体" w:eastAsia="宋体" w:cs="宋体"/>
          <w:color w:val="auto"/>
          <w:highlight w:val="none"/>
        </w:rPr>
      </w:pPr>
      <w:bookmarkStart w:id="1183" w:name="_Toc16283"/>
      <w:bookmarkStart w:id="1184" w:name="_Toc13225"/>
      <w:bookmarkStart w:id="1185" w:name="_Toc14200"/>
      <w:r>
        <w:rPr>
          <w:rFonts w:hint="eastAsia" w:ascii="宋体" w:hAnsi="宋体" w:eastAsia="宋体" w:cs="宋体"/>
          <w:color w:val="auto"/>
          <w:highlight w:val="none"/>
        </w:rPr>
        <w:t>评标委员会及其成员不得有下列违约情形</w:t>
      </w:r>
      <w:bookmarkEnd w:id="1183"/>
      <w:bookmarkEnd w:id="1184"/>
      <w:bookmarkEnd w:id="1185"/>
    </w:p>
    <w:p>
      <w:pPr>
        <w:pStyle w:val="44"/>
        <w:keepNext w:val="0"/>
        <w:keepLines w:val="0"/>
        <w:pageBreakBefore w:val="0"/>
        <w:widowControl w:val="0"/>
        <w:numPr>
          <w:ilvl w:val="1"/>
          <w:numId w:val="38"/>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答应参加评审活动后，无正当理由不参加或者迟到，且不及时告知抽取终端工作人员，导致评审活动无法正常进行的；</w:t>
      </w:r>
    </w:p>
    <w:p>
      <w:pPr>
        <w:pStyle w:val="44"/>
        <w:keepNext w:val="0"/>
        <w:keepLines w:val="0"/>
        <w:pageBreakBefore w:val="0"/>
        <w:widowControl w:val="0"/>
        <w:numPr>
          <w:ilvl w:val="1"/>
          <w:numId w:val="38"/>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不遵守评审现场工作纪律的；</w:t>
      </w:r>
    </w:p>
    <w:p>
      <w:pPr>
        <w:pStyle w:val="44"/>
        <w:keepNext w:val="0"/>
        <w:keepLines w:val="0"/>
        <w:pageBreakBefore w:val="0"/>
        <w:widowControl w:val="0"/>
        <w:numPr>
          <w:ilvl w:val="1"/>
          <w:numId w:val="38"/>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明显故意拖延评审时间的；</w:t>
      </w:r>
    </w:p>
    <w:p>
      <w:pPr>
        <w:pStyle w:val="44"/>
        <w:keepNext w:val="0"/>
        <w:keepLines w:val="0"/>
        <w:pageBreakBefore w:val="0"/>
        <w:widowControl w:val="0"/>
        <w:numPr>
          <w:ilvl w:val="1"/>
          <w:numId w:val="38"/>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抄袭其他评审委员会成员的评审意见的；</w:t>
      </w:r>
    </w:p>
    <w:p>
      <w:pPr>
        <w:pStyle w:val="44"/>
        <w:keepNext w:val="0"/>
        <w:keepLines w:val="0"/>
        <w:pageBreakBefore w:val="0"/>
        <w:widowControl w:val="0"/>
        <w:numPr>
          <w:ilvl w:val="1"/>
          <w:numId w:val="38"/>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不按照政府采购法律制度和采购文件的规定进行评审，导致评审过程、评审结果违法违规，情节轻微不构成行政处罚的；</w:t>
      </w:r>
    </w:p>
    <w:p>
      <w:pPr>
        <w:pStyle w:val="44"/>
        <w:keepNext w:val="0"/>
        <w:keepLines w:val="0"/>
        <w:pageBreakBefore w:val="0"/>
        <w:widowControl w:val="0"/>
        <w:numPr>
          <w:ilvl w:val="1"/>
          <w:numId w:val="38"/>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索取高于规定的劳务报酬，或者要求先给付报酬再进行评审，或者因劳务报酬低而拒绝评审、拒绝签署评审报告的；</w:t>
      </w:r>
    </w:p>
    <w:p>
      <w:pPr>
        <w:pStyle w:val="44"/>
        <w:keepNext w:val="0"/>
        <w:keepLines w:val="0"/>
        <w:pageBreakBefore w:val="0"/>
        <w:widowControl w:val="0"/>
        <w:numPr>
          <w:ilvl w:val="1"/>
          <w:numId w:val="38"/>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不按照《四川省政府采购评审专家管理实施办法》的规定记录或者反馈采购人或者采购代理机构的职责履行情况的；</w:t>
      </w:r>
    </w:p>
    <w:p>
      <w:pPr>
        <w:pStyle w:val="44"/>
        <w:keepNext w:val="0"/>
        <w:keepLines w:val="0"/>
        <w:pageBreakBefore w:val="0"/>
        <w:widowControl w:val="0"/>
        <w:numPr>
          <w:ilvl w:val="1"/>
          <w:numId w:val="38"/>
        </w:numPr>
        <w:kinsoku/>
        <w:wordWrap w:val="0"/>
        <w:overflowPunct/>
        <w:autoSpaceDE/>
        <w:autoSpaceDN/>
        <w:bidi w:val="0"/>
        <w:adjustRightInd w:val="0"/>
        <w:snapToGrid w:val="0"/>
        <w:spacing w:line="44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存在其他违反政府采购法规制度，但不构成行政处罚行为的。</w:t>
      </w:r>
    </w:p>
    <w:p>
      <w:pPr>
        <w:pStyle w:val="29"/>
        <w:numPr>
          <w:ilvl w:val="0"/>
          <w:numId w:val="9"/>
        </w:numPr>
        <w:spacing w:before="120" w:after="120"/>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1177"/>
      <w:bookmarkStart w:id="1186" w:name="_Toc13264"/>
      <w:bookmarkStart w:id="1187" w:name="_Toc7547"/>
      <w:bookmarkStart w:id="1188" w:name="_Toc18908"/>
      <w:bookmarkStart w:id="1189" w:name="_Toc229"/>
      <w:bookmarkStart w:id="1190" w:name="_Toc14812"/>
      <w:r>
        <w:rPr>
          <w:rFonts w:hint="eastAsia" w:ascii="宋体" w:hAnsi="宋体" w:eastAsia="宋体" w:cs="宋体"/>
          <w:color w:val="auto"/>
          <w:highlight w:val="none"/>
        </w:rPr>
        <w:t>政府采购合同</w:t>
      </w:r>
      <w:bookmarkEnd w:id="1186"/>
      <w:bookmarkEnd w:id="1187"/>
      <w:bookmarkEnd w:id="1188"/>
      <w:bookmarkEnd w:id="1189"/>
      <w:r>
        <w:rPr>
          <w:rFonts w:hint="eastAsia" w:ascii="宋体" w:hAnsi="宋体" w:eastAsia="宋体" w:cs="宋体"/>
          <w:color w:val="auto"/>
          <w:highlight w:val="none"/>
        </w:rPr>
        <w:t>(参考文本)</w:t>
      </w:r>
      <w:bookmarkEnd w:id="1190"/>
    </w:p>
    <w:p>
      <w:pPr>
        <w:pStyle w:val="30"/>
        <w:rPr>
          <w:rFonts w:hint="eastAsia" w:ascii="宋体" w:hAnsi="宋体" w:eastAsia="宋体" w:cs="宋体"/>
          <w:color w:val="auto"/>
          <w:highlight w:val="none"/>
        </w:rPr>
      </w:pPr>
    </w:p>
    <w:p>
      <w:pPr>
        <w:wordWrap w:val="0"/>
        <w:ind w:firstLine="482" w:firstLineChars="20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成都市技师学院赛教融合竞赛能力提升基地建设配套(智能制造实训基地虚实一体工作站)采购采购项目合同文本主要条款</w:t>
      </w:r>
    </w:p>
    <w:p>
      <w:pPr>
        <w:pStyle w:val="70"/>
        <w:wordWrap w:val="0"/>
        <w:spacing w:line="440" w:lineRule="exact"/>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(重要说明：采购人、供应商在签订正式合同前应依据本项目的招标文件、投标文件、项目的澄清文件等对以下合同内容进行修正和完善。) </w:t>
      </w:r>
    </w:p>
    <w:p>
      <w:pPr>
        <w:pStyle w:val="70"/>
        <w:wordWrap w:val="0"/>
        <w:spacing w:line="440" w:lineRule="exact"/>
        <w:ind w:firstLine="482"/>
        <w:rPr>
          <w:rFonts w:hint="eastAsia" w:ascii="宋体" w:hAnsi="宋体" w:eastAsia="宋体" w:cs="宋体"/>
          <w:b/>
          <w:bCs/>
          <w:color w:val="auto"/>
          <w:highlight w:val="none"/>
        </w:rPr>
      </w:pPr>
    </w:p>
    <w:p>
      <w:pPr>
        <w:pStyle w:val="30"/>
        <w:ind w:firstLine="480" w:firstLineChars="200"/>
        <w:jc w:val="both"/>
        <w:rPr>
          <w:rFonts w:hint="eastAsia" w:ascii="宋体" w:hAnsi="宋体" w:eastAsia="宋体" w:cs="宋体"/>
          <w:snapToGrid/>
          <w:color w:val="auto"/>
          <w:highlight w:val="none"/>
        </w:rPr>
      </w:pPr>
      <w:r>
        <w:rPr>
          <w:rFonts w:hint="eastAsia" w:ascii="宋体" w:hAnsi="宋体" w:eastAsia="宋体" w:cs="宋体"/>
          <w:snapToGrid/>
          <w:color w:val="auto"/>
          <w:highlight w:val="none"/>
        </w:rPr>
        <w:t>合同编号：</w:t>
      </w:r>
    </w:p>
    <w:p>
      <w:pPr>
        <w:pStyle w:val="30"/>
        <w:ind w:firstLine="480" w:firstLineChars="200"/>
        <w:jc w:val="both"/>
        <w:rPr>
          <w:rFonts w:hint="eastAsia" w:ascii="宋体" w:hAnsi="宋体" w:eastAsia="宋体" w:cs="宋体"/>
          <w:snapToGrid/>
          <w:color w:val="auto"/>
          <w:highlight w:val="none"/>
        </w:rPr>
      </w:pPr>
      <w:r>
        <w:rPr>
          <w:rFonts w:hint="eastAsia" w:ascii="宋体" w:hAnsi="宋体" w:eastAsia="宋体" w:cs="宋体"/>
          <w:snapToGrid/>
          <w:color w:val="auto"/>
          <w:highlight w:val="none"/>
        </w:rPr>
        <w:t>签订地点：</w:t>
      </w:r>
      <w:r>
        <w:rPr>
          <w:rFonts w:hint="eastAsia" w:ascii="宋体" w:hAnsi="宋体" w:eastAsia="宋体" w:cs="宋体"/>
          <w:color w:val="auto"/>
          <w:highlight w:val="none"/>
          <w:u w:val="single"/>
        </w:rPr>
        <w:t>成都市郫县红光镇港通北三路1899号</w:t>
      </w:r>
    </w:p>
    <w:p>
      <w:pPr>
        <w:pStyle w:val="30"/>
        <w:ind w:firstLine="480" w:firstLineChars="200"/>
        <w:jc w:val="both"/>
        <w:rPr>
          <w:rFonts w:hint="eastAsia" w:ascii="宋体" w:hAnsi="宋体" w:eastAsia="宋体" w:cs="宋体"/>
          <w:snapToGrid/>
          <w:color w:val="auto"/>
          <w:highlight w:val="none"/>
        </w:rPr>
      </w:pPr>
      <w:r>
        <w:rPr>
          <w:rFonts w:hint="eastAsia" w:ascii="宋体" w:hAnsi="宋体" w:eastAsia="宋体" w:cs="宋体"/>
          <w:snapToGrid/>
          <w:color w:val="auto"/>
          <w:highlight w:val="none"/>
        </w:rPr>
        <w:t>签订时间：</w:t>
      </w:r>
    </w:p>
    <w:p>
      <w:pPr>
        <w:pStyle w:val="30"/>
        <w:ind w:firstLine="480" w:firstLineChars="200"/>
        <w:jc w:val="both"/>
        <w:rPr>
          <w:rFonts w:hint="eastAsia" w:ascii="宋体" w:hAnsi="宋体" w:eastAsia="宋体" w:cs="宋体"/>
          <w:snapToGrid/>
          <w:color w:val="auto"/>
          <w:highlight w:val="none"/>
        </w:rPr>
      </w:pPr>
      <w:r>
        <w:rPr>
          <w:rFonts w:hint="eastAsia" w:ascii="宋体" w:hAnsi="宋体" w:eastAsia="宋体" w:cs="宋体"/>
          <w:snapToGrid/>
          <w:color w:val="auto"/>
          <w:highlight w:val="none"/>
        </w:rPr>
        <w:t>甲方(采购人)：</w:t>
      </w:r>
      <w:r>
        <w:rPr>
          <w:rFonts w:hint="eastAsia" w:ascii="宋体" w:hAnsi="宋体" w:eastAsia="宋体" w:cs="宋体"/>
          <w:bCs/>
          <w:color w:val="auto"/>
          <w:highlight w:val="none"/>
          <w:u w:val="single"/>
        </w:rPr>
        <w:t>成都市技师学院</w:t>
      </w:r>
      <w:r>
        <w:rPr>
          <w:rFonts w:hint="eastAsia" w:ascii="宋体" w:hAnsi="宋体" w:eastAsia="宋体" w:cs="宋体"/>
          <w:color w:val="auto"/>
          <w:highlight w:val="none"/>
          <w:u w:val="single"/>
        </w:rPr>
        <w:t xml:space="preserve">  </w:t>
      </w:r>
    </w:p>
    <w:p>
      <w:pPr>
        <w:pStyle w:val="30"/>
        <w:ind w:firstLine="480" w:firstLineChars="200"/>
        <w:jc w:val="both"/>
        <w:rPr>
          <w:rFonts w:hint="eastAsia" w:ascii="宋体" w:hAnsi="宋体" w:eastAsia="宋体" w:cs="宋体"/>
          <w:snapToGrid/>
          <w:color w:val="auto"/>
          <w:highlight w:val="none"/>
        </w:rPr>
      </w:pPr>
      <w:r>
        <w:rPr>
          <w:rFonts w:hint="eastAsia" w:ascii="宋体" w:hAnsi="宋体" w:eastAsia="宋体" w:cs="宋体"/>
          <w:snapToGrid/>
          <w:color w:val="auto"/>
          <w:highlight w:val="none"/>
        </w:rPr>
        <w:t xml:space="preserve">乙方(供应商)：    </w:t>
      </w:r>
    </w:p>
    <w:p>
      <w:pPr>
        <w:wordWrap w:val="0"/>
        <w:ind w:firstLine="480" w:firstLineChars="200"/>
        <w:rPr>
          <w:rFonts w:hint="eastAsia" w:ascii="宋体" w:hAnsi="宋体" w:eastAsia="宋体" w:cs="宋体"/>
          <w:color w:val="auto"/>
          <w:highlight w:val="none"/>
        </w:rPr>
      </w:pPr>
      <w:bookmarkStart w:id="1191" w:name="_Toc31384"/>
      <w:bookmarkStart w:id="1192" w:name="_Toc3039"/>
      <w:r>
        <w:rPr>
          <w:rFonts w:hint="eastAsia" w:ascii="宋体" w:hAnsi="宋体" w:eastAsia="宋体" w:cs="宋体"/>
          <w:color w:val="auto"/>
          <w:highlight w:val="none"/>
        </w:rPr>
        <w:t>根据《中华人民共和国政府采购法》、《中华人民共和国民法典》及成都市技师学院赛教融合竞赛能力提升基地建设配套采购(智能制造实训基地虚实一体工作站)采购项目(项目编号：XXX)的招标文件、乙方的投标文件及中标通知书，甲、乙双方同意签订本合同，共同遵守如下条款：</w:t>
      </w:r>
    </w:p>
    <w:p>
      <w:pPr>
        <w:wordWrap w:val="0"/>
        <w:ind w:firstLine="482" w:firstLineChars="200"/>
        <w:rPr>
          <w:rFonts w:hint="eastAsia" w:ascii="宋体" w:hAnsi="宋体" w:eastAsia="宋体" w:cs="宋体"/>
          <w:b/>
          <w:bCs/>
          <w:color w:val="auto"/>
          <w:highlight w:val="none"/>
        </w:rPr>
      </w:pPr>
      <w:bookmarkStart w:id="1193" w:name="_Toc28089"/>
      <w:r>
        <w:rPr>
          <w:rFonts w:hint="eastAsia" w:ascii="宋体" w:hAnsi="宋体" w:eastAsia="宋体" w:cs="宋体"/>
          <w:b/>
          <w:bCs/>
          <w:color w:val="auto"/>
          <w:highlight w:val="none"/>
        </w:rPr>
        <w:t>一、项目基本情况</w:t>
      </w:r>
      <w:bookmarkEnd w:id="1193"/>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为了进一步提升基地的产、学、研能力，虚实结合，提升智能制造产业高技能人才培养水平，支撑智能制造专业群建设，采购智能制造实训基地虚实一体工作站一套。</w:t>
      </w:r>
    </w:p>
    <w:p>
      <w:pPr>
        <w:wordWrap w:val="0"/>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二、合同标的</w:t>
      </w:r>
    </w:p>
    <w:p>
      <w:pPr>
        <w:wordWrap w:val="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1.合同标的明细</w:t>
      </w:r>
    </w:p>
    <w:tbl>
      <w:tblPr>
        <w:tblStyle w:val="22"/>
        <w:tblW w:w="4997"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570"/>
        <w:gridCol w:w="1939"/>
        <w:gridCol w:w="1281"/>
        <w:gridCol w:w="881"/>
        <w:gridCol w:w="783"/>
        <w:gridCol w:w="1540"/>
        <w:gridCol w:w="981"/>
        <w:gridCol w:w="9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8" w:type="pct"/>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宋体"/>
                <w:color w:val="auto"/>
                <w:highlight w:val="none"/>
              </w:rPr>
            </w:pPr>
            <w:bookmarkStart w:id="1194" w:name="_Toc26626"/>
            <w:r>
              <w:rPr>
                <w:rFonts w:hint="eastAsia" w:ascii="宋体" w:hAnsi="宋体" w:eastAsia="宋体" w:cs="宋体"/>
                <w:color w:val="auto"/>
                <w:highlight w:val="none"/>
              </w:rPr>
              <w:t>货物名称</w:t>
            </w:r>
          </w:p>
        </w:tc>
        <w:tc>
          <w:tcPr>
            <w:tcW w:w="973" w:type="pct"/>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宋体"/>
                <w:color w:val="auto"/>
                <w:highlight w:val="none"/>
              </w:rPr>
            </w:pPr>
            <w:r>
              <w:rPr>
                <w:rFonts w:hint="eastAsia" w:ascii="宋体" w:hAnsi="宋体" w:eastAsia="宋体" w:cs="宋体"/>
                <w:color w:val="auto"/>
                <w:highlight w:val="none"/>
              </w:rPr>
              <w:t>制造商或品牌</w:t>
            </w:r>
          </w:p>
        </w:tc>
        <w:tc>
          <w:tcPr>
            <w:tcW w:w="643" w:type="pct"/>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宋体"/>
                <w:color w:val="auto"/>
                <w:highlight w:val="none"/>
              </w:rPr>
            </w:pPr>
            <w:r>
              <w:rPr>
                <w:rFonts w:hint="eastAsia" w:ascii="宋体" w:hAnsi="宋体" w:eastAsia="宋体" w:cs="宋体"/>
                <w:color w:val="auto"/>
                <w:highlight w:val="none"/>
              </w:rPr>
              <w:t>规格型号</w:t>
            </w:r>
          </w:p>
        </w:tc>
        <w:tc>
          <w:tcPr>
            <w:tcW w:w="442" w:type="pct"/>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宋体"/>
                <w:color w:val="auto"/>
                <w:highlight w:val="none"/>
              </w:rPr>
            </w:pPr>
            <w:r>
              <w:rPr>
                <w:rFonts w:hint="eastAsia" w:ascii="宋体" w:hAnsi="宋体" w:eastAsia="宋体" w:cs="宋体"/>
                <w:color w:val="auto"/>
                <w:highlight w:val="none"/>
              </w:rPr>
              <w:t>单位</w:t>
            </w:r>
          </w:p>
        </w:tc>
        <w:tc>
          <w:tcPr>
            <w:tcW w:w="393" w:type="pct"/>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773" w:type="pct"/>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宋体"/>
                <w:color w:val="auto"/>
                <w:highlight w:val="none"/>
              </w:rPr>
            </w:pPr>
            <w:r>
              <w:rPr>
                <w:rFonts w:hint="eastAsia" w:ascii="宋体" w:hAnsi="宋体" w:eastAsia="宋体" w:cs="宋体"/>
                <w:color w:val="auto"/>
                <w:highlight w:val="none"/>
              </w:rPr>
              <w:t>总价(元)</w:t>
            </w:r>
          </w:p>
        </w:tc>
        <w:tc>
          <w:tcPr>
            <w:tcW w:w="492" w:type="pct"/>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宋体"/>
                <w:color w:val="auto"/>
                <w:highlight w:val="none"/>
              </w:rPr>
            </w:pPr>
            <w:r>
              <w:rPr>
                <w:rFonts w:hint="eastAsia" w:ascii="宋体" w:hAnsi="宋体" w:eastAsia="宋体" w:cs="宋体"/>
                <w:color w:val="auto"/>
                <w:highlight w:val="none"/>
              </w:rPr>
              <w:t>产地</w:t>
            </w:r>
          </w:p>
        </w:tc>
        <w:tc>
          <w:tcPr>
            <w:tcW w:w="492" w:type="pct"/>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2" w:hRule="atLeast"/>
          <w:jc w:val="center"/>
        </w:trPr>
        <w:tc>
          <w:tcPr>
            <w:tcW w:w="788" w:type="pct"/>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color w:val="auto"/>
                <w:highlight w:val="none"/>
              </w:rPr>
            </w:pPr>
          </w:p>
        </w:tc>
        <w:tc>
          <w:tcPr>
            <w:tcW w:w="973" w:type="pct"/>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color w:val="auto"/>
                <w:highlight w:val="none"/>
              </w:rPr>
            </w:pPr>
          </w:p>
        </w:tc>
        <w:tc>
          <w:tcPr>
            <w:tcW w:w="643" w:type="pct"/>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color w:val="auto"/>
                <w:highlight w:val="none"/>
              </w:rPr>
            </w:pPr>
          </w:p>
        </w:tc>
        <w:tc>
          <w:tcPr>
            <w:tcW w:w="442" w:type="pct"/>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color w:val="auto"/>
                <w:highlight w:val="none"/>
              </w:rPr>
            </w:pPr>
          </w:p>
        </w:tc>
        <w:tc>
          <w:tcPr>
            <w:tcW w:w="393" w:type="pct"/>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color w:val="auto"/>
                <w:highlight w:val="none"/>
              </w:rPr>
            </w:pPr>
          </w:p>
        </w:tc>
        <w:tc>
          <w:tcPr>
            <w:tcW w:w="773" w:type="pct"/>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color w:val="auto"/>
                <w:highlight w:val="none"/>
              </w:rPr>
            </w:pPr>
          </w:p>
        </w:tc>
        <w:tc>
          <w:tcPr>
            <w:tcW w:w="492" w:type="pct"/>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color w:val="auto"/>
                <w:highlight w:val="none"/>
              </w:rPr>
            </w:pPr>
          </w:p>
        </w:tc>
        <w:tc>
          <w:tcPr>
            <w:tcW w:w="492" w:type="pct"/>
            <w:tcBorders>
              <w:top w:val="single" w:color="auto" w:sz="4" w:space="0"/>
              <w:left w:val="single" w:color="auto" w:sz="4" w:space="0"/>
              <w:bottom w:val="single" w:color="auto" w:sz="4" w:space="0"/>
              <w:right w:val="single" w:color="auto" w:sz="4" w:space="0"/>
            </w:tcBorders>
            <w:vAlign w:val="center"/>
          </w:tcPr>
          <w:p>
            <w:pPr>
              <w:wordWrap w:val="0"/>
              <w:rPr>
                <w:rFonts w:hint="eastAsia" w:ascii="宋体" w:hAnsi="宋体" w:eastAsia="宋体" w:cs="宋体"/>
                <w:color w:val="auto"/>
                <w:highlight w:val="none"/>
              </w:rPr>
            </w:pPr>
          </w:p>
        </w:tc>
      </w:tr>
    </w:tbl>
    <w:p>
      <w:pPr>
        <w:wordWrap w:val="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2.合同标的技术参数明细</w:t>
      </w:r>
    </w:p>
    <w:p>
      <w:pPr>
        <w:wordWrap w:val="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XXXX。</w:t>
      </w:r>
    </w:p>
    <w:p>
      <w:pPr>
        <w:wordWrap w:val="0"/>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三、履约时间及方式</w:t>
      </w:r>
    </w:p>
    <w:bookmarkEnd w:id="1194"/>
    <w:p>
      <w:pPr>
        <w:pStyle w:val="44"/>
        <w:numPr>
          <w:ilvl w:val="1"/>
          <w:numId w:val="0"/>
        </w:num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供货时间：合同签订之日起10日历天内(含法定节假日),</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在</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指定地点完成设备送货、安装、调试工作。</w:t>
      </w:r>
    </w:p>
    <w:p>
      <w:pPr>
        <w:pStyle w:val="44"/>
        <w:numPr>
          <w:ilvl w:val="1"/>
          <w:numId w:val="0"/>
        </w:num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售后服务时间：</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提供360个日历天的售后服务，售后服务期的起始日期为</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设备验收合格之日起开始计算。</w:t>
      </w:r>
    </w:p>
    <w:p>
      <w:pPr>
        <w:wordWrap w:val="0"/>
        <w:ind w:firstLine="482" w:firstLineChars="200"/>
        <w:rPr>
          <w:rFonts w:hint="eastAsia" w:ascii="宋体" w:hAnsi="宋体" w:eastAsia="宋体" w:cs="宋体"/>
          <w:color w:val="auto"/>
          <w:highlight w:val="none"/>
        </w:rPr>
      </w:pPr>
      <w:r>
        <w:rPr>
          <w:rFonts w:hint="eastAsia" w:ascii="宋体" w:hAnsi="宋体" w:eastAsia="宋体" w:cs="宋体"/>
          <w:b/>
          <w:bCs/>
          <w:color w:val="auto"/>
          <w:highlight w:val="none"/>
        </w:rPr>
        <w:t>四、履约地点：</w:t>
      </w:r>
      <w:r>
        <w:rPr>
          <w:rFonts w:hint="eastAsia" w:ascii="宋体" w:hAnsi="宋体" w:eastAsia="宋体" w:cs="宋体"/>
          <w:color w:val="auto"/>
          <w:highlight w:val="none"/>
        </w:rPr>
        <w:t>四川省成都市郫县红光镇港通北三路1899号</w:t>
      </w:r>
    </w:p>
    <w:p>
      <w:pPr>
        <w:wordWrap w:val="0"/>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五、合同总价、付款安排、支付方式</w:t>
      </w: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1.合同总价为人民币大写</w:t>
      </w:r>
      <w:r>
        <w:rPr>
          <w:rFonts w:hint="eastAsia" w:ascii="宋体" w:hAnsi="宋体" w:eastAsia="宋体" w:cs="宋体"/>
          <w:color w:val="auto"/>
          <w:highlight w:val="none"/>
          <w:u w:val="single"/>
        </w:rPr>
        <w:t>：          元</w:t>
      </w:r>
      <w:r>
        <w:rPr>
          <w:rFonts w:hint="eastAsia" w:ascii="宋体" w:hAnsi="宋体" w:eastAsia="宋体" w:cs="宋体"/>
          <w:color w:val="auto"/>
          <w:highlight w:val="none"/>
          <w:u w:val="single"/>
          <w:lang w:val="en-US" w:eastAsia="zh-CN"/>
        </w:rPr>
        <w:t>整</w:t>
      </w:r>
      <w:r>
        <w:rPr>
          <w:rFonts w:hint="eastAsia" w:ascii="宋体" w:hAnsi="宋体" w:eastAsia="宋体" w:cs="宋体"/>
          <w:color w:val="auto"/>
          <w:highlight w:val="none"/>
          <w:u w:val="single"/>
        </w:rPr>
        <w:t xml:space="preserve">，即￥             </w:t>
      </w:r>
      <w:r>
        <w:rPr>
          <w:rFonts w:hint="eastAsia" w:ascii="宋体" w:hAnsi="宋体" w:eastAsia="宋体" w:cs="宋体"/>
          <w:color w:val="auto"/>
          <w:highlight w:val="none"/>
        </w:rPr>
        <w:t>元</w:t>
      </w:r>
      <w:r>
        <w:rPr>
          <w:rFonts w:hint="eastAsia" w:ascii="宋体" w:hAnsi="宋体" w:eastAsia="宋体" w:cs="宋体"/>
          <w:color w:val="auto"/>
          <w:highlight w:val="none"/>
          <w:lang w:val="en-US" w:eastAsia="zh-CN"/>
        </w:rPr>
        <w:t>整</w:t>
      </w:r>
      <w:r>
        <w:rPr>
          <w:rFonts w:hint="eastAsia" w:ascii="宋体" w:hAnsi="宋体" w:eastAsia="宋体" w:cs="宋体"/>
          <w:color w:val="auto"/>
          <w:highlight w:val="none"/>
        </w:rPr>
        <w:t>；该合同总价</w:t>
      </w:r>
      <w:r>
        <w:rPr>
          <w:rFonts w:hint="eastAsia" w:ascii="宋体" w:hAnsi="宋体" w:eastAsia="宋体" w:cs="宋体"/>
          <w:color w:val="auto"/>
          <w:highlight w:val="none"/>
          <w:lang w:val="en-US" w:eastAsia="zh-CN"/>
        </w:rPr>
        <w:t>为固定包干价，</w:t>
      </w:r>
      <w:r>
        <w:rPr>
          <w:rFonts w:hint="eastAsia" w:ascii="宋体" w:hAnsi="宋体" w:eastAsia="宋体" w:cs="宋体"/>
          <w:color w:val="auto"/>
          <w:highlight w:val="none"/>
        </w:rPr>
        <w:t>包括但不限于设备的供货、包装、运输、安装、调试、培训、利润、售后服务、税费等与完成本项目有关的所有费用。本合同执行期间合同总价不变，甲方无须另向乙方支付本合同规定之外的其他任何费用。</w:t>
      </w:r>
    </w:p>
    <w:p>
      <w:pPr>
        <w:pStyle w:val="30"/>
        <w:ind w:firstLine="480" w:firstLineChars="200"/>
        <w:rPr>
          <w:rFonts w:hint="eastAsia" w:ascii="宋体" w:hAnsi="宋体" w:eastAsia="宋体" w:cs="宋体"/>
          <w:color w:val="auto"/>
          <w:highlight w:val="none"/>
        </w:rPr>
      </w:pPr>
      <w:bookmarkStart w:id="1195" w:name="_Toc19079"/>
      <w:r>
        <w:rPr>
          <w:rFonts w:hint="eastAsia" w:ascii="宋体" w:hAnsi="宋体" w:eastAsia="宋体" w:cs="宋体"/>
          <w:color w:val="auto"/>
          <w:highlight w:val="none"/>
        </w:rPr>
        <w:t>2.</w:t>
      </w:r>
      <w:r>
        <w:rPr>
          <w:rFonts w:hint="eastAsia" w:ascii="宋体" w:hAnsi="宋体" w:eastAsia="宋体" w:cs="宋体"/>
          <w:color w:val="auto"/>
          <w:sz w:val="24"/>
          <w:szCs w:val="24"/>
          <w:highlight w:val="none"/>
        </w:rPr>
        <w:t>一次性银行转账付款</w:t>
      </w:r>
      <w:r>
        <w:rPr>
          <w:rFonts w:hint="eastAsia" w:cs="宋体"/>
          <w:color w:val="auto"/>
          <w:sz w:val="24"/>
          <w:szCs w:val="24"/>
          <w:highlight w:val="none"/>
          <w:lang w:eastAsia="zh-CN"/>
        </w:rPr>
        <w:t>。</w:t>
      </w:r>
      <w:r>
        <w:rPr>
          <w:rFonts w:hint="eastAsia" w:cs="宋体"/>
          <w:color w:val="auto"/>
          <w:sz w:val="24"/>
          <w:szCs w:val="24"/>
          <w:highlight w:val="none"/>
          <w:lang w:val="en-US" w:eastAsia="zh-CN"/>
        </w:rPr>
        <w:t>乙方</w:t>
      </w:r>
      <w:r>
        <w:rPr>
          <w:rFonts w:hint="eastAsia" w:ascii="宋体" w:hAnsi="宋体" w:eastAsia="宋体" w:cs="宋体"/>
          <w:color w:val="auto"/>
          <w:sz w:val="24"/>
          <w:szCs w:val="24"/>
          <w:highlight w:val="none"/>
        </w:rPr>
        <w:t>完成设备送货、安装、调试工作，</w:t>
      </w:r>
      <w:r>
        <w:rPr>
          <w:rFonts w:hint="eastAsia" w:cs="宋体"/>
          <w:color w:val="auto"/>
          <w:sz w:val="24"/>
          <w:szCs w:val="24"/>
          <w:highlight w:val="none"/>
          <w:lang w:val="en-US" w:eastAsia="zh-CN"/>
        </w:rPr>
        <w:t>且货物</w:t>
      </w:r>
      <w:r>
        <w:rPr>
          <w:rFonts w:hint="eastAsia" w:ascii="宋体" w:hAnsi="宋体" w:eastAsia="宋体" w:cs="宋体"/>
          <w:color w:val="auto"/>
          <w:sz w:val="24"/>
          <w:szCs w:val="24"/>
          <w:highlight w:val="none"/>
        </w:rPr>
        <w:t>经</w:t>
      </w:r>
      <w:r>
        <w:rPr>
          <w:rFonts w:hint="eastAsia" w:cs="宋体"/>
          <w:color w:val="auto"/>
          <w:sz w:val="24"/>
          <w:szCs w:val="24"/>
          <w:highlight w:val="none"/>
          <w:lang w:val="en-US" w:eastAsia="zh-CN"/>
        </w:rPr>
        <w:t>甲方</w:t>
      </w:r>
      <w:r>
        <w:rPr>
          <w:rFonts w:hint="eastAsia" w:ascii="宋体" w:hAnsi="宋体" w:eastAsia="宋体" w:cs="宋体"/>
          <w:color w:val="auto"/>
          <w:sz w:val="24"/>
          <w:szCs w:val="24"/>
          <w:highlight w:val="none"/>
        </w:rPr>
        <w:t>验收合格后，</w:t>
      </w:r>
      <w:r>
        <w:rPr>
          <w:rFonts w:hint="eastAsia" w:cs="宋体"/>
          <w:color w:val="auto"/>
          <w:sz w:val="24"/>
          <w:szCs w:val="24"/>
          <w:highlight w:val="none"/>
          <w:lang w:val="en-US" w:eastAsia="zh-CN"/>
        </w:rPr>
        <w:t>甲方</w:t>
      </w:r>
      <w:r>
        <w:rPr>
          <w:rFonts w:hint="eastAsia" w:ascii="宋体" w:hAnsi="宋体" w:eastAsia="宋体" w:cs="宋体"/>
          <w:color w:val="auto"/>
          <w:sz w:val="24"/>
          <w:szCs w:val="24"/>
          <w:highlight w:val="none"/>
        </w:rPr>
        <w:t>自收到</w:t>
      </w:r>
      <w:r>
        <w:rPr>
          <w:rFonts w:hint="eastAsia" w:cs="宋体"/>
          <w:color w:val="auto"/>
          <w:sz w:val="24"/>
          <w:szCs w:val="24"/>
          <w:highlight w:val="none"/>
          <w:lang w:val="en-US" w:eastAsia="zh-CN"/>
        </w:rPr>
        <w:t>乙方</w:t>
      </w:r>
      <w:r>
        <w:rPr>
          <w:rFonts w:hint="eastAsia" w:ascii="宋体" w:hAnsi="宋体" w:eastAsia="宋体" w:cs="宋体"/>
          <w:color w:val="auto"/>
          <w:sz w:val="24"/>
          <w:szCs w:val="24"/>
          <w:highlight w:val="none"/>
        </w:rPr>
        <w:t>提供的符合</w:t>
      </w:r>
      <w:r>
        <w:rPr>
          <w:rFonts w:hint="eastAsia" w:cs="宋体"/>
          <w:color w:val="auto"/>
          <w:sz w:val="24"/>
          <w:szCs w:val="24"/>
          <w:highlight w:val="none"/>
          <w:lang w:val="en-US" w:eastAsia="zh-CN"/>
        </w:rPr>
        <w:t>甲方</w:t>
      </w:r>
      <w:r>
        <w:rPr>
          <w:rFonts w:hint="eastAsia" w:ascii="宋体" w:hAnsi="宋体" w:eastAsia="宋体" w:cs="宋体"/>
          <w:color w:val="auto"/>
          <w:sz w:val="24"/>
          <w:szCs w:val="24"/>
          <w:highlight w:val="none"/>
        </w:rPr>
        <w:t>财务要求且合法有效完整的等额完税发票之日起30</w:t>
      </w:r>
      <w:r>
        <w:rPr>
          <w:rFonts w:hint="eastAsia" w:ascii="宋体" w:hAnsi="宋体" w:eastAsia="宋体" w:cs="宋体"/>
          <w:color w:val="auto"/>
          <w:sz w:val="24"/>
          <w:szCs w:val="24"/>
          <w:highlight w:val="none"/>
          <w:lang w:val="en-US" w:eastAsia="zh-CN"/>
        </w:rPr>
        <w:t>个</w:t>
      </w:r>
      <w:r>
        <w:rPr>
          <w:rFonts w:hint="eastAsia" w:ascii="宋体" w:hAnsi="宋体" w:eastAsia="宋体" w:cs="宋体"/>
          <w:color w:val="auto"/>
          <w:sz w:val="24"/>
          <w:szCs w:val="24"/>
          <w:highlight w:val="none"/>
        </w:rPr>
        <w:t>日历天内</w:t>
      </w:r>
      <w:r>
        <w:rPr>
          <w:rFonts w:hint="eastAsia" w:cs="宋体"/>
          <w:color w:val="auto"/>
          <w:sz w:val="24"/>
          <w:szCs w:val="24"/>
          <w:highlight w:val="none"/>
          <w:lang w:val="en-US" w:eastAsia="zh-CN"/>
        </w:rPr>
        <w:t>内</w:t>
      </w:r>
      <w:r>
        <w:rPr>
          <w:rFonts w:hint="eastAsia" w:ascii="宋体" w:hAnsi="宋体" w:eastAsia="宋体" w:cs="宋体"/>
          <w:color w:val="auto"/>
          <w:sz w:val="24"/>
          <w:szCs w:val="24"/>
          <w:highlight w:val="none"/>
        </w:rPr>
        <w:t>支付合同总价的</w:t>
      </w:r>
      <w:r>
        <w:rPr>
          <w:rFonts w:hint="eastAsia" w:ascii="宋体" w:hAnsi="宋体" w:eastAsia="宋体" w:cs="宋体"/>
          <w:color w:val="auto"/>
          <w:sz w:val="24"/>
          <w:szCs w:val="24"/>
          <w:highlight w:val="none"/>
          <w:lang w:val="en-US" w:eastAsia="zh-CN"/>
        </w:rPr>
        <w:t>百分之百</w:t>
      </w:r>
      <w:r>
        <w:rPr>
          <w:rFonts w:hint="eastAsia" w:ascii="宋体" w:hAnsi="宋体" w:eastAsia="宋体" w:cs="宋体"/>
          <w:color w:val="auto"/>
          <w:sz w:val="24"/>
          <w:szCs w:val="24"/>
          <w:highlight w:val="none"/>
        </w:rPr>
        <w:t>的</w:t>
      </w:r>
      <w:r>
        <w:rPr>
          <w:rFonts w:hint="eastAsia" w:cs="宋体"/>
          <w:color w:val="auto"/>
          <w:sz w:val="24"/>
          <w:szCs w:val="24"/>
          <w:highlight w:val="none"/>
          <w:lang w:val="en-US" w:eastAsia="zh-CN"/>
        </w:rPr>
        <w:t>合同款</w:t>
      </w:r>
      <w:r>
        <w:rPr>
          <w:rFonts w:hint="eastAsia" w:ascii="宋体" w:hAnsi="宋体" w:eastAsia="宋体" w:cs="宋体"/>
          <w:color w:val="auto"/>
          <w:sz w:val="24"/>
          <w:szCs w:val="24"/>
          <w:highlight w:val="none"/>
        </w:rPr>
        <w:t>；如</w:t>
      </w:r>
      <w:r>
        <w:rPr>
          <w:rFonts w:hint="eastAsia" w:cs="宋体"/>
          <w:color w:val="auto"/>
          <w:sz w:val="24"/>
          <w:szCs w:val="24"/>
          <w:highlight w:val="none"/>
          <w:lang w:val="en-US" w:eastAsia="zh-CN"/>
        </w:rPr>
        <w:t>甲方</w:t>
      </w:r>
      <w:r>
        <w:rPr>
          <w:rFonts w:hint="eastAsia" w:ascii="宋体" w:hAnsi="宋体" w:eastAsia="宋体" w:cs="宋体"/>
          <w:color w:val="auto"/>
          <w:sz w:val="24"/>
          <w:szCs w:val="24"/>
          <w:highlight w:val="none"/>
        </w:rPr>
        <w:t>收到发票之日早于</w:t>
      </w:r>
      <w:r>
        <w:rPr>
          <w:rFonts w:hint="eastAsia" w:cs="宋体"/>
          <w:color w:val="auto"/>
          <w:sz w:val="24"/>
          <w:szCs w:val="24"/>
          <w:highlight w:val="none"/>
          <w:lang w:val="en-US" w:eastAsia="zh-CN"/>
        </w:rPr>
        <w:t>货物</w:t>
      </w:r>
      <w:r>
        <w:rPr>
          <w:rFonts w:hint="eastAsia" w:ascii="宋体" w:hAnsi="宋体" w:eastAsia="宋体" w:cs="宋体"/>
          <w:color w:val="auto"/>
          <w:sz w:val="24"/>
          <w:szCs w:val="24"/>
          <w:highlight w:val="none"/>
        </w:rPr>
        <w:t>验收合格之日， 则自</w:t>
      </w:r>
      <w:r>
        <w:rPr>
          <w:rFonts w:hint="eastAsia" w:cs="宋体"/>
          <w:color w:val="auto"/>
          <w:sz w:val="24"/>
          <w:szCs w:val="24"/>
          <w:highlight w:val="none"/>
          <w:lang w:val="en-US" w:eastAsia="zh-CN"/>
        </w:rPr>
        <w:t>货物</w:t>
      </w:r>
      <w:r>
        <w:rPr>
          <w:rFonts w:hint="eastAsia" w:ascii="宋体" w:hAnsi="宋体" w:eastAsia="宋体" w:cs="宋体"/>
          <w:color w:val="auto"/>
          <w:sz w:val="24"/>
          <w:szCs w:val="24"/>
          <w:highlight w:val="none"/>
        </w:rPr>
        <w:t>验收合格之日起30</w:t>
      </w:r>
      <w:r>
        <w:rPr>
          <w:rFonts w:hint="eastAsia" w:ascii="宋体" w:hAnsi="宋体" w:eastAsia="宋体" w:cs="宋体"/>
          <w:color w:val="auto"/>
          <w:sz w:val="24"/>
          <w:szCs w:val="24"/>
          <w:highlight w:val="none"/>
          <w:lang w:val="en-US" w:eastAsia="zh-CN"/>
        </w:rPr>
        <w:t>个</w:t>
      </w:r>
      <w:r>
        <w:rPr>
          <w:rFonts w:hint="eastAsia" w:ascii="宋体" w:hAnsi="宋体" w:eastAsia="宋体" w:cs="宋体"/>
          <w:color w:val="auto"/>
          <w:sz w:val="24"/>
          <w:szCs w:val="24"/>
          <w:highlight w:val="none"/>
        </w:rPr>
        <w:t>日历天内付款</w:t>
      </w:r>
      <w:r>
        <w:rPr>
          <w:rFonts w:hint="eastAsia" w:ascii="宋体" w:hAnsi="宋体" w:eastAsia="宋体" w:cs="宋体"/>
          <w:color w:val="auto"/>
          <w:highlight w:val="none"/>
        </w:rPr>
        <w:t>。</w:t>
      </w:r>
    </w:p>
    <w:p>
      <w:pPr>
        <w:pStyle w:val="3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3.乙方未提供增值税发票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专票或普票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，或发票经国税网验审不合格的，或者乙方提供的发票不满足甲方财务要求的，甲方有权拒付，且不承担逾期付款的责任。</w:t>
      </w:r>
    </w:p>
    <w:p>
      <w:pPr>
        <w:pStyle w:val="30"/>
        <w:ind w:firstLine="480" w:firstLineChars="200"/>
        <w:rPr>
          <w:rFonts w:hint="eastAsia" w:ascii="宋体" w:hAnsi="宋体" w:eastAsia="宋体" w:cs="宋体"/>
          <w:color w:val="auto"/>
          <w:highlight w:val="none"/>
          <w:lang w:val="en-US"/>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乙方保证提供的银行账户信息真实有效，如果乙方账户信息更改，需要在甲方付款前</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个日历天内告知甲方，若因乙方原因导致甲方无法付款或错误付款，后果由乙方自行承担。</w:t>
      </w:r>
    </w:p>
    <w:p>
      <w:pPr>
        <w:pStyle w:val="2"/>
        <w:wordWrap w:val="0"/>
        <w:spacing w:after="0"/>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六、质量及供货渠道要求</w:t>
      </w:r>
    </w:p>
    <w:p>
      <w:pPr>
        <w:pStyle w:val="38"/>
        <w:wordWrap w:val="0"/>
        <w:spacing w:line="440" w:lineRule="exact"/>
        <w:ind w:firstLine="480" w:firstLineChars="200"/>
        <w:rPr>
          <w:rFonts w:hint="eastAsia" w:ascii="宋体" w:hAnsi="宋体" w:eastAsia="宋体" w:cs="宋体"/>
          <w:snapToGrid w:val="0"/>
          <w:color w:val="auto"/>
          <w:kern w:val="2"/>
          <w:highlight w:val="none"/>
        </w:rPr>
      </w:pPr>
      <w:r>
        <w:rPr>
          <w:rFonts w:hint="eastAsia" w:ascii="宋体" w:hAnsi="宋体" w:eastAsia="宋体" w:cs="宋体"/>
          <w:snapToGrid w:val="0"/>
          <w:color w:val="auto"/>
          <w:kern w:val="2"/>
          <w:highlight w:val="none"/>
        </w:rPr>
        <w:t>1.乙方应保证货物(含零部件、配件等)是全新、未使用过的原装合格正品，表面无划伤、无碰撞痕迹。</w:t>
      </w:r>
    </w:p>
    <w:p>
      <w:pPr>
        <w:wordWrap w:val="0"/>
        <w:ind w:firstLine="480" w:firstLineChars="200"/>
        <w:rPr>
          <w:rFonts w:hint="eastAsia" w:ascii="宋体" w:hAnsi="宋体" w:eastAsia="宋体" w:cs="宋体"/>
          <w:color w:val="auto"/>
          <w:highlight w:val="none"/>
        </w:rPr>
      </w:pPr>
      <w:r>
        <w:rPr>
          <w:rFonts w:hint="eastAsia" w:ascii="宋体" w:hAnsi="宋体" w:eastAsia="宋体" w:cs="宋体"/>
          <w:snapToGrid w:val="0"/>
          <w:color w:val="auto"/>
          <w:highlight w:val="none"/>
        </w:rPr>
        <w:t>2.乙方提供的货物须国家</w:t>
      </w: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行业</w:t>
      </w: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标准以及甲方的招标文件和乙方的响应文件规定的质量和规格的要求。若乙方提供的产品的质量或规格与招标文件和乙方的投标文件不符，或证实产品是有缺陷的，包括潜在的缺陷或使用不符合要求的产品等，乙方应在接到甲方书面通知后15</w:t>
      </w:r>
      <w:r>
        <w:rPr>
          <w:rFonts w:hint="eastAsia" w:ascii="宋体" w:hAnsi="宋体" w:eastAsia="宋体" w:cs="宋体"/>
          <w:snapToGrid w:val="0"/>
          <w:color w:val="auto"/>
          <w:highlight w:val="none"/>
          <w:lang w:val="en-US" w:eastAsia="zh-CN"/>
        </w:rPr>
        <w:t>个</w:t>
      </w:r>
      <w:r>
        <w:rPr>
          <w:rFonts w:hint="eastAsia" w:ascii="宋体" w:hAnsi="宋体" w:eastAsia="宋体" w:cs="宋体"/>
          <w:snapToGrid w:val="0"/>
          <w:color w:val="auto"/>
          <w:highlight w:val="none"/>
        </w:rPr>
        <w:t>日历天内完成换货，因换货产生的费用由乙方承担，如因不合格产品给甲方造成损失，乙方还应承担赔偿责任。</w:t>
      </w:r>
    </w:p>
    <w:p>
      <w:pPr>
        <w:pStyle w:val="2"/>
        <w:wordWrap w:val="0"/>
        <w:spacing w:after="0"/>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七、包装(方式)、运输要求</w:t>
      </w:r>
    </w:p>
    <w:p>
      <w:pPr>
        <w:pStyle w:val="38"/>
        <w:wordWrap w:val="0"/>
        <w:spacing w:line="440" w:lineRule="exact"/>
        <w:ind w:firstLine="480" w:firstLineChars="200"/>
        <w:rPr>
          <w:rFonts w:hint="eastAsia" w:ascii="宋体" w:hAnsi="宋体" w:eastAsia="宋体" w:cs="宋体"/>
          <w:snapToGrid w:val="0"/>
          <w:color w:val="auto"/>
          <w:kern w:val="2"/>
          <w:highlight w:val="none"/>
        </w:rPr>
      </w:pPr>
      <w:r>
        <w:rPr>
          <w:rFonts w:hint="eastAsia" w:ascii="宋体" w:hAnsi="宋体" w:eastAsia="宋体" w:cs="宋体"/>
          <w:snapToGrid w:val="0"/>
          <w:color w:val="auto"/>
          <w:kern w:val="2"/>
          <w:highlight w:val="none"/>
        </w:rPr>
        <w:t>1.乙方为本项目实施涉及的商品包装和快递包装，均符合财政部等三部门联合印发商品包装和快递包装政府采购需求标准(试行)(财办库[2020]123号)的要求，包装应适应于远距离运输、防潮、防震、防锈和防野蛮装卸，以确保货物安全无损运抵指定地点。货物在运输途中毁损灭失的风险均由乙方承担。</w:t>
      </w:r>
    </w:p>
    <w:p>
      <w:pPr>
        <w:pStyle w:val="38"/>
        <w:wordWrap w:val="0"/>
        <w:spacing w:line="440" w:lineRule="exact"/>
        <w:ind w:firstLine="480" w:firstLineChars="200"/>
        <w:rPr>
          <w:rFonts w:hint="eastAsia" w:ascii="宋体" w:hAnsi="宋体" w:eastAsia="宋体" w:cs="宋体"/>
          <w:snapToGrid w:val="0"/>
          <w:color w:val="auto"/>
          <w:kern w:val="2"/>
          <w:highlight w:val="none"/>
        </w:rPr>
      </w:pPr>
      <w:r>
        <w:rPr>
          <w:rFonts w:hint="eastAsia" w:ascii="宋体" w:hAnsi="宋体" w:eastAsia="宋体" w:cs="宋体"/>
          <w:snapToGrid w:val="0"/>
          <w:color w:val="auto"/>
          <w:kern w:val="2"/>
          <w:highlight w:val="none"/>
        </w:rPr>
        <w:t>2.包装方式为木架、纸箱等包装。</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3.每一包装单元内应附详细的装箱单和质量合格凭证。</w:t>
      </w:r>
    </w:p>
    <w:p>
      <w:pPr>
        <w:wordWrap w:val="0"/>
        <w:ind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rPr>
        <w:t>八、安装调试要求</w:t>
      </w:r>
    </w:p>
    <w:p>
      <w:pPr>
        <w:pStyle w:val="44"/>
        <w:numPr>
          <w:ilvl w:val="1"/>
          <w:numId w:val="0"/>
        </w:num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1.投标人严格按照国家相关规范进行安装和调试。</w:t>
      </w:r>
    </w:p>
    <w:p>
      <w:pPr>
        <w:pStyle w:val="44"/>
        <w:numPr>
          <w:ilvl w:val="1"/>
          <w:numId w:val="0"/>
        </w:num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2.提供产品吊装、安装、数控系统等操作说明书</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电子版技术资料</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wordWrap w:val="0"/>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九、售后服务及要求</w:t>
      </w:r>
    </w:p>
    <w:bookmarkEnd w:id="1195"/>
    <w:p>
      <w:pPr>
        <w:pStyle w:val="38"/>
        <w:wordWrap w:val="0"/>
        <w:spacing w:line="440" w:lineRule="exact"/>
        <w:ind w:firstLine="480" w:firstLineChars="200"/>
        <w:rPr>
          <w:rFonts w:hint="eastAsia" w:ascii="宋体" w:hAnsi="宋体" w:eastAsia="宋体" w:cs="宋体"/>
          <w:snapToGrid w:val="0"/>
          <w:color w:val="auto"/>
          <w:kern w:val="2"/>
          <w:highlight w:val="none"/>
        </w:rPr>
      </w:pPr>
      <w:bookmarkStart w:id="1196" w:name="_Toc11800"/>
      <w:r>
        <w:rPr>
          <w:rFonts w:hint="eastAsia" w:ascii="宋体" w:hAnsi="宋体" w:eastAsia="宋体" w:cs="宋体"/>
          <w:snapToGrid w:val="0"/>
          <w:color w:val="auto"/>
          <w:kern w:val="2"/>
          <w:highlight w:val="none"/>
        </w:rPr>
        <w:t>1.售后服务分电话(含网络)服务和上门服务，售后服务期内，乙方在接到甲方故障报修后能在2小时内通过电话(含网络)服务排除故障的，则无需上门服务，若在规定时间内不能通过电话(含网络)服务排除故障的，乙方应在故障报修后的12小时内到达现场，到达现场后24小时内排除故障(若涉及主要零件更换或者返厂维修的故障排除时间由双方协商确定)</w:t>
      </w:r>
    </w:p>
    <w:p>
      <w:pPr>
        <w:pStyle w:val="38"/>
        <w:wordWrap w:val="0"/>
        <w:spacing w:line="440" w:lineRule="exact"/>
        <w:ind w:firstLine="480" w:firstLineChars="200"/>
        <w:rPr>
          <w:rFonts w:hint="eastAsia" w:ascii="宋体" w:hAnsi="宋体" w:eastAsia="宋体" w:cs="宋体"/>
          <w:snapToGrid w:val="0"/>
          <w:color w:val="auto"/>
          <w:kern w:val="2"/>
          <w:highlight w:val="none"/>
        </w:rPr>
      </w:pPr>
      <w:r>
        <w:rPr>
          <w:rFonts w:hint="eastAsia" w:ascii="宋体" w:hAnsi="宋体" w:eastAsia="宋体" w:cs="宋体"/>
          <w:snapToGrid w:val="0"/>
          <w:color w:val="auto"/>
          <w:kern w:val="2"/>
          <w:highlight w:val="none"/>
        </w:rPr>
        <w:t>2.智能制造实训基地虚实一体工作站的售后服务由设备制造商提供。</w:t>
      </w:r>
    </w:p>
    <w:p>
      <w:pPr>
        <w:pStyle w:val="38"/>
        <w:wordWrap w:val="0"/>
        <w:spacing w:line="440" w:lineRule="exact"/>
        <w:ind w:firstLine="480" w:firstLineChars="200"/>
        <w:rPr>
          <w:rFonts w:hint="eastAsia" w:ascii="宋体" w:hAnsi="宋体" w:eastAsia="宋体" w:cs="宋体"/>
          <w:snapToGrid w:val="0"/>
          <w:color w:val="auto"/>
          <w:kern w:val="2"/>
          <w:highlight w:val="none"/>
        </w:rPr>
      </w:pPr>
      <w:r>
        <w:rPr>
          <w:rFonts w:hint="eastAsia" w:ascii="宋体" w:hAnsi="宋体" w:eastAsia="宋体" w:cs="宋体"/>
          <w:snapToGrid w:val="0"/>
          <w:color w:val="auto"/>
          <w:kern w:val="2"/>
          <w:highlight w:val="none"/>
        </w:rPr>
        <w:t>3.售后服务期内经二次维修都不能达到需求的，乙方提供免费更换服务。</w:t>
      </w:r>
    </w:p>
    <w:p>
      <w:pPr>
        <w:pStyle w:val="38"/>
        <w:wordWrap w:val="0"/>
        <w:spacing w:line="440" w:lineRule="exact"/>
        <w:ind w:firstLine="480" w:firstLineChars="200"/>
        <w:rPr>
          <w:rFonts w:hint="eastAsia" w:ascii="宋体" w:hAnsi="宋体" w:eastAsia="宋体" w:cs="宋体"/>
          <w:snapToGrid w:val="0"/>
          <w:color w:val="auto"/>
          <w:kern w:val="2"/>
          <w:highlight w:val="none"/>
        </w:rPr>
      </w:pPr>
      <w:r>
        <w:rPr>
          <w:rFonts w:hint="eastAsia" w:ascii="宋体" w:hAnsi="宋体" w:eastAsia="宋体" w:cs="宋体"/>
          <w:snapToGrid w:val="0"/>
          <w:color w:val="auto"/>
          <w:kern w:val="2"/>
          <w:highlight w:val="none"/>
        </w:rPr>
        <w:t>4.售后服务范围包含智能制造实训基地虚实一体工作站、零部件、配件、辅材等的维护和更换</w:t>
      </w:r>
      <w:r>
        <w:rPr>
          <w:rFonts w:hint="eastAsia" w:ascii="宋体" w:hAnsi="宋体" w:eastAsia="宋体" w:cs="宋体"/>
          <w:color w:val="auto"/>
          <w:highlight w:val="none"/>
        </w:rPr>
        <w:t>。</w:t>
      </w:r>
    </w:p>
    <w:p>
      <w:pPr>
        <w:pStyle w:val="38"/>
        <w:wordWrap w:val="0"/>
        <w:spacing w:line="440" w:lineRule="exact"/>
        <w:ind w:firstLine="480" w:firstLineChars="200"/>
        <w:rPr>
          <w:rFonts w:hint="eastAsia" w:ascii="宋体" w:hAnsi="宋体" w:eastAsia="宋体" w:cs="宋体"/>
          <w:snapToGrid w:val="0"/>
          <w:color w:val="auto"/>
          <w:kern w:val="2"/>
          <w:highlight w:val="none"/>
        </w:rPr>
      </w:pPr>
      <w:r>
        <w:rPr>
          <w:rFonts w:hint="eastAsia" w:ascii="宋体" w:hAnsi="宋体" w:eastAsia="宋体" w:cs="宋体"/>
          <w:snapToGrid w:val="0"/>
          <w:color w:val="auto"/>
          <w:kern w:val="2"/>
          <w:highlight w:val="none"/>
        </w:rPr>
        <w:t>5.售后服务期内涉及的人工、设备(含零部件、配件、辅材)维护和更换等费用均由乙方承担。</w:t>
      </w:r>
    </w:p>
    <w:p>
      <w:pPr>
        <w:wordWrap w:val="0"/>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十、其他商务要求</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1.如因乙方的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2.培训及要求：</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设备安装调试完成后，投标人对采购人进行不少于7天的技术培训，培训内容包括：理论和实际操作。投标人为所有参培人员提供文字资料和讲义等培训教材，培训教材以印刷品形式提供，费用由投标人承担。</w:t>
      </w:r>
    </w:p>
    <w:p>
      <w:pPr>
        <w:pStyle w:val="2"/>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3.培训师</w:t>
      </w:r>
      <w:r>
        <w:rPr>
          <w:rFonts w:hint="eastAsia" w:ascii="宋体" w:hAnsi="宋体" w:eastAsia="宋体" w:cs="宋体"/>
          <w:snapToGrid w:val="0"/>
          <w:color w:val="auto"/>
          <w:highlight w:val="none"/>
          <w:lang w:val="en-US" w:eastAsia="zh-CN"/>
        </w:rPr>
        <w:t>项目</w:t>
      </w:r>
      <w:r>
        <w:rPr>
          <w:rFonts w:hint="eastAsia" w:ascii="宋体" w:hAnsi="宋体" w:eastAsia="宋体" w:cs="宋体"/>
          <w:snapToGrid w:val="0"/>
          <w:color w:val="auto"/>
          <w:highlight w:val="none"/>
          <w:u w:val="single"/>
          <w:lang w:val="en-US" w:eastAsia="zh-CN"/>
        </w:rPr>
        <w:t xml:space="preserve">      </w:t>
      </w:r>
      <w:r>
        <w:rPr>
          <w:rFonts w:hint="eastAsia" w:ascii="宋体" w:hAnsi="宋体" w:eastAsia="宋体" w:cs="宋体"/>
          <w:snapToGrid w:val="0"/>
          <w:color w:val="auto"/>
          <w:highlight w:val="none"/>
        </w:rPr>
        <w:t>。</w:t>
      </w:r>
    </w:p>
    <w:p>
      <w:pPr>
        <w:wordWrap w:val="0"/>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十一、双方的权利和义务</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(一)甲方的权利和义务</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1.甲方有权对合同规定范围内乙方提供的产品及服务行为进行监督和检查，拥有监管权。有权核对乙方提供产品及服务质量。对甲方认为质量不合格的货物有权下达整改通知书，并要求乙方限期修理及更换。</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2.负责检查监督乙方提供货物及服务的实施的执行情况。</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3.根据本合同规定，按时向乙方支付应付服务费用。</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4.国家法律、法规所规定由甲方承担的其它责任。</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(二)乙方的权利和义务</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1.对本合同规定的委托事项范围内的项目享有管理权及服务义务。</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2.根据本合同的规定向甲方收取相关费用。</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3.及时向甲方通告本项目实施相关重大事项，及时配合处理售后。</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4.接受项目行业管理部门及政府有关部门的指导，接受甲方的监督。</w:t>
      </w:r>
    </w:p>
    <w:p>
      <w:pPr>
        <w:wordWrap w:val="0"/>
        <w:ind w:firstLine="480" w:firstLineChars="200"/>
        <w:rPr>
          <w:rFonts w:hint="eastAsia" w:ascii="宋体" w:hAnsi="宋体" w:eastAsia="宋体" w:cs="宋体"/>
          <w:snapToGrid w:val="0"/>
          <w:color w:val="auto"/>
          <w:highlight w:val="none"/>
          <w:lang w:val="en-US" w:eastAsia="zh-CN"/>
        </w:rPr>
      </w:pPr>
      <w:r>
        <w:rPr>
          <w:rFonts w:hint="eastAsia" w:ascii="宋体" w:hAnsi="宋体" w:eastAsia="宋体" w:cs="宋体"/>
          <w:snapToGrid w:val="0"/>
          <w:color w:val="auto"/>
          <w:highlight w:val="none"/>
          <w:lang w:val="en-US" w:eastAsia="zh-CN"/>
        </w:rPr>
        <w:t>5</w:t>
      </w:r>
      <w:r>
        <w:rPr>
          <w:rFonts w:hint="eastAsia" w:ascii="宋体" w:hAnsi="宋体" w:eastAsia="宋体" w:cs="宋体"/>
          <w:snapToGrid w:val="0"/>
          <w:color w:val="auto"/>
          <w:highlight w:val="none"/>
        </w:rPr>
        <w:t>.履行本合同的全部安全责任均由乙方承担，甲方对此不承担任何责任。</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lang w:val="en-US" w:eastAsia="zh-CN"/>
        </w:rPr>
        <w:t>6</w:t>
      </w:r>
      <w:r>
        <w:rPr>
          <w:rFonts w:hint="eastAsia" w:ascii="宋体" w:hAnsi="宋体" w:eastAsia="宋体" w:cs="宋体"/>
          <w:snapToGrid w:val="0"/>
          <w:color w:val="auto"/>
          <w:highlight w:val="none"/>
        </w:rPr>
        <w:t>.国家法律、法规所规定由乙方承担的其它责任。</w:t>
      </w:r>
    </w:p>
    <w:p>
      <w:pPr>
        <w:wordWrap w:val="0"/>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十二、履约保证金要求</w:t>
      </w:r>
      <w:bookmarkEnd w:id="1196"/>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1.履约保证金为人民币</w:t>
      </w: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大写</w:t>
      </w: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 xml:space="preserve"> </w:t>
      </w:r>
      <w:r>
        <w:rPr>
          <w:rFonts w:hint="eastAsia" w:ascii="宋体" w:hAnsi="宋体" w:eastAsia="宋体" w:cs="宋体"/>
          <w:snapToGrid w:val="0"/>
          <w:color w:val="auto"/>
          <w:highlight w:val="none"/>
          <w:u w:val="single"/>
        </w:rPr>
        <w:t xml:space="preserve">      元</w:t>
      </w:r>
      <w:r>
        <w:rPr>
          <w:rFonts w:hint="eastAsia" w:ascii="宋体" w:hAnsi="宋体" w:eastAsia="宋体" w:cs="宋体"/>
          <w:snapToGrid w:val="0"/>
          <w:color w:val="auto"/>
          <w:highlight w:val="none"/>
          <w:u w:val="single"/>
          <w:lang w:eastAsia="zh-CN"/>
        </w:rPr>
        <w:t>(</w:t>
      </w:r>
      <w:r>
        <w:rPr>
          <w:rFonts w:hint="eastAsia" w:ascii="宋体" w:hAnsi="宋体" w:eastAsia="宋体" w:cs="宋体"/>
          <w:snapToGrid w:val="0"/>
          <w:color w:val="auto"/>
          <w:highlight w:val="none"/>
        </w:rPr>
        <w:t>合同金额的</w:t>
      </w:r>
      <w:r>
        <w:rPr>
          <w:rFonts w:hint="eastAsia" w:ascii="宋体" w:hAnsi="宋体" w:eastAsia="宋体" w:cs="宋体"/>
          <w:snapToGrid w:val="0"/>
          <w:color w:val="auto"/>
          <w:highlight w:val="none"/>
          <w:lang w:val="en-US" w:eastAsia="zh-CN"/>
        </w:rPr>
        <w:t>百分之五</w:t>
      </w: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，乙方应在中标通知书发出之日起至合同签订前以银行转账、支票、汇票、本票或者金融机构、担保机构出具的保函等非现金形式向甲方提交履约保证金。</w:t>
      </w:r>
    </w:p>
    <w:p>
      <w:pPr>
        <w:pStyle w:val="10"/>
        <w:spacing w:line="460" w:lineRule="exact"/>
        <w:ind w:firstLine="0" w:firstLineChars="0"/>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2.履行合同约定</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含售后服务</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完毕后,无质量问题和违约责任情况，乙方凭“验收报告单”、“收到退还履约保证金的收据”、“履约保证金退还申请”到甲方计财处办理，无息退还。甲方收到乙方提交的履约保证金退还申请等资料</w:t>
      </w:r>
      <w:r>
        <w:rPr>
          <w:rFonts w:hint="eastAsia" w:ascii="宋体" w:hAnsi="宋体" w:eastAsia="宋体" w:cs="宋体"/>
          <w:snapToGrid w:val="0"/>
          <w:color w:val="auto"/>
          <w:sz w:val="24"/>
          <w:szCs w:val="24"/>
          <w:highlight w:val="none"/>
          <w:lang w:val="en-US" w:eastAsia="zh-CN"/>
        </w:rPr>
        <w:t>并经甲方审核后</w:t>
      </w:r>
      <w:r>
        <w:rPr>
          <w:rFonts w:hint="eastAsia" w:ascii="宋体" w:hAnsi="宋体" w:eastAsia="宋体" w:cs="宋体"/>
          <w:snapToGrid w:val="0"/>
          <w:color w:val="auto"/>
          <w:sz w:val="24"/>
          <w:szCs w:val="24"/>
          <w:highlight w:val="none"/>
        </w:rPr>
        <w:t>，30个日历天内退还乙方应退部分履约保证金。因甲方原因逾期退还的，还应向乙方支付未退还金额万分之五/天的违约金</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违约金最高不得超</w:t>
      </w:r>
      <w:r>
        <w:rPr>
          <w:rFonts w:hint="eastAsia" w:ascii="宋体" w:hAnsi="宋体" w:cs="宋体"/>
          <w:snapToGrid w:val="0"/>
          <w:color w:val="auto"/>
          <w:sz w:val="24"/>
          <w:szCs w:val="24"/>
          <w:highlight w:val="none"/>
          <w:lang w:val="en-US" w:eastAsia="zh-CN"/>
        </w:rPr>
        <w:t>过</w:t>
      </w:r>
      <w:r>
        <w:rPr>
          <w:rFonts w:hint="eastAsia" w:ascii="宋体" w:hAnsi="宋体" w:eastAsia="宋体" w:cs="宋体"/>
          <w:snapToGrid w:val="0"/>
          <w:color w:val="auto"/>
          <w:sz w:val="24"/>
          <w:szCs w:val="24"/>
          <w:highlight w:val="none"/>
        </w:rPr>
        <w:t>未退还金额的百分之</w:t>
      </w:r>
      <w:r>
        <w:rPr>
          <w:rFonts w:hint="eastAsia" w:ascii="宋体" w:hAnsi="宋体" w:eastAsia="宋体" w:cs="宋体"/>
          <w:snapToGrid w:val="0"/>
          <w:color w:val="auto"/>
          <w:sz w:val="24"/>
          <w:szCs w:val="24"/>
          <w:highlight w:val="none"/>
          <w:lang w:val="en-US" w:eastAsia="zh-CN"/>
        </w:rPr>
        <w:t>二</w:t>
      </w:r>
      <w:r>
        <w:rPr>
          <w:rFonts w:hint="eastAsia" w:ascii="宋体" w:hAnsi="宋体" w:eastAsia="宋体" w:cs="宋体"/>
          <w:snapToGrid w:val="0"/>
          <w:color w:val="auto"/>
          <w:sz w:val="24"/>
          <w:szCs w:val="24"/>
          <w:highlight w:val="none"/>
        </w:rPr>
        <w:t>十。</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3.履约保证金汇入的银行及账号：</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 xml:space="preserve"> 收款账号：成都市技师学院</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 xml:space="preserve"> 开户行：工行成都红光支行</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 xml:space="preserve"> 银行账号：4402054609100031151</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4.履约保证金不予退还情形:一是乙方未按合同要求履行的，其履约保证金全部扣除。二是乙方缴纳了履约保证金，但因自身原因被取消成交资格或在成交公示期满之日起30</w:t>
      </w:r>
      <w:r>
        <w:rPr>
          <w:rFonts w:hint="eastAsia" w:ascii="宋体" w:hAnsi="宋体" w:eastAsia="宋体" w:cs="宋体"/>
          <w:snapToGrid w:val="0"/>
          <w:color w:val="auto"/>
          <w:highlight w:val="none"/>
          <w:lang w:val="en-US" w:eastAsia="zh-CN"/>
        </w:rPr>
        <w:t>个</w:t>
      </w:r>
      <w:r>
        <w:rPr>
          <w:rFonts w:hint="eastAsia" w:ascii="宋体" w:hAnsi="宋体" w:eastAsia="宋体" w:cs="宋体"/>
          <w:snapToGrid w:val="0"/>
          <w:color w:val="auto"/>
          <w:highlight w:val="none"/>
        </w:rPr>
        <w:t>日历天(含法定节假日)内乙方不按招标文件确定的事项与甲方签订合同的，其履约保证金不予退还。三是法律法规或合同约定的其他情形。</w:t>
      </w:r>
    </w:p>
    <w:p>
      <w:pPr>
        <w:wordWrap w:val="0"/>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十三、验收方案、交付标准和方法</w:t>
      </w:r>
    </w:p>
    <w:p>
      <w:pPr>
        <w:wordWrap w:val="0"/>
        <w:ind w:firstLine="480" w:firstLineChars="200"/>
        <w:rPr>
          <w:rFonts w:hint="eastAsia" w:ascii="宋体" w:hAnsi="宋体" w:eastAsia="宋体" w:cs="宋体"/>
          <w:snapToGrid w:val="0"/>
          <w:color w:val="auto"/>
          <w:highlight w:val="none"/>
        </w:rPr>
      </w:pPr>
      <w:bookmarkStart w:id="1197" w:name="_Toc28941"/>
      <w:r>
        <w:rPr>
          <w:rFonts w:hint="eastAsia" w:ascii="宋体" w:hAnsi="宋体" w:eastAsia="宋体" w:cs="宋体"/>
          <w:snapToGrid w:val="0"/>
          <w:color w:val="auto"/>
          <w:highlight w:val="none"/>
        </w:rPr>
        <w:t>1.验收的主体：甲方</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2.验收的时间：</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(1)投标人完成送货、安装调试工作后，书面通知甲方</w:t>
      </w:r>
      <w:r>
        <w:rPr>
          <w:rFonts w:hint="eastAsia" w:cs="宋体"/>
          <w:snapToGrid w:val="0"/>
          <w:color w:val="auto"/>
          <w:highlight w:val="none"/>
          <w:lang w:val="en-US" w:eastAsia="zh-CN"/>
        </w:rPr>
        <w:t>进行货物</w:t>
      </w:r>
      <w:r>
        <w:rPr>
          <w:rFonts w:hint="eastAsia" w:ascii="宋体" w:hAnsi="宋体" w:eastAsia="宋体" w:cs="宋体"/>
          <w:snapToGrid w:val="0"/>
          <w:color w:val="auto"/>
          <w:highlight w:val="none"/>
        </w:rPr>
        <w:t>验收，甲方收到</w:t>
      </w:r>
      <w:r>
        <w:rPr>
          <w:rFonts w:hint="eastAsia" w:cs="宋体"/>
          <w:snapToGrid w:val="0"/>
          <w:color w:val="auto"/>
          <w:highlight w:val="none"/>
          <w:lang w:val="en-US" w:eastAsia="zh-CN"/>
        </w:rPr>
        <w:t>货物</w:t>
      </w:r>
      <w:r>
        <w:rPr>
          <w:rFonts w:hint="eastAsia" w:ascii="宋体" w:hAnsi="宋体" w:eastAsia="宋体" w:cs="宋体"/>
          <w:snapToGrid w:val="0"/>
          <w:color w:val="auto"/>
          <w:highlight w:val="none"/>
        </w:rPr>
        <w:t>验收申请后5</w:t>
      </w:r>
      <w:r>
        <w:rPr>
          <w:rFonts w:hint="eastAsia" w:ascii="宋体" w:hAnsi="宋体" w:eastAsia="宋体" w:cs="宋体"/>
          <w:snapToGrid w:val="0"/>
          <w:color w:val="auto"/>
          <w:highlight w:val="none"/>
          <w:lang w:val="en-US" w:eastAsia="zh-CN"/>
        </w:rPr>
        <w:t>个</w:t>
      </w:r>
      <w:r>
        <w:rPr>
          <w:rFonts w:hint="eastAsia" w:ascii="宋体" w:hAnsi="宋体" w:eastAsia="宋体" w:cs="宋体"/>
          <w:snapToGrid w:val="0"/>
          <w:color w:val="auto"/>
          <w:highlight w:val="none"/>
        </w:rPr>
        <w:t>日历天内完成</w:t>
      </w:r>
      <w:r>
        <w:rPr>
          <w:rFonts w:hint="eastAsia" w:cs="宋体"/>
          <w:snapToGrid w:val="0"/>
          <w:color w:val="auto"/>
          <w:highlight w:val="none"/>
          <w:lang w:val="en-US" w:eastAsia="zh-CN"/>
        </w:rPr>
        <w:t>货物</w:t>
      </w:r>
      <w:r>
        <w:rPr>
          <w:rFonts w:hint="eastAsia" w:ascii="宋体" w:hAnsi="宋体" w:eastAsia="宋体" w:cs="宋体"/>
          <w:snapToGrid w:val="0"/>
          <w:color w:val="auto"/>
          <w:highlight w:val="none"/>
        </w:rPr>
        <w:t>验收。</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(2)售后服务期结束且甲方收到投标人售后服务整体验收申请之日起5</w:t>
      </w:r>
      <w:r>
        <w:rPr>
          <w:rFonts w:hint="eastAsia" w:ascii="宋体" w:hAnsi="宋体" w:eastAsia="宋体" w:cs="宋体"/>
          <w:snapToGrid w:val="0"/>
          <w:color w:val="auto"/>
          <w:highlight w:val="none"/>
          <w:lang w:val="en-US" w:eastAsia="zh-CN"/>
        </w:rPr>
        <w:t>个</w:t>
      </w:r>
      <w:r>
        <w:rPr>
          <w:rFonts w:hint="eastAsia" w:ascii="宋体" w:hAnsi="宋体" w:eastAsia="宋体" w:cs="宋体"/>
          <w:snapToGrid w:val="0"/>
          <w:color w:val="auto"/>
          <w:highlight w:val="none"/>
        </w:rPr>
        <w:t>日历天内完成售后服务整体验收。</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3.验收的方式</w:t>
      </w:r>
      <w:r>
        <w:rPr>
          <w:rFonts w:hint="eastAsia" w:cs="宋体"/>
          <w:snapToGrid w:val="0"/>
          <w:color w:val="auto"/>
          <w:highlight w:val="none"/>
          <w:lang w:eastAsia="zh-CN"/>
        </w:rPr>
        <w:t>：</w:t>
      </w:r>
      <w:r>
        <w:rPr>
          <w:rFonts w:hint="eastAsia" w:cs="宋体"/>
          <w:snapToGrid w:val="0"/>
          <w:color w:val="auto"/>
          <w:highlight w:val="none"/>
          <w:lang w:val="en-US" w:eastAsia="zh-CN"/>
        </w:rPr>
        <w:t>货物</w:t>
      </w:r>
      <w:r>
        <w:rPr>
          <w:rFonts w:hint="eastAsia" w:ascii="宋体" w:hAnsi="宋体" w:eastAsia="宋体" w:cs="宋体"/>
          <w:snapToGrid w:val="0"/>
          <w:color w:val="auto"/>
          <w:highlight w:val="none"/>
        </w:rPr>
        <w:t>验收为现场测试验收，售后服务验收为考核验收(投标人每次按照售后服务要求提供服务的视为单次售后服务合格，售后服务期内单次售后服务合格率低于95%视为售后服务不合格)。</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4.验收的程序：</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(1)投标人递交</w:t>
      </w:r>
      <w:r>
        <w:rPr>
          <w:rFonts w:hint="eastAsia" w:cs="宋体"/>
          <w:snapToGrid w:val="0"/>
          <w:color w:val="auto"/>
          <w:highlight w:val="none"/>
          <w:lang w:val="en-US" w:eastAsia="zh-CN"/>
        </w:rPr>
        <w:t>货物</w:t>
      </w:r>
      <w:r>
        <w:rPr>
          <w:rFonts w:hint="eastAsia" w:ascii="宋体" w:hAnsi="宋体" w:eastAsia="宋体" w:cs="宋体"/>
          <w:snapToGrid w:val="0"/>
          <w:color w:val="auto"/>
          <w:highlight w:val="none"/>
        </w:rPr>
        <w:t>验收申请后，甲方组织3人以上的验收小组进行现场测试验收；</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(2)单次售后服务完成后，由甲方的经办人现场验收并记录，该记录作为售后服务整体验收的依据。</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5.验收的内容：</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(1)</w:t>
      </w:r>
      <w:r>
        <w:rPr>
          <w:rFonts w:hint="eastAsia" w:cs="宋体"/>
          <w:snapToGrid w:val="0"/>
          <w:color w:val="auto"/>
          <w:highlight w:val="none"/>
          <w:lang w:val="en-US" w:eastAsia="zh-CN"/>
        </w:rPr>
        <w:t>货物</w:t>
      </w:r>
      <w:r>
        <w:rPr>
          <w:rFonts w:hint="eastAsia" w:ascii="宋体" w:hAnsi="宋体" w:eastAsia="宋体" w:cs="宋体"/>
          <w:snapToGrid w:val="0"/>
          <w:color w:val="auto"/>
          <w:highlight w:val="none"/>
        </w:rPr>
        <w:t>验收内容包括品牌、型号、数量、外观、安装调试、运行状况、使用说明或手册、合格证书、原厂保修单等每一项技术和商务要求(售后服务除外)的履约情况；</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(2)售后服务验收内容包括售后服务要求中每一项要求的履约情况。</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6.</w:t>
      </w:r>
      <w:r>
        <w:rPr>
          <w:rFonts w:hint="eastAsia" w:ascii="宋体" w:hAnsi="宋体" w:eastAsia="宋体" w:cs="宋体"/>
          <w:color w:val="auto"/>
          <w:highlight w:val="none"/>
        </w:rPr>
        <w:t>验收的标准：按招标文件的质量要求和技术指标、</w:t>
      </w:r>
      <w:r>
        <w:rPr>
          <w:rFonts w:hint="eastAsia" w:ascii="宋体" w:hAnsi="宋体" w:eastAsia="宋体" w:cs="宋体"/>
          <w:snapToGrid w:val="0"/>
          <w:color w:val="auto"/>
          <w:highlight w:val="none"/>
        </w:rPr>
        <w:t>乙方</w:t>
      </w:r>
      <w:r>
        <w:rPr>
          <w:rFonts w:hint="eastAsia" w:ascii="宋体" w:hAnsi="宋体" w:eastAsia="宋体" w:cs="宋体"/>
          <w:color w:val="auto"/>
          <w:highlight w:val="none"/>
        </w:rPr>
        <w:t>的投标文件及承诺、合同约定进行验收。验收合格，则签署《验收报告单》；若验收不合格，</w:t>
      </w:r>
      <w:r>
        <w:rPr>
          <w:rFonts w:hint="eastAsia" w:ascii="宋体" w:hAnsi="宋体" w:eastAsia="宋体" w:cs="宋体"/>
          <w:snapToGrid w:val="0"/>
          <w:color w:val="auto"/>
          <w:highlight w:val="none"/>
        </w:rPr>
        <w:t>乙方</w:t>
      </w:r>
      <w:r>
        <w:rPr>
          <w:rFonts w:hint="eastAsia" w:ascii="宋体" w:hAnsi="宋体" w:eastAsia="宋体" w:cs="宋体"/>
          <w:color w:val="auto"/>
          <w:highlight w:val="none"/>
        </w:rPr>
        <w:t>应在接到</w:t>
      </w:r>
      <w:r>
        <w:rPr>
          <w:rFonts w:hint="eastAsia" w:ascii="宋体" w:hAnsi="宋体" w:eastAsia="宋体" w:cs="宋体"/>
          <w:snapToGrid w:val="0"/>
          <w:color w:val="auto"/>
          <w:highlight w:val="none"/>
        </w:rPr>
        <w:t>甲方</w:t>
      </w:r>
      <w:r>
        <w:rPr>
          <w:rFonts w:hint="eastAsia" w:ascii="宋体" w:hAnsi="宋体" w:eastAsia="宋体" w:cs="宋体"/>
          <w:color w:val="auto"/>
          <w:highlight w:val="none"/>
        </w:rPr>
        <w:t>整改通知之日起15</w:t>
      </w:r>
      <w:r>
        <w:rPr>
          <w:rFonts w:hint="eastAsia" w:ascii="宋体" w:hAnsi="宋体" w:eastAsia="宋体" w:cs="宋体"/>
          <w:color w:val="auto"/>
          <w:highlight w:val="none"/>
          <w:lang w:val="en-US" w:eastAsia="zh-CN"/>
        </w:rPr>
        <w:t>个</w:t>
      </w:r>
      <w:r>
        <w:rPr>
          <w:rFonts w:hint="eastAsia" w:ascii="宋体" w:hAnsi="宋体" w:eastAsia="宋体" w:cs="宋体"/>
          <w:color w:val="auto"/>
          <w:highlight w:val="none"/>
        </w:rPr>
        <w:t>日历天内完成整改，再由</w:t>
      </w:r>
      <w:r>
        <w:rPr>
          <w:rFonts w:hint="eastAsia" w:ascii="宋体" w:hAnsi="宋体" w:eastAsia="宋体" w:cs="宋体"/>
          <w:snapToGrid w:val="0"/>
          <w:color w:val="auto"/>
          <w:highlight w:val="none"/>
        </w:rPr>
        <w:t>甲方</w:t>
      </w:r>
      <w:r>
        <w:rPr>
          <w:rFonts w:hint="eastAsia" w:ascii="宋体" w:hAnsi="宋体" w:eastAsia="宋体" w:cs="宋体"/>
          <w:color w:val="auto"/>
          <w:highlight w:val="none"/>
        </w:rPr>
        <w:t>组织重新验收，若再次验收不合格则视为</w:t>
      </w:r>
      <w:r>
        <w:rPr>
          <w:rFonts w:hint="eastAsia" w:ascii="宋体" w:hAnsi="宋体" w:eastAsia="宋体" w:cs="宋体"/>
          <w:snapToGrid w:val="0"/>
          <w:color w:val="auto"/>
          <w:highlight w:val="none"/>
        </w:rPr>
        <w:t>乙方</w:t>
      </w:r>
      <w:r>
        <w:rPr>
          <w:rFonts w:hint="eastAsia" w:ascii="宋体" w:hAnsi="宋体" w:eastAsia="宋体" w:cs="宋体"/>
          <w:color w:val="auto"/>
          <w:highlight w:val="none"/>
        </w:rPr>
        <w:t>不能履约，</w:t>
      </w:r>
      <w:r>
        <w:rPr>
          <w:rFonts w:hint="eastAsia" w:ascii="宋体" w:hAnsi="宋体" w:eastAsia="宋体" w:cs="宋体"/>
          <w:snapToGrid w:val="0"/>
          <w:color w:val="auto"/>
          <w:highlight w:val="none"/>
        </w:rPr>
        <w:t>甲方</w:t>
      </w:r>
      <w:r>
        <w:rPr>
          <w:rFonts w:hint="eastAsia" w:ascii="宋体" w:hAnsi="宋体" w:eastAsia="宋体" w:cs="宋体"/>
          <w:color w:val="auto"/>
          <w:highlight w:val="none"/>
        </w:rPr>
        <w:t>有权终止合同，并按合同约定追究</w:t>
      </w:r>
      <w:r>
        <w:rPr>
          <w:rFonts w:hint="eastAsia" w:ascii="宋体" w:hAnsi="宋体" w:eastAsia="宋体" w:cs="宋体"/>
          <w:snapToGrid w:val="0"/>
          <w:color w:val="auto"/>
          <w:highlight w:val="none"/>
        </w:rPr>
        <w:t>乙方</w:t>
      </w:r>
      <w:r>
        <w:rPr>
          <w:rFonts w:hint="eastAsia" w:ascii="宋体" w:hAnsi="宋体" w:eastAsia="宋体" w:cs="宋体"/>
          <w:color w:val="auto"/>
          <w:highlight w:val="none"/>
        </w:rPr>
        <w:t>的违约责任。</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7.其他未尽事宜应按照《财政部关于进一步加强政府采购需求和履约验收管理的指导意见》(财库〔2016〕205 号)的要求进行验收。</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8.交付标准及方式：投标人向甲方移交了装箱清单、配件、随机工具、使用说明或手册、合格证书、原厂保修单等资料，并在甲方指定地点完成设备安装、调整、试运行等工作且通过设备验收视为乙方交货。</w:t>
      </w:r>
    </w:p>
    <w:p>
      <w:pPr>
        <w:wordWrap w:val="0"/>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十四、解决争议的方法</w:t>
      </w:r>
      <w:bookmarkEnd w:id="1197"/>
    </w:p>
    <w:p>
      <w:pPr>
        <w:pStyle w:val="44"/>
        <w:numPr>
          <w:ilvl w:val="0"/>
          <w:numId w:val="0"/>
        </w:numPr>
        <w:ind w:firstLine="480" w:firstLineChars="200"/>
        <w:rPr>
          <w:rFonts w:hint="eastAsia" w:ascii="宋体" w:hAnsi="宋体" w:eastAsia="宋体" w:cs="宋体"/>
          <w:snapToGrid w:val="0"/>
          <w:color w:val="auto"/>
          <w:highlight w:val="none"/>
        </w:rPr>
      </w:pPr>
      <w:bookmarkStart w:id="1198" w:name="_Toc12788"/>
      <w:r>
        <w:rPr>
          <w:rFonts w:hint="eastAsia" w:ascii="宋体" w:hAnsi="宋体" w:eastAsia="宋体" w:cs="宋体"/>
          <w:snapToGrid w:val="0"/>
          <w:color w:val="auto"/>
          <w:highlight w:val="none"/>
        </w:rPr>
        <w:t>1.因质量问题发生争议，由甲乙双方协商确定的第三方机构进行质量鉴定。质量符合标准的，鉴定费由甲方承担；不符合质量标准的，鉴定费由乙方承担。</w:t>
      </w:r>
    </w:p>
    <w:p>
      <w:pPr>
        <w:pStyle w:val="44"/>
        <w:numPr>
          <w:ilvl w:val="0"/>
          <w:numId w:val="0"/>
        </w:numPr>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2.履约期间,若双方发生争议，双方应通过友好协商解决，经协商不能达成协议时，应提交甲方所在地的人民法院诉讼。在诉讼期间，除正在进行诉讼的部分外，合同其他部分继续执行。</w:t>
      </w:r>
    </w:p>
    <w:p>
      <w:pPr>
        <w:pStyle w:val="44"/>
        <w:numPr>
          <w:ilvl w:val="0"/>
          <w:numId w:val="0"/>
        </w:numPr>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3.除判决另有规定外，一切涉诉合理费用均由违约方承担。</w:t>
      </w:r>
    </w:p>
    <w:p>
      <w:pPr>
        <w:wordWrap w:val="0"/>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十五、知识产权</w:t>
      </w:r>
      <w:bookmarkEnd w:id="1198"/>
    </w:p>
    <w:p>
      <w:pPr>
        <w:pStyle w:val="44"/>
        <w:numPr>
          <w:ilvl w:val="0"/>
          <w:numId w:val="0"/>
        </w:numPr>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1.乙方应保证在本项目中使用的任何产品和服务，不会产生因第三方提出侵犯其专利权、商标权或其它知识产权而引起的法律和经济纠纷，如因专利权、商标权或其它知识产权而引起法律和经济纠纷，由乙方承担所有相关责任。甲方因此遭受的损失</w:t>
      </w: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包括但不限于因此向第三方支付的赔偿金、违约金等，以及因此支出的诉讼费用、律师费、保全费等</w:t>
      </w: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均由乙方承担。</w:t>
      </w:r>
    </w:p>
    <w:p>
      <w:pPr>
        <w:pStyle w:val="44"/>
        <w:numPr>
          <w:ilvl w:val="0"/>
          <w:numId w:val="0"/>
        </w:numPr>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2.履行本合同产生的知识产权均归甲方所有。</w:t>
      </w:r>
    </w:p>
    <w:p>
      <w:pPr>
        <w:wordWrap w:val="0"/>
        <w:ind w:firstLine="482" w:firstLineChars="200"/>
        <w:rPr>
          <w:rFonts w:hint="eastAsia" w:ascii="宋体" w:hAnsi="宋体" w:eastAsia="宋体" w:cs="宋体"/>
          <w:b/>
          <w:bCs/>
          <w:color w:val="auto"/>
          <w:highlight w:val="none"/>
        </w:rPr>
      </w:pPr>
      <w:bookmarkStart w:id="1199" w:name="_Toc28329"/>
      <w:r>
        <w:rPr>
          <w:rFonts w:hint="eastAsia" w:ascii="宋体" w:hAnsi="宋体" w:eastAsia="宋体" w:cs="宋体"/>
          <w:b/>
          <w:bCs/>
          <w:color w:val="auto"/>
          <w:highlight w:val="none"/>
        </w:rPr>
        <w:t>十六、合同的变更和终止</w:t>
      </w:r>
      <w:bookmarkEnd w:id="1199"/>
    </w:p>
    <w:p>
      <w:pPr>
        <w:pStyle w:val="44"/>
        <w:numPr>
          <w:ilvl w:val="0"/>
          <w:numId w:val="0"/>
        </w:numPr>
        <w:ind w:firstLine="480" w:firstLineChars="200"/>
        <w:rPr>
          <w:rFonts w:hint="eastAsia" w:ascii="宋体" w:hAnsi="宋体" w:eastAsia="宋体" w:cs="宋体"/>
          <w:color w:val="auto"/>
          <w:highlight w:val="none"/>
        </w:rPr>
      </w:pPr>
      <w:r>
        <w:rPr>
          <w:rFonts w:hint="eastAsia" w:ascii="宋体" w:hAnsi="宋体" w:eastAsia="宋体" w:cs="宋体"/>
          <w:snapToGrid w:val="0"/>
          <w:color w:val="auto"/>
          <w:highlight w:val="none"/>
        </w:rPr>
        <w:t>除《政府采购法》第49条、第50条规定的情形外，本合同一经签订，甲乙双方不得擅自变更、中止或终止合同。</w:t>
      </w:r>
    </w:p>
    <w:p>
      <w:pPr>
        <w:wordWrap w:val="0"/>
        <w:ind w:firstLine="482" w:firstLineChars="200"/>
        <w:rPr>
          <w:rFonts w:hint="eastAsia" w:ascii="宋体" w:hAnsi="宋体" w:eastAsia="宋体" w:cs="宋体"/>
          <w:b/>
          <w:bCs/>
          <w:color w:val="auto"/>
          <w:highlight w:val="none"/>
        </w:rPr>
      </w:pPr>
      <w:bookmarkStart w:id="1200" w:name="_Toc4413"/>
      <w:r>
        <w:rPr>
          <w:rFonts w:hint="eastAsia" w:ascii="宋体" w:hAnsi="宋体" w:eastAsia="宋体" w:cs="宋体"/>
          <w:b/>
          <w:bCs/>
          <w:color w:val="auto"/>
          <w:highlight w:val="none"/>
        </w:rPr>
        <w:t>十七、合同的分包和转让</w:t>
      </w:r>
      <w:bookmarkEnd w:id="1200"/>
    </w:p>
    <w:p>
      <w:pPr>
        <w:wordWrap w:val="0"/>
        <w:ind w:firstLine="480" w:firstLineChars="200"/>
        <w:rPr>
          <w:rFonts w:hint="eastAsia" w:ascii="宋体" w:hAnsi="宋体" w:eastAsia="宋体" w:cs="宋体"/>
          <w:snapToGrid w:val="0"/>
          <w:color w:val="auto"/>
          <w:highlight w:val="none"/>
        </w:rPr>
      </w:pPr>
      <w:bookmarkStart w:id="1201" w:name="_Toc25301"/>
      <w:r>
        <w:rPr>
          <w:rFonts w:hint="eastAsia" w:ascii="宋体" w:hAnsi="宋体" w:eastAsia="宋体" w:cs="宋体"/>
          <w:snapToGrid w:val="0"/>
          <w:color w:val="auto"/>
          <w:highlight w:val="none"/>
        </w:rPr>
        <w:t>乙方不得擅自部分或全部转让其应履行的合同义务。</w:t>
      </w:r>
    </w:p>
    <w:p>
      <w:pPr>
        <w:wordWrap w:val="0"/>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十八、违约责任</w:t>
      </w:r>
      <w:bookmarkEnd w:id="1201"/>
    </w:p>
    <w:p>
      <w:pPr>
        <w:ind w:firstLine="480"/>
        <w:rPr>
          <w:rFonts w:hint="eastAsia" w:ascii="宋体" w:hAnsi="宋体" w:eastAsia="宋体" w:cs="宋体"/>
          <w:snapToGrid w:val="0"/>
          <w:color w:val="auto"/>
          <w:highlight w:val="none"/>
        </w:rPr>
      </w:pPr>
      <w:bookmarkStart w:id="1202" w:name="_Toc28730"/>
      <w:bookmarkStart w:id="1203" w:name="_Toc31185"/>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一</w:t>
      </w: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甲方违约责任</w:t>
      </w:r>
    </w:p>
    <w:p>
      <w:pPr>
        <w:ind w:firstLine="48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1.甲方无正当理由拒收货物的，甲方应偿付合同总金额的百分之二十的违约金；</w:t>
      </w:r>
    </w:p>
    <w:p>
      <w:pPr>
        <w:ind w:firstLine="48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2.甲方故意逾期支付货款的，除应及时付足货款外，应向乙方偿付欠款总额万分之五/天的违约金；</w:t>
      </w:r>
      <w:r>
        <w:rPr>
          <w:rFonts w:hint="eastAsia" w:cs="宋体"/>
          <w:snapToGrid w:val="0"/>
          <w:color w:val="auto"/>
          <w:highlight w:val="none"/>
          <w:lang w:val="en-US" w:eastAsia="zh-CN"/>
        </w:rPr>
        <w:t>但逾期违约金不得超过欠款总额的百分之二十，</w:t>
      </w:r>
      <w:r>
        <w:rPr>
          <w:rFonts w:hint="eastAsia" w:ascii="宋体" w:hAnsi="宋体" w:eastAsia="宋体" w:cs="宋体"/>
          <w:snapToGrid w:val="0"/>
          <w:color w:val="auto"/>
          <w:highlight w:val="none"/>
        </w:rPr>
        <w:t>逾期付款超过20</w:t>
      </w:r>
      <w:r>
        <w:rPr>
          <w:rFonts w:hint="eastAsia" w:ascii="宋体" w:hAnsi="宋体" w:eastAsia="宋体" w:cs="宋体"/>
          <w:snapToGrid w:val="0"/>
          <w:color w:val="auto"/>
          <w:highlight w:val="none"/>
          <w:lang w:val="en-US" w:eastAsia="zh-CN"/>
        </w:rPr>
        <w:t>个</w:t>
      </w:r>
      <w:r>
        <w:rPr>
          <w:rFonts w:hint="eastAsia" w:ascii="宋体" w:hAnsi="宋体" w:eastAsia="宋体" w:cs="宋体"/>
          <w:snapToGrid w:val="0"/>
          <w:color w:val="auto"/>
          <w:highlight w:val="none"/>
        </w:rPr>
        <w:t>日历天的，乙方有权终止合同；非甲方故意逾期付款的，甲方不承担任何逾期付款责任，乙方也不得终止合同(说明：如因2021年年终财政关闭支付系统导致甲方在合同履行期间无法支付，则甲方不承担逾期支付责任，待2022年财政支付系统开通后支付)。逾期违约金不得超过欠款总额的百分之二十。</w:t>
      </w:r>
    </w:p>
    <w:p>
      <w:pPr>
        <w:ind w:firstLine="48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二</w:t>
      </w: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乙方违约责任</w:t>
      </w:r>
    </w:p>
    <w:p>
      <w:pPr>
        <w:ind w:firstLine="48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1.乙方交付的货物质量不符合本合同、招标文件和投标文件规定的，乙方应在1</w:t>
      </w:r>
      <w:r>
        <w:rPr>
          <w:rFonts w:hint="eastAsia" w:ascii="宋体" w:hAnsi="宋体" w:eastAsia="宋体" w:cs="宋体"/>
          <w:snapToGrid w:val="0"/>
          <w:color w:val="auto"/>
          <w:highlight w:val="none"/>
          <w:lang w:val="en-US" w:eastAsia="zh-CN"/>
        </w:rPr>
        <w:t>5个</w:t>
      </w:r>
      <w:r>
        <w:rPr>
          <w:rFonts w:hint="eastAsia" w:ascii="宋体" w:hAnsi="宋体" w:eastAsia="宋体" w:cs="宋体"/>
          <w:snapToGrid w:val="0"/>
          <w:color w:val="auto"/>
          <w:highlight w:val="none"/>
        </w:rPr>
        <w:t>日历天内更换合格的产品给甲方，若乙方未在1</w:t>
      </w:r>
      <w:r>
        <w:rPr>
          <w:rFonts w:hint="eastAsia" w:ascii="宋体" w:hAnsi="宋体" w:eastAsia="宋体" w:cs="宋体"/>
          <w:snapToGrid w:val="0"/>
          <w:color w:val="auto"/>
          <w:highlight w:val="none"/>
          <w:lang w:val="en-US" w:eastAsia="zh-CN"/>
        </w:rPr>
        <w:t>5个</w:t>
      </w:r>
      <w:r>
        <w:rPr>
          <w:rFonts w:hint="eastAsia" w:ascii="宋体" w:hAnsi="宋体" w:eastAsia="宋体" w:cs="宋体"/>
          <w:snapToGrid w:val="0"/>
          <w:color w:val="auto"/>
          <w:highlight w:val="none"/>
        </w:rPr>
        <w:t>日历天内更换合格产品给甲方或更换后的产品仍不符合本合同、招标文件和投标文件的质量要求，视作乙方不能交付货物而违约，乙方按本条本款下述第“2”项规定向甲方支付违约金。</w:t>
      </w:r>
    </w:p>
    <w:p>
      <w:pPr>
        <w:ind w:firstLine="48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2.乙方不能交付货物而违约的，本合同终止，乙方按合同总金额的百分之二十向甲方支付违约金和赔偿因此给甲方造成的全部损失，并且甲方不予退还乙方履约保证金。</w:t>
      </w:r>
    </w:p>
    <w:p>
      <w:pPr>
        <w:ind w:firstLine="48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3.乙方逾期交付货物而违约的，除应及时交足货物外，还应向甲方偿付逾期交货部分货款总额的万分之五/天的违约金；逾期15</w:t>
      </w:r>
      <w:r>
        <w:rPr>
          <w:rFonts w:hint="eastAsia" w:ascii="宋体" w:hAnsi="宋体" w:eastAsia="宋体" w:cs="宋体"/>
          <w:snapToGrid w:val="0"/>
          <w:color w:val="auto"/>
          <w:highlight w:val="none"/>
          <w:lang w:val="en-US" w:eastAsia="zh-CN"/>
        </w:rPr>
        <w:t>个</w:t>
      </w:r>
      <w:r>
        <w:rPr>
          <w:rFonts w:hint="eastAsia" w:ascii="宋体" w:hAnsi="宋体" w:eastAsia="宋体" w:cs="宋体"/>
          <w:snapToGrid w:val="0"/>
          <w:color w:val="auto"/>
          <w:highlight w:val="none"/>
        </w:rPr>
        <w:t>日历天</w:t>
      </w:r>
      <w:r>
        <w:rPr>
          <w:rFonts w:hint="eastAsia" w:cs="宋体"/>
          <w:snapToGrid w:val="0"/>
          <w:color w:val="auto"/>
          <w:highlight w:val="none"/>
          <w:lang w:val="en-US" w:eastAsia="zh-CN"/>
        </w:rPr>
        <w:t>未交付货物的</w:t>
      </w:r>
      <w:r>
        <w:rPr>
          <w:rFonts w:hint="eastAsia" w:ascii="宋体" w:hAnsi="宋体" w:eastAsia="宋体" w:cs="宋体"/>
          <w:snapToGrid w:val="0"/>
          <w:color w:val="auto"/>
          <w:highlight w:val="none"/>
        </w:rPr>
        <w:t>，甲方有权终止合同并要求乙方按合同总金额的百分之二十向甲方支付违约金和赔偿因此给甲方造成的全部损失，并且甲方不予退还乙方履约保证金。</w:t>
      </w:r>
    </w:p>
    <w:p>
      <w:pPr>
        <w:ind w:firstLine="48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4.乙方货物经甲方送交具有法定资格条件的质量技术监督机构检测后，如检测结果认定货物质量不符合招标文件和乙方投标文件规定标准的，则视为乙方没有按时交货而违约，乙方须在5个日历天内无条件更换合格的货物，如逾期不能更换合格的货物，甲方有权终止合同并要求乙方按合同总金额的百分之二十向甲方支付违约金和赔偿因此给甲方造成的全部损失，并且甲方不予退还乙方履约保证金。同时须全额退还甲方已经</w:t>
      </w:r>
      <w:r>
        <w:rPr>
          <w:rFonts w:hint="eastAsia" w:ascii="宋体" w:hAnsi="宋体" w:eastAsia="宋体" w:cs="宋体"/>
          <w:snapToGrid w:val="0"/>
          <w:color w:val="auto"/>
          <w:highlight w:val="none"/>
          <w:lang w:val="en-US" w:eastAsia="zh-CN"/>
        </w:rPr>
        <w:t>支付</w:t>
      </w:r>
      <w:r>
        <w:rPr>
          <w:rFonts w:hint="eastAsia" w:ascii="宋体" w:hAnsi="宋体" w:eastAsia="宋体" w:cs="宋体"/>
          <w:snapToGrid w:val="0"/>
          <w:color w:val="auto"/>
          <w:highlight w:val="none"/>
        </w:rPr>
        <w:t>给的货款及其利息。</w:t>
      </w:r>
    </w:p>
    <w:p>
      <w:pPr>
        <w:ind w:firstLine="48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5.乙方未按招标文件和乙方的投标文件约定的时间及要求提供售后服务的，甲方有权聘请第三方提供服务，由此产生的费用全部由乙方承担。售后服务期内售后服务合格率低于</w:t>
      </w:r>
      <w:r>
        <w:rPr>
          <w:rFonts w:hint="eastAsia" w:ascii="宋体" w:hAnsi="宋体" w:eastAsia="宋体" w:cs="宋体"/>
          <w:snapToGrid w:val="0"/>
          <w:color w:val="auto"/>
          <w:highlight w:val="none"/>
          <w:lang w:val="en-US" w:eastAsia="zh-CN"/>
        </w:rPr>
        <w:t>百分之九十五</w:t>
      </w: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合格服务次数/总服务次数</w:t>
      </w: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视为售后服务不合格，甲方不予返还乙方履约保证金</w:t>
      </w: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乙方还应按合同总金额的百分之二十向甲方支付违约金。</w:t>
      </w:r>
    </w:p>
    <w:p>
      <w:pPr>
        <w:ind w:firstLine="48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6.乙方保证响应的货物的权利无瑕疵，包括货物所有权及知识产权等权利无瑕疵。如任何第三方经法院</w:t>
      </w: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或仲裁机构</w:t>
      </w: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裁决有权对上述货物主张权利或国家机关依法对货物进行没收查处的，乙方除应向甲方返还已收款项外，还应另按合同总金额百分之二十向甲方支付违约金。甲方因此遭受的损失由乙方承担</w:t>
      </w: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包括但不限甲方因侵权产品被权利人起诉产生的一切费用</w:t>
      </w:r>
      <w:r>
        <w:rPr>
          <w:rFonts w:hint="eastAsia" w:ascii="宋体" w:hAnsi="宋体" w:eastAsia="宋体" w:cs="宋体"/>
          <w:snapToGrid w:val="0"/>
          <w:color w:val="auto"/>
          <w:highlight w:val="none"/>
          <w:lang w:eastAsia="zh-CN"/>
        </w:rPr>
        <w:t>)</w:t>
      </w:r>
      <w:r>
        <w:rPr>
          <w:rFonts w:hint="eastAsia" w:ascii="宋体" w:hAnsi="宋体" w:eastAsia="宋体" w:cs="宋体"/>
          <w:snapToGrid w:val="0"/>
          <w:color w:val="auto"/>
          <w:highlight w:val="none"/>
        </w:rPr>
        <w:t>。</w:t>
      </w:r>
    </w:p>
    <w:p>
      <w:pPr>
        <w:ind w:firstLine="48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7.若乙方提供虚假、作废发票或违反国家法律、法规开具或提供发票的，乙方自行承担全部法律责任，同时乙方还应按合同总金额的百分之二十向甲方支付违约金。</w:t>
      </w:r>
    </w:p>
    <w:p>
      <w:pPr>
        <w:ind w:firstLine="48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8.乙方支付的违约金不足以弥补甲方损失的，还应按甲方损失尚未弥补的部分,支付赔偿金给甲方。</w:t>
      </w:r>
      <w:bookmarkEnd w:id="1202"/>
    </w:p>
    <w:p>
      <w:pPr>
        <w:pStyle w:val="44"/>
        <w:numPr>
          <w:ilvl w:val="0"/>
          <w:numId w:val="0"/>
        </w:numPr>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十九、组成本合同的有关文件</w:t>
      </w:r>
      <w:bookmarkEnd w:id="1203"/>
      <w:r>
        <w:rPr>
          <w:rFonts w:hint="eastAsia" w:ascii="宋体" w:hAnsi="宋体" w:eastAsia="宋体" w:cs="宋体"/>
          <w:b/>
          <w:bCs/>
          <w:color w:val="auto"/>
          <w:highlight w:val="none"/>
        </w:rPr>
        <w:t xml:space="preserve"> </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下列关于成都市技师学院赛教融合竞赛能力提升基地建设配套采购(智能制造实训基地虚实一体工作站)采购项目(项目编号：XXXX)的招标文件、乙方的投标文件或与本次采购活动方式相适应的文件及有关附件是本合同不可分割的组成部分，与本合同具有同等法律效力，这些文件包括但不限于：</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1.甲方的投标文件；</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2.乙方的投标文件；</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3.中标通知书；</w:t>
      </w:r>
    </w:p>
    <w:p>
      <w:pPr>
        <w:wordWrap w:val="0"/>
        <w:ind w:firstLine="482" w:firstLineChars="200"/>
        <w:rPr>
          <w:rFonts w:hint="eastAsia" w:ascii="宋体" w:hAnsi="宋体" w:eastAsia="宋体" w:cs="宋体"/>
          <w:b/>
          <w:bCs/>
          <w:color w:val="auto"/>
          <w:highlight w:val="none"/>
        </w:rPr>
      </w:pPr>
      <w:bookmarkStart w:id="1204" w:name="_Toc16141"/>
      <w:r>
        <w:rPr>
          <w:rFonts w:hint="eastAsia" w:ascii="宋体" w:hAnsi="宋体" w:eastAsia="宋体" w:cs="宋体"/>
          <w:b/>
          <w:bCs/>
          <w:color w:val="auto"/>
          <w:highlight w:val="none"/>
        </w:rPr>
        <w:t>二十、其他</w:t>
      </w:r>
      <w:bookmarkEnd w:id="1204"/>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1.乙方制定的培训方案和售后服务方案详见乙方响应文件。</w:t>
      </w:r>
    </w:p>
    <w:bookmarkEnd w:id="1191"/>
    <w:bookmarkEnd w:id="1192"/>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lang w:val="en-US" w:eastAsia="zh-CN"/>
        </w:rPr>
        <w:t>2</w:t>
      </w:r>
      <w:r>
        <w:rPr>
          <w:rFonts w:hint="eastAsia" w:ascii="宋体" w:hAnsi="宋体" w:eastAsia="宋体" w:cs="宋体"/>
          <w:snapToGrid w:val="0"/>
          <w:color w:val="auto"/>
          <w:highlight w:val="none"/>
        </w:rPr>
        <w:t>.本合同自乙方缴纳履约保证金后，且合同经双方法定代表人或授权委托代理人签字并加盖章后生效。</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lang w:val="en-US" w:eastAsia="zh-CN"/>
        </w:rPr>
        <w:t>3</w:t>
      </w:r>
      <w:r>
        <w:rPr>
          <w:rFonts w:hint="eastAsia" w:ascii="宋体" w:hAnsi="宋体" w:eastAsia="宋体" w:cs="宋体"/>
          <w:snapToGrid w:val="0"/>
          <w:color w:val="auto"/>
          <w:highlight w:val="none"/>
        </w:rPr>
        <w:t>.本合同一式陆份，</w:t>
      </w:r>
      <w:r>
        <w:rPr>
          <w:rFonts w:hint="eastAsia" w:ascii="宋体" w:hAnsi="宋体" w:eastAsia="宋体" w:cs="宋体"/>
          <w:snapToGrid w:val="0"/>
          <w:color w:val="auto"/>
          <w:highlight w:val="none"/>
          <w:lang w:val="en-US" w:eastAsia="zh-CN"/>
        </w:rPr>
        <w:t>其中</w:t>
      </w:r>
      <w:r>
        <w:rPr>
          <w:rFonts w:hint="eastAsia" w:ascii="宋体" w:hAnsi="宋体" w:eastAsia="宋体" w:cs="宋体"/>
          <w:snapToGrid w:val="0"/>
          <w:color w:val="auto"/>
          <w:highlight w:val="none"/>
        </w:rPr>
        <w:t>甲方伍份，乙方壹份</w:t>
      </w:r>
      <w:r>
        <w:rPr>
          <w:rFonts w:hint="eastAsia" w:cs="宋体"/>
          <w:snapToGrid w:val="0"/>
          <w:color w:val="auto"/>
          <w:highlight w:val="none"/>
          <w:lang w:eastAsia="zh-CN"/>
        </w:rPr>
        <w:t>，</w:t>
      </w:r>
      <w:r>
        <w:rPr>
          <w:rFonts w:hint="eastAsia" w:cs="宋体"/>
          <w:snapToGrid w:val="0"/>
          <w:color w:val="auto"/>
          <w:highlight w:val="none"/>
          <w:lang w:val="en-US" w:eastAsia="zh-CN"/>
        </w:rPr>
        <w:t>均</w:t>
      </w:r>
      <w:r>
        <w:rPr>
          <w:rFonts w:hint="eastAsia" w:ascii="宋体" w:hAnsi="宋体" w:eastAsia="宋体" w:cs="宋体"/>
          <w:snapToGrid w:val="0"/>
          <w:color w:val="auto"/>
          <w:highlight w:val="none"/>
        </w:rPr>
        <w:t>具有同等法律效力。</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lang w:val="en-US" w:eastAsia="zh-CN"/>
        </w:rPr>
        <w:t>4</w:t>
      </w:r>
      <w:r>
        <w:rPr>
          <w:rFonts w:hint="eastAsia" w:ascii="宋体" w:hAnsi="宋体" w:eastAsia="宋体" w:cs="宋体"/>
          <w:snapToGrid w:val="0"/>
          <w:color w:val="auto"/>
          <w:highlight w:val="none"/>
        </w:rPr>
        <w:t>.如本合同与甲方的招标文件、乙方的投标文件不一致时，以甲方的招标文件、乙方的投标文件为准。</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lang w:val="en-US" w:eastAsia="zh-CN"/>
        </w:rPr>
        <w:t>5</w:t>
      </w:r>
      <w:r>
        <w:rPr>
          <w:rFonts w:hint="eastAsia" w:ascii="宋体" w:hAnsi="宋体" w:eastAsia="宋体" w:cs="宋体"/>
          <w:snapToGrid w:val="0"/>
          <w:color w:val="auto"/>
          <w:highlight w:val="none"/>
        </w:rPr>
        <w:t>.如有未尽事宜，由双方依法订立书面补充合同，补充合同与本合同具有同等法律效力。</w:t>
      </w:r>
    </w:p>
    <w:p>
      <w:pPr>
        <w:wordWrap w:val="0"/>
        <w:ind w:firstLine="480" w:firstLineChars="20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lang w:val="en-US" w:eastAsia="zh-CN"/>
        </w:rPr>
        <w:t>6</w:t>
      </w:r>
      <w:r>
        <w:rPr>
          <w:rFonts w:hint="eastAsia" w:ascii="宋体" w:hAnsi="宋体" w:eastAsia="宋体" w:cs="宋体"/>
          <w:snapToGrid w:val="0"/>
          <w:color w:val="auto"/>
          <w:highlight w:val="none"/>
        </w:rPr>
        <w:t>.本合同应按照中华人民共和国的现行法律进行解释。</w:t>
      </w:r>
    </w:p>
    <w:p>
      <w:pPr>
        <w:rPr>
          <w:rFonts w:hint="eastAsia" w:ascii="宋体" w:hAnsi="宋体" w:eastAsia="宋体" w:cs="宋体"/>
          <w:color w:val="auto"/>
          <w:highlight w:val="none"/>
        </w:rPr>
      </w:pPr>
      <w:r>
        <w:rPr>
          <w:rFonts w:hint="eastAsia" w:ascii="宋体" w:hAnsi="宋体" w:eastAsia="宋体" w:cs="宋体"/>
          <w:color w:val="auto"/>
          <w:highlight w:val="none"/>
        </w:rPr>
        <w:t>(本页无正文)</w:t>
      </w:r>
    </w:p>
    <w:p>
      <w:pPr>
        <w:adjustRightInd/>
        <w:snapToGrid/>
        <w:jc w:val="both"/>
        <w:rPr>
          <w:rFonts w:hint="eastAsia" w:ascii="宋体" w:hAnsi="宋体" w:eastAsia="宋体" w:cs="宋体"/>
          <w:b/>
          <w:bCs/>
          <w:color w:val="auto"/>
          <w:highlight w:val="none"/>
        </w:rPr>
      </w:pPr>
    </w:p>
    <w:tbl>
      <w:tblPr>
        <w:tblStyle w:val="23"/>
        <w:tblW w:w="9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80"/>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甲方：成都市技师学院 (盖章)</w:t>
            </w:r>
          </w:p>
        </w:tc>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法定代表人(授权代表)：</w:t>
            </w:r>
          </w:p>
        </w:tc>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jc w:val="center"/>
        </w:trPr>
        <w:tc>
          <w:tcPr>
            <w:tcW w:w="4680" w:type="dxa"/>
            <w:vAlign w:val="center"/>
          </w:tcPr>
          <w:p>
            <w:pPr>
              <w:wordWrap w:val="0"/>
              <w:jc w:val="both"/>
              <w:rPr>
                <w:rFonts w:hint="eastAsia" w:ascii="宋体" w:hAnsi="宋体" w:eastAsia="宋体" w:cs="宋体"/>
                <w:color w:val="auto"/>
                <w:highlight w:val="none"/>
              </w:rPr>
            </w:pPr>
            <w:r>
              <w:rPr>
                <w:rFonts w:hint="eastAsia" w:ascii="宋体" w:hAnsi="宋体" w:eastAsia="宋体" w:cs="宋体"/>
                <w:color w:val="auto"/>
                <w:highlight w:val="none"/>
              </w:rPr>
              <w:t>地址(住所)：成都市郫都区红光镇广场路北三段188号</w:t>
            </w:r>
          </w:p>
        </w:tc>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地址(住所)：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开户银行：工行成都红光支行</w:t>
            </w:r>
          </w:p>
        </w:tc>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账号：4402054609100031151</w:t>
            </w:r>
          </w:p>
        </w:tc>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电话：</w:t>
            </w:r>
          </w:p>
        </w:tc>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传真：</w:t>
            </w:r>
          </w:p>
        </w:tc>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邮箱：</w:t>
            </w:r>
          </w:p>
        </w:tc>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签约日期：XX年XX月XX日</w:t>
            </w:r>
          </w:p>
        </w:tc>
        <w:tc>
          <w:tcPr>
            <w:tcW w:w="4680" w:type="dxa"/>
            <w:vAlign w:val="center"/>
          </w:tcPr>
          <w:p>
            <w:pPr>
              <w:pStyle w:val="30"/>
              <w:rPr>
                <w:rFonts w:hint="eastAsia" w:ascii="宋体" w:hAnsi="宋体" w:eastAsia="宋体" w:cs="宋体"/>
                <w:color w:val="auto"/>
                <w:highlight w:val="none"/>
              </w:rPr>
            </w:pPr>
            <w:r>
              <w:rPr>
                <w:rFonts w:hint="eastAsia" w:ascii="宋体" w:hAnsi="宋体" w:eastAsia="宋体" w:cs="宋体"/>
                <w:color w:val="auto"/>
                <w:highlight w:val="none"/>
              </w:rPr>
              <w:t>签约日期：XX年XX月XX日</w:t>
            </w:r>
          </w:p>
        </w:tc>
      </w:tr>
    </w:tbl>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pStyle w:val="30"/>
        <w:rPr>
          <w:rFonts w:hint="eastAsia" w:ascii="宋体" w:hAnsi="宋体" w:eastAsia="宋体" w:cs="宋体"/>
          <w:color w:val="auto"/>
          <w:highlight w:val="none"/>
        </w:rPr>
      </w:pPr>
    </w:p>
    <w:p>
      <w:pPr>
        <w:rPr>
          <w:rFonts w:hint="eastAsia" w:ascii="宋体" w:hAnsi="宋体" w:eastAsia="宋体" w:cs="宋体"/>
          <w:color w:val="auto"/>
          <w:highlight w:val="none"/>
        </w:rPr>
      </w:pPr>
      <w:bookmarkStart w:id="1205" w:name="_Toc28848"/>
      <w:r>
        <w:rPr>
          <w:rFonts w:hint="eastAsia" w:ascii="宋体" w:hAnsi="宋体" w:eastAsia="宋体" w:cs="宋体"/>
          <w:color w:val="auto"/>
          <w:highlight w:val="none"/>
        </w:rPr>
        <w:br w:type="page"/>
      </w:r>
    </w:p>
    <w:p>
      <w:pPr>
        <w:pStyle w:val="29"/>
        <w:numPr>
          <w:ilvl w:val="0"/>
          <w:numId w:val="9"/>
        </w:numPr>
        <w:spacing w:before="120" w:after="120"/>
        <w:rPr>
          <w:rFonts w:hint="eastAsia" w:ascii="宋体" w:hAnsi="宋体" w:eastAsia="宋体" w:cs="宋体"/>
          <w:color w:val="auto"/>
          <w:highlight w:val="none"/>
        </w:rPr>
      </w:pPr>
      <w:bookmarkStart w:id="1206" w:name="_Toc19481"/>
      <w:r>
        <w:rPr>
          <w:rFonts w:hint="eastAsia" w:ascii="宋体" w:hAnsi="宋体" w:eastAsia="宋体" w:cs="宋体"/>
          <w:color w:val="auto"/>
          <w:highlight w:val="none"/>
        </w:rPr>
        <w:t>附件</w:t>
      </w:r>
      <w:bookmarkEnd w:id="1205"/>
      <w:bookmarkEnd w:id="1206"/>
    </w:p>
    <w:p>
      <w:pPr>
        <w:pStyle w:val="30"/>
        <w:jc w:val="both"/>
        <w:rPr>
          <w:rFonts w:hint="eastAsia" w:ascii="宋体" w:hAnsi="宋体" w:eastAsia="宋体" w:cs="宋体"/>
          <w:b/>
          <w:bCs/>
          <w:color w:val="auto"/>
          <w:sz w:val="36"/>
          <w:szCs w:val="36"/>
          <w:highlight w:val="none"/>
        </w:rPr>
      </w:pPr>
      <w:r>
        <w:rPr>
          <w:rFonts w:hint="eastAsia" w:ascii="宋体" w:hAnsi="宋体" w:eastAsia="宋体" w:cs="宋体"/>
          <w:b/>
          <w:bCs/>
          <w:color w:val="auto"/>
          <w:highlight w:val="none"/>
        </w:rPr>
        <w:t>附件一：《2021年度信用评价服务效果调查表(供应商)》</w:t>
      </w:r>
    </w:p>
    <w:p>
      <w:pPr>
        <w:pStyle w:val="3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2021年度信用评价服务效果调查表(供应商)</w:t>
      </w:r>
    </w:p>
    <w:p>
      <w:pPr>
        <w:pStyle w:val="30"/>
        <w:rPr>
          <w:rFonts w:hint="eastAsia" w:ascii="宋体" w:hAnsi="宋体" w:eastAsia="宋体" w:cs="宋体"/>
          <w:color w:val="auto"/>
          <w:highlight w:val="none"/>
          <w:u w:val="single"/>
        </w:rPr>
      </w:pPr>
      <w:r>
        <w:rPr>
          <w:rFonts w:hint="eastAsia" w:ascii="宋体" w:hAnsi="宋体" w:eastAsia="宋体" w:cs="宋体"/>
          <w:color w:val="auto"/>
          <w:highlight w:val="none"/>
        </w:rPr>
        <w:t>项目名称：</w:t>
      </w:r>
      <w:r>
        <w:rPr>
          <w:rFonts w:hint="eastAsia" w:ascii="宋体" w:hAnsi="宋体" w:eastAsia="宋体" w:cs="宋体"/>
          <w:color w:val="auto"/>
          <w:highlight w:val="none"/>
          <w:u w:val="single"/>
        </w:rPr>
        <w:t xml:space="preserve">                               </w:t>
      </w:r>
    </w:p>
    <w:p>
      <w:pPr>
        <w:pStyle w:val="30"/>
        <w:rPr>
          <w:rFonts w:hint="eastAsia" w:ascii="宋体" w:hAnsi="宋体" w:eastAsia="宋体" w:cs="宋体"/>
          <w:color w:val="auto"/>
          <w:highlight w:val="none"/>
          <w:u w:val="singl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xml:space="preserve">                               </w:t>
      </w:r>
    </w:p>
    <w:p>
      <w:pPr>
        <w:pStyle w:val="30"/>
        <w:rPr>
          <w:rFonts w:hint="eastAsia" w:ascii="宋体" w:hAnsi="宋体" w:eastAsia="宋体" w:cs="宋体"/>
          <w:color w:val="auto"/>
          <w:highlight w:val="none"/>
        </w:rPr>
      </w:pPr>
      <w:r>
        <w:rPr>
          <w:rFonts w:hint="eastAsia" w:ascii="宋体" w:hAnsi="宋体" w:eastAsia="宋体" w:cs="宋体"/>
          <w:color w:val="auto"/>
          <w:highlight w:val="none"/>
        </w:rPr>
        <w:t>被评价代理机构名称：四川乾新招投标代理有限公司</w:t>
      </w:r>
    </w:p>
    <w:tbl>
      <w:tblPr>
        <w:tblStyle w:val="22"/>
        <w:tblW w:w="9770" w:type="dxa"/>
        <w:tblInd w:w="0" w:type="dxa"/>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满意 </w:t>
            </w:r>
          </w:p>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基本满意 </w:t>
            </w:r>
          </w:p>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一般 </w:t>
            </w:r>
          </w:p>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不满意</w:t>
            </w:r>
          </w:p>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(0分)</w:t>
            </w: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r>
              <w:rPr>
                <w:rFonts w:hint="eastAsia" w:ascii="宋体" w:hAnsi="宋体" w:eastAsia="宋体" w:cs="宋体"/>
                <w:b/>
                <w:bCs/>
                <w:color w:val="auto"/>
                <w:highlight w:val="none"/>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5"/>
              <w:rPr>
                <w:rFonts w:hint="eastAsia" w:ascii="宋体" w:hAnsi="宋体" w:eastAsia="宋体" w:cs="宋体"/>
                <w:b/>
                <w:bCs/>
                <w:color w:val="auto"/>
                <w:highlight w:val="none"/>
              </w:rPr>
            </w:pPr>
          </w:p>
        </w:tc>
      </w:tr>
      <w:tr>
        <w:tblPrEx>
          <w:tblCellMar>
            <w:top w:w="15" w:type="dxa"/>
            <w:left w:w="15" w:type="dxa"/>
            <w:bottom w:w="15" w:type="dxa"/>
            <w:right w:w="15" w:type="dxa"/>
          </w:tblCellMar>
        </w:tblPrEx>
        <w:trPr>
          <w:trHeight w:val="4874"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2"/>
              <w:rPr>
                <w:rFonts w:hint="eastAsia" w:ascii="宋体" w:hAnsi="宋体" w:eastAsia="宋体" w:cs="宋体"/>
                <w:b/>
                <w:bCs/>
                <w:color w:val="auto"/>
                <w:highlight w:val="none"/>
              </w:rPr>
            </w:pPr>
            <w:r>
              <w:rPr>
                <w:rFonts w:hint="eastAsia" w:ascii="宋体" w:hAnsi="宋体" w:eastAsia="宋体" w:cs="宋体"/>
                <w:b/>
                <w:bCs/>
                <w:color w:val="auto"/>
                <w:highlight w:val="none"/>
              </w:rPr>
              <w:t>对代理机构工作的其他建议：</w:t>
            </w:r>
          </w:p>
          <w:p>
            <w:pPr>
              <w:pStyle w:val="52"/>
              <w:rPr>
                <w:rFonts w:hint="eastAsia" w:ascii="宋体" w:hAnsi="宋体" w:eastAsia="宋体" w:cs="宋体"/>
                <w:b/>
                <w:bCs/>
                <w:color w:val="auto"/>
                <w:highlight w:val="none"/>
              </w:rPr>
            </w:pPr>
          </w:p>
          <w:p>
            <w:pPr>
              <w:pStyle w:val="52"/>
              <w:rPr>
                <w:rFonts w:hint="eastAsia" w:ascii="宋体" w:hAnsi="宋体" w:eastAsia="宋体" w:cs="宋体"/>
                <w:b/>
                <w:bCs/>
                <w:color w:val="auto"/>
                <w:highlight w:val="none"/>
              </w:rPr>
            </w:pPr>
          </w:p>
          <w:p>
            <w:pPr>
              <w:pStyle w:val="52"/>
              <w:rPr>
                <w:rFonts w:hint="eastAsia" w:ascii="宋体" w:hAnsi="宋体" w:eastAsia="宋体" w:cs="宋体"/>
                <w:b/>
                <w:bCs/>
                <w:color w:val="auto"/>
                <w:highlight w:val="none"/>
              </w:rPr>
            </w:pPr>
          </w:p>
          <w:p>
            <w:pPr>
              <w:pStyle w:val="52"/>
              <w:rPr>
                <w:rFonts w:hint="eastAsia" w:ascii="宋体" w:hAnsi="宋体" w:eastAsia="宋体" w:cs="宋体"/>
                <w:b/>
                <w:bCs/>
                <w:color w:val="auto"/>
                <w:highlight w:val="none"/>
              </w:rPr>
            </w:pPr>
          </w:p>
          <w:p>
            <w:pPr>
              <w:pStyle w:val="52"/>
              <w:rPr>
                <w:rFonts w:hint="eastAsia" w:ascii="宋体" w:hAnsi="宋体" w:eastAsia="宋体" w:cs="宋体"/>
                <w:b/>
                <w:bCs/>
                <w:color w:val="auto"/>
                <w:highlight w:val="none"/>
              </w:rPr>
            </w:pPr>
          </w:p>
          <w:p>
            <w:pPr>
              <w:pStyle w:val="52"/>
              <w:rPr>
                <w:rFonts w:hint="eastAsia" w:ascii="宋体" w:hAnsi="宋体" w:eastAsia="宋体" w:cs="宋体"/>
                <w:b/>
                <w:bCs/>
                <w:color w:val="auto"/>
                <w:highlight w:val="none"/>
              </w:rPr>
            </w:pPr>
          </w:p>
          <w:p>
            <w:pPr>
              <w:pStyle w:val="52"/>
              <w:rPr>
                <w:rFonts w:hint="eastAsia" w:ascii="宋体" w:hAnsi="宋体" w:eastAsia="宋体" w:cs="宋体"/>
                <w:b/>
                <w:bCs/>
                <w:color w:val="auto"/>
                <w:highlight w:val="none"/>
              </w:rPr>
            </w:pPr>
          </w:p>
          <w:p>
            <w:pPr>
              <w:pStyle w:val="52"/>
              <w:rPr>
                <w:rFonts w:hint="eastAsia" w:ascii="宋体" w:hAnsi="宋体" w:eastAsia="宋体" w:cs="宋体"/>
                <w:b/>
                <w:bCs/>
                <w:color w:val="auto"/>
                <w:highlight w:val="none"/>
              </w:rPr>
            </w:pPr>
          </w:p>
          <w:p>
            <w:pPr>
              <w:pStyle w:val="52"/>
              <w:rPr>
                <w:rFonts w:hint="eastAsia" w:ascii="宋体" w:hAnsi="宋体" w:eastAsia="宋体" w:cs="宋体"/>
                <w:b/>
                <w:bCs/>
                <w:color w:val="auto"/>
                <w:highlight w:val="none"/>
              </w:rPr>
            </w:pPr>
          </w:p>
          <w:p>
            <w:pPr>
              <w:pStyle w:val="52"/>
              <w:rPr>
                <w:rFonts w:hint="eastAsia" w:ascii="宋体" w:hAnsi="宋体" w:eastAsia="宋体" w:cs="宋体"/>
                <w:b/>
                <w:bCs/>
                <w:color w:val="auto"/>
                <w:highlight w:val="none"/>
              </w:rPr>
            </w:pPr>
          </w:p>
          <w:p>
            <w:pPr>
              <w:pStyle w:val="52"/>
              <w:rPr>
                <w:rFonts w:hint="eastAsia" w:ascii="宋体" w:hAnsi="宋体" w:eastAsia="宋体" w:cs="宋体"/>
                <w:b/>
                <w:bCs/>
                <w:color w:val="auto"/>
                <w:highlight w:val="none"/>
              </w:rPr>
            </w:pPr>
          </w:p>
          <w:p>
            <w:pPr>
              <w:pStyle w:val="52"/>
              <w:ind w:firstLine="4849" w:firstLineChars="2300"/>
              <w:rPr>
                <w:rFonts w:hint="eastAsia" w:ascii="宋体" w:hAnsi="宋体" w:eastAsia="宋体" w:cs="宋体"/>
                <w:b/>
                <w:bCs/>
                <w:color w:val="auto"/>
                <w:highlight w:val="none"/>
              </w:rPr>
            </w:pPr>
            <w:r>
              <w:rPr>
                <w:rFonts w:hint="eastAsia" w:ascii="宋体" w:hAnsi="宋体" w:eastAsia="宋体" w:cs="宋体"/>
                <w:b/>
                <w:bCs/>
                <w:color w:val="auto"/>
                <w:highlight w:val="none"/>
              </w:rPr>
              <w:t>供应商名称：</w:t>
            </w:r>
            <w:r>
              <w:rPr>
                <w:rFonts w:hint="eastAsia" w:ascii="宋体" w:hAnsi="宋体" w:eastAsia="宋体" w:cs="宋体"/>
                <w:b/>
                <w:bCs/>
                <w:color w:val="auto"/>
                <w:highlight w:val="none"/>
                <w:u w:val="single"/>
              </w:rPr>
              <w:t xml:space="preserve">                     </w:t>
            </w:r>
            <w:r>
              <w:rPr>
                <w:rFonts w:hint="eastAsia" w:ascii="宋体" w:hAnsi="宋体" w:eastAsia="宋体" w:cs="宋体"/>
                <w:b/>
                <w:bCs/>
                <w:color w:val="auto"/>
                <w:highlight w:val="none"/>
              </w:rPr>
              <w:t>(加盖鲜章)</w:t>
            </w:r>
          </w:p>
        </w:tc>
      </w:tr>
    </w:tbl>
    <w:p>
      <w:pPr>
        <w:pStyle w:val="56"/>
        <w:ind w:firstLine="482"/>
        <w:rPr>
          <w:rFonts w:hint="eastAsia" w:ascii="宋体" w:hAnsi="宋体" w:eastAsia="宋体" w:cs="宋体"/>
          <w:color w:val="auto"/>
          <w:highlight w:val="none"/>
        </w:rPr>
      </w:pPr>
      <w:r>
        <w:rPr>
          <w:rFonts w:hint="eastAsia" w:ascii="宋体" w:hAnsi="宋体" w:eastAsia="宋体" w:cs="宋体"/>
          <w:color w:val="auto"/>
          <w:highlight w:val="none"/>
        </w:rPr>
        <w:t>说明：请贵公司根据政府采购代理机构2021年度政府采购项目的实际情况，在“满意”、“基本满意”、“一般”、“不满意”四个评价档次栏中选取一栏打“√”，并加盖鲜章。</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0"/>
        <w:jc w:val="both"/>
        <w:rPr>
          <w:rFonts w:hint="eastAsia" w:ascii="宋体" w:hAnsi="宋体" w:eastAsia="宋体" w:cs="宋体"/>
          <w:b/>
          <w:bCs/>
          <w:color w:val="auto"/>
          <w:highlight w:val="none"/>
        </w:rPr>
      </w:pPr>
      <w:r>
        <w:rPr>
          <w:rFonts w:hint="eastAsia" w:ascii="宋体" w:hAnsi="宋体" w:eastAsia="宋体" w:cs="宋体"/>
          <w:b/>
          <w:bCs/>
          <w:color w:val="auto"/>
          <w:highlight w:val="none"/>
        </w:rPr>
        <w:t>附件二</w:t>
      </w:r>
    </w:p>
    <w:p>
      <w:pPr>
        <w:widowControl/>
        <w:spacing w:line="330" w:lineRule="atLeast"/>
        <w:jc w:val="center"/>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统计上大中小微型企业划分标准</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vAlign w:val="center"/>
          </w:tcPr>
          <w:p>
            <w:pPr>
              <w:widowControl/>
              <w:spacing w:line="240" w:lineRule="atLeast"/>
              <w:jc w:val="center"/>
              <w:rPr>
                <w:rFonts w:hint="eastAsia" w:ascii="宋体" w:hAnsi="宋体" w:eastAsia="宋体" w:cs="宋体"/>
                <w:b/>
                <w:bCs/>
                <w:color w:val="auto"/>
                <w:kern w:val="0"/>
                <w:sz w:val="15"/>
                <w:szCs w:val="15"/>
                <w:highlight w:val="none"/>
              </w:rPr>
            </w:pPr>
            <w:r>
              <w:rPr>
                <w:rFonts w:hint="eastAsia" w:ascii="宋体" w:hAnsi="宋体" w:eastAsia="宋体" w:cs="宋体"/>
                <w:b/>
                <w:bCs/>
                <w:color w:val="auto"/>
                <w:kern w:val="0"/>
                <w:sz w:val="15"/>
                <w:szCs w:val="15"/>
                <w:highlight w:val="none"/>
              </w:rPr>
              <w:t>行业名称</w:t>
            </w:r>
          </w:p>
        </w:tc>
        <w:tc>
          <w:tcPr>
            <w:tcW w:w="725" w:type="pct"/>
            <w:vAlign w:val="center"/>
          </w:tcPr>
          <w:p>
            <w:pPr>
              <w:widowControl/>
              <w:spacing w:line="240" w:lineRule="atLeast"/>
              <w:jc w:val="center"/>
              <w:rPr>
                <w:rFonts w:hint="eastAsia" w:ascii="宋体" w:hAnsi="宋体" w:eastAsia="宋体" w:cs="宋体"/>
                <w:b/>
                <w:bCs/>
                <w:color w:val="auto"/>
                <w:kern w:val="0"/>
                <w:sz w:val="15"/>
                <w:szCs w:val="15"/>
                <w:highlight w:val="none"/>
              </w:rPr>
            </w:pPr>
            <w:r>
              <w:rPr>
                <w:rFonts w:hint="eastAsia" w:ascii="宋体" w:hAnsi="宋体" w:eastAsia="宋体" w:cs="宋体"/>
                <w:b/>
                <w:bCs/>
                <w:color w:val="auto"/>
                <w:kern w:val="0"/>
                <w:sz w:val="15"/>
                <w:szCs w:val="15"/>
                <w:highlight w:val="none"/>
              </w:rPr>
              <w:t>指标名称</w:t>
            </w:r>
          </w:p>
        </w:tc>
        <w:tc>
          <w:tcPr>
            <w:tcW w:w="375" w:type="pct"/>
            <w:vAlign w:val="center"/>
          </w:tcPr>
          <w:p>
            <w:pPr>
              <w:widowControl/>
              <w:spacing w:line="240" w:lineRule="atLeast"/>
              <w:jc w:val="center"/>
              <w:rPr>
                <w:rFonts w:hint="eastAsia" w:ascii="宋体" w:hAnsi="宋体" w:eastAsia="宋体" w:cs="宋体"/>
                <w:b/>
                <w:bCs/>
                <w:color w:val="auto"/>
                <w:kern w:val="0"/>
                <w:sz w:val="15"/>
                <w:szCs w:val="15"/>
                <w:highlight w:val="none"/>
              </w:rPr>
            </w:pPr>
            <w:r>
              <w:rPr>
                <w:rFonts w:hint="eastAsia" w:ascii="宋体" w:hAnsi="宋体" w:eastAsia="宋体" w:cs="宋体"/>
                <w:b/>
                <w:bCs/>
                <w:color w:val="auto"/>
                <w:kern w:val="0"/>
                <w:sz w:val="15"/>
                <w:szCs w:val="15"/>
                <w:highlight w:val="none"/>
              </w:rPr>
              <w:t>计量</w:t>
            </w:r>
            <w:r>
              <w:rPr>
                <w:rFonts w:hint="eastAsia" w:ascii="宋体" w:hAnsi="宋体" w:eastAsia="宋体" w:cs="宋体"/>
                <w:b/>
                <w:bCs/>
                <w:color w:val="auto"/>
                <w:kern w:val="0"/>
                <w:sz w:val="15"/>
                <w:szCs w:val="15"/>
                <w:highlight w:val="none"/>
              </w:rPr>
              <w:br w:type="textWrapping"/>
            </w:r>
            <w:r>
              <w:rPr>
                <w:rFonts w:hint="eastAsia" w:ascii="宋体" w:hAnsi="宋体" w:eastAsia="宋体" w:cs="宋体"/>
                <w:b/>
                <w:bCs/>
                <w:color w:val="auto"/>
                <w:kern w:val="0"/>
                <w:sz w:val="15"/>
                <w:szCs w:val="15"/>
                <w:highlight w:val="none"/>
              </w:rPr>
              <w:t>单位</w:t>
            </w:r>
          </w:p>
        </w:tc>
        <w:tc>
          <w:tcPr>
            <w:tcW w:w="595" w:type="pct"/>
            <w:vAlign w:val="center"/>
          </w:tcPr>
          <w:p>
            <w:pPr>
              <w:widowControl/>
              <w:spacing w:line="240" w:lineRule="atLeast"/>
              <w:jc w:val="center"/>
              <w:rPr>
                <w:rFonts w:hint="eastAsia" w:ascii="宋体" w:hAnsi="宋体" w:eastAsia="宋体" w:cs="宋体"/>
                <w:b/>
                <w:bCs/>
                <w:color w:val="auto"/>
                <w:kern w:val="0"/>
                <w:sz w:val="15"/>
                <w:szCs w:val="15"/>
                <w:highlight w:val="none"/>
              </w:rPr>
            </w:pPr>
            <w:r>
              <w:rPr>
                <w:rFonts w:hint="eastAsia" w:ascii="宋体" w:hAnsi="宋体" w:eastAsia="宋体" w:cs="宋体"/>
                <w:b/>
                <w:bCs/>
                <w:color w:val="auto"/>
                <w:kern w:val="0"/>
                <w:sz w:val="15"/>
                <w:szCs w:val="15"/>
                <w:highlight w:val="none"/>
              </w:rPr>
              <w:t>大型</w:t>
            </w:r>
          </w:p>
        </w:tc>
        <w:tc>
          <w:tcPr>
            <w:tcW w:w="901" w:type="pct"/>
            <w:vAlign w:val="center"/>
          </w:tcPr>
          <w:p>
            <w:pPr>
              <w:widowControl/>
              <w:spacing w:line="240" w:lineRule="atLeast"/>
              <w:jc w:val="center"/>
              <w:rPr>
                <w:rFonts w:hint="eastAsia" w:ascii="宋体" w:hAnsi="宋体" w:eastAsia="宋体" w:cs="宋体"/>
                <w:b/>
                <w:bCs/>
                <w:color w:val="auto"/>
                <w:kern w:val="0"/>
                <w:sz w:val="15"/>
                <w:szCs w:val="15"/>
                <w:highlight w:val="none"/>
              </w:rPr>
            </w:pPr>
            <w:r>
              <w:rPr>
                <w:rFonts w:hint="eastAsia" w:ascii="宋体" w:hAnsi="宋体" w:eastAsia="宋体" w:cs="宋体"/>
                <w:b/>
                <w:bCs/>
                <w:color w:val="auto"/>
                <w:kern w:val="0"/>
                <w:sz w:val="15"/>
                <w:szCs w:val="15"/>
                <w:highlight w:val="none"/>
              </w:rPr>
              <w:t>中型</w:t>
            </w:r>
          </w:p>
        </w:tc>
        <w:tc>
          <w:tcPr>
            <w:tcW w:w="755" w:type="pct"/>
            <w:vAlign w:val="center"/>
          </w:tcPr>
          <w:p>
            <w:pPr>
              <w:widowControl/>
              <w:spacing w:line="240" w:lineRule="atLeast"/>
              <w:jc w:val="center"/>
              <w:rPr>
                <w:rFonts w:hint="eastAsia" w:ascii="宋体" w:hAnsi="宋体" w:eastAsia="宋体" w:cs="宋体"/>
                <w:b/>
                <w:bCs/>
                <w:color w:val="auto"/>
                <w:kern w:val="0"/>
                <w:sz w:val="15"/>
                <w:szCs w:val="15"/>
                <w:highlight w:val="none"/>
              </w:rPr>
            </w:pPr>
            <w:r>
              <w:rPr>
                <w:rFonts w:hint="eastAsia" w:ascii="宋体" w:hAnsi="宋体" w:eastAsia="宋体" w:cs="宋体"/>
                <w:b/>
                <w:bCs/>
                <w:color w:val="auto"/>
                <w:kern w:val="0"/>
                <w:sz w:val="15"/>
                <w:szCs w:val="15"/>
                <w:highlight w:val="none"/>
              </w:rPr>
              <w:t>小型</w:t>
            </w:r>
          </w:p>
        </w:tc>
        <w:tc>
          <w:tcPr>
            <w:tcW w:w="525" w:type="pct"/>
            <w:vAlign w:val="center"/>
          </w:tcPr>
          <w:p>
            <w:pPr>
              <w:widowControl/>
              <w:spacing w:line="240" w:lineRule="atLeast"/>
              <w:jc w:val="center"/>
              <w:rPr>
                <w:rFonts w:hint="eastAsia" w:ascii="宋体" w:hAnsi="宋体" w:eastAsia="宋体" w:cs="宋体"/>
                <w:b/>
                <w:bCs/>
                <w:color w:val="auto"/>
                <w:kern w:val="0"/>
                <w:sz w:val="15"/>
                <w:szCs w:val="15"/>
                <w:highlight w:val="none"/>
              </w:rPr>
            </w:pPr>
            <w:r>
              <w:rPr>
                <w:rFonts w:hint="eastAsia" w:ascii="宋体" w:hAnsi="宋体" w:eastAsia="宋体" w:cs="宋体"/>
                <w:b/>
                <w:bCs/>
                <w:color w:val="auto"/>
                <w:kern w:val="0"/>
                <w:sz w:val="15"/>
                <w:szCs w:val="15"/>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Align w:val="center"/>
          </w:tcPr>
          <w:p>
            <w:pPr>
              <w:widowControl/>
              <w:spacing w:line="240" w:lineRule="atLeast"/>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农、林、牧、渔业</w:t>
            </w: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Y≥20000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500≤Y＜20000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50≤Y＜500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工业 *</w:t>
            </w: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300≤X＜1000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20≤X＜300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hint="eastAsia" w:ascii="宋体" w:hAnsi="宋体" w:eastAsia="宋体" w:cs="宋体"/>
                <w:color w:val="auto"/>
                <w:kern w:val="0"/>
                <w:sz w:val="15"/>
                <w:szCs w:val="15"/>
                <w:highlight w:val="none"/>
              </w:rPr>
            </w:pP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Y≥40000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2000≤Y＜40000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300≤Y＜2000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建筑业</w:t>
            </w: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Y≥80000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6000≤Y＜80000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300≤Y＜6000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hint="eastAsia" w:ascii="宋体" w:hAnsi="宋体" w:eastAsia="宋体" w:cs="宋体"/>
                <w:color w:val="auto"/>
                <w:kern w:val="0"/>
                <w:sz w:val="15"/>
                <w:szCs w:val="15"/>
                <w:highlight w:val="none"/>
              </w:rPr>
            </w:pP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资产总额(Z)</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Z≥80000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5000≤Z＜80000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300≤Z＜5000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批发业</w:t>
            </w: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X≥200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20≤X＜200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5≤X＜20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hint="eastAsia" w:ascii="宋体" w:hAnsi="宋体" w:eastAsia="宋体" w:cs="宋体"/>
                <w:color w:val="auto"/>
                <w:kern w:val="0"/>
                <w:sz w:val="15"/>
                <w:szCs w:val="15"/>
                <w:highlight w:val="none"/>
              </w:rPr>
            </w:pP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Y≥40000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5000≤Y＜40000</w:t>
            </w:r>
          </w:p>
        </w:tc>
        <w:tc>
          <w:tcPr>
            <w:tcW w:w="755" w:type="pct"/>
            <w:vAlign w:val="center"/>
          </w:tcPr>
          <w:p>
            <w:pPr>
              <w:widowControl/>
              <w:spacing w:line="240" w:lineRule="atLeast"/>
              <w:ind w:left="-1" w:leftChars="-1" w:hanging="1"/>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1000≤Y＜5000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零售业</w:t>
            </w: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X≥300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50≤X＜300</w:t>
            </w:r>
          </w:p>
        </w:tc>
        <w:tc>
          <w:tcPr>
            <w:tcW w:w="755" w:type="pct"/>
            <w:vAlign w:val="center"/>
          </w:tcPr>
          <w:p>
            <w:pPr>
              <w:widowControl/>
              <w:spacing w:line="240" w:lineRule="atLeast"/>
              <w:ind w:left="-1" w:leftChars="-1" w:hanging="1"/>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10≤X＜50 </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hint="eastAsia" w:ascii="宋体" w:hAnsi="宋体" w:eastAsia="宋体" w:cs="宋体"/>
                <w:color w:val="auto"/>
                <w:kern w:val="0"/>
                <w:sz w:val="15"/>
                <w:szCs w:val="15"/>
                <w:highlight w:val="none"/>
              </w:rPr>
            </w:pP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Y≥20000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500≤Y＜20000</w:t>
            </w:r>
          </w:p>
        </w:tc>
        <w:tc>
          <w:tcPr>
            <w:tcW w:w="755" w:type="pct"/>
            <w:vAlign w:val="center"/>
          </w:tcPr>
          <w:p>
            <w:pPr>
              <w:widowControl/>
              <w:spacing w:line="240" w:lineRule="atLeast"/>
              <w:ind w:left="-1" w:leftChars="-1" w:hanging="1"/>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100≤Y＜500 </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交通运输业 *</w:t>
            </w: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300≤X＜1000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20≤X＜300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hint="eastAsia" w:ascii="宋体" w:hAnsi="宋体" w:eastAsia="宋体" w:cs="宋体"/>
                <w:color w:val="auto"/>
                <w:kern w:val="0"/>
                <w:sz w:val="15"/>
                <w:szCs w:val="15"/>
                <w:highlight w:val="none"/>
              </w:rPr>
            </w:pP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Y≥30000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3000≤Y＜30000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200≤Y＜3000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仓储业*</w:t>
            </w: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X≥200</w:t>
            </w:r>
          </w:p>
        </w:tc>
        <w:tc>
          <w:tcPr>
            <w:tcW w:w="901" w:type="pct"/>
            <w:vAlign w:val="center"/>
          </w:tcPr>
          <w:p>
            <w:pPr>
              <w:widowControl/>
              <w:spacing w:line="240" w:lineRule="atLeast"/>
              <w:ind w:left="-32" w:leftChars="-51" w:hanging="90" w:hangingChars="60"/>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100≤X＜200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20≤X＜100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hint="eastAsia" w:ascii="宋体" w:hAnsi="宋体" w:eastAsia="宋体" w:cs="宋体"/>
                <w:color w:val="auto"/>
                <w:kern w:val="0"/>
                <w:sz w:val="15"/>
                <w:szCs w:val="15"/>
                <w:highlight w:val="none"/>
              </w:rPr>
            </w:pP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Y≥30000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1000≤Y＜30000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100≤Y＜1000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邮政业</w:t>
            </w: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300≤X＜1000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20≤X＜300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hint="eastAsia" w:ascii="宋体" w:hAnsi="宋体" w:eastAsia="宋体" w:cs="宋体"/>
                <w:color w:val="auto"/>
                <w:kern w:val="0"/>
                <w:sz w:val="15"/>
                <w:szCs w:val="15"/>
                <w:highlight w:val="none"/>
              </w:rPr>
            </w:pP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Y≥30000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2000≤Y＜30000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100≤Y＜2000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住宿业</w:t>
            </w: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X≥300</w:t>
            </w:r>
          </w:p>
        </w:tc>
        <w:tc>
          <w:tcPr>
            <w:tcW w:w="901" w:type="pct"/>
            <w:vAlign w:val="center"/>
          </w:tcPr>
          <w:p>
            <w:pPr>
              <w:widowControl/>
              <w:spacing w:line="240" w:lineRule="atLeast"/>
              <w:ind w:left="-32" w:leftChars="-51" w:hanging="90" w:hangingChars="60"/>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100≤X＜300 </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10≤X＜100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hint="eastAsia" w:ascii="宋体" w:hAnsi="宋体" w:eastAsia="宋体" w:cs="宋体"/>
                <w:color w:val="auto"/>
                <w:kern w:val="0"/>
                <w:sz w:val="15"/>
                <w:szCs w:val="15"/>
                <w:highlight w:val="none"/>
              </w:rPr>
            </w:pP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2000≤Y＜10000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100≤Y＜2000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餐饮业</w:t>
            </w: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X≥300</w:t>
            </w:r>
          </w:p>
        </w:tc>
        <w:tc>
          <w:tcPr>
            <w:tcW w:w="901" w:type="pct"/>
            <w:vAlign w:val="center"/>
          </w:tcPr>
          <w:p>
            <w:pPr>
              <w:widowControl/>
              <w:spacing w:line="240" w:lineRule="atLeast"/>
              <w:ind w:left="-32" w:leftChars="-51" w:hanging="90" w:hangingChars="60"/>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100≤X＜300 </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10≤X＜100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hint="eastAsia" w:ascii="宋体" w:hAnsi="宋体" w:eastAsia="宋体" w:cs="宋体"/>
                <w:color w:val="auto"/>
                <w:kern w:val="0"/>
                <w:sz w:val="15"/>
                <w:szCs w:val="15"/>
                <w:highlight w:val="none"/>
              </w:rPr>
            </w:pP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2000≤Y＜10000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100≤Y＜2000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tLeast"/>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信息传输业 *</w:t>
            </w: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X≥2000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100≤X＜2000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10≤X＜100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tLeast"/>
              <w:rPr>
                <w:rFonts w:hint="eastAsia" w:ascii="宋体" w:hAnsi="宋体" w:eastAsia="宋体" w:cs="宋体"/>
                <w:color w:val="auto"/>
                <w:kern w:val="0"/>
                <w:sz w:val="15"/>
                <w:szCs w:val="15"/>
                <w:highlight w:val="none"/>
              </w:rPr>
            </w:pP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1000≤Y＜100000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100≤Y＜1000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120" w:type="pct"/>
            <w:vMerge w:val="restart"/>
            <w:vAlign w:val="center"/>
          </w:tcPr>
          <w:p>
            <w:pPr>
              <w:widowControl/>
              <w:spacing w:line="240" w:lineRule="atLeast"/>
              <w:rPr>
                <w:rFonts w:hint="eastAsia" w:ascii="宋体" w:hAnsi="宋体" w:eastAsia="宋体" w:cs="宋体"/>
                <w:color w:val="auto"/>
                <w:spacing w:val="-12"/>
                <w:kern w:val="0"/>
                <w:sz w:val="15"/>
                <w:szCs w:val="15"/>
                <w:highlight w:val="none"/>
              </w:rPr>
            </w:pPr>
            <w:r>
              <w:rPr>
                <w:rFonts w:hint="eastAsia" w:ascii="宋体" w:hAnsi="宋体" w:eastAsia="宋体" w:cs="宋体"/>
                <w:color w:val="auto"/>
                <w:spacing w:val="-12"/>
                <w:kern w:val="0"/>
                <w:sz w:val="15"/>
                <w:szCs w:val="15"/>
                <w:highlight w:val="none"/>
              </w:rPr>
              <w:t>软件和信息技术服</w:t>
            </w:r>
            <w:r>
              <w:rPr>
                <w:rFonts w:hint="eastAsia" w:ascii="宋体" w:hAnsi="宋体" w:eastAsia="宋体" w:cs="宋体"/>
                <w:color w:val="auto"/>
                <w:kern w:val="0"/>
                <w:sz w:val="15"/>
                <w:szCs w:val="15"/>
                <w:highlight w:val="none"/>
              </w:rPr>
              <w:t>务业</w:t>
            </w: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X≥300</w:t>
            </w:r>
          </w:p>
        </w:tc>
        <w:tc>
          <w:tcPr>
            <w:tcW w:w="901" w:type="pct"/>
            <w:vAlign w:val="center"/>
          </w:tcPr>
          <w:p>
            <w:pPr>
              <w:widowControl/>
              <w:spacing w:line="240" w:lineRule="atLeast"/>
              <w:ind w:left="-32" w:leftChars="-51" w:hanging="90" w:hangingChars="60"/>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100≤X＜300 </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10≤X＜100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120" w:type="pct"/>
            <w:vMerge w:val="continue"/>
            <w:vAlign w:val="center"/>
          </w:tcPr>
          <w:p>
            <w:pPr>
              <w:widowControl/>
              <w:spacing w:line="240" w:lineRule="atLeast"/>
              <w:rPr>
                <w:rFonts w:hint="eastAsia" w:ascii="宋体" w:hAnsi="宋体" w:eastAsia="宋体" w:cs="宋体"/>
                <w:color w:val="auto"/>
                <w:spacing w:val="-12"/>
                <w:kern w:val="0"/>
                <w:sz w:val="15"/>
                <w:szCs w:val="15"/>
                <w:highlight w:val="none"/>
              </w:rPr>
            </w:pP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1000≤Y＜10000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50≤Y＜1000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1120" w:type="pct"/>
            <w:vMerge w:val="restart"/>
            <w:vAlign w:val="center"/>
          </w:tcPr>
          <w:p>
            <w:pPr>
              <w:widowControl/>
              <w:spacing w:line="240" w:lineRule="atLeast"/>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房地产开发经营</w:t>
            </w: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Y≥200000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1000≤Y＜200000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100≤Y＜1000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240" w:lineRule="atLeast"/>
              <w:rPr>
                <w:rFonts w:hint="eastAsia" w:ascii="宋体" w:hAnsi="宋体" w:eastAsia="宋体" w:cs="宋体"/>
                <w:color w:val="auto"/>
                <w:kern w:val="0"/>
                <w:sz w:val="15"/>
                <w:szCs w:val="15"/>
                <w:highlight w:val="none"/>
              </w:rPr>
            </w:pP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资产总额(Z)</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Z≥10000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5000≤Z＜10000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2000≤Z＜5000   </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20" w:type="pct"/>
            <w:vMerge w:val="restart"/>
            <w:vAlign w:val="center"/>
          </w:tcPr>
          <w:p>
            <w:pPr>
              <w:widowControl/>
              <w:spacing w:line="240" w:lineRule="atLeast"/>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物业管理</w:t>
            </w: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300≤X＜1000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100≤X＜300 </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240" w:lineRule="atLeast"/>
              <w:rPr>
                <w:rFonts w:hint="eastAsia" w:ascii="宋体" w:hAnsi="宋体" w:eastAsia="宋体" w:cs="宋体"/>
                <w:color w:val="auto"/>
                <w:kern w:val="0"/>
                <w:sz w:val="15"/>
                <w:szCs w:val="15"/>
                <w:highlight w:val="none"/>
              </w:rPr>
            </w:pP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营业收入(Y)</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Y≥5000</w:t>
            </w:r>
          </w:p>
        </w:tc>
        <w:tc>
          <w:tcPr>
            <w:tcW w:w="901" w:type="pct"/>
            <w:vAlign w:val="center"/>
          </w:tcPr>
          <w:p>
            <w:pPr>
              <w:widowControl/>
              <w:spacing w:line="240" w:lineRule="atLeast"/>
              <w:ind w:left="-32" w:leftChars="-51" w:hanging="90" w:hangingChars="60"/>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1000≤Y＜5000 </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500≤Y＜1000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1120" w:type="pct"/>
            <w:vMerge w:val="restart"/>
            <w:vAlign w:val="center"/>
          </w:tcPr>
          <w:p>
            <w:pPr>
              <w:widowControl/>
              <w:spacing w:line="240" w:lineRule="atLeast"/>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租赁和商务服务业</w:t>
            </w: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X≥300</w:t>
            </w:r>
          </w:p>
        </w:tc>
        <w:tc>
          <w:tcPr>
            <w:tcW w:w="901" w:type="pct"/>
            <w:vAlign w:val="center"/>
          </w:tcPr>
          <w:p>
            <w:pPr>
              <w:widowControl/>
              <w:spacing w:line="240" w:lineRule="atLeast"/>
              <w:ind w:left="-32" w:leftChars="-51" w:hanging="90" w:hangingChars="60"/>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100≤X＜300 </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10≤X＜100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240" w:lineRule="atLeast"/>
              <w:rPr>
                <w:rFonts w:hint="eastAsia" w:ascii="宋体" w:hAnsi="宋体" w:eastAsia="宋体" w:cs="宋体"/>
                <w:color w:val="auto"/>
                <w:kern w:val="0"/>
                <w:sz w:val="15"/>
                <w:szCs w:val="15"/>
                <w:highlight w:val="none"/>
              </w:rPr>
            </w:pP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资产总额(Z)</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万元</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Z≥120000</w:t>
            </w:r>
          </w:p>
        </w:tc>
        <w:tc>
          <w:tcPr>
            <w:tcW w:w="901"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8000≤Z＜120000</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100≤Z＜8000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Align w:val="center"/>
          </w:tcPr>
          <w:p>
            <w:pPr>
              <w:widowControl/>
              <w:spacing w:line="240" w:lineRule="atLeast"/>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其他未列明行业 *</w:t>
            </w:r>
          </w:p>
        </w:tc>
        <w:tc>
          <w:tcPr>
            <w:tcW w:w="7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从业人员(X)</w:t>
            </w:r>
          </w:p>
        </w:tc>
        <w:tc>
          <w:tcPr>
            <w:tcW w:w="37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人</w:t>
            </w:r>
          </w:p>
        </w:tc>
        <w:tc>
          <w:tcPr>
            <w:tcW w:w="59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X≥300</w:t>
            </w:r>
          </w:p>
        </w:tc>
        <w:tc>
          <w:tcPr>
            <w:tcW w:w="901" w:type="pct"/>
            <w:vAlign w:val="center"/>
          </w:tcPr>
          <w:p>
            <w:pPr>
              <w:widowControl/>
              <w:spacing w:line="240" w:lineRule="atLeast"/>
              <w:ind w:left="-32" w:leftChars="-51" w:hanging="90" w:hangingChars="60"/>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100≤X＜300 </w:t>
            </w:r>
          </w:p>
        </w:tc>
        <w:tc>
          <w:tcPr>
            <w:tcW w:w="75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 xml:space="preserve"> 10≤X＜100</w:t>
            </w:r>
          </w:p>
        </w:tc>
        <w:tc>
          <w:tcPr>
            <w:tcW w:w="525" w:type="pct"/>
            <w:vAlign w:val="center"/>
          </w:tcPr>
          <w:p>
            <w:pPr>
              <w:widowControl/>
              <w:spacing w:line="240" w:lineRule="atLeast"/>
              <w:jc w:val="center"/>
              <w:rPr>
                <w:rFonts w:hint="eastAsia" w:ascii="宋体" w:hAnsi="宋体" w:eastAsia="宋体" w:cs="宋体"/>
                <w:color w:val="auto"/>
                <w:kern w:val="0"/>
                <w:sz w:val="15"/>
                <w:szCs w:val="15"/>
                <w:highlight w:val="none"/>
              </w:rPr>
            </w:pPr>
            <w:r>
              <w:rPr>
                <w:rFonts w:hint="eastAsia" w:ascii="宋体" w:hAnsi="宋体" w:eastAsia="宋体" w:cs="宋体"/>
                <w:color w:val="auto"/>
                <w:kern w:val="0"/>
                <w:sz w:val="15"/>
                <w:szCs w:val="15"/>
                <w:highlight w:val="none"/>
              </w:rPr>
              <w:t>X＜10</w:t>
            </w:r>
          </w:p>
        </w:tc>
      </w:tr>
    </w:tbl>
    <w:p>
      <w:pPr>
        <w:widowControl/>
        <w:adjustRightInd/>
        <w:snapToGrid/>
        <w:ind w:firstLine="512" w:firstLineChars="200"/>
        <w:rPr>
          <w:rFonts w:hint="eastAsia" w:ascii="宋体" w:hAnsi="宋体" w:eastAsia="宋体" w:cs="宋体"/>
          <w:color w:val="auto"/>
          <w:spacing w:val="8"/>
          <w:kern w:val="0"/>
          <w:highlight w:val="none"/>
        </w:rPr>
      </w:pPr>
      <w:r>
        <w:rPr>
          <w:rFonts w:hint="eastAsia" w:ascii="宋体" w:hAnsi="宋体" w:eastAsia="宋体" w:cs="宋体"/>
          <w:color w:val="auto"/>
          <w:spacing w:val="8"/>
          <w:kern w:val="0"/>
          <w:highlight w:val="none"/>
        </w:rPr>
        <w:t>说明：</w:t>
      </w:r>
    </w:p>
    <w:p>
      <w:pPr>
        <w:adjustRightInd/>
        <w:snapToGrid/>
        <w:ind w:firstLine="512" w:firstLineChars="200"/>
        <w:rPr>
          <w:rFonts w:hint="eastAsia" w:ascii="宋体" w:hAnsi="宋体" w:eastAsia="宋体" w:cs="宋体"/>
          <w:color w:val="auto"/>
          <w:spacing w:val="8"/>
          <w:kern w:val="0"/>
          <w:highlight w:val="none"/>
        </w:rPr>
      </w:pPr>
      <w:r>
        <w:rPr>
          <w:rFonts w:hint="eastAsia" w:ascii="宋体" w:hAnsi="宋体" w:eastAsia="宋体" w:cs="宋体"/>
          <w:color w:val="auto"/>
          <w:spacing w:val="8"/>
          <w:kern w:val="0"/>
          <w:highlight w:val="none"/>
        </w:rPr>
        <w:t>1.大型、中型和小型企业须同时满足所列指标的下限，否则下划一档；微型企业只须满足所列指标中的一项即可。</w:t>
      </w:r>
    </w:p>
    <w:p>
      <w:pPr>
        <w:adjustRightInd/>
        <w:snapToGrid/>
        <w:ind w:firstLine="512" w:firstLineChars="200"/>
        <w:rPr>
          <w:rFonts w:hint="eastAsia" w:ascii="宋体" w:hAnsi="宋体" w:eastAsia="宋体" w:cs="宋体"/>
          <w:color w:val="auto"/>
          <w:spacing w:val="8"/>
          <w:kern w:val="0"/>
          <w:highlight w:val="none"/>
        </w:rPr>
      </w:pPr>
      <w:r>
        <w:rPr>
          <w:rFonts w:hint="eastAsia" w:ascii="宋体" w:hAnsi="宋体" w:eastAsia="宋体" w:cs="宋体"/>
          <w:color w:val="auto"/>
          <w:spacing w:val="8"/>
          <w:kern w:val="0"/>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w:t>
      </w:r>
      <w:r>
        <w:rPr>
          <w:rFonts w:hint="eastAsia" w:ascii="宋体" w:hAnsi="宋体" w:eastAsia="宋体" w:cs="宋体"/>
          <w:color w:val="auto"/>
          <w:spacing w:val="8"/>
          <w:kern w:val="0"/>
          <w:highlight w:val="none"/>
          <w:lang w:eastAsia="zh-CN"/>
        </w:rPr>
        <w:t>；</w:t>
      </w:r>
      <w:r>
        <w:rPr>
          <w:rFonts w:hint="eastAsia" w:ascii="宋体" w:hAnsi="宋体" w:eastAsia="宋体" w:cs="宋体"/>
          <w:color w:val="auto"/>
          <w:spacing w:val="8"/>
          <w:kern w:val="0"/>
          <w:highlight w:val="none"/>
        </w:rPr>
        <w:t>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ind w:firstLine="512" w:firstLineChars="200"/>
        <w:rPr>
          <w:rFonts w:hint="eastAsia" w:ascii="宋体" w:hAnsi="宋体" w:eastAsia="宋体" w:cs="宋体"/>
          <w:b/>
          <w:bCs/>
          <w:color w:val="auto"/>
          <w:highlight w:val="none"/>
        </w:rPr>
      </w:pPr>
      <w:r>
        <w:rPr>
          <w:rFonts w:hint="eastAsia" w:ascii="宋体" w:hAnsi="宋体" w:eastAsia="宋体" w:cs="宋体"/>
          <w:color w:val="auto"/>
          <w:spacing w:val="8"/>
          <w:kern w:val="0"/>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ascii="宋体" w:hAnsi="宋体" w:eastAsia="宋体" w:cs="宋体"/>
          <w:b/>
          <w:bCs/>
          <w:color w:val="auto"/>
          <w:highlight w:val="none"/>
        </w:rPr>
        <w:br w:type="page"/>
      </w:r>
    </w:p>
    <w:p>
      <w:pPr>
        <w:widowControl/>
        <w:adjustRightInd/>
        <w:snapToGrid/>
        <w:rPr>
          <w:rFonts w:hint="eastAsia" w:ascii="宋体" w:hAnsi="宋体" w:eastAsia="宋体" w:cs="宋体"/>
          <w:b/>
          <w:bCs/>
          <w:color w:val="auto"/>
          <w:highlight w:val="none"/>
        </w:rPr>
      </w:pPr>
      <w:r>
        <w:rPr>
          <w:rFonts w:hint="eastAsia" w:ascii="宋体" w:hAnsi="宋体" w:eastAsia="宋体" w:cs="宋体"/>
          <w:b/>
          <w:bCs/>
          <w:color w:val="auto"/>
          <w:highlight w:val="none"/>
        </w:rPr>
        <w:t>附件三：《四川省财政厅关于推进四川省政府采购供应商信用融资工作的通知》(川财采〔2018〕123号文)</w:t>
      </w:r>
    </w:p>
    <w:p>
      <w:pPr>
        <w:pStyle w:val="20"/>
        <w:widowControl/>
        <w:wordWrap w:val="0"/>
        <w:adjustRightInd/>
        <w:snapToGrid/>
        <w:spacing w:beforeAutospacing="0" w:afterAutospacing="0"/>
        <w:rPr>
          <w:rFonts w:hint="eastAsia" w:ascii="宋体" w:hAnsi="宋体" w:eastAsia="宋体" w:cs="宋体"/>
          <w:b/>
          <w:bCs/>
          <w:color w:val="auto"/>
          <w:highlight w:val="none"/>
        </w:rPr>
      </w:pPr>
      <w:r>
        <w:rPr>
          <w:rFonts w:hint="eastAsia" w:ascii="宋体" w:hAnsi="宋体" w:eastAsia="宋体" w:cs="宋体"/>
          <w:b/>
          <w:bCs/>
          <w:color w:val="auto"/>
          <w:highlight w:val="none"/>
        </w:rPr>
        <w:t>查询链接：http：//www.ccgp-sichuan.gov.cn/view/staticpags/sjzcfg/40288687657ff75501672fd954532414.html</w:t>
      </w:r>
    </w:p>
    <w:p>
      <w:pPr>
        <w:widowControl/>
        <w:adjustRightInd/>
        <w:snapToGrid/>
        <w:rPr>
          <w:rFonts w:hint="eastAsia" w:ascii="宋体" w:hAnsi="宋体" w:eastAsia="宋体" w:cs="宋体"/>
          <w:color w:val="auto"/>
          <w:highlight w:val="none"/>
        </w:rPr>
      </w:pPr>
    </w:p>
    <w:p>
      <w:pPr>
        <w:widowControl/>
        <w:adjustRightInd/>
        <w:snapToGrid/>
        <w:spacing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各市(州)、扩权县(市)财政局，各省直机关、事业单位、团体组织，各金融机构，各采购代理机构，各政府采购供应商：</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一、融资概念</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二、基本原则</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(一)财政引导，市场运行</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财政部门推进“政采贷”，银行和供应商按照自愿原则参与。供应商自愿选择是否申请“政采贷”，银行依据其内部审查制度和决策程序决定是否为供应商提供融资，自担风险。</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(二)建立机制，服务银企</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(三)优质优惠，加强扶持</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三、基本条件</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(一)银行暨“政采贷”金融产品</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1、征集。</w:t>
      </w:r>
      <w:r>
        <w:rPr>
          <w:rFonts w:hint="eastAsia" w:ascii="宋体" w:hAnsi="宋体" w:eastAsia="宋体" w:cs="宋体"/>
          <w:color w:val="auto"/>
          <w:highlight w:val="none"/>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申请材料应当包括银行基本情况、“政采贷”产品名称、申请贷款条件、申请贷款方式、申请贷款程序、贷款审查流程、贷款额度、发放贷款时间、收款方式及其他优质服务和优惠承诺等。</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银行提供的“政采贷”产品应当满足“无抵押担保、程序简便、利率优惠、放款及时”的基本条件以及本通知其他相关规定。</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银行申请材料中应当载明其自愿提供“政采贷”产品，自担风险，不得要求或者变相要求财政部门和采购人为其提供风险担保、承诺。</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2、公示。</w:t>
      </w:r>
      <w:r>
        <w:rPr>
          <w:rFonts w:hint="eastAsia" w:ascii="宋体" w:hAnsi="宋体" w:eastAsia="宋体" w:cs="宋体"/>
          <w:color w:val="auto"/>
          <w:highlight w:val="none"/>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(二)供应商</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政府采购供应商向银行申请“政采贷”，应当满足下列基本条件：</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1、</w:t>
      </w:r>
      <w:r>
        <w:rPr>
          <w:rFonts w:hint="eastAsia" w:ascii="宋体" w:hAnsi="宋体" w:eastAsia="宋体" w:cs="宋体"/>
          <w:color w:val="auto"/>
          <w:highlight w:val="none"/>
        </w:rPr>
        <w:t>具有依法承担民事责任的能力；</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2、</w:t>
      </w:r>
      <w:r>
        <w:rPr>
          <w:rFonts w:hint="eastAsia" w:ascii="宋体" w:hAnsi="宋体" w:eastAsia="宋体" w:cs="宋体"/>
          <w:color w:val="auto"/>
          <w:highlight w:val="none"/>
        </w:rPr>
        <w:t>具有依法履行政府采购合同的能力；</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3、</w:t>
      </w:r>
      <w:r>
        <w:rPr>
          <w:rFonts w:hint="eastAsia" w:ascii="宋体" w:hAnsi="宋体" w:eastAsia="宋体" w:cs="宋体"/>
          <w:color w:val="auto"/>
          <w:highlight w:val="none"/>
        </w:rPr>
        <w:t>参加的政府采购活动未被财政部门依法暂停、责令重新开展或者认定中标、成交无效；</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4、</w:t>
      </w:r>
      <w:r>
        <w:rPr>
          <w:rFonts w:hint="eastAsia" w:ascii="宋体" w:hAnsi="宋体" w:eastAsia="宋体" w:cs="宋体"/>
          <w:color w:val="auto"/>
          <w:highlight w:val="none"/>
        </w:rPr>
        <w:t>无《政府采购法》第二十二条第一款第(五)项所称的重大违法记录；</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5、</w:t>
      </w:r>
      <w:r>
        <w:rPr>
          <w:rFonts w:hint="eastAsia" w:ascii="宋体" w:hAnsi="宋体" w:eastAsia="宋体" w:cs="宋体"/>
          <w:color w:val="auto"/>
          <w:highlight w:val="none"/>
        </w:rPr>
        <w:t>未被法院、市场监管、税务、银行等部门单位纳入失信名单且在有效期内；</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6、</w:t>
      </w:r>
      <w:r>
        <w:rPr>
          <w:rFonts w:hint="eastAsia" w:ascii="宋体" w:hAnsi="宋体" w:eastAsia="宋体" w:cs="宋体"/>
          <w:color w:val="auto"/>
          <w:highlight w:val="none"/>
        </w:rPr>
        <w:t>在一定期限内的(银行可以具体确定)政府采购合同履约过程中或者其他经营活动履约过程中，无不依法履约被有关行政部门行政处罚的或者产生法律纠纷被法院、仲裁机构判决、裁决败诉的；</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7、</w:t>
      </w:r>
      <w:r>
        <w:rPr>
          <w:rFonts w:hint="eastAsia" w:ascii="宋体" w:hAnsi="宋体" w:eastAsia="宋体" w:cs="宋体"/>
          <w:color w:val="auto"/>
          <w:highlight w:val="none"/>
        </w:rPr>
        <w:t>其他银行要求的不属于提供财产抵押或第三方担保的条件。</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四、构建平台</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四川省财政厅将在“四川政府采购网”统一构建四川省“政采贷”信息化服务平台，推进四川省“政采贷”工作信息化建设。</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五、财金互动</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六、基本流程</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(一)意向申请</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20"/>
        <w:widowControl/>
        <w:adjustRightInd/>
        <w:snapToGrid/>
        <w:spacing w:beforeAutospacing="0" w:afterAutospacing="0"/>
        <w:ind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rPr>
        <w:t>(二)正式申请</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(三)贷款审查</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(四)信息报送</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(五)资金支付</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政府采购资金支付过程中，银行需要查询采购资金支付进程有关信息的，财政部门和采购人应当支持。</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七、职责要求</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(一)</w:t>
      </w:r>
      <w:r>
        <w:rPr>
          <w:rFonts w:hint="eastAsia" w:ascii="宋体" w:hAnsi="宋体" w:eastAsia="宋体" w:cs="宋体"/>
          <w:color w:val="auto"/>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(二)</w:t>
      </w:r>
      <w:r>
        <w:rPr>
          <w:rFonts w:hint="eastAsia" w:ascii="宋体" w:hAnsi="宋体" w:eastAsia="宋体" w:cs="宋体"/>
          <w:color w:val="auto"/>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(三)</w:t>
      </w:r>
      <w:r>
        <w:rPr>
          <w:rFonts w:hint="eastAsia" w:ascii="宋体" w:hAnsi="宋体" w:eastAsia="宋体" w:cs="宋体"/>
          <w:color w:val="auto"/>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(四)</w:t>
      </w:r>
      <w:r>
        <w:rPr>
          <w:rFonts w:hint="eastAsia" w:ascii="宋体" w:hAnsi="宋体" w:eastAsia="宋体" w:cs="宋体"/>
          <w:color w:val="auto"/>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(五)</w:t>
      </w:r>
      <w:r>
        <w:rPr>
          <w:rFonts w:hint="eastAsia" w:ascii="宋体" w:hAnsi="宋体" w:eastAsia="宋体" w:cs="宋体"/>
          <w:color w:val="auto"/>
          <w:highlight w:val="none"/>
        </w:rPr>
        <w:t>供应商应当依法参加政府采购活动，公平竞争，诚实守信，严格按照政府采购合同履约，严格按照借款合同偿还债务。</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(六)</w:t>
      </w:r>
      <w:r>
        <w:rPr>
          <w:rFonts w:hint="eastAsia" w:ascii="宋体" w:hAnsi="宋体" w:eastAsia="宋体" w:cs="宋体"/>
          <w:color w:val="auto"/>
          <w:highlight w:val="none"/>
        </w:rPr>
        <w:t>财政部门、采购人、采购代理机构及其他有关单位和个人不得违规干预供应商选择“政采贷”银行及其产品，也不得违规干预银行向供应商进行贷款。</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(七)</w:t>
      </w:r>
      <w:r>
        <w:rPr>
          <w:rFonts w:hint="eastAsia" w:ascii="宋体" w:hAnsi="宋体" w:eastAsia="宋体" w:cs="宋体"/>
          <w:color w:val="auto"/>
          <w:highlight w:val="none"/>
        </w:rPr>
        <w:t>相关单位和个人在开展“政采贷”工作过程中，发现新问题、新情况或者有意见建议的，请及时向四川省财政厅反馈。</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八、违规处理</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(一)银行违规处理</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(二)供应商违规处理</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20"/>
        <w:widowControl/>
        <w:adjustRightInd/>
        <w:snapToGrid/>
        <w:spacing w:beforeAutospacing="0" w:afterAutospacing="0"/>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(三)其他违规处理</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20"/>
        <w:widowControl/>
        <w:adjustRightInd/>
        <w:snapToGrid/>
        <w:spacing w:beforeAutospacing="0" w:afterAutospacing="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 </w:t>
      </w:r>
    </w:p>
    <w:p>
      <w:pPr>
        <w:rPr>
          <w:rFonts w:hint="eastAsia" w:ascii="宋体" w:hAnsi="宋体" w:eastAsia="宋体" w:cs="宋体"/>
          <w:color w:val="auto"/>
          <w:highlight w:val="none"/>
        </w:rPr>
      </w:pPr>
      <w:r>
        <w:rPr>
          <w:rFonts w:hint="eastAsia" w:ascii="宋体" w:hAnsi="宋体" w:eastAsia="宋体" w:cs="宋体"/>
          <w:color w:val="auto"/>
          <w:kern w:val="0"/>
          <w:highlight w:val="none"/>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color w:val="auto"/>
          <w:highlight w:val="none"/>
        </w:rPr>
        <w:br w:type="page"/>
      </w:r>
    </w:p>
    <w:p>
      <w:pPr>
        <w:widowControl/>
        <w:adjustRightInd/>
        <w:snapToGrid/>
        <w:rPr>
          <w:rFonts w:hint="eastAsia" w:ascii="宋体" w:hAnsi="宋体" w:eastAsia="宋体" w:cs="宋体"/>
          <w:b/>
          <w:bCs/>
          <w:color w:val="auto"/>
          <w:highlight w:val="none"/>
        </w:rPr>
      </w:pPr>
      <w:r>
        <w:rPr>
          <w:rFonts w:hint="eastAsia" w:ascii="宋体" w:hAnsi="宋体" w:eastAsia="宋体" w:cs="宋体"/>
          <w:b/>
          <w:bCs/>
          <w:color w:val="auto"/>
          <w:highlight w:val="none"/>
        </w:rPr>
        <w:t>附件四：成都市财政局  中国人民银行成都分行营业管理部关于印发《成都市中小企业政府采购信用融资暂行办法》和《成都市级支持中小企业政府采购信用融资实施方案》的通知(成财采〔2019〕17号)</w:t>
      </w:r>
    </w:p>
    <w:p>
      <w:pPr>
        <w:widowControl/>
        <w:wordWrap w:val="0"/>
        <w:adjustRightInd/>
        <w:snapToGrid/>
        <w:rPr>
          <w:rFonts w:hint="eastAsia" w:ascii="宋体" w:hAnsi="宋体" w:eastAsia="宋体" w:cs="宋体"/>
          <w:b/>
          <w:bCs/>
          <w:color w:val="auto"/>
          <w:highlight w:val="none"/>
        </w:rPr>
      </w:pPr>
      <w:r>
        <w:rPr>
          <w:rFonts w:hint="eastAsia" w:ascii="宋体" w:hAnsi="宋体" w:eastAsia="宋体" w:cs="宋体"/>
          <w:b/>
          <w:bCs/>
          <w:color w:val="auto"/>
          <w:highlight w:val="none"/>
        </w:rPr>
        <w:t>查询链接：</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"http://cdcz.chengdu.gov.cn/cdsczj/c116726/2019-03/13/content_7d81ae9c2a1e48968c7839a9c5b88ccd.shtml" </w:instrText>
      </w:r>
      <w:r>
        <w:rPr>
          <w:rFonts w:hint="eastAsia" w:ascii="宋体" w:hAnsi="宋体" w:eastAsia="宋体" w:cs="宋体"/>
          <w:color w:val="auto"/>
          <w:highlight w:val="none"/>
        </w:rPr>
        <w:fldChar w:fldCharType="separate"/>
      </w:r>
      <w:r>
        <w:rPr>
          <w:rStyle w:val="27"/>
          <w:rFonts w:hint="eastAsia" w:ascii="宋体" w:hAnsi="宋体" w:eastAsia="宋体" w:cs="宋体"/>
          <w:b/>
          <w:bCs/>
          <w:color w:val="auto"/>
          <w:highlight w:val="none"/>
        </w:rPr>
        <w:t>http：//cdcz.chengdu.gov.cn/cdsczj/c116726/2019-03/13/content_7d81ae9c2a1e48968c7839a9c5b88ccd.shtml</w:t>
      </w:r>
      <w:r>
        <w:rPr>
          <w:rStyle w:val="27"/>
          <w:rFonts w:hint="eastAsia" w:ascii="宋体" w:hAnsi="宋体" w:eastAsia="宋体" w:cs="宋体"/>
          <w:b/>
          <w:bCs/>
          <w:color w:val="auto"/>
          <w:highlight w:val="none"/>
        </w:rPr>
        <w:fldChar w:fldCharType="end"/>
      </w:r>
    </w:p>
    <w:p>
      <w:pPr>
        <w:widowControl/>
        <w:wordWrap w:val="0"/>
        <w:adjustRightInd/>
        <w:snapToGrid/>
        <w:rPr>
          <w:rFonts w:hint="eastAsia" w:ascii="宋体" w:hAnsi="宋体" w:eastAsia="宋体" w:cs="宋体"/>
          <w:b/>
          <w:bCs/>
          <w:color w:val="auto"/>
          <w:highlight w:val="none"/>
        </w:rPr>
      </w:pPr>
    </w:p>
    <w:tbl>
      <w:tblPr>
        <w:tblStyle w:val="22"/>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vAlign w:val="center"/>
          </w:tcPr>
          <w:p>
            <w:pPr>
              <w:spacing w:line="240" w:lineRule="auto"/>
              <w:jc w:val="distribute"/>
              <w:rPr>
                <w:rFonts w:hint="eastAsia" w:ascii="宋体" w:hAnsi="宋体" w:eastAsia="宋体" w:cs="宋体"/>
                <w:color w:val="auto"/>
                <w:sz w:val="66"/>
                <w:szCs w:val="66"/>
                <w:highlight w:val="none"/>
              </w:rPr>
            </w:pPr>
            <w:r>
              <w:rPr>
                <w:rFonts w:hint="eastAsia" w:ascii="宋体" w:hAnsi="宋体" w:eastAsia="宋体" w:cs="宋体"/>
                <w:color w:val="auto"/>
                <w:sz w:val="66"/>
                <w:szCs w:val="66"/>
                <w:highlight w:val="none"/>
              </w:rPr>
              <w:t>成都市财政局</w:t>
            </w:r>
          </w:p>
        </w:tc>
        <w:tc>
          <w:tcPr>
            <w:tcW w:w="1580" w:type="dxa"/>
            <w:vMerge w:val="restart"/>
            <w:vAlign w:val="center"/>
          </w:tcPr>
          <w:p>
            <w:pPr>
              <w:spacing w:line="240" w:lineRule="auto"/>
              <w:jc w:val="center"/>
              <w:rPr>
                <w:rFonts w:hint="eastAsia" w:ascii="宋体" w:hAnsi="宋体" w:eastAsia="宋体" w:cs="宋体"/>
                <w:color w:val="auto"/>
                <w:sz w:val="66"/>
                <w:szCs w:val="66"/>
                <w:highlight w:val="none"/>
              </w:rPr>
            </w:pPr>
            <w:r>
              <w:rPr>
                <w:rFonts w:hint="eastAsia" w:ascii="宋体" w:hAnsi="宋体" w:eastAsia="宋体" w:cs="宋体"/>
                <w:color w:val="auto"/>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vAlign w:val="center"/>
          </w:tcPr>
          <w:p>
            <w:pPr>
              <w:spacing w:line="240" w:lineRule="auto"/>
              <w:jc w:val="distribute"/>
              <w:rPr>
                <w:rFonts w:hint="eastAsia" w:ascii="宋体" w:hAnsi="宋体" w:eastAsia="宋体" w:cs="宋体"/>
                <w:color w:val="auto"/>
                <w:spacing w:val="-20"/>
                <w:w w:val="82"/>
                <w:sz w:val="62"/>
                <w:szCs w:val="62"/>
                <w:highlight w:val="none"/>
              </w:rPr>
            </w:pPr>
            <w:r>
              <w:rPr>
                <w:rFonts w:hint="eastAsia" w:ascii="宋体" w:hAnsi="宋体" w:eastAsia="宋体" w:cs="宋体"/>
                <w:color w:val="auto"/>
                <w:spacing w:val="-20"/>
                <w:w w:val="82"/>
                <w:sz w:val="62"/>
                <w:szCs w:val="62"/>
                <w:highlight w:val="none"/>
              </w:rPr>
              <w:t>中国人民银行成都分行营业管理部</w:t>
            </w:r>
          </w:p>
        </w:tc>
        <w:tc>
          <w:tcPr>
            <w:tcW w:w="1580" w:type="dxa"/>
            <w:vMerge w:val="continue"/>
            <w:vAlign w:val="center"/>
          </w:tcPr>
          <w:p>
            <w:pPr>
              <w:spacing w:line="240" w:lineRule="auto"/>
              <w:jc w:val="center"/>
              <w:rPr>
                <w:rFonts w:hint="eastAsia" w:ascii="宋体" w:hAnsi="宋体" w:eastAsia="宋体" w:cs="宋体"/>
                <w:color w:val="auto"/>
                <w:sz w:val="66"/>
                <w:szCs w:val="66"/>
                <w:highlight w:val="none"/>
              </w:rPr>
            </w:pPr>
          </w:p>
        </w:tc>
      </w:tr>
    </w:tbl>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r>
        <w:rPr>
          <w:rFonts w:hint="eastAsia" w:ascii="宋体" w:hAnsi="宋体" w:eastAsia="宋体" w:cs="宋体"/>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O/uPvWAAAABgEAAA8AAAAAAAAAAQAgAAAAIgAAAGRycy9kb3ducmV2LnhtbFBLAQIUABQAAAAI&#10;AIdO4kBhC1wm7wEAANkDAAAOAAAAAAAAAAEAIAAAACUBAABkcnMvZTJvRG9jLnhtbFBLBQYAAAAA&#10;BgAGAFkBAACGBQAAAAA=&#10;">
                <v:fill on="f" focussize="0,0"/>
                <v:stroke weight="1.5pt" color="#FF0000" joinstyle="round"/>
                <v:imagedata o:title=""/>
                <o:lock v:ext="edit" aspectratio="f"/>
              </v:line>
            </w:pict>
          </mc:Fallback>
        </mc:AlternateContent>
      </w:r>
      <w:r>
        <w:rPr>
          <w:rFonts w:hint="eastAsia" w:ascii="宋体" w:hAnsi="宋体" w:eastAsia="宋体" w:cs="宋体"/>
          <w:color w:val="auto"/>
          <w:highlight w:val="none"/>
        </w:rPr>
        <w:t>成财采〔2019〕17号</w:t>
      </w:r>
    </w:p>
    <w:p>
      <w:pPr>
        <w:topLinePunct/>
        <w:jc w:val="center"/>
        <w:rPr>
          <w:rFonts w:hint="eastAsia" w:ascii="宋体" w:hAnsi="宋体" w:eastAsia="宋体" w:cs="宋体"/>
          <w:color w:val="auto"/>
          <w:highlight w:val="none"/>
        </w:rPr>
      </w:pPr>
    </w:p>
    <w:p>
      <w:pPr>
        <w:topLinePunct/>
        <w:jc w:val="center"/>
        <w:rPr>
          <w:rFonts w:hint="eastAsia" w:ascii="宋体" w:hAnsi="宋体" w:eastAsia="宋体" w:cs="宋体"/>
          <w:color w:val="auto"/>
          <w:spacing w:val="-18"/>
          <w:sz w:val="44"/>
          <w:szCs w:val="44"/>
          <w:highlight w:val="none"/>
        </w:rPr>
      </w:pPr>
      <w:r>
        <w:rPr>
          <w:rFonts w:hint="eastAsia" w:ascii="宋体" w:hAnsi="宋体" w:eastAsia="宋体" w:cs="宋体"/>
          <w:color w:val="auto"/>
          <w:spacing w:val="-18"/>
          <w:sz w:val="44"/>
          <w:szCs w:val="44"/>
          <w:highlight w:val="none"/>
        </w:rPr>
        <w:t>成都市财政局  中国人民银行成都分行营业管理部</w:t>
      </w:r>
    </w:p>
    <w:p>
      <w:pPr>
        <w:topLinePunct/>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关于印发《成都市中小企业政府采购信用融资</w:t>
      </w:r>
    </w:p>
    <w:p>
      <w:pPr>
        <w:topLinePunct/>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暂行办法》和《成都市级支持中小企业</w:t>
      </w:r>
    </w:p>
    <w:p>
      <w:pPr>
        <w:topLinePunct/>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政府采购信用融资实施方案》的通知</w:t>
      </w:r>
    </w:p>
    <w:p>
      <w:pPr>
        <w:jc w:val="center"/>
        <w:rPr>
          <w:rFonts w:hint="eastAsia" w:ascii="宋体" w:hAnsi="宋体" w:eastAsia="宋体" w:cs="宋体"/>
          <w:color w:val="auto"/>
          <w:highlight w:val="none"/>
        </w:rPr>
      </w:pPr>
    </w:p>
    <w:p>
      <w:pPr>
        <w:widowControl/>
        <w:adjustRightInd/>
        <w:snapToGri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成都天府新区、高新区财政金融局，各区(市)县财政局，市级各部门、单位，各银行业金融机构：</w:t>
      </w:r>
    </w:p>
    <w:p>
      <w:pPr>
        <w:widowControl/>
        <w:adjustRightInd/>
        <w:snapToGri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adjustRightInd/>
        <w:snapToGri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一、高度重视、迅速行动</w:t>
      </w:r>
    </w:p>
    <w:p>
      <w:pPr>
        <w:widowControl/>
        <w:adjustRightInd/>
        <w:snapToGri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adjustRightInd/>
        <w:snapToGri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二、明确责任、压茬推进</w:t>
      </w:r>
    </w:p>
    <w:p>
      <w:pPr>
        <w:widowControl/>
        <w:adjustRightInd/>
        <w:snapToGri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adjustRightInd/>
        <w:snapToGri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三、优化服务、营造氛围</w:t>
      </w:r>
    </w:p>
    <w:p>
      <w:pPr>
        <w:widowControl/>
        <w:adjustRightInd/>
        <w:snapToGri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adjustRightInd/>
        <w:snapToGrid/>
        <w:ind w:firstLine="480" w:firstLineChars="200"/>
        <w:rPr>
          <w:rFonts w:hint="eastAsia" w:ascii="宋体" w:hAnsi="宋体" w:eastAsia="宋体" w:cs="宋体"/>
          <w:color w:val="auto"/>
          <w:highlight w:val="none"/>
        </w:rPr>
      </w:pPr>
    </w:p>
    <w:p>
      <w:pPr>
        <w:widowControl/>
        <w:adjustRightInd/>
        <w:snapToGri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附件：1．成都市中小企业政府采购信用融资暂行办法 </w:t>
      </w:r>
    </w:p>
    <w:p>
      <w:pPr>
        <w:widowControl/>
        <w:adjustRightInd/>
        <w:snapToGri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2．成都市级支持中小企业政府采购信用融资实施方案</w:t>
      </w:r>
    </w:p>
    <w:p>
      <w:pPr>
        <w:pStyle w:val="12"/>
        <w:widowControl/>
        <w:topLinePunct/>
        <w:adjustRightInd/>
        <w:snapToGrid/>
        <w:ind w:firstLine="480" w:firstLineChars="200"/>
        <w:rPr>
          <w:rFonts w:hint="eastAsia" w:ascii="宋体" w:hAnsi="宋体" w:eastAsia="宋体" w:cs="宋体"/>
          <w:color w:val="auto"/>
          <w:sz w:val="24"/>
          <w:highlight w:val="none"/>
        </w:rPr>
      </w:pPr>
    </w:p>
    <w:p>
      <w:pPr>
        <w:pStyle w:val="12"/>
        <w:widowControl/>
        <w:topLinePunct/>
        <w:adjustRightInd/>
        <w:snapToGrid/>
        <w:ind w:firstLine="480" w:firstLineChars="200"/>
        <w:rPr>
          <w:rFonts w:hint="eastAsia" w:ascii="宋体" w:hAnsi="宋体" w:eastAsia="宋体" w:cs="宋体"/>
          <w:color w:val="auto"/>
          <w:sz w:val="24"/>
          <w:highlight w:val="none"/>
        </w:rPr>
      </w:pPr>
    </w:p>
    <w:p>
      <w:pPr>
        <w:pStyle w:val="12"/>
        <w:widowControl/>
        <w:topLinePunct/>
        <w:adjustRightInd/>
        <w:snapToGrid/>
        <w:ind w:firstLine="480" w:firstLineChars="200"/>
        <w:rPr>
          <w:rFonts w:hint="eastAsia" w:ascii="宋体" w:hAnsi="宋体" w:eastAsia="宋体" w:cs="宋体"/>
          <w:color w:val="auto"/>
          <w:sz w:val="24"/>
          <w:highlight w:val="none"/>
        </w:rPr>
      </w:pPr>
    </w:p>
    <w:p>
      <w:pPr>
        <w:widowControl/>
        <w:tabs>
          <w:tab w:val="left" w:pos="7584"/>
          <w:tab w:val="clear" w:pos="0"/>
        </w:tabs>
        <w:topLinePunct/>
        <w:adjustRightInd/>
        <w:snapToGrid/>
        <w:ind w:firstLine="480" w:firstLineChars="200"/>
        <w:jc w:val="right"/>
        <w:rPr>
          <w:rFonts w:hint="eastAsia" w:ascii="宋体" w:hAnsi="宋体" w:eastAsia="宋体" w:cs="宋体"/>
          <w:color w:val="auto"/>
          <w:highlight w:val="none"/>
        </w:rPr>
      </w:pPr>
      <w:r>
        <w:rPr>
          <w:rFonts w:hint="eastAsia" w:ascii="宋体" w:hAnsi="宋体" w:eastAsia="宋体" w:cs="宋体"/>
          <w:color w:val="auto"/>
          <w:highlight w:val="none"/>
        </w:rPr>
        <w:t>成都市财政局         中国人民银行成都分行营业管理部</w:t>
      </w:r>
    </w:p>
    <w:p>
      <w:pPr>
        <w:widowControl/>
        <w:tabs>
          <w:tab w:val="left" w:pos="7584"/>
          <w:tab w:val="clear" w:pos="0"/>
        </w:tabs>
        <w:topLinePunct/>
        <w:adjustRightInd/>
        <w:snapToGrid/>
        <w:ind w:firstLine="480" w:firstLineChars="200"/>
        <w:jc w:val="right"/>
        <w:rPr>
          <w:rFonts w:hint="eastAsia" w:ascii="宋体" w:hAnsi="宋体" w:eastAsia="宋体" w:cs="宋体"/>
          <w:color w:val="auto"/>
          <w:highlight w:val="none"/>
        </w:rPr>
      </w:pPr>
      <w:r>
        <w:rPr>
          <w:rFonts w:hint="eastAsia" w:ascii="宋体" w:hAnsi="宋体" w:eastAsia="宋体" w:cs="宋体"/>
          <w:color w:val="auto"/>
          <w:highlight w:val="none"/>
        </w:rPr>
        <w:t>2019年2月26日</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topLinePunct/>
        <w:adjustRightInd/>
        <w:rPr>
          <w:rFonts w:hint="eastAsia" w:ascii="宋体" w:hAnsi="宋体" w:eastAsia="宋体" w:cs="宋体"/>
          <w:color w:val="auto"/>
          <w:highlight w:val="none"/>
        </w:rPr>
      </w:pPr>
      <w:r>
        <w:rPr>
          <w:rFonts w:hint="eastAsia" w:ascii="宋体" w:hAnsi="宋体" w:eastAsia="宋体" w:cs="宋体"/>
          <w:color w:val="auto"/>
          <w:highlight w:val="none"/>
        </w:rPr>
        <w:t>附件1</w:t>
      </w:r>
    </w:p>
    <w:p>
      <w:pPr>
        <w:topLinePunct/>
        <w:adjustRightInd/>
        <w:rPr>
          <w:rFonts w:hint="eastAsia" w:ascii="宋体" w:hAnsi="宋体" w:eastAsia="宋体" w:cs="宋体"/>
          <w:color w:val="auto"/>
          <w:highlight w:val="none"/>
        </w:rPr>
      </w:pPr>
    </w:p>
    <w:p>
      <w:pPr>
        <w:topLinePunct/>
        <w:adjustRightInd/>
        <w:jc w:val="center"/>
        <w:rPr>
          <w:rFonts w:hint="eastAsia" w:ascii="宋体" w:hAnsi="宋体" w:eastAsia="宋体" w:cs="宋体"/>
          <w:color w:val="auto"/>
          <w:highlight w:val="none"/>
        </w:rPr>
      </w:pPr>
      <w:r>
        <w:rPr>
          <w:rFonts w:hint="eastAsia" w:ascii="宋体" w:hAnsi="宋体" w:eastAsia="宋体" w:cs="宋体"/>
          <w:color w:val="auto"/>
          <w:highlight w:val="none"/>
        </w:rPr>
        <w:t>成都市中小企业政府采购信用融资暂行办法</w:t>
      </w:r>
    </w:p>
    <w:p>
      <w:pPr>
        <w:topLinePunct/>
        <w:adjustRightInd/>
        <w:jc w:val="center"/>
        <w:rPr>
          <w:rFonts w:hint="eastAsia" w:ascii="宋体" w:hAnsi="宋体" w:eastAsia="宋体" w:cs="宋体"/>
          <w:color w:val="auto"/>
          <w:highlight w:val="none"/>
        </w:rPr>
      </w:pPr>
      <w:r>
        <w:rPr>
          <w:rFonts w:hint="eastAsia" w:ascii="宋体" w:hAnsi="宋体" w:eastAsia="宋体" w:cs="宋体"/>
          <w:color w:val="auto"/>
          <w:highlight w:val="none"/>
        </w:rPr>
        <w:t>第一章  总  则</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第一条(政策依据)</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第二条(适用范围)</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成都市行政区域内政府采购信用融资适用本办法。</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第三条(术语定义)</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本办法所称政府采购信用融资，是指融资机构以信用审查为基础，依据政府采购合同，按相应的优惠政策向申请融资的中小企业(以下简称供应商)提供资金支持的融资模式。</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本办法所称融资机构，是指在成都市属地注册或设立分支机构，有意向按照本办法开展政府采购信用融资业务，经同级财政部门确定的银行机构。</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本办法所称中小企业，包括中型、小型及微型企业，其划型标准按照国家相关规定执行。</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第四条(基本原则)</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政府采购信用融资工作坚持政府引导、市场主导，自愿选择、自担风险，诚实信用、互惠共赢的原则，切实发挥市场在资源配置中的决定性作用。</w:t>
      </w:r>
    </w:p>
    <w:p>
      <w:pPr>
        <w:topLinePunct/>
        <w:adjustRightInd/>
        <w:ind w:firstLine="480" w:firstLineChars="200"/>
        <w:jc w:val="center"/>
        <w:rPr>
          <w:rFonts w:hint="eastAsia" w:ascii="宋体" w:hAnsi="宋体" w:eastAsia="宋体" w:cs="宋体"/>
          <w:color w:val="auto"/>
          <w:highlight w:val="none"/>
        </w:rPr>
      </w:pPr>
      <w:r>
        <w:rPr>
          <w:rFonts w:hint="eastAsia" w:ascii="宋体" w:hAnsi="宋体" w:eastAsia="宋体" w:cs="宋体"/>
          <w:color w:val="auto"/>
          <w:highlight w:val="none"/>
        </w:rPr>
        <w:t>第二章  融资优惠</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第五条(融资方式)</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供应商无需提供财产抵押或第三方担保，凭借政府采购合同向融资机构申请融资，融资机构根据其授信政策为供应商提供信用贷款。</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第六条(融资额度)</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融资额度原则上不超过政府采购合同金额。</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第七条(融资利率)</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融资机构向供应商提供融资的利率应低于同期一般中小企业的贷款利率。融资利率上浮比例原则上不超过中国人民银行公布的同期贷款基准利率的30%。</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第八条(融资期限)</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融资期限原则上与政府采购合同履行期限一致。</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第九条(融资效率)</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第十条(融资业务升级)</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对履约记录良好、诚信资质高的供应商，融资机构应当在授信额度、融资审查、融资利率等方面给予更大支持，促进供应商依法诚信经营。</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第十一条(贷款风险补贴)</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opLinePunct/>
        <w:adjustRightInd/>
        <w:ind w:firstLine="480" w:firstLineChars="200"/>
        <w:jc w:val="center"/>
        <w:rPr>
          <w:rFonts w:hint="eastAsia" w:ascii="宋体" w:hAnsi="宋体" w:eastAsia="宋体" w:cs="宋体"/>
          <w:color w:val="auto"/>
          <w:highlight w:val="none"/>
        </w:rPr>
      </w:pPr>
      <w:r>
        <w:rPr>
          <w:rFonts w:hint="eastAsia" w:ascii="宋体" w:hAnsi="宋体" w:eastAsia="宋体" w:cs="宋体"/>
          <w:color w:val="auto"/>
          <w:highlight w:val="none"/>
        </w:rPr>
        <w:t>第三章  融资流程</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第十二条(融资流程)</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(一)信息发布。采购人应当在发布的采购公告和采购文件中载明采购项目可提供信用融资的信息。</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(二)融资申请。有融资需求的供应商自主选择提供政府采购信用融资服务的融资机构及产品，并按要求提供申请资料。</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(三)融资审查。融资机构对供应商的融资申请进行审查，并向供应商反馈审查及融资额度等情况。</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(四)账户确认。供应商须在合作融资机构开立结算账户，并与采购人在政府采购合同中或通过签订补充协议的方式约定唯一收款账户，融资机构对唯一收款账户进行确认和锁定。</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(五)放款。融资机构对政府采购合同及融资相关信息进行确认，并向供应商提供相应的融资产品。</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(六)贷款归还。采购人按相关规定和合同约定将合同资金支付至约定的唯一收款账户。</w:t>
      </w:r>
    </w:p>
    <w:p>
      <w:pPr>
        <w:topLinePunct/>
        <w:adjustRightInd/>
        <w:ind w:firstLine="480" w:firstLineChars="200"/>
        <w:jc w:val="center"/>
        <w:rPr>
          <w:rFonts w:hint="eastAsia" w:ascii="宋体" w:hAnsi="宋体" w:eastAsia="宋体" w:cs="宋体"/>
          <w:color w:val="auto"/>
          <w:highlight w:val="none"/>
        </w:rPr>
      </w:pPr>
      <w:r>
        <w:rPr>
          <w:rFonts w:hint="eastAsia" w:ascii="宋体" w:hAnsi="宋体" w:eastAsia="宋体" w:cs="宋体"/>
          <w:color w:val="auto"/>
          <w:highlight w:val="none"/>
        </w:rPr>
        <w:t>第四章  职责分工</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第十三条(财政部门职责)</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第十四条(融资机构主管部门职责)</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引导融资机构依法依规开展政府采购信用融资。推动成都市政府采购监督管理系统与中征应收账款融资服务平台直联，实现政府采购信用融资线上办理，加强与财政部门的信息共享。</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第十五条(采购人职责)</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第十六条(融资机构职责)</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第十七条(供应商职责)</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opLinePunct/>
        <w:adjustRightInd/>
        <w:ind w:firstLine="480" w:firstLineChars="200"/>
        <w:jc w:val="center"/>
        <w:rPr>
          <w:rFonts w:hint="eastAsia" w:ascii="宋体" w:hAnsi="宋体" w:eastAsia="宋体" w:cs="宋体"/>
          <w:color w:val="auto"/>
          <w:highlight w:val="none"/>
        </w:rPr>
      </w:pPr>
      <w:r>
        <w:rPr>
          <w:rFonts w:hint="eastAsia" w:ascii="宋体" w:hAnsi="宋体" w:eastAsia="宋体" w:cs="宋体"/>
          <w:color w:val="auto"/>
          <w:highlight w:val="none"/>
        </w:rPr>
        <w:t>第五章 监督管理</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第十八条(采购人监管)</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采购人不执行政府采购信用融资政策，或不正当干预供应商选择合作融资机构，或无故拖延和拒付采购资金的，财政部门视情节进行约谈、通报直至暂停拨付财政资金。</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第十九条(融资机构监管)</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融资机构违反规定开展政府采购信用融资业务，对政府采购造成负面影响的，财政部门视情节取消其参与政府采购信用融资的业务权限。</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第二十条(供应商监管)</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第二十一条</w:t>
      </w:r>
      <w:bookmarkStart w:id="1207" w:name="BM24558847_25425864_3"/>
      <w:bookmarkEnd w:id="1207"/>
      <w:r>
        <w:rPr>
          <w:rFonts w:hint="eastAsia" w:ascii="宋体" w:hAnsi="宋体" w:eastAsia="宋体" w:cs="宋体"/>
          <w:color w:val="auto"/>
          <w:highlight w:val="none"/>
        </w:rPr>
        <w:t>(相关单位及工作人员监管)</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各相关单位及其工作人员在履行职责中存在滥用职权、玩忽职守、徇私舞弊等违法违纪行为的，依照有关规定处理，涉嫌犯罪的，移送司法机关处理。</w:t>
      </w:r>
    </w:p>
    <w:p>
      <w:pPr>
        <w:topLinePunct/>
        <w:adjustRightInd/>
        <w:ind w:firstLine="480" w:firstLineChars="200"/>
        <w:jc w:val="center"/>
        <w:rPr>
          <w:rFonts w:hint="eastAsia" w:ascii="宋体" w:hAnsi="宋体" w:eastAsia="宋体" w:cs="宋体"/>
          <w:color w:val="auto"/>
          <w:highlight w:val="none"/>
        </w:rPr>
      </w:pPr>
      <w:r>
        <w:rPr>
          <w:rFonts w:hint="eastAsia" w:ascii="宋体" w:hAnsi="宋体" w:eastAsia="宋体" w:cs="宋体"/>
          <w:color w:val="auto"/>
          <w:highlight w:val="none"/>
        </w:rPr>
        <w:t>第六章  附  则</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第二十二条(解释相关)</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本办法由市财政局会同中国人民银行成都分行营业管理部负责解释。</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第二十三条(施行相关)</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本办法自印发之日起施行。市财政局、市金融办2013年12月9日印发的《关于开展中小企业政府采购信用担保及融资试点工作的通知》(成财采〔2013〕200号)同时废止。</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topLinePunct/>
        <w:adjustRightInd/>
        <w:rPr>
          <w:rFonts w:hint="eastAsia" w:ascii="宋体" w:hAnsi="宋体" w:eastAsia="宋体" w:cs="宋体"/>
          <w:color w:val="auto"/>
          <w:highlight w:val="none"/>
        </w:rPr>
      </w:pPr>
      <w:r>
        <w:rPr>
          <w:rFonts w:hint="eastAsia" w:ascii="宋体" w:hAnsi="宋体" w:eastAsia="宋体" w:cs="宋体"/>
          <w:color w:val="auto"/>
          <w:highlight w:val="none"/>
        </w:rPr>
        <w:t>附件2</w:t>
      </w:r>
    </w:p>
    <w:p>
      <w:pPr>
        <w:topLinePunct/>
        <w:adjustRightInd/>
        <w:ind w:firstLine="480" w:firstLineChars="200"/>
        <w:rPr>
          <w:rFonts w:hint="eastAsia" w:ascii="宋体" w:hAnsi="宋体" w:eastAsia="宋体" w:cs="宋体"/>
          <w:color w:val="auto"/>
          <w:highlight w:val="none"/>
        </w:rPr>
      </w:pPr>
    </w:p>
    <w:p>
      <w:pPr>
        <w:topLinePunct/>
        <w:adjustRightInd/>
        <w:jc w:val="center"/>
        <w:rPr>
          <w:rFonts w:hint="eastAsia" w:ascii="宋体" w:hAnsi="宋体" w:eastAsia="宋体" w:cs="宋体"/>
          <w:color w:val="auto"/>
          <w:highlight w:val="none"/>
        </w:rPr>
      </w:pPr>
      <w:r>
        <w:rPr>
          <w:rFonts w:hint="eastAsia" w:ascii="宋体" w:hAnsi="宋体" w:eastAsia="宋体" w:cs="宋体"/>
          <w:color w:val="auto"/>
          <w:highlight w:val="none"/>
        </w:rPr>
        <w:t>成都市级支持中小企业政府采购</w:t>
      </w:r>
    </w:p>
    <w:p>
      <w:pPr>
        <w:topLinePunct/>
        <w:adjustRightInd/>
        <w:jc w:val="center"/>
        <w:rPr>
          <w:rFonts w:hint="eastAsia" w:ascii="宋体" w:hAnsi="宋体" w:eastAsia="宋体" w:cs="宋体"/>
          <w:color w:val="auto"/>
          <w:highlight w:val="none"/>
        </w:rPr>
      </w:pPr>
      <w:r>
        <w:rPr>
          <w:rFonts w:hint="eastAsia" w:ascii="宋体" w:hAnsi="宋体" w:eastAsia="宋体" w:cs="宋体"/>
          <w:color w:val="auto"/>
          <w:highlight w:val="none"/>
        </w:rPr>
        <w:t>信用融资实施方案</w:t>
      </w:r>
    </w:p>
    <w:p>
      <w:pPr>
        <w:topLinePunct/>
        <w:adjustRightInd/>
        <w:ind w:firstLine="480" w:firstLineChars="200"/>
        <w:rPr>
          <w:rFonts w:hint="eastAsia" w:ascii="宋体" w:hAnsi="宋体" w:eastAsia="宋体" w:cs="宋体"/>
          <w:color w:val="auto"/>
          <w:highlight w:val="none"/>
        </w:rPr>
      </w:pP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一、目标任务</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二、适用范围</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本《实施方案》适用于成都市本级政府采购信用融资工作。</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三、基本原则 </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四、组织实施</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(一)宣传动员</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(二)融资机构选择</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(1)融资机构基本情况；</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(2)政府采购信用融资实施方案(包括授信政策、融资产品、贷款利率及其它优惠措施、业务流程及各环节办结时间、联系方式等)；</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(3)关于遵照《暂行办法》和《实施方案》开展政府采购信用融资业务的承诺；</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(4)关于政府采购信用融资业务风险及系统对接研发费用自行承担的承诺。</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2．系统对接。融资机构成功报名后，须按要求完成政府采购信用融资业务与成都市政府采购监督管理系统的技术对接。</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3．确定融资机构。市财政局将完成系统对接的融资机构确定为我市开展政府采购信用融资业务的融资机构，并在成都市政府采购监督管理系统集中展示，为供应商开展融资提供指引。</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(三)其他事项</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五、相关要求</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(一)加强组织领导。</w:t>
      </w:r>
      <w:r>
        <w:rPr>
          <w:rFonts w:hint="eastAsia" w:ascii="宋体" w:hAnsi="宋体" w:eastAsia="宋体" w:cs="宋体"/>
          <w:color w:val="auto"/>
          <w:kern w:val="0"/>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color w:val="auto"/>
          <w:highlight w:val="none"/>
        </w:rPr>
        <w:t>全面、有序、科学推进政府采购信用融资工作。</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(二)注重协调配合。</w:t>
      </w:r>
      <w:r>
        <w:rPr>
          <w:rFonts w:hint="eastAsia" w:ascii="宋体" w:hAnsi="宋体" w:eastAsia="宋体" w:cs="宋体"/>
          <w:color w:val="auto"/>
          <w:kern w:val="0"/>
          <w:highlight w:val="none"/>
        </w:rPr>
        <w:t>市财政局、中国人民银行成都分行营业管理部及采购人</w:t>
      </w:r>
      <w:r>
        <w:rPr>
          <w:rFonts w:hint="eastAsia" w:ascii="宋体" w:hAnsi="宋体" w:eastAsia="宋体" w:cs="宋体"/>
          <w:color w:val="auto"/>
          <w:highlight w:val="none"/>
        </w:rPr>
        <w:t>等有关单位要根据职责任务，及时协调解决工作中遇到的困难和问题，积极</w:t>
      </w:r>
      <w:r>
        <w:rPr>
          <w:rFonts w:hint="eastAsia" w:ascii="宋体" w:hAnsi="宋体" w:eastAsia="宋体" w:cs="宋体"/>
          <w:color w:val="auto"/>
          <w:kern w:val="0"/>
          <w:highlight w:val="none"/>
        </w:rPr>
        <w:t>创造条件主动服务，帮助有融资需求、符合条件的供应商实现政府采购信用融资，促进中小企业又好又快发展</w:t>
      </w:r>
      <w:r>
        <w:rPr>
          <w:rFonts w:hint="eastAsia" w:ascii="宋体" w:hAnsi="宋体" w:eastAsia="宋体" w:cs="宋体"/>
          <w:color w:val="auto"/>
          <w:highlight w:val="none"/>
        </w:rPr>
        <w:t>。</w:t>
      </w:r>
    </w:p>
    <w:p>
      <w:pPr>
        <w:topLinePunct/>
        <w:adjustRightInd/>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56"/>
        <w:ind w:firstLine="482"/>
        <w:rPr>
          <w:rFonts w:hint="eastAsia" w:ascii="宋体" w:hAnsi="宋体" w:eastAsia="宋体" w:cs="宋体"/>
          <w:color w:val="auto"/>
          <w:highlight w:val="none"/>
        </w:rPr>
      </w:pPr>
    </w:p>
    <w:p>
      <w:pPr>
        <w:pStyle w:val="56"/>
        <w:ind w:firstLine="482"/>
        <w:rPr>
          <w:rFonts w:hint="eastAsia" w:ascii="宋体" w:hAnsi="宋体" w:eastAsia="宋体" w:cs="宋体"/>
          <w:color w:val="auto"/>
          <w:highlight w:val="none"/>
        </w:rPr>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FFEFA79-9A44-446F-9176-66B6C835620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70FACCF0-D1F9-419F-91E3-14E91EDA9DC4}"/>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iconfont">
    <w:altName w:val="Segoe Print"/>
    <w:panose1 w:val="00000000000000000000"/>
    <w:charset w:val="00"/>
    <w:family w:val="auto"/>
    <w:pitch w:val="default"/>
    <w:sig w:usb0="00000000" w:usb1="00000000" w:usb2="00000000" w:usb3="00000000" w:csb0="00000000" w:csb1="00000000"/>
  </w:font>
  <w:font w:name="Monospaced Number">
    <w:altName w:val="Segoe Print"/>
    <w:panose1 w:val="00000000000000000000"/>
    <w:charset w:val="00"/>
    <w:family w:val="auto"/>
    <w:pitch w:val="default"/>
    <w:sig w:usb0="00000000" w:usb1="00000000" w:usb2="00000000" w:usb3="00000000" w:csb0="00000000" w:csb1="00000000"/>
  </w:font>
  <w:font w:name="bid-icon">
    <w:altName w:val="Segoe Print"/>
    <w:panose1 w:val="00000000000000000000"/>
    <w:charset w:val="00"/>
    <w:family w:val="auto"/>
    <w:pitch w:val="default"/>
    <w:sig w:usb0="00000000" w:usb1="00000000" w:usb2="00000000" w:usb3="00000000" w:csb0="00000000" w:csb1="00000000"/>
  </w:font>
  <w:font w:name="Chinese Quote">
    <w:altName w:val="Segoe Print"/>
    <w:panose1 w:val="00000000000000000000"/>
    <w:charset w:val="00"/>
    <w:family w:val="auto"/>
    <w:pitch w:val="default"/>
    <w:sig w:usb0="00000000" w:usb1="00000000" w:usb2="00000000" w:usb3="00000000" w:csb0="00000000" w:csb1="00000000"/>
  </w:font>
  <w:font w:name="anticon">
    <w:altName w:val="Segoe Print"/>
    <w:panose1 w:val="00000000000000000000"/>
    <w:charset w:val="00"/>
    <w:family w:val="auto"/>
    <w:pitch w:val="default"/>
    <w:sig w:usb0="00000000" w:usb1="00000000" w:usb2="00000000" w:usb3="00000000" w:csb0="00000000" w:csb1="00000000"/>
  </w:font>
  <w:font w:name="sessionfont">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Arial">
    <w:panose1 w:val="020B0604020202020204"/>
    <w:charset w:val="00"/>
    <w:family w:val="auto"/>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ind w:right="360"/>
      <w:rPr>
        <w:sz w:val="15"/>
        <w:szCs w:val="15"/>
      </w:rPr>
    </w:pPr>
    <w:r>
      <w:rPr>
        <w:rFonts w:hAnsi="Calibri" w:cs="黑体"/>
        <w:sz w:val="15"/>
        <w:szCs w:val="20"/>
      </w:rPr>
      <mc:AlternateContent>
        <mc:Choice Requires="wps">
          <w:drawing>
            <wp:anchor distT="0" distB="0" distL="114300" distR="114300" simplePos="0" relativeHeight="251663360"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rPr>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3360;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rPr>
                        <w:sz w:val="18"/>
                      </w:rPr>
                    </w:pPr>
                  </w:p>
                </w:txbxContent>
              </v:textbox>
            </v:rect>
          </w:pict>
        </mc:Fallback>
      </mc:AlternateContent>
    </w:r>
    <w:r>
      <w:rPr>
        <w:rFonts w:hint="eastAsia"/>
        <w:sz w:val="15"/>
        <w:szCs w:val="15"/>
      </w:rPr>
      <w:t>地址：成都市高新区吉庆三路333号蜀都中心二期一号楼一单元401号                                         邮政编码：610041</w:t>
    </w:r>
  </w:p>
  <w:p>
    <w:pPr>
      <w:pStyle w:val="15"/>
      <w:tabs>
        <w:tab w:val="center" w:pos="4153"/>
        <w:tab w:val="right" w:pos="8306"/>
        <w:tab w:val="clear" w:pos="0"/>
      </w:tabs>
      <w:ind w:right="360"/>
    </w:pPr>
    <w:r>
      <w:rPr>
        <w:rFonts w:hint="eastAsia"/>
        <w:sz w:val="15"/>
        <w:szCs w:val="15"/>
      </w:rPr>
      <w:t>电话(TEL)：86-028-61375575、62600820、62630990                                                            传真(FAX)：028-83381268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99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UCbQ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dUCbQtAgAAVwQAAA4AAAAAAAAAAQAgAAAAHwEAAGRycy9lMm9Eb2MueG1sUEsFBgAAAAAG&#10;AAYAWQEAAL4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99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ZWvQtAgAAVw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8ZWvQtAgAAVwQAAA4AAAAAAAAAAQAgAAAAHwEAAGRycy9lMm9Eb2MueG1sUEsFBgAAAAAG&#10;AAYAWQEAAL4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b/>
        <w:bCs/>
      </w:rPr>
    </w:pPr>
    <w:r>
      <w:rPr>
        <w:rFonts w:hAnsi="Calibri" w:cs="黑体"/>
        <w:sz w:val="20"/>
        <w:szCs w:val="11"/>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rPr>
      <w:t>四川乾新招投标代理有限公司</w:t>
    </w:r>
  </w:p>
  <w:p>
    <w:pPr>
      <w:pStyle w:val="16"/>
      <w:pBdr>
        <w:bottom w:val="single" w:color="auto" w:sz="4" w:space="1"/>
      </w:pBdr>
      <w:tabs>
        <w:tab w:val="center" w:pos="4153"/>
        <w:tab w:val="right" w:pos="8306"/>
        <w:tab w:val="clear" w:pos="0"/>
      </w:tabs>
      <w:jc w:val="left"/>
    </w:pPr>
    <w:r>
      <w:rPr>
        <w:rFonts w:hint="eastAsia"/>
        <w:b/>
        <w:bCs/>
      </w:rPr>
      <w:t xml:space="preserve">        Si Chuan Qian Xin Tendering and Bidding Agency Co.Ltd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1A1B50"/>
    <w:multiLevelType w:val="singleLevel"/>
    <w:tmpl w:val="8C1A1B50"/>
    <w:lvl w:ilvl="0" w:tentative="0">
      <w:start w:val="1"/>
      <w:numFmt w:val="decimal"/>
      <w:lvlText w:val="%1."/>
      <w:lvlJc w:val="left"/>
      <w:pPr>
        <w:tabs>
          <w:tab w:val="left" w:pos="312"/>
        </w:tabs>
      </w:pPr>
    </w:lvl>
  </w:abstractNum>
  <w:abstractNum w:abstractNumId="1">
    <w:nsid w:val="B04D8E0A"/>
    <w:multiLevelType w:val="multilevel"/>
    <w:tmpl w:val="B04D8E0A"/>
    <w:lvl w:ilvl="0" w:tentative="0">
      <w:start w:val="1"/>
      <w:numFmt w:val="chineseCounting"/>
      <w:pStyle w:val="29"/>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1"/>
      <w:suff w:val="nothing"/>
      <w:lvlText w:val="%2、"/>
      <w:lvlJc w:val="left"/>
      <w:pPr>
        <w:ind w:left="0" w:firstLine="0"/>
      </w:pPr>
      <w:rPr>
        <w:rFonts w:hint="eastAsia" w:ascii="宋体" w:hAnsi="宋体" w:eastAsia="宋体" w:cs="宋体"/>
      </w:rPr>
    </w:lvl>
    <w:lvl w:ilvl="2" w:tentative="0">
      <w:start w:val="1"/>
      <w:numFmt w:val="chineseCounting"/>
      <w:pStyle w:val="32"/>
      <w:suff w:val="nothing"/>
      <w:lvlText w:val="(%3)"/>
      <w:lvlJc w:val="left"/>
      <w:pPr>
        <w:tabs>
          <w:tab w:val="left" w:pos="0"/>
        </w:tabs>
        <w:ind w:left="0" w:firstLine="0"/>
      </w:pPr>
      <w:rPr>
        <w:rFonts w:hint="eastAsia" w:ascii="宋体" w:hAnsi="宋体" w:eastAsia="宋体" w:cs="宋体"/>
      </w:rPr>
    </w:lvl>
    <w:lvl w:ilvl="3" w:tentative="0">
      <w:start w:val="1"/>
      <w:numFmt w:val="decimal"/>
      <w:pStyle w:val="33"/>
      <w:suff w:val="nothing"/>
      <w:lvlText w:val="%4."/>
      <w:lvlJc w:val="left"/>
      <w:pPr>
        <w:tabs>
          <w:tab w:val="left" w:pos="0"/>
        </w:tabs>
        <w:ind w:left="0" w:firstLine="0"/>
      </w:pPr>
      <w:rPr>
        <w:rFonts w:hint="eastAsia" w:ascii="宋体" w:hAnsi="宋体" w:eastAsia="宋体" w:cs="宋体"/>
      </w:rPr>
    </w:lvl>
    <w:lvl w:ilvl="4" w:tentative="0">
      <w:start w:val="1"/>
      <w:numFmt w:val="decimal"/>
      <w:pStyle w:val="35"/>
      <w:suff w:val="nothing"/>
      <w:lvlText w:val="%4.%5"/>
      <w:lvlJc w:val="left"/>
      <w:pPr>
        <w:ind w:left="0" w:firstLine="0"/>
      </w:pPr>
      <w:rPr>
        <w:rFonts w:hint="eastAsia" w:ascii="宋体" w:hAnsi="宋体" w:eastAsia="宋体" w:cs="宋体"/>
      </w:rPr>
    </w:lvl>
    <w:lvl w:ilvl="5" w:tentative="0">
      <w:start w:val="1"/>
      <w:numFmt w:val="decimal"/>
      <w:pStyle w:val="36"/>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C7F53590"/>
    <w:multiLevelType w:val="multilevel"/>
    <w:tmpl w:val="C7F53590"/>
    <w:lvl w:ilvl="0" w:tentative="0">
      <w:start w:val="1"/>
      <w:numFmt w:val="decimal"/>
      <w:pStyle w:val="49"/>
      <w:suff w:val="nothing"/>
      <w:lvlText w:val="%1."/>
      <w:lvlJc w:val="left"/>
      <w:pPr>
        <w:tabs>
          <w:tab w:val="left" w:pos="420"/>
        </w:tabs>
        <w:ind w:left="0" w:firstLine="0"/>
      </w:pPr>
      <w:rPr>
        <w:rFonts w:hint="default" w:ascii="宋体" w:hAnsi="宋体" w:eastAsia="宋体" w:cs="宋体"/>
      </w:rPr>
    </w:lvl>
    <w:lvl w:ilvl="1" w:tentative="0">
      <w:start w:val="1"/>
      <w:numFmt w:val="decimal"/>
      <w:pStyle w:val="50"/>
      <w:suff w:val="nothing"/>
      <w:lvlText w:val="%1.%2"/>
      <w:lvlJc w:val="left"/>
      <w:pPr>
        <w:tabs>
          <w:tab w:val="left" w:pos="420"/>
        </w:tabs>
        <w:ind w:left="0" w:firstLine="0"/>
      </w:pPr>
      <w:rPr>
        <w:rFonts w:hint="default" w:ascii="宋体" w:hAnsi="宋体" w:eastAsia="宋体" w:cs="宋体"/>
      </w:rPr>
    </w:lvl>
    <w:lvl w:ilvl="2" w:tentative="0">
      <w:start w:val="1"/>
      <w:numFmt w:val="decimal"/>
      <w:pStyle w:val="51"/>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CA240A61"/>
    <w:multiLevelType w:val="singleLevel"/>
    <w:tmpl w:val="CA240A61"/>
    <w:lvl w:ilvl="0" w:tentative="0">
      <w:start w:val="1"/>
      <w:numFmt w:val="chineseCounting"/>
      <w:pStyle w:val="77"/>
      <w:suff w:val="nothing"/>
      <w:lvlText w:val="(%1)"/>
      <w:lvlJc w:val="left"/>
      <w:pPr>
        <w:ind w:left="0" w:firstLine="0"/>
      </w:pPr>
      <w:rPr>
        <w:rFonts w:hint="eastAsia"/>
      </w:rPr>
    </w:lvl>
  </w:abstractNum>
  <w:abstractNum w:abstractNumId="4">
    <w:nsid w:val="D2F3B81A"/>
    <w:multiLevelType w:val="singleLevel"/>
    <w:tmpl w:val="D2F3B81A"/>
    <w:lvl w:ilvl="0" w:tentative="0">
      <w:start w:val="1"/>
      <w:numFmt w:val="chineseCounting"/>
      <w:pStyle w:val="53"/>
      <w:suff w:val="nothing"/>
      <w:lvlText w:val="%1、"/>
      <w:lvlJc w:val="left"/>
      <w:pPr>
        <w:ind w:left="0" w:firstLine="0"/>
      </w:pPr>
      <w:rPr>
        <w:rFonts w:hint="eastAsia"/>
        <w:lang w:val="en-US"/>
      </w:rPr>
    </w:lvl>
  </w:abstractNum>
  <w:abstractNum w:abstractNumId="5">
    <w:nsid w:val="DCCDE3B6"/>
    <w:multiLevelType w:val="singleLevel"/>
    <w:tmpl w:val="DCCDE3B6"/>
    <w:lvl w:ilvl="0" w:tentative="0">
      <w:start w:val="1"/>
      <w:numFmt w:val="decimal"/>
      <w:lvlText w:val="%1"/>
      <w:lvlJc w:val="left"/>
      <w:pPr>
        <w:tabs>
          <w:tab w:val="left" w:pos="0"/>
        </w:tabs>
        <w:ind w:left="0" w:firstLine="0"/>
      </w:pPr>
      <w:rPr>
        <w:rFonts w:hint="default"/>
      </w:rPr>
    </w:lvl>
  </w:abstractNum>
  <w:abstractNum w:abstractNumId="6">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44"/>
      <w:suff w:val="nothing"/>
      <w:lvlText w:val="(%2)"/>
      <w:lvlJc w:val="left"/>
      <w:pPr>
        <w:ind w:left="0" w:firstLine="0"/>
      </w:pPr>
      <w:rPr>
        <w:rFonts w:hint="eastAsia" w:ascii="宋体" w:hAnsi="宋体" w:eastAsia="宋体" w:cs="宋体"/>
      </w:rPr>
    </w:lvl>
    <w:lvl w:ilvl="2" w:tentative="0">
      <w:start w:val="1"/>
      <w:numFmt w:val="decimal"/>
      <w:pStyle w:val="46"/>
      <w:suff w:val="nothing"/>
      <w:lvlText w:val="%3."/>
      <w:lvlJc w:val="left"/>
      <w:pPr>
        <w:ind w:left="0" w:firstLine="0"/>
      </w:pPr>
      <w:rPr>
        <w:rFonts w:hint="eastAsia" w:ascii="宋体" w:hAnsi="宋体" w:eastAsia="宋体" w:cs="宋体"/>
      </w:rPr>
    </w:lvl>
    <w:lvl w:ilvl="3" w:tentative="0">
      <w:start w:val="1"/>
      <w:numFmt w:val="decimal"/>
      <w:pStyle w:val="47"/>
      <w:suff w:val="nothing"/>
      <w:lvlText w:val="%3.%4"/>
      <w:lvlJc w:val="left"/>
      <w:pPr>
        <w:ind w:left="0" w:firstLine="0"/>
      </w:pPr>
      <w:rPr>
        <w:rFonts w:hint="eastAsia" w:ascii="宋体" w:hAnsi="宋体" w:eastAsia="宋体" w:cs="宋体"/>
      </w:rPr>
    </w:lvl>
    <w:lvl w:ilvl="4" w:tentative="0">
      <w:start w:val="1"/>
      <w:numFmt w:val="decimal"/>
      <w:pStyle w:val="48"/>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7">
    <w:nsid w:val="E69990DB"/>
    <w:multiLevelType w:val="singleLevel"/>
    <w:tmpl w:val="E69990DB"/>
    <w:lvl w:ilvl="0" w:tentative="0">
      <w:start w:val="1"/>
      <w:numFmt w:val="chineseCounting"/>
      <w:suff w:val="nothing"/>
      <w:lvlText w:val="%1、"/>
      <w:lvlJc w:val="left"/>
      <w:pPr>
        <w:ind w:left="0" w:firstLine="420"/>
      </w:pPr>
      <w:rPr>
        <w:rFonts w:hint="eastAsia"/>
      </w:rPr>
    </w:lvl>
  </w:abstractNum>
  <w:abstractNum w:abstractNumId="8">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9">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1">
    <w:nsid w:val="5D053081"/>
    <w:multiLevelType w:val="singleLevel"/>
    <w:tmpl w:val="5D053081"/>
    <w:lvl w:ilvl="0" w:tentative="0">
      <w:start w:val="1"/>
      <w:numFmt w:val="chineseCounting"/>
      <w:suff w:val="nothing"/>
      <w:lvlText w:val="%1、"/>
      <w:lvlJc w:val="left"/>
      <w:pPr>
        <w:ind w:left="0" w:firstLine="420"/>
      </w:pPr>
      <w:rPr>
        <w:rFonts w:hint="eastAsia"/>
      </w:rPr>
    </w:lvl>
  </w:abstractNum>
  <w:num w:numId="1">
    <w:abstractNumId w:val="6"/>
  </w:num>
  <w:num w:numId="2">
    <w:abstractNumId w:val="1"/>
  </w:num>
  <w:num w:numId="3">
    <w:abstractNumId w:val="10"/>
  </w:num>
  <w:num w:numId="4">
    <w:abstractNumId w:val="2"/>
  </w:num>
  <w:num w:numId="5">
    <w:abstractNumId w:val="4"/>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hideSpellingErrors/>
  <w:documentProtection w:edit="forms" w:enforcement="1" w:cryptProviderType="rsaFull" w:cryptAlgorithmClass="hash" w:cryptAlgorithmType="typeAny" w:cryptAlgorithmSid="4" w:cryptSpinCount="0" w:hash="L6jMZZWB9OkTTrE4bIl+aWk8udg=" w:salt="QqO1/6fzvljX/yVNQPccbA=="/>
  <w:defaultTabStop w:val="0"/>
  <w:drawingGridHorizontalSpacing w:val="2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06C26"/>
    <w:rsid w:val="000168D4"/>
    <w:rsid w:val="00017AAA"/>
    <w:rsid w:val="000238FB"/>
    <w:rsid w:val="00031BC7"/>
    <w:rsid w:val="00034624"/>
    <w:rsid w:val="00040277"/>
    <w:rsid w:val="00041D5C"/>
    <w:rsid w:val="000504D4"/>
    <w:rsid w:val="00050929"/>
    <w:rsid w:val="000552F1"/>
    <w:rsid w:val="00071F90"/>
    <w:rsid w:val="000745F0"/>
    <w:rsid w:val="0007665C"/>
    <w:rsid w:val="00080967"/>
    <w:rsid w:val="00083410"/>
    <w:rsid w:val="00083A85"/>
    <w:rsid w:val="00084746"/>
    <w:rsid w:val="00094614"/>
    <w:rsid w:val="000A22EE"/>
    <w:rsid w:val="000B25B6"/>
    <w:rsid w:val="000B7840"/>
    <w:rsid w:val="000C692F"/>
    <w:rsid w:val="000D7DD0"/>
    <w:rsid w:val="000F221A"/>
    <w:rsid w:val="0010191C"/>
    <w:rsid w:val="001025A9"/>
    <w:rsid w:val="0010309E"/>
    <w:rsid w:val="001041B4"/>
    <w:rsid w:val="001178F3"/>
    <w:rsid w:val="0012071D"/>
    <w:rsid w:val="00127F82"/>
    <w:rsid w:val="00146705"/>
    <w:rsid w:val="001473B9"/>
    <w:rsid w:val="00150202"/>
    <w:rsid w:val="00152049"/>
    <w:rsid w:val="00166040"/>
    <w:rsid w:val="001672A1"/>
    <w:rsid w:val="00172A27"/>
    <w:rsid w:val="001747EE"/>
    <w:rsid w:val="00180AAC"/>
    <w:rsid w:val="00182FFF"/>
    <w:rsid w:val="00183077"/>
    <w:rsid w:val="00190708"/>
    <w:rsid w:val="001937D5"/>
    <w:rsid w:val="001B12C4"/>
    <w:rsid w:val="001B13BE"/>
    <w:rsid w:val="001B5A55"/>
    <w:rsid w:val="001B6050"/>
    <w:rsid w:val="001C42C5"/>
    <w:rsid w:val="001C57D3"/>
    <w:rsid w:val="001E2AED"/>
    <w:rsid w:val="001E4942"/>
    <w:rsid w:val="001E6888"/>
    <w:rsid w:val="002214E7"/>
    <w:rsid w:val="00225683"/>
    <w:rsid w:val="00226F5B"/>
    <w:rsid w:val="00234073"/>
    <w:rsid w:val="002435A0"/>
    <w:rsid w:val="0024360B"/>
    <w:rsid w:val="00243FF7"/>
    <w:rsid w:val="00247B38"/>
    <w:rsid w:val="0025536B"/>
    <w:rsid w:val="002565E2"/>
    <w:rsid w:val="00267611"/>
    <w:rsid w:val="00273E7E"/>
    <w:rsid w:val="002771FF"/>
    <w:rsid w:val="00282CD9"/>
    <w:rsid w:val="00287F4F"/>
    <w:rsid w:val="00290AF1"/>
    <w:rsid w:val="00292D2E"/>
    <w:rsid w:val="00296501"/>
    <w:rsid w:val="002B5D9A"/>
    <w:rsid w:val="002B6AE7"/>
    <w:rsid w:val="002B79CA"/>
    <w:rsid w:val="002E06BF"/>
    <w:rsid w:val="002E1A1C"/>
    <w:rsid w:val="002E5F48"/>
    <w:rsid w:val="002F05A6"/>
    <w:rsid w:val="002F0EA4"/>
    <w:rsid w:val="002F3BB7"/>
    <w:rsid w:val="00315B60"/>
    <w:rsid w:val="003274CB"/>
    <w:rsid w:val="00346B27"/>
    <w:rsid w:val="00353E82"/>
    <w:rsid w:val="00396369"/>
    <w:rsid w:val="00396A42"/>
    <w:rsid w:val="003A5828"/>
    <w:rsid w:val="003B2228"/>
    <w:rsid w:val="003C13E4"/>
    <w:rsid w:val="003D0BD4"/>
    <w:rsid w:val="003D21F1"/>
    <w:rsid w:val="003D6C86"/>
    <w:rsid w:val="003E1DCC"/>
    <w:rsid w:val="003E37A5"/>
    <w:rsid w:val="003F3464"/>
    <w:rsid w:val="003F4651"/>
    <w:rsid w:val="004047A6"/>
    <w:rsid w:val="00410967"/>
    <w:rsid w:val="00411E40"/>
    <w:rsid w:val="00415E21"/>
    <w:rsid w:val="0042186C"/>
    <w:rsid w:val="00425B9B"/>
    <w:rsid w:val="00427695"/>
    <w:rsid w:val="00445ADF"/>
    <w:rsid w:val="0046727E"/>
    <w:rsid w:val="00482071"/>
    <w:rsid w:val="00483674"/>
    <w:rsid w:val="004861AE"/>
    <w:rsid w:val="00486D20"/>
    <w:rsid w:val="00495036"/>
    <w:rsid w:val="004A103A"/>
    <w:rsid w:val="004A6781"/>
    <w:rsid w:val="004A7D40"/>
    <w:rsid w:val="004B0604"/>
    <w:rsid w:val="004B4092"/>
    <w:rsid w:val="004B62A5"/>
    <w:rsid w:val="004E0FDD"/>
    <w:rsid w:val="004E1301"/>
    <w:rsid w:val="004E2153"/>
    <w:rsid w:val="004E70DE"/>
    <w:rsid w:val="004F1325"/>
    <w:rsid w:val="004F2F95"/>
    <w:rsid w:val="005022C6"/>
    <w:rsid w:val="00505D40"/>
    <w:rsid w:val="00506600"/>
    <w:rsid w:val="00517A7A"/>
    <w:rsid w:val="00526D76"/>
    <w:rsid w:val="00534CC1"/>
    <w:rsid w:val="00551430"/>
    <w:rsid w:val="0055405D"/>
    <w:rsid w:val="00554499"/>
    <w:rsid w:val="00557A19"/>
    <w:rsid w:val="005601DD"/>
    <w:rsid w:val="00570AEE"/>
    <w:rsid w:val="00570E40"/>
    <w:rsid w:val="00573162"/>
    <w:rsid w:val="005824B3"/>
    <w:rsid w:val="00582B3F"/>
    <w:rsid w:val="0059574F"/>
    <w:rsid w:val="005A2BA7"/>
    <w:rsid w:val="005A64A4"/>
    <w:rsid w:val="005A7C81"/>
    <w:rsid w:val="005B0CE1"/>
    <w:rsid w:val="005C0DB7"/>
    <w:rsid w:val="005E2361"/>
    <w:rsid w:val="005F3F05"/>
    <w:rsid w:val="0060449E"/>
    <w:rsid w:val="006058A4"/>
    <w:rsid w:val="006109FE"/>
    <w:rsid w:val="00614BF4"/>
    <w:rsid w:val="00616B6E"/>
    <w:rsid w:val="006229C7"/>
    <w:rsid w:val="00633858"/>
    <w:rsid w:val="00635AA0"/>
    <w:rsid w:val="00664212"/>
    <w:rsid w:val="0066680D"/>
    <w:rsid w:val="00666B45"/>
    <w:rsid w:val="00667C1B"/>
    <w:rsid w:val="00670841"/>
    <w:rsid w:val="006708EE"/>
    <w:rsid w:val="006778E4"/>
    <w:rsid w:val="00682A18"/>
    <w:rsid w:val="006934B4"/>
    <w:rsid w:val="00694C4F"/>
    <w:rsid w:val="006B1D4C"/>
    <w:rsid w:val="006C21DD"/>
    <w:rsid w:val="006D1274"/>
    <w:rsid w:val="006E1201"/>
    <w:rsid w:val="006F6EF3"/>
    <w:rsid w:val="0072290D"/>
    <w:rsid w:val="00722E70"/>
    <w:rsid w:val="00731AB5"/>
    <w:rsid w:val="00735F80"/>
    <w:rsid w:val="0074524D"/>
    <w:rsid w:val="00781E7A"/>
    <w:rsid w:val="00784579"/>
    <w:rsid w:val="00791E1F"/>
    <w:rsid w:val="007A10E6"/>
    <w:rsid w:val="007A7675"/>
    <w:rsid w:val="007B1DC3"/>
    <w:rsid w:val="007B1F36"/>
    <w:rsid w:val="007B3BA7"/>
    <w:rsid w:val="007C4C99"/>
    <w:rsid w:val="007C7BD7"/>
    <w:rsid w:val="007D09EC"/>
    <w:rsid w:val="007D52D0"/>
    <w:rsid w:val="007F1BD9"/>
    <w:rsid w:val="007F300C"/>
    <w:rsid w:val="008003F4"/>
    <w:rsid w:val="008016F9"/>
    <w:rsid w:val="008062AE"/>
    <w:rsid w:val="00811328"/>
    <w:rsid w:val="00815299"/>
    <w:rsid w:val="00815C57"/>
    <w:rsid w:val="00815F35"/>
    <w:rsid w:val="0081763C"/>
    <w:rsid w:val="0082614F"/>
    <w:rsid w:val="008352AC"/>
    <w:rsid w:val="00835973"/>
    <w:rsid w:val="008379BF"/>
    <w:rsid w:val="008444F6"/>
    <w:rsid w:val="008444F9"/>
    <w:rsid w:val="0084655C"/>
    <w:rsid w:val="00850B71"/>
    <w:rsid w:val="008530D1"/>
    <w:rsid w:val="0085639C"/>
    <w:rsid w:val="008738BD"/>
    <w:rsid w:val="0087454D"/>
    <w:rsid w:val="008775AB"/>
    <w:rsid w:val="00890D7F"/>
    <w:rsid w:val="008A0EB1"/>
    <w:rsid w:val="008A2076"/>
    <w:rsid w:val="008B4056"/>
    <w:rsid w:val="008D2B7C"/>
    <w:rsid w:val="008E659E"/>
    <w:rsid w:val="008F1529"/>
    <w:rsid w:val="008F1CB6"/>
    <w:rsid w:val="008F717E"/>
    <w:rsid w:val="008F74EB"/>
    <w:rsid w:val="00902627"/>
    <w:rsid w:val="00923DF0"/>
    <w:rsid w:val="00931981"/>
    <w:rsid w:val="00932AFD"/>
    <w:rsid w:val="00942ED3"/>
    <w:rsid w:val="00945986"/>
    <w:rsid w:val="00946F94"/>
    <w:rsid w:val="00964A59"/>
    <w:rsid w:val="00973102"/>
    <w:rsid w:val="00982A2C"/>
    <w:rsid w:val="00990893"/>
    <w:rsid w:val="009919A7"/>
    <w:rsid w:val="009950A5"/>
    <w:rsid w:val="00997D49"/>
    <w:rsid w:val="009A3385"/>
    <w:rsid w:val="009A64FC"/>
    <w:rsid w:val="009C43E6"/>
    <w:rsid w:val="009D01D2"/>
    <w:rsid w:val="009D766D"/>
    <w:rsid w:val="009E1E4F"/>
    <w:rsid w:val="009F3381"/>
    <w:rsid w:val="009F56FE"/>
    <w:rsid w:val="009F5992"/>
    <w:rsid w:val="00A23AFB"/>
    <w:rsid w:val="00A3273B"/>
    <w:rsid w:val="00A466E6"/>
    <w:rsid w:val="00A47F1F"/>
    <w:rsid w:val="00A502FF"/>
    <w:rsid w:val="00A75A1A"/>
    <w:rsid w:val="00A837A5"/>
    <w:rsid w:val="00A95C07"/>
    <w:rsid w:val="00AA11C2"/>
    <w:rsid w:val="00AA51C1"/>
    <w:rsid w:val="00AB023E"/>
    <w:rsid w:val="00AB1F87"/>
    <w:rsid w:val="00AB65CA"/>
    <w:rsid w:val="00AB67D8"/>
    <w:rsid w:val="00AC2F78"/>
    <w:rsid w:val="00AC5E59"/>
    <w:rsid w:val="00AF3998"/>
    <w:rsid w:val="00AF70BD"/>
    <w:rsid w:val="00B07B2E"/>
    <w:rsid w:val="00B24273"/>
    <w:rsid w:val="00B31BB9"/>
    <w:rsid w:val="00B31CC3"/>
    <w:rsid w:val="00B40953"/>
    <w:rsid w:val="00B409A3"/>
    <w:rsid w:val="00B42D84"/>
    <w:rsid w:val="00B62D28"/>
    <w:rsid w:val="00B649F9"/>
    <w:rsid w:val="00B664DE"/>
    <w:rsid w:val="00B90629"/>
    <w:rsid w:val="00BA2262"/>
    <w:rsid w:val="00BA69F4"/>
    <w:rsid w:val="00BA6D13"/>
    <w:rsid w:val="00BA7407"/>
    <w:rsid w:val="00BB299F"/>
    <w:rsid w:val="00BB4009"/>
    <w:rsid w:val="00BE1766"/>
    <w:rsid w:val="00BE194A"/>
    <w:rsid w:val="00BF4E9E"/>
    <w:rsid w:val="00C00F81"/>
    <w:rsid w:val="00C06E6E"/>
    <w:rsid w:val="00C122C8"/>
    <w:rsid w:val="00C17A63"/>
    <w:rsid w:val="00C35487"/>
    <w:rsid w:val="00C43BC1"/>
    <w:rsid w:val="00C646CE"/>
    <w:rsid w:val="00CA0AAA"/>
    <w:rsid w:val="00CC34B0"/>
    <w:rsid w:val="00CD1F25"/>
    <w:rsid w:val="00CD401B"/>
    <w:rsid w:val="00CD437E"/>
    <w:rsid w:val="00CD43B3"/>
    <w:rsid w:val="00CD58A7"/>
    <w:rsid w:val="00CE226F"/>
    <w:rsid w:val="00CF53F3"/>
    <w:rsid w:val="00D13F32"/>
    <w:rsid w:val="00D174EB"/>
    <w:rsid w:val="00D23AEC"/>
    <w:rsid w:val="00D373B2"/>
    <w:rsid w:val="00D37D24"/>
    <w:rsid w:val="00D52A79"/>
    <w:rsid w:val="00D80201"/>
    <w:rsid w:val="00D827D3"/>
    <w:rsid w:val="00D87B92"/>
    <w:rsid w:val="00D87C93"/>
    <w:rsid w:val="00DA65C9"/>
    <w:rsid w:val="00DB1738"/>
    <w:rsid w:val="00DB5C76"/>
    <w:rsid w:val="00DB5DF0"/>
    <w:rsid w:val="00DC4298"/>
    <w:rsid w:val="00DC68DD"/>
    <w:rsid w:val="00DD654B"/>
    <w:rsid w:val="00DE3615"/>
    <w:rsid w:val="00DF10BC"/>
    <w:rsid w:val="00E0215C"/>
    <w:rsid w:val="00E02C57"/>
    <w:rsid w:val="00E04823"/>
    <w:rsid w:val="00E057E9"/>
    <w:rsid w:val="00E1099B"/>
    <w:rsid w:val="00E2173D"/>
    <w:rsid w:val="00E22C74"/>
    <w:rsid w:val="00E33AA3"/>
    <w:rsid w:val="00E53568"/>
    <w:rsid w:val="00E724EE"/>
    <w:rsid w:val="00E74CE9"/>
    <w:rsid w:val="00E7539A"/>
    <w:rsid w:val="00E83C3F"/>
    <w:rsid w:val="00E86078"/>
    <w:rsid w:val="00E87A74"/>
    <w:rsid w:val="00E87BB1"/>
    <w:rsid w:val="00E93F48"/>
    <w:rsid w:val="00E965F8"/>
    <w:rsid w:val="00EB31E1"/>
    <w:rsid w:val="00EC1D3C"/>
    <w:rsid w:val="00EE2E61"/>
    <w:rsid w:val="00EE2E62"/>
    <w:rsid w:val="00EF4699"/>
    <w:rsid w:val="00F025B2"/>
    <w:rsid w:val="00F0340D"/>
    <w:rsid w:val="00F140D0"/>
    <w:rsid w:val="00F22D2F"/>
    <w:rsid w:val="00F23715"/>
    <w:rsid w:val="00F32329"/>
    <w:rsid w:val="00F359AF"/>
    <w:rsid w:val="00F40997"/>
    <w:rsid w:val="00F4295B"/>
    <w:rsid w:val="00F43046"/>
    <w:rsid w:val="00F5103D"/>
    <w:rsid w:val="00F521D2"/>
    <w:rsid w:val="00F574A8"/>
    <w:rsid w:val="00F63171"/>
    <w:rsid w:val="00F714C7"/>
    <w:rsid w:val="00F9177B"/>
    <w:rsid w:val="00FA7C0A"/>
    <w:rsid w:val="00FB1DA4"/>
    <w:rsid w:val="00FB23D5"/>
    <w:rsid w:val="00FF57A3"/>
    <w:rsid w:val="01021BFD"/>
    <w:rsid w:val="01164975"/>
    <w:rsid w:val="01235338"/>
    <w:rsid w:val="012746B9"/>
    <w:rsid w:val="012B76F3"/>
    <w:rsid w:val="012C44AA"/>
    <w:rsid w:val="013667AE"/>
    <w:rsid w:val="013D1C8A"/>
    <w:rsid w:val="013F0F7C"/>
    <w:rsid w:val="01430BEC"/>
    <w:rsid w:val="01464694"/>
    <w:rsid w:val="015258FF"/>
    <w:rsid w:val="015357B9"/>
    <w:rsid w:val="01553CFE"/>
    <w:rsid w:val="01575A75"/>
    <w:rsid w:val="01733B27"/>
    <w:rsid w:val="01782F69"/>
    <w:rsid w:val="01876A1F"/>
    <w:rsid w:val="018A16B2"/>
    <w:rsid w:val="018F03FE"/>
    <w:rsid w:val="019377A3"/>
    <w:rsid w:val="01950C8B"/>
    <w:rsid w:val="01997BFD"/>
    <w:rsid w:val="019D624D"/>
    <w:rsid w:val="019D6D53"/>
    <w:rsid w:val="01A10AB4"/>
    <w:rsid w:val="01A93CDD"/>
    <w:rsid w:val="01A96BB6"/>
    <w:rsid w:val="01AA4D6A"/>
    <w:rsid w:val="01AD4AAA"/>
    <w:rsid w:val="01B763DC"/>
    <w:rsid w:val="01BC53AC"/>
    <w:rsid w:val="01C22242"/>
    <w:rsid w:val="01C2493E"/>
    <w:rsid w:val="01C43E2A"/>
    <w:rsid w:val="01C91C5F"/>
    <w:rsid w:val="01CE126B"/>
    <w:rsid w:val="01D440FD"/>
    <w:rsid w:val="01D528B7"/>
    <w:rsid w:val="01D65137"/>
    <w:rsid w:val="01D865E6"/>
    <w:rsid w:val="01E16A43"/>
    <w:rsid w:val="01E366FD"/>
    <w:rsid w:val="01EA4845"/>
    <w:rsid w:val="01EF249C"/>
    <w:rsid w:val="01F54337"/>
    <w:rsid w:val="01FC54B7"/>
    <w:rsid w:val="0208513A"/>
    <w:rsid w:val="02132164"/>
    <w:rsid w:val="02160470"/>
    <w:rsid w:val="02195753"/>
    <w:rsid w:val="02223C50"/>
    <w:rsid w:val="0229045C"/>
    <w:rsid w:val="022E6BF1"/>
    <w:rsid w:val="023372E3"/>
    <w:rsid w:val="0234353E"/>
    <w:rsid w:val="02362CC5"/>
    <w:rsid w:val="023C5149"/>
    <w:rsid w:val="02665FD5"/>
    <w:rsid w:val="02673FBF"/>
    <w:rsid w:val="02676F4A"/>
    <w:rsid w:val="026D704D"/>
    <w:rsid w:val="026E6706"/>
    <w:rsid w:val="02735026"/>
    <w:rsid w:val="027655B6"/>
    <w:rsid w:val="02792F82"/>
    <w:rsid w:val="027A2AED"/>
    <w:rsid w:val="02825F13"/>
    <w:rsid w:val="028430AA"/>
    <w:rsid w:val="028879D9"/>
    <w:rsid w:val="028919DF"/>
    <w:rsid w:val="02964ADD"/>
    <w:rsid w:val="02A14D74"/>
    <w:rsid w:val="02AD29C6"/>
    <w:rsid w:val="02B0450C"/>
    <w:rsid w:val="02B43DAD"/>
    <w:rsid w:val="02C10B38"/>
    <w:rsid w:val="02C668D1"/>
    <w:rsid w:val="02D84AC8"/>
    <w:rsid w:val="02D9413D"/>
    <w:rsid w:val="02D97DE5"/>
    <w:rsid w:val="02DC1FED"/>
    <w:rsid w:val="02DD3DF1"/>
    <w:rsid w:val="02E247AD"/>
    <w:rsid w:val="02E3266E"/>
    <w:rsid w:val="02EB188A"/>
    <w:rsid w:val="02F0675F"/>
    <w:rsid w:val="02F13434"/>
    <w:rsid w:val="02F71628"/>
    <w:rsid w:val="02FC6691"/>
    <w:rsid w:val="02FD2232"/>
    <w:rsid w:val="03033784"/>
    <w:rsid w:val="0308499E"/>
    <w:rsid w:val="030B01F1"/>
    <w:rsid w:val="030E29C8"/>
    <w:rsid w:val="03110BB0"/>
    <w:rsid w:val="0318425F"/>
    <w:rsid w:val="031C70D4"/>
    <w:rsid w:val="0321449C"/>
    <w:rsid w:val="03241B28"/>
    <w:rsid w:val="03250245"/>
    <w:rsid w:val="034547E6"/>
    <w:rsid w:val="03486A36"/>
    <w:rsid w:val="034C555B"/>
    <w:rsid w:val="034D5EB3"/>
    <w:rsid w:val="0350391F"/>
    <w:rsid w:val="035619A6"/>
    <w:rsid w:val="035B0AF6"/>
    <w:rsid w:val="03631FAD"/>
    <w:rsid w:val="036C1F3C"/>
    <w:rsid w:val="036D31EC"/>
    <w:rsid w:val="036E7CB0"/>
    <w:rsid w:val="03770FAA"/>
    <w:rsid w:val="037D0A35"/>
    <w:rsid w:val="039261BA"/>
    <w:rsid w:val="03941692"/>
    <w:rsid w:val="03975801"/>
    <w:rsid w:val="03A00A45"/>
    <w:rsid w:val="03A10074"/>
    <w:rsid w:val="03B331F8"/>
    <w:rsid w:val="03C23BAF"/>
    <w:rsid w:val="03C40ABE"/>
    <w:rsid w:val="03C73EF9"/>
    <w:rsid w:val="03CA7926"/>
    <w:rsid w:val="03D316D3"/>
    <w:rsid w:val="03D44A43"/>
    <w:rsid w:val="03D60077"/>
    <w:rsid w:val="03DA5860"/>
    <w:rsid w:val="03E3449B"/>
    <w:rsid w:val="03F050BD"/>
    <w:rsid w:val="03F7077E"/>
    <w:rsid w:val="03FB00F1"/>
    <w:rsid w:val="03FC155B"/>
    <w:rsid w:val="03FC1BFF"/>
    <w:rsid w:val="04027210"/>
    <w:rsid w:val="04053316"/>
    <w:rsid w:val="040922A3"/>
    <w:rsid w:val="041E0A40"/>
    <w:rsid w:val="041E23EC"/>
    <w:rsid w:val="042222D7"/>
    <w:rsid w:val="042876CA"/>
    <w:rsid w:val="042E0EC7"/>
    <w:rsid w:val="0431295A"/>
    <w:rsid w:val="043A47ED"/>
    <w:rsid w:val="043D3A3C"/>
    <w:rsid w:val="044D771D"/>
    <w:rsid w:val="044F225E"/>
    <w:rsid w:val="0453127A"/>
    <w:rsid w:val="0462655C"/>
    <w:rsid w:val="04671AF4"/>
    <w:rsid w:val="0467789F"/>
    <w:rsid w:val="046D5DE0"/>
    <w:rsid w:val="046F52E9"/>
    <w:rsid w:val="047B1E84"/>
    <w:rsid w:val="047E7170"/>
    <w:rsid w:val="04802939"/>
    <w:rsid w:val="04841778"/>
    <w:rsid w:val="04873C0F"/>
    <w:rsid w:val="04892F7A"/>
    <w:rsid w:val="0496363A"/>
    <w:rsid w:val="04964424"/>
    <w:rsid w:val="04992B18"/>
    <w:rsid w:val="049D3B7D"/>
    <w:rsid w:val="04A1495E"/>
    <w:rsid w:val="04A44D8E"/>
    <w:rsid w:val="04A53D14"/>
    <w:rsid w:val="04A93BA3"/>
    <w:rsid w:val="04AC6DE5"/>
    <w:rsid w:val="04AF1964"/>
    <w:rsid w:val="04B830C1"/>
    <w:rsid w:val="04CA4143"/>
    <w:rsid w:val="04D146D9"/>
    <w:rsid w:val="04D97593"/>
    <w:rsid w:val="04DE5CC1"/>
    <w:rsid w:val="04E57BE9"/>
    <w:rsid w:val="04EE0917"/>
    <w:rsid w:val="04F17FCA"/>
    <w:rsid w:val="04F4393C"/>
    <w:rsid w:val="04F51041"/>
    <w:rsid w:val="04FB6CA5"/>
    <w:rsid w:val="04FD03D8"/>
    <w:rsid w:val="04FF31ED"/>
    <w:rsid w:val="04FF4175"/>
    <w:rsid w:val="050355D2"/>
    <w:rsid w:val="05044AF9"/>
    <w:rsid w:val="050C088E"/>
    <w:rsid w:val="051304B1"/>
    <w:rsid w:val="051D23B5"/>
    <w:rsid w:val="05204AF2"/>
    <w:rsid w:val="05232BB3"/>
    <w:rsid w:val="05315B92"/>
    <w:rsid w:val="053C2598"/>
    <w:rsid w:val="05401A25"/>
    <w:rsid w:val="05425D46"/>
    <w:rsid w:val="054E2399"/>
    <w:rsid w:val="05533444"/>
    <w:rsid w:val="055B54C4"/>
    <w:rsid w:val="055D3FA1"/>
    <w:rsid w:val="056059F7"/>
    <w:rsid w:val="05624790"/>
    <w:rsid w:val="056D77F4"/>
    <w:rsid w:val="057256BC"/>
    <w:rsid w:val="057C1154"/>
    <w:rsid w:val="0586026D"/>
    <w:rsid w:val="058E48DD"/>
    <w:rsid w:val="059771FE"/>
    <w:rsid w:val="0599675D"/>
    <w:rsid w:val="05A53D39"/>
    <w:rsid w:val="05AA6018"/>
    <w:rsid w:val="05AA6ECF"/>
    <w:rsid w:val="05AC28F4"/>
    <w:rsid w:val="05AF1133"/>
    <w:rsid w:val="05AF6A3D"/>
    <w:rsid w:val="05B55267"/>
    <w:rsid w:val="05B660BC"/>
    <w:rsid w:val="05C14E93"/>
    <w:rsid w:val="05C47C84"/>
    <w:rsid w:val="05DE5C05"/>
    <w:rsid w:val="05EE7A21"/>
    <w:rsid w:val="05F03F1F"/>
    <w:rsid w:val="05F74FD6"/>
    <w:rsid w:val="06015BFD"/>
    <w:rsid w:val="06166C5B"/>
    <w:rsid w:val="06167B46"/>
    <w:rsid w:val="061A703B"/>
    <w:rsid w:val="061F3DF2"/>
    <w:rsid w:val="06292793"/>
    <w:rsid w:val="062953DC"/>
    <w:rsid w:val="06354D01"/>
    <w:rsid w:val="06364822"/>
    <w:rsid w:val="063902D9"/>
    <w:rsid w:val="0644691C"/>
    <w:rsid w:val="06473E71"/>
    <w:rsid w:val="064C13DA"/>
    <w:rsid w:val="064C5DA0"/>
    <w:rsid w:val="06563A2F"/>
    <w:rsid w:val="06594B88"/>
    <w:rsid w:val="065C4451"/>
    <w:rsid w:val="06607022"/>
    <w:rsid w:val="06640B64"/>
    <w:rsid w:val="06657762"/>
    <w:rsid w:val="066B442F"/>
    <w:rsid w:val="066D09E8"/>
    <w:rsid w:val="066D20E0"/>
    <w:rsid w:val="06735A2A"/>
    <w:rsid w:val="06791870"/>
    <w:rsid w:val="067A55A2"/>
    <w:rsid w:val="06821290"/>
    <w:rsid w:val="068341DC"/>
    <w:rsid w:val="06884418"/>
    <w:rsid w:val="068C41F6"/>
    <w:rsid w:val="0698222A"/>
    <w:rsid w:val="069D5BEE"/>
    <w:rsid w:val="06A404EF"/>
    <w:rsid w:val="06AB7088"/>
    <w:rsid w:val="06AC7FCB"/>
    <w:rsid w:val="06B220B1"/>
    <w:rsid w:val="06C14990"/>
    <w:rsid w:val="06C255FB"/>
    <w:rsid w:val="06C466BB"/>
    <w:rsid w:val="06C66564"/>
    <w:rsid w:val="06C67079"/>
    <w:rsid w:val="06D0501F"/>
    <w:rsid w:val="06D17F1E"/>
    <w:rsid w:val="06DC4238"/>
    <w:rsid w:val="06E87E6F"/>
    <w:rsid w:val="06E91B3A"/>
    <w:rsid w:val="06E93471"/>
    <w:rsid w:val="06F23D1E"/>
    <w:rsid w:val="06FE7CDC"/>
    <w:rsid w:val="06FF392B"/>
    <w:rsid w:val="07057562"/>
    <w:rsid w:val="070E0BA1"/>
    <w:rsid w:val="0712012C"/>
    <w:rsid w:val="0715101A"/>
    <w:rsid w:val="07245DA2"/>
    <w:rsid w:val="07284CFD"/>
    <w:rsid w:val="0728618F"/>
    <w:rsid w:val="072A238A"/>
    <w:rsid w:val="07335CEC"/>
    <w:rsid w:val="073A1C46"/>
    <w:rsid w:val="073B634E"/>
    <w:rsid w:val="073C2D1E"/>
    <w:rsid w:val="07423620"/>
    <w:rsid w:val="074C58DC"/>
    <w:rsid w:val="075615A8"/>
    <w:rsid w:val="07562B9A"/>
    <w:rsid w:val="075B7696"/>
    <w:rsid w:val="07641D0D"/>
    <w:rsid w:val="07662674"/>
    <w:rsid w:val="0767483A"/>
    <w:rsid w:val="076E785E"/>
    <w:rsid w:val="076F5C7C"/>
    <w:rsid w:val="077309BA"/>
    <w:rsid w:val="07781B1E"/>
    <w:rsid w:val="077A550A"/>
    <w:rsid w:val="07945FAF"/>
    <w:rsid w:val="07A31B05"/>
    <w:rsid w:val="07A56862"/>
    <w:rsid w:val="07AD3ABB"/>
    <w:rsid w:val="07B077CA"/>
    <w:rsid w:val="07B11440"/>
    <w:rsid w:val="07B42784"/>
    <w:rsid w:val="07BC0D1A"/>
    <w:rsid w:val="07C40FCD"/>
    <w:rsid w:val="07D879E1"/>
    <w:rsid w:val="07DF1979"/>
    <w:rsid w:val="07E0507A"/>
    <w:rsid w:val="07E761B7"/>
    <w:rsid w:val="07F66D0A"/>
    <w:rsid w:val="07F67835"/>
    <w:rsid w:val="07FF5772"/>
    <w:rsid w:val="080F372F"/>
    <w:rsid w:val="0817323B"/>
    <w:rsid w:val="081A6BAD"/>
    <w:rsid w:val="08273974"/>
    <w:rsid w:val="082A73B9"/>
    <w:rsid w:val="082F56F4"/>
    <w:rsid w:val="08345E02"/>
    <w:rsid w:val="08365A12"/>
    <w:rsid w:val="08372ED5"/>
    <w:rsid w:val="08400F85"/>
    <w:rsid w:val="084D1037"/>
    <w:rsid w:val="085049F9"/>
    <w:rsid w:val="08507E33"/>
    <w:rsid w:val="085257EE"/>
    <w:rsid w:val="08531DD5"/>
    <w:rsid w:val="08541F2D"/>
    <w:rsid w:val="0854364F"/>
    <w:rsid w:val="08560593"/>
    <w:rsid w:val="0859235C"/>
    <w:rsid w:val="085A15A9"/>
    <w:rsid w:val="086379DD"/>
    <w:rsid w:val="086F1195"/>
    <w:rsid w:val="0879029B"/>
    <w:rsid w:val="08795873"/>
    <w:rsid w:val="08796737"/>
    <w:rsid w:val="087D36E3"/>
    <w:rsid w:val="08885FE3"/>
    <w:rsid w:val="088D58E5"/>
    <w:rsid w:val="088F138A"/>
    <w:rsid w:val="08903BD8"/>
    <w:rsid w:val="08A4283A"/>
    <w:rsid w:val="08B0513C"/>
    <w:rsid w:val="08B54488"/>
    <w:rsid w:val="08BE07C4"/>
    <w:rsid w:val="08BE5AB8"/>
    <w:rsid w:val="08C0336E"/>
    <w:rsid w:val="08C203AB"/>
    <w:rsid w:val="08C20DA2"/>
    <w:rsid w:val="08CC4969"/>
    <w:rsid w:val="08D539E3"/>
    <w:rsid w:val="08D65C48"/>
    <w:rsid w:val="08DB73B0"/>
    <w:rsid w:val="08DE1C47"/>
    <w:rsid w:val="08EC63BA"/>
    <w:rsid w:val="08EE6DAF"/>
    <w:rsid w:val="08FD5E73"/>
    <w:rsid w:val="090C3804"/>
    <w:rsid w:val="09131FB5"/>
    <w:rsid w:val="091D71CF"/>
    <w:rsid w:val="09292315"/>
    <w:rsid w:val="093B5F9E"/>
    <w:rsid w:val="093E60E8"/>
    <w:rsid w:val="09427C3A"/>
    <w:rsid w:val="094409C9"/>
    <w:rsid w:val="09474FBC"/>
    <w:rsid w:val="094D4667"/>
    <w:rsid w:val="095A4D4F"/>
    <w:rsid w:val="095D0712"/>
    <w:rsid w:val="096B20A4"/>
    <w:rsid w:val="09704EF2"/>
    <w:rsid w:val="09734147"/>
    <w:rsid w:val="097C2059"/>
    <w:rsid w:val="09807F91"/>
    <w:rsid w:val="0984355C"/>
    <w:rsid w:val="098B1201"/>
    <w:rsid w:val="098D45B7"/>
    <w:rsid w:val="098E57E7"/>
    <w:rsid w:val="09B024F6"/>
    <w:rsid w:val="09BD2D95"/>
    <w:rsid w:val="09BF7005"/>
    <w:rsid w:val="09C32102"/>
    <w:rsid w:val="09C94BC3"/>
    <w:rsid w:val="09C97575"/>
    <w:rsid w:val="09CA3930"/>
    <w:rsid w:val="09CC3BAD"/>
    <w:rsid w:val="09E244D3"/>
    <w:rsid w:val="09E44204"/>
    <w:rsid w:val="09F410FD"/>
    <w:rsid w:val="09F85300"/>
    <w:rsid w:val="09F9533F"/>
    <w:rsid w:val="09FA1862"/>
    <w:rsid w:val="0A141092"/>
    <w:rsid w:val="0A18215B"/>
    <w:rsid w:val="0A1A5515"/>
    <w:rsid w:val="0A1C206E"/>
    <w:rsid w:val="0A1F3AFB"/>
    <w:rsid w:val="0A2D0238"/>
    <w:rsid w:val="0A35648F"/>
    <w:rsid w:val="0A3D4730"/>
    <w:rsid w:val="0A406793"/>
    <w:rsid w:val="0A4F2112"/>
    <w:rsid w:val="0A562EAD"/>
    <w:rsid w:val="0A5700E0"/>
    <w:rsid w:val="0A5E153D"/>
    <w:rsid w:val="0A5F6FCC"/>
    <w:rsid w:val="0A61724E"/>
    <w:rsid w:val="0A720B8B"/>
    <w:rsid w:val="0A761D8B"/>
    <w:rsid w:val="0A7F0DF3"/>
    <w:rsid w:val="0A88671B"/>
    <w:rsid w:val="0A8A4F8C"/>
    <w:rsid w:val="0A8B671A"/>
    <w:rsid w:val="0A8D53E6"/>
    <w:rsid w:val="0A941E7B"/>
    <w:rsid w:val="0A990353"/>
    <w:rsid w:val="0AA85816"/>
    <w:rsid w:val="0AAE20B2"/>
    <w:rsid w:val="0AB144E5"/>
    <w:rsid w:val="0ABF45E0"/>
    <w:rsid w:val="0AC619BF"/>
    <w:rsid w:val="0AD029E3"/>
    <w:rsid w:val="0AD06D46"/>
    <w:rsid w:val="0AD20D78"/>
    <w:rsid w:val="0AD95FEE"/>
    <w:rsid w:val="0ADA2CA9"/>
    <w:rsid w:val="0ADF46B7"/>
    <w:rsid w:val="0AE50CEA"/>
    <w:rsid w:val="0AE74A9B"/>
    <w:rsid w:val="0AEB1D55"/>
    <w:rsid w:val="0AEF28BE"/>
    <w:rsid w:val="0AF66B05"/>
    <w:rsid w:val="0AFF39E9"/>
    <w:rsid w:val="0B030A0E"/>
    <w:rsid w:val="0B0F543F"/>
    <w:rsid w:val="0B165FCB"/>
    <w:rsid w:val="0B1D5061"/>
    <w:rsid w:val="0B1F3335"/>
    <w:rsid w:val="0B210D44"/>
    <w:rsid w:val="0B373A25"/>
    <w:rsid w:val="0B3B7F3C"/>
    <w:rsid w:val="0B490628"/>
    <w:rsid w:val="0B4A6D39"/>
    <w:rsid w:val="0B4D084E"/>
    <w:rsid w:val="0B5001FD"/>
    <w:rsid w:val="0B5255EB"/>
    <w:rsid w:val="0B5D62E7"/>
    <w:rsid w:val="0B5E6C1B"/>
    <w:rsid w:val="0B685A51"/>
    <w:rsid w:val="0B7050D0"/>
    <w:rsid w:val="0B780CAF"/>
    <w:rsid w:val="0B7C78A1"/>
    <w:rsid w:val="0B94665C"/>
    <w:rsid w:val="0B9648CA"/>
    <w:rsid w:val="0B970C03"/>
    <w:rsid w:val="0B98470C"/>
    <w:rsid w:val="0B9956E6"/>
    <w:rsid w:val="0B9B3CCE"/>
    <w:rsid w:val="0BA62356"/>
    <w:rsid w:val="0BAA1E73"/>
    <w:rsid w:val="0BB15CE2"/>
    <w:rsid w:val="0BB40FE2"/>
    <w:rsid w:val="0BBE7D93"/>
    <w:rsid w:val="0BC31E67"/>
    <w:rsid w:val="0BC75C03"/>
    <w:rsid w:val="0BCF0D6E"/>
    <w:rsid w:val="0BD25244"/>
    <w:rsid w:val="0BDB390D"/>
    <w:rsid w:val="0BDD0790"/>
    <w:rsid w:val="0BDD4638"/>
    <w:rsid w:val="0BDE7B9C"/>
    <w:rsid w:val="0BE3664B"/>
    <w:rsid w:val="0BEB2FDB"/>
    <w:rsid w:val="0BF31F88"/>
    <w:rsid w:val="0BF5093F"/>
    <w:rsid w:val="0BFD5229"/>
    <w:rsid w:val="0C0238B6"/>
    <w:rsid w:val="0C095932"/>
    <w:rsid w:val="0C0D7E74"/>
    <w:rsid w:val="0C1309B3"/>
    <w:rsid w:val="0C154760"/>
    <w:rsid w:val="0C166DCE"/>
    <w:rsid w:val="0C2565F7"/>
    <w:rsid w:val="0C312359"/>
    <w:rsid w:val="0C370695"/>
    <w:rsid w:val="0C38015F"/>
    <w:rsid w:val="0C385E6D"/>
    <w:rsid w:val="0C4147F3"/>
    <w:rsid w:val="0C4B0B48"/>
    <w:rsid w:val="0C546A20"/>
    <w:rsid w:val="0C593A85"/>
    <w:rsid w:val="0C6658D4"/>
    <w:rsid w:val="0C6963A5"/>
    <w:rsid w:val="0C6A762B"/>
    <w:rsid w:val="0C6B61EE"/>
    <w:rsid w:val="0C6F3B75"/>
    <w:rsid w:val="0C8607FB"/>
    <w:rsid w:val="0C8C56BB"/>
    <w:rsid w:val="0C932F02"/>
    <w:rsid w:val="0C933B09"/>
    <w:rsid w:val="0C97046E"/>
    <w:rsid w:val="0CA20DF1"/>
    <w:rsid w:val="0CA53F3A"/>
    <w:rsid w:val="0CA87886"/>
    <w:rsid w:val="0CAF57CC"/>
    <w:rsid w:val="0CBE1C5E"/>
    <w:rsid w:val="0CC04B54"/>
    <w:rsid w:val="0CC06DC6"/>
    <w:rsid w:val="0CC12374"/>
    <w:rsid w:val="0CC41DD4"/>
    <w:rsid w:val="0CC56735"/>
    <w:rsid w:val="0CC92786"/>
    <w:rsid w:val="0CD83387"/>
    <w:rsid w:val="0CDA6B23"/>
    <w:rsid w:val="0CDC30C8"/>
    <w:rsid w:val="0CDC5AA4"/>
    <w:rsid w:val="0CDD6EE1"/>
    <w:rsid w:val="0CDF4AFB"/>
    <w:rsid w:val="0CE94F94"/>
    <w:rsid w:val="0CED067B"/>
    <w:rsid w:val="0CFC6488"/>
    <w:rsid w:val="0CFF00B2"/>
    <w:rsid w:val="0D024DAC"/>
    <w:rsid w:val="0D0309E4"/>
    <w:rsid w:val="0D1158BC"/>
    <w:rsid w:val="0D1D5BF4"/>
    <w:rsid w:val="0D201A95"/>
    <w:rsid w:val="0D2769E8"/>
    <w:rsid w:val="0D286E37"/>
    <w:rsid w:val="0D2E4510"/>
    <w:rsid w:val="0D2E7CDA"/>
    <w:rsid w:val="0D4A61F6"/>
    <w:rsid w:val="0D5A4C9D"/>
    <w:rsid w:val="0D5E127F"/>
    <w:rsid w:val="0D606801"/>
    <w:rsid w:val="0D636535"/>
    <w:rsid w:val="0D777890"/>
    <w:rsid w:val="0D790005"/>
    <w:rsid w:val="0D793F75"/>
    <w:rsid w:val="0D8323B8"/>
    <w:rsid w:val="0D8D3FD0"/>
    <w:rsid w:val="0D8F3E2F"/>
    <w:rsid w:val="0D900001"/>
    <w:rsid w:val="0D947DEF"/>
    <w:rsid w:val="0D993238"/>
    <w:rsid w:val="0D9960F6"/>
    <w:rsid w:val="0D9B3836"/>
    <w:rsid w:val="0D9D017D"/>
    <w:rsid w:val="0DA153BE"/>
    <w:rsid w:val="0DA24802"/>
    <w:rsid w:val="0DA570AA"/>
    <w:rsid w:val="0DB87064"/>
    <w:rsid w:val="0DC80D06"/>
    <w:rsid w:val="0DD37D4F"/>
    <w:rsid w:val="0DD86494"/>
    <w:rsid w:val="0DD91F3D"/>
    <w:rsid w:val="0DE1509D"/>
    <w:rsid w:val="0DED31DA"/>
    <w:rsid w:val="0DF849E2"/>
    <w:rsid w:val="0DF85636"/>
    <w:rsid w:val="0DFF2925"/>
    <w:rsid w:val="0E020709"/>
    <w:rsid w:val="0E037125"/>
    <w:rsid w:val="0E087379"/>
    <w:rsid w:val="0E0F2E28"/>
    <w:rsid w:val="0E105F97"/>
    <w:rsid w:val="0E111189"/>
    <w:rsid w:val="0E15148E"/>
    <w:rsid w:val="0E16133B"/>
    <w:rsid w:val="0E1A54A6"/>
    <w:rsid w:val="0E1D4C94"/>
    <w:rsid w:val="0E1E01D2"/>
    <w:rsid w:val="0E237ECF"/>
    <w:rsid w:val="0E2C57A6"/>
    <w:rsid w:val="0E2E1FA8"/>
    <w:rsid w:val="0E3A08A5"/>
    <w:rsid w:val="0E3B4AAC"/>
    <w:rsid w:val="0E444E25"/>
    <w:rsid w:val="0E4528EE"/>
    <w:rsid w:val="0E463841"/>
    <w:rsid w:val="0E463F6A"/>
    <w:rsid w:val="0E476241"/>
    <w:rsid w:val="0E4860E1"/>
    <w:rsid w:val="0E490AEC"/>
    <w:rsid w:val="0E4E095A"/>
    <w:rsid w:val="0E533A22"/>
    <w:rsid w:val="0E5400D2"/>
    <w:rsid w:val="0E563ECD"/>
    <w:rsid w:val="0E5D50FC"/>
    <w:rsid w:val="0E5E0B3E"/>
    <w:rsid w:val="0E6260ED"/>
    <w:rsid w:val="0E6D75F7"/>
    <w:rsid w:val="0E7073F8"/>
    <w:rsid w:val="0E7A7A80"/>
    <w:rsid w:val="0E801240"/>
    <w:rsid w:val="0E843002"/>
    <w:rsid w:val="0E8D2FCC"/>
    <w:rsid w:val="0E94261D"/>
    <w:rsid w:val="0E987FFF"/>
    <w:rsid w:val="0E9944EA"/>
    <w:rsid w:val="0E9C4E00"/>
    <w:rsid w:val="0EA06123"/>
    <w:rsid w:val="0EA55D77"/>
    <w:rsid w:val="0EB331E4"/>
    <w:rsid w:val="0EB5186D"/>
    <w:rsid w:val="0EBF43D5"/>
    <w:rsid w:val="0EC419EC"/>
    <w:rsid w:val="0ED11030"/>
    <w:rsid w:val="0ED45063"/>
    <w:rsid w:val="0ED629D9"/>
    <w:rsid w:val="0ED86D8A"/>
    <w:rsid w:val="0EDA3323"/>
    <w:rsid w:val="0EDA6A03"/>
    <w:rsid w:val="0EE024C9"/>
    <w:rsid w:val="0EE216E8"/>
    <w:rsid w:val="0EE3751A"/>
    <w:rsid w:val="0EEB3C41"/>
    <w:rsid w:val="0EF16957"/>
    <w:rsid w:val="0EFA0064"/>
    <w:rsid w:val="0EFD4B79"/>
    <w:rsid w:val="0F090320"/>
    <w:rsid w:val="0F092098"/>
    <w:rsid w:val="0F0C6E52"/>
    <w:rsid w:val="0F180126"/>
    <w:rsid w:val="0F206D18"/>
    <w:rsid w:val="0F3E4FBF"/>
    <w:rsid w:val="0F4527B9"/>
    <w:rsid w:val="0F4838EA"/>
    <w:rsid w:val="0F491260"/>
    <w:rsid w:val="0F4E567B"/>
    <w:rsid w:val="0F5070D3"/>
    <w:rsid w:val="0F527A16"/>
    <w:rsid w:val="0F552295"/>
    <w:rsid w:val="0F555D3E"/>
    <w:rsid w:val="0F596082"/>
    <w:rsid w:val="0F5A4C3C"/>
    <w:rsid w:val="0F680516"/>
    <w:rsid w:val="0F6B05BA"/>
    <w:rsid w:val="0F7331B1"/>
    <w:rsid w:val="0F830CF9"/>
    <w:rsid w:val="0F835DE1"/>
    <w:rsid w:val="0F845C87"/>
    <w:rsid w:val="0F8807D3"/>
    <w:rsid w:val="0F8C7EC0"/>
    <w:rsid w:val="0F9069D9"/>
    <w:rsid w:val="0F985025"/>
    <w:rsid w:val="0FA715B7"/>
    <w:rsid w:val="0FAB0735"/>
    <w:rsid w:val="0FAB73CF"/>
    <w:rsid w:val="0FB33DBD"/>
    <w:rsid w:val="0FBA136E"/>
    <w:rsid w:val="0FC67596"/>
    <w:rsid w:val="0FCF6299"/>
    <w:rsid w:val="0FD22B86"/>
    <w:rsid w:val="0FD23538"/>
    <w:rsid w:val="0FE46AE5"/>
    <w:rsid w:val="0FEA7956"/>
    <w:rsid w:val="0FED5FE3"/>
    <w:rsid w:val="0FF2619D"/>
    <w:rsid w:val="0FF36E45"/>
    <w:rsid w:val="0FF82BFE"/>
    <w:rsid w:val="10002E78"/>
    <w:rsid w:val="10021C8E"/>
    <w:rsid w:val="10083F5C"/>
    <w:rsid w:val="100A088B"/>
    <w:rsid w:val="100D6538"/>
    <w:rsid w:val="100E0F3F"/>
    <w:rsid w:val="10120548"/>
    <w:rsid w:val="10126035"/>
    <w:rsid w:val="101D1BBB"/>
    <w:rsid w:val="101E557F"/>
    <w:rsid w:val="10220902"/>
    <w:rsid w:val="10273174"/>
    <w:rsid w:val="10280FE6"/>
    <w:rsid w:val="1030329B"/>
    <w:rsid w:val="10324889"/>
    <w:rsid w:val="10351C5D"/>
    <w:rsid w:val="10372E40"/>
    <w:rsid w:val="10377484"/>
    <w:rsid w:val="10417AB4"/>
    <w:rsid w:val="104A41B1"/>
    <w:rsid w:val="105E407C"/>
    <w:rsid w:val="106E1F45"/>
    <w:rsid w:val="1075299E"/>
    <w:rsid w:val="107921C2"/>
    <w:rsid w:val="107E07FE"/>
    <w:rsid w:val="10843C64"/>
    <w:rsid w:val="108B5C75"/>
    <w:rsid w:val="10927871"/>
    <w:rsid w:val="109B2457"/>
    <w:rsid w:val="10A305EF"/>
    <w:rsid w:val="10A86948"/>
    <w:rsid w:val="10AA1215"/>
    <w:rsid w:val="10AC5DB4"/>
    <w:rsid w:val="10BC41A8"/>
    <w:rsid w:val="10BD4B6E"/>
    <w:rsid w:val="10C0129B"/>
    <w:rsid w:val="10C32E2F"/>
    <w:rsid w:val="10CA79BF"/>
    <w:rsid w:val="10D8735E"/>
    <w:rsid w:val="10D948AF"/>
    <w:rsid w:val="10DB6AC5"/>
    <w:rsid w:val="10E55858"/>
    <w:rsid w:val="10E8122E"/>
    <w:rsid w:val="10E93D19"/>
    <w:rsid w:val="10F16B8E"/>
    <w:rsid w:val="11002024"/>
    <w:rsid w:val="1101215E"/>
    <w:rsid w:val="1107086A"/>
    <w:rsid w:val="110A63B9"/>
    <w:rsid w:val="111508F5"/>
    <w:rsid w:val="11187121"/>
    <w:rsid w:val="112467A8"/>
    <w:rsid w:val="112545FE"/>
    <w:rsid w:val="112673D2"/>
    <w:rsid w:val="11272A81"/>
    <w:rsid w:val="112813EC"/>
    <w:rsid w:val="11343C71"/>
    <w:rsid w:val="113A2F43"/>
    <w:rsid w:val="113D2902"/>
    <w:rsid w:val="1140061F"/>
    <w:rsid w:val="11406900"/>
    <w:rsid w:val="11432411"/>
    <w:rsid w:val="114B0EAA"/>
    <w:rsid w:val="1150476A"/>
    <w:rsid w:val="11511756"/>
    <w:rsid w:val="11560B91"/>
    <w:rsid w:val="11563B20"/>
    <w:rsid w:val="115F619C"/>
    <w:rsid w:val="1166278E"/>
    <w:rsid w:val="116E28E7"/>
    <w:rsid w:val="1170636B"/>
    <w:rsid w:val="11726C24"/>
    <w:rsid w:val="11791BDA"/>
    <w:rsid w:val="118151C6"/>
    <w:rsid w:val="11900568"/>
    <w:rsid w:val="119D25D7"/>
    <w:rsid w:val="11A3453B"/>
    <w:rsid w:val="11A5473B"/>
    <w:rsid w:val="11AA18AD"/>
    <w:rsid w:val="11AF5A91"/>
    <w:rsid w:val="11B13A44"/>
    <w:rsid w:val="11B469EC"/>
    <w:rsid w:val="11B64B9D"/>
    <w:rsid w:val="11B70129"/>
    <w:rsid w:val="11BA3C77"/>
    <w:rsid w:val="11C34C5A"/>
    <w:rsid w:val="11C35EBE"/>
    <w:rsid w:val="11C82E11"/>
    <w:rsid w:val="11C949CA"/>
    <w:rsid w:val="11CB40E2"/>
    <w:rsid w:val="11CB5A56"/>
    <w:rsid w:val="11CD0310"/>
    <w:rsid w:val="11CF64D1"/>
    <w:rsid w:val="11D27F85"/>
    <w:rsid w:val="11D7281B"/>
    <w:rsid w:val="11D93657"/>
    <w:rsid w:val="11E57CD7"/>
    <w:rsid w:val="11E62926"/>
    <w:rsid w:val="11E7019B"/>
    <w:rsid w:val="11F12249"/>
    <w:rsid w:val="12041F1C"/>
    <w:rsid w:val="120B35D2"/>
    <w:rsid w:val="120C60C8"/>
    <w:rsid w:val="12126BE3"/>
    <w:rsid w:val="121C2BD8"/>
    <w:rsid w:val="12244421"/>
    <w:rsid w:val="122641D1"/>
    <w:rsid w:val="12273289"/>
    <w:rsid w:val="12292105"/>
    <w:rsid w:val="123A15D8"/>
    <w:rsid w:val="123F1856"/>
    <w:rsid w:val="124A1D2C"/>
    <w:rsid w:val="124F40E9"/>
    <w:rsid w:val="125B5D86"/>
    <w:rsid w:val="12614F87"/>
    <w:rsid w:val="126F5ED9"/>
    <w:rsid w:val="12771ACB"/>
    <w:rsid w:val="12883808"/>
    <w:rsid w:val="12892C0E"/>
    <w:rsid w:val="1299328B"/>
    <w:rsid w:val="12A035E9"/>
    <w:rsid w:val="12A04B9A"/>
    <w:rsid w:val="12A30DA6"/>
    <w:rsid w:val="12A31A6A"/>
    <w:rsid w:val="12AE184F"/>
    <w:rsid w:val="12BB714B"/>
    <w:rsid w:val="12BB7B92"/>
    <w:rsid w:val="12C23A7C"/>
    <w:rsid w:val="12C744D8"/>
    <w:rsid w:val="12D03C66"/>
    <w:rsid w:val="12D37006"/>
    <w:rsid w:val="12D919C1"/>
    <w:rsid w:val="12E04EEB"/>
    <w:rsid w:val="12E94BA8"/>
    <w:rsid w:val="12EF7344"/>
    <w:rsid w:val="12F55F70"/>
    <w:rsid w:val="13071321"/>
    <w:rsid w:val="130A3353"/>
    <w:rsid w:val="131175E5"/>
    <w:rsid w:val="13136C38"/>
    <w:rsid w:val="13154A51"/>
    <w:rsid w:val="131B0C66"/>
    <w:rsid w:val="13332E61"/>
    <w:rsid w:val="13380869"/>
    <w:rsid w:val="133A74E5"/>
    <w:rsid w:val="13410BBA"/>
    <w:rsid w:val="134156A3"/>
    <w:rsid w:val="134A2083"/>
    <w:rsid w:val="13585B2A"/>
    <w:rsid w:val="13615054"/>
    <w:rsid w:val="136D25E4"/>
    <w:rsid w:val="136E457E"/>
    <w:rsid w:val="136F6A51"/>
    <w:rsid w:val="13755EB2"/>
    <w:rsid w:val="1381155A"/>
    <w:rsid w:val="138453C4"/>
    <w:rsid w:val="138541F2"/>
    <w:rsid w:val="13877DCB"/>
    <w:rsid w:val="13887B1A"/>
    <w:rsid w:val="13896FCC"/>
    <w:rsid w:val="13961B0B"/>
    <w:rsid w:val="1398132F"/>
    <w:rsid w:val="139F2E5E"/>
    <w:rsid w:val="13A23966"/>
    <w:rsid w:val="13A35911"/>
    <w:rsid w:val="13A407E7"/>
    <w:rsid w:val="13A47BFE"/>
    <w:rsid w:val="13A95433"/>
    <w:rsid w:val="13AB06B4"/>
    <w:rsid w:val="13B0729A"/>
    <w:rsid w:val="13B773EB"/>
    <w:rsid w:val="13B955EA"/>
    <w:rsid w:val="13C070DC"/>
    <w:rsid w:val="13C33F9D"/>
    <w:rsid w:val="13C4002F"/>
    <w:rsid w:val="13C82603"/>
    <w:rsid w:val="13C87C3A"/>
    <w:rsid w:val="13CA06A2"/>
    <w:rsid w:val="13E3389E"/>
    <w:rsid w:val="13E67824"/>
    <w:rsid w:val="13E84D13"/>
    <w:rsid w:val="13ED6898"/>
    <w:rsid w:val="13F46DFC"/>
    <w:rsid w:val="140664B1"/>
    <w:rsid w:val="14093876"/>
    <w:rsid w:val="140C55EA"/>
    <w:rsid w:val="14162BF8"/>
    <w:rsid w:val="14166484"/>
    <w:rsid w:val="14197E9B"/>
    <w:rsid w:val="141D252C"/>
    <w:rsid w:val="141F550D"/>
    <w:rsid w:val="141F552E"/>
    <w:rsid w:val="142028B9"/>
    <w:rsid w:val="14242A9B"/>
    <w:rsid w:val="14293FDD"/>
    <w:rsid w:val="142B19AB"/>
    <w:rsid w:val="14335E33"/>
    <w:rsid w:val="14343277"/>
    <w:rsid w:val="14472E7F"/>
    <w:rsid w:val="144A32D1"/>
    <w:rsid w:val="144B5F53"/>
    <w:rsid w:val="145742EB"/>
    <w:rsid w:val="14593173"/>
    <w:rsid w:val="145D7218"/>
    <w:rsid w:val="14663754"/>
    <w:rsid w:val="14695629"/>
    <w:rsid w:val="146E5D0C"/>
    <w:rsid w:val="1470604A"/>
    <w:rsid w:val="147A3327"/>
    <w:rsid w:val="147E7EFC"/>
    <w:rsid w:val="148056E8"/>
    <w:rsid w:val="148562C2"/>
    <w:rsid w:val="14857BC8"/>
    <w:rsid w:val="148A09EC"/>
    <w:rsid w:val="148C5306"/>
    <w:rsid w:val="149E4122"/>
    <w:rsid w:val="14B16945"/>
    <w:rsid w:val="14B510BC"/>
    <w:rsid w:val="14BE3BD0"/>
    <w:rsid w:val="14C772D4"/>
    <w:rsid w:val="14C91781"/>
    <w:rsid w:val="14CA588A"/>
    <w:rsid w:val="14CB1D50"/>
    <w:rsid w:val="14CB598A"/>
    <w:rsid w:val="14CF2CA5"/>
    <w:rsid w:val="14D53920"/>
    <w:rsid w:val="14D74531"/>
    <w:rsid w:val="14DB12B2"/>
    <w:rsid w:val="14DF2C70"/>
    <w:rsid w:val="14E36FB1"/>
    <w:rsid w:val="14E446B9"/>
    <w:rsid w:val="14E453F1"/>
    <w:rsid w:val="14E60E10"/>
    <w:rsid w:val="14ED2581"/>
    <w:rsid w:val="14F17360"/>
    <w:rsid w:val="14F20518"/>
    <w:rsid w:val="14F71157"/>
    <w:rsid w:val="14F94754"/>
    <w:rsid w:val="1504544D"/>
    <w:rsid w:val="15072773"/>
    <w:rsid w:val="15075411"/>
    <w:rsid w:val="15095839"/>
    <w:rsid w:val="150F2E6F"/>
    <w:rsid w:val="15183FE5"/>
    <w:rsid w:val="151D60E3"/>
    <w:rsid w:val="151F2A96"/>
    <w:rsid w:val="1524211C"/>
    <w:rsid w:val="1530340C"/>
    <w:rsid w:val="15443470"/>
    <w:rsid w:val="154A733D"/>
    <w:rsid w:val="1552183E"/>
    <w:rsid w:val="155D44F6"/>
    <w:rsid w:val="155E7216"/>
    <w:rsid w:val="1568195A"/>
    <w:rsid w:val="156825AE"/>
    <w:rsid w:val="156A20EE"/>
    <w:rsid w:val="157648A9"/>
    <w:rsid w:val="15794688"/>
    <w:rsid w:val="157D25F1"/>
    <w:rsid w:val="158013B3"/>
    <w:rsid w:val="15823F32"/>
    <w:rsid w:val="15897466"/>
    <w:rsid w:val="158C012D"/>
    <w:rsid w:val="158D5643"/>
    <w:rsid w:val="15903FC7"/>
    <w:rsid w:val="159213D6"/>
    <w:rsid w:val="1594375E"/>
    <w:rsid w:val="159D2A18"/>
    <w:rsid w:val="159D2AA8"/>
    <w:rsid w:val="15A20E36"/>
    <w:rsid w:val="15A35B1D"/>
    <w:rsid w:val="15A73FE1"/>
    <w:rsid w:val="15AF1E97"/>
    <w:rsid w:val="15BB7678"/>
    <w:rsid w:val="15BC3A0F"/>
    <w:rsid w:val="15C11C13"/>
    <w:rsid w:val="15CF264A"/>
    <w:rsid w:val="15CF3C06"/>
    <w:rsid w:val="15CF6FF0"/>
    <w:rsid w:val="15D17D83"/>
    <w:rsid w:val="15E016A8"/>
    <w:rsid w:val="15E2295A"/>
    <w:rsid w:val="15E40909"/>
    <w:rsid w:val="15F15C2C"/>
    <w:rsid w:val="15F97B47"/>
    <w:rsid w:val="16071DD9"/>
    <w:rsid w:val="1609222F"/>
    <w:rsid w:val="160C5D02"/>
    <w:rsid w:val="16184098"/>
    <w:rsid w:val="161F7166"/>
    <w:rsid w:val="16211A64"/>
    <w:rsid w:val="16220D9F"/>
    <w:rsid w:val="1628366A"/>
    <w:rsid w:val="16290D5F"/>
    <w:rsid w:val="162C4C37"/>
    <w:rsid w:val="16321739"/>
    <w:rsid w:val="16322CA9"/>
    <w:rsid w:val="16340060"/>
    <w:rsid w:val="163409FD"/>
    <w:rsid w:val="16343981"/>
    <w:rsid w:val="164925E6"/>
    <w:rsid w:val="164C0B16"/>
    <w:rsid w:val="164D2E97"/>
    <w:rsid w:val="164E786D"/>
    <w:rsid w:val="16564ED8"/>
    <w:rsid w:val="165D1CCD"/>
    <w:rsid w:val="16695F27"/>
    <w:rsid w:val="166B2C03"/>
    <w:rsid w:val="166B2D98"/>
    <w:rsid w:val="166C3226"/>
    <w:rsid w:val="16744501"/>
    <w:rsid w:val="1678043E"/>
    <w:rsid w:val="16795CB2"/>
    <w:rsid w:val="167A093E"/>
    <w:rsid w:val="167B5198"/>
    <w:rsid w:val="167E6CA3"/>
    <w:rsid w:val="167F4B95"/>
    <w:rsid w:val="16825E59"/>
    <w:rsid w:val="168F2701"/>
    <w:rsid w:val="16956647"/>
    <w:rsid w:val="16962C25"/>
    <w:rsid w:val="169708B7"/>
    <w:rsid w:val="169D0E74"/>
    <w:rsid w:val="16A0455F"/>
    <w:rsid w:val="16B661DE"/>
    <w:rsid w:val="16B71280"/>
    <w:rsid w:val="16BF5817"/>
    <w:rsid w:val="16C26B2D"/>
    <w:rsid w:val="16DB5435"/>
    <w:rsid w:val="16E135E7"/>
    <w:rsid w:val="16E21427"/>
    <w:rsid w:val="16E218B5"/>
    <w:rsid w:val="16E75618"/>
    <w:rsid w:val="16EE6450"/>
    <w:rsid w:val="17033117"/>
    <w:rsid w:val="170C751B"/>
    <w:rsid w:val="17100CA3"/>
    <w:rsid w:val="17174AB2"/>
    <w:rsid w:val="17176555"/>
    <w:rsid w:val="17274C8F"/>
    <w:rsid w:val="172F59B8"/>
    <w:rsid w:val="17314235"/>
    <w:rsid w:val="173C59AC"/>
    <w:rsid w:val="173F20E2"/>
    <w:rsid w:val="174F5DA2"/>
    <w:rsid w:val="175854D3"/>
    <w:rsid w:val="175D6C2B"/>
    <w:rsid w:val="176D6D62"/>
    <w:rsid w:val="177200CD"/>
    <w:rsid w:val="177B1ED9"/>
    <w:rsid w:val="177B5F8B"/>
    <w:rsid w:val="177F62FA"/>
    <w:rsid w:val="17866843"/>
    <w:rsid w:val="178A1016"/>
    <w:rsid w:val="178D57DF"/>
    <w:rsid w:val="178E0BAF"/>
    <w:rsid w:val="178E0E4C"/>
    <w:rsid w:val="178F26BA"/>
    <w:rsid w:val="17906430"/>
    <w:rsid w:val="17942194"/>
    <w:rsid w:val="179A5E10"/>
    <w:rsid w:val="17A76445"/>
    <w:rsid w:val="17A816D3"/>
    <w:rsid w:val="17A84C85"/>
    <w:rsid w:val="17A86A84"/>
    <w:rsid w:val="17BE2E31"/>
    <w:rsid w:val="17C271C7"/>
    <w:rsid w:val="17C77396"/>
    <w:rsid w:val="17C802C3"/>
    <w:rsid w:val="17C84858"/>
    <w:rsid w:val="17D46671"/>
    <w:rsid w:val="17E25684"/>
    <w:rsid w:val="17E94BEE"/>
    <w:rsid w:val="17EC5142"/>
    <w:rsid w:val="17F558E5"/>
    <w:rsid w:val="17F7123E"/>
    <w:rsid w:val="17F93750"/>
    <w:rsid w:val="17FA253A"/>
    <w:rsid w:val="17FA2DCA"/>
    <w:rsid w:val="17FA3EFA"/>
    <w:rsid w:val="18071145"/>
    <w:rsid w:val="180D1861"/>
    <w:rsid w:val="18211619"/>
    <w:rsid w:val="1824021D"/>
    <w:rsid w:val="182727AA"/>
    <w:rsid w:val="182C3C1D"/>
    <w:rsid w:val="183A4876"/>
    <w:rsid w:val="18463A37"/>
    <w:rsid w:val="18597D61"/>
    <w:rsid w:val="185C2DF9"/>
    <w:rsid w:val="185E27E0"/>
    <w:rsid w:val="186456CD"/>
    <w:rsid w:val="18690252"/>
    <w:rsid w:val="186921BE"/>
    <w:rsid w:val="186A253C"/>
    <w:rsid w:val="186A35F2"/>
    <w:rsid w:val="186B6507"/>
    <w:rsid w:val="186C2B04"/>
    <w:rsid w:val="186E07BA"/>
    <w:rsid w:val="187602DD"/>
    <w:rsid w:val="18764A71"/>
    <w:rsid w:val="18782953"/>
    <w:rsid w:val="18806E60"/>
    <w:rsid w:val="188414D8"/>
    <w:rsid w:val="18906360"/>
    <w:rsid w:val="18921538"/>
    <w:rsid w:val="18960A15"/>
    <w:rsid w:val="189E12C3"/>
    <w:rsid w:val="189E32A4"/>
    <w:rsid w:val="189F1A93"/>
    <w:rsid w:val="18A34073"/>
    <w:rsid w:val="18A57E34"/>
    <w:rsid w:val="18A77792"/>
    <w:rsid w:val="18AA6087"/>
    <w:rsid w:val="18B07129"/>
    <w:rsid w:val="18B452A5"/>
    <w:rsid w:val="18BA4F49"/>
    <w:rsid w:val="18BD055D"/>
    <w:rsid w:val="18BE27ED"/>
    <w:rsid w:val="18C04A46"/>
    <w:rsid w:val="18C4037B"/>
    <w:rsid w:val="18C56061"/>
    <w:rsid w:val="18CF6F08"/>
    <w:rsid w:val="18CF7EBE"/>
    <w:rsid w:val="18D764B0"/>
    <w:rsid w:val="18D92B7A"/>
    <w:rsid w:val="18DC1446"/>
    <w:rsid w:val="18E15170"/>
    <w:rsid w:val="18E82CB1"/>
    <w:rsid w:val="18F4450F"/>
    <w:rsid w:val="18FE716C"/>
    <w:rsid w:val="18FF308F"/>
    <w:rsid w:val="190F6CF0"/>
    <w:rsid w:val="19137DBD"/>
    <w:rsid w:val="19263C11"/>
    <w:rsid w:val="19364034"/>
    <w:rsid w:val="1938580E"/>
    <w:rsid w:val="193B0C6C"/>
    <w:rsid w:val="1949544B"/>
    <w:rsid w:val="194B6D06"/>
    <w:rsid w:val="19580F07"/>
    <w:rsid w:val="196C060A"/>
    <w:rsid w:val="196C5C29"/>
    <w:rsid w:val="197226D6"/>
    <w:rsid w:val="197B045A"/>
    <w:rsid w:val="198C4B67"/>
    <w:rsid w:val="198D5036"/>
    <w:rsid w:val="19911370"/>
    <w:rsid w:val="199C4521"/>
    <w:rsid w:val="199E3D57"/>
    <w:rsid w:val="19A15120"/>
    <w:rsid w:val="19A50686"/>
    <w:rsid w:val="19A60597"/>
    <w:rsid w:val="19A748CE"/>
    <w:rsid w:val="19B35CBB"/>
    <w:rsid w:val="19B53F29"/>
    <w:rsid w:val="19BB4AC7"/>
    <w:rsid w:val="19C81E16"/>
    <w:rsid w:val="19C90485"/>
    <w:rsid w:val="19D0425F"/>
    <w:rsid w:val="19E33EF6"/>
    <w:rsid w:val="19ED1019"/>
    <w:rsid w:val="19EE1E33"/>
    <w:rsid w:val="19F30FD0"/>
    <w:rsid w:val="19F34D14"/>
    <w:rsid w:val="19F716CA"/>
    <w:rsid w:val="19F900BF"/>
    <w:rsid w:val="19F90D6C"/>
    <w:rsid w:val="19F95532"/>
    <w:rsid w:val="19FC5289"/>
    <w:rsid w:val="1A061C69"/>
    <w:rsid w:val="1A084125"/>
    <w:rsid w:val="1A084634"/>
    <w:rsid w:val="1A084FA6"/>
    <w:rsid w:val="1A0931E6"/>
    <w:rsid w:val="1A0B22C7"/>
    <w:rsid w:val="1A0E734C"/>
    <w:rsid w:val="1A146B09"/>
    <w:rsid w:val="1A1718C8"/>
    <w:rsid w:val="1A182556"/>
    <w:rsid w:val="1A195DB0"/>
    <w:rsid w:val="1A1D39FB"/>
    <w:rsid w:val="1A2C6661"/>
    <w:rsid w:val="1A33410B"/>
    <w:rsid w:val="1A3D4066"/>
    <w:rsid w:val="1A422421"/>
    <w:rsid w:val="1A434F5D"/>
    <w:rsid w:val="1A4864A7"/>
    <w:rsid w:val="1A497AC2"/>
    <w:rsid w:val="1A4B1A7C"/>
    <w:rsid w:val="1A524609"/>
    <w:rsid w:val="1A5522FD"/>
    <w:rsid w:val="1A5846A0"/>
    <w:rsid w:val="1A5B75BD"/>
    <w:rsid w:val="1A5C1E8C"/>
    <w:rsid w:val="1A6307DF"/>
    <w:rsid w:val="1A684E92"/>
    <w:rsid w:val="1A6A3851"/>
    <w:rsid w:val="1A750BFC"/>
    <w:rsid w:val="1A766871"/>
    <w:rsid w:val="1A7E2B00"/>
    <w:rsid w:val="1A8A4647"/>
    <w:rsid w:val="1A9723B6"/>
    <w:rsid w:val="1A9E2B8D"/>
    <w:rsid w:val="1AA34AA6"/>
    <w:rsid w:val="1AA93183"/>
    <w:rsid w:val="1AAC781B"/>
    <w:rsid w:val="1AB44A07"/>
    <w:rsid w:val="1AB5764A"/>
    <w:rsid w:val="1AC4365C"/>
    <w:rsid w:val="1AD13FFB"/>
    <w:rsid w:val="1AD41623"/>
    <w:rsid w:val="1ADA1B4E"/>
    <w:rsid w:val="1AE11686"/>
    <w:rsid w:val="1AE83066"/>
    <w:rsid w:val="1AED05E1"/>
    <w:rsid w:val="1AED0D4A"/>
    <w:rsid w:val="1AF00F47"/>
    <w:rsid w:val="1AF046CF"/>
    <w:rsid w:val="1AF418C0"/>
    <w:rsid w:val="1B074284"/>
    <w:rsid w:val="1B152CDB"/>
    <w:rsid w:val="1B1900EC"/>
    <w:rsid w:val="1B24725D"/>
    <w:rsid w:val="1B2B048F"/>
    <w:rsid w:val="1B2D0515"/>
    <w:rsid w:val="1B2E2C6F"/>
    <w:rsid w:val="1B301CAE"/>
    <w:rsid w:val="1B3449F3"/>
    <w:rsid w:val="1B3A7BAD"/>
    <w:rsid w:val="1B3D3E36"/>
    <w:rsid w:val="1B4A445D"/>
    <w:rsid w:val="1B4D4C2F"/>
    <w:rsid w:val="1B4E4762"/>
    <w:rsid w:val="1B4F0D46"/>
    <w:rsid w:val="1B5752AC"/>
    <w:rsid w:val="1B5B3E9D"/>
    <w:rsid w:val="1B5D75AD"/>
    <w:rsid w:val="1B605A24"/>
    <w:rsid w:val="1B67625B"/>
    <w:rsid w:val="1B695DFB"/>
    <w:rsid w:val="1B6B336B"/>
    <w:rsid w:val="1B7551B8"/>
    <w:rsid w:val="1B7F1C39"/>
    <w:rsid w:val="1B7F7BA2"/>
    <w:rsid w:val="1B857D11"/>
    <w:rsid w:val="1B861274"/>
    <w:rsid w:val="1B8E1561"/>
    <w:rsid w:val="1B8E253E"/>
    <w:rsid w:val="1B9369D7"/>
    <w:rsid w:val="1B940F60"/>
    <w:rsid w:val="1B94573C"/>
    <w:rsid w:val="1B9E5564"/>
    <w:rsid w:val="1BAA1244"/>
    <w:rsid w:val="1BAF5377"/>
    <w:rsid w:val="1BB71D1A"/>
    <w:rsid w:val="1BCB06DF"/>
    <w:rsid w:val="1BCB3B13"/>
    <w:rsid w:val="1BD57B8D"/>
    <w:rsid w:val="1BDF67D9"/>
    <w:rsid w:val="1BEE1FC3"/>
    <w:rsid w:val="1BF015D4"/>
    <w:rsid w:val="1BF21BB3"/>
    <w:rsid w:val="1BF80B18"/>
    <w:rsid w:val="1C076142"/>
    <w:rsid w:val="1C103C4A"/>
    <w:rsid w:val="1C121A19"/>
    <w:rsid w:val="1C19483C"/>
    <w:rsid w:val="1C213008"/>
    <w:rsid w:val="1C260736"/>
    <w:rsid w:val="1C3030F3"/>
    <w:rsid w:val="1C347AE7"/>
    <w:rsid w:val="1C3709C2"/>
    <w:rsid w:val="1C520A79"/>
    <w:rsid w:val="1C575617"/>
    <w:rsid w:val="1C592E09"/>
    <w:rsid w:val="1C673791"/>
    <w:rsid w:val="1C674BB2"/>
    <w:rsid w:val="1C6C036E"/>
    <w:rsid w:val="1C7320FC"/>
    <w:rsid w:val="1C73352D"/>
    <w:rsid w:val="1C750F91"/>
    <w:rsid w:val="1C783953"/>
    <w:rsid w:val="1C7C3254"/>
    <w:rsid w:val="1C7F0A0D"/>
    <w:rsid w:val="1C842C05"/>
    <w:rsid w:val="1C880D09"/>
    <w:rsid w:val="1C883EE2"/>
    <w:rsid w:val="1C8A5704"/>
    <w:rsid w:val="1C993644"/>
    <w:rsid w:val="1C9D2861"/>
    <w:rsid w:val="1CA30814"/>
    <w:rsid w:val="1CA411B8"/>
    <w:rsid w:val="1CA91C58"/>
    <w:rsid w:val="1CAB0216"/>
    <w:rsid w:val="1CC97385"/>
    <w:rsid w:val="1CD11261"/>
    <w:rsid w:val="1CD8784D"/>
    <w:rsid w:val="1CDB2D68"/>
    <w:rsid w:val="1CF333E6"/>
    <w:rsid w:val="1CF361DB"/>
    <w:rsid w:val="1CFB0F6D"/>
    <w:rsid w:val="1D0055D9"/>
    <w:rsid w:val="1D0565E2"/>
    <w:rsid w:val="1D075E75"/>
    <w:rsid w:val="1D097058"/>
    <w:rsid w:val="1D101740"/>
    <w:rsid w:val="1D163CF4"/>
    <w:rsid w:val="1D182D77"/>
    <w:rsid w:val="1D2122A1"/>
    <w:rsid w:val="1D2357FD"/>
    <w:rsid w:val="1D291702"/>
    <w:rsid w:val="1D2D51F1"/>
    <w:rsid w:val="1D37486F"/>
    <w:rsid w:val="1D42071E"/>
    <w:rsid w:val="1D45169C"/>
    <w:rsid w:val="1D4856D1"/>
    <w:rsid w:val="1D486FBE"/>
    <w:rsid w:val="1D4C0A31"/>
    <w:rsid w:val="1D607F49"/>
    <w:rsid w:val="1D617875"/>
    <w:rsid w:val="1D645888"/>
    <w:rsid w:val="1D677324"/>
    <w:rsid w:val="1D6B0DE6"/>
    <w:rsid w:val="1D6E2D29"/>
    <w:rsid w:val="1D8C6A7E"/>
    <w:rsid w:val="1D8D5C6C"/>
    <w:rsid w:val="1D8E167F"/>
    <w:rsid w:val="1D9707A8"/>
    <w:rsid w:val="1DA134AF"/>
    <w:rsid w:val="1DA16837"/>
    <w:rsid w:val="1DAE1935"/>
    <w:rsid w:val="1DB95872"/>
    <w:rsid w:val="1DC13873"/>
    <w:rsid w:val="1DC15568"/>
    <w:rsid w:val="1DC42B36"/>
    <w:rsid w:val="1DC77F7C"/>
    <w:rsid w:val="1DD0335C"/>
    <w:rsid w:val="1DE56026"/>
    <w:rsid w:val="1DF924BE"/>
    <w:rsid w:val="1DFC3B16"/>
    <w:rsid w:val="1DFD44BA"/>
    <w:rsid w:val="1E0A1EB4"/>
    <w:rsid w:val="1E1C56BC"/>
    <w:rsid w:val="1E1E21E7"/>
    <w:rsid w:val="1E214F2A"/>
    <w:rsid w:val="1E237736"/>
    <w:rsid w:val="1E242676"/>
    <w:rsid w:val="1E2566DA"/>
    <w:rsid w:val="1E2A4527"/>
    <w:rsid w:val="1E2D48C4"/>
    <w:rsid w:val="1E2D7F5D"/>
    <w:rsid w:val="1E32366D"/>
    <w:rsid w:val="1E3300E4"/>
    <w:rsid w:val="1E3463A0"/>
    <w:rsid w:val="1E3A5EC8"/>
    <w:rsid w:val="1E474E0D"/>
    <w:rsid w:val="1E510853"/>
    <w:rsid w:val="1E527930"/>
    <w:rsid w:val="1E5C1BD8"/>
    <w:rsid w:val="1E5F74B2"/>
    <w:rsid w:val="1E635018"/>
    <w:rsid w:val="1E6805A9"/>
    <w:rsid w:val="1E6B2D73"/>
    <w:rsid w:val="1E6F712E"/>
    <w:rsid w:val="1E7177FA"/>
    <w:rsid w:val="1E747476"/>
    <w:rsid w:val="1E814CED"/>
    <w:rsid w:val="1E8469F9"/>
    <w:rsid w:val="1E9749F0"/>
    <w:rsid w:val="1E9C5BFF"/>
    <w:rsid w:val="1EAB1199"/>
    <w:rsid w:val="1EB2388E"/>
    <w:rsid w:val="1EC372E7"/>
    <w:rsid w:val="1ECC3FFD"/>
    <w:rsid w:val="1ED173FF"/>
    <w:rsid w:val="1ED2384F"/>
    <w:rsid w:val="1EDB26CA"/>
    <w:rsid w:val="1EDD43FA"/>
    <w:rsid w:val="1EDF453C"/>
    <w:rsid w:val="1EDF476D"/>
    <w:rsid w:val="1EE50A5A"/>
    <w:rsid w:val="1EE6171A"/>
    <w:rsid w:val="1EEA697A"/>
    <w:rsid w:val="1EEC0C5C"/>
    <w:rsid w:val="1EF04D86"/>
    <w:rsid w:val="1EF81203"/>
    <w:rsid w:val="1F0545A2"/>
    <w:rsid w:val="1F0864A1"/>
    <w:rsid w:val="1F092813"/>
    <w:rsid w:val="1F0B3EEE"/>
    <w:rsid w:val="1F176E60"/>
    <w:rsid w:val="1F256BBB"/>
    <w:rsid w:val="1F2822B3"/>
    <w:rsid w:val="1F307D9D"/>
    <w:rsid w:val="1F3541C0"/>
    <w:rsid w:val="1F37018C"/>
    <w:rsid w:val="1F376447"/>
    <w:rsid w:val="1F51433D"/>
    <w:rsid w:val="1F521E7C"/>
    <w:rsid w:val="1F532FA9"/>
    <w:rsid w:val="1F5500CB"/>
    <w:rsid w:val="1F5D0671"/>
    <w:rsid w:val="1F623C55"/>
    <w:rsid w:val="1F705C16"/>
    <w:rsid w:val="1F7539F2"/>
    <w:rsid w:val="1F786BFA"/>
    <w:rsid w:val="1F7A140D"/>
    <w:rsid w:val="1F7C2D1B"/>
    <w:rsid w:val="1F7C4AFF"/>
    <w:rsid w:val="1F847C23"/>
    <w:rsid w:val="1F8B1F95"/>
    <w:rsid w:val="1F8B69B5"/>
    <w:rsid w:val="1F8F0786"/>
    <w:rsid w:val="1F9A340A"/>
    <w:rsid w:val="1F9E22F5"/>
    <w:rsid w:val="1FAE4160"/>
    <w:rsid w:val="1FB31A5F"/>
    <w:rsid w:val="1FC31B7B"/>
    <w:rsid w:val="1FC8212B"/>
    <w:rsid w:val="1FC97C87"/>
    <w:rsid w:val="1FCC023A"/>
    <w:rsid w:val="1FCC2DF5"/>
    <w:rsid w:val="1FCE08B2"/>
    <w:rsid w:val="1FDE3F49"/>
    <w:rsid w:val="1FE933AA"/>
    <w:rsid w:val="1FF468DA"/>
    <w:rsid w:val="1FF9105D"/>
    <w:rsid w:val="1FFC3D78"/>
    <w:rsid w:val="200510D9"/>
    <w:rsid w:val="201051B9"/>
    <w:rsid w:val="201216AD"/>
    <w:rsid w:val="201A2520"/>
    <w:rsid w:val="20241C77"/>
    <w:rsid w:val="20280F84"/>
    <w:rsid w:val="203C0B52"/>
    <w:rsid w:val="2040794E"/>
    <w:rsid w:val="20460DDC"/>
    <w:rsid w:val="204D6F6C"/>
    <w:rsid w:val="20506C8E"/>
    <w:rsid w:val="2059246C"/>
    <w:rsid w:val="2061013F"/>
    <w:rsid w:val="207322E4"/>
    <w:rsid w:val="20781866"/>
    <w:rsid w:val="20785235"/>
    <w:rsid w:val="207C7F6E"/>
    <w:rsid w:val="207E6C3D"/>
    <w:rsid w:val="207F43D9"/>
    <w:rsid w:val="208E5A67"/>
    <w:rsid w:val="20910E13"/>
    <w:rsid w:val="209128E5"/>
    <w:rsid w:val="20940281"/>
    <w:rsid w:val="20A762F2"/>
    <w:rsid w:val="20A84AFD"/>
    <w:rsid w:val="20B336D0"/>
    <w:rsid w:val="20B805CF"/>
    <w:rsid w:val="20B95752"/>
    <w:rsid w:val="20BA09F2"/>
    <w:rsid w:val="20BF5984"/>
    <w:rsid w:val="20BF7004"/>
    <w:rsid w:val="20C75134"/>
    <w:rsid w:val="20CF70D3"/>
    <w:rsid w:val="20D85658"/>
    <w:rsid w:val="20DA452F"/>
    <w:rsid w:val="20E40D06"/>
    <w:rsid w:val="20E70DDA"/>
    <w:rsid w:val="20EE5292"/>
    <w:rsid w:val="20EE7A98"/>
    <w:rsid w:val="20F012DA"/>
    <w:rsid w:val="20F91B22"/>
    <w:rsid w:val="2102118F"/>
    <w:rsid w:val="210370E2"/>
    <w:rsid w:val="21057CBC"/>
    <w:rsid w:val="210643F0"/>
    <w:rsid w:val="210E3524"/>
    <w:rsid w:val="210F494A"/>
    <w:rsid w:val="21107DFA"/>
    <w:rsid w:val="21126A1E"/>
    <w:rsid w:val="2116490A"/>
    <w:rsid w:val="211A3117"/>
    <w:rsid w:val="211D6ED8"/>
    <w:rsid w:val="21210F03"/>
    <w:rsid w:val="212150B8"/>
    <w:rsid w:val="21365E4F"/>
    <w:rsid w:val="213A5A02"/>
    <w:rsid w:val="21432762"/>
    <w:rsid w:val="215F5D66"/>
    <w:rsid w:val="217413CD"/>
    <w:rsid w:val="217627C5"/>
    <w:rsid w:val="217C62EF"/>
    <w:rsid w:val="21864314"/>
    <w:rsid w:val="21865F85"/>
    <w:rsid w:val="21906017"/>
    <w:rsid w:val="21933051"/>
    <w:rsid w:val="219937B6"/>
    <w:rsid w:val="219B228D"/>
    <w:rsid w:val="219C1847"/>
    <w:rsid w:val="219C7087"/>
    <w:rsid w:val="219D2205"/>
    <w:rsid w:val="21A2770F"/>
    <w:rsid w:val="21A97C41"/>
    <w:rsid w:val="21AA16FB"/>
    <w:rsid w:val="21AA3480"/>
    <w:rsid w:val="21AF4DC3"/>
    <w:rsid w:val="21B03F9D"/>
    <w:rsid w:val="21C06F92"/>
    <w:rsid w:val="21C84E9E"/>
    <w:rsid w:val="21C931CA"/>
    <w:rsid w:val="21C94AE7"/>
    <w:rsid w:val="21CB5CF6"/>
    <w:rsid w:val="21DB649A"/>
    <w:rsid w:val="21DF3601"/>
    <w:rsid w:val="21E27DA0"/>
    <w:rsid w:val="21E5632B"/>
    <w:rsid w:val="21E70736"/>
    <w:rsid w:val="21ED25B6"/>
    <w:rsid w:val="21F143E4"/>
    <w:rsid w:val="21F21B9F"/>
    <w:rsid w:val="21F718D2"/>
    <w:rsid w:val="21FD0FFF"/>
    <w:rsid w:val="220643AF"/>
    <w:rsid w:val="22077889"/>
    <w:rsid w:val="220E44FD"/>
    <w:rsid w:val="22104944"/>
    <w:rsid w:val="22121D33"/>
    <w:rsid w:val="2218661D"/>
    <w:rsid w:val="221A671C"/>
    <w:rsid w:val="2225695B"/>
    <w:rsid w:val="222B4A26"/>
    <w:rsid w:val="224C1EE4"/>
    <w:rsid w:val="224E5006"/>
    <w:rsid w:val="22513127"/>
    <w:rsid w:val="225F4FD4"/>
    <w:rsid w:val="225F71CC"/>
    <w:rsid w:val="22606663"/>
    <w:rsid w:val="226E0F46"/>
    <w:rsid w:val="22794A39"/>
    <w:rsid w:val="227D33B1"/>
    <w:rsid w:val="227E489F"/>
    <w:rsid w:val="22823533"/>
    <w:rsid w:val="22880432"/>
    <w:rsid w:val="228B3EFA"/>
    <w:rsid w:val="228B7D1B"/>
    <w:rsid w:val="22930AC2"/>
    <w:rsid w:val="22981B95"/>
    <w:rsid w:val="229A0584"/>
    <w:rsid w:val="22A51CFF"/>
    <w:rsid w:val="22A5618C"/>
    <w:rsid w:val="22B9400A"/>
    <w:rsid w:val="22BB1853"/>
    <w:rsid w:val="22BC2B4B"/>
    <w:rsid w:val="22C22E9C"/>
    <w:rsid w:val="22CA1EB7"/>
    <w:rsid w:val="22D93FF1"/>
    <w:rsid w:val="22E93299"/>
    <w:rsid w:val="22EB5094"/>
    <w:rsid w:val="22EE7034"/>
    <w:rsid w:val="22FF7187"/>
    <w:rsid w:val="230E7EA4"/>
    <w:rsid w:val="23193EB4"/>
    <w:rsid w:val="231B17F9"/>
    <w:rsid w:val="232667A8"/>
    <w:rsid w:val="23325A6C"/>
    <w:rsid w:val="23331FCF"/>
    <w:rsid w:val="23334F7E"/>
    <w:rsid w:val="233A304E"/>
    <w:rsid w:val="233C06DE"/>
    <w:rsid w:val="2344186A"/>
    <w:rsid w:val="23531723"/>
    <w:rsid w:val="235511EA"/>
    <w:rsid w:val="235F5EC4"/>
    <w:rsid w:val="23644BFA"/>
    <w:rsid w:val="23690609"/>
    <w:rsid w:val="23691421"/>
    <w:rsid w:val="237A3E4E"/>
    <w:rsid w:val="237E1230"/>
    <w:rsid w:val="2386210B"/>
    <w:rsid w:val="238726F4"/>
    <w:rsid w:val="238A29AB"/>
    <w:rsid w:val="238C57F7"/>
    <w:rsid w:val="238E1A8E"/>
    <w:rsid w:val="238F40D9"/>
    <w:rsid w:val="23933508"/>
    <w:rsid w:val="239504D4"/>
    <w:rsid w:val="23950A3C"/>
    <w:rsid w:val="2396438D"/>
    <w:rsid w:val="239F525A"/>
    <w:rsid w:val="23A44BC6"/>
    <w:rsid w:val="23A92C60"/>
    <w:rsid w:val="23AB52C6"/>
    <w:rsid w:val="23B03FD9"/>
    <w:rsid w:val="23B17934"/>
    <w:rsid w:val="23B55677"/>
    <w:rsid w:val="23BA7F5A"/>
    <w:rsid w:val="23C13739"/>
    <w:rsid w:val="23C71602"/>
    <w:rsid w:val="23CA5E72"/>
    <w:rsid w:val="23D066EC"/>
    <w:rsid w:val="23D34F44"/>
    <w:rsid w:val="23D351A5"/>
    <w:rsid w:val="23E11DA2"/>
    <w:rsid w:val="23E235B0"/>
    <w:rsid w:val="23E74E71"/>
    <w:rsid w:val="23ED17D3"/>
    <w:rsid w:val="23F71BEC"/>
    <w:rsid w:val="23F8418C"/>
    <w:rsid w:val="23F867FF"/>
    <w:rsid w:val="24014F4E"/>
    <w:rsid w:val="24044813"/>
    <w:rsid w:val="240A1718"/>
    <w:rsid w:val="240F7D8B"/>
    <w:rsid w:val="2428389C"/>
    <w:rsid w:val="242A6703"/>
    <w:rsid w:val="2439617A"/>
    <w:rsid w:val="2440206F"/>
    <w:rsid w:val="24462A48"/>
    <w:rsid w:val="244E553B"/>
    <w:rsid w:val="245005B3"/>
    <w:rsid w:val="245B37BE"/>
    <w:rsid w:val="24661A7D"/>
    <w:rsid w:val="247277A2"/>
    <w:rsid w:val="24746AEA"/>
    <w:rsid w:val="247905DE"/>
    <w:rsid w:val="24940315"/>
    <w:rsid w:val="249604BE"/>
    <w:rsid w:val="24A31E88"/>
    <w:rsid w:val="24AB131F"/>
    <w:rsid w:val="24BF08E2"/>
    <w:rsid w:val="24C504EE"/>
    <w:rsid w:val="24CD7C77"/>
    <w:rsid w:val="24D14521"/>
    <w:rsid w:val="24E00310"/>
    <w:rsid w:val="24E164AF"/>
    <w:rsid w:val="24E41B08"/>
    <w:rsid w:val="24E6242C"/>
    <w:rsid w:val="24E65466"/>
    <w:rsid w:val="24E944A8"/>
    <w:rsid w:val="24EA091B"/>
    <w:rsid w:val="24F61130"/>
    <w:rsid w:val="24FA32D7"/>
    <w:rsid w:val="24FB3B1A"/>
    <w:rsid w:val="24FC5064"/>
    <w:rsid w:val="24FE3964"/>
    <w:rsid w:val="25082314"/>
    <w:rsid w:val="250A0B82"/>
    <w:rsid w:val="250B6C88"/>
    <w:rsid w:val="250D16FB"/>
    <w:rsid w:val="250D27EF"/>
    <w:rsid w:val="250F2B73"/>
    <w:rsid w:val="25154D7C"/>
    <w:rsid w:val="25207316"/>
    <w:rsid w:val="25212B2C"/>
    <w:rsid w:val="25373204"/>
    <w:rsid w:val="253A1C68"/>
    <w:rsid w:val="253C7281"/>
    <w:rsid w:val="25401AF0"/>
    <w:rsid w:val="25542A3A"/>
    <w:rsid w:val="25545821"/>
    <w:rsid w:val="255A2BE4"/>
    <w:rsid w:val="255A4BBE"/>
    <w:rsid w:val="25627611"/>
    <w:rsid w:val="25636FED"/>
    <w:rsid w:val="25645A54"/>
    <w:rsid w:val="256733F0"/>
    <w:rsid w:val="25687941"/>
    <w:rsid w:val="25765EE6"/>
    <w:rsid w:val="25772EBB"/>
    <w:rsid w:val="25797FDB"/>
    <w:rsid w:val="257E2881"/>
    <w:rsid w:val="257E28B8"/>
    <w:rsid w:val="2580322B"/>
    <w:rsid w:val="258167E3"/>
    <w:rsid w:val="25826F7E"/>
    <w:rsid w:val="25832019"/>
    <w:rsid w:val="25860C1E"/>
    <w:rsid w:val="259331FE"/>
    <w:rsid w:val="25957FF8"/>
    <w:rsid w:val="25A149AC"/>
    <w:rsid w:val="25A47A05"/>
    <w:rsid w:val="25AF3F32"/>
    <w:rsid w:val="25B22A3B"/>
    <w:rsid w:val="25B655A6"/>
    <w:rsid w:val="25BA2D11"/>
    <w:rsid w:val="25C654B7"/>
    <w:rsid w:val="25CC6A3A"/>
    <w:rsid w:val="25CE6BE3"/>
    <w:rsid w:val="25D26873"/>
    <w:rsid w:val="25D73322"/>
    <w:rsid w:val="25D97596"/>
    <w:rsid w:val="25DF37D9"/>
    <w:rsid w:val="25E37902"/>
    <w:rsid w:val="25ED312E"/>
    <w:rsid w:val="25F044F9"/>
    <w:rsid w:val="25F43EE0"/>
    <w:rsid w:val="25F64360"/>
    <w:rsid w:val="25F74971"/>
    <w:rsid w:val="25F9627B"/>
    <w:rsid w:val="25FB0431"/>
    <w:rsid w:val="25FC05B6"/>
    <w:rsid w:val="26040109"/>
    <w:rsid w:val="26060A54"/>
    <w:rsid w:val="26061962"/>
    <w:rsid w:val="260F672F"/>
    <w:rsid w:val="26110E03"/>
    <w:rsid w:val="26120F2D"/>
    <w:rsid w:val="261703C2"/>
    <w:rsid w:val="26175540"/>
    <w:rsid w:val="262C2F3C"/>
    <w:rsid w:val="262C56B0"/>
    <w:rsid w:val="263722F1"/>
    <w:rsid w:val="2642755C"/>
    <w:rsid w:val="26452EDC"/>
    <w:rsid w:val="26507D69"/>
    <w:rsid w:val="2658461C"/>
    <w:rsid w:val="26590788"/>
    <w:rsid w:val="265D1B10"/>
    <w:rsid w:val="26640280"/>
    <w:rsid w:val="266A751B"/>
    <w:rsid w:val="266C5762"/>
    <w:rsid w:val="266D04E0"/>
    <w:rsid w:val="267150A0"/>
    <w:rsid w:val="2676220B"/>
    <w:rsid w:val="267976EA"/>
    <w:rsid w:val="267D0DD4"/>
    <w:rsid w:val="267F6564"/>
    <w:rsid w:val="2681066F"/>
    <w:rsid w:val="268D6369"/>
    <w:rsid w:val="268F5850"/>
    <w:rsid w:val="26900E65"/>
    <w:rsid w:val="269308F5"/>
    <w:rsid w:val="26A0140A"/>
    <w:rsid w:val="26A31DBF"/>
    <w:rsid w:val="26A4480F"/>
    <w:rsid w:val="26AB027E"/>
    <w:rsid w:val="26B119F1"/>
    <w:rsid w:val="26BA3C53"/>
    <w:rsid w:val="26BD3478"/>
    <w:rsid w:val="26C115C4"/>
    <w:rsid w:val="26CB5BEC"/>
    <w:rsid w:val="26CE34D2"/>
    <w:rsid w:val="26CE7E81"/>
    <w:rsid w:val="26D17EE9"/>
    <w:rsid w:val="26D26B3A"/>
    <w:rsid w:val="26D51ADE"/>
    <w:rsid w:val="26E57236"/>
    <w:rsid w:val="26E70819"/>
    <w:rsid w:val="26E72ED9"/>
    <w:rsid w:val="26E812D7"/>
    <w:rsid w:val="26E86E1F"/>
    <w:rsid w:val="26ED0B15"/>
    <w:rsid w:val="26F614FF"/>
    <w:rsid w:val="27004AEF"/>
    <w:rsid w:val="27085698"/>
    <w:rsid w:val="270B5410"/>
    <w:rsid w:val="27152075"/>
    <w:rsid w:val="271C1C54"/>
    <w:rsid w:val="271C3FAB"/>
    <w:rsid w:val="271C6DEF"/>
    <w:rsid w:val="2722517B"/>
    <w:rsid w:val="2726309C"/>
    <w:rsid w:val="27293B1D"/>
    <w:rsid w:val="272D7547"/>
    <w:rsid w:val="27325E70"/>
    <w:rsid w:val="27341B93"/>
    <w:rsid w:val="27420834"/>
    <w:rsid w:val="27430D53"/>
    <w:rsid w:val="2743179B"/>
    <w:rsid w:val="274F06E6"/>
    <w:rsid w:val="27537702"/>
    <w:rsid w:val="27553494"/>
    <w:rsid w:val="275E5ED0"/>
    <w:rsid w:val="27644968"/>
    <w:rsid w:val="27683BBF"/>
    <w:rsid w:val="27752950"/>
    <w:rsid w:val="278100F8"/>
    <w:rsid w:val="27835B31"/>
    <w:rsid w:val="278B23EE"/>
    <w:rsid w:val="278C4A28"/>
    <w:rsid w:val="279C7ABE"/>
    <w:rsid w:val="27B52D32"/>
    <w:rsid w:val="27B55CAE"/>
    <w:rsid w:val="27B828EC"/>
    <w:rsid w:val="27B9747D"/>
    <w:rsid w:val="27BD3A45"/>
    <w:rsid w:val="27BD43A5"/>
    <w:rsid w:val="27C07B7F"/>
    <w:rsid w:val="27C22234"/>
    <w:rsid w:val="27CE4E03"/>
    <w:rsid w:val="27D30046"/>
    <w:rsid w:val="27D4336A"/>
    <w:rsid w:val="27D44BC7"/>
    <w:rsid w:val="27DC53D7"/>
    <w:rsid w:val="27F60128"/>
    <w:rsid w:val="27FB3370"/>
    <w:rsid w:val="280C3082"/>
    <w:rsid w:val="280F761E"/>
    <w:rsid w:val="28100970"/>
    <w:rsid w:val="28130FC3"/>
    <w:rsid w:val="281D3390"/>
    <w:rsid w:val="281E451F"/>
    <w:rsid w:val="28242AFE"/>
    <w:rsid w:val="2824302E"/>
    <w:rsid w:val="28255646"/>
    <w:rsid w:val="282D4DA2"/>
    <w:rsid w:val="28302666"/>
    <w:rsid w:val="28352993"/>
    <w:rsid w:val="283A7C94"/>
    <w:rsid w:val="283F1E7D"/>
    <w:rsid w:val="283F6FC6"/>
    <w:rsid w:val="2840715A"/>
    <w:rsid w:val="28410EB0"/>
    <w:rsid w:val="284576F3"/>
    <w:rsid w:val="284763CA"/>
    <w:rsid w:val="284929D4"/>
    <w:rsid w:val="284B4A54"/>
    <w:rsid w:val="284C1CF1"/>
    <w:rsid w:val="284F2393"/>
    <w:rsid w:val="285259C3"/>
    <w:rsid w:val="285E4750"/>
    <w:rsid w:val="285E68F8"/>
    <w:rsid w:val="28624B94"/>
    <w:rsid w:val="286E3006"/>
    <w:rsid w:val="286F0F65"/>
    <w:rsid w:val="287711AE"/>
    <w:rsid w:val="28810C2F"/>
    <w:rsid w:val="28821CD7"/>
    <w:rsid w:val="28832153"/>
    <w:rsid w:val="288C402F"/>
    <w:rsid w:val="2891552F"/>
    <w:rsid w:val="289F3CAC"/>
    <w:rsid w:val="28AA7B0D"/>
    <w:rsid w:val="28AF56E0"/>
    <w:rsid w:val="28BF2E88"/>
    <w:rsid w:val="28C400EC"/>
    <w:rsid w:val="28D30B77"/>
    <w:rsid w:val="28D321E2"/>
    <w:rsid w:val="28D36BF1"/>
    <w:rsid w:val="28E74484"/>
    <w:rsid w:val="28F05CD9"/>
    <w:rsid w:val="28F364BD"/>
    <w:rsid w:val="29034D8E"/>
    <w:rsid w:val="290A667A"/>
    <w:rsid w:val="290B0C0D"/>
    <w:rsid w:val="290B5FD7"/>
    <w:rsid w:val="290D640A"/>
    <w:rsid w:val="29162756"/>
    <w:rsid w:val="291A4C7E"/>
    <w:rsid w:val="291F0427"/>
    <w:rsid w:val="292555F9"/>
    <w:rsid w:val="29336FB4"/>
    <w:rsid w:val="293C79A7"/>
    <w:rsid w:val="293D2697"/>
    <w:rsid w:val="29454D6E"/>
    <w:rsid w:val="294F4DA4"/>
    <w:rsid w:val="295449EC"/>
    <w:rsid w:val="29554FB8"/>
    <w:rsid w:val="295D23DB"/>
    <w:rsid w:val="297172A8"/>
    <w:rsid w:val="29786483"/>
    <w:rsid w:val="2983564B"/>
    <w:rsid w:val="29853FA2"/>
    <w:rsid w:val="2986365A"/>
    <w:rsid w:val="298F2D60"/>
    <w:rsid w:val="299C2B37"/>
    <w:rsid w:val="29A03597"/>
    <w:rsid w:val="29A4703D"/>
    <w:rsid w:val="29A50264"/>
    <w:rsid w:val="29AF3FCC"/>
    <w:rsid w:val="29BE52CE"/>
    <w:rsid w:val="29CA7D6B"/>
    <w:rsid w:val="29CE6AED"/>
    <w:rsid w:val="29D35CB3"/>
    <w:rsid w:val="29DB2E13"/>
    <w:rsid w:val="29DB795F"/>
    <w:rsid w:val="29E677D4"/>
    <w:rsid w:val="29EC2923"/>
    <w:rsid w:val="29F43C64"/>
    <w:rsid w:val="29FA25C8"/>
    <w:rsid w:val="29FB4557"/>
    <w:rsid w:val="29FD19B7"/>
    <w:rsid w:val="29FD435A"/>
    <w:rsid w:val="2A0815C1"/>
    <w:rsid w:val="2A0D30D8"/>
    <w:rsid w:val="2A112438"/>
    <w:rsid w:val="2A1808B1"/>
    <w:rsid w:val="2A181440"/>
    <w:rsid w:val="2A1C72FC"/>
    <w:rsid w:val="2A1D0793"/>
    <w:rsid w:val="2A232024"/>
    <w:rsid w:val="2A23375B"/>
    <w:rsid w:val="2A26647F"/>
    <w:rsid w:val="2A29188B"/>
    <w:rsid w:val="2A34446A"/>
    <w:rsid w:val="2A3F4296"/>
    <w:rsid w:val="2A43220E"/>
    <w:rsid w:val="2A6021EF"/>
    <w:rsid w:val="2A7A5040"/>
    <w:rsid w:val="2A7E74F9"/>
    <w:rsid w:val="2A856183"/>
    <w:rsid w:val="2A89559E"/>
    <w:rsid w:val="2A94612D"/>
    <w:rsid w:val="2A9C5B40"/>
    <w:rsid w:val="2AA400F4"/>
    <w:rsid w:val="2AAC54BB"/>
    <w:rsid w:val="2AB11A39"/>
    <w:rsid w:val="2AB15325"/>
    <w:rsid w:val="2AB27589"/>
    <w:rsid w:val="2AB30A89"/>
    <w:rsid w:val="2AB57FF9"/>
    <w:rsid w:val="2AB90ADF"/>
    <w:rsid w:val="2ABA44A8"/>
    <w:rsid w:val="2ABA6371"/>
    <w:rsid w:val="2AC12D4D"/>
    <w:rsid w:val="2AC329D5"/>
    <w:rsid w:val="2AC87D23"/>
    <w:rsid w:val="2ACC151A"/>
    <w:rsid w:val="2ACC28DA"/>
    <w:rsid w:val="2ADD0E74"/>
    <w:rsid w:val="2AE11D66"/>
    <w:rsid w:val="2AE94B0E"/>
    <w:rsid w:val="2AEB102F"/>
    <w:rsid w:val="2AF14F00"/>
    <w:rsid w:val="2AF4565C"/>
    <w:rsid w:val="2AFA0056"/>
    <w:rsid w:val="2AFA470A"/>
    <w:rsid w:val="2AFE7CB8"/>
    <w:rsid w:val="2B012590"/>
    <w:rsid w:val="2B0C20F7"/>
    <w:rsid w:val="2B0C4EE1"/>
    <w:rsid w:val="2B0F1D0A"/>
    <w:rsid w:val="2B0F5533"/>
    <w:rsid w:val="2B1B65B9"/>
    <w:rsid w:val="2B1F527C"/>
    <w:rsid w:val="2B22094C"/>
    <w:rsid w:val="2B224C5D"/>
    <w:rsid w:val="2B241B31"/>
    <w:rsid w:val="2B2706A2"/>
    <w:rsid w:val="2B28252F"/>
    <w:rsid w:val="2B450B78"/>
    <w:rsid w:val="2B461FAE"/>
    <w:rsid w:val="2B4665D5"/>
    <w:rsid w:val="2B4D31F0"/>
    <w:rsid w:val="2B4F71D5"/>
    <w:rsid w:val="2B527EE3"/>
    <w:rsid w:val="2B580D2F"/>
    <w:rsid w:val="2B595F47"/>
    <w:rsid w:val="2B5B08A7"/>
    <w:rsid w:val="2B5C1416"/>
    <w:rsid w:val="2B5E1A74"/>
    <w:rsid w:val="2B667187"/>
    <w:rsid w:val="2B7D4228"/>
    <w:rsid w:val="2B82321A"/>
    <w:rsid w:val="2B874473"/>
    <w:rsid w:val="2B8A6EA5"/>
    <w:rsid w:val="2B8B70C4"/>
    <w:rsid w:val="2B8F7512"/>
    <w:rsid w:val="2B9576E2"/>
    <w:rsid w:val="2B9A4D5A"/>
    <w:rsid w:val="2B9D3851"/>
    <w:rsid w:val="2BA41CAA"/>
    <w:rsid w:val="2BB700E0"/>
    <w:rsid w:val="2BBD4491"/>
    <w:rsid w:val="2BBE79E4"/>
    <w:rsid w:val="2BC2082C"/>
    <w:rsid w:val="2BCF1F15"/>
    <w:rsid w:val="2BD25B6F"/>
    <w:rsid w:val="2BDB3ED0"/>
    <w:rsid w:val="2BEB0DD4"/>
    <w:rsid w:val="2BEC51D8"/>
    <w:rsid w:val="2BEE6C0E"/>
    <w:rsid w:val="2BEF1A87"/>
    <w:rsid w:val="2BF75607"/>
    <w:rsid w:val="2BFC6FD4"/>
    <w:rsid w:val="2C0368C6"/>
    <w:rsid w:val="2C05500E"/>
    <w:rsid w:val="2C0F7712"/>
    <w:rsid w:val="2C1134D0"/>
    <w:rsid w:val="2C246940"/>
    <w:rsid w:val="2C290D81"/>
    <w:rsid w:val="2C2E78B5"/>
    <w:rsid w:val="2C3551A2"/>
    <w:rsid w:val="2C3C1EC1"/>
    <w:rsid w:val="2C42462B"/>
    <w:rsid w:val="2C433061"/>
    <w:rsid w:val="2C437300"/>
    <w:rsid w:val="2C4F6D41"/>
    <w:rsid w:val="2C5B41CA"/>
    <w:rsid w:val="2C5D0B16"/>
    <w:rsid w:val="2C6A377A"/>
    <w:rsid w:val="2C75368A"/>
    <w:rsid w:val="2C7D17AB"/>
    <w:rsid w:val="2C841B39"/>
    <w:rsid w:val="2C8A1EDE"/>
    <w:rsid w:val="2C8A6306"/>
    <w:rsid w:val="2C9116B8"/>
    <w:rsid w:val="2C995C25"/>
    <w:rsid w:val="2CA01851"/>
    <w:rsid w:val="2CA122DA"/>
    <w:rsid w:val="2CA423D8"/>
    <w:rsid w:val="2CA96082"/>
    <w:rsid w:val="2CAA01BE"/>
    <w:rsid w:val="2CAE345F"/>
    <w:rsid w:val="2CB50CBF"/>
    <w:rsid w:val="2CB85977"/>
    <w:rsid w:val="2CBB5644"/>
    <w:rsid w:val="2CBD0690"/>
    <w:rsid w:val="2CBE40F4"/>
    <w:rsid w:val="2CC44205"/>
    <w:rsid w:val="2CC55793"/>
    <w:rsid w:val="2CCE189E"/>
    <w:rsid w:val="2CCF5DDE"/>
    <w:rsid w:val="2CDA3B55"/>
    <w:rsid w:val="2CDB0944"/>
    <w:rsid w:val="2CDC54D1"/>
    <w:rsid w:val="2CDD3EC5"/>
    <w:rsid w:val="2CE27267"/>
    <w:rsid w:val="2CE74D39"/>
    <w:rsid w:val="2CE8150A"/>
    <w:rsid w:val="2CF04B2B"/>
    <w:rsid w:val="2CF06CC2"/>
    <w:rsid w:val="2CF4573F"/>
    <w:rsid w:val="2D016444"/>
    <w:rsid w:val="2D0B00A7"/>
    <w:rsid w:val="2D0B16C5"/>
    <w:rsid w:val="2D0D1E1A"/>
    <w:rsid w:val="2D0D6A6B"/>
    <w:rsid w:val="2D12077C"/>
    <w:rsid w:val="2D1715C6"/>
    <w:rsid w:val="2D1943ED"/>
    <w:rsid w:val="2D1D3D27"/>
    <w:rsid w:val="2D270FD0"/>
    <w:rsid w:val="2D277EFB"/>
    <w:rsid w:val="2D31047C"/>
    <w:rsid w:val="2D3136D3"/>
    <w:rsid w:val="2D3178DC"/>
    <w:rsid w:val="2D324DB9"/>
    <w:rsid w:val="2D334CAC"/>
    <w:rsid w:val="2D426862"/>
    <w:rsid w:val="2D4370D2"/>
    <w:rsid w:val="2D450D5F"/>
    <w:rsid w:val="2D4E3F0C"/>
    <w:rsid w:val="2D5B4B27"/>
    <w:rsid w:val="2D5D08DD"/>
    <w:rsid w:val="2D636224"/>
    <w:rsid w:val="2D646B9E"/>
    <w:rsid w:val="2D6B244F"/>
    <w:rsid w:val="2D6B5D7F"/>
    <w:rsid w:val="2D700E9E"/>
    <w:rsid w:val="2D8B4452"/>
    <w:rsid w:val="2D8D53A8"/>
    <w:rsid w:val="2D976683"/>
    <w:rsid w:val="2D9E3E78"/>
    <w:rsid w:val="2DAB621D"/>
    <w:rsid w:val="2DB27C81"/>
    <w:rsid w:val="2DBC5013"/>
    <w:rsid w:val="2DCD0958"/>
    <w:rsid w:val="2DD11590"/>
    <w:rsid w:val="2DD27CA8"/>
    <w:rsid w:val="2DDA0237"/>
    <w:rsid w:val="2DE35338"/>
    <w:rsid w:val="2DE97FFE"/>
    <w:rsid w:val="2DEB4A08"/>
    <w:rsid w:val="2E0019A3"/>
    <w:rsid w:val="2E0A7A05"/>
    <w:rsid w:val="2E194F3D"/>
    <w:rsid w:val="2E287B61"/>
    <w:rsid w:val="2E3D028C"/>
    <w:rsid w:val="2E3E0198"/>
    <w:rsid w:val="2E3F0BEE"/>
    <w:rsid w:val="2E4652C5"/>
    <w:rsid w:val="2E4A28CA"/>
    <w:rsid w:val="2E4D5A50"/>
    <w:rsid w:val="2E560939"/>
    <w:rsid w:val="2E5A7CD6"/>
    <w:rsid w:val="2E5E648E"/>
    <w:rsid w:val="2E790DE1"/>
    <w:rsid w:val="2E7973ED"/>
    <w:rsid w:val="2E7B3153"/>
    <w:rsid w:val="2E7C78DB"/>
    <w:rsid w:val="2E877342"/>
    <w:rsid w:val="2E9123DB"/>
    <w:rsid w:val="2E9136EE"/>
    <w:rsid w:val="2E957101"/>
    <w:rsid w:val="2EAA1BD0"/>
    <w:rsid w:val="2EB37D85"/>
    <w:rsid w:val="2EBB5220"/>
    <w:rsid w:val="2EBC5351"/>
    <w:rsid w:val="2EC46383"/>
    <w:rsid w:val="2EC56BE5"/>
    <w:rsid w:val="2EC77991"/>
    <w:rsid w:val="2ECF2A91"/>
    <w:rsid w:val="2ED917DE"/>
    <w:rsid w:val="2EDF31F8"/>
    <w:rsid w:val="2EEB7843"/>
    <w:rsid w:val="2EF00893"/>
    <w:rsid w:val="2EF3442E"/>
    <w:rsid w:val="2EF65105"/>
    <w:rsid w:val="2EFB4F05"/>
    <w:rsid w:val="2EFF3E52"/>
    <w:rsid w:val="2F0465CC"/>
    <w:rsid w:val="2F072879"/>
    <w:rsid w:val="2F08433B"/>
    <w:rsid w:val="2F0907FB"/>
    <w:rsid w:val="2F0B5278"/>
    <w:rsid w:val="2F136646"/>
    <w:rsid w:val="2F2269A3"/>
    <w:rsid w:val="2F2828F2"/>
    <w:rsid w:val="2F363704"/>
    <w:rsid w:val="2F3D037D"/>
    <w:rsid w:val="2F4C6D53"/>
    <w:rsid w:val="2F585AF3"/>
    <w:rsid w:val="2F596049"/>
    <w:rsid w:val="2F61762B"/>
    <w:rsid w:val="2F843A53"/>
    <w:rsid w:val="2F8F00C0"/>
    <w:rsid w:val="2F9429CB"/>
    <w:rsid w:val="2F962068"/>
    <w:rsid w:val="2F9B5A25"/>
    <w:rsid w:val="2F9E5E02"/>
    <w:rsid w:val="2FA409F4"/>
    <w:rsid w:val="2FA92ACB"/>
    <w:rsid w:val="2FBC4FC2"/>
    <w:rsid w:val="2FC12E0D"/>
    <w:rsid w:val="2FC61E19"/>
    <w:rsid w:val="2FD3657A"/>
    <w:rsid w:val="2FD54996"/>
    <w:rsid w:val="2FD97BCD"/>
    <w:rsid w:val="2FDD2E8E"/>
    <w:rsid w:val="2FDE3125"/>
    <w:rsid w:val="2FE87D4B"/>
    <w:rsid w:val="2FE97517"/>
    <w:rsid w:val="2FED2320"/>
    <w:rsid w:val="2FF3094F"/>
    <w:rsid w:val="2FFD0C0E"/>
    <w:rsid w:val="30002D07"/>
    <w:rsid w:val="300711A8"/>
    <w:rsid w:val="300C3B90"/>
    <w:rsid w:val="300D20E3"/>
    <w:rsid w:val="300D36B9"/>
    <w:rsid w:val="300F0B89"/>
    <w:rsid w:val="301168CE"/>
    <w:rsid w:val="30154E19"/>
    <w:rsid w:val="30171924"/>
    <w:rsid w:val="30173190"/>
    <w:rsid w:val="301B2328"/>
    <w:rsid w:val="30225849"/>
    <w:rsid w:val="302C277F"/>
    <w:rsid w:val="303221E0"/>
    <w:rsid w:val="30322E5C"/>
    <w:rsid w:val="3039340C"/>
    <w:rsid w:val="30396D27"/>
    <w:rsid w:val="3044003E"/>
    <w:rsid w:val="30453B9D"/>
    <w:rsid w:val="30505F70"/>
    <w:rsid w:val="305703F6"/>
    <w:rsid w:val="305A4534"/>
    <w:rsid w:val="306212C1"/>
    <w:rsid w:val="30645CFC"/>
    <w:rsid w:val="30665E9F"/>
    <w:rsid w:val="306A6432"/>
    <w:rsid w:val="306C7EFE"/>
    <w:rsid w:val="30794DF1"/>
    <w:rsid w:val="308321E0"/>
    <w:rsid w:val="30A57B99"/>
    <w:rsid w:val="30B20E4E"/>
    <w:rsid w:val="30B97331"/>
    <w:rsid w:val="30BA4AA5"/>
    <w:rsid w:val="30BA548C"/>
    <w:rsid w:val="30BA6D63"/>
    <w:rsid w:val="30BF253F"/>
    <w:rsid w:val="30C23A3B"/>
    <w:rsid w:val="30CA3F94"/>
    <w:rsid w:val="30CD5539"/>
    <w:rsid w:val="30E31B4E"/>
    <w:rsid w:val="30EF0ED6"/>
    <w:rsid w:val="30F13FAA"/>
    <w:rsid w:val="30F5319F"/>
    <w:rsid w:val="30F60F82"/>
    <w:rsid w:val="3104150C"/>
    <w:rsid w:val="31060D94"/>
    <w:rsid w:val="310662F5"/>
    <w:rsid w:val="310A511C"/>
    <w:rsid w:val="310C35ED"/>
    <w:rsid w:val="310D031B"/>
    <w:rsid w:val="31186793"/>
    <w:rsid w:val="311D1232"/>
    <w:rsid w:val="311D5693"/>
    <w:rsid w:val="31210AA0"/>
    <w:rsid w:val="312B4918"/>
    <w:rsid w:val="31311CFE"/>
    <w:rsid w:val="313171F6"/>
    <w:rsid w:val="31330F3C"/>
    <w:rsid w:val="31337DEB"/>
    <w:rsid w:val="313B3958"/>
    <w:rsid w:val="3144316E"/>
    <w:rsid w:val="314874EB"/>
    <w:rsid w:val="31496258"/>
    <w:rsid w:val="314B0B14"/>
    <w:rsid w:val="31594B69"/>
    <w:rsid w:val="315B0515"/>
    <w:rsid w:val="31607AF5"/>
    <w:rsid w:val="31643BE3"/>
    <w:rsid w:val="316B6CEE"/>
    <w:rsid w:val="318022DD"/>
    <w:rsid w:val="31871366"/>
    <w:rsid w:val="3188024D"/>
    <w:rsid w:val="31881438"/>
    <w:rsid w:val="318C3787"/>
    <w:rsid w:val="3191218A"/>
    <w:rsid w:val="31913A69"/>
    <w:rsid w:val="31922F44"/>
    <w:rsid w:val="319B3CAA"/>
    <w:rsid w:val="31A628A5"/>
    <w:rsid w:val="31B22A5A"/>
    <w:rsid w:val="31B36D87"/>
    <w:rsid w:val="31BF0A20"/>
    <w:rsid w:val="31D774B8"/>
    <w:rsid w:val="31D85559"/>
    <w:rsid w:val="31DA7CEA"/>
    <w:rsid w:val="31DB1CD9"/>
    <w:rsid w:val="31ED3136"/>
    <w:rsid w:val="31EF7302"/>
    <w:rsid w:val="31F438FC"/>
    <w:rsid w:val="31FD406A"/>
    <w:rsid w:val="31FE2FC8"/>
    <w:rsid w:val="32066C5B"/>
    <w:rsid w:val="32097DF1"/>
    <w:rsid w:val="321330EB"/>
    <w:rsid w:val="321530B7"/>
    <w:rsid w:val="32166511"/>
    <w:rsid w:val="321D2039"/>
    <w:rsid w:val="32222323"/>
    <w:rsid w:val="3224393E"/>
    <w:rsid w:val="32246E4C"/>
    <w:rsid w:val="323709AC"/>
    <w:rsid w:val="323E4C46"/>
    <w:rsid w:val="32416ECE"/>
    <w:rsid w:val="324276A3"/>
    <w:rsid w:val="32440A8B"/>
    <w:rsid w:val="324639D0"/>
    <w:rsid w:val="325558B4"/>
    <w:rsid w:val="325719E8"/>
    <w:rsid w:val="32583CC1"/>
    <w:rsid w:val="326170B4"/>
    <w:rsid w:val="32642218"/>
    <w:rsid w:val="326429D0"/>
    <w:rsid w:val="3264531C"/>
    <w:rsid w:val="32665466"/>
    <w:rsid w:val="326820F3"/>
    <w:rsid w:val="32692A31"/>
    <w:rsid w:val="32697F0A"/>
    <w:rsid w:val="326B38EB"/>
    <w:rsid w:val="327C3B58"/>
    <w:rsid w:val="32885317"/>
    <w:rsid w:val="32892A4B"/>
    <w:rsid w:val="32980D20"/>
    <w:rsid w:val="32A2433E"/>
    <w:rsid w:val="32A91748"/>
    <w:rsid w:val="32AD2087"/>
    <w:rsid w:val="32B01DCF"/>
    <w:rsid w:val="32B53ABB"/>
    <w:rsid w:val="32B736BD"/>
    <w:rsid w:val="32B865A2"/>
    <w:rsid w:val="32BF743F"/>
    <w:rsid w:val="32C40CE5"/>
    <w:rsid w:val="32C62D0D"/>
    <w:rsid w:val="32E5329D"/>
    <w:rsid w:val="32EF6F5B"/>
    <w:rsid w:val="32F90C87"/>
    <w:rsid w:val="32F976CA"/>
    <w:rsid w:val="32FC1D3D"/>
    <w:rsid w:val="32FE6CC1"/>
    <w:rsid w:val="32FF3C80"/>
    <w:rsid w:val="330C791D"/>
    <w:rsid w:val="330D2A67"/>
    <w:rsid w:val="330E2AC2"/>
    <w:rsid w:val="330E2F53"/>
    <w:rsid w:val="330E4A42"/>
    <w:rsid w:val="331518CB"/>
    <w:rsid w:val="33186345"/>
    <w:rsid w:val="331B428B"/>
    <w:rsid w:val="331F2416"/>
    <w:rsid w:val="332705B3"/>
    <w:rsid w:val="33291ECF"/>
    <w:rsid w:val="332F2325"/>
    <w:rsid w:val="332F78E4"/>
    <w:rsid w:val="33302505"/>
    <w:rsid w:val="33435FD9"/>
    <w:rsid w:val="3345063A"/>
    <w:rsid w:val="334D2CFC"/>
    <w:rsid w:val="335121B9"/>
    <w:rsid w:val="335D450D"/>
    <w:rsid w:val="3367377C"/>
    <w:rsid w:val="336C307D"/>
    <w:rsid w:val="337070BE"/>
    <w:rsid w:val="33780162"/>
    <w:rsid w:val="337829B0"/>
    <w:rsid w:val="337A0742"/>
    <w:rsid w:val="337B77A8"/>
    <w:rsid w:val="337C0BAD"/>
    <w:rsid w:val="3382532E"/>
    <w:rsid w:val="33835519"/>
    <w:rsid w:val="33907D95"/>
    <w:rsid w:val="33912A7A"/>
    <w:rsid w:val="33923816"/>
    <w:rsid w:val="33960E31"/>
    <w:rsid w:val="339766EC"/>
    <w:rsid w:val="339B00AC"/>
    <w:rsid w:val="33A13F7B"/>
    <w:rsid w:val="33A60EDE"/>
    <w:rsid w:val="33A8589B"/>
    <w:rsid w:val="33B95F01"/>
    <w:rsid w:val="33BD0F57"/>
    <w:rsid w:val="33C07D0A"/>
    <w:rsid w:val="33CB0B80"/>
    <w:rsid w:val="33E170B6"/>
    <w:rsid w:val="33E93BB1"/>
    <w:rsid w:val="33F75282"/>
    <w:rsid w:val="33FB6405"/>
    <w:rsid w:val="3402383D"/>
    <w:rsid w:val="340549D0"/>
    <w:rsid w:val="340A53E6"/>
    <w:rsid w:val="340F05AC"/>
    <w:rsid w:val="34110143"/>
    <w:rsid w:val="341931A8"/>
    <w:rsid w:val="341942F8"/>
    <w:rsid w:val="34265666"/>
    <w:rsid w:val="342D57DA"/>
    <w:rsid w:val="342F4A90"/>
    <w:rsid w:val="344026A9"/>
    <w:rsid w:val="3448506B"/>
    <w:rsid w:val="34505149"/>
    <w:rsid w:val="34517714"/>
    <w:rsid w:val="345A50D5"/>
    <w:rsid w:val="345B795C"/>
    <w:rsid w:val="3468005A"/>
    <w:rsid w:val="346E1392"/>
    <w:rsid w:val="346F2A79"/>
    <w:rsid w:val="3471648D"/>
    <w:rsid w:val="347362F2"/>
    <w:rsid w:val="34772FC6"/>
    <w:rsid w:val="347B1DEB"/>
    <w:rsid w:val="347F5B57"/>
    <w:rsid w:val="34891274"/>
    <w:rsid w:val="348A1DB8"/>
    <w:rsid w:val="348D78C7"/>
    <w:rsid w:val="348E7E8F"/>
    <w:rsid w:val="348F0128"/>
    <w:rsid w:val="34934B68"/>
    <w:rsid w:val="34980D1E"/>
    <w:rsid w:val="349C67C9"/>
    <w:rsid w:val="34A03C19"/>
    <w:rsid w:val="34A13EE1"/>
    <w:rsid w:val="34A22A5F"/>
    <w:rsid w:val="34A628F1"/>
    <w:rsid w:val="34A838C3"/>
    <w:rsid w:val="34B033E7"/>
    <w:rsid w:val="34BD350C"/>
    <w:rsid w:val="34BF19E9"/>
    <w:rsid w:val="34BF74EA"/>
    <w:rsid w:val="34C33AD8"/>
    <w:rsid w:val="34CA71B6"/>
    <w:rsid w:val="34CE4260"/>
    <w:rsid w:val="34CF122C"/>
    <w:rsid w:val="34D766B0"/>
    <w:rsid w:val="34DB2B4D"/>
    <w:rsid w:val="34E16316"/>
    <w:rsid w:val="34E467C1"/>
    <w:rsid w:val="34E7342C"/>
    <w:rsid w:val="34E75F12"/>
    <w:rsid w:val="34F32500"/>
    <w:rsid w:val="34F432BA"/>
    <w:rsid w:val="35015A7F"/>
    <w:rsid w:val="350A5CF4"/>
    <w:rsid w:val="35195020"/>
    <w:rsid w:val="351F2F82"/>
    <w:rsid w:val="35246742"/>
    <w:rsid w:val="35270120"/>
    <w:rsid w:val="35275089"/>
    <w:rsid w:val="352D62A3"/>
    <w:rsid w:val="352E7C67"/>
    <w:rsid w:val="3535293E"/>
    <w:rsid w:val="3536502B"/>
    <w:rsid w:val="353665BD"/>
    <w:rsid w:val="353E58AC"/>
    <w:rsid w:val="3540294F"/>
    <w:rsid w:val="354112CF"/>
    <w:rsid w:val="354B2DE4"/>
    <w:rsid w:val="354F4ECD"/>
    <w:rsid w:val="35543E8E"/>
    <w:rsid w:val="35555A63"/>
    <w:rsid w:val="355A6497"/>
    <w:rsid w:val="355B65B2"/>
    <w:rsid w:val="355D4F81"/>
    <w:rsid w:val="355E50CF"/>
    <w:rsid w:val="356F2C96"/>
    <w:rsid w:val="35705AE4"/>
    <w:rsid w:val="357B2101"/>
    <w:rsid w:val="357E004F"/>
    <w:rsid w:val="35824905"/>
    <w:rsid w:val="35843F72"/>
    <w:rsid w:val="35844FB9"/>
    <w:rsid w:val="35864933"/>
    <w:rsid w:val="35881566"/>
    <w:rsid w:val="35895A1F"/>
    <w:rsid w:val="358D2D1D"/>
    <w:rsid w:val="35922D88"/>
    <w:rsid w:val="35970273"/>
    <w:rsid w:val="35A930DB"/>
    <w:rsid w:val="35B23542"/>
    <w:rsid w:val="35BD2A9C"/>
    <w:rsid w:val="35C213AC"/>
    <w:rsid w:val="35C74E47"/>
    <w:rsid w:val="35C95861"/>
    <w:rsid w:val="35D8240C"/>
    <w:rsid w:val="35D86E88"/>
    <w:rsid w:val="35D945B0"/>
    <w:rsid w:val="35DB7B88"/>
    <w:rsid w:val="35E24DF5"/>
    <w:rsid w:val="35FB6F9A"/>
    <w:rsid w:val="35FC0320"/>
    <w:rsid w:val="35FC78A0"/>
    <w:rsid w:val="35FD2590"/>
    <w:rsid w:val="35FF463C"/>
    <w:rsid w:val="360D4DD7"/>
    <w:rsid w:val="360F2DBF"/>
    <w:rsid w:val="361124A4"/>
    <w:rsid w:val="36132896"/>
    <w:rsid w:val="36251E52"/>
    <w:rsid w:val="36303FB9"/>
    <w:rsid w:val="363407F7"/>
    <w:rsid w:val="363842BA"/>
    <w:rsid w:val="3638445C"/>
    <w:rsid w:val="363B5B34"/>
    <w:rsid w:val="364D39D1"/>
    <w:rsid w:val="364F6F22"/>
    <w:rsid w:val="365612E8"/>
    <w:rsid w:val="3658395C"/>
    <w:rsid w:val="36593DEE"/>
    <w:rsid w:val="366513C8"/>
    <w:rsid w:val="36692C29"/>
    <w:rsid w:val="3678741B"/>
    <w:rsid w:val="367B598F"/>
    <w:rsid w:val="36835443"/>
    <w:rsid w:val="3686608C"/>
    <w:rsid w:val="368D3FB1"/>
    <w:rsid w:val="36914723"/>
    <w:rsid w:val="36931AD1"/>
    <w:rsid w:val="369760BA"/>
    <w:rsid w:val="369769C2"/>
    <w:rsid w:val="36A00055"/>
    <w:rsid w:val="36AD62EF"/>
    <w:rsid w:val="36B814E3"/>
    <w:rsid w:val="36BB2D6A"/>
    <w:rsid w:val="36C40518"/>
    <w:rsid w:val="36CA1F25"/>
    <w:rsid w:val="36D00424"/>
    <w:rsid w:val="36D20CF6"/>
    <w:rsid w:val="36DD2BAC"/>
    <w:rsid w:val="36DE0951"/>
    <w:rsid w:val="36E21D02"/>
    <w:rsid w:val="36E67553"/>
    <w:rsid w:val="36F20F6E"/>
    <w:rsid w:val="36F210B1"/>
    <w:rsid w:val="36F7353D"/>
    <w:rsid w:val="37007AC7"/>
    <w:rsid w:val="3702370D"/>
    <w:rsid w:val="37057E3C"/>
    <w:rsid w:val="37074341"/>
    <w:rsid w:val="37147CD9"/>
    <w:rsid w:val="371922ED"/>
    <w:rsid w:val="371A7708"/>
    <w:rsid w:val="371D469E"/>
    <w:rsid w:val="371F6EDC"/>
    <w:rsid w:val="372A09FA"/>
    <w:rsid w:val="37330115"/>
    <w:rsid w:val="373529C0"/>
    <w:rsid w:val="37397682"/>
    <w:rsid w:val="373C7B02"/>
    <w:rsid w:val="37487E21"/>
    <w:rsid w:val="37525ACD"/>
    <w:rsid w:val="37527418"/>
    <w:rsid w:val="375A55D3"/>
    <w:rsid w:val="375A58F4"/>
    <w:rsid w:val="375E5B2F"/>
    <w:rsid w:val="375F2D0C"/>
    <w:rsid w:val="376B4FBE"/>
    <w:rsid w:val="37734B4D"/>
    <w:rsid w:val="377D7730"/>
    <w:rsid w:val="37807A1C"/>
    <w:rsid w:val="37820CB3"/>
    <w:rsid w:val="3783476E"/>
    <w:rsid w:val="37885E60"/>
    <w:rsid w:val="378A0827"/>
    <w:rsid w:val="378B78F4"/>
    <w:rsid w:val="378E3BE4"/>
    <w:rsid w:val="3792490D"/>
    <w:rsid w:val="379837CA"/>
    <w:rsid w:val="37994C24"/>
    <w:rsid w:val="37A4695E"/>
    <w:rsid w:val="37A56331"/>
    <w:rsid w:val="37A91E09"/>
    <w:rsid w:val="37AA79A3"/>
    <w:rsid w:val="37AE30E0"/>
    <w:rsid w:val="37B253AC"/>
    <w:rsid w:val="37B31795"/>
    <w:rsid w:val="37B73B33"/>
    <w:rsid w:val="37B874AF"/>
    <w:rsid w:val="37C360D7"/>
    <w:rsid w:val="37C8424C"/>
    <w:rsid w:val="37C87091"/>
    <w:rsid w:val="37CE5D76"/>
    <w:rsid w:val="37D42B5B"/>
    <w:rsid w:val="37DD65A4"/>
    <w:rsid w:val="37DE28E6"/>
    <w:rsid w:val="37E8004A"/>
    <w:rsid w:val="37F048A0"/>
    <w:rsid w:val="37F27E10"/>
    <w:rsid w:val="37F637BC"/>
    <w:rsid w:val="3800555A"/>
    <w:rsid w:val="3809306D"/>
    <w:rsid w:val="381D1FCA"/>
    <w:rsid w:val="3826753F"/>
    <w:rsid w:val="3827518E"/>
    <w:rsid w:val="382800C6"/>
    <w:rsid w:val="382837A8"/>
    <w:rsid w:val="382932C1"/>
    <w:rsid w:val="382A51FA"/>
    <w:rsid w:val="382D2A96"/>
    <w:rsid w:val="382F4B08"/>
    <w:rsid w:val="38312A30"/>
    <w:rsid w:val="383210E4"/>
    <w:rsid w:val="383A36AD"/>
    <w:rsid w:val="38685430"/>
    <w:rsid w:val="386F52F6"/>
    <w:rsid w:val="387A0F64"/>
    <w:rsid w:val="387F4B65"/>
    <w:rsid w:val="38894205"/>
    <w:rsid w:val="388C418E"/>
    <w:rsid w:val="389159D8"/>
    <w:rsid w:val="38951FE9"/>
    <w:rsid w:val="389B418C"/>
    <w:rsid w:val="389C7387"/>
    <w:rsid w:val="389F5A0E"/>
    <w:rsid w:val="38A00A0E"/>
    <w:rsid w:val="38A23923"/>
    <w:rsid w:val="38B10FD3"/>
    <w:rsid w:val="38B83890"/>
    <w:rsid w:val="38BC5EB1"/>
    <w:rsid w:val="38D342E9"/>
    <w:rsid w:val="38DC6990"/>
    <w:rsid w:val="38DC7DB9"/>
    <w:rsid w:val="38DD5656"/>
    <w:rsid w:val="38DD68CB"/>
    <w:rsid w:val="38E05C36"/>
    <w:rsid w:val="38E12A24"/>
    <w:rsid w:val="38E7522B"/>
    <w:rsid w:val="38ED1063"/>
    <w:rsid w:val="38F172EC"/>
    <w:rsid w:val="38F26B3A"/>
    <w:rsid w:val="38F407F9"/>
    <w:rsid w:val="38F95DF6"/>
    <w:rsid w:val="38FF6148"/>
    <w:rsid w:val="3903466D"/>
    <w:rsid w:val="390D588D"/>
    <w:rsid w:val="390E17BC"/>
    <w:rsid w:val="39132FFD"/>
    <w:rsid w:val="391877C9"/>
    <w:rsid w:val="391F5244"/>
    <w:rsid w:val="39225CE4"/>
    <w:rsid w:val="392635CF"/>
    <w:rsid w:val="392876F4"/>
    <w:rsid w:val="39293088"/>
    <w:rsid w:val="392A377B"/>
    <w:rsid w:val="393120C7"/>
    <w:rsid w:val="3933284B"/>
    <w:rsid w:val="39352D1A"/>
    <w:rsid w:val="393E362D"/>
    <w:rsid w:val="394738B9"/>
    <w:rsid w:val="394F5526"/>
    <w:rsid w:val="395068D0"/>
    <w:rsid w:val="39510E15"/>
    <w:rsid w:val="39581DB9"/>
    <w:rsid w:val="395961F5"/>
    <w:rsid w:val="395E6FAD"/>
    <w:rsid w:val="396252C6"/>
    <w:rsid w:val="396D0C84"/>
    <w:rsid w:val="397F27D6"/>
    <w:rsid w:val="39865ABE"/>
    <w:rsid w:val="398D1029"/>
    <w:rsid w:val="39902EFF"/>
    <w:rsid w:val="39903EB2"/>
    <w:rsid w:val="39980102"/>
    <w:rsid w:val="399E01FF"/>
    <w:rsid w:val="399E2214"/>
    <w:rsid w:val="39AE1A04"/>
    <w:rsid w:val="39B7679D"/>
    <w:rsid w:val="39C550B5"/>
    <w:rsid w:val="39CE6CE4"/>
    <w:rsid w:val="39D471ED"/>
    <w:rsid w:val="39D96824"/>
    <w:rsid w:val="39DB48F9"/>
    <w:rsid w:val="39DC14C7"/>
    <w:rsid w:val="39DC32CF"/>
    <w:rsid w:val="39DC5B33"/>
    <w:rsid w:val="39E042AE"/>
    <w:rsid w:val="39EC4138"/>
    <w:rsid w:val="39EE2FFA"/>
    <w:rsid w:val="39EF3377"/>
    <w:rsid w:val="39F47720"/>
    <w:rsid w:val="39F63CA8"/>
    <w:rsid w:val="39FE20B1"/>
    <w:rsid w:val="3A05253F"/>
    <w:rsid w:val="3A072065"/>
    <w:rsid w:val="3A0C76D7"/>
    <w:rsid w:val="3A125A31"/>
    <w:rsid w:val="3A1474BB"/>
    <w:rsid w:val="3A15557B"/>
    <w:rsid w:val="3A1B67C7"/>
    <w:rsid w:val="3A1E479F"/>
    <w:rsid w:val="3A204AEC"/>
    <w:rsid w:val="3A2200E6"/>
    <w:rsid w:val="3A2C4438"/>
    <w:rsid w:val="3A2D4580"/>
    <w:rsid w:val="3A2E064C"/>
    <w:rsid w:val="3A2F2D33"/>
    <w:rsid w:val="3A3B5D23"/>
    <w:rsid w:val="3A3E0D77"/>
    <w:rsid w:val="3A4E34CE"/>
    <w:rsid w:val="3A50253D"/>
    <w:rsid w:val="3A504D64"/>
    <w:rsid w:val="3A545C15"/>
    <w:rsid w:val="3A5610C1"/>
    <w:rsid w:val="3A592F70"/>
    <w:rsid w:val="3A5E1139"/>
    <w:rsid w:val="3A613E7B"/>
    <w:rsid w:val="3A616E99"/>
    <w:rsid w:val="3A6234A0"/>
    <w:rsid w:val="3A627DF4"/>
    <w:rsid w:val="3A6415F3"/>
    <w:rsid w:val="3A65699F"/>
    <w:rsid w:val="3A661519"/>
    <w:rsid w:val="3A7528ED"/>
    <w:rsid w:val="3A791CD8"/>
    <w:rsid w:val="3A8760CD"/>
    <w:rsid w:val="3A90460D"/>
    <w:rsid w:val="3A9611FB"/>
    <w:rsid w:val="3AA5191A"/>
    <w:rsid w:val="3AB06356"/>
    <w:rsid w:val="3AB42592"/>
    <w:rsid w:val="3AB56820"/>
    <w:rsid w:val="3AB93AAC"/>
    <w:rsid w:val="3AC03556"/>
    <w:rsid w:val="3AC20A9E"/>
    <w:rsid w:val="3ACA5143"/>
    <w:rsid w:val="3ACC7E1E"/>
    <w:rsid w:val="3ACD4BD8"/>
    <w:rsid w:val="3ADC43DB"/>
    <w:rsid w:val="3ADD6095"/>
    <w:rsid w:val="3ADF7E76"/>
    <w:rsid w:val="3AEB018A"/>
    <w:rsid w:val="3AF44D39"/>
    <w:rsid w:val="3AF62FB6"/>
    <w:rsid w:val="3B047A2C"/>
    <w:rsid w:val="3B072AE7"/>
    <w:rsid w:val="3B0C568B"/>
    <w:rsid w:val="3B101F22"/>
    <w:rsid w:val="3B124C1B"/>
    <w:rsid w:val="3B144FE3"/>
    <w:rsid w:val="3B171700"/>
    <w:rsid w:val="3B187F0C"/>
    <w:rsid w:val="3B19498D"/>
    <w:rsid w:val="3B1D1446"/>
    <w:rsid w:val="3B2A3136"/>
    <w:rsid w:val="3B2B31E1"/>
    <w:rsid w:val="3B424AF9"/>
    <w:rsid w:val="3B43293D"/>
    <w:rsid w:val="3B4331D2"/>
    <w:rsid w:val="3B505ECD"/>
    <w:rsid w:val="3B5871BB"/>
    <w:rsid w:val="3B5F7EA1"/>
    <w:rsid w:val="3B622EBC"/>
    <w:rsid w:val="3B64407F"/>
    <w:rsid w:val="3B683572"/>
    <w:rsid w:val="3B697A40"/>
    <w:rsid w:val="3B72035F"/>
    <w:rsid w:val="3B727185"/>
    <w:rsid w:val="3B733F3E"/>
    <w:rsid w:val="3B7B6258"/>
    <w:rsid w:val="3B7C16F1"/>
    <w:rsid w:val="3B7D36E1"/>
    <w:rsid w:val="3B8274C7"/>
    <w:rsid w:val="3B8A52AF"/>
    <w:rsid w:val="3B8A6A1F"/>
    <w:rsid w:val="3B9B6F13"/>
    <w:rsid w:val="3B9E014B"/>
    <w:rsid w:val="3B9E7E55"/>
    <w:rsid w:val="3BA35D0A"/>
    <w:rsid w:val="3BC05AA5"/>
    <w:rsid w:val="3BC50500"/>
    <w:rsid w:val="3BC52A79"/>
    <w:rsid w:val="3BCD3E2E"/>
    <w:rsid w:val="3BD818AF"/>
    <w:rsid w:val="3BDA5C2F"/>
    <w:rsid w:val="3BDD4AF5"/>
    <w:rsid w:val="3BE5760A"/>
    <w:rsid w:val="3BF00524"/>
    <w:rsid w:val="3BF472F5"/>
    <w:rsid w:val="3BF736C7"/>
    <w:rsid w:val="3BF75B30"/>
    <w:rsid w:val="3BFE6A45"/>
    <w:rsid w:val="3C00354B"/>
    <w:rsid w:val="3C0470CC"/>
    <w:rsid w:val="3C0D4D6C"/>
    <w:rsid w:val="3C0D7EBC"/>
    <w:rsid w:val="3C162390"/>
    <w:rsid w:val="3C230AF8"/>
    <w:rsid w:val="3C240786"/>
    <w:rsid w:val="3C25365C"/>
    <w:rsid w:val="3C2B084A"/>
    <w:rsid w:val="3C35789E"/>
    <w:rsid w:val="3C3A17EA"/>
    <w:rsid w:val="3C3B3A13"/>
    <w:rsid w:val="3C3E6D60"/>
    <w:rsid w:val="3C420750"/>
    <w:rsid w:val="3C4707DB"/>
    <w:rsid w:val="3C4D4524"/>
    <w:rsid w:val="3C5639DE"/>
    <w:rsid w:val="3C567958"/>
    <w:rsid w:val="3C571C05"/>
    <w:rsid w:val="3C643067"/>
    <w:rsid w:val="3C64352B"/>
    <w:rsid w:val="3C670F6D"/>
    <w:rsid w:val="3C672E2C"/>
    <w:rsid w:val="3C685249"/>
    <w:rsid w:val="3C6C29B4"/>
    <w:rsid w:val="3C70569E"/>
    <w:rsid w:val="3C764FC0"/>
    <w:rsid w:val="3C7A5C98"/>
    <w:rsid w:val="3C7C3EE4"/>
    <w:rsid w:val="3C8D58BE"/>
    <w:rsid w:val="3C8E5FED"/>
    <w:rsid w:val="3C9E20B1"/>
    <w:rsid w:val="3CB11375"/>
    <w:rsid w:val="3CB53A65"/>
    <w:rsid w:val="3CC102AC"/>
    <w:rsid w:val="3CC2128F"/>
    <w:rsid w:val="3CC54280"/>
    <w:rsid w:val="3CCC00E2"/>
    <w:rsid w:val="3CD45BE5"/>
    <w:rsid w:val="3CE360F2"/>
    <w:rsid w:val="3CEB69FC"/>
    <w:rsid w:val="3CEE5C15"/>
    <w:rsid w:val="3CEF661B"/>
    <w:rsid w:val="3CF019F0"/>
    <w:rsid w:val="3CF5496B"/>
    <w:rsid w:val="3D030BD1"/>
    <w:rsid w:val="3D05055C"/>
    <w:rsid w:val="3D051809"/>
    <w:rsid w:val="3D0B5330"/>
    <w:rsid w:val="3D115586"/>
    <w:rsid w:val="3D197739"/>
    <w:rsid w:val="3D200913"/>
    <w:rsid w:val="3D234DD6"/>
    <w:rsid w:val="3D260F83"/>
    <w:rsid w:val="3D2B2775"/>
    <w:rsid w:val="3D2C21BB"/>
    <w:rsid w:val="3D2D7CF4"/>
    <w:rsid w:val="3D3D68D8"/>
    <w:rsid w:val="3D43250F"/>
    <w:rsid w:val="3D4A132B"/>
    <w:rsid w:val="3D4F61EC"/>
    <w:rsid w:val="3D500385"/>
    <w:rsid w:val="3D5A44CB"/>
    <w:rsid w:val="3D6025AF"/>
    <w:rsid w:val="3D6130D8"/>
    <w:rsid w:val="3D647CD4"/>
    <w:rsid w:val="3D770399"/>
    <w:rsid w:val="3D7B49B3"/>
    <w:rsid w:val="3D84454D"/>
    <w:rsid w:val="3D8A1C1E"/>
    <w:rsid w:val="3D8C37AE"/>
    <w:rsid w:val="3D8D259B"/>
    <w:rsid w:val="3D8D2E74"/>
    <w:rsid w:val="3D940183"/>
    <w:rsid w:val="3D94569F"/>
    <w:rsid w:val="3DA0290D"/>
    <w:rsid w:val="3DB328C2"/>
    <w:rsid w:val="3DBC47EF"/>
    <w:rsid w:val="3DC30EE0"/>
    <w:rsid w:val="3DC625AE"/>
    <w:rsid w:val="3DC96C0F"/>
    <w:rsid w:val="3DCC12F0"/>
    <w:rsid w:val="3DCF3BE2"/>
    <w:rsid w:val="3DE41CDC"/>
    <w:rsid w:val="3DE85142"/>
    <w:rsid w:val="3DEB52FD"/>
    <w:rsid w:val="3DFC06E4"/>
    <w:rsid w:val="3E016AE6"/>
    <w:rsid w:val="3E070C1F"/>
    <w:rsid w:val="3E070ED4"/>
    <w:rsid w:val="3E073B00"/>
    <w:rsid w:val="3E091CCD"/>
    <w:rsid w:val="3E0A177A"/>
    <w:rsid w:val="3E163241"/>
    <w:rsid w:val="3E187D1F"/>
    <w:rsid w:val="3E1A3A28"/>
    <w:rsid w:val="3E1C3525"/>
    <w:rsid w:val="3E200B4B"/>
    <w:rsid w:val="3E225DB0"/>
    <w:rsid w:val="3E296488"/>
    <w:rsid w:val="3E2C4B6C"/>
    <w:rsid w:val="3E2E7210"/>
    <w:rsid w:val="3E343644"/>
    <w:rsid w:val="3E3D069E"/>
    <w:rsid w:val="3E483582"/>
    <w:rsid w:val="3E5337D0"/>
    <w:rsid w:val="3E537DE4"/>
    <w:rsid w:val="3E554154"/>
    <w:rsid w:val="3E5702CC"/>
    <w:rsid w:val="3E592038"/>
    <w:rsid w:val="3E5C7B8C"/>
    <w:rsid w:val="3E5F165E"/>
    <w:rsid w:val="3E6A28BE"/>
    <w:rsid w:val="3E904009"/>
    <w:rsid w:val="3E9365FA"/>
    <w:rsid w:val="3E996659"/>
    <w:rsid w:val="3E9E1FC0"/>
    <w:rsid w:val="3EA300A7"/>
    <w:rsid w:val="3EA83741"/>
    <w:rsid w:val="3EAB5E05"/>
    <w:rsid w:val="3EAC111D"/>
    <w:rsid w:val="3EB0358F"/>
    <w:rsid w:val="3EB115B9"/>
    <w:rsid w:val="3EB5605B"/>
    <w:rsid w:val="3EBA5D59"/>
    <w:rsid w:val="3EC3043C"/>
    <w:rsid w:val="3EC51154"/>
    <w:rsid w:val="3EC8679C"/>
    <w:rsid w:val="3ECD790D"/>
    <w:rsid w:val="3ECD7A72"/>
    <w:rsid w:val="3ED84198"/>
    <w:rsid w:val="3EDB15AB"/>
    <w:rsid w:val="3EE5288B"/>
    <w:rsid w:val="3EE53B95"/>
    <w:rsid w:val="3EE6303A"/>
    <w:rsid w:val="3EEB494F"/>
    <w:rsid w:val="3EEB540F"/>
    <w:rsid w:val="3EEC29DE"/>
    <w:rsid w:val="3EF5427F"/>
    <w:rsid w:val="3EFB3143"/>
    <w:rsid w:val="3F027DD0"/>
    <w:rsid w:val="3F030C21"/>
    <w:rsid w:val="3F12580F"/>
    <w:rsid w:val="3F15140E"/>
    <w:rsid w:val="3F1F6B0C"/>
    <w:rsid w:val="3F232D0D"/>
    <w:rsid w:val="3F296ED1"/>
    <w:rsid w:val="3F2E1337"/>
    <w:rsid w:val="3F2E2497"/>
    <w:rsid w:val="3F3303B1"/>
    <w:rsid w:val="3F42384C"/>
    <w:rsid w:val="3F4A339D"/>
    <w:rsid w:val="3F4B7B29"/>
    <w:rsid w:val="3F523766"/>
    <w:rsid w:val="3F5366FC"/>
    <w:rsid w:val="3F594519"/>
    <w:rsid w:val="3F6249A7"/>
    <w:rsid w:val="3F66563F"/>
    <w:rsid w:val="3F6E7773"/>
    <w:rsid w:val="3F84112B"/>
    <w:rsid w:val="3F9005F5"/>
    <w:rsid w:val="3F920484"/>
    <w:rsid w:val="3F9407E7"/>
    <w:rsid w:val="3F9D2F58"/>
    <w:rsid w:val="3F9F1936"/>
    <w:rsid w:val="3FA341B1"/>
    <w:rsid w:val="3FA50311"/>
    <w:rsid w:val="3FAA6BE5"/>
    <w:rsid w:val="3FB56B0A"/>
    <w:rsid w:val="3FBF2FE8"/>
    <w:rsid w:val="3FC0568B"/>
    <w:rsid w:val="3FD5287D"/>
    <w:rsid w:val="3FD651D9"/>
    <w:rsid w:val="3FDE02D2"/>
    <w:rsid w:val="3FE53B71"/>
    <w:rsid w:val="3FE841BE"/>
    <w:rsid w:val="3FF56105"/>
    <w:rsid w:val="4002562A"/>
    <w:rsid w:val="40047F76"/>
    <w:rsid w:val="400D69C0"/>
    <w:rsid w:val="401B6D82"/>
    <w:rsid w:val="401D74D9"/>
    <w:rsid w:val="401E1F88"/>
    <w:rsid w:val="40266EE6"/>
    <w:rsid w:val="402A20BC"/>
    <w:rsid w:val="402D166A"/>
    <w:rsid w:val="40337620"/>
    <w:rsid w:val="40417C97"/>
    <w:rsid w:val="40457E6C"/>
    <w:rsid w:val="40532C8A"/>
    <w:rsid w:val="405B0955"/>
    <w:rsid w:val="40653402"/>
    <w:rsid w:val="40654256"/>
    <w:rsid w:val="406D3801"/>
    <w:rsid w:val="406E2D1C"/>
    <w:rsid w:val="4072647C"/>
    <w:rsid w:val="407740C4"/>
    <w:rsid w:val="4077788C"/>
    <w:rsid w:val="407872C6"/>
    <w:rsid w:val="407A1956"/>
    <w:rsid w:val="407C3AE5"/>
    <w:rsid w:val="407D1453"/>
    <w:rsid w:val="407F1C79"/>
    <w:rsid w:val="40964ECD"/>
    <w:rsid w:val="409B660A"/>
    <w:rsid w:val="40A96AA7"/>
    <w:rsid w:val="40B04F11"/>
    <w:rsid w:val="40C27447"/>
    <w:rsid w:val="40D25362"/>
    <w:rsid w:val="40D641E4"/>
    <w:rsid w:val="40DB2F7B"/>
    <w:rsid w:val="40DD7A15"/>
    <w:rsid w:val="40EC5BC0"/>
    <w:rsid w:val="40F32FE2"/>
    <w:rsid w:val="40FD27A7"/>
    <w:rsid w:val="41080CDA"/>
    <w:rsid w:val="410F3EF6"/>
    <w:rsid w:val="411266A1"/>
    <w:rsid w:val="411C1598"/>
    <w:rsid w:val="41332550"/>
    <w:rsid w:val="413362A7"/>
    <w:rsid w:val="413A18F1"/>
    <w:rsid w:val="41423470"/>
    <w:rsid w:val="414311A9"/>
    <w:rsid w:val="41431890"/>
    <w:rsid w:val="41522971"/>
    <w:rsid w:val="415E7F1E"/>
    <w:rsid w:val="4163168B"/>
    <w:rsid w:val="41645CF3"/>
    <w:rsid w:val="41684FED"/>
    <w:rsid w:val="41705CAC"/>
    <w:rsid w:val="417428C6"/>
    <w:rsid w:val="417852FE"/>
    <w:rsid w:val="41792489"/>
    <w:rsid w:val="417C5F10"/>
    <w:rsid w:val="418718DD"/>
    <w:rsid w:val="418E176C"/>
    <w:rsid w:val="41906206"/>
    <w:rsid w:val="419272EB"/>
    <w:rsid w:val="41975AE6"/>
    <w:rsid w:val="419A0534"/>
    <w:rsid w:val="419B25C4"/>
    <w:rsid w:val="419E170C"/>
    <w:rsid w:val="41A7672E"/>
    <w:rsid w:val="41AB30BD"/>
    <w:rsid w:val="41B1186A"/>
    <w:rsid w:val="41B1460C"/>
    <w:rsid w:val="41B229B0"/>
    <w:rsid w:val="41B97EBF"/>
    <w:rsid w:val="41C16449"/>
    <w:rsid w:val="41C9447D"/>
    <w:rsid w:val="41CC25BC"/>
    <w:rsid w:val="41CE5E0A"/>
    <w:rsid w:val="41D66680"/>
    <w:rsid w:val="41DA5C61"/>
    <w:rsid w:val="41DF3315"/>
    <w:rsid w:val="41E928C7"/>
    <w:rsid w:val="41ED261A"/>
    <w:rsid w:val="42022EC8"/>
    <w:rsid w:val="4205489F"/>
    <w:rsid w:val="420C1B06"/>
    <w:rsid w:val="420D63A5"/>
    <w:rsid w:val="42101E16"/>
    <w:rsid w:val="421337A1"/>
    <w:rsid w:val="42167D3F"/>
    <w:rsid w:val="42286EE1"/>
    <w:rsid w:val="422C1E62"/>
    <w:rsid w:val="42314F10"/>
    <w:rsid w:val="42321CC7"/>
    <w:rsid w:val="42363BC7"/>
    <w:rsid w:val="4238215D"/>
    <w:rsid w:val="42387696"/>
    <w:rsid w:val="42396559"/>
    <w:rsid w:val="42445990"/>
    <w:rsid w:val="424C57D2"/>
    <w:rsid w:val="42506F5E"/>
    <w:rsid w:val="425F263B"/>
    <w:rsid w:val="42683F51"/>
    <w:rsid w:val="426874E9"/>
    <w:rsid w:val="426E0E54"/>
    <w:rsid w:val="42746CC9"/>
    <w:rsid w:val="42782D0E"/>
    <w:rsid w:val="42793B69"/>
    <w:rsid w:val="42812BEB"/>
    <w:rsid w:val="428B2A05"/>
    <w:rsid w:val="42917131"/>
    <w:rsid w:val="429372FA"/>
    <w:rsid w:val="429D6A07"/>
    <w:rsid w:val="42A0605B"/>
    <w:rsid w:val="42A3261E"/>
    <w:rsid w:val="42AF287A"/>
    <w:rsid w:val="42B62EC6"/>
    <w:rsid w:val="42BA667D"/>
    <w:rsid w:val="42BE31F4"/>
    <w:rsid w:val="42C50595"/>
    <w:rsid w:val="42C66FA3"/>
    <w:rsid w:val="42C94130"/>
    <w:rsid w:val="42D43679"/>
    <w:rsid w:val="42E13330"/>
    <w:rsid w:val="42E23496"/>
    <w:rsid w:val="42E87A95"/>
    <w:rsid w:val="42EA568A"/>
    <w:rsid w:val="42F905B7"/>
    <w:rsid w:val="43011432"/>
    <w:rsid w:val="430557C4"/>
    <w:rsid w:val="430934B1"/>
    <w:rsid w:val="431567DE"/>
    <w:rsid w:val="431B24E0"/>
    <w:rsid w:val="431F46B8"/>
    <w:rsid w:val="432018AD"/>
    <w:rsid w:val="43205D1A"/>
    <w:rsid w:val="432129E2"/>
    <w:rsid w:val="43227225"/>
    <w:rsid w:val="432620F2"/>
    <w:rsid w:val="432B2309"/>
    <w:rsid w:val="433038FF"/>
    <w:rsid w:val="43370EAC"/>
    <w:rsid w:val="43374AE2"/>
    <w:rsid w:val="43440924"/>
    <w:rsid w:val="43441DEB"/>
    <w:rsid w:val="4345287C"/>
    <w:rsid w:val="4345375F"/>
    <w:rsid w:val="43453872"/>
    <w:rsid w:val="434719A3"/>
    <w:rsid w:val="434B6E74"/>
    <w:rsid w:val="434D1638"/>
    <w:rsid w:val="4357300A"/>
    <w:rsid w:val="4358150D"/>
    <w:rsid w:val="435D361A"/>
    <w:rsid w:val="43601C4F"/>
    <w:rsid w:val="43654953"/>
    <w:rsid w:val="43675239"/>
    <w:rsid w:val="436B28B9"/>
    <w:rsid w:val="436E7405"/>
    <w:rsid w:val="437300B3"/>
    <w:rsid w:val="4373507D"/>
    <w:rsid w:val="43740DC6"/>
    <w:rsid w:val="438028DB"/>
    <w:rsid w:val="43807538"/>
    <w:rsid w:val="43933756"/>
    <w:rsid w:val="43943E29"/>
    <w:rsid w:val="439B5E66"/>
    <w:rsid w:val="439C453E"/>
    <w:rsid w:val="43AD1F2B"/>
    <w:rsid w:val="43AD6B2B"/>
    <w:rsid w:val="43B0246E"/>
    <w:rsid w:val="43B615DF"/>
    <w:rsid w:val="43BD0C79"/>
    <w:rsid w:val="43BE37EE"/>
    <w:rsid w:val="43BE4455"/>
    <w:rsid w:val="43BE6232"/>
    <w:rsid w:val="43C97B48"/>
    <w:rsid w:val="43D349E2"/>
    <w:rsid w:val="43D713D0"/>
    <w:rsid w:val="43D951C6"/>
    <w:rsid w:val="43D95633"/>
    <w:rsid w:val="43D962B5"/>
    <w:rsid w:val="43DA1716"/>
    <w:rsid w:val="43F5242E"/>
    <w:rsid w:val="43F83014"/>
    <w:rsid w:val="43F971B6"/>
    <w:rsid w:val="43FD2E93"/>
    <w:rsid w:val="43FD514C"/>
    <w:rsid w:val="44011F00"/>
    <w:rsid w:val="440546F0"/>
    <w:rsid w:val="4418441E"/>
    <w:rsid w:val="441C152A"/>
    <w:rsid w:val="441C3D45"/>
    <w:rsid w:val="442E7956"/>
    <w:rsid w:val="44385C50"/>
    <w:rsid w:val="44405AD1"/>
    <w:rsid w:val="44415838"/>
    <w:rsid w:val="444454E3"/>
    <w:rsid w:val="4449591C"/>
    <w:rsid w:val="446A038F"/>
    <w:rsid w:val="446F1124"/>
    <w:rsid w:val="447C700B"/>
    <w:rsid w:val="447F27A2"/>
    <w:rsid w:val="449141DD"/>
    <w:rsid w:val="44980201"/>
    <w:rsid w:val="44982F38"/>
    <w:rsid w:val="44A76CF6"/>
    <w:rsid w:val="44AB30CC"/>
    <w:rsid w:val="44AD1FCC"/>
    <w:rsid w:val="44B63A6E"/>
    <w:rsid w:val="44BB49EB"/>
    <w:rsid w:val="44BD0353"/>
    <w:rsid w:val="44BD380C"/>
    <w:rsid w:val="44C5081E"/>
    <w:rsid w:val="44CD31E2"/>
    <w:rsid w:val="44D576CF"/>
    <w:rsid w:val="44D64B1E"/>
    <w:rsid w:val="44DA58D3"/>
    <w:rsid w:val="44DB3624"/>
    <w:rsid w:val="44DD62F3"/>
    <w:rsid w:val="44DF60D4"/>
    <w:rsid w:val="44E04549"/>
    <w:rsid w:val="44E05C53"/>
    <w:rsid w:val="44E873FC"/>
    <w:rsid w:val="44E87F74"/>
    <w:rsid w:val="44EE0F9A"/>
    <w:rsid w:val="44F15080"/>
    <w:rsid w:val="44F32FB8"/>
    <w:rsid w:val="44F67BAD"/>
    <w:rsid w:val="45020204"/>
    <w:rsid w:val="45050401"/>
    <w:rsid w:val="450C1A3E"/>
    <w:rsid w:val="453453B2"/>
    <w:rsid w:val="453A3D5A"/>
    <w:rsid w:val="453B3AD4"/>
    <w:rsid w:val="45463765"/>
    <w:rsid w:val="454B22CD"/>
    <w:rsid w:val="45590D23"/>
    <w:rsid w:val="455E543A"/>
    <w:rsid w:val="456526DC"/>
    <w:rsid w:val="456B6252"/>
    <w:rsid w:val="456E2E11"/>
    <w:rsid w:val="457173CC"/>
    <w:rsid w:val="457A6CE2"/>
    <w:rsid w:val="458147CB"/>
    <w:rsid w:val="45827D03"/>
    <w:rsid w:val="458A3812"/>
    <w:rsid w:val="45911842"/>
    <w:rsid w:val="45912560"/>
    <w:rsid w:val="45BA3A4B"/>
    <w:rsid w:val="45BC7A04"/>
    <w:rsid w:val="45C12494"/>
    <w:rsid w:val="45C168FC"/>
    <w:rsid w:val="45C16CCF"/>
    <w:rsid w:val="45C21B7D"/>
    <w:rsid w:val="45D10EC5"/>
    <w:rsid w:val="45D83116"/>
    <w:rsid w:val="45E16DA8"/>
    <w:rsid w:val="45E31CCC"/>
    <w:rsid w:val="45E42AD7"/>
    <w:rsid w:val="45E87552"/>
    <w:rsid w:val="45E96D9E"/>
    <w:rsid w:val="45F349F5"/>
    <w:rsid w:val="45F439F4"/>
    <w:rsid w:val="45FE5C33"/>
    <w:rsid w:val="45FE6567"/>
    <w:rsid w:val="46177320"/>
    <w:rsid w:val="461A12B0"/>
    <w:rsid w:val="461F3BC1"/>
    <w:rsid w:val="46226875"/>
    <w:rsid w:val="46317741"/>
    <w:rsid w:val="463458E1"/>
    <w:rsid w:val="46471244"/>
    <w:rsid w:val="46494EB5"/>
    <w:rsid w:val="464B7691"/>
    <w:rsid w:val="464C452A"/>
    <w:rsid w:val="464E05EB"/>
    <w:rsid w:val="464E7AA9"/>
    <w:rsid w:val="46506864"/>
    <w:rsid w:val="46510993"/>
    <w:rsid w:val="46556A04"/>
    <w:rsid w:val="4660270E"/>
    <w:rsid w:val="466A0F7A"/>
    <w:rsid w:val="46704B08"/>
    <w:rsid w:val="4673057A"/>
    <w:rsid w:val="46755639"/>
    <w:rsid w:val="46787996"/>
    <w:rsid w:val="467A3682"/>
    <w:rsid w:val="4684633F"/>
    <w:rsid w:val="468938CC"/>
    <w:rsid w:val="468A7785"/>
    <w:rsid w:val="469B4DC3"/>
    <w:rsid w:val="46A35984"/>
    <w:rsid w:val="46A76774"/>
    <w:rsid w:val="46A80D82"/>
    <w:rsid w:val="46AC3599"/>
    <w:rsid w:val="46AC4B9C"/>
    <w:rsid w:val="46AD46D2"/>
    <w:rsid w:val="46AD49D6"/>
    <w:rsid w:val="46B15869"/>
    <w:rsid w:val="46B20228"/>
    <w:rsid w:val="46B26810"/>
    <w:rsid w:val="46BB7BAE"/>
    <w:rsid w:val="46BF304B"/>
    <w:rsid w:val="46CB3B16"/>
    <w:rsid w:val="46CB5780"/>
    <w:rsid w:val="46CC072E"/>
    <w:rsid w:val="46D22F1F"/>
    <w:rsid w:val="46D44A44"/>
    <w:rsid w:val="46DC08D4"/>
    <w:rsid w:val="46DF4B35"/>
    <w:rsid w:val="46E0205C"/>
    <w:rsid w:val="46E94533"/>
    <w:rsid w:val="46E950E6"/>
    <w:rsid w:val="46E97115"/>
    <w:rsid w:val="46EA62AD"/>
    <w:rsid w:val="46EE3AB7"/>
    <w:rsid w:val="46EF5CFC"/>
    <w:rsid w:val="46F575B9"/>
    <w:rsid w:val="46F831D6"/>
    <w:rsid w:val="46F913A1"/>
    <w:rsid w:val="46FF6008"/>
    <w:rsid w:val="470457E6"/>
    <w:rsid w:val="47166A87"/>
    <w:rsid w:val="4717367A"/>
    <w:rsid w:val="47185071"/>
    <w:rsid w:val="47191AEF"/>
    <w:rsid w:val="4723715F"/>
    <w:rsid w:val="472530E4"/>
    <w:rsid w:val="472E5EFB"/>
    <w:rsid w:val="47307DD7"/>
    <w:rsid w:val="47321110"/>
    <w:rsid w:val="473817A2"/>
    <w:rsid w:val="473C1065"/>
    <w:rsid w:val="473C1E11"/>
    <w:rsid w:val="473F409F"/>
    <w:rsid w:val="47411EB9"/>
    <w:rsid w:val="4741268A"/>
    <w:rsid w:val="4749263F"/>
    <w:rsid w:val="47496A9E"/>
    <w:rsid w:val="474C23A8"/>
    <w:rsid w:val="474F412F"/>
    <w:rsid w:val="475029D2"/>
    <w:rsid w:val="475603F6"/>
    <w:rsid w:val="47624D01"/>
    <w:rsid w:val="47643220"/>
    <w:rsid w:val="47646FB7"/>
    <w:rsid w:val="476D58D9"/>
    <w:rsid w:val="47722A18"/>
    <w:rsid w:val="47736929"/>
    <w:rsid w:val="47741D0C"/>
    <w:rsid w:val="47763265"/>
    <w:rsid w:val="47876B9F"/>
    <w:rsid w:val="47892466"/>
    <w:rsid w:val="479236A7"/>
    <w:rsid w:val="47953EA1"/>
    <w:rsid w:val="47970F9B"/>
    <w:rsid w:val="47A21288"/>
    <w:rsid w:val="47A213C0"/>
    <w:rsid w:val="47AD7200"/>
    <w:rsid w:val="47B76453"/>
    <w:rsid w:val="47BE040B"/>
    <w:rsid w:val="47BE7324"/>
    <w:rsid w:val="47C2640D"/>
    <w:rsid w:val="47C4437E"/>
    <w:rsid w:val="47CA3EBD"/>
    <w:rsid w:val="47D90007"/>
    <w:rsid w:val="47DC4284"/>
    <w:rsid w:val="47DF7B1C"/>
    <w:rsid w:val="47E016E9"/>
    <w:rsid w:val="47E8372E"/>
    <w:rsid w:val="47EA57CB"/>
    <w:rsid w:val="47EE2BEA"/>
    <w:rsid w:val="47F21EF0"/>
    <w:rsid w:val="47F5197C"/>
    <w:rsid w:val="47F95DB7"/>
    <w:rsid w:val="48005B89"/>
    <w:rsid w:val="480C54F8"/>
    <w:rsid w:val="48114D52"/>
    <w:rsid w:val="4819703C"/>
    <w:rsid w:val="481B63AE"/>
    <w:rsid w:val="481D120F"/>
    <w:rsid w:val="482105C0"/>
    <w:rsid w:val="48211E7E"/>
    <w:rsid w:val="48312B7C"/>
    <w:rsid w:val="4832333B"/>
    <w:rsid w:val="48342F88"/>
    <w:rsid w:val="483510C7"/>
    <w:rsid w:val="48372F25"/>
    <w:rsid w:val="483B1A37"/>
    <w:rsid w:val="483E3E03"/>
    <w:rsid w:val="4849312C"/>
    <w:rsid w:val="484C2E46"/>
    <w:rsid w:val="4858290B"/>
    <w:rsid w:val="48591FC4"/>
    <w:rsid w:val="485B4A3F"/>
    <w:rsid w:val="485C39F4"/>
    <w:rsid w:val="485D4F9C"/>
    <w:rsid w:val="4862142D"/>
    <w:rsid w:val="48626E30"/>
    <w:rsid w:val="48636ED0"/>
    <w:rsid w:val="48680479"/>
    <w:rsid w:val="486F668F"/>
    <w:rsid w:val="487835F2"/>
    <w:rsid w:val="4884688A"/>
    <w:rsid w:val="489268EE"/>
    <w:rsid w:val="48952A5D"/>
    <w:rsid w:val="489701E4"/>
    <w:rsid w:val="489C5552"/>
    <w:rsid w:val="48A309E1"/>
    <w:rsid w:val="48AA0CFE"/>
    <w:rsid w:val="48AB0568"/>
    <w:rsid w:val="48B23A8E"/>
    <w:rsid w:val="48B50BCC"/>
    <w:rsid w:val="48BC5FDF"/>
    <w:rsid w:val="48BE0D41"/>
    <w:rsid w:val="48C170BE"/>
    <w:rsid w:val="48C34E0C"/>
    <w:rsid w:val="48C7293C"/>
    <w:rsid w:val="48C80B96"/>
    <w:rsid w:val="48CA042B"/>
    <w:rsid w:val="48CC11B1"/>
    <w:rsid w:val="48CD0CC0"/>
    <w:rsid w:val="48D04359"/>
    <w:rsid w:val="48D34BAB"/>
    <w:rsid w:val="48D949EA"/>
    <w:rsid w:val="48DA0793"/>
    <w:rsid w:val="48E44A4C"/>
    <w:rsid w:val="48EE2112"/>
    <w:rsid w:val="48F73D54"/>
    <w:rsid w:val="48F96CCE"/>
    <w:rsid w:val="48FC187E"/>
    <w:rsid w:val="49021898"/>
    <w:rsid w:val="490265B3"/>
    <w:rsid w:val="49050A4B"/>
    <w:rsid w:val="4905290C"/>
    <w:rsid w:val="4906054D"/>
    <w:rsid w:val="49063785"/>
    <w:rsid w:val="49073A9A"/>
    <w:rsid w:val="49094559"/>
    <w:rsid w:val="491C548A"/>
    <w:rsid w:val="491D1B81"/>
    <w:rsid w:val="492A49F9"/>
    <w:rsid w:val="492F531F"/>
    <w:rsid w:val="492F6636"/>
    <w:rsid w:val="492F7E36"/>
    <w:rsid w:val="493F2ADC"/>
    <w:rsid w:val="49405D5E"/>
    <w:rsid w:val="494A4B2B"/>
    <w:rsid w:val="494B0205"/>
    <w:rsid w:val="49555364"/>
    <w:rsid w:val="49561E92"/>
    <w:rsid w:val="496123F8"/>
    <w:rsid w:val="496724C8"/>
    <w:rsid w:val="496A1DB8"/>
    <w:rsid w:val="496A3584"/>
    <w:rsid w:val="496B1EB3"/>
    <w:rsid w:val="4971045B"/>
    <w:rsid w:val="4979031F"/>
    <w:rsid w:val="497976FA"/>
    <w:rsid w:val="497C5DB9"/>
    <w:rsid w:val="49833A3E"/>
    <w:rsid w:val="49896678"/>
    <w:rsid w:val="498B1F45"/>
    <w:rsid w:val="4991146B"/>
    <w:rsid w:val="499C59AF"/>
    <w:rsid w:val="49A91C92"/>
    <w:rsid w:val="49AE68B8"/>
    <w:rsid w:val="49B035DC"/>
    <w:rsid w:val="49C60139"/>
    <w:rsid w:val="49C63B01"/>
    <w:rsid w:val="49C97BB8"/>
    <w:rsid w:val="49CC051E"/>
    <w:rsid w:val="49D82FE4"/>
    <w:rsid w:val="49D85DE8"/>
    <w:rsid w:val="49E11689"/>
    <w:rsid w:val="49E16CA2"/>
    <w:rsid w:val="49E6704C"/>
    <w:rsid w:val="49EE6A1F"/>
    <w:rsid w:val="49EF23AD"/>
    <w:rsid w:val="49F14CC3"/>
    <w:rsid w:val="49F42B19"/>
    <w:rsid w:val="49F5309D"/>
    <w:rsid w:val="49F54083"/>
    <w:rsid w:val="49FD6413"/>
    <w:rsid w:val="4A104C1F"/>
    <w:rsid w:val="4A182A73"/>
    <w:rsid w:val="4A194C10"/>
    <w:rsid w:val="4A2308DE"/>
    <w:rsid w:val="4A2D4EAF"/>
    <w:rsid w:val="4A3D4FF8"/>
    <w:rsid w:val="4A3D6D5C"/>
    <w:rsid w:val="4A3E1126"/>
    <w:rsid w:val="4A3F629B"/>
    <w:rsid w:val="4A410956"/>
    <w:rsid w:val="4A416D23"/>
    <w:rsid w:val="4A4316BE"/>
    <w:rsid w:val="4A434208"/>
    <w:rsid w:val="4A442268"/>
    <w:rsid w:val="4A4E5706"/>
    <w:rsid w:val="4A546A31"/>
    <w:rsid w:val="4A595A4F"/>
    <w:rsid w:val="4A5E6408"/>
    <w:rsid w:val="4A691BA3"/>
    <w:rsid w:val="4A746F7F"/>
    <w:rsid w:val="4A75264F"/>
    <w:rsid w:val="4A764225"/>
    <w:rsid w:val="4A7C399C"/>
    <w:rsid w:val="4A8622B6"/>
    <w:rsid w:val="4A8B4465"/>
    <w:rsid w:val="4AA13962"/>
    <w:rsid w:val="4ABA55C9"/>
    <w:rsid w:val="4ABB1998"/>
    <w:rsid w:val="4ABF25A4"/>
    <w:rsid w:val="4AC162B6"/>
    <w:rsid w:val="4AC23D56"/>
    <w:rsid w:val="4AC524FD"/>
    <w:rsid w:val="4AD11ADF"/>
    <w:rsid w:val="4AD17AB5"/>
    <w:rsid w:val="4AD17B27"/>
    <w:rsid w:val="4AD21A83"/>
    <w:rsid w:val="4AD5740B"/>
    <w:rsid w:val="4AD76629"/>
    <w:rsid w:val="4AD92BE1"/>
    <w:rsid w:val="4ADB40EF"/>
    <w:rsid w:val="4ADD4949"/>
    <w:rsid w:val="4AE86A3E"/>
    <w:rsid w:val="4AF1673C"/>
    <w:rsid w:val="4AF43B8F"/>
    <w:rsid w:val="4AF7270C"/>
    <w:rsid w:val="4AFF0FC4"/>
    <w:rsid w:val="4B0405D2"/>
    <w:rsid w:val="4B0B275D"/>
    <w:rsid w:val="4B0C10BD"/>
    <w:rsid w:val="4B1B6412"/>
    <w:rsid w:val="4B1C777E"/>
    <w:rsid w:val="4B2E6916"/>
    <w:rsid w:val="4B33627A"/>
    <w:rsid w:val="4B356505"/>
    <w:rsid w:val="4B36766D"/>
    <w:rsid w:val="4B370157"/>
    <w:rsid w:val="4B3A331C"/>
    <w:rsid w:val="4B3C1D9B"/>
    <w:rsid w:val="4B3D32A5"/>
    <w:rsid w:val="4B460124"/>
    <w:rsid w:val="4B4B5D19"/>
    <w:rsid w:val="4B4B7070"/>
    <w:rsid w:val="4B4D4169"/>
    <w:rsid w:val="4B503E7D"/>
    <w:rsid w:val="4B5526A6"/>
    <w:rsid w:val="4B63004E"/>
    <w:rsid w:val="4B6A739A"/>
    <w:rsid w:val="4B6B2FC4"/>
    <w:rsid w:val="4B791D52"/>
    <w:rsid w:val="4B7D6867"/>
    <w:rsid w:val="4B7F7ECA"/>
    <w:rsid w:val="4B816AF3"/>
    <w:rsid w:val="4B84080B"/>
    <w:rsid w:val="4B872B2C"/>
    <w:rsid w:val="4B884B1B"/>
    <w:rsid w:val="4B8D7E12"/>
    <w:rsid w:val="4B944DA5"/>
    <w:rsid w:val="4B9610E4"/>
    <w:rsid w:val="4BA12F2D"/>
    <w:rsid w:val="4BAB3CE8"/>
    <w:rsid w:val="4BB56B3F"/>
    <w:rsid w:val="4BB651E9"/>
    <w:rsid w:val="4BBA5C6F"/>
    <w:rsid w:val="4BC3761F"/>
    <w:rsid w:val="4BCA0934"/>
    <w:rsid w:val="4BD65DD5"/>
    <w:rsid w:val="4BE7790A"/>
    <w:rsid w:val="4BEE2702"/>
    <w:rsid w:val="4BF1539E"/>
    <w:rsid w:val="4BF4138C"/>
    <w:rsid w:val="4BF46757"/>
    <w:rsid w:val="4BF57863"/>
    <w:rsid w:val="4BF912A5"/>
    <w:rsid w:val="4C0D69A5"/>
    <w:rsid w:val="4C114E73"/>
    <w:rsid w:val="4C276414"/>
    <w:rsid w:val="4C30348B"/>
    <w:rsid w:val="4C434245"/>
    <w:rsid w:val="4C457E06"/>
    <w:rsid w:val="4C486022"/>
    <w:rsid w:val="4C554718"/>
    <w:rsid w:val="4C5653EF"/>
    <w:rsid w:val="4C6E0B31"/>
    <w:rsid w:val="4C6E490F"/>
    <w:rsid w:val="4C757CAE"/>
    <w:rsid w:val="4C7A3E0A"/>
    <w:rsid w:val="4C7B54FA"/>
    <w:rsid w:val="4C8059DE"/>
    <w:rsid w:val="4C805A12"/>
    <w:rsid w:val="4C8B3BFF"/>
    <w:rsid w:val="4C8F0964"/>
    <w:rsid w:val="4C992C68"/>
    <w:rsid w:val="4C9A24A5"/>
    <w:rsid w:val="4CA825F2"/>
    <w:rsid w:val="4CB4751A"/>
    <w:rsid w:val="4CBA7E8A"/>
    <w:rsid w:val="4CCB2F3F"/>
    <w:rsid w:val="4CD715B6"/>
    <w:rsid w:val="4CE34671"/>
    <w:rsid w:val="4CE67FDA"/>
    <w:rsid w:val="4CF17BE5"/>
    <w:rsid w:val="4CF71359"/>
    <w:rsid w:val="4CF950CA"/>
    <w:rsid w:val="4CFE58B7"/>
    <w:rsid w:val="4CFF0951"/>
    <w:rsid w:val="4D037E8A"/>
    <w:rsid w:val="4D0C44EB"/>
    <w:rsid w:val="4D0D2B05"/>
    <w:rsid w:val="4D0D5045"/>
    <w:rsid w:val="4D0F375C"/>
    <w:rsid w:val="4D1F4530"/>
    <w:rsid w:val="4D216009"/>
    <w:rsid w:val="4D241DA1"/>
    <w:rsid w:val="4D390C14"/>
    <w:rsid w:val="4D44030C"/>
    <w:rsid w:val="4D451F4B"/>
    <w:rsid w:val="4D525702"/>
    <w:rsid w:val="4D5D58E4"/>
    <w:rsid w:val="4D5E544F"/>
    <w:rsid w:val="4D694853"/>
    <w:rsid w:val="4D696E81"/>
    <w:rsid w:val="4D6E3730"/>
    <w:rsid w:val="4D701E95"/>
    <w:rsid w:val="4D7D0B22"/>
    <w:rsid w:val="4D814FF5"/>
    <w:rsid w:val="4D8A49E8"/>
    <w:rsid w:val="4D906E3A"/>
    <w:rsid w:val="4D964BDE"/>
    <w:rsid w:val="4DA22F6F"/>
    <w:rsid w:val="4DA366F2"/>
    <w:rsid w:val="4DAF3BE5"/>
    <w:rsid w:val="4DAF65D9"/>
    <w:rsid w:val="4DB30D09"/>
    <w:rsid w:val="4DBD2AAA"/>
    <w:rsid w:val="4DC43E1F"/>
    <w:rsid w:val="4DCA651D"/>
    <w:rsid w:val="4DD15495"/>
    <w:rsid w:val="4DD17443"/>
    <w:rsid w:val="4DD455C4"/>
    <w:rsid w:val="4DE05675"/>
    <w:rsid w:val="4DE22715"/>
    <w:rsid w:val="4DE23B68"/>
    <w:rsid w:val="4DEE1BA4"/>
    <w:rsid w:val="4DF85277"/>
    <w:rsid w:val="4DFC5B74"/>
    <w:rsid w:val="4E00643A"/>
    <w:rsid w:val="4E0D2AB8"/>
    <w:rsid w:val="4E0D5C56"/>
    <w:rsid w:val="4E0E0C8C"/>
    <w:rsid w:val="4E167E6F"/>
    <w:rsid w:val="4E1A5E9B"/>
    <w:rsid w:val="4E1C3970"/>
    <w:rsid w:val="4E1D2564"/>
    <w:rsid w:val="4E206385"/>
    <w:rsid w:val="4E220315"/>
    <w:rsid w:val="4E240EE9"/>
    <w:rsid w:val="4E2521A3"/>
    <w:rsid w:val="4E270E56"/>
    <w:rsid w:val="4E2A5C68"/>
    <w:rsid w:val="4E2B750E"/>
    <w:rsid w:val="4E465611"/>
    <w:rsid w:val="4E4774FC"/>
    <w:rsid w:val="4E480FFA"/>
    <w:rsid w:val="4E4912BB"/>
    <w:rsid w:val="4E4C5EF8"/>
    <w:rsid w:val="4E525C89"/>
    <w:rsid w:val="4E5C0144"/>
    <w:rsid w:val="4E6C7842"/>
    <w:rsid w:val="4E716DD6"/>
    <w:rsid w:val="4E7961B8"/>
    <w:rsid w:val="4E7D41EF"/>
    <w:rsid w:val="4E7D5E83"/>
    <w:rsid w:val="4E8743CF"/>
    <w:rsid w:val="4E8A19A2"/>
    <w:rsid w:val="4E95357C"/>
    <w:rsid w:val="4E9555FC"/>
    <w:rsid w:val="4EA0647A"/>
    <w:rsid w:val="4EA73499"/>
    <w:rsid w:val="4EAB0E75"/>
    <w:rsid w:val="4EAF2A1E"/>
    <w:rsid w:val="4EAF6660"/>
    <w:rsid w:val="4EB0263D"/>
    <w:rsid w:val="4EC112A5"/>
    <w:rsid w:val="4EC27DC2"/>
    <w:rsid w:val="4ECD0FC1"/>
    <w:rsid w:val="4ECD7A91"/>
    <w:rsid w:val="4ED06087"/>
    <w:rsid w:val="4ED44440"/>
    <w:rsid w:val="4EDC7748"/>
    <w:rsid w:val="4EDE06BA"/>
    <w:rsid w:val="4EDE5BA4"/>
    <w:rsid w:val="4EE520BF"/>
    <w:rsid w:val="4EEE23AB"/>
    <w:rsid w:val="4EFD6367"/>
    <w:rsid w:val="4F0271A1"/>
    <w:rsid w:val="4F05494C"/>
    <w:rsid w:val="4F0D50A9"/>
    <w:rsid w:val="4F152226"/>
    <w:rsid w:val="4F1A62E3"/>
    <w:rsid w:val="4F1C3A48"/>
    <w:rsid w:val="4F20737B"/>
    <w:rsid w:val="4F28335A"/>
    <w:rsid w:val="4F2C21D7"/>
    <w:rsid w:val="4F311C64"/>
    <w:rsid w:val="4F367D7E"/>
    <w:rsid w:val="4F3F7EDF"/>
    <w:rsid w:val="4F447D00"/>
    <w:rsid w:val="4F4573EC"/>
    <w:rsid w:val="4F460289"/>
    <w:rsid w:val="4F4645D3"/>
    <w:rsid w:val="4F4E06AB"/>
    <w:rsid w:val="4F52283D"/>
    <w:rsid w:val="4F526862"/>
    <w:rsid w:val="4F5A268A"/>
    <w:rsid w:val="4F6E7297"/>
    <w:rsid w:val="4F737BC5"/>
    <w:rsid w:val="4F7C224C"/>
    <w:rsid w:val="4F7C3D54"/>
    <w:rsid w:val="4F8306AF"/>
    <w:rsid w:val="4F897829"/>
    <w:rsid w:val="4F970DE9"/>
    <w:rsid w:val="4F971FC4"/>
    <w:rsid w:val="4F9729EE"/>
    <w:rsid w:val="4F9E5F3F"/>
    <w:rsid w:val="4FA136A6"/>
    <w:rsid w:val="4FA5268C"/>
    <w:rsid w:val="4FAA22E5"/>
    <w:rsid w:val="4FBF606A"/>
    <w:rsid w:val="4FC15206"/>
    <w:rsid w:val="4FC804D5"/>
    <w:rsid w:val="4FCC1A25"/>
    <w:rsid w:val="4FD720B3"/>
    <w:rsid w:val="4FF22676"/>
    <w:rsid w:val="4FF5150E"/>
    <w:rsid w:val="4FF94F51"/>
    <w:rsid w:val="4FFE1B06"/>
    <w:rsid w:val="4FFF05EA"/>
    <w:rsid w:val="50047F66"/>
    <w:rsid w:val="500A40D7"/>
    <w:rsid w:val="501D3C60"/>
    <w:rsid w:val="501D7250"/>
    <w:rsid w:val="502138A5"/>
    <w:rsid w:val="502410BE"/>
    <w:rsid w:val="50283721"/>
    <w:rsid w:val="50306E16"/>
    <w:rsid w:val="50361EDB"/>
    <w:rsid w:val="5037186C"/>
    <w:rsid w:val="503A1DC6"/>
    <w:rsid w:val="503D2103"/>
    <w:rsid w:val="504658AA"/>
    <w:rsid w:val="50487BF7"/>
    <w:rsid w:val="5054517C"/>
    <w:rsid w:val="505A67EB"/>
    <w:rsid w:val="50750658"/>
    <w:rsid w:val="50765757"/>
    <w:rsid w:val="50767F23"/>
    <w:rsid w:val="507B7A67"/>
    <w:rsid w:val="508302E0"/>
    <w:rsid w:val="508C15FC"/>
    <w:rsid w:val="50971980"/>
    <w:rsid w:val="509B5208"/>
    <w:rsid w:val="50B35D00"/>
    <w:rsid w:val="50B63FD8"/>
    <w:rsid w:val="50B94C1E"/>
    <w:rsid w:val="50BB47E0"/>
    <w:rsid w:val="50BD18A9"/>
    <w:rsid w:val="50C46BEE"/>
    <w:rsid w:val="50DC7974"/>
    <w:rsid w:val="50DC7ADC"/>
    <w:rsid w:val="50E33CEC"/>
    <w:rsid w:val="50EC0A58"/>
    <w:rsid w:val="50FC73BD"/>
    <w:rsid w:val="50FD72C4"/>
    <w:rsid w:val="5104794E"/>
    <w:rsid w:val="51061295"/>
    <w:rsid w:val="510F1A3E"/>
    <w:rsid w:val="511C56B7"/>
    <w:rsid w:val="511D1491"/>
    <w:rsid w:val="511D153D"/>
    <w:rsid w:val="51205FD8"/>
    <w:rsid w:val="5139448B"/>
    <w:rsid w:val="513C4376"/>
    <w:rsid w:val="51421593"/>
    <w:rsid w:val="51435D0C"/>
    <w:rsid w:val="51446169"/>
    <w:rsid w:val="51446C20"/>
    <w:rsid w:val="515811B0"/>
    <w:rsid w:val="51624CB6"/>
    <w:rsid w:val="51672E07"/>
    <w:rsid w:val="516B6A17"/>
    <w:rsid w:val="516E22FB"/>
    <w:rsid w:val="516E77B4"/>
    <w:rsid w:val="517061B7"/>
    <w:rsid w:val="51723A65"/>
    <w:rsid w:val="51763C44"/>
    <w:rsid w:val="517666BE"/>
    <w:rsid w:val="517765FC"/>
    <w:rsid w:val="518715F4"/>
    <w:rsid w:val="518E6497"/>
    <w:rsid w:val="51914511"/>
    <w:rsid w:val="51940DB0"/>
    <w:rsid w:val="51985D68"/>
    <w:rsid w:val="519A032B"/>
    <w:rsid w:val="519E21FD"/>
    <w:rsid w:val="51AA50F9"/>
    <w:rsid w:val="51AD2D38"/>
    <w:rsid w:val="51B06B92"/>
    <w:rsid w:val="51B07591"/>
    <w:rsid w:val="51B43002"/>
    <w:rsid w:val="51BB1A11"/>
    <w:rsid w:val="51BC5AC3"/>
    <w:rsid w:val="51BD6C11"/>
    <w:rsid w:val="51C14AFB"/>
    <w:rsid w:val="51D11A31"/>
    <w:rsid w:val="51D733DA"/>
    <w:rsid w:val="51DA58AE"/>
    <w:rsid w:val="51DB1EE3"/>
    <w:rsid w:val="51E5449B"/>
    <w:rsid w:val="51E66508"/>
    <w:rsid w:val="51E847AF"/>
    <w:rsid w:val="51E96B20"/>
    <w:rsid w:val="51EA7907"/>
    <w:rsid w:val="52017EFE"/>
    <w:rsid w:val="5207755E"/>
    <w:rsid w:val="52091AC0"/>
    <w:rsid w:val="520D52C2"/>
    <w:rsid w:val="521016CF"/>
    <w:rsid w:val="52132B15"/>
    <w:rsid w:val="521C3630"/>
    <w:rsid w:val="521E5FFD"/>
    <w:rsid w:val="522B486F"/>
    <w:rsid w:val="523F6A8F"/>
    <w:rsid w:val="524450A3"/>
    <w:rsid w:val="52464B12"/>
    <w:rsid w:val="524D4DB2"/>
    <w:rsid w:val="52510CC8"/>
    <w:rsid w:val="52583CBA"/>
    <w:rsid w:val="525B7583"/>
    <w:rsid w:val="525E23FE"/>
    <w:rsid w:val="52601803"/>
    <w:rsid w:val="52630730"/>
    <w:rsid w:val="526309C7"/>
    <w:rsid w:val="52643FB3"/>
    <w:rsid w:val="52677F96"/>
    <w:rsid w:val="526B3916"/>
    <w:rsid w:val="526D4F78"/>
    <w:rsid w:val="5270414C"/>
    <w:rsid w:val="52796217"/>
    <w:rsid w:val="527C51B5"/>
    <w:rsid w:val="527D208A"/>
    <w:rsid w:val="52872558"/>
    <w:rsid w:val="52897413"/>
    <w:rsid w:val="528E281C"/>
    <w:rsid w:val="529659FD"/>
    <w:rsid w:val="529F430D"/>
    <w:rsid w:val="52AB24FF"/>
    <w:rsid w:val="52AD2BFD"/>
    <w:rsid w:val="52B224F0"/>
    <w:rsid w:val="52B41228"/>
    <w:rsid w:val="52B41F04"/>
    <w:rsid w:val="52C660C9"/>
    <w:rsid w:val="52CF29D7"/>
    <w:rsid w:val="52D42E5E"/>
    <w:rsid w:val="52D76C30"/>
    <w:rsid w:val="52D84DB1"/>
    <w:rsid w:val="52D94139"/>
    <w:rsid w:val="52DB1F8A"/>
    <w:rsid w:val="52E3567F"/>
    <w:rsid w:val="52EA5678"/>
    <w:rsid w:val="52EB7ECE"/>
    <w:rsid w:val="52ED06D4"/>
    <w:rsid w:val="52F033ED"/>
    <w:rsid w:val="52F22E01"/>
    <w:rsid w:val="52F60567"/>
    <w:rsid w:val="52FE38B8"/>
    <w:rsid w:val="53001BB3"/>
    <w:rsid w:val="530265E4"/>
    <w:rsid w:val="53055DE1"/>
    <w:rsid w:val="530607B8"/>
    <w:rsid w:val="530B0E4B"/>
    <w:rsid w:val="53143779"/>
    <w:rsid w:val="531B3817"/>
    <w:rsid w:val="53264D65"/>
    <w:rsid w:val="532931AC"/>
    <w:rsid w:val="532E0652"/>
    <w:rsid w:val="533B626E"/>
    <w:rsid w:val="533D0209"/>
    <w:rsid w:val="534555A6"/>
    <w:rsid w:val="53501B3A"/>
    <w:rsid w:val="53502D0E"/>
    <w:rsid w:val="535E0F8F"/>
    <w:rsid w:val="5367646B"/>
    <w:rsid w:val="536A00F5"/>
    <w:rsid w:val="5370162A"/>
    <w:rsid w:val="537514ED"/>
    <w:rsid w:val="53815461"/>
    <w:rsid w:val="538C01FF"/>
    <w:rsid w:val="539808BD"/>
    <w:rsid w:val="53987838"/>
    <w:rsid w:val="53996376"/>
    <w:rsid w:val="539E0FAF"/>
    <w:rsid w:val="539F11C7"/>
    <w:rsid w:val="53AA516E"/>
    <w:rsid w:val="53AB168D"/>
    <w:rsid w:val="53AD1FC2"/>
    <w:rsid w:val="53AE3124"/>
    <w:rsid w:val="53B07B30"/>
    <w:rsid w:val="53B112E7"/>
    <w:rsid w:val="53BA03F0"/>
    <w:rsid w:val="53BE6103"/>
    <w:rsid w:val="53C818BC"/>
    <w:rsid w:val="53CA1255"/>
    <w:rsid w:val="53CD3590"/>
    <w:rsid w:val="53CE5FB2"/>
    <w:rsid w:val="53D32C63"/>
    <w:rsid w:val="53D848DE"/>
    <w:rsid w:val="53D8539B"/>
    <w:rsid w:val="53DE6F83"/>
    <w:rsid w:val="53E17EA9"/>
    <w:rsid w:val="53EB1643"/>
    <w:rsid w:val="53EF3446"/>
    <w:rsid w:val="53F01264"/>
    <w:rsid w:val="53F60260"/>
    <w:rsid w:val="53FC0EC4"/>
    <w:rsid w:val="53FD1729"/>
    <w:rsid w:val="5400395F"/>
    <w:rsid w:val="54040C6F"/>
    <w:rsid w:val="54060FA4"/>
    <w:rsid w:val="54062707"/>
    <w:rsid w:val="540713EF"/>
    <w:rsid w:val="540A755E"/>
    <w:rsid w:val="541233D7"/>
    <w:rsid w:val="54132820"/>
    <w:rsid w:val="541C0907"/>
    <w:rsid w:val="541C389D"/>
    <w:rsid w:val="541F29DD"/>
    <w:rsid w:val="541F3A7B"/>
    <w:rsid w:val="542B1C77"/>
    <w:rsid w:val="54354594"/>
    <w:rsid w:val="54417F66"/>
    <w:rsid w:val="5448592B"/>
    <w:rsid w:val="544A3609"/>
    <w:rsid w:val="544C7BFD"/>
    <w:rsid w:val="545029C2"/>
    <w:rsid w:val="5450301F"/>
    <w:rsid w:val="5450471C"/>
    <w:rsid w:val="545575B8"/>
    <w:rsid w:val="5459359C"/>
    <w:rsid w:val="545A49CA"/>
    <w:rsid w:val="545B159C"/>
    <w:rsid w:val="546032DF"/>
    <w:rsid w:val="54686B1E"/>
    <w:rsid w:val="546A0C9D"/>
    <w:rsid w:val="546A3A38"/>
    <w:rsid w:val="54742AC9"/>
    <w:rsid w:val="547651B8"/>
    <w:rsid w:val="547711C1"/>
    <w:rsid w:val="54780EBC"/>
    <w:rsid w:val="547A32AF"/>
    <w:rsid w:val="547F33FC"/>
    <w:rsid w:val="548379B4"/>
    <w:rsid w:val="549001C6"/>
    <w:rsid w:val="54910490"/>
    <w:rsid w:val="54A036AE"/>
    <w:rsid w:val="54A20BF1"/>
    <w:rsid w:val="54A25B78"/>
    <w:rsid w:val="54B15550"/>
    <w:rsid w:val="54B41F69"/>
    <w:rsid w:val="54B44301"/>
    <w:rsid w:val="54B92A50"/>
    <w:rsid w:val="54C2646B"/>
    <w:rsid w:val="54C353F9"/>
    <w:rsid w:val="54C72B03"/>
    <w:rsid w:val="54CC69D9"/>
    <w:rsid w:val="54CD0339"/>
    <w:rsid w:val="54D007A0"/>
    <w:rsid w:val="54D65F23"/>
    <w:rsid w:val="54DF2F31"/>
    <w:rsid w:val="54E2012F"/>
    <w:rsid w:val="54E94703"/>
    <w:rsid w:val="54EA17CF"/>
    <w:rsid w:val="54EC78E4"/>
    <w:rsid w:val="54EF0AAE"/>
    <w:rsid w:val="54F05AD2"/>
    <w:rsid w:val="54F77F3B"/>
    <w:rsid w:val="54F8324E"/>
    <w:rsid w:val="54F9507D"/>
    <w:rsid w:val="54FD7D3B"/>
    <w:rsid w:val="54FF10C9"/>
    <w:rsid w:val="5503389B"/>
    <w:rsid w:val="5505589D"/>
    <w:rsid w:val="55090AE5"/>
    <w:rsid w:val="550921EF"/>
    <w:rsid w:val="550B4B63"/>
    <w:rsid w:val="551038BC"/>
    <w:rsid w:val="5518442B"/>
    <w:rsid w:val="552611B1"/>
    <w:rsid w:val="5527091F"/>
    <w:rsid w:val="55280537"/>
    <w:rsid w:val="552D7F72"/>
    <w:rsid w:val="553271D3"/>
    <w:rsid w:val="55391D2A"/>
    <w:rsid w:val="55496DEC"/>
    <w:rsid w:val="554B700A"/>
    <w:rsid w:val="554F2666"/>
    <w:rsid w:val="5556678D"/>
    <w:rsid w:val="55591795"/>
    <w:rsid w:val="55591DC6"/>
    <w:rsid w:val="555C29F5"/>
    <w:rsid w:val="55600ECB"/>
    <w:rsid w:val="556C60B3"/>
    <w:rsid w:val="556E0F24"/>
    <w:rsid w:val="55754E2B"/>
    <w:rsid w:val="55765492"/>
    <w:rsid w:val="557813BB"/>
    <w:rsid w:val="55790B96"/>
    <w:rsid w:val="558B13F4"/>
    <w:rsid w:val="558F1BF0"/>
    <w:rsid w:val="55945D37"/>
    <w:rsid w:val="559C06D5"/>
    <w:rsid w:val="55A33F58"/>
    <w:rsid w:val="55AA0F8C"/>
    <w:rsid w:val="55AA5633"/>
    <w:rsid w:val="55B038A7"/>
    <w:rsid w:val="55B115A2"/>
    <w:rsid w:val="55BE5B7F"/>
    <w:rsid w:val="55C87E5B"/>
    <w:rsid w:val="55CD5E8D"/>
    <w:rsid w:val="55D26CCF"/>
    <w:rsid w:val="55DB4561"/>
    <w:rsid w:val="55E1160F"/>
    <w:rsid w:val="55E54B88"/>
    <w:rsid w:val="55E83185"/>
    <w:rsid w:val="55EB1F25"/>
    <w:rsid w:val="56037DAB"/>
    <w:rsid w:val="561D3BDC"/>
    <w:rsid w:val="561F58ED"/>
    <w:rsid w:val="5625322F"/>
    <w:rsid w:val="562B1A63"/>
    <w:rsid w:val="562D525A"/>
    <w:rsid w:val="563E52B4"/>
    <w:rsid w:val="563E5AB2"/>
    <w:rsid w:val="56467D4A"/>
    <w:rsid w:val="564C522B"/>
    <w:rsid w:val="565A2C86"/>
    <w:rsid w:val="565A31DA"/>
    <w:rsid w:val="56642809"/>
    <w:rsid w:val="566E0EBF"/>
    <w:rsid w:val="567C6182"/>
    <w:rsid w:val="567E74DD"/>
    <w:rsid w:val="56820B96"/>
    <w:rsid w:val="56950B50"/>
    <w:rsid w:val="56974290"/>
    <w:rsid w:val="56A501F8"/>
    <w:rsid w:val="56A66AE5"/>
    <w:rsid w:val="56A959BB"/>
    <w:rsid w:val="56AF7CCD"/>
    <w:rsid w:val="56B153C0"/>
    <w:rsid w:val="56B85FEE"/>
    <w:rsid w:val="56BB4490"/>
    <w:rsid w:val="56C055FC"/>
    <w:rsid w:val="56C35EF2"/>
    <w:rsid w:val="56C4168A"/>
    <w:rsid w:val="56CC638C"/>
    <w:rsid w:val="56D3410E"/>
    <w:rsid w:val="56D51BC3"/>
    <w:rsid w:val="56DB67A7"/>
    <w:rsid w:val="56E438E6"/>
    <w:rsid w:val="56ED1B6A"/>
    <w:rsid w:val="56EF43C0"/>
    <w:rsid w:val="56F00E30"/>
    <w:rsid w:val="56F53615"/>
    <w:rsid w:val="56FB146A"/>
    <w:rsid w:val="56FE6C32"/>
    <w:rsid w:val="570263EA"/>
    <w:rsid w:val="57030D27"/>
    <w:rsid w:val="57050993"/>
    <w:rsid w:val="570908B6"/>
    <w:rsid w:val="570914EF"/>
    <w:rsid w:val="570A2C48"/>
    <w:rsid w:val="570D2178"/>
    <w:rsid w:val="570D273C"/>
    <w:rsid w:val="572B4C89"/>
    <w:rsid w:val="572E7A59"/>
    <w:rsid w:val="573518D3"/>
    <w:rsid w:val="57355064"/>
    <w:rsid w:val="57372625"/>
    <w:rsid w:val="573C19D3"/>
    <w:rsid w:val="574035EE"/>
    <w:rsid w:val="57411336"/>
    <w:rsid w:val="57490B9C"/>
    <w:rsid w:val="57501DED"/>
    <w:rsid w:val="57605DC5"/>
    <w:rsid w:val="57622A79"/>
    <w:rsid w:val="57625050"/>
    <w:rsid w:val="57634140"/>
    <w:rsid w:val="576524BB"/>
    <w:rsid w:val="577A07B5"/>
    <w:rsid w:val="577F5FA9"/>
    <w:rsid w:val="577F68C1"/>
    <w:rsid w:val="57812F5F"/>
    <w:rsid w:val="57857E51"/>
    <w:rsid w:val="57923796"/>
    <w:rsid w:val="57934913"/>
    <w:rsid w:val="57983F8D"/>
    <w:rsid w:val="57992637"/>
    <w:rsid w:val="57A1552E"/>
    <w:rsid w:val="57A1557A"/>
    <w:rsid w:val="57A41BF3"/>
    <w:rsid w:val="57BE1B02"/>
    <w:rsid w:val="57C24C91"/>
    <w:rsid w:val="57C91D3E"/>
    <w:rsid w:val="57CB6747"/>
    <w:rsid w:val="57D04AAE"/>
    <w:rsid w:val="57D32AB5"/>
    <w:rsid w:val="57D64B57"/>
    <w:rsid w:val="57D65532"/>
    <w:rsid w:val="57E92226"/>
    <w:rsid w:val="57EE6662"/>
    <w:rsid w:val="57F44BB0"/>
    <w:rsid w:val="57F715EE"/>
    <w:rsid w:val="57FB5BFD"/>
    <w:rsid w:val="57FC57BD"/>
    <w:rsid w:val="57FD68F4"/>
    <w:rsid w:val="57FF6155"/>
    <w:rsid w:val="580140A6"/>
    <w:rsid w:val="5809281C"/>
    <w:rsid w:val="580B6E3C"/>
    <w:rsid w:val="580C1C8E"/>
    <w:rsid w:val="580C6FE8"/>
    <w:rsid w:val="580D3C1C"/>
    <w:rsid w:val="58120B37"/>
    <w:rsid w:val="581E62DD"/>
    <w:rsid w:val="58291B84"/>
    <w:rsid w:val="58305016"/>
    <w:rsid w:val="583220CE"/>
    <w:rsid w:val="58342026"/>
    <w:rsid w:val="58352DE6"/>
    <w:rsid w:val="583D3163"/>
    <w:rsid w:val="585573F6"/>
    <w:rsid w:val="585673E9"/>
    <w:rsid w:val="586C3CC6"/>
    <w:rsid w:val="586F7C2F"/>
    <w:rsid w:val="58761BFE"/>
    <w:rsid w:val="58783CFA"/>
    <w:rsid w:val="587845C9"/>
    <w:rsid w:val="58786095"/>
    <w:rsid w:val="58876CDB"/>
    <w:rsid w:val="58901BC2"/>
    <w:rsid w:val="58951088"/>
    <w:rsid w:val="58990FC0"/>
    <w:rsid w:val="589C3085"/>
    <w:rsid w:val="58A14C54"/>
    <w:rsid w:val="58A64233"/>
    <w:rsid w:val="58B13452"/>
    <w:rsid w:val="58BB3DC0"/>
    <w:rsid w:val="58D95B4A"/>
    <w:rsid w:val="58DE7B7E"/>
    <w:rsid w:val="58E236F3"/>
    <w:rsid w:val="58EB03FC"/>
    <w:rsid w:val="5906051B"/>
    <w:rsid w:val="5906339C"/>
    <w:rsid w:val="590C2C4C"/>
    <w:rsid w:val="59131292"/>
    <w:rsid w:val="59135B55"/>
    <w:rsid w:val="59153798"/>
    <w:rsid w:val="59232A72"/>
    <w:rsid w:val="592D4A6E"/>
    <w:rsid w:val="592F6715"/>
    <w:rsid w:val="593B3B47"/>
    <w:rsid w:val="59423F6D"/>
    <w:rsid w:val="5942577F"/>
    <w:rsid w:val="59456A20"/>
    <w:rsid w:val="594953B7"/>
    <w:rsid w:val="594F2E37"/>
    <w:rsid w:val="59506971"/>
    <w:rsid w:val="5957491D"/>
    <w:rsid w:val="595B3690"/>
    <w:rsid w:val="5963115F"/>
    <w:rsid w:val="5969369E"/>
    <w:rsid w:val="596A0C5D"/>
    <w:rsid w:val="596F61FA"/>
    <w:rsid w:val="59877F69"/>
    <w:rsid w:val="59903B9E"/>
    <w:rsid w:val="59924FF5"/>
    <w:rsid w:val="5994436D"/>
    <w:rsid w:val="599A2BD6"/>
    <w:rsid w:val="59AD7B08"/>
    <w:rsid w:val="59AF277F"/>
    <w:rsid w:val="59B56492"/>
    <w:rsid w:val="59BB2ACA"/>
    <w:rsid w:val="59BC3568"/>
    <w:rsid w:val="59C35ACF"/>
    <w:rsid w:val="59C44115"/>
    <w:rsid w:val="59D00092"/>
    <w:rsid w:val="59D7753C"/>
    <w:rsid w:val="59D9147E"/>
    <w:rsid w:val="59E8725B"/>
    <w:rsid w:val="59F658D0"/>
    <w:rsid w:val="5A0170B3"/>
    <w:rsid w:val="5A02182B"/>
    <w:rsid w:val="5A0633CF"/>
    <w:rsid w:val="5A0903C9"/>
    <w:rsid w:val="5A0D509A"/>
    <w:rsid w:val="5A0E4C2F"/>
    <w:rsid w:val="5A140578"/>
    <w:rsid w:val="5A180A3A"/>
    <w:rsid w:val="5A2400DF"/>
    <w:rsid w:val="5A311EF2"/>
    <w:rsid w:val="5A3D38EF"/>
    <w:rsid w:val="5A444794"/>
    <w:rsid w:val="5A4802BF"/>
    <w:rsid w:val="5A4C7D25"/>
    <w:rsid w:val="5A533A0A"/>
    <w:rsid w:val="5A551986"/>
    <w:rsid w:val="5A552EDD"/>
    <w:rsid w:val="5A557127"/>
    <w:rsid w:val="5A5810F3"/>
    <w:rsid w:val="5A625492"/>
    <w:rsid w:val="5A643AC8"/>
    <w:rsid w:val="5A64740A"/>
    <w:rsid w:val="5A664CCE"/>
    <w:rsid w:val="5A6F000D"/>
    <w:rsid w:val="5A706AAD"/>
    <w:rsid w:val="5A746011"/>
    <w:rsid w:val="5A76641A"/>
    <w:rsid w:val="5A821C67"/>
    <w:rsid w:val="5A8A5E83"/>
    <w:rsid w:val="5A912D68"/>
    <w:rsid w:val="5A9330C3"/>
    <w:rsid w:val="5A9860AF"/>
    <w:rsid w:val="5AA20ED6"/>
    <w:rsid w:val="5AA63641"/>
    <w:rsid w:val="5AA708CA"/>
    <w:rsid w:val="5AAC551A"/>
    <w:rsid w:val="5AAE4AE5"/>
    <w:rsid w:val="5AAF40C7"/>
    <w:rsid w:val="5AB3351B"/>
    <w:rsid w:val="5AB37F0E"/>
    <w:rsid w:val="5AB558BB"/>
    <w:rsid w:val="5AC77EF9"/>
    <w:rsid w:val="5AE363FD"/>
    <w:rsid w:val="5AEE535F"/>
    <w:rsid w:val="5AF17F45"/>
    <w:rsid w:val="5AF26392"/>
    <w:rsid w:val="5AF54ABD"/>
    <w:rsid w:val="5AFD5309"/>
    <w:rsid w:val="5B0977E6"/>
    <w:rsid w:val="5B0C4CA2"/>
    <w:rsid w:val="5B117512"/>
    <w:rsid w:val="5B204F54"/>
    <w:rsid w:val="5B2561D1"/>
    <w:rsid w:val="5B2A28AF"/>
    <w:rsid w:val="5B2D4026"/>
    <w:rsid w:val="5B2E155A"/>
    <w:rsid w:val="5B34038F"/>
    <w:rsid w:val="5B353868"/>
    <w:rsid w:val="5B3B4BE1"/>
    <w:rsid w:val="5B4A6C9F"/>
    <w:rsid w:val="5B55211D"/>
    <w:rsid w:val="5B5C1B01"/>
    <w:rsid w:val="5B5E6F93"/>
    <w:rsid w:val="5B6160B4"/>
    <w:rsid w:val="5B6503CD"/>
    <w:rsid w:val="5B650996"/>
    <w:rsid w:val="5B691244"/>
    <w:rsid w:val="5B6F2330"/>
    <w:rsid w:val="5B7C1860"/>
    <w:rsid w:val="5B7F50BF"/>
    <w:rsid w:val="5B867F38"/>
    <w:rsid w:val="5B9207A8"/>
    <w:rsid w:val="5B9D16B1"/>
    <w:rsid w:val="5B9F7DAC"/>
    <w:rsid w:val="5BB11A8A"/>
    <w:rsid w:val="5BB77E50"/>
    <w:rsid w:val="5BBB37E1"/>
    <w:rsid w:val="5BBB3896"/>
    <w:rsid w:val="5BBF1064"/>
    <w:rsid w:val="5BC37E56"/>
    <w:rsid w:val="5BD24C1E"/>
    <w:rsid w:val="5BE16D18"/>
    <w:rsid w:val="5BF00BF9"/>
    <w:rsid w:val="5BF64828"/>
    <w:rsid w:val="5BFE0923"/>
    <w:rsid w:val="5C037E45"/>
    <w:rsid w:val="5C0553DC"/>
    <w:rsid w:val="5C111495"/>
    <w:rsid w:val="5C165947"/>
    <w:rsid w:val="5C1661A5"/>
    <w:rsid w:val="5C1739FF"/>
    <w:rsid w:val="5C1C14C5"/>
    <w:rsid w:val="5C203518"/>
    <w:rsid w:val="5C323D5A"/>
    <w:rsid w:val="5C3405B2"/>
    <w:rsid w:val="5C3E4B32"/>
    <w:rsid w:val="5C452B17"/>
    <w:rsid w:val="5C4863C1"/>
    <w:rsid w:val="5C61437B"/>
    <w:rsid w:val="5C6C3BBC"/>
    <w:rsid w:val="5C6C3BD8"/>
    <w:rsid w:val="5C776406"/>
    <w:rsid w:val="5C7E4751"/>
    <w:rsid w:val="5C8429AC"/>
    <w:rsid w:val="5C8C06C1"/>
    <w:rsid w:val="5C8F1170"/>
    <w:rsid w:val="5C992D62"/>
    <w:rsid w:val="5C993776"/>
    <w:rsid w:val="5CA01D3B"/>
    <w:rsid w:val="5CB02287"/>
    <w:rsid w:val="5CB423AB"/>
    <w:rsid w:val="5CB55948"/>
    <w:rsid w:val="5CB6146B"/>
    <w:rsid w:val="5CC101EF"/>
    <w:rsid w:val="5CC24B59"/>
    <w:rsid w:val="5CCB0E45"/>
    <w:rsid w:val="5CCC5196"/>
    <w:rsid w:val="5CCF1899"/>
    <w:rsid w:val="5CDB1524"/>
    <w:rsid w:val="5CDF5473"/>
    <w:rsid w:val="5CE478AD"/>
    <w:rsid w:val="5CE53B50"/>
    <w:rsid w:val="5CE85C91"/>
    <w:rsid w:val="5CE86BC5"/>
    <w:rsid w:val="5CEC135C"/>
    <w:rsid w:val="5CEC53A5"/>
    <w:rsid w:val="5CF44D5B"/>
    <w:rsid w:val="5CF71428"/>
    <w:rsid w:val="5D007836"/>
    <w:rsid w:val="5D0122A8"/>
    <w:rsid w:val="5D15701B"/>
    <w:rsid w:val="5D1773C9"/>
    <w:rsid w:val="5D1F428A"/>
    <w:rsid w:val="5D2E5F5D"/>
    <w:rsid w:val="5D34149D"/>
    <w:rsid w:val="5D3B5726"/>
    <w:rsid w:val="5D4601B1"/>
    <w:rsid w:val="5D494DBC"/>
    <w:rsid w:val="5D4A265D"/>
    <w:rsid w:val="5D4B34BD"/>
    <w:rsid w:val="5D535FE2"/>
    <w:rsid w:val="5D55588E"/>
    <w:rsid w:val="5D5723E7"/>
    <w:rsid w:val="5D5A0839"/>
    <w:rsid w:val="5D703A41"/>
    <w:rsid w:val="5D735CD6"/>
    <w:rsid w:val="5D7A5CAC"/>
    <w:rsid w:val="5D7B0085"/>
    <w:rsid w:val="5D7B50D7"/>
    <w:rsid w:val="5D7E75E3"/>
    <w:rsid w:val="5D811B5C"/>
    <w:rsid w:val="5D893FCF"/>
    <w:rsid w:val="5D8D1664"/>
    <w:rsid w:val="5D8F19B7"/>
    <w:rsid w:val="5DAB27C9"/>
    <w:rsid w:val="5DAF2433"/>
    <w:rsid w:val="5DB05ED7"/>
    <w:rsid w:val="5DB206D3"/>
    <w:rsid w:val="5DB46EC8"/>
    <w:rsid w:val="5DB53F80"/>
    <w:rsid w:val="5DC95E33"/>
    <w:rsid w:val="5DCB6A18"/>
    <w:rsid w:val="5DD1503B"/>
    <w:rsid w:val="5DD371C8"/>
    <w:rsid w:val="5DE06536"/>
    <w:rsid w:val="5DF06923"/>
    <w:rsid w:val="5DF62164"/>
    <w:rsid w:val="5DF84E51"/>
    <w:rsid w:val="5E01777C"/>
    <w:rsid w:val="5E03619E"/>
    <w:rsid w:val="5E0E3C30"/>
    <w:rsid w:val="5E12502D"/>
    <w:rsid w:val="5E147D13"/>
    <w:rsid w:val="5E263E82"/>
    <w:rsid w:val="5E28442A"/>
    <w:rsid w:val="5E3245D8"/>
    <w:rsid w:val="5E332019"/>
    <w:rsid w:val="5E353A43"/>
    <w:rsid w:val="5E3564A3"/>
    <w:rsid w:val="5E39617D"/>
    <w:rsid w:val="5E3F528E"/>
    <w:rsid w:val="5E5A73BB"/>
    <w:rsid w:val="5E5D1AF4"/>
    <w:rsid w:val="5E5D7076"/>
    <w:rsid w:val="5E6572A9"/>
    <w:rsid w:val="5E6F4588"/>
    <w:rsid w:val="5E743768"/>
    <w:rsid w:val="5E790CA0"/>
    <w:rsid w:val="5E7945FC"/>
    <w:rsid w:val="5E7C6322"/>
    <w:rsid w:val="5E832A8B"/>
    <w:rsid w:val="5E866479"/>
    <w:rsid w:val="5E8B3271"/>
    <w:rsid w:val="5E9077B9"/>
    <w:rsid w:val="5E930082"/>
    <w:rsid w:val="5EA33E83"/>
    <w:rsid w:val="5EB351E3"/>
    <w:rsid w:val="5EB6009E"/>
    <w:rsid w:val="5EBF459F"/>
    <w:rsid w:val="5ECB5E0F"/>
    <w:rsid w:val="5ECF22A5"/>
    <w:rsid w:val="5ED32946"/>
    <w:rsid w:val="5ED53B61"/>
    <w:rsid w:val="5EDE746E"/>
    <w:rsid w:val="5EE278D0"/>
    <w:rsid w:val="5EEA3F0C"/>
    <w:rsid w:val="5F031672"/>
    <w:rsid w:val="5F0627E3"/>
    <w:rsid w:val="5F087F3E"/>
    <w:rsid w:val="5F0E22EC"/>
    <w:rsid w:val="5F0E5841"/>
    <w:rsid w:val="5F0E7AA1"/>
    <w:rsid w:val="5F1A7C3C"/>
    <w:rsid w:val="5F2022F1"/>
    <w:rsid w:val="5F2E5A95"/>
    <w:rsid w:val="5F4C162A"/>
    <w:rsid w:val="5F4E5EBD"/>
    <w:rsid w:val="5F5E7306"/>
    <w:rsid w:val="5F631F2A"/>
    <w:rsid w:val="5F6A7470"/>
    <w:rsid w:val="5F701D7B"/>
    <w:rsid w:val="5F727FC6"/>
    <w:rsid w:val="5F862BEB"/>
    <w:rsid w:val="5F884A07"/>
    <w:rsid w:val="5F89195D"/>
    <w:rsid w:val="5FA24E2B"/>
    <w:rsid w:val="5FA91308"/>
    <w:rsid w:val="5FB15A0A"/>
    <w:rsid w:val="5FBE789B"/>
    <w:rsid w:val="5FC32714"/>
    <w:rsid w:val="5FC469D3"/>
    <w:rsid w:val="5FCA4ED2"/>
    <w:rsid w:val="5FD2539A"/>
    <w:rsid w:val="5FD862BD"/>
    <w:rsid w:val="5FD97F4B"/>
    <w:rsid w:val="5FDC76C8"/>
    <w:rsid w:val="5FDD0F28"/>
    <w:rsid w:val="5FDF6D5B"/>
    <w:rsid w:val="5FE125D9"/>
    <w:rsid w:val="5FE12E56"/>
    <w:rsid w:val="5FF331E0"/>
    <w:rsid w:val="5FF623A7"/>
    <w:rsid w:val="5FF82A8C"/>
    <w:rsid w:val="5FFD046B"/>
    <w:rsid w:val="60053101"/>
    <w:rsid w:val="60085D90"/>
    <w:rsid w:val="60094BC3"/>
    <w:rsid w:val="60144F61"/>
    <w:rsid w:val="60146EA0"/>
    <w:rsid w:val="601577B9"/>
    <w:rsid w:val="601C7F66"/>
    <w:rsid w:val="601D4E23"/>
    <w:rsid w:val="60211770"/>
    <w:rsid w:val="60265BCA"/>
    <w:rsid w:val="60285FA1"/>
    <w:rsid w:val="603A2B07"/>
    <w:rsid w:val="6054527B"/>
    <w:rsid w:val="60595B9F"/>
    <w:rsid w:val="60622A35"/>
    <w:rsid w:val="6069345E"/>
    <w:rsid w:val="607A5C32"/>
    <w:rsid w:val="607F45F5"/>
    <w:rsid w:val="607F6BA2"/>
    <w:rsid w:val="60835BF0"/>
    <w:rsid w:val="60885E60"/>
    <w:rsid w:val="608E4E60"/>
    <w:rsid w:val="608F7C3C"/>
    <w:rsid w:val="609546A5"/>
    <w:rsid w:val="60A35595"/>
    <w:rsid w:val="60A42897"/>
    <w:rsid w:val="60A652C9"/>
    <w:rsid w:val="60A9540D"/>
    <w:rsid w:val="60AF75A0"/>
    <w:rsid w:val="60B34C56"/>
    <w:rsid w:val="60B3575F"/>
    <w:rsid w:val="60BE3971"/>
    <w:rsid w:val="60C36BAA"/>
    <w:rsid w:val="60C41097"/>
    <w:rsid w:val="60CF13A2"/>
    <w:rsid w:val="60D351F3"/>
    <w:rsid w:val="60D94239"/>
    <w:rsid w:val="60D95ACB"/>
    <w:rsid w:val="60DA02C2"/>
    <w:rsid w:val="60DA6828"/>
    <w:rsid w:val="60DC5FD9"/>
    <w:rsid w:val="60DF0B6A"/>
    <w:rsid w:val="60E471F1"/>
    <w:rsid w:val="60EC36E8"/>
    <w:rsid w:val="60F03883"/>
    <w:rsid w:val="60F600EF"/>
    <w:rsid w:val="60F864F0"/>
    <w:rsid w:val="60FC40AB"/>
    <w:rsid w:val="610244AA"/>
    <w:rsid w:val="61091DD5"/>
    <w:rsid w:val="610F698F"/>
    <w:rsid w:val="611304E9"/>
    <w:rsid w:val="61186287"/>
    <w:rsid w:val="612079FB"/>
    <w:rsid w:val="612167D8"/>
    <w:rsid w:val="61271031"/>
    <w:rsid w:val="613045F7"/>
    <w:rsid w:val="61323E7D"/>
    <w:rsid w:val="6145645F"/>
    <w:rsid w:val="614A306E"/>
    <w:rsid w:val="614B50C1"/>
    <w:rsid w:val="614D07F9"/>
    <w:rsid w:val="61517443"/>
    <w:rsid w:val="616B48FA"/>
    <w:rsid w:val="616F5BBC"/>
    <w:rsid w:val="61705093"/>
    <w:rsid w:val="61761D0A"/>
    <w:rsid w:val="618F5E5F"/>
    <w:rsid w:val="619B49C8"/>
    <w:rsid w:val="61A7126A"/>
    <w:rsid w:val="61B00A1E"/>
    <w:rsid w:val="61C06B4A"/>
    <w:rsid w:val="61C44FB6"/>
    <w:rsid w:val="61CA606C"/>
    <w:rsid w:val="61CB08BD"/>
    <w:rsid w:val="61D22910"/>
    <w:rsid w:val="61D879B9"/>
    <w:rsid w:val="61DE243F"/>
    <w:rsid w:val="61E272EB"/>
    <w:rsid w:val="61E57F28"/>
    <w:rsid w:val="61EB205E"/>
    <w:rsid w:val="61F466F6"/>
    <w:rsid w:val="61F776B3"/>
    <w:rsid w:val="61F81C3A"/>
    <w:rsid w:val="62001C33"/>
    <w:rsid w:val="62006316"/>
    <w:rsid w:val="620279F8"/>
    <w:rsid w:val="620873DA"/>
    <w:rsid w:val="620E5129"/>
    <w:rsid w:val="62144DB7"/>
    <w:rsid w:val="621A1E15"/>
    <w:rsid w:val="621A51B1"/>
    <w:rsid w:val="621B7911"/>
    <w:rsid w:val="621D7BEF"/>
    <w:rsid w:val="622149E2"/>
    <w:rsid w:val="62244482"/>
    <w:rsid w:val="622446F8"/>
    <w:rsid w:val="622C2A0D"/>
    <w:rsid w:val="623503C6"/>
    <w:rsid w:val="62360CE8"/>
    <w:rsid w:val="6236217E"/>
    <w:rsid w:val="62364403"/>
    <w:rsid w:val="62387CD2"/>
    <w:rsid w:val="62436960"/>
    <w:rsid w:val="624B7DDA"/>
    <w:rsid w:val="62512576"/>
    <w:rsid w:val="625B5C3E"/>
    <w:rsid w:val="625C6B16"/>
    <w:rsid w:val="625F53CD"/>
    <w:rsid w:val="62604FDE"/>
    <w:rsid w:val="6261344F"/>
    <w:rsid w:val="626252C2"/>
    <w:rsid w:val="627B5880"/>
    <w:rsid w:val="627F5228"/>
    <w:rsid w:val="628622AD"/>
    <w:rsid w:val="628950F7"/>
    <w:rsid w:val="629302A3"/>
    <w:rsid w:val="6294124F"/>
    <w:rsid w:val="629F5000"/>
    <w:rsid w:val="62A22CA2"/>
    <w:rsid w:val="62AB4B55"/>
    <w:rsid w:val="62B24BE1"/>
    <w:rsid w:val="62B96E86"/>
    <w:rsid w:val="62C051BD"/>
    <w:rsid w:val="62C21705"/>
    <w:rsid w:val="62D17676"/>
    <w:rsid w:val="62D32BA1"/>
    <w:rsid w:val="62D54750"/>
    <w:rsid w:val="63025A66"/>
    <w:rsid w:val="63027145"/>
    <w:rsid w:val="63027E85"/>
    <w:rsid w:val="630602F5"/>
    <w:rsid w:val="63075750"/>
    <w:rsid w:val="630E477B"/>
    <w:rsid w:val="63126691"/>
    <w:rsid w:val="63161581"/>
    <w:rsid w:val="633571CC"/>
    <w:rsid w:val="633730F3"/>
    <w:rsid w:val="633B709F"/>
    <w:rsid w:val="633C4C22"/>
    <w:rsid w:val="63455CC7"/>
    <w:rsid w:val="6348512C"/>
    <w:rsid w:val="634D0FFB"/>
    <w:rsid w:val="634D4E50"/>
    <w:rsid w:val="634D6D58"/>
    <w:rsid w:val="63607B63"/>
    <w:rsid w:val="63615330"/>
    <w:rsid w:val="63635E2F"/>
    <w:rsid w:val="636451F8"/>
    <w:rsid w:val="636A3638"/>
    <w:rsid w:val="6372606D"/>
    <w:rsid w:val="637500A0"/>
    <w:rsid w:val="637B1E71"/>
    <w:rsid w:val="63831968"/>
    <w:rsid w:val="63864396"/>
    <w:rsid w:val="638B06E1"/>
    <w:rsid w:val="63A53B36"/>
    <w:rsid w:val="63A86F13"/>
    <w:rsid w:val="63AC40B1"/>
    <w:rsid w:val="63AC7B01"/>
    <w:rsid w:val="63B069B7"/>
    <w:rsid w:val="63B97FD0"/>
    <w:rsid w:val="63BB55DA"/>
    <w:rsid w:val="63C85E2C"/>
    <w:rsid w:val="63D26F65"/>
    <w:rsid w:val="63D92960"/>
    <w:rsid w:val="63E13B71"/>
    <w:rsid w:val="63E35F3A"/>
    <w:rsid w:val="63EC4F0E"/>
    <w:rsid w:val="63F11413"/>
    <w:rsid w:val="63F12198"/>
    <w:rsid w:val="63F334E7"/>
    <w:rsid w:val="63F84086"/>
    <w:rsid w:val="63FC288F"/>
    <w:rsid w:val="63FF4C2E"/>
    <w:rsid w:val="64026BBB"/>
    <w:rsid w:val="64075D66"/>
    <w:rsid w:val="641961F9"/>
    <w:rsid w:val="6419743D"/>
    <w:rsid w:val="642D197F"/>
    <w:rsid w:val="64351649"/>
    <w:rsid w:val="643811A9"/>
    <w:rsid w:val="643B6DF3"/>
    <w:rsid w:val="643E6049"/>
    <w:rsid w:val="64505561"/>
    <w:rsid w:val="6451172E"/>
    <w:rsid w:val="645A17BF"/>
    <w:rsid w:val="645B218B"/>
    <w:rsid w:val="645D0F75"/>
    <w:rsid w:val="64640FD6"/>
    <w:rsid w:val="64667B28"/>
    <w:rsid w:val="646949A2"/>
    <w:rsid w:val="646E6EC8"/>
    <w:rsid w:val="64752152"/>
    <w:rsid w:val="64791C0F"/>
    <w:rsid w:val="647A4FD2"/>
    <w:rsid w:val="647F6B9A"/>
    <w:rsid w:val="64802D6E"/>
    <w:rsid w:val="6481537F"/>
    <w:rsid w:val="648209AC"/>
    <w:rsid w:val="648F56C4"/>
    <w:rsid w:val="64921F12"/>
    <w:rsid w:val="649648C4"/>
    <w:rsid w:val="649C135E"/>
    <w:rsid w:val="64A30E44"/>
    <w:rsid w:val="64A37A75"/>
    <w:rsid w:val="64A45340"/>
    <w:rsid w:val="64A5354D"/>
    <w:rsid w:val="64B004F2"/>
    <w:rsid w:val="64B7696A"/>
    <w:rsid w:val="64BF2823"/>
    <w:rsid w:val="64C537A6"/>
    <w:rsid w:val="64D30230"/>
    <w:rsid w:val="64D63E20"/>
    <w:rsid w:val="64D72FAF"/>
    <w:rsid w:val="64D81ED5"/>
    <w:rsid w:val="64D85ADD"/>
    <w:rsid w:val="64DD39E4"/>
    <w:rsid w:val="64E01C49"/>
    <w:rsid w:val="64E45A26"/>
    <w:rsid w:val="64F31493"/>
    <w:rsid w:val="64F76E02"/>
    <w:rsid w:val="64FA0716"/>
    <w:rsid w:val="64FC60A7"/>
    <w:rsid w:val="65034DED"/>
    <w:rsid w:val="650B4776"/>
    <w:rsid w:val="65182A1E"/>
    <w:rsid w:val="65194470"/>
    <w:rsid w:val="652F1ED5"/>
    <w:rsid w:val="65333907"/>
    <w:rsid w:val="65341AB7"/>
    <w:rsid w:val="6535257A"/>
    <w:rsid w:val="653B271E"/>
    <w:rsid w:val="653D34A1"/>
    <w:rsid w:val="654C0A01"/>
    <w:rsid w:val="654C400E"/>
    <w:rsid w:val="654D3603"/>
    <w:rsid w:val="654D7969"/>
    <w:rsid w:val="65586BE3"/>
    <w:rsid w:val="655C6B59"/>
    <w:rsid w:val="655D369B"/>
    <w:rsid w:val="65624DEB"/>
    <w:rsid w:val="65642043"/>
    <w:rsid w:val="65717E39"/>
    <w:rsid w:val="65760643"/>
    <w:rsid w:val="658123CB"/>
    <w:rsid w:val="658837DB"/>
    <w:rsid w:val="65931D3A"/>
    <w:rsid w:val="659822DD"/>
    <w:rsid w:val="65982448"/>
    <w:rsid w:val="65A219CF"/>
    <w:rsid w:val="65A3380C"/>
    <w:rsid w:val="65B44DD6"/>
    <w:rsid w:val="65C01578"/>
    <w:rsid w:val="65C43767"/>
    <w:rsid w:val="65C43B43"/>
    <w:rsid w:val="65D21F83"/>
    <w:rsid w:val="65D60201"/>
    <w:rsid w:val="65D95B4E"/>
    <w:rsid w:val="65E174B2"/>
    <w:rsid w:val="65E31C55"/>
    <w:rsid w:val="65ED5D93"/>
    <w:rsid w:val="65EF47B9"/>
    <w:rsid w:val="65F01AB4"/>
    <w:rsid w:val="65F8423D"/>
    <w:rsid w:val="65FA6585"/>
    <w:rsid w:val="65FE7F42"/>
    <w:rsid w:val="65FF1E6C"/>
    <w:rsid w:val="660B3DE6"/>
    <w:rsid w:val="660B5925"/>
    <w:rsid w:val="660D7671"/>
    <w:rsid w:val="66100967"/>
    <w:rsid w:val="6627119C"/>
    <w:rsid w:val="662720D2"/>
    <w:rsid w:val="662A7A0E"/>
    <w:rsid w:val="662F3E9F"/>
    <w:rsid w:val="66312FB6"/>
    <w:rsid w:val="663219D1"/>
    <w:rsid w:val="663955FC"/>
    <w:rsid w:val="663A5586"/>
    <w:rsid w:val="664334EE"/>
    <w:rsid w:val="664E3FE8"/>
    <w:rsid w:val="6653533F"/>
    <w:rsid w:val="66646397"/>
    <w:rsid w:val="66653D48"/>
    <w:rsid w:val="66687B6A"/>
    <w:rsid w:val="666A04BB"/>
    <w:rsid w:val="666B7001"/>
    <w:rsid w:val="666D301C"/>
    <w:rsid w:val="66787D8A"/>
    <w:rsid w:val="668C6D2B"/>
    <w:rsid w:val="668E014F"/>
    <w:rsid w:val="669A0788"/>
    <w:rsid w:val="669A1F4A"/>
    <w:rsid w:val="669C06FE"/>
    <w:rsid w:val="669D0FFF"/>
    <w:rsid w:val="66A37B86"/>
    <w:rsid w:val="66A77854"/>
    <w:rsid w:val="66AA4416"/>
    <w:rsid w:val="66B87247"/>
    <w:rsid w:val="66C1139D"/>
    <w:rsid w:val="66C82EFB"/>
    <w:rsid w:val="66C86704"/>
    <w:rsid w:val="66D03707"/>
    <w:rsid w:val="66D12486"/>
    <w:rsid w:val="66D4710B"/>
    <w:rsid w:val="66D87459"/>
    <w:rsid w:val="66D94502"/>
    <w:rsid w:val="66DC1DC6"/>
    <w:rsid w:val="66DC5B3F"/>
    <w:rsid w:val="66DC5FE9"/>
    <w:rsid w:val="66DD0957"/>
    <w:rsid w:val="66DF50F6"/>
    <w:rsid w:val="66E03F2D"/>
    <w:rsid w:val="66E6099B"/>
    <w:rsid w:val="66EB4045"/>
    <w:rsid w:val="66F26A60"/>
    <w:rsid w:val="670276DF"/>
    <w:rsid w:val="6703116C"/>
    <w:rsid w:val="67060408"/>
    <w:rsid w:val="670D7BFB"/>
    <w:rsid w:val="67105321"/>
    <w:rsid w:val="67155BC7"/>
    <w:rsid w:val="67296B1B"/>
    <w:rsid w:val="67381AD5"/>
    <w:rsid w:val="673D7A3A"/>
    <w:rsid w:val="674600C4"/>
    <w:rsid w:val="674B66AD"/>
    <w:rsid w:val="675112D0"/>
    <w:rsid w:val="67575132"/>
    <w:rsid w:val="675B55F3"/>
    <w:rsid w:val="675E2286"/>
    <w:rsid w:val="67692393"/>
    <w:rsid w:val="676E7F3D"/>
    <w:rsid w:val="67704FAD"/>
    <w:rsid w:val="67740045"/>
    <w:rsid w:val="677A20C1"/>
    <w:rsid w:val="677A520C"/>
    <w:rsid w:val="677A547F"/>
    <w:rsid w:val="677B1748"/>
    <w:rsid w:val="677E4332"/>
    <w:rsid w:val="678070A8"/>
    <w:rsid w:val="67814CA0"/>
    <w:rsid w:val="6781689D"/>
    <w:rsid w:val="67836156"/>
    <w:rsid w:val="67846860"/>
    <w:rsid w:val="678E6700"/>
    <w:rsid w:val="679B40CF"/>
    <w:rsid w:val="67A27CC2"/>
    <w:rsid w:val="67A60B9C"/>
    <w:rsid w:val="67AB06F9"/>
    <w:rsid w:val="67AC30A1"/>
    <w:rsid w:val="67AD0F3F"/>
    <w:rsid w:val="67BC66F9"/>
    <w:rsid w:val="67DA041D"/>
    <w:rsid w:val="67DA6592"/>
    <w:rsid w:val="67DD2E72"/>
    <w:rsid w:val="67E10434"/>
    <w:rsid w:val="67E35CBC"/>
    <w:rsid w:val="67EC0640"/>
    <w:rsid w:val="67EF30B3"/>
    <w:rsid w:val="67F313FA"/>
    <w:rsid w:val="68061993"/>
    <w:rsid w:val="680D0939"/>
    <w:rsid w:val="68237FD2"/>
    <w:rsid w:val="682D0A6C"/>
    <w:rsid w:val="682F0D1A"/>
    <w:rsid w:val="68394CF3"/>
    <w:rsid w:val="684557CE"/>
    <w:rsid w:val="68466D27"/>
    <w:rsid w:val="684A6E18"/>
    <w:rsid w:val="68527C4A"/>
    <w:rsid w:val="685C36DF"/>
    <w:rsid w:val="686354B0"/>
    <w:rsid w:val="68694E7B"/>
    <w:rsid w:val="686D127F"/>
    <w:rsid w:val="686E60C8"/>
    <w:rsid w:val="686E7A7B"/>
    <w:rsid w:val="687067F6"/>
    <w:rsid w:val="68747A3A"/>
    <w:rsid w:val="68802A41"/>
    <w:rsid w:val="689078F6"/>
    <w:rsid w:val="68912C6E"/>
    <w:rsid w:val="689304A0"/>
    <w:rsid w:val="689D07A2"/>
    <w:rsid w:val="68AF2B87"/>
    <w:rsid w:val="68B20ED3"/>
    <w:rsid w:val="68B90FA1"/>
    <w:rsid w:val="68B93D81"/>
    <w:rsid w:val="68BA16EF"/>
    <w:rsid w:val="68BF219B"/>
    <w:rsid w:val="68C70336"/>
    <w:rsid w:val="68D17DB2"/>
    <w:rsid w:val="68DD5DD6"/>
    <w:rsid w:val="68E3352F"/>
    <w:rsid w:val="68E47B05"/>
    <w:rsid w:val="68E65278"/>
    <w:rsid w:val="68EC04DE"/>
    <w:rsid w:val="68FB3625"/>
    <w:rsid w:val="68FC7FC0"/>
    <w:rsid w:val="68FF4226"/>
    <w:rsid w:val="69022832"/>
    <w:rsid w:val="690578F0"/>
    <w:rsid w:val="69093CAF"/>
    <w:rsid w:val="690B7063"/>
    <w:rsid w:val="690B7520"/>
    <w:rsid w:val="691200AE"/>
    <w:rsid w:val="69152147"/>
    <w:rsid w:val="692E7E6B"/>
    <w:rsid w:val="69317031"/>
    <w:rsid w:val="693A1EA3"/>
    <w:rsid w:val="693E4A79"/>
    <w:rsid w:val="694A5787"/>
    <w:rsid w:val="695373E0"/>
    <w:rsid w:val="696131F9"/>
    <w:rsid w:val="69630248"/>
    <w:rsid w:val="69642235"/>
    <w:rsid w:val="69647D29"/>
    <w:rsid w:val="6966192A"/>
    <w:rsid w:val="69774629"/>
    <w:rsid w:val="697C5B7B"/>
    <w:rsid w:val="697E74B0"/>
    <w:rsid w:val="698D0B45"/>
    <w:rsid w:val="6992357A"/>
    <w:rsid w:val="699F1D30"/>
    <w:rsid w:val="69AB1271"/>
    <w:rsid w:val="69B03281"/>
    <w:rsid w:val="69B64F85"/>
    <w:rsid w:val="69BA55BE"/>
    <w:rsid w:val="69BB1CEB"/>
    <w:rsid w:val="69C76718"/>
    <w:rsid w:val="69CB47D7"/>
    <w:rsid w:val="69CC74BA"/>
    <w:rsid w:val="69CE01B8"/>
    <w:rsid w:val="69CE56DF"/>
    <w:rsid w:val="69CF00C0"/>
    <w:rsid w:val="69D85016"/>
    <w:rsid w:val="69DA3DA8"/>
    <w:rsid w:val="69DA61FE"/>
    <w:rsid w:val="69DD38E7"/>
    <w:rsid w:val="69E67C99"/>
    <w:rsid w:val="69EA2DBD"/>
    <w:rsid w:val="69ED03AA"/>
    <w:rsid w:val="69EE58FD"/>
    <w:rsid w:val="69F75721"/>
    <w:rsid w:val="6A0456C2"/>
    <w:rsid w:val="6A0A518E"/>
    <w:rsid w:val="6A0B1654"/>
    <w:rsid w:val="6A0C1240"/>
    <w:rsid w:val="6A0E13F3"/>
    <w:rsid w:val="6A220495"/>
    <w:rsid w:val="6A284420"/>
    <w:rsid w:val="6A305C56"/>
    <w:rsid w:val="6A320549"/>
    <w:rsid w:val="6A3C135F"/>
    <w:rsid w:val="6A3D558C"/>
    <w:rsid w:val="6A441179"/>
    <w:rsid w:val="6A470CAC"/>
    <w:rsid w:val="6A477104"/>
    <w:rsid w:val="6A49525E"/>
    <w:rsid w:val="6A4D4C5B"/>
    <w:rsid w:val="6A5318E5"/>
    <w:rsid w:val="6A5E1976"/>
    <w:rsid w:val="6A6D40BC"/>
    <w:rsid w:val="6A7718D3"/>
    <w:rsid w:val="6A817C93"/>
    <w:rsid w:val="6A83685F"/>
    <w:rsid w:val="6A871F0C"/>
    <w:rsid w:val="6A871F42"/>
    <w:rsid w:val="6A877F85"/>
    <w:rsid w:val="6A89533F"/>
    <w:rsid w:val="6A90546D"/>
    <w:rsid w:val="6A944EDC"/>
    <w:rsid w:val="6AA320BF"/>
    <w:rsid w:val="6AA941ED"/>
    <w:rsid w:val="6AB03DD7"/>
    <w:rsid w:val="6AB5211E"/>
    <w:rsid w:val="6ABF0E6A"/>
    <w:rsid w:val="6AC774B9"/>
    <w:rsid w:val="6AC92B68"/>
    <w:rsid w:val="6ACE1E75"/>
    <w:rsid w:val="6AD06207"/>
    <w:rsid w:val="6AD97F5A"/>
    <w:rsid w:val="6AEE2FDC"/>
    <w:rsid w:val="6AF42FD3"/>
    <w:rsid w:val="6AF50E98"/>
    <w:rsid w:val="6B037194"/>
    <w:rsid w:val="6B05038A"/>
    <w:rsid w:val="6B242712"/>
    <w:rsid w:val="6B2A3E4F"/>
    <w:rsid w:val="6B2B66DF"/>
    <w:rsid w:val="6B2C321E"/>
    <w:rsid w:val="6B321CB0"/>
    <w:rsid w:val="6B3C4311"/>
    <w:rsid w:val="6B4A1BD3"/>
    <w:rsid w:val="6B5F4D5D"/>
    <w:rsid w:val="6B63047C"/>
    <w:rsid w:val="6B656219"/>
    <w:rsid w:val="6B6B2369"/>
    <w:rsid w:val="6B776695"/>
    <w:rsid w:val="6B8375B6"/>
    <w:rsid w:val="6B8829BB"/>
    <w:rsid w:val="6B895A27"/>
    <w:rsid w:val="6B8A0EE1"/>
    <w:rsid w:val="6B9A59AF"/>
    <w:rsid w:val="6B9D54CB"/>
    <w:rsid w:val="6BA076F0"/>
    <w:rsid w:val="6BA373BC"/>
    <w:rsid w:val="6BAD7FAD"/>
    <w:rsid w:val="6BAF081D"/>
    <w:rsid w:val="6BB42748"/>
    <w:rsid w:val="6BBB2B0A"/>
    <w:rsid w:val="6BC12E9F"/>
    <w:rsid w:val="6BC3763E"/>
    <w:rsid w:val="6BC568DE"/>
    <w:rsid w:val="6BCA00F3"/>
    <w:rsid w:val="6BD2215A"/>
    <w:rsid w:val="6BD563C1"/>
    <w:rsid w:val="6BD825EB"/>
    <w:rsid w:val="6BDA756C"/>
    <w:rsid w:val="6BDB0DC9"/>
    <w:rsid w:val="6BDC6711"/>
    <w:rsid w:val="6BDD2514"/>
    <w:rsid w:val="6BE317ED"/>
    <w:rsid w:val="6BE62E60"/>
    <w:rsid w:val="6BEB340B"/>
    <w:rsid w:val="6BF74D08"/>
    <w:rsid w:val="6BF8288C"/>
    <w:rsid w:val="6BFE0F82"/>
    <w:rsid w:val="6BFE3A18"/>
    <w:rsid w:val="6BFF36AF"/>
    <w:rsid w:val="6C0A7926"/>
    <w:rsid w:val="6C144674"/>
    <w:rsid w:val="6C163E7A"/>
    <w:rsid w:val="6C173279"/>
    <w:rsid w:val="6C185E54"/>
    <w:rsid w:val="6C266100"/>
    <w:rsid w:val="6C2A325F"/>
    <w:rsid w:val="6C2C7131"/>
    <w:rsid w:val="6C2D1579"/>
    <w:rsid w:val="6C2E38EE"/>
    <w:rsid w:val="6C3252B7"/>
    <w:rsid w:val="6C3811AE"/>
    <w:rsid w:val="6C407BBB"/>
    <w:rsid w:val="6C4240F9"/>
    <w:rsid w:val="6C4B13A2"/>
    <w:rsid w:val="6C4E6FC1"/>
    <w:rsid w:val="6C4F4650"/>
    <w:rsid w:val="6C5164C2"/>
    <w:rsid w:val="6C51775B"/>
    <w:rsid w:val="6C520EAB"/>
    <w:rsid w:val="6C530C10"/>
    <w:rsid w:val="6C561C66"/>
    <w:rsid w:val="6C576A17"/>
    <w:rsid w:val="6C602F3C"/>
    <w:rsid w:val="6C647BD2"/>
    <w:rsid w:val="6C6E6E7F"/>
    <w:rsid w:val="6C752566"/>
    <w:rsid w:val="6C774EA5"/>
    <w:rsid w:val="6C77611C"/>
    <w:rsid w:val="6C782D13"/>
    <w:rsid w:val="6C7A1CE6"/>
    <w:rsid w:val="6C7D1340"/>
    <w:rsid w:val="6C8A7F22"/>
    <w:rsid w:val="6C8E2466"/>
    <w:rsid w:val="6C920A95"/>
    <w:rsid w:val="6C995287"/>
    <w:rsid w:val="6C9D26A9"/>
    <w:rsid w:val="6CA21EAA"/>
    <w:rsid w:val="6CA25F68"/>
    <w:rsid w:val="6CA62BCF"/>
    <w:rsid w:val="6CAC2E15"/>
    <w:rsid w:val="6CB13E81"/>
    <w:rsid w:val="6CB338B3"/>
    <w:rsid w:val="6CB561E6"/>
    <w:rsid w:val="6CBC16C5"/>
    <w:rsid w:val="6CBF0233"/>
    <w:rsid w:val="6CC02E2E"/>
    <w:rsid w:val="6CC17618"/>
    <w:rsid w:val="6CC34B10"/>
    <w:rsid w:val="6CD04B41"/>
    <w:rsid w:val="6CD96E67"/>
    <w:rsid w:val="6CDC2D7F"/>
    <w:rsid w:val="6CDD0A3D"/>
    <w:rsid w:val="6CE27AF9"/>
    <w:rsid w:val="6CE30221"/>
    <w:rsid w:val="6CEC7AAB"/>
    <w:rsid w:val="6CF83B19"/>
    <w:rsid w:val="6D001895"/>
    <w:rsid w:val="6D0269B0"/>
    <w:rsid w:val="6D061516"/>
    <w:rsid w:val="6D084CF2"/>
    <w:rsid w:val="6D1B4843"/>
    <w:rsid w:val="6D1C06E9"/>
    <w:rsid w:val="6D1C083E"/>
    <w:rsid w:val="6D1F63B8"/>
    <w:rsid w:val="6D242CB5"/>
    <w:rsid w:val="6D324CAD"/>
    <w:rsid w:val="6D347EA9"/>
    <w:rsid w:val="6D3A1767"/>
    <w:rsid w:val="6D3B587B"/>
    <w:rsid w:val="6D4B5F6F"/>
    <w:rsid w:val="6D563923"/>
    <w:rsid w:val="6D594AFC"/>
    <w:rsid w:val="6D5B1838"/>
    <w:rsid w:val="6D5B4695"/>
    <w:rsid w:val="6D5E256C"/>
    <w:rsid w:val="6D62444F"/>
    <w:rsid w:val="6D696D90"/>
    <w:rsid w:val="6D7F25C1"/>
    <w:rsid w:val="6D83251E"/>
    <w:rsid w:val="6D9A6A75"/>
    <w:rsid w:val="6D9F3DD8"/>
    <w:rsid w:val="6DA36A5D"/>
    <w:rsid w:val="6DBB120B"/>
    <w:rsid w:val="6DBE1A43"/>
    <w:rsid w:val="6DCC5ABE"/>
    <w:rsid w:val="6DCF476F"/>
    <w:rsid w:val="6DCF6B61"/>
    <w:rsid w:val="6DD2377C"/>
    <w:rsid w:val="6DE445F0"/>
    <w:rsid w:val="6DE80006"/>
    <w:rsid w:val="6DE8775F"/>
    <w:rsid w:val="6DF04651"/>
    <w:rsid w:val="6DF37E0D"/>
    <w:rsid w:val="6DF825E5"/>
    <w:rsid w:val="6E010E59"/>
    <w:rsid w:val="6E037B96"/>
    <w:rsid w:val="6E066A6C"/>
    <w:rsid w:val="6E0D3650"/>
    <w:rsid w:val="6E193D66"/>
    <w:rsid w:val="6E242651"/>
    <w:rsid w:val="6E261003"/>
    <w:rsid w:val="6E267563"/>
    <w:rsid w:val="6E282CF9"/>
    <w:rsid w:val="6E2D2C94"/>
    <w:rsid w:val="6E3760BB"/>
    <w:rsid w:val="6E453A45"/>
    <w:rsid w:val="6E461B04"/>
    <w:rsid w:val="6E582A2C"/>
    <w:rsid w:val="6E5C40A5"/>
    <w:rsid w:val="6E5E5637"/>
    <w:rsid w:val="6E6011F9"/>
    <w:rsid w:val="6E605CAD"/>
    <w:rsid w:val="6E673F92"/>
    <w:rsid w:val="6E6B3471"/>
    <w:rsid w:val="6E6E1524"/>
    <w:rsid w:val="6E742363"/>
    <w:rsid w:val="6E79723B"/>
    <w:rsid w:val="6E7E2890"/>
    <w:rsid w:val="6E825693"/>
    <w:rsid w:val="6E83620B"/>
    <w:rsid w:val="6EA04EEC"/>
    <w:rsid w:val="6EA13BFA"/>
    <w:rsid w:val="6EA143DF"/>
    <w:rsid w:val="6EA76420"/>
    <w:rsid w:val="6EAC3BBA"/>
    <w:rsid w:val="6EC15B86"/>
    <w:rsid w:val="6EC27990"/>
    <w:rsid w:val="6EC30BAF"/>
    <w:rsid w:val="6EC3664E"/>
    <w:rsid w:val="6EC543D7"/>
    <w:rsid w:val="6EC93A81"/>
    <w:rsid w:val="6ECC2114"/>
    <w:rsid w:val="6EE54ACA"/>
    <w:rsid w:val="6EF7073F"/>
    <w:rsid w:val="6EFF229C"/>
    <w:rsid w:val="6F005E6B"/>
    <w:rsid w:val="6F087740"/>
    <w:rsid w:val="6F120511"/>
    <w:rsid w:val="6F1A2251"/>
    <w:rsid w:val="6F20442D"/>
    <w:rsid w:val="6F2133AB"/>
    <w:rsid w:val="6F237A05"/>
    <w:rsid w:val="6F2A675D"/>
    <w:rsid w:val="6F345466"/>
    <w:rsid w:val="6F3C122C"/>
    <w:rsid w:val="6F5300D9"/>
    <w:rsid w:val="6F5469B6"/>
    <w:rsid w:val="6F58481A"/>
    <w:rsid w:val="6F6C6E54"/>
    <w:rsid w:val="6F757788"/>
    <w:rsid w:val="6F844DBC"/>
    <w:rsid w:val="6F8715EB"/>
    <w:rsid w:val="6F8725F7"/>
    <w:rsid w:val="6F8C1686"/>
    <w:rsid w:val="6F910AD6"/>
    <w:rsid w:val="6F945334"/>
    <w:rsid w:val="6F987FFD"/>
    <w:rsid w:val="6F9F666F"/>
    <w:rsid w:val="6FA51C7B"/>
    <w:rsid w:val="6FB04CCE"/>
    <w:rsid w:val="6FBD6232"/>
    <w:rsid w:val="6FC01F8F"/>
    <w:rsid w:val="6FCE5CBB"/>
    <w:rsid w:val="6FD83206"/>
    <w:rsid w:val="6FDC1942"/>
    <w:rsid w:val="6FE06C43"/>
    <w:rsid w:val="6FE20202"/>
    <w:rsid w:val="6FE43F79"/>
    <w:rsid w:val="6FE9286B"/>
    <w:rsid w:val="6FEC283D"/>
    <w:rsid w:val="6FF12F5F"/>
    <w:rsid w:val="6FF93153"/>
    <w:rsid w:val="6FFA2C08"/>
    <w:rsid w:val="70032654"/>
    <w:rsid w:val="70087690"/>
    <w:rsid w:val="700C21C5"/>
    <w:rsid w:val="70165A1F"/>
    <w:rsid w:val="702A275D"/>
    <w:rsid w:val="70322E63"/>
    <w:rsid w:val="7032324F"/>
    <w:rsid w:val="70330DD9"/>
    <w:rsid w:val="703D65DA"/>
    <w:rsid w:val="703F5BF3"/>
    <w:rsid w:val="70431857"/>
    <w:rsid w:val="704C260E"/>
    <w:rsid w:val="70543CE2"/>
    <w:rsid w:val="70561F0A"/>
    <w:rsid w:val="705E7EB1"/>
    <w:rsid w:val="706458F5"/>
    <w:rsid w:val="70743BC1"/>
    <w:rsid w:val="707675BB"/>
    <w:rsid w:val="708227A9"/>
    <w:rsid w:val="7086436B"/>
    <w:rsid w:val="708E13E1"/>
    <w:rsid w:val="70934D6B"/>
    <w:rsid w:val="7099571F"/>
    <w:rsid w:val="709D2DEC"/>
    <w:rsid w:val="709D756E"/>
    <w:rsid w:val="709F20B3"/>
    <w:rsid w:val="70A01767"/>
    <w:rsid w:val="70AA46DF"/>
    <w:rsid w:val="70B05B00"/>
    <w:rsid w:val="70B644B1"/>
    <w:rsid w:val="70B82FD3"/>
    <w:rsid w:val="70B95679"/>
    <w:rsid w:val="70BA6222"/>
    <w:rsid w:val="70BD3380"/>
    <w:rsid w:val="70C05F84"/>
    <w:rsid w:val="70C161EB"/>
    <w:rsid w:val="70C224AB"/>
    <w:rsid w:val="70C37DDF"/>
    <w:rsid w:val="70C432B4"/>
    <w:rsid w:val="70CC28E1"/>
    <w:rsid w:val="70CF4244"/>
    <w:rsid w:val="70D23391"/>
    <w:rsid w:val="70D676F5"/>
    <w:rsid w:val="70D72CFE"/>
    <w:rsid w:val="70DF7ED0"/>
    <w:rsid w:val="70EC65A4"/>
    <w:rsid w:val="70F82D59"/>
    <w:rsid w:val="70FE336D"/>
    <w:rsid w:val="71027EBD"/>
    <w:rsid w:val="710515F9"/>
    <w:rsid w:val="71155AEC"/>
    <w:rsid w:val="711606F7"/>
    <w:rsid w:val="712532FF"/>
    <w:rsid w:val="71275730"/>
    <w:rsid w:val="712B3396"/>
    <w:rsid w:val="713043DC"/>
    <w:rsid w:val="7136359B"/>
    <w:rsid w:val="713929FF"/>
    <w:rsid w:val="713A259D"/>
    <w:rsid w:val="713F108F"/>
    <w:rsid w:val="71414CF0"/>
    <w:rsid w:val="714B6983"/>
    <w:rsid w:val="714E0005"/>
    <w:rsid w:val="714F1722"/>
    <w:rsid w:val="715D1FB3"/>
    <w:rsid w:val="71614EDC"/>
    <w:rsid w:val="716760E6"/>
    <w:rsid w:val="7169599C"/>
    <w:rsid w:val="7175261E"/>
    <w:rsid w:val="717959A7"/>
    <w:rsid w:val="7181610E"/>
    <w:rsid w:val="71816D21"/>
    <w:rsid w:val="71854F78"/>
    <w:rsid w:val="71964C59"/>
    <w:rsid w:val="719811F7"/>
    <w:rsid w:val="7198256C"/>
    <w:rsid w:val="719C7B18"/>
    <w:rsid w:val="719D1D20"/>
    <w:rsid w:val="719E7939"/>
    <w:rsid w:val="719F29FB"/>
    <w:rsid w:val="71A64AFF"/>
    <w:rsid w:val="71A95127"/>
    <w:rsid w:val="71AA7945"/>
    <w:rsid w:val="71BB5741"/>
    <w:rsid w:val="71C10002"/>
    <w:rsid w:val="71C27B97"/>
    <w:rsid w:val="71C30E32"/>
    <w:rsid w:val="71C43092"/>
    <w:rsid w:val="71C66D01"/>
    <w:rsid w:val="71CE7B26"/>
    <w:rsid w:val="71E02D3A"/>
    <w:rsid w:val="71E32057"/>
    <w:rsid w:val="71E40739"/>
    <w:rsid w:val="71EB7849"/>
    <w:rsid w:val="71F24FB3"/>
    <w:rsid w:val="71F52906"/>
    <w:rsid w:val="720364BC"/>
    <w:rsid w:val="720D1F2F"/>
    <w:rsid w:val="720E28CF"/>
    <w:rsid w:val="721C7833"/>
    <w:rsid w:val="72231CA7"/>
    <w:rsid w:val="72245356"/>
    <w:rsid w:val="72256327"/>
    <w:rsid w:val="722D4AB8"/>
    <w:rsid w:val="723A2FAE"/>
    <w:rsid w:val="72476FC9"/>
    <w:rsid w:val="724A0DB7"/>
    <w:rsid w:val="725F3FC5"/>
    <w:rsid w:val="726D6FD7"/>
    <w:rsid w:val="7274175D"/>
    <w:rsid w:val="727D4077"/>
    <w:rsid w:val="72863AA7"/>
    <w:rsid w:val="728F7ACD"/>
    <w:rsid w:val="72943159"/>
    <w:rsid w:val="72953AF1"/>
    <w:rsid w:val="72971D67"/>
    <w:rsid w:val="72A51ACA"/>
    <w:rsid w:val="72A86060"/>
    <w:rsid w:val="72AC3063"/>
    <w:rsid w:val="72AF28A7"/>
    <w:rsid w:val="72AF5494"/>
    <w:rsid w:val="72B20521"/>
    <w:rsid w:val="72B42B0B"/>
    <w:rsid w:val="72B53D34"/>
    <w:rsid w:val="72B80B69"/>
    <w:rsid w:val="72BA7F87"/>
    <w:rsid w:val="72BB7BCC"/>
    <w:rsid w:val="72C32414"/>
    <w:rsid w:val="72C400B2"/>
    <w:rsid w:val="72C4162D"/>
    <w:rsid w:val="72C805DB"/>
    <w:rsid w:val="72C97191"/>
    <w:rsid w:val="72D21A88"/>
    <w:rsid w:val="72DC7380"/>
    <w:rsid w:val="72DE30C9"/>
    <w:rsid w:val="72E328D4"/>
    <w:rsid w:val="72E43F2E"/>
    <w:rsid w:val="72F124C3"/>
    <w:rsid w:val="72F2109D"/>
    <w:rsid w:val="72F72AC0"/>
    <w:rsid w:val="73150018"/>
    <w:rsid w:val="73150AFC"/>
    <w:rsid w:val="731F0AA8"/>
    <w:rsid w:val="731F472C"/>
    <w:rsid w:val="73225980"/>
    <w:rsid w:val="732820FD"/>
    <w:rsid w:val="73340C51"/>
    <w:rsid w:val="733A7FE1"/>
    <w:rsid w:val="734A505B"/>
    <w:rsid w:val="734C1455"/>
    <w:rsid w:val="734C70EE"/>
    <w:rsid w:val="734D142F"/>
    <w:rsid w:val="73515805"/>
    <w:rsid w:val="73573E91"/>
    <w:rsid w:val="73594EEF"/>
    <w:rsid w:val="735A4CBC"/>
    <w:rsid w:val="73634DA1"/>
    <w:rsid w:val="73691C33"/>
    <w:rsid w:val="7372228E"/>
    <w:rsid w:val="7373536B"/>
    <w:rsid w:val="73770563"/>
    <w:rsid w:val="73795531"/>
    <w:rsid w:val="737D37CC"/>
    <w:rsid w:val="73855D77"/>
    <w:rsid w:val="73880A33"/>
    <w:rsid w:val="738A1640"/>
    <w:rsid w:val="738A1837"/>
    <w:rsid w:val="738C4998"/>
    <w:rsid w:val="739051CC"/>
    <w:rsid w:val="739927FB"/>
    <w:rsid w:val="73A23D3A"/>
    <w:rsid w:val="73A24FAD"/>
    <w:rsid w:val="73A51EE2"/>
    <w:rsid w:val="73AA47FB"/>
    <w:rsid w:val="73AD7669"/>
    <w:rsid w:val="73AF1DC1"/>
    <w:rsid w:val="73B04BCD"/>
    <w:rsid w:val="73B65D64"/>
    <w:rsid w:val="73B74401"/>
    <w:rsid w:val="73B80562"/>
    <w:rsid w:val="73BC2AB0"/>
    <w:rsid w:val="73BC476F"/>
    <w:rsid w:val="73D14BBF"/>
    <w:rsid w:val="73D934DE"/>
    <w:rsid w:val="73DB0C0A"/>
    <w:rsid w:val="73E26224"/>
    <w:rsid w:val="73E26FB6"/>
    <w:rsid w:val="73EA21A3"/>
    <w:rsid w:val="73EC4687"/>
    <w:rsid w:val="73F73481"/>
    <w:rsid w:val="73F96A3B"/>
    <w:rsid w:val="73FD0584"/>
    <w:rsid w:val="740F26E9"/>
    <w:rsid w:val="74104EB2"/>
    <w:rsid w:val="74126BC0"/>
    <w:rsid w:val="74150779"/>
    <w:rsid w:val="741F34C6"/>
    <w:rsid w:val="74266D5E"/>
    <w:rsid w:val="74273790"/>
    <w:rsid w:val="743304F6"/>
    <w:rsid w:val="743A09CB"/>
    <w:rsid w:val="743C233A"/>
    <w:rsid w:val="743D0E94"/>
    <w:rsid w:val="743F310C"/>
    <w:rsid w:val="74432E49"/>
    <w:rsid w:val="744347A4"/>
    <w:rsid w:val="74466428"/>
    <w:rsid w:val="74494C94"/>
    <w:rsid w:val="74495482"/>
    <w:rsid w:val="744D309E"/>
    <w:rsid w:val="74520322"/>
    <w:rsid w:val="74591142"/>
    <w:rsid w:val="745C0418"/>
    <w:rsid w:val="745C1017"/>
    <w:rsid w:val="745C2583"/>
    <w:rsid w:val="746022ED"/>
    <w:rsid w:val="746166C8"/>
    <w:rsid w:val="746A3597"/>
    <w:rsid w:val="747A49D3"/>
    <w:rsid w:val="747B47C1"/>
    <w:rsid w:val="747B6FB9"/>
    <w:rsid w:val="7482415F"/>
    <w:rsid w:val="748969B2"/>
    <w:rsid w:val="7492222E"/>
    <w:rsid w:val="749C6BDB"/>
    <w:rsid w:val="749F4C63"/>
    <w:rsid w:val="74A76C06"/>
    <w:rsid w:val="74C064B4"/>
    <w:rsid w:val="74C11875"/>
    <w:rsid w:val="74C177D1"/>
    <w:rsid w:val="74C74622"/>
    <w:rsid w:val="74D329FB"/>
    <w:rsid w:val="74D57736"/>
    <w:rsid w:val="74D7200A"/>
    <w:rsid w:val="74D76582"/>
    <w:rsid w:val="74E30911"/>
    <w:rsid w:val="74E41769"/>
    <w:rsid w:val="74E750F1"/>
    <w:rsid w:val="74EE03E0"/>
    <w:rsid w:val="74F219DB"/>
    <w:rsid w:val="74F37436"/>
    <w:rsid w:val="74F856DB"/>
    <w:rsid w:val="74FA0A16"/>
    <w:rsid w:val="74FD6AF9"/>
    <w:rsid w:val="750053AF"/>
    <w:rsid w:val="750704ED"/>
    <w:rsid w:val="75097B16"/>
    <w:rsid w:val="750C6A6D"/>
    <w:rsid w:val="7514582F"/>
    <w:rsid w:val="751731ED"/>
    <w:rsid w:val="75175511"/>
    <w:rsid w:val="751F23F8"/>
    <w:rsid w:val="75207767"/>
    <w:rsid w:val="752A673E"/>
    <w:rsid w:val="752D65E2"/>
    <w:rsid w:val="75360FB0"/>
    <w:rsid w:val="753C2A26"/>
    <w:rsid w:val="753F0EC9"/>
    <w:rsid w:val="75411BFF"/>
    <w:rsid w:val="7542237B"/>
    <w:rsid w:val="754B359F"/>
    <w:rsid w:val="75530E51"/>
    <w:rsid w:val="755334CE"/>
    <w:rsid w:val="755F52D0"/>
    <w:rsid w:val="756B281C"/>
    <w:rsid w:val="756C77A6"/>
    <w:rsid w:val="756F644C"/>
    <w:rsid w:val="757956AE"/>
    <w:rsid w:val="757D1149"/>
    <w:rsid w:val="75877662"/>
    <w:rsid w:val="75905815"/>
    <w:rsid w:val="75971833"/>
    <w:rsid w:val="75AC0D2B"/>
    <w:rsid w:val="75B2655C"/>
    <w:rsid w:val="75B269D0"/>
    <w:rsid w:val="75B66339"/>
    <w:rsid w:val="75BC08E5"/>
    <w:rsid w:val="75C24F30"/>
    <w:rsid w:val="75C97A4F"/>
    <w:rsid w:val="75CA6FC2"/>
    <w:rsid w:val="75D0102D"/>
    <w:rsid w:val="75D54AA5"/>
    <w:rsid w:val="75D72FE8"/>
    <w:rsid w:val="75D9071B"/>
    <w:rsid w:val="75DA0B91"/>
    <w:rsid w:val="75DD11C7"/>
    <w:rsid w:val="75E4324C"/>
    <w:rsid w:val="75FD2E26"/>
    <w:rsid w:val="75FE1C7F"/>
    <w:rsid w:val="7608238C"/>
    <w:rsid w:val="76094850"/>
    <w:rsid w:val="760B4156"/>
    <w:rsid w:val="760B7B05"/>
    <w:rsid w:val="760D6065"/>
    <w:rsid w:val="760D6311"/>
    <w:rsid w:val="76133266"/>
    <w:rsid w:val="76146140"/>
    <w:rsid w:val="761E11E9"/>
    <w:rsid w:val="76253C6E"/>
    <w:rsid w:val="762773F9"/>
    <w:rsid w:val="762A6911"/>
    <w:rsid w:val="762B2034"/>
    <w:rsid w:val="762B7BC5"/>
    <w:rsid w:val="762D7A78"/>
    <w:rsid w:val="762E37CF"/>
    <w:rsid w:val="76370767"/>
    <w:rsid w:val="76386FA7"/>
    <w:rsid w:val="763B05AA"/>
    <w:rsid w:val="763C6686"/>
    <w:rsid w:val="763E051E"/>
    <w:rsid w:val="764A13AC"/>
    <w:rsid w:val="76504B2A"/>
    <w:rsid w:val="76515480"/>
    <w:rsid w:val="76574C18"/>
    <w:rsid w:val="76577E25"/>
    <w:rsid w:val="7662223A"/>
    <w:rsid w:val="766230F1"/>
    <w:rsid w:val="76697971"/>
    <w:rsid w:val="76742690"/>
    <w:rsid w:val="767A6AA8"/>
    <w:rsid w:val="767D65DB"/>
    <w:rsid w:val="76884579"/>
    <w:rsid w:val="768D6682"/>
    <w:rsid w:val="7697620C"/>
    <w:rsid w:val="76990ED1"/>
    <w:rsid w:val="769B21E7"/>
    <w:rsid w:val="769B5020"/>
    <w:rsid w:val="76AD0C6B"/>
    <w:rsid w:val="76B06C4E"/>
    <w:rsid w:val="76C051A9"/>
    <w:rsid w:val="76C34E0E"/>
    <w:rsid w:val="76C81D35"/>
    <w:rsid w:val="76CB270C"/>
    <w:rsid w:val="76CC7D32"/>
    <w:rsid w:val="76D64DBB"/>
    <w:rsid w:val="76DB3C07"/>
    <w:rsid w:val="76E00191"/>
    <w:rsid w:val="76ED2800"/>
    <w:rsid w:val="76F529B8"/>
    <w:rsid w:val="770E3161"/>
    <w:rsid w:val="773310E3"/>
    <w:rsid w:val="77344E9D"/>
    <w:rsid w:val="77493922"/>
    <w:rsid w:val="77511B2F"/>
    <w:rsid w:val="77545759"/>
    <w:rsid w:val="775C652E"/>
    <w:rsid w:val="775D1E86"/>
    <w:rsid w:val="775E6C46"/>
    <w:rsid w:val="77674E00"/>
    <w:rsid w:val="776B358A"/>
    <w:rsid w:val="77732A69"/>
    <w:rsid w:val="777379AB"/>
    <w:rsid w:val="777929C9"/>
    <w:rsid w:val="777934D0"/>
    <w:rsid w:val="778545A4"/>
    <w:rsid w:val="77880A07"/>
    <w:rsid w:val="77880CD0"/>
    <w:rsid w:val="77885880"/>
    <w:rsid w:val="778D382F"/>
    <w:rsid w:val="779043E2"/>
    <w:rsid w:val="779150B9"/>
    <w:rsid w:val="77981D0C"/>
    <w:rsid w:val="77992335"/>
    <w:rsid w:val="779D7FD8"/>
    <w:rsid w:val="77A67511"/>
    <w:rsid w:val="77B203F2"/>
    <w:rsid w:val="77B23ECE"/>
    <w:rsid w:val="77B34168"/>
    <w:rsid w:val="77B853CE"/>
    <w:rsid w:val="77BE1E71"/>
    <w:rsid w:val="77C36C3C"/>
    <w:rsid w:val="77C947D0"/>
    <w:rsid w:val="77CA1EBC"/>
    <w:rsid w:val="77CB0788"/>
    <w:rsid w:val="77D24250"/>
    <w:rsid w:val="77D42406"/>
    <w:rsid w:val="77DB6F08"/>
    <w:rsid w:val="77DF0EAD"/>
    <w:rsid w:val="77ED050F"/>
    <w:rsid w:val="77F35A3B"/>
    <w:rsid w:val="77FC45E3"/>
    <w:rsid w:val="78067BF4"/>
    <w:rsid w:val="780D49C2"/>
    <w:rsid w:val="78102276"/>
    <w:rsid w:val="78164B46"/>
    <w:rsid w:val="781B6834"/>
    <w:rsid w:val="78263297"/>
    <w:rsid w:val="7832524F"/>
    <w:rsid w:val="78420B23"/>
    <w:rsid w:val="784D556E"/>
    <w:rsid w:val="784E76DC"/>
    <w:rsid w:val="784F6C6D"/>
    <w:rsid w:val="78601FAC"/>
    <w:rsid w:val="786A010A"/>
    <w:rsid w:val="786B4485"/>
    <w:rsid w:val="787207CE"/>
    <w:rsid w:val="7878605C"/>
    <w:rsid w:val="78790DD8"/>
    <w:rsid w:val="787C42DD"/>
    <w:rsid w:val="78881919"/>
    <w:rsid w:val="788A5451"/>
    <w:rsid w:val="78970B5C"/>
    <w:rsid w:val="789B65F7"/>
    <w:rsid w:val="789D4FA3"/>
    <w:rsid w:val="78A31051"/>
    <w:rsid w:val="78A504C8"/>
    <w:rsid w:val="78A531FA"/>
    <w:rsid w:val="78B13B0E"/>
    <w:rsid w:val="78B8775D"/>
    <w:rsid w:val="78C84750"/>
    <w:rsid w:val="78CC045C"/>
    <w:rsid w:val="78CC1BBB"/>
    <w:rsid w:val="78D63FA4"/>
    <w:rsid w:val="78DA2088"/>
    <w:rsid w:val="78DC3DC2"/>
    <w:rsid w:val="78DF77D5"/>
    <w:rsid w:val="78E656E7"/>
    <w:rsid w:val="78E75646"/>
    <w:rsid w:val="78EB5EFD"/>
    <w:rsid w:val="78ED5FD0"/>
    <w:rsid w:val="78F43600"/>
    <w:rsid w:val="78F8672E"/>
    <w:rsid w:val="78FC3171"/>
    <w:rsid w:val="79062161"/>
    <w:rsid w:val="790F252D"/>
    <w:rsid w:val="7915037B"/>
    <w:rsid w:val="79162D4D"/>
    <w:rsid w:val="792A71B0"/>
    <w:rsid w:val="792D38DD"/>
    <w:rsid w:val="793264AD"/>
    <w:rsid w:val="793C27D0"/>
    <w:rsid w:val="793F50FD"/>
    <w:rsid w:val="79441AD8"/>
    <w:rsid w:val="79457AEC"/>
    <w:rsid w:val="79481F08"/>
    <w:rsid w:val="79496D88"/>
    <w:rsid w:val="794C1DA6"/>
    <w:rsid w:val="795165F5"/>
    <w:rsid w:val="7955306E"/>
    <w:rsid w:val="7958705D"/>
    <w:rsid w:val="795874B4"/>
    <w:rsid w:val="795A0A1C"/>
    <w:rsid w:val="795A50F7"/>
    <w:rsid w:val="795A748D"/>
    <w:rsid w:val="795F2BDC"/>
    <w:rsid w:val="7961710C"/>
    <w:rsid w:val="796226B7"/>
    <w:rsid w:val="796353FD"/>
    <w:rsid w:val="79677BB8"/>
    <w:rsid w:val="796C2588"/>
    <w:rsid w:val="796E440F"/>
    <w:rsid w:val="79721E6F"/>
    <w:rsid w:val="79724F7D"/>
    <w:rsid w:val="7983035D"/>
    <w:rsid w:val="798736BF"/>
    <w:rsid w:val="798813F5"/>
    <w:rsid w:val="798D7A55"/>
    <w:rsid w:val="799747B9"/>
    <w:rsid w:val="799C5797"/>
    <w:rsid w:val="79A0233B"/>
    <w:rsid w:val="79A156EC"/>
    <w:rsid w:val="79AB5F9C"/>
    <w:rsid w:val="79AE532D"/>
    <w:rsid w:val="79AF1CE3"/>
    <w:rsid w:val="79B44348"/>
    <w:rsid w:val="79B54A1C"/>
    <w:rsid w:val="79B95BC9"/>
    <w:rsid w:val="79C32FEF"/>
    <w:rsid w:val="79C379F9"/>
    <w:rsid w:val="79D30053"/>
    <w:rsid w:val="79DD4E28"/>
    <w:rsid w:val="79DE7C8F"/>
    <w:rsid w:val="79E11BB0"/>
    <w:rsid w:val="79E36BB6"/>
    <w:rsid w:val="79E52441"/>
    <w:rsid w:val="79ED046B"/>
    <w:rsid w:val="79F27898"/>
    <w:rsid w:val="79F44E1F"/>
    <w:rsid w:val="7A042CD9"/>
    <w:rsid w:val="7A050E0B"/>
    <w:rsid w:val="7A0516E2"/>
    <w:rsid w:val="7A13345A"/>
    <w:rsid w:val="7A136E37"/>
    <w:rsid w:val="7A2013FC"/>
    <w:rsid w:val="7A215327"/>
    <w:rsid w:val="7A293534"/>
    <w:rsid w:val="7A314E83"/>
    <w:rsid w:val="7A33557C"/>
    <w:rsid w:val="7A356A32"/>
    <w:rsid w:val="7A3643BA"/>
    <w:rsid w:val="7A371718"/>
    <w:rsid w:val="7A380C3F"/>
    <w:rsid w:val="7A3B7287"/>
    <w:rsid w:val="7A495610"/>
    <w:rsid w:val="7A4C0DA0"/>
    <w:rsid w:val="7A576A80"/>
    <w:rsid w:val="7A5C7ABE"/>
    <w:rsid w:val="7A601CB0"/>
    <w:rsid w:val="7A671E2B"/>
    <w:rsid w:val="7A6840CE"/>
    <w:rsid w:val="7A7F4BEA"/>
    <w:rsid w:val="7A894151"/>
    <w:rsid w:val="7A975B0F"/>
    <w:rsid w:val="7AA13499"/>
    <w:rsid w:val="7AA3019F"/>
    <w:rsid w:val="7AA9318C"/>
    <w:rsid w:val="7AB979C0"/>
    <w:rsid w:val="7ABD6E5B"/>
    <w:rsid w:val="7AC0723D"/>
    <w:rsid w:val="7AC0753C"/>
    <w:rsid w:val="7AC330B7"/>
    <w:rsid w:val="7ACC2256"/>
    <w:rsid w:val="7ACE7B72"/>
    <w:rsid w:val="7ADA627D"/>
    <w:rsid w:val="7ADB19DB"/>
    <w:rsid w:val="7ADC193F"/>
    <w:rsid w:val="7AE832A5"/>
    <w:rsid w:val="7AF26AFD"/>
    <w:rsid w:val="7B036EB4"/>
    <w:rsid w:val="7B04326A"/>
    <w:rsid w:val="7B0D3C52"/>
    <w:rsid w:val="7B104866"/>
    <w:rsid w:val="7B14039D"/>
    <w:rsid w:val="7B1810CF"/>
    <w:rsid w:val="7B2A6F49"/>
    <w:rsid w:val="7B2C61C2"/>
    <w:rsid w:val="7B2E353D"/>
    <w:rsid w:val="7B334754"/>
    <w:rsid w:val="7B390BF2"/>
    <w:rsid w:val="7B3958D8"/>
    <w:rsid w:val="7B3E48CE"/>
    <w:rsid w:val="7B4162C7"/>
    <w:rsid w:val="7B4C7AD1"/>
    <w:rsid w:val="7B4E202E"/>
    <w:rsid w:val="7B500604"/>
    <w:rsid w:val="7B534E2D"/>
    <w:rsid w:val="7B566948"/>
    <w:rsid w:val="7B664EBA"/>
    <w:rsid w:val="7B683189"/>
    <w:rsid w:val="7B6A1815"/>
    <w:rsid w:val="7B720C3F"/>
    <w:rsid w:val="7B794213"/>
    <w:rsid w:val="7B7B1B1C"/>
    <w:rsid w:val="7B80028F"/>
    <w:rsid w:val="7B910339"/>
    <w:rsid w:val="7B9608A6"/>
    <w:rsid w:val="7B98535A"/>
    <w:rsid w:val="7BAA5C6C"/>
    <w:rsid w:val="7BAE48FC"/>
    <w:rsid w:val="7BB267FD"/>
    <w:rsid w:val="7BB47794"/>
    <w:rsid w:val="7BB83DF8"/>
    <w:rsid w:val="7BBA2E35"/>
    <w:rsid w:val="7BBC4CEB"/>
    <w:rsid w:val="7BBD6668"/>
    <w:rsid w:val="7BC00135"/>
    <w:rsid w:val="7BC4644F"/>
    <w:rsid w:val="7BC678CD"/>
    <w:rsid w:val="7BC76B4E"/>
    <w:rsid w:val="7BCC163B"/>
    <w:rsid w:val="7BD015C9"/>
    <w:rsid w:val="7BD06E0B"/>
    <w:rsid w:val="7BE0388D"/>
    <w:rsid w:val="7BE57D93"/>
    <w:rsid w:val="7BE66796"/>
    <w:rsid w:val="7BEB42B2"/>
    <w:rsid w:val="7BEC5887"/>
    <w:rsid w:val="7BFF4559"/>
    <w:rsid w:val="7C072615"/>
    <w:rsid w:val="7C0827FE"/>
    <w:rsid w:val="7C1024D5"/>
    <w:rsid w:val="7C110D86"/>
    <w:rsid w:val="7C1A756B"/>
    <w:rsid w:val="7C1B1028"/>
    <w:rsid w:val="7C226546"/>
    <w:rsid w:val="7C2321EE"/>
    <w:rsid w:val="7C27638A"/>
    <w:rsid w:val="7C2B2034"/>
    <w:rsid w:val="7C2D4906"/>
    <w:rsid w:val="7C2F354F"/>
    <w:rsid w:val="7C3043FE"/>
    <w:rsid w:val="7C395682"/>
    <w:rsid w:val="7C4B7AF2"/>
    <w:rsid w:val="7C4F607B"/>
    <w:rsid w:val="7C530360"/>
    <w:rsid w:val="7C583982"/>
    <w:rsid w:val="7C591C2A"/>
    <w:rsid w:val="7C5D29FA"/>
    <w:rsid w:val="7C6048EB"/>
    <w:rsid w:val="7C6812C7"/>
    <w:rsid w:val="7C7D0B32"/>
    <w:rsid w:val="7C7F643E"/>
    <w:rsid w:val="7C862E2E"/>
    <w:rsid w:val="7C8C5EFB"/>
    <w:rsid w:val="7C941196"/>
    <w:rsid w:val="7C9F1048"/>
    <w:rsid w:val="7CA31AB6"/>
    <w:rsid w:val="7CA4518D"/>
    <w:rsid w:val="7CAA5140"/>
    <w:rsid w:val="7CAF552B"/>
    <w:rsid w:val="7CB11CD3"/>
    <w:rsid w:val="7CBE5D37"/>
    <w:rsid w:val="7CC620FB"/>
    <w:rsid w:val="7CCD69E1"/>
    <w:rsid w:val="7CD17149"/>
    <w:rsid w:val="7CD730F8"/>
    <w:rsid w:val="7CE94CC7"/>
    <w:rsid w:val="7CF83CD0"/>
    <w:rsid w:val="7CFD2609"/>
    <w:rsid w:val="7D027F2A"/>
    <w:rsid w:val="7D061726"/>
    <w:rsid w:val="7D074804"/>
    <w:rsid w:val="7D0A1A32"/>
    <w:rsid w:val="7D0C1069"/>
    <w:rsid w:val="7D0E3B6C"/>
    <w:rsid w:val="7D0E4B5B"/>
    <w:rsid w:val="7D103C64"/>
    <w:rsid w:val="7D1D6CEB"/>
    <w:rsid w:val="7D20687F"/>
    <w:rsid w:val="7D264C50"/>
    <w:rsid w:val="7D2C2F03"/>
    <w:rsid w:val="7D33504E"/>
    <w:rsid w:val="7D362C54"/>
    <w:rsid w:val="7D3C08AA"/>
    <w:rsid w:val="7D456190"/>
    <w:rsid w:val="7D4928DE"/>
    <w:rsid w:val="7D4C641E"/>
    <w:rsid w:val="7D53387A"/>
    <w:rsid w:val="7D5C493C"/>
    <w:rsid w:val="7D5E0C6A"/>
    <w:rsid w:val="7D605D70"/>
    <w:rsid w:val="7D635300"/>
    <w:rsid w:val="7D654C78"/>
    <w:rsid w:val="7D77335B"/>
    <w:rsid w:val="7D7B1A43"/>
    <w:rsid w:val="7D914060"/>
    <w:rsid w:val="7DA92C0A"/>
    <w:rsid w:val="7DA97DDD"/>
    <w:rsid w:val="7DAD053D"/>
    <w:rsid w:val="7DAE540F"/>
    <w:rsid w:val="7DB07FBB"/>
    <w:rsid w:val="7DB4368B"/>
    <w:rsid w:val="7DBA647B"/>
    <w:rsid w:val="7DBB157D"/>
    <w:rsid w:val="7DBC7CD9"/>
    <w:rsid w:val="7DBE4BFA"/>
    <w:rsid w:val="7DBF6626"/>
    <w:rsid w:val="7DC05D62"/>
    <w:rsid w:val="7DC64DD5"/>
    <w:rsid w:val="7DC77519"/>
    <w:rsid w:val="7DE07F17"/>
    <w:rsid w:val="7DE23B93"/>
    <w:rsid w:val="7DE72E62"/>
    <w:rsid w:val="7DE75C09"/>
    <w:rsid w:val="7DEA41A0"/>
    <w:rsid w:val="7DF16C5F"/>
    <w:rsid w:val="7DF5241B"/>
    <w:rsid w:val="7DF5469E"/>
    <w:rsid w:val="7DF7247F"/>
    <w:rsid w:val="7E08116D"/>
    <w:rsid w:val="7E1725A6"/>
    <w:rsid w:val="7E1F2DD5"/>
    <w:rsid w:val="7E20473E"/>
    <w:rsid w:val="7E243046"/>
    <w:rsid w:val="7E352961"/>
    <w:rsid w:val="7E4313B6"/>
    <w:rsid w:val="7E432E4B"/>
    <w:rsid w:val="7E480690"/>
    <w:rsid w:val="7E4936E0"/>
    <w:rsid w:val="7E584976"/>
    <w:rsid w:val="7E69685C"/>
    <w:rsid w:val="7E7F420C"/>
    <w:rsid w:val="7E804FCB"/>
    <w:rsid w:val="7E833E34"/>
    <w:rsid w:val="7E88494F"/>
    <w:rsid w:val="7E8B2066"/>
    <w:rsid w:val="7E8E42BF"/>
    <w:rsid w:val="7E9032A4"/>
    <w:rsid w:val="7E914FE5"/>
    <w:rsid w:val="7E9212CE"/>
    <w:rsid w:val="7E950AD5"/>
    <w:rsid w:val="7E971EEC"/>
    <w:rsid w:val="7E9F62B8"/>
    <w:rsid w:val="7EB540EC"/>
    <w:rsid w:val="7EB87BC5"/>
    <w:rsid w:val="7ED338B1"/>
    <w:rsid w:val="7ED44CBA"/>
    <w:rsid w:val="7ED44F77"/>
    <w:rsid w:val="7ED544B5"/>
    <w:rsid w:val="7EDB49B6"/>
    <w:rsid w:val="7EE232F5"/>
    <w:rsid w:val="7EE24BC3"/>
    <w:rsid w:val="7EF15D28"/>
    <w:rsid w:val="7EF249D0"/>
    <w:rsid w:val="7EF651E7"/>
    <w:rsid w:val="7F0B65FD"/>
    <w:rsid w:val="7F0D0F48"/>
    <w:rsid w:val="7F1B5E8E"/>
    <w:rsid w:val="7F2E4552"/>
    <w:rsid w:val="7F3A609B"/>
    <w:rsid w:val="7F462997"/>
    <w:rsid w:val="7F5117A9"/>
    <w:rsid w:val="7F5D4DA0"/>
    <w:rsid w:val="7F64664B"/>
    <w:rsid w:val="7F687CB7"/>
    <w:rsid w:val="7F6B7D7D"/>
    <w:rsid w:val="7F6E4313"/>
    <w:rsid w:val="7F7119F3"/>
    <w:rsid w:val="7F771FB9"/>
    <w:rsid w:val="7F786EE5"/>
    <w:rsid w:val="7F80282F"/>
    <w:rsid w:val="7F8404D1"/>
    <w:rsid w:val="7F853AB6"/>
    <w:rsid w:val="7F8D4C51"/>
    <w:rsid w:val="7F8F43FC"/>
    <w:rsid w:val="7F9D2957"/>
    <w:rsid w:val="7FA23687"/>
    <w:rsid w:val="7FA37F21"/>
    <w:rsid w:val="7FA60AA9"/>
    <w:rsid w:val="7FA70C17"/>
    <w:rsid w:val="7FA71F3A"/>
    <w:rsid w:val="7FB35629"/>
    <w:rsid w:val="7FBF2A37"/>
    <w:rsid w:val="7FC379A1"/>
    <w:rsid w:val="7FC638A9"/>
    <w:rsid w:val="7FCB755C"/>
    <w:rsid w:val="7FCC02AE"/>
    <w:rsid w:val="7FD078E1"/>
    <w:rsid w:val="7FD663AD"/>
    <w:rsid w:val="7FE15B6A"/>
    <w:rsid w:val="7FE809EA"/>
    <w:rsid w:val="7FEE2D61"/>
    <w:rsid w:val="7FF07C1F"/>
    <w:rsid w:val="7FF524C2"/>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outlineLvl w:val="0"/>
    </w:pPr>
    <w:rPr>
      <w:b/>
      <w:kern w:val="44"/>
      <w:sz w:val="44"/>
    </w:rPr>
  </w:style>
  <w:style w:type="paragraph" w:styleId="4">
    <w:name w:val="heading 2"/>
    <w:basedOn w:val="1"/>
    <w:next w:val="1"/>
    <w:link w:val="43"/>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outlineLvl w:val="2"/>
    </w:pPr>
    <w:rPr>
      <w:rFonts w:hint="eastAsia"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7">
    <w:name w:val="heading 7"/>
    <w:basedOn w:val="1"/>
    <w:next w:val="1"/>
    <w:semiHidden/>
    <w:unhideWhenUsed/>
    <w:qFormat/>
    <w:uiPriority w:val="0"/>
    <w:pPr>
      <w:keepNext/>
      <w:keepLines/>
      <w:numPr>
        <w:ilvl w:val="6"/>
        <w:numId w:val="1"/>
      </w:numPr>
      <w:spacing w:before="240" w:after="64" w:line="317" w:lineRule="auto"/>
      <w:outlineLvl w:val="6"/>
    </w:pPr>
    <w:rPr>
      <w:b/>
    </w:rPr>
  </w:style>
  <w:style w:type="paragraph" w:styleId="8">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9">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rPr>
  </w:style>
  <w:style w:type="paragraph" w:styleId="10">
    <w:name w:val="Normal Indent"/>
    <w:basedOn w:val="1"/>
    <w:qFormat/>
    <w:uiPriority w:val="0"/>
    <w:pPr>
      <w:ind w:firstLine="420" w:firstLineChars="200"/>
    </w:pPr>
    <w:rPr>
      <w:rFonts w:ascii="Times New Roman" w:hAnsi="Times New Roman"/>
    </w:rPr>
  </w:style>
  <w:style w:type="paragraph" w:styleId="11">
    <w:name w:val="annotation text"/>
    <w:basedOn w:val="1"/>
    <w:link w:val="80"/>
    <w:qFormat/>
    <w:uiPriority w:val="0"/>
  </w:style>
  <w:style w:type="paragraph" w:styleId="12">
    <w:name w:val="Body Text Indent"/>
    <w:basedOn w:val="1"/>
    <w:qFormat/>
    <w:uiPriority w:val="0"/>
    <w:pPr>
      <w:ind w:firstLine="538" w:firstLineChars="168"/>
    </w:pPr>
    <w:rPr>
      <w:rFonts w:ascii="仿宋_GB2312" w:eastAsia="仿宋_GB2312"/>
      <w:sz w:val="32"/>
    </w:rPr>
  </w:style>
  <w:style w:type="paragraph" w:styleId="13">
    <w:name w:val="toc 3"/>
    <w:basedOn w:val="1"/>
    <w:next w:val="1"/>
    <w:qFormat/>
    <w:uiPriority w:val="0"/>
    <w:pPr>
      <w:wordWrap w:val="0"/>
      <w:topLinePunct/>
      <w:spacing w:line="400" w:lineRule="exact"/>
      <w:ind w:left="840" w:leftChars="400"/>
    </w:pPr>
    <w:rPr>
      <w:sz w:val="21"/>
    </w:rPr>
  </w:style>
  <w:style w:type="paragraph" w:styleId="14">
    <w:name w:val="Balloon Text"/>
    <w:basedOn w:val="1"/>
    <w:link w:val="79"/>
    <w:qFormat/>
    <w:uiPriority w:val="0"/>
    <w:pPr>
      <w:spacing w:line="240" w:lineRule="auto"/>
    </w:pPr>
    <w:rPr>
      <w:sz w:val="18"/>
      <w:szCs w:val="18"/>
    </w:rPr>
  </w:style>
  <w:style w:type="paragraph" w:styleId="15">
    <w:name w:val="footer"/>
    <w:basedOn w:val="1"/>
    <w:link w:val="42"/>
    <w:qFormat/>
    <w:uiPriority w:val="0"/>
    <w:pPr>
      <w:spacing w:line="240" w:lineRule="auto"/>
    </w:pPr>
    <w:rPr>
      <w:sz w:val="18"/>
      <w:szCs w:val="18"/>
    </w:rPr>
  </w:style>
  <w:style w:type="paragraph" w:styleId="16">
    <w:name w:val="header"/>
    <w:basedOn w:val="1"/>
    <w:link w:val="41"/>
    <w:qFormat/>
    <w:uiPriority w:val="0"/>
    <w:pPr>
      <w:pBdr>
        <w:bottom w:val="single" w:color="auto" w:sz="6" w:space="1"/>
      </w:pBdr>
      <w:wordWrap w:val="0"/>
      <w:topLinePunct/>
      <w:spacing w:line="240" w:lineRule="auto"/>
      <w:jc w:val="center"/>
    </w:pPr>
    <w:rPr>
      <w:sz w:val="18"/>
      <w:szCs w:val="18"/>
    </w:rPr>
  </w:style>
  <w:style w:type="paragraph" w:styleId="17">
    <w:name w:val="toc 1"/>
    <w:basedOn w:val="1"/>
    <w:next w:val="1"/>
    <w:qFormat/>
    <w:uiPriority w:val="0"/>
    <w:pPr>
      <w:tabs>
        <w:tab w:val="right" w:leader="dot" w:pos="0"/>
        <w:tab w:val="right" w:leader="dot" w:pos="9746"/>
      </w:tabs>
      <w:wordWrap w:val="0"/>
      <w:topLinePunct/>
      <w:spacing w:line="400" w:lineRule="exact"/>
    </w:pPr>
    <w:rPr>
      <w:sz w:val="21"/>
    </w:rPr>
  </w:style>
  <w:style w:type="paragraph" w:styleId="18">
    <w:name w:val="toc 2"/>
    <w:basedOn w:val="1"/>
    <w:next w:val="1"/>
    <w:qFormat/>
    <w:uiPriority w:val="0"/>
    <w:pPr>
      <w:wordWrap w:val="0"/>
      <w:topLinePunct/>
      <w:spacing w:line="400" w:lineRule="exact"/>
      <w:ind w:left="420" w:leftChars="200"/>
    </w:pPr>
    <w:rPr>
      <w:sz w:val="21"/>
    </w:rPr>
  </w:style>
  <w:style w:type="paragraph" w:styleId="19">
    <w:name w:val="Body Text 2"/>
    <w:basedOn w:val="1"/>
    <w:qFormat/>
    <w:uiPriority w:val="0"/>
    <w:pPr>
      <w:spacing w:after="120" w:line="480" w:lineRule="auto"/>
    </w:pPr>
  </w:style>
  <w:style w:type="paragraph" w:styleId="20">
    <w:name w:val="Normal (Web)"/>
    <w:basedOn w:val="1"/>
    <w:qFormat/>
    <w:uiPriority w:val="0"/>
    <w:pPr>
      <w:spacing w:beforeAutospacing="1" w:afterAutospacing="1"/>
    </w:pPr>
    <w:rPr>
      <w:rFonts w:cs="Times New Roman"/>
      <w:kern w:val="0"/>
    </w:rPr>
  </w:style>
  <w:style w:type="paragraph" w:styleId="21">
    <w:name w:val="annotation subject"/>
    <w:basedOn w:val="11"/>
    <w:next w:val="11"/>
    <w:link w:val="81"/>
    <w:qFormat/>
    <w:uiPriority w:val="0"/>
    <w:rPr>
      <w:b/>
      <w:bCs/>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FollowedHyperlink"/>
    <w:basedOn w:val="24"/>
    <w:qFormat/>
    <w:uiPriority w:val="0"/>
    <w:rPr>
      <w:rFonts w:hint="eastAsia" w:ascii="微软雅黑" w:hAnsi="微软雅黑" w:eastAsia="微软雅黑" w:cs="微软雅黑"/>
      <w:color w:val="02396F"/>
      <w:u w:val="single"/>
    </w:rPr>
  </w:style>
  <w:style w:type="character" w:styleId="26">
    <w:name w:val="Emphasis"/>
    <w:basedOn w:val="24"/>
    <w:qFormat/>
    <w:uiPriority w:val="99"/>
  </w:style>
  <w:style w:type="character" w:styleId="27">
    <w:name w:val="Hyperlink"/>
    <w:basedOn w:val="24"/>
    <w:qFormat/>
    <w:uiPriority w:val="0"/>
    <w:rPr>
      <w:color w:val="0000FF"/>
      <w:u w:val="single"/>
    </w:rPr>
  </w:style>
  <w:style w:type="character" w:styleId="28">
    <w:name w:val="annotation reference"/>
    <w:basedOn w:val="24"/>
    <w:qFormat/>
    <w:uiPriority w:val="0"/>
    <w:rPr>
      <w:sz w:val="21"/>
      <w:szCs w:val="21"/>
    </w:rPr>
  </w:style>
  <w:style w:type="paragraph" w:customStyle="1" w:styleId="29">
    <w:name w:val="14、“第一章”一级标题"/>
    <w:basedOn w:val="30"/>
    <w:qFormat/>
    <w:uiPriority w:val="0"/>
    <w:pPr>
      <w:numPr>
        <w:ilvl w:val="0"/>
        <w:numId w:val="2"/>
      </w:numPr>
      <w:spacing w:before="50" w:beforeLines="50" w:after="50" w:afterLines="50" w:line="240" w:lineRule="auto"/>
      <w:jc w:val="center"/>
      <w:outlineLvl w:val="0"/>
    </w:pPr>
    <w:rPr>
      <w:b/>
      <w:sz w:val="36"/>
    </w:rPr>
  </w:style>
  <w:style w:type="paragraph" w:customStyle="1" w:styleId="30">
    <w:name w:val="01、普通正文"/>
    <w:basedOn w:val="1"/>
    <w:link w:val="63"/>
    <w:qFormat/>
    <w:uiPriority w:val="0"/>
    <w:pPr>
      <w:wordWrap w:val="0"/>
      <w:topLinePunct/>
    </w:pPr>
    <w:rPr>
      <w:snapToGrid w:val="0"/>
    </w:rPr>
  </w:style>
  <w:style w:type="paragraph" w:customStyle="1" w:styleId="31">
    <w:name w:val="15、“一、”二级标题"/>
    <w:basedOn w:val="1"/>
    <w:qFormat/>
    <w:uiPriority w:val="0"/>
    <w:pPr>
      <w:numPr>
        <w:ilvl w:val="1"/>
        <w:numId w:val="2"/>
      </w:numPr>
      <w:wordWrap w:val="0"/>
      <w:topLinePunct/>
      <w:ind w:firstLine="803" w:firstLineChars="200"/>
      <w:outlineLvl w:val="1"/>
    </w:pPr>
    <w:rPr>
      <w:b/>
    </w:rPr>
  </w:style>
  <w:style w:type="paragraph" w:customStyle="1" w:styleId="32">
    <w:name w:val="16、“(一)”三级标题"/>
    <w:basedOn w:val="30"/>
    <w:link w:val="61"/>
    <w:qFormat/>
    <w:uiPriority w:val="0"/>
    <w:pPr>
      <w:numPr>
        <w:ilvl w:val="2"/>
        <w:numId w:val="2"/>
      </w:numPr>
      <w:ind w:firstLine="803" w:firstLineChars="200"/>
      <w:outlineLvl w:val="2"/>
    </w:pPr>
    <w:rPr>
      <w:b/>
    </w:rPr>
  </w:style>
  <w:style w:type="paragraph" w:customStyle="1" w:styleId="33">
    <w:name w:val="17“1.”四级标题"/>
    <w:basedOn w:val="34"/>
    <w:qFormat/>
    <w:uiPriority w:val="0"/>
    <w:pPr>
      <w:numPr>
        <w:ilvl w:val="3"/>
        <w:numId w:val="2"/>
      </w:numPr>
      <w:ind w:firstLine="803"/>
    </w:pPr>
  </w:style>
  <w:style w:type="paragraph" w:customStyle="1" w:styleId="34">
    <w:name w:val="02、首行缩进2字符正文"/>
    <w:basedOn w:val="1"/>
    <w:link w:val="62"/>
    <w:qFormat/>
    <w:uiPriority w:val="0"/>
    <w:pPr>
      <w:wordWrap w:val="0"/>
      <w:topLinePunct/>
      <w:ind w:firstLine="480" w:firstLineChars="200"/>
    </w:pPr>
  </w:style>
  <w:style w:type="paragraph" w:customStyle="1" w:styleId="35">
    <w:name w:val="18、“1.1”五级标题"/>
    <w:basedOn w:val="33"/>
    <w:qFormat/>
    <w:uiPriority w:val="0"/>
    <w:pPr>
      <w:numPr>
        <w:ilvl w:val="4"/>
      </w:numPr>
      <w:ind w:firstLine="803"/>
    </w:pPr>
  </w:style>
  <w:style w:type="paragraph" w:customStyle="1" w:styleId="36">
    <w:name w:val="19、“(1)”六级标题"/>
    <w:basedOn w:val="33"/>
    <w:qFormat/>
    <w:uiPriority w:val="0"/>
    <w:pPr>
      <w:numPr>
        <w:ilvl w:val="5"/>
      </w:numPr>
      <w:ind w:firstLine="803"/>
    </w:pPr>
  </w:style>
  <w:style w:type="paragraph" w:customStyle="1" w:styleId="37">
    <w:name w:val="样式 标题 2 + Times New Roman 四号 非加粗 段前: 5 磅 段后: 0 磅 行距: 固定值 20..."/>
    <w:basedOn w:val="4"/>
    <w:qFormat/>
    <w:uiPriority w:val="99"/>
    <w:pPr>
      <w:spacing w:before="100" w:line="400" w:lineRule="exact"/>
    </w:pPr>
    <w:rPr>
      <w:rFonts w:ascii="Times New Roman" w:hAnsi="Times New Roman" w:cs="宋体"/>
      <w:b w:val="0"/>
      <w:kern w:val="0"/>
    </w:rPr>
  </w:style>
  <w:style w:type="paragraph" w:customStyle="1" w:styleId="38">
    <w:name w:val="Default"/>
    <w:next w:val="1"/>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9">
    <w:name w:val="标题 5（有编号）（绿盟科技）"/>
    <w:basedOn w:val="1"/>
    <w:next w:val="40"/>
    <w:qFormat/>
    <w:uiPriority w:val="0"/>
    <w:pPr>
      <w:keepNext/>
      <w:keepLines/>
      <w:numPr>
        <w:ilvl w:val="4"/>
        <w:numId w:val="3"/>
      </w:numPr>
      <w:spacing w:before="280" w:after="156" w:line="377" w:lineRule="auto"/>
      <w:outlineLvl w:val="4"/>
    </w:pPr>
    <w:rPr>
      <w:rFonts w:ascii="Arial" w:hAnsi="Arial" w:eastAsia="黑体"/>
      <w:b/>
      <w:kern w:val="0"/>
      <w:szCs w:val="28"/>
    </w:rPr>
  </w:style>
  <w:style w:type="paragraph" w:customStyle="1" w:styleId="40">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1">
    <w:name w:val="页眉 字符"/>
    <w:basedOn w:val="24"/>
    <w:link w:val="16"/>
    <w:qFormat/>
    <w:uiPriority w:val="0"/>
    <w:rPr>
      <w:rFonts w:ascii="宋体" w:hAnsi="宋体" w:eastAsia="宋体" w:cstheme="minorBidi"/>
      <w:kern w:val="2"/>
      <w:sz w:val="18"/>
      <w:szCs w:val="18"/>
    </w:rPr>
  </w:style>
  <w:style w:type="character" w:customStyle="1" w:styleId="42">
    <w:name w:val="页脚 字符"/>
    <w:basedOn w:val="24"/>
    <w:link w:val="15"/>
    <w:qFormat/>
    <w:uiPriority w:val="0"/>
    <w:rPr>
      <w:rFonts w:ascii="宋体" w:hAnsi="宋体" w:eastAsia="宋体" w:cstheme="minorBidi"/>
      <w:kern w:val="2"/>
      <w:sz w:val="18"/>
      <w:szCs w:val="18"/>
    </w:rPr>
  </w:style>
  <w:style w:type="character" w:customStyle="1" w:styleId="43">
    <w:name w:val="标题 2 字符"/>
    <w:basedOn w:val="24"/>
    <w:link w:val="4"/>
    <w:qFormat/>
    <w:uiPriority w:val="0"/>
    <w:rPr>
      <w:rFonts w:ascii="Arial" w:hAnsi="Arial" w:eastAsia="黑体"/>
      <w:b/>
      <w:sz w:val="28"/>
    </w:rPr>
  </w:style>
  <w:style w:type="paragraph" w:customStyle="1" w:styleId="44">
    <w:name w:val="05、“(一)”正文三级标题"/>
    <w:basedOn w:val="1"/>
    <w:link w:val="65"/>
    <w:qFormat/>
    <w:uiPriority w:val="0"/>
    <w:pPr>
      <w:numPr>
        <w:ilvl w:val="1"/>
        <w:numId w:val="1"/>
      </w:numPr>
      <w:wordWrap w:val="0"/>
      <w:topLinePunct/>
      <w:ind w:firstLine="803" w:firstLineChars="200"/>
    </w:pPr>
  </w:style>
  <w:style w:type="paragraph" w:customStyle="1" w:styleId="45">
    <w:name w:val="00、封面正文(与其他内容无关的格式)"/>
    <w:basedOn w:val="1"/>
    <w:qFormat/>
    <w:uiPriority w:val="0"/>
  </w:style>
  <w:style w:type="paragraph" w:customStyle="1" w:styleId="46">
    <w:name w:val="06、“1.”正文四级标题"/>
    <w:basedOn w:val="1"/>
    <w:link w:val="67"/>
    <w:qFormat/>
    <w:uiPriority w:val="0"/>
    <w:pPr>
      <w:numPr>
        <w:ilvl w:val="2"/>
        <w:numId w:val="1"/>
      </w:numPr>
      <w:wordWrap w:val="0"/>
      <w:topLinePunct/>
      <w:ind w:firstLine="803" w:firstLineChars="200"/>
    </w:pPr>
    <w:rPr>
      <w:snapToGrid w:val="0"/>
    </w:rPr>
  </w:style>
  <w:style w:type="paragraph" w:customStyle="1" w:styleId="47">
    <w:name w:val="07、“1.1”正文五级标题"/>
    <w:basedOn w:val="1"/>
    <w:link w:val="59"/>
    <w:qFormat/>
    <w:uiPriority w:val="0"/>
    <w:pPr>
      <w:numPr>
        <w:ilvl w:val="3"/>
        <w:numId w:val="1"/>
      </w:numPr>
      <w:ind w:firstLine="803" w:firstLineChars="200"/>
    </w:pPr>
  </w:style>
  <w:style w:type="paragraph" w:customStyle="1" w:styleId="48">
    <w:name w:val="08、“(1)”正文六级标题"/>
    <w:basedOn w:val="1"/>
    <w:link w:val="68"/>
    <w:qFormat/>
    <w:uiPriority w:val="0"/>
    <w:pPr>
      <w:numPr>
        <w:ilvl w:val="4"/>
        <w:numId w:val="1"/>
      </w:numPr>
      <w:ind w:firstLine="803" w:firstLineChars="200"/>
    </w:pPr>
    <w:rPr>
      <w:snapToGrid w:val="0"/>
    </w:rPr>
  </w:style>
  <w:style w:type="paragraph" w:customStyle="1" w:styleId="49">
    <w:name w:val="09、“1.”表格内一级标题"/>
    <w:basedOn w:val="1"/>
    <w:qFormat/>
    <w:uiPriority w:val="0"/>
    <w:pPr>
      <w:numPr>
        <w:ilvl w:val="0"/>
        <w:numId w:val="4"/>
      </w:numPr>
      <w:wordWrap w:val="0"/>
      <w:topLinePunct/>
      <w:spacing w:line="360" w:lineRule="exact"/>
      <w:ind w:left="48" w:leftChars="20"/>
    </w:pPr>
    <w:rPr>
      <w:snapToGrid w:val="0"/>
      <w:sz w:val="21"/>
    </w:rPr>
  </w:style>
  <w:style w:type="paragraph" w:customStyle="1" w:styleId="50">
    <w:name w:val="10、“1.1”表格内二级标题"/>
    <w:basedOn w:val="1"/>
    <w:link w:val="58"/>
    <w:qFormat/>
    <w:uiPriority w:val="0"/>
    <w:pPr>
      <w:numPr>
        <w:ilvl w:val="1"/>
        <w:numId w:val="4"/>
      </w:numPr>
      <w:wordWrap w:val="0"/>
      <w:topLinePunct/>
      <w:spacing w:line="360" w:lineRule="exact"/>
      <w:ind w:left="48" w:leftChars="20"/>
    </w:pPr>
    <w:rPr>
      <w:snapToGrid w:val="0"/>
      <w:sz w:val="21"/>
    </w:rPr>
  </w:style>
  <w:style w:type="paragraph" w:customStyle="1" w:styleId="51">
    <w:name w:val="11、“1.1.1”表格内三级标题"/>
    <w:basedOn w:val="1"/>
    <w:qFormat/>
    <w:uiPriority w:val="0"/>
    <w:pPr>
      <w:numPr>
        <w:ilvl w:val="2"/>
        <w:numId w:val="4"/>
      </w:numPr>
      <w:wordWrap w:val="0"/>
      <w:topLinePunct/>
      <w:spacing w:line="360" w:lineRule="exact"/>
      <w:ind w:left="48" w:leftChars="20"/>
    </w:pPr>
    <w:rPr>
      <w:snapToGrid w:val="0"/>
      <w:sz w:val="21"/>
    </w:rPr>
  </w:style>
  <w:style w:type="paragraph" w:customStyle="1" w:styleId="52">
    <w:name w:val="12、表格内左对齐正文"/>
    <w:basedOn w:val="1"/>
    <w:link w:val="69"/>
    <w:qFormat/>
    <w:uiPriority w:val="0"/>
    <w:pPr>
      <w:wordWrap w:val="0"/>
      <w:topLinePunct/>
      <w:spacing w:line="360" w:lineRule="exact"/>
      <w:ind w:left="48" w:leftChars="20"/>
    </w:pPr>
    <w:rPr>
      <w:snapToGrid w:val="0"/>
      <w:sz w:val="21"/>
    </w:rPr>
  </w:style>
  <w:style w:type="paragraph" w:customStyle="1" w:styleId="53">
    <w:name w:val="20、第二章“一、”二级标题"/>
    <w:basedOn w:val="30"/>
    <w:qFormat/>
    <w:uiPriority w:val="0"/>
    <w:pPr>
      <w:numPr>
        <w:ilvl w:val="0"/>
        <w:numId w:val="5"/>
      </w:numPr>
      <w:spacing w:before="50" w:beforeLines="50" w:after="50" w:afterLines="50"/>
      <w:jc w:val="center"/>
      <w:outlineLvl w:val="1"/>
    </w:pPr>
    <w:rPr>
      <w:b/>
      <w:sz w:val="32"/>
    </w:rPr>
  </w:style>
  <w:style w:type="paragraph" w:customStyle="1" w:styleId="54">
    <w:name w:val="21、第三章“(一)”三级标题"/>
    <w:basedOn w:val="30"/>
    <w:link w:val="60"/>
    <w:qFormat/>
    <w:uiPriority w:val="0"/>
    <w:pPr>
      <w:pageBreakBefore/>
      <w:spacing w:before="50" w:beforeLines="50" w:after="50" w:afterLines="50"/>
      <w:jc w:val="center"/>
      <w:outlineLvl w:val="2"/>
    </w:pPr>
    <w:rPr>
      <w:b/>
      <w:sz w:val="28"/>
    </w:rPr>
  </w:style>
  <w:style w:type="paragraph" w:customStyle="1" w:styleId="55">
    <w:name w:val="13、表格内居中正文"/>
    <w:basedOn w:val="1"/>
    <w:qFormat/>
    <w:uiPriority w:val="0"/>
    <w:pPr>
      <w:wordWrap w:val="0"/>
      <w:topLinePunct/>
      <w:spacing w:line="360" w:lineRule="exact"/>
      <w:jc w:val="center"/>
    </w:pPr>
    <w:rPr>
      <w:sz w:val="21"/>
    </w:rPr>
  </w:style>
  <w:style w:type="paragraph" w:customStyle="1" w:styleId="56">
    <w:name w:val="03、“注：”正文(加粗，首行缩进2字符)"/>
    <w:basedOn w:val="30"/>
    <w:link w:val="64"/>
    <w:qFormat/>
    <w:uiPriority w:val="0"/>
    <w:pPr>
      <w:ind w:firstLine="480" w:firstLineChars="200"/>
    </w:pPr>
    <w:rPr>
      <w:b/>
    </w:rPr>
  </w:style>
  <w:style w:type="paragraph" w:customStyle="1" w:styleId="57">
    <w:name w:val="04“一、”正文二级标题"/>
    <w:basedOn w:val="30"/>
    <w:link w:val="66"/>
    <w:qFormat/>
    <w:uiPriority w:val="0"/>
    <w:pPr>
      <w:ind w:firstLine="803" w:firstLineChars="200"/>
    </w:pPr>
  </w:style>
  <w:style w:type="character" w:customStyle="1" w:styleId="58">
    <w:name w:val="10、“1.1”表格内二级标题 Char"/>
    <w:link w:val="50"/>
    <w:qFormat/>
    <w:uiPriority w:val="0"/>
    <w:rPr>
      <w:rFonts w:ascii="宋体" w:hAnsi="宋体" w:eastAsia="宋体"/>
      <w:snapToGrid w:val="0"/>
      <w:sz w:val="21"/>
    </w:rPr>
  </w:style>
  <w:style w:type="character" w:customStyle="1" w:styleId="59">
    <w:name w:val="07、“1.1”正文五级标题 Char"/>
    <w:link w:val="47"/>
    <w:qFormat/>
    <w:uiPriority w:val="0"/>
    <w:rPr>
      <w:rFonts w:ascii="宋体" w:hAnsi="宋体" w:eastAsia="宋体"/>
    </w:rPr>
  </w:style>
  <w:style w:type="character" w:customStyle="1" w:styleId="60">
    <w:name w:val="18、第三章“(一)”三级标题 Char"/>
    <w:link w:val="54"/>
    <w:qFormat/>
    <w:uiPriority w:val="0"/>
    <w:rPr>
      <w:rFonts w:ascii="宋体" w:hAnsi="宋体" w:cstheme="minorBidi"/>
      <w:b/>
      <w:snapToGrid w:val="0"/>
      <w:kern w:val="2"/>
      <w:sz w:val="28"/>
      <w:szCs w:val="24"/>
    </w:rPr>
  </w:style>
  <w:style w:type="character" w:customStyle="1" w:styleId="61">
    <w:name w:val="16、“(一)”三级标题 Char"/>
    <w:link w:val="32"/>
    <w:qFormat/>
    <w:uiPriority w:val="0"/>
    <w:rPr>
      <w:rFonts w:ascii="宋体" w:hAnsi="宋体" w:eastAsia="宋体"/>
      <w:b/>
    </w:rPr>
  </w:style>
  <w:style w:type="character" w:customStyle="1" w:styleId="62">
    <w:name w:val="02、首行缩进2字符正文 Char"/>
    <w:link w:val="34"/>
    <w:qFormat/>
    <w:uiPriority w:val="0"/>
    <w:rPr>
      <w:rFonts w:ascii="宋体" w:hAnsi="宋体" w:eastAsia="宋体"/>
    </w:rPr>
  </w:style>
  <w:style w:type="character" w:customStyle="1" w:styleId="63">
    <w:name w:val="01、普通正文 Char"/>
    <w:link w:val="30"/>
    <w:qFormat/>
    <w:uiPriority w:val="0"/>
    <w:rPr>
      <w:rFonts w:ascii="宋体" w:hAnsi="宋体" w:eastAsia="宋体"/>
      <w:snapToGrid w:val="0"/>
    </w:rPr>
  </w:style>
  <w:style w:type="character" w:customStyle="1" w:styleId="64">
    <w:name w:val="03、“注：”正文(加粗，首行缩进2字符) Char"/>
    <w:link w:val="56"/>
    <w:qFormat/>
    <w:uiPriority w:val="0"/>
    <w:rPr>
      <w:b/>
    </w:rPr>
  </w:style>
  <w:style w:type="character" w:customStyle="1" w:styleId="65">
    <w:name w:val="05、“(一)”正文三级标题 Char"/>
    <w:link w:val="44"/>
    <w:qFormat/>
    <w:uiPriority w:val="0"/>
    <w:rPr>
      <w:rFonts w:ascii="宋体" w:hAnsi="宋体" w:eastAsia="宋体"/>
    </w:rPr>
  </w:style>
  <w:style w:type="character" w:customStyle="1" w:styleId="66">
    <w:name w:val="04“一、”正文二级标题 Char"/>
    <w:link w:val="57"/>
    <w:qFormat/>
    <w:uiPriority w:val="0"/>
  </w:style>
  <w:style w:type="character" w:customStyle="1" w:styleId="67">
    <w:name w:val="06、“1.”正文四级标题 Char"/>
    <w:link w:val="46"/>
    <w:qFormat/>
    <w:uiPriority w:val="0"/>
    <w:rPr>
      <w:rFonts w:ascii="宋体" w:hAnsi="宋体" w:eastAsia="宋体"/>
      <w:snapToGrid w:val="0"/>
    </w:rPr>
  </w:style>
  <w:style w:type="character" w:customStyle="1" w:styleId="68">
    <w:name w:val="08、“(1)”正文六级标题 Char"/>
    <w:link w:val="48"/>
    <w:qFormat/>
    <w:uiPriority w:val="0"/>
    <w:rPr>
      <w:rFonts w:ascii="宋体" w:hAnsi="宋体" w:eastAsia="宋体"/>
      <w:snapToGrid w:val="0"/>
    </w:rPr>
  </w:style>
  <w:style w:type="character" w:customStyle="1" w:styleId="69">
    <w:name w:val="12、表格内左对齐正文 Char"/>
    <w:link w:val="52"/>
    <w:qFormat/>
    <w:uiPriority w:val="0"/>
    <w:rPr>
      <w:rFonts w:ascii="宋体" w:hAnsi="宋体" w:eastAsia="宋体"/>
      <w:snapToGrid w:val="0"/>
      <w:sz w:val="21"/>
    </w:rPr>
  </w:style>
  <w:style w:type="paragraph" w:customStyle="1" w:styleId="70">
    <w:name w:val="样式 首行缩进:  2 字符"/>
    <w:basedOn w:val="1"/>
    <w:qFormat/>
    <w:uiPriority w:val="0"/>
    <w:pPr>
      <w:spacing w:line="400" w:lineRule="exact"/>
      <w:ind w:firstLine="200" w:firstLineChars="200"/>
    </w:pPr>
    <w:rPr>
      <w:rFonts w:cs="宋体"/>
    </w:rPr>
  </w:style>
  <w:style w:type="character" w:customStyle="1" w:styleId="71">
    <w:name w:val="qxdate"/>
    <w:basedOn w:val="24"/>
    <w:qFormat/>
    <w:uiPriority w:val="0"/>
    <w:rPr>
      <w:color w:val="BA2636"/>
      <w:sz w:val="12"/>
      <w:szCs w:val="12"/>
      <w:u w:val="single"/>
    </w:rPr>
  </w:style>
  <w:style w:type="character" w:customStyle="1" w:styleId="72">
    <w:name w:val="displayarti"/>
    <w:basedOn w:val="24"/>
    <w:qFormat/>
    <w:uiPriority w:val="0"/>
    <w:rPr>
      <w:color w:val="FFFFFF"/>
      <w:shd w:val="clear" w:color="auto" w:fill="A00000"/>
    </w:rPr>
  </w:style>
  <w:style w:type="character" w:customStyle="1" w:styleId="73">
    <w:name w:val="cfdate"/>
    <w:basedOn w:val="24"/>
    <w:qFormat/>
    <w:uiPriority w:val="0"/>
    <w:rPr>
      <w:color w:val="333333"/>
      <w:sz w:val="12"/>
      <w:szCs w:val="12"/>
    </w:rPr>
  </w:style>
  <w:style w:type="character" w:customStyle="1" w:styleId="74">
    <w:name w:val="gjfg"/>
    <w:basedOn w:val="24"/>
    <w:qFormat/>
    <w:uiPriority w:val="0"/>
  </w:style>
  <w:style w:type="character" w:customStyle="1" w:styleId="75">
    <w:name w:val="redfilefwwh"/>
    <w:basedOn w:val="24"/>
    <w:qFormat/>
    <w:uiPriority w:val="0"/>
    <w:rPr>
      <w:color w:val="BA2636"/>
      <w:sz w:val="12"/>
      <w:szCs w:val="12"/>
    </w:rPr>
  </w:style>
  <w:style w:type="character" w:customStyle="1" w:styleId="76">
    <w:name w:val="redfilenumber"/>
    <w:basedOn w:val="24"/>
    <w:qFormat/>
    <w:uiPriority w:val="0"/>
    <w:rPr>
      <w:color w:val="BA2636"/>
      <w:sz w:val="12"/>
      <w:szCs w:val="12"/>
    </w:rPr>
  </w:style>
  <w:style w:type="paragraph" w:customStyle="1" w:styleId="77">
    <w:name w:val="20、第五章“(一)”三级标题"/>
    <w:basedOn w:val="30"/>
    <w:qFormat/>
    <w:uiPriority w:val="0"/>
    <w:pPr>
      <w:pageBreakBefore/>
      <w:numPr>
        <w:ilvl w:val="0"/>
        <w:numId w:val="6"/>
      </w:numPr>
      <w:spacing w:before="50" w:beforeLines="50" w:after="50" w:afterLines="50"/>
      <w:jc w:val="center"/>
      <w:outlineLvl w:val="2"/>
    </w:pPr>
    <w:rPr>
      <w:b/>
      <w:sz w:val="28"/>
    </w:rPr>
  </w:style>
  <w:style w:type="paragraph" w:styleId="78">
    <w:name w:val="List Paragraph"/>
    <w:basedOn w:val="1"/>
    <w:qFormat/>
    <w:uiPriority w:val="1"/>
    <w:pPr>
      <w:ind w:left="205" w:right="169" w:firstLine="655"/>
    </w:pPr>
    <w:rPr>
      <w:rFonts w:ascii="仿宋" w:hAnsi="仿宋" w:eastAsia="仿宋" w:cs="仿宋"/>
      <w:u w:val="single" w:color="000000"/>
      <w:lang w:val="zh-CN" w:bidi="zh-CN"/>
    </w:rPr>
  </w:style>
  <w:style w:type="character" w:customStyle="1" w:styleId="79">
    <w:name w:val="批注框文本 字符"/>
    <w:basedOn w:val="24"/>
    <w:link w:val="14"/>
    <w:qFormat/>
    <w:uiPriority w:val="0"/>
    <w:rPr>
      <w:rFonts w:ascii="宋体" w:hAnsi="宋体" w:cstheme="minorBidi"/>
      <w:kern w:val="2"/>
      <w:sz w:val="18"/>
      <w:szCs w:val="18"/>
    </w:rPr>
  </w:style>
  <w:style w:type="character" w:customStyle="1" w:styleId="80">
    <w:name w:val="批注文字 字符"/>
    <w:basedOn w:val="24"/>
    <w:link w:val="11"/>
    <w:qFormat/>
    <w:uiPriority w:val="0"/>
    <w:rPr>
      <w:rFonts w:ascii="宋体" w:hAnsi="宋体" w:cstheme="minorBidi"/>
      <w:kern w:val="2"/>
      <w:sz w:val="24"/>
      <w:szCs w:val="24"/>
    </w:rPr>
  </w:style>
  <w:style w:type="character" w:customStyle="1" w:styleId="81">
    <w:name w:val="批注主题 字符"/>
    <w:basedOn w:val="80"/>
    <w:link w:val="21"/>
    <w:qFormat/>
    <w:uiPriority w:val="0"/>
    <w:rPr>
      <w:rFonts w:ascii="宋体" w:hAnsi="宋体" w:cstheme="minorBidi"/>
      <w:b/>
      <w:bCs/>
      <w:kern w:val="2"/>
      <w:sz w:val="24"/>
      <w:szCs w:val="24"/>
    </w:rPr>
  </w:style>
  <w:style w:type="paragraph" w:customStyle="1" w:styleId="82">
    <w:name w:val="表 靠左"/>
    <w:basedOn w:val="83"/>
    <w:qFormat/>
    <w:uiPriority w:val="0"/>
    <w:pPr>
      <w:tabs>
        <w:tab w:val="left" w:pos="0"/>
      </w:tabs>
      <w:jc w:val="left"/>
    </w:pPr>
    <w:rPr>
      <w:rFonts w:ascii="宋体" w:hAnsi="宋体"/>
    </w:rPr>
  </w:style>
  <w:style w:type="paragraph" w:customStyle="1" w:styleId="83">
    <w:name w:val="表"/>
    <w:basedOn w:val="1"/>
    <w:next w:val="1"/>
    <w:qFormat/>
    <w:uiPriority w:val="7"/>
    <w:pPr>
      <w:jc w:val="center"/>
    </w:pPr>
    <w:rPr>
      <w:rFonts w:ascii="Times New Roman" w:hAnsi="Times New Roman" w:cs="Times New Roman"/>
    </w:rPr>
  </w:style>
  <w:style w:type="paragraph" w:customStyle="1" w:styleId="84">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931F04-FA46-4175-BA92-6535D7A71B7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112</Pages>
  <Words>70139</Words>
  <Characters>74258</Characters>
  <Lines>605</Lines>
  <Paragraphs>170</Paragraphs>
  <TotalTime>5</TotalTime>
  <ScaleCrop>false</ScaleCrop>
  <LinksUpToDate>false</LinksUpToDate>
  <CharactersWithSpaces>79500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111</cp:lastModifiedBy>
  <cp:lastPrinted>2021-08-10T12:57:00Z</cp:lastPrinted>
  <dcterms:modified xsi:type="dcterms:W3CDTF">2021-08-12T07:23:18Z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35E3295C674D4A72B2586BDD73776182</vt:lpwstr>
  </property>
  <property fmtid="{D5CDD505-2E9C-101B-9397-08002B2CF9AE}" pid="4" name="KSOSaveFontToCloudKey">
    <vt:lpwstr>0_btnclosed</vt:lpwstr>
  </property>
</Properties>
</file>