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5"/>
        <w:spacing w:before="120" w:beforeLines="50" w:line="360" w:lineRule="auto"/>
        <w:rPr>
          <w:b/>
          <w:bCs/>
          <w:sz w:val="40"/>
          <w:szCs w:val="40"/>
        </w:rPr>
      </w:pPr>
      <w:bookmarkStart w:id="0" w:name="_Toc5725"/>
      <w:bookmarkStart w:id="1" w:name="_Toc578"/>
      <w:bookmarkStart w:id="2" w:name="_Toc6478"/>
      <w:r>
        <w:rPr>
          <w:rFonts w:hint="eastAsia"/>
          <w:b/>
          <w:bCs/>
          <w:sz w:val="40"/>
          <w:szCs w:val="40"/>
        </w:rPr>
        <w:tab/>
      </w:r>
      <w:r>
        <w:rPr>
          <w:rFonts w:hint="eastAsia"/>
          <w:b/>
          <w:bCs/>
          <w:sz w:val="40"/>
          <w:szCs w:val="40"/>
        </w:rPr>
        <w:t xml:space="preserve">项目编号：510118202100027 </w:t>
      </w:r>
    </w:p>
    <w:p>
      <w:pPr>
        <w:pStyle w:val="35"/>
        <w:spacing w:line="360" w:lineRule="auto"/>
        <w:rPr>
          <w:b/>
          <w:bCs/>
          <w:sz w:val="40"/>
          <w:szCs w:val="40"/>
        </w:rPr>
      </w:pPr>
      <w:r>
        <w:rPr>
          <w:rFonts w:hint="eastAsia"/>
          <w:b/>
          <w:bCs/>
          <w:sz w:val="40"/>
          <w:szCs w:val="40"/>
        </w:rPr>
        <w:t>内部编号：ZCQXZB-2021-0312S</w:t>
      </w:r>
    </w:p>
    <w:p>
      <w:pPr>
        <w:pStyle w:val="35"/>
        <w:spacing w:line="360" w:lineRule="auto"/>
        <w:rPr>
          <w:b/>
          <w:bCs/>
          <w:sz w:val="40"/>
          <w:szCs w:val="40"/>
        </w:rPr>
      </w:pPr>
      <w:r>
        <w:rPr>
          <w:rFonts w:hint="eastAsia"/>
          <w:b/>
          <w:bCs/>
          <w:sz w:val="40"/>
          <w:szCs w:val="40"/>
        </w:rPr>
        <w:t xml:space="preserve">项目名称：成都东部新区党工委管委会(成都市东部新城办)综合部2021年网络理政服务外包采购项目 </w:t>
      </w:r>
    </w:p>
    <w:p>
      <w:pPr>
        <w:pStyle w:val="35"/>
        <w:wordWrap w:val="0"/>
        <w:topLinePunct/>
        <w:spacing w:before="3360" w:beforeLines="1400" w:after="3360" w:afterLines="1400" w:line="240" w:lineRule="auto"/>
        <w:jc w:val="center"/>
        <w:rPr>
          <w:b/>
          <w:bCs/>
          <w:sz w:val="96"/>
          <w:szCs w:val="96"/>
        </w:rPr>
      </w:pPr>
      <w:r>
        <w:rPr>
          <w:rFonts w:hint="eastAsia" w:asciiTheme="minorEastAsia" w:hAnsiTheme="minorEastAsia" w:eastAsiaTheme="minorEastAsia" w:cstheme="minorEastAsia"/>
          <w:b/>
          <w:color w:val="000000"/>
          <w:sz w:val="96"/>
          <w:szCs w:val="96"/>
        </w:rPr>
        <w:t>竞争性磋商文件</w:t>
      </w:r>
    </w:p>
    <w:p>
      <w:pPr>
        <w:pStyle w:val="35"/>
        <w:spacing w:line="360" w:lineRule="auto"/>
        <w:jc w:val="center"/>
        <w:rPr>
          <w:b/>
          <w:bCs/>
          <w:sz w:val="28"/>
          <w:szCs w:val="28"/>
        </w:rPr>
      </w:pPr>
      <w:r>
        <w:rPr>
          <w:rFonts w:hint="eastAsia"/>
          <w:b/>
          <w:bCs/>
          <w:sz w:val="28"/>
          <w:szCs w:val="28"/>
        </w:rPr>
        <w:t>中国·四川</w:t>
      </w:r>
    </w:p>
    <w:p>
      <w:pPr>
        <w:pStyle w:val="35"/>
        <w:spacing w:line="360" w:lineRule="auto"/>
        <w:jc w:val="center"/>
        <w:rPr>
          <w:b/>
          <w:bCs/>
          <w:sz w:val="28"/>
          <w:szCs w:val="28"/>
        </w:rPr>
      </w:pPr>
      <w:r>
        <w:rPr>
          <w:rFonts w:hint="eastAsia"/>
          <w:b/>
          <w:bCs/>
          <w:sz w:val="28"/>
          <w:szCs w:val="28"/>
        </w:rPr>
        <w:t>采购人：成都东部新区党工委管委会(成都市东部新城办)综合部</w:t>
      </w:r>
    </w:p>
    <w:p>
      <w:pPr>
        <w:pStyle w:val="35"/>
        <w:spacing w:line="360" w:lineRule="auto"/>
        <w:jc w:val="center"/>
        <w:rPr>
          <w:b/>
          <w:bCs/>
          <w:sz w:val="28"/>
          <w:szCs w:val="28"/>
        </w:rPr>
      </w:pPr>
      <w:r>
        <w:rPr>
          <w:rFonts w:hint="eastAsia"/>
          <w:b/>
          <w:bCs/>
          <w:sz w:val="28"/>
          <w:szCs w:val="28"/>
        </w:rPr>
        <w:t>采购代理机构：四川乾新招投标代理有限公司</w:t>
      </w:r>
    </w:p>
    <w:p>
      <w:pPr>
        <w:pStyle w:val="35"/>
        <w:spacing w:line="360" w:lineRule="auto"/>
        <w:jc w:val="center"/>
        <w:rPr>
          <w:b/>
          <w:bCs/>
          <w:sz w:val="28"/>
          <w:szCs w:val="28"/>
        </w:rPr>
      </w:pPr>
      <w:r>
        <w:rPr>
          <w:rFonts w:hint="eastAsia"/>
          <w:b/>
          <w:bCs/>
          <w:sz w:val="28"/>
          <w:szCs w:val="28"/>
        </w:rPr>
        <w:t>文件编制：由采购人和采购代理机构共同编制</w:t>
      </w:r>
    </w:p>
    <w:p>
      <w:pPr>
        <w:pStyle w:val="35"/>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2021年6月</w:t>
      </w:r>
    </w:p>
    <w:p>
      <w:pPr>
        <w:pStyle w:val="35"/>
        <w:spacing w:line="240" w:lineRule="auto"/>
        <w:jc w:val="center"/>
        <w:rPr>
          <w:b/>
          <w:bCs/>
          <w:sz w:val="40"/>
          <w:szCs w:val="40"/>
        </w:rPr>
      </w:pPr>
      <w:bookmarkStart w:id="3" w:name="_Toc502651262"/>
      <w:bookmarkStart w:id="4" w:name="_Toc452473646"/>
      <w:bookmarkStart w:id="5" w:name="_Toc336690878"/>
      <w:bookmarkStart w:id="6" w:name="_Toc373139265"/>
      <w:bookmarkStart w:id="7" w:name="_Toc371958974"/>
      <w:bookmarkStart w:id="8" w:name="_Toc372620750"/>
      <w:r>
        <w:rPr>
          <w:rFonts w:hint="eastAsia"/>
          <w:b/>
          <w:bCs/>
          <w:sz w:val="40"/>
          <w:szCs w:val="40"/>
        </w:rPr>
        <w:t>政府采购阳光宣言</w:t>
      </w:r>
      <w:bookmarkEnd w:id="3"/>
      <w:bookmarkEnd w:id="4"/>
    </w:p>
    <w:p>
      <w:pPr>
        <w:pStyle w:val="35"/>
        <w:ind w:firstLine="480" w:firstLineChars="200"/>
      </w:pPr>
      <w:r>
        <w:rPr>
          <w:rFonts w:hint="eastAsia"/>
        </w:rPr>
        <w:t>四川乾新践行公平竞争、诚信的核心价值观，诚信于股东、诚信于服务对象、诚信于员工、诚信于社会。</w:t>
      </w:r>
    </w:p>
    <w:p>
      <w:pPr>
        <w:pStyle w:val="35"/>
        <w:ind w:firstLine="480" w:firstLineChars="200"/>
      </w:pPr>
      <w:r>
        <w:rPr>
          <w:rFonts w:hint="eastAsia"/>
        </w:rPr>
        <w:t>四川乾新全体员工严格遵守《乾新十戒》和《员工廉洁从业规定》，遵纪守法，强化自律，廉洁从业，规范经营。</w:t>
      </w:r>
    </w:p>
    <w:p>
      <w:pPr>
        <w:pStyle w:val="35"/>
        <w:ind w:firstLine="480" w:firstLineChars="200"/>
      </w:pPr>
      <w:r>
        <w:rPr>
          <w:rFonts w:hint="eastAsia"/>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5"/>
        <w:ind w:firstLine="480" w:firstLineChars="200"/>
      </w:pPr>
      <w:r>
        <w:rPr>
          <w:rFonts w:hint="eastAsia"/>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7"/>
        <w:ind w:firstLine="480"/>
      </w:pPr>
      <w:r>
        <w:rPr>
          <w:rFonts w:hint="eastAsia"/>
        </w:rPr>
        <w:t>四川乾新不以向采购人及其亲属提供任何个人利益的方式谋求合作关系；</w:t>
      </w:r>
    </w:p>
    <w:p>
      <w:pPr>
        <w:pStyle w:val="37"/>
        <w:ind w:firstLine="480"/>
      </w:pPr>
      <w:r>
        <w:rPr>
          <w:rFonts w:hint="eastAsia"/>
        </w:rPr>
        <w:t xml:space="preserve">四川乾新不迷信任何实际存在的或虚构的所谓关系； </w:t>
      </w:r>
    </w:p>
    <w:p>
      <w:pPr>
        <w:pStyle w:val="37"/>
        <w:ind w:firstLine="480"/>
      </w:pPr>
      <w:r>
        <w:rPr>
          <w:rFonts w:hint="eastAsia"/>
        </w:rPr>
        <w:t>四川乾新不采取恶性竞争等不正当手段竞争业务；</w:t>
      </w:r>
    </w:p>
    <w:p>
      <w:pPr>
        <w:pStyle w:val="37"/>
        <w:ind w:firstLine="480"/>
      </w:pPr>
      <w:r>
        <w:rPr>
          <w:rFonts w:hint="eastAsia"/>
        </w:rPr>
        <w:t>四川乾新不向采购人提供好处费、回扣、现金及有价证券、支付凭证、贵重礼物；</w:t>
      </w:r>
    </w:p>
    <w:p>
      <w:pPr>
        <w:pStyle w:val="37"/>
        <w:ind w:firstLine="480"/>
      </w:pPr>
      <w:r>
        <w:rPr>
          <w:rFonts w:hint="eastAsia"/>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7"/>
        <w:ind w:firstLine="480"/>
      </w:pPr>
      <w:r>
        <w:rPr>
          <w:rFonts w:hint="eastAsia"/>
        </w:rPr>
        <w:t>供应商在参与项目时公平竞争，充分发挥市场主体作用，降低采购成本，节约采购资金；</w:t>
      </w:r>
    </w:p>
    <w:p>
      <w:pPr>
        <w:pStyle w:val="37"/>
        <w:ind w:firstLine="480"/>
      </w:pPr>
      <w:r>
        <w:rPr>
          <w:rFonts w:hint="eastAsia"/>
        </w:rPr>
        <w:t>四川乾新不与采购人、供应商串通投标；</w:t>
      </w:r>
    </w:p>
    <w:p>
      <w:pPr>
        <w:pStyle w:val="37"/>
        <w:ind w:firstLine="480"/>
      </w:pPr>
      <w:r>
        <w:rPr>
          <w:rFonts w:hint="eastAsia"/>
        </w:rPr>
        <w:t>四川乾新、采购人不与供应商就标底、其他单位的投标书等商业秘密及合同中的质量、价格、验收等条款进行私下商谈或者达成默契；</w:t>
      </w:r>
    </w:p>
    <w:p>
      <w:pPr>
        <w:pStyle w:val="37"/>
        <w:ind w:firstLine="480"/>
      </w:pPr>
      <w:r>
        <w:rPr>
          <w:rFonts w:hint="eastAsia"/>
        </w:rPr>
        <w:t>四川乾新坚决杜绝以下行为：①乾新员工有行贿倾向、建议等行为；②乾新员工有索贿、受贿等行为。</w:t>
      </w:r>
    </w:p>
    <w:p>
      <w:pPr>
        <w:pStyle w:val="35"/>
        <w:ind w:firstLine="480" w:firstLineChars="200"/>
      </w:pPr>
      <w:r>
        <w:rPr>
          <w:rFonts w:hint="eastAsia"/>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公开、公平、公正、诚实信用、讲求绩效的政采营商环境，共同推动政府采购行业健康发展。 </w:t>
      </w:r>
    </w:p>
    <w:p>
      <w:pPr>
        <w:pStyle w:val="35"/>
        <w:ind w:firstLine="480" w:firstLineChars="200"/>
      </w:pPr>
      <w:r>
        <w:rPr>
          <w:rFonts w:hint="eastAsia"/>
        </w:rPr>
        <w:t>监察部投诉及举报邮箱：scqxzb_shl@163.com</w:t>
      </w:r>
    </w:p>
    <w:p>
      <w:pPr>
        <w:pStyle w:val="35"/>
        <w:ind w:firstLine="480" w:firstLineChars="200"/>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rPr>
        <w:t>监察部投诉及举报电话：028-62630990</w:t>
      </w:r>
      <w:bookmarkEnd w:id="5"/>
      <w:bookmarkEnd w:id="6"/>
      <w:bookmarkEnd w:id="7"/>
      <w:bookmarkEnd w:id="8"/>
    </w:p>
    <w:p>
      <w:pPr>
        <w:pStyle w:val="35"/>
        <w:jc w:val="center"/>
      </w:pPr>
      <w:r>
        <w:rPr>
          <w:rFonts w:hint="eastAsia"/>
        </w:rPr>
        <w:t>目  录</w:t>
      </w:r>
      <w:bookmarkEnd w:id="0"/>
      <w:bookmarkEnd w:id="1"/>
    </w:p>
    <w:p>
      <w:pPr>
        <w:pStyle w:val="18"/>
        <w:tabs>
          <w:tab w:val="clear" w:pos="0"/>
        </w:tabs>
      </w:pPr>
      <w:bookmarkStart w:id="9" w:name="_Toc15794"/>
      <w:bookmarkStart w:id="10" w:name="_Toc28748"/>
      <w:bookmarkStart w:id="11" w:name="_Toc26242"/>
      <w:r>
        <w:fldChar w:fldCharType="begin"/>
      </w:r>
      <w:r>
        <w:instrText xml:space="preserve">TOC \o "1-3" \h \u </w:instrText>
      </w:r>
      <w:r>
        <w:fldChar w:fldCharType="separate"/>
      </w:r>
      <w:r>
        <w:fldChar w:fldCharType="begin"/>
      </w:r>
      <w:r>
        <w:instrText xml:space="preserve"> HYPERLINK \l _Toc2209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_Toc2209 \h </w:instrText>
      </w:r>
      <w:r>
        <w:fldChar w:fldCharType="separate"/>
      </w:r>
      <w:r>
        <w:t>5</w:t>
      </w:r>
      <w:r>
        <w:fldChar w:fldCharType="end"/>
      </w:r>
      <w:r>
        <w:fldChar w:fldCharType="end"/>
      </w:r>
    </w:p>
    <w:p>
      <w:pPr>
        <w:pStyle w:val="18"/>
        <w:tabs>
          <w:tab w:val="clear" w:pos="0"/>
        </w:tabs>
      </w:pPr>
      <w:r>
        <w:fldChar w:fldCharType="begin"/>
      </w:r>
      <w:r>
        <w:instrText xml:space="preserve"> HYPERLINK \l _Toc4816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_Toc4816 \h </w:instrText>
      </w:r>
      <w:r>
        <w:fldChar w:fldCharType="separate"/>
      </w:r>
      <w:r>
        <w:t>8</w:t>
      </w:r>
      <w:r>
        <w:fldChar w:fldCharType="end"/>
      </w:r>
      <w:r>
        <w:fldChar w:fldCharType="end"/>
      </w:r>
    </w:p>
    <w:p>
      <w:pPr>
        <w:pStyle w:val="21"/>
        <w:tabs>
          <w:tab w:val="right" w:leader="dot" w:pos="9746"/>
          <w:tab w:val="clear" w:pos="0"/>
        </w:tabs>
      </w:pPr>
      <w:r>
        <w:fldChar w:fldCharType="begin"/>
      </w:r>
      <w:r>
        <w:instrText xml:space="preserve"> HYPERLINK \l _Toc2243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_Toc2243 \h </w:instrText>
      </w:r>
      <w:r>
        <w:fldChar w:fldCharType="separate"/>
      </w:r>
      <w:r>
        <w:t>8</w:t>
      </w:r>
      <w:r>
        <w:fldChar w:fldCharType="end"/>
      </w:r>
      <w:r>
        <w:fldChar w:fldCharType="end"/>
      </w:r>
    </w:p>
    <w:p>
      <w:pPr>
        <w:pStyle w:val="21"/>
        <w:tabs>
          <w:tab w:val="right" w:leader="dot" w:pos="9746"/>
          <w:tab w:val="clear" w:pos="0"/>
        </w:tabs>
      </w:pPr>
      <w:r>
        <w:fldChar w:fldCharType="begin"/>
      </w:r>
      <w:r>
        <w:instrText xml:space="preserve"> HYPERLINK \l _Toc12952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_Toc12952 \h </w:instrText>
      </w:r>
      <w:r>
        <w:fldChar w:fldCharType="separate"/>
      </w:r>
      <w:r>
        <w:t>13</w:t>
      </w:r>
      <w:r>
        <w:fldChar w:fldCharType="end"/>
      </w:r>
      <w:r>
        <w:fldChar w:fldCharType="end"/>
      </w:r>
    </w:p>
    <w:p>
      <w:pPr>
        <w:pStyle w:val="21"/>
        <w:tabs>
          <w:tab w:val="right" w:leader="dot" w:pos="9746"/>
          <w:tab w:val="clear" w:pos="0"/>
        </w:tabs>
      </w:pPr>
      <w:r>
        <w:fldChar w:fldCharType="begin"/>
      </w:r>
      <w:r>
        <w:instrText xml:space="preserve"> HYPERLINK \l _Toc30333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_Toc30333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_Toc31056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_Toc31056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_Toc3396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_Toc3396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_Toc9299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_Toc9299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_Toc11733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_Toc11733 \h </w:instrText>
      </w:r>
      <w:r>
        <w:fldChar w:fldCharType="separate"/>
      </w:r>
      <w:r>
        <w:t>17</w:t>
      </w:r>
      <w:r>
        <w:fldChar w:fldCharType="end"/>
      </w:r>
      <w:r>
        <w:fldChar w:fldCharType="end"/>
      </w:r>
    </w:p>
    <w:p>
      <w:pPr>
        <w:pStyle w:val="14"/>
        <w:tabs>
          <w:tab w:val="right" w:leader="dot" w:pos="9746"/>
          <w:tab w:val="clear" w:pos="0"/>
        </w:tabs>
      </w:pPr>
      <w:r>
        <w:fldChar w:fldCharType="begin"/>
      </w:r>
      <w:r>
        <w:instrText xml:space="preserve"> HYPERLINK \l _Toc3825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_Toc3825 \h </w:instrText>
      </w:r>
      <w:r>
        <w:fldChar w:fldCharType="separate"/>
      </w:r>
      <w:r>
        <w:t>17</w:t>
      </w:r>
      <w:r>
        <w:fldChar w:fldCharType="end"/>
      </w:r>
      <w:r>
        <w:fldChar w:fldCharType="end"/>
      </w:r>
    </w:p>
    <w:p>
      <w:pPr>
        <w:pStyle w:val="21"/>
        <w:tabs>
          <w:tab w:val="right" w:leader="dot" w:pos="9746"/>
          <w:tab w:val="clear" w:pos="0"/>
        </w:tabs>
      </w:pPr>
      <w:r>
        <w:fldChar w:fldCharType="begin"/>
      </w:r>
      <w:r>
        <w:instrText xml:space="preserve"> HYPERLINK \l _Toc30114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_Toc30114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_Toc23219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_Toc23219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_Toc31364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_Toc31364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_Toc7860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_Toc7860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_Toc5418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_Toc5418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_Toc32481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_Toc32481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_Toc14306 </w:instrText>
      </w:r>
      <w:r>
        <w:fldChar w:fldCharType="separate"/>
      </w:r>
      <w:r>
        <w:rPr>
          <w:rFonts w:hint="eastAsia" w:ascii="宋体" w:hAnsi="宋体" w:eastAsia="宋体" w:cs="宋体"/>
        </w:rPr>
        <w:t xml:space="preserve">(六) </w:t>
      </w:r>
      <w:r>
        <w:rPr>
          <w:rFonts w:hint="eastAsia"/>
        </w:rPr>
        <w:t>联合体磋商</w:t>
      </w:r>
      <w:r>
        <w:rPr>
          <w:rFonts w:hint="eastAsia"/>
          <w:lang w:val="zh-CN"/>
        </w:rPr>
        <w:t>(实质性要求)</w:t>
      </w:r>
      <w:r>
        <w:tab/>
      </w:r>
      <w:r>
        <w:fldChar w:fldCharType="begin"/>
      </w:r>
      <w:r>
        <w:instrText xml:space="preserve"> PAGEREF _Toc14306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_Toc21021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_Toc21021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_Toc31908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_Toc31908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_Toc30361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_Toc30361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_Toc11405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_Toc11405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_Toc11749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_Toc11749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_Toc21555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_Toc21555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_Toc26238 </w:instrText>
      </w:r>
      <w:r>
        <w:fldChar w:fldCharType="separate"/>
      </w:r>
      <w:r>
        <w:rPr>
          <w:rFonts w:hint="eastAsia" w:ascii="宋体" w:hAnsi="宋体" w:eastAsia="宋体" w:cs="宋体"/>
        </w:rPr>
        <w:t xml:space="preserve">(十三) </w:t>
      </w:r>
      <w:r>
        <w:rPr>
          <w:rFonts w:hint="eastAsia"/>
        </w:rPr>
        <w:t>磋商保证金</w:t>
      </w:r>
      <w:r>
        <w:tab/>
      </w:r>
      <w:r>
        <w:fldChar w:fldCharType="begin"/>
      </w:r>
      <w:r>
        <w:instrText xml:space="preserve"> PAGEREF _Toc26238 \h </w:instrText>
      </w:r>
      <w:r>
        <w:fldChar w:fldCharType="separate"/>
      </w:r>
      <w:r>
        <w:t>21</w:t>
      </w:r>
      <w:r>
        <w:fldChar w:fldCharType="end"/>
      </w:r>
      <w:r>
        <w:fldChar w:fldCharType="end"/>
      </w:r>
    </w:p>
    <w:p>
      <w:pPr>
        <w:pStyle w:val="21"/>
        <w:tabs>
          <w:tab w:val="right" w:leader="dot" w:pos="9746"/>
          <w:tab w:val="clear" w:pos="0"/>
        </w:tabs>
      </w:pPr>
      <w:r>
        <w:fldChar w:fldCharType="begin"/>
      </w:r>
      <w:r>
        <w:instrText xml:space="preserve"> HYPERLINK \l _Toc21354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_Toc21354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_Toc18158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_Toc18158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_Toc3196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_Toc3196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_Toc11953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_Toc11953 \h </w:instrText>
      </w:r>
      <w:r>
        <w:fldChar w:fldCharType="separate"/>
      </w:r>
      <w:r>
        <w:t>22</w:t>
      </w:r>
      <w:r>
        <w:fldChar w:fldCharType="end"/>
      </w:r>
      <w:r>
        <w:fldChar w:fldCharType="end"/>
      </w:r>
    </w:p>
    <w:p>
      <w:pPr>
        <w:pStyle w:val="21"/>
        <w:tabs>
          <w:tab w:val="right" w:leader="dot" w:pos="9746"/>
          <w:tab w:val="clear" w:pos="0"/>
        </w:tabs>
      </w:pPr>
      <w:r>
        <w:fldChar w:fldCharType="begin"/>
      </w:r>
      <w:r>
        <w:instrText xml:space="preserve"> HYPERLINK \l _Toc13798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_Toc13798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_Toc17276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_Toc17276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_Toc11018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_Toc11018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_Toc5537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_Toc5537 \h </w:instrText>
      </w:r>
      <w:r>
        <w:fldChar w:fldCharType="separate"/>
      </w:r>
      <w:r>
        <w:t>23</w:t>
      </w:r>
      <w:r>
        <w:fldChar w:fldCharType="end"/>
      </w:r>
      <w:r>
        <w:fldChar w:fldCharType="end"/>
      </w:r>
    </w:p>
    <w:p>
      <w:pPr>
        <w:pStyle w:val="21"/>
        <w:tabs>
          <w:tab w:val="right" w:leader="dot" w:pos="9746"/>
          <w:tab w:val="clear" w:pos="0"/>
        </w:tabs>
      </w:pPr>
      <w:r>
        <w:fldChar w:fldCharType="begin"/>
      </w:r>
      <w:r>
        <w:instrText xml:space="preserve"> HYPERLINK \l _Toc15234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_Toc15234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_Toc31905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_Toc31905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_Toc13809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_Toc13809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_Toc5413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_Toc5413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_Toc4750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_Toc4750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_Toc21497 </w:instrText>
      </w:r>
      <w:r>
        <w:fldChar w:fldCharType="separate"/>
      </w:r>
      <w:r>
        <w:rPr>
          <w:rFonts w:hint="eastAsia" w:ascii="宋体" w:hAnsi="宋体" w:eastAsia="宋体" w:cs="宋体"/>
        </w:rPr>
        <w:t xml:space="preserve">(五) </w:t>
      </w:r>
      <w:r>
        <w:rPr>
          <w:rFonts w:hint="eastAsia"/>
        </w:rPr>
        <w:t>合同公告</w:t>
      </w:r>
      <w:r>
        <w:tab/>
      </w:r>
      <w:r>
        <w:fldChar w:fldCharType="begin"/>
      </w:r>
      <w:r>
        <w:instrText xml:space="preserve"> PAGEREF _Toc21497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_Toc690 </w:instrText>
      </w:r>
      <w:r>
        <w:fldChar w:fldCharType="separate"/>
      </w:r>
      <w:r>
        <w:rPr>
          <w:rFonts w:hint="eastAsia" w:ascii="宋体" w:hAnsi="宋体" w:eastAsia="宋体" w:cs="宋体"/>
        </w:rPr>
        <w:t xml:space="preserve">(六) </w:t>
      </w:r>
      <w:r>
        <w:rPr>
          <w:rFonts w:hint="eastAsia"/>
        </w:rPr>
        <w:t>履行合同</w:t>
      </w:r>
      <w:r>
        <w:tab/>
      </w:r>
      <w:r>
        <w:fldChar w:fldCharType="begin"/>
      </w:r>
      <w:r>
        <w:instrText xml:space="preserve"> PAGEREF _Toc690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_Toc32200 </w:instrText>
      </w:r>
      <w:r>
        <w:fldChar w:fldCharType="separate"/>
      </w:r>
      <w:r>
        <w:rPr>
          <w:rFonts w:hint="eastAsia" w:ascii="宋体" w:hAnsi="宋体" w:eastAsia="宋体" w:cs="宋体"/>
        </w:rPr>
        <w:t xml:space="preserve">(七) </w:t>
      </w:r>
      <w:r>
        <w:rPr>
          <w:rFonts w:hint="eastAsia"/>
        </w:rPr>
        <w:t>付款方式及履约验收</w:t>
      </w:r>
      <w:r>
        <w:tab/>
      </w:r>
      <w:r>
        <w:fldChar w:fldCharType="begin"/>
      </w:r>
      <w:r>
        <w:instrText xml:space="preserve"> PAGEREF _Toc32200 \h </w:instrText>
      </w:r>
      <w:r>
        <w:fldChar w:fldCharType="separate"/>
      </w:r>
      <w:r>
        <w:t>24</w:t>
      </w:r>
      <w:r>
        <w:fldChar w:fldCharType="end"/>
      </w:r>
      <w:r>
        <w:fldChar w:fldCharType="end"/>
      </w:r>
    </w:p>
    <w:p>
      <w:pPr>
        <w:pStyle w:val="21"/>
        <w:tabs>
          <w:tab w:val="right" w:leader="dot" w:pos="9746"/>
          <w:tab w:val="clear" w:pos="0"/>
        </w:tabs>
      </w:pPr>
      <w:r>
        <w:fldChar w:fldCharType="begin"/>
      </w:r>
      <w:r>
        <w:instrText xml:space="preserve"> HYPERLINK \l _Toc5684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_Toc5684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_Toc4504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_Toc4504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_Toc27743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_Toc27743 \h </w:instrText>
      </w:r>
      <w:r>
        <w:fldChar w:fldCharType="separate"/>
      </w:r>
      <w:r>
        <w:t>25</w:t>
      </w:r>
      <w:r>
        <w:fldChar w:fldCharType="end"/>
      </w:r>
      <w:r>
        <w:fldChar w:fldCharType="end"/>
      </w:r>
    </w:p>
    <w:p>
      <w:pPr>
        <w:pStyle w:val="21"/>
        <w:tabs>
          <w:tab w:val="right" w:leader="dot" w:pos="9746"/>
          <w:tab w:val="clear" w:pos="0"/>
        </w:tabs>
      </w:pPr>
      <w:r>
        <w:fldChar w:fldCharType="begin"/>
      </w:r>
      <w:r>
        <w:instrText xml:space="preserve"> HYPERLINK \l _Toc25699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_Toc25699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_Toc21945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_Toc21945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_Toc24129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_Toc24129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_Toc13568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_Toc13568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_Toc3570 </w:instrText>
      </w:r>
      <w:r>
        <w:fldChar w:fldCharType="separate"/>
      </w:r>
      <w:r>
        <w:rPr>
          <w:rFonts w:hint="eastAsia" w:ascii="宋体" w:hAnsi="宋体" w:eastAsia="宋体" w:cs="宋体"/>
        </w:rPr>
        <w:t xml:space="preserve">(四) </w:t>
      </w:r>
      <w:r>
        <w:rPr>
          <w:rFonts w:hint="eastAsia"/>
        </w:rPr>
        <w:t>解释说明</w:t>
      </w:r>
      <w:r>
        <w:tab/>
      </w:r>
      <w:r>
        <w:fldChar w:fldCharType="begin"/>
      </w:r>
      <w:r>
        <w:instrText xml:space="preserve"> PAGEREF _Toc3570 \h </w:instrText>
      </w:r>
      <w:r>
        <w:fldChar w:fldCharType="separate"/>
      </w:r>
      <w:r>
        <w:t>26</w:t>
      </w:r>
      <w:r>
        <w:fldChar w:fldCharType="end"/>
      </w:r>
      <w:r>
        <w:fldChar w:fldCharType="end"/>
      </w:r>
    </w:p>
    <w:p>
      <w:pPr>
        <w:pStyle w:val="18"/>
        <w:tabs>
          <w:tab w:val="clear" w:pos="0"/>
        </w:tabs>
      </w:pPr>
      <w:r>
        <w:fldChar w:fldCharType="begin"/>
      </w:r>
      <w:r>
        <w:instrText xml:space="preserve"> HYPERLINK \l _Toc8448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_Toc8448 \h </w:instrText>
      </w:r>
      <w:r>
        <w:fldChar w:fldCharType="separate"/>
      </w:r>
      <w:r>
        <w:t>27</w:t>
      </w:r>
      <w:r>
        <w:fldChar w:fldCharType="end"/>
      </w:r>
      <w:r>
        <w:fldChar w:fldCharType="end"/>
      </w:r>
    </w:p>
    <w:p>
      <w:pPr>
        <w:pStyle w:val="21"/>
        <w:tabs>
          <w:tab w:val="right" w:leader="dot" w:pos="9746"/>
          <w:tab w:val="clear" w:pos="0"/>
        </w:tabs>
      </w:pPr>
      <w:r>
        <w:fldChar w:fldCharType="begin"/>
      </w:r>
      <w:r>
        <w:instrText xml:space="preserve"> HYPERLINK \l _Toc11736 </w:instrText>
      </w:r>
      <w:r>
        <w:fldChar w:fldCharType="separate"/>
      </w:r>
      <w:r>
        <w:rPr>
          <w:rFonts w:hint="eastAsia"/>
          <w:szCs w:val="32"/>
        </w:rPr>
        <w:t>第一部分 资格、资质性及其他类似效力响应文件(格式)</w:t>
      </w:r>
      <w:r>
        <w:tab/>
      </w:r>
      <w:r>
        <w:fldChar w:fldCharType="begin"/>
      </w:r>
      <w:r>
        <w:instrText xml:space="preserve"> PAGEREF _Toc11736 \h </w:instrText>
      </w:r>
      <w:r>
        <w:fldChar w:fldCharType="separate"/>
      </w:r>
      <w:r>
        <w:t>30</w:t>
      </w:r>
      <w:r>
        <w:fldChar w:fldCharType="end"/>
      </w:r>
      <w:r>
        <w:fldChar w:fldCharType="end"/>
      </w:r>
    </w:p>
    <w:p>
      <w:pPr>
        <w:pStyle w:val="14"/>
        <w:tabs>
          <w:tab w:val="right" w:leader="dot" w:pos="9746"/>
          <w:tab w:val="clear" w:pos="0"/>
        </w:tabs>
      </w:pPr>
      <w:r>
        <w:fldChar w:fldCharType="begin"/>
      </w:r>
      <w:r>
        <w:instrText xml:space="preserve"> HYPERLINK \l _Toc19872 </w:instrText>
      </w:r>
      <w:r>
        <w:fldChar w:fldCharType="separate"/>
      </w:r>
      <w:r>
        <w:rPr>
          <w:rFonts w:hint="eastAsia"/>
        </w:rPr>
        <w:t>一、 法定代表人/单位负责人授权书</w:t>
      </w:r>
      <w:r>
        <w:tab/>
      </w:r>
      <w:r>
        <w:fldChar w:fldCharType="begin"/>
      </w:r>
      <w:r>
        <w:instrText xml:space="preserve"> PAGEREF _Toc19872 \h </w:instrText>
      </w:r>
      <w:r>
        <w:fldChar w:fldCharType="separate"/>
      </w:r>
      <w:r>
        <w:t>31</w:t>
      </w:r>
      <w:r>
        <w:fldChar w:fldCharType="end"/>
      </w:r>
      <w:r>
        <w:fldChar w:fldCharType="end"/>
      </w:r>
    </w:p>
    <w:p>
      <w:pPr>
        <w:pStyle w:val="14"/>
        <w:tabs>
          <w:tab w:val="right" w:leader="dot" w:pos="9746"/>
          <w:tab w:val="clear" w:pos="0"/>
        </w:tabs>
      </w:pPr>
      <w:r>
        <w:fldChar w:fldCharType="begin"/>
      </w:r>
      <w:r>
        <w:instrText xml:space="preserve"> HYPERLINK \l _Toc15952 </w:instrText>
      </w:r>
      <w:r>
        <w:fldChar w:fldCharType="separate"/>
      </w:r>
      <w:r>
        <w:rPr>
          <w:rFonts w:hint="eastAsia"/>
        </w:rPr>
        <w:t>二、 法定代表人/单位负责人证明书</w:t>
      </w:r>
      <w:r>
        <w:tab/>
      </w:r>
      <w:r>
        <w:fldChar w:fldCharType="begin"/>
      </w:r>
      <w:r>
        <w:instrText xml:space="preserve"> PAGEREF _Toc15952 \h </w:instrText>
      </w:r>
      <w:r>
        <w:fldChar w:fldCharType="separate"/>
      </w:r>
      <w:r>
        <w:t>32</w:t>
      </w:r>
      <w:r>
        <w:fldChar w:fldCharType="end"/>
      </w:r>
      <w:r>
        <w:fldChar w:fldCharType="end"/>
      </w:r>
    </w:p>
    <w:p>
      <w:pPr>
        <w:pStyle w:val="14"/>
        <w:tabs>
          <w:tab w:val="right" w:leader="dot" w:pos="9746"/>
          <w:tab w:val="clear" w:pos="0"/>
        </w:tabs>
      </w:pPr>
      <w:r>
        <w:fldChar w:fldCharType="begin"/>
      </w:r>
      <w:r>
        <w:instrText xml:space="preserve"> HYPERLINK \l _Toc11802 </w:instrText>
      </w:r>
      <w:r>
        <w:fldChar w:fldCharType="separate"/>
      </w:r>
      <w:r>
        <w:rPr>
          <w:rFonts w:hint="eastAsia"/>
        </w:rPr>
        <w:t>三、 供应商具有独立承担民事责任的能力的证明材料</w:t>
      </w:r>
      <w:r>
        <w:tab/>
      </w:r>
      <w:r>
        <w:fldChar w:fldCharType="begin"/>
      </w:r>
      <w:r>
        <w:instrText xml:space="preserve"> PAGEREF _Toc11802 \h </w:instrText>
      </w:r>
      <w:r>
        <w:fldChar w:fldCharType="separate"/>
      </w:r>
      <w:r>
        <w:t>33</w:t>
      </w:r>
      <w:r>
        <w:fldChar w:fldCharType="end"/>
      </w:r>
      <w:r>
        <w:fldChar w:fldCharType="end"/>
      </w:r>
    </w:p>
    <w:p>
      <w:pPr>
        <w:pStyle w:val="14"/>
        <w:tabs>
          <w:tab w:val="right" w:leader="dot" w:pos="9746"/>
          <w:tab w:val="clear" w:pos="0"/>
        </w:tabs>
      </w:pPr>
      <w:r>
        <w:fldChar w:fldCharType="begin"/>
      </w:r>
      <w:r>
        <w:instrText xml:space="preserve"> HYPERLINK \l _Toc17692 </w:instrText>
      </w:r>
      <w:r>
        <w:fldChar w:fldCharType="separate"/>
      </w:r>
      <w:r>
        <w:rPr>
          <w:rFonts w:hint="eastAsia"/>
        </w:rPr>
        <w:t>四、 供应商具有良好的商业信誉和健全的财务会计制度的证明材料</w:t>
      </w:r>
      <w:r>
        <w:tab/>
      </w:r>
      <w:r>
        <w:fldChar w:fldCharType="begin"/>
      </w:r>
      <w:r>
        <w:instrText xml:space="preserve"> PAGEREF _Toc17692 \h </w:instrText>
      </w:r>
      <w:r>
        <w:fldChar w:fldCharType="separate"/>
      </w:r>
      <w:r>
        <w:t>34</w:t>
      </w:r>
      <w:r>
        <w:fldChar w:fldCharType="end"/>
      </w:r>
      <w:r>
        <w:fldChar w:fldCharType="end"/>
      </w:r>
    </w:p>
    <w:p>
      <w:pPr>
        <w:pStyle w:val="14"/>
        <w:tabs>
          <w:tab w:val="right" w:leader="dot" w:pos="9746"/>
          <w:tab w:val="clear" w:pos="0"/>
        </w:tabs>
      </w:pPr>
      <w:r>
        <w:fldChar w:fldCharType="begin"/>
      </w:r>
      <w:r>
        <w:instrText xml:space="preserve"> HYPERLINK \l _Toc2340 </w:instrText>
      </w:r>
      <w:r>
        <w:fldChar w:fldCharType="separate"/>
      </w:r>
      <w:r>
        <w:rPr>
          <w:rFonts w:hint="eastAsia"/>
        </w:rPr>
        <w:t>五、 供应商具有依法缴纳税收和社会保障资金的良好记录的证明材料</w:t>
      </w:r>
      <w:r>
        <w:tab/>
      </w:r>
      <w:r>
        <w:fldChar w:fldCharType="begin"/>
      </w:r>
      <w:r>
        <w:instrText xml:space="preserve"> PAGEREF _Toc2340 \h </w:instrText>
      </w:r>
      <w:r>
        <w:fldChar w:fldCharType="separate"/>
      </w:r>
      <w:r>
        <w:t>35</w:t>
      </w:r>
      <w:r>
        <w:fldChar w:fldCharType="end"/>
      </w:r>
      <w:r>
        <w:fldChar w:fldCharType="end"/>
      </w:r>
    </w:p>
    <w:p>
      <w:pPr>
        <w:pStyle w:val="14"/>
        <w:tabs>
          <w:tab w:val="right" w:leader="dot" w:pos="9746"/>
          <w:tab w:val="clear" w:pos="0"/>
        </w:tabs>
      </w:pPr>
      <w:r>
        <w:fldChar w:fldCharType="begin"/>
      </w:r>
      <w:r>
        <w:instrText xml:space="preserve"> HYPERLINK \l _Toc11606 </w:instrText>
      </w:r>
      <w:r>
        <w:fldChar w:fldCharType="separate"/>
      </w:r>
      <w:r>
        <w:rPr>
          <w:rFonts w:hint="eastAsia"/>
        </w:rPr>
        <w:t>六、 供应商具有履行合同所必需的设备和专业技术能力证明材料</w:t>
      </w:r>
      <w:r>
        <w:tab/>
      </w:r>
      <w:r>
        <w:fldChar w:fldCharType="begin"/>
      </w:r>
      <w:r>
        <w:instrText xml:space="preserve"> PAGEREF _Toc11606 \h </w:instrText>
      </w:r>
      <w:r>
        <w:fldChar w:fldCharType="separate"/>
      </w:r>
      <w:r>
        <w:t>36</w:t>
      </w:r>
      <w:r>
        <w:fldChar w:fldCharType="end"/>
      </w:r>
      <w:r>
        <w:fldChar w:fldCharType="end"/>
      </w:r>
    </w:p>
    <w:p>
      <w:pPr>
        <w:pStyle w:val="14"/>
        <w:tabs>
          <w:tab w:val="right" w:leader="dot" w:pos="9746"/>
          <w:tab w:val="clear" w:pos="0"/>
        </w:tabs>
      </w:pPr>
      <w:r>
        <w:fldChar w:fldCharType="begin"/>
      </w:r>
      <w:r>
        <w:instrText xml:space="preserve"> HYPERLINK \l _Toc3468 </w:instrText>
      </w:r>
      <w:r>
        <w:fldChar w:fldCharType="separate"/>
      </w:r>
      <w:r>
        <w:rPr>
          <w:rFonts w:hint="eastAsia"/>
        </w:rPr>
        <w:t>七、 供应商参加政府采购活动前三年内，在经营活动中没有重大违法记录的证明材料</w:t>
      </w:r>
      <w:r>
        <w:tab/>
      </w:r>
      <w:r>
        <w:fldChar w:fldCharType="begin"/>
      </w:r>
      <w:r>
        <w:instrText xml:space="preserve"> PAGEREF _Toc3468 \h </w:instrText>
      </w:r>
      <w:r>
        <w:fldChar w:fldCharType="separate"/>
      </w:r>
      <w:r>
        <w:t>37</w:t>
      </w:r>
      <w:r>
        <w:fldChar w:fldCharType="end"/>
      </w:r>
      <w:r>
        <w:fldChar w:fldCharType="end"/>
      </w:r>
    </w:p>
    <w:p>
      <w:pPr>
        <w:pStyle w:val="14"/>
        <w:tabs>
          <w:tab w:val="right" w:leader="dot" w:pos="9746"/>
          <w:tab w:val="clear" w:pos="0"/>
        </w:tabs>
      </w:pPr>
      <w:r>
        <w:fldChar w:fldCharType="begin"/>
      </w:r>
      <w:r>
        <w:instrText xml:space="preserve"> HYPERLINK \l _Toc28020 </w:instrText>
      </w:r>
      <w:r>
        <w:fldChar w:fldCharType="separate"/>
      </w:r>
      <w:r>
        <w:rPr>
          <w:rFonts w:hint="eastAsia"/>
          <w:lang w:val="zh-CN"/>
        </w:rPr>
        <w:t xml:space="preserve">八、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_Toc28020 \h </w:instrText>
      </w:r>
      <w:r>
        <w:fldChar w:fldCharType="separate"/>
      </w:r>
      <w:r>
        <w:t>38</w:t>
      </w:r>
      <w:r>
        <w:fldChar w:fldCharType="end"/>
      </w:r>
      <w:r>
        <w:fldChar w:fldCharType="end"/>
      </w:r>
    </w:p>
    <w:p>
      <w:pPr>
        <w:pStyle w:val="14"/>
        <w:tabs>
          <w:tab w:val="right" w:leader="dot" w:pos="9746"/>
          <w:tab w:val="clear" w:pos="0"/>
        </w:tabs>
      </w:pPr>
      <w:r>
        <w:fldChar w:fldCharType="begin"/>
      </w:r>
      <w:r>
        <w:instrText xml:space="preserve"> HYPERLINK \l _Toc22352 </w:instrText>
      </w:r>
      <w:r>
        <w:fldChar w:fldCharType="separate"/>
      </w:r>
      <w:r>
        <w:rPr>
          <w:rFonts w:hint="eastAsia"/>
          <w:w w:val="95"/>
        </w:rPr>
        <w:t>九、 符合《中华人民共和国政府采购法》第二十二条规定的条件的承诺及声明函</w:t>
      </w:r>
      <w:r>
        <w:tab/>
      </w:r>
      <w:r>
        <w:fldChar w:fldCharType="begin"/>
      </w:r>
      <w:r>
        <w:instrText xml:space="preserve"> PAGEREF _Toc22352 \h </w:instrText>
      </w:r>
      <w:r>
        <w:fldChar w:fldCharType="separate"/>
      </w:r>
      <w:r>
        <w:t>39</w:t>
      </w:r>
      <w:r>
        <w:fldChar w:fldCharType="end"/>
      </w:r>
      <w:r>
        <w:fldChar w:fldCharType="end"/>
      </w:r>
    </w:p>
    <w:p>
      <w:pPr>
        <w:pStyle w:val="14"/>
        <w:tabs>
          <w:tab w:val="right" w:leader="dot" w:pos="9746"/>
          <w:tab w:val="clear" w:pos="0"/>
        </w:tabs>
      </w:pPr>
      <w:r>
        <w:fldChar w:fldCharType="begin"/>
      </w:r>
      <w:r>
        <w:instrText xml:space="preserve"> HYPERLINK \l _Toc7022 </w:instrText>
      </w:r>
      <w:r>
        <w:fldChar w:fldCharType="separate"/>
      </w:r>
      <w:r>
        <w:rPr>
          <w:rFonts w:hint="eastAsia"/>
        </w:rPr>
        <w:t xml:space="preserve">十、 </w:t>
      </w:r>
      <w:r>
        <w:rPr>
          <w:rFonts w:hint="eastAsia"/>
          <w:w w:val="95"/>
        </w:rPr>
        <w:t>中小企业</w:t>
      </w:r>
      <w:r>
        <w:rPr>
          <w:rFonts w:hint="eastAsia"/>
        </w:rPr>
        <w:t>声明函(如涉及)</w:t>
      </w:r>
      <w:r>
        <w:tab/>
      </w:r>
      <w:r>
        <w:fldChar w:fldCharType="begin"/>
      </w:r>
      <w:r>
        <w:instrText xml:space="preserve"> PAGEREF _Toc7022 \h </w:instrText>
      </w:r>
      <w:r>
        <w:fldChar w:fldCharType="separate"/>
      </w:r>
      <w:r>
        <w:t>40</w:t>
      </w:r>
      <w:r>
        <w:fldChar w:fldCharType="end"/>
      </w:r>
      <w:r>
        <w:fldChar w:fldCharType="end"/>
      </w:r>
    </w:p>
    <w:p>
      <w:pPr>
        <w:pStyle w:val="14"/>
        <w:tabs>
          <w:tab w:val="right" w:leader="dot" w:pos="9746"/>
          <w:tab w:val="clear" w:pos="0"/>
        </w:tabs>
      </w:pPr>
      <w:r>
        <w:fldChar w:fldCharType="begin"/>
      </w:r>
      <w:r>
        <w:instrText xml:space="preserve"> HYPERLINK \l _Toc26627 </w:instrText>
      </w:r>
      <w:r>
        <w:fldChar w:fldCharType="separate"/>
      </w:r>
      <w:r>
        <w:rPr>
          <w:rFonts w:hint="eastAsia"/>
        </w:rPr>
        <w:t xml:space="preserve">十一、 </w:t>
      </w:r>
      <w:r>
        <w:rPr>
          <w:rFonts w:hint="eastAsia"/>
          <w:w w:val="95"/>
        </w:rPr>
        <w:t>监狱</w:t>
      </w:r>
      <w:r>
        <w:rPr>
          <w:rFonts w:hint="eastAsia"/>
        </w:rPr>
        <w:t>企业相关证明材料(如涉及)</w:t>
      </w:r>
      <w:r>
        <w:tab/>
      </w:r>
      <w:r>
        <w:fldChar w:fldCharType="begin"/>
      </w:r>
      <w:r>
        <w:instrText xml:space="preserve"> PAGEREF _Toc26627 \h </w:instrText>
      </w:r>
      <w:r>
        <w:fldChar w:fldCharType="separate"/>
      </w:r>
      <w:r>
        <w:t>41</w:t>
      </w:r>
      <w:r>
        <w:fldChar w:fldCharType="end"/>
      </w:r>
      <w:r>
        <w:fldChar w:fldCharType="end"/>
      </w:r>
    </w:p>
    <w:p>
      <w:pPr>
        <w:pStyle w:val="14"/>
        <w:tabs>
          <w:tab w:val="right" w:leader="dot" w:pos="9746"/>
          <w:tab w:val="clear" w:pos="0"/>
        </w:tabs>
      </w:pPr>
      <w:r>
        <w:fldChar w:fldCharType="begin"/>
      </w:r>
      <w:r>
        <w:instrText xml:space="preserve"> HYPERLINK \l _Toc27879 </w:instrText>
      </w:r>
      <w:r>
        <w:fldChar w:fldCharType="separate"/>
      </w:r>
      <w:r>
        <w:rPr>
          <w:rFonts w:hint="eastAsia"/>
        </w:rPr>
        <w:t>十二、 残疾人福利性单位声明函(如涉及)</w:t>
      </w:r>
      <w:r>
        <w:tab/>
      </w:r>
      <w:r>
        <w:fldChar w:fldCharType="begin"/>
      </w:r>
      <w:r>
        <w:instrText xml:space="preserve"> PAGEREF _Toc27879 \h </w:instrText>
      </w:r>
      <w:r>
        <w:fldChar w:fldCharType="separate"/>
      </w:r>
      <w:r>
        <w:t>42</w:t>
      </w:r>
      <w:r>
        <w:fldChar w:fldCharType="end"/>
      </w:r>
      <w:r>
        <w:fldChar w:fldCharType="end"/>
      </w:r>
    </w:p>
    <w:p>
      <w:pPr>
        <w:pStyle w:val="21"/>
        <w:tabs>
          <w:tab w:val="right" w:leader="dot" w:pos="9746"/>
          <w:tab w:val="clear" w:pos="0"/>
        </w:tabs>
      </w:pPr>
      <w:r>
        <w:fldChar w:fldCharType="begin"/>
      </w:r>
      <w:r>
        <w:instrText xml:space="preserve"> HYPERLINK \l _Toc27934 </w:instrText>
      </w:r>
      <w:r>
        <w:fldChar w:fldCharType="separate"/>
      </w:r>
      <w:r>
        <w:rPr>
          <w:rFonts w:hint="eastAsia"/>
          <w:szCs w:val="32"/>
        </w:rPr>
        <w:t>第二部分 其他响应文件(格式)</w:t>
      </w:r>
      <w:r>
        <w:tab/>
      </w:r>
      <w:r>
        <w:fldChar w:fldCharType="begin"/>
      </w:r>
      <w:r>
        <w:instrText xml:space="preserve"> PAGEREF _Toc27934 \h </w:instrText>
      </w:r>
      <w:r>
        <w:fldChar w:fldCharType="separate"/>
      </w:r>
      <w:r>
        <w:t>43</w:t>
      </w:r>
      <w:r>
        <w:fldChar w:fldCharType="end"/>
      </w:r>
      <w:r>
        <w:fldChar w:fldCharType="end"/>
      </w:r>
    </w:p>
    <w:p>
      <w:pPr>
        <w:pStyle w:val="14"/>
        <w:tabs>
          <w:tab w:val="right" w:leader="dot" w:pos="9746"/>
          <w:tab w:val="clear" w:pos="0"/>
        </w:tabs>
      </w:pPr>
      <w:r>
        <w:fldChar w:fldCharType="begin"/>
      </w:r>
      <w:r>
        <w:instrText xml:space="preserve"> HYPERLINK \l _Toc7040 </w:instrText>
      </w:r>
      <w:r>
        <w:fldChar w:fldCharType="separate"/>
      </w:r>
      <w:r>
        <w:rPr>
          <w:rFonts w:hint="eastAsia"/>
        </w:rPr>
        <w:t>一、 磋商函</w:t>
      </w:r>
      <w:r>
        <w:tab/>
      </w:r>
      <w:r>
        <w:fldChar w:fldCharType="begin"/>
      </w:r>
      <w:r>
        <w:instrText xml:space="preserve"> PAGEREF _Toc7040 \h </w:instrText>
      </w:r>
      <w:r>
        <w:fldChar w:fldCharType="separate"/>
      </w:r>
      <w:r>
        <w:t>44</w:t>
      </w:r>
      <w:r>
        <w:fldChar w:fldCharType="end"/>
      </w:r>
      <w:r>
        <w:fldChar w:fldCharType="end"/>
      </w:r>
    </w:p>
    <w:p>
      <w:pPr>
        <w:pStyle w:val="14"/>
        <w:tabs>
          <w:tab w:val="right" w:leader="dot" w:pos="9746"/>
          <w:tab w:val="clear" w:pos="0"/>
        </w:tabs>
      </w:pPr>
      <w:r>
        <w:fldChar w:fldCharType="begin"/>
      </w:r>
      <w:r>
        <w:instrText xml:space="preserve"> HYPERLINK \l _Toc12342 </w:instrText>
      </w:r>
      <w:r>
        <w:fldChar w:fldCharType="separate"/>
      </w:r>
      <w:r>
        <w:rPr>
          <w:rFonts w:hint="eastAsia"/>
        </w:rPr>
        <w:t>二、 承诺函(实质性要求)</w:t>
      </w:r>
      <w:r>
        <w:tab/>
      </w:r>
      <w:r>
        <w:fldChar w:fldCharType="begin"/>
      </w:r>
      <w:r>
        <w:instrText xml:space="preserve"> PAGEREF _Toc12342 \h </w:instrText>
      </w:r>
      <w:r>
        <w:fldChar w:fldCharType="separate"/>
      </w:r>
      <w:r>
        <w:t>45</w:t>
      </w:r>
      <w:r>
        <w:fldChar w:fldCharType="end"/>
      </w:r>
      <w:r>
        <w:fldChar w:fldCharType="end"/>
      </w:r>
    </w:p>
    <w:p>
      <w:pPr>
        <w:pStyle w:val="14"/>
        <w:tabs>
          <w:tab w:val="right" w:leader="dot" w:pos="9746"/>
          <w:tab w:val="clear" w:pos="0"/>
        </w:tabs>
      </w:pPr>
      <w:r>
        <w:fldChar w:fldCharType="begin"/>
      </w:r>
      <w:r>
        <w:instrText xml:space="preserve"> HYPERLINK \l _Toc19376 </w:instrText>
      </w:r>
      <w:r>
        <w:fldChar w:fldCharType="separate"/>
      </w:r>
      <w:r>
        <w:rPr>
          <w:rFonts w:hint="eastAsia"/>
        </w:rPr>
        <w:t>三、 供应商基本情况表</w:t>
      </w:r>
      <w:r>
        <w:tab/>
      </w:r>
      <w:r>
        <w:fldChar w:fldCharType="begin"/>
      </w:r>
      <w:r>
        <w:instrText xml:space="preserve"> PAGEREF _Toc19376 \h </w:instrText>
      </w:r>
      <w:r>
        <w:fldChar w:fldCharType="separate"/>
      </w:r>
      <w:r>
        <w:t>47</w:t>
      </w:r>
      <w:r>
        <w:fldChar w:fldCharType="end"/>
      </w:r>
      <w:r>
        <w:fldChar w:fldCharType="end"/>
      </w:r>
    </w:p>
    <w:p>
      <w:pPr>
        <w:pStyle w:val="14"/>
        <w:tabs>
          <w:tab w:val="right" w:leader="dot" w:pos="9746"/>
          <w:tab w:val="clear" w:pos="0"/>
        </w:tabs>
      </w:pPr>
      <w:r>
        <w:fldChar w:fldCharType="begin"/>
      </w:r>
      <w:r>
        <w:instrText xml:space="preserve"> HYPERLINK \l _Toc227 </w:instrText>
      </w:r>
      <w:r>
        <w:fldChar w:fldCharType="separate"/>
      </w:r>
      <w:r>
        <w:rPr>
          <w:rFonts w:hint="eastAsia"/>
        </w:rPr>
        <w:t>四、 商务应答表</w:t>
      </w:r>
      <w:r>
        <w:tab/>
      </w:r>
      <w:r>
        <w:fldChar w:fldCharType="begin"/>
      </w:r>
      <w:r>
        <w:instrText xml:space="preserve"> PAGEREF _Toc227 \h </w:instrText>
      </w:r>
      <w:r>
        <w:fldChar w:fldCharType="separate"/>
      </w:r>
      <w:r>
        <w:t>48</w:t>
      </w:r>
      <w:r>
        <w:fldChar w:fldCharType="end"/>
      </w:r>
      <w:r>
        <w:fldChar w:fldCharType="end"/>
      </w:r>
    </w:p>
    <w:p>
      <w:pPr>
        <w:pStyle w:val="14"/>
        <w:tabs>
          <w:tab w:val="right" w:leader="dot" w:pos="9746"/>
          <w:tab w:val="clear" w:pos="0"/>
        </w:tabs>
      </w:pPr>
      <w:r>
        <w:fldChar w:fldCharType="begin"/>
      </w:r>
      <w:r>
        <w:instrText xml:space="preserve"> HYPERLINK \l _Toc19733 </w:instrText>
      </w:r>
      <w:r>
        <w:fldChar w:fldCharType="separate"/>
      </w:r>
      <w:r>
        <w:rPr>
          <w:rFonts w:hint="eastAsia"/>
        </w:rPr>
        <w:t>五、 服务应答表</w:t>
      </w:r>
      <w:r>
        <w:tab/>
      </w:r>
      <w:r>
        <w:fldChar w:fldCharType="begin"/>
      </w:r>
      <w:r>
        <w:instrText xml:space="preserve"> PAGEREF _Toc19733 \h </w:instrText>
      </w:r>
      <w:r>
        <w:fldChar w:fldCharType="separate"/>
      </w:r>
      <w:r>
        <w:t>49</w:t>
      </w:r>
      <w:r>
        <w:fldChar w:fldCharType="end"/>
      </w:r>
      <w:r>
        <w:fldChar w:fldCharType="end"/>
      </w:r>
    </w:p>
    <w:p>
      <w:pPr>
        <w:pStyle w:val="14"/>
        <w:tabs>
          <w:tab w:val="right" w:leader="dot" w:pos="9746"/>
          <w:tab w:val="clear" w:pos="0"/>
        </w:tabs>
      </w:pPr>
      <w:r>
        <w:fldChar w:fldCharType="begin"/>
      </w:r>
      <w:r>
        <w:instrText xml:space="preserve"> HYPERLINK \l _Toc23816 </w:instrText>
      </w:r>
      <w:r>
        <w:fldChar w:fldCharType="separate"/>
      </w:r>
      <w:r>
        <w:rPr>
          <w:rFonts w:hint="eastAsia"/>
        </w:rPr>
        <w:t>六、 供应商针对本项目人员配置情况表</w:t>
      </w:r>
      <w:r>
        <w:tab/>
      </w:r>
      <w:r>
        <w:fldChar w:fldCharType="begin"/>
      </w:r>
      <w:r>
        <w:instrText xml:space="preserve"> PAGEREF _Toc23816 \h </w:instrText>
      </w:r>
      <w:r>
        <w:fldChar w:fldCharType="separate"/>
      </w:r>
      <w:r>
        <w:t>50</w:t>
      </w:r>
      <w:r>
        <w:fldChar w:fldCharType="end"/>
      </w:r>
      <w:r>
        <w:fldChar w:fldCharType="end"/>
      </w:r>
    </w:p>
    <w:p>
      <w:pPr>
        <w:pStyle w:val="14"/>
        <w:tabs>
          <w:tab w:val="right" w:leader="dot" w:pos="9746"/>
          <w:tab w:val="clear" w:pos="0"/>
        </w:tabs>
      </w:pPr>
      <w:r>
        <w:fldChar w:fldCharType="begin"/>
      </w:r>
      <w:r>
        <w:instrText xml:space="preserve"> HYPERLINK \l _Toc26568 </w:instrText>
      </w:r>
      <w:r>
        <w:fldChar w:fldCharType="separate"/>
      </w:r>
      <w:r>
        <w:rPr>
          <w:rFonts w:hint="eastAsia"/>
        </w:rPr>
        <w:t>七、 履约能力及相关证明</w:t>
      </w:r>
      <w:r>
        <w:tab/>
      </w:r>
      <w:r>
        <w:fldChar w:fldCharType="begin"/>
      </w:r>
      <w:r>
        <w:instrText xml:space="preserve"> PAGEREF _Toc26568 \h </w:instrText>
      </w:r>
      <w:r>
        <w:fldChar w:fldCharType="separate"/>
      </w:r>
      <w:r>
        <w:t>51</w:t>
      </w:r>
      <w:r>
        <w:fldChar w:fldCharType="end"/>
      </w:r>
      <w:r>
        <w:fldChar w:fldCharType="end"/>
      </w:r>
    </w:p>
    <w:p>
      <w:pPr>
        <w:pStyle w:val="14"/>
        <w:tabs>
          <w:tab w:val="right" w:leader="dot" w:pos="9746"/>
          <w:tab w:val="clear" w:pos="0"/>
        </w:tabs>
      </w:pPr>
      <w:r>
        <w:fldChar w:fldCharType="begin"/>
      </w:r>
      <w:r>
        <w:instrText xml:space="preserve"> HYPERLINK \l _Toc3889 </w:instrText>
      </w:r>
      <w:r>
        <w:fldChar w:fldCharType="separate"/>
      </w:r>
      <w:r>
        <w:rPr>
          <w:rFonts w:hint="eastAsia"/>
        </w:rPr>
        <w:t>八、 服务方案</w:t>
      </w:r>
      <w:r>
        <w:tab/>
      </w:r>
      <w:r>
        <w:fldChar w:fldCharType="begin"/>
      </w:r>
      <w:r>
        <w:instrText xml:space="preserve"> PAGEREF _Toc3889 \h </w:instrText>
      </w:r>
      <w:r>
        <w:fldChar w:fldCharType="separate"/>
      </w:r>
      <w:r>
        <w:t>52</w:t>
      </w:r>
      <w:r>
        <w:fldChar w:fldCharType="end"/>
      </w:r>
      <w:r>
        <w:fldChar w:fldCharType="end"/>
      </w:r>
    </w:p>
    <w:p>
      <w:pPr>
        <w:pStyle w:val="14"/>
        <w:tabs>
          <w:tab w:val="right" w:leader="dot" w:pos="9746"/>
          <w:tab w:val="clear" w:pos="0"/>
        </w:tabs>
      </w:pPr>
      <w:r>
        <w:fldChar w:fldCharType="begin"/>
      </w:r>
      <w:r>
        <w:instrText xml:space="preserve"> HYPERLINK \l _Toc7079 </w:instrText>
      </w:r>
      <w:r>
        <w:fldChar w:fldCharType="separate"/>
      </w:r>
      <w:r>
        <w:rPr>
          <w:rFonts w:hint="eastAsia"/>
        </w:rPr>
        <w:t>九、 报价表</w:t>
      </w:r>
      <w:r>
        <w:tab/>
      </w:r>
      <w:r>
        <w:fldChar w:fldCharType="begin"/>
      </w:r>
      <w:r>
        <w:instrText xml:space="preserve"> PAGEREF _Toc7079 \h </w:instrText>
      </w:r>
      <w:r>
        <w:fldChar w:fldCharType="separate"/>
      </w:r>
      <w:r>
        <w:t>53</w:t>
      </w:r>
      <w:r>
        <w:fldChar w:fldCharType="end"/>
      </w:r>
      <w:r>
        <w:fldChar w:fldCharType="end"/>
      </w:r>
    </w:p>
    <w:p>
      <w:pPr>
        <w:pStyle w:val="18"/>
        <w:tabs>
          <w:tab w:val="clear" w:pos="0"/>
        </w:tabs>
      </w:pPr>
      <w:r>
        <w:fldChar w:fldCharType="begin"/>
      </w:r>
      <w:r>
        <w:instrText xml:space="preserve"> HYPERLINK \l _Toc8484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_Toc8484 \h </w:instrText>
      </w:r>
      <w:r>
        <w:fldChar w:fldCharType="separate"/>
      </w:r>
      <w:r>
        <w:t>54</w:t>
      </w:r>
      <w:r>
        <w:fldChar w:fldCharType="end"/>
      </w:r>
      <w:r>
        <w:fldChar w:fldCharType="end"/>
      </w:r>
    </w:p>
    <w:p>
      <w:pPr>
        <w:pStyle w:val="18"/>
        <w:tabs>
          <w:tab w:val="clear" w:pos="0"/>
        </w:tabs>
      </w:pPr>
      <w:r>
        <w:fldChar w:fldCharType="begin"/>
      </w:r>
      <w:r>
        <w:instrText xml:space="preserve"> HYPERLINK \l _Toc14140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_Toc14140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_Toc19381 </w:instrText>
      </w:r>
      <w:r>
        <w:fldChar w:fldCharType="separate"/>
      </w:r>
      <w:r>
        <w:rPr>
          <w:rFonts w:hint="eastAsia" w:ascii="宋体" w:hAnsi="宋体" w:eastAsia="宋体" w:cs="宋体"/>
        </w:rPr>
        <w:t xml:space="preserve">一、 </w:t>
      </w:r>
      <w:r>
        <w:rPr>
          <w:rFonts w:hint="eastAsia"/>
        </w:rPr>
        <w:t>项目概述</w:t>
      </w:r>
      <w:r>
        <w:tab/>
      </w:r>
      <w:r>
        <w:fldChar w:fldCharType="begin"/>
      </w:r>
      <w:r>
        <w:instrText xml:space="preserve"> PAGEREF _Toc19381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_Toc27322 </w:instrText>
      </w:r>
      <w:r>
        <w:fldChar w:fldCharType="separate"/>
      </w:r>
      <w:r>
        <w:rPr>
          <w:rFonts w:hint="eastAsia" w:ascii="宋体" w:hAnsi="宋体" w:eastAsia="宋体" w:cs="宋体"/>
        </w:rPr>
        <w:t xml:space="preserve">二、 </w:t>
      </w:r>
      <w:r>
        <w:rPr>
          <w:rFonts w:hint="eastAsia"/>
        </w:rPr>
        <w:t>★项目服务内容及要求</w:t>
      </w:r>
      <w:r>
        <w:tab/>
      </w:r>
      <w:r>
        <w:fldChar w:fldCharType="begin"/>
      </w:r>
      <w:r>
        <w:instrText xml:space="preserve"> PAGEREF _Toc27322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_Toc5710 </w:instrText>
      </w:r>
      <w:r>
        <w:fldChar w:fldCharType="separate"/>
      </w:r>
      <w:r>
        <w:rPr>
          <w:rFonts w:hint="eastAsia" w:ascii="宋体" w:hAnsi="宋体" w:eastAsia="宋体" w:cs="宋体"/>
        </w:rPr>
        <w:t xml:space="preserve">三、 </w:t>
      </w:r>
      <w:r>
        <w:rPr>
          <w:rFonts w:hint="eastAsia" w:cs="宋体"/>
        </w:rPr>
        <w:t>履约能力要求</w:t>
      </w:r>
      <w:r>
        <w:tab/>
      </w:r>
      <w:r>
        <w:fldChar w:fldCharType="begin"/>
      </w:r>
      <w:r>
        <w:instrText xml:space="preserve"> PAGEREF _Toc5710 \h </w:instrText>
      </w:r>
      <w:r>
        <w:fldChar w:fldCharType="separate"/>
      </w:r>
      <w:r>
        <w:t>59</w:t>
      </w:r>
      <w:r>
        <w:fldChar w:fldCharType="end"/>
      </w:r>
      <w:r>
        <w:fldChar w:fldCharType="end"/>
      </w:r>
    </w:p>
    <w:p>
      <w:pPr>
        <w:pStyle w:val="14"/>
        <w:tabs>
          <w:tab w:val="right" w:leader="dot" w:pos="9746"/>
          <w:tab w:val="clear" w:pos="0"/>
        </w:tabs>
      </w:pPr>
      <w:r>
        <w:fldChar w:fldCharType="begin"/>
      </w:r>
      <w:r>
        <w:instrText xml:space="preserve"> HYPERLINK \l _Toc24535 </w:instrText>
      </w:r>
      <w:r>
        <w:fldChar w:fldCharType="separate"/>
      </w:r>
      <w:r>
        <w:rPr>
          <w:rFonts w:hint="eastAsia" w:ascii="宋体" w:hAnsi="宋体" w:eastAsia="宋体" w:cs="宋体"/>
          <w:snapToGrid w:val="0"/>
        </w:rPr>
        <w:t xml:space="preserve">(一) </w:t>
      </w:r>
      <w:r>
        <w:rPr>
          <w:rFonts w:hint="eastAsia" w:cs="宋体"/>
          <w:snapToGrid w:val="0"/>
        </w:rPr>
        <w:t>履约能力</w:t>
      </w:r>
      <w:r>
        <w:tab/>
      </w:r>
      <w:r>
        <w:fldChar w:fldCharType="begin"/>
      </w:r>
      <w:r>
        <w:instrText xml:space="preserve"> PAGEREF _Toc24535 \h </w:instrText>
      </w:r>
      <w:r>
        <w:fldChar w:fldCharType="separate"/>
      </w:r>
      <w:r>
        <w:t>59</w:t>
      </w:r>
      <w:r>
        <w:fldChar w:fldCharType="end"/>
      </w:r>
      <w:r>
        <w:fldChar w:fldCharType="end"/>
      </w:r>
    </w:p>
    <w:p>
      <w:pPr>
        <w:pStyle w:val="14"/>
        <w:tabs>
          <w:tab w:val="right" w:leader="dot" w:pos="9746"/>
          <w:tab w:val="clear" w:pos="0"/>
        </w:tabs>
      </w:pPr>
      <w:r>
        <w:fldChar w:fldCharType="begin"/>
      </w:r>
      <w:r>
        <w:instrText xml:space="preserve"> HYPERLINK \l _Toc11229 </w:instrText>
      </w:r>
      <w:r>
        <w:fldChar w:fldCharType="separate"/>
      </w:r>
      <w:r>
        <w:rPr>
          <w:rFonts w:hint="eastAsia" w:ascii="宋体" w:hAnsi="宋体" w:eastAsia="宋体" w:cs="宋体"/>
          <w:snapToGrid w:val="0"/>
        </w:rPr>
        <w:t xml:space="preserve">(二) </w:t>
      </w:r>
      <w:r>
        <w:rPr>
          <w:rFonts w:hint="eastAsia" w:cs="宋体"/>
          <w:snapToGrid w:val="0"/>
        </w:rPr>
        <w:t>服务方案</w:t>
      </w:r>
      <w:r>
        <w:tab/>
      </w:r>
      <w:r>
        <w:fldChar w:fldCharType="begin"/>
      </w:r>
      <w:r>
        <w:instrText xml:space="preserve"> PAGEREF _Toc11229 \h </w:instrText>
      </w:r>
      <w:r>
        <w:fldChar w:fldCharType="separate"/>
      </w:r>
      <w:r>
        <w:t>59</w:t>
      </w:r>
      <w:r>
        <w:fldChar w:fldCharType="end"/>
      </w:r>
      <w:r>
        <w:fldChar w:fldCharType="end"/>
      </w:r>
    </w:p>
    <w:p>
      <w:pPr>
        <w:pStyle w:val="21"/>
        <w:tabs>
          <w:tab w:val="right" w:leader="dot" w:pos="9746"/>
          <w:tab w:val="clear" w:pos="0"/>
        </w:tabs>
      </w:pPr>
      <w:r>
        <w:fldChar w:fldCharType="begin"/>
      </w:r>
      <w:r>
        <w:instrText xml:space="preserve"> HYPERLINK \l _Toc26006 </w:instrText>
      </w:r>
      <w:r>
        <w:fldChar w:fldCharType="separate"/>
      </w:r>
      <w:r>
        <w:rPr>
          <w:rFonts w:hint="eastAsia" w:ascii="宋体" w:hAnsi="宋体" w:eastAsia="宋体" w:cs="宋体"/>
        </w:rPr>
        <w:t xml:space="preserve">四、 </w:t>
      </w:r>
      <w:r>
        <w:rPr>
          <w:rFonts w:hint="eastAsia"/>
        </w:rPr>
        <w:t>★履约时间及方式</w:t>
      </w:r>
      <w:r>
        <w:tab/>
      </w:r>
      <w:r>
        <w:fldChar w:fldCharType="begin"/>
      </w:r>
      <w:r>
        <w:instrText xml:space="preserve"> PAGEREF _Toc26006 \h </w:instrText>
      </w:r>
      <w:r>
        <w:fldChar w:fldCharType="separate"/>
      </w:r>
      <w:r>
        <w:t>59</w:t>
      </w:r>
      <w:r>
        <w:fldChar w:fldCharType="end"/>
      </w:r>
      <w:r>
        <w:fldChar w:fldCharType="end"/>
      </w:r>
    </w:p>
    <w:p>
      <w:pPr>
        <w:pStyle w:val="21"/>
        <w:tabs>
          <w:tab w:val="right" w:leader="dot" w:pos="9746"/>
          <w:tab w:val="clear" w:pos="0"/>
        </w:tabs>
      </w:pPr>
      <w:r>
        <w:fldChar w:fldCharType="begin"/>
      </w:r>
      <w:r>
        <w:instrText xml:space="preserve"> HYPERLINK \l _Toc22527 </w:instrText>
      </w:r>
      <w:r>
        <w:fldChar w:fldCharType="separate"/>
      </w:r>
      <w:r>
        <w:rPr>
          <w:rFonts w:hint="eastAsia" w:ascii="宋体" w:hAnsi="宋体" w:eastAsia="宋体" w:cs="宋体"/>
        </w:rPr>
        <w:t xml:space="preserve">五、 </w:t>
      </w:r>
      <w:r>
        <w:rPr>
          <w:rFonts w:hint="eastAsia" w:asciiTheme="minorEastAsia" w:hAnsiTheme="minorEastAsia" w:eastAsiaTheme="minorEastAsia" w:cstheme="minorEastAsia"/>
          <w:bCs/>
        </w:rPr>
        <w:t>★</w:t>
      </w:r>
      <w:r>
        <w:rPr>
          <w:rFonts w:hint="eastAsia"/>
        </w:rPr>
        <w:t>商务要求</w:t>
      </w:r>
      <w:r>
        <w:tab/>
      </w:r>
      <w:r>
        <w:fldChar w:fldCharType="begin"/>
      </w:r>
      <w:r>
        <w:instrText xml:space="preserve"> PAGEREF _Toc22527 \h </w:instrText>
      </w:r>
      <w:r>
        <w:fldChar w:fldCharType="separate"/>
      </w:r>
      <w:r>
        <w:t>59</w:t>
      </w:r>
      <w:r>
        <w:fldChar w:fldCharType="end"/>
      </w:r>
      <w:r>
        <w:fldChar w:fldCharType="end"/>
      </w:r>
    </w:p>
    <w:p>
      <w:pPr>
        <w:pStyle w:val="21"/>
        <w:tabs>
          <w:tab w:val="right" w:leader="dot" w:pos="9746"/>
          <w:tab w:val="clear" w:pos="0"/>
        </w:tabs>
      </w:pPr>
      <w:r>
        <w:fldChar w:fldCharType="begin"/>
      </w:r>
      <w:r>
        <w:instrText xml:space="preserve"> HYPERLINK \l _Toc30521 </w:instrText>
      </w:r>
      <w:r>
        <w:fldChar w:fldCharType="separate"/>
      </w:r>
      <w:r>
        <w:rPr>
          <w:rFonts w:hint="eastAsia" w:ascii="宋体" w:hAnsi="宋体" w:eastAsia="宋体" w:cs="宋体"/>
        </w:rPr>
        <w:t xml:space="preserve">六、 </w:t>
      </w:r>
      <w:r>
        <w:rPr>
          <w:rFonts w:hint="eastAsia"/>
        </w:rPr>
        <w:t>★其他要求</w:t>
      </w:r>
      <w:r>
        <w:tab/>
      </w:r>
      <w:r>
        <w:fldChar w:fldCharType="begin"/>
      </w:r>
      <w:r>
        <w:instrText xml:space="preserve"> PAGEREF _Toc30521 \h </w:instrText>
      </w:r>
      <w:r>
        <w:fldChar w:fldCharType="separate"/>
      </w:r>
      <w:r>
        <w:t>60</w:t>
      </w:r>
      <w:r>
        <w:fldChar w:fldCharType="end"/>
      </w:r>
      <w:r>
        <w:fldChar w:fldCharType="end"/>
      </w:r>
    </w:p>
    <w:p>
      <w:pPr>
        <w:pStyle w:val="21"/>
        <w:tabs>
          <w:tab w:val="right" w:leader="dot" w:pos="9746"/>
          <w:tab w:val="clear" w:pos="0"/>
        </w:tabs>
      </w:pPr>
      <w:r>
        <w:fldChar w:fldCharType="begin"/>
      </w:r>
      <w:r>
        <w:instrText xml:space="preserve"> HYPERLINK \l _Toc30362 </w:instrText>
      </w:r>
      <w:r>
        <w:fldChar w:fldCharType="separate"/>
      </w:r>
      <w:r>
        <w:rPr>
          <w:rFonts w:hint="eastAsia" w:ascii="宋体" w:hAnsi="宋体" w:eastAsia="宋体" w:cs="宋体"/>
        </w:rPr>
        <w:t xml:space="preserve">七、 </w:t>
      </w:r>
      <w:r>
        <w:rPr>
          <w:rFonts w:hint="eastAsia"/>
        </w:rPr>
        <w:t>★履约验收</w:t>
      </w:r>
      <w:r>
        <w:tab/>
      </w:r>
      <w:r>
        <w:fldChar w:fldCharType="begin"/>
      </w:r>
      <w:r>
        <w:instrText xml:space="preserve"> PAGEREF _Toc30362 \h </w:instrText>
      </w:r>
      <w:r>
        <w:fldChar w:fldCharType="separate"/>
      </w:r>
      <w:r>
        <w:t>61</w:t>
      </w:r>
      <w:r>
        <w:fldChar w:fldCharType="end"/>
      </w:r>
      <w:r>
        <w:fldChar w:fldCharType="end"/>
      </w:r>
    </w:p>
    <w:p>
      <w:pPr>
        <w:pStyle w:val="18"/>
        <w:tabs>
          <w:tab w:val="clear" w:pos="0"/>
        </w:tabs>
      </w:pPr>
      <w:r>
        <w:fldChar w:fldCharType="begin"/>
      </w:r>
      <w:r>
        <w:instrText xml:space="preserve"> HYPERLINK \l _Toc24567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_Toc24567 \h </w:instrText>
      </w:r>
      <w:r>
        <w:fldChar w:fldCharType="separate"/>
      </w:r>
      <w:r>
        <w:t>63</w:t>
      </w:r>
      <w:r>
        <w:fldChar w:fldCharType="end"/>
      </w:r>
      <w:r>
        <w:fldChar w:fldCharType="end"/>
      </w:r>
    </w:p>
    <w:p>
      <w:pPr>
        <w:pStyle w:val="18"/>
        <w:tabs>
          <w:tab w:val="clear" w:pos="0"/>
        </w:tabs>
      </w:pPr>
      <w:r>
        <w:fldChar w:fldCharType="begin"/>
      </w:r>
      <w:r>
        <w:instrText xml:space="preserve"> HYPERLINK \l _Toc12623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_Toc12623 \h </w:instrText>
      </w:r>
      <w:r>
        <w:fldChar w:fldCharType="separate"/>
      </w:r>
      <w:r>
        <w:t>64</w:t>
      </w:r>
      <w:r>
        <w:fldChar w:fldCharType="end"/>
      </w:r>
      <w:r>
        <w:fldChar w:fldCharType="end"/>
      </w:r>
    </w:p>
    <w:p>
      <w:pPr>
        <w:pStyle w:val="21"/>
        <w:tabs>
          <w:tab w:val="right" w:leader="dot" w:pos="9746"/>
          <w:tab w:val="clear" w:pos="0"/>
        </w:tabs>
      </w:pPr>
      <w:r>
        <w:fldChar w:fldCharType="begin"/>
      </w:r>
      <w:r>
        <w:instrText xml:space="preserve"> HYPERLINK \l _Toc2345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_Toc2345 \h </w:instrText>
      </w:r>
      <w:r>
        <w:fldChar w:fldCharType="separate"/>
      </w:r>
      <w:r>
        <w:t>64</w:t>
      </w:r>
      <w:r>
        <w:fldChar w:fldCharType="end"/>
      </w:r>
      <w:r>
        <w:fldChar w:fldCharType="end"/>
      </w:r>
    </w:p>
    <w:p>
      <w:pPr>
        <w:pStyle w:val="21"/>
        <w:tabs>
          <w:tab w:val="right" w:leader="dot" w:pos="9746"/>
          <w:tab w:val="clear" w:pos="0"/>
        </w:tabs>
      </w:pPr>
      <w:r>
        <w:fldChar w:fldCharType="begin"/>
      </w:r>
      <w:r>
        <w:instrText xml:space="preserve"> HYPERLINK \l _Toc357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_Toc357 \h </w:instrText>
      </w:r>
      <w:r>
        <w:fldChar w:fldCharType="separate"/>
      </w:r>
      <w:r>
        <w:t>64</w:t>
      </w:r>
      <w:r>
        <w:fldChar w:fldCharType="end"/>
      </w:r>
      <w:r>
        <w:fldChar w:fldCharType="end"/>
      </w:r>
    </w:p>
    <w:p>
      <w:pPr>
        <w:pStyle w:val="21"/>
        <w:tabs>
          <w:tab w:val="right" w:leader="dot" w:pos="9746"/>
          <w:tab w:val="clear" w:pos="0"/>
        </w:tabs>
      </w:pPr>
      <w:r>
        <w:fldChar w:fldCharType="begin"/>
      </w:r>
      <w:r>
        <w:instrText xml:space="preserve"> HYPERLINK \l _Toc12038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_Toc12038 \h </w:instrText>
      </w:r>
      <w:r>
        <w:fldChar w:fldCharType="separate"/>
      </w:r>
      <w:r>
        <w:t>64</w:t>
      </w:r>
      <w:r>
        <w:fldChar w:fldCharType="end"/>
      </w:r>
      <w:r>
        <w:fldChar w:fldCharType="end"/>
      </w:r>
    </w:p>
    <w:p>
      <w:pPr>
        <w:pStyle w:val="14"/>
        <w:tabs>
          <w:tab w:val="right" w:leader="dot" w:pos="9746"/>
          <w:tab w:val="clear" w:pos="0"/>
        </w:tabs>
      </w:pPr>
      <w:r>
        <w:fldChar w:fldCharType="begin"/>
      </w:r>
      <w:r>
        <w:instrText xml:space="preserve"> HYPERLINK \l _Toc25112 </w:instrText>
      </w:r>
      <w:r>
        <w:fldChar w:fldCharType="separate"/>
      </w:r>
      <w:r>
        <w:rPr>
          <w:rFonts w:hint="eastAsia" w:ascii="宋体" w:hAnsi="宋体" w:eastAsia="宋体" w:cs="宋体"/>
        </w:rPr>
        <w:t xml:space="preserve">(一) </w:t>
      </w:r>
      <w:r>
        <w:rPr>
          <w:rFonts w:hint="eastAsia"/>
        </w:rPr>
        <w:t>供应商资格审查</w:t>
      </w:r>
      <w:r>
        <w:tab/>
      </w:r>
      <w:r>
        <w:fldChar w:fldCharType="begin"/>
      </w:r>
      <w:r>
        <w:instrText xml:space="preserve"> PAGEREF _Toc25112 \h </w:instrText>
      </w:r>
      <w:r>
        <w:fldChar w:fldCharType="separate"/>
      </w:r>
      <w:r>
        <w:t>64</w:t>
      </w:r>
      <w:r>
        <w:fldChar w:fldCharType="end"/>
      </w:r>
      <w:r>
        <w:fldChar w:fldCharType="end"/>
      </w:r>
    </w:p>
    <w:p>
      <w:pPr>
        <w:pStyle w:val="14"/>
        <w:tabs>
          <w:tab w:val="right" w:leader="dot" w:pos="9746"/>
          <w:tab w:val="clear" w:pos="0"/>
        </w:tabs>
      </w:pPr>
      <w:r>
        <w:fldChar w:fldCharType="begin"/>
      </w:r>
      <w:r>
        <w:instrText xml:space="preserve"> HYPERLINK \l _Toc22573 </w:instrText>
      </w:r>
      <w:r>
        <w:fldChar w:fldCharType="separate"/>
      </w:r>
      <w:r>
        <w:rPr>
          <w:rFonts w:hint="eastAsia" w:ascii="宋体" w:hAnsi="宋体" w:eastAsia="宋体" w:cs="宋体"/>
        </w:rPr>
        <w:t xml:space="preserve">(二) </w:t>
      </w:r>
      <w:r>
        <w:rPr>
          <w:rFonts w:hint="eastAsia"/>
        </w:rPr>
        <w:t>磋商</w:t>
      </w:r>
      <w:r>
        <w:tab/>
      </w:r>
      <w:r>
        <w:fldChar w:fldCharType="begin"/>
      </w:r>
      <w:r>
        <w:instrText xml:space="preserve"> PAGEREF _Toc22573 \h </w:instrText>
      </w:r>
      <w:r>
        <w:fldChar w:fldCharType="separate"/>
      </w:r>
      <w:r>
        <w:t>65</w:t>
      </w:r>
      <w:r>
        <w:fldChar w:fldCharType="end"/>
      </w:r>
      <w:r>
        <w:fldChar w:fldCharType="end"/>
      </w:r>
    </w:p>
    <w:p>
      <w:pPr>
        <w:pStyle w:val="14"/>
        <w:tabs>
          <w:tab w:val="right" w:leader="dot" w:pos="9746"/>
          <w:tab w:val="clear" w:pos="0"/>
        </w:tabs>
      </w:pPr>
      <w:r>
        <w:fldChar w:fldCharType="begin"/>
      </w:r>
      <w:r>
        <w:instrText xml:space="preserve"> HYPERLINK \l _Toc16000 </w:instrText>
      </w:r>
      <w:r>
        <w:fldChar w:fldCharType="separate"/>
      </w:r>
      <w:r>
        <w:rPr>
          <w:rFonts w:hint="eastAsia" w:ascii="宋体" w:hAnsi="宋体" w:eastAsia="宋体" w:cs="宋体"/>
        </w:rPr>
        <w:t xml:space="preserve">(三) </w:t>
      </w:r>
      <w:r>
        <w:rPr>
          <w:rFonts w:hint="eastAsia"/>
        </w:rPr>
        <w:t>采购活动终止</w:t>
      </w:r>
      <w:r>
        <w:tab/>
      </w:r>
      <w:r>
        <w:fldChar w:fldCharType="begin"/>
      </w:r>
      <w:r>
        <w:instrText xml:space="preserve"> PAGEREF _Toc16000 \h </w:instrText>
      </w:r>
      <w:r>
        <w:fldChar w:fldCharType="separate"/>
      </w:r>
      <w:r>
        <w:t>66</w:t>
      </w:r>
      <w:r>
        <w:fldChar w:fldCharType="end"/>
      </w:r>
      <w:r>
        <w:fldChar w:fldCharType="end"/>
      </w:r>
    </w:p>
    <w:p>
      <w:pPr>
        <w:pStyle w:val="14"/>
        <w:tabs>
          <w:tab w:val="right" w:leader="dot" w:pos="9746"/>
          <w:tab w:val="clear" w:pos="0"/>
        </w:tabs>
      </w:pPr>
      <w:r>
        <w:fldChar w:fldCharType="begin"/>
      </w:r>
      <w:r>
        <w:instrText xml:space="preserve"> HYPERLINK \l _Toc3720 </w:instrText>
      </w:r>
      <w:r>
        <w:fldChar w:fldCharType="separate"/>
      </w:r>
      <w:r>
        <w:rPr>
          <w:rFonts w:hint="eastAsia" w:ascii="宋体" w:hAnsi="宋体" w:eastAsia="宋体" w:cs="宋体"/>
        </w:rPr>
        <w:t xml:space="preserve">(四) </w:t>
      </w:r>
      <w:r>
        <w:rPr>
          <w:rFonts w:hint="eastAsia"/>
        </w:rPr>
        <w:t>报价</w:t>
      </w:r>
      <w:r>
        <w:tab/>
      </w:r>
      <w:r>
        <w:fldChar w:fldCharType="begin"/>
      </w:r>
      <w:r>
        <w:instrText xml:space="preserve"> PAGEREF _Toc3720 \h </w:instrText>
      </w:r>
      <w:r>
        <w:fldChar w:fldCharType="separate"/>
      </w:r>
      <w:r>
        <w:t>66</w:t>
      </w:r>
      <w:r>
        <w:fldChar w:fldCharType="end"/>
      </w:r>
      <w:r>
        <w:fldChar w:fldCharType="end"/>
      </w:r>
    </w:p>
    <w:p>
      <w:pPr>
        <w:pStyle w:val="14"/>
        <w:tabs>
          <w:tab w:val="right" w:leader="dot" w:pos="9746"/>
          <w:tab w:val="clear" w:pos="0"/>
        </w:tabs>
      </w:pPr>
      <w:r>
        <w:fldChar w:fldCharType="begin"/>
      </w:r>
      <w:r>
        <w:instrText xml:space="preserve"> HYPERLINK \l _Toc16217 </w:instrText>
      </w:r>
      <w:r>
        <w:fldChar w:fldCharType="separate"/>
      </w:r>
      <w:r>
        <w:rPr>
          <w:rFonts w:hint="eastAsia" w:ascii="宋体" w:hAnsi="宋体" w:eastAsia="宋体" w:cs="宋体"/>
        </w:rPr>
        <w:t xml:space="preserve">(五) </w:t>
      </w:r>
      <w:r>
        <w:rPr>
          <w:rFonts w:hint="eastAsia"/>
        </w:rPr>
        <w:t>评审方法</w:t>
      </w:r>
      <w:r>
        <w:tab/>
      </w:r>
      <w:r>
        <w:fldChar w:fldCharType="begin"/>
      </w:r>
      <w:r>
        <w:instrText xml:space="preserve"> PAGEREF _Toc16217 \h </w:instrText>
      </w:r>
      <w:r>
        <w:fldChar w:fldCharType="separate"/>
      </w:r>
      <w:r>
        <w:t>67</w:t>
      </w:r>
      <w:r>
        <w:fldChar w:fldCharType="end"/>
      </w:r>
      <w:r>
        <w:fldChar w:fldCharType="end"/>
      </w:r>
    </w:p>
    <w:p>
      <w:pPr>
        <w:pStyle w:val="14"/>
        <w:tabs>
          <w:tab w:val="right" w:leader="dot" w:pos="9746"/>
          <w:tab w:val="clear" w:pos="0"/>
        </w:tabs>
      </w:pPr>
      <w:r>
        <w:fldChar w:fldCharType="begin"/>
      </w:r>
      <w:r>
        <w:instrText xml:space="preserve"> HYPERLINK \l _Toc3159 </w:instrText>
      </w:r>
      <w:r>
        <w:fldChar w:fldCharType="separate"/>
      </w:r>
      <w:r>
        <w:rPr>
          <w:rFonts w:hint="eastAsia" w:ascii="宋体" w:hAnsi="宋体" w:eastAsia="宋体" w:cs="宋体"/>
        </w:rPr>
        <w:t xml:space="preserve">(六) </w:t>
      </w:r>
      <w:r>
        <w:rPr>
          <w:rFonts w:hint="eastAsia"/>
        </w:rPr>
        <w:t>评审标准</w:t>
      </w:r>
      <w:r>
        <w:tab/>
      </w:r>
      <w:r>
        <w:fldChar w:fldCharType="begin"/>
      </w:r>
      <w:r>
        <w:instrText xml:space="preserve"> PAGEREF _Toc3159 \h </w:instrText>
      </w:r>
      <w:r>
        <w:fldChar w:fldCharType="separate"/>
      </w:r>
      <w:r>
        <w:t>68</w:t>
      </w:r>
      <w:r>
        <w:fldChar w:fldCharType="end"/>
      </w:r>
      <w:r>
        <w:fldChar w:fldCharType="end"/>
      </w:r>
    </w:p>
    <w:p>
      <w:pPr>
        <w:pStyle w:val="14"/>
        <w:tabs>
          <w:tab w:val="right" w:leader="dot" w:pos="9746"/>
          <w:tab w:val="clear" w:pos="0"/>
        </w:tabs>
      </w:pPr>
      <w:r>
        <w:fldChar w:fldCharType="begin"/>
      </w:r>
      <w:r>
        <w:instrText xml:space="preserve"> HYPERLINK \l _Toc126 </w:instrText>
      </w:r>
      <w:r>
        <w:fldChar w:fldCharType="separate"/>
      </w:r>
      <w:r>
        <w:rPr>
          <w:rFonts w:hint="eastAsia" w:ascii="宋体" w:hAnsi="宋体" w:eastAsia="宋体" w:cs="宋体"/>
        </w:rPr>
        <w:t xml:space="preserve">(七) </w:t>
      </w:r>
      <w:r>
        <w:rPr>
          <w:rFonts w:hint="eastAsia"/>
        </w:rPr>
        <w:t>复核</w:t>
      </w:r>
      <w:r>
        <w:tab/>
      </w:r>
      <w:r>
        <w:fldChar w:fldCharType="begin"/>
      </w:r>
      <w:r>
        <w:instrText xml:space="preserve"> PAGEREF _Toc126 \h </w:instrText>
      </w:r>
      <w:r>
        <w:fldChar w:fldCharType="separate"/>
      </w:r>
      <w:r>
        <w:t>69</w:t>
      </w:r>
      <w:r>
        <w:fldChar w:fldCharType="end"/>
      </w:r>
      <w:r>
        <w:fldChar w:fldCharType="end"/>
      </w:r>
    </w:p>
    <w:p>
      <w:pPr>
        <w:pStyle w:val="14"/>
        <w:tabs>
          <w:tab w:val="right" w:leader="dot" w:pos="9746"/>
          <w:tab w:val="clear" w:pos="0"/>
        </w:tabs>
      </w:pPr>
      <w:r>
        <w:fldChar w:fldCharType="begin"/>
      </w:r>
      <w:r>
        <w:instrText xml:space="preserve"> HYPERLINK \l _Toc26198 </w:instrText>
      </w:r>
      <w:r>
        <w:fldChar w:fldCharType="separate"/>
      </w:r>
      <w:r>
        <w:rPr>
          <w:rFonts w:hint="eastAsia" w:ascii="宋体" w:hAnsi="宋体" w:eastAsia="宋体" w:cs="宋体"/>
        </w:rPr>
        <w:t xml:space="preserve">(八) </w:t>
      </w:r>
      <w:r>
        <w:rPr>
          <w:rFonts w:hint="eastAsia"/>
        </w:rPr>
        <w:t>评审报告</w:t>
      </w:r>
      <w:r>
        <w:tab/>
      </w:r>
      <w:r>
        <w:fldChar w:fldCharType="begin"/>
      </w:r>
      <w:r>
        <w:instrText xml:space="preserve"> PAGEREF _Toc26198 \h </w:instrText>
      </w:r>
      <w:r>
        <w:fldChar w:fldCharType="separate"/>
      </w:r>
      <w:r>
        <w:t>70</w:t>
      </w:r>
      <w:r>
        <w:fldChar w:fldCharType="end"/>
      </w:r>
      <w:r>
        <w:fldChar w:fldCharType="end"/>
      </w:r>
    </w:p>
    <w:p>
      <w:pPr>
        <w:pStyle w:val="14"/>
        <w:tabs>
          <w:tab w:val="right" w:leader="dot" w:pos="9746"/>
          <w:tab w:val="clear" w:pos="0"/>
        </w:tabs>
      </w:pPr>
      <w:r>
        <w:fldChar w:fldCharType="begin"/>
      </w:r>
      <w:r>
        <w:instrText xml:space="preserve"> HYPERLINK \l _Toc13016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_Toc13016 \h </w:instrText>
      </w:r>
      <w:r>
        <w:fldChar w:fldCharType="separate"/>
      </w:r>
      <w:r>
        <w:t>71</w:t>
      </w:r>
      <w:r>
        <w:fldChar w:fldCharType="end"/>
      </w:r>
      <w:r>
        <w:fldChar w:fldCharType="end"/>
      </w:r>
    </w:p>
    <w:p>
      <w:pPr>
        <w:pStyle w:val="14"/>
        <w:tabs>
          <w:tab w:val="right" w:leader="dot" w:pos="9746"/>
          <w:tab w:val="clear" w:pos="0"/>
        </w:tabs>
      </w:pPr>
      <w:r>
        <w:fldChar w:fldCharType="begin"/>
      </w:r>
      <w:r>
        <w:instrText xml:space="preserve"> HYPERLINK \l _Toc17505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_Toc17505 \h </w:instrText>
      </w:r>
      <w:r>
        <w:fldChar w:fldCharType="separate"/>
      </w:r>
      <w:r>
        <w:t>71</w:t>
      </w:r>
      <w:r>
        <w:fldChar w:fldCharType="end"/>
      </w:r>
      <w:r>
        <w:fldChar w:fldCharType="end"/>
      </w:r>
    </w:p>
    <w:p>
      <w:pPr>
        <w:pStyle w:val="14"/>
        <w:tabs>
          <w:tab w:val="right" w:leader="dot" w:pos="9746"/>
          <w:tab w:val="clear" w:pos="0"/>
        </w:tabs>
      </w:pPr>
      <w:r>
        <w:fldChar w:fldCharType="begin"/>
      </w:r>
      <w:r>
        <w:instrText xml:space="preserve"> HYPERLINK \l _Toc5893 </w:instrText>
      </w:r>
      <w:r>
        <w:fldChar w:fldCharType="separate"/>
      </w:r>
      <w:r>
        <w:rPr>
          <w:rFonts w:hint="eastAsia" w:ascii="宋体" w:hAnsi="宋体" w:eastAsia="宋体" w:cs="宋体"/>
        </w:rPr>
        <w:t xml:space="preserve">(十一) </w:t>
      </w:r>
      <w:r>
        <w:rPr>
          <w:rFonts w:hint="eastAsia"/>
        </w:rPr>
        <w:t>评审专家在政府采购活动中承担以下义务</w:t>
      </w:r>
      <w:r>
        <w:tab/>
      </w:r>
      <w:r>
        <w:fldChar w:fldCharType="begin"/>
      </w:r>
      <w:r>
        <w:instrText xml:space="preserve"> PAGEREF _Toc5893 \h </w:instrText>
      </w:r>
      <w:r>
        <w:fldChar w:fldCharType="separate"/>
      </w:r>
      <w:r>
        <w:t>72</w:t>
      </w:r>
      <w:r>
        <w:fldChar w:fldCharType="end"/>
      </w:r>
      <w:r>
        <w:fldChar w:fldCharType="end"/>
      </w:r>
    </w:p>
    <w:p>
      <w:pPr>
        <w:pStyle w:val="14"/>
        <w:tabs>
          <w:tab w:val="right" w:leader="dot" w:pos="9746"/>
          <w:tab w:val="clear" w:pos="0"/>
        </w:tabs>
      </w:pPr>
      <w:r>
        <w:fldChar w:fldCharType="begin"/>
      </w:r>
      <w:r>
        <w:instrText xml:space="preserve"> HYPERLINK \l _Toc1037 </w:instrText>
      </w:r>
      <w:r>
        <w:fldChar w:fldCharType="separate"/>
      </w:r>
      <w:r>
        <w:rPr>
          <w:rFonts w:hint="eastAsia" w:ascii="宋体" w:hAnsi="宋体" w:eastAsia="宋体" w:cs="宋体"/>
        </w:rPr>
        <w:t xml:space="preserve">(十二) </w:t>
      </w:r>
      <w:r>
        <w:rPr>
          <w:rFonts w:hint="eastAsia"/>
        </w:rPr>
        <w:t>评审专家在政府采购活动中应当遵守以下工作纪律</w:t>
      </w:r>
      <w:r>
        <w:tab/>
      </w:r>
      <w:r>
        <w:fldChar w:fldCharType="begin"/>
      </w:r>
      <w:r>
        <w:instrText xml:space="preserve"> PAGEREF _Toc1037 \h </w:instrText>
      </w:r>
      <w:r>
        <w:fldChar w:fldCharType="separate"/>
      </w:r>
      <w:r>
        <w:t>72</w:t>
      </w:r>
      <w:r>
        <w:fldChar w:fldCharType="end"/>
      </w:r>
      <w:r>
        <w:fldChar w:fldCharType="end"/>
      </w:r>
    </w:p>
    <w:p>
      <w:pPr>
        <w:pStyle w:val="14"/>
        <w:tabs>
          <w:tab w:val="right" w:leader="dot" w:pos="9746"/>
          <w:tab w:val="clear" w:pos="0"/>
        </w:tabs>
      </w:pPr>
      <w:r>
        <w:fldChar w:fldCharType="begin"/>
      </w:r>
      <w:r>
        <w:instrText xml:space="preserve"> HYPERLINK \l _Toc24076 </w:instrText>
      </w:r>
      <w:r>
        <w:fldChar w:fldCharType="separate"/>
      </w:r>
      <w:r>
        <w:rPr>
          <w:rFonts w:hint="eastAsia" w:ascii="宋体" w:hAnsi="宋体" w:eastAsia="宋体" w:cs="宋体"/>
        </w:rPr>
        <w:t xml:space="preserve">(十三) </w:t>
      </w:r>
      <w:r>
        <w:rPr>
          <w:rFonts w:hint="eastAsia"/>
        </w:rPr>
        <w:t>评审委员会及其成员不得有下列违约情形</w:t>
      </w:r>
      <w:r>
        <w:tab/>
      </w:r>
      <w:r>
        <w:fldChar w:fldCharType="begin"/>
      </w:r>
      <w:r>
        <w:instrText xml:space="preserve"> PAGEREF _Toc24076 \h </w:instrText>
      </w:r>
      <w:r>
        <w:fldChar w:fldCharType="separate"/>
      </w:r>
      <w:r>
        <w:t>73</w:t>
      </w:r>
      <w:r>
        <w:fldChar w:fldCharType="end"/>
      </w:r>
      <w:r>
        <w:fldChar w:fldCharType="end"/>
      </w:r>
    </w:p>
    <w:p>
      <w:pPr>
        <w:pStyle w:val="18"/>
        <w:tabs>
          <w:tab w:val="clear" w:pos="0"/>
        </w:tabs>
      </w:pPr>
      <w:r>
        <w:fldChar w:fldCharType="begin"/>
      </w:r>
      <w:r>
        <w:instrText xml:space="preserve"> HYPERLINK \l _Toc15613 </w:instrText>
      </w:r>
      <w:r>
        <w:fldChar w:fldCharType="separate"/>
      </w:r>
      <w:r>
        <w:rPr>
          <w:rFonts w:hint="eastAsia" w:ascii="宋体" w:hAnsi="宋体" w:eastAsia="宋体" w:cs="宋体"/>
        </w:rPr>
        <w:t xml:space="preserve">第八章 </w:t>
      </w:r>
      <w:r>
        <w:rPr>
          <w:rFonts w:hint="eastAsia"/>
        </w:rPr>
        <w:t>合同草案条款(参考文本)</w:t>
      </w:r>
      <w:r>
        <w:tab/>
      </w:r>
      <w:r>
        <w:fldChar w:fldCharType="begin"/>
      </w:r>
      <w:r>
        <w:instrText xml:space="preserve"> PAGEREF _Toc15613 \h </w:instrText>
      </w:r>
      <w:r>
        <w:fldChar w:fldCharType="separate"/>
      </w:r>
      <w:r>
        <w:t>74</w:t>
      </w:r>
      <w:r>
        <w:fldChar w:fldCharType="end"/>
      </w:r>
      <w:r>
        <w:fldChar w:fldCharType="end"/>
      </w:r>
    </w:p>
    <w:p>
      <w:pPr>
        <w:pStyle w:val="21"/>
        <w:tabs>
          <w:tab w:val="right" w:leader="dot" w:pos="9746"/>
          <w:tab w:val="clear" w:pos="0"/>
        </w:tabs>
      </w:pPr>
      <w:r>
        <w:fldChar w:fldCharType="begin"/>
      </w:r>
      <w:r>
        <w:instrText xml:space="preserve"> HYPERLINK \l _Toc10451 </w:instrText>
      </w:r>
      <w:r>
        <w:fldChar w:fldCharType="separate"/>
      </w:r>
      <w:r>
        <w:rPr>
          <w:rFonts w:hint="eastAsia"/>
        </w:rPr>
        <w:t>第一条 项目基本情况</w:t>
      </w:r>
      <w:r>
        <w:tab/>
      </w:r>
      <w:r>
        <w:fldChar w:fldCharType="begin"/>
      </w:r>
      <w:r>
        <w:instrText xml:space="preserve"> PAGEREF _Toc10451 \h </w:instrText>
      </w:r>
      <w:r>
        <w:fldChar w:fldCharType="separate"/>
      </w:r>
      <w:r>
        <w:t>74</w:t>
      </w:r>
      <w:r>
        <w:fldChar w:fldCharType="end"/>
      </w:r>
      <w:r>
        <w:fldChar w:fldCharType="end"/>
      </w:r>
    </w:p>
    <w:p>
      <w:pPr>
        <w:pStyle w:val="21"/>
        <w:tabs>
          <w:tab w:val="right" w:leader="dot" w:pos="9746"/>
          <w:tab w:val="clear" w:pos="0"/>
        </w:tabs>
      </w:pPr>
      <w:r>
        <w:fldChar w:fldCharType="begin"/>
      </w:r>
      <w:r>
        <w:instrText xml:space="preserve"> HYPERLINK \l _Toc7430 </w:instrText>
      </w:r>
      <w:r>
        <w:fldChar w:fldCharType="separate"/>
      </w:r>
      <w:r>
        <w:rPr>
          <w:rFonts w:hint="eastAsia"/>
        </w:rPr>
        <w:t>第二条 合同履行</w:t>
      </w:r>
      <w:r>
        <w:tab/>
      </w:r>
      <w:r>
        <w:fldChar w:fldCharType="begin"/>
      </w:r>
      <w:r>
        <w:instrText xml:space="preserve"> PAGEREF _Toc7430 \h </w:instrText>
      </w:r>
      <w:r>
        <w:fldChar w:fldCharType="separate"/>
      </w:r>
      <w:r>
        <w:t>74</w:t>
      </w:r>
      <w:r>
        <w:fldChar w:fldCharType="end"/>
      </w:r>
      <w:r>
        <w:fldChar w:fldCharType="end"/>
      </w:r>
    </w:p>
    <w:p>
      <w:pPr>
        <w:pStyle w:val="21"/>
        <w:tabs>
          <w:tab w:val="right" w:leader="dot" w:pos="9746"/>
          <w:tab w:val="clear" w:pos="0"/>
        </w:tabs>
      </w:pPr>
      <w:r>
        <w:fldChar w:fldCharType="begin"/>
      </w:r>
      <w:r>
        <w:instrText xml:space="preserve"> HYPERLINK \l _Toc25657 </w:instrText>
      </w:r>
      <w:r>
        <w:fldChar w:fldCharType="separate"/>
      </w:r>
      <w:r>
        <w:rPr>
          <w:rFonts w:hint="eastAsia"/>
        </w:rPr>
        <w:t>第三条 合同标的</w:t>
      </w:r>
      <w:r>
        <w:tab/>
      </w:r>
      <w:r>
        <w:fldChar w:fldCharType="begin"/>
      </w:r>
      <w:r>
        <w:instrText xml:space="preserve"> PAGEREF _Toc25657 \h </w:instrText>
      </w:r>
      <w:r>
        <w:fldChar w:fldCharType="separate"/>
      </w:r>
      <w:r>
        <w:t>74</w:t>
      </w:r>
      <w:r>
        <w:fldChar w:fldCharType="end"/>
      </w:r>
      <w:r>
        <w:fldChar w:fldCharType="end"/>
      </w:r>
    </w:p>
    <w:p>
      <w:pPr>
        <w:pStyle w:val="21"/>
        <w:tabs>
          <w:tab w:val="right" w:leader="dot" w:pos="9746"/>
          <w:tab w:val="clear" w:pos="0"/>
        </w:tabs>
      </w:pPr>
      <w:r>
        <w:fldChar w:fldCharType="begin"/>
      </w:r>
      <w:r>
        <w:instrText xml:space="preserve"> HYPERLINK \l _Toc614 </w:instrText>
      </w:r>
      <w:r>
        <w:fldChar w:fldCharType="separate"/>
      </w:r>
      <w:r>
        <w:rPr>
          <w:rFonts w:hint="eastAsia"/>
        </w:rPr>
        <w:t>第四条 质量标准</w:t>
      </w:r>
      <w:r>
        <w:tab/>
      </w:r>
      <w:r>
        <w:fldChar w:fldCharType="begin"/>
      </w:r>
      <w:r>
        <w:instrText xml:space="preserve"> PAGEREF _Toc614 \h </w:instrText>
      </w:r>
      <w:r>
        <w:fldChar w:fldCharType="separate"/>
      </w:r>
      <w:r>
        <w:t>74</w:t>
      </w:r>
      <w:r>
        <w:fldChar w:fldCharType="end"/>
      </w:r>
      <w:r>
        <w:fldChar w:fldCharType="end"/>
      </w:r>
    </w:p>
    <w:p>
      <w:pPr>
        <w:pStyle w:val="21"/>
        <w:tabs>
          <w:tab w:val="right" w:leader="dot" w:pos="9746"/>
          <w:tab w:val="clear" w:pos="0"/>
        </w:tabs>
      </w:pPr>
      <w:r>
        <w:fldChar w:fldCharType="begin"/>
      </w:r>
      <w:r>
        <w:instrText xml:space="preserve"> HYPERLINK \l _Toc28415 </w:instrText>
      </w:r>
      <w:r>
        <w:fldChar w:fldCharType="separate"/>
      </w:r>
      <w:r>
        <w:rPr>
          <w:rFonts w:hint="eastAsia"/>
        </w:rPr>
        <w:t>第五条 验收要求</w:t>
      </w:r>
      <w:r>
        <w:tab/>
      </w:r>
      <w:r>
        <w:fldChar w:fldCharType="begin"/>
      </w:r>
      <w:r>
        <w:instrText xml:space="preserve"> PAGEREF _Toc28415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_Toc11401 </w:instrText>
      </w:r>
      <w:r>
        <w:fldChar w:fldCharType="separate"/>
      </w:r>
      <w:r>
        <w:rPr>
          <w:rFonts w:hint="eastAsia"/>
        </w:rPr>
        <w:t>第六条 合同价款及支付方式</w:t>
      </w:r>
      <w:r>
        <w:tab/>
      </w:r>
      <w:r>
        <w:fldChar w:fldCharType="begin"/>
      </w:r>
      <w:r>
        <w:instrText xml:space="preserve"> PAGEREF _Toc11401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_Toc8157 </w:instrText>
      </w:r>
      <w:r>
        <w:fldChar w:fldCharType="separate"/>
      </w:r>
      <w:r>
        <w:rPr>
          <w:rFonts w:hint="eastAsia"/>
        </w:rPr>
        <w:t>第七条 知识产权</w:t>
      </w:r>
      <w:r>
        <w:tab/>
      </w:r>
      <w:r>
        <w:fldChar w:fldCharType="begin"/>
      </w:r>
      <w:r>
        <w:instrText xml:space="preserve"> PAGEREF _Toc8157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_Toc24635 </w:instrText>
      </w:r>
      <w:r>
        <w:fldChar w:fldCharType="separate"/>
      </w:r>
      <w:r>
        <w:rPr>
          <w:rFonts w:hint="eastAsia"/>
        </w:rPr>
        <w:t>第八条 无产权瑕疵条款</w:t>
      </w:r>
      <w:r>
        <w:tab/>
      </w:r>
      <w:r>
        <w:fldChar w:fldCharType="begin"/>
      </w:r>
      <w:r>
        <w:instrText xml:space="preserve"> PAGEREF _Toc24635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_Toc13697 </w:instrText>
      </w:r>
      <w:r>
        <w:fldChar w:fldCharType="separate"/>
      </w:r>
      <w:r>
        <w:rPr>
          <w:rFonts w:hint="eastAsia"/>
        </w:rPr>
        <w:t>第九条 甲方的权利和义务</w:t>
      </w:r>
      <w:r>
        <w:tab/>
      </w:r>
      <w:r>
        <w:fldChar w:fldCharType="begin"/>
      </w:r>
      <w:r>
        <w:instrText xml:space="preserve"> PAGEREF _Toc13697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_Toc573 </w:instrText>
      </w:r>
      <w:r>
        <w:fldChar w:fldCharType="separate"/>
      </w:r>
      <w:r>
        <w:rPr>
          <w:rFonts w:hint="eastAsia"/>
        </w:rPr>
        <w:t>第十条 乙方的权利和义务</w:t>
      </w:r>
      <w:r>
        <w:tab/>
      </w:r>
      <w:r>
        <w:fldChar w:fldCharType="begin"/>
      </w:r>
      <w:r>
        <w:instrText xml:space="preserve"> PAGEREF _Toc573 \h </w:instrText>
      </w:r>
      <w:r>
        <w:fldChar w:fldCharType="separate"/>
      </w:r>
      <w:r>
        <w:t>75</w:t>
      </w:r>
      <w:r>
        <w:fldChar w:fldCharType="end"/>
      </w:r>
      <w:r>
        <w:fldChar w:fldCharType="end"/>
      </w:r>
    </w:p>
    <w:p>
      <w:pPr>
        <w:pStyle w:val="21"/>
        <w:tabs>
          <w:tab w:val="right" w:leader="dot" w:pos="9746"/>
          <w:tab w:val="clear" w:pos="0"/>
        </w:tabs>
      </w:pPr>
      <w:r>
        <w:fldChar w:fldCharType="begin"/>
      </w:r>
      <w:r>
        <w:instrText xml:space="preserve"> HYPERLINK \l _Toc18251 </w:instrText>
      </w:r>
      <w:r>
        <w:fldChar w:fldCharType="separate"/>
      </w:r>
      <w:r>
        <w:rPr>
          <w:rFonts w:hint="eastAsia"/>
        </w:rPr>
        <w:t>第十一条 违约责任</w:t>
      </w:r>
      <w:r>
        <w:tab/>
      </w:r>
      <w:r>
        <w:fldChar w:fldCharType="begin"/>
      </w:r>
      <w:r>
        <w:instrText xml:space="preserve"> PAGEREF _Toc18251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_Toc909 </w:instrText>
      </w:r>
      <w:r>
        <w:fldChar w:fldCharType="separate"/>
      </w:r>
      <w:r>
        <w:rPr>
          <w:rFonts w:hint="eastAsia"/>
        </w:rPr>
        <w:t>第十二条 不可抗力事件处理</w:t>
      </w:r>
      <w:r>
        <w:tab/>
      </w:r>
      <w:r>
        <w:fldChar w:fldCharType="begin"/>
      </w:r>
      <w:r>
        <w:instrText xml:space="preserve"> PAGEREF _Toc909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_Toc17653 </w:instrText>
      </w:r>
      <w:r>
        <w:fldChar w:fldCharType="separate"/>
      </w:r>
      <w:r>
        <w:rPr>
          <w:rFonts w:hint="eastAsia"/>
        </w:rPr>
        <w:t>第十三条 解决争议的方法</w:t>
      </w:r>
      <w:r>
        <w:tab/>
      </w:r>
      <w:r>
        <w:fldChar w:fldCharType="begin"/>
      </w:r>
      <w:r>
        <w:instrText xml:space="preserve"> PAGEREF _Toc17653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_Toc5347 </w:instrText>
      </w:r>
      <w:r>
        <w:fldChar w:fldCharType="separate"/>
      </w:r>
      <w:r>
        <w:rPr>
          <w:rFonts w:hint="eastAsia"/>
        </w:rPr>
        <w:t>第十四条 合同生效及其他</w:t>
      </w:r>
      <w:r>
        <w:tab/>
      </w:r>
      <w:r>
        <w:fldChar w:fldCharType="begin"/>
      </w:r>
      <w:r>
        <w:instrText xml:space="preserve"> PAGEREF _Toc5347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_Toc823 </w:instrText>
      </w:r>
      <w:r>
        <w:fldChar w:fldCharType="separate"/>
      </w:r>
      <w:r>
        <w:rPr>
          <w:rFonts w:hint="eastAsia"/>
        </w:rPr>
        <w:t>第十五条 附件</w:t>
      </w:r>
      <w:r>
        <w:tab/>
      </w:r>
      <w:r>
        <w:fldChar w:fldCharType="begin"/>
      </w:r>
      <w:r>
        <w:instrText xml:space="preserve"> PAGEREF _Toc823 \h </w:instrText>
      </w:r>
      <w:r>
        <w:fldChar w:fldCharType="separate"/>
      </w:r>
      <w:r>
        <w:t>77</w:t>
      </w:r>
      <w:r>
        <w:fldChar w:fldCharType="end"/>
      </w:r>
      <w:r>
        <w:fldChar w:fldCharType="end"/>
      </w:r>
    </w:p>
    <w:p>
      <w:pPr>
        <w:pStyle w:val="18"/>
        <w:tabs>
          <w:tab w:val="clear" w:pos="0"/>
        </w:tabs>
      </w:pPr>
      <w:r>
        <w:fldChar w:fldCharType="begin"/>
      </w:r>
      <w:r>
        <w:instrText xml:space="preserve"> HYPERLINK \l _Toc6556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_Toc6556 \h </w:instrText>
      </w:r>
      <w:r>
        <w:fldChar w:fldCharType="separate"/>
      </w:r>
      <w:r>
        <w:t>79</w:t>
      </w:r>
      <w:r>
        <w:fldChar w:fldCharType="end"/>
      </w:r>
      <w:r>
        <w:fldChar w:fldCharType="end"/>
      </w:r>
    </w:p>
    <w:p>
      <w:pPr>
        <w:pStyle w:val="21"/>
        <w:tabs>
          <w:tab w:val="right" w:leader="dot" w:pos="9746"/>
          <w:tab w:val="clear" w:pos="0"/>
        </w:tabs>
      </w:pPr>
      <w:r>
        <w:fldChar w:fldCharType="begin"/>
      </w:r>
      <w:r>
        <w:instrText xml:space="preserve"> HYPERLINK \l _Toc27972 </w:instrText>
      </w:r>
      <w:r>
        <w:fldChar w:fldCharType="separate"/>
      </w:r>
      <w:r>
        <w:rPr>
          <w:rFonts w:hint="eastAsia"/>
        </w:rPr>
        <w:t>附件一：问题的澄清、说明、更正通知</w:t>
      </w:r>
      <w:r>
        <w:tab/>
      </w:r>
      <w:r>
        <w:fldChar w:fldCharType="begin"/>
      </w:r>
      <w:r>
        <w:instrText xml:space="preserve"> PAGEREF _Toc27972 \h </w:instrText>
      </w:r>
      <w:r>
        <w:fldChar w:fldCharType="separate"/>
      </w:r>
      <w:r>
        <w:t>79</w:t>
      </w:r>
      <w:r>
        <w:fldChar w:fldCharType="end"/>
      </w:r>
      <w:r>
        <w:fldChar w:fldCharType="end"/>
      </w:r>
    </w:p>
    <w:p>
      <w:pPr>
        <w:pStyle w:val="21"/>
        <w:tabs>
          <w:tab w:val="right" w:leader="dot" w:pos="9746"/>
          <w:tab w:val="clear" w:pos="0"/>
        </w:tabs>
      </w:pPr>
      <w:r>
        <w:fldChar w:fldCharType="begin"/>
      </w:r>
      <w:r>
        <w:instrText xml:space="preserve"> HYPERLINK \l _Toc17584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_Toc17584 \h </w:instrText>
      </w:r>
      <w:r>
        <w:fldChar w:fldCharType="separate"/>
      </w:r>
      <w:r>
        <w:t>80</w:t>
      </w:r>
      <w:r>
        <w:fldChar w:fldCharType="end"/>
      </w:r>
      <w:r>
        <w:fldChar w:fldCharType="end"/>
      </w:r>
    </w:p>
    <w:p>
      <w:pPr>
        <w:pStyle w:val="21"/>
        <w:tabs>
          <w:tab w:val="right" w:leader="dot" w:pos="9746"/>
          <w:tab w:val="clear" w:pos="0"/>
        </w:tabs>
      </w:pPr>
      <w:r>
        <w:fldChar w:fldCharType="begin"/>
      </w:r>
      <w:r>
        <w:instrText xml:space="preserve"> HYPERLINK \l _Toc17005 </w:instrText>
      </w:r>
      <w:r>
        <w:fldChar w:fldCharType="separate"/>
      </w:r>
      <w:r>
        <w:rPr>
          <w:rFonts w:hint="eastAsia"/>
        </w:rPr>
        <w:t>附件三：2021年度信用评价服务效果调查表</w:t>
      </w:r>
      <w:r>
        <w:tab/>
      </w:r>
      <w:r>
        <w:fldChar w:fldCharType="begin"/>
      </w:r>
      <w:r>
        <w:instrText xml:space="preserve"> PAGEREF _Toc17005 \h </w:instrText>
      </w:r>
      <w:r>
        <w:fldChar w:fldCharType="separate"/>
      </w:r>
      <w:r>
        <w:t>81</w:t>
      </w:r>
      <w:r>
        <w:fldChar w:fldCharType="end"/>
      </w:r>
      <w:r>
        <w:fldChar w:fldCharType="end"/>
      </w:r>
    </w:p>
    <w:p>
      <w:pPr>
        <w:pStyle w:val="21"/>
        <w:tabs>
          <w:tab w:val="right" w:leader="dot" w:pos="9746"/>
          <w:tab w:val="clear" w:pos="0"/>
        </w:tabs>
      </w:pPr>
      <w:r>
        <w:fldChar w:fldCharType="begin"/>
      </w:r>
      <w:r>
        <w:instrText xml:space="preserve"> HYPERLINK \l _Toc2980 </w:instrText>
      </w:r>
      <w:r>
        <w:fldChar w:fldCharType="separate"/>
      </w:r>
      <w:r>
        <w:rPr>
          <w:rFonts w:hint="eastAsia" w:asciiTheme="minorEastAsia" w:hAnsiTheme="minorEastAsia" w:eastAsiaTheme="minorEastAsia" w:cstheme="minorEastAsia"/>
        </w:rPr>
        <w:t>附件四：统计上大中小微型企业划分标准</w:t>
      </w:r>
      <w:r>
        <w:tab/>
      </w:r>
      <w:r>
        <w:fldChar w:fldCharType="begin"/>
      </w:r>
      <w:r>
        <w:instrText xml:space="preserve"> PAGEREF _Toc2980 \h </w:instrText>
      </w:r>
      <w:r>
        <w:fldChar w:fldCharType="separate"/>
      </w:r>
      <w:r>
        <w:t>82</w:t>
      </w:r>
      <w:r>
        <w:fldChar w:fldCharType="end"/>
      </w:r>
      <w:r>
        <w:fldChar w:fldCharType="end"/>
      </w:r>
    </w:p>
    <w:p>
      <w:pPr>
        <w:pStyle w:val="21"/>
        <w:tabs>
          <w:tab w:val="right" w:leader="dot" w:pos="9746"/>
          <w:tab w:val="clear" w:pos="0"/>
        </w:tabs>
      </w:pPr>
      <w:r>
        <w:fldChar w:fldCharType="begin"/>
      </w:r>
      <w:r>
        <w:instrText xml:space="preserve"> HYPERLINK \l _Toc15720 </w:instrText>
      </w:r>
      <w:r>
        <w:fldChar w:fldCharType="separate"/>
      </w:r>
      <w:r>
        <w:rPr>
          <w:rFonts w:hint="eastAsia" w:asciiTheme="minorEastAsia" w:hAnsiTheme="minorEastAsia" w:eastAsiaTheme="minorEastAsia" w:cstheme="minorEastAsia"/>
        </w:rPr>
        <w:t>附件五：《四川省财政厅关于推进四川省政府采购供应商信用融资工作的通知》(川财采〔2018〕123号文)</w:t>
      </w:r>
      <w:r>
        <w:tab/>
      </w:r>
      <w:r>
        <w:fldChar w:fldCharType="begin"/>
      </w:r>
      <w:r>
        <w:instrText xml:space="preserve"> PAGEREF _Toc15720 \h </w:instrText>
      </w:r>
      <w:r>
        <w:fldChar w:fldCharType="separate"/>
      </w:r>
      <w:r>
        <w:t>85</w:t>
      </w:r>
      <w:r>
        <w:fldChar w:fldCharType="end"/>
      </w:r>
      <w:r>
        <w:fldChar w:fldCharType="end"/>
      </w:r>
    </w:p>
    <w:p>
      <w:pPr>
        <w:pStyle w:val="21"/>
        <w:tabs>
          <w:tab w:val="right" w:leader="dot" w:pos="9746"/>
          <w:tab w:val="clear" w:pos="0"/>
        </w:tabs>
      </w:pPr>
      <w:r>
        <w:fldChar w:fldCharType="begin"/>
      </w:r>
      <w:r>
        <w:instrText xml:space="preserve"> HYPERLINK \l _Toc16851 </w:instrText>
      </w:r>
      <w:r>
        <w:fldChar w:fldCharType="separate"/>
      </w:r>
      <w:r>
        <w:rPr>
          <w:rFonts w:hint="eastAsia" w:asciiTheme="minorEastAsia" w:hAnsiTheme="minorEastAsia" w:eastAsiaTheme="minorEastAsia" w:cstheme="minorEastAsia"/>
        </w:rPr>
        <w:t>附件六：成都市财政局  中国人民银行成都分行营业管理部关于印发《成都市中小企业政府采购信用融资暂行办法》和《成都市级支持中小企业政府采购信用融资实施方案》的通</w:t>
      </w:r>
      <w:r>
        <w:rPr>
          <w:rFonts w:hint="eastAsia"/>
        </w:rPr>
        <w:t>知(成财采〔2019〕17号)</w:t>
      </w:r>
      <w:r>
        <w:tab/>
      </w:r>
      <w:r>
        <w:fldChar w:fldCharType="begin"/>
      </w:r>
      <w:r>
        <w:instrText xml:space="preserve"> PAGEREF _Toc16851 \h </w:instrText>
      </w:r>
      <w:r>
        <w:fldChar w:fldCharType="separate"/>
      </w:r>
      <w:r>
        <w:t>90</w:t>
      </w:r>
      <w:r>
        <w:fldChar w:fldCharType="end"/>
      </w:r>
      <w:r>
        <w:fldChar w:fldCharType="end"/>
      </w:r>
    </w:p>
    <w:p>
      <w:r>
        <w:fldChar w:fldCharType="end"/>
      </w:r>
    </w:p>
    <w:p>
      <w:pPr>
        <w:pStyle w:val="49"/>
        <w:spacing w:before="120" w:after="120"/>
      </w:pPr>
      <w:r>
        <w:rPr>
          <w:rFonts w:hint="eastAsia"/>
        </w:rPr>
        <w:br w:type="page"/>
      </w:r>
      <w:bookmarkEnd w:id="2"/>
      <w:bookmarkEnd w:id="9"/>
      <w:bookmarkEnd w:id="10"/>
      <w:bookmarkEnd w:id="11"/>
      <w:bookmarkStart w:id="12" w:name="_Toc2209"/>
      <w:bookmarkStart w:id="13" w:name="_Toc213396945"/>
      <w:bookmarkStart w:id="14" w:name="_Toc213496267"/>
      <w:bookmarkStart w:id="15" w:name="_Toc217446031"/>
      <w:bookmarkStart w:id="16" w:name="_Toc213396759"/>
      <w:bookmarkStart w:id="17" w:name="_Toc213397009"/>
      <w:r>
        <w:rPr>
          <w:rFonts w:hint="eastAsia"/>
        </w:rPr>
        <w:t>竞争性磋商邀请公告</w:t>
      </w:r>
      <w:bookmarkEnd w:id="12"/>
    </w:p>
    <w:p>
      <w:pPr>
        <w:pStyle w:val="47"/>
        <w:spacing w:line="410" w:lineRule="exact"/>
      </w:pPr>
      <w:r>
        <w:rPr>
          <w:rFonts w:hint="eastAsia"/>
          <w:lang w:val="zh-CN"/>
        </w:rPr>
        <w:t>四川乾新招投标代理有限公司</w:t>
      </w:r>
      <w:r>
        <w:rPr>
          <w:rFonts w:hint="eastAsia"/>
        </w:rPr>
        <w:t>受成都东部新区党工委管委会(成都市东部新城办)综合部的委托，拟对</w:t>
      </w:r>
      <w:r>
        <w:rPr>
          <w:rFonts w:hint="eastAsia"/>
          <w:color w:val="000000" w:themeColor="text1"/>
          <w14:textFill>
            <w14:solidFill>
              <w14:schemeClr w14:val="tx1"/>
            </w14:solidFill>
          </w14:textFill>
        </w:rPr>
        <w:t>成都东部新区党工委管委会(成都市东部新城办)综合部2021年网络理政服务外包采购项目采用竞争性磋商方式进行采购</w:t>
      </w:r>
      <w:r>
        <w:rPr>
          <w:rFonts w:hint="eastAsia"/>
        </w:rPr>
        <w:t>，特邀请合格的供应商参加该项目的竞争性磋商。</w:t>
      </w:r>
    </w:p>
    <w:p>
      <w:pPr>
        <w:pStyle w:val="44"/>
        <w:numPr>
          <w:ilvl w:val="0"/>
          <w:numId w:val="7"/>
        </w:numPr>
        <w:spacing w:line="410" w:lineRule="exact"/>
        <w:ind w:firstLine="482" w:firstLineChars="200"/>
      </w:pPr>
      <w:r>
        <w:rPr>
          <w:rFonts w:hint="eastAsia"/>
          <w:b/>
          <w:bCs/>
        </w:rPr>
        <w:t>项目名称：</w:t>
      </w:r>
      <w:r>
        <w:rPr>
          <w:rFonts w:hint="eastAsia"/>
          <w:color w:val="000000" w:themeColor="text1"/>
          <w14:textFill>
            <w14:solidFill>
              <w14:schemeClr w14:val="tx1"/>
            </w14:solidFill>
          </w14:textFill>
        </w:rPr>
        <w:t>成都东部新区党工委管委会(成都市东部新城办)综合部2021年网络理政服务外包采购项目</w:t>
      </w:r>
      <w:r>
        <w:rPr>
          <w:rFonts w:hint="eastAsia"/>
        </w:rPr>
        <w:t xml:space="preserve">         </w:t>
      </w:r>
    </w:p>
    <w:p>
      <w:pPr>
        <w:pStyle w:val="44"/>
        <w:numPr>
          <w:ilvl w:val="0"/>
          <w:numId w:val="7"/>
        </w:numPr>
        <w:spacing w:line="410" w:lineRule="exact"/>
        <w:ind w:firstLine="482" w:firstLineChars="200"/>
      </w:pPr>
      <w:r>
        <w:rPr>
          <w:rFonts w:hint="eastAsia"/>
          <w:b/>
          <w:bCs/>
        </w:rPr>
        <w:t>项目编号：510118202100027</w:t>
      </w:r>
    </w:p>
    <w:p>
      <w:pPr>
        <w:pStyle w:val="44"/>
        <w:numPr>
          <w:ilvl w:val="0"/>
          <w:numId w:val="7"/>
        </w:numPr>
        <w:spacing w:line="410" w:lineRule="exact"/>
        <w:ind w:firstLine="482" w:firstLineChars="200"/>
        <w:rPr>
          <w:b/>
          <w:bCs/>
        </w:rPr>
      </w:pPr>
      <w:r>
        <w:rPr>
          <w:rFonts w:hint="eastAsia"/>
          <w:b/>
          <w:bCs/>
        </w:rPr>
        <w:t>采购项目简介：</w:t>
      </w:r>
    </w:p>
    <w:p>
      <w:pPr>
        <w:pStyle w:val="35"/>
        <w:numPr>
          <w:ilvl w:val="1"/>
          <w:numId w:val="8"/>
        </w:numPr>
        <w:spacing w:line="410" w:lineRule="exact"/>
        <w:ind w:firstLine="482" w:firstLineChars="200"/>
      </w:pPr>
      <w:r>
        <w:rPr>
          <w:rFonts w:hint="eastAsia"/>
          <w:b/>
          <w:bCs/>
        </w:rPr>
        <w:t>资金来源：根据成都东部新区党工委管委会(成都市东部新城办)财政金融局下达的《东部新区</w:t>
      </w:r>
      <w:r>
        <w:rPr>
          <w:rFonts w:hint="eastAsia"/>
          <w:b/>
          <w:bCs/>
          <w:lang w:val="en-US" w:eastAsia="zh-CN"/>
        </w:rPr>
        <w:t xml:space="preserve"> </w:t>
      </w:r>
      <w:r>
        <w:rPr>
          <w:rFonts w:hint="eastAsia"/>
          <w:b/>
          <w:bCs/>
        </w:rPr>
        <w:t>政府采购</w:t>
      </w:r>
      <w:r>
        <w:rPr>
          <w:rFonts w:hint="eastAsia"/>
          <w:b/>
          <w:bCs/>
          <w:lang w:val="en-US" w:eastAsia="zh-CN"/>
        </w:rPr>
        <w:t>计划书</w:t>
      </w:r>
      <w:r>
        <w:rPr>
          <w:rFonts w:hint="eastAsia"/>
          <w:b/>
          <w:bCs/>
        </w:rPr>
        <w:t>》（采购计划文号：(2021)0101号），该项目预算资金为人民币</w:t>
      </w:r>
      <w:r>
        <w:rPr>
          <w:rFonts w:hint="eastAsia"/>
        </w:rPr>
        <w:t>67.04</w:t>
      </w:r>
      <w:r>
        <w:rPr>
          <w:rFonts w:hint="eastAsia"/>
          <w:b/>
          <w:bCs/>
        </w:rPr>
        <w:t>万元</w:t>
      </w:r>
      <w:r>
        <w:rPr>
          <w:rFonts w:hint="eastAsia"/>
          <w:b/>
          <w:bCs/>
          <w:lang w:eastAsia="zh-CN"/>
        </w:rPr>
        <w:t>（</w:t>
      </w:r>
      <w:r>
        <w:rPr>
          <w:rFonts w:hint="eastAsia"/>
          <w:b/>
          <w:bCs/>
          <w:lang w:val="en-US" w:eastAsia="zh-CN"/>
        </w:rPr>
        <w:t>大写：陆拾柒万零肆佰元整</w:t>
      </w:r>
      <w:r>
        <w:rPr>
          <w:rFonts w:hint="eastAsia"/>
          <w:b/>
          <w:bCs/>
          <w:lang w:eastAsia="zh-CN"/>
        </w:rPr>
        <w:t>）</w:t>
      </w:r>
      <w:r>
        <w:rPr>
          <w:rFonts w:hint="eastAsia"/>
        </w:rPr>
        <w:t>。</w:t>
      </w:r>
    </w:p>
    <w:p>
      <w:pPr>
        <w:pStyle w:val="35"/>
        <w:numPr>
          <w:ilvl w:val="1"/>
          <w:numId w:val="8"/>
        </w:numPr>
        <w:spacing w:line="410" w:lineRule="exact"/>
        <w:ind w:firstLine="480" w:firstLineChars="200"/>
      </w:pPr>
      <w:r>
        <w:rPr>
          <w:rFonts w:hint="eastAsia"/>
        </w:rPr>
        <w:t>本项目共1个包，采购项目简介及采购内容详见第五章，本项目设置1名成交供应商。</w:t>
      </w:r>
    </w:p>
    <w:p>
      <w:pPr>
        <w:pStyle w:val="35"/>
        <w:numPr>
          <w:ilvl w:val="1"/>
          <w:numId w:val="8"/>
        </w:numPr>
        <w:spacing w:line="410" w:lineRule="exact"/>
        <w:ind w:firstLine="480" w:firstLineChars="200"/>
      </w:pPr>
      <w:r>
        <w:rPr>
          <w:rFonts w:hint="eastAsia"/>
        </w:rPr>
        <w:t>供应商邀请方式：本次竞争性磋商邀请在“四川政府采购网”以公告形式发布。</w:t>
      </w:r>
    </w:p>
    <w:p>
      <w:pPr>
        <w:pStyle w:val="44"/>
        <w:numPr>
          <w:ilvl w:val="0"/>
          <w:numId w:val="7"/>
        </w:numPr>
        <w:spacing w:line="410" w:lineRule="exact"/>
        <w:ind w:firstLine="482" w:firstLineChars="200"/>
        <w:rPr>
          <w:b/>
          <w:bCs/>
          <w:highlight w:val="none"/>
        </w:rPr>
      </w:pPr>
      <w:r>
        <w:rPr>
          <w:rFonts w:hint="eastAsia"/>
          <w:b/>
          <w:bCs/>
          <w:highlight w:val="none"/>
        </w:rPr>
        <w:t>项目性质：政府采购。</w:t>
      </w:r>
    </w:p>
    <w:p>
      <w:pPr>
        <w:pStyle w:val="44"/>
        <w:numPr>
          <w:ilvl w:val="0"/>
          <w:numId w:val="7"/>
        </w:numPr>
        <w:spacing w:line="410" w:lineRule="exact"/>
        <w:ind w:firstLine="482" w:firstLineChars="200"/>
        <w:rPr>
          <w:b/>
          <w:bCs/>
          <w:highlight w:val="none"/>
        </w:rPr>
      </w:pPr>
      <w:r>
        <w:rPr>
          <w:rFonts w:hint="eastAsia"/>
          <w:b/>
          <w:bCs/>
          <w:highlight w:val="none"/>
        </w:rPr>
        <w:t>采购用途：</w:t>
      </w:r>
      <w:r>
        <w:rPr>
          <w:rFonts w:hint="eastAsia"/>
          <w:highlight w:val="none"/>
        </w:rPr>
        <w:t>用于省、市、区网络理政热线平台诉求件的受理、转派、协调、督办、反馈和上报。</w:t>
      </w:r>
    </w:p>
    <w:p>
      <w:pPr>
        <w:pStyle w:val="44"/>
        <w:numPr>
          <w:ilvl w:val="0"/>
          <w:numId w:val="7"/>
        </w:numPr>
        <w:spacing w:line="410" w:lineRule="exact"/>
        <w:ind w:firstLine="482" w:firstLineChars="200"/>
        <w:rPr>
          <w:b/>
          <w:bCs/>
        </w:rPr>
      </w:pPr>
      <w:r>
        <w:rPr>
          <w:rFonts w:hint="eastAsia"/>
          <w:b/>
          <w:bCs/>
          <w:highlight w:val="none"/>
        </w:rPr>
        <w:t>合格供应商应具备</w:t>
      </w:r>
      <w:r>
        <w:rPr>
          <w:rFonts w:hint="eastAsia"/>
          <w:b/>
          <w:bCs/>
        </w:rPr>
        <w:t>的资格条件：</w:t>
      </w:r>
    </w:p>
    <w:p>
      <w:pPr>
        <w:pStyle w:val="35"/>
        <w:spacing w:line="410" w:lineRule="exact"/>
        <w:ind w:firstLine="480" w:firstLineChars="200"/>
        <w:rPr>
          <w:lang w:val="zh-CN"/>
        </w:rPr>
      </w:pPr>
      <w:r>
        <w:rPr>
          <w:rFonts w:hint="eastAsia"/>
        </w:rPr>
        <w:t>(一)</w:t>
      </w:r>
      <w:r>
        <w:rPr>
          <w:rFonts w:hint="eastAsia"/>
          <w:lang w:val="zh-CN"/>
        </w:rPr>
        <w:t>符合《中华人民共和国政府采购法》第二十二条规定的条件：</w:t>
      </w:r>
    </w:p>
    <w:p>
      <w:pPr>
        <w:pStyle w:val="35"/>
        <w:spacing w:line="410" w:lineRule="exact"/>
        <w:ind w:firstLine="480" w:firstLineChars="200"/>
      </w:pPr>
      <w:r>
        <w:rPr>
          <w:rFonts w:hint="eastAsia"/>
        </w:rPr>
        <w:t>1.具有独立承担</w:t>
      </w:r>
      <w:r>
        <w:fldChar w:fldCharType="begin"/>
      </w:r>
      <w:r>
        <w:instrText xml:space="preserve"> HYPERLINK "http://www.lawtime.cn/info/minfa/mszeren/" \t "_blank" </w:instrText>
      </w:r>
      <w:r>
        <w:fldChar w:fldCharType="separate"/>
      </w:r>
      <w:r>
        <w:rPr>
          <w:rFonts w:hint="eastAsia"/>
        </w:rPr>
        <w:t>民事责任</w:t>
      </w:r>
      <w:r>
        <w:rPr>
          <w:rFonts w:hint="eastAsia"/>
        </w:rPr>
        <w:fldChar w:fldCharType="end"/>
      </w:r>
      <w:r>
        <w:rPr>
          <w:rFonts w:hint="eastAsia"/>
        </w:rPr>
        <w:t>的能力；</w:t>
      </w:r>
    </w:p>
    <w:p>
      <w:pPr>
        <w:pStyle w:val="35"/>
        <w:spacing w:line="410" w:lineRule="exact"/>
        <w:ind w:firstLine="480" w:firstLineChars="200"/>
      </w:pPr>
      <w:r>
        <w:rPr>
          <w:rFonts w:hint="eastAsia"/>
        </w:rPr>
        <w:t>2.具有良好的商业信誉和健全的财务会计制度；</w:t>
      </w:r>
    </w:p>
    <w:p>
      <w:pPr>
        <w:pStyle w:val="35"/>
        <w:spacing w:line="410" w:lineRule="exact"/>
        <w:ind w:firstLine="480" w:firstLineChars="200"/>
      </w:pPr>
      <w:r>
        <w:rPr>
          <w:rFonts w:hint="eastAsia"/>
        </w:rPr>
        <w:t>3.具有履行合同所必需的设备和专业技术能力；</w:t>
      </w:r>
    </w:p>
    <w:p>
      <w:pPr>
        <w:pStyle w:val="35"/>
        <w:spacing w:line="410" w:lineRule="exact"/>
        <w:ind w:firstLine="480" w:firstLineChars="200"/>
      </w:pPr>
      <w:r>
        <w:rPr>
          <w:rFonts w:hint="eastAsia"/>
        </w:rPr>
        <w:t>4.有依法缴纳税收和</w:t>
      </w:r>
      <w:r>
        <w:fldChar w:fldCharType="begin"/>
      </w:r>
      <w:r>
        <w:instrText xml:space="preserve"> HYPERLINK "http://www.lawtime.cn/info/laodong/shehuibaozhang/" \t "_blank" </w:instrText>
      </w:r>
      <w:r>
        <w:fldChar w:fldCharType="separate"/>
      </w:r>
      <w:r>
        <w:rPr>
          <w:rFonts w:hint="eastAsia"/>
        </w:rPr>
        <w:t>社会保障</w:t>
      </w:r>
      <w:r>
        <w:rPr>
          <w:rFonts w:hint="eastAsia"/>
        </w:rPr>
        <w:fldChar w:fldCharType="end"/>
      </w:r>
      <w:r>
        <w:rPr>
          <w:rFonts w:hint="eastAsia"/>
        </w:rPr>
        <w:t>资金的良好记录；</w:t>
      </w:r>
    </w:p>
    <w:p>
      <w:pPr>
        <w:pStyle w:val="35"/>
        <w:spacing w:line="410" w:lineRule="exact"/>
        <w:ind w:firstLine="480" w:firstLineChars="200"/>
      </w:pPr>
      <w:r>
        <w:rPr>
          <w:rFonts w:hint="eastAsia"/>
        </w:rPr>
        <w:t>5.参加政府采购活动前三年内，在经营活动中没有重大违法记录；</w:t>
      </w:r>
    </w:p>
    <w:p>
      <w:pPr>
        <w:pStyle w:val="35"/>
        <w:spacing w:line="410" w:lineRule="exact"/>
        <w:ind w:firstLine="480" w:firstLineChars="200"/>
        <w:rPr>
          <w:lang w:val="zh-CN"/>
        </w:rPr>
      </w:pPr>
      <w:r>
        <w:rPr>
          <w:rFonts w:hint="eastAsia"/>
        </w:rPr>
        <w:t>6.法律、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w:t>
      </w:r>
    </w:p>
    <w:p>
      <w:pPr>
        <w:pStyle w:val="44"/>
        <w:spacing w:line="460" w:lineRule="exact"/>
        <w:ind w:firstLine="480" w:firstLineChars="200"/>
      </w:pPr>
      <w:r>
        <w:rPr>
          <w:rFonts w:hint="eastAsia"/>
        </w:rPr>
        <w:t>(二)</w:t>
      </w:r>
      <w:r>
        <w:rPr>
          <w:rFonts w:hint="eastAsia"/>
          <w:lang w:val="zh-CN"/>
        </w:rPr>
        <w:t>落实政府采购政策需满足的资格要求：本项目</w:t>
      </w:r>
      <w:r>
        <w:rPr>
          <w:rFonts w:hint="eastAsia"/>
        </w:rPr>
        <w:t>为</w:t>
      </w:r>
      <w:r>
        <w:rPr>
          <w:rFonts w:hint="eastAsia"/>
          <w:lang w:val="zh-CN"/>
        </w:rPr>
        <w:t>专门面向中小企业采购的项目，供应商应为中、小、微</w:t>
      </w:r>
      <w:r>
        <w:rPr>
          <w:rFonts w:hint="eastAsia"/>
        </w:rPr>
        <w:t>型</w:t>
      </w:r>
      <w:r>
        <w:rPr>
          <w:rFonts w:hint="eastAsia"/>
          <w:lang w:val="zh-CN"/>
        </w:rPr>
        <w:t>企业(监狱企业、残疾人福利性单位视同小微企业，</w:t>
      </w:r>
      <w:r>
        <w:t>符合中小企业划分标准的个体工商户视同中小企业</w:t>
      </w:r>
      <w:r>
        <w:rPr>
          <w:rFonts w:hint="eastAsia"/>
          <w:lang w:val="zh-CN"/>
        </w:rPr>
        <w:t>)。</w:t>
      </w:r>
    </w:p>
    <w:p>
      <w:pPr>
        <w:pStyle w:val="44"/>
        <w:spacing w:line="460" w:lineRule="exact"/>
        <w:ind w:firstLine="480" w:firstLineChars="200"/>
        <w:rPr>
          <w:lang w:val="zh-CN"/>
        </w:rPr>
      </w:pPr>
      <w:r>
        <w:rPr>
          <w:rFonts w:hint="eastAsia"/>
        </w:rPr>
        <w:t>(三)</w:t>
      </w:r>
      <w:r>
        <w:rPr>
          <w:rFonts w:hint="eastAsia"/>
          <w:lang w:val="zh-CN"/>
        </w:rPr>
        <w:t>本项目的特定资格要求：</w:t>
      </w:r>
      <w:r>
        <w:rPr>
          <w:rFonts w:hint="eastAsia"/>
        </w:rPr>
        <w:t>本项目不接受联合体参加磋商。</w:t>
      </w:r>
    </w:p>
    <w:p>
      <w:pPr>
        <w:pStyle w:val="44"/>
        <w:numPr>
          <w:ilvl w:val="0"/>
          <w:numId w:val="7"/>
        </w:numPr>
        <w:spacing w:line="410" w:lineRule="exact"/>
        <w:ind w:firstLine="482" w:firstLineChars="200"/>
        <w:rPr>
          <w:b/>
          <w:bCs/>
        </w:rPr>
      </w:pPr>
      <w:r>
        <w:rPr>
          <w:rFonts w:hint="eastAsia"/>
          <w:b/>
          <w:bCs/>
        </w:rPr>
        <w:t>禁止参加本次采购活动的供应商</w:t>
      </w:r>
    </w:p>
    <w:p>
      <w:pPr>
        <w:pStyle w:val="35"/>
        <w:spacing w:line="420" w:lineRule="exact"/>
        <w:ind w:firstLine="480" w:firstLineChars="200"/>
      </w:pPr>
      <w:bookmarkStart w:id="18" w:name="PO_默认文件内容_4"/>
      <w:r>
        <w:rPr>
          <w:rFonts w:hint="eastAsia"/>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44"/>
        <w:numPr>
          <w:ilvl w:val="0"/>
          <w:numId w:val="7"/>
        </w:numPr>
        <w:spacing w:line="410" w:lineRule="exact"/>
        <w:ind w:firstLine="482" w:firstLineChars="200"/>
        <w:rPr>
          <w:b/>
          <w:bCs/>
        </w:rPr>
      </w:pPr>
      <w:r>
        <w:rPr>
          <w:rFonts w:hint="eastAsia"/>
          <w:b/>
          <w:bCs/>
        </w:rPr>
        <w:t>获取磋商文件的时间期限、地点、方式</w:t>
      </w:r>
    </w:p>
    <w:p>
      <w:pPr>
        <w:pStyle w:val="44"/>
        <w:ind w:firstLine="482" w:firstLineChars="200"/>
        <w:rPr>
          <w:highlight w:val="none"/>
          <w:lang w:val="zh-CN"/>
        </w:rPr>
      </w:pPr>
      <w:r>
        <w:rPr>
          <w:rFonts w:hint="eastAsia"/>
          <w:b/>
          <w:bCs/>
        </w:rPr>
        <w:t>(一)获取磋商文件的时间期限(即报名时间</w:t>
      </w:r>
      <w:r>
        <w:rPr>
          <w:rFonts w:hint="eastAsia"/>
          <w:b/>
          <w:bCs/>
          <w:highlight w:val="none"/>
        </w:rPr>
        <w:t>)</w:t>
      </w:r>
      <w:r>
        <w:rPr>
          <w:rFonts w:hint="eastAsia"/>
          <w:highlight w:val="none"/>
        </w:rPr>
        <w:t>：</w:t>
      </w:r>
      <w:r>
        <w:rPr>
          <w:rFonts w:hint="eastAsia"/>
          <w:highlight w:val="none"/>
          <w:u w:val="single"/>
        </w:rPr>
        <w:t>2021年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16</w:t>
      </w:r>
      <w:r>
        <w:rPr>
          <w:rFonts w:hint="eastAsia"/>
          <w:highlight w:val="none"/>
          <w:u w:val="single"/>
        </w:rPr>
        <w:t>日至2021年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22</w:t>
      </w:r>
      <w:r>
        <w:rPr>
          <w:rFonts w:hint="eastAsia"/>
          <w:highlight w:val="none"/>
          <w:u w:val="single"/>
        </w:rPr>
        <w:t>日，每天上午9时00分至12时00分，下午14时00分至17时00分(北京时间，法定节假日除外)。</w:t>
      </w:r>
    </w:p>
    <w:p>
      <w:pPr>
        <w:pStyle w:val="44"/>
        <w:ind w:firstLine="482" w:firstLineChars="200"/>
        <w:rPr>
          <w:highlight w:val="none"/>
          <w:lang w:val="zh-CN"/>
        </w:rPr>
      </w:pPr>
      <w:r>
        <w:rPr>
          <w:rFonts w:hint="eastAsia"/>
          <w:b/>
          <w:bCs/>
          <w:highlight w:val="none"/>
        </w:rPr>
        <w:t>(二)获取磋商文件的地点：</w:t>
      </w:r>
      <w:r>
        <w:rPr>
          <w:rFonts w:hint="eastAsia"/>
          <w:highlight w:val="none"/>
        </w:rPr>
        <w:t>四川乾新招投标</w:t>
      </w:r>
      <w:r>
        <w:rPr>
          <w:rFonts w:hint="eastAsia"/>
          <w:highlight w:val="none"/>
        </w:rPr>
        <w:t>代理有限公司(</w:t>
      </w:r>
      <w:r>
        <w:rPr>
          <w:rFonts w:hint="eastAsia"/>
          <w:b/>
          <w:bCs/>
          <w:highlight w:val="none"/>
        </w:rPr>
        <w:t>http：//www.qxztb.cn</w:t>
      </w:r>
      <w:r>
        <w:rPr>
          <w:rFonts w:hint="eastAsia"/>
          <w:highlight w:val="none"/>
        </w:rPr>
        <w:t>)</w:t>
      </w:r>
      <w:r>
        <w:rPr>
          <w:rFonts w:hint="eastAsia"/>
          <w:highlight w:val="none"/>
          <w:lang w:val="zh-CN"/>
        </w:rPr>
        <w:t>。</w:t>
      </w:r>
    </w:p>
    <w:p>
      <w:pPr>
        <w:pStyle w:val="44"/>
        <w:spacing w:line="460" w:lineRule="exact"/>
        <w:ind w:firstLine="482" w:firstLineChars="200"/>
        <w:rPr>
          <w:b/>
          <w:bCs/>
          <w:highlight w:val="none"/>
        </w:rPr>
      </w:pPr>
      <w:r>
        <w:rPr>
          <w:rFonts w:hint="eastAsia"/>
          <w:b/>
          <w:bCs/>
          <w:highlight w:val="none"/>
        </w:rPr>
        <w:t>(三)获取磋商文件的方式：</w:t>
      </w:r>
    </w:p>
    <w:p>
      <w:pPr>
        <w:pStyle w:val="44"/>
        <w:spacing w:line="460" w:lineRule="exact"/>
        <w:ind w:firstLine="482" w:firstLineChars="200"/>
      </w:pPr>
      <w:r>
        <w:rPr>
          <w:rFonts w:hint="eastAsia"/>
          <w:b/>
          <w:bCs/>
          <w:highlight w:val="none"/>
        </w:rPr>
        <w:t>1.</w:t>
      </w:r>
      <w:r>
        <w:rPr>
          <w:rFonts w:hint="eastAsia"/>
          <w:b/>
          <w:bCs/>
          <w:highlight w:val="none"/>
        </w:rPr>
        <w:tab/>
      </w:r>
      <w:r>
        <w:rPr>
          <w:rFonts w:hint="eastAsia"/>
          <w:b/>
          <w:bCs/>
          <w:highlight w:val="none"/>
        </w:rPr>
        <w:t>在本项目磋商文件获取时间期限内，在采购代理机构指定网站</w:t>
      </w:r>
      <w:r>
        <w:rPr>
          <w:rFonts w:hint="eastAsia"/>
          <w:b/>
          <w:bCs/>
        </w:rPr>
        <w:t>(http：//www.qxztb.cn)购买，具体购买流程详见该网站的“标书在线购买流程”</w:t>
      </w:r>
      <w:r>
        <w:rPr>
          <w:rFonts w:hint="eastAsia"/>
        </w:rPr>
        <w:t>。</w:t>
      </w:r>
    </w:p>
    <w:p>
      <w:pPr>
        <w:pStyle w:val="44"/>
        <w:spacing w:line="460" w:lineRule="exact"/>
        <w:ind w:firstLine="482" w:firstLineChars="200"/>
        <w:rPr>
          <w:b/>
          <w:bCs/>
          <w:lang w:val="zh-CN"/>
        </w:rPr>
      </w:pPr>
      <w:r>
        <w:rPr>
          <w:rFonts w:hint="eastAsia"/>
          <w:b/>
          <w:bCs/>
        </w:rPr>
        <w:t>2.报名咨询电话：</w:t>
      </w:r>
      <w:r>
        <w:rPr>
          <w:rFonts w:hint="eastAsia"/>
          <w:b/>
          <w:bCs/>
          <w:lang w:val="zh-CN"/>
        </w:rPr>
        <w:t>028-61375575、62600820、62630990转601或602。</w:t>
      </w:r>
    </w:p>
    <w:p>
      <w:pPr>
        <w:pStyle w:val="44"/>
        <w:ind w:firstLine="482" w:firstLineChars="200"/>
        <w:rPr>
          <w:b/>
          <w:bCs/>
        </w:rPr>
      </w:pPr>
      <w:r>
        <w:rPr>
          <w:rFonts w:hint="eastAsia"/>
          <w:b/>
          <w:bCs/>
        </w:rPr>
        <w:t>(四)</w:t>
      </w:r>
      <w:r>
        <w:rPr>
          <w:rFonts w:hint="eastAsia"/>
          <w:b/>
          <w:bCs/>
          <w:lang w:val="zh-CN"/>
        </w:rPr>
        <w:t>磋商文件</w:t>
      </w:r>
      <w:r>
        <w:rPr>
          <w:rFonts w:hint="eastAsia"/>
          <w:b/>
          <w:bCs/>
        </w:rPr>
        <w:t>免费提供</w:t>
      </w:r>
      <w:r>
        <w:rPr>
          <w:rFonts w:hint="eastAsia"/>
          <w:b/>
          <w:bCs/>
          <w:lang w:val="zh-CN"/>
        </w:rPr>
        <w:t xml:space="preserve">, </w:t>
      </w:r>
      <w:r>
        <w:rPr>
          <w:rFonts w:hint="eastAsia"/>
          <w:b/>
          <w:bCs/>
        </w:rPr>
        <w:t>磋商资格不得转让。</w:t>
      </w:r>
    </w:p>
    <w:p>
      <w:pPr>
        <w:pStyle w:val="44"/>
        <w:ind w:firstLine="482" w:firstLineChars="200"/>
      </w:pPr>
      <w:r>
        <w:rPr>
          <w:rFonts w:hint="eastAsia"/>
          <w:b/>
          <w:bCs/>
        </w:rPr>
        <w:t>(五)</w:t>
      </w:r>
      <w:r>
        <w:rPr>
          <w:rFonts w:hint="eastAsia"/>
        </w:rPr>
        <w:t>供应商应在规定的时间内按上述要求获取本磋商文件并登记，否则均无资格参加该项目。</w:t>
      </w:r>
    </w:p>
    <w:p>
      <w:pPr>
        <w:pStyle w:val="44"/>
        <w:numPr>
          <w:ilvl w:val="0"/>
          <w:numId w:val="7"/>
        </w:numPr>
        <w:spacing w:line="410" w:lineRule="exact"/>
        <w:ind w:firstLine="482" w:firstLineChars="200"/>
        <w:rPr>
          <w:b/>
          <w:bCs/>
        </w:rPr>
      </w:pPr>
      <w:r>
        <w:rPr>
          <w:rFonts w:hint="eastAsia"/>
          <w:b/>
          <w:bCs/>
        </w:rPr>
        <w:t>竞争性磋商响应文件递交的截止时间：2021年</w:t>
      </w:r>
      <w:r>
        <w:rPr>
          <w:rFonts w:hint="eastAsia"/>
          <w:b/>
          <w:bCs/>
          <w:lang w:val="en-US" w:eastAsia="zh-CN"/>
        </w:rPr>
        <w:t>6</w:t>
      </w:r>
      <w:r>
        <w:rPr>
          <w:rFonts w:hint="eastAsia"/>
          <w:b/>
          <w:bCs/>
        </w:rPr>
        <w:t>月</w:t>
      </w:r>
      <w:r>
        <w:rPr>
          <w:rFonts w:hint="eastAsia"/>
          <w:b/>
          <w:bCs/>
          <w:lang w:val="en-US" w:eastAsia="zh-CN"/>
        </w:rPr>
        <w:t>28</w:t>
      </w:r>
      <w:r>
        <w:rPr>
          <w:rFonts w:hint="eastAsia"/>
          <w:b/>
          <w:bCs/>
        </w:rPr>
        <w:t>日11时00分(北京时间)</w:t>
      </w:r>
    </w:p>
    <w:p>
      <w:pPr>
        <w:pStyle w:val="47"/>
        <w:spacing w:line="410" w:lineRule="exact"/>
        <w:ind w:firstLine="482"/>
        <w:rPr>
          <w:b/>
          <w:bCs/>
        </w:rPr>
      </w:pPr>
      <w:r>
        <w:rPr>
          <w:rFonts w:hint="eastAsia"/>
          <w:b/>
          <w:bCs/>
        </w:rPr>
        <w:t>响应文件递交的起止时间：磋商当日10时30分-11时00分(北京时间)；</w:t>
      </w:r>
    </w:p>
    <w:p>
      <w:pPr>
        <w:pStyle w:val="47"/>
        <w:spacing w:line="410" w:lineRule="exact"/>
        <w:ind w:firstLine="482"/>
        <w:rPr>
          <w:b/>
          <w:bCs/>
        </w:rPr>
      </w:pPr>
      <w:r>
        <w:rPr>
          <w:rFonts w:hint="eastAsia"/>
          <w:b/>
          <w:bCs/>
        </w:rPr>
        <w:t>开启时间：磋商小组组建后立即开启；</w:t>
      </w:r>
    </w:p>
    <w:p>
      <w:pPr>
        <w:pStyle w:val="47"/>
        <w:spacing w:line="410" w:lineRule="exact"/>
        <w:ind w:firstLine="482"/>
      </w:pPr>
      <w:r>
        <w:rPr>
          <w:rFonts w:hint="eastAsia"/>
          <w:b/>
          <w:bCs/>
        </w:rPr>
        <w:t>响应文件递交的地点：</w:t>
      </w:r>
      <w:r>
        <w:rPr>
          <w:rFonts w:hint="eastAsia"/>
        </w:rPr>
        <w:t>成都市高新区吉庆三路333号蜀都中心二期一号楼一单元401号本项目会议室；</w:t>
      </w:r>
    </w:p>
    <w:p>
      <w:pPr>
        <w:pStyle w:val="47"/>
        <w:spacing w:line="410" w:lineRule="exact"/>
        <w:rPr>
          <w:highlight w:val="none"/>
        </w:rPr>
      </w:pPr>
      <w:r>
        <w:rPr>
          <w:rFonts w:hint="eastAsia"/>
        </w:rPr>
        <w:t>供应商应当在磋商文件要求的截止时间前，将响应文件密封送达指定地点。在截止时间后送达的响应文件为</w:t>
      </w:r>
      <w:r>
        <w:rPr>
          <w:rFonts w:hint="eastAsia"/>
          <w:highlight w:val="none"/>
        </w:rPr>
        <w:t>无效文件，将被采购代理机构拒收。</w:t>
      </w:r>
    </w:p>
    <w:p>
      <w:pPr>
        <w:pStyle w:val="44"/>
        <w:numPr>
          <w:ilvl w:val="0"/>
          <w:numId w:val="7"/>
        </w:numPr>
        <w:spacing w:line="410" w:lineRule="exact"/>
        <w:ind w:firstLine="482" w:firstLineChars="200"/>
        <w:rPr>
          <w:b/>
          <w:bCs/>
          <w:highlight w:val="none"/>
        </w:rPr>
      </w:pPr>
      <w:r>
        <w:rPr>
          <w:rFonts w:hint="eastAsia"/>
          <w:b/>
          <w:bCs/>
          <w:highlight w:val="none"/>
        </w:rPr>
        <w:t>磋商时间：2021年</w:t>
      </w:r>
      <w:r>
        <w:rPr>
          <w:rFonts w:hint="eastAsia"/>
          <w:b/>
          <w:bCs/>
          <w:highlight w:val="none"/>
          <w:lang w:val="en-US" w:eastAsia="zh-CN"/>
        </w:rPr>
        <w:t>6</w:t>
      </w:r>
      <w:r>
        <w:rPr>
          <w:rFonts w:hint="eastAsia"/>
          <w:b/>
          <w:bCs/>
          <w:highlight w:val="none"/>
        </w:rPr>
        <w:t>月</w:t>
      </w:r>
      <w:r>
        <w:rPr>
          <w:rFonts w:hint="eastAsia"/>
          <w:b/>
          <w:bCs/>
          <w:highlight w:val="none"/>
          <w:lang w:val="en-US" w:eastAsia="zh-CN"/>
        </w:rPr>
        <w:t>28</w:t>
      </w:r>
      <w:r>
        <w:rPr>
          <w:rFonts w:hint="eastAsia"/>
          <w:b/>
          <w:bCs/>
          <w:highlight w:val="none"/>
        </w:rPr>
        <w:t>日11时00分(北京时间)。</w:t>
      </w:r>
    </w:p>
    <w:p>
      <w:pPr>
        <w:pStyle w:val="44"/>
        <w:numPr>
          <w:ilvl w:val="0"/>
          <w:numId w:val="7"/>
        </w:numPr>
        <w:spacing w:line="410" w:lineRule="exact"/>
        <w:ind w:firstLine="482" w:firstLineChars="200"/>
        <w:rPr>
          <w:b/>
          <w:bCs/>
          <w:highlight w:val="none"/>
        </w:rPr>
      </w:pPr>
      <w:r>
        <w:rPr>
          <w:rFonts w:hint="eastAsia"/>
          <w:b/>
          <w:bCs/>
          <w:highlight w:val="none"/>
        </w:rPr>
        <w:t>磋商地点：</w:t>
      </w:r>
      <w:r>
        <w:rPr>
          <w:rFonts w:hint="eastAsia"/>
          <w:highlight w:val="none"/>
        </w:rPr>
        <w:t>成都市高新区吉庆三路333号蜀都中心二期一号楼一单元401号本项目会议室。</w:t>
      </w:r>
    </w:p>
    <w:p>
      <w:pPr>
        <w:pStyle w:val="44"/>
        <w:numPr>
          <w:ilvl w:val="0"/>
          <w:numId w:val="7"/>
        </w:numPr>
        <w:spacing w:line="410" w:lineRule="exact"/>
        <w:ind w:firstLine="482" w:firstLineChars="200"/>
      </w:pPr>
      <w:r>
        <w:rPr>
          <w:rFonts w:hint="eastAsia"/>
          <w:b/>
          <w:bCs/>
        </w:rPr>
        <w:t>采购信息发布媒体：</w:t>
      </w:r>
      <w:r>
        <w:rPr>
          <w:rFonts w:hint="eastAsia"/>
        </w:rPr>
        <w:t>“四川政府采购网”。</w:t>
      </w:r>
    </w:p>
    <w:p>
      <w:pPr>
        <w:pStyle w:val="44"/>
        <w:numPr>
          <w:ilvl w:val="0"/>
          <w:numId w:val="7"/>
        </w:numPr>
        <w:spacing w:line="410" w:lineRule="exact"/>
        <w:ind w:firstLine="482" w:firstLineChars="200"/>
        <w:rPr>
          <w:b/>
          <w:bCs/>
        </w:rPr>
      </w:pPr>
      <w:r>
        <w:rPr>
          <w:rFonts w:hint="eastAsia"/>
          <w:b/>
          <w:bCs/>
        </w:rPr>
        <w:t>供应商信用融资：</w:t>
      </w:r>
    </w:p>
    <w:p>
      <w:pPr>
        <w:pStyle w:val="47"/>
        <w:spacing w:line="420" w:lineRule="exact"/>
        <w:jc w:val="both"/>
      </w:pPr>
      <w:r>
        <w:rPr>
          <w:rFonts w:hint="eastAsi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44"/>
        <w:numPr>
          <w:ilvl w:val="0"/>
          <w:numId w:val="7"/>
        </w:numPr>
        <w:spacing w:line="410" w:lineRule="exact"/>
        <w:ind w:firstLine="482" w:firstLineChars="200"/>
        <w:rPr>
          <w:b/>
          <w:bCs/>
        </w:rPr>
      </w:pPr>
      <w:r>
        <w:rPr>
          <w:rFonts w:hint="eastAsia"/>
          <w:b/>
          <w:bCs/>
        </w:rPr>
        <w:t>凡对本次采购提出询问，请按以下方式联系。</w:t>
      </w:r>
    </w:p>
    <w:p>
      <w:pPr>
        <w:pStyle w:val="44"/>
        <w:spacing w:line="460" w:lineRule="exact"/>
        <w:ind w:firstLine="480" w:firstLineChars="200"/>
      </w:pPr>
      <w:r>
        <w:rPr>
          <w:rFonts w:hint="eastAsia"/>
        </w:rPr>
        <w:t>(一)采购人信息</w:t>
      </w:r>
    </w:p>
    <w:p>
      <w:pPr>
        <w:pStyle w:val="44"/>
        <w:spacing w:line="460" w:lineRule="exact"/>
        <w:ind w:firstLine="480" w:firstLineChars="200"/>
      </w:pPr>
      <w:r>
        <w:rPr>
          <w:rFonts w:hint="eastAsia"/>
        </w:rPr>
        <w:t>名    称：成都东部新区党工委管委会（成都市东部新城办）综合部</w:t>
      </w:r>
    </w:p>
    <w:p>
      <w:pPr>
        <w:pStyle w:val="44"/>
        <w:spacing w:line="460" w:lineRule="exact"/>
        <w:ind w:firstLine="480" w:firstLineChars="200"/>
      </w:pPr>
      <w:r>
        <w:rPr>
          <w:rFonts w:hint="eastAsia"/>
        </w:rPr>
        <w:t xml:space="preserve">地    址：成都市东部新区三岔街道机场南线166号东部新区市民中心 </w:t>
      </w:r>
    </w:p>
    <w:p>
      <w:pPr>
        <w:pStyle w:val="44"/>
        <w:spacing w:line="460" w:lineRule="exact"/>
        <w:ind w:firstLine="480" w:firstLineChars="200"/>
        <w:rPr>
          <w:rFonts w:hint="eastAsia"/>
        </w:rPr>
      </w:pPr>
      <w:r>
        <w:rPr>
          <w:rFonts w:hint="eastAsia"/>
        </w:rPr>
        <w:t xml:space="preserve">联 系 人：伍老师 </w:t>
      </w:r>
    </w:p>
    <w:p>
      <w:pPr>
        <w:pStyle w:val="44"/>
        <w:spacing w:line="460" w:lineRule="exact"/>
        <w:ind w:firstLine="480" w:firstLineChars="200"/>
      </w:pPr>
      <w:r>
        <w:rPr>
          <w:rFonts w:hint="eastAsia"/>
        </w:rPr>
        <w:t>联系方式：028-</w:t>
      </w:r>
      <w:r>
        <w:rPr>
          <w:rFonts w:hint="eastAsia"/>
          <w:lang w:val="en-US" w:eastAsia="zh-CN"/>
        </w:rPr>
        <w:t>86360026</w:t>
      </w:r>
      <w:r>
        <w:rPr>
          <w:rFonts w:hint="eastAsia"/>
        </w:rPr>
        <w:t xml:space="preserve">  </w:t>
      </w:r>
    </w:p>
    <w:p>
      <w:pPr>
        <w:pStyle w:val="44"/>
        <w:spacing w:line="460" w:lineRule="exact"/>
        <w:ind w:firstLine="480" w:firstLineChars="200"/>
      </w:pPr>
      <w:r>
        <w:rPr>
          <w:rFonts w:hint="eastAsia"/>
        </w:rPr>
        <w:t>(二)采购代理机构信息</w:t>
      </w:r>
    </w:p>
    <w:p>
      <w:pPr>
        <w:pStyle w:val="44"/>
        <w:spacing w:line="460" w:lineRule="exact"/>
        <w:ind w:firstLine="480" w:firstLineChars="200"/>
      </w:pPr>
      <w:r>
        <w:rPr>
          <w:rFonts w:hint="eastAsia"/>
        </w:rPr>
        <w:t>名    称：四川乾新招投标代理有限公司</w:t>
      </w:r>
    </w:p>
    <w:p>
      <w:pPr>
        <w:pStyle w:val="44"/>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44"/>
        <w:spacing w:line="460" w:lineRule="exact"/>
        <w:ind w:firstLine="480" w:firstLineChars="200"/>
      </w:pPr>
      <w:r>
        <w:rPr>
          <w:rFonts w:hint="eastAsia"/>
        </w:rPr>
        <w:t>联 系 人：郭巧樾</w:t>
      </w:r>
    </w:p>
    <w:p>
      <w:pPr>
        <w:pStyle w:val="44"/>
        <w:spacing w:line="460" w:lineRule="exact"/>
        <w:ind w:firstLine="480" w:firstLineChars="200"/>
        <w:rPr>
          <w:rFonts w:hint="default" w:eastAsia="宋体"/>
          <w:lang w:val="en-US" w:eastAsia="zh-CN"/>
        </w:rPr>
      </w:pPr>
      <w:r>
        <w:rPr>
          <w:rFonts w:hint="eastAsia"/>
          <w:lang w:val="zh-CN"/>
        </w:rPr>
        <w:t>联系电话：028-61375575、62600820、62630990转</w:t>
      </w:r>
      <w:r>
        <w:rPr>
          <w:rFonts w:hint="eastAsia"/>
          <w:lang w:val="en-US" w:eastAsia="zh-CN"/>
        </w:rPr>
        <w:t>617</w:t>
      </w:r>
    </w:p>
    <w:p>
      <w:pPr>
        <w:pStyle w:val="44"/>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44"/>
        <w:spacing w:line="460" w:lineRule="exact"/>
        <w:ind w:firstLine="480" w:firstLineChars="200"/>
        <w:rPr>
          <w:lang w:val="zh-CN"/>
        </w:rPr>
      </w:pPr>
      <w:r>
        <w:rPr>
          <w:rFonts w:hint="eastAsia"/>
          <w:lang w:val="zh-CN"/>
        </w:rPr>
        <w:t>电子邮件：</w:t>
      </w:r>
      <w:r>
        <w:fldChar w:fldCharType="begin"/>
      </w:r>
      <w:r>
        <w:instrText xml:space="preserve"> HYPERLINK "mailto:scqxzb@163.com" </w:instrText>
      </w:r>
      <w:r>
        <w:fldChar w:fldCharType="separate"/>
      </w:r>
      <w:r>
        <w:rPr>
          <w:rFonts w:hint="eastAsia"/>
          <w:lang w:val="zh-CN"/>
        </w:rPr>
        <w:t>scqxzb@163.com</w:t>
      </w:r>
      <w:r>
        <w:rPr>
          <w:rFonts w:hint="eastAsia"/>
          <w:lang w:val="zh-CN"/>
        </w:rPr>
        <w:fldChar w:fldCharType="end"/>
      </w:r>
    </w:p>
    <w:p>
      <w:pPr>
        <w:pStyle w:val="49"/>
        <w:spacing w:before="120" w:after="120"/>
      </w:pPr>
      <w:r>
        <w:rPr>
          <w:rFonts w:hint="eastAsia"/>
        </w:rPr>
        <w:br w:type="page"/>
      </w:r>
      <w:bookmarkEnd w:id="13"/>
      <w:bookmarkEnd w:id="14"/>
      <w:bookmarkEnd w:id="15"/>
      <w:bookmarkEnd w:id="16"/>
      <w:bookmarkEnd w:id="17"/>
      <w:bookmarkStart w:id="19" w:name="_Toc8252"/>
      <w:bookmarkStart w:id="20" w:name="_Toc4816"/>
      <w:r>
        <w:rPr>
          <w:rFonts w:hint="eastAsia" w:asciiTheme="minorEastAsia" w:hAnsiTheme="minorEastAsia" w:eastAsiaTheme="minorEastAsia" w:cstheme="minorEastAsia"/>
          <w:color w:val="000000"/>
          <w:szCs w:val="36"/>
        </w:rPr>
        <w:t>磋商须知</w:t>
      </w:r>
      <w:bookmarkEnd w:id="19"/>
      <w:bookmarkEnd w:id="20"/>
    </w:p>
    <w:p>
      <w:pPr>
        <w:pStyle w:val="36"/>
        <w:spacing w:before="120" w:beforeLines="50" w:after="120" w:afterLines="50"/>
        <w:ind w:firstLine="0" w:firstLineChars="0"/>
        <w:jc w:val="center"/>
        <w:rPr>
          <w:sz w:val="36"/>
          <w:szCs w:val="36"/>
        </w:rPr>
      </w:pPr>
      <w:bookmarkStart w:id="21" w:name="_Toc14542"/>
      <w:bookmarkStart w:id="22" w:name="_Toc2243"/>
      <w:r>
        <w:rPr>
          <w:rFonts w:hint="eastAsia"/>
          <w:sz w:val="36"/>
          <w:szCs w:val="36"/>
        </w:rPr>
        <w:t>磋商须知前附表</w:t>
      </w:r>
      <w:bookmarkEnd w:id="21"/>
      <w:bookmarkEnd w:id="22"/>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6"/>
              <w:rPr>
                <w:b/>
                <w:bCs/>
                <w:lang w:val="zh-CN"/>
              </w:rPr>
            </w:pPr>
            <w:bookmarkStart w:id="23" w:name="_Toc327196262"/>
            <w:r>
              <w:rPr>
                <w:rFonts w:hint="eastAsia"/>
                <w:b/>
                <w:bCs/>
                <w:lang w:val="zh-CN"/>
              </w:rPr>
              <w:t>序号</w:t>
            </w:r>
          </w:p>
        </w:tc>
        <w:tc>
          <w:tcPr>
            <w:tcW w:w="2020" w:type="dxa"/>
            <w:vAlign w:val="center"/>
          </w:tcPr>
          <w:p>
            <w:pPr>
              <w:pStyle w:val="46"/>
              <w:rPr>
                <w:b/>
                <w:bCs/>
                <w:lang w:val="zh-CN"/>
              </w:rPr>
            </w:pPr>
            <w:r>
              <w:rPr>
                <w:rFonts w:hint="eastAsia"/>
                <w:b/>
                <w:bCs/>
                <w:lang w:val="zh-CN"/>
              </w:rPr>
              <w:t>须知事项</w:t>
            </w:r>
          </w:p>
        </w:tc>
        <w:tc>
          <w:tcPr>
            <w:tcW w:w="7061" w:type="dxa"/>
            <w:vAlign w:val="center"/>
          </w:tcPr>
          <w:p>
            <w:pPr>
              <w:pStyle w:val="46"/>
              <w:ind w:left="60" w:leftChars="25" w:right="60" w:rightChars="25"/>
              <w:rPr>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lang w:val="zh-CN"/>
              </w:rPr>
              <w:t>采购</w:t>
            </w:r>
            <w:r>
              <w:rPr>
                <w:rFonts w:hint="eastAsia"/>
              </w:rPr>
              <w:t>预算及报价要求</w:t>
            </w:r>
          </w:p>
          <w:p>
            <w:pPr>
              <w:pStyle w:val="46"/>
              <w:rPr>
                <w:lang w:val="zh-CN"/>
              </w:rPr>
            </w:pPr>
            <w:r>
              <w:rPr>
                <w:rFonts w:hint="eastAsia"/>
                <w:lang w:val="zh-CN"/>
              </w:rPr>
              <w:t>(实质性要求)</w:t>
            </w:r>
          </w:p>
        </w:tc>
        <w:tc>
          <w:tcPr>
            <w:tcW w:w="7061" w:type="dxa"/>
            <w:vAlign w:val="center"/>
          </w:tcPr>
          <w:p>
            <w:pPr>
              <w:pStyle w:val="43"/>
              <w:ind w:left="60" w:leftChars="25" w:right="60" w:rightChars="25"/>
              <w:rPr>
                <w:lang w:val="zh-CN"/>
              </w:rPr>
            </w:pPr>
            <w:r>
              <w:rPr>
                <w:rFonts w:hint="eastAsia"/>
              </w:rPr>
              <w:t>1.</w:t>
            </w:r>
            <w:r>
              <w:rPr>
                <w:rFonts w:hint="eastAsia"/>
                <w:lang w:val="zh-CN"/>
              </w:rPr>
              <w:t>本项目采购</w:t>
            </w:r>
            <w:r>
              <w:rPr>
                <w:rFonts w:hint="eastAsia"/>
              </w:rPr>
              <w:t>预算</w:t>
            </w:r>
            <w:r>
              <w:rPr>
                <w:rFonts w:hint="eastAsia"/>
                <w:lang w:val="zh-CN"/>
              </w:rPr>
              <w:t>为人民币</w:t>
            </w:r>
            <w:r>
              <w:rPr>
                <w:rFonts w:hint="eastAsia"/>
              </w:rPr>
              <w:t>67.04万</w:t>
            </w:r>
            <w:r>
              <w:rPr>
                <w:rFonts w:hint="eastAsia"/>
                <w:lang w:val="zh-CN"/>
              </w:rPr>
              <w:t>元。</w:t>
            </w:r>
          </w:p>
          <w:p>
            <w:pPr>
              <w:pStyle w:val="43"/>
              <w:ind w:left="60" w:leftChars="25" w:right="60" w:rightChars="25"/>
              <w:rPr>
                <w:lang w:val="zh-CN"/>
              </w:rPr>
            </w:pPr>
            <w:r>
              <w:rPr>
                <w:rFonts w:hint="eastAsia"/>
              </w:rPr>
              <w:t>2.</w:t>
            </w:r>
            <w:r>
              <w:rPr>
                <w:rFonts w:hint="eastAsia"/>
                <w:lang w:val="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rPr>
                <w:lang w:val="zh-CN"/>
              </w:rPr>
            </w:pPr>
          </w:p>
        </w:tc>
        <w:tc>
          <w:tcPr>
            <w:tcW w:w="2020" w:type="dxa"/>
            <w:vAlign w:val="center"/>
          </w:tcPr>
          <w:p>
            <w:pPr>
              <w:pStyle w:val="46"/>
              <w:rPr>
                <w:highlight w:val="yellow"/>
                <w:lang w:val="zh-CN"/>
              </w:rPr>
            </w:pPr>
            <w:r>
              <w:rPr>
                <w:rFonts w:hint="eastAsia"/>
              </w:rPr>
              <w:t>项目属性</w:t>
            </w:r>
          </w:p>
        </w:tc>
        <w:tc>
          <w:tcPr>
            <w:tcW w:w="7061" w:type="dxa"/>
            <w:vAlign w:val="center"/>
          </w:tcPr>
          <w:p>
            <w:pPr>
              <w:pStyle w:val="43"/>
              <w:ind w:left="60" w:leftChars="25" w:right="60" w:rightChars="25"/>
            </w:pPr>
            <w:r>
              <w:rPr>
                <w:rFonts w:hint="eastAsia"/>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rPr>
                <w:lang w:val="zh-CN"/>
              </w:rPr>
            </w:pPr>
          </w:p>
        </w:tc>
        <w:tc>
          <w:tcPr>
            <w:tcW w:w="2020" w:type="dxa"/>
            <w:vAlign w:val="center"/>
          </w:tcPr>
          <w:p>
            <w:pPr>
              <w:pStyle w:val="46"/>
              <w:ind w:left="24" w:leftChars="10" w:right="24" w:rightChars="10"/>
              <w:rPr>
                <w:lang w:val="zh-CN"/>
              </w:rPr>
            </w:pPr>
            <w:r>
              <w:rPr>
                <w:rFonts w:hint="eastAsia"/>
              </w:rPr>
              <w:t>本项目所属行业</w:t>
            </w:r>
          </w:p>
        </w:tc>
        <w:tc>
          <w:tcPr>
            <w:tcW w:w="7061" w:type="dxa"/>
            <w:vAlign w:val="center"/>
          </w:tcPr>
          <w:p>
            <w:pPr>
              <w:pStyle w:val="43"/>
              <w:ind w:left="60" w:leftChars="25" w:right="60" w:rightChars="25"/>
            </w:pPr>
            <w:r>
              <w:rPr>
                <w:rFonts w:hint="eastAsia"/>
              </w:rPr>
              <w:t>本项目所属行业为租赁和商务服务业。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lang w:val="zh-CN"/>
              </w:rPr>
              <w:t>定向采购</w:t>
            </w:r>
          </w:p>
        </w:tc>
        <w:tc>
          <w:tcPr>
            <w:tcW w:w="7061" w:type="dxa"/>
          </w:tcPr>
          <w:p>
            <w:pPr>
              <w:pStyle w:val="43"/>
              <w:ind w:left="60" w:leftChars="25" w:right="60" w:rightChars="25"/>
            </w:pPr>
            <w:r>
              <w:rPr>
                <w:rFonts w:hint="eastAsia"/>
              </w:rPr>
              <w:t>本</w:t>
            </w:r>
            <w:r>
              <w:rPr>
                <w:rFonts w:hint="eastAsia"/>
                <w:lang w:val="zh-CN"/>
              </w:rPr>
              <w:t>项目</w:t>
            </w:r>
            <w:r>
              <w:rPr>
                <w:rFonts w:hint="eastAsia"/>
              </w:rPr>
              <w:t>为</w:t>
            </w:r>
            <w:r>
              <w:rPr>
                <w:rFonts w:hint="eastAsia"/>
                <w:lang w:val="zh-CN"/>
              </w:rPr>
              <w:t>专门面向中小</w:t>
            </w:r>
            <w:r>
              <w:rPr>
                <w:rFonts w:hint="eastAsia"/>
              </w:rPr>
              <w:t>微</w:t>
            </w:r>
            <w:r>
              <w:rPr>
                <w:rFonts w:hint="eastAsia"/>
                <w:lang w:val="zh-CN"/>
              </w:rPr>
              <w:t>企业</w:t>
            </w:r>
            <w:r>
              <w:rPr>
                <w:rFonts w:hint="eastAsia"/>
              </w:rPr>
              <w:t>采购</w:t>
            </w:r>
            <w:r>
              <w:rPr>
                <w:rFonts w:hint="eastAsia"/>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lang w:val="zh-CN"/>
              </w:rPr>
              <w:t>本国</w:t>
            </w:r>
            <w:r>
              <w:rPr>
                <w:rFonts w:hint="eastAsia"/>
              </w:rPr>
              <w:t>服务</w:t>
            </w:r>
          </w:p>
          <w:p>
            <w:pPr>
              <w:pStyle w:val="46"/>
              <w:rPr>
                <w:lang w:val="zh-CN"/>
              </w:rPr>
            </w:pPr>
            <w:r>
              <w:rPr>
                <w:rFonts w:hint="eastAsia"/>
                <w:lang w:val="zh-CN"/>
              </w:rPr>
              <w:t>(实质性要求)</w:t>
            </w:r>
          </w:p>
        </w:tc>
        <w:tc>
          <w:tcPr>
            <w:tcW w:w="7061" w:type="dxa"/>
            <w:vAlign w:val="center"/>
          </w:tcPr>
          <w:p>
            <w:pPr>
              <w:pStyle w:val="46"/>
              <w:ind w:left="60" w:leftChars="25" w:right="60" w:rightChars="25"/>
              <w:rPr>
                <w:lang w:val="zh-CN"/>
              </w:rPr>
            </w:pPr>
            <w:r>
              <w:rPr>
                <w:rFonts w:hint="eastAsia"/>
                <w:lang w:val="zh-CN"/>
              </w:rPr>
              <w:t>根据《中华人民共和国政府采购法》第十条的规定，本项目采购本国</w:t>
            </w:r>
            <w:r>
              <w:rPr>
                <w:rFonts w:hint="eastAsia"/>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采购方式</w:t>
            </w:r>
          </w:p>
        </w:tc>
        <w:tc>
          <w:tcPr>
            <w:tcW w:w="7061" w:type="dxa"/>
            <w:vAlign w:val="center"/>
          </w:tcPr>
          <w:p>
            <w:pPr>
              <w:pStyle w:val="43"/>
              <w:ind w:left="60" w:leftChars="25" w:right="60" w:rightChars="25"/>
              <w:rPr>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评审办法</w:t>
            </w:r>
          </w:p>
        </w:tc>
        <w:tc>
          <w:tcPr>
            <w:tcW w:w="7061" w:type="dxa"/>
            <w:vAlign w:val="center"/>
          </w:tcPr>
          <w:p>
            <w:pPr>
              <w:pStyle w:val="43"/>
              <w:ind w:left="60" w:leftChars="25" w:right="60" w:rightChars="25"/>
              <w:rPr>
                <w:lang w:val="zh-CN"/>
              </w:rPr>
            </w:pPr>
            <w:r>
              <w:rPr>
                <w:rFonts w:hint="eastAsia"/>
                <w:lang w:val="zh-CN"/>
              </w:rPr>
              <w:t>综合评分法(</w:t>
            </w:r>
            <w:r>
              <w:rPr>
                <w:rFonts w:hint="eastAsia"/>
              </w:rPr>
              <w:t>评审标准</w:t>
            </w:r>
            <w:r>
              <w:rPr>
                <w:rFonts w:hint="eastAsia"/>
                <w:lang w:val="zh-CN"/>
              </w:rPr>
              <w:t>详见第</w:t>
            </w:r>
            <w:r>
              <w:rPr>
                <w:rFonts w:hint="eastAsia"/>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是否接受联合体参与本次磋商</w:t>
            </w:r>
          </w:p>
          <w:p>
            <w:pPr>
              <w:pStyle w:val="46"/>
              <w:rPr>
                <w:lang w:val="zh-CN"/>
              </w:rPr>
            </w:pPr>
            <w:r>
              <w:rPr>
                <w:rFonts w:hint="eastAsia"/>
                <w:lang w:val="zh-CN"/>
              </w:rPr>
              <w:t>(实质性要求)</w:t>
            </w:r>
          </w:p>
        </w:tc>
        <w:tc>
          <w:tcPr>
            <w:tcW w:w="7061" w:type="dxa"/>
            <w:vAlign w:val="center"/>
          </w:tcPr>
          <w:p>
            <w:pPr>
              <w:pStyle w:val="43"/>
              <w:ind w:left="60" w:leftChars="25" w:right="60" w:rightChars="25"/>
              <w:rPr>
                <w:lang w:val="zh-CN"/>
              </w:rPr>
            </w:pPr>
            <w:r>
              <w:rPr>
                <w:rFonts w:hint="eastAsia"/>
              </w:rPr>
              <w:t>本项目不</w:t>
            </w:r>
            <w:r>
              <w:rPr>
                <w:rFonts w:hint="eastAsia"/>
                <w:lang w:val="zh-CN"/>
              </w:rPr>
              <w:t>接受</w:t>
            </w:r>
            <w:r>
              <w:rPr>
                <w:rFonts w:hint="eastAsia"/>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pPr>
            <w:r>
              <w:rPr>
                <w:rFonts w:hint="eastAsia"/>
                <w:lang w:val="zh-CN"/>
              </w:rPr>
              <w:t>磋商保证金</w:t>
            </w:r>
          </w:p>
        </w:tc>
        <w:tc>
          <w:tcPr>
            <w:tcW w:w="7061" w:type="dxa"/>
            <w:vAlign w:val="center"/>
          </w:tcPr>
          <w:p>
            <w:pPr>
              <w:pStyle w:val="43"/>
              <w:ind w:left="60" w:leftChars="25" w:right="60" w:rightChars="25"/>
            </w:pPr>
            <w:r>
              <w:rPr>
                <w:rFonts w:hint="eastAsia"/>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质量要求、验收标准(实质性要求)</w:t>
            </w:r>
          </w:p>
        </w:tc>
        <w:tc>
          <w:tcPr>
            <w:tcW w:w="7061" w:type="dxa"/>
            <w:vAlign w:val="center"/>
          </w:tcPr>
          <w:p>
            <w:pPr>
              <w:pStyle w:val="43"/>
              <w:ind w:left="60" w:leftChars="25" w:right="60" w:rightChars="25"/>
            </w:pPr>
            <w:r>
              <w:rPr>
                <w:rFonts w:hint="eastAsia"/>
              </w:rPr>
              <w:t>1.质量要求：符合国家相关标准、行业标准、地方标准或者其他标准、规范要求。</w:t>
            </w:r>
          </w:p>
          <w:p>
            <w:pPr>
              <w:pStyle w:val="43"/>
              <w:ind w:left="60" w:leftChars="25" w:right="60" w:rightChars="25"/>
            </w:pPr>
            <w:r>
              <w:rPr>
                <w:rFonts w:hint="eastAsia"/>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答疑会和现场考察</w:t>
            </w:r>
          </w:p>
        </w:tc>
        <w:tc>
          <w:tcPr>
            <w:tcW w:w="7061" w:type="dxa"/>
            <w:vAlign w:val="center"/>
          </w:tcPr>
          <w:p>
            <w:pPr>
              <w:pStyle w:val="43"/>
              <w:ind w:left="60" w:leftChars="25" w:right="60" w:rightChars="25"/>
            </w:pPr>
            <w:r>
              <w:rPr>
                <w:rFonts w:hint="eastAsia"/>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43"/>
              <w:ind w:left="60" w:leftChars="25" w:right="60" w:rightChars="25"/>
            </w:pPr>
            <w:r>
              <w:rPr>
                <w:rFonts w:hint="eastAsia"/>
              </w:rPr>
              <w:t>2.供应商考察现场所发生的一切费用由供应商自行承担。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低于成本价不正当竞争预防措施</w:t>
            </w:r>
          </w:p>
          <w:p>
            <w:pPr>
              <w:pStyle w:val="46"/>
            </w:pPr>
            <w:r>
              <w:rPr>
                <w:rFonts w:hint="eastAsia"/>
              </w:rPr>
              <w:t>(实质性要求)</w:t>
            </w:r>
          </w:p>
        </w:tc>
        <w:tc>
          <w:tcPr>
            <w:tcW w:w="7061" w:type="dxa"/>
            <w:vAlign w:val="center"/>
          </w:tcPr>
          <w:p>
            <w:pPr>
              <w:pStyle w:val="43"/>
              <w:ind w:left="60" w:leftChars="25" w:right="60" w:rightChars="25"/>
            </w:pPr>
            <w:r>
              <w:rPr>
                <w:rFonts w:hint="eastAsia"/>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3"/>
              <w:ind w:left="60" w:leftChars="25" w:right="60" w:rightChars="25"/>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3"/>
              <w:ind w:left="60" w:leftChars="25" w:right="60" w:rightChars="25"/>
            </w:pPr>
            <w:r>
              <w:rPr>
                <w:rFonts w:hint="eastAsia"/>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rPr>
              <w:t>小微企业、监狱企业、残疾人福利性单位价格扣除</w:t>
            </w:r>
          </w:p>
        </w:tc>
        <w:tc>
          <w:tcPr>
            <w:tcW w:w="7061" w:type="dxa"/>
            <w:vAlign w:val="center"/>
          </w:tcPr>
          <w:p>
            <w:pPr>
              <w:pStyle w:val="43"/>
              <w:ind w:left="60" w:leftChars="25" w:right="60" w:rightChars="25"/>
            </w:pPr>
            <w:r>
              <w:rPr>
                <w:rFonts w:hint="eastAsia"/>
              </w:rPr>
              <w:t>政府采购促进中小企业发展政策</w:t>
            </w:r>
          </w:p>
          <w:p>
            <w:pPr>
              <w:pStyle w:val="43"/>
              <w:numPr>
                <w:ilvl w:val="0"/>
                <w:numId w:val="10"/>
              </w:numPr>
              <w:tabs>
                <w:tab w:val="clear" w:pos="312"/>
              </w:tabs>
              <w:ind w:left="60" w:leftChars="25" w:right="60" w:rightChars="25"/>
            </w:pPr>
            <w:r>
              <w:rPr>
                <w:rFonts w:hint="eastAsia"/>
                <w:b/>
                <w:bCs/>
              </w:rPr>
              <w:t>定义：</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3"/>
              <w:ind w:left="60" w:leftChars="25" w:right="60" w:rightChars="25"/>
            </w:pPr>
            <w:r>
              <w:rPr>
                <w:rFonts w:hint="eastAsia"/>
                <w:b/>
                <w:bCs/>
              </w:rPr>
              <w:t>适用情形：</w:t>
            </w:r>
            <w:r>
              <w:rPr>
                <w:rFonts w:hint="eastAsia"/>
              </w:rPr>
              <w:t>在服务采购项目中，服务由中小企业承接，即提供服务的人员为中小企业依照《中华人民共和国劳动合同法》 订立劳动合同的从业人员。</w:t>
            </w:r>
          </w:p>
          <w:p>
            <w:pPr>
              <w:pStyle w:val="43"/>
              <w:ind w:left="60" w:leftChars="25" w:right="60" w:rightChars="25"/>
            </w:pPr>
            <w:r>
              <w:rPr>
                <w:rFonts w:hint="eastAsia"/>
              </w:rPr>
              <w:t>注：关于中小微型企业划分标准详见附件四。</w:t>
            </w:r>
          </w:p>
          <w:p>
            <w:pPr>
              <w:pStyle w:val="43"/>
              <w:numPr>
                <w:ilvl w:val="0"/>
                <w:numId w:val="10"/>
              </w:numPr>
              <w:tabs>
                <w:tab w:val="clear" w:pos="312"/>
              </w:tabs>
              <w:ind w:left="60" w:leftChars="25" w:right="60" w:rightChars="25"/>
            </w:pPr>
            <w:r>
              <w:rPr>
                <w:rFonts w:hint="eastAsia"/>
              </w:rPr>
              <w:t>执行方式：</w:t>
            </w:r>
          </w:p>
          <w:p>
            <w:pPr>
              <w:pStyle w:val="43"/>
              <w:ind w:left="60" w:leftChars="25" w:right="60" w:rightChars="25"/>
            </w:pPr>
            <w:r>
              <w:rPr>
                <w:rFonts w:hint="eastAsia"/>
                <w:b/>
                <w:bCs/>
              </w:rPr>
              <w:t>本项目为专门面向中小企业采购的项目，供应商应为中、小、微型企业(监狱企业、残疾人福利性单位视同小微企业，符合中小企业划分标准的个体工商户视同中小企业)，不再执行价格评审优惠的扶持政策。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节能产品、环境标志产品、无线局域网产品、商品包装、快递包装采购政策</w:t>
            </w:r>
          </w:p>
        </w:tc>
        <w:tc>
          <w:tcPr>
            <w:tcW w:w="7061" w:type="dxa"/>
            <w:vAlign w:val="center"/>
          </w:tcPr>
          <w:p>
            <w:pPr>
              <w:pStyle w:val="43"/>
              <w:ind w:left="60" w:leftChars="25" w:right="60" w:rightChars="25"/>
            </w:pPr>
            <w:r>
              <w:rPr>
                <w:rFonts w:hint="eastAsia"/>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品牌或者供应商</w:t>
            </w:r>
            <w:r>
              <w:rPr>
                <w:rFonts w:hint="eastAsia"/>
              </w:rPr>
              <w:br w:type="textWrapping"/>
            </w:r>
            <w:r>
              <w:rPr>
                <w:rFonts w:hint="eastAsia"/>
              </w:rPr>
              <w:t>(如涉及)</w:t>
            </w:r>
          </w:p>
        </w:tc>
        <w:tc>
          <w:tcPr>
            <w:tcW w:w="7061" w:type="dxa"/>
            <w:vAlign w:val="center"/>
          </w:tcPr>
          <w:p>
            <w:pPr>
              <w:pStyle w:val="43"/>
              <w:ind w:left="60" w:leftChars="25" w:right="60" w:rightChars="25"/>
            </w:pPr>
            <w:r>
              <w:rPr>
                <w:rFonts w:hint="eastAsia"/>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其他强制性规定</w:t>
            </w:r>
          </w:p>
          <w:p>
            <w:pPr>
              <w:pStyle w:val="46"/>
            </w:pPr>
            <w:r>
              <w:rPr>
                <w:rFonts w:hint="eastAsia"/>
              </w:rPr>
              <w:t>(如涉及时作为实质性要求)</w:t>
            </w:r>
          </w:p>
        </w:tc>
        <w:tc>
          <w:tcPr>
            <w:tcW w:w="7061" w:type="dxa"/>
            <w:vAlign w:val="center"/>
          </w:tcPr>
          <w:p>
            <w:pPr>
              <w:pStyle w:val="43"/>
              <w:ind w:left="60" w:leftChars="25" w:right="60" w:rightChars="25"/>
            </w:pPr>
            <w:r>
              <w:rPr>
                <w:rFonts w:hint="eastAsia"/>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lang w:val="zh-CN"/>
              </w:rPr>
              <w:t>评</w:t>
            </w:r>
            <w:r>
              <w:rPr>
                <w:rFonts w:hint="eastAsia"/>
              </w:rPr>
              <w:t>审</w:t>
            </w:r>
            <w:r>
              <w:rPr>
                <w:rFonts w:hint="eastAsia"/>
                <w:lang w:val="zh-CN"/>
              </w:rPr>
              <w:t>情况的公告</w:t>
            </w:r>
          </w:p>
        </w:tc>
        <w:tc>
          <w:tcPr>
            <w:tcW w:w="7061" w:type="dxa"/>
            <w:vAlign w:val="center"/>
          </w:tcPr>
          <w:p>
            <w:pPr>
              <w:pStyle w:val="43"/>
              <w:ind w:left="60" w:leftChars="25" w:right="60" w:rightChars="25"/>
            </w:pPr>
            <w:r>
              <w:rPr>
                <w:rFonts w:hint="eastAsia"/>
              </w:rPr>
              <w:t>1.所有递交了响应文件的供应商资格性审查情况、总得分和分项汇总得分情况、评审结果等将在“四川政府采购网”采购结果公告栏中予以公告。</w:t>
            </w:r>
          </w:p>
          <w:p>
            <w:pPr>
              <w:pStyle w:val="43"/>
              <w:ind w:left="60" w:leftChars="25" w:right="60" w:rightChars="25"/>
            </w:pPr>
            <w:r>
              <w:rPr>
                <w:rFonts w:hint="eastAsia"/>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成交通知书领取</w:t>
            </w:r>
          </w:p>
        </w:tc>
        <w:tc>
          <w:tcPr>
            <w:tcW w:w="7061" w:type="dxa"/>
            <w:vAlign w:val="center"/>
          </w:tcPr>
          <w:p>
            <w:pPr>
              <w:pStyle w:val="43"/>
              <w:ind w:left="60" w:leftChars="25" w:right="60" w:rightChars="25"/>
              <w:rPr>
                <w:lang w:val="zh-CN"/>
              </w:rPr>
            </w:pPr>
            <w:r>
              <w:rPr>
                <w:rFonts w:hint="eastAsia"/>
                <w:lang w:val="zh-CN"/>
              </w:rPr>
              <w:t>采购代理机构在</w:t>
            </w:r>
            <w:r>
              <w:rPr>
                <w:rFonts w:hint="eastAsia"/>
              </w:rPr>
              <w:t>成交</w:t>
            </w:r>
            <w:r>
              <w:rPr>
                <w:rFonts w:hint="eastAsia"/>
                <w:lang w:val="zh-CN"/>
              </w:rPr>
              <w:t>供应商确定后2个工作日内，在“四川政府采购网”发布成交公告。</w:t>
            </w:r>
          </w:p>
          <w:p>
            <w:pPr>
              <w:pStyle w:val="43"/>
              <w:ind w:left="60" w:leftChars="25" w:right="60" w:rightChars="25"/>
              <w:rPr>
                <w:lang w:val="zh-CN"/>
              </w:rPr>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43"/>
              <w:ind w:left="60" w:leftChars="25" w:right="60" w:rightChars="25"/>
            </w:pPr>
            <w:r>
              <w:rPr>
                <w:rFonts w:hint="eastAsia"/>
              </w:rPr>
              <w:t>联系人：朱琴</w:t>
            </w:r>
          </w:p>
          <w:p>
            <w:pPr>
              <w:pStyle w:val="43"/>
              <w:ind w:left="60" w:leftChars="25" w:right="60" w:rightChars="25"/>
            </w:pPr>
            <w:r>
              <w:rPr>
                <w:rFonts w:hint="eastAsia"/>
                <w:lang w:val="zh-CN"/>
              </w:rPr>
              <w:t>联系电话：</w:t>
            </w:r>
            <w:r>
              <w:rPr>
                <w:rFonts w:hint="eastAsia"/>
              </w:rPr>
              <w:t>028-61375575、62600820、62630990转601或602</w:t>
            </w:r>
          </w:p>
          <w:p>
            <w:pPr>
              <w:pStyle w:val="43"/>
              <w:ind w:left="60" w:leftChars="25" w:right="60" w:rightChars="25"/>
            </w:pPr>
            <w:r>
              <w:rPr>
                <w:rFonts w:hint="eastAsia"/>
                <w:lang w:val="zh-CN"/>
              </w:rPr>
              <w:t>地址：成都市高新区吉庆三路333号蜀都中心二期一号楼一单元401</w:t>
            </w:r>
            <w:r>
              <w:rPr>
                <w:rFonts w:hint="eastAsia"/>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rPr>
              <w:t>招标代理</w:t>
            </w:r>
            <w:r>
              <w:rPr>
                <w:rFonts w:hint="eastAsia"/>
                <w:lang w:val="zh-CN"/>
              </w:rPr>
              <w:t>服务费</w:t>
            </w:r>
          </w:p>
        </w:tc>
        <w:tc>
          <w:tcPr>
            <w:tcW w:w="7061" w:type="dxa"/>
            <w:tcBorders>
              <w:bottom w:val="single" w:color="auto" w:sz="4" w:space="0"/>
            </w:tcBorders>
            <w:vAlign w:val="center"/>
          </w:tcPr>
          <w:p>
            <w:pPr>
              <w:pStyle w:val="43"/>
              <w:ind w:left="60" w:leftChars="25" w:right="60" w:rightChars="25"/>
            </w:pPr>
            <w:r>
              <w:rPr>
                <w:rFonts w:hint="eastAsia"/>
              </w:rPr>
              <w:t>1.按照成本加合理利润原则，本项目定额计取招标代理服务费5000元。</w:t>
            </w:r>
          </w:p>
          <w:p>
            <w:pPr>
              <w:pStyle w:val="43"/>
              <w:ind w:left="60" w:leftChars="25" w:right="60" w:rightChars="25"/>
            </w:pPr>
            <w:r>
              <w:rPr>
                <w:rFonts w:hint="eastAsia"/>
              </w:rPr>
              <w:t>2.收取方式：成交</w:t>
            </w:r>
            <w:r>
              <w:rPr>
                <w:rFonts w:hint="eastAsia"/>
                <w:lang w:val="zh-CN"/>
              </w:rPr>
              <w:t>通知发出后由</w:t>
            </w:r>
            <w:r>
              <w:rPr>
                <w:rFonts w:hint="eastAsia"/>
              </w:rPr>
              <w:t>采购人</w:t>
            </w:r>
            <w:r>
              <w:rPr>
                <w:rFonts w:hint="eastAsia"/>
                <w:lang w:val="zh-CN"/>
              </w:rPr>
              <w:t>一次性支付</w:t>
            </w:r>
            <w:r>
              <w:rPr>
                <w:rFonts w:hint="eastAsia"/>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履约保证金</w:t>
            </w:r>
          </w:p>
        </w:tc>
        <w:tc>
          <w:tcPr>
            <w:tcW w:w="7061" w:type="dxa"/>
            <w:vAlign w:val="center"/>
          </w:tcPr>
          <w:p>
            <w:pPr>
              <w:pStyle w:val="43"/>
              <w:ind w:left="60" w:leftChars="25" w:right="60" w:rightChars="25"/>
              <w:rPr>
                <w:lang w:val="zh-CN"/>
              </w:rPr>
            </w:pPr>
            <w:r>
              <w:rPr>
                <w:rFonts w:hint="eastAsia"/>
              </w:rPr>
              <w:t>本项目不收取履约保证金</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rPr>
              <w:t>政府采购供应商信用融资</w:t>
            </w:r>
          </w:p>
        </w:tc>
        <w:tc>
          <w:tcPr>
            <w:tcW w:w="7061" w:type="dxa"/>
            <w:vAlign w:val="center"/>
          </w:tcPr>
          <w:p>
            <w:pPr>
              <w:pStyle w:val="43"/>
              <w:ind w:left="60" w:leftChars="25" w:right="60" w:rightChars="2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3"/>
              <w:ind w:left="60" w:leftChars="25" w:right="60" w:rightChars="25"/>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lang w:val="zh-CN"/>
              </w:rPr>
              <w:t>并按照相关规定要求和贷款流程</w:t>
            </w:r>
            <w:r>
              <w:rPr>
                <w:rFonts w:hint="eastAsia"/>
              </w:rPr>
              <w:t>办理。</w:t>
            </w:r>
          </w:p>
          <w:p>
            <w:pPr>
              <w:pStyle w:val="43"/>
              <w:ind w:left="60" w:leftChars="25" w:right="60" w:rightChars="25"/>
            </w:pPr>
            <w:r>
              <w:rPr>
                <w:rFonts w:hint="eastAsia"/>
              </w:rPr>
              <w:t>3.“政采贷”政策咨询电话：</w:t>
            </w:r>
            <w:r>
              <w:rPr>
                <w:rFonts w:hint="eastAsia"/>
                <w:lang w:val="zh-CN"/>
              </w:rPr>
              <w:t>028-61375575转6</w:t>
            </w:r>
            <w:r>
              <w:rPr>
                <w:rFonts w:hint="eastAsia"/>
              </w:rPr>
              <w:t>08。</w:t>
            </w:r>
          </w:p>
          <w:p>
            <w:pPr>
              <w:pStyle w:val="43"/>
              <w:ind w:left="60" w:leftChars="25" w:right="60" w:rightChars="25"/>
            </w:pPr>
            <w:r>
              <w:rPr>
                <w:rFonts w:hint="eastAsia"/>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lang w:val="zh-CN"/>
              </w:rPr>
              <w:t>合同分包</w:t>
            </w:r>
          </w:p>
        </w:tc>
        <w:tc>
          <w:tcPr>
            <w:tcW w:w="7061" w:type="dxa"/>
            <w:vAlign w:val="center"/>
          </w:tcPr>
          <w:p>
            <w:pPr>
              <w:pStyle w:val="43"/>
              <w:ind w:left="60" w:leftChars="25" w:right="60" w:rightChars="25"/>
            </w:pPr>
            <w:r>
              <w:rPr>
                <w:rFonts w:hint="eastAsia"/>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rPr>
                <w:lang w:val="zh-CN"/>
              </w:rPr>
            </w:pPr>
            <w:r>
              <w:rPr>
                <w:rFonts w:hint="eastAsia"/>
                <w:lang w:val="zh-CN"/>
              </w:rPr>
              <w:t>政府采购合同</w:t>
            </w:r>
          </w:p>
          <w:p>
            <w:pPr>
              <w:pStyle w:val="46"/>
            </w:pPr>
            <w:r>
              <w:rPr>
                <w:rFonts w:hint="eastAsia"/>
                <w:lang w:val="zh-CN"/>
              </w:rPr>
              <w:t>公告备案</w:t>
            </w:r>
          </w:p>
        </w:tc>
        <w:tc>
          <w:tcPr>
            <w:tcW w:w="7061" w:type="dxa"/>
            <w:vAlign w:val="center"/>
          </w:tcPr>
          <w:p>
            <w:pPr>
              <w:pStyle w:val="43"/>
              <w:ind w:left="60" w:leftChars="25" w:right="60" w:rightChars="25"/>
              <w:rPr>
                <w:lang w:val="zh-CN"/>
              </w:rPr>
            </w:pPr>
            <w:r>
              <w:rPr>
                <w:rFonts w:hint="eastAsia"/>
              </w:rPr>
              <w:t>1.</w:t>
            </w:r>
            <w:r>
              <w:rPr>
                <w:rFonts w:hint="eastAsia"/>
                <w:lang w:val="zh-CN"/>
              </w:rPr>
              <w:t>政府采购合同签订之日起2个工作日内，</w:t>
            </w:r>
            <w:r>
              <w:rPr>
                <w:rFonts w:hint="eastAsia"/>
              </w:rPr>
              <w:t>采购人将</w:t>
            </w:r>
            <w:r>
              <w:rPr>
                <w:rFonts w:hint="eastAsia"/>
                <w:lang w:val="zh-CN"/>
              </w:rPr>
              <w:t>政府采购合同在“四川政府采购网”公告；政府采购合同签订之日起七个工作日内，</w:t>
            </w:r>
            <w:r>
              <w:rPr>
                <w:rFonts w:hint="eastAsia"/>
              </w:rPr>
              <w:t>采购人</w:t>
            </w:r>
            <w:r>
              <w:rPr>
                <w:rFonts w:hint="eastAsia"/>
                <w:lang w:val="zh-CN"/>
              </w:rPr>
              <w:t>将政府采购合同向采购项目同级财政部门备案。</w:t>
            </w:r>
          </w:p>
          <w:p>
            <w:pPr>
              <w:pStyle w:val="43"/>
              <w:ind w:left="60" w:leftChars="25" w:right="60" w:rightChars="25"/>
            </w:pPr>
            <w:r>
              <w:rPr>
                <w:rFonts w:hint="eastAsia"/>
              </w:rPr>
              <w:t>2.</w:t>
            </w:r>
            <w:r>
              <w:rPr>
                <w:rFonts w:hint="eastAsia"/>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供应商询问</w:t>
            </w:r>
          </w:p>
        </w:tc>
        <w:tc>
          <w:tcPr>
            <w:tcW w:w="7061" w:type="dxa"/>
          </w:tcPr>
          <w:p>
            <w:pPr>
              <w:pStyle w:val="43"/>
              <w:ind w:left="60" w:leftChars="25" w:right="60" w:rightChars="25"/>
              <w:rPr>
                <w:lang w:val="zh-CN"/>
              </w:rPr>
            </w:pPr>
            <w:r>
              <w:rPr>
                <w:rFonts w:hint="eastAsia"/>
              </w:rPr>
              <w:t>1.根据委托代理协议约定，采购人负责对磋商文件技术参数部分的询问答复，四川乾新招投标代理有限公司负责磋商文件技术参数部分以外的询问答复。</w:t>
            </w:r>
          </w:p>
          <w:p>
            <w:pPr>
              <w:pStyle w:val="43"/>
              <w:ind w:left="60" w:leftChars="25" w:right="60" w:rightChars="25"/>
            </w:pPr>
            <w:r>
              <w:rPr>
                <w:rFonts w:hint="eastAsia"/>
              </w:rPr>
              <w:t>2.询问内容不得涉及评审秘密、国家机密和商业秘密等保密内容。</w:t>
            </w:r>
          </w:p>
          <w:p>
            <w:pPr>
              <w:pStyle w:val="43"/>
              <w:ind w:left="60" w:leftChars="25" w:right="60" w:rightChars="25"/>
            </w:pPr>
            <w:r>
              <w:rPr>
                <w:rFonts w:hint="eastAsia"/>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3"/>
              <w:ind w:left="60" w:leftChars="25" w:right="60" w:rightChars="25"/>
            </w:pPr>
            <w:r>
              <w:rPr>
                <w:rFonts w:hint="eastAsia"/>
                <w:lang w:val="zh-CN"/>
              </w:rPr>
              <w:t>联系人：</w:t>
            </w:r>
            <w:r>
              <w:rPr>
                <w:rFonts w:hint="eastAsia"/>
              </w:rPr>
              <w:t>郭巧樾</w:t>
            </w:r>
          </w:p>
          <w:p>
            <w:pPr>
              <w:pStyle w:val="43"/>
              <w:ind w:left="60" w:leftChars="25" w:right="60" w:rightChars="25"/>
            </w:pPr>
            <w:r>
              <w:rPr>
                <w:rFonts w:hint="eastAsia"/>
                <w:lang w:val="zh-CN"/>
              </w:rPr>
              <w:t>联系电话：</w:t>
            </w:r>
            <w:r>
              <w:rPr>
                <w:rFonts w:hint="eastAsia"/>
              </w:rPr>
              <w:t>028-61375575、62600820、62630990转682</w:t>
            </w:r>
          </w:p>
          <w:p>
            <w:pPr>
              <w:pStyle w:val="43"/>
              <w:ind w:left="60" w:leftChars="25" w:right="60" w:rightChars="25"/>
              <w:rPr>
                <w:lang w:val="zh-CN"/>
              </w:rPr>
            </w:pPr>
            <w:r>
              <w:rPr>
                <w:rFonts w:hint="eastAsia"/>
                <w:lang w:val="zh-CN"/>
              </w:rPr>
              <w:t>地址：成都市高新区吉庆三路333号蜀都中心二期一号楼一单元401号</w:t>
            </w:r>
          </w:p>
          <w:p>
            <w:pPr>
              <w:pStyle w:val="43"/>
              <w:ind w:left="60" w:leftChars="25" w:right="60" w:rightChars="25"/>
            </w:pPr>
            <w:r>
              <w:rPr>
                <w:rFonts w:hint="eastAsia"/>
                <w:lang w:val="zh-CN"/>
              </w:rPr>
              <w:t>邮编</w:t>
            </w:r>
            <w:r>
              <w:rPr>
                <w:rFonts w:hint="eastAsia"/>
              </w:rPr>
              <w:t>：610041</w:t>
            </w:r>
          </w:p>
          <w:p>
            <w:pPr>
              <w:pStyle w:val="43"/>
              <w:ind w:left="60" w:leftChars="25" w:right="60" w:rightChars="25"/>
            </w:pPr>
            <w:r>
              <w:rPr>
                <w:rFonts w:hint="eastAsia"/>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询问提出的时间原则上以政府采购活动中有效质疑的时间计算为准。</w:t>
            </w:r>
          </w:p>
          <w:p>
            <w:pPr>
              <w:pStyle w:val="43"/>
              <w:ind w:left="60" w:leftChars="25" w:right="60" w:rightChars="25"/>
            </w:pPr>
            <w:r>
              <w:rPr>
                <w:rFonts w:hint="eastAsia"/>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3"/>
              <w:ind w:left="60" w:leftChars="25" w:right="60" w:rightChars="25"/>
              <w:rPr>
                <w:lang w:val="zh-CN"/>
              </w:rPr>
            </w:pPr>
            <w:r>
              <w:rPr>
                <w:rFonts w:hint="eastAsia"/>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rPr>
                <w:lang w:val="zh-CN"/>
              </w:rPr>
            </w:pPr>
          </w:p>
        </w:tc>
        <w:tc>
          <w:tcPr>
            <w:tcW w:w="2020" w:type="dxa"/>
            <w:vAlign w:val="center"/>
          </w:tcPr>
          <w:p>
            <w:pPr>
              <w:pStyle w:val="46"/>
            </w:pPr>
            <w:r>
              <w:rPr>
                <w:rFonts w:hint="eastAsia"/>
              </w:rPr>
              <w:t>供应商质疑</w:t>
            </w:r>
          </w:p>
        </w:tc>
        <w:tc>
          <w:tcPr>
            <w:tcW w:w="7061" w:type="dxa"/>
            <w:vAlign w:val="center"/>
          </w:tcPr>
          <w:p>
            <w:pPr>
              <w:pStyle w:val="43"/>
              <w:ind w:left="60" w:leftChars="25" w:right="60" w:rightChars="25"/>
            </w:pPr>
            <w:r>
              <w:rPr>
                <w:rFonts w:hint="eastAsia"/>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rPr>
              <w:br w:type="textWrapping"/>
            </w:r>
            <w:r>
              <w:rPr>
                <w:rFonts w:hint="eastAsia"/>
              </w:rPr>
              <w:t>2.供应商提出质疑应当坚持依法依规、诚实信用原则；不得超出磋商文件、采购过程、采购结果的范围，不得进行虚假、恶意质疑，不得以质疑为手段获取不当得利、实现非法目的。</w:t>
            </w:r>
            <w:r>
              <w:rPr>
                <w:rFonts w:hint="eastAsia"/>
              </w:rPr>
              <w:br w:type="textWrapping"/>
            </w:r>
            <w:r>
              <w:rPr>
                <w:rFonts w:hint="eastAsia"/>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rPr>
              <w:br w:type="textWrapping"/>
            </w:r>
            <w:r>
              <w:rPr>
                <w:rFonts w:hint="eastAsia"/>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3"/>
              <w:ind w:left="60" w:leftChars="25" w:right="60" w:rightChars="25"/>
            </w:pPr>
            <w:r>
              <w:rPr>
                <w:rFonts w:hint="eastAsia"/>
              </w:rPr>
              <w:t>联系人：滕德伟</w:t>
            </w:r>
          </w:p>
          <w:p>
            <w:pPr>
              <w:pStyle w:val="43"/>
              <w:ind w:left="60" w:leftChars="25" w:right="60" w:rightChars="25"/>
            </w:pPr>
            <w:r>
              <w:rPr>
                <w:rFonts w:hint="eastAsia"/>
              </w:rPr>
              <w:t>联系电话：028-61375575、62600820、62630990转656</w:t>
            </w:r>
          </w:p>
          <w:p>
            <w:pPr>
              <w:pStyle w:val="43"/>
              <w:ind w:left="60" w:leftChars="25" w:right="60" w:rightChars="25"/>
            </w:pPr>
            <w:r>
              <w:rPr>
                <w:rFonts w:hint="eastAsia"/>
              </w:rPr>
              <w:t>通讯地址：</w:t>
            </w:r>
            <w:r>
              <w:rPr>
                <w:rFonts w:hint="eastAsia"/>
                <w:lang w:val="zh-CN"/>
              </w:rPr>
              <w:t>成都市高新区吉庆三路333号蜀都中心二期一号楼一单元401号</w:t>
            </w:r>
          </w:p>
          <w:p>
            <w:pPr>
              <w:pStyle w:val="43"/>
              <w:ind w:left="60" w:leftChars="25" w:right="60" w:rightChars="25"/>
            </w:pPr>
            <w:r>
              <w:rPr>
                <w:rFonts w:hint="eastAsia"/>
              </w:rPr>
              <w:t>邮编：610041</w:t>
            </w:r>
          </w:p>
          <w:p>
            <w:pPr>
              <w:pStyle w:val="43"/>
              <w:ind w:left="60" w:leftChars="25" w:right="60" w:rightChars="25"/>
            </w:pPr>
            <w:r>
              <w:rPr>
                <w:rFonts w:hint="eastAsia"/>
              </w:rPr>
              <w:t>注：①根据《中华人民共和国政府采购法》等法律法规规定，供应商质疑应当有明确的请求和必要的证明材料，须符合《政府采购质疑和投诉办法》(财政部第94号令)规定，并使用财政部下发《质疑函》范本。</w:t>
            </w:r>
          </w:p>
          <w:p>
            <w:pPr>
              <w:pStyle w:val="43"/>
              <w:ind w:left="60" w:leftChars="25" w:right="60" w:rightChars="25"/>
            </w:pPr>
            <w:r>
              <w:rPr>
                <w:rFonts w:hint="eastAsia"/>
              </w:rPr>
              <w:t>明确的请求是指：供应商对磋商文件还是对采购过程还是对中标、成交结果提出质疑；想要达到的结果，如中标成交无效、废标、重新组织采购、赔偿、追究法律责任等；</w:t>
            </w:r>
          </w:p>
          <w:p>
            <w:pPr>
              <w:pStyle w:val="43"/>
              <w:ind w:left="60" w:leftChars="25" w:right="60" w:rightChars="25"/>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pPr>
              <w:pStyle w:val="43"/>
              <w:ind w:left="60" w:leftChars="25" w:right="60" w:rightChars="25"/>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3"/>
              <w:ind w:left="60" w:leftChars="25" w:right="60" w:rightChars="25"/>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6"/>
              <w:numPr>
                <w:ilvl w:val="0"/>
                <w:numId w:val="9"/>
              </w:numPr>
            </w:pPr>
          </w:p>
        </w:tc>
        <w:tc>
          <w:tcPr>
            <w:tcW w:w="2020" w:type="dxa"/>
            <w:vAlign w:val="center"/>
          </w:tcPr>
          <w:p>
            <w:pPr>
              <w:pStyle w:val="46"/>
              <w:rPr>
                <w:lang w:val="zh-CN"/>
              </w:rPr>
            </w:pPr>
            <w:r>
              <w:rPr>
                <w:rFonts w:hint="eastAsia"/>
              </w:rPr>
              <w:t>供应商投诉</w:t>
            </w:r>
          </w:p>
        </w:tc>
        <w:tc>
          <w:tcPr>
            <w:tcW w:w="7061" w:type="dxa"/>
          </w:tcPr>
          <w:p>
            <w:pPr>
              <w:pStyle w:val="43"/>
              <w:ind w:left="60" w:leftChars="25" w:right="60" w:rightChars="25"/>
              <w:rPr>
                <w:lang w:val="zh-CN"/>
              </w:rPr>
            </w:pPr>
            <w:r>
              <w:rPr>
                <w:rFonts w:hint="eastAsia"/>
                <w:lang w:val="zh-CN"/>
              </w:rPr>
              <w:t>投诉受理单位：成都东部新区党工委管委会(成都市东部新城办)财政金融局</w:t>
            </w:r>
          </w:p>
          <w:p>
            <w:pPr>
              <w:pStyle w:val="43"/>
              <w:ind w:left="60" w:leftChars="25" w:right="60" w:rightChars="25"/>
              <w:rPr>
                <w:lang w:val="zh-CN"/>
              </w:rPr>
            </w:pPr>
            <w:r>
              <w:rPr>
                <w:rFonts w:hint="eastAsia"/>
                <w:lang w:val="zh-CN"/>
              </w:rPr>
              <w:t xml:space="preserve">联系电话：028-86360129 </w:t>
            </w:r>
            <w:r>
              <w:rPr>
                <w:rFonts w:hint="eastAsia"/>
                <w:lang w:val="zh-CN"/>
              </w:rPr>
              <w:br w:type="textWrapping"/>
            </w:r>
            <w:r>
              <w:rPr>
                <w:rFonts w:hint="eastAsia"/>
                <w:lang w:val="zh-CN"/>
              </w:rPr>
              <w:t>联系人：温老师</w:t>
            </w:r>
          </w:p>
          <w:p>
            <w:pPr>
              <w:pStyle w:val="43"/>
              <w:ind w:left="60" w:leftChars="25" w:right="60" w:rightChars="25"/>
              <w:rPr>
                <w:lang w:val="zh-CN"/>
              </w:rPr>
            </w:pPr>
            <w:r>
              <w:rPr>
                <w:rFonts w:hint="eastAsia"/>
                <w:lang w:val="zh-CN"/>
              </w:rPr>
              <w:t xml:space="preserve">地址：成都东部新区三岔街道板桥村2组166号 </w:t>
            </w:r>
          </w:p>
          <w:p>
            <w:pPr>
              <w:pStyle w:val="43"/>
              <w:ind w:left="60" w:leftChars="25" w:right="60" w:rightChars="25"/>
              <w:rPr>
                <w:lang w:val="zh-CN"/>
              </w:rPr>
            </w:pPr>
            <w:r>
              <w:rPr>
                <w:rFonts w:hint="eastAsia"/>
                <w:lang w:val="zh-CN"/>
              </w:rPr>
              <w:t>邮编：610000</w:t>
            </w:r>
          </w:p>
          <w:p>
            <w:pPr>
              <w:pStyle w:val="43"/>
              <w:ind w:left="60" w:leftChars="25" w:right="60" w:rightChars="25"/>
              <w:rPr>
                <w:lang w:val="zh-CN"/>
              </w:rPr>
            </w:pPr>
            <w:r>
              <w:rPr>
                <w:rFonts w:hint="eastAsia"/>
                <w:lang w:val="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pPr>
            <w:r>
              <w:rPr>
                <w:rFonts w:hint="eastAsia"/>
              </w:rPr>
              <w:t>竞争性磋商费用</w:t>
            </w:r>
          </w:p>
        </w:tc>
        <w:tc>
          <w:tcPr>
            <w:tcW w:w="7061" w:type="dxa"/>
            <w:vAlign w:val="center"/>
          </w:tcPr>
          <w:p>
            <w:pPr>
              <w:pStyle w:val="43"/>
              <w:ind w:left="60" w:leftChars="25" w:right="60" w:rightChars="25"/>
            </w:pPr>
            <w:r>
              <w:rPr>
                <w:rFonts w:hint="eastAsia"/>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pPr>
            <w:r>
              <w:rPr>
                <w:rFonts w:hint="eastAsia"/>
              </w:rPr>
              <w:t>磋商</w:t>
            </w:r>
            <w:r>
              <w:rPr>
                <w:rFonts w:hint="eastAsia"/>
                <w:lang w:val="zh-CN"/>
              </w:rPr>
              <w:t>文件咨询</w:t>
            </w:r>
          </w:p>
        </w:tc>
        <w:tc>
          <w:tcPr>
            <w:tcW w:w="7061" w:type="dxa"/>
            <w:vAlign w:val="center"/>
          </w:tcPr>
          <w:p>
            <w:pPr>
              <w:pStyle w:val="43"/>
              <w:ind w:left="60" w:leftChars="25" w:right="60" w:rightChars="25"/>
              <w:rPr>
                <w:lang w:val="zh-CN"/>
              </w:rPr>
            </w:pPr>
            <w:r>
              <w:rPr>
                <w:rFonts w:hint="eastAsia"/>
                <w:lang w:val="zh-CN"/>
              </w:rPr>
              <w:t>联系人：</w:t>
            </w:r>
            <w:r>
              <w:rPr>
                <w:rFonts w:hint="eastAsia"/>
              </w:rPr>
              <w:t>郭巧樾</w:t>
            </w:r>
          </w:p>
          <w:p>
            <w:pPr>
              <w:pStyle w:val="43"/>
              <w:ind w:left="60" w:leftChars="25" w:right="60" w:rightChars="25"/>
            </w:pPr>
            <w:r>
              <w:rPr>
                <w:rFonts w:hint="eastAsia"/>
                <w:lang w:val="zh-CN"/>
              </w:rPr>
              <w:t>联系电话：028-61375575、62600820、62630990转6</w:t>
            </w:r>
            <w:r>
              <w:rPr>
                <w:rFonts w:hint="eastAsia"/>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rPr>
                <w:lang w:val="zh-CN"/>
              </w:rPr>
            </w:pPr>
            <w:r>
              <w:rPr>
                <w:rFonts w:hint="eastAsia"/>
              </w:rPr>
              <w:t>服务质量投诉电话</w:t>
            </w:r>
          </w:p>
        </w:tc>
        <w:tc>
          <w:tcPr>
            <w:tcW w:w="7061" w:type="dxa"/>
            <w:vAlign w:val="center"/>
          </w:tcPr>
          <w:p>
            <w:pPr>
              <w:pStyle w:val="43"/>
              <w:ind w:left="60" w:leftChars="25" w:right="60" w:rightChars="25"/>
            </w:pPr>
            <w:r>
              <w:rPr>
                <w:rFonts w:hint="eastAsia"/>
              </w:rPr>
              <w:t>联系人：滕德伟</w:t>
            </w:r>
          </w:p>
          <w:p>
            <w:pPr>
              <w:pStyle w:val="43"/>
              <w:ind w:left="60" w:leftChars="25" w:right="60" w:rightChars="25"/>
              <w:rPr>
                <w:lang w:val="zh-CN"/>
              </w:rPr>
            </w:pPr>
            <w:r>
              <w:rPr>
                <w:rFonts w:hint="eastAsia"/>
              </w:rPr>
              <w:t>联系电话：028-61375575、62600820、62630990转656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rPr>
                <w:lang w:val="zh-CN"/>
              </w:rPr>
            </w:pPr>
            <w:r>
              <w:rPr>
                <w:rFonts w:hint="eastAsia"/>
                <w:lang w:val="zh-CN"/>
              </w:rPr>
              <w:t>声明承诺提醒</w:t>
            </w:r>
          </w:p>
        </w:tc>
        <w:tc>
          <w:tcPr>
            <w:tcW w:w="7061" w:type="dxa"/>
            <w:vAlign w:val="center"/>
          </w:tcPr>
          <w:p>
            <w:pPr>
              <w:pStyle w:val="43"/>
              <w:ind w:left="60" w:leftChars="25" w:right="60" w:rightChars="25"/>
              <w:rPr>
                <w:lang w:val="zh-CN"/>
              </w:rPr>
            </w:pPr>
            <w:r>
              <w:rPr>
                <w:rFonts w:hint="eastAsia"/>
                <w:lang w:val="zh-CN"/>
              </w:rPr>
              <w:t>供应商响应文件中提供的各种声明和承诺应当真实有效，无效声明和承诺、虚假声明和承诺将由供应商</w:t>
            </w:r>
            <w:r>
              <w:rPr>
                <w:rFonts w:hint="eastAsia"/>
              </w:rPr>
              <w:t>自行</w:t>
            </w:r>
            <w:r>
              <w:rPr>
                <w:rFonts w:hint="eastAsia"/>
                <w:lang w:val="zh-CN"/>
              </w:rPr>
              <w:t>承担由此带来的</w:t>
            </w:r>
            <w:r>
              <w:rPr>
                <w:rFonts w:hint="eastAsia"/>
              </w:rPr>
              <w:t>一切</w:t>
            </w:r>
            <w:r>
              <w:rPr>
                <w:rFonts w:hint="eastAsia"/>
                <w:lang w:val="zh-CN"/>
              </w:rPr>
              <w:t>不利后果，</w:t>
            </w:r>
            <w:r>
              <w:rPr>
                <w:rFonts w:hint="eastAsia"/>
              </w:rPr>
              <w:t>采购代理机构</w:t>
            </w:r>
            <w:r>
              <w:rPr>
                <w:rFonts w:hint="eastAsia"/>
                <w:lang w:val="zh-CN"/>
              </w:rPr>
              <w:t>还将报告监管部门追究</w:t>
            </w:r>
            <w:r>
              <w:rPr>
                <w:rFonts w:hint="eastAsia"/>
              </w:rPr>
              <w:t>其</w:t>
            </w:r>
            <w:r>
              <w:rPr>
                <w:rFonts w:hint="eastAsia"/>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pPr>
          </w:p>
        </w:tc>
        <w:tc>
          <w:tcPr>
            <w:tcW w:w="2020" w:type="dxa"/>
            <w:vAlign w:val="center"/>
          </w:tcPr>
          <w:p>
            <w:pPr>
              <w:pStyle w:val="46"/>
              <w:rPr>
                <w:lang w:val="zh-CN"/>
              </w:rPr>
            </w:pPr>
            <w:r>
              <w:rPr>
                <w:rFonts w:hint="eastAsia"/>
              </w:rPr>
              <w:t>备注</w:t>
            </w:r>
          </w:p>
        </w:tc>
        <w:tc>
          <w:tcPr>
            <w:tcW w:w="7061" w:type="dxa"/>
            <w:vAlign w:val="center"/>
          </w:tcPr>
          <w:p>
            <w:pPr>
              <w:pStyle w:val="43"/>
              <w:ind w:left="60" w:leftChars="25" w:right="60" w:rightChars="25"/>
              <w:rPr>
                <w:lang w:val="zh-CN"/>
              </w:rPr>
            </w:pPr>
            <w:r>
              <w:rPr>
                <w:rFonts w:hint="eastAsia"/>
                <w:lang w:val="zh-CN"/>
              </w:rPr>
              <w:t>若竞争性磋商文件中其他内容与磋商须知前附表内容不一致的，以磋商须知前附表为准。</w:t>
            </w:r>
          </w:p>
        </w:tc>
      </w:tr>
    </w:tbl>
    <w:p>
      <w:pPr>
        <w:pStyle w:val="36"/>
        <w:spacing w:before="120" w:beforeLines="50" w:after="120" w:afterLines="50"/>
        <w:ind w:firstLine="0" w:firstLineChars="0"/>
        <w:jc w:val="center"/>
        <w:rPr>
          <w:sz w:val="36"/>
          <w:szCs w:val="36"/>
        </w:rPr>
      </w:pPr>
      <w:r>
        <w:rPr>
          <w:rFonts w:hint="eastAsia"/>
        </w:rPr>
        <w:br w:type="page"/>
      </w:r>
      <w:bookmarkStart w:id="24" w:name="_Toc12952"/>
      <w:r>
        <w:rPr>
          <w:rFonts w:hint="eastAsia"/>
          <w:sz w:val="36"/>
          <w:szCs w:val="36"/>
        </w:rPr>
        <w:t>总则</w:t>
      </w:r>
      <w:bookmarkEnd w:id="24"/>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6"/>
            </w:pPr>
            <w:r>
              <w:rPr>
                <w:rFonts w:hint="eastAsia"/>
                <w:b/>
                <w:bCs/>
                <w:lang w:val="zh-CN"/>
              </w:rPr>
              <w:t>序号</w:t>
            </w:r>
          </w:p>
        </w:tc>
        <w:tc>
          <w:tcPr>
            <w:tcW w:w="1753" w:type="dxa"/>
            <w:vAlign w:val="center"/>
          </w:tcPr>
          <w:p>
            <w:pPr>
              <w:pStyle w:val="46"/>
              <w:rPr>
                <w:lang w:val="zh-CN"/>
              </w:rPr>
            </w:pPr>
            <w:r>
              <w:rPr>
                <w:rFonts w:hint="eastAsia"/>
                <w:b/>
                <w:bCs/>
                <w:lang w:val="zh-CN"/>
              </w:rPr>
              <w:t>事项</w:t>
            </w:r>
          </w:p>
        </w:tc>
        <w:tc>
          <w:tcPr>
            <w:tcW w:w="7328" w:type="dxa"/>
            <w:vAlign w:val="center"/>
          </w:tcPr>
          <w:p>
            <w:pPr>
              <w:pStyle w:val="46"/>
              <w:ind w:left="60" w:leftChars="25" w:right="60" w:rightChars="25"/>
              <w:rPr>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1</w:t>
            </w:r>
          </w:p>
        </w:tc>
        <w:tc>
          <w:tcPr>
            <w:tcW w:w="1753" w:type="dxa"/>
            <w:vAlign w:val="center"/>
          </w:tcPr>
          <w:p>
            <w:pPr>
              <w:pStyle w:val="46"/>
              <w:rPr>
                <w:lang w:val="zh-CN"/>
              </w:rPr>
            </w:pPr>
            <w:r>
              <w:rPr>
                <w:rFonts w:hint="eastAsia"/>
                <w:lang w:val="zh-CN"/>
              </w:rPr>
              <w:t>适用范围</w:t>
            </w:r>
          </w:p>
        </w:tc>
        <w:tc>
          <w:tcPr>
            <w:tcW w:w="7328" w:type="dxa"/>
            <w:vAlign w:val="center"/>
          </w:tcPr>
          <w:p>
            <w:pPr>
              <w:pStyle w:val="43"/>
              <w:ind w:left="60" w:leftChars="25" w:right="60" w:rightChars="25"/>
            </w:pPr>
            <w:r>
              <w:rPr>
                <w:rFonts w:hint="eastAsia"/>
              </w:rPr>
              <w:t>1.</w:t>
            </w:r>
            <w:r>
              <w:rPr>
                <w:rFonts w:hint="eastAsia"/>
                <w:lang w:val="zh-CN"/>
              </w:rPr>
              <w:t>本竞争性磋商文件(亦</w:t>
            </w:r>
            <w:r>
              <w:rPr>
                <w:rFonts w:hint="eastAsia"/>
              </w:rPr>
              <w:t>简称“磋商文件”或“采购文件”</w:t>
            </w:r>
            <w:r>
              <w:rPr>
                <w:rFonts w:hint="eastAsia"/>
                <w:lang w:val="zh-CN"/>
              </w:rPr>
              <w:t>)仅适用于</w:t>
            </w:r>
            <w:r>
              <w:rPr>
                <w:rFonts w:hint="eastAsia"/>
              </w:rPr>
              <w:t>本次磋商</w:t>
            </w:r>
            <w:r>
              <w:rPr>
                <w:rFonts w:hint="eastAsia"/>
                <w:lang w:val="zh-CN"/>
              </w:rPr>
              <w:t>采购</w:t>
            </w:r>
            <w:r>
              <w:rPr>
                <w:rFonts w:hint="eastAsia"/>
              </w:rPr>
              <w:t>项目。</w:t>
            </w:r>
          </w:p>
          <w:p>
            <w:pPr>
              <w:pStyle w:val="43"/>
              <w:ind w:left="60" w:leftChars="25" w:right="60" w:rightChars="25"/>
              <w:rPr>
                <w:lang w:val="zh-CN"/>
              </w:rPr>
            </w:pPr>
            <w:r>
              <w:rPr>
                <w:rFonts w:hint="eastAsia"/>
                <w:lang w:val="zh-CN"/>
              </w:rPr>
              <w:t>2.本竞争性</w:t>
            </w:r>
            <w:r>
              <w:rPr>
                <w:rFonts w:hint="eastAsia"/>
              </w:rPr>
              <w:t>磋商</w:t>
            </w:r>
            <w:r>
              <w:rPr>
                <w:rFonts w:hint="eastAsia"/>
                <w:lang w:val="zh-CN"/>
              </w:rPr>
              <w:t>文件中的</w:t>
            </w:r>
            <w:r>
              <w:rPr>
                <w:rFonts w:hint="eastAsia"/>
              </w:rPr>
              <w:t>响应文件</w:t>
            </w:r>
            <w:r>
              <w:rPr>
                <w:rFonts w:hint="eastAsia"/>
                <w:lang w:val="zh-CN"/>
              </w:rPr>
              <w:t>，仅适用于本采购项目。</w:t>
            </w:r>
          </w:p>
          <w:p>
            <w:pPr>
              <w:pStyle w:val="43"/>
              <w:ind w:left="60" w:leftChars="25" w:right="60" w:rightChars="25"/>
              <w:rPr>
                <w:lang w:val="zh-CN"/>
              </w:rPr>
            </w:pPr>
            <w:r>
              <w:rPr>
                <w:rFonts w:hint="eastAsia"/>
              </w:rPr>
              <w:t>3.</w:t>
            </w:r>
            <w:r>
              <w:rPr>
                <w:rFonts w:hint="eastAsia"/>
                <w:lang w:val="zh-CN"/>
              </w:rPr>
              <w:t>本竞争性</w:t>
            </w:r>
            <w:r>
              <w:rPr>
                <w:rFonts w:hint="eastAsia"/>
              </w:rPr>
              <w:t>磋商</w:t>
            </w:r>
            <w:r>
              <w:rPr>
                <w:rFonts w:hint="eastAsia"/>
                <w:lang w:val="zh-CN"/>
              </w:rPr>
              <w:t>文件中的</w:t>
            </w:r>
            <w:r>
              <w:rPr>
                <w:rFonts w:hint="eastAsia"/>
              </w:rPr>
              <w:t>磋商</w:t>
            </w:r>
            <w:r>
              <w:rPr>
                <w:rFonts w:hint="eastAsia"/>
                <w:lang w:val="zh-CN"/>
              </w:rPr>
              <w:t>小组(亦可称为“评审委员会”)，仅适用于本采购项目。</w:t>
            </w:r>
          </w:p>
          <w:p>
            <w:pPr>
              <w:pStyle w:val="43"/>
              <w:ind w:left="60" w:leftChars="25" w:right="60" w:rightChars="25"/>
            </w:pPr>
            <w:r>
              <w:rPr>
                <w:rFonts w:hint="eastAsia"/>
              </w:rPr>
              <w:t>4</w:t>
            </w:r>
            <w:r>
              <w:rPr>
                <w:rFonts w:hint="eastAsia"/>
                <w:lang w:val="zh-CN"/>
              </w:rPr>
              <w:t>.本</w:t>
            </w:r>
            <w:r>
              <w:rPr>
                <w:rFonts w:hint="eastAsia"/>
              </w:rPr>
              <w:t>磋商</w:t>
            </w:r>
            <w:r>
              <w:rPr>
                <w:rFonts w:hint="eastAsia"/>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2</w:t>
            </w:r>
          </w:p>
        </w:tc>
        <w:tc>
          <w:tcPr>
            <w:tcW w:w="1753" w:type="dxa"/>
            <w:vAlign w:val="center"/>
          </w:tcPr>
          <w:p>
            <w:pPr>
              <w:pStyle w:val="46"/>
            </w:pPr>
            <w:r>
              <w:rPr>
                <w:rFonts w:hint="eastAsia"/>
              </w:rPr>
              <w:t>采购主体</w:t>
            </w:r>
          </w:p>
        </w:tc>
        <w:tc>
          <w:tcPr>
            <w:tcW w:w="7328" w:type="dxa"/>
            <w:vAlign w:val="center"/>
          </w:tcPr>
          <w:p>
            <w:pPr>
              <w:pStyle w:val="43"/>
              <w:ind w:left="60" w:leftChars="25" w:right="60" w:rightChars="25"/>
            </w:pPr>
            <w:r>
              <w:rPr>
                <w:rFonts w:hint="eastAsia"/>
              </w:rPr>
              <w:t>1.“采购人”系依法进行政府采购的国家机关、事业单位、团体组织。本次采购的采购人是成都东部新区党工委管委会(成都市东部新城办)综合部。</w:t>
            </w:r>
          </w:p>
          <w:p>
            <w:pPr>
              <w:pStyle w:val="43"/>
              <w:ind w:left="60" w:leftChars="25" w:right="60" w:rightChars="25"/>
            </w:pPr>
            <w:r>
              <w:rPr>
                <w:rFonts w:hint="eastAsia"/>
              </w:rPr>
              <w:t>2.“供应商”系指购买了竞争性磋商文件拟参加磋商和向采购人提供相应服务的法人、其他组织或者自然人。</w:t>
            </w:r>
          </w:p>
          <w:p>
            <w:pPr>
              <w:pStyle w:val="43"/>
              <w:ind w:left="60" w:leftChars="25" w:right="60" w:rightChars="25"/>
            </w:pPr>
            <w:r>
              <w:rPr>
                <w:rFonts w:hint="eastAsia"/>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3</w:t>
            </w:r>
          </w:p>
        </w:tc>
        <w:tc>
          <w:tcPr>
            <w:tcW w:w="1753" w:type="dxa"/>
            <w:vAlign w:val="center"/>
          </w:tcPr>
          <w:p>
            <w:pPr>
              <w:pStyle w:val="46"/>
            </w:pPr>
            <w:r>
              <w:rPr>
                <w:rFonts w:hint="eastAsia"/>
              </w:rPr>
              <w:t>合格供应商条件</w:t>
            </w:r>
          </w:p>
          <w:p>
            <w:pPr>
              <w:pStyle w:val="46"/>
            </w:pPr>
            <w:r>
              <w:rPr>
                <w:rFonts w:hint="eastAsia"/>
              </w:rPr>
              <w:t>(实质性要求)</w:t>
            </w:r>
          </w:p>
        </w:tc>
        <w:tc>
          <w:tcPr>
            <w:tcW w:w="7328" w:type="dxa"/>
            <w:vAlign w:val="center"/>
          </w:tcPr>
          <w:p>
            <w:pPr>
              <w:pStyle w:val="43"/>
              <w:ind w:left="60" w:leftChars="25" w:right="60" w:rightChars="25"/>
            </w:pPr>
            <w:r>
              <w:rPr>
                <w:rFonts w:hint="eastAsia"/>
              </w:rPr>
              <w:t>1.不属于禁止参加本项目采购活动的供应商。</w:t>
            </w:r>
          </w:p>
          <w:p>
            <w:pPr>
              <w:pStyle w:val="43"/>
              <w:ind w:left="60" w:leftChars="25" w:right="60" w:rightChars="25"/>
            </w:pPr>
            <w:r>
              <w:rPr>
                <w:rFonts w:hint="eastAsia"/>
              </w:rPr>
              <w:t>2.遵守国家有关的法律、法规、规章和其他政策制度。</w:t>
            </w:r>
          </w:p>
          <w:p>
            <w:pPr>
              <w:pStyle w:val="43"/>
              <w:ind w:left="60" w:leftChars="25" w:right="60" w:rightChars="25"/>
            </w:pPr>
            <w:r>
              <w:rPr>
                <w:rFonts w:hint="eastAsia"/>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4</w:t>
            </w:r>
          </w:p>
        </w:tc>
        <w:tc>
          <w:tcPr>
            <w:tcW w:w="1753" w:type="dxa"/>
            <w:vAlign w:val="center"/>
          </w:tcPr>
          <w:p>
            <w:pPr>
              <w:pStyle w:val="46"/>
            </w:pPr>
            <w:r>
              <w:rPr>
                <w:rFonts w:hint="eastAsia"/>
              </w:rPr>
              <w:t>充分、公平竞争保障措施</w:t>
            </w:r>
          </w:p>
          <w:p>
            <w:pPr>
              <w:pStyle w:val="46"/>
            </w:pPr>
            <w:r>
              <w:rPr>
                <w:rFonts w:hint="eastAsia"/>
              </w:rPr>
              <w:t>(实质性要求)</w:t>
            </w:r>
          </w:p>
        </w:tc>
        <w:tc>
          <w:tcPr>
            <w:tcW w:w="7328" w:type="dxa"/>
            <w:vAlign w:val="center"/>
          </w:tcPr>
          <w:p>
            <w:pPr>
              <w:pStyle w:val="43"/>
              <w:ind w:left="60" w:leftChars="25" w:right="60" w:rightChars="25"/>
            </w:pPr>
            <w:r>
              <w:rPr>
                <w:rFonts w:hint="eastAsia"/>
              </w:rPr>
              <w:t>1.根据《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43"/>
              <w:ind w:left="60" w:leftChars="25" w:right="60" w:rightChars="25"/>
            </w:pPr>
            <w:r>
              <w:rPr>
                <w:rFonts w:hint="eastAsia"/>
              </w:rPr>
              <w:t>2.利害关系供应商处理。单位负责人为同一人或者存在直接控股、管理关系的不同供应商不得参加同一合同项下的政府采购活动。</w:t>
            </w:r>
          </w:p>
          <w:p>
            <w:pPr>
              <w:pStyle w:val="43"/>
              <w:ind w:left="60" w:leftChars="25" w:right="60" w:rightChars="25"/>
            </w:pPr>
            <w:r>
              <w:rPr>
                <w:rFonts w:hint="eastAsia"/>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3"/>
              <w:ind w:left="60" w:leftChars="25" w:right="60" w:rightChars="25"/>
              <w:rPr>
                <w:b/>
                <w:bCs/>
              </w:rPr>
            </w:pPr>
            <w:r>
              <w:rPr>
                <w:rFonts w:hint="eastAsia"/>
                <w:b/>
                <w:bCs/>
              </w:rPr>
              <w:t>注：本项目无符合本条规定的供应商。</w:t>
            </w:r>
          </w:p>
          <w:p>
            <w:pPr>
              <w:pStyle w:val="43"/>
              <w:ind w:left="60" w:leftChars="25" w:right="60" w:rightChars="25"/>
            </w:pPr>
            <w:r>
              <w:rPr>
                <w:rFonts w:hint="eastAsia"/>
              </w:rPr>
              <w:t>4.利害关系代理人处理。2家以上的供应商不得在同一合同项下的采购项目中，同时委托同一个自然人、同一家庭的人员、同一单位的人员作为其代理人，否则，其响应文件作为无效处理。</w:t>
            </w:r>
          </w:p>
          <w:p>
            <w:pPr>
              <w:pStyle w:val="43"/>
              <w:ind w:left="60" w:leftChars="25" w:right="60" w:rightChars="25"/>
            </w:pPr>
            <w:r>
              <w:rPr>
                <w:rFonts w:hint="eastAsia"/>
              </w:rPr>
              <w:t>5.供应商实际控制人或者中高级管理人员，同时是采购代理机构工作人员，不得参与本项目政府采购活动。</w:t>
            </w:r>
          </w:p>
          <w:p>
            <w:pPr>
              <w:pStyle w:val="43"/>
              <w:ind w:left="60" w:leftChars="25" w:right="60" w:rightChars="25"/>
            </w:pPr>
            <w:r>
              <w:rPr>
                <w:rFonts w:hint="eastAsia"/>
              </w:rPr>
              <w:t>6.同一母公司的两家以上的子公司只能组成联合体参加本项目同一合同项下的采购活动，不得以不同供应商身份同时参加本项目同一合同项下的采购活动。</w:t>
            </w:r>
          </w:p>
          <w:p>
            <w:pPr>
              <w:pStyle w:val="43"/>
              <w:ind w:left="60" w:leftChars="25" w:right="60" w:rightChars="25"/>
            </w:pPr>
            <w:r>
              <w:rPr>
                <w:rFonts w:hint="eastAsia"/>
              </w:rPr>
              <w:t>7.供应商与采购代理机构存在关联关系，或者是采购代理机构的母公司或子公司，不得参加本项目政府采购活动。</w:t>
            </w:r>
          </w:p>
          <w:p>
            <w:pPr>
              <w:pStyle w:val="43"/>
              <w:ind w:left="60" w:leftChars="25" w:right="60" w:rightChars="25"/>
            </w:pPr>
            <w:r>
              <w:rPr>
                <w:rFonts w:hint="eastAsia"/>
              </w:rPr>
              <w:t>8.回避。政府采购活动中，采购人员及相关人员与供应商有下列利害关系之一的，应当回避：</w:t>
            </w:r>
          </w:p>
          <w:p>
            <w:pPr>
              <w:pStyle w:val="43"/>
              <w:ind w:left="60" w:leftChars="25" w:right="60" w:rightChars="25"/>
            </w:pPr>
            <w:r>
              <w:rPr>
                <w:rFonts w:hint="eastAsia"/>
              </w:rPr>
              <w:t>(1)参加采购活动前3年内与供应商存在劳动关系；</w:t>
            </w:r>
          </w:p>
          <w:p>
            <w:pPr>
              <w:pStyle w:val="43"/>
              <w:ind w:left="60" w:leftChars="25" w:right="60" w:rightChars="25"/>
            </w:pPr>
            <w:r>
              <w:rPr>
                <w:rFonts w:hint="eastAsia"/>
              </w:rPr>
              <w:t>(2)参加采购活动前3年内担任供应商的董事、监事；</w:t>
            </w:r>
          </w:p>
          <w:p>
            <w:pPr>
              <w:pStyle w:val="43"/>
              <w:ind w:left="60" w:leftChars="25" w:right="60" w:rightChars="25"/>
            </w:pPr>
            <w:r>
              <w:rPr>
                <w:rFonts w:hint="eastAsia"/>
              </w:rPr>
              <w:t>(3)参加采购活动前3年内是供应商的控股股东或者实际控制人；</w:t>
            </w:r>
          </w:p>
          <w:p>
            <w:pPr>
              <w:pStyle w:val="43"/>
              <w:ind w:left="60" w:leftChars="25" w:right="60" w:rightChars="25"/>
            </w:pPr>
            <w:r>
              <w:rPr>
                <w:rFonts w:hint="eastAsia"/>
              </w:rPr>
              <w:t>(4)与供应商的法定代表人或者负责人有夫妻、直系血亲、三代以内旁系血亲或者近姻亲关系；</w:t>
            </w:r>
          </w:p>
          <w:p>
            <w:pPr>
              <w:pStyle w:val="43"/>
              <w:ind w:left="60" w:leftChars="25" w:right="60" w:rightChars="25"/>
            </w:pPr>
            <w:r>
              <w:rPr>
                <w:rFonts w:hint="eastAsia"/>
              </w:rPr>
              <w:t>(5)与供应商有其他可能影响政府采购活动公平、公正进行的关系。</w:t>
            </w:r>
          </w:p>
          <w:p>
            <w:pPr>
              <w:pStyle w:val="43"/>
              <w:ind w:left="60" w:leftChars="25" w:right="60" w:rightChars="25"/>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3"/>
              <w:ind w:left="60" w:leftChars="25" w:right="60" w:rightChars="25"/>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3"/>
              <w:ind w:left="60" w:leftChars="25" w:right="60" w:rightChars="25"/>
            </w:pPr>
            <w:r>
              <w:rPr>
                <w:rFonts w:hint="eastAsia"/>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5</w:t>
            </w:r>
          </w:p>
        </w:tc>
        <w:tc>
          <w:tcPr>
            <w:tcW w:w="1753" w:type="dxa"/>
            <w:vAlign w:val="center"/>
          </w:tcPr>
          <w:p>
            <w:pPr>
              <w:pStyle w:val="46"/>
            </w:pPr>
            <w:r>
              <w:rPr>
                <w:rFonts w:hint="eastAsia"/>
              </w:rPr>
              <w:t>磋商有效期</w:t>
            </w:r>
          </w:p>
          <w:p>
            <w:pPr>
              <w:pStyle w:val="46"/>
            </w:pPr>
            <w:r>
              <w:rPr>
                <w:rFonts w:hint="eastAsia"/>
              </w:rPr>
              <w:t>(实质性要求)</w:t>
            </w:r>
          </w:p>
        </w:tc>
        <w:tc>
          <w:tcPr>
            <w:tcW w:w="7328" w:type="dxa"/>
            <w:vAlign w:val="center"/>
          </w:tcPr>
          <w:p>
            <w:pPr>
              <w:pStyle w:val="43"/>
              <w:ind w:left="60" w:leftChars="25" w:right="60" w:rightChars="25"/>
            </w:pPr>
            <w:r>
              <w:rPr>
                <w:rFonts w:hint="eastAsia"/>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3"/>
              <w:ind w:left="60" w:leftChars="25" w:right="60" w:rightChars="25"/>
            </w:pPr>
            <w:r>
              <w:rPr>
                <w:rFonts w:hint="eastAsia"/>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3"/>
              <w:ind w:left="60" w:leftChars="25" w:right="60" w:rightChars="25"/>
            </w:pPr>
            <w:r>
              <w:rPr>
                <w:rFonts w:hint="eastAsia"/>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6"/>
            </w:pPr>
            <w:r>
              <w:rPr>
                <w:rFonts w:hint="eastAsia"/>
              </w:rPr>
              <w:t>6</w:t>
            </w:r>
          </w:p>
        </w:tc>
        <w:tc>
          <w:tcPr>
            <w:tcW w:w="1753" w:type="dxa"/>
            <w:vAlign w:val="center"/>
          </w:tcPr>
          <w:p>
            <w:pPr>
              <w:pStyle w:val="46"/>
            </w:pPr>
            <w:r>
              <w:rPr>
                <w:rFonts w:hint="eastAsia"/>
              </w:rPr>
              <w:t>其他</w:t>
            </w:r>
          </w:p>
        </w:tc>
        <w:tc>
          <w:tcPr>
            <w:tcW w:w="7328" w:type="dxa"/>
            <w:vAlign w:val="center"/>
          </w:tcPr>
          <w:p>
            <w:pPr>
              <w:pStyle w:val="43"/>
              <w:ind w:left="60" w:leftChars="25" w:right="60" w:rightChars="25"/>
            </w:pPr>
            <w:r>
              <w:rPr>
                <w:rFonts w:hint="eastAsia"/>
              </w:rPr>
              <w:t>1.本竞争性磋商文件各部分规定的期间以时、日、月、年计算。期间开始的时和日，不计算在期间内，而从次日开始计算。期间届满的最后一天是节假日的，以节假日后的第一日为期间届满的日期。</w:t>
            </w:r>
          </w:p>
          <w:p>
            <w:pPr>
              <w:pStyle w:val="43"/>
              <w:ind w:left="60" w:leftChars="25" w:right="60" w:rightChars="25"/>
            </w:pPr>
            <w:r>
              <w:rPr>
                <w:rFonts w:hint="eastAsia"/>
              </w:rPr>
              <w:t>2.本竞争性磋商文件各部分规定的时间均以北京时间为准。</w:t>
            </w:r>
          </w:p>
        </w:tc>
      </w:tr>
    </w:tbl>
    <w:p>
      <w:pPr>
        <w:rPr>
          <w:rFonts w:asciiTheme="minorEastAsia" w:hAnsiTheme="minorEastAsia" w:eastAsiaTheme="minorEastAsia" w:cstheme="minorEastAsia"/>
          <w:color w:val="000000"/>
          <w:sz w:val="36"/>
          <w:szCs w:val="36"/>
        </w:rPr>
      </w:pPr>
      <w:bookmarkStart w:id="25" w:name="_Toc23295"/>
      <w:bookmarkStart w:id="26" w:name="_Toc26593"/>
      <w:bookmarkStart w:id="27" w:name="_Toc2042"/>
      <w:bookmarkStart w:id="28" w:name="_Toc4011"/>
      <w:r>
        <w:rPr>
          <w:rFonts w:hint="eastAsia"/>
        </w:rPr>
        <w:br w:type="page"/>
      </w:r>
    </w:p>
    <w:p>
      <w:pPr>
        <w:pStyle w:val="36"/>
        <w:spacing w:before="120" w:beforeLines="50" w:after="120" w:afterLines="50"/>
        <w:ind w:firstLine="0" w:firstLineChars="0"/>
        <w:jc w:val="center"/>
        <w:rPr>
          <w:sz w:val="36"/>
          <w:szCs w:val="36"/>
        </w:rPr>
      </w:pPr>
      <w:bookmarkStart w:id="29" w:name="_Toc30333"/>
      <w:r>
        <w:rPr>
          <w:rFonts w:hint="eastAsia"/>
          <w:sz w:val="36"/>
          <w:szCs w:val="36"/>
        </w:rPr>
        <w:t>竞争性磋商文件</w:t>
      </w:r>
      <w:bookmarkEnd w:id="23"/>
      <w:bookmarkEnd w:id="25"/>
      <w:bookmarkEnd w:id="26"/>
      <w:bookmarkEnd w:id="27"/>
      <w:bookmarkEnd w:id="28"/>
      <w:bookmarkEnd w:id="29"/>
    </w:p>
    <w:p>
      <w:pPr>
        <w:pStyle w:val="50"/>
        <w:ind w:firstLine="482"/>
      </w:pPr>
      <w:bookmarkStart w:id="30" w:name="_Toc22302"/>
      <w:bookmarkStart w:id="31" w:name="_Toc31056"/>
      <w:bookmarkStart w:id="32" w:name="_Toc308188129"/>
      <w:bookmarkStart w:id="33" w:name="_Toc32648"/>
      <w:bookmarkStart w:id="34" w:name="_Toc10311"/>
      <w:bookmarkStart w:id="35" w:name="_Toc307501086"/>
      <w:bookmarkStart w:id="36" w:name="_Toc319440119"/>
      <w:bookmarkStart w:id="37" w:name="_Toc327196263"/>
      <w:bookmarkStart w:id="38" w:name="_Toc3601"/>
      <w:bookmarkStart w:id="39" w:name="_Toc20769"/>
      <w:bookmarkStart w:id="40" w:name="_Toc319439877"/>
      <w:bookmarkStart w:id="41" w:name="_Toc308084574"/>
      <w:bookmarkStart w:id="42" w:name="_Toc31870"/>
      <w:bookmarkStart w:id="43" w:name="_Toc309897492"/>
      <w:bookmarkStart w:id="44" w:name="_Toc307564829"/>
      <w:bookmarkStart w:id="45" w:name="_Toc217446034"/>
      <w:bookmarkStart w:id="46" w:name="_Toc28450"/>
      <w:bookmarkStart w:id="47" w:name="_Toc29532"/>
      <w:bookmarkStart w:id="48" w:name="_Toc5790"/>
      <w:bookmarkStart w:id="49" w:name="_Toc12046"/>
      <w:bookmarkStart w:id="50" w:name="_Toc23796"/>
      <w:bookmarkStart w:id="51" w:name="_Toc32483"/>
      <w:r>
        <w:rPr>
          <w:rFonts w:hint="eastAsia"/>
        </w:rPr>
        <w:t>竞争性磋商文件的构成</w:t>
      </w:r>
      <w:bookmarkEnd w:id="30"/>
      <w:r>
        <w:rPr>
          <w:rFonts w:hint="eastAsia"/>
        </w:rPr>
        <w:t>(实质性要求)</w:t>
      </w:r>
      <w:bookmarkEnd w:id="31"/>
    </w:p>
    <w:p>
      <w:pPr>
        <w:pStyle w:val="47"/>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7"/>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0"/>
        <w:ind w:firstLine="482"/>
      </w:pPr>
      <w:bookmarkStart w:id="52" w:name="_Toc2367"/>
      <w:bookmarkStart w:id="53" w:name="_Toc3396"/>
      <w:r>
        <w:rPr>
          <w:rFonts w:hint="eastAsia"/>
        </w:rPr>
        <w:t>竞争性磋商文件包含内容</w:t>
      </w:r>
      <w:bookmarkEnd w:id="52"/>
      <w:bookmarkEnd w:id="53"/>
    </w:p>
    <w:p>
      <w:pPr>
        <w:pStyle w:val="64"/>
        <w:ind w:firstLine="480"/>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37"/>
        <w:numPr>
          <w:ilvl w:val="0"/>
          <w:numId w:val="11"/>
        </w:numPr>
        <w:ind w:left="0" w:firstLine="480"/>
      </w:pPr>
      <w:r>
        <w:rPr>
          <w:rFonts w:hint="eastAsia"/>
        </w:rPr>
        <w:t>竞争性磋商邀请；</w:t>
      </w:r>
    </w:p>
    <w:p>
      <w:pPr>
        <w:pStyle w:val="37"/>
        <w:numPr>
          <w:ilvl w:val="0"/>
          <w:numId w:val="11"/>
        </w:numPr>
        <w:ind w:left="0" w:firstLine="480"/>
      </w:pPr>
      <w:r>
        <w:rPr>
          <w:rFonts w:hint="eastAsia"/>
        </w:rPr>
        <w:t>磋商须知；</w:t>
      </w:r>
    </w:p>
    <w:p>
      <w:pPr>
        <w:pStyle w:val="37"/>
        <w:numPr>
          <w:ilvl w:val="0"/>
          <w:numId w:val="11"/>
        </w:numPr>
        <w:ind w:left="0" w:firstLine="480"/>
      </w:pPr>
      <w:r>
        <w:rPr>
          <w:rFonts w:hint="eastAsia"/>
        </w:rPr>
        <w:t>供应商资格条件；</w:t>
      </w:r>
    </w:p>
    <w:p>
      <w:pPr>
        <w:pStyle w:val="37"/>
        <w:numPr>
          <w:ilvl w:val="0"/>
          <w:numId w:val="11"/>
        </w:numPr>
        <w:ind w:left="0" w:firstLine="480"/>
      </w:pPr>
      <w:r>
        <w:rPr>
          <w:rFonts w:hint="eastAsia"/>
        </w:rPr>
        <w:t>采购需求；</w:t>
      </w:r>
    </w:p>
    <w:p>
      <w:pPr>
        <w:pStyle w:val="37"/>
        <w:numPr>
          <w:ilvl w:val="0"/>
          <w:numId w:val="11"/>
        </w:numPr>
        <w:ind w:left="0" w:firstLine="480"/>
      </w:pPr>
      <w:r>
        <w:rPr>
          <w:rFonts w:hint="eastAsia"/>
        </w:rPr>
        <w:t>政府采购政策要求；</w:t>
      </w:r>
    </w:p>
    <w:p>
      <w:pPr>
        <w:pStyle w:val="37"/>
        <w:numPr>
          <w:ilvl w:val="0"/>
          <w:numId w:val="11"/>
        </w:numPr>
        <w:ind w:left="0" w:firstLine="480"/>
      </w:pPr>
      <w:r>
        <w:rPr>
          <w:rFonts w:hint="eastAsia"/>
        </w:rPr>
        <w:t>评审程序、评审方法、评审标准；</w:t>
      </w:r>
    </w:p>
    <w:p>
      <w:pPr>
        <w:pStyle w:val="37"/>
        <w:numPr>
          <w:ilvl w:val="0"/>
          <w:numId w:val="11"/>
        </w:numPr>
        <w:ind w:left="0" w:firstLine="480"/>
      </w:pPr>
      <w:r>
        <w:rPr>
          <w:rFonts w:hint="eastAsia"/>
        </w:rPr>
        <w:t>报价要求；</w:t>
      </w:r>
    </w:p>
    <w:p>
      <w:pPr>
        <w:pStyle w:val="37"/>
        <w:numPr>
          <w:ilvl w:val="0"/>
          <w:numId w:val="11"/>
        </w:numPr>
        <w:ind w:left="0" w:firstLine="480"/>
      </w:pPr>
      <w:r>
        <w:rPr>
          <w:rFonts w:hint="eastAsia"/>
        </w:rPr>
        <w:t>响应文件编制要求；</w:t>
      </w:r>
    </w:p>
    <w:p>
      <w:pPr>
        <w:pStyle w:val="37"/>
        <w:numPr>
          <w:ilvl w:val="0"/>
          <w:numId w:val="11"/>
        </w:numPr>
        <w:ind w:left="0" w:firstLine="480"/>
      </w:pPr>
      <w:r>
        <w:rPr>
          <w:rFonts w:hint="eastAsia"/>
        </w:rPr>
        <w:t>磋商过程中可能实质性变动的内容；</w:t>
      </w:r>
    </w:p>
    <w:p>
      <w:pPr>
        <w:pStyle w:val="37"/>
        <w:numPr>
          <w:ilvl w:val="0"/>
          <w:numId w:val="11"/>
        </w:numPr>
        <w:ind w:left="0" w:firstLine="480"/>
      </w:pPr>
      <w:r>
        <w:rPr>
          <w:rFonts w:hint="eastAsia"/>
        </w:rPr>
        <w:t>合同草案条款(参考文本)；</w:t>
      </w:r>
    </w:p>
    <w:p>
      <w:pPr>
        <w:pStyle w:val="37"/>
        <w:numPr>
          <w:ilvl w:val="0"/>
          <w:numId w:val="11"/>
        </w:numPr>
        <w:ind w:left="0" w:firstLine="480"/>
      </w:pPr>
      <w:r>
        <w:rPr>
          <w:rFonts w:hint="eastAsia"/>
        </w:rPr>
        <w:t>磋商过程中形成的书面澄清、说明、更正。</w:t>
      </w:r>
    </w:p>
    <w:p>
      <w:pPr>
        <w:pStyle w:val="64"/>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50"/>
        <w:ind w:firstLine="482"/>
      </w:pPr>
      <w:bookmarkStart w:id="54" w:name="_Toc17499"/>
      <w:bookmarkStart w:id="55" w:name="_Toc9299"/>
      <w:r>
        <w:rPr>
          <w:rFonts w:hint="eastAsia"/>
        </w:rPr>
        <w:t>竞争性磋商文件的澄清和修改</w:t>
      </w:r>
      <w:bookmarkEnd w:id="54"/>
      <w:bookmarkEnd w:id="55"/>
    </w:p>
    <w:p>
      <w:pPr>
        <w:pStyle w:val="34"/>
        <w:numPr>
          <w:ilvl w:val="1"/>
          <w:numId w:val="0"/>
        </w:numPr>
        <w:ind w:firstLine="480" w:firstLineChars="200"/>
      </w:pPr>
      <w:bookmarkStart w:id="56"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34"/>
        <w:numPr>
          <w:ilvl w:val="1"/>
          <w:numId w:val="0"/>
        </w:numPr>
        <w:ind w:firstLine="480" w:firstLineChars="200"/>
      </w:pPr>
      <w:r>
        <w:rPr>
          <w:rFonts w:hint="eastAsia"/>
        </w:rPr>
        <w:t>2.采购代理机构以书面形式将澄清或者修改的内容通知所有按照规定获得了磋商文件的供应商，同时在“四川政府采购网”发布更正公告。</w:t>
      </w:r>
    </w:p>
    <w:p>
      <w:pPr>
        <w:pStyle w:val="34"/>
        <w:numPr>
          <w:ilvl w:val="1"/>
          <w:numId w:val="0"/>
        </w:numPr>
        <w:ind w:firstLine="480" w:firstLineChars="200"/>
      </w:pPr>
      <w:r>
        <w:rPr>
          <w:rFonts w:hint="eastAsia"/>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34"/>
        <w:numPr>
          <w:ilvl w:val="1"/>
          <w:numId w:val="0"/>
        </w:numPr>
        <w:ind w:firstLine="480" w:firstLineChars="200"/>
      </w:pPr>
      <w:r>
        <w:rPr>
          <w:rFonts w:hint="eastAsia"/>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4"/>
        <w:numPr>
          <w:ilvl w:val="1"/>
          <w:numId w:val="0"/>
        </w:numPr>
        <w:ind w:firstLine="480" w:firstLineChars="200"/>
      </w:pPr>
      <w:r>
        <w:rPr>
          <w:rFonts w:hint="eastAsia"/>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34"/>
        <w:numPr>
          <w:ilvl w:val="1"/>
          <w:numId w:val="0"/>
        </w:numPr>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4"/>
        <w:numPr>
          <w:ilvl w:val="1"/>
          <w:numId w:val="0"/>
        </w:numPr>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4"/>
        <w:numPr>
          <w:ilvl w:val="1"/>
          <w:numId w:val="0"/>
        </w:numPr>
        <w:ind w:firstLine="480" w:firstLineChars="200"/>
      </w:pPr>
      <w:r>
        <w:rPr>
          <w:rFonts w:hint="eastAsia"/>
        </w:rPr>
        <w:t>7.供应商认为采购代理机构需要对磋商文件进行澄清或者修改的，可以在响应文件递交的截止时间前以书面形式向采购代理机构提出申请，由采购代理机构决定是否采纳供应商的申请事项。</w:t>
      </w:r>
    </w:p>
    <w:p>
      <w:pPr>
        <w:pStyle w:val="50"/>
        <w:ind w:firstLine="482"/>
      </w:pPr>
      <w:bookmarkStart w:id="57" w:name="_Toc11733"/>
      <w:r>
        <w:rPr>
          <w:rFonts w:hint="eastAsia"/>
        </w:rPr>
        <w:t>实质性变动</w:t>
      </w:r>
      <w:bookmarkEnd w:id="56"/>
      <w:bookmarkEnd w:id="57"/>
    </w:p>
    <w:p>
      <w:pPr>
        <w:pStyle w:val="47"/>
      </w:pPr>
      <w:r>
        <w:rPr>
          <w:rFonts w:hint="eastAsia"/>
        </w:rPr>
        <w:t>磋商小组对磋商文件作出的实质性变动是磋商文件的有效组成部分，磋商小组应当及时以书面形式同时通知所有参加磋商的供应商。</w:t>
      </w:r>
    </w:p>
    <w:p>
      <w:pPr>
        <w:pStyle w:val="50"/>
        <w:ind w:firstLine="482"/>
      </w:pPr>
      <w:bookmarkStart w:id="58" w:name="_Toc30694"/>
      <w:bookmarkStart w:id="59" w:name="_Toc3825"/>
      <w:r>
        <w:rPr>
          <w:rFonts w:hint="eastAsia"/>
        </w:rPr>
        <w:t>答疑会和现场考察</w:t>
      </w:r>
      <w:bookmarkEnd w:id="58"/>
      <w:bookmarkEnd w:id="59"/>
    </w:p>
    <w:p>
      <w:pPr>
        <w:pStyle w:val="64"/>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64"/>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4"/>
        <w:ind w:firstLine="480"/>
      </w:pPr>
      <w:r>
        <w:rPr>
          <w:rFonts w:hint="eastAsia"/>
        </w:rPr>
        <w:t>供应商考察现场或者参加答疑会所发生的一切费用由供应商自行承担。</w:t>
      </w:r>
    </w:p>
    <w:p>
      <w:pPr>
        <w:pStyle w:val="36"/>
        <w:spacing w:before="120" w:beforeLines="50" w:after="120" w:afterLines="50"/>
        <w:ind w:firstLine="0" w:firstLineChars="0"/>
        <w:jc w:val="center"/>
        <w:rPr>
          <w:sz w:val="36"/>
          <w:szCs w:val="36"/>
        </w:rPr>
      </w:pPr>
      <w:bookmarkStart w:id="60" w:name="_Toc30114"/>
      <w:r>
        <w:rPr>
          <w:rFonts w:hint="eastAsia"/>
          <w:sz w:val="36"/>
          <w:szCs w:val="36"/>
        </w:rPr>
        <w:t>响应文件</w:t>
      </w:r>
      <w:bookmarkEnd w:id="60"/>
    </w:p>
    <w:p>
      <w:pPr>
        <w:pStyle w:val="50"/>
        <w:ind w:firstLine="482"/>
      </w:pPr>
      <w:bookmarkStart w:id="61" w:name="_Toc9698"/>
      <w:bookmarkStart w:id="62" w:name="_Toc23219"/>
      <w:bookmarkStart w:id="63" w:name="_Toc7367"/>
      <w:bookmarkStart w:id="64" w:name="_Toc32601"/>
      <w:bookmarkStart w:id="65" w:name="_Toc1594"/>
      <w:r>
        <w:rPr>
          <w:rFonts w:hint="eastAsia"/>
        </w:rPr>
        <w:t>响应文件的语言(实质性要求)</w:t>
      </w:r>
      <w:bookmarkEnd w:id="61"/>
      <w:bookmarkEnd w:id="62"/>
    </w:p>
    <w:p>
      <w:pPr>
        <w:pStyle w:val="34"/>
        <w:numPr>
          <w:ilvl w:val="1"/>
          <w:numId w:val="0"/>
        </w:numPr>
        <w:ind w:firstLine="480" w:firstLineChars="200"/>
      </w:pPr>
      <w:bookmarkStart w:id="66"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4"/>
        <w:numPr>
          <w:ilvl w:val="1"/>
          <w:numId w:val="0"/>
        </w:numPr>
        <w:ind w:firstLine="480" w:firstLineChars="200"/>
      </w:pPr>
      <w:r>
        <w:rPr>
          <w:rFonts w:hint="eastAsia"/>
        </w:rPr>
        <w:t>2.翻译的中文资料与外文资料如果出现差异和矛盾时，以中文为准。涉嫌提供虚假材料的按照相关法律法规处理。</w:t>
      </w:r>
    </w:p>
    <w:p>
      <w:pPr>
        <w:pStyle w:val="34"/>
        <w:numPr>
          <w:ilvl w:val="1"/>
          <w:numId w:val="0"/>
        </w:numPr>
        <w:ind w:firstLine="480" w:firstLineChars="200"/>
      </w:pPr>
      <w:r>
        <w:rPr>
          <w:rFonts w:hint="eastAsia"/>
        </w:rPr>
        <w:t>3.如因未翻译而造成对供应商的不利后果，由供应商承担。</w:t>
      </w:r>
    </w:p>
    <w:p>
      <w:pPr>
        <w:pStyle w:val="50"/>
        <w:ind w:firstLine="482"/>
      </w:pPr>
      <w:bookmarkStart w:id="67" w:name="_Toc31364"/>
      <w:r>
        <w:rPr>
          <w:rFonts w:hint="eastAsia"/>
        </w:rPr>
        <w:t>计量单位(实质性要求)</w:t>
      </w:r>
      <w:bookmarkEnd w:id="66"/>
      <w:bookmarkEnd w:id="67"/>
    </w:p>
    <w:p>
      <w:pPr>
        <w:pStyle w:val="47"/>
      </w:pPr>
      <w:r>
        <w:rPr>
          <w:rFonts w:hint="eastAsia"/>
        </w:rPr>
        <w:t>除采购需求中另有规定外，本采购项下的磋商均采用国家法定的计量单位。</w:t>
      </w:r>
    </w:p>
    <w:p>
      <w:pPr>
        <w:pStyle w:val="50"/>
        <w:ind w:firstLine="482"/>
      </w:pPr>
      <w:bookmarkStart w:id="68" w:name="_Toc9568"/>
      <w:bookmarkStart w:id="69" w:name="_Toc7860"/>
      <w:r>
        <w:rPr>
          <w:rFonts w:hint="eastAsia"/>
        </w:rPr>
        <w:t>知识产权(实质性要求)</w:t>
      </w:r>
      <w:bookmarkEnd w:id="68"/>
      <w:bookmarkEnd w:id="69"/>
    </w:p>
    <w:p>
      <w:pPr>
        <w:pStyle w:val="34"/>
        <w:numPr>
          <w:ilvl w:val="1"/>
          <w:numId w:val="0"/>
        </w:numPr>
        <w:ind w:firstLine="480" w:firstLineChars="200"/>
      </w:pPr>
      <w:bookmarkStart w:id="70" w:name="_Toc23820"/>
      <w:r>
        <w:rPr>
          <w:rFonts w:hint="eastAsia"/>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4"/>
        <w:numPr>
          <w:ilvl w:val="1"/>
          <w:numId w:val="0"/>
        </w:numPr>
        <w:ind w:firstLine="480" w:firstLineChars="200"/>
      </w:pPr>
      <w:r>
        <w:rPr>
          <w:rFonts w:hint="eastAsia"/>
        </w:rPr>
        <w:t>2.采购人享有本项目实施过程中产生的知识成果及知识产权。</w:t>
      </w:r>
    </w:p>
    <w:p>
      <w:pPr>
        <w:pStyle w:val="34"/>
        <w:numPr>
          <w:ilvl w:val="1"/>
          <w:numId w:val="0"/>
        </w:numPr>
        <w:ind w:firstLine="480" w:firstLineChars="200"/>
      </w:pPr>
      <w:r>
        <w:rPr>
          <w:rFonts w:hint="eastAsia"/>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34"/>
        <w:numPr>
          <w:ilvl w:val="1"/>
          <w:numId w:val="0"/>
        </w:numPr>
        <w:ind w:firstLine="480" w:firstLineChars="200"/>
      </w:pPr>
      <w:r>
        <w:rPr>
          <w:rFonts w:hint="eastAsia"/>
        </w:rPr>
        <w:t>4.如采用供应商所不拥有的知识产权，则在报价中必须包括合法获取该知识产权的相关费用。</w:t>
      </w:r>
    </w:p>
    <w:p>
      <w:pPr>
        <w:pStyle w:val="34"/>
        <w:numPr>
          <w:ilvl w:val="1"/>
          <w:numId w:val="0"/>
        </w:numPr>
        <w:ind w:left="480" w:leftChars="200"/>
      </w:pPr>
      <w:r>
        <w:rPr>
          <w:rFonts w:hint="eastAsia"/>
        </w:rPr>
        <w:t>5.如采购项目涉及知识产权时按照此条要求执行，并在评审时作实质性审查。</w:t>
      </w:r>
    </w:p>
    <w:p>
      <w:pPr>
        <w:pStyle w:val="50"/>
        <w:ind w:firstLine="482"/>
      </w:pPr>
      <w:bookmarkStart w:id="71" w:name="_Toc5418"/>
      <w:r>
        <w:rPr>
          <w:rFonts w:hint="eastAsia"/>
        </w:rPr>
        <w:t>响应文件格式要求</w:t>
      </w:r>
      <w:bookmarkEnd w:id="70"/>
      <w:bookmarkEnd w:id="71"/>
    </w:p>
    <w:p>
      <w:pPr>
        <w:pStyle w:val="34"/>
        <w:numPr>
          <w:ilvl w:val="1"/>
          <w:numId w:val="0"/>
        </w:numPr>
        <w:ind w:left="480" w:leftChars="200"/>
      </w:pPr>
      <w:bookmarkStart w:id="72" w:name="_Toc13765"/>
      <w:r>
        <w:rPr>
          <w:rFonts w:hint="eastAsia"/>
        </w:rPr>
        <w:t>1.供应商应按照磋商文件第三章中提供的“响应文件格式”编制相关内容。</w:t>
      </w:r>
    </w:p>
    <w:p>
      <w:pPr>
        <w:pStyle w:val="34"/>
        <w:numPr>
          <w:ilvl w:val="1"/>
          <w:numId w:val="0"/>
        </w:numPr>
        <w:ind w:left="480" w:leftChars="200"/>
      </w:pPr>
      <w:r>
        <w:rPr>
          <w:rFonts w:hint="eastAsia"/>
        </w:rPr>
        <w:t>2.对于磋商文件没有格式要求的由供应商自行编写。</w:t>
      </w:r>
    </w:p>
    <w:p>
      <w:pPr>
        <w:pStyle w:val="50"/>
        <w:ind w:firstLine="482"/>
      </w:pPr>
      <w:bookmarkStart w:id="73" w:name="_Toc32481"/>
      <w:r>
        <w:rPr>
          <w:rFonts w:hint="eastAsia"/>
        </w:rPr>
        <w:t>磋商有效期(实质性要求)</w:t>
      </w:r>
      <w:bookmarkEnd w:id="72"/>
      <w:bookmarkEnd w:id="73"/>
    </w:p>
    <w:p>
      <w:pPr>
        <w:pStyle w:val="64"/>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4"/>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4"/>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0"/>
        <w:ind w:firstLine="482"/>
      </w:pPr>
      <w:bookmarkStart w:id="74" w:name="_Toc16657"/>
      <w:bookmarkStart w:id="75" w:name="_Toc14306"/>
      <w:r>
        <w:rPr>
          <w:rFonts w:hint="eastAsia"/>
        </w:rPr>
        <w:t>联合体磋商</w:t>
      </w:r>
      <w:bookmarkEnd w:id="74"/>
      <w:r>
        <w:rPr>
          <w:rFonts w:hint="eastAsia"/>
          <w:lang w:val="zh-CN"/>
        </w:rPr>
        <w:t>(实质性要求)</w:t>
      </w:r>
      <w:bookmarkEnd w:id="75"/>
    </w:p>
    <w:p>
      <w:pPr>
        <w:pStyle w:val="47"/>
      </w:pPr>
      <w:r>
        <w:rPr>
          <w:rFonts w:hint="eastAsia"/>
        </w:rPr>
        <w:t>本项目不接受联合体参加磋商。</w:t>
      </w:r>
    </w:p>
    <w:p>
      <w:pPr>
        <w:pStyle w:val="50"/>
        <w:ind w:firstLine="482"/>
      </w:pPr>
      <w:bookmarkStart w:id="76" w:name="_Toc24757"/>
      <w:bookmarkStart w:id="77" w:name="_Toc21021"/>
      <w:r>
        <w:rPr>
          <w:rFonts w:hint="eastAsia"/>
        </w:rPr>
        <w:t>响应文件</w:t>
      </w:r>
      <w:bookmarkEnd w:id="63"/>
      <w:bookmarkEnd w:id="64"/>
      <w:bookmarkEnd w:id="65"/>
      <w:r>
        <w:rPr>
          <w:rFonts w:hint="eastAsia"/>
        </w:rPr>
        <w:t>组成(实质性要求)</w:t>
      </w:r>
      <w:bookmarkEnd w:id="76"/>
      <w:bookmarkEnd w:id="77"/>
    </w:p>
    <w:p>
      <w:pPr>
        <w:pStyle w:val="64"/>
        <w:ind w:firstLine="480"/>
        <w:rPr>
          <w:rStyle w:val="68"/>
        </w:rPr>
      </w:pPr>
      <w:r>
        <w:rPr>
          <w:rStyle w:val="68"/>
          <w:rFonts w:hint="eastAsia"/>
        </w:rPr>
        <w:t>供应商须按竞争性磋商文件的要求编写响应文件，对竞争性磋商文件提出的要求和条件做出实质性响应。响应文件应包括但不限于下列内容：</w:t>
      </w:r>
    </w:p>
    <w:p>
      <w:pPr>
        <w:pStyle w:val="37"/>
        <w:numPr>
          <w:ilvl w:val="0"/>
          <w:numId w:val="12"/>
        </w:numPr>
        <w:adjustRightInd/>
        <w:ind w:left="0" w:firstLine="480"/>
      </w:pPr>
      <w:r>
        <w:rPr>
          <w:rFonts w:hint="eastAsia"/>
        </w:rPr>
        <w:t>文件一：资格、资质性及其他类似效力响应文件</w:t>
      </w:r>
    </w:p>
    <w:p>
      <w:pPr>
        <w:pStyle w:val="47"/>
        <w:adjustRightInd/>
      </w:pPr>
      <w:r>
        <w:rPr>
          <w:rFonts w:hint="eastAsia"/>
        </w:rPr>
        <w:t>包括但不限于竞争性磋商文件第四章规定的资格证明材料。</w:t>
      </w:r>
    </w:p>
    <w:p>
      <w:pPr>
        <w:pStyle w:val="37"/>
        <w:numPr>
          <w:ilvl w:val="0"/>
          <w:numId w:val="12"/>
        </w:numPr>
        <w:adjustRightInd/>
        <w:ind w:left="0" w:firstLine="480"/>
      </w:pPr>
      <w:r>
        <w:rPr>
          <w:rFonts w:hint="eastAsia"/>
        </w:rPr>
        <w:t>文件二：其他响应文件</w:t>
      </w:r>
    </w:p>
    <w:p>
      <w:pPr>
        <w:pStyle w:val="47"/>
        <w:adjustRightInd/>
      </w:pPr>
      <w:r>
        <w:rPr>
          <w:rFonts w:hint="eastAsia"/>
        </w:rPr>
        <w:t>包括但不限于竞争性磋商文件第三章格式要求的内容。</w:t>
      </w:r>
    </w:p>
    <w:p>
      <w:pPr>
        <w:pStyle w:val="64"/>
        <w:ind w:firstLine="480"/>
      </w:pPr>
      <w:r>
        <w:rPr>
          <w:rFonts w:hint="eastAsia"/>
        </w:rPr>
        <w:t>补充、修改的内容作为响应文件的组成部分。</w:t>
      </w:r>
    </w:p>
    <w:p>
      <w:pPr>
        <w:pStyle w:val="64"/>
        <w:ind w:firstLine="480"/>
      </w:pPr>
      <w:r>
        <w:rPr>
          <w:rFonts w:hint="eastAsia"/>
        </w:rPr>
        <w:t>最后报价是供应商响应文件的有效组成部分。</w:t>
      </w:r>
    </w:p>
    <w:p>
      <w:pPr>
        <w:pStyle w:val="50"/>
        <w:ind w:firstLine="482"/>
      </w:pPr>
      <w:bookmarkStart w:id="78" w:name="_Toc2322"/>
      <w:bookmarkStart w:id="79" w:name="_Toc8102"/>
      <w:bookmarkStart w:id="80" w:name="_Toc4939"/>
      <w:bookmarkStart w:id="81" w:name="_Toc30559"/>
      <w:bookmarkStart w:id="82" w:name="_Toc31908"/>
      <w:r>
        <w:rPr>
          <w:rFonts w:hint="eastAsia"/>
        </w:rPr>
        <w:t>报价</w:t>
      </w:r>
      <w:bookmarkEnd w:id="78"/>
      <w:bookmarkEnd w:id="79"/>
      <w:bookmarkEnd w:id="80"/>
      <w:r>
        <w:rPr>
          <w:rFonts w:hint="eastAsia"/>
        </w:rPr>
        <w:t>要求(实质性要求)</w:t>
      </w:r>
      <w:bookmarkEnd w:id="81"/>
      <w:bookmarkEnd w:id="82"/>
    </w:p>
    <w:p>
      <w:pPr>
        <w:pStyle w:val="64"/>
        <w:ind w:firstLine="480"/>
      </w:pPr>
      <w:r>
        <w:rPr>
          <w:rFonts w:hint="eastAsia"/>
        </w:rPr>
        <w:t>所有报价货币一律以人民币报价。采购人不接受任何非人民币币种的报价。</w:t>
      </w:r>
    </w:p>
    <w:p>
      <w:pPr>
        <w:pStyle w:val="64"/>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64"/>
        <w:ind w:firstLine="480"/>
      </w:pPr>
      <w:r>
        <w:rPr>
          <w:rFonts w:hint="eastAsia"/>
        </w:rPr>
        <w:t>本次磋商采购最后报价采用现场报价，通过资格审查及除报价相关实质性要求外的实质性审查的供应商按磋商小组要求进行报价。</w:t>
      </w:r>
    </w:p>
    <w:p>
      <w:pPr>
        <w:pStyle w:val="64"/>
        <w:ind w:firstLine="480"/>
      </w:pPr>
      <w:r>
        <w:rPr>
          <w:rFonts w:hint="eastAsia"/>
          <w:lang w:val="zh-CN"/>
        </w:rPr>
        <w:t>供应商报价(包括最后报价)应为完成本竞争性磋商文件中所要求的</w:t>
      </w:r>
      <w:r>
        <w:rPr>
          <w:rFonts w:hint="eastAsia"/>
        </w:rPr>
        <w:t>服务</w:t>
      </w:r>
      <w:r>
        <w:rPr>
          <w:rFonts w:hint="eastAsia"/>
          <w:lang w:val="zh-CN"/>
        </w:rPr>
        <w:t>所应包括内容的所有价格。</w:t>
      </w:r>
    </w:p>
    <w:p>
      <w:pPr>
        <w:pStyle w:val="64"/>
        <w:ind w:firstLine="480"/>
      </w:pPr>
      <w:r>
        <w:rPr>
          <w:rFonts w:hint="eastAsia"/>
        </w:rPr>
        <w:t>成交供应商的成交价是以最后报价表的报价为准，并以此作为结算的依据。</w:t>
      </w:r>
    </w:p>
    <w:p>
      <w:pPr>
        <w:pStyle w:val="64"/>
        <w:ind w:firstLine="480"/>
      </w:pPr>
      <w:r>
        <w:rPr>
          <w:rFonts w:hint="eastAsia"/>
        </w:rPr>
        <w:t>供应商提交的</w:t>
      </w:r>
      <w:r>
        <w:rPr>
          <w:rFonts w:hint="eastAsia"/>
          <w:lang w:val="zh-CN"/>
        </w:rPr>
        <w:t>报价(包括最后报价)</w:t>
      </w:r>
      <w:r>
        <w:rPr>
          <w:rFonts w:hint="eastAsia"/>
        </w:rPr>
        <w:t>不得超过本项目采购预算，否则将被作为无效响应处理。</w:t>
      </w:r>
    </w:p>
    <w:p>
      <w:pPr>
        <w:pStyle w:val="50"/>
        <w:ind w:firstLine="482"/>
      </w:pPr>
      <w:bookmarkStart w:id="83" w:name="_Toc25616"/>
      <w:bookmarkStart w:id="84" w:name="_Toc30361"/>
      <w:r>
        <w:rPr>
          <w:rFonts w:hint="eastAsia"/>
        </w:rPr>
        <w:t>响应文件编制要求</w:t>
      </w:r>
      <w:bookmarkEnd w:id="83"/>
      <w:bookmarkEnd w:id="84"/>
    </w:p>
    <w:p>
      <w:pPr>
        <w:pStyle w:val="64"/>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64"/>
        <w:ind w:firstLine="480"/>
      </w:pPr>
      <w:r>
        <w:rPr>
          <w:rFonts w:hint="eastAsia"/>
        </w:rPr>
        <w:t>本项目供应商只提供纸质响应文件。</w:t>
      </w:r>
    </w:p>
    <w:p>
      <w:pPr>
        <w:pStyle w:val="64"/>
        <w:ind w:firstLine="480"/>
      </w:pPr>
      <w:r>
        <w:rPr>
          <w:rFonts w:hint="eastAsia"/>
        </w:rPr>
        <w:t>供应商递交的响应文件为一式叁份，其中</w:t>
      </w:r>
      <w:r>
        <w:rPr>
          <w:rFonts w:hint="eastAsia"/>
          <w:b/>
          <w:bCs/>
        </w:rPr>
        <w:t>正本壹份、副本贰份</w:t>
      </w:r>
      <w:r>
        <w:rPr>
          <w:rFonts w:hint="eastAsia"/>
        </w:rPr>
        <w:t>。</w:t>
      </w:r>
    </w:p>
    <w:p>
      <w:pPr>
        <w:pStyle w:val="64"/>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64"/>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64"/>
        <w:ind w:firstLine="480"/>
      </w:pPr>
      <w:r>
        <w:rPr>
          <w:rFonts w:hint="eastAsia"/>
        </w:rPr>
        <w:t>响应文件的正本和副本应采用左侧胶装，不得散装或不得采用活页夹等可随时拆换的方式装订，不得有零散页。</w:t>
      </w:r>
    </w:p>
    <w:p>
      <w:pPr>
        <w:pStyle w:val="64"/>
        <w:ind w:firstLine="480"/>
      </w:pPr>
      <w:r>
        <w:rPr>
          <w:rFonts w:hint="eastAsia"/>
        </w:rPr>
        <w:t>若同一册的内容较多，可装订成若干分册，并在封面标明次序及册数。</w:t>
      </w:r>
    </w:p>
    <w:p>
      <w:pPr>
        <w:pStyle w:val="64"/>
        <w:ind w:firstLine="480"/>
      </w:pPr>
      <w:r>
        <w:rPr>
          <w:rFonts w:hint="eastAsia"/>
        </w:rPr>
        <w:t>响应文件中的证明、证件及附件等复印件应集中紧附在相应正文内容后面，并尽量与前面正文部分的顺序相对应。</w:t>
      </w:r>
    </w:p>
    <w:p>
      <w:pPr>
        <w:pStyle w:val="64"/>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4"/>
        <w:ind w:firstLine="480"/>
      </w:pPr>
      <w:r>
        <w:rPr>
          <w:rFonts w:hint="eastAsia"/>
        </w:rPr>
        <w:t>补充、修改的响应文件的装订也应按以上要求办理。</w:t>
      </w:r>
    </w:p>
    <w:p>
      <w:pPr>
        <w:pStyle w:val="50"/>
        <w:ind w:firstLine="482"/>
      </w:pPr>
      <w:bookmarkStart w:id="85" w:name="_Toc26009"/>
      <w:bookmarkStart w:id="86" w:name="_Toc11405"/>
      <w:bookmarkStart w:id="87" w:name="_Toc6048"/>
      <w:bookmarkStart w:id="88" w:name="_Toc27391"/>
      <w:bookmarkStart w:id="89" w:name="_Toc27272"/>
      <w:bookmarkStart w:id="90" w:name="_Toc32589"/>
      <w:r>
        <w:rPr>
          <w:rFonts w:hint="eastAsia"/>
        </w:rPr>
        <w:t>响应文件的密封和标注</w:t>
      </w:r>
      <w:bookmarkEnd w:id="85"/>
      <w:bookmarkEnd w:id="86"/>
    </w:p>
    <w:p>
      <w:pPr>
        <w:pStyle w:val="37"/>
        <w:numPr>
          <w:ilvl w:val="2"/>
          <w:numId w:val="0"/>
        </w:numPr>
        <w:ind w:firstLine="480" w:firstLineChars="200"/>
      </w:pPr>
      <w:r>
        <w:rPr>
          <w:rFonts w:hint="eastAsia"/>
        </w:rPr>
        <w:t>1.本项不属于本项目磋商小组评审范畴，由采购人、采购代理机构在接收响应文件时及时处理。</w:t>
      </w:r>
    </w:p>
    <w:p>
      <w:pPr>
        <w:pStyle w:val="37"/>
        <w:numPr>
          <w:ilvl w:val="2"/>
          <w:numId w:val="0"/>
        </w:numPr>
        <w:ind w:firstLine="480" w:firstLineChars="200"/>
      </w:pPr>
      <w:r>
        <w:rPr>
          <w:rFonts w:hint="eastAsia"/>
        </w:rPr>
        <w:t>2.响应文件可以单独密封包装，也可以将所有响应文件密封包装在一个密封袋内。</w:t>
      </w:r>
    </w:p>
    <w:p>
      <w:pPr>
        <w:pStyle w:val="37"/>
        <w:numPr>
          <w:ilvl w:val="2"/>
          <w:numId w:val="0"/>
        </w:numPr>
        <w:ind w:firstLine="480" w:firstLineChars="200"/>
      </w:pPr>
      <w:r>
        <w:rPr>
          <w:rFonts w:hint="eastAsia"/>
        </w:rPr>
        <w:t>3.响应文件密封袋的最外层应清楚地标明采购项目名称、项目编号、供应商名称、磋商日期。</w:t>
      </w:r>
    </w:p>
    <w:p>
      <w:pPr>
        <w:pStyle w:val="37"/>
        <w:numPr>
          <w:ilvl w:val="2"/>
          <w:numId w:val="0"/>
        </w:numPr>
        <w:ind w:firstLine="480" w:firstLineChars="200"/>
      </w:pPr>
      <w:r>
        <w:rPr>
          <w:rFonts w:hint="eastAsia"/>
        </w:rPr>
        <w:t>4.所有外层密封袋的封口处应粘贴牢固。</w:t>
      </w:r>
    </w:p>
    <w:p>
      <w:pPr>
        <w:pStyle w:val="37"/>
        <w:numPr>
          <w:ilvl w:val="2"/>
          <w:numId w:val="0"/>
        </w:numPr>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50"/>
        <w:ind w:firstLine="482"/>
      </w:pPr>
      <w:bookmarkStart w:id="91" w:name="_Toc11749"/>
      <w:r>
        <w:rPr>
          <w:rFonts w:hint="eastAsia"/>
        </w:rPr>
        <w:t>响应文件的递交</w:t>
      </w:r>
      <w:bookmarkEnd w:id="87"/>
      <w:bookmarkEnd w:id="88"/>
      <w:bookmarkEnd w:id="89"/>
      <w:bookmarkEnd w:id="90"/>
      <w:bookmarkEnd w:id="91"/>
    </w:p>
    <w:p>
      <w:pPr>
        <w:pStyle w:val="64"/>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64"/>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4"/>
        <w:ind w:firstLine="480"/>
      </w:pPr>
      <w:r>
        <w:rPr>
          <w:rFonts w:hint="eastAsia"/>
        </w:rPr>
        <w:t>本次竞争性磋商不接收邮寄的响应文件。</w:t>
      </w:r>
    </w:p>
    <w:p>
      <w:pPr>
        <w:pStyle w:val="50"/>
        <w:ind w:firstLine="482"/>
      </w:pPr>
      <w:bookmarkStart w:id="92" w:name="_Toc11511"/>
      <w:bookmarkStart w:id="93" w:name="_Toc21555"/>
      <w:r>
        <w:rPr>
          <w:rFonts w:hint="eastAsia"/>
        </w:rPr>
        <w:t>响应文件的修改和撤回</w:t>
      </w:r>
      <w:bookmarkEnd w:id="92"/>
      <w:bookmarkEnd w:id="93"/>
    </w:p>
    <w:p>
      <w:pPr>
        <w:pStyle w:val="64"/>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4"/>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64"/>
        <w:ind w:firstLine="480"/>
      </w:pPr>
      <w:r>
        <w:rPr>
          <w:rFonts w:hint="eastAsia"/>
        </w:rPr>
        <w:t>在响应文件递交截止时间之后，供应商不得对其递交的响应文件进行撤回。</w:t>
      </w:r>
    </w:p>
    <w:p>
      <w:pPr>
        <w:pStyle w:val="64"/>
        <w:ind w:firstLine="480"/>
      </w:pPr>
      <w:r>
        <w:rPr>
          <w:rFonts w:hint="eastAsia"/>
        </w:rPr>
        <w:t>供应商不得在递交截止时间起至响应文件有效期期满前撤销其响应文件，否则将认定其响应文件有效期的承诺为虚假承诺，并依法追究其法律责任。</w:t>
      </w:r>
    </w:p>
    <w:p>
      <w:pPr>
        <w:pStyle w:val="50"/>
        <w:ind w:firstLine="482"/>
      </w:pPr>
      <w:bookmarkStart w:id="94" w:name="_Toc9598"/>
      <w:bookmarkStart w:id="95" w:name="_Toc31639"/>
      <w:bookmarkStart w:id="96" w:name="_Toc17928"/>
      <w:bookmarkStart w:id="97" w:name="_Toc26238"/>
      <w:r>
        <w:rPr>
          <w:rFonts w:hint="eastAsia"/>
        </w:rPr>
        <w:t>磋商保证金</w:t>
      </w:r>
      <w:bookmarkEnd w:id="94"/>
      <w:bookmarkEnd w:id="95"/>
      <w:bookmarkEnd w:id="96"/>
      <w:bookmarkEnd w:id="97"/>
    </w:p>
    <w:p>
      <w:pPr>
        <w:pStyle w:val="48"/>
        <w:rPr>
          <w:b w:val="0"/>
          <w:bCs/>
        </w:rPr>
      </w:pPr>
      <w:r>
        <w:rPr>
          <w:rFonts w:hint="eastAsia"/>
          <w:b w:val="0"/>
          <w:bCs/>
        </w:rPr>
        <w:t>本项目不收取磋商保证金。</w:t>
      </w:r>
    </w:p>
    <w:p>
      <w:pPr>
        <w:pStyle w:val="36"/>
        <w:spacing w:before="120" w:beforeLines="50" w:after="120" w:afterLines="50"/>
        <w:ind w:firstLine="0" w:firstLineChars="0"/>
        <w:jc w:val="center"/>
        <w:rPr>
          <w:sz w:val="36"/>
          <w:szCs w:val="36"/>
        </w:rPr>
      </w:pPr>
      <w:bookmarkStart w:id="98" w:name="_Toc29699"/>
      <w:bookmarkStart w:id="99" w:name="_Toc21354"/>
      <w:bookmarkStart w:id="100" w:name="_Toc5914"/>
      <w:bookmarkStart w:id="101" w:name="_Toc6947"/>
      <w:bookmarkStart w:id="102" w:name="_Toc6138"/>
      <w:r>
        <w:rPr>
          <w:rFonts w:hint="eastAsia"/>
          <w:sz w:val="36"/>
          <w:szCs w:val="36"/>
        </w:rPr>
        <w:t>磋商会</w:t>
      </w:r>
      <w:bookmarkEnd w:id="98"/>
      <w:bookmarkEnd w:id="99"/>
    </w:p>
    <w:p>
      <w:pPr>
        <w:pStyle w:val="34"/>
        <w:numPr>
          <w:ilvl w:val="1"/>
          <w:numId w:val="13"/>
        </w:numPr>
        <w:ind w:firstLine="482"/>
        <w:outlineLvl w:val="2"/>
        <w:rPr>
          <w:b/>
          <w:bCs/>
        </w:rPr>
      </w:pPr>
      <w:bookmarkStart w:id="103" w:name="_Toc18158"/>
      <w:r>
        <w:rPr>
          <w:rFonts w:hint="eastAsia"/>
          <w:b/>
          <w:bCs/>
        </w:rPr>
        <w:t>磋商会人员</w:t>
      </w:r>
      <w:bookmarkEnd w:id="103"/>
    </w:p>
    <w:p>
      <w:pPr>
        <w:pStyle w:val="47"/>
      </w:pPr>
      <w:r>
        <w:rPr>
          <w:rFonts w:hint="eastAsia"/>
        </w:rPr>
        <w:t>采购代理机构在竞争性磋商文件规定的时间和地点组织磋商，采购人、供应商须派授权代表参加并签到以证明其出席，磋商会由采购代理机构主持。</w:t>
      </w:r>
    </w:p>
    <w:p>
      <w:pPr>
        <w:pStyle w:val="34"/>
        <w:numPr>
          <w:ilvl w:val="1"/>
          <w:numId w:val="13"/>
        </w:numPr>
        <w:ind w:firstLine="482"/>
        <w:outlineLvl w:val="2"/>
        <w:rPr>
          <w:b/>
          <w:bCs/>
        </w:rPr>
      </w:pPr>
      <w:bookmarkStart w:id="104" w:name="_Toc3196"/>
      <w:r>
        <w:rPr>
          <w:rFonts w:hint="eastAsia"/>
          <w:b/>
          <w:bCs/>
        </w:rPr>
        <w:t>磋商会内容</w:t>
      </w:r>
      <w:bookmarkEnd w:id="104"/>
    </w:p>
    <w:p>
      <w:pPr>
        <w:pStyle w:val="47"/>
      </w:pPr>
      <w:r>
        <w:rPr>
          <w:rFonts w:hint="eastAsia"/>
        </w:rPr>
        <w:t>磋商会主持人按照磋商文件规定宣布响应文件递交截止时间，按照规定主持磋商会。将按以下程序进行：</w:t>
      </w:r>
    </w:p>
    <w:p>
      <w:pPr>
        <w:pStyle w:val="37"/>
        <w:ind w:firstLine="480"/>
      </w:pPr>
      <w:r>
        <w:rPr>
          <w:rFonts w:hint="eastAsia"/>
        </w:rPr>
        <w:t>宣布磋商会开始。响应文件递交截止时间已到，主持人宣布磋商会开始并致辞；</w:t>
      </w:r>
    </w:p>
    <w:p>
      <w:pPr>
        <w:pStyle w:val="37"/>
        <w:ind w:firstLine="480"/>
      </w:pPr>
      <w:r>
        <w:rPr>
          <w:rFonts w:hint="eastAsia"/>
        </w:rPr>
        <w:t>宣布会场纪律和有关注意事项；</w:t>
      </w:r>
    </w:p>
    <w:p>
      <w:pPr>
        <w:pStyle w:val="37"/>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7"/>
        <w:ind w:firstLine="480"/>
      </w:pPr>
      <w:r>
        <w:rPr>
          <w:rFonts w:hint="eastAsia"/>
        </w:rPr>
        <w:t>供应商或者其推选的代表需现场对磋商会议记录进行签字确认经确认无误后，由采购代理机构工作人员宣布磋商纪律，并由供应商签字确认；</w:t>
      </w:r>
    </w:p>
    <w:p>
      <w:pPr>
        <w:pStyle w:val="37"/>
        <w:ind w:firstLine="480"/>
      </w:pPr>
      <w:r>
        <w:rPr>
          <w:rFonts w:hint="eastAsia"/>
        </w:rPr>
        <w:t>供应商不足3家的，终止采购活动，并退回响应文件；</w:t>
      </w:r>
    </w:p>
    <w:p>
      <w:pPr>
        <w:pStyle w:val="37"/>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34"/>
        <w:numPr>
          <w:ilvl w:val="1"/>
          <w:numId w:val="13"/>
        </w:numPr>
        <w:ind w:firstLine="482"/>
        <w:outlineLvl w:val="2"/>
        <w:rPr>
          <w:b/>
          <w:bCs/>
        </w:rPr>
      </w:pPr>
      <w:bookmarkStart w:id="105" w:name="_Toc10036"/>
      <w:bookmarkStart w:id="106" w:name="_Toc11953"/>
      <w:r>
        <w:rPr>
          <w:rFonts w:hint="eastAsia"/>
          <w:b/>
          <w:bCs/>
        </w:rPr>
        <w:t>电子监控档案</w:t>
      </w:r>
      <w:bookmarkEnd w:id="105"/>
      <w:bookmarkEnd w:id="106"/>
    </w:p>
    <w:p>
      <w:pPr>
        <w:pStyle w:val="34"/>
        <w:numPr>
          <w:ilvl w:val="1"/>
          <w:numId w:val="0"/>
        </w:numPr>
        <w:ind w:left="480" w:leftChars="200"/>
      </w:pPr>
      <w:r>
        <w:rPr>
          <w:rFonts w:hint="eastAsia"/>
        </w:rPr>
        <w:t>本项目磋商会和评审过程进行全过程电子监控，并将电子监控资料存储介质留存归档。</w:t>
      </w:r>
    </w:p>
    <w:p>
      <w:pPr>
        <w:pStyle w:val="36"/>
        <w:spacing w:before="120" w:beforeLines="50" w:after="120" w:afterLines="50"/>
        <w:ind w:firstLine="0" w:firstLineChars="0"/>
        <w:jc w:val="center"/>
        <w:rPr>
          <w:sz w:val="36"/>
          <w:szCs w:val="36"/>
        </w:rPr>
      </w:pPr>
      <w:bookmarkStart w:id="107" w:name="_Toc31404"/>
      <w:bookmarkStart w:id="108" w:name="_Toc13798"/>
      <w:bookmarkStart w:id="109" w:name="_Toc8117"/>
      <w:bookmarkStart w:id="110" w:name="_Toc12604"/>
      <w:bookmarkStart w:id="111" w:name="_Toc14786"/>
      <w:bookmarkStart w:id="112" w:name="_Toc11904"/>
      <w:r>
        <w:rPr>
          <w:rFonts w:hint="eastAsia"/>
          <w:sz w:val="36"/>
          <w:szCs w:val="36"/>
        </w:rPr>
        <w:t>成交事项</w:t>
      </w:r>
      <w:bookmarkEnd w:id="107"/>
      <w:bookmarkEnd w:id="108"/>
    </w:p>
    <w:bookmarkEnd w:id="109"/>
    <w:bookmarkEnd w:id="110"/>
    <w:bookmarkEnd w:id="111"/>
    <w:bookmarkEnd w:id="112"/>
    <w:p>
      <w:pPr>
        <w:pStyle w:val="50"/>
        <w:ind w:firstLine="482"/>
      </w:pPr>
      <w:bookmarkStart w:id="113" w:name="_Toc16799"/>
      <w:bookmarkStart w:id="114" w:name="_Toc17276"/>
      <w:r>
        <w:rPr>
          <w:rFonts w:hint="eastAsia"/>
        </w:rPr>
        <w:t>确定成交候选人</w:t>
      </w:r>
      <w:bookmarkEnd w:id="113"/>
      <w:bookmarkEnd w:id="114"/>
    </w:p>
    <w:p>
      <w:pPr>
        <w:pStyle w:val="64"/>
        <w:ind w:firstLine="480"/>
      </w:pPr>
      <w:r>
        <w:rPr>
          <w:rFonts w:hint="eastAsia"/>
        </w:rPr>
        <w:t>采购代理机构应当在评审结束后2个工作日内将评审报告送采购人确认。</w:t>
      </w:r>
    </w:p>
    <w:p>
      <w:pPr>
        <w:pStyle w:val="64"/>
        <w:ind w:firstLine="480"/>
      </w:pPr>
      <w:r>
        <w:rPr>
          <w:rFonts w:hint="eastAsia"/>
        </w:rPr>
        <w:t>本项目采购人根据磋商小组推荐的成交候选人名单，按顺序确定成交供应商。</w:t>
      </w:r>
    </w:p>
    <w:p>
      <w:pPr>
        <w:pStyle w:val="64"/>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4"/>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4"/>
        <w:ind w:firstLine="480"/>
      </w:pPr>
      <w:r>
        <w:rPr>
          <w:rFonts w:hint="eastAsia"/>
        </w:rPr>
        <w:t>采购人确定成交供应商过程中，发现成交候选供应商有下列情形之一的，不予确定其为成交供应商：</w:t>
      </w:r>
    </w:p>
    <w:p>
      <w:pPr>
        <w:pStyle w:val="64"/>
        <w:numPr>
          <w:ilvl w:val="3"/>
          <w:numId w:val="0"/>
        </w:numPr>
        <w:ind w:left="480" w:leftChars="200"/>
      </w:pPr>
      <w:r>
        <w:rPr>
          <w:rFonts w:hint="eastAsia"/>
        </w:rPr>
        <w:t>5.1成交候选供应商属于禁止参加本项目采购活动的；</w:t>
      </w:r>
    </w:p>
    <w:p>
      <w:pPr>
        <w:pStyle w:val="64"/>
        <w:numPr>
          <w:ilvl w:val="3"/>
          <w:numId w:val="0"/>
        </w:numPr>
        <w:ind w:left="480" w:leftChars="200"/>
      </w:pPr>
      <w:r>
        <w:rPr>
          <w:rFonts w:hint="eastAsia"/>
        </w:rPr>
        <w:t>5.2成交候选供应商因不可抗力，不能继续参加政府采购活动；</w:t>
      </w:r>
    </w:p>
    <w:p>
      <w:pPr>
        <w:pStyle w:val="64"/>
        <w:numPr>
          <w:ilvl w:val="3"/>
          <w:numId w:val="0"/>
        </w:numPr>
        <w:ind w:left="480" w:leftChars="200"/>
      </w:pPr>
      <w:r>
        <w:rPr>
          <w:rFonts w:hint="eastAsia"/>
        </w:rPr>
        <w:t>5.3成交候选供应商无偿赠与或者低于成本价竞争；</w:t>
      </w:r>
    </w:p>
    <w:p>
      <w:pPr>
        <w:pStyle w:val="64"/>
        <w:numPr>
          <w:ilvl w:val="3"/>
          <w:numId w:val="0"/>
        </w:numPr>
        <w:ind w:left="480" w:leftChars="200"/>
      </w:pPr>
      <w:r>
        <w:rPr>
          <w:rFonts w:hint="eastAsia"/>
        </w:rPr>
        <w:t>5.4成交候选供应商提供虚假材料；</w:t>
      </w:r>
    </w:p>
    <w:p>
      <w:pPr>
        <w:pStyle w:val="64"/>
        <w:numPr>
          <w:ilvl w:val="3"/>
          <w:numId w:val="0"/>
        </w:numPr>
        <w:ind w:left="480" w:leftChars="200"/>
      </w:pPr>
      <w:r>
        <w:rPr>
          <w:rFonts w:hint="eastAsia"/>
        </w:rPr>
        <w:t>5.5成交候选供应商恶意串通。</w:t>
      </w:r>
    </w:p>
    <w:p>
      <w:pPr>
        <w:pStyle w:val="50"/>
        <w:ind w:firstLine="482"/>
      </w:pPr>
      <w:bookmarkStart w:id="115" w:name="_Toc17698"/>
      <w:bookmarkStart w:id="116" w:name="_Toc11018"/>
      <w:r>
        <w:rPr>
          <w:rFonts w:hint="eastAsia"/>
        </w:rPr>
        <w:t>成交结果</w:t>
      </w:r>
      <w:bookmarkEnd w:id="115"/>
      <w:bookmarkEnd w:id="116"/>
    </w:p>
    <w:p>
      <w:pPr>
        <w:pStyle w:val="64"/>
        <w:numPr>
          <w:ilvl w:val="0"/>
          <w:numId w:val="14"/>
        </w:numPr>
        <w:tabs>
          <w:tab w:val="clear" w:pos="312"/>
        </w:tabs>
        <w:ind w:firstLine="480"/>
      </w:pPr>
      <w:bookmarkStart w:id="117" w:name="_Toc7224"/>
      <w:r>
        <w:rPr>
          <w:rFonts w:hint="eastAsia"/>
        </w:rPr>
        <w:t>采购人确定成交供应商后，将及时书面通知采购代理机构，采购代理机构在成交供应商确定后2个工作日内，在“四川政府采购网”公告成交结果。</w:t>
      </w:r>
    </w:p>
    <w:p>
      <w:pPr>
        <w:pStyle w:val="64"/>
        <w:numPr>
          <w:ilvl w:val="0"/>
          <w:numId w:val="14"/>
        </w:numPr>
        <w:tabs>
          <w:tab w:val="clear" w:pos="312"/>
        </w:tabs>
        <w:ind w:firstLine="480"/>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64"/>
        <w:numPr>
          <w:ilvl w:val="3"/>
          <w:numId w:val="0"/>
        </w:numPr>
        <w:ind w:firstLine="480" w:firstLineChars="200"/>
      </w:pPr>
      <w:r>
        <w:rPr>
          <w:rFonts w:hint="eastAsia"/>
        </w:rPr>
        <w:t>3.采购项目需要交纳履约保证金的，成交供应商应当按照规定和要求及时向采购人交纳。</w:t>
      </w:r>
    </w:p>
    <w:p>
      <w:pPr>
        <w:pStyle w:val="50"/>
        <w:ind w:firstLine="482"/>
      </w:pPr>
      <w:bookmarkStart w:id="118" w:name="_Toc5537"/>
      <w:r>
        <w:rPr>
          <w:rFonts w:hint="eastAsia"/>
        </w:rPr>
        <w:t>成交通知书</w:t>
      </w:r>
      <w:bookmarkEnd w:id="117"/>
      <w:bookmarkEnd w:id="118"/>
    </w:p>
    <w:p>
      <w:pPr>
        <w:pStyle w:val="64"/>
        <w:ind w:firstLine="480"/>
      </w:pPr>
      <w:r>
        <w:rPr>
          <w:rFonts w:hint="eastAsia"/>
        </w:rPr>
        <w:t>成交通知书为签订政府采购合同的依据之一，是合同的有效组成部分。</w:t>
      </w:r>
    </w:p>
    <w:p>
      <w:pPr>
        <w:pStyle w:val="64"/>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4"/>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6"/>
        <w:spacing w:before="120" w:beforeLines="50" w:after="120" w:afterLines="50"/>
        <w:ind w:firstLine="0" w:firstLineChars="0"/>
        <w:jc w:val="center"/>
        <w:rPr>
          <w:sz w:val="36"/>
          <w:szCs w:val="36"/>
        </w:rPr>
      </w:pPr>
      <w:bookmarkStart w:id="119" w:name="_Toc29192"/>
      <w:bookmarkStart w:id="120" w:name="_Toc15234"/>
      <w:r>
        <w:rPr>
          <w:rFonts w:hint="eastAsia"/>
          <w:sz w:val="36"/>
          <w:szCs w:val="36"/>
        </w:rPr>
        <w:t>合同事项</w:t>
      </w:r>
      <w:bookmarkEnd w:id="119"/>
      <w:bookmarkEnd w:id="120"/>
    </w:p>
    <w:p>
      <w:pPr>
        <w:pStyle w:val="50"/>
        <w:ind w:firstLine="482"/>
      </w:pPr>
      <w:bookmarkStart w:id="121" w:name="_Toc8081"/>
      <w:bookmarkStart w:id="122" w:name="_Toc31905"/>
      <w:bookmarkStart w:id="123" w:name="_Toc19462"/>
      <w:r>
        <w:rPr>
          <w:rFonts w:hint="eastAsia"/>
        </w:rPr>
        <w:t>签订合同</w:t>
      </w:r>
      <w:bookmarkEnd w:id="121"/>
      <w:bookmarkEnd w:id="122"/>
    </w:p>
    <w:p>
      <w:pPr>
        <w:pStyle w:val="37"/>
        <w:ind w:firstLine="480"/>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7"/>
        <w:ind w:firstLine="480"/>
      </w:pPr>
      <w:r>
        <w:rPr>
          <w:rFonts w:hint="eastAsia"/>
        </w:rPr>
        <w:t>政府采购合同应当包括采购人与成交供应商的名称和住所、标的、数量、质量、价款或者报酬、履行期限及地点和方式、验收要求、违约责任、解决争议的方法等内容。</w:t>
      </w:r>
    </w:p>
    <w:p>
      <w:pPr>
        <w:pStyle w:val="37"/>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7"/>
        <w:ind w:firstLine="480"/>
      </w:pPr>
      <w:r>
        <w:rPr>
          <w:rFonts w:hint="eastAsia"/>
        </w:rPr>
        <w:t>成交供应商因不可抗力原因不能履行采购合同或放弃成交的，采购人可以按照评审报告推荐的成交候选人名单排序，确定下一候选人为成交供应商。</w:t>
      </w:r>
    </w:p>
    <w:p>
      <w:pPr>
        <w:pStyle w:val="37"/>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7"/>
        <w:ind w:firstLine="480"/>
      </w:pPr>
      <w:r>
        <w:rPr>
          <w:rFonts w:hint="eastAsia"/>
        </w:rPr>
        <w:t>成交供应商在采购合同签订之后2个工作日内，将签订的采购合同送采购代理机构进行合同编号。</w:t>
      </w:r>
    </w:p>
    <w:p>
      <w:pPr>
        <w:pStyle w:val="50"/>
        <w:ind w:firstLine="482"/>
      </w:pPr>
      <w:bookmarkStart w:id="124" w:name="_Toc2425"/>
      <w:bookmarkStart w:id="125" w:name="_Toc13809"/>
      <w:r>
        <w:rPr>
          <w:rFonts w:hint="eastAsia"/>
        </w:rPr>
        <w:t>合同分包(实质性要求)</w:t>
      </w:r>
      <w:bookmarkEnd w:id="124"/>
      <w:bookmarkEnd w:id="125"/>
    </w:p>
    <w:p>
      <w:pPr>
        <w:pStyle w:val="47"/>
      </w:pPr>
      <w:r>
        <w:rPr>
          <w:rFonts w:hint="eastAsia"/>
        </w:rPr>
        <w:t>本项目不允许合同分包。</w:t>
      </w:r>
    </w:p>
    <w:p>
      <w:pPr>
        <w:pStyle w:val="50"/>
        <w:ind w:firstLine="482"/>
      </w:pPr>
      <w:bookmarkStart w:id="126" w:name="_Toc13796"/>
      <w:bookmarkStart w:id="127" w:name="_Toc5413"/>
      <w:r>
        <w:rPr>
          <w:rFonts w:hint="eastAsia"/>
        </w:rPr>
        <w:t>合同转包(实质性要求)</w:t>
      </w:r>
      <w:bookmarkEnd w:id="126"/>
      <w:bookmarkEnd w:id="127"/>
    </w:p>
    <w:p>
      <w:pPr>
        <w:pStyle w:val="64"/>
        <w:ind w:firstLine="480"/>
      </w:pPr>
      <w:r>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4"/>
        <w:ind w:firstLine="480"/>
      </w:pPr>
      <w:r>
        <w:rPr>
          <w:rFonts w:hint="eastAsia"/>
        </w:rPr>
        <w:t>成交供应商转包的，视同拒绝履行政府采购合同义务，将依法追究法律责任。</w:t>
      </w:r>
    </w:p>
    <w:p>
      <w:pPr>
        <w:pStyle w:val="50"/>
        <w:ind w:firstLine="482"/>
      </w:pPr>
      <w:bookmarkStart w:id="128" w:name="_Toc27950"/>
      <w:bookmarkStart w:id="129" w:name="_Toc4750"/>
      <w:r>
        <w:rPr>
          <w:rFonts w:hint="eastAsia"/>
        </w:rPr>
        <w:t>补充合同</w:t>
      </w:r>
      <w:bookmarkEnd w:id="128"/>
      <w:bookmarkEnd w:id="129"/>
    </w:p>
    <w:p>
      <w:pPr>
        <w:pStyle w:val="47"/>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0"/>
        <w:ind w:firstLine="482"/>
      </w:pPr>
      <w:bookmarkStart w:id="130" w:name="_Toc24801"/>
      <w:bookmarkStart w:id="131" w:name="_Toc21497"/>
      <w:r>
        <w:rPr>
          <w:rFonts w:hint="eastAsia"/>
        </w:rPr>
        <w:t>合同公告</w:t>
      </w:r>
      <w:bookmarkEnd w:id="130"/>
      <w:bookmarkEnd w:id="131"/>
    </w:p>
    <w:p>
      <w:pPr>
        <w:pStyle w:val="47"/>
      </w:pPr>
      <w:r>
        <w:rPr>
          <w:rFonts w:hint="eastAsia"/>
        </w:rPr>
        <w:t>1.采购人应当自政府采购合同签订(双方当事人均已签字盖章)之日起2个工作日内，将政府采购合同在省级以上人民政府财政部门指定的媒体“四川政府采购网”公告(包含联合体协议和分包意向协议，分包意向协议公开仅限于享受了政府采购相关扶持政策的情形)，但政府采购合同中涉及国家秘密、商业秘密的内容除外。</w:t>
      </w:r>
    </w:p>
    <w:p>
      <w:pPr>
        <w:pStyle w:val="64"/>
        <w:numPr>
          <w:ilvl w:val="3"/>
          <w:numId w:val="0"/>
        </w:numPr>
        <w:ind w:firstLine="480" w:firstLineChars="200"/>
      </w:pPr>
      <w:r>
        <w:rPr>
          <w:rFonts w:hint="eastAsia"/>
        </w:rPr>
        <w:t>2.采购人应当将政府采购合同副本自签订(双方当事人均已签字盖章)之日起七个工作日内通过“四川政府采购网”报同级财政部门备案。</w:t>
      </w:r>
    </w:p>
    <w:p>
      <w:pPr>
        <w:pStyle w:val="50"/>
        <w:ind w:firstLine="482"/>
      </w:pPr>
      <w:bookmarkStart w:id="132" w:name="_Toc2945"/>
      <w:bookmarkStart w:id="133" w:name="_Toc690"/>
      <w:r>
        <w:rPr>
          <w:rFonts w:hint="eastAsia"/>
        </w:rPr>
        <w:t>履行合同</w:t>
      </w:r>
      <w:bookmarkEnd w:id="132"/>
      <w:bookmarkEnd w:id="133"/>
    </w:p>
    <w:p>
      <w:pPr>
        <w:pStyle w:val="64"/>
        <w:ind w:firstLine="480"/>
      </w:pPr>
      <w:r>
        <w:rPr>
          <w:rFonts w:hint="eastAsia"/>
        </w:rPr>
        <w:t>采购人与成交供应商应当根据合同的约定依法履行合同义务，保证合同顺利完成。</w:t>
      </w:r>
    </w:p>
    <w:p>
      <w:pPr>
        <w:pStyle w:val="64"/>
        <w:ind w:firstLine="480"/>
      </w:pPr>
      <w:r>
        <w:rPr>
          <w:rFonts w:hint="eastAsia"/>
        </w:rPr>
        <w:t>政府采购合同的履行、违约责任和解决争议的方法等适用《中华人民共和国民法典》。</w:t>
      </w:r>
    </w:p>
    <w:p>
      <w:pPr>
        <w:pStyle w:val="50"/>
        <w:ind w:firstLine="482"/>
      </w:pPr>
      <w:bookmarkStart w:id="134" w:name="_Toc26311"/>
      <w:bookmarkStart w:id="135" w:name="_Toc17186"/>
      <w:bookmarkStart w:id="136" w:name="_Toc8615"/>
      <w:bookmarkStart w:id="137" w:name="_Toc19475"/>
      <w:bookmarkStart w:id="138" w:name="_Toc32200"/>
      <w:r>
        <w:rPr>
          <w:rFonts w:hint="eastAsia"/>
        </w:rPr>
        <w:t>付款方式及履约验收</w:t>
      </w:r>
      <w:bookmarkEnd w:id="134"/>
      <w:bookmarkEnd w:id="135"/>
      <w:bookmarkEnd w:id="136"/>
      <w:bookmarkEnd w:id="137"/>
      <w:bookmarkEnd w:id="138"/>
    </w:p>
    <w:p>
      <w:pPr>
        <w:pStyle w:val="64"/>
        <w:ind w:firstLine="480"/>
      </w:pPr>
      <w:r>
        <w:rPr>
          <w:rFonts w:hint="eastAsia"/>
        </w:rPr>
        <w:t>付款方式</w:t>
      </w:r>
    </w:p>
    <w:p>
      <w:pPr>
        <w:pStyle w:val="65"/>
        <w:ind w:firstLine="480"/>
      </w:pPr>
      <w:r>
        <w:rPr>
          <w:rFonts w:hint="eastAsia"/>
        </w:rPr>
        <w:t>本项目付款方式详见磋</w:t>
      </w:r>
      <w:r>
        <w:rPr>
          <w:rFonts w:hint="eastAsia"/>
          <w:color w:val="000000" w:themeColor="text1"/>
          <w14:textFill>
            <w14:solidFill>
              <w14:schemeClr w14:val="tx1"/>
            </w14:solidFill>
          </w14:textFill>
        </w:rPr>
        <w:t>商文件第五章要求；</w:t>
      </w:r>
    </w:p>
    <w:p>
      <w:pPr>
        <w:pStyle w:val="65"/>
        <w:ind w:firstLine="480"/>
      </w:pPr>
      <w:r>
        <w:rPr>
          <w:rFonts w:hint="eastAsia"/>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64"/>
        <w:ind w:firstLine="480"/>
      </w:pPr>
      <w:r>
        <w:rPr>
          <w:rFonts w:hint="eastAsia"/>
        </w:rPr>
        <w:t>履约验收</w:t>
      </w:r>
      <w:r>
        <w:rPr>
          <w:rFonts w:hint="eastAsia"/>
          <w:b/>
          <w:bCs/>
        </w:rPr>
        <w:t>(实质性要求)</w:t>
      </w:r>
    </w:p>
    <w:p>
      <w:pPr>
        <w:pStyle w:val="65"/>
        <w:ind w:firstLine="480"/>
      </w:pPr>
      <w:r>
        <w:rPr>
          <w:rFonts w:hint="eastAsia"/>
        </w:rPr>
        <w:t>严格按照《财政部关于进一步加强政府采购需求和履约验收管理的指导意见》(财库〔2016〕205号)要求以及主管部门的相关要求进行验收。</w:t>
      </w:r>
    </w:p>
    <w:p>
      <w:pPr>
        <w:pStyle w:val="65"/>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5"/>
        <w:ind w:firstLine="480"/>
      </w:pPr>
      <w:r>
        <w:rPr>
          <w:rFonts w:hint="eastAsia"/>
        </w:rPr>
        <w:t>验收结果合格的，成交供应商凭验收报告办理相关手续；验收结果不合格的，将不予支付采购资金，还可能会报本项目同级财政部门按照政府采购法律法规等有关规定给予行政处罚。</w:t>
      </w:r>
    </w:p>
    <w:p>
      <w:pPr>
        <w:pStyle w:val="36"/>
        <w:spacing w:before="120" w:beforeLines="50" w:after="120" w:afterLines="50"/>
        <w:ind w:firstLine="0" w:firstLineChars="0"/>
        <w:jc w:val="center"/>
        <w:rPr>
          <w:sz w:val="36"/>
          <w:szCs w:val="36"/>
        </w:rPr>
      </w:pPr>
      <w:bookmarkStart w:id="139" w:name="_Toc23470"/>
      <w:bookmarkStart w:id="140" w:name="_Toc5684"/>
      <w:r>
        <w:rPr>
          <w:rFonts w:hint="eastAsia"/>
          <w:sz w:val="36"/>
          <w:szCs w:val="36"/>
        </w:rPr>
        <w:t>磋商纪律要求</w:t>
      </w:r>
      <w:bookmarkEnd w:id="139"/>
      <w:bookmarkEnd w:id="140"/>
    </w:p>
    <w:p>
      <w:pPr>
        <w:pStyle w:val="50"/>
        <w:ind w:firstLine="482"/>
      </w:pPr>
      <w:bookmarkStart w:id="141" w:name="_Toc25072"/>
      <w:bookmarkStart w:id="142" w:name="_Toc4504"/>
      <w:r>
        <w:rPr>
          <w:rFonts w:hint="eastAsia"/>
        </w:rPr>
        <w:t>供应商参加本项目采购活动不得具有的情形</w:t>
      </w:r>
      <w:bookmarkEnd w:id="123"/>
      <w:bookmarkEnd w:id="141"/>
      <w:bookmarkEnd w:id="142"/>
    </w:p>
    <w:p>
      <w:pPr>
        <w:pStyle w:val="34"/>
        <w:numPr>
          <w:ilvl w:val="1"/>
          <w:numId w:val="0"/>
        </w:numPr>
        <w:ind w:left="480" w:leftChars="200"/>
      </w:pPr>
      <w:r>
        <w:rPr>
          <w:rFonts w:hint="eastAsia"/>
        </w:rPr>
        <w:t>1.提供虚假材料谋取成交；</w:t>
      </w:r>
    </w:p>
    <w:p>
      <w:pPr>
        <w:pStyle w:val="34"/>
        <w:numPr>
          <w:ilvl w:val="1"/>
          <w:numId w:val="0"/>
        </w:numPr>
        <w:ind w:left="480" w:leftChars="200"/>
      </w:pPr>
      <w:r>
        <w:rPr>
          <w:rFonts w:hint="eastAsia"/>
        </w:rPr>
        <w:t>2.采取不正当手段诋毁、排挤其他供应商；</w:t>
      </w:r>
    </w:p>
    <w:p>
      <w:pPr>
        <w:pStyle w:val="34"/>
        <w:numPr>
          <w:ilvl w:val="1"/>
          <w:numId w:val="0"/>
        </w:numPr>
        <w:ind w:left="480" w:leftChars="200"/>
      </w:pPr>
      <w:r>
        <w:rPr>
          <w:rFonts w:hint="eastAsia"/>
        </w:rPr>
        <w:t>3.与采购人、采购代理机构或其他供应商恶意串通；</w:t>
      </w:r>
    </w:p>
    <w:p>
      <w:pPr>
        <w:pStyle w:val="34"/>
        <w:numPr>
          <w:ilvl w:val="1"/>
          <w:numId w:val="0"/>
        </w:numPr>
        <w:ind w:left="480" w:leftChars="200"/>
      </w:pPr>
      <w:r>
        <w:rPr>
          <w:rFonts w:hint="eastAsia"/>
        </w:rPr>
        <w:t>4.向采购人、采购代理机构、磋商小组成员行贿或者提供其他不正当利益；</w:t>
      </w:r>
    </w:p>
    <w:p>
      <w:pPr>
        <w:pStyle w:val="34"/>
        <w:numPr>
          <w:ilvl w:val="1"/>
          <w:numId w:val="0"/>
        </w:numPr>
        <w:ind w:left="480" w:leftChars="200"/>
      </w:pPr>
      <w:r>
        <w:rPr>
          <w:rFonts w:hint="eastAsia"/>
        </w:rPr>
        <w:t>5.在磋商过程中与采购人、采购代理机构进行协商；</w:t>
      </w:r>
    </w:p>
    <w:p>
      <w:pPr>
        <w:pStyle w:val="34"/>
        <w:numPr>
          <w:ilvl w:val="1"/>
          <w:numId w:val="0"/>
        </w:numPr>
        <w:ind w:left="480" w:leftChars="200"/>
      </w:pPr>
      <w:r>
        <w:rPr>
          <w:rFonts w:hint="eastAsia"/>
        </w:rPr>
        <w:t>6.成交后无正当理由拒不与采购人签订政府采购合同；</w:t>
      </w:r>
    </w:p>
    <w:p>
      <w:pPr>
        <w:pStyle w:val="34"/>
        <w:numPr>
          <w:ilvl w:val="1"/>
          <w:numId w:val="0"/>
        </w:numPr>
        <w:ind w:left="480" w:leftChars="200"/>
      </w:pPr>
      <w:r>
        <w:rPr>
          <w:rFonts w:hint="eastAsia"/>
        </w:rPr>
        <w:t>7.未按照磋商文件确定的事项签订政府采购合同；</w:t>
      </w:r>
    </w:p>
    <w:p>
      <w:pPr>
        <w:pStyle w:val="34"/>
        <w:numPr>
          <w:ilvl w:val="1"/>
          <w:numId w:val="0"/>
        </w:numPr>
        <w:ind w:left="480" w:leftChars="200"/>
      </w:pPr>
      <w:r>
        <w:rPr>
          <w:rFonts w:hint="eastAsia"/>
        </w:rPr>
        <w:t>8.将政府采购合同转包或者违规分包；</w:t>
      </w:r>
    </w:p>
    <w:p>
      <w:pPr>
        <w:pStyle w:val="34"/>
        <w:numPr>
          <w:ilvl w:val="1"/>
          <w:numId w:val="0"/>
        </w:numPr>
        <w:ind w:left="480" w:leftChars="200"/>
      </w:pPr>
      <w:r>
        <w:rPr>
          <w:rFonts w:hint="eastAsia"/>
        </w:rPr>
        <w:t>9.提供假冒伪劣产品；</w:t>
      </w:r>
    </w:p>
    <w:p>
      <w:pPr>
        <w:pStyle w:val="34"/>
        <w:numPr>
          <w:ilvl w:val="1"/>
          <w:numId w:val="0"/>
        </w:numPr>
        <w:ind w:left="480" w:leftChars="200"/>
      </w:pPr>
      <w:r>
        <w:rPr>
          <w:rFonts w:hint="eastAsia"/>
        </w:rPr>
        <w:t>10.擅自变更、中止或者终止政府采购合同；</w:t>
      </w:r>
    </w:p>
    <w:p>
      <w:pPr>
        <w:pStyle w:val="34"/>
        <w:numPr>
          <w:ilvl w:val="1"/>
          <w:numId w:val="0"/>
        </w:numPr>
        <w:ind w:left="480" w:leftChars="200"/>
      </w:pPr>
      <w:r>
        <w:rPr>
          <w:rFonts w:hint="eastAsia"/>
        </w:rPr>
        <w:t>11.拒绝有关部门的监督检查或者向监督检查部门提供虚假情况；</w:t>
      </w:r>
    </w:p>
    <w:p>
      <w:pPr>
        <w:pStyle w:val="34"/>
        <w:numPr>
          <w:ilvl w:val="1"/>
          <w:numId w:val="0"/>
        </w:numPr>
        <w:ind w:left="480" w:leftChars="200"/>
      </w:pPr>
      <w:r>
        <w:rPr>
          <w:rFonts w:hint="eastAsia"/>
        </w:rPr>
        <w:t>12.法律法规规定的其他情形。</w:t>
      </w:r>
    </w:p>
    <w:p>
      <w:pPr>
        <w:pStyle w:val="47"/>
      </w:pPr>
      <w:bookmarkStart w:id="143" w:name="_Toc11007"/>
      <w:bookmarkStart w:id="144" w:name="_Toc19578"/>
      <w:bookmarkStart w:id="145" w:name="_Toc1683"/>
      <w:bookmarkStart w:id="146" w:name="_Toc12708"/>
      <w:bookmarkStart w:id="147" w:name="_Toc31594"/>
      <w:bookmarkStart w:id="148" w:name="_Toc28656"/>
      <w:bookmarkStart w:id="149" w:name="_Toc29848"/>
      <w:bookmarkStart w:id="150" w:name="_Toc17041"/>
      <w:r>
        <w:rPr>
          <w:rFonts w:hint="eastAsia"/>
        </w:rPr>
        <w:t>供应商有上述情形的，按照规定追究法律责任，具备1～10条情形之一的，同时将取消成交资格或者认定成交无效。</w:t>
      </w:r>
    </w:p>
    <w:p>
      <w:pPr>
        <w:pStyle w:val="50"/>
        <w:ind w:firstLine="482"/>
      </w:pPr>
      <w:bookmarkStart w:id="151" w:name="_Toc29926"/>
      <w:bookmarkStart w:id="152" w:name="_Toc27743"/>
      <w:r>
        <w:rPr>
          <w:rFonts w:hint="eastAsia"/>
        </w:rPr>
        <w:t>磋商现场纪律要求</w:t>
      </w:r>
      <w:bookmarkEnd w:id="151"/>
      <w:bookmarkEnd w:id="152"/>
    </w:p>
    <w:p>
      <w:pPr>
        <w:pStyle w:val="47"/>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6"/>
        <w:spacing w:before="120" w:beforeLines="50" w:after="120" w:afterLines="50"/>
        <w:ind w:firstLine="0" w:firstLineChars="0"/>
        <w:jc w:val="center"/>
        <w:rPr>
          <w:sz w:val="36"/>
          <w:szCs w:val="36"/>
        </w:rPr>
      </w:pPr>
      <w:bookmarkStart w:id="153" w:name="_Toc19072"/>
      <w:bookmarkStart w:id="154" w:name="_Toc25699"/>
      <w:r>
        <w:rPr>
          <w:rFonts w:hint="eastAsia"/>
          <w:sz w:val="36"/>
          <w:szCs w:val="36"/>
        </w:rPr>
        <w:t>其他</w:t>
      </w:r>
      <w:bookmarkEnd w:id="153"/>
      <w:bookmarkEnd w:id="154"/>
    </w:p>
    <w:p>
      <w:pPr>
        <w:pStyle w:val="50"/>
        <w:ind w:firstLine="482"/>
      </w:pPr>
      <w:bookmarkStart w:id="155" w:name="_Toc24369"/>
      <w:bookmarkStart w:id="156" w:name="_Toc21945"/>
      <w:r>
        <w:rPr>
          <w:rFonts w:hint="eastAsia"/>
        </w:rPr>
        <w:t>询问、质疑和投诉</w:t>
      </w:r>
      <w:bookmarkEnd w:id="155"/>
      <w:bookmarkEnd w:id="156"/>
    </w:p>
    <w:p>
      <w:pPr>
        <w:pStyle w:val="34"/>
        <w:numPr>
          <w:ilvl w:val="1"/>
          <w:numId w:val="0"/>
        </w:numPr>
        <w:ind w:left="480" w:leftChars="200"/>
      </w:pPr>
      <w:r>
        <w:rPr>
          <w:rFonts w:hint="eastAsia"/>
        </w:rPr>
        <w:t>具体详见磋商须知前附表</w:t>
      </w:r>
      <w:bookmarkEnd w:id="150"/>
      <w:r>
        <w:rPr>
          <w:rFonts w:hint="eastAsia"/>
        </w:rPr>
        <w:t>。</w:t>
      </w:r>
    </w:p>
    <w:p>
      <w:pPr>
        <w:pStyle w:val="50"/>
        <w:ind w:firstLine="482"/>
      </w:pPr>
      <w:bookmarkStart w:id="157" w:name="_Toc2794"/>
      <w:bookmarkStart w:id="158" w:name="_Toc24020"/>
      <w:bookmarkStart w:id="159" w:name="_Toc26947"/>
      <w:bookmarkStart w:id="160" w:name="_Toc31084"/>
      <w:bookmarkStart w:id="161" w:name="_Toc16406"/>
      <w:bookmarkStart w:id="162" w:name="_Toc1748"/>
      <w:bookmarkStart w:id="163" w:name="_Toc18625"/>
      <w:bookmarkStart w:id="164" w:name="_Toc24129"/>
      <w:r>
        <w:rPr>
          <w:rFonts w:hint="eastAsia"/>
        </w:rPr>
        <w:t>关于行贿犯罪档案查询工作的规定</w:t>
      </w:r>
      <w:bookmarkEnd w:id="157"/>
      <w:bookmarkEnd w:id="158"/>
      <w:bookmarkEnd w:id="159"/>
      <w:bookmarkEnd w:id="160"/>
      <w:bookmarkEnd w:id="161"/>
      <w:bookmarkEnd w:id="162"/>
      <w:bookmarkEnd w:id="163"/>
      <w:bookmarkEnd w:id="164"/>
    </w:p>
    <w:p>
      <w:pPr>
        <w:pStyle w:val="47"/>
      </w:pPr>
      <w:bookmarkStart w:id="165" w:name="_Toc14412"/>
      <w:bookmarkStart w:id="166" w:name="_Toc29751"/>
      <w:bookmarkStart w:id="167"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165"/>
      <w:bookmarkEnd w:id="166"/>
    </w:p>
    <w:p>
      <w:pPr>
        <w:pStyle w:val="50"/>
        <w:ind w:firstLine="482"/>
      </w:pPr>
      <w:bookmarkStart w:id="168" w:name="_Toc24800"/>
      <w:bookmarkStart w:id="169" w:name="_Toc13568"/>
      <w:r>
        <w:rPr>
          <w:rFonts w:hint="eastAsia"/>
        </w:rPr>
        <w:t>供应商信用信息查询</w:t>
      </w:r>
      <w:bookmarkEnd w:id="167"/>
      <w:bookmarkEnd w:id="168"/>
      <w:bookmarkEnd w:id="169"/>
    </w:p>
    <w:p>
      <w:pPr>
        <w:pStyle w:val="34"/>
        <w:numPr>
          <w:ilvl w:val="1"/>
          <w:numId w:val="0"/>
        </w:numPr>
        <w:ind w:firstLine="480" w:firstLineChars="200"/>
      </w:pPr>
      <w:r>
        <w:rPr>
          <w:rFonts w:hint="eastAsia"/>
        </w:rPr>
        <w:t>1.供应商信用信息查询渠道</w:t>
      </w:r>
    </w:p>
    <w:p>
      <w:pPr>
        <w:pStyle w:val="47"/>
      </w:pPr>
      <w:r>
        <w:rPr>
          <w:rFonts w:hint="eastAsia"/>
        </w:rPr>
        <w:t>“信用中国”网站(www.creditchina.gov.cn)、“中国政府采购网”(www.ccgp.gov.cn)等。</w:t>
      </w:r>
    </w:p>
    <w:p>
      <w:pPr>
        <w:pStyle w:val="34"/>
        <w:numPr>
          <w:ilvl w:val="1"/>
          <w:numId w:val="0"/>
        </w:numPr>
        <w:ind w:firstLine="480" w:firstLineChars="200"/>
      </w:pPr>
      <w:r>
        <w:rPr>
          <w:rFonts w:hint="eastAsia"/>
        </w:rPr>
        <w:t>2.供应商信用信息查询截止时点</w:t>
      </w:r>
    </w:p>
    <w:p>
      <w:pPr>
        <w:pStyle w:val="47"/>
      </w:pPr>
      <w:r>
        <w:rPr>
          <w:rFonts w:hint="eastAsia"/>
        </w:rPr>
        <w:t>信用信息查询在资格审查阶段进行。</w:t>
      </w:r>
    </w:p>
    <w:p>
      <w:pPr>
        <w:pStyle w:val="34"/>
        <w:numPr>
          <w:ilvl w:val="1"/>
          <w:numId w:val="0"/>
        </w:numPr>
        <w:ind w:firstLine="480" w:firstLineChars="200"/>
      </w:pPr>
      <w:r>
        <w:rPr>
          <w:rFonts w:hint="eastAsia"/>
        </w:rPr>
        <w:t>3.供应商信用信息查询记录和证据留存的具体方式</w:t>
      </w:r>
    </w:p>
    <w:p>
      <w:pPr>
        <w:pStyle w:val="47"/>
      </w:pPr>
      <w:r>
        <w:rPr>
          <w:rFonts w:hint="eastAsia"/>
        </w:rPr>
        <w:t>采购代理机构通过“信用中国”网站、“中国政府采购网”等渠道对供应商进行信用记录查询，并将查询记录存档。</w:t>
      </w:r>
    </w:p>
    <w:p>
      <w:pPr>
        <w:pStyle w:val="34"/>
        <w:numPr>
          <w:ilvl w:val="1"/>
          <w:numId w:val="0"/>
        </w:numPr>
        <w:ind w:firstLine="480" w:firstLineChars="200"/>
      </w:pPr>
      <w:r>
        <w:rPr>
          <w:rFonts w:hint="eastAsia"/>
        </w:rPr>
        <w:t>4.供应商信用信息的使用：凡被列入失信被执行人、重大税收违法案件当事人名单、政府采购严重违法失信行为记录名单的，视为存在不良信用记录，参与本项目的将被拒绝。</w:t>
      </w:r>
    </w:p>
    <w:p>
      <w:pPr>
        <w:pStyle w:val="50"/>
        <w:ind w:firstLine="482"/>
      </w:pPr>
      <w:bookmarkStart w:id="170" w:name="_Toc3570"/>
      <w:r>
        <w:rPr>
          <w:rFonts w:hint="eastAsia"/>
        </w:rPr>
        <w:t>解释说明</w:t>
      </w:r>
      <w:bookmarkEnd w:id="170"/>
    </w:p>
    <w:p>
      <w:pPr>
        <w:pStyle w:val="34"/>
        <w:numPr>
          <w:ilvl w:val="1"/>
          <w:numId w:val="0"/>
        </w:numPr>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34"/>
        <w:numPr>
          <w:ilvl w:val="1"/>
          <w:numId w:val="0"/>
        </w:numPr>
        <w:ind w:firstLine="480" w:firstLineChars="200"/>
      </w:pPr>
      <w:r>
        <w:rPr>
          <w:rFonts w:hint="eastAsia"/>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34"/>
        <w:numPr>
          <w:ilvl w:val="1"/>
          <w:numId w:val="0"/>
        </w:numPr>
        <w:ind w:firstLine="480" w:firstLineChars="200"/>
      </w:pPr>
      <w:r>
        <w:rPr>
          <w:rFonts w:hint="eastAsia"/>
        </w:rPr>
        <w:t>3.国家或行业主管部门对供应商和采购产品的技术标准、质量标准和资格资质条件等有强制性规定的，必须符合其要求</w:t>
      </w:r>
      <w:r>
        <w:rPr>
          <w:rFonts w:hint="eastAsia"/>
          <w:b/>
          <w:bCs/>
        </w:rPr>
        <w:t>(实质性要求)</w:t>
      </w:r>
      <w:r>
        <w:rPr>
          <w:rFonts w:hint="eastAsia"/>
        </w:rPr>
        <w:t>。</w:t>
      </w:r>
    </w:p>
    <w:p>
      <w:pPr>
        <w:pStyle w:val="34"/>
        <w:numPr>
          <w:ilvl w:val="1"/>
          <w:numId w:val="0"/>
        </w:numPr>
        <w:ind w:firstLine="480" w:firstLineChars="200"/>
      </w:pPr>
      <w:r>
        <w:rPr>
          <w:rFonts w:hint="eastAsia"/>
        </w:rPr>
        <w:t>4.</w:t>
      </w:r>
      <w:r>
        <w:rPr>
          <w:rFonts w:hint="eastAsia" w:cs="宋体"/>
        </w:rPr>
        <w:t>本项目涉及企业资质、产品认证、人员执业资格等描述与国家最新要求不一致时以最新要求为准。</w:t>
      </w:r>
    </w:p>
    <w:p>
      <w:pPr>
        <w:pStyle w:val="44"/>
      </w:pPr>
    </w:p>
    <w:p>
      <w:pPr>
        <w:pStyle w:val="44"/>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9"/>
        <w:spacing w:before="120" w:after="120"/>
      </w:pPr>
      <w:bookmarkStart w:id="171" w:name="_Toc5589"/>
      <w:r>
        <w:rPr>
          <w:rFonts w:hint="eastAsia"/>
        </w:rPr>
        <w:br w:type="page"/>
      </w:r>
      <w:bookmarkEnd w:id="171"/>
      <w:bookmarkStart w:id="172" w:name="_Toc4206"/>
      <w:bookmarkStart w:id="173" w:name="_Toc25961"/>
      <w:bookmarkStart w:id="174" w:name="_Toc31402"/>
      <w:bookmarkStart w:id="175" w:name="_Toc29575"/>
      <w:bookmarkStart w:id="176" w:name="_Toc8448"/>
      <w:r>
        <w:rPr>
          <w:rFonts w:hint="eastAsia"/>
        </w:rPr>
        <w:t>响应文件格式</w:t>
      </w:r>
      <w:bookmarkEnd w:id="172"/>
      <w:bookmarkEnd w:id="173"/>
      <w:bookmarkEnd w:id="174"/>
      <w:bookmarkEnd w:id="175"/>
      <w:bookmarkEnd w:id="176"/>
    </w:p>
    <w:p>
      <w:pPr>
        <w:pStyle w:val="47"/>
      </w:pPr>
      <w:bookmarkStart w:id="177" w:name="_Toc294701519"/>
      <w:bookmarkStart w:id="178" w:name="_Toc316462354"/>
      <w:bookmarkStart w:id="179" w:name="_Toc439161746"/>
      <w:bookmarkStart w:id="180" w:name="_Toc182759327"/>
      <w:bookmarkStart w:id="181" w:name="_Toc294688711"/>
      <w:bookmarkStart w:id="182" w:name="_Toc287367101"/>
      <w:bookmarkStart w:id="183" w:name="_Toc211218954"/>
      <w:bookmarkStart w:id="184" w:name="_Toc295978802"/>
      <w:bookmarkStart w:id="185" w:name="_Toc182629023"/>
      <w:bookmarkStart w:id="186" w:name="_Toc16460"/>
      <w:r>
        <w:rPr>
          <w:rFonts w:hint="eastAsia"/>
        </w:rPr>
        <w:t>一、本章所制响应文件格式，除格式中明确将该格式作为实质性要求的，一律不具有强制性，供应商不涉及的格式可以不提供。</w:t>
      </w:r>
    </w:p>
    <w:p>
      <w:pPr>
        <w:pStyle w:val="47"/>
      </w:pPr>
      <w:r>
        <w:rPr>
          <w:rFonts w:hint="eastAsia"/>
        </w:rPr>
        <w:t>二、本章所制响应文件格式有关表格中的备注栏，由供应商根据自身响应情况作解释性说明，不作为必填项。</w:t>
      </w:r>
    </w:p>
    <w:p>
      <w:pPr>
        <w:pStyle w:val="47"/>
      </w:pPr>
      <w:r>
        <w:rPr>
          <w:rFonts w:hint="eastAsia"/>
        </w:rPr>
        <w:t>三、本章格式中“注”的内容，供应商可自行决定是否保留在响应文件中，未保留的视为供应商默认接受“注”的内容。</w:t>
      </w:r>
    </w:p>
    <w:p>
      <w:pPr>
        <w:pStyle w:val="47"/>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44"/>
      </w:pPr>
      <w:r>
        <w:rPr>
          <w:rFonts w:hint="eastAsia"/>
        </w:rPr>
        <w:br w:type="page"/>
      </w:r>
    </w:p>
    <w:p>
      <w:pPr>
        <w:pStyle w:val="35"/>
      </w:pPr>
      <w:r>
        <w:rPr>
          <w:rFonts w:hint="eastAsia"/>
        </w:rPr>
        <w:t>附件：密封袋的格式</w:t>
      </w:r>
    </w:p>
    <w:p>
      <w:pPr>
        <w:pStyle w:val="35"/>
      </w:pPr>
    </w:p>
    <w:p>
      <w:pPr>
        <w:pStyle w:val="35"/>
      </w:pPr>
    </w:p>
    <w:p>
      <w:pPr>
        <w:pStyle w:val="35"/>
      </w:pPr>
    </w:p>
    <w:tbl>
      <w:tblPr>
        <w:tblStyle w:val="25"/>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5"/>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000000"/>
                <w:sz w:val="32"/>
                <w:szCs w:val="32"/>
              </w:rPr>
            </w:pPr>
          </w:p>
          <w:p>
            <w:pPr>
              <w:pStyle w:val="35"/>
              <w:jc w:val="center"/>
              <w:rPr>
                <w:b/>
                <w:bCs/>
                <w:sz w:val="32"/>
                <w:szCs w:val="32"/>
              </w:rPr>
            </w:pPr>
            <w:r>
              <w:rPr>
                <w:rFonts w:hint="eastAsia"/>
                <w:b/>
                <w:bCs/>
                <w:sz w:val="32"/>
                <w:szCs w:val="32"/>
              </w:rPr>
              <w:t>资格、资质性及其他类似效力响应文件</w:t>
            </w:r>
          </w:p>
          <w:p>
            <w:pPr>
              <w:pStyle w:val="35"/>
              <w:jc w:val="center"/>
              <w:rPr>
                <w:b/>
                <w:bCs/>
                <w:sz w:val="32"/>
                <w:szCs w:val="32"/>
              </w:rPr>
            </w:pPr>
            <w:r>
              <w:rPr>
                <w:rFonts w:hint="eastAsia"/>
                <w:b/>
                <w:bCs/>
                <w:sz w:val="32"/>
                <w:szCs w:val="32"/>
              </w:rPr>
              <w:t>/其他响应文件</w:t>
            </w:r>
          </w:p>
          <w:p>
            <w:pPr>
              <w:tabs>
                <w:tab w:val="left" w:pos="7665"/>
                <w:tab w:val="clear" w:pos="0"/>
              </w:tabs>
              <w:spacing w:line="400" w:lineRule="exact"/>
              <w:ind w:firstLine="2280" w:firstLineChars="950"/>
              <w:rPr>
                <w:rFonts w:asciiTheme="minorEastAsia" w:hAnsiTheme="minorEastAsia" w:eastAsiaTheme="minorEastAsia" w:cstheme="minorEastAsia"/>
                <w:color w:val="000000"/>
              </w:rPr>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p>
          <w:p>
            <w:pPr>
              <w:pStyle w:val="35"/>
              <w:ind w:firstLine="2280" w:firstLineChars="950"/>
            </w:pPr>
            <w:r>
              <w:rPr>
                <w:rFonts w:hint="eastAsia" w:asciiTheme="minorEastAsia" w:hAnsiTheme="minorEastAsia" w:eastAsiaTheme="minorEastAsia" w:cstheme="minorEastAsia"/>
                <w:color w:val="000000"/>
              </w:rPr>
              <w:t>磋商时间：</w:t>
            </w:r>
            <w:r>
              <w:rPr>
                <w:rFonts w:hint="eastAsia" w:asciiTheme="minorEastAsia" w:hAnsiTheme="minorEastAsia" w:eastAsiaTheme="minorEastAsia" w:cstheme="minorEastAsia"/>
                <w:color w:val="000000"/>
                <w:u w:val="single"/>
              </w:rPr>
              <w:t xml:space="preserve">                   </w:t>
            </w:r>
            <w:r>
              <w:rPr>
                <w:rFonts w:hint="eastAsia"/>
              </w:rPr>
              <w:t xml:space="preserve">                   </w:t>
            </w:r>
          </w:p>
          <w:p>
            <w:pPr>
              <w:pStyle w:val="35"/>
            </w:pPr>
          </w:p>
        </w:tc>
      </w:tr>
    </w:tbl>
    <w:p>
      <w:pPr>
        <w:pStyle w:val="35"/>
      </w:pPr>
      <w:bookmarkStart w:id="187" w:name="_Toc11581"/>
      <w:bookmarkStart w:id="188" w:name="_Toc6994"/>
      <w:r>
        <w:rPr>
          <w:rFonts w:hint="eastAsia"/>
        </w:rPr>
        <w:br w:type="page"/>
      </w:r>
    </w:p>
    <w:p>
      <w:pPr>
        <w:pStyle w:val="35"/>
      </w:pPr>
      <w:r>
        <w:rPr>
          <w:rFonts w:hint="eastAsia"/>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35"/>
      </w:pPr>
      <w:r>
        <w:rPr>
          <w:rFonts w:hint="eastAsia"/>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3360;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5"/>
      </w:pPr>
    </w:p>
    <w:p>
      <w:pPr>
        <w:pStyle w:val="35"/>
      </w:pPr>
    </w:p>
    <w:p>
      <w:pPr>
        <w:pStyle w:val="35"/>
      </w:pPr>
    </w:p>
    <w:p>
      <w:pPr>
        <w:pStyle w:val="35"/>
        <w:spacing w:line="360" w:lineRule="auto"/>
        <w:jc w:val="center"/>
        <w:rPr>
          <w:b/>
          <w:bCs/>
          <w:sz w:val="48"/>
          <w:szCs w:val="48"/>
        </w:rPr>
      </w:pPr>
    </w:p>
    <w:p>
      <w:pPr>
        <w:pStyle w:val="35"/>
        <w:spacing w:line="360" w:lineRule="auto"/>
        <w:jc w:val="center"/>
        <w:rPr>
          <w:b/>
          <w:bCs/>
          <w:sz w:val="48"/>
          <w:szCs w:val="48"/>
        </w:rPr>
      </w:pPr>
      <w:r>
        <w:rPr>
          <w:rFonts w:hint="eastAsia"/>
          <w:b/>
          <w:bCs/>
          <w:sz w:val="48"/>
          <w:szCs w:val="48"/>
        </w:rPr>
        <w:t>资格、资质性及其他类似效力响应文件</w:t>
      </w:r>
    </w:p>
    <w:p>
      <w:pPr>
        <w:pStyle w:val="35"/>
        <w:spacing w:line="360" w:lineRule="auto"/>
        <w:jc w:val="center"/>
        <w:rPr>
          <w:b/>
          <w:bCs/>
          <w:sz w:val="48"/>
          <w:szCs w:val="48"/>
        </w:rPr>
      </w:pPr>
      <w:r>
        <w:rPr>
          <w:rFonts w:hint="eastAsia"/>
          <w:b/>
          <w:bCs/>
          <w:sz w:val="48"/>
          <w:szCs w:val="48"/>
        </w:rPr>
        <w:t>/其他响应文件</w:t>
      </w:r>
    </w:p>
    <w:p>
      <w:pPr>
        <w:pStyle w:val="35"/>
      </w:pPr>
    </w:p>
    <w:p>
      <w:pPr>
        <w:pStyle w:val="35"/>
        <w:spacing w:line="480" w:lineRule="auto"/>
        <w:ind w:left="2400" w:leftChars="1000"/>
        <w:rPr>
          <w:b/>
          <w:bCs/>
          <w:sz w:val="32"/>
          <w:szCs w:val="32"/>
        </w:rPr>
      </w:pPr>
    </w:p>
    <w:p>
      <w:pPr>
        <w:pStyle w:val="35"/>
        <w:spacing w:line="480" w:lineRule="auto"/>
        <w:ind w:left="2400" w:leftChars="1000"/>
        <w:rPr>
          <w:b/>
          <w:bCs/>
          <w:sz w:val="32"/>
          <w:szCs w:val="32"/>
        </w:rPr>
      </w:pPr>
    </w:p>
    <w:p>
      <w:pPr>
        <w:pStyle w:val="35"/>
        <w:spacing w:line="480" w:lineRule="auto"/>
        <w:ind w:left="2400" w:leftChars="1000"/>
        <w:rPr>
          <w:b/>
          <w:bCs/>
          <w:sz w:val="32"/>
          <w:szCs w:val="32"/>
        </w:rPr>
      </w:pPr>
    </w:p>
    <w:p>
      <w:pPr>
        <w:pStyle w:val="35"/>
        <w:spacing w:line="480" w:lineRule="auto"/>
        <w:ind w:left="2400" w:leftChars="1000"/>
        <w:rPr>
          <w:b/>
          <w:bCs/>
          <w:sz w:val="32"/>
          <w:szCs w:val="32"/>
        </w:rPr>
      </w:pPr>
    </w:p>
    <w:p>
      <w:pPr>
        <w:pStyle w:val="35"/>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5"/>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5"/>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5"/>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4"/>
      </w:pPr>
      <w:bookmarkStart w:id="189" w:name="_Toc5565"/>
      <w:bookmarkStart w:id="190" w:name="_Toc11556"/>
      <w:bookmarkStart w:id="191" w:name="_Toc5306"/>
      <w:bookmarkStart w:id="192" w:name="_Toc31011"/>
      <w:r>
        <w:rPr>
          <w:rFonts w:hint="eastAsia"/>
        </w:rPr>
        <w:br w:type="page"/>
      </w:r>
    </w:p>
    <w:bookmarkEnd w:id="189"/>
    <w:bookmarkEnd w:id="190"/>
    <w:bookmarkEnd w:id="191"/>
    <w:bookmarkEnd w:id="192"/>
    <w:p>
      <w:pPr>
        <w:pStyle w:val="44"/>
      </w:pPr>
      <w:bookmarkStart w:id="193" w:name="_Toc15611"/>
    </w:p>
    <w:p>
      <w:pPr>
        <w:pStyle w:val="44"/>
      </w:pPr>
    </w:p>
    <w:p>
      <w:pPr>
        <w:pStyle w:val="44"/>
      </w:pPr>
    </w:p>
    <w:p>
      <w:pPr>
        <w:pStyle w:val="44"/>
      </w:pPr>
    </w:p>
    <w:p>
      <w:pPr>
        <w:pStyle w:val="44"/>
      </w:pPr>
    </w:p>
    <w:p>
      <w:pPr>
        <w:pStyle w:val="44"/>
      </w:pPr>
    </w:p>
    <w:p>
      <w:pPr>
        <w:pStyle w:val="44"/>
      </w:pPr>
    </w:p>
    <w:p>
      <w:pPr>
        <w:pStyle w:val="44"/>
      </w:pPr>
      <w:bookmarkStart w:id="194" w:name="_Toc24630"/>
    </w:p>
    <w:p>
      <w:pPr>
        <w:pStyle w:val="44"/>
      </w:pPr>
    </w:p>
    <w:p>
      <w:pPr>
        <w:pStyle w:val="44"/>
      </w:pPr>
    </w:p>
    <w:p>
      <w:pPr>
        <w:pStyle w:val="44"/>
      </w:pPr>
    </w:p>
    <w:p>
      <w:pPr>
        <w:pStyle w:val="44"/>
      </w:pPr>
    </w:p>
    <w:p>
      <w:pPr>
        <w:pStyle w:val="36"/>
        <w:numPr>
          <w:ilvl w:val="1"/>
          <w:numId w:val="0"/>
        </w:numPr>
        <w:spacing w:before="480" w:beforeLines="200"/>
        <w:jc w:val="center"/>
        <w:rPr>
          <w:sz w:val="32"/>
          <w:szCs w:val="32"/>
        </w:rPr>
      </w:pPr>
      <w:bookmarkStart w:id="195" w:name="_Toc11736"/>
      <w:r>
        <w:rPr>
          <w:rFonts w:hint="eastAsia"/>
          <w:sz w:val="32"/>
          <w:szCs w:val="32"/>
        </w:rPr>
        <w:t>第一部分 资格、资质性及其他类似效力响应文件(格式)</w:t>
      </w:r>
      <w:bookmarkEnd w:id="193"/>
      <w:bookmarkEnd w:id="194"/>
      <w:bookmarkEnd w:id="195"/>
      <w:bookmarkStart w:id="196" w:name="_Toc23537"/>
      <w:bookmarkStart w:id="197" w:name="_Toc16168"/>
    </w:p>
    <w:p>
      <w:pPr>
        <w:pStyle w:val="44"/>
      </w:pPr>
      <w:r>
        <w:rPr>
          <w:rFonts w:hint="eastAsia"/>
        </w:rPr>
        <w:br w:type="page"/>
      </w:r>
      <w:bookmarkEnd w:id="196"/>
      <w:bookmarkEnd w:id="197"/>
      <w:bookmarkStart w:id="198" w:name="_Toc4996"/>
      <w:bookmarkStart w:id="199" w:name="_Toc26837"/>
    </w:p>
    <w:p>
      <w:pPr>
        <w:pStyle w:val="45"/>
        <w:numPr>
          <w:ilvl w:val="0"/>
          <w:numId w:val="15"/>
        </w:numPr>
        <w:spacing w:before="120" w:after="120"/>
        <w:ind w:left="0" w:firstLine="0"/>
      </w:pPr>
      <w:bookmarkStart w:id="200" w:name="_Toc19872"/>
      <w:r>
        <w:rPr>
          <w:rFonts w:hint="eastAsia"/>
        </w:rPr>
        <w:t>法定代表人/单位负责人授权书</w:t>
      </w:r>
      <w:bookmarkEnd w:id="198"/>
      <w:bookmarkEnd w:id="199"/>
      <w:bookmarkEnd w:id="200"/>
    </w:p>
    <w:p>
      <w:pPr>
        <w:pStyle w:val="44"/>
      </w:pPr>
      <w:r>
        <w:rPr>
          <w:rFonts w:hint="eastAsia" w:asciiTheme="minorEastAsia" w:hAnsiTheme="minorEastAsia" w:eastAsiaTheme="minorEastAsia" w:cstheme="minorEastAsia"/>
          <w:u w:val="single"/>
        </w:rPr>
        <w:t xml:space="preserve">                     </w:t>
      </w:r>
      <w:r>
        <w:rPr>
          <w:rFonts w:hint="eastAsia"/>
        </w:rPr>
        <w:t>(采购代理机构名称)：</w:t>
      </w:r>
    </w:p>
    <w:p>
      <w:pPr>
        <w:pStyle w:val="47"/>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)”政府采购活动的合法代表，以我方名义全权处理参与该项目政府采购活动、合同签订以及合同履约中的一切事宜，我单位均予承认，所产生的法律后果均由我单位承担。</w:t>
      </w:r>
    </w:p>
    <w:p>
      <w:pPr>
        <w:pStyle w:val="47"/>
      </w:pPr>
      <w:r>
        <w:rPr>
          <w:rFonts w:hint="eastAsia"/>
        </w:rPr>
        <w:t>特此声明。</w:t>
      </w:r>
    </w:p>
    <w:p>
      <w:pPr>
        <w:pStyle w:val="44"/>
      </w:pPr>
    </w:p>
    <w:p>
      <w:pPr>
        <w:pStyle w:val="44"/>
      </w:pPr>
    </w:p>
    <w:p>
      <w:pPr>
        <w:pStyle w:val="44"/>
      </w:pPr>
    </w:p>
    <w:p>
      <w:pPr>
        <w:pStyle w:val="44"/>
      </w:pPr>
    </w:p>
    <w:p>
      <w:pPr>
        <w:pStyle w:val="44"/>
      </w:pPr>
    </w:p>
    <w:p>
      <w:pPr>
        <w:pStyle w:val="44"/>
      </w:pPr>
    </w:p>
    <w:p>
      <w:pPr>
        <w:pStyle w:val="44"/>
      </w:pPr>
    </w:p>
    <w:p>
      <w:pPr>
        <w:pStyle w:val="47"/>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7"/>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44"/>
      </w:pPr>
    </w:p>
    <w:p>
      <w:pPr>
        <w:pStyle w:val="48"/>
        <w:ind w:firstLine="482"/>
      </w:pPr>
      <w:r>
        <w:rPr>
          <w:rFonts w:hint="eastAsia"/>
        </w:rPr>
        <w:t>注：1.法定代表人/单位负责人不亲自参加磋商，而授权代表参加磋商的适用。</w:t>
      </w:r>
    </w:p>
    <w:p>
      <w:pPr>
        <w:pStyle w:val="48"/>
        <w:ind w:firstLine="482"/>
      </w:pPr>
      <w:r>
        <w:rPr>
          <w:rFonts w:hint="eastAsia"/>
        </w:rPr>
        <w:t>2.</w:t>
      </w:r>
      <w:r>
        <w:t>供应商为法人单位时提供“法定代表人授权书”，供应商为其他组织时提供“单位负责人授权书”，供应商为自然人时提供“自然人身份证明材料”。</w:t>
      </w:r>
    </w:p>
    <w:p>
      <w:pPr>
        <w:pStyle w:val="48"/>
        <w:ind w:firstLine="482"/>
      </w:pPr>
      <w:r>
        <w:rPr>
          <w:rFonts w:hint="eastAsia"/>
        </w:rPr>
        <w:t>3.</w:t>
      </w:r>
      <w:r>
        <w:t>应附法定代表人/单位负责人身份证明材料复印件和授权代表身份证明材料复印件。</w:t>
      </w:r>
    </w:p>
    <w:p>
      <w:pPr>
        <w:pStyle w:val="48"/>
        <w:ind w:firstLine="482"/>
      </w:pPr>
      <w:r>
        <w:rPr>
          <w:rFonts w:hint="eastAsia"/>
        </w:rPr>
        <w:t>4.</w:t>
      </w:r>
      <w:r>
        <w:t>身份证明材料包括居民身份证或户口本或军官证或护照等。</w:t>
      </w:r>
    </w:p>
    <w:p>
      <w:pPr>
        <w:pStyle w:val="48"/>
        <w:ind w:firstLine="482"/>
      </w:pPr>
      <w:r>
        <w:rPr>
          <w:rFonts w:hint="eastAsia"/>
        </w:rPr>
        <w:t>5.</w:t>
      </w:r>
      <w:r>
        <w:t>身份证明材料应同时提供其在有效期的材料，如居民身份证正、反面复印件</w:t>
      </w:r>
      <w:r>
        <w:rPr>
          <w:rFonts w:hint="eastAsia"/>
        </w:rPr>
        <w:t>。</w:t>
      </w:r>
    </w:p>
    <w:p>
      <w:pPr>
        <w:pStyle w:val="44"/>
      </w:pPr>
      <w:r>
        <w:rPr>
          <w:rFonts w:hint="eastAsia"/>
        </w:rPr>
        <w:br w:type="page"/>
      </w:r>
    </w:p>
    <w:p>
      <w:pPr>
        <w:pStyle w:val="45"/>
        <w:numPr>
          <w:ilvl w:val="0"/>
          <w:numId w:val="15"/>
        </w:numPr>
        <w:spacing w:before="120" w:after="120"/>
        <w:ind w:left="0" w:firstLine="0"/>
      </w:pPr>
      <w:bookmarkStart w:id="201" w:name="_Toc9243"/>
      <w:bookmarkStart w:id="202" w:name="_Toc9688"/>
      <w:bookmarkStart w:id="203" w:name="_Toc5501"/>
      <w:bookmarkStart w:id="204" w:name="_Toc22140"/>
      <w:bookmarkStart w:id="205" w:name="_Toc15952"/>
      <w:r>
        <w:rPr>
          <w:rFonts w:hint="eastAsia"/>
        </w:rPr>
        <w:t>法定代表人/单位负责人证明书</w:t>
      </w:r>
      <w:bookmarkEnd w:id="201"/>
      <w:bookmarkEnd w:id="202"/>
      <w:bookmarkEnd w:id="203"/>
      <w:bookmarkEnd w:id="204"/>
      <w:bookmarkEnd w:id="205"/>
    </w:p>
    <w:p>
      <w:pPr>
        <w:pStyle w:val="47"/>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)”的政府采购活动、合同签订以及合同履约等一切事宜，我单位均予承认，所产生的法律后果均由我单位承担。</w:t>
      </w:r>
    </w:p>
    <w:p>
      <w:pPr>
        <w:pStyle w:val="47"/>
      </w:pPr>
      <w:r>
        <w:rPr>
          <w:rFonts w:hint="eastAsia"/>
        </w:rPr>
        <w:t>特此证明。</w:t>
      </w:r>
    </w:p>
    <w:p>
      <w:pPr>
        <w:pStyle w:val="44"/>
      </w:pPr>
    </w:p>
    <w:p>
      <w:pPr>
        <w:pStyle w:val="44"/>
      </w:pPr>
    </w:p>
    <w:p>
      <w:pPr>
        <w:pStyle w:val="44"/>
      </w:pPr>
    </w:p>
    <w:p>
      <w:pPr>
        <w:pStyle w:val="44"/>
      </w:pPr>
    </w:p>
    <w:p>
      <w:pPr>
        <w:pStyle w:val="44"/>
      </w:pPr>
    </w:p>
    <w:p>
      <w:pPr>
        <w:pStyle w:val="47"/>
      </w:pPr>
      <w:r>
        <w:rPr>
          <w:rFonts w:hint="eastAsia"/>
        </w:rPr>
        <w:t>供应商名称：</w:t>
      </w:r>
      <w:r>
        <w:rPr>
          <w:rFonts w:hint="eastAsia"/>
          <w:u w:val="single"/>
        </w:rPr>
        <w:t xml:space="preserve">             </w:t>
      </w:r>
      <w:r>
        <w:rPr>
          <w:rFonts w:hint="eastAsia"/>
        </w:rPr>
        <w:t xml:space="preserve">(盖章) </w:t>
      </w:r>
    </w:p>
    <w:p>
      <w:pPr>
        <w:pStyle w:val="47"/>
      </w:pPr>
      <w:r>
        <w:rPr>
          <w:rFonts w:hint="eastAsia"/>
        </w:rPr>
        <w:t>法定代表人/单位负责人：</w:t>
      </w:r>
      <w:r>
        <w:rPr>
          <w:rFonts w:hint="eastAsia"/>
          <w:u w:val="single"/>
        </w:rPr>
        <w:t xml:space="preserve">               </w:t>
      </w:r>
      <w:r>
        <w:rPr>
          <w:rFonts w:hint="eastAsia"/>
        </w:rPr>
        <w:t>(签字或盖章)</w:t>
      </w:r>
    </w:p>
    <w:p>
      <w:pPr>
        <w:pStyle w:val="47"/>
        <w:rPr>
          <w:u w:val="single"/>
        </w:rPr>
      </w:pPr>
      <w:r>
        <w:rPr>
          <w:rFonts w:hint="eastAsia"/>
        </w:rPr>
        <w:t>磋商日期：</w:t>
      </w:r>
      <w:r>
        <w:rPr>
          <w:rFonts w:hint="eastAsia"/>
          <w:u w:val="single"/>
        </w:rPr>
        <w:t xml:space="preserve">             </w:t>
      </w:r>
    </w:p>
    <w:p>
      <w:pPr>
        <w:pStyle w:val="47"/>
      </w:pPr>
    </w:p>
    <w:p>
      <w:pPr>
        <w:pStyle w:val="48"/>
        <w:ind w:firstLine="482"/>
      </w:pPr>
      <w:r>
        <w:rPr>
          <w:rFonts w:hint="eastAsia"/>
        </w:rPr>
        <w:t>注：1.法定代表人</w:t>
      </w:r>
      <w:r>
        <w:t>/单位负责人</w:t>
      </w:r>
      <w:r>
        <w:rPr>
          <w:rFonts w:hint="eastAsia"/>
        </w:rPr>
        <w:t>亲自参加磋商时适用本证明书。</w:t>
      </w:r>
    </w:p>
    <w:p>
      <w:pPr>
        <w:pStyle w:val="48"/>
        <w:ind w:firstLine="482"/>
      </w:pPr>
      <w:r>
        <w:rPr>
          <w:rFonts w:hint="eastAsia"/>
        </w:rPr>
        <w:t>2.</w:t>
      </w:r>
      <w:r>
        <w:t>应附法定代表人/单位负责人身份证明材料复印件。</w:t>
      </w:r>
    </w:p>
    <w:p>
      <w:pPr>
        <w:pStyle w:val="48"/>
        <w:ind w:firstLine="482"/>
      </w:pPr>
      <w:r>
        <w:rPr>
          <w:rFonts w:hint="eastAsia"/>
        </w:rPr>
        <w:t>3.</w:t>
      </w:r>
      <w:r>
        <w:t>身份证明材料包括居民身份证或户口本或军官证或护照等。</w:t>
      </w:r>
    </w:p>
    <w:p>
      <w:pPr>
        <w:pStyle w:val="48"/>
        <w:ind w:firstLine="482"/>
      </w:pPr>
      <w:r>
        <w:rPr>
          <w:rFonts w:hint="eastAsia"/>
        </w:rPr>
        <w:t>4.</w:t>
      </w:r>
      <w:r>
        <w:t>身份证明材料应同时提供其在有效期的材料，如居民身份证正、反面复印件</w:t>
      </w:r>
      <w:r>
        <w:rPr>
          <w:rFonts w:hint="eastAsia"/>
        </w:rPr>
        <w:t>。</w:t>
      </w:r>
    </w:p>
    <w:p>
      <w:pPr>
        <w:pStyle w:val="45"/>
        <w:numPr>
          <w:ilvl w:val="0"/>
          <w:numId w:val="15"/>
        </w:numPr>
        <w:spacing w:before="120" w:after="120"/>
        <w:ind w:left="0" w:firstLine="0"/>
      </w:pPr>
      <w:bookmarkStart w:id="206" w:name="_Toc22152"/>
      <w:bookmarkStart w:id="207" w:name="_Toc28837"/>
      <w:bookmarkStart w:id="208" w:name="_Toc11802"/>
      <w:bookmarkStart w:id="209" w:name="_Toc28397"/>
      <w:bookmarkStart w:id="210" w:name="_Toc3822"/>
      <w:r>
        <w:rPr>
          <w:rFonts w:hint="eastAsia"/>
        </w:rPr>
        <w:t>供应商具有独立承担民事责任的能力的证明材料</w:t>
      </w:r>
      <w:bookmarkEnd w:id="206"/>
      <w:bookmarkEnd w:id="207"/>
      <w:bookmarkEnd w:id="208"/>
    </w:p>
    <w:p>
      <w:pPr>
        <w:pStyle w:val="47"/>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8"/>
        <w:ind w:firstLine="482"/>
      </w:pPr>
      <w:r>
        <w:rPr>
          <w:rFonts w:hint="eastAsia"/>
        </w:rPr>
        <w:t>注：1.以上证明材料应满足此条要求①发证机关有年检要求的，应按规定通过年检；②在有效期内；③复印件加盖供应商公章；</w:t>
      </w:r>
    </w:p>
    <w:p>
      <w:pPr>
        <w:pStyle w:val="48"/>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10"/>
    </w:p>
    <w:p>
      <w:pPr>
        <w:pStyle w:val="44"/>
      </w:pPr>
    </w:p>
    <w:p>
      <w:pPr>
        <w:pStyle w:val="45"/>
        <w:numPr>
          <w:ilvl w:val="0"/>
          <w:numId w:val="15"/>
        </w:numPr>
        <w:spacing w:before="120" w:after="120"/>
        <w:ind w:left="0" w:firstLine="0"/>
      </w:pPr>
      <w:bookmarkStart w:id="211" w:name="_Toc29937"/>
      <w:bookmarkStart w:id="212" w:name="_Toc28024"/>
      <w:bookmarkStart w:id="213" w:name="_Toc17692"/>
      <w:bookmarkStart w:id="214" w:name="_Toc14566"/>
      <w:r>
        <w:rPr>
          <w:rFonts w:hint="eastAsia"/>
        </w:rPr>
        <w:t>供应商具有良好的商业信誉和健全的财务会计制度的证明材料</w:t>
      </w:r>
      <w:bookmarkEnd w:id="211"/>
      <w:bookmarkEnd w:id="212"/>
      <w:bookmarkEnd w:id="213"/>
    </w:p>
    <w:bookmarkEnd w:id="214"/>
    <w:p>
      <w:pPr>
        <w:pStyle w:val="47"/>
      </w:pPr>
      <w:r>
        <w:rPr>
          <w:rFonts w:hint="eastAsia"/>
        </w:rPr>
        <w:t>1.供应商具有良好商业信誉的证明材料；</w:t>
      </w:r>
    </w:p>
    <w:p>
      <w:pPr>
        <w:pStyle w:val="47"/>
      </w:pPr>
      <w:r>
        <w:rPr>
          <w:rFonts w:hint="eastAsia"/>
        </w:rPr>
        <w:t>提供具有良好的商业信誉的承诺函。</w:t>
      </w:r>
    </w:p>
    <w:p>
      <w:pPr>
        <w:pStyle w:val="47"/>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7"/>
      </w:pPr>
      <w:r>
        <w:rPr>
          <w:rFonts w:hint="eastAsia"/>
        </w:rPr>
        <w:t>2.供应商具有健全的财务会计制度的证明材料；</w:t>
      </w:r>
    </w:p>
    <w:p>
      <w:pPr>
        <w:pStyle w:val="47"/>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7"/>
      </w:pPr>
      <w:r>
        <w:rPr>
          <w:rFonts w:hint="eastAsia"/>
        </w:rPr>
        <w:t>(2)供应商提供2020年度供应商内部的财务报表复印件(至少包含资产负债表)；</w:t>
      </w:r>
    </w:p>
    <w:p>
      <w:pPr>
        <w:pStyle w:val="47"/>
      </w:pPr>
      <w:r>
        <w:rPr>
          <w:rFonts w:hint="eastAsia"/>
        </w:rPr>
        <w:t>(3)供应商提供响应文件递交截止日前一年内银行为其出具的资信证明复印件；</w:t>
      </w:r>
    </w:p>
    <w:p>
      <w:pPr>
        <w:pStyle w:val="47"/>
      </w:pPr>
      <w:r>
        <w:rPr>
          <w:rFonts w:hint="eastAsia"/>
        </w:rPr>
        <w:t>(4)供应商注册时间截至响应文件递交截止日不足一年的，可提供公司章程复印件；</w:t>
      </w:r>
    </w:p>
    <w:p>
      <w:pPr>
        <w:pStyle w:val="47"/>
      </w:pPr>
      <w:r>
        <w:rPr>
          <w:rFonts w:hint="eastAsia"/>
        </w:rPr>
        <w:t>(5)供应商为事业单位、大型国有企业或其他组织(不具备法人条件的组织，如合伙组织、个体工商户、农村承包经营户等)或自然人时，可提供承诺函。</w:t>
      </w:r>
    </w:p>
    <w:p>
      <w:pPr>
        <w:pStyle w:val="47"/>
        <w:rPr>
          <w:shd w:val="clear" w:color="FFFFFF" w:fill="D9D9D9"/>
        </w:rPr>
      </w:pPr>
      <w:r>
        <w:rPr>
          <w:rFonts w:hint="eastAsia"/>
          <w:shd w:val="clear" w:color="FFFFFF" w:fill="D9D9D9"/>
        </w:rPr>
        <w:t>(6)提供具有健全的财务会计制度的承诺函。</w:t>
      </w:r>
    </w:p>
    <w:p>
      <w:pPr>
        <w:pStyle w:val="48"/>
        <w:ind w:firstLine="482"/>
      </w:pPr>
      <w:r>
        <w:rPr>
          <w:rFonts w:hint="eastAsia"/>
          <w:bCs/>
        </w:rPr>
        <w:t>注：具有健全的财务会计制度的证明材料中第(1)-(6)项具有同等的效力，供应商可根据自身实际情况选择提供其中任意一项。</w:t>
      </w:r>
    </w:p>
    <w:p>
      <w:pPr>
        <w:pStyle w:val="48"/>
        <w:ind w:firstLine="482"/>
      </w:pPr>
    </w:p>
    <w:p>
      <w:pPr>
        <w:pStyle w:val="45"/>
        <w:numPr>
          <w:ilvl w:val="0"/>
          <w:numId w:val="15"/>
        </w:numPr>
        <w:spacing w:before="120" w:after="120"/>
        <w:ind w:left="0" w:firstLine="0"/>
      </w:pPr>
      <w:bookmarkStart w:id="215" w:name="_Toc19866"/>
      <w:bookmarkStart w:id="216" w:name="_Toc17744"/>
      <w:bookmarkStart w:id="217" w:name="_Toc2340"/>
      <w:bookmarkStart w:id="218" w:name="_Toc5443"/>
      <w:r>
        <w:rPr>
          <w:rFonts w:hint="eastAsia"/>
        </w:rPr>
        <w:t>供应商具有依法缴纳税收和社会保障资金的良好记录的证明材料</w:t>
      </w:r>
      <w:bookmarkEnd w:id="215"/>
      <w:bookmarkEnd w:id="216"/>
      <w:bookmarkEnd w:id="217"/>
    </w:p>
    <w:bookmarkEnd w:id="218"/>
    <w:p>
      <w:pPr>
        <w:pStyle w:val="47"/>
      </w:pPr>
      <w:r>
        <w:rPr>
          <w:rFonts w:hint="eastAsia"/>
        </w:rPr>
        <w:t>提供</w:t>
      </w:r>
      <w:r>
        <w:rPr>
          <w:rFonts w:hint="eastAsia"/>
          <w:lang w:val="zh-CN"/>
        </w:rPr>
        <w:t>依法缴纳税收和社会保障资金的良好记录</w:t>
      </w:r>
      <w:r>
        <w:rPr>
          <w:rFonts w:hint="eastAsia"/>
        </w:rPr>
        <w:t>的承诺函。</w:t>
      </w:r>
    </w:p>
    <w:p>
      <w:pPr>
        <w:pStyle w:val="48"/>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4"/>
      </w:pPr>
      <w:r>
        <w:rPr>
          <w:rFonts w:hint="eastAsia"/>
        </w:rPr>
        <w:br w:type="page"/>
      </w:r>
    </w:p>
    <w:p>
      <w:pPr>
        <w:pStyle w:val="45"/>
        <w:numPr>
          <w:ilvl w:val="0"/>
          <w:numId w:val="15"/>
        </w:numPr>
        <w:spacing w:before="120" w:after="120"/>
        <w:ind w:left="0" w:firstLine="0"/>
      </w:pPr>
      <w:bookmarkStart w:id="219" w:name="_Toc16336"/>
      <w:bookmarkStart w:id="220" w:name="_Toc15870"/>
      <w:bookmarkStart w:id="221" w:name="_Toc11606"/>
      <w:r>
        <w:rPr>
          <w:rFonts w:hint="eastAsia"/>
        </w:rPr>
        <w:t>供应商具有履行合同所必需的设备和专业技术能力证明材料</w:t>
      </w:r>
      <w:bookmarkEnd w:id="219"/>
      <w:bookmarkEnd w:id="220"/>
      <w:bookmarkEnd w:id="221"/>
    </w:p>
    <w:p>
      <w:pPr>
        <w:pStyle w:val="47"/>
      </w:pPr>
      <w:r>
        <w:rPr>
          <w:rFonts w:hint="eastAsia"/>
        </w:rPr>
        <w:t>提供具有履行合同所必需的设备和专业技术能力的承诺函。</w:t>
      </w:r>
    </w:p>
    <w:p>
      <w:pPr>
        <w:pStyle w:val="48"/>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4"/>
      </w:pPr>
      <w:r>
        <w:rPr>
          <w:rFonts w:hint="eastAsia"/>
        </w:rPr>
        <w:br w:type="page"/>
      </w:r>
    </w:p>
    <w:p>
      <w:pPr>
        <w:pStyle w:val="45"/>
        <w:numPr>
          <w:ilvl w:val="0"/>
          <w:numId w:val="15"/>
        </w:numPr>
        <w:spacing w:before="120" w:after="120"/>
        <w:ind w:left="0" w:firstLine="0"/>
      </w:pPr>
      <w:bookmarkStart w:id="222" w:name="_Toc21379"/>
      <w:bookmarkStart w:id="223" w:name="_Toc3468"/>
      <w:r>
        <w:rPr>
          <w:rFonts w:hint="eastAsia"/>
        </w:rPr>
        <w:t>供应商参加政府采购活动前三年内，在经营活动中没有重大违法记录的证明材料</w:t>
      </w:r>
      <w:bookmarkEnd w:id="222"/>
      <w:bookmarkEnd w:id="223"/>
    </w:p>
    <w:p>
      <w:pPr>
        <w:pStyle w:val="47"/>
      </w:pPr>
      <w:bookmarkStart w:id="224" w:name="_Toc9591"/>
      <w:bookmarkStart w:id="225" w:name="_Toc14299"/>
      <w:r>
        <w:rPr>
          <w:rFonts w:hint="eastAsia"/>
        </w:rPr>
        <w:t>提供参加本次政府采购活动前三年内，在经营活动中没有重大违法记录的书面声明(成立不足三年的，从成立之日起计算)。</w:t>
      </w:r>
    </w:p>
    <w:p>
      <w:pPr>
        <w:pStyle w:val="48"/>
        <w:ind w:firstLine="482"/>
      </w:pPr>
      <w:r>
        <w:rPr>
          <w:rFonts w:hint="eastAsia"/>
        </w:rPr>
        <w:t>注：格式自拟，或参照《符合&lt;中华人民共和国政府采购法&gt;第二十二条规定的条件的承诺及声明函》提供声明函。</w:t>
      </w:r>
    </w:p>
    <w:p>
      <w:r>
        <w:rPr>
          <w:rFonts w:hint="eastAsia"/>
        </w:rPr>
        <w:br w:type="page"/>
      </w:r>
    </w:p>
    <w:p>
      <w:pPr>
        <w:pStyle w:val="45"/>
        <w:numPr>
          <w:ilvl w:val="0"/>
          <w:numId w:val="15"/>
        </w:numPr>
        <w:spacing w:before="120" w:after="120"/>
        <w:ind w:left="0" w:firstLine="0"/>
        <w:rPr>
          <w:lang w:val="zh-CN"/>
        </w:rPr>
      </w:pPr>
      <w:bookmarkStart w:id="226" w:name="_Toc17558"/>
      <w:bookmarkStart w:id="227" w:name="_Toc3840"/>
      <w:bookmarkStart w:id="228" w:name="_Toc28020"/>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26"/>
      <w:bookmarkEnd w:id="227"/>
      <w:r>
        <w:rPr>
          <w:rFonts w:hint="eastAsia"/>
          <w:w w:val="95"/>
        </w:rPr>
        <w:t>承诺函</w:t>
      </w:r>
      <w:bookmarkEnd w:id="228"/>
    </w:p>
    <w:p>
      <w:pPr>
        <w:pStyle w:val="44"/>
        <w:rPr>
          <w:rFonts w:cs="宋体"/>
        </w:rPr>
      </w:pPr>
      <w:r>
        <w:rPr>
          <w:rFonts w:hint="eastAsia" w:cs="宋体"/>
          <w:u w:val="single"/>
        </w:rPr>
        <w:t xml:space="preserve">                   </w:t>
      </w:r>
      <w:r>
        <w:rPr>
          <w:rFonts w:hint="eastAsia" w:cs="宋体"/>
        </w:rPr>
        <w:t>(采购代理机构名称)：</w:t>
      </w:r>
    </w:p>
    <w:p>
      <w:pPr>
        <w:pStyle w:val="44"/>
        <w:ind w:firstLine="480" w:firstLineChars="200"/>
        <w:rPr>
          <w:rFonts w:cs="宋体"/>
        </w:rPr>
      </w:pPr>
      <w:r>
        <w:rPr>
          <w:rFonts w:hint="eastAsia" w:cs="宋体"/>
        </w:rPr>
        <w:t>我单位作为本次采购项目的供应商，根据磋商文件要求，现郑重承诺如下：</w:t>
      </w:r>
    </w:p>
    <w:p>
      <w:pPr>
        <w:pStyle w:val="47"/>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     本单位对上述承诺的内容事项真实性、合法性负责。如经查实上述承诺的内容事项存在虚假，我单位自愿接受以提供虚假材料谋取成交所带来的所有法律责任。</w:t>
      </w:r>
    </w:p>
    <w:p>
      <w:pPr>
        <w:pStyle w:val="44"/>
        <w:rPr>
          <w:rFonts w:cs="宋体"/>
        </w:rPr>
      </w:pPr>
    </w:p>
    <w:p>
      <w:pPr>
        <w:pStyle w:val="44"/>
        <w:rPr>
          <w:rFonts w:cs="宋体"/>
        </w:rPr>
      </w:pPr>
    </w:p>
    <w:p>
      <w:pPr>
        <w:pStyle w:val="47"/>
        <w:rPr>
          <w:rFonts w:cs="宋体"/>
        </w:rPr>
      </w:pPr>
      <w:r>
        <w:rPr>
          <w:rFonts w:hint="eastAsia" w:cs="宋体"/>
        </w:rPr>
        <w:t>供应商名称：</w:t>
      </w:r>
      <w:r>
        <w:rPr>
          <w:rFonts w:hint="eastAsia" w:cs="宋体"/>
          <w:u w:val="single"/>
        </w:rPr>
        <w:t xml:space="preserve">             </w:t>
      </w:r>
      <w:r>
        <w:rPr>
          <w:rFonts w:hint="eastAsia" w:cs="宋体"/>
        </w:rPr>
        <w:t>(盖章)</w:t>
      </w:r>
    </w:p>
    <w:p>
      <w:pPr>
        <w:pStyle w:val="47"/>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7"/>
        <w:rPr>
          <w:rFonts w:cs="宋体"/>
        </w:rPr>
      </w:pPr>
      <w:r>
        <w:rPr>
          <w:rFonts w:hint="eastAsia" w:cs="宋体"/>
        </w:rPr>
        <w:t>磋商日期：</w:t>
      </w:r>
      <w:r>
        <w:rPr>
          <w:rFonts w:hint="eastAsia" w:cs="宋体"/>
          <w:u w:val="single"/>
        </w:rPr>
        <w:t xml:space="preserve">                </w:t>
      </w:r>
      <w:r>
        <w:rPr>
          <w:rFonts w:hint="eastAsia" w:cs="宋体"/>
        </w:rPr>
        <w:t xml:space="preserve">  </w:t>
      </w:r>
    </w:p>
    <w:p>
      <w:pPr>
        <w:pStyle w:val="64"/>
        <w:numPr>
          <w:ilvl w:val="3"/>
          <w:numId w:val="0"/>
        </w:numPr>
        <w:ind w:firstLine="482" w:firstLineChars="200"/>
        <w:jc w:val="both"/>
        <w:rPr>
          <w:b/>
          <w:bCs/>
        </w:rPr>
      </w:pPr>
    </w:p>
    <w:p>
      <w:pPr>
        <w:pStyle w:val="64"/>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8"/>
        <w:ind w:firstLine="482"/>
      </w:pPr>
    </w:p>
    <w:bookmarkEnd w:id="224"/>
    <w:bookmarkEnd w:id="225"/>
    <w:p>
      <w:pPr>
        <w:pStyle w:val="45"/>
        <w:numPr>
          <w:ilvl w:val="0"/>
          <w:numId w:val="15"/>
        </w:numPr>
        <w:spacing w:before="120" w:after="120"/>
        <w:ind w:left="0" w:firstLine="0"/>
        <w:rPr>
          <w:w w:val="95"/>
        </w:rPr>
      </w:pPr>
      <w:bookmarkStart w:id="229" w:name="_Toc21855"/>
      <w:bookmarkStart w:id="230" w:name="_Toc15708"/>
      <w:bookmarkStart w:id="231" w:name="_Toc22352"/>
      <w:r>
        <w:rPr>
          <w:rFonts w:hint="eastAsia"/>
          <w:w w:val="95"/>
        </w:rPr>
        <w:t>符合《中华人民共和国政府采购法》第二十二条规定的条件的承诺及声明函</w:t>
      </w:r>
      <w:bookmarkEnd w:id="229"/>
      <w:bookmarkEnd w:id="230"/>
      <w:bookmarkEnd w:id="231"/>
    </w:p>
    <w:p>
      <w:pPr>
        <w:pStyle w:val="44"/>
      </w:pPr>
      <w:r>
        <w:rPr>
          <w:rFonts w:hint="eastAsia"/>
          <w:u w:val="single"/>
        </w:rPr>
        <w:t xml:space="preserve">                   </w:t>
      </w:r>
      <w:r>
        <w:rPr>
          <w:rFonts w:hint="eastAsia"/>
        </w:rPr>
        <w:t>(采购代理机构名称)：</w:t>
      </w:r>
    </w:p>
    <w:p>
      <w:pPr>
        <w:pStyle w:val="44"/>
        <w:ind w:firstLine="480" w:firstLineChars="200"/>
      </w:pPr>
      <w:r>
        <w:rPr>
          <w:rFonts w:hint="eastAsia"/>
        </w:rPr>
        <w:t>我公司作为本次采购项目的供应商，根据磋商文件要求，现郑重承诺及声明如下：</w:t>
      </w:r>
    </w:p>
    <w:p>
      <w:pPr>
        <w:pStyle w:val="37"/>
        <w:numPr>
          <w:ilvl w:val="2"/>
          <w:numId w:val="16"/>
        </w:numPr>
        <w:ind w:firstLine="480"/>
      </w:pPr>
      <w:r>
        <w:rPr>
          <w:rFonts w:hint="eastAsia"/>
        </w:rPr>
        <w:t xml:space="preserve">具有良好的商业信誉和健全的财务会计制度； </w:t>
      </w:r>
    </w:p>
    <w:p>
      <w:pPr>
        <w:pStyle w:val="37"/>
        <w:numPr>
          <w:ilvl w:val="2"/>
          <w:numId w:val="16"/>
        </w:numPr>
        <w:ind w:firstLine="480"/>
      </w:pPr>
      <w:r>
        <w:rPr>
          <w:rFonts w:hint="eastAsia"/>
        </w:rPr>
        <w:t xml:space="preserve">具有履行合同所必需的设备和专业技术能力； </w:t>
      </w:r>
    </w:p>
    <w:p>
      <w:pPr>
        <w:pStyle w:val="37"/>
        <w:numPr>
          <w:ilvl w:val="2"/>
          <w:numId w:val="16"/>
        </w:numPr>
        <w:ind w:firstLine="480"/>
      </w:pPr>
      <w:r>
        <w:rPr>
          <w:rFonts w:hint="eastAsia"/>
        </w:rPr>
        <w:t xml:space="preserve">具有依法缴纳税收和社会保障资金的良好记录； </w:t>
      </w:r>
    </w:p>
    <w:p>
      <w:pPr>
        <w:pStyle w:val="37"/>
        <w:numPr>
          <w:ilvl w:val="2"/>
          <w:numId w:val="16"/>
        </w:numPr>
        <w:ind w:firstLine="480"/>
      </w:pPr>
      <w:r>
        <w:rPr>
          <w:rFonts w:hint="eastAsia"/>
        </w:rPr>
        <w:t>参加本次政府采购活动前三年内，在经营活动中没有重大违法记录(供应商成立不足三年的，从成立之日起计算)；</w:t>
      </w:r>
    </w:p>
    <w:p>
      <w:pPr>
        <w:pStyle w:val="37"/>
        <w:numPr>
          <w:ilvl w:val="2"/>
          <w:numId w:val="16"/>
        </w:numPr>
        <w:ind w:firstLine="480"/>
      </w:pPr>
      <w:r>
        <w:rPr>
          <w:rFonts w:hint="eastAsia"/>
        </w:rPr>
        <w:t>符合法律、行政法规规定的其他条件；</w:t>
      </w:r>
    </w:p>
    <w:p>
      <w:pPr>
        <w:pStyle w:val="37"/>
        <w:numPr>
          <w:ilvl w:val="2"/>
          <w:numId w:val="16"/>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未与其他供应商组成联合体参与本项目磋商；</w:t>
      </w:r>
    </w:p>
    <w:p>
      <w:pPr>
        <w:pStyle w:val="47"/>
      </w:pPr>
      <w:r>
        <w:rPr>
          <w:rFonts w:hint="eastAsia"/>
        </w:rPr>
        <w:t>本公司对上述承诺的内容事项真实性、合法性负责。如经查实上述承诺的内容事项存在虚假，我公司自愿接受以提供虚假材料谋取成交所带来的所有法律责任。</w:t>
      </w:r>
    </w:p>
    <w:p>
      <w:pPr>
        <w:pStyle w:val="44"/>
      </w:pPr>
    </w:p>
    <w:p>
      <w:pPr>
        <w:pStyle w:val="44"/>
      </w:pPr>
    </w:p>
    <w:p>
      <w:pPr>
        <w:pStyle w:val="47"/>
      </w:pPr>
      <w:r>
        <w:rPr>
          <w:rFonts w:hint="eastAsia"/>
        </w:rPr>
        <w:t>供应商名称：</w:t>
      </w:r>
      <w:r>
        <w:rPr>
          <w:rFonts w:hint="eastAsia"/>
          <w:u w:val="single"/>
        </w:rPr>
        <w:t xml:space="preserve">             </w:t>
      </w:r>
      <w:r>
        <w:rPr>
          <w:rFonts w:hint="eastAsia"/>
        </w:rPr>
        <w:t>(盖章)</w:t>
      </w:r>
    </w:p>
    <w:p>
      <w:pPr>
        <w:pStyle w:val="47"/>
      </w:pPr>
      <w:r>
        <w:rPr>
          <w:rFonts w:hint="eastAsia"/>
        </w:rPr>
        <w:t>法定代表人/单位负责人或授权代表：</w:t>
      </w:r>
      <w:r>
        <w:rPr>
          <w:rFonts w:hint="eastAsia"/>
          <w:u w:val="single"/>
        </w:rPr>
        <w:t xml:space="preserve">            </w:t>
      </w:r>
      <w:r>
        <w:rPr>
          <w:rFonts w:hint="eastAsia"/>
        </w:rPr>
        <w:t>(签字或盖章)</w:t>
      </w:r>
    </w:p>
    <w:p>
      <w:pPr>
        <w:pStyle w:val="47"/>
      </w:pPr>
      <w:r>
        <w:rPr>
          <w:rFonts w:hint="eastAsia"/>
        </w:rPr>
        <w:t>磋商日期：</w:t>
      </w:r>
      <w:r>
        <w:rPr>
          <w:rFonts w:hint="eastAsia"/>
          <w:u w:val="single"/>
        </w:rPr>
        <w:t xml:space="preserve">                </w:t>
      </w:r>
      <w:r>
        <w:rPr>
          <w:rFonts w:hint="eastAsia"/>
        </w:rPr>
        <w:t xml:space="preserve">  </w:t>
      </w:r>
    </w:p>
    <w:p>
      <w:pPr>
        <w:pStyle w:val="48"/>
        <w:ind w:firstLine="482"/>
      </w:pPr>
      <w:r>
        <w:rPr>
          <w:rFonts w:hint="eastAsia"/>
        </w:rPr>
        <w:t>注：本部分所要求的承诺函可参照本格式或自拟格式填写均有效。</w:t>
      </w:r>
    </w:p>
    <w:p>
      <w:r>
        <w:rPr>
          <w:rFonts w:hint="eastAsia"/>
        </w:rPr>
        <w:br w:type="page"/>
      </w:r>
    </w:p>
    <w:p>
      <w:pPr>
        <w:pStyle w:val="45"/>
        <w:numPr>
          <w:ilvl w:val="0"/>
          <w:numId w:val="15"/>
        </w:numPr>
        <w:spacing w:before="120" w:after="120"/>
        <w:ind w:left="0" w:firstLine="0"/>
      </w:pPr>
      <w:bookmarkStart w:id="232" w:name="_Toc22883"/>
      <w:bookmarkStart w:id="233" w:name="_Toc7022"/>
      <w:r>
        <w:rPr>
          <w:rFonts w:hint="eastAsia"/>
          <w:w w:val="95"/>
        </w:rPr>
        <w:t>中小企业</w:t>
      </w:r>
      <w:r>
        <w:rPr>
          <w:rFonts w:hint="eastAsia"/>
        </w:rPr>
        <w:t>声明函(如涉及)</w:t>
      </w:r>
      <w:bookmarkEnd w:id="232"/>
      <w:bookmarkEnd w:id="233"/>
    </w:p>
    <w:p>
      <w:pPr>
        <w:pStyle w:val="48"/>
        <w:rPr>
          <w:b w:val="0"/>
          <w:bCs/>
        </w:rPr>
      </w:pPr>
      <w:r>
        <w:rPr>
          <w:rFonts w:hint="eastAsia"/>
          <w:b w:val="0"/>
          <w:bCs/>
        </w:rPr>
        <w:t>本公司郑重声明，根据《政府采购促进中小企业发展管理办法》（财库﹝2020﹞46号）的规定，本公司参加</w:t>
      </w:r>
      <w:r>
        <w:rPr>
          <w:rFonts w:hint="eastAsia"/>
          <w:b w:val="0"/>
          <w:bCs/>
          <w:u w:val="single"/>
        </w:rPr>
        <w:t>（单位名称）</w:t>
      </w:r>
      <w:r>
        <w:rPr>
          <w:rFonts w:hint="eastAsia"/>
          <w:b w:val="0"/>
          <w:bCs/>
        </w:rPr>
        <w:t>的</w:t>
      </w:r>
      <w:r>
        <w:rPr>
          <w:rFonts w:hint="eastAsia"/>
          <w:b w:val="0"/>
          <w:bCs/>
          <w:u w:val="single"/>
        </w:rPr>
        <w:t>（项目名称）</w:t>
      </w:r>
      <w:r>
        <w:rPr>
          <w:rFonts w:hint="eastAsia"/>
          <w:b w:val="0"/>
          <w:bCs/>
        </w:rPr>
        <w:t>采购活动，服务全部由符合政策要求的中小企业承接。相关企业的具体情况如下：</w:t>
      </w:r>
    </w:p>
    <w:p>
      <w:pPr>
        <w:pStyle w:val="48"/>
        <w:rPr>
          <w:b w:val="0"/>
          <w:bCs/>
        </w:rPr>
      </w:pPr>
      <w:r>
        <w:rPr>
          <w:rFonts w:hint="eastAsia"/>
          <w:b w:val="0"/>
          <w:bCs/>
          <w:u w:val="single"/>
        </w:rPr>
        <w:t>（标的名称）</w:t>
      </w:r>
      <w:r>
        <w:rPr>
          <w:rFonts w:hint="eastAsia"/>
          <w:b w:val="0"/>
          <w:bCs/>
        </w:rPr>
        <w:t>，属于</w:t>
      </w:r>
      <w:r>
        <w:rPr>
          <w:rFonts w:hint="eastAsia"/>
          <w:b w:val="0"/>
          <w:bCs/>
          <w:u w:val="single"/>
        </w:rPr>
        <w:t>（采购文件中明确的所属行业）</w:t>
      </w:r>
      <w:r>
        <w:rPr>
          <w:rFonts w:hint="eastAsia"/>
          <w:b w:val="0"/>
          <w:bCs/>
        </w:rPr>
        <w:t>；承接企业为</w:t>
      </w:r>
      <w:r>
        <w:rPr>
          <w:rFonts w:hint="eastAsia"/>
          <w:b w:val="0"/>
          <w:bCs/>
          <w:u w:val="single"/>
        </w:rPr>
        <w:t>（企业名称）</w:t>
      </w:r>
      <w:r>
        <w:rPr>
          <w:rFonts w:hint="eastAsia"/>
          <w:b w:val="0"/>
          <w:bCs/>
        </w:rPr>
        <w:t>，从业人员</w:t>
      </w:r>
      <w:r>
        <w:rPr>
          <w:rFonts w:hint="eastAsia"/>
          <w:b w:val="0"/>
          <w:bCs/>
          <w:u w:val="single"/>
        </w:rPr>
        <w:t xml:space="preserve">    </w:t>
      </w:r>
      <w:r>
        <w:rPr>
          <w:rFonts w:hint="eastAsia"/>
          <w:b w:val="0"/>
          <w:bCs/>
        </w:rPr>
        <w:t>人，营业收入为</w:t>
      </w:r>
      <w:r>
        <w:rPr>
          <w:rFonts w:hint="eastAsia"/>
          <w:b w:val="0"/>
          <w:bCs/>
          <w:u w:val="single"/>
        </w:rPr>
        <w:t xml:space="preserve">    </w:t>
      </w:r>
      <w:r>
        <w:rPr>
          <w:rFonts w:hint="eastAsia"/>
          <w:b w:val="0"/>
          <w:bCs/>
        </w:rPr>
        <w:tab/>
      </w:r>
      <w:r>
        <w:rPr>
          <w:rFonts w:hint="eastAsia"/>
          <w:b w:val="0"/>
          <w:bCs/>
        </w:rPr>
        <w:t>万元，资产总额为</w:t>
      </w:r>
      <w:r>
        <w:rPr>
          <w:rFonts w:hint="eastAsia"/>
          <w:b w:val="0"/>
          <w:bCs/>
          <w:u w:val="single"/>
        </w:rPr>
        <w:t xml:space="preserve">    </w:t>
      </w:r>
      <w:r>
        <w:rPr>
          <w:rFonts w:hint="eastAsia"/>
          <w:b w:val="0"/>
          <w:bCs/>
        </w:rPr>
        <w:t>万元，属于</w:t>
      </w:r>
      <w:r>
        <w:rPr>
          <w:rFonts w:hint="eastAsia"/>
          <w:b w:val="0"/>
          <w:bCs/>
          <w:u w:val="single"/>
        </w:rPr>
        <w:t>（中型企业、小型企业、微型企业）</w:t>
      </w:r>
      <w:r>
        <w:rPr>
          <w:rFonts w:hint="eastAsia"/>
          <w:b w:val="0"/>
          <w:bCs/>
        </w:rPr>
        <w:t>；</w:t>
      </w:r>
    </w:p>
    <w:p>
      <w:pPr>
        <w:pStyle w:val="48"/>
        <w:rPr>
          <w:b w:val="0"/>
          <w:bCs/>
        </w:rPr>
      </w:pPr>
      <w:r>
        <w:rPr>
          <w:rFonts w:hint="eastAsia"/>
          <w:b w:val="0"/>
          <w:bCs/>
          <w:u w:val="single"/>
        </w:rPr>
        <w:t>（标的名称）</w:t>
      </w:r>
      <w:r>
        <w:rPr>
          <w:rFonts w:hint="eastAsia"/>
          <w:b w:val="0"/>
          <w:bCs/>
        </w:rPr>
        <w:t>，属于</w:t>
      </w:r>
      <w:r>
        <w:rPr>
          <w:rFonts w:hint="eastAsia"/>
          <w:b w:val="0"/>
          <w:bCs/>
          <w:u w:val="single"/>
        </w:rPr>
        <w:t>（采购文件中明确的所属行业）</w:t>
      </w:r>
      <w:r>
        <w:rPr>
          <w:rFonts w:hint="eastAsia"/>
          <w:b w:val="0"/>
          <w:bCs/>
        </w:rPr>
        <w:t>；承接企业为</w:t>
      </w:r>
      <w:r>
        <w:rPr>
          <w:rFonts w:hint="eastAsia"/>
          <w:b w:val="0"/>
          <w:bCs/>
          <w:u w:val="single"/>
        </w:rPr>
        <w:t>（企业名称）</w:t>
      </w:r>
      <w:r>
        <w:rPr>
          <w:rFonts w:hint="eastAsia"/>
          <w:b w:val="0"/>
          <w:bCs/>
        </w:rPr>
        <w:t>，从业人员</w:t>
      </w:r>
      <w:r>
        <w:rPr>
          <w:rFonts w:hint="eastAsia"/>
          <w:b w:val="0"/>
          <w:bCs/>
          <w:u w:val="single"/>
        </w:rPr>
        <w:t xml:space="preserve">    </w:t>
      </w:r>
      <w:r>
        <w:rPr>
          <w:rFonts w:hint="eastAsia"/>
          <w:b w:val="0"/>
          <w:bCs/>
        </w:rPr>
        <w:tab/>
      </w:r>
      <w:r>
        <w:rPr>
          <w:rFonts w:hint="eastAsia"/>
          <w:b w:val="0"/>
          <w:bCs/>
        </w:rPr>
        <w:t>人，营业收入为</w:t>
      </w:r>
      <w:r>
        <w:rPr>
          <w:rFonts w:hint="eastAsia"/>
          <w:b w:val="0"/>
          <w:bCs/>
          <w:u w:val="single"/>
        </w:rPr>
        <w:t xml:space="preserve">    </w:t>
      </w:r>
      <w:r>
        <w:rPr>
          <w:rFonts w:hint="eastAsia"/>
          <w:b w:val="0"/>
          <w:bCs/>
        </w:rPr>
        <w:tab/>
      </w:r>
      <w:r>
        <w:rPr>
          <w:rFonts w:hint="eastAsia"/>
          <w:b w:val="0"/>
          <w:bCs/>
        </w:rPr>
        <w:t>万元，资产总额为</w:t>
      </w:r>
      <w:r>
        <w:rPr>
          <w:rFonts w:hint="eastAsia"/>
          <w:b w:val="0"/>
          <w:bCs/>
          <w:u w:val="single"/>
        </w:rPr>
        <w:t xml:space="preserve">    </w:t>
      </w:r>
      <w:r>
        <w:rPr>
          <w:rFonts w:hint="eastAsia"/>
          <w:b w:val="0"/>
          <w:bCs/>
        </w:rPr>
        <w:tab/>
      </w:r>
      <w:r>
        <w:rPr>
          <w:rFonts w:hint="eastAsia"/>
          <w:b w:val="0"/>
          <w:bCs/>
        </w:rPr>
        <w:t>万元，属于</w:t>
      </w:r>
      <w:r>
        <w:rPr>
          <w:rFonts w:hint="eastAsia"/>
          <w:b w:val="0"/>
          <w:bCs/>
          <w:u w:val="single"/>
        </w:rPr>
        <w:t>（中型企业、小型企业、微型企业）</w:t>
      </w:r>
      <w:r>
        <w:rPr>
          <w:rFonts w:hint="eastAsia"/>
          <w:b w:val="0"/>
          <w:bCs/>
        </w:rPr>
        <w:t>；</w:t>
      </w:r>
    </w:p>
    <w:p>
      <w:pPr>
        <w:pStyle w:val="48"/>
        <w:rPr>
          <w:b w:val="0"/>
          <w:bCs/>
        </w:rPr>
      </w:pPr>
      <w:r>
        <w:rPr>
          <w:rFonts w:hint="eastAsia"/>
          <w:b w:val="0"/>
          <w:bCs/>
        </w:rPr>
        <w:t>……</w:t>
      </w:r>
    </w:p>
    <w:p>
      <w:pPr>
        <w:pStyle w:val="48"/>
        <w:rPr>
          <w:b w:val="0"/>
          <w:bCs/>
        </w:rPr>
      </w:pPr>
      <w:r>
        <w:rPr>
          <w:rFonts w:hint="eastAsia"/>
          <w:b w:val="0"/>
          <w:bCs/>
        </w:rPr>
        <w:t>以上企业，不属于大企业的分支机构，不存在控股股东为大企业的情形，也不存在与大企业的负责人为同一人的情形。</w:t>
      </w:r>
    </w:p>
    <w:p>
      <w:pPr>
        <w:pStyle w:val="48"/>
        <w:rPr>
          <w:b w:val="0"/>
          <w:bCs/>
        </w:rPr>
      </w:pPr>
      <w:r>
        <w:rPr>
          <w:rFonts w:hint="eastAsia"/>
          <w:b w:val="0"/>
          <w:bCs/>
        </w:rPr>
        <w:t>本企业对上述声明内容的真实性负责。如有虚假，将依法承担相应责任。</w:t>
      </w:r>
    </w:p>
    <w:p>
      <w:pPr>
        <w:pStyle w:val="44"/>
      </w:pPr>
    </w:p>
    <w:p>
      <w:pPr>
        <w:pStyle w:val="44"/>
      </w:pPr>
    </w:p>
    <w:p>
      <w:pPr>
        <w:pStyle w:val="44"/>
        <w:ind w:left="4800" w:leftChars="2000"/>
      </w:pPr>
      <w:r>
        <w:rPr>
          <w:rFonts w:hint="eastAsia"/>
        </w:rPr>
        <w:t>企业名称(盖章)：</w:t>
      </w:r>
      <w:r>
        <w:rPr>
          <w:rFonts w:hint="eastAsia"/>
          <w:u w:val="single"/>
        </w:rPr>
        <w:t xml:space="preserve">        </w:t>
      </w:r>
    </w:p>
    <w:p>
      <w:pPr>
        <w:pStyle w:val="44"/>
        <w:ind w:left="4800" w:leftChars="2000"/>
      </w:pPr>
      <w:r>
        <w:rPr>
          <w:rFonts w:hint="eastAsia"/>
        </w:rPr>
        <w:t>日期：</w:t>
      </w:r>
      <w:r>
        <w:rPr>
          <w:rFonts w:hint="eastAsia"/>
          <w:u w:val="single"/>
        </w:rPr>
        <w:t xml:space="preserve">        </w:t>
      </w:r>
      <w:r>
        <w:rPr>
          <w:rFonts w:hint="eastAsia"/>
        </w:rPr>
        <w:t xml:space="preserve">           　</w:t>
      </w:r>
    </w:p>
    <w:p>
      <w:pPr>
        <w:pStyle w:val="48"/>
        <w:ind w:firstLine="482"/>
      </w:pPr>
    </w:p>
    <w:p>
      <w:pPr>
        <w:pStyle w:val="48"/>
        <w:ind w:firstLine="482"/>
      </w:pPr>
      <w:r>
        <w:rPr>
          <w:rFonts w:hint="eastAsia"/>
        </w:rPr>
        <w:t>注：从业人员、营业收入、资产总额填报上一年度数据，无上一年度数据的新成立企业可不填报。</w:t>
      </w:r>
    </w:p>
    <w:p>
      <w:pPr>
        <w:pStyle w:val="45"/>
        <w:numPr>
          <w:ilvl w:val="0"/>
          <w:numId w:val="15"/>
        </w:numPr>
        <w:spacing w:before="120" w:after="120"/>
        <w:ind w:left="0" w:firstLine="0"/>
      </w:pPr>
      <w:bookmarkStart w:id="234" w:name="_Toc2825"/>
      <w:bookmarkStart w:id="235" w:name="_Toc26627"/>
      <w:r>
        <w:rPr>
          <w:rFonts w:hint="eastAsia"/>
          <w:w w:val="95"/>
        </w:rPr>
        <w:t>监狱</w:t>
      </w:r>
      <w:r>
        <w:rPr>
          <w:rFonts w:hint="eastAsia"/>
        </w:rPr>
        <w:t>企业相关证明材料(如涉及)</w:t>
      </w:r>
      <w:bookmarkEnd w:id="234"/>
      <w:bookmarkEnd w:id="235"/>
    </w:p>
    <w:p>
      <w:pPr>
        <w:pStyle w:val="48"/>
        <w:ind w:firstLine="482"/>
      </w:pPr>
      <w:r>
        <w:rPr>
          <w:rFonts w:hint="eastAsia"/>
        </w:rPr>
        <w:t>说明：</w:t>
      </w:r>
    </w:p>
    <w:p>
      <w:pPr>
        <w:pStyle w:val="48"/>
        <w:ind w:firstLine="482"/>
      </w:pPr>
      <w:r>
        <w:rPr>
          <w:rFonts w:hint="eastAsia"/>
        </w:rPr>
        <w:t>监狱企业参加政府采购活动时，应当提供由省级以上监狱管理局、戒毒管理局(含新疆生产建设兵团)出具的属于监狱企业的证明文件，否则作无效响应处理。</w:t>
      </w:r>
    </w:p>
    <w:p>
      <w:pPr>
        <w:pStyle w:val="44"/>
      </w:pPr>
      <w:r>
        <w:rPr>
          <w:rFonts w:hint="eastAsia"/>
        </w:rPr>
        <w:br w:type="page"/>
      </w:r>
    </w:p>
    <w:p>
      <w:pPr>
        <w:pStyle w:val="45"/>
        <w:numPr>
          <w:ilvl w:val="0"/>
          <w:numId w:val="15"/>
        </w:numPr>
        <w:spacing w:before="120" w:after="120"/>
        <w:ind w:left="0" w:firstLine="0"/>
      </w:pPr>
      <w:bookmarkStart w:id="236" w:name="_Toc28098"/>
      <w:bookmarkStart w:id="237" w:name="_Toc27879"/>
      <w:r>
        <w:rPr>
          <w:rFonts w:hint="eastAsia"/>
        </w:rPr>
        <w:t>残疾人福利性单位声明函(如涉及)</w:t>
      </w:r>
      <w:bookmarkEnd w:id="236"/>
      <w:bookmarkEnd w:id="237"/>
    </w:p>
    <w:p>
      <w:pPr>
        <w:pStyle w:val="47"/>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项目采购活动由本单位提供服务。</w:t>
      </w:r>
    </w:p>
    <w:p>
      <w:pPr>
        <w:pStyle w:val="47"/>
      </w:pPr>
      <w:r>
        <w:rPr>
          <w:rFonts w:hint="eastAsia"/>
        </w:rPr>
        <w:t>本单位对上述声明的真实性负责。如有虚假，将依法承担相应责任。</w:t>
      </w:r>
    </w:p>
    <w:p>
      <w:pPr>
        <w:pStyle w:val="44"/>
      </w:pPr>
    </w:p>
    <w:p>
      <w:pPr>
        <w:pStyle w:val="44"/>
      </w:pPr>
    </w:p>
    <w:p>
      <w:pPr>
        <w:pStyle w:val="44"/>
      </w:pPr>
    </w:p>
    <w:p>
      <w:pPr>
        <w:pStyle w:val="44"/>
        <w:ind w:left="4800" w:leftChars="2000"/>
      </w:pPr>
      <w:r>
        <w:rPr>
          <w:rFonts w:hint="eastAsia"/>
        </w:rPr>
        <w:t>单位名称：</w:t>
      </w:r>
      <w:r>
        <w:rPr>
          <w:rFonts w:hint="eastAsia"/>
          <w:u w:val="single"/>
        </w:rPr>
        <w:t xml:space="preserve">             </w:t>
      </w:r>
      <w:r>
        <w:rPr>
          <w:rFonts w:hint="eastAsia"/>
        </w:rPr>
        <w:t xml:space="preserve"> (盖章)</w:t>
      </w:r>
    </w:p>
    <w:p>
      <w:pPr>
        <w:pStyle w:val="44"/>
        <w:ind w:left="4800" w:leftChars="2000"/>
      </w:pPr>
      <w:r>
        <w:rPr>
          <w:rFonts w:hint="eastAsia"/>
        </w:rPr>
        <w:t>日    期：</w:t>
      </w:r>
      <w:r>
        <w:rPr>
          <w:rFonts w:hint="eastAsia"/>
          <w:u w:val="single"/>
        </w:rPr>
        <w:t xml:space="preserve">             </w:t>
      </w:r>
      <w:r>
        <w:rPr>
          <w:rFonts w:hint="eastAsia"/>
        </w:rPr>
        <w:t xml:space="preserve">   </w:t>
      </w:r>
    </w:p>
    <w:p>
      <w:pPr>
        <w:pStyle w:val="44"/>
        <w:ind w:left="4800" w:leftChars="2000"/>
      </w:pPr>
    </w:p>
    <w:p>
      <w:pPr>
        <w:pStyle w:val="48"/>
        <w:ind w:firstLine="482"/>
      </w:pPr>
    </w:p>
    <w:p>
      <w:pPr>
        <w:pStyle w:val="48"/>
        <w:ind w:firstLine="482"/>
      </w:pPr>
      <w:r>
        <w:rPr>
          <w:rFonts w:hint="eastAsia"/>
        </w:rPr>
        <w:t>说明：残疾人福利性</w:t>
      </w:r>
      <w:r>
        <w:rPr>
          <w:rFonts w:hint="eastAsia"/>
          <w:w w:val="95"/>
        </w:rPr>
        <w:t>单位</w:t>
      </w:r>
      <w:r>
        <w:rPr>
          <w:rFonts w:hint="eastAsia"/>
        </w:rPr>
        <w:t>参加政府采购活动时，应提供残疾人福利性单位声明函，否则作无效响应处理。</w:t>
      </w:r>
    </w:p>
    <w:p>
      <w:pPr>
        <w:spacing w:before="6" w:line="360" w:lineRule="auto"/>
        <w:rPr>
          <w:color w:val="000000" w:themeColor="text1"/>
          <w:sz w:val="19"/>
          <w:szCs w:val="19"/>
          <w14:textFill>
            <w14:solidFill>
              <w14:schemeClr w14:val="tx1"/>
            </w14:solidFill>
          </w14:textFill>
        </w:rPr>
      </w:pPr>
    </w:p>
    <w:p>
      <w:pPr>
        <w:spacing w:line="360" w:lineRule="auto"/>
        <w:rPr>
          <w:color w:val="000000" w:themeColor="text1"/>
          <w:sz w:val="20"/>
          <w:szCs w:val="20"/>
          <w14:textFill>
            <w14:solidFill>
              <w14:schemeClr w14:val="tx1"/>
            </w14:solidFill>
          </w14:textFill>
        </w:rPr>
      </w:pPr>
    </w:p>
    <w:p>
      <w:pPr>
        <w:spacing w:line="360" w:lineRule="auto"/>
        <w:rPr>
          <w:color w:val="000000" w:themeColor="text1"/>
          <w:sz w:val="20"/>
          <w:szCs w:val="20"/>
          <w14:textFill>
            <w14:solidFill>
              <w14:schemeClr w14:val="tx1"/>
            </w14:solidFill>
          </w14:textFill>
        </w:rPr>
      </w:pPr>
    </w:p>
    <w:p>
      <w:r>
        <w:rPr>
          <w:rFonts w:hint="eastAsia"/>
        </w:rPr>
        <w:br w:type="page"/>
      </w:r>
    </w:p>
    <w:p>
      <w:pPr>
        <w:pStyle w:val="44"/>
      </w:pPr>
      <w:bookmarkStart w:id="238" w:name="_Toc18702"/>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bookmarkStart w:id="239" w:name="_Toc14607"/>
    </w:p>
    <w:p>
      <w:pPr>
        <w:pStyle w:val="44"/>
      </w:pPr>
    </w:p>
    <w:p>
      <w:pPr>
        <w:pStyle w:val="44"/>
      </w:pPr>
    </w:p>
    <w:p>
      <w:pPr>
        <w:pStyle w:val="44"/>
      </w:pPr>
    </w:p>
    <w:p>
      <w:pPr>
        <w:pStyle w:val="36"/>
        <w:numPr>
          <w:ilvl w:val="1"/>
          <w:numId w:val="0"/>
        </w:numPr>
        <w:jc w:val="center"/>
        <w:rPr>
          <w:sz w:val="32"/>
          <w:szCs w:val="32"/>
        </w:rPr>
      </w:pPr>
      <w:bookmarkStart w:id="240" w:name="_Toc27934"/>
      <w:r>
        <w:rPr>
          <w:rFonts w:hint="eastAsia"/>
          <w:sz w:val="32"/>
          <w:szCs w:val="32"/>
        </w:rPr>
        <w:t>第二部分 其他响应文件(格式)</w:t>
      </w:r>
      <w:bookmarkEnd w:id="239"/>
      <w:bookmarkEnd w:id="240"/>
    </w:p>
    <w:p>
      <w:pPr>
        <w:pStyle w:val="44"/>
      </w:pPr>
      <w:bookmarkStart w:id="241" w:name="_Toc26038"/>
      <w:r>
        <w:rPr>
          <w:rFonts w:hint="eastAsia"/>
        </w:rPr>
        <w:br w:type="page"/>
      </w:r>
    </w:p>
    <w:p>
      <w:pPr>
        <w:pStyle w:val="45"/>
        <w:numPr>
          <w:ilvl w:val="0"/>
          <w:numId w:val="17"/>
        </w:numPr>
        <w:spacing w:before="120" w:after="120"/>
        <w:ind w:firstLine="0"/>
      </w:pPr>
      <w:bookmarkStart w:id="242" w:name="_Toc2311"/>
      <w:bookmarkStart w:id="243" w:name="_Toc7040"/>
      <w:r>
        <w:rPr>
          <w:rFonts w:hint="eastAsia"/>
        </w:rPr>
        <w:t>磋商函</w:t>
      </w:r>
      <w:bookmarkEnd w:id="238"/>
      <w:bookmarkEnd w:id="241"/>
      <w:bookmarkEnd w:id="242"/>
      <w:bookmarkEnd w:id="243"/>
    </w:p>
    <w:p>
      <w:pPr>
        <w:pStyle w:val="44"/>
        <w:rPr>
          <w:lang w:val="zh-CN"/>
        </w:rPr>
      </w:pPr>
      <w:r>
        <w:rPr>
          <w:rFonts w:hint="eastAsia"/>
          <w:lang w:val="zh-CN"/>
        </w:rPr>
        <w:t>致：四川乾新招投标代理有限公司　</w:t>
      </w:r>
    </w:p>
    <w:p>
      <w:pPr>
        <w:pStyle w:val="47"/>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)”的磋商文件，决定参加贵单位组织的本项目政府采购活动。我方授权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7"/>
        <w:numPr>
          <w:ilvl w:val="2"/>
          <w:numId w:val="18"/>
        </w:numPr>
        <w:ind w:firstLine="480"/>
      </w:pPr>
      <w:r>
        <w:rPr>
          <w:rFonts w:hint="eastAsia"/>
        </w:rPr>
        <w:t>我方自愿按照磋商文件规定的各项要求向采购人提供所需相应服务，履约时间为</w:t>
      </w:r>
      <w:r>
        <w:rPr>
          <w:rFonts w:hint="eastAsia"/>
          <w:u w:val="single"/>
        </w:rPr>
        <w:t xml:space="preserve">            </w:t>
      </w:r>
      <w:r>
        <w:rPr>
          <w:rFonts w:hint="eastAsia"/>
        </w:rPr>
        <w:t>。</w:t>
      </w:r>
    </w:p>
    <w:p>
      <w:pPr>
        <w:pStyle w:val="37"/>
        <w:numPr>
          <w:ilvl w:val="2"/>
          <w:numId w:val="18"/>
        </w:numPr>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7"/>
        <w:numPr>
          <w:ilvl w:val="2"/>
          <w:numId w:val="18"/>
        </w:numPr>
        <w:ind w:firstLine="480"/>
      </w:pPr>
      <w:r>
        <w:rPr>
          <w:rFonts w:hint="eastAsia"/>
        </w:rPr>
        <w:t>如我方成交：</w:t>
      </w:r>
    </w:p>
    <w:p>
      <w:pPr>
        <w:pStyle w:val="38"/>
        <w:ind w:firstLine="480"/>
      </w:pPr>
      <w:r>
        <w:rPr>
          <w:rFonts w:hint="eastAsia"/>
        </w:rPr>
        <w:t>我方承诺在收到成交通知书后，在规定的期限内与采购人签订合同。</w:t>
      </w:r>
    </w:p>
    <w:p>
      <w:pPr>
        <w:pStyle w:val="38"/>
        <w:ind w:firstLine="480"/>
      </w:pPr>
      <w:r>
        <w:rPr>
          <w:rFonts w:hint="eastAsia"/>
        </w:rPr>
        <w:t>我方将严格履行政府采购合同规定的责任和义务。</w:t>
      </w:r>
    </w:p>
    <w:p>
      <w:pPr>
        <w:pStyle w:val="38"/>
        <w:ind w:firstLine="480"/>
      </w:pPr>
      <w:r>
        <w:rPr>
          <w:rFonts w:hint="eastAsia"/>
        </w:rPr>
        <w:t>我方愿意提供贵单位可能另外要求的，与磋商报价有关的文件资料，并保证我方已提供和将要提供的文件资料是真实、准确的。</w:t>
      </w:r>
    </w:p>
    <w:p>
      <w:pPr>
        <w:pStyle w:val="38"/>
        <w:ind w:firstLine="480"/>
      </w:pPr>
      <w:r>
        <w:rPr>
          <w:rFonts w:hint="eastAsia"/>
        </w:rPr>
        <w:t>我方自愿按照磋商文件规定的各项要求完成采购项目，最后报价以《最后报价表》为准，接受采购人按照政府采购合同约定金额支付采购资金。</w:t>
      </w:r>
    </w:p>
    <w:p>
      <w:pPr>
        <w:pStyle w:val="37"/>
        <w:numPr>
          <w:ilvl w:val="2"/>
          <w:numId w:val="18"/>
        </w:numPr>
        <w:ind w:firstLine="480"/>
      </w:pPr>
      <w:r>
        <w:rPr>
          <w:rFonts w:hint="eastAsia"/>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44"/>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4"/>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4"/>
        <w:ind w:firstLine="480" w:firstLineChars="200"/>
      </w:pPr>
      <w:r>
        <w:rPr>
          <w:rFonts w:hint="eastAsia"/>
        </w:rPr>
        <w:t>通讯地址：</w:t>
      </w:r>
      <w:r>
        <w:rPr>
          <w:rFonts w:hint="eastAsia" w:asciiTheme="minorEastAsia" w:hAnsiTheme="minorEastAsia" w:eastAsiaTheme="minorEastAsia" w:cstheme="minorEastAsia"/>
          <w:bCs/>
          <w:u w:val="single"/>
        </w:rPr>
        <w:t xml:space="preserve">               </w:t>
      </w:r>
      <w:r>
        <w:rPr>
          <w:rFonts w:hint="eastAsia"/>
        </w:rPr>
        <w:t xml:space="preserve">               </w:t>
      </w:r>
    </w:p>
    <w:p>
      <w:pPr>
        <w:pStyle w:val="44"/>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4"/>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4"/>
        <w:ind w:firstLine="480" w:firstLineChars="200"/>
      </w:pPr>
      <w:r>
        <w:rPr>
          <w:rFonts w:hint="eastAsia"/>
        </w:rPr>
        <w:t>传    真：</w:t>
      </w:r>
      <w:r>
        <w:rPr>
          <w:rFonts w:hint="eastAsia" w:asciiTheme="minorEastAsia" w:hAnsiTheme="minorEastAsia" w:eastAsiaTheme="minorEastAsia" w:cstheme="minorEastAsia"/>
          <w:bCs/>
          <w:u w:val="single"/>
        </w:rPr>
        <w:t xml:space="preserve">               </w:t>
      </w:r>
      <w:r>
        <w:rPr>
          <w:rFonts w:hint="eastAsia"/>
        </w:rPr>
        <w:t xml:space="preserve">               </w:t>
      </w:r>
    </w:p>
    <w:p>
      <w:pPr>
        <w:pStyle w:val="44"/>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244" w:name="_Toc439161752"/>
      <w:bookmarkStart w:id="245" w:name="_Toc5912"/>
      <w:bookmarkStart w:id="246" w:name="_Toc10493"/>
      <w:bookmarkStart w:id="247" w:name="_Toc6982"/>
      <w:bookmarkStart w:id="248" w:name="_Toc302997926"/>
      <w:bookmarkStart w:id="249" w:name="_Toc3690"/>
      <w:r>
        <w:rPr>
          <w:rFonts w:hint="eastAsia"/>
        </w:rPr>
        <w:br w:type="page"/>
      </w:r>
    </w:p>
    <w:p>
      <w:pPr>
        <w:pStyle w:val="45"/>
        <w:numPr>
          <w:ilvl w:val="0"/>
          <w:numId w:val="17"/>
        </w:numPr>
        <w:spacing w:before="120" w:after="120"/>
        <w:ind w:firstLine="0"/>
      </w:pPr>
      <w:bookmarkStart w:id="250" w:name="_Toc22640"/>
      <w:bookmarkStart w:id="251" w:name="_Toc12342"/>
      <w:r>
        <w:rPr>
          <w:rFonts w:hint="eastAsia"/>
        </w:rPr>
        <w:t>承诺函(实质性要求</w:t>
      </w:r>
      <w:bookmarkEnd w:id="250"/>
      <w:r>
        <w:rPr>
          <w:rFonts w:hint="eastAsia"/>
        </w:rPr>
        <w:t>)</w:t>
      </w:r>
      <w:bookmarkEnd w:id="251"/>
    </w:p>
    <w:p>
      <w:pPr>
        <w:pStyle w:val="44"/>
      </w:pPr>
      <w:r>
        <w:rPr>
          <w:rFonts w:hint="eastAsia"/>
          <w:u w:val="single"/>
        </w:rPr>
        <w:t xml:space="preserve">                   </w:t>
      </w:r>
      <w:r>
        <w:rPr>
          <w:rFonts w:hint="eastAsia"/>
        </w:rPr>
        <w:t>(采购代理机构名称)：</w:t>
      </w:r>
    </w:p>
    <w:p>
      <w:pPr>
        <w:pStyle w:val="47"/>
      </w:pPr>
      <w:r>
        <w:rPr>
          <w:rFonts w:hint="eastAsia"/>
        </w:rPr>
        <w:t>我方作为本次采购项目的供应商，根据磋商文件要求，现郑重承诺及声明如下：</w:t>
      </w:r>
    </w:p>
    <w:p>
      <w:pPr>
        <w:pStyle w:val="37"/>
        <w:numPr>
          <w:ilvl w:val="2"/>
          <w:numId w:val="19"/>
        </w:numPr>
        <w:ind w:firstLine="480"/>
      </w:pPr>
      <w:r>
        <w:rPr>
          <w:rFonts w:hint="eastAsia"/>
        </w:rPr>
        <w:t>我方已认真阅读并接受本项目磋商文件的全部实质性要求。</w:t>
      </w:r>
    </w:p>
    <w:p>
      <w:pPr>
        <w:pStyle w:val="37"/>
        <w:numPr>
          <w:ilvl w:val="2"/>
          <w:numId w:val="19"/>
        </w:numPr>
        <w:ind w:firstLine="480"/>
      </w:pPr>
      <w:r>
        <w:rPr>
          <w:rFonts w:hint="eastAsia"/>
        </w:rPr>
        <w:t>我方参加本次采购活动，不存在与单位负责人为同一人或者存在直接控股、管理关系的其他供应商参与同一合同项下的政府采购活动的行为。与我方存在直接控股关系的单位为：</w:t>
      </w:r>
      <w:r>
        <w:rPr>
          <w:rFonts w:hint="eastAsia"/>
          <w:u w:val="single"/>
        </w:rPr>
        <w:t xml:space="preserve">                  </w:t>
      </w:r>
      <w:r>
        <w:rPr>
          <w:rFonts w:hint="eastAsia"/>
        </w:rPr>
        <w:t>；存在管理关系的单位为：</w:t>
      </w:r>
      <w:r>
        <w:rPr>
          <w:rFonts w:hint="eastAsia"/>
          <w:u w:val="single"/>
        </w:rPr>
        <w:t xml:space="preserve">                      </w:t>
      </w:r>
      <w:r>
        <w:rPr>
          <w:rFonts w:hint="eastAsia"/>
        </w:rPr>
        <w:t>(如不存在直接控股、管理关系的相关供应商填“无”)。</w:t>
      </w:r>
    </w:p>
    <w:p>
      <w:pPr>
        <w:pStyle w:val="37"/>
        <w:numPr>
          <w:ilvl w:val="2"/>
          <w:numId w:val="19"/>
        </w:numPr>
        <w:ind w:firstLine="480"/>
      </w:pPr>
      <w:r>
        <w:rPr>
          <w:rFonts w:hint="eastAsia"/>
        </w:rPr>
        <w:t>我方参加本次采购活动前本单位未对本次采购项目提供过整体设计、规范编制或者项目管理、监理、检测等服务。</w:t>
      </w:r>
    </w:p>
    <w:p>
      <w:pPr>
        <w:pStyle w:val="37"/>
        <w:numPr>
          <w:ilvl w:val="2"/>
          <w:numId w:val="19"/>
        </w:numPr>
        <w:ind w:firstLine="480"/>
      </w:pPr>
      <w:r>
        <w:rPr>
          <w:rFonts w:hint="eastAsia"/>
        </w:rPr>
        <w:t>我方参加本次采购活动，不存在我单位实际控制人或者中高级管理人员是本项目采购代理机构的工作人员的情形。</w:t>
      </w:r>
    </w:p>
    <w:p>
      <w:pPr>
        <w:pStyle w:val="37"/>
        <w:numPr>
          <w:ilvl w:val="2"/>
          <w:numId w:val="19"/>
        </w:numPr>
        <w:ind w:firstLine="480"/>
      </w:pPr>
      <w:r>
        <w:rPr>
          <w:rFonts w:hint="eastAsia"/>
        </w:rPr>
        <w:t>我方参加本次采购活动，不存在同一母公司的两家以上的子公司以不同供应商身份同时参加本项目同一合同项下的采购活动的情形。</w:t>
      </w:r>
    </w:p>
    <w:p>
      <w:pPr>
        <w:pStyle w:val="37"/>
        <w:numPr>
          <w:ilvl w:val="2"/>
          <w:numId w:val="19"/>
        </w:numPr>
        <w:ind w:firstLine="480"/>
      </w:pPr>
      <w:r>
        <w:rPr>
          <w:rFonts w:hint="eastAsia"/>
        </w:rPr>
        <w:t>我方参加本次采购活动，与采购代理机构不存在关联关系，不为采购代理机构的母公司或子公司。</w:t>
      </w:r>
    </w:p>
    <w:p>
      <w:pPr>
        <w:pStyle w:val="37"/>
        <w:numPr>
          <w:ilvl w:val="2"/>
          <w:numId w:val="19"/>
        </w:numPr>
        <w:ind w:firstLine="480"/>
      </w:pPr>
      <w:r>
        <w:rPr>
          <w:rFonts w:hint="eastAsia"/>
        </w:rPr>
        <w:t>我方参加本次采购活动，不存在和其他供应商在同一合同项下的采购项目中，同时委托同一个自然人、同一家庭的人员、同一单位的人员作为代理人的行为。</w:t>
      </w:r>
    </w:p>
    <w:p>
      <w:pPr>
        <w:pStyle w:val="37"/>
        <w:numPr>
          <w:ilvl w:val="2"/>
          <w:numId w:val="19"/>
        </w:numPr>
        <w:ind w:firstLine="480"/>
      </w:pPr>
      <w:r>
        <w:rPr>
          <w:rFonts w:hint="eastAsia"/>
        </w:rPr>
        <w:t>我方响应文件中提供的任何资料和技术、服务、商务等响应承诺情况都是真实的、有效的、合法的。</w:t>
      </w:r>
    </w:p>
    <w:p>
      <w:pPr>
        <w:pStyle w:val="37"/>
        <w:numPr>
          <w:ilvl w:val="2"/>
          <w:numId w:val="19"/>
        </w:numPr>
        <w:ind w:firstLine="480"/>
      </w:pPr>
      <w:r>
        <w:rPr>
          <w:rFonts w:hint="eastAsia"/>
        </w:rPr>
        <w:t>我方参加本次采购活动，我方完全同意磋商文件中关于“磋商费用”、“合同分包”、“合同转包”等实质性要求，并承诺严格按照磋商文件要求履行。</w:t>
      </w:r>
    </w:p>
    <w:p>
      <w:pPr>
        <w:pStyle w:val="37"/>
        <w:numPr>
          <w:ilvl w:val="2"/>
          <w:numId w:val="19"/>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7"/>
      </w:pPr>
      <w:r>
        <w:rPr>
          <w:rFonts w:hint="eastAsia"/>
        </w:rPr>
        <w:t>本公司对上述承诺的内容事项真实性、合法性负责。如经查实上述承诺的内容事项存在虚假，我公司自愿接受以提供虚假材料谋取成交所带来的所有法律责任。</w:t>
      </w:r>
    </w:p>
    <w:p>
      <w:pPr>
        <w:pStyle w:val="44"/>
      </w:pPr>
    </w:p>
    <w:p>
      <w:pPr>
        <w:pStyle w:val="47"/>
      </w:pPr>
      <w:r>
        <w:rPr>
          <w:rFonts w:hint="eastAsia"/>
        </w:rPr>
        <w:t>供应商名称：</w:t>
      </w:r>
      <w:r>
        <w:rPr>
          <w:rFonts w:hint="eastAsia"/>
          <w:u w:val="single"/>
        </w:rPr>
        <w:t xml:space="preserve">               </w:t>
      </w:r>
      <w:r>
        <w:rPr>
          <w:rFonts w:hint="eastAsia"/>
        </w:rPr>
        <w:t>(盖章)</w:t>
      </w:r>
    </w:p>
    <w:p>
      <w:pPr>
        <w:pStyle w:val="47"/>
      </w:pPr>
      <w:r>
        <w:rPr>
          <w:rFonts w:hint="eastAsia"/>
        </w:rPr>
        <w:t>法定代表人/单位负责人或授权代表：</w:t>
      </w:r>
      <w:r>
        <w:rPr>
          <w:rFonts w:hint="eastAsia"/>
          <w:u w:val="single"/>
        </w:rPr>
        <w:t xml:space="preserve">            </w:t>
      </w:r>
      <w:r>
        <w:rPr>
          <w:rFonts w:hint="eastAsia"/>
        </w:rPr>
        <w:t>(签字或盖章)</w:t>
      </w:r>
    </w:p>
    <w:p>
      <w:pPr>
        <w:pStyle w:val="47"/>
      </w:pPr>
      <w:r>
        <w:rPr>
          <w:rFonts w:hint="eastAsia"/>
        </w:rPr>
        <w:t>磋商日期：</w:t>
      </w:r>
      <w:r>
        <w:rPr>
          <w:rFonts w:hint="eastAsia"/>
          <w:u w:val="single"/>
        </w:rPr>
        <w:t xml:space="preserve">                  </w:t>
      </w:r>
    </w:p>
    <w:p>
      <w:r>
        <w:rPr>
          <w:rFonts w:hint="eastAsia"/>
        </w:rPr>
        <w:br w:type="page"/>
      </w:r>
    </w:p>
    <w:p>
      <w:pPr>
        <w:pStyle w:val="45"/>
        <w:numPr>
          <w:ilvl w:val="0"/>
          <w:numId w:val="17"/>
        </w:numPr>
        <w:spacing w:before="120" w:after="120"/>
        <w:ind w:firstLine="0"/>
      </w:pPr>
      <w:bookmarkStart w:id="252" w:name="_Toc19376"/>
      <w:r>
        <w:rPr>
          <w:rFonts w:hint="eastAsia"/>
        </w:rPr>
        <w:t>供应商基本情况表</w:t>
      </w:r>
      <w:bookmarkEnd w:id="244"/>
      <w:bookmarkEnd w:id="245"/>
      <w:bookmarkEnd w:id="246"/>
      <w:bookmarkEnd w:id="247"/>
      <w:bookmarkEnd w:id="248"/>
      <w:bookmarkEnd w:id="249"/>
      <w:bookmarkEnd w:id="252"/>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spacing w:line="480" w:lineRule="exact"/>
            </w:pPr>
            <w:r>
              <w:rPr>
                <w:rFonts w:hint="eastAsia"/>
              </w:rPr>
              <w:t>供应商名称</w:t>
            </w:r>
          </w:p>
        </w:tc>
        <w:tc>
          <w:tcPr>
            <w:tcW w:w="8186" w:type="dxa"/>
            <w:gridSpan w:val="7"/>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spacing w:line="480" w:lineRule="exact"/>
            </w:pPr>
            <w:r>
              <w:rPr>
                <w:rFonts w:hint="eastAsia"/>
              </w:rPr>
              <w:t>注册地址</w:t>
            </w:r>
          </w:p>
        </w:tc>
        <w:tc>
          <w:tcPr>
            <w:tcW w:w="4012" w:type="dxa"/>
            <w:gridSpan w:val="3"/>
            <w:vAlign w:val="center"/>
          </w:tcPr>
          <w:p>
            <w:pPr>
              <w:pStyle w:val="46"/>
              <w:spacing w:line="480" w:lineRule="exact"/>
            </w:pPr>
          </w:p>
        </w:tc>
        <w:tc>
          <w:tcPr>
            <w:tcW w:w="1548" w:type="dxa"/>
            <w:vAlign w:val="center"/>
          </w:tcPr>
          <w:p>
            <w:pPr>
              <w:pStyle w:val="46"/>
              <w:spacing w:line="480" w:lineRule="exact"/>
            </w:pPr>
            <w:r>
              <w:rPr>
                <w:rFonts w:hint="eastAsia"/>
              </w:rPr>
              <w:t>邮政编码</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6"/>
              <w:spacing w:line="480" w:lineRule="exact"/>
            </w:pPr>
            <w:r>
              <w:rPr>
                <w:rFonts w:hint="eastAsia"/>
              </w:rPr>
              <w:t>联系方式</w:t>
            </w:r>
          </w:p>
        </w:tc>
        <w:tc>
          <w:tcPr>
            <w:tcW w:w="1125" w:type="dxa"/>
            <w:vAlign w:val="center"/>
          </w:tcPr>
          <w:p>
            <w:pPr>
              <w:pStyle w:val="46"/>
              <w:spacing w:line="480" w:lineRule="exact"/>
            </w:pPr>
            <w:r>
              <w:rPr>
                <w:rFonts w:hint="eastAsia"/>
              </w:rPr>
              <w:t>联系人</w:t>
            </w:r>
          </w:p>
        </w:tc>
        <w:tc>
          <w:tcPr>
            <w:tcW w:w="2887" w:type="dxa"/>
            <w:gridSpan w:val="2"/>
            <w:vAlign w:val="center"/>
          </w:tcPr>
          <w:p>
            <w:pPr>
              <w:pStyle w:val="46"/>
              <w:spacing w:line="480" w:lineRule="exact"/>
            </w:pPr>
          </w:p>
        </w:tc>
        <w:tc>
          <w:tcPr>
            <w:tcW w:w="1548" w:type="dxa"/>
            <w:vAlign w:val="center"/>
          </w:tcPr>
          <w:p>
            <w:pPr>
              <w:pStyle w:val="46"/>
              <w:spacing w:line="480" w:lineRule="exact"/>
            </w:pPr>
            <w:r>
              <w:rPr>
                <w:rFonts w:hint="eastAsia"/>
              </w:rPr>
              <w:t>电话</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6"/>
              <w:spacing w:line="480" w:lineRule="exact"/>
            </w:pPr>
          </w:p>
        </w:tc>
        <w:tc>
          <w:tcPr>
            <w:tcW w:w="1125" w:type="dxa"/>
            <w:vAlign w:val="center"/>
          </w:tcPr>
          <w:p>
            <w:pPr>
              <w:pStyle w:val="46"/>
              <w:spacing w:line="480" w:lineRule="exact"/>
            </w:pPr>
            <w:r>
              <w:rPr>
                <w:rFonts w:hint="eastAsia"/>
              </w:rPr>
              <w:t>传真</w:t>
            </w:r>
          </w:p>
        </w:tc>
        <w:tc>
          <w:tcPr>
            <w:tcW w:w="2887" w:type="dxa"/>
            <w:gridSpan w:val="2"/>
            <w:vAlign w:val="center"/>
          </w:tcPr>
          <w:p>
            <w:pPr>
              <w:pStyle w:val="46"/>
              <w:spacing w:line="480" w:lineRule="exact"/>
            </w:pPr>
          </w:p>
        </w:tc>
        <w:tc>
          <w:tcPr>
            <w:tcW w:w="1548" w:type="dxa"/>
            <w:vAlign w:val="center"/>
          </w:tcPr>
          <w:p>
            <w:pPr>
              <w:pStyle w:val="46"/>
              <w:spacing w:line="480" w:lineRule="exact"/>
            </w:pPr>
            <w:r>
              <w:rPr>
                <w:rFonts w:hint="eastAsia"/>
              </w:rPr>
              <w:t>网址</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6"/>
              <w:spacing w:line="480" w:lineRule="exact"/>
            </w:pPr>
            <w:r>
              <w:rPr>
                <w:rFonts w:hint="eastAsia"/>
              </w:rPr>
              <w:t>法定代表人</w:t>
            </w:r>
          </w:p>
        </w:tc>
        <w:tc>
          <w:tcPr>
            <w:tcW w:w="1125" w:type="dxa"/>
            <w:vAlign w:val="center"/>
          </w:tcPr>
          <w:p>
            <w:pPr>
              <w:pStyle w:val="46"/>
              <w:spacing w:line="480" w:lineRule="exact"/>
            </w:pPr>
            <w:r>
              <w:rPr>
                <w:rFonts w:hint="eastAsia"/>
              </w:rPr>
              <w:t>姓名</w:t>
            </w:r>
          </w:p>
        </w:tc>
        <w:tc>
          <w:tcPr>
            <w:tcW w:w="1432" w:type="dxa"/>
            <w:vAlign w:val="center"/>
          </w:tcPr>
          <w:p>
            <w:pPr>
              <w:pStyle w:val="46"/>
              <w:spacing w:line="480" w:lineRule="exact"/>
            </w:pPr>
          </w:p>
        </w:tc>
        <w:tc>
          <w:tcPr>
            <w:tcW w:w="1455" w:type="dxa"/>
            <w:vAlign w:val="center"/>
          </w:tcPr>
          <w:p>
            <w:pPr>
              <w:pStyle w:val="46"/>
              <w:spacing w:line="480" w:lineRule="exact"/>
            </w:pPr>
            <w:r>
              <w:rPr>
                <w:rFonts w:hint="eastAsia"/>
              </w:rPr>
              <w:t>技术职称</w:t>
            </w:r>
          </w:p>
        </w:tc>
        <w:tc>
          <w:tcPr>
            <w:tcW w:w="1548" w:type="dxa"/>
            <w:vAlign w:val="center"/>
          </w:tcPr>
          <w:p>
            <w:pPr>
              <w:pStyle w:val="46"/>
              <w:spacing w:line="480" w:lineRule="exact"/>
            </w:pPr>
          </w:p>
        </w:tc>
        <w:tc>
          <w:tcPr>
            <w:tcW w:w="1364" w:type="dxa"/>
            <w:gridSpan w:val="2"/>
            <w:vAlign w:val="center"/>
          </w:tcPr>
          <w:p>
            <w:pPr>
              <w:pStyle w:val="46"/>
              <w:spacing w:line="480" w:lineRule="exact"/>
            </w:pPr>
            <w:r>
              <w:rPr>
                <w:rFonts w:hint="eastAsia"/>
              </w:rPr>
              <w:t>电话</w:t>
            </w:r>
          </w:p>
        </w:tc>
        <w:tc>
          <w:tcPr>
            <w:tcW w:w="1262" w:type="dxa"/>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6"/>
              <w:spacing w:line="480" w:lineRule="exact"/>
            </w:pPr>
            <w:r>
              <w:rPr>
                <w:rFonts w:hint="eastAsia"/>
              </w:rPr>
              <w:t>技术负责人</w:t>
            </w:r>
          </w:p>
        </w:tc>
        <w:tc>
          <w:tcPr>
            <w:tcW w:w="1125" w:type="dxa"/>
            <w:vAlign w:val="center"/>
          </w:tcPr>
          <w:p>
            <w:pPr>
              <w:pStyle w:val="46"/>
              <w:spacing w:line="480" w:lineRule="exact"/>
            </w:pPr>
            <w:r>
              <w:rPr>
                <w:rFonts w:hint="eastAsia"/>
              </w:rPr>
              <w:t>姓名</w:t>
            </w:r>
          </w:p>
        </w:tc>
        <w:tc>
          <w:tcPr>
            <w:tcW w:w="1432" w:type="dxa"/>
            <w:vAlign w:val="center"/>
          </w:tcPr>
          <w:p>
            <w:pPr>
              <w:pStyle w:val="46"/>
              <w:spacing w:line="480" w:lineRule="exact"/>
            </w:pPr>
          </w:p>
        </w:tc>
        <w:tc>
          <w:tcPr>
            <w:tcW w:w="1455" w:type="dxa"/>
            <w:vAlign w:val="center"/>
          </w:tcPr>
          <w:p>
            <w:pPr>
              <w:pStyle w:val="46"/>
              <w:spacing w:line="480" w:lineRule="exact"/>
            </w:pPr>
            <w:r>
              <w:rPr>
                <w:rFonts w:hint="eastAsia"/>
              </w:rPr>
              <w:t>技术职称</w:t>
            </w:r>
          </w:p>
        </w:tc>
        <w:tc>
          <w:tcPr>
            <w:tcW w:w="1548" w:type="dxa"/>
            <w:vAlign w:val="center"/>
          </w:tcPr>
          <w:p>
            <w:pPr>
              <w:pStyle w:val="46"/>
              <w:spacing w:line="480" w:lineRule="exact"/>
            </w:pPr>
          </w:p>
        </w:tc>
        <w:tc>
          <w:tcPr>
            <w:tcW w:w="1364" w:type="dxa"/>
            <w:gridSpan w:val="2"/>
            <w:vAlign w:val="center"/>
          </w:tcPr>
          <w:p>
            <w:pPr>
              <w:pStyle w:val="46"/>
              <w:spacing w:line="480" w:lineRule="exact"/>
            </w:pPr>
            <w:r>
              <w:rPr>
                <w:rFonts w:hint="eastAsia"/>
              </w:rPr>
              <w:t>电话</w:t>
            </w:r>
          </w:p>
        </w:tc>
        <w:tc>
          <w:tcPr>
            <w:tcW w:w="1262" w:type="dxa"/>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spacing w:line="480" w:lineRule="exact"/>
            </w:pPr>
            <w:r>
              <w:rPr>
                <w:rFonts w:hint="eastAsia"/>
              </w:rPr>
              <w:t>成立时间</w:t>
            </w:r>
          </w:p>
        </w:tc>
        <w:tc>
          <w:tcPr>
            <w:tcW w:w="2557" w:type="dxa"/>
            <w:gridSpan w:val="2"/>
            <w:vAlign w:val="center"/>
          </w:tcPr>
          <w:p>
            <w:pPr>
              <w:pStyle w:val="46"/>
              <w:spacing w:line="480" w:lineRule="exact"/>
            </w:pPr>
          </w:p>
        </w:tc>
        <w:tc>
          <w:tcPr>
            <w:tcW w:w="5629" w:type="dxa"/>
            <w:gridSpan w:val="5"/>
            <w:vAlign w:val="center"/>
          </w:tcPr>
          <w:p>
            <w:pPr>
              <w:pStyle w:val="46"/>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spacing w:line="480" w:lineRule="exact"/>
            </w:pPr>
            <w:r>
              <w:rPr>
                <w:rFonts w:hint="eastAsia"/>
              </w:rPr>
              <w:t>企业资质等级</w:t>
            </w:r>
          </w:p>
        </w:tc>
        <w:tc>
          <w:tcPr>
            <w:tcW w:w="2557" w:type="dxa"/>
            <w:gridSpan w:val="2"/>
            <w:vAlign w:val="center"/>
          </w:tcPr>
          <w:p>
            <w:pPr>
              <w:pStyle w:val="46"/>
              <w:spacing w:line="480" w:lineRule="exact"/>
            </w:pPr>
          </w:p>
        </w:tc>
        <w:tc>
          <w:tcPr>
            <w:tcW w:w="1455" w:type="dxa"/>
            <w:vMerge w:val="restart"/>
            <w:vAlign w:val="center"/>
          </w:tcPr>
          <w:p>
            <w:pPr>
              <w:pStyle w:val="46"/>
              <w:spacing w:line="480" w:lineRule="exact"/>
            </w:pPr>
            <w:r>
              <w:rPr>
                <w:rFonts w:hint="eastAsia"/>
              </w:rPr>
              <w:t>其中</w:t>
            </w:r>
          </w:p>
        </w:tc>
        <w:tc>
          <w:tcPr>
            <w:tcW w:w="1734" w:type="dxa"/>
            <w:gridSpan w:val="2"/>
            <w:vAlign w:val="center"/>
          </w:tcPr>
          <w:p>
            <w:pPr>
              <w:pStyle w:val="46"/>
              <w:spacing w:line="480" w:lineRule="exact"/>
            </w:pPr>
            <w:r>
              <w:rPr>
                <w:rFonts w:hint="eastAsia"/>
              </w:rPr>
              <w:t>项目经理</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spacing w:line="480" w:lineRule="exact"/>
            </w:pPr>
            <w:r>
              <w:rPr>
                <w:rFonts w:hint="eastAsia"/>
              </w:rPr>
              <w:t>营业执照号/统一社会信用代码</w:t>
            </w:r>
          </w:p>
        </w:tc>
        <w:tc>
          <w:tcPr>
            <w:tcW w:w="2557"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高级职称人员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spacing w:line="480" w:lineRule="exact"/>
            </w:pPr>
            <w:r>
              <w:rPr>
                <w:rFonts w:hint="eastAsia"/>
              </w:rPr>
              <w:t>注册资金</w:t>
            </w:r>
          </w:p>
        </w:tc>
        <w:tc>
          <w:tcPr>
            <w:tcW w:w="2557"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中级职称人员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spacing w:line="480" w:lineRule="exact"/>
            </w:pPr>
            <w:r>
              <w:rPr>
                <w:rFonts w:hint="eastAsia"/>
              </w:rPr>
              <w:t>开户银行</w:t>
            </w:r>
          </w:p>
        </w:tc>
        <w:tc>
          <w:tcPr>
            <w:tcW w:w="2557"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初级职称人员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spacing w:line="480" w:lineRule="exact"/>
            </w:pPr>
            <w:r>
              <w:rPr>
                <w:rFonts w:hint="eastAsia"/>
              </w:rPr>
              <w:t>账号</w:t>
            </w:r>
          </w:p>
        </w:tc>
        <w:tc>
          <w:tcPr>
            <w:tcW w:w="2557"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技工</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6"/>
              <w:spacing w:line="480" w:lineRule="exact"/>
            </w:pPr>
            <w:r>
              <w:rPr>
                <w:rFonts w:hint="eastAsia"/>
              </w:rPr>
              <w:t>经营范围</w:t>
            </w:r>
          </w:p>
        </w:tc>
        <w:tc>
          <w:tcPr>
            <w:tcW w:w="8186" w:type="dxa"/>
            <w:gridSpan w:val="7"/>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6"/>
              <w:spacing w:line="480" w:lineRule="exact"/>
            </w:pPr>
            <w:r>
              <w:rPr>
                <w:rFonts w:hint="eastAsia"/>
              </w:rPr>
              <w:t>备注</w:t>
            </w:r>
          </w:p>
        </w:tc>
        <w:tc>
          <w:tcPr>
            <w:tcW w:w="8186" w:type="dxa"/>
            <w:gridSpan w:val="7"/>
          </w:tcPr>
          <w:p>
            <w:pPr>
              <w:pStyle w:val="46"/>
              <w:spacing w:line="480" w:lineRule="exact"/>
            </w:pPr>
          </w:p>
        </w:tc>
      </w:tr>
    </w:tbl>
    <w:p>
      <w:pPr>
        <w:pStyle w:val="48"/>
        <w:ind w:firstLine="482"/>
      </w:pPr>
      <w:r>
        <w:rPr>
          <w:rFonts w:hint="eastAsia"/>
        </w:rPr>
        <w:t>注：①</w:t>
      </w:r>
      <w:r>
        <w:rPr>
          <w:rFonts w:hint="eastAsia" w:asciiTheme="minorEastAsia" w:hAnsiTheme="minorEastAsia" w:eastAsiaTheme="minorEastAsia" w:cstheme="minorEastAsia"/>
          <w:bCs/>
          <w:color w:val="000000"/>
        </w:rPr>
        <w:t>事业单位、其他组织及自然人磋商根据实际情况据实填写此表，若未填报完善不影响磋商资质及效力；②空白项用“/”填写</w:t>
      </w:r>
      <w:r>
        <w:rPr>
          <w:rFonts w:hint="eastAsia"/>
        </w:rPr>
        <w:t>。</w:t>
      </w:r>
    </w:p>
    <w:p>
      <w:pPr>
        <w:pStyle w:val="44"/>
      </w:pPr>
    </w:p>
    <w:p>
      <w:pPr>
        <w:pStyle w:val="47"/>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4"/>
      </w:pPr>
    </w:p>
    <w:p>
      <w:pPr>
        <w:pStyle w:val="44"/>
      </w:pPr>
    </w:p>
    <w:p>
      <w:bookmarkStart w:id="253" w:name="_Toc319440166"/>
      <w:bookmarkStart w:id="254" w:name="_Toc307564875"/>
      <w:bookmarkStart w:id="255" w:name="_Toc11461"/>
      <w:bookmarkStart w:id="256" w:name="_Toc25577"/>
      <w:bookmarkStart w:id="257" w:name="_Toc217446087"/>
      <w:bookmarkStart w:id="258" w:name="_Toc7835"/>
      <w:bookmarkStart w:id="259" w:name="_Toc21006"/>
      <w:bookmarkStart w:id="260" w:name="_Toc307501130"/>
      <w:bookmarkStart w:id="261" w:name="_Toc327196310"/>
      <w:bookmarkStart w:id="262" w:name="_Toc319440168"/>
      <w:bookmarkStart w:id="263" w:name="_Toc327196312"/>
      <w:bookmarkStart w:id="264" w:name="_Toc26124"/>
      <w:bookmarkStart w:id="265" w:name="_Toc24507"/>
      <w:r>
        <w:rPr>
          <w:rFonts w:hint="eastAsia"/>
        </w:rPr>
        <w:br w:type="page"/>
      </w:r>
    </w:p>
    <w:p>
      <w:pPr>
        <w:pStyle w:val="45"/>
        <w:numPr>
          <w:ilvl w:val="0"/>
          <w:numId w:val="17"/>
        </w:numPr>
        <w:spacing w:before="120" w:after="120"/>
        <w:ind w:firstLine="0"/>
      </w:pPr>
      <w:bookmarkStart w:id="266" w:name="_Toc227"/>
      <w:r>
        <w:rPr>
          <w:rFonts w:hint="eastAsia"/>
        </w:rPr>
        <w:t>商务应答表</w:t>
      </w:r>
      <w:bookmarkEnd w:id="253"/>
      <w:bookmarkEnd w:id="254"/>
      <w:bookmarkEnd w:id="255"/>
      <w:bookmarkEnd w:id="256"/>
      <w:bookmarkEnd w:id="257"/>
      <w:bookmarkEnd w:id="258"/>
      <w:bookmarkEnd w:id="259"/>
      <w:bookmarkEnd w:id="260"/>
      <w:bookmarkEnd w:id="261"/>
      <w:bookmarkEnd w:id="266"/>
    </w:p>
    <w:p>
      <w:pPr>
        <w:pStyle w:val="44"/>
        <w:rPr>
          <w:u w:val="single"/>
        </w:rPr>
      </w:pPr>
      <w:r>
        <w:rPr>
          <w:rFonts w:hint="eastAsia"/>
        </w:rPr>
        <w:t>项目名称：</w:t>
      </w:r>
      <w:r>
        <w:rPr>
          <w:rFonts w:hint="eastAsia"/>
          <w:u w:val="single"/>
        </w:rPr>
        <w:t xml:space="preserve">                             </w:t>
      </w:r>
      <w:r>
        <w:rPr>
          <w:rFonts w:hint="eastAsia"/>
        </w:rPr>
        <w:t xml:space="preserve"> </w:t>
      </w:r>
    </w:p>
    <w:p>
      <w:pPr>
        <w:pStyle w:val="44"/>
      </w:pPr>
      <w:r>
        <w:rPr>
          <w:rFonts w:hint="eastAsia"/>
        </w:rPr>
        <w:t>项目编号：</w:t>
      </w:r>
      <w:r>
        <w:rPr>
          <w:rFonts w:hint="eastAsia"/>
          <w:u w:val="single"/>
        </w:rPr>
        <w:t xml:space="preserve">                             </w:t>
      </w:r>
      <w:r>
        <w:rPr>
          <w:rFonts w:hint="eastAsia"/>
        </w:rPr>
        <w:t xml:space="preserve">                          </w:t>
      </w:r>
    </w:p>
    <w:tbl>
      <w:tblPr>
        <w:tblStyle w:val="2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6"/>
              <w:rPr>
                <w:b/>
                <w:bCs/>
              </w:rPr>
            </w:pPr>
            <w:r>
              <w:rPr>
                <w:rFonts w:hint="eastAsia"/>
                <w:b/>
                <w:bCs/>
              </w:rPr>
              <w:t>序号</w:t>
            </w:r>
          </w:p>
        </w:tc>
        <w:tc>
          <w:tcPr>
            <w:tcW w:w="3880" w:type="dxa"/>
            <w:vAlign w:val="center"/>
          </w:tcPr>
          <w:p>
            <w:pPr>
              <w:ind w:firstLine="86" w:firstLineChars="41"/>
              <w:jc w:val="center"/>
              <w:rPr>
                <w:rFonts w:hint="eastAsia" w:eastAsiaTheme="minorEastAsia"/>
                <w:b/>
                <w:bCs/>
                <w:lang w:eastAsia="zh-CN"/>
              </w:rPr>
            </w:pPr>
            <w:r>
              <w:rPr>
                <w:rFonts w:hint="eastAsia" w:asciiTheme="minorEastAsia" w:hAnsiTheme="minorEastAsia" w:eastAsiaTheme="minorEastAsia" w:cstheme="minorEastAsia"/>
                <w:b/>
                <w:bCs/>
                <w:color w:val="000000"/>
                <w:sz w:val="21"/>
                <w:szCs w:val="21"/>
              </w:rPr>
              <w:t>竞争性磋商文件商务</w:t>
            </w:r>
            <w:r>
              <w:rPr>
                <w:rFonts w:hint="eastAsia" w:asciiTheme="minorEastAsia" w:hAnsiTheme="minorEastAsia" w:eastAsiaTheme="minorEastAsia" w:cstheme="minorEastAsia"/>
                <w:b/>
                <w:bCs/>
                <w:color w:val="000000"/>
                <w:sz w:val="21"/>
                <w:szCs w:val="21"/>
                <w:lang w:val="en-US" w:eastAsia="zh-CN"/>
              </w:rPr>
              <w:t>要求</w:t>
            </w:r>
            <w:r>
              <w:rPr>
                <w:rFonts w:hint="eastAsia" w:asciiTheme="minorEastAsia" w:hAnsiTheme="minorEastAsia" w:eastAsiaTheme="minorEastAsia" w:cstheme="minorEastAsia"/>
                <w:b/>
                <w:bCs/>
                <w:color w:val="000000"/>
                <w:sz w:val="21"/>
                <w:szCs w:val="21"/>
                <w:lang w:eastAsia="zh-CN"/>
              </w:rPr>
              <w:t>、履约时间及方式</w:t>
            </w:r>
          </w:p>
        </w:tc>
        <w:tc>
          <w:tcPr>
            <w:tcW w:w="3673" w:type="dxa"/>
            <w:vAlign w:val="center"/>
          </w:tcPr>
          <w:p>
            <w:pPr>
              <w:jc w:val="center"/>
              <w:rPr>
                <w:rFonts w:eastAsiaTheme="minorEastAsia"/>
                <w:b/>
                <w:bCs/>
              </w:rPr>
            </w:pPr>
            <w:r>
              <w:rPr>
                <w:rFonts w:hint="eastAsia" w:asciiTheme="minorEastAsia" w:hAnsiTheme="minorEastAsia" w:eastAsiaTheme="minorEastAsia" w:cstheme="minorEastAsia"/>
                <w:b/>
                <w:bCs/>
                <w:color w:val="000000"/>
                <w:sz w:val="21"/>
                <w:szCs w:val="21"/>
              </w:rPr>
              <w:t>响应文件响应情况</w:t>
            </w:r>
          </w:p>
        </w:tc>
        <w:tc>
          <w:tcPr>
            <w:tcW w:w="1631" w:type="dxa"/>
            <w:vAlign w:val="center"/>
          </w:tcPr>
          <w:p>
            <w:pPr>
              <w:pStyle w:val="46"/>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6"/>
              <w:rPr>
                <w:b/>
                <w:bCs/>
              </w:rPr>
            </w:pPr>
          </w:p>
        </w:tc>
        <w:tc>
          <w:tcPr>
            <w:tcW w:w="3880" w:type="dxa"/>
          </w:tcPr>
          <w:p>
            <w:pPr>
              <w:pStyle w:val="46"/>
              <w:rPr>
                <w:b/>
                <w:bCs/>
              </w:rPr>
            </w:pPr>
          </w:p>
        </w:tc>
        <w:tc>
          <w:tcPr>
            <w:tcW w:w="3673" w:type="dxa"/>
          </w:tcPr>
          <w:p>
            <w:pPr>
              <w:pStyle w:val="46"/>
              <w:rPr>
                <w:b/>
                <w:bCs/>
              </w:rPr>
            </w:pPr>
          </w:p>
        </w:tc>
        <w:tc>
          <w:tcPr>
            <w:tcW w:w="1631"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6"/>
              <w:rPr>
                <w:b/>
                <w:bCs/>
              </w:rPr>
            </w:pPr>
          </w:p>
        </w:tc>
        <w:tc>
          <w:tcPr>
            <w:tcW w:w="3880" w:type="dxa"/>
          </w:tcPr>
          <w:p>
            <w:pPr>
              <w:pStyle w:val="46"/>
              <w:rPr>
                <w:b/>
                <w:bCs/>
              </w:rPr>
            </w:pPr>
          </w:p>
        </w:tc>
        <w:tc>
          <w:tcPr>
            <w:tcW w:w="3673" w:type="dxa"/>
          </w:tcPr>
          <w:p>
            <w:pPr>
              <w:pStyle w:val="46"/>
              <w:rPr>
                <w:b/>
                <w:bCs/>
              </w:rPr>
            </w:pPr>
          </w:p>
        </w:tc>
        <w:tc>
          <w:tcPr>
            <w:tcW w:w="1631"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6"/>
              <w:rPr>
                <w:b/>
                <w:bCs/>
              </w:rPr>
            </w:pPr>
          </w:p>
        </w:tc>
        <w:tc>
          <w:tcPr>
            <w:tcW w:w="3880" w:type="dxa"/>
          </w:tcPr>
          <w:p>
            <w:pPr>
              <w:pStyle w:val="46"/>
              <w:rPr>
                <w:b/>
                <w:bCs/>
              </w:rPr>
            </w:pPr>
          </w:p>
        </w:tc>
        <w:tc>
          <w:tcPr>
            <w:tcW w:w="3673" w:type="dxa"/>
          </w:tcPr>
          <w:p>
            <w:pPr>
              <w:pStyle w:val="46"/>
              <w:rPr>
                <w:b/>
                <w:bCs/>
              </w:rPr>
            </w:pPr>
          </w:p>
        </w:tc>
        <w:tc>
          <w:tcPr>
            <w:tcW w:w="1631"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6"/>
              <w:rPr>
                <w:b/>
                <w:bCs/>
              </w:rPr>
            </w:pPr>
          </w:p>
        </w:tc>
        <w:tc>
          <w:tcPr>
            <w:tcW w:w="3880" w:type="dxa"/>
          </w:tcPr>
          <w:p>
            <w:pPr>
              <w:pStyle w:val="46"/>
              <w:rPr>
                <w:b/>
                <w:bCs/>
              </w:rPr>
            </w:pPr>
          </w:p>
        </w:tc>
        <w:tc>
          <w:tcPr>
            <w:tcW w:w="3673" w:type="dxa"/>
          </w:tcPr>
          <w:p>
            <w:pPr>
              <w:pStyle w:val="46"/>
              <w:rPr>
                <w:b/>
                <w:bCs/>
              </w:rPr>
            </w:pPr>
          </w:p>
        </w:tc>
        <w:tc>
          <w:tcPr>
            <w:tcW w:w="1631" w:type="dxa"/>
          </w:tcPr>
          <w:p>
            <w:pPr>
              <w:pStyle w:val="46"/>
              <w:rPr>
                <w:b/>
                <w:bCs/>
              </w:rPr>
            </w:pPr>
          </w:p>
        </w:tc>
      </w:tr>
    </w:tbl>
    <w:p>
      <w:pPr>
        <w:pStyle w:val="48"/>
        <w:ind w:firstLine="482"/>
      </w:pPr>
      <w:r>
        <w:rPr>
          <w:rFonts w:hint="eastAsia"/>
        </w:rPr>
        <w:t>注：</w:t>
      </w:r>
      <w:r>
        <w:rPr>
          <w:rFonts w:hint="eastAsia"/>
          <w:color w:val="000000" w:themeColor="text1"/>
          <w14:textFill>
            <w14:solidFill>
              <w14:schemeClr w14:val="tx1"/>
            </w14:solidFill>
          </w14:textFill>
        </w:rPr>
        <w:t>如与竞争性磋商文件第五章商务</w:t>
      </w:r>
      <w:r>
        <w:rPr>
          <w:rFonts w:hint="eastAsia"/>
          <w:color w:val="000000" w:themeColor="text1"/>
          <w:lang w:val="en-US" w:eastAsia="zh-CN"/>
          <w14:textFill>
            <w14:solidFill>
              <w14:schemeClr w14:val="tx1"/>
            </w14:solidFill>
          </w14:textFill>
        </w:rPr>
        <w:t>要求</w:t>
      </w:r>
      <w:r>
        <w:rPr>
          <w:rFonts w:hint="eastAsia"/>
          <w:color w:val="000000" w:themeColor="text1"/>
          <w:lang w:eastAsia="zh-CN"/>
          <w14:textFill>
            <w14:solidFill>
              <w14:schemeClr w14:val="tx1"/>
            </w14:solidFill>
          </w14:textFill>
        </w:rPr>
        <w:t>、履约时间及方式</w:t>
      </w:r>
      <w:r>
        <w:rPr>
          <w:rFonts w:hint="eastAsia"/>
          <w:color w:val="000000" w:themeColor="text1"/>
          <w14:textFill>
            <w14:solidFill>
              <w14:schemeClr w14:val="tx1"/>
            </w14:solidFill>
          </w14:textFill>
        </w:rPr>
        <w:t>有偏离(包括正偏离和负偏离)，请将偏离条款逐条应答。如与竞争性磋商文件第五章商务</w:t>
      </w:r>
      <w:r>
        <w:rPr>
          <w:rFonts w:hint="eastAsia"/>
          <w:color w:val="000000" w:themeColor="text1"/>
          <w:lang w:val="en-US" w:eastAsia="zh-CN"/>
          <w14:textFill>
            <w14:solidFill>
              <w14:schemeClr w14:val="tx1"/>
            </w14:solidFill>
          </w14:textFill>
        </w:rPr>
        <w:t>要求</w:t>
      </w:r>
      <w:r>
        <w:rPr>
          <w:rFonts w:hint="eastAsia"/>
          <w:color w:val="000000" w:themeColor="text1"/>
          <w:lang w:eastAsia="zh-CN"/>
          <w14:textFill>
            <w14:solidFill>
              <w14:schemeClr w14:val="tx1"/>
            </w14:solidFill>
          </w14:textFill>
        </w:rPr>
        <w:t>、履约时间及方式</w:t>
      </w:r>
      <w:r>
        <w:rPr>
          <w:rFonts w:hint="eastAsia"/>
          <w:color w:val="000000" w:themeColor="text1"/>
          <w14:textFill>
            <w14:solidFill>
              <w14:schemeClr w14:val="tx1"/>
            </w14:solidFill>
          </w14:textFill>
        </w:rPr>
        <w:t>的所有条款无偏离，则无须在此表中应答，视为默认完全响应和接受竞争性磋商文件第五章所有商务</w:t>
      </w:r>
      <w:r>
        <w:rPr>
          <w:rFonts w:hint="eastAsia"/>
          <w:color w:val="000000" w:themeColor="text1"/>
          <w:lang w:val="en-US" w:eastAsia="zh-CN"/>
          <w14:textFill>
            <w14:solidFill>
              <w14:schemeClr w14:val="tx1"/>
            </w14:solidFill>
          </w14:textFill>
        </w:rPr>
        <w:t>要求</w:t>
      </w:r>
      <w:r>
        <w:rPr>
          <w:rFonts w:hint="eastAsia"/>
          <w:color w:val="000000" w:themeColor="text1"/>
          <w:lang w:eastAsia="zh-CN"/>
          <w14:textFill>
            <w14:solidFill>
              <w14:schemeClr w14:val="tx1"/>
            </w14:solidFill>
          </w14:textFill>
        </w:rPr>
        <w:t>、履约时间及方式</w:t>
      </w:r>
      <w:r>
        <w:rPr>
          <w:rFonts w:hint="eastAsia"/>
          <w:color w:val="000000" w:themeColor="text1"/>
          <w14:textFill>
            <w14:solidFill>
              <w14:schemeClr w14:val="tx1"/>
            </w14:solidFill>
          </w14:textFill>
        </w:rPr>
        <w:t>，供应商不得以未作应答而拒不接受</w:t>
      </w:r>
      <w:r>
        <w:rPr>
          <w:rFonts w:hint="eastAsia"/>
        </w:rPr>
        <w:t>。</w:t>
      </w:r>
      <w:r>
        <w:rPr>
          <w:rFonts w:hint="eastAsia"/>
          <w:color w:val="000000" w:themeColor="text1"/>
          <w14:textFill>
            <w14:solidFill>
              <w14:schemeClr w14:val="tx1"/>
            </w14:solidFill>
          </w14:textFill>
        </w:rPr>
        <w:t>供应商必须据实填写，不得虚假应答，否则将取消其成交资格</w:t>
      </w:r>
      <w:r>
        <w:rPr>
          <w:rFonts w:hint="eastAsia" w:cs="宋体"/>
        </w:rPr>
        <w:t>(如竞争性磋商文件</w:t>
      </w:r>
      <w:r>
        <w:rPr>
          <w:rFonts w:hint="eastAsia" w:cs="宋体"/>
          <w:lang w:val="en-US" w:eastAsia="zh-CN"/>
        </w:rPr>
        <w:t>第五章</w:t>
      </w:r>
      <w:r>
        <w:rPr>
          <w:rFonts w:hint="eastAsia"/>
          <w:color w:val="000000" w:themeColor="text1"/>
          <w14:textFill>
            <w14:solidFill>
              <w14:schemeClr w14:val="tx1"/>
            </w14:solidFill>
          </w14:textFill>
        </w:rPr>
        <w:t>商务</w:t>
      </w:r>
      <w:r>
        <w:rPr>
          <w:rFonts w:hint="eastAsia"/>
          <w:color w:val="000000" w:themeColor="text1"/>
          <w:lang w:val="en-US" w:eastAsia="zh-CN"/>
          <w14:textFill>
            <w14:solidFill>
              <w14:schemeClr w14:val="tx1"/>
            </w14:solidFill>
          </w14:textFill>
        </w:rPr>
        <w:t>要求</w:t>
      </w:r>
      <w:r>
        <w:rPr>
          <w:rFonts w:hint="eastAsia"/>
          <w:color w:val="000000" w:themeColor="text1"/>
          <w:lang w:eastAsia="zh-CN"/>
          <w14:textFill>
            <w14:solidFill>
              <w14:schemeClr w14:val="tx1"/>
            </w14:solidFill>
          </w14:textFill>
        </w:rPr>
        <w:t>、履约时间及方式</w:t>
      </w:r>
      <w:r>
        <w:rPr>
          <w:rFonts w:hint="eastAsia" w:cs="宋体"/>
          <w:bCs/>
        </w:rPr>
        <w:t>中明确要求须提供承诺函或相关证明资料的，从其规定</w:t>
      </w:r>
      <w:r>
        <w:rPr>
          <w:rFonts w:hint="eastAsia" w:cs="宋体"/>
        </w:rPr>
        <w:t>)</w:t>
      </w:r>
      <w:r>
        <w:rPr>
          <w:rFonts w:hint="eastAsia"/>
          <w:color w:val="000000" w:themeColor="text1"/>
          <w14:textFill>
            <w14:solidFill>
              <w14:schemeClr w14:val="tx1"/>
            </w14:solidFill>
          </w14:textFill>
        </w:rPr>
        <w:t>。</w:t>
      </w:r>
    </w:p>
    <w:p>
      <w:pPr>
        <w:pStyle w:val="44"/>
      </w:pPr>
    </w:p>
    <w:p>
      <w:pPr>
        <w:pStyle w:val="44"/>
      </w:pPr>
    </w:p>
    <w:p>
      <w:pPr>
        <w:pStyle w:val="47"/>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4"/>
      </w:pPr>
      <w:r>
        <w:rPr>
          <w:rFonts w:hint="eastAsia"/>
        </w:rPr>
        <w:br w:type="page"/>
      </w:r>
    </w:p>
    <w:p>
      <w:pPr>
        <w:pStyle w:val="45"/>
        <w:numPr>
          <w:ilvl w:val="0"/>
          <w:numId w:val="17"/>
        </w:numPr>
        <w:spacing w:before="120" w:after="120"/>
        <w:ind w:firstLine="0"/>
      </w:pPr>
      <w:bookmarkStart w:id="267" w:name="_Toc25122"/>
      <w:bookmarkStart w:id="268" w:name="_Toc3995"/>
      <w:bookmarkStart w:id="269" w:name="_Toc23376"/>
      <w:bookmarkStart w:id="270" w:name="_Toc19733"/>
      <w:r>
        <w:rPr>
          <w:rFonts w:hint="eastAsia"/>
        </w:rPr>
        <w:t>服务应答表</w:t>
      </w:r>
      <w:bookmarkEnd w:id="267"/>
      <w:bookmarkEnd w:id="268"/>
      <w:bookmarkEnd w:id="269"/>
      <w:bookmarkEnd w:id="270"/>
    </w:p>
    <w:p>
      <w:pPr>
        <w:pStyle w:val="44"/>
      </w:pPr>
      <w:r>
        <w:rPr>
          <w:rFonts w:hint="eastAsia"/>
        </w:rPr>
        <w:t>项目名称：</w:t>
      </w:r>
      <w:r>
        <w:rPr>
          <w:rFonts w:hint="eastAsia"/>
          <w:u w:val="single"/>
        </w:rPr>
        <w:t xml:space="preserve">                        </w:t>
      </w:r>
      <w:r>
        <w:rPr>
          <w:rFonts w:hint="eastAsia"/>
        </w:rPr>
        <w:t xml:space="preserve">      </w:t>
      </w:r>
    </w:p>
    <w:p>
      <w:pPr>
        <w:pStyle w:val="44"/>
        <w:rPr>
          <w:highlight w:val="yellow"/>
          <w:u w:val="single"/>
        </w:rPr>
      </w:pPr>
      <w:r>
        <w:rPr>
          <w:rFonts w:hint="eastAsia"/>
        </w:rPr>
        <w:t>项目编号：</w:t>
      </w:r>
      <w:r>
        <w:rPr>
          <w:rFonts w:hint="eastAsia"/>
          <w:u w:val="single"/>
        </w:rPr>
        <w:t xml:space="preserve">                        </w:t>
      </w:r>
      <w:r>
        <w:rPr>
          <w:rFonts w:hint="eastAsia"/>
        </w:rPr>
        <w:t xml:space="preserve">                                   </w:t>
      </w:r>
    </w:p>
    <w:tbl>
      <w:tblPr>
        <w:tblStyle w:val="2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6"/>
              <w:rPr>
                <w:b/>
                <w:bCs/>
              </w:rPr>
            </w:pPr>
            <w:r>
              <w:rPr>
                <w:rFonts w:hint="eastAsia"/>
                <w:b/>
                <w:bCs/>
              </w:rPr>
              <w:t>序号</w:t>
            </w:r>
          </w:p>
        </w:tc>
        <w:tc>
          <w:tcPr>
            <w:tcW w:w="4128" w:type="dxa"/>
            <w:vAlign w:val="center"/>
          </w:tcPr>
          <w:p>
            <w:pPr>
              <w:pStyle w:val="46"/>
              <w:rPr>
                <w:rFonts w:hint="default" w:eastAsia="宋体"/>
                <w:b/>
                <w:bCs/>
                <w:lang w:val="en-US" w:eastAsia="zh-CN"/>
              </w:rPr>
            </w:pPr>
            <w:r>
              <w:rPr>
                <w:rFonts w:hint="eastAsia"/>
                <w:b/>
                <w:bCs/>
              </w:rPr>
              <w:t>竞争性磋商文件项目服务内容及要求</w:t>
            </w:r>
            <w:r>
              <w:rPr>
                <w:rFonts w:hint="eastAsia"/>
                <w:b/>
                <w:bCs/>
                <w:lang w:eastAsia="zh-CN"/>
              </w:rPr>
              <w:t>、履约验收、</w:t>
            </w:r>
            <w:r>
              <w:rPr>
                <w:rFonts w:hint="eastAsia"/>
                <w:b/>
                <w:bCs/>
                <w:lang w:val="en-US" w:eastAsia="zh-CN"/>
              </w:rPr>
              <w:t>其他要求</w:t>
            </w:r>
          </w:p>
        </w:tc>
        <w:tc>
          <w:tcPr>
            <w:tcW w:w="3690" w:type="dxa"/>
            <w:vAlign w:val="center"/>
          </w:tcPr>
          <w:p>
            <w:pPr>
              <w:pStyle w:val="46"/>
              <w:rPr>
                <w:b/>
                <w:bCs/>
              </w:rPr>
            </w:pPr>
            <w:r>
              <w:rPr>
                <w:rFonts w:hint="eastAsia"/>
                <w:b/>
                <w:bCs/>
              </w:rPr>
              <w:t>响应文件响应情况</w:t>
            </w:r>
          </w:p>
        </w:tc>
        <w:tc>
          <w:tcPr>
            <w:tcW w:w="1277" w:type="dxa"/>
            <w:vAlign w:val="center"/>
          </w:tcPr>
          <w:p>
            <w:pPr>
              <w:pStyle w:val="46"/>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4128" w:type="dxa"/>
          </w:tcPr>
          <w:p>
            <w:pPr>
              <w:pStyle w:val="46"/>
              <w:rPr>
                <w:b/>
                <w:bCs/>
              </w:rPr>
            </w:pPr>
          </w:p>
        </w:tc>
        <w:tc>
          <w:tcPr>
            <w:tcW w:w="3690" w:type="dxa"/>
          </w:tcPr>
          <w:p>
            <w:pPr>
              <w:pStyle w:val="46"/>
              <w:rPr>
                <w:b/>
                <w:bCs/>
              </w:rPr>
            </w:pPr>
          </w:p>
        </w:tc>
        <w:tc>
          <w:tcPr>
            <w:tcW w:w="1277"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4128" w:type="dxa"/>
          </w:tcPr>
          <w:p>
            <w:pPr>
              <w:pStyle w:val="46"/>
              <w:rPr>
                <w:b/>
                <w:bCs/>
              </w:rPr>
            </w:pPr>
          </w:p>
        </w:tc>
        <w:tc>
          <w:tcPr>
            <w:tcW w:w="3690" w:type="dxa"/>
          </w:tcPr>
          <w:p>
            <w:pPr>
              <w:pStyle w:val="46"/>
              <w:rPr>
                <w:b/>
                <w:bCs/>
              </w:rPr>
            </w:pPr>
          </w:p>
        </w:tc>
        <w:tc>
          <w:tcPr>
            <w:tcW w:w="1277"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4128" w:type="dxa"/>
          </w:tcPr>
          <w:p>
            <w:pPr>
              <w:pStyle w:val="46"/>
              <w:rPr>
                <w:b/>
                <w:bCs/>
              </w:rPr>
            </w:pPr>
          </w:p>
        </w:tc>
        <w:tc>
          <w:tcPr>
            <w:tcW w:w="3690" w:type="dxa"/>
          </w:tcPr>
          <w:p>
            <w:pPr>
              <w:pStyle w:val="46"/>
              <w:rPr>
                <w:b/>
                <w:bCs/>
              </w:rPr>
            </w:pPr>
          </w:p>
        </w:tc>
        <w:tc>
          <w:tcPr>
            <w:tcW w:w="1277"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4128" w:type="dxa"/>
          </w:tcPr>
          <w:p>
            <w:pPr>
              <w:pStyle w:val="46"/>
              <w:rPr>
                <w:b/>
                <w:bCs/>
              </w:rPr>
            </w:pPr>
          </w:p>
        </w:tc>
        <w:tc>
          <w:tcPr>
            <w:tcW w:w="3690" w:type="dxa"/>
          </w:tcPr>
          <w:p>
            <w:pPr>
              <w:pStyle w:val="46"/>
              <w:rPr>
                <w:b/>
                <w:bCs/>
              </w:rPr>
            </w:pPr>
          </w:p>
        </w:tc>
        <w:tc>
          <w:tcPr>
            <w:tcW w:w="1277" w:type="dxa"/>
          </w:tcPr>
          <w:p>
            <w:pPr>
              <w:pStyle w:val="46"/>
              <w:rPr>
                <w:b/>
                <w:bCs/>
              </w:rPr>
            </w:pPr>
          </w:p>
        </w:tc>
      </w:tr>
    </w:tbl>
    <w:p>
      <w:pPr>
        <w:pStyle w:val="48"/>
        <w:ind w:firstLine="482"/>
      </w:pPr>
      <w:r>
        <w:rPr>
          <w:rFonts w:hint="eastAsia"/>
        </w:rPr>
        <w:t>注：如与</w:t>
      </w:r>
      <w:r>
        <w:rPr>
          <w:rFonts w:hint="eastAsia" w:asciiTheme="minorEastAsia" w:hAnsiTheme="minorEastAsia" w:eastAsiaTheme="minorEastAsia" w:cstheme="minorEastAsia"/>
        </w:rPr>
        <w:t>竞争性磋商文件</w:t>
      </w:r>
      <w:r>
        <w:rPr>
          <w:rFonts w:hint="eastAsia"/>
        </w:rPr>
        <w:t>第五章</w:t>
      </w:r>
      <w:r>
        <w:rPr>
          <w:rFonts w:hint="eastAsia"/>
          <w:bCs/>
        </w:rPr>
        <w:t>项目</w:t>
      </w:r>
      <w:r>
        <w:rPr>
          <w:rFonts w:hint="eastAsia"/>
          <w:b/>
          <w:bCs/>
        </w:rPr>
        <w:t>服务内容及要求</w:t>
      </w:r>
      <w:r>
        <w:rPr>
          <w:rFonts w:hint="eastAsia"/>
          <w:b/>
          <w:bCs/>
          <w:lang w:eastAsia="zh-CN"/>
        </w:rPr>
        <w:t>、履约验收、</w:t>
      </w:r>
      <w:r>
        <w:rPr>
          <w:rFonts w:hint="eastAsia"/>
          <w:b/>
          <w:bCs/>
          <w:lang w:val="en-US" w:eastAsia="zh-CN"/>
        </w:rPr>
        <w:t>其他要求</w:t>
      </w:r>
      <w:r>
        <w:rPr>
          <w:rFonts w:hint="eastAsia"/>
        </w:rPr>
        <w:t>的内容有偏离(包括正偏离和负偏离)，请将偏离条款逐条应答。如与</w:t>
      </w:r>
      <w:r>
        <w:rPr>
          <w:rFonts w:hint="eastAsia" w:asciiTheme="minorEastAsia" w:hAnsiTheme="minorEastAsia" w:eastAsiaTheme="minorEastAsia" w:cstheme="minorEastAsia"/>
        </w:rPr>
        <w:t>竞争性磋商文件</w:t>
      </w:r>
      <w:r>
        <w:rPr>
          <w:rFonts w:hint="eastAsia"/>
        </w:rPr>
        <w:t>第五章</w:t>
      </w:r>
      <w:r>
        <w:rPr>
          <w:rFonts w:hint="eastAsia"/>
          <w:b/>
          <w:bCs/>
        </w:rPr>
        <w:t>服务内容及要求</w:t>
      </w:r>
      <w:r>
        <w:rPr>
          <w:rFonts w:hint="eastAsia"/>
          <w:b/>
          <w:bCs/>
          <w:lang w:eastAsia="zh-CN"/>
        </w:rPr>
        <w:t>、履约验收、</w:t>
      </w:r>
      <w:r>
        <w:rPr>
          <w:rFonts w:hint="eastAsia"/>
          <w:b/>
          <w:bCs/>
          <w:lang w:val="en-US" w:eastAsia="zh-CN"/>
        </w:rPr>
        <w:t>其他要求</w:t>
      </w:r>
      <w:r>
        <w:rPr>
          <w:rFonts w:hint="eastAsia"/>
        </w:rPr>
        <w:t>的所有条款无偏离，则无须在此表中应答，视为默认完全响应和接受</w:t>
      </w:r>
      <w:r>
        <w:rPr>
          <w:rFonts w:hint="eastAsia" w:asciiTheme="minorEastAsia" w:hAnsiTheme="minorEastAsia" w:eastAsiaTheme="minorEastAsia" w:cstheme="minorEastAsia"/>
        </w:rPr>
        <w:t>竞争性磋商文件</w:t>
      </w:r>
      <w:r>
        <w:rPr>
          <w:rFonts w:hint="eastAsia"/>
        </w:rPr>
        <w:t>第五章</w:t>
      </w:r>
      <w:r>
        <w:rPr>
          <w:rFonts w:hint="eastAsia"/>
          <w:b/>
          <w:bCs/>
        </w:rPr>
        <w:t>服务内容及要求</w:t>
      </w:r>
      <w:r>
        <w:rPr>
          <w:rFonts w:hint="eastAsia"/>
          <w:b/>
          <w:bCs/>
          <w:lang w:eastAsia="zh-CN"/>
        </w:rPr>
        <w:t>、履约验收、</w:t>
      </w:r>
      <w:r>
        <w:rPr>
          <w:rFonts w:hint="eastAsia"/>
          <w:b/>
          <w:bCs/>
          <w:lang w:val="en-US" w:eastAsia="zh-CN"/>
        </w:rPr>
        <w:t>其他要求</w:t>
      </w:r>
      <w:r>
        <w:rPr>
          <w:rFonts w:hint="eastAsia"/>
        </w:rPr>
        <w:t>所有的内容，供应商不得以未作应答而拒不接受。供应商必须据实填写，不得虚假应答，否则将取消其</w:t>
      </w:r>
      <w:r>
        <w:rPr>
          <w:rFonts w:hint="eastAsia" w:asciiTheme="minorEastAsia" w:hAnsiTheme="minorEastAsia" w:eastAsiaTheme="minorEastAsia" w:cstheme="minorEastAsia"/>
        </w:rPr>
        <w:t>成交</w:t>
      </w:r>
      <w:r>
        <w:rPr>
          <w:rFonts w:hint="eastAsia"/>
        </w:rPr>
        <w:t>资格</w:t>
      </w:r>
      <w:r>
        <w:rPr>
          <w:rFonts w:hint="eastAsia" w:cs="宋体"/>
        </w:rPr>
        <w:t>(如竞争性磋商文件第五章</w:t>
      </w:r>
      <w:r>
        <w:rPr>
          <w:rFonts w:hint="eastAsia"/>
          <w:b/>
          <w:bCs/>
        </w:rPr>
        <w:t>服务内容及要求</w:t>
      </w:r>
      <w:r>
        <w:rPr>
          <w:rFonts w:hint="eastAsia"/>
          <w:b/>
          <w:bCs/>
          <w:lang w:eastAsia="zh-CN"/>
        </w:rPr>
        <w:t>、履约验收、</w:t>
      </w:r>
      <w:r>
        <w:rPr>
          <w:rFonts w:hint="eastAsia"/>
          <w:b/>
          <w:bCs/>
          <w:lang w:val="en-US" w:eastAsia="zh-CN"/>
        </w:rPr>
        <w:t>其他要求</w:t>
      </w:r>
      <w:r>
        <w:rPr>
          <w:rFonts w:hint="eastAsia" w:cs="宋体"/>
          <w:bCs/>
        </w:rPr>
        <w:t>中明确要求提供承诺函或相关证明资料的，从其规定</w:t>
      </w:r>
      <w:r>
        <w:rPr>
          <w:rFonts w:hint="eastAsia" w:cs="宋体"/>
        </w:rPr>
        <w:t>)</w:t>
      </w:r>
      <w:r>
        <w:rPr>
          <w:rFonts w:hint="eastAsia"/>
        </w:rPr>
        <w:t>。</w:t>
      </w:r>
    </w:p>
    <w:p>
      <w:pPr>
        <w:pStyle w:val="44"/>
      </w:pPr>
    </w:p>
    <w:p>
      <w:pPr>
        <w:pStyle w:val="44"/>
      </w:pPr>
    </w:p>
    <w:p>
      <w:pPr>
        <w:pStyle w:val="44"/>
      </w:pPr>
    </w:p>
    <w:p>
      <w:pPr>
        <w:pStyle w:val="47"/>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磋商日期：</w:t>
      </w:r>
      <w:r>
        <w:rPr>
          <w:rFonts w:hint="eastAsia" w:asciiTheme="minorEastAsia" w:hAnsiTheme="minorEastAsia" w:eastAsiaTheme="minorEastAsia" w:cstheme="minorEastAsia"/>
          <w:bCs/>
          <w:u w:val="single"/>
        </w:rPr>
        <w:t xml:space="preserve">                 </w:t>
      </w:r>
    </w:p>
    <w:p>
      <w:pPr>
        <w:pStyle w:val="44"/>
      </w:pPr>
      <w:r>
        <w:rPr>
          <w:rFonts w:hint="eastAsia"/>
        </w:rPr>
        <w:br w:type="page"/>
      </w:r>
    </w:p>
    <w:bookmarkEnd w:id="262"/>
    <w:bookmarkEnd w:id="263"/>
    <w:bookmarkEnd w:id="264"/>
    <w:p>
      <w:pPr>
        <w:pStyle w:val="45"/>
        <w:numPr>
          <w:ilvl w:val="0"/>
          <w:numId w:val="17"/>
        </w:numPr>
        <w:spacing w:before="120" w:after="120"/>
        <w:ind w:firstLine="0"/>
      </w:pPr>
      <w:bookmarkStart w:id="271" w:name="_Toc23816"/>
      <w:bookmarkStart w:id="272" w:name="_Toc26522"/>
      <w:bookmarkStart w:id="273" w:name="_Toc23430"/>
      <w:r>
        <w:rPr>
          <w:rFonts w:hint="eastAsia"/>
        </w:rPr>
        <w:t>供应商针对本项目人员配置情况表</w:t>
      </w:r>
      <w:bookmarkEnd w:id="271"/>
    </w:p>
    <w:p>
      <w:pPr>
        <w:pStyle w:val="44"/>
      </w:pPr>
      <w:r>
        <w:rPr>
          <w:rFonts w:hint="eastAsia"/>
        </w:rPr>
        <w:t>项目名称：</w:t>
      </w:r>
      <w:r>
        <w:rPr>
          <w:rFonts w:hint="eastAsia"/>
          <w:u w:val="single"/>
        </w:rPr>
        <w:t xml:space="preserve">                              </w:t>
      </w:r>
    </w:p>
    <w:p>
      <w:pPr>
        <w:pStyle w:val="44"/>
        <w:rPr>
          <w:highlight w:val="yellow"/>
          <w:u w:val="single"/>
        </w:rPr>
      </w:pPr>
      <w:r>
        <w:rPr>
          <w:rFonts w:hint="eastAsia"/>
        </w:rPr>
        <w:t>项目编号：</w:t>
      </w:r>
      <w:r>
        <w:rPr>
          <w:rFonts w:hint="eastAsia"/>
          <w:u w:val="single"/>
        </w:rPr>
        <w:t xml:space="preserve">                              </w:t>
      </w:r>
      <w:r>
        <w:rPr>
          <w:rFonts w:hint="eastAsia"/>
        </w:rPr>
        <w:t xml:space="preserve">                            </w:t>
      </w:r>
    </w:p>
    <w:tbl>
      <w:tblPr>
        <w:tblStyle w:val="2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6"/>
              <w:rPr>
                <w:b/>
                <w:bCs/>
              </w:rPr>
            </w:pPr>
            <w:r>
              <w:rPr>
                <w:rFonts w:hint="eastAsia"/>
                <w:b/>
                <w:bCs/>
              </w:rPr>
              <w:t>人员类别</w:t>
            </w:r>
          </w:p>
        </w:tc>
        <w:tc>
          <w:tcPr>
            <w:tcW w:w="1018" w:type="dxa"/>
            <w:vMerge w:val="restart"/>
            <w:vAlign w:val="center"/>
          </w:tcPr>
          <w:p>
            <w:pPr>
              <w:pStyle w:val="46"/>
              <w:rPr>
                <w:b/>
                <w:bCs/>
              </w:rPr>
            </w:pPr>
            <w:r>
              <w:rPr>
                <w:rFonts w:hint="eastAsia"/>
                <w:b/>
                <w:bCs/>
              </w:rPr>
              <w:t>职务</w:t>
            </w:r>
          </w:p>
          <w:p>
            <w:pPr>
              <w:pStyle w:val="46"/>
              <w:rPr>
                <w:b/>
                <w:bCs/>
              </w:rPr>
            </w:pPr>
            <w:r>
              <w:rPr>
                <w:rFonts w:hint="eastAsia"/>
                <w:b/>
                <w:bCs/>
              </w:rPr>
              <w:t>(岗位)</w:t>
            </w:r>
          </w:p>
        </w:tc>
        <w:tc>
          <w:tcPr>
            <w:tcW w:w="921" w:type="dxa"/>
            <w:vMerge w:val="restart"/>
            <w:vAlign w:val="center"/>
          </w:tcPr>
          <w:p>
            <w:pPr>
              <w:pStyle w:val="46"/>
              <w:rPr>
                <w:b/>
                <w:bCs/>
              </w:rPr>
            </w:pPr>
            <w:r>
              <w:rPr>
                <w:rFonts w:hint="eastAsia"/>
                <w:b/>
                <w:bCs/>
              </w:rPr>
              <w:t>姓名</w:t>
            </w:r>
          </w:p>
        </w:tc>
        <w:tc>
          <w:tcPr>
            <w:tcW w:w="923" w:type="dxa"/>
            <w:vMerge w:val="restart"/>
            <w:vAlign w:val="center"/>
          </w:tcPr>
          <w:p>
            <w:pPr>
              <w:pStyle w:val="46"/>
              <w:rPr>
                <w:b/>
                <w:bCs/>
              </w:rPr>
            </w:pPr>
            <w:r>
              <w:rPr>
                <w:rFonts w:hint="eastAsia"/>
                <w:b/>
                <w:bCs/>
              </w:rPr>
              <w:t>职称</w:t>
            </w:r>
          </w:p>
        </w:tc>
        <w:tc>
          <w:tcPr>
            <w:tcW w:w="922" w:type="dxa"/>
            <w:vMerge w:val="restart"/>
            <w:vAlign w:val="center"/>
          </w:tcPr>
          <w:p>
            <w:pPr>
              <w:pStyle w:val="46"/>
              <w:rPr>
                <w:b/>
                <w:bCs/>
              </w:rPr>
            </w:pPr>
            <w:r>
              <w:rPr>
                <w:rFonts w:hint="eastAsia"/>
                <w:b/>
                <w:bCs/>
              </w:rPr>
              <w:t>常住地</w:t>
            </w:r>
          </w:p>
        </w:tc>
        <w:tc>
          <w:tcPr>
            <w:tcW w:w="4919" w:type="dxa"/>
            <w:gridSpan w:val="4"/>
            <w:vAlign w:val="center"/>
          </w:tcPr>
          <w:p>
            <w:pPr>
              <w:pStyle w:val="46"/>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6"/>
              <w:rPr>
                <w:b/>
                <w:bCs/>
              </w:rPr>
            </w:pPr>
          </w:p>
        </w:tc>
        <w:tc>
          <w:tcPr>
            <w:tcW w:w="1018" w:type="dxa"/>
            <w:vMerge w:val="continue"/>
            <w:vAlign w:val="center"/>
          </w:tcPr>
          <w:p>
            <w:pPr>
              <w:pStyle w:val="46"/>
              <w:rPr>
                <w:b/>
                <w:bCs/>
              </w:rPr>
            </w:pPr>
          </w:p>
        </w:tc>
        <w:tc>
          <w:tcPr>
            <w:tcW w:w="921" w:type="dxa"/>
            <w:vMerge w:val="continue"/>
            <w:vAlign w:val="center"/>
          </w:tcPr>
          <w:p>
            <w:pPr>
              <w:pStyle w:val="46"/>
              <w:rPr>
                <w:b/>
                <w:bCs/>
              </w:rPr>
            </w:pPr>
          </w:p>
        </w:tc>
        <w:tc>
          <w:tcPr>
            <w:tcW w:w="923" w:type="dxa"/>
            <w:vMerge w:val="continue"/>
            <w:vAlign w:val="center"/>
          </w:tcPr>
          <w:p>
            <w:pPr>
              <w:pStyle w:val="46"/>
              <w:rPr>
                <w:b/>
                <w:bCs/>
              </w:rPr>
            </w:pPr>
          </w:p>
        </w:tc>
        <w:tc>
          <w:tcPr>
            <w:tcW w:w="922" w:type="dxa"/>
            <w:vMerge w:val="continue"/>
            <w:vAlign w:val="center"/>
          </w:tcPr>
          <w:p>
            <w:pPr>
              <w:pStyle w:val="46"/>
              <w:rPr>
                <w:b/>
                <w:bCs/>
              </w:rPr>
            </w:pPr>
          </w:p>
        </w:tc>
        <w:tc>
          <w:tcPr>
            <w:tcW w:w="1436" w:type="dxa"/>
            <w:vAlign w:val="center"/>
          </w:tcPr>
          <w:p>
            <w:pPr>
              <w:pStyle w:val="46"/>
              <w:rPr>
                <w:b/>
                <w:bCs/>
              </w:rPr>
            </w:pPr>
            <w:r>
              <w:rPr>
                <w:rFonts w:hint="eastAsia"/>
                <w:b/>
                <w:bCs/>
              </w:rPr>
              <w:t>证书名称</w:t>
            </w:r>
          </w:p>
        </w:tc>
        <w:tc>
          <w:tcPr>
            <w:tcW w:w="1022" w:type="dxa"/>
            <w:vAlign w:val="center"/>
          </w:tcPr>
          <w:p>
            <w:pPr>
              <w:pStyle w:val="46"/>
              <w:rPr>
                <w:b/>
                <w:bCs/>
              </w:rPr>
            </w:pPr>
            <w:r>
              <w:rPr>
                <w:rFonts w:hint="eastAsia"/>
                <w:b/>
                <w:bCs/>
              </w:rPr>
              <w:t>级别</w:t>
            </w:r>
          </w:p>
        </w:tc>
        <w:tc>
          <w:tcPr>
            <w:tcW w:w="1232" w:type="dxa"/>
            <w:vAlign w:val="center"/>
          </w:tcPr>
          <w:p>
            <w:pPr>
              <w:pStyle w:val="46"/>
              <w:rPr>
                <w:b/>
                <w:bCs/>
              </w:rPr>
            </w:pPr>
            <w:r>
              <w:rPr>
                <w:rFonts w:hint="eastAsia"/>
                <w:b/>
                <w:bCs/>
              </w:rPr>
              <w:t>证号</w:t>
            </w:r>
          </w:p>
        </w:tc>
        <w:tc>
          <w:tcPr>
            <w:tcW w:w="1229" w:type="dxa"/>
            <w:vAlign w:val="center"/>
          </w:tcPr>
          <w:p>
            <w:pPr>
              <w:pStyle w:val="46"/>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6"/>
            </w:pPr>
          </w:p>
        </w:tc>
        <w:tc>
          <w:tcPr>
            <w:tcW w:w="1018"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bl>
    <w:p>
      <w:pPr>
        <w:pStyle w:val="48"/>
        <w:ind w:firstLine="482"/>
      </w:pPr>
      <w:r>
        <w:rPr>
          <w:rFonts w:hint="eastAsia"/>
        </w:rPr>
        <w:t>注：供应商根据自身实际情况填写，对不涉及的内容可填写“/”。</w:t>
      </w:r>
    </w:p>
    <w:p>
      <w:pPr>
        <w:pStyle w:val="44"/>
      </w:pPr>
    </w:p>
    <w:p>
      <w:pPr>
        <w:pStyle w:val="44"/>
      </w:pPr>
    </w:p>
    <w:p>
      <w:pPr>
        <w:pStyle w:val="47"/>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磋商日期：</w:t>
      </w:r>
      <w:r>
        <w:rPr>
          <w:rFonts w:hint="eastAsia" w:asciiTheme="minorEastAsia" w:hAnsiTheme="minorEastAsia" w:eastAsiaTheme="minorEastAsia" w:cstheme="minorEastAsia"/>
          <w:u w:val="single"/>
        </w:rPr>
        <w:t xml:space="preserve">            </w:t>
      </w:r>
    </w:p>
    <w:p>
      <w:pPr>
        <w:pStyle w:val="44"/>
        <w:ind w:left="4800" w:leftChars="2000"/>
        <w:rPr>
          <w:u w:val="single"/>
        </w:rPr>
      </w:pPr>
    </w:p>
    <w:bookmarkEnd w:id="272"/>
    <w:bookmarkEnd w:id="273"/>
    <w:p>
      <w:pPr>
        <w:pStyle w:val="45"/>
        <w:numPr>
          <w:ilvl w:val="0"/>
          <w:numId w:val="17"/>
        </w:numPr>
        <w:spacing w:before="120" w:after="120"/>
        <w:ind w:firstLine="0"/>
      </w:pPr>
      <w:bookmarkStart w:id="274" w:name="_Toc28539"/>
      <w:bookmarkStart w:id="275" w:name="_Toc26568"/>
      <w:r>
        <w:rPr>
          <w:rFonts w:hint="eastAsia"/>
        </w:rPr>
        <w:t>履约能力及相关证明</w:t>
      </w:r>
      <w:bookmarkEnd w:id="274"/>
      <w:bookmarkEnd w:id="275"/>
    </w:p>
    <w:p>
      <w:pPr>
        <w:pStyle w:val="48"/>
        <w:ind w:firstLine="482"/>
      </w:pPr>
      <w:r>
        <w:rPr>
          <w:rFonts w:hint="eastAsia"/>
        </w:rPr>
        <w:t>注：格式自拟。</w:t>
      </w:r>
    </w:p>
    <w:p>
      <w:pPr>
        <w:pStyle w:val="44"/>
      </w:pPr>
    </w:p>
    <w:p>
      <w:pPr>
        <w:pStyle w:val="44"/>
      </w:pPr>
    </w:p>
    <w:p>
      <w:pPr>
        <w:pStyle w:val="44"/>
      </w:pPr>
    </w:p>
    <w:p>
      <w:pPr>
        <w:pStyle w:val="44"/>
      </w:pPr>
    </w:p>
    <w:p>
      <w:pPr>
        <w:pStyle w:val="44"/>
      </w:pPr>
    </w:p>
    <w:bookmarkEnd w:id="265"/>
    <w:p>
      <w:pPr>
        <w:pStyle w:val="44"/>
      </w:pPr>
      <w:bookmarkStart w:id="276" w:name="_Toc19240"/>
      <w:r>
        <w:rPr>
          <w:rFonts w:hint="eastAsia"/>
        </w:rPr>
        <w:br w:type="page"/>
      </w:r>
      <w:bookmarkEnd w:id="276"/>
    </w:p>
    <w:p>
      <w:pPr>
        <w:pStyle w:val="45"/>
        <w:numPr>
          <w:ilvl w:val="0"/>
          <w:numId w:val="17"/>
        </w:numPr>
        <w:spacing w:before="120" w:after="120"/>
        <w:ind w:firstLine="0"/>
      </w:pPr>
      <w:bookmarkStart w:id="277" w:name="_Toc20002"/>
      <w:bookmarkStart w:id="278" w:name="_Toc16092"/>
      <w:bookmarkStart w:id="279" w:name="_Toc3889"/>
      <w:bookmarkStart w:id="280" w:name="_Toc881"/>
      <w:bookmarkStart w:id="281" w:name="_Toc18724"/>
      <w:r>
        <w:rPr>
          <w:rFonts w:hint="eastAsia"/>
        </w:rPr>
        <w:t>服务方案</w:t>
      </w:r>
      <w:bookmarkEnd w:id="277"/>
      <w:bookmarkEnd w:id="278"/>
      <w:bookmarkEnd w:id="279"/>
    </w:p>
    <w:p>
      <w:pPr>
        <w:pStyle w:val="48"/>
        <w:ind w:firstLine="482"/>
      </w:pPr>
      <w:r>
        <w:rPr>
          <w:rFonts w:hint="eastAsia"/>
        </w:rPr>
        <w:t>注：格式自拟。</w:t>
      </w:r>
    </w:p>
    <w:p>
      <w:pPr>
        <w:pStyle w:val="44"/>
      </w:pPr>
      <w:r>
        <w:rPr>
          <w:rFonts w:hint="eastAsia"/>
        </w:rPr>
        <w:br w:type="page"/>
      </w:r>
    </w:p>
    <w:p>
      <w:pPr>
        <w:pStyle w:val="45"/>
        <w:numPr>
          <w:ilvl w:val="0"/>
          <w:numId w:val="17"/>
        </w:numPr>
        <w:spacing w:before="120" w:after="120"/>
        <w:ind w:firstLine="0"/>
      </w:pPr>
      <w:bookmarkStart w:id="282" w:name="_Toc10668"/>
      <w:bookmarkStart w:id="283" w:name="_Toc7079"/>
      <w:r>
        <w:rPr>
          <w:rFonts w:hint="eastAsia"/>
        </w:rPr>
        <w:t>报价表</w:t>
      </w:r>
      <w:bookmarkEnd w:id="282"/>
      <w:bookmarkEnd w:id="283"/>
    </w:p>
    <w:p>
      <w:pPr>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28"/>
        </w:rPr>
        <w:t>第</w:t>
      </w:r>
      <w:r>
        <w:rPr>
          <w:rFonts w:hint="eastAsia" w:asciiTheme="minorEastAsia" w:hAnsiTheme="minorEastAsia" w:eastAsiaTheme="minorEastAsia" w:cstheme="minorEastAsia"/>
          <w:color w:val="000000"/>
          <w:sz w:val="32"/>
          <w:szCs w:val="28"/>
          <w:u w:val="single"/>
        </w:rPr>
        <w:t xml:space="preserve"> N </w:t>
      </w:r>
      <w:r>
        <w:rPr>
          <w:rFonts w:hint="eastAsia" w:asciiTheme="minorEastAsia" w:hAnsiTheme="minorEastAsia" w:eastAsiaTheme="minorEastAsia" w:cstheme="minorEastAsia"/>
          <w:color w:val="000000"/>
          <w:sz w:val="32"/>
          <w:szCs w:val="28"/>
        </w:rPr>
        <w:t>轮报价/最后报价(</w:t>
      </w:r>
      <w:r>
        <w:rPr>
          <w:rFonts w:hint="eastAsia" w:asciiTheme="minorEastAsia" w:hAnsiTheme="minorEastAsia" w:eastAsiaTheme="minorEastAsia" w:cstheme="minorEastAsia"/>
          <w:b/>
          <w:color w:val="000000"/>
          <w:sz w:val="32"/>
          <w:szCs w:val="28"/>
        </w:rPr>
        <w:t>根据磋商实际情况选择</w:t>
      </w:r>
      <w:r>
        <w:rPr>
          <w:rFonts w:hint="eastAsia" w:asciiTheme="minorEastAsia" w:hAnsiTheme="minorEastAsia" w:eastAsiaTheme="minorEastAsia" w:cstheme="minorEastAsia"/>
          <w:color w:val="000000"/>
          <w:sz w:val="32"/>
          <w:szCs w:val="28"/>
        </w:rPr>
        <w:t>)</w:t>
      </w:r>
    </w:p>
    <w:p>
      <w:pPr>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jc w:val="both"/>
        <w:rPr>
          <w:rFonts w:asciiTheme="minorEastAsia" w:hAnsiTheme="minorEastAsia" w:eastAsiaTheme="minorEastAsia" w:cstheme="minorEastAsia"/>
          <w:color w:val="000000"/>
          <w:highlight w:val="yellow"/>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序号</w:t>
            </w:r>
          </w:p>
        </w:tc>
        <w:tc>
          <w:tcPr>
            <w:tcW w:w="4287"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服务内容</w:t>
            </w:r>
          </w:p>
        </w:tc>
        <w:tc>
          <w:tcPr>
            <w:tcW w:w="4481"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1</w:t>
            </w:r>
          </w:p>
        </w:tc>
        <w:tc>
          <w:tcPr>
            <w:tcW w:w="4287"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政务服务外包</w:t>
            </w:r>
          </w:p>
        </w:tc>
        <w:tc>
          <w:tcPr>
            <w:tcW w:w="4481"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政府采购合同签订生效后8个月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ordWrap w:val="0"/>
              <w:topLinePunct/>
              <w:spacing w:line="360" w:lineRule="exact"/>
              <w:jc w:val="center"/>
              <w:rPr>
                <w:rFonts w:cs="宋体"/>
                <w:color w:val="000000"/>
                <w:sz w:val="21"/>
                <w:szCs w:val="21"/>
              </w:rPr>
            </w:pPr>
            <w:r>
              <w:rPr>
                <w:rFonts w:hint="eastAsia" w:cs="宋体"/>
                <w:bCs/>
                <w:color w:val="000000"/>
                <w:sz w:val="21"/>
                <w:szCs w:val="21"/>
              </w:rPr>
              <w:t>报价(元)</w:t>
            </w:r>
          </w:p>
        </w:tc>
        <w:tc>
          <w:tcPr>
            <w:tcW w:w="8768" w:type="dxa"/>
            <w:gridSpan w:val="2"/>
            <w:vAlign w:val="center"/>
          </w:tcPr>
          <w:p>
            <w:pPr>
              <w:wordWrap w:val="0"/>
              <w:topLinePunct/>
              <w:spacing w:line="360" w:lineRule="exact"/>
              <w:rPr>
                <w:rFonts w:cs="宋体"/>
                <w:color w:val="000000"/>
                <w:sz w:val="21"/>
                <w:szCs w:val="21"/>
              </w:rPr>
            </w:pPr>
            <w:r>
              <w:rPr>
                <w:rFonts w:hint="eastAsia"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ordWrap w:val="0"/>
              <w:topLinePunct/>
              <w:spacing w:line="360" w:lineRule="auto"/>
            </w:pPr>
          </w:p>
        </w:tc>
        <w:tc>
          <w:tcPr>
            <w:tcW w:w="8768" w:type="dxa"/>
            <w:gridSpan w:val="2"/>
            <w:vAlign w:val="center"/>
          </w:tcPr>
          <w:p>
            <w:pPr>
              <w:wordWrap w:val="0"/>
              <w:topLinePunct/>
              <w:spacing w:line="360" w:lineRule="exact"/>
              <w:rPr>
                <w:rFonts w:cs="宋体"/>
                <w:color w:val="000000"/>
                <w:sz w:val="21"/>
                <w:szCs w:val="21"/>
              </w:rPr>
            </w:pPr>
            <w:r>
              <w:rPr>
                <w:rFonts w:hint="eastAsia" w:cs="宋体"/>
                <w:color w:val="000000"/>
                <w:sz w:val="21"/>
                <w:szCs w:val="21"/>
              </w:rPr>
              <w:t>人民币大写：</w:t>
            </w:r>
          </w:p>
        </w:tc>
      </w:tr>
    </w:tbl>
    <w:p>
      <w:pPr>
        <w:pStyle w:val="48"/>
        <w:ind w:firstLine="482"/>
      </w:pPr>
      <w:r>
        <w:rPr>
          <w:rFonts w:hint="eastAsia"/>
        </w:rPr>
        <w:t>注：</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w:t>
      </w:r>
      <w:r>
        <w:rPr>
          <w:rFonts w:hint="eastAsia" w:cs="宋体"/>
        </w:rPr>
        <w:t>但不限于人工劳务、设施设备投入、管理、利润、保险、税金、风险等一切费用</w:t>
      </w:r>
      <w:r>
        <w:rPr>
          <w:rFonts w:hint="eastAsia"/>
          <w:lang w:val="zh-CN"/>
        </w:rPr>
        <w:t>。</w:t>
      </w:r>
    </w:p>
    <w:p>
      <w:pPr>
        <w:tabs>
          <w:tab w:val="left" w:pos="540"/>
          <w:tab w:val="left" w:pos="900"/>
          <w:tab w:val="clear" w:pos="0"/>
        </w:tabs>
        <w:rPr>
          <w:rFonts w:asciiTheme="minorEastAsia" w:hAnsiTheme="minorEastAsia" w:eastAsiaTheme="minorEastAsia" w:cstheme="minorEastAsia"/>
          <w:color w:val="000000"/>
        </w:rPr>
      </w:pPr>
    </w:p>
    <w:p>
      <w:pPr>
        <w:tabs>
          <w:tab w:val="left" w:pos="540"/>
          <w:tab w:val="left" w:pos="900"/>
          <w:tab w:val="clear" w:pos="0"/>
        </w:tabs>
        <w:rPr>
          <w:rFonts w:asciiTheme="minorEastAsia" w:hAnsiTheme="minorEastAsia" w:eastAsiaTheme="minorEastAsia" w:cstheme="minorEastAsia"/>
          <w:color w:val="000000"/>
        </w:rPr>
      </w:pPr>
    </w:p>
    <w:p>
      <w:pPr>
        <w:pStyle w:val="47"/>
        <w:rPr>
          <w:u w:val="single"/>
        </w:rPr>
      </w:pPr>
      <w:r>
        <w:rPr>
          <w:rFonts w:hint="eastAsia"/>
        </w:rPr>
        <w:t>供应商名称：</w:t>
      </w:r>
      <w:r>
        <w:rPr>
          <w:rFonts w:hint="eastAsia"/>
          <w:u w:val="single"/>
        </w:rPr>
        <w:t xml:space="preserve">                      </w:t>
      </w:r>
    </w:p>
    <w:p>
      <w:pPr>
        <w:pStyle w:val="47"/>
      </w:pPr>
      <w:r>
        <w:rPr>
          <w:rFonts w:hint="eastAsia"/>
        </w:rPr>
        <w:t>法定代表人/单位负责人或授权代表：</w:t>
      </w:r>
      <w:r>
        <w:rPr>
          <w:rFonts w:hint="eastAsia"/>
          <w:u w:val="single"/>
        </w:rPr>
        <w:t xml:space="preserve">                  </w:t>
      </w:r>
      <w:r>
        <w:rPr>
          <w:rFonts w:hint="eastAsia"/>
        </w:rPr>
        <w:t>(签名并捺印)</w:t>
      </w:r>
    </w:p>
    <w:p>
      <w:pPr>
        <w:pStyle w:val="47"/>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4"/>
      </w:pPr>
      <w:r>
        <w:rPr>
          <w:rFonts w:hint="eastAsia"/>
        </w:rPr>
        <w:t xml:space="preserve">                </w:t>
      </w:r>
    </w:p>
    <w:p>
      <w:pPr>
        <w:pStyle w:val="44"/>
      </w:pPr>
    </w:p>
    <w:bookmarkEnd w:id="280"/>
    <w:bookmarkEnd w:id="281"/>
    <w:p>
      <w:pPr>
        <w:pStyle w:val="49"/>
        <w:spacing w:before="120" w:after="120"/>
      </w:pPr>
      <w:bookmarkStart w:id="284" w:name="_Toc24888"/>
      <w:r>
        <w:rPr>
          <w:rFonts w:hint="eastAsia"/>
        </w:rPr>
        <w:br w:type="page"/>
      </w:r>
      <w:bookmarkEnd w:id="284"/>
      <w:bookmarkStart w:id="285" w:name="_Toc18196"/>
      <w:bookmarkStart w:id="286" w:name="_Toc22998"/>
      <w:bookmarkStart w:id="287" w:name="_Toc8484"/>
      <w:r>
        <w:rPr>
          <w:rFonts w:hint="eastAsia"/>
        </w:rPr>
        <w:t>资格性审查</w:t>
      </w:r>
      <w:bookmarkEnd w:id="285"/>
      <w:r>
        <w:rPr>
          <w:rFonts w:hint="eastAsia"/>
        </w:rPr>
        <w:t>内容</w:t>
      </w:r>
      <w:bookmarkEnd w:id="286"/>
      <w:bookmarkEnd w:id="287"/>
    </w:p>
    <w:p>
      <w:pPr>
        <w:pStyle w:val="51"/>
        <w:numPr>
          <w:ilvl w:val="1"/>
          <w:numId w:val="20"/>
        </w:numPr>
        <w:ind w:firstLine="482"/>
        <w:rPr>
          <w:b/>
          <w:bCs/>
        </w:rPr>
      </w:pPr>
      <w:bookmarkStart w:id="288" w:name="_Toc141"/>
      <w:bookmarkStart w:id="289" w:name="_Toc10631"/>
      <w:bookmarkStart w:id="290" w:name="_Toc20678"/>
      <w:bookmarkStart w:id="291" w:name="_Toc32482"/>
      <w:r>
        <w:rPr>
          <w:rFonts w:hint="eastAsia"/>
          <w:b/>
          <w:bCs/>
        </w:rPr>
        <w:t>供应商应当提供的资格证明材料及其他类似效力要求的相关证明材料</w:t>
      </w:r>
    </w:p>
    <w:bookmarkEnd w:id="288"/>
    <w:bookmarkEnd w:id="289"/>
    <w:bookmarkEnd w:id="290"/>
    <w:p>
      <w:pPr>
        <w:pStyle w:val="34"/>
        <w:numPr>
          <w:ilvl w:val="1"/>
          <w:numId w:val="21"/>
        </w:numPr>
        <w:ind w:firstLine="482"/>
        <w:rPr>
          <w:b/>
          <w:bCs/>
        </w:rPr>
      </w:pPr>
      <w:r>
        <w:rPr>
          <w:rFonts w:hint="eastAsia"/>
          <w:b/>
          <w:bCs/>
        </w:rPr>
        <w:t>供应商具有独立承担民事责任的能力的证明材料；</w:t>
      </w:r>
    </w:p>
    <w:p>
      <w:pPr>
        <w:pStyle w:val="47"/>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8"/>
        <w:ind w:firstLine="482"/>
      </w:pPr>
      <w:r>
        <w:rPr>
          <w:rFonts w:hint="eastAsia"/>
        </w:rPr>
        <w:t>注：1.以上证明材料应满足此条要求①发证机关有年检要求的，应按规定通过年检；②在有效期内；③复印件加盖供应商公章；</w:t>
      </w:r>
    </w:p>
    <w:p>
      <w:pPr>
        <w:pStyle w:val="48"/>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34"/>
        <w:numPr>
          <w:ilvl w:val="1"/>
          <w:numId w:val="21"/>
        </w:numPr>
        <w:ind w:firstLine="482"/>
        <w:rPr>
          <w:b/>
          <w:bCs/>
        </w:rPr>
      </w:pPr>
      <w:r>
        <w:rPr>
          <w:rFonts w:hint="eastAsia"/>
          <w:b/>
          <w:bCs/>
        </w:rPr>
        <w:t>供应商具有良好的商业信誉和健全的财务会计制度的证明材料；</w:t>
      </w:r>
    </w:p>
    <w:p>
      <w:pPr>
        <w:pStyle w:val="37"/>
        <w:numPr>
          <w:ilvl w:val="2"/>
          <w:numId w:val="21"/>
        </w:numPr>
        <w:ind w:firstLine="480"/>
      </w:pPr>
      <w:r>
        <w:rPr>
          <w:rFonts w:hint="eastAsia"/>
        </w:rPr>
        <w:t>供应商具有良好商业信誉的证明材料；</w:t>
      </w:r>
    </w:p>
    <w:p>
      <w:pPr>
        <w:pStyle w:val="47"/>
      </w:pPr>
      <w:r>
        <w:rPr>
          <w:rFonts w:hint="eastAsia"/>
        </w:rPr>
        <w:t>提供具有良好的商业信誉的承诺函。</w:t>
      </w:r>
    </w:p>
    <w:p>
      <w:pPr>
        <w:pStyle w:val="47"/>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7"/>
        <w:numPr>
          <w:ilvl w:val="2"/>
          <w:numId w:val="21"/>
        </w:numPr>
        <w:ind w:firstLine="480"/>
      </w:pPr>
      <w:r>
        <w:rPr>
          <w:rFonts w:hint="eastAsia"/>
        </w:rPr>
        <w:t>供应商具有健全的财务会计制度的证明材料；</w:t>
      </w:r>
    </w:p>
    <w:p>
      <w:pPr>
        <w:pStyle w:val="47"/>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7"/>
      </w:pPr>
      <w:r>
        <w:rPr>
          <w:rFonts w:hint="eastAsia"/>
        </w:rPr>
        <w:t>(2)供应商提供2020年度供应商内部的财务报表复印件(至少包含资产负债表)；</w:t>
      </w:r>
    </w:p>
    <w:p>
      <w:pPr>
        <w:pStyle w:val="47"/>
      </w:pPr>
      <w:r>
        <w:rPr>
          <w:rFonts w:hint="eastAsia"/>
        </w:rPr>
        <w:t>(3)供应商提供响应文件递交截止日前一年内银行为其出具的资信证明复印件；</w:t>
      </w:r>
    </w:p>
    <w:p>
      <w:pPr>
        <w:pStyle w:val="47"/>
      </w:pPr>
      <w:r>
        <w:rPr>
          <w:rFonts w:hint="eastAsia"/>
        </w:rPr>
        <w:t>(4)供应商注册时间截至响应文件递交截止日不足一年的，可提供公司章程复印件；</w:t>
      </w:r>
    </w:p>
    <w:p>
      <w:pPr>
        <w:pStyle w:val="47"/>
      </w:pPr>
      <w:r>
        <w:rPr>
          <w:rFonts w:hint="eastAsia"/>
        </w:rPr>
        <w:t>(5)供应商为事业单位、大型国有企业或其他组织(不具备法人条件的组织，如合伙组织、个体工商户、农村承包经营户等)或自然人时，可提供承诺函；</w:t>
      </w:r>
    </w:p>
    <w:p>
      <w:pPr>
        <w:pStyle w:val="47"/>
      </w:pPr>
      <w:r>
        <w:rPr>
          <w:rFonts w:hint="eastAsia"/>
        </w:rPr>
        <w:t>(6)提供具有健全的财务会计制度的承诺函。</w:t>
      </w:r>
    </w:p>
    <w:p>
      <w:pPr>
        <w:pStyle w:val="48"/>
        <w:ind w:firstLine="482"/>
      </w:pPr>
      <w:r>
        <w:rPr>
          <w:rFonts w:hint="eastAsia"/>
          <w:bCs/>
        </w:rPr>
        <w:t>注：具有健全的财务会计制度的证明材料中第(1)-(6)项具有同等的效力，供应商可根据自身实际情况选择提供其中任意一项。</w:t>
      </w:r>
    </w:p>
    <w:p>
      <w:pPr>
        <w:pStyle w:val="34"/>
        <w:numPr>
          <w:ilvl w:val="1"/>
          <w:numId w:val="21"/>
        </w:numPr>
        <w:ind w:firstLine="482"/>
        <w:rPr>
          <w:b/>
          <w:bCs/>
        </w:rPr>
      </w:pPr>
      <w:r>
        <w:rPr>
          <w:rFonts w:hint="eastAsia"/>
          <w:b/>
          <w:bCs/>
        </w:rPr>
        <w:t>供应商具有履行合同所必需的设备和专业技术能力证明材料；</w:t>
      </w:r>
    </w:p>
    <w:p>
      <w:pPr>
        <w:pStyle w:val="37"/>
        <w:numPr>
          <w:ilvl w:val="2"/>
          <w:numId w:val="0"/>
        </w:numPr>
        <w:ind w:left="480" w:leftChars="200"/>
      </w:pPr>
      <w:r>
        <w:rPr>
          <w:rFonts w:hint="eastAsia"/>
        </w:rPr>
        <w:t>提供具有履行合同所必需的设备和专业技术能力的承诺函。</w:t>
      </w:r>
    </w:p>
    <w:p>
      <w:pPr>
        <w:pStyle w:val="48"/>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4"/>
        <w:numPr>
          <w:ilvl w:val="1"/>
          <w:numId w:val="21"/>
        </w:numPr>
        <w:ind w:firstLine="482"/>
        <w:rPr>
          <w:b/>
          <w:bCs/>
        </w:rPr>
      </w:pPr>
      <w:r>
        <w:rPr>
          <w:rFonts w:hint="eastAsia"/>
          <w:b/>
          <w:bCs/>
        </w:rPr>
        <w:t>供应商具有依法缴纳税收和社会保障资金的良好记录的证明材料；</w:t>
      </w:r>
    </w:p>
    <w:p>
      <w:pPr>
        <w:pStyle w:val="37"/>
        <w:numPr>
          <w:ilvl w:val="2"/>
          <w:numId w:val="0"/>
        </w:numPr>
        <w:ind w:left="480" w:leftChars="200"/>
      </w:pPr>
      <w:r>
        <w:rPr>
          <w:rFonts w:hint="eastAsia"/>
        </w:rPr>
        <w:t>提供</w:t>
      </w:r>
      <w:r>
        <w:rPr>
          <w:rFonts w:hint="eastAsia"/>
          <w:lang w:val="zh-CN"/>
        </w:rPr>
        <w:t>依法缴纳税收和社会保障资金的良好记录</w:t>
      </w:r>
      <w:r>
        <w:rPr>
          <w:rFonts w:hint="eastAsia"/>
        </w:rPr>
        <w:t>的承诺函。</w:t>
      </w:r>
    </w:p>
    <w:p>
      <w:pPr>
        <w:pStyle w:val="48"/>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4"/>
        <w:numPr>
          <w:ilvl w:val="1"/>
          <w:numId w:val="21"/>
        </w:numPr>
        <w:ind w:firstLine="482"/>
        <w:rPr>
          <w:b/>
          <w:bCs/>
        </w:rPr>
      </w:pPr>
      <w:r>
        <w:rPr>
          <w:rFonts w:hint="eastAsia"/>
          <w:b/>
          <w:bCs/>
        </w:rPr>
        <w:t>供应商参加政府采购活动前三年内，在经营活动中没有重大违法记录的证明材料；</w:t>
      </w:r>
    </w:p>
    <w:p>
      <w:pPr>
        <w:pStyle w:val="47"/>
      </w:pPr>
      <w:r>
        <w:rPr>
          <w:rFonts w:hint="eastAsia"/>
        </w:rPr>
        <w:t>提供参加本次政府采购活动前三年内，在经营活动中没有重大违法记录的书面声明(成立不足三年的，从成立之日起计算)。</w:t>
      </w:r>
    </w:p>
    <w:p>
      <w:pPr>
        <w:pStyle w:val="34"/>
        <w:adjustRightInd/>
        <w:snapToGrid/>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8"/>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8"/>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4"/>
        <w:numPr>
          <w:ilvl w:val="3"/>
          <w:numId w:val="0"/>
        </w:numPr>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34"/>
        <w:ind w:firstLine="482"/>
        <w:rPr>
          <w:b/>
          <w:bCs/>
        </w:rPr>
      </w:pPr>
      <w:r>
        <w:rPr>
          <w:rFonts w:hint="eastAsia"/>
          <w:b/>
          <w:bCs/>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7"/>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8"/>
        <w:ind w:firstLine="482"/>
      </w:pPr>
      <w:r>
        <w:rPr>
          <w:rFonts w:hint="eastAsia"/>
        </w:rPr>
        <w:t>注：供应商参与磋商时无需对此条进行响应。</w:t>
      </w:r>
    </w:p>
    <w:p>
      <w:pPr>
        <w:pStyle w:val="34"/>
        <w:ind w:firstLine="482"/>
        <w:rPr>
          <w:b/>
          <w:bCs/>
        </w:rPr>
      </w:pPr>
      <w:r>
        <w:rPr>
          <w:rFonts w:hint="eastAsia"/>
          <w:b/>
          <w:bCs/>
        </w:rPr>
        <w:t>法定代表人/单位负责人授权书原件；</w:t>
      </w:r>
    </w:p>
    <w:p>
      <w:pPr>
        <w:pStyle w:val="48"/>
        <w:ind w:firstLine="482"/>
      </w:pPr>
      <w:r>
        <w:rPr>
          <w:rFonts w:hint="eastAsia"/>
        </w:rPr>
        <w:t>注：①附法定代表人/单位负责人和被授权人身份证正反面复印件；②法定代表人/单位负责人亲自参与磋商时不需要提供。</w:t>
      </w:r>
    </w:p>
    <w:p>
      <w:pPr>
        <w:pStyle w:val="34"/>
        <w:ind w:firstLine="482"/>
        <w:rPr>
          <w:b/>
          <w:bCs/>
        </w:rPr>
      </w:pPr>
      <w:r>
        <w:rPr>
          <w:rFonts w:hint="eastAsia"/>
          <w:b/>
          <w:bCs/>
        </w:rPr>
        <w:t>法定代表人/单位负责人证明书；</w:t>
      </w:r>
    </w:p>
    <w:p>
      <w:pPr>
        <w:pStyle w:val="48"/>
        <w:ind w:firstLine="482"/>
      </w:pPr>
      <w:r>
        <w:rPr>
          <w:rFonts w:hint="eastAsia"/>
        </w:rPr>
        <w:t>注：①附法定代表人/单位负责人身份证正反面复印件；②法定代表人/单位负责人亲自参加磋商时提供本证明书。</w:t>
      </w:r>
    </w:p>
    <w:p>
      <w:pPr>
        <w:pStyle w:val="34"/>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7"/>
        <w:rPr>
          <w:highlight w:val="red"/>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34"/>
        <w:ind w:firstLine="482"/>
        <w:rPr>
          <w:b/>
          <w:bCs/>
        </w:rPr>
      </w:pPr>
      <w:r>
        <w:rPr>
          <w:rFonts w:hint="eastAsia"/>
          <w:b/>
          <w:bCs/>
        </w:rPr>
        <w:t>根据采购项目的特殊要求，规定供应商的特定条件的证明材料；</w:t>
      </w:r>
    </w:p>
    <w:p>
      <w:pPr>
        <w:pStyle w:val="37"/>
        <w:numPr>
          <w:ilvl w:val="2"/>
          <w:numId w:val="0"/>
        </w:numPr>
        <w:ind w:left="480" w:leftChars="200"/>
      </w:pPr>
      <w:r>
        <w:rPr>
          <w:rFonts w:hint="eastAsia"/>
        </w:rPr>
        <w:t>提供未与其他供应商组成联合体参与本项目磋商的承诺函。</w:t>
      </w:r>
    </w:p>
    <w:p>
      <w:pPr>
        <w:pStyle w:val="35"/>
        <w:ind w:firstLine="482" w:firstLineChars="200"/>
        <w:rPr>
          <w:b/>
          <w:bCs/>
          <w:lang w:val="zh-CN"/>
        </w:rPr>
      </w:pPr>
      <w:r>
        <w:rPr>
          <w:rFonts w:hint="eastAsia" w:cs="Times New Roman"/>
          <w:b/>
          <w:bCs/>
        </w:rPr>
        <w:t>(十二)</w:t>
      </w:r>
      <w:r>
        <w:rPr>
          <w:rFonts w:hint="eastAsia" w:cs="Times New Roman"/>
          <w:b/>
          <w:bCs/>
          <w:lang w:val="zh-CN"/>
        </w:rPr>
        <w:t>落实政府采购政策需满足的资格要求</w:t>
      </w:r>
      <w:r>
        <w:rPr>
          <w:rFonts w:hint="eastAsia"/>
          <w:b/>
          <w:bCs/>
          <w:lang w:val="zh-CN"/>
        </w:rPr>
        <w:t>：</w:t>
      </w:r>
    </w:p>
    <w:p>
      <w:pPr>
        <w:pStyle w:val="35"/>
        <w:ind w:firstLine="480" w:firstLineChars="200"/>
      </w:pPr>
      <w:r>
        <w:rPr>
          <w:rFonts w:hint="eastAsia"/>
          <w:lang w:val="zh-CN"/>
        </w:rPr>
        <w:t>本项目为专门面向中小企业采购的项目，供应商应为中、小、微型企业(监狱企业、残疾人福利性单位视同小微企业，符合中小企业划分标准的个体工商户视同中小企业)，提供中小企业声明函或监狱企业相关证明材料或残疾人福利性单位声明函</w:t>
      </w:r>
      <w:r>
        <w:rPr>
          <w:rFonts w:hint="eastAsia"/>
        </w:rPr>
        <w:t>原件</w:t>
      </w:r>
      <w:r>
        <w:rPr>
          <w:rFonts w:hint="eastAsia"/>
          <w:lang w:val="zh-CN"/>
        </w:rPr>
        <w:t>。</w:t>
      </w:r>
    </w:p>
    <w:p>
      <w:pPr>
        <w:pStyle w:val="48"/>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8"/>
        <w:ind w:firstLine="482"/>
      </w:pPr>
      <w:r>
        <w:rPr>
          <w:rFonts w:hint="eastAsia"/>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8"/>
        <w:ind w:firstLine="482"/>
      </w:pPr>
      <w:r>
        <w:rPr>
          <w:rFonts w:hint="eastAsia"/>
        </w:rPr>
        <w:t>③供应商在前三年政府采购合同履约过程中及其他经营活动履约过程中未依法履约被有关部门处理的，不能认定为具有良好的商业信誉。若提供虚假承诺将被视为虚假响应，取消成交资格。</w:t>
      </w:r>
    </w:p>
    <w:p>
      <w:pPr>
        <w:pStyle w:val="48"/>
        <w:ind w:firstLine="482"/>
      </w:pPr>
      <w:r>
        <w:rPr>
          <w:rFonts w:hint="eastAsia"/>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8"/>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供应商应对其所提供的资格证明材料来源的合法性、真实性承担法律责任。</w:t>
      </w:r>
    </w:p>
    <w:p>
      <w:pPr>
        <w:pStyle w:val="48"/>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以上承诺及声明函可参照第三章响应文件格式“承诺及声明函”格式或自拟格式填写均有效。</w:t>
      </w:r>
    </w:p>
    <w:p>
      <w:pPr>
        <w:pStyle w:val="48"/>
        <w:ind w:firstLine="482"/>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r>
        <w:rPr>
          <w:rFonts w:hint="eastAsia"/>
        </w:rPr>
        <w:t>本章要求提供的相关证明材料应当结合采购项目具体情况和供应商的组织机构性质确定，不得一概而论。</w:t>
      </w:r>
    </w:p>
    <w:bookmarkEnd w:id="291"/>
    <w:p>
      <w:pPr>
        <w:rPr>
          <w:highlight w:val="yellow"/>
        </w:rPr>
      </w:pPr>
      <w:r>
        <w:rPr>
          <w:rFonts w:hint="eastAsia" w:asciiTheme="minorEastAsia" w:hAnsiTheme="minorEastAsia" w:eastAsiaTheme="minorEastAsia" w:cstheme="minorEastAsia"/>
          <w:color w:val="000000"/>
          <w:sz w:val="36"/>
          <w:szCs w:val="36"/>
        </w:rPr>
        <w:br w:type="page"/>
      </w:r>
    </w:p>
    <w:p>
      <w:pPr>
        <w:pStyle w:val="49"/>
        <w:numPr>
          <w:ilvl w:val="0"/>
          <w:numId w:val="20"/>
        </w:numPr>
        <w:spacing w:before="120" w:after="120"/>
        <w:rPr>
          <w:highlight w:val="yellow"/>
        </w:rPr>
      </w:pPr>
      <w:bookmarkStart w:id="292" w:name="_Toc14140"/>
      <w:r>
        <w:rPr>
          <w:rFonts w:hint="eastAsia" w:asciiTheme="minorEastAsia" w:hAnsiTheme="minorEastAsia" w:eastAsiaTheme="minorEastAsia" w:cstheme="minorEastAsia"/>
          <w:color w:val="000000"/>
          <w:szCs w:val="36"/>
        </w:rPr>
        <w:t>采购项目技术、服务、合同内容条款及商务要求</w:t>
      </w:r>
      <w:bookmarkEnd w:id="292"/>
    </w:p>
    <w:p>
      <w:pPr>
        <w:pStyle w:val="36"/>
        <w:ind w:firstLine="482"/>
      </w:pPr>
      <w:bookmarkStart w:id="293" w:name="_Toc19381"/>
      <w:bookmarkStart w:id="294" w:name="_Toc1684"/>
      <w:bookmarkStart w:id="295" w:name="_Toc27469"/>
      <w:bookmarkStart w:id="296" w:name="_Toc28932"/>
      <w:bookmarkStart w:id="297" w:name="_Toc217446099"/>
      <w:bookmarkStart w:id="298" w:name="_Toc12025"/>
      <w:bookmarkStart w:id="299" w:name="_Toc308084648"/>
      <w:bookmarkStart w:id="300" w:name="_Toc319439948"/>
      <w:bookmarkStart w:id="301" w:name="_Toc307501157"/>
      <w:bookmarkStart w:id="302" w:name="_Toc1541"/>
      <w:bookmarkStart w:id="303" w:name="_Toc308188201"/>
      <w:bookmarkStart w:id="304" w:name="_Toc307564899"/>
      <w:bookmarkStart w:id="305" w:name="_Toc319440192"/>
      <w:bookmarkStart w:id="306" w:name="_Toc23360"/>
      <w:bookmarkStart w:id="307" w:name="_Toc1839"/>
      <w:bookmarkStart w:id="308" w:name="_Toc309897566"/>
      <w:bookmarkStart w:id="309" w:name="_Toc217446060"/>
      <w:bookmarkStart w:id="310" w:name="_Toc327196343"/>
      <w:bookmarkStart w:id="311" w:name="_Toc29864"/>
      <w:bookmarkStart w:id="312" w:name="_Toc32159"/>
      <w:r>
        <w:rPr>
          <w:rFonts w:hint="eastAsia"/>
        </w:rPr>
        <w:t>项目概述</w:t>
      </w:r>
      <w:bookmarkEnd w:id="293"/>
    </w:p>
    <w:p>
      <w:pPr>
        <w:pStyle w:val="47"/>
        <w:rPr>
          <w:rFonts w:hint="eastAsia" w:eastAsia="宋体"/>
          <w:lang w:eastAsia="zh-CN"/>
        </w:rPr>
      </w:pPr>
      <w:r>
        <w:rPr>
          <w:rFonts w:hint="eastAsia"/>
        </w:rPr>
        <w:t>为满足成都东部新区管理委员会工作需要，提高省、市、区网络理政热线平台诉求件办事效率，拟采用竞争性磋商方式选取一名供应商为成都东部新区管理委员会提供政务服务</w:t>
      </w:r>
      <w:r>
        <w:rPr>
          <w:rFonts w:hint="eastAsia"/>
          <w:lang w:eastAsia="zh-CN"/>
        </w:rPr>
        <w:t>。</w:t>
      </w:r>
    </w:p>
    <w:p>
      <w:pPr>
        <w:pStyle w:val="36"/>
        <w:ind w:firstLine="482"/>
      </w:pPr>
      <w:bookmarkStart w:id="313" w:name="_Toc27322"/>
      <w:r>
        <w:rPr>
          <w:rFonts w:hint="eastAsia"/>
        </w:rPr>
        <w:t>★项目服务内容及要求</w:t>
      </w:r>
      <w:bookmarkEnd w:id="313"/>
    </w:p>
    <w:p>
      <w:pPr>
        <w:ind w:firstLine="482" w:firstLineChars="200"/>
        <w:rPr>
          <w:rFonts w:cs="宋体"/>
          <w:b/>
          <w:bCs/>
        </w:rPr>
      </w:pPr>
      <w:r>
        <w:rPr>
          <w:rFonts w:hint="eastAsia" w:cs="宋体"/>
          <w:b/>
          <w:bCs/>
        </w:rPr>
        <w:t>(一)服务内容</w:t>
      </w:r>
    </w:p>
    <w:p>
      <w:pPr>
        <w:ind w:firstLine="480" w:firstLineChars="200"/>
        <w:rPr>
          <w:rFonts w:cs="宋体"/>
        </w:rPr>
      </w:pPr>
      <w:r>
        <w:rPr>
          <w:rFonts w:hint="eastAsia" w:cs="宋体"/>
        </w:rPr>
        <w:t>1.受理、转办、审核和回复“麻辣社区•问政四川”“四川在线•问政四川”上涉及成都东部新区的非紧急的关于行政管理服务方面的咨询、求助、投诉、意见和建议等事项。</w:t>
      </w:r>
    </w:p>
    <w:p>
      <w:pPr>
        <w:ind w:firstLine="480" w:firstLineChars="200"/>
        <w:rPr>
          <w:rFonts w:cs="宋体"/>
        </w:rPr>
      </w:pPr>
      <w:r>
        <w:rPr>
          <w:rFonts w:hint="eastAsia" w:cs="宋体"/>
        </w:rPr>
        <w:t>2.受理、转办、审核和回复中共成都市委书记信箱和网络理政平台接到的涉及成都东部新区的非紧急的关于行政管理服务方面的咨询、求助、投诉、意见和建议等事项。</w:t>
      </w:r>
    </w:p>
    <w:p>
      <w:pPr>
        <w:ind w:firstLine="480" w:firstLineChars="200"/>
        <w:rPr>
          <w:rFonts w:cs="宋体"/>
        </w:rPr>
      </w:pPr>
      <w:r>
        <w:rPr>
          <w:rFonts w:hint="eastAsia" w:cs="宋体"/>
        </w:rPr>
        <w:t>3.受理、转办、审核和回复成都市行政效能投诉热线“96960”接到的涉及成都东部新区的非紧急的关于行政管理服务方面的咨询、求助、投诉、意见和建议等事项。</w:t>
      </w:r>
    </w:p>
    <w:p>
      <w:pPr>
        <w:ind w:firstLine="480" w:firstLineChars="200"/>
        <w:rPr>
          <w:rFonts w:cs="宋体"/>
        </w:rPr>
      </w:pPr>
      <w:r>
        <w:rPr>
          <w:rFonts w:hint="eastAsia" w:cs="宋体"/>
        </w:rPr>
        <w:t>4.受理、转办、审核、回复及督办成都东部新区区级领导信箱接到的非紧急的关于行政管理服务方面的咨询、求助、投诉、意见和建议等事项。</w:t>
      </w:r>
    </w:p>
    <w:p>
      <w:pPr>
        <w:ind w:firstLine="480" w:firstLineChars="200"/>
        <w:rPr>
          <w:rFonts w:cs="宋体"/>
        </w:rPr>
      </w:pPr>
      <w:r>
        <w:rPr>
          <w:rFonts w:hint="eastAsia" w:cs="宋体"/>
        </w:rPr>
        <w:t>5.受理、转办、审核和回复区级平台接到的非紧急的关于行政管理服务方面的咨询、求助、投诉、意见和建议等事项。</w:t>
      </w:r>
    </w:p>
    <w:p>
      <w:pPr>
        <w:ind w:firstLine="480" w:firstLineChars="200"/>
        <w:rPr>
          <w:rFonts w:cs="宋体"/>
        </w:rPr>
      </w:pPr>
      <w:r>
        <w:rPr>
          <w:rFonts w:hint="eastAsia" w:cs="宋体"/>
        </w:rPr>
        <w:t>6.开展回访抽查。对各渠道平台工作的开展，不定时围绕回复内容、办理情况及群众满意度开展回访抽查，严把回复质量关，进一步推动成都东部新区网络理政工作高质量开展。</w:t>
      </w:r>
    </w:p>
    <w:p>
      <w:pPr>
        <w:ind w:firstLine="480" w:firstLineChars="200"/>
        <w:rPr>
          <w:rFonts w:cs="宋体"/>
        </w:rPr>
      </w:pPr>
      <w:r>
        <w:rPr>
          <w:rFonts w:hint="eastAsia" w:cs="宋体"/>
        </w:rPr>
        <w:t>7.开展紧急件及周末（节假日）工单派发、值守工作，确保工单及时转派、办理。</w:t>
      </w:r>
    </w:p>
    <w:p>
      <w:pPr>
        <w:ind w:firstLine="480" w:firstLineChars="200"/>
        <w:rPr>
          <w:rFonts w:cs="宋体"/>
        </w:rPr>
      </w:pPr>
      <w:r>
        <w:rPr>
          <w:rFonts w:hint="eastAsia" w:cs="宋体"/>
        </w:rPr>
        <w:t>8.开展其他涉及</w:t>
      </w:r>
      <w:r>
        <w:rPr>
          <w:rFonts w:hint="eastAsia" w:cs="宋体"/>
          <w:lang w:val="en-US" w:eastAsia="zh-CN"/>
        </w:rPr>
        <w:t>网络理政等相关的</w:t>
      </w:r>
      <w:r>
        <w:rPr>
          <w:rFonts w:hint="eastAsia" w:cs="宋体"/>
        </w:rPr>
        <w:t>工作。</w:t>
      </w:r>
    </w:p>
    <w:p>
      <w:pPr>
        <w:ind w:firstLine="482" w:firstLineChars="200"/>
        <w:rPr>
          <w:rFonts w:cs="宋体"/>
          <w:b/>
          <w:bCs/>
        </w:rPr>
      </w:pPr>
      <w:r>
        <w:rPr>
          <w:rFonts w:hint="eastAsia" w:cs="宋体"/>
          <w:b/>
          <w:bCs/>
        </w:rPr>
        <w:t>(二)服务要求</w:t>
      </w:r>
    </w:p>
    <w:p>
      <w:pPr>
        <w:pStyle w:val="24"/>
        <w:ind w:firstLine="480"/>
        <w:rPr>
          <w:rFonts w:ascii="宋体" w:eastAsia="宋体" w:cs="宋体"/>
          <w:kern w:val="0"/>
          <w:sz w:val="24"/>
        </w:rPr>
      </w:pPr>
      <w:r>
        <w:rPr>
          <w:rFonts w:hint="eastAsia" w:ascii="宋体" w:eastAsia="宋体" w:cs="宋体"/>
          <w:kern w:val="0"/>
          <w:sz w:val="24"/>
        </w:rPr>
        <w:t>1.在服务期限内，成交供应商应对服务内容按要求及时、准确地完成，并保证所提供的服务皆符合国家行业标准。</w:t>
      </w:r>
    </w:p>
    <w:p>
      <w:pPr>
        <w:pStyle w:val="24"/>
        <w:ind w:firstLine="480"/>
        <w:rPr>
          <w:rFonts w:ascii="宋体" w:eastAsia="宋体" w:cs="宋体"/>
          <w:kern w:val="0"/>
          <w:sz w:val="24"/>
        </w:rPr>
      </w:pPr>
      <w:r>
        <w:rPr>
          <w:rFonts w:hint="eastAsia" w:ascii="宋体" w:eastAsia="宋体" w:cs="宋体"/>
          <w:kern w:val="0"/>
          <w:sz w:val="24"/>
        </w:rPr>
        <w:t>2.组建不低于12人的服务团队，提供详细的组织架构。人员不足的，成交供应商要对服务团队及时进行补充；不能按照服务内容和标准提供服务的，成交供应商应及时进行调整，并提前向采购人进行告知。</w:t>
      </w:r>
    </w:p>
    <w:p>
      <w:pPr>
        <w:pStyle w:val="24"/>
        <w:ind w:firstLine="480"/>
        <w:rPr>
          <w:rFonts w:ascii="宋体" w:eastAsia="宋体" w:cs="宋体"/>
          <w:kern w:val="0"/>
          <w:sz w:val="24"/>
        </w:rPr>
      </w:pPr>
      <w:r>
        <w:rPr>
          <w:rFonts w:hint="eastAsia" w:ascii="宋体" w:eastAsia="宋体" w:cs="宋体"/>
          <w:kern w:val="0"/>
          <w:sz w:val="24"/>
        </w:rPr>
        <w:t>3.成交供应商应当对本项目服务过程中采购人提交的或获取的任何信息、文件、资料保密，并采取相应的保密措施，不得向任何第三人披露、泄露。</w:t>
      </w:r>
    </w:p>
    <w:p>
      <w:pPr>
        <w:pStyle w:val="24"/>
        <w:ind w:firstLine="480"/>
        <w:rPr>
          <w:rFonts w:ascii="宋体" w:eastAsia="宋体" w:cs="宋体"/>
          <w:kern w:val="0"/>
          <w:sz w:val="24"/>
        </w:rPr>
      </w:pPr>
      <w:r>
        <w:rPr>
          <w:rFonts w:hint="eastAsia" w:ascii="宋体" w:eastAsia="宋体" w:cs="宋体"/>
          <w:kern w:val="0"/>
          <w:sz w:val="24"/>
        </w:rPr>
        <w:t>4.成交供应商提供项目所需办公硬件设备及设备所需应用软件等，并负责维护、故障处理和产品升级。</w:t>
      </w:r>
    </w:p>
    <w:p>
      <w:pPr>
        <w:pStyle w:val="24"/>
        <w:ind w:firstLine="480"/>
        <w:rPr>
          <w:rFonts w:ascii="宋体" w:eastAsia="宋体" w:cs="宋体"/>
          <w:kern w:val="0"/>
          <w:sz w:val="24"/>
        </w:rPr>
      </w:pPr>
      <w:r>
        <w:rPr>
          <w:rFonts w:hint="eastAsia" w:ascii="宋体" w:eastAsia="宋体" w:cs="宋体"/>
          <w:kern w:val="0"/>
          <w:sz w:val="24"/>
        </w:rPr>
        <w:t>5.成交供应商应具备一定的应急处置能力，有专门的团队进行紧急事件的处理，指定专人对接，配合完成临时交办的工作或突发事件的处置，响应时间为7×24小时。</w:t>
      </w:r>
    </w:p>
    <w:p>
      <w:pPr>
        <w:pStyle w:val="24"/>
        <w:ind w:firstLine="480"/>
        <w:rPr>
          <w:rFonts w:ascii="宋体" w:eastAsia="宋体" w:cs="宋体"/>
          <w:kern w:val="0"/>
          <w:sz w:val="24"/>
        </w:rPr>
      </w:pPr>
      <w:r>
        <w:rPr>
          <w:rFonts w:hint="eastAsia" w:ascii="宋体" w:eastAsia="宋体" w:cs="宋体"/>
          <w:kern w:val="0"/>
          <w:sz w:val="24"/>
        </w:rPr>
        <w:t>6.合同期届满前，成交供应商应围绕项目周期内提供的服务内容、服务质量等，向</w:t>
      </w:r>
      <w:r>
        <w:rPr>
          <w:rFonts w:hint="eastAsia" w:ascii="宋体" w:eastAsia="宋体" w:cs="宋体"/>
          <w:kern w:val="0"/>
          <w:sz w:val="24"/>
          <w:lang w:val="en-US" w:eastAsia="zh-CN"/>
        </w:rPr>
        <w:t>采购人</w:t>
      </w:r>
      <w:r>
        <w:rPr>
          <w:rFonts w:hint="eastAsia" w:ascii="宋体" w:eastAsia="宋体" w:cs="宋体"/>
          <w:kern w:val="0"/>
          <w:sz w:val="24"/>
        </w:rPr>
        <w:t>提供服务报告。</w:t>
      </w:r>
    </w:p>
    <w:p>
      <w:pPr>
        <w:ind w:firstLine="482" w:firstLineChars="200"/>
        <w:rPr>
          <w:rFonts w:cs="宋体"/>
          <w:b/>
          <w:bCs/>
        </w:rPr>
      </w:pPr>
      <w:r>
        <w:rPr>
          <w:rFonts w:hint="eastAsia" w:cs="宋体"/>
          <w:b/>
          <w:bCs/>
        </w:rPr>
        <w:t>(三)服务质量标准</w:t>
      </w:r>
    </w:p>
    <w:p>
      <w:pPr>
        <w:pStyle w:val="47"/>
      </w:pPr>
      <w:r>
        <w:rPr>
          <w:rFonts w:hint="eastAsia"/>
        </w:rPr>
        <w:t>1.严格按照市、区两级网络理政工作办法和工作机制相关规定开展网络理政工作，在规定期限办理回复，不能出现超期情况。</w:t>
      </w:r>
    </w:p>
    <w:p>
      <w:pPr>
        <w:pStyle w:val="47"/>
      </w:pPr>
      <w:r>
        <w:rPr>
          <w:rFonts w:hint="eastAsia"/>
        </w:rPr>
        <w:t>2.严格按照紧急件受理及处理的相关规定，实行7</w:t>
      </w:r>
      <w:r>
        <w:rPr>
          <w:rFonts w:hint="eastAsia" w:cs="宋体"/>
          <w:kern w:val="0"/>
        </w:rPr>
        <w:t>×</w:t>
      </w:r>
      <w:r>
        <w:rPr>
          <w:rFonts w:hint="eastAsia"/>
        </w:rPr>
        <w:t>24小时值班制度，确保紧急件没有未接或漏接情况，并按照紧急件工作流程进行处理和回复。</w:t>
      </w:r>
    </w:p>
    <w:p>
      <w:pPr>
        <w:pStyle w:val="47"/>
      </w:pPr>
      <w:r>
        <w:rPr>
          <w:rFonts w:hint="eastAsia"/>
        </w:rPr>
        <w:t>3.根据工作需要，实行周末、节假日值班制度，确保诉求工单的及时转派。</w:t>
      </w:r>
    </w:p>
    <w:p>
      <w:pPr>
        <w:pStyle w:val="47"/>
      </w:pPr>
      <w:r>
        <w:rPr>
          <w:rFonts w:hint="eastAsia"/>
        </w:rPr>
        <w:t>4.成都东部新区网络理政平台受理的诉求平均办理回复时长不超过5个工作日。</w:t>
      </w:r>
    </w:p>
    <w:p>
      <w:pPr>
        <w:pStyle w:val="47"/>
      </w:pPr>
      <w:r>
        <w:rPr>
          <w:rFonts w:hint="eastAsia"/>
        </w:rPr>
        <w:t>5.成都东部新区受理的各渠道平台诉求回复率100%。</w:t>
      </w:r>
    </w:p>
    <w:p>
      <w:pPr>
        <w:pStyle w:val="36"/>
        <w:ind w:firstLine="482"/>
        <w:rPr>
          <w:rFonts w:cs="宋体"/>
        </w:rPr>
      </w:pPr>
      <w:bookmarkStart w:id="314" w:name="_Toc20526"/>
      <w:bookmarkStart w:id="315" w:name="_Toc5710"/>
      <w:r>
        <w:rPr>
          <w:rFonts w:hint="eastAsia" w:cs="宋体"/>
        </w:rPr>
        <w:t>履约能力要求</w:t>
      </w:r>
      <w:bookmarkEnd w:id="314"/>
      <w:bookmarkEnd w:id="315"/>
    </w:p>
    <w:p>
      <w:pPr>
        <w:numPr>
          <w:ilvl w:val="2"/>
          <w:numId w:val="22"/>
        </w:numPr>
        <w:wordWrap w:val="0"/>
        <w:topLinePunct/>
        <w:ind w:firstLine="482" w:firstLineChars="200"/>
        <w:outlineLvl w:val="2"/>
        <w:rPr>
          <w:rFonts w:cs="宋体"/>
          <w:b/>
          <w:snapToGrid w:val="0"/>
        </w:rPr>
      </w:pPr>
      <w:bookmarkStart w:id="316" w:name="_Toc5843"/>
      <w:bookmarkStart w:id="317" w:name="_Toc12482_WPSOffice_Level3"/>
      <w:bookmarkStart w:id="318" w:name="_Toc31706"/>
      <w:bookmarkStart w:id="319" w:name="_Toc18438"/>
      <w:bookmarkStart w:id="320" w:name="_Toc14286"/>
      <w:bookmarkStart w:id="321" w:name="_Toc1231"/>
      <w:bookmarkStart w:id="322" w:name="_Toc24535"/>
      <w:r>
        <w:rPr>
          <w:rFonts w:hint="eastAsia" w:cs="宋体"/>
          <w:b/>
          <w:snapToGrid w:val="0"/>
        </w:rPr>
        <w:t>履约能力</w:t>
      </w:r>
      <w:bookmarkEnd w:id="316"/>
      <w:bookmarkEnd w:id="317"/>
      <w:bookmarkEnd w:id="318"/>
      <w:bookmarkEnd w:id="319"/>
      <w:bookmarkEnd w:id="320"/>
      <w:bookmarkEnd w:id="321"/>
      <w:bookmarkEnd w:id="322"/>
    </w:p>
    <w:p>
      <w:pPr>
        <w:numPr>
          <w:ilvl w:val="3"/>
          <w:numId w:val="22"/>
        </w:numPr>
        <w:wordWrap w:val="0"/>
        <w:topLinePunct/>
        <w:ind w:firstLine="480" w:firstLineChars="200"/>
        <w:rPr>
          <w:rFonts w:cs="宋体"/>
        </w:rPr>
      </w:pPr>
      <w:r>
        <w:rPr>
          <w:rFonts w:hint="eastAsia" w:cs="宋体"/>
        </w:rPr>
        <w:t>履约经验(包含完成过类似项目的履约经验和得到业主好评的履约经验等)。</w:t>
      </w:r>
    </w:p>
    <w:p>
      <w:pPr>
        <w:numPr>
          <w:ilvl w:val="3"/>
          <w:numId w:val="22"/>
        </w:numPr>
        <w:wordWrap w:val="0"/>
        <w:topLinePunct/>
        <w:ind w:firstLine="480" w:firstLineChars="200"/>
        <w:rPr>
          <w:rFonts w:cs="宋体"/>
        </w:rPr>
      </w:pPr>
      <w:r>
        <w:rPr>
          <w:rFonts w:hint="eastAsia" w:cs="宋体"/>
        </w:rPr>
        <w:t>人员配置：拟投入本项目的负责人不得低于1人</w:t>
      </w:r>
      <w:r>
        <w:rPr>
          <w:rFonts w:hint="eastAsia" w:cs="宋体"/>
          <w:lang w:eastAsia="zh-CN"/>
        </w:rPr>
        <w:t>，</w:t>
      </w:r>
      <w:r>
        <w:rPr>
          <w:rFonts w:hint="eastAsia" w:cs="宋体"/>
        </w:rPr>
        <w:t>需具有本科及以上学历</w:t>
      </w:r>
      <w:r>
        <w:rPr>
          <w:rFonts w:hint="eastAsia" w:cs="宋体"/>
          <w:lang w:eastAsia="zh-CN"/>
        </w:rPr>
        <w:t>、</w:t>
      </w:r>
      <w:r>
        <w:rPr>
          <w:rFonts w:hint="eastAsia" w:cs="宋体"/>
          <w:szCs w:val="21"/>
        </w:rPr>
        <w:t>人力资源管理师资格</w:t>
      </w:r>
      <w:r>
        <w:rPr>
          <w:rFonts w:hint="eastAsia" w:cs="宋体"/>
        </w:rPr>
        <w:t>，团队成员不得低于11人</w:t>
      </w:r>
      <w:r>
        <w:rPr>
          <w:rFonts w:hint="eastAsia" w:cs="宋体"/>
          <w:lang w:eastAsia="zh-CN"/>
        </w:rPr>
        <w:t>，</w:t>
      </w:r>
      <w:r>
        <w:rPr>
          <w:rFonts w:hint="eastAsia" w:cs="宋体"/>
        </w:rPr>
        <w:t>需具有专科及以上学历。</w:t>
      </w:r>
    </w:p>
    <w:p>
      <w:pPr>
        <w:numPr>
          <w:ilvl w:val="3"/>
          <w:numId w:val="22"/>
        </w:numPr>
        <w:wordWrap w:val="0"/>
        <w:topLinePunct/>
        <w:ind w:firstLine="480" w:firstLineChars="200"/>
        <w:rPr>
          <w:rFonts w:cs="宋体"/>
        </w:rPr>
      </w:pPr>
      <w:r>
        <w:rPr>
          <w:rFonts w:hint="eastAsia" w:cs="宋体"/>
        </w:rPr>
        <w:t>管理体系：供应商具有有效的质量管理体系认证证书；供应商具有有效的环境保护管理体系认证证书；供应商具有有效的职业健康安全管理体系认证证书；供应商具有有效的企业诚信管理体系认证证书。</w:t>
      </w:r>
    </w:p>
    <w:p>
      <w:pPr>
        <w:numPr>
          <w:ilvl w:val="3"/>
          <w:numId w:val="22"/>
        </w:numPr>
        <w:wordWrap w:val="0"/>
        <w:topLinePunct/>
        <w:ind w:firstLine="480" w:firstLineChars="200"/>
        <w:rPr>
          <w:rFonts w:cs="宋体"/>
        </w:rPr>
      </w:pPr>
      <w:r>
        <w:rPr>
          <w:rFonts w:hint="eastAsia" w:cs="宋体"/>
        </w:rPr>
        <w:t>其他有利于项目实施的承诺或相关材料(由供应商根据自身情况和项目特点自行提供)。</w:t>
      </w:r>
    </w:p>
    <w:p>
      <w:pPr>
        <w:numPr>
          <w:ilvl w:val="2"/>
          <w:numId w:val="22"/>
        </w:numPr>
        <w:wordWrap w:val="0"/>
        <w:topLinePunct/>
        <w:ind w:firstLine="482" w:firstLineChars="200"/>
        <w:outlineLvl w:val="2"/>
        <w:rPr>
          <w:rFonts w:cs="宋体"/>
          <w:b/>
          <w:snapToGrid w:val="0"/>
        </w:rPr>
      </w:pPr>
      <w:bookmarkStart w:id="323" w:name="_Toc15887_WPSOffice_Level3"/>
      <w:bookmarkStart w:id="324" w:name="_Toc10782"/>
      <w:bookmarkStart w:id="325" w:name="_Toc24390"/>
      <w:bookmarkStart w:id="326" w:name="_Toc2615"/>
      <w:bookmarkStart w:id="327" w:name="_Toc15366"/>
      <w:bookmarkStart w:id="328" w:name="_Toc13251"/>
      <w:bookmarkStart w:id="329" w:name="_Toc11229"/>
      <w:r>
        <w:rPr>
          <w:rFonts w:hint="eastAsia" w:cs="宋体"/>
          <w:b/>
          <w:snapToGrid w:val="0"/>
        </w:rPr>
        <w:t>服务方案</w:t>
      </w:r>
      <w:bookmarkEnd w:id="323"/>
      <w:bookmarkEnd w:id="324"/>
      <w:bookmarkEnd w:id="325"/>
      <w:bookmarkEnd w:id="326"/>
      <w:bookmarkEnd w:id="327"/>
      <w:bookmarkEnd w:id="328"/>
      <w:bookmarkEnd w:id="329"/>
    </w:p>
    <w:p>
      <w:pPr>
        <w:numPr>
          <w:ilvl w:val="3"/>
          <w:numId w:val="22"/>
        </w:numPr>
        <w:wordWrap w:val="0"/>
        <w:topLinePunct/>
        <w:ind w:firstLine="480" w:firstLineChars="200"/>
        <w:rPr>
          <w:rFonts w:cs="宋体"/>
        </w:rPr>
      </w:pPr>
      <w:r>
        <w:rPr>
          <w:rFonts w:hint="eastAsia" w:cs="宋体"/>
        </w:rPr>
        <w:t>项目需求分析(包括</w:t>
      </w:r>
      <w:r>
        <w:rPr>
          <w:rFonts w:hint="eastAsia" w:cs="宋体"/>
          <w:szCs w:val="21"/>
        </w:rPr>
        <w:t>①项目需求理解、②项目背景分析、③重点难点的分析理解及应对措施等内容</w:t>
      </w:r>
      <w:r>
        <w:rPr>
          <w:rFonts w:hint="eastAsia" w:cs="宋体"/>
        </w:rPr>
        <w:t>)；</w:t>
      </w:r>
    </w:p>
    <w:p>
      <w:pPr>
        <w:numPr>
          <w:ilvl w:val="3"/>
          <w:numId w:val="22"/>
        </w:numPr>
        <w:wordWrap w:val="0"/>
        <w:topLinePunct/>
        <w:ind w:firstLine="480" w:firstLineChars="200"/>
        <w:rPr>
          <w:rFonts w:cs="宋体"/>
        </w:rPr>
      </w:pPr>
      <w:r>
        <w:rPr>
          <w:rFonts w:hint="eastAsia" w:cs="宋体"/>
        </w:rPr>
        <w:t>项目实施方案(包含</w:t>
      </w:r>
      <w:r>
        <w:rPr>
          <w:rFonts w:hint="eastAsia" w:cs="宋体"/>
          <w:szCs w:val="21"/>
        </w:rPr>
        <w:t>①工作实施重点、②人员培训制度、③服务质量保障措施、④日常考核办法、⑤应急处理预案、⑥与相关部门衔接工作安排等内容</w:t>
      </w:r>
      <w:r>
        <w:rPr>
          <w:rFonts w:hint="eastAsia" w:cs="宋体"/>
        </w:rPr>
        <w:t>)；</w:t>
      </w:r>
    </w:p>
    <w:p>
      <w:pPr>
        <w:numPr>
          <w:ilvl w:val="3"/>
          <w:numId w:val="22"/>
        </w:numPr>
        <w:wordWrap w:val="0"/>
        <w:topLinePunct/>
        <w:ind w:firstLine="480" w:firstLineChars="200"/>
        <w:rPr>
          <w:rFonts w:asciiTheme="minorEastAsia" w:hAnsiTheme="minorEastAsia" w:eastAsiaTheme="minorEastAsia" w:cstheme="minorEastAsia"/>
        </w:rPr>
      </w:pPr>
      <w:r>
        <w:rPr>
          <w:rFonts w:hint="eastAsia" w:cs="宋体"/>
        </w:rPr>
        <w:t>保密方案(包含</w:t>
      </w:r>
      <w:r>
        <w:rPr>
          <w:rFonts w:hint="eastAsia" w:cs="宋体"/>
          <w:szCs w:val="21"/>
        </w:rPr>
        <w:t>①保密制度、②保密措施、③保密内容、④保密机构设置等内容</w:t>
      </w:r>
      <w:r>
        <w:rPr>
          <w:rFonts w:hint="eastAsia" w:cs="宋体"/>
        </w:rPr>
        <w:t>)</w:t>
      </w:r>
      <w:r>
        <w:rPr>
          <w:rFonts w:hint="eastAsia" w:asciiTheme="minorEastAsia" w:hAnsiTheme="minorEastAsia" w:eastAsiaTheme="minorEastAsia" w:cstheme="minorEastAsia"/>
        </w:rPr>
        <w:t>。</w:t>
      </w:r>
    </w:p>
    <w:p>
      <w:pPr>
        <w:pStyle w:val="36"/>
        <w:ind w:firstLine="482"/>
      </w:pPr>
      <w:bookmarkStart w:id="330" w:name="_Toc26006"/>
      <w:r>
        <w:rPr>
          <w:rFonts w:hint="eastAsia"/>
        </w:rPr>
        <w:t>★履约时间及方式</w:t>
      </w:r>
      <w:bookmarkEnd w:id="330"/>
    </w:p>
    <w:p>
      <w:pPr>
        <w:pStyle w:val="69"/>
        <w:wordWrap w:val="0"/>
        <w:snapToGrid/>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1.履约时间：政府采购合同签订生效后8个月</w:t>
      </w:r>
      <w:r>
        <w:rPr>
          <w:rFonts w:hint="eastAsia" w:asciiTheme="minorEastAsia" w:hAnsiTheme="minorEastAsia" w:eastAsiaTheme="minorEastAsia" w:cstheme="minorEastAsia"/>
          <w:sz w:val="24"/>
          <w:szCs w:val="24"/>
        </w:rPr>
        <w:t>。</w:t>
      </w:r>
    </w:p>
    <w:p>
      <w:pPr>
        <w:pStyle w:val="69"/>
        <w:wordWrap w:val="0"/>
        <w:snapToGrid/>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2.履约方式：按照政府采购合同进行履约。</w:t>
      </w:r>
    </w:p>
    <w:p>
      <w:pPr>
        <w:pStyle w:val="36"/>
        <w:ind w:firstLine="482"/>
      </w:pPr>
      <w:bookmarkStart w:id="331" w:name="_Toc22527"/>
      <w:r>
        <w:rPr>
          <w:rFonts w:hint="eastAsia" w:asciiTheme="minorEastAsia" w:hAnsiTheme="minorEastAsia" w:eastAsiaTheme="minorEastAsia" w:cstheme="minorEastAsia"/>
          <w:b/>
          <w:bCs/>
        </w:rPr>
        <w:t>★</w:t>
      </w:r>
      <w:r>
        <w:rPr>
          <w:rFonts w:hint="eastAsia"/>
        </w:rPr>
        <w:t>商务要求</w:t>
      </w:r>
      <w:bookmarkEnd w:id="331"/>
    </w:p>
    <w:p>
      <w:pPr>
        <w:numPr>
          <w:ilvl w:val="0"/>
          <w:numId w:val="23"/>
        </w:numPr>
        <w:tabs>
          <w:tab w:val="clear" w:pos="312"/>
        </w:tabs>
        <w:ind w:firstLine="482" w:firstLineChars="200"/>
        <w:rPr>
          <w:rFonts w:cs="宋体"/>
        </w:rPr>
      </w:pPr>
      <w:r>
        <w:rPr>
          <w:rFonts w:hint="eastAsia" w:asciiTheme="minorEastAsia" w:hAnsiTheme="minorEastAsia" w:eastAsiaTheme="minorEastAsia" w:cstheme="minorEastAsia"/>
          <w:b/>
          <w:bCs/>
        </w:rPr>
        <w:t>合同价款</w:t>
      </w:r>
      <w:bookmarkStart w:id="499" w:name="_GoBack"/>
      <w:bookmarkEnd w:id="499"/>
    </w:p>
    <w:p>
      <w:pPr>
        <w:ind w:firstLine="480" w:firstLineChars="200"/>
        <w:rPr>
          <w:rFonts w:asciiTheme="minorEastAsia" w:hAnsiTheme="minorEastAsia" w:cstheme="minorEastAsia"/>
          <w:b/>
          <w:bCs/>
        </w:rPr>
      </w:pPr>
      <w:r>
        <w:rPr>
          <w:rFonts w:hint="eastAsia" w:cs="宋体"/>
        </w:rPr>
        <w:t>合同价是供应商完成本项目全部服务内容的价格体现，包括但不限于人工劳务、设施设备投入、管理、利润、保险、税金、风险等一切费用。</w:t>
      </w:r>
    </w:p>
    <w:p>
      <w:pPr>
        <w:numPr>
          <w:ilvl w:val="0"/>
          <w:numId w:val="23"/>
        </w:numPr>
        <w:tabs>
          <w:tab w:val="clear" w:pos="312"/>
        </w:tabs>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付款方式</w:t>
      </w:r>
    </w:p>
    <w:p>
      <w:pPr>
        <w:pStyle w:val="69"/>
        <w:wordWrap w:val="0"/>
        <w:snapToGrid/>
        <w:spacing w:line="440" w:lineRule="exact"/>
        <w:ind w:firstLine="48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按月支付，每月支付的金额为供应商成交价÷8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次月10号支付上月的劳务费用</w:t>
      </w:r>
    </w:p>
    <w:p>
      <w:pPr>
        <w:pStyle w:val="69"/>
        <w:wordWrap w:val="0"/>
        <w:snapToGrid/>
        <w:spacing w:line="440" w:lineRule="exact"/>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2.成交供应商须向采购人出具合法有效完整的完税发票</w:t>
      </w:r>
      <w:r>
        <w:rPr>
          <w:rFonts w:hint="eastAsia" w:asciiTheme="minorEastAsia" w:hAnsiTheme="minorEastAsia" w:eastAsiaTheme="minorEastAsia" w:cstheme="minorEastAsia"/>
          <w:sz w:val="24"/>
          <w:szCs w:val="24"/>
        </w:rPr>
        <w:t>及凭证资料后进行支付结算，付款方式均采用公对公的银行转账，供应商接受转账的开户信息以采购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合同载明的为准。</w:t>
      </w:r>
    </w:p>
    <w:p>
      <w:pPr>
        <w:numPr>
          <w:ilvl w:val="0"/>
          <w:numId w:val="23"/>
        </w:numPr>
        <w:tabs>
          <w:tab w:val="clear" w:pos="312"/>
        </w:tabs>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违约责任</w:t>
      </w:r>
    </w:p>
    <w:p>
      <w:pPr>
        <w:adjustRightInd/>
        <w:snapToGrid/>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1.供应商必须遵守采购合同并执行合同中的各项规定，保证采购合同的正常履行。</w:t>
      </w:r>
    </w:p>
    <w:p>
      <w:pPr>
        <w:adjustRightInd/>
        <w:snapToGrid/>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bCs/>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0"/>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4.有下列情形之一的，当事人可以解除合同：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4.1因不可抗力致使不能实现合同目的(由于非供应商或采购人原因，致使合同实质性条款无法实现的)；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4.2当事人一方迟延履行主要</w:t>
      </w:r>
      <w:r>
        <w:rPr>
          <w:rFonts w:hint="eastAsia" w:asciiTheme="minorEastAsia" w:hAnsiTheme="minorEastAsia" w:eastAsiaTheme="minorEastAsia" w:cstheme="minorEastAsia"/>
          <w:sz w:val="24"/>
          <w:szCs w:val="24"/>
          <w:lang w:val="en-US" w:eastAsia="zh-CN"/>
        </w:rPr>
        <w:t>义</w:t>
      </w:r>
      <w:r>
        <w:rPr>
          <w:rFonts w:hint="eastAsia" w:asciiTheme="minorEastAsia" w:hAnsiTheme="minorEastAsia" w:eastAsiaTheme="minorEastAsia" w:cstheme="minorEastAsia"/>
          <w:sz w:val="24"/>
          <w:szCs w:val="24"/>
        </w:rPr>
        <w:t>务，经催告后在合理期限内仍未履行；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4.3当事人一方迟延履行</w:t>
      </w:r>
      <w:r>
        <w:rPr>
          <w:rFonts w:hint="eastAsia" w:asciiTheme="minorEastAsia" w:hAnsiTheme="minorEastAsia" w:eastAsiaTheme="minorEastAsia" w:cstheme="minorEastAsia"/>
          <w:sz w:val="24"/>
          <w:szCs w:val="24"/>
          <w:lang w:val="en-US" w:eastAsia="zh-CN"/>
        </w:rPr>
        <w:t>义</w:t>
      </w:r>
      <w:r>
        <w:rPr>
          <w:rFonts w:hint="eastAsia" w:asciiTheme="minorEastAsia" w:hAnsiTheme="minorEastAsia" w:eastAsiaTheme="minorEastAsia" w:cstheme="minorEastAsia"/>
          <w:sz w:val="24"/>
          <w:szCs w:val="24"/>
        </w:rPr>
        <w:t>务或者有其他违约行为致使不能实现合同目的；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4.4法律规定的其他情形。</w:t>
      </w:r>
    </w:p>
    <w:p>
      <w:pPr>
        <w:numPr>
          <w:ilvl w:val="0"/>
          <w:numId w:val="23"/>
        </w:numPr>
        <w:tabs>
          <w:tab w:val="clear" w:pos="312"/>
        </w:tabs>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解决争议的方法</w:t>
      </w:r>
    </w:p>
    <w:p>
      <w:pPr>
        <w:pStyle w:val="70"/>
        <w:wordWrap w:val="0"/>
        <w:topLinePunct/>
        <w:snapToGrid/>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1.因服务的质量问题发生争议，由采购人或其指定的第三方机构进行质量鉴定。服务符合标准的，鉴定费由采购人承担；服务不符合质量标准的，鉴定费由供应商承担。</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2.合同履行期间，若双方发生争议，可协商或由有关部门调解解决，协商或调解不成的，向</w:t>
      </w:r>
      <w:r>
        <w:rPr>
          <w:rFonts w:hint="eastAsia" w:asciiTheme="minorEastAsia" w:hAnsiTheme="minorEastAsia" w:eastAsiaTheme="minorEastAsia" w:cstheme="minorEastAsia"/>
          <w:u w:val="single"/>
        </w:rPr>
        <w:t>项目所在地</w:t>
      </w:r>
      <w:r>
        <w:rPr>
          <w:rFonts w:hint="eastAsia" w:asciiTheme="minorEastAsia" w:hAnsiTheme="minorEastAsia" w:eastAsiaTheme="minorEastAsia" w:cstheme="minorEastAsia"/>
        </w:rPr>
        <w:t>仲裁委员会申请仲裁。</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3.仲裁裁决应为最终决定，并对双方具有约束力。</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4.除另有裁决外，仲裁费应由败诉方负担。 </w:t>
      </w:r>
    </w:p>
    <w:p>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5.在仲裁期间，除正在进行仲裁部分外，合同其他部分继续执行。</w:t>
      </w:r>
    </w:p>
    <w:p>
      <w:pPr>
        <w:pStyle w:val="36"/>
        <w:ind w:firstLine="482"/>
      </w:pPr>
      <w:bookmarkStart w:id="332" w:name="_Toc30521"/>
      <w:r>
        <w:rPr>
          <w:rFonts w:hint="eastAsia"/>
        </w:rPr>
        <w:t>★其他要求</w:t>
      </w:r>
      <w:bookmarkEnd w:id="332"/>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(一)政府采购合同签订时间：供应商成交后，自成交通知书发出之日起30日内与采购单位签订政府采购合同。</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(二)采购人定期核对供应商提供服务所配备的人员数量及相关信息，对于未按照采购文件要求执行或存在不合理的部分有权下达整改通知书，并要求供应商限期整改。</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(三)接受项目行业管理部门及政府有关部门的指导，接受采购人的监督。</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w:t>
      </w:r>
      <w:r>
        <w:rPr>
          <w:rFonts w:hint="eastAsia"/>
        </w:rPr>
        <w:t xml:space="preserve"> 供应商须承诺拟投入的人员</w:t>
      </w:r>
      <w:r>
        <w:rPr>
          <w:rFonts w:hint="eastAsia" w:asciiTheme="minorEastAsia" w:hAnsiTheme="minorEastAsia" w:eastAsiaTheme="minorEastAsia" w:cstheme="minorEastAsia"/>
        </w:rPr>
        <w:t>每人的劳务费用不低于</w:t>
      </w:r>
      <w:r>
        <w:rPr>
          <w:rFonts w:asciiTheme="minorEastAsia" w:hAnsiTheme="minorEastAsia" w:eastAsiaTheme="minorEastAsia" w:cstheme="minorEastAsia"/>
        </w:rPr>
        <w:t>6000元/月</w:t>
      </w:r>
      <w:r>
        <w:rPr>
          <w:rFonts w:hint="eastAsia" w:asciiTheme="minorEastAsia" w:hAnsiTheme="minorEastAsia" w:eastAsiaTheme="minorEastAsia" w:cstheme="minorEastAsia"/>
        </w:rPr>
        <w:t>（供应商须在其他响应文件单独提供承诺函，格式自拟）。</w:t>
      </w:r>
    </w:p>
    <w:p>
      <w:pPr>
        <w:pStyle w:val="36"/>
        <w:ind w:firstLine="482"/>
      </w:pPr>
      <w:bookmarkStart w:id="333" w:name="_Toc30362"/>
      <w:r>
        <w:rPr>
          <w:rFonts w:hint="eastAsia"/>
        </w:rPr>
        <w:t>★履约验收</w:t>
      </w:r>
      <w:bookmarkEnd w:id="333"/>
    </w:p>
    <w:p>
      <w:pPr>
        <w:pStyle w:val="4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期届满前，采购人根据成交供应商提供的服务报告，结合实际提供服务的情况，并按照《财政部关于进一步加强政府采购需求和履约验收管理的指导意见》（财库〔2016〕205号）围绕服务质量标准、服务团队、成交供应商处理紧急事务响应能力、合同期是否有违约情况等维度设置服务验收标准，验收达到85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及以上为合格。验收不合格的，采购人将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按照供应商得分情况进行处罚；得分为85分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不含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-75分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扣3000元；得分为75分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不含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-70分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扣6000元；得分为70分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不含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以下的扣9000元。</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2007"/>
        <w:gridCol w:w="589"/>
        <w:gridCol w:w="6256"/>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bCs/>
                <w:kern w:val="0"/>
                <w:sz w:val="21"/>
                <w:szCs w:val="21"/>
              </w:rPr>
            </w:pPr>
            <w:r>
              <w:rPr>
                <w:rFonts w:hint="eastAsia" w:cs="宋体"/>
                <w:bCs/>
                <w:kern w:val="0"/>
                <w:sz w:val="21"/>
                <w:szCs w:val="21"/>
              </w:rPr>
              <w:t>序号</w:t>
            </w:r>
          </w:p>
        </w:tc>
        <w:tc>
          <w:tcPr>
            <w:tcW w:w="100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bCs/>
                <w:kern w:val="0"/>
                <w:sz w:val="21"/>
                <w:szCs w:val="21"/>
              </w:rPr>
            </w:pPr>
            <w:r>
              <w:rPr>
                <w:rFonts w:hint="eastAsia" w:cs="宋体"/>
                <w:bCs/>
                <w:kern w:val="0"/>
                <w:sz w:val="21"/>
                <w:szCs w:val="21"/>
              </w:rPr>
              <w:t>验收内容</w:t>
            </w:r>
          </w:p>
        </w:tc>
        <w:tc>
          <w:tcPr>
            <w:tcW w:w="2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bCs/>
                <w:kern w:val="0"/>
                <w:sz w:val="21"/>
                <w:szCs w:val="21"/>
              </w:rPr>
            </w:pPr>
            <w:r>
              <w:rPr>
                <w:rFonts w:hint="eastAsia" w:cs="宋体"/>
                <w:bCs/>
                <w:kern w:val="0"/>
                <w:sz w:val="21"/>
                <w:szCs w:val="21"/>
              </w:rPr>
              <w:t>分值</w:t>
            </w:r>
          </w:p>
        </w:tc>
        <w:tc>
          <w:tcPr>
            <w:tcW w:w="31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bCs/>
                <w:kern w:val="0"/>
                <w:sz w:val="21"/>
                <w:szCs w:val="21"/>
              </w:rPr>
            </w:pPr>
            <w:r>
              <w:rPr>
                <w:rFonts w:hint="eastAsia" w:cs="宋体"/>
                <w:bCs/>
                <w:kern w:val="0"/>
                <w:sz w:val="21"/>
                <w:szCs w:val="21"/>
              </w:rPr>
              <w:t>评分标准</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bCs/>
                <w:kern w:val="0"/>
                <w:sz w:val="21"/>
                <w:szCs w:val="21"/>
              </w:rPr>
            </w:pPr>
            <w:r>
              <w:rPr>
                <w:rFonts w:hint="eastAsia" w:cs="宋体"/>
                <w:bCs/>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工作流程和机制</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15</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未按照市、区两级网络理政工作办法和工作机制相关规定开展网络理政工作的，每次扣2分；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2</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超期情况</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10</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全年办件不超期得满分，超期一次扣5分，以此类推，单项扣完为止；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9"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3</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紧急件处置</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3</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实行7×24小时紧急件值班制度，无制度此项不得分；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4</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紧急件出现未接或漏接情况，每次扣1分，依此类推，单项扣完为止；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4</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未按照紧急件工作流程进行处理和回复，每次扣1分，依此类推，单项扣完为止；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9"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4</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派单值班制度</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3</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实行周末、节假日值班制度，无制度此项不得分；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4</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对周末、节假日受理的诉求工单未进行及时转派的，每次扣1分，依此类推，单项扣完为止；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5</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平均回复周期</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10</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全年诉求平均办理回复周期不超过5个工作日得满分，超过5个工作日，此项不得分；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6</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诉求回复率</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10</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全年各渠道平台诉求回复率100%，未达到100%，此项不得分；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39"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7</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服务团队</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10</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服务团队组建数量不足的，此项不得分；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6</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服务团队人员工作能力与岗位不匹配，供应商未及时调整的，采购人主动沟通一次扣2分，依此类推，单项扣完为止；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6</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未落实服务团队建设、管理及工作考核方案的，一次扣2分，依此类推，单项扣完为止；</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9"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8</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提供硬件及硬件所需软件</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3</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提供项目所需办公硬件设备及设备所需应用软件的，此项得满分，未提供不得分；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bCs/>
                <w:kern w:val="0"/>
                <w:sz w:val="21"/>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2</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及时进行维护、故障处理和产品升级的，此项得满分，未提供此项的不得分；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9</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响应能力</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5</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无专人对接，扣1分；无专门的团队进行紧急事件的处理，扣2分；响应时间不是7×24小时，扣2分；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10</w:t>
            </w:r>
          </w:p>
        </w:tc>
        <w:tc>
          <w:tcPr>
            <w:tcW w:w="10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违约情况</w:t>
            </w:r>
          </w:p>
        </w:tc>
        <w:tc>
          <w:tcPr>
            <w:tcW w:w="29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5</w:t>
            </w:r>
          </w:p>
        </w:tc>
        <w:tc>
          <w:tcPr>
            <w:tcW w:w="3142" w:type="pc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Cs/>
                <w:kern w:val="0"/>
                <w:sz w:val="21"/>
                <w:szCs w:val="21"/>
              </w:rPr>
            </w:pPr>
            <w:r>
              <w:rPr>
                <w:rFonts w:hint="eastAsia" w:cs="宋体"/>
                <w:bCs/>
                <w:kern w:val="0"/>
                <w:sz w:val="21"/>
                <w:szCs w:val="21"/>
              </w:rPr>
              <w:t>存在合同规定的违约情况的，违约一条，此项不得分</w:t>
            </w:r>
          </w:p>
        </w:tc>
        <w:tc>
          <w:tcPr>
            <w:tcW w:w="3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43"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r>
              <w:rPr>
                <w:rFonts w:hint="eastAsia" w:cs="宋体"/>
                <w:bCs/>
                <w:kern w:val="0"/>
                <w:sz w:val="21"/>
                <w:szCs w:val="21"/>
              </w:rPr>
              <w:t>总得分</w:t>
            </w:r>
          </w:p>
        </w:tc>
        <w:tc>
          <w:tcPr>
            <w:tcW w:w="3456"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Cs/>
                <w:kern w:val="0"/>
                <w:sz w:val="21"/>
                <w:szCs w:val="21"/>
              </w:rPr>
            </w:pPr>
          </w:p>
        </w:tc>
      </w:tr>
    </w:tbl>
    <w:p>
      <w:pPr>
        <w:pStyle w:val="47"/>
        <w:rPr>
          <w:rFonts w:asciiTheme="minorEastAsia" w:hAnsiTheme="minorEastAsia" w:eastAsiaTheme="minorEastAsia" w:cstheme="minorEastAsia"/>
          <w:color w:val="000000" w:themeColor="text1"/>
          <w14:textFill>
            <w14:solidFill>
              <w14:schemeClr w14:val="tx1"/>
            </w14:solidFill>
          </w14:textFill>
        </w:rPr>
      </w:pPr>
    </w:p>
    <w:p>
      <w:pPr>
        <w:pStyle w:val="48"/>
        <w:ind w:firstLine="482"/>
      </w:pPr>
      <w:r>
        <w:rPr>
          <w:rFonts w:hint="eastAsia"/>
        </w:rPr>
        <w:t>注意：1.本章带“</w:t>
      </w:r>
      <w:r>
        <w:rPr>
          <w:rFonts w:hint="eastAsia" w:cs="宋体"/>
        </w:rPr>
        <w:t>★</w:t>
      </w:r>
      <w:r>
        <w:rPr>
          <w:rFonts w:hint="eastAsia"/>
        </w:rPr>
        <w:t>”号条款为实质性要求，供应商若未满足的，将被视为无效投标。</w:t>
      </w:r>
    </w:p>
    <w:p>
      <w:pPr>
        <w:pStyle w:val="48"/>
        <w:ind w:firstLine="482"/>
      </w:pPr>
      <w:r>
        <w:rPr>
          <w:rFonts w:hint="eastAsia"/>
        </w:rPr>
        <w:t>2.本章的要求不能作为资格性条件要求评审，如存在资格性条件要求，应当认定磋商文件编制存在重大缺陷，磋商小组应当停止评审。</w:t>
      </w:r>
    </w:p>
    <w:p>
      <w:pPr>
        <w:pStyle w:val="44"/>
      </w:pPr>
      <w:r>
        <w:rPr>
          <w:rFonts w:hint="eastAsia"/>
        </w:rPr>
        <w:br w:type="page"/>
      </w:r>
    </w:p>
    <w:bookmarkEnd w:id="294"/>
    <w:bookmarkEnd w:id="295"/>
    <w:bookmarkEnd w:id="296"/>
    <w:p>
      <w:pPr>
        <w:pStyle w:val="49"/>
        <w:spacing w:before="120" w:after="120"/>
      </w:pPr>
      <w:bookmarkStart w:id="334" w:name="_Hlt101846155"/>
      <w:bookmarkEnd w:id="334"/>
      <w:bookmarkStart w:id="335" w:name="_Toc12577"/>
      <w:bookmarkStart w:id="336" w:name="_Toc509579145"/>
      <w:bookmarkStart w:id="337" w:name="_Toc41037907"/>
      <w:bookmarkStart w:id="338" w:name="_Toc24567"/>
      <w:bookmarkStart w:id="339" w:name="_Toc183682415"/>
      <w:bookmarkStart w:id="340" w:name="_Toc21302"/>
      <w:bookmarkStart w:id="341" w:name="_Toc307564896"/>
      <w:bookmarkStart w:id="342" w:name="_Toc3881"/>
      <w:bookmarkStart w:id="343" w:name="_Toc307501154"/>
      <w:bookmarkStart w:id="344" w:name="_Toc327196339"/>
      <w:bookmarkStart w:id="345" w:name="_Toc217446097"/>
      <w:bookmarkStart w:id="346" w:name="_Toc25435"/>
      <w:bookmarkStart w:id="347" w:name="_Toc208849007"/>
      <w:bookmarkStart w:id="348" w:name="_Toc308084645"/>
      <w:bookmarkStart w:id="349" w:name="_Toc183582280"/>
      <w:bookmarkStart w:id="350" w:name="_Toc2232"/>
      <w:bookmarkStart w:id="351" w:name="_Toc319440188"/>
      <w:bookmarkStart w:id="352" w:name="_Toc26923"/>
      <w:bookmarkStart w:id="353" w:name="_Toc308188198"/>
      <w:bookmarkStart w:id="354" w:name="_Toc1543"/>
      <w:bookmarkStart w:id="355" w:name="_Toc25959"/>
      <w:bookmarkStart w:id="356" w:name="_Toc11039"/>
      <w:bookmarkStart w:id="357" w:name="_Toc319439946"/>
      <w:bookmarkStart w:id="358" w:name="_Toc483"/>
      <w:bookmarkStart w:id="359" w:name="_Toc4553"/>
      <w:bookmarkStart w:id="360" w:name="_Toc309897563"/>
      <w:r>
        <w:rPr>
          <w:rFonts w:hint="eastAsia"/>
        </w:rPr>
        <w:t>磋商内容、磋商过程中可实质性变动的内容</w:t>
      </w:r>
      <w:bookmarkEnd w:id="335"/>
      <w:bookmarkEnd w:id="336"/>
      <w:bookmarkEnd w:id="337"/>
      <w:bookmarkEnd w:id="338"/>
    </w:p>
    <w:p>
      <w:pPr>
        <w:pStyle w:val="47"/>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
        <w:rPr>
          <w:rFonts w:hint="eastAsia"/>
        </w:rPr>
        <w:br w:type="page"/>
      </w:r>
    </w:p>
    <w:p>
      <w:pPr>
        <w:pStyle w:val="49"/>
        <w:numPr>
          <w:ilvl w:val="0"/>
          <w:numId w:val="20"/>
        </w:numPr>
        <w:spacing w:before="120" w:after="120"/>
      </w:pPr>
      <w:bookmarkStart w:id="361" w:name="_Toc12623"/>
      <w:r>
        <w:rPr>
          <w:rFonts w:hint="eastAsia"/>
        </w:rPr>
        <w:t>磋商程序</w:t>
      </w:r>
      <w:bookmarkEnd w:id="361"/>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pStyle w:val="47"/>
      </w:pPr>
      <w:bookmarkStart w:id="362" w:name="_Toc28956"/>
      <w:r>
        <w:rPr>
          <w:rFonts w:hint="eastAsia"/>
        </w:rPr>
        <w:t>根据《中华人民共和国政府采购法》、《中华人民共和国政府采购法实施条例》、《政府采购竞争性磋商采购方式管理暂行办法》等法律法规并结合本次采购项目的特点制定本评审程序、评审方法、评审标准。</w:t>
      </w:r>
    </w:p>
    <w:p>
      <w:pPr>
        <w:pStyle w:val="36"/>
        <w:ind w:firstLine="482"/>
      </w:pPr>
      <w:bookmarkStart w:id="363" w:name="_Toc7941"/>
      <w:bookmarkStart w:id="364" w:name="_Toc2345"/>
      <w:r>
        <w:rPr>
          <w:rFonts w:hint="eastAsia"/>
        </w:rPr>
        <w:t>磋商小组及专家组成</w:t>
      </w:r>
      <w:bookmarkEnd w:id="363"/>
      <w:bookmarkEnd w:id="364"/>
    </w:p>
    <w:p>
      <w:pPr>
        <w:pStyle w:val="47"/>
      </w:pPr>
      <w:r>
        <w:rPr>
          <w:rFonts w:hint="eastAsia"/>
        </w:rPr>
        <w:t>根据《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7"/>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7"/>
      </w:pPr>
      <w:r>
        <w:rPr>
          <w:rFonts w:hint="eastAsia"/>
        </w:rPr>
        <w:t>磋商文件内容违反国家有关强制性规定的，磋商小组应当停止评审并向采购人或者采购代理机构说明情况(注明法律法规依据)。</w:t>
      </w:r>
    </w:p>
    <w:p>
      <w:pPr>
        <w:pStyle w:val="36"/>
        <w:ind w:firstLine="482"/>
      </w:pPr>
      <w:bookmarkStart w:id="365" w:name="_Toc15935"/>
      <w:bookmarkStart w:id="366" w:name="_Toc2442"/>
      <w:bookmarkStart w:id="367" w:name="_Toc15700"/>
      <w:bookmarkStart w:id="368" w:name="_Toc10809"/>
      <w:bookmarkStart w:id="369" w:name="_Toc357"/>
      <w:r>
        <w:rPr>
          <w:rFonts w:hint="eastAsia"/>
        </w:rPr>
        <w:t>磋商组织</w:t>
      </w:r>
      <w:bookmarkEnd w:id="365"/>
      <w:bookmarkEnd w:id="366"/>
      <w:bookmarkEnd w:id="367"/>
      <w:bookmarkEnd w:id="368"/>
      <w:bookmarkEnd w:id="369"/>
    </w:p>
    <w:p>
      <w:pPr>
        <w:pStyle w:val="47"/>
      </w:pPr>
      <w:r>
        <w:rPr>
          <w:rFonts w:hint="eastAsia"/>
          <w:lang w:val="zh-CN"/>
        </w:rPr>
        <w:t>磋商工作由采购代理机构组织，具体磋商事务由依法组建的磋商小组负责。</w:t>
      </w:r>
    </w:p>
    <w:p>
      <w:pPr>
        <w:pStyle w:val="36"/>
        <w:ind w:firstLine="482"/>
      </w:pPr>
      <w:bookmarkStart w:id="370" w:name="_Toc19418"/>
      <w:bookmarkStart w:id="371" w:name="_Toc10940"/>
      <w:bookmarkStart w:id="372" w:name="_Toc30112"/>
      <w:bookmarkStart w:id="373" w:name="_Toc25873"/>
      <w:bookmarkStart w:id="374" w:name="_Toc12038"/>
      <w:r>
        <w:rPr>
          <w:rFonts w:hint="eastAsia"/>
        </w:rPr>
        <w:t>评审程序</w:t>
      </w:r>
      <w:bookmarkEnd w:id="370"/>
      <w:bookmarkEnd w:id="371"/>
      <w:bookmarkEnd w:id="372"/>
      <w:bookmarkEnd w:id="373"/>
      <w:bookmarkEnd w:id="374"/>
    </w:p>
    <w:p>
      <w:pPr>
        <w:pStyle w:val="50"/>
        <w:ind w:firstLine="482"/>
      </w:pPr>
      <w:bookmarkStart w:id="375" w:name="_Toc3958"/>
      <w:bookmarkStart w:id="376" w:name="_Toc25112"/>
      <w:r>
        <w:rPr>
          <w:rFonts w:hint="eastAsia"/>
        </w:rPr>
        <w:t>供应商资格审查</w:t>
      </w:r>
      <w:bookmarkEnd w:id="375"/>
      <w:bookmarkEnd w:id="376"/>
    </w:p>
    <w:p>
      <w:pPr>
        <w:pStyle w:val="64"/>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64"/>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4"/>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4"/>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4"/>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50"/>
        <w:ind w:firstLine="482"/>
      </w:pPr>
      <w:bookmarkStart w:id="377" w:name="_Toc2214"/>
      <w:bookmarkStart w:id="378" w:name="_Toc22573"/>
      <w:r>
        <w:rPr>
          <w:rFonts w:hint="eastAsia"/>
        </w:rPr>
        <w:t>磋商</w:t>
      </w:r>
      <w:bookmarkEnd w:id="377"/>
      <w:bookmarkEnd w:id="378"/>
    </w:p>
    <w:p>
      <w:pPr>
        <w:pStyle w:val="64"/>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4"/>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5"/>
        <w:ind w:firstLine="480"/>
        <w:rPr>
          <w:lang w:val="zh-CN"/>
        </w:rPr>
      </w:pPr>
      <w:r>
        <w:rPr>
          <w:lang w:val="zh-CN"/>
        </w:rPr>
        <w:t>响应文件正副本数量不足的；</w:t>
      </w:r>
    </w:p>
    <w:p>
      <w:pPr>
        <w:pStyle w:val="65"/>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4"/>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5"/>
        <w:ind w:firstLine="480"/>
        <w:rPr>
          <w:lang w:val="zh-CN"/>
        </w:rPr>
      </w:pPr>
      <w:r>
        <w:rPr>
          <w:lang w:val="zh-CN"/>
        </w:rPr>
        <w:t>响应文件正副本数量齐全，只是未按照</w:t>
      </w:r>
      <w:r>
        <w:rPr>
          <w:rFonts w:hint="eastAsia"/>
          <w:lang w:val="zh-CN"/>
        </w:rPr>
        <w:t>磋商文件</w:t>
      </w:r>
      <w:r>
        <w:rPr>
          <w:lang w:val="zh-CN"/>
        </w:rPr>
        <w:t>要求进行分装或者统装的；</w:t>
      </w:r>
    </w:p>
    <w:p>
      <w:pPr>
        <w:pStyle w:val="65"/>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5"/>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5"/>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7"/>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64"/>
        <w:ind w:firstLine="480"/>
      </w:pPr>
      <w:r>
        <w:rPr>
          <w:rFonts w:hint="eastAsia"/>
        </w:rPr>
        <w:t>本项目可能实质性变动的内容：采购需求中的技术、服务要求以及合同草案条款。</w:t>
      </w:r>
    </w:p>
    <w:p>
      <w:pPr>
        <w:pStyle w:val="64"/>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4"/>
        <w:ind w:firstLine="480"/>
      </w:pPr>
      <w:r>
        <w:rPr>
          <w:rFonts w:hint="eastAsia"/>
        </w:rPr>
        <w:t>对磋商文件作出的实质性变动是磋商文件的有效组成部分，评审委员会应当将变动的内容书面通知所有参加磋商的供应商，做好书面记录。</w:t>
      </w:r>
    </w:p>
    <w:p>
      <w:pPr>
        <w:pStyle w:val="64"/>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4"/>
        <w:ind w:firstLine="480"/>
      </w:pPr>
      <w:r>
        <w:rPr>
          <w:rFonts w:hint="eastAsia"/>
        </w:rPr>
        <w:t>磋商过程中，磋商的任何一方不得透露与磋商有关的其他供应商的技术资料、价格和其他信息。</w:t>
      </w:r>
    </w:p>
    <w:p>
      <w:pPr>
        <w:pStyle w:val="64"/>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4"/>
        <w:ind w:firstLine="480"/>
      </w:pPr>
      <w:r>
        <w:rPr>
          <w:rFonts w:hint="eastAsia"/>
        </w:rPr>
        <w:t>供应商重新提交响应文件的，响应文件应当按照前款规定签字确认或者加盖公章，否则无效。</w:t>
      </w:r>
    </w:p>
    <w:p>
      <w:pPr>
        <w:pStyle w:val="64"/>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64"/>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50"/>
        <w:ind w:firstLine="482"/>
      </w:pPr>
      <w:bookmarkStart w:id="379" w:name="_Toc29996"/>
      <w:bookmarkStart w:id="380" w:name="_Toc16000"/>
      <w:r>
        <w:rPr>
          <w:rFonts w:hint="eastAsia"/>
        </w:rPr>
        <w:t>采购活动终止</w:t>
      </w:r>
      <w:bookmarkEnd w:id="379"/>
      <w:bookmarkEnd w:id="380"/>
    </w:p>
    <w:p>
      <w:pPr>
        <w:pStyle w:val="47"/>
      </w:pPr>
      <w:r>
        <w:rPr>
          <w:rFonts w:hint="eastAsia"/>
        </w:rPr>
        <w:t>出现下列情形之一的，采购人或者采购代理机构应当终止竞争性磋商采购活动，发布项目终止公告并说明原因，重新开展采购活动：</w:t>
      </w:r>
    </w:p>
    <w:p>
      <w:pPr>
        <w:pStyle w:val="64"/>
        <w:ind w:firstLine="480"/>
      </w:pPr>
      <w:r>
        <w:rPr>
          <w:rFonts w:hint="eastAsia"/>
        </w:rPr>
        <w:t>因情况变化，不再符合规定的竞争性磋商采购方式适用情形的；</w:t>
      </w:r>
    </w:p>
    <w:p>
      <w:pPr>
        <w:pStyle w:val="64"/>
        <w:ind w:firstLine="480"/>
      </w:pPr>
      <w:r>
        <w:rPr>
          <w:rFonts w:hint="eastAsia"/>
        </w:rPr>
        <w:t>在采购过程中符合要求的供应商或者最后报价未超过采购预算或采购最高限价的供应商不足三家的(</w:t>
      </w:r>
      <w:r>
        <w:rPr>
          <w:rFonts w:hint="eastAsia"/>
          <w:lang w:val="zh-CN"/>
        </w:rPr>
        <w:t>市场竞争不充分的科研项目、需要扶持的科技成果转化项目</w:t>
      </w:r>
      <w:r>
        <w:rPr>
          <w:rFonts w:hint="eastAsia"/>
        </w:rPr>
        <w:t>以及政府购买服务项目可以为2家)；</w:t>
      </w:r>
    </w:p>
    <w:p>
      <w:pPr>
        <w:pStyle w:val="64"/>
        <w:ind w:firstLine="480"/>
      </w:pPr>
      <w:r>
        <w:rPr>
          <w:rFonts w:hint="eastAsia"/>
        </w:rPr>
        <w:t>出现影响采购公正的违法、违规行为的；</w:t>
      </w:r>
    </w:p>
    <w:p>
      <w:pPr>
        <w:pStyle w:val="64"/>
        <w:ind w:firstLine="480"/>
      </w:pPr>
      <w:r>
        <w:rPr>
          <w:rFonts w:hint="eastAsia"/>
        </w:rPr>
        <w:t>其他无法继续开展磋商或者无法成交的情形。</w:t>
      </w:r>
    </w:p>
    <w:p>
      <w:pPr>
        <w:pStyle w:val="48"/>
        <w:ind w:firstLine="482"/>
      </w:pPr>
      <w:r>
        <w:rPr>
          <w:rFonts w:hint="eastAsia"/>
        </w:rPr>
        <w:t>注：终止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50"/>
        <w:ind w:firstLine="482"/>
      </w:pPr>
      <w:bookmarkStart w:id="381" w:name="_Toc31944"/>
      <w:bookmarkStart w:id="382" w:name="_Toc3720"/>
      <w:r>
        <w:rPr>
          <w:rFonts w:hint="eastAsia"/>
        </w:rPr>
        <w:t>报价</w:t>
      </w:r>
      <w:bookmarkEnd w:id="381"/>
      <w:bookmarkEnd w:id="382"/>
    </w:p>
    <w:p>
      <w:pPr>
        <w:pStyle w:val="64"/>
        <w:ind w:firstLine="480"/>
      </w:pPr>
      <w:r>
        <w:rPr>
          <w:rFonts w:hint="eastAsia"/>
        </w:rPr>
        <w:t>磋商结束后，磋商小组应当要求所有实质性响应的供应商在规定时间内提交最后报价，提交最后报价的供应商不得少于3家(</w:t>
      </w:r>
      <w:r>
        <w:rPr>
          <w:rFonts w:hint="eastAsia"/>
          <w:lang w:val="zh-CN"/>
        </w:rPr>
        <w:t>市场竞争不充分的科研项目、需要扶持的科技成果转化项目</w:t>
      </w:r>
      <w:r>
        <w:rPr>
          <w:rFonts w:hint="eastAsia"/>
        </w:rPr>
        <w:t>以及政府购买服务项目可以为2家)。已提交响应文件的供应商，在提交最后报价之前，可以根据磋商情况退出磋商。</w:t>
      </w:r>
    </w:p>
    <w:p>
      <w:pPr>
        <w:pStyle w:val="64"/>
        <w:ind w:firstLine="480"/>
      </w:pPr>
      <w:r>
        <w:rPr>
          <w:rFonts w:hint="eastAsia"/>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64"/>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4"/>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4"/>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4"/>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7"/>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7"/>
      </w:pPr>
      <w:r>
        <w:rPr>
          <w:rFonts w:hint="eastAsia"/>
        </w:rPr>
        <w:t>单价金额小数点或者百分比有明显错位的，以总价为准，修正单价。</w:t>
      </w:r>
    </w:p>
    <w:p>
      <w:pPr>
        <w:pStyle w:val="47"/>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0"/>
        <w:ind w:firstLine="482"/>
      </w:pPr>
      <w:bookmarkStart w:id="383" w:name="_Toc15902"/>
      <w:bookmarkStart w:id="384" w:name="_Toc16217"/>
      <w:r>
        <w:rPr>
          <w:rFonts w:hint="eastAsia"/>
        </w:rPr>
        <w:t>评审方法</w:t>
      </w:r>
      <w:bookmarkEnd w:id="383"/>
      <w:bookmarkEnd w:id="384"/>
    </w:p>
    <w:p>
      <w:pPr>
        <w:pStyle w:val="47"/>
      </w:pPr>
      <w:r>
        <w:rPr>
          <w:rFonts w:hint="eastAsia"/>
        </w:rPr>
        <w:t>本项目采用综合评分法</w:t>
      </w:r>
    </w:p>
    <w:p>
      <w:pPr>
        <w:pStyle w:val="64"/>
        <w:numPr>
          <w:ilvl w:val="3"/>
          <w:numId w:val="0"/>
        </w:numPr>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50"/>
        <w:ind w:firstLine="482"/>
      </w:pPr>
      <w:bookmarkStart w:id="385" w:name="_Toc29323"/>
      <w:bookmarkStart w:id="386" w:name="_Toc3159"/>
      <w:r>
        <w:rPr>
          <w:rFonts w:hint="eastAsia"/>
        </w:rPr>
        <w:t>评审标准</w:t>
      </w:r>
      <w:bookmarkEnd w:id="385"/>
      <w:bookmarkEnd w:id="386"/>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40"/>
        <w:gridCol w:w="749"/>
        <w:gridCol w:w="625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49" w:type="pct"/>
            <w:vAlign w:val="center"/>
          </w:tcPr>
          <w:p>
            <w:pPr>
              <w:pStyle w:val="46"/>
              <w:spacing w:line="360" w:lineRule="auto"/>
              <w:ind w:left="24" w:leftChars="10" w:right="24" w:rightChars="10"/>
              <w:rPr>
                <w:rFonts w:cs="宋体"/>
                <w:szCs w:val="21"/>
              </w:rPr>
            </w:pPr>
            <w:bookmarkStart w:id="387" w:name="_Toc10537"/>
            <w:r>
              <w:rPr>
                <w:rFonts w:hint="eastAsia" w:cs="宋体"/>
                <w:szCs w:val="21"/>
              </w:rPr>
              <w:t>序号</w:t>
            </w:r>
          </w:p>
        </w:tc>
        <w:tc>
          <w:tcPr>
            <w:tcW w:w="572" w:type="pct"/>
            <w:vAlign w:val="center"/>
          </w:tcPr>
          <w:p>
            <w:pPr>
              <w:pStyle w:val="46"/>
              <w:spacing w:line="360" w:lineRule="auto"/>
              <w:ind w:left="24" w:leftChars="10" w:right="24" w:rightChars="10"/>
              <w:rPr>
                <w:rFonts w:cs="宋体"/>
                <w:szCs w:val="21"/>
              </w:rPr>
            </w:pPr>
            <w:r>
              <w:rPr>
                <w:rFonts w:hint="eastAsia" w:cs="宋体"/>
                <w:szCs w:val="21"/>
              </w:rPr>
              <w:t>评分因素及权重</w:t>
            </w:r>
          </w:p>
        </w:tc>
        <w:tc>
          <w:tcPr>
            <w:tcW w:w="376" w:type="pct"/>
            <w:vAlign w:val="center"/>
          </w:tcPr>
          <w:p>
            <w:pPr>
              <w:pStyle w:val="46"/>
              <w:spacing w:line="360" w:lineRule="auto"/>
              <w:ind w:left="24" w:leftChars="10" w:right="24" w:rightChars="10"/>
              <w:rPr>
                <w:rFonts w:cs="宋体"/>
                <w:szCs w:val="21"/>
              </w:rPr>
            </w:pPr>
            <w:r>
              <w:rPr>
                <w:rFonts w:hint="eastAsia" w:cs="宋体"/>
                <w:szCs w:val="21"/>
              </w:rPr>
              <w:t>分值</w:t>
            </w:r>
          </w:p>
        </w:tc>
        <w:tc>
          <w:tcPr>
            <w:tcW w:w="3138" w:type="pct"/>
            <w:vAlign w:val="center"/>
          </w:tcPr>
          <w:p>
            <w:pPr>
              <w:pStyle w:val="46"/>
              <w:spacing w:line="360" w:lineRule="auto"/>
              <w:ind w:left="24" w:leftChars="10" w:right="24" w:rightChars="10"/>
              <w:rPr>
                <w:rFonts w:cs="宋体"/>
                <w:szCs w:val="21"/>
              </w:rPr>
            </w:pPr>
            <w:r>
              <w:rPr>
                <w:rFonts w:hint="eastAsia" w:cs="宋体"/>
                <w:szCs w:val="21"/>
              </w:rPr>
              <w:t>评分标准</w:t>
            </w:r>
          </w:p>
        </w:tc>
        <w:tc>
          <w:tcPr>
            <w:tcW w:w="562" w:type="pct"/>
            <w:vAlign w:val="center"/>
          </w:tcPr>
          <w:p>
            <w:pPr>
              <w:pStyle w:val="46"/>
              <w:spacing w:line="360" w:lineRule="auto"/>
              <w:ind w:left="24" w:leftChars="10" w:right="24" w:rightChars="10"/>
              <w:rPr>
                <w:rFonts w:cs="宋体"/>
                <w:szCs w:val="21"/>
              </w:rPr>
            </w:pPr>
            <w:r>
              <w:rPr>
                <w:rFonts w:hint="eastAsia"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6"/>
              <w:spacing w:line="360" w:lineRule="auto"/>
              <w:ind w:left="24" w:leftChars="10" w:right="24" w:rightChars="10"/>
              <w:rPr>
                <w:rFonts w:cs="宋体"/>
                <w:szCs w:val="21"/>
              </w:rPr>
            </w:pPr>
            <w:r>
              <w:rPr>
                <w:rFonts w:hint="eastAsia" w:cs="宋体"/>
                <w:szCs w:val="21"/>
              </w:rPr>
              <w:t>一</w:t>
            </w:r>
          </w:p>
        </w:tc>
        <w:tc>
          <w:tcPr>
            <w:tcW w:w="572" w:type="pct"/>
            <w:vAlign w:val="center"/>
          </w:tcPr>
          <w:p>
            <w:pPr>
              <w:pStyle w:val="46"/>
              <w:spacing w:line="360" w:lineRule="auto"/>
              <w:ind w:left="24" w:leftChars="10" w:right="24" w:rightChars="10"/>
              <w:rPr>
                <w:rFonts w:cs="宋体"/>
                <w:szCs w:val="21"/>
              </w:rPr>
            </w:pPr>
            <w:r>
              <w:rPr>
                <w:rFonts w:hint="eastAsia" w:cs="宋体"/>
                <w:szCs w:val="21"/>
              </w:rPr>
              <w:t>报价</w:t>
            </w:r>
          </w:p>
          <w:p>
            <w:pPr>
              <w:pStyle w:val="46"/>
              <w:spacing w:line="360" w:lineRule="auto"/>
              <w:ind w:left="24" w:leftChars="10" w:right="24" w:rightChars="10"/>
              <w:rPr>
                <w:rFonts w:cs="宋体"/>
                <w:szCs w:val="21"/>
              </w:rPr>
            </w:pPr>
            <w:r>
              <w:rPr>
                <w:rFonts w:hint="eastAsia" w:cs="宋体"/>
                <w:szCs w:val="21"/>
              </w:rPr>
              <w:t>10%</w:t>
            </w:r>
          </w:p>
        </w:tc>
        <w:tc>
          <w:tcPr>
            <w:tcW w:w="376" w:type="pct"/>
            <w:vAlign w:val="center"/>
          </w:tcPr>
          <w:p>
            <w:pPr>
              <w:pStyle w:val="46"/>
              <w:spacing w:line="360" w:lineRule="auto"/>
              <w:ind w:left="24" w:leftChars="10" w:right="24" w:rightChars="10"/>
              <w:rPr>
                <w:rFonts w:cs="宋体"/>
                <w:szCs w:val="21"/>
              </w:rPr>
            </w:pPr>
            <w:r>
              <w:rPr>
                <w:rFonts w:hint="eastAsia" w:cs="宋体"/>
                <w:szCs w:val="21"/>
              </w:rPr>
              <w:t>10分</w:t>
            </w:r>
          </w:p>
        </w:tc>
        <w:tc>
          <w:tcPr>
            <w:tcW w:w="3138" w:type="pct"/>
            <w:vAlign w:val="center"/>
          </w:tcPr>
          <w:p>
            <w:pPr>
              <w:pStyle w:val="43"/>
              <w:spacing w:line="360" w:lineRule="auto"/>
              <w:ind w:left="24" w:leftChars="10" w:right="24" w:rightChars="10"/>
              <w:rPr>
                <w:rFonts w:cs="宋体"/>
                <w:szCs w:val="21"/>
              </w:rPr>
            </w:pPr>
            <w:r>
              <w:rPr>
                <w:rFonts w:hint="eastAsia" w:cs="宋体"/>
                <w:szCs w:val="21"/>
              </w:rPr>
              <w:t>满足磋商文件要求且最后报价最低的供应商的价格为磋商基准价，其价格分为满分。其他供应商的价格分统一按照下列公式计算：</w:t>
            </w:r>
          </w:p>
          <w:p>
            <w:pPr>
              <w:pStyle w:val="43"/>
              <w:spacing w:line="360" w:lineRule="auto"/>
              <w:ind w:left="24" w:leftChars="10" w:right="24" w:rightChars="10"/>
              <w:rPr>
                <w:rFonts w:cs="宋体"/>
                <w:szCs w:val="21"/>
              </w:rPr>
            </w:pPr>
            <w:r>
              <w:rPr>
                <w:rFonts w:hint="eastAsia" w:cs="宋体"/>
                <w:szCs w:val="21"/>
              </w:rPr>
              <w:t>磋商报价得分=(磋商基准价/最后磋商报价)×10；</w:t>
            </w:r>
            <w:r>
              <w:rPr>
                <w:rFonts w:hint="eastAsia" w:cs="宋体"/>
                <w:szCs w:val="21"/>
              </w:rPr>
              <w:br w:type="textWrapping"/>
            </w:r>
            <w:r>
              <w:rPr>
                <w:rFonts w:hint="eastAsia" w:cs="宋体"/>
                <w:szCs w:val="21"/>
              </w:rPr>
              <w:t>注：项目评审过程中，不得去掉最后报价中的最高报价和最低报价。</w:t>
            </w:r>
          </w:p>
        </w:tc>
        <w:tc>
          <w:tcPr>
            <w:tcW w:w="562" w:type="pct"/>
            <w:vAlign w:val="center"/>
          </w:tcPr>
          <w:p>
            <w:pPr>
              <w:pStyle w:val="46"/>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6"/>
              <w:spacing w:line="360" w:lineRule="auto"/>
              <w:ind w:left="24" w:leftChars="10" w:right="24" w:rightChars="10"/>
              <w:rPr>
                <w:rFonts w:cs="宋体"/>
                <w:szCs w:val="21"/>
              </w:rPr>
            </w:pPr>
            <w:r>
              <w:rPr>
                <w:rFonts w:hint="eastAsia" w:cs="宋体"/>
                <w:szCs w:val="21"/>
              </w:rPr>
              <w:t>二</w:t>
            </w:r>
          </w:p>
        </w:tc>
        <w:tc>
          <w:tcPr>
            <w:tcW w:w="572" w:type="pct"/>
            <w:vAlign w:val="center"/>
          </w:tcPr>
          <w:p>
            <w:pPr>
              <w:pStyle w:val="46"/>
              <w:spacing w:line="360" w:lineRule="auto"/>
              <w:ind w:left="24" w:leftChars="10" w:right="24" w:rightChars="10"/>
              <w:rPr>
                <w:rFonts w:cs="宋体"/>
                <w:szCs w:val="21"/>
              </w:rPr>
            </w:pPr>
            <w:r>
              <w:rPr>
                <w:rFonts w:hint="eastAsia" w:cs="宋体"/>
                <w:szCs w:val="21"/>
              </w:rPr>
              <w:t>服务方案46%</w:t>
            </w:r>
          </w:p>
        </w:tc>
        <w:tc>
          <w:tcPr>
            <w:tcW w:w="376" w:type="pct"/>
            <w:vAlign w:val="center"/>
          </w:tcPr>
          <w:p>
            <w:pPr>
              <w:pStyle w:val="46"/>
              <w:spacing w:line="360" w:lineRule="auto"/>
              <w:ind w:left="24" w:leftChars="10" w:right="24" w:rightChars="10"/>
              <w:rPr>
                <w:rFonts w:cs="宋体"/>
                <w:szCs w:val="21"/>
              </w:rPr>
            </w:pPr>
            <w:r>
              <w:rPr>
                <w:rFonts w:hint="eastAsia" w:cs="宋体"/>
                <w:szCs w:val="21"/>
              </w:rPr>
              <w:t>46分</w:t>
            </w:r>
          </w:p>
        </w:tc>
        <w:tc>
          <w:tcPr>
            <w:tcW w:w="3138" w:type="pct"/>
            <w:vAlign w:val="center"/>
          </w:tcPr>
          <w:p>
            <w:pPr>
              <w:pStyle w:val="43"/>
              <w:spacing w:line="360" w:lineRule="auto"/>
              <w:ind w:left="24" w:leftChars="10" w:right="24" w:rightChars="10"/>
              <w:rPr>
                <w:rFonts w:cs="宋体"/>
                <w:szCs w:val="21"/>
              </w:rPr>
            </w:pPr>
            <w:r>
              <w:rPr>
                <w:rFonts w:hint="eastAsia" w:cs="宋体"/>
                <w:szCs w:val="21"/>
              </w:rPr>
              <w:t>1.根据供应商针对本项目的需求分析(①项目需求理解、②项目背景分析、③重点难点的分析理解及应对措施等内容)进行综合评审：需求分析内容全面，科学合理，层次结构细化，完全满足磋商文件要求得12分；每缺少一项内容或每有一项内容不满足要求的扣4分；每有一处内容存在错误或不足的扣2分，扣完为止；</w:t>
            </w:r>
          </w:p>
          <w:p>
            <w:pPr>
              <w:pStyle w:val="43"/>
              <w:spacing w:line="360" w:lineRule="auto"/>
              <w:ind w:left="24" w:leftChars="10" w:right="24" w:rightChars="10"/>
              <w:rPr>
                <w:rFonts w:cs="宋体"/>
                <w:szCs w:val="21"/>
              </w:rPr>
            </w:pPr>
            <w:r>
              <w:rPr>
                <w:rFonts w:hint="eastAsia" w:cs="宋体"/>
                <w:szCs w:val="21"/>
              </w:rPr>
              <w:t>2.根据供应商针对本项目的实施方案(①工作实施重点、②人员培训制度、③服务质量保障措施、④日常考核办法、⑤应急处理预案、⑥与相关部门衔接工作安排等内容)进行综合评审：实施方案内容内容齐全，条理结构清晰，准确响应项目要求的得18分；每缺少一项内容或每有一项内容不满足要求的扣3分；每有一处内容存在错误或不足的扣1.5分，扣完为止；</w:t>
            </w:r>
          </w:p>
          <w:p>
            <w:pPr>
              <w:pStyle w:val="43"/>
              <w:spacing w:line="360" w:lineRule="auto"/>
              <w:ind w:left="24" w:leftChars="10" w:right="24" w:rightChars="10"/>
              <w:rPr>
                <w:rFonts w:cs="宋体"/>
                <w:szCs w:val="21"/>
              </w:rPr>
            </w:pPr>
            <w:r>
              <w:rPr>
                <w:rFonts w:hint="eastAsia" w:cs="宋体"/>
                <w:szCs w:val="21"/>
              </w:rPr>
              <w:t>3.根据供应商提供的保密方案(①保密制度、②保密措施、③保密内容、④保密机构设置等内容)进行综合评审：内容齐全，条理结构清晰，准确响应项目要求的得16分；每缺少一项内容或每有一项内容不满足要求的扣4分；每有一处内容存在错误或不足的扣2分，扣完为止。</w:t>
            </w:r>
          </w:p>
          <w:p>
            <w:pPr>
              <w:pStyle w:val="43"/>
              <w:spacing w:line="360" w:lineRule="auto"/>
              <w:ind w:left="24" w:leftChars="10" w:right="24" w:rightChars="10"/>
              <w:rPr>
                <w:rFonts w:cs="宋体"/>
                <w:b/>
                <w:bCs/>
                <w:szCs w:val="21"/>
              </w:rPr>
            </w:pPr>
            <w:r>
              <w:rPr>
                <w:rFonts w:hint="eastAsia" w:cs="宋体"/>
                <w:b/>
                <w:bCs/>
                <w:szCs w:val="21"/>
              </w:rPr>
              <w:t>注：①内容存在错误或不足是指：内容脱离实际情况、内容与项目无关的、内容与项目不匹配、项目信息错误（包括时间、地点、名称等）、不符合本项目涉及的相关规范或标准要求等情形。</w:t>
            </w:r>
          </w:p>
          <w:p>
            <w:pPr>
              <w:pStyle w:val="43"/>
              <w:spacing w:line="360" w:lineRule="auto"/>
              <w:ind w:left="24" w:leftChars="10" w:right="24" w:rightChars="10"/>
              <w:rPr>
                <w:rFonts w:cs="宋体"/>
                <w:szCs w:val="21"/>
              </w:rPr>
            </w:pPr>
            <w:r>
              <w:rPr>
                <w:rFonts w:hint="eastAsia" w:cs="宋体"/>
                <w:b/>
                <w:bCs/>
                <w:szCs w:val="21"/>
              </w:rPr>
              <w:t>②以评审专家结合项目实际情况和响应文件独立评审为准。</w:t>
            </w:r>
          </w:p>
        </w:tc>
        <w:tc>
          <w:tcPr>
            <w:tcW w:w="562" w:type="pct"/>
            <w:vAlign w:val="center"/>
          </w:tcPr>
          <w:p>
            <w:pPr>
              <w:pStyle w:val="46"/>
              <w:spacing w:line="360" w:lineRule="auto"/>
              <w:ind w:left="24" w:leftChars="10" w:right="24" w:rightChars="10"/>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6"/>
              <w:spacing w:line="360" w:lineRule="auto"/>
              <w:ind w:left="24" w:leftChars="10" w:right="24" w:rightChars="10"/>
              <w:rPr>
                <w:rFonts w:cs="宋体"/>
                <w:szCs w:val="21"/>
              </w:rPr>
            </w:pPr>
            <w:r>
              <w:rPr>
                <w:rFonts w:hint="eastAsia" w:cs="宋体"/>
                <w:szCs w:val="21"/>
              </w:rPr>
              <w:t>三</w:t>
            </w:r>
          </w:p>
        </w:tc>
        <w:tc>
          <w:tcPr>
            <w:tcW w:w="572" w:type="pct"/>
            <w:vAlign w:val="center"/>
          </w:tcPr>
          <w:p>
            <w:pPr>
              <w:pStyle w:val="46"/>
              <w:spacing w:line="360" w:lineRule="auto"/>
              <w:ind w:left="24" w:leftChars="10" w:right="24" w:rightChars="10"/>
              <w:rPr>
                <w:rFonts w:cs="宋体"/>
                <w:szCs w:val="21"/>
              </w:rPr>
            </w:pPr>
            <w:r>
              <w:rPr>
                <w:rFonts w:hint="eastAsia" w:cs="宋体"/>
                <w:szCs w:val="21"/>
              </w:rPr>
              <w:t>履约经验20%</w:t>
            </w:r>
          </w:p>
        </w:tc>
        <w:tc>
          <w:tcPr>
            <w:tcW w:w="376" w:type="pct"/>
            <w:vAlign w:val="center"/>
          </w:tcPr>
          <w:p>
            <w:pPr>
              <w:pStyle w:val="46"/>
              <w:spacing w:line="360" w:lineRule="auto"/>
              <w:ind w:left="24" w:leftChars="10" w:right="24" w:rightChars="10"/>
              <w:rPr>
                <w:rFonts w:cs="宋体"/>
                <w:szCs w:val="21"/>
              </w:rPr>
            </w:pPr>
            <w:r>
              <w:rPr>
                <w:rFonts w:hint="eastAsia" w:cs="宋体"/>
                <w:szCs w:val="21"/>
              </w:rPr>
              <w:t>20分</w:t>
            </w:r>
          </w:p>
        </w:tc>
        <w:tc>
          <w:tcPr>
            <w:tcW w:w="3138" w:type="pct"/>
            <w:vAlign w:val="center"/>
          </w:tcPr>
          <w:p>
            <w:pPr>
              <w:pStyle w:val="43"/>
              <w:spacing w:line="360" w:lineRule="auto"/>
              <w:ind w:left="24" w:leftChars="10" w:right="24" w:rightChars="10"/>
              <w:rPr>
                <w:rFonts w:cs="宋体"/>
                <w:szCs w:val="21"/>
              </w:rPr>
            </w:pPr>
            <w:r>
              <w:rPr>
                <w:rFonts w:hint="eastAsia" w:cs="宋体"/>
                <w:szCs w:val="21"/>
              </w:rPr>
              <w:t>1.供应商每具有一个类似项目履约经验的得2分，最多得10分；</w:t>
            </w:r>
          </w:p>
          <w:p>
            <w:pPr>
              <w:pStyle w:val="43"/>
              <w:spacing w:line="360" w:lineRule="auto"/>
              <w:ind w:left="24" w:leftChars="10" w:right="24" w:rightChars="10"/>
              <w:rPr>
                <w:rFonts w:cs="宋体"/>
                <w:szCs w:val="21"/>
              </w:rPr>
            </w:pPr>
            <w:r>
              <w:rPr>
                <w:rFonts w:hint="eastAsia" w:cs="宋体"/>
                <w:szCs w:val="21"/>
              </w:rPr>
              <w:t>2.供应商每具有一个项目履约经验得到业主好评（评价结论为满意/非常满意/优秀/或类似的正面评价）的得2分，最多得10分。</w:t>
            </w:r>
          </w:p>
          <w:p>
            <w:pPr>
              <w:pStyle w:val="43"/>
              <w:spacing w:line="360" w:lineRule="auto"/>
              <w:ind w:left="24" w:leftChars="10" w:right="24" w:rightChars="10"/>
              <w:rPr>
                <w:rFonts w:cs="宋体"/>
                <w:szCs w:val="21"/>
              </w:rPr>
            </w:pPr>
            <w:r>
              <w:rPr>
                <w:rFonts w:hint="eastAsia" w:cs="宋体"/>
                <w:b/>
                <w:bCs/>
                <w:szCs w:val="21"/>
              </w:rPr>
              <w:t>注：①上述1.2项可重复计分；第1项提供合同或中标/成交通知书复印件，加盖供应商公章；第2项提供业主单位出具的评价材料复印件，加盖供应商公章。</w:t>
            </w:r>
          </w:p>
        </w:tc>
        <w:tc>
          <w:tcPr>
            <w:tcW w:w="562" w:type="pct"/>
            <w:vAlign w:val="center"/>
          </w:tcPr>
          <w:p>
            <w:pPr>
              <w:pStyle w:val="46"/>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6"/>
              <w:spacing w:line="360" w:lineRule="auto"/>
              <w:ind w:left="24" w:leftChars="10" w:right="24" w:rightChars="10"/>
              <w:rPr>
                <w:rFonts w:cs="宋体"/>
                <w:szCs w:val="21"/>
              </w:rPr>
            </w:pPr>
            <w:r>
              <w:rPr>
                <w:rFonts w:hint="eastAsia" w:cs="宋体"/>
                <w:szCs w:val="21"/>
              </w:rPr>
              <w:t>四</w:t>
            </w:r>
          </w:p>
        </w:tc>
        <w:tc>
          <w:tcPr>
            <w:tcW w:w="572" w:type="pct"/>
            <w:vAlign w:val="center"/>
          </w:tcPr>
          <w:p>
            <w:pPr>
              <w:pStyle w:val="46"/>
              <w:spacing w:line="360" w:lineRule="auto"/>
              <w:ind w:left="24" w:leftChars="10" w:right="24" w:rightChars="10"/>
              <w:rPr>
                <w:rFonts w:cs="宋体"/>
                <w:szCs w:val="21"/>
              </w:rPr>
            </w:pPr>
            <w:r>
              <w:rPr>
                <w:rFonts w:hint="eastAsia" w:cs="宋体"/>
                <w:szCs w:val="21"/>
              </w:rPr>
              <w:t>团队实力</w:t>
            </w:r>
          </w:p>
          <w:p>
            <w:pPr>
              <w:pStyle w:val="46"/>
              <w:spacing w:line="360" w:lineRule="auto"/>
              <w:ind w:left="24" w:leftChars="10" w:right="24" w:rightChars="10"/>
              <w:rPr>
                <w:rFonts w:cs="宋体"/>
                <w:szCs w:val="21"/>
              </w:rPr>
            </w:pPr>
            <w:r>
              <w:rPr>
                <w:rFonts w:hint="eastAsia" w:cs="宋体"/>
                <w:szCs w:val="21"/>
              </w:rPr>
              <w:t>1</w:t>
            </w:r>
            <w:r>
              <w:rPr>
                <w:rFonts w:hint="eastAsia" w:cs="宋体"/>
                <w:szCs w:val="21"/>
                <w:lang w:val="en-US" w:eastAsia="zh-CN"/>
              </w:rPr>
              <w:t>4</w:t>
            </w:r>
            <w:r>
              <w:rPr>
                <w:rFonts w:hint="eastAsia" w:cs="宋体"/>
                <w:szCs w:val="21"/>
              </w:rPr>
              <w:t>%</w:t>
            </w:r>
          </w:p>
        </w:tc>
        <w:tc>
          <w:tcPr>
            <w:tcW w:w="376" w:type="pct"/>
            <w:vAlign w:val="center"/>
          </w:tcPr>
          <w:p>
            <w:pPr>
              <w:pStyle w:val="46"/>
              <w:spacing w:line="360" w:lineRule="auto"/>
              <w:ind w:left="24" w:leftChars="10" w:right="24" w:rightChars="10"/>
              <w:rPr>
                <w:rFonts w:cs="宋体"/>
                <w:szCs w:val="21"/>
              </w:rPr>
            </w:pPr>
            <w:r>
              <w:rPr>
                <w:rFonts w:hint="eastAsia" w:cs="宋体"/>
                <w:szCs w:val="21"/>
              </w:rPr>
              <w:t>1</w:t>
            </w:r>
            <w:r>
              <w:rPr>
                <w:rFonts w:hint="eastAsia" w:cs="宋体"/>
                <w:szCs w:val="21"/>
                <w:lang w:val="en-US" w:eastAsia="zh-CN"/>
              </w:rPr>
              <w:t>4</w:t>
            </w:r>
            <w:r>
              <w:rPr>
                <w:rFonts w:hint="eastAsia" w:cs="宋体"/>
                <w:szCs w:val="21"/>
              </w:rPr>
              <w:t>分</w:t>
            </w:r>
          </w:p>
        </w:tc>
        <w:tc>
          <w:tcPr>
            <w:tcW w:w="3138" w:type="pct"/>
            <w:vAlign w:val="center"/>
          </w:tcPr>
          <w:p>
            <w:pPr>
              <w:pStyle w:val="43"/>
              <w:spacing w:line="360" w:lineRule="auto"/>
              <w:ind w:left="24" w:leftChars="10" w:right="24" w:rightChars="10"/>
              <w:rPr>
                <w:rFonts w:cs="宋体"/>
                <w:szCs w:val="21"/>
              </w:rPr>
            </w:pPr>
            <w:r>
              <w:rPr>
                <w:rFonts w:hint="eastAsia" w:cs="宋体"/>
                <w:szCs w:val="21"/>
              </w:rPr>
              <w:t>1.供应商拟投入本项目的</w:t>
            </w:r>
            <w:r>
              <w:rPr>
                <w:rFonts w:hint="eastAsia" w:cs="宋体"/>
              </w:rPr>
              <w:t>负责人</w:t>
            </w:r>
            <w:r>
              <w:rPr>
                <w:rFonts w:hint="eastAsia" w:cs="宋体"/>
                <w:szCs w:val="21"/>
              </w:rPr>
              <w:t>具有本科及以上学历的得1分，同时具有人力资源管理师资格证书得加2分，最多得3分；</w:t>
            </w:r>
          </w:p>
          <w:p>
            <w:pPr>
              <w:pStyle w:val="43"/>
              <w:spacing w:line="360" w:lineRule="auto"/>
              <w:ind w:left="24" w:leftChars="10" w:right="24" w:rightChars="10"/>
              <w:rPr>
                <w:rFonts w:cs="宋体"/>
                <w:szCs w:val="21"/>
              </w:rPr>
            </w:pPr>
            <w:r>
              <w:rPr>
                <w:rFonts w:hint="eastAsia" w:cs="宋体"/>
                <w:szCs w:val="21"/>
              </w:rPr>
              <w:t>2.供应商拟投入本项目的服务团队中每有1人具有专科及以上学历的得1分，最多得</w:t>
            </w:r>
            <w:r>
              <w:rPr>
                <w:rFonts w:hint="eastAsia" w:cs="宋体"/>
                <w:szCs w:val="21"/>
                <w:lang w:val="en-US" w:eastAsia="zh-CN"/>
              </w:rPr>
              <w:t>11</w:t>
            </w:r>
            <w:r>
              <w:rPr>
                <w:rFonts w:hint="eastAsia" w:cs="宋体"/>
                <w:szCs w:val="21"/>
              </w:rPr>
              <w:t>分。</w:t>
            </w:r>
          </w:p>
          <w:p>
            <w:pPr>
              <w:pStyle w:val="43"/>
              <w:spacing w:line="360" w:lineRule="auto"/>
              <w:ind w:left="24" w:leftChars="10" w:right="24" w:rightChars="10"/>
              <w:rPr>
                <w:rFonts w:cs="宋体"/>
                <w:szCs w:val="21"/>
              </w:rPr>
            </w:pPr>
            <w:r>
              <w:rPr>
                <w:rFonts w:hint="eastAsia" w:cs="宋体"/>
                <w:b/>
                <w:bCs/>
                <w:szCs w:val="21"/>
              </w:rPr>
              <w:t>注：提供相关证书复印件和上述人员的劳动合同复印件或响应文件递交截止时间前2个月供应商为其发放工资的银行转账流水凭证或其他在职证明材料佐证，未按要求提供不得分。</w:t>
            </w:r>
          </w:p>
        </w:tc>
        <w:tc>
          <w:tcPr>
            <w:tcW w:w="562" w:type="pct"/>
            <w:vAlign w:val="center"/>
          </w:tcPr>
          <w:p>
            <w:pPr>
              <w:pStyle w:val="46"/>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6"/>
              <w:spacing w:line="360" w:lineRule="auto"/>
              <w:ind w:left="24" w:leftChars="10" w:right="24" w:rightChars="10"/>
              <w:rPr>
                <w:rFonts w:cs="宋体"/>
                <w:szCs w:val="21"/>
              </w:rPr>
            </w:pPr>
            <w:r>
              <w:rPr>
                <w:rFonts w:hint="eastAsia" w:cs="宋体"/>
                <w:szCs w:val="21"/>
              </w:rPr>
              <w:t>五</w:t>
            </w:r>
          </w:p>
        </w:tc>
        <w:tc>
          <w:tcPr>
            <w:tcW w:w="572" w:type="pct"/>
            <w:vAlign w:val="center"/>
          </w:tcPr>
          <w:p>
            <w:pPr>
              <w:pStyle w:val="46"/>
              <w:spacing w:line="360" w:lineRule="auto"/>
              <w:ind w:left="24" w:leftChars="10" w:right="24" w:rightChars="10"/>
              <w:rPr>
                <w:rFonts w:cs="宋体"/>
                <w:szCs w:val="21"/>
              </w:rPr>
            </w:pPr>
            <w:r>
              <w:rPr>
                <w:rFonts w:hint="eastAsia" w:cs="宋体"/>
                <w:szCs w:val="21"/>
              </w:rPr>
              <w:t>管理体系</w:t>
            </w:r>
            <w:r>
              <w:rPr>
                <w:rFonts w:hint="eastAsia" w:cs="宋体"/>
                <w:szCs w:val="21"/>
                <w:lang w:val="en-US" w:eastAsia="zh-CN"/>
              </w:rPr>
              <w:t>9</w:t>
            </w:r>
            <w:r>
              <w:rPr>
                <w:rFonts w:hint="eastAsia" w:cs="宋体"/>
                <w:szCs w:val="21"/>
              </w:rPr>
              <w:t>%</w:t>
            </w:r>
          </w:p>
        </w:tc>
        <w:tc>
          <w:tcPr>
            <w:tcW w:w="376" w:type="pct"/>
            <w:vAlign w:val="center"/>
          </w:tcPr>
          <w:p>
            <w:pPr>
              <w:pStyle w:val="46"/>
              <w:spacing w:line="360" w:lineRule="auto"/>
              <w:ind w:left="24" w:leftChars="10" w:right="24" w:rightChars="10"/>
              <w:rPr>
                <w:rFonts w:cs="宋体"/>
                <w:szCs w:val="21"/>
              </w:rPr>
            </w:pPr>
            <w:r>
              <w:rPr>
                <w:rFonts w:hint="eastAsia" w:cs="宋体"/>
                <w:szCs w:val="21"/>
                <w:lang w:val="en-US" w:eastAsia="zh-CN"/>
              </w:rPr>
              <w:t>9</w:t>
            </w:r>
            <w:r>
              <w:rPr>
                <w:rFonts w:hint="eastAsia" w:cs="宋体"/>
                <w:szCs w:val="21"/>
              </w:rPr>
              <w:t>分</w:t>
            </w:r>
          </w:p>
        </w:tc>
        <w:tc>
          <w:tcPr>
            <w:tcW w:w="3138" w:type="pct"/>
            <w:vAlign w:val="center"/>
          </w:tcPr>
          <w:p>
            <w:pPr>
              <w:pStyle w:val="43"/>
              <w:spacing w:line="360" w:lineRule="auto"/>
              <w:ind w:left="24" w:leftChars="10" w:right="24" w:rightChars="10"/>
              <w:rPr>
                <w:rFonts w:cs="宋体"/>
                <w:szCs w:val="21"/>
              </w:rPr>
            </w:pPr>
            <w:r>
              <w:rPr>
                <w:rFonts w:hint="eastAsia" w:cs="宋体"/>
                <w:szCs w:val="21"/>
              </w:rPr>
              <w:t>1.供应商具有有效的质量管理体系认证证书的得</w:t>
            </w:r>
            <w:r>
              <w:rPr>
                <w:rFonts w:hint="eastAsia" w:cs="宋体"/>
                <w:szCs w:val="21"/>
                <w:lang w:val="en-US" w:eastAsia="zh-CN"/>
              </w:rPr>
              <w:t>2</w:t>
            </w:r>
            <w:r>
              <w:rPr>
                <w:rFonts w:hint="eastAsia" w:cs="宋体"/>
                <w:szCs w:val="21"/>
              </w:rPr>
              <w:t>分，不提供不得分。</w:t>
            </w:r>
          </w:p>
          <w:p>
            <w:pPr>
              <w:pStyle w:val="43"/>
              <w:spacing w:line="360" w:lineRule="auto"/>
              <w:ind w:left="24" w:leftChars="10" w:right="24" w:rightChars="10"/>
              <w:rPr>
                <w:rFonts w:cs="宋体"/>
                <w:szCs w:val="21"/>
              </w:rPr>
            </w:pPr>
            <w:r>
              <w:rPr>
                <w:rFonts w:hint="eastAsia" w:cs="宋体"/>
                <w:szCs w:val="21"/>
              </w:rPr>
              <w:t>2.供应商具有有效的环境保护管理体系认证证书的得</w:t>
            </w:r>
            <w:r>
              <w:rPr>
                <w:rFonts w:hint="eastAsia" w:cs="宋体"/>
                <w:szCs w:val="21"/>
                <w:lang w:val="en-US" w:eastAsia="zh-CN"/>
              </w:rPr>
              <w:t>2</w:t>
            </w:r>
            <w:r>
              <w:rPr>
                <w:rFonts w:hint="eastAsia" w:cs="宋体"/>
                <w:szCs w:val="21"/>
              </w:rPr>
              <w:t>分，不提供不得分。</w:t>
            </w:r>
          </w:p>
          <w:p>
            <w:pPr>
              <w:pStyle w:val="43"/>
              <w:spacing w:line="360" w:lineRule="auto"/>
              <w:ind w:left="24" w:leftChars="10" w:right="24" w:rightChars="10"/>
              <w:rPr>
                <w:rFonts w:cs="宋体"/>
                <w:szCs w:val="21"/>
              </w:rPr>
            </w:pPr>
            <w:r>
              <w:rPr>
                <w:rFonts w:hint="eastAsia" w:cs="宋体"/>
                <w:szCs w:val="21"/>
              </w:rPr>
              <w:t>3.供应商具有有效的职业健康安全管理体系认证证书的得</w:t>
            </w:r>
            <w:r>
              <w:rPr>
                <w:rFonts w:hint="eastAsia" w:cs="宋体"/>
                <w:szCs w:val="21"/>
                <w:lang w:val="en-US" w:eastAsia="zh-CN"/>
              </w:rPr>
              <w:t>2</w:t>
            </w:r>
            <w:r>
              <w:rPr>
                <w:rFonts w:hint="eastAsia" w:cs="宋体"/>
                <w:szCs w:val="21"/>
              </w:rPr>
              <w:t>分，不提供不得分。</w:t>
            </w:r>
          </w:p>
          <w:p>
            <w:pPr>
              <w:pStyle w:val="43"/>
              <w:spacing w:line="360" w:lineRule="auto"/>
              <w:ind w:left="24" w:leftChars="10" w:right="24" w:rightChars="10"/>
              <w:rPr>
                <w:rFonts w:cs="宋体"/>
                <w:szCs w:val="21"/>
              </w:rPr>
            </w:pPr>
            <w:r>
              <w:rPr>
                <w:rFonts w:hint="eastAsia" w:cs="宋体"/>
                <w:szCs w:val="21"/>
              </w:rPr>
              <w:t>4.供应商具有有效的企业诚信管理体系认证证书的得3分，不提供不得分。</w:t>
            </w:r>
          </w:p>
          <w:p>
            <w:pPr>
              <w:pStyle w:val="43"/>
              <w:spacing w:line="360" w:lineRule="auto"/>
              <w:ind w:left="24" w:leftChars="10" w:right="24" w:rightChars="10"/>
              <w:rPr>
                <w:rFonts w:cs="宋体"/>
                <w:szCs w:val="21"/>
              </w:rPr>
            </w:pPr>
            <w:r>
              <w:rPr>
                <w:rFonts w:hint="eastAsia" w:cs="宋体"/>
                <w:b/>
                <w:bCs/>
                <w:szCs w:val="21"/>
              </w:rPr>
              <w:t>注：</w:t>
            </w:r>
            <w:r>
              <w:rPr>
                <w:rFonts w:hint="eastAsia"/>
              </w:rPr>
              <w:t xml:space="preserve"> </w:t>
            </w:r>
            <w:r>
              <w:rPr>
                <w:rFonts w:hint="eastAsia" w:cs="宋体"/>
                <w:b/>
                <w:bCs/>
                <w:szCs w:val="21"/>
              </w:rPr>
              <w:t>提供有效证书复印件及认证证书在国家认证认可监督管理委员会官方网站（</w:t>
            </w:r>
            <w:r>
              <w:rPr>
                <w:rFonts w:cs="宋体"/>
                <w:b/>
                <w:bCs/>
                <w:szCs w:val="21"/>
              </w:rPr>
              <w:t>http://www.cnca.gov.cn/）查询为有效状态的查询结果网页截图</w:t>
            </w:r>
            <w:r>
              <w:rPr>
                <w:rFonts w:hint="eastAsia" w:cs="宋体"/>
                <w:b/>
                <w:bCs/>
                <w:szCs w:val="21"/>
              </w:rPr>
              <w:t>，并加盖供应商公章。</w:t>
            </w:r>
          </w:p>
        </w:tc>
        <w:tc>
          <w:tcPr>
            <w:tcW w:w="562" w:type="pct"/>
            <w:vAlign w:val="center"/>
          </w:tcPr>
          <w:p>
            <w:pPr>
              <w:pStyle w:val="46"/>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pStyle w:val="46"/>
              <w:spacing w:line="360" w:lineRule="auto"/>
              <w:ind w:left="24" w:leftChars="10" w:right="24" w:rightChars="10"/>
              <w:rPr>
                <w:rFonts w:cs="宋体"/>
                <w:szCs w:val="21"/>
              </w:rPr>
            </w:pPr>
            <w:r>
              <w:rPr>
                <w:rFonts w:hint="eastAsia" w:cs="宋体"/>
                <w:szCs w:val="21"/>
              </w:rPr>
              <w:t>六</w:t>
            </w:r>
          </w:p>
        </w:tc>
        <w:tc>
          <w:tcPr>
            <w:tcW w:w="572" w:type="pct"/>
            <w:tcBorders>
              <w:top w:val="single" w:color="auto" w:sz="4" w:space="0"/>
              <w:left w:val="single" w:color="auto" w:sz="4" w:space="0"/>
              <w:bottom w:val="single" w:color="auto" w:sz="4" w:space="0"/>
              <w:right w:val="single" w:color="auto" w:sz="4" w:space="0"/>
            </w:tcBorders>
            <w:vAlign w:val="center"/>
          </w:tcPr>
          <w:p>
            <w:pPr>
              <w:spacing w:line="360" w:lineRule="auto"/>
              <w:ind w:left="24" w:leftChars="10" w:right="24" w:rightChars="10"/>
              <w:jc w:val="center"/>
              <w:rPr>
                <w:rFonts w:cs="宋体"/>
                <w:sz w:val="21"/>
                <w:szCs w:val="21"/>
              </w:rPr>
            </w:pPr>
            <w:r>
              <w:rPr>
                <w:rFonts w:hint="eastAsia" w:cs="宋体"/>
                <w:sz w:val="21"/>
                <w:szCs w:val="21"/>
              </w:rPr>
              <w:t>扶持少数民族地区1%</w:t>
            </w:r>
          </w:p>
        </w:tc>
        <w:tc>
          <w:tcPr>
            <w:tcW w:w="376" w:type="pct"/>
            <w:tcBorders>
              <w:top w:val="single" w:color="auto" w:sz="4" w:space="0"/>
              <w:left w:val="single" w:color="auto" w:sz="4" w:space="0"/>
              <w:bottom w:val="single" w:color="auto" w:sz="4" w:space="0"/>
              <w:right w:val="single" w:color="auto" w:sz="4" w:space="0"/>
            </w:tcBorders>
            <w:vAlign w:val="center"/>
          </w:tcPr>
          <w:p>
            <w:pPr>
              <w:spacing w:line="360" w:lineRule="auto"/>
              <w:ind w:left="24" w:leftChars="10" w:right="24" w:rightChars="10"/>
              <w:jc w:val="center"/>
              <w:rPr>
                <w:rFonts w:cs="宋体"/>
                <w:sz w:val="21"/>
                <w:szCs w:val="21"/>
              </w:rPr>
            </w:pPr>
            <w:r>
              <w:rPr>
                <w:rFonts w:hint="eastAsia" w:cs="宋体"/>
                <w:sz w:val="21"/>
                <w:szCs w:val="21"/>
              </w:rPr>
              <w:t>1分</w:t>
            </w:r>
          </w:p>
        </w:tc>
        <w:tc>
          <w:tcPr>
            <w:tcW w:w="3138" w:type="pct"/>
            <w:tcBorders>
              <w:top w:val="single" w:color="auto" w:sz="4" w:space="0"/>
              <w:left w:val="single" w:color="auto" w:sz="4" w:space="0"/>
              <w:bottom w:val="single" w:color="auto" w:sz="4" w:space="0"/>
              <w:right w:val="single" w:color="auto" w:sz="4" w:space="0"/>
            </w:tcBorders>
            <w:vAlign w:val="center"/>
          </w:tcPr>
          <w:p>
            <w:pPr>
              <w:spacing w:line="360" w:lineRule="auto"/>
              <w:ind w:left="24" w:leftChars="10" w:right="24" w:rightChars="10"/>
              <w:rPr>
                <w:rFonts w:cs="宋体"/>
                <w:sz w:val="21"/>
                <w:szCs w:val="21"/>
              </w:rPr>
            </w:pPr>
            <w:r>
              <w:rPr>
                <w:rFonts w:hint="eastAsia" w:cs="宋体"/>
                <w:sz w:val="21"/>
                <w:szCs w:val="21"/>
              </w:rPr>
              <w:t>供应商注册在少数民族地区的得1分。</w:t>
            </w:r>
          </w:p>
          <w:p>
            <w:pPr>
              <w:spacing w:line="360" w:lineRule="auto"/>
              <w:ind w:left="24" w:leftChars="10" w:right="24" w:rightChars="10"/>
              <w:rPr>
                <w:rFonts w:cs="宋体"/>
                <w:sz w:val="21"/>
                <w:szCs w:val="21"/>
              </w:rPr>
            </w:pPr>
            <w:r>
              <w:rPr>
                <w:rFonts w:hint="eastAsia" w:cs="宋体"/>
                <w:sz w:val="21"/>
                <w:szCs w:val="21"/>
              </w:rPr>
              <w:t>注：指供应商注册地在民族自治区、自治州、自治县(含享受少数民族待遇的区县)、民族乡的供应商，提供营业执照副本复印件。</w:t>
            </w:r>
          </w:p>
        </w:tc>
        <w:tc>
          <w:tcPr>
            <w:tcW w:w="562" w:type="pct"/>
            <w:tcBorders>
              <w:top w:val="single" w:color="auto" w:sz="4" w:space="0"/>
              <w:left w:val="single" w:color="auto" w:sz="4" w:space="0"/>
              <w:right w:val="single" w:color="auto" w:sz="4" w:space="0"/>
            </w:tcBorders>
            <w:vAlign w:val="center"/>
          </w:tcPr>
          <w:p>
            <w:pPr>
              <w:pStyle w:val="46"/>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6"/>
              <w:spacing w:line="360" w:lineRule="auto"/>
              <w:ind w:left="24" w:leftChars="10" w:right="24" w:rightChars="10"/>
              <w:jc w:val="both"/>
              <w:rPr>
                <w:rFonts w:cs="宋体"/>
                <w:szCs w:val="21"/>
              </w:rPr>
            </w:pPr>
            <w:r>
              <w:rPr>
                <w:rFonts w:hint="eastAsia" w:cs="宋体"/>
                <w:szCs w:val="21"/>
              </w:rPr>
              <w:t>注：</w:t>
            </w:r>
            <w:r>
              <w:rPr>
                <w:rFonts w:hint="eastAsia" w:cs="宋体"/>
                <w:szCs w:val="21"/>
              </w:rPr>
              <w:fldChar w:fldCharType="begin"/>
            </w:r>
            <w:r>
              <w:rPr>
                <w:rFonts w:hint="eastAsia" w:cs="宋体"/>
                <w:szCs w:val="21"/>
              </w:rPr>
              <w:instrText xml:space="preserve"> = 1 \* GB3 \* MERGEFORMAT </w:instrText>
            </w:r>
            <w:r>
              <w:rPr>
                <w:rFonts w:hint="eastAsia" w:cs="宋体"/>
                <w:szCs w:val="21"/>
              </w:rPr>
              <w:fldChar w:fldCharType="separate"/>
            </w:r>
            <w:r>
              <w:rPr>
                <w:rFonts w:hint="eastAsia" w:cs="宋体"/>
                <w:szCs w:val="21"/>
              </w:rPr>
              <w:t>①</w:t>
            </w:r>
            <w:r>
              <w:rPr>
                <w:rFonts w:hint="eastAsia" w:cs="宋体"/>
                <w:szCs w:val="21"/>
              </w:rPr>
              <w:fldChar w:fldCharType="end"/>
            </w:r>
            <w:r>
              <w:rPr>
                <w:rFonts w:hint="eastAsia" w:cs="宋体"/>
                <w:szCs w:val="21"/>
              </w:rPr>
              <w:t>评分的取值按四舍五入法，小数点后保留两位。</w:t>
            </w:r>
            <w:r>
              <w:rPr>
                <w:rFonts w:hint="eastAsia" w:cs="宋体"/>
                <w:szCs w:val="21"/>
              </w:rPr>
              <w:fldChar w:fldCharType="begin"/>
            </w:r>
            <w:r>
              <w:rPr>
                <w:rFonts w:hint="eastAsia" w:cs="宋体"/>
                <w:szCs w:val="21"/>
              </w:rPr>
              <w:instrText xml:space="preserve"> = 2 \* GB3 \* MERGEFORMAT </w:instrText>
            </w:r>
            <w:r>
              <w:rPr>
                <w:rFonts w:hint="eastAsia" w:cs="宋体"/>
                <w:szCs w:val="21"/>
              </w:rPr>
              <w:fldChar w:fldCharType="separate"/>
            </w:r>
            <w:r>
              <w:rPr>
                <w:rFonts w:hint="eastAsia" w:cs="宋体"/>
                <w:szCs w:val="21"/>
              </w:rPr>
              <w:t>②</w:t>
            </w:r>
            <w:r>
              <w:rPr>
                <w:rFonts w:hint="eastAsia" w:cs="宋体"/>
                <w:szCs w:val="21"/>
              </w:rPr>
              <w:fldChar w:fldCharType="end"/>
            </w:r>
            <w:r>
              <w:rPr>
                <w:rFonts w:hint="eastAsia" w:cs="宋体"/>
                <w:szCs w:val="21"/>
              </w:rPr>
              <w:t>本表中要求提供各类证明材料，均需加盖供应商单位公章，否则将不认可该项材料的有效性。</w:t>
            </w:r>
          </w:p>
        </w:tc>
      </w:tr>
    </w:tbl>
    <w:p>
      <w:pPr>
        <w:pStyle w:val="50"/>
        <w:ind w:firstLine="482"/>
      </w:pPr>
      <w:bookmarkStart w:id="388" w:name="_Toc126"/>
      <w:r>
        <w:rPr>
          <w:rFonts w:hint="eastAsia"/>
        </w:rPr>
        <w:t>复核</w:t>
      </w:r>
      <w:bookmarkEnd w:id="387"/>
      <w:bookmarkEnd w:id="388"/>
    </w:p>
    <w:p>
      <w:pPr>
        <w:pStyle w:val="64"/>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5"/>
        <w:ind w:firstLine="480"/>
      </w:pPr>
      <w:r>
        <w:rPr>
          <w:rFonts w:hint="eastAsia"/>
        </w:rPr>
        <w:t>资格性审查认定错误的；</w:t>
      </w:r>
    </w:p>
    <w:p>
      <w:pPr>
        <w:pStyle w:val="65"/>
        <w:ind w:firstLine="480"/>
      </w:pPr>
      <w:r>
        <w:rPr>
          <w:rFonts w:hint="eastAsia"/>
        </w:rPr>
        <w:t>分值汇总计算错误的；</w:t>
      </w:r>
    </w:p>
    <w:p>
      <w:pPr>
        <w:pStyle w:val="65"/>
        <w:ind w:firstLine="480"/>
      </w:pPr>
      <w:r>
        <w:rPr>
          <w:rFonts w:hint="eastAsia"/>
        </w:rPr>
        <w:t>分项评分超出评分标准范围的；</w:t>
      </w:r>
    </w:p>
    <w:p>
      <w:pPr>
        <w:pStyle w:val="65"/>
        <w:ind w:firstLine="480"/>
      </w:pPr>
      <w:r>
        <w:rPr>
          <w:rFonts w:hint="eastAsia"/>
        </w:rPr>
        <w:t>客观评分不一致的；</w:t>
      </w:r>
    </w:p>
    <w:p>
      <w:pPr>
        <w:pStyle w:val="65"/>
        <w:ind w:firstLine="480"/>
      </w:pPr>
      <w:r>
        <w:rPr>
          <w:rFonts w:hint="eastAsia"/>
        </w:rPr>
        <w:t>经磋商小组一致认定评分畸高、畸低的。</w:t>
      </w:r>
    </w:p>
    <w:p>
      <w:pPr>
        <w:pStyle w:val="64"/>
        <w:ind w:firstLine="480"/>
      </w:pPr>
      <w:r>
        <w:rPr>
          <w:rFonts w:hint="eastAsia"/>
        </w:rPr>
        <w:t>采购代理机构复核过程中，磋商小组不得离开评审现场。</w:t>
      </w:r>
    </w:p>
    <w:p>
      <w:pPr>
        <w:pStyle w:val="64"/>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64"/>
        <w:ind w:firstLine="480"/>
      </w:pPr>
      <w:r>
        <w:rPr>
          <w:rFonts w:hint="eastAsia"/>
        </w:rPr>
        <w:t>有下列情形之一的，不得修改磋商结果或者重新评审：</w:t>
      </w:r>
    </w:p>
    <w:p>
      <w:pPr>
        <w:pStyle w:val="65"/>
        <w:ind w:firstLine="480"/>
      </w:pPr>
      <w:r>
        <w:rPr>
          <w:rFonts w:hint="eastAsia"/>
        </w:rPr>
        <w:t>磋商小组已经出具评审报告并且离开评审现场的；</w:t>
      </w:r>
    </w:p>
    <w:p>
      <w:pPr>
        <w:pStyle w:val="65"/>
        <w:ind w:firstLine="480"/>
      </w:pPr>
      <w:r>
        <w:rPr>
          <w:rFonts w:hint="eastAsia"/>
        </w:rPr>
        <w:t>采购代理机构现场复核时，复核工作人员数量不足的；</w:t>
      </w:r>
    </w:p>
    <w:p>
      <w:pPr>
        <w:pStyle w:val="65"/>
        <w:ind w:firstLine="480"/>
      </w:pPr>
      <w:r>
        <w:rPr>
          <w:rFonts w:hint="eastAsia"/>
        </w:rPr>
        <w:t>采购代理机构现场复核时，没有采购监督人员现场监督的；</w:t>
      </w:r>
    </w:p>
    <w:p>
      <w:pPr>
        <w:pStyle w:val="65"/>
        <w:ind w:firstLine="480"/>
      </w:pPr>
      <w:r>
        <w:rPr>
          <w:rFonts w:hint="eastAsia"/>
        </w:rPr>
        <w:t>采购代理机构现场复核内容超出规定范围的；</w:t>
      </w:r>
    </w:p>
    <w:p>
      <w:pPr>
        <w:pStyle w:val="65"/>
        <w:ind w:firstLine="480"/>
      </w:pPr>
      <w:r>
        <w:rPr>
          <w:rFonts w:hint="eastAsia"/>
        </w:rPr>
        <w:t>采购代理机构未提供书面建议的。</w:t>
      </w:r>
    </w:p>
    <w:p>
      <w:pPr>
        <w:pStyle w:val="50"/>
        <w:ind w:firstLine="482"/>
      </w:pPr>
      <w:bookmarkStart w:id="389" w:name="_Toc4617"/>
      <w:bookmarkStart w:id="390" w:name="_Toc26198"/>
      <w:r>
        <w:rPr>
          <w:rFonts w:hint="eastAsia"/>
        </w:rPr>
        <w:t>评审报告</w:t>
      </w:r>
      <w:bookmarkEnd w:id="389"/>
      <w:bookmarkEnd w:id="390"/>
    </w:p>
    <w:p>
      <w:pPr>
        <w:pStyle w:val="64"/>
        <w:ind w:firstLine="480"/>
      </w:pPr>
      <w:r>
        <w:rPr>
          <w:rFonts w:hint="eastAsia"/>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64"/>
        <w:ind w:firstLine="480"/>
      </w:pPr>
      <w:r>
        <w:rPr>
          <w:rFonts w:hint="eastAsia"/>
        </w:rPr>
        <w:t>出具评审报告。评审委员会推荐成交候选供应商后，应当向采购组织单位出具评审报告。评审报告应当包括下列内容：</w:t>
      </w:r>
    </w:p>
    <w:p>
      <w:pPr>
        <w:pStyle w:val="65"/>
        <w:ind w:firstLine="480"/>
      </w:pPr>
      <w:r>
        <w:rPr>
          <w:rFonts w:hint="eastAsia"/>
        </w:rPr>
        <w:t>邀请供应商参加采购活动的具体方式和相关情况、以及参加采购活动的供应商名单；</w:t>
      </w:r>
    </w:p>
    <w:p>
      <w:pPr>
        <w:pStyle w:val="65"/>
        <w:ind w:firstLine="480"/>
      </w:pPr>
      <w:r>
        <w:rPr>
          <w:rFonts w:hint="eastAsia"/>
        </w:rPr>
        <w:t>响应文件开启日期和地点；</w:t>
      </w:r>
    </w:p>
    <w:p>
      <w:pPr>
        <w:pStyle w:val="65"/>
        <w:ind w:firstLine="480"/>
      </w:pPr>
      <w:r>
        <w:rPr>
          <w:rFonts w:hint="eastAsia"/>
        </w:rPr>
        <w:t>获取磋商文件的供应商名单和磋商小组成员名单；</w:t>
      </w:r>
    </w:p>
    <w:p>
      <w:pPr>
        <w:pStyle w:val="65"/>
        <w:ind w:firstLine="480"/>
      </w:pPr>
      <w:r>
        <w:rPr>
          <w:rFonts w:hint="eastAsia"/>
        </w:rPr>
        <w:t>参加报价的供应商名单及报价情况和未参加报价的供应商名单及原因；</w:t>
      </w:r>
    </w:p>
    <w:p>
      <w:pPr>
        <w:pStyle w:val="65"/>
        <w:ind w:firstLine="480"/>
      </w:pPr>
      <w:r>
        <w:rPr>
          <w:rFonts w:hint="eastAsia"/>
        </w:rPr>
        <w:t>磋商文件规定的采购项目实质性要求及变动磋商文件实质性内容的有关资料及记录；</w:t>
      </w:r>
    </w:p>
    <w:p>
      <w:pPr>
        <w:pStyle w:val="65"/>
        <w:ind w:firstLine="480"/>
      </w:pPr>
      <w:r>
        <w:rPr>
          <w:rFonts w:hint="eastAsia"/>
        </w:rPr>
        <w:t>供应商响应文件响应磋商文件实质性要求情况及供应商变动响应文件有关资料及记录；</w:t>
      </w:r>
    </w:p>
    <w:p>
      <w:pPr>
        <w:pStyle w:val="65"/>
        <w:ind w:firstLine="480"/>
      </w:pPr>
      <w:r>
        <w:rPr>
          <w:rFonts w:hint="eastAsia"/>
        </w:rPr>
        <w:t>评审情况记录和说明，包括对供应商的资格审查情况、供应商响应文件评审情况、磋商情况、报价情况等；</w:t>
      </w:r>
    </w:p>
    <w:p>
      <w:pPr>
        <w:pStyle w:val="65"/>
        <w:ind w:firstLine="480"/>
      </w:pPr>
      <w:r>
        <w:rPr>
          <w:rFonts w:hint="eastAsia"/>
        </w:rPr>
        <w:t>提出的成交候选供应商的排序名单及理由。</w:t>
      </w:r>
    </w:p>
    <w:p>
      <w:pPr>
        <w:pStyle w:val="64"/>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4"/>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0"/>
        <w:ind w:firstLine="482"/>
      </w:pPr>
      <w:bookmarkStart w:id="391" w:name="_Toc22509"/>
      <w:bookmarkStart w:id="392" w:name="_Toc13016"/>
      <w:r>
        <w:rPr>
          <w:rFonts w:hint="eastAsia"/>
        </w:rPr>
        <w:t>确定成交候选人</w:t>
      </w:r>
      <w:bookmarkEnd w:id="391"/>
      <w:bookmarkEnd w:id="392"/>
    </w:p>
    <w:p>
      <w:pPr>
        <w:pStyle w:val="64"/>
        <w:ind w:firstLine="480"/>
      </w:pPr>
      <w:r>
        <w:rPr>
          <w:rFonts w:hint="eastAsia"/>
        </w:rPr>
        <w:t>采购代理机构应当在评审结束后2个工作日内将评审报告送采购人确认。</w:t>
      </w:r>
    </w:p>
    <w:p>
      <w:pPr>
        <w:pStyle w:val="64"/>
        <w:ind w:firstLine="480"/>
      </w:pPr>
      <w:r>
        <w:rPr>
          <w:rFonts w:hint="eastAsia"/>
        </w:rPr>
        <w:t>本项目根据磋商小组推荐的成交候选人名单，按顺序确定成交供应商。</w:t>
      </w:r>
    </w:p>
    <w:p>
      <w:pPr>
        <w:pStyle w:val="64"/>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4"/>
        <w:ind w:firstLine="480"/>
      </w:pPr>
      <w:r>
        <w:rPr>
          <w:rFonts w:hint="eastAsia"/>
        </w:rPr>
        <w:t>采购人不确定排序前一位成交候选供应商为成交供应商的，应当将不确定的理由书面告知该成交候选供应商，并在“四川政府采购网”公告。</w:t>
      </w:r>
    </w:p>
    <w:p>
      <w:pPr>
        <w:pStyle w:val="64"/>
        <w:ind w:firstLine="480"/>
      </w:pPr>
      <w:r>
        <w:rPr>
          <w:rFonts w:hint="eastAsia"/>
        </w:rPr>
        <w:t>采购人依法确定不出成交供应商的，应当重新组织采购，书面告知成交候选供应商，说明理由，并在“四川政府采购网”公告。</w:t>
      </w:r>
    </w:p>
    <w:p>
      <w:pPr>
        <w:pStyle w:val="64"/>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0"/>
        <w:ind w:firstLine="482"/>
      </w:pPr>
      <w:bookmarkStart w:id="393" w:name="_Toc20650"/>
      <w:bookmarkStart w:id="394" w:name="_Toc17505"/>
      <w:r>
        <w:rPr>
          <w:rFonts w:hint="eastAsia"/>
        </w:rPr>
        <w:t>成交通知书</w:t>
      </w:r>
      <w:bookmarkEnd w:id="393"/>
      <w:bookmarkEnd w:id="394"/>
    </w:p>
    <w:p>
      <w:pPr>
        <w:pStyle w:val="64"/>
        <w:ind w:firstLine="480"/>
      </w:pPr>
      <w:r>
        <w:rPr>
          <w:rFonts w:hint="eastAsia"/>
        </w:rPr>
        <w:t>采购代理机构在成交供应商确定后2个工作日内，在“四川政府采购网”公告成交结果，同时向成交供应商发出成交通知书。</w:t>
      </w:r>
    </w:p>
    <w:p>
      <w:pPr>
        <w:pStyle w:val="64"/>
        <w:ind w:firstLine="480"/>
      </w:pPr>
      <w:r>
        <w:rPr>
          <w:rFonts w:hint="eastAsia"/>
        </w:rPr>
        <w:t>成交通知书为签订政府采购合同的依据之一，是合同的有效组成部分。</w:t>
      </w:r>
    </w:p>
    <w:p>
      <w:pPr>
        <w:pStyle w:val="64"/>
        <w:ind w:firstLine="480"/>
      </w:pPr>
      <w:r>
        <w:rPr>
          <w:rFonts w:hint="eastAsia"/>
        </w:rPr>
        <w:t>供应商成交后，拒绝领取成交通知书的，采购代理机构将于成交供应商确定之日起两个工作日内采取邮寄、快递方式按照供应商响应文件中的地址发出成交通知书。</w:t>
      </w:r>
    </w:p>
    <w:p>
      <w:pPr>
        <w:pStyle w:val="64"/>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4"/>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4"/>
        <w:ind w:firstLine="480"/>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50"/>
        <w:ind w:firstLine="482"/>
      </w:pPr>
      <w:bookmarkStart w:id="395" w:name="_Toc19477"/>
      <w:bookmarkStart w:id="396" w:name="_Toc29842"/>
      <w:bookmarkStart w:id="397" w:name="_Toc25447"/>
      <w:bookmarkStart w:id="398" w:name="_Toc5227"/>
      <w:bookmarkStart w:id="399" w:name="_Toc27829"/>
      <w:bookmarkStart w:id="400" w:name="_Toc18115"/>
      <w:bookmarkStart w:id="401" w:name="_Toc5893"/>
      <w:r>
        <w:rPr>
          <w:rFonts w:hint="eastAsia"/>
        </w:rPr>
        <w:t>评审专家在政府采购活动中承担以下义务</w:t>
      </w:r>
      <w:bookmarkEnd w:id="395"/>
      <w:bookmarkEnd w:id="396"/>
      <w:bookmarkEnd w:id="397"/>
      <w:bookmarkEnd w:id="398"/>
      <w:bookmarkEnd w:id="399"/>
      <w:bookmarkEnd w:id="400"/>
      <w:bookmarkEnd w:id="401"/>
    </w:p>
    <w:p>
      <w:pPr>
        <w:pStyle w:val="64"/>
        <w:ind w:firstLine="480"/>
      </w:pPr>
      <w:r>
        <w:rPr>
          <w:rFonts w:hint="eastAsia"/>
        </w:rPr>
        <w:t>遵纪守法，客观、公正、廉洁地履行职责。</w:t>
      </w:r>
    </w:p>
    <w:p>
      <w:pPr>
        <w:pStyle w:val="64"/>
        <w:ind w:firstLine="480"/>
      </w:pPr>
      <w:r>
        <w:rPr>
          <w:rFonts w:hint="eastAsia"/>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64"/>
        <w:ind w:firstLine="480"/>
      </w:pPr>
      <w:r>
        <w:rPr>
          <w:rFonts w:hint="eastAsia"/>
        </w:rPr>
        <w:t>评审专家应当遵守评审工作纪律，不得泄露评审情况和评审中获悉的商业秘密。</w:t>
      </w:r>
    </w:p>
    <w:p>
      <w:pPr>
        <w:pStyle w:val="64"/>
        <w:ind w:firstLine="480"/>
      </w:pPr>
      <w:r>
        <w:rPr>
          <w:rFonts w:hint="eastAsia"/>
        </w:rPr>
        <w:t>发现供应商在政府采购活动中有不正当竞争或恶意串通等违规行为，及时向政府采购评审工作的组织者或财政部门报告并加以制止。</w:t>
      </w:r>
    </w:p>
    <w:p>
      <w:pPr>
        <w:pStyle w:val="64"/>
        <w:ind w:firstLine="480"/>
      </w:pPr>
      <w:r>
        <w:rPr>
          <w:rFonts w:hint="eastAsia"/>
        </w:rPr>
        <w:t>在评审过程中发现供应商有行贿、提供虚假材料或者串通等违法行为的，应当及时向财政部门报告。</w:t>
      </w:r>
    </w:p>
    <w:p>
      <w:pPr>
        <w:pStyle w:val="64"/>
        <w:ind w:firstLine="480"/>
      </w:pPr>
      <w:r>
        <w:rPr>
          <w:rFonts w:hint="eastAsia"/>
        </w:rPr>
        <w:t>评审专家在评审过程中受到非法干涉的，应当及时向财政、监察等部门汇报。</w:t>
      </w:r>
    </w:p>
    <w:p>
      <w:pPr>
        <w:pStyle w:val="64"/>
        <w:ind w:firstLine="480"/>
      </w:pPr>
      <w:r>
        <w:rPr>
          <w:rFonts w:hint="eastAsia"/>
        </w:rPr>
        <w:t>解答有关方面对政府采购评审工作中有关问题的询问，配合采购人或者政府采购代理机构答复供应商询问、质疑，配合财政部门的投诉处理工作等事宜。</w:t>
      </w:r>
    </w:p>
    <w:p>
      <w:pPr>
        <w:pStyle w:val="64"/>
        <w:ind w:firstLine="480"/>
      </w:pPr>
      <w:r>
        <w:rPr>
          <w:rFonts w:hint="eastAsia"/>
        </w:rPr>
        <w:t>法律、法规和规章规定的其他义务。</w:t>
      </w:r>
    </w:p>
    <w:p>
      <w:pPr>
        <w:pStyle w:val="50"/>
        <w:ind w:firstLine="482"/>
      </w:pPr>
      <w:bookmarkStart w:id="402" w:name="_Toc22731"/>
      <w:bookmarkStart w:id="403" w:name="_Toc327196346"/>
      <w:bookmarkStart w:id="404" w:name="_Toc15363"/>
      <w:bookmarkStart w:id="405" w:name="_Toc32588"/>
      <w:bookmarkStart w:id="406" w:name="_Toc1306"/>
      <w:bookmarkStart w:id="407" w:name="_Toc7984"/>
      <w:bookmarkStart w:id="408" w:name="_Toc24516"/>
      <w:bookmarkStart w:id="409" w:name="_Toc319440195"/>
      <w:bookmarkStart w:id="410" w:name="_Toc2641"/>
      <w:bookmarkStart w:id="411" w:name="_Toc8073"/>
      <w:bookmarkStart w:id="412" w:name="_Toc22719"/>
      <w:bookmarkStart w:id="413" w:name="_Toc1037"/>
      <w:r>
        <w:rPr>
          <w:rFonts w:hint="eastAsia"/>
        </w:rPr>
        <w:t>评审专家在政府采购活动中应当遵守以下工作纪律</w:t>
      </w:r>
      <w:bookmarkEnd w:id="402"/>
      <w:bookmarkEnd w:id="403"/>
      <w:bookmarkEnd w:id="404"/>
      <w:bookmarkEnd w:id="405"/>
      <w:bookmarkEnd w:id="406"/>
      <w:bookmarkEnd w:id="407"/>
      <w:bookmarkEnd w:id="408"/>
      <w:bookmarkEnd w:id="409"/>
      <w:bookmarkEnd w:id="410"/>
      <w:bookmarkEnd w:id="411"/>
      <w:bookmarkEnd w:id="412"/>
      <w:bookmarkEnd w:id="413"/>
    </w:p>
    <w:p>
      <w:pPr>
        <w:pStyle w:val="64"/>
        <w:ind w:firstLine="480"/>
      </w:pPr>
      <w:r>
        <w:rPr>
          <w:rFonts w:hint="eastAsia"/>
        </w:rPr>
        <w:t>遵行《中华人民共和国政府采购法》第十二条和《中华人民共和国政府采购法实施条例》第九条及财政部关于回避的规定。</w:t>
      </w:r>
    </w:p>
    <w:p>
      <w:pPr>
        <w:pStyle w:val="64"/>
        <w:ind w:firstLine="480"/>
      </w:pPr>
      <w:r>
        <w:rPr>
          <w:rFonts w:hint="eastAsia"/>
        </w:rPr>
        <w:t>评审前，应当将通讯工具或者相关电子设备交由采购代理机构统一保管。</w:t>
      </w:r>
    </w:p>
    <w:p>
      <w:pPr>
        <w:pStyle w:val="64"/>
        <w:ind w:firstLine="480"/>
      </w:pPr>
      <w:r>
        <w:rPr>
          <w:rFonts w:hint="eastAsia"/>
        </w:rPr>
        <w:t>评审过程中，不得与外界联系，因发生不可预见情况，确实需要与外界联系的，应当在监督人员监督之下办理。</w:t>
      </w:r>
    </w:p>
    <w:p>
      <w:pPr>
        <w:pStyle w:val="64"/>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64"/>
        <w:ind w:firstLine="480"/>
      </w:pPr>
      <w:r>
        <w:rPr>
          <w:rFonts w:hint="eastAsia"/>
        </w:rPr>
        <w:t>在评审过程中和评审结束后，不得记录、复制或带走任何评审资料，除因规定的义务外，不得向外界透露评审内容。</w:t>
      </w:r>
    </w:p>
    <w:p>
      <w:pPr>
        <w:pStyle w:val="64"/>
        <w:ind w:firstLine="480"/>
      </w:pPr>
      <w:r>
        <w:rPr>
          <w:rFonts w:hint="eastAsia"/>
        </w:rPr>
        <w:t>服从评审现场采购代理机构的现场秩序管理，接受评审现场监督人员的合法监督。</w:t>
      </w:r>
    </w:p>
    <w:p>
      <w:pPr>
        <w:pStyle w:val="64"/>
        <w:ind w:firstLine="480"/>
      </w:pPr>
      <w:r>
        <w:rPr>
          <w:rFonts w:hint="eastAsia"/>
        </w:rPr>
        <w:t>遵守有关廉洁自律规定，不得私下接触供应商，不得收受供应商及有关业务单位和个人的财物或好处，不得接受采购组织单位的请托。</w:t>
      </w:r>
    </w:p>
    <w:p>
      <w:pPr>
        <w:pStyle w:val="64"/>
        <w:ind w:firstLine="480"/>
      </w:pPr>
      <w:r>
        <w:rPr>
          <w:rFonts w:hint="eastAsia"/>
        </w:rPr>
        <w:t>有关部门(机构)制定的其他评审工作纪律。</w:t>
      </w:r>
    </w:p>
    <w:p>
      <w:pPr>
        <w:pStyle w:val="50"/>
        <w:ind w:firstLine="482"/>
      </w:pPr>
      <w:bookmarkStart w:id="414" w:name="_Toc2722"/>
      <w:bookmarkStart w:id="415" w:name="_Toc24076"/>
      <w:r>
        <w:rPr>
          <w:rFonts w:hint="eastAsia"/>
        </w:rPr>
        <w:t>评审委员会及其成员不得有下列违约情形</w:t>
      </w:r>
      <w:bookmarkEnd w:id="414"/>
      <w:bookmarkEnd w:id="415"/>
    </w:p>
    <w:p>
      <w:pPr>
        <w:pStyle w:val="64"/>
        <w:ind w:firstLine="480"/>
      </w:pPr>
      <w:r>
        <w:rPr>
          <w:rFonts w:hint="eastAsia"/>
        </w:rPr>
        <w:t>答应参加评审活动后，无正当理由不参加或者迟到，且不及时告知抽取终端工作人员，导致评审活动无法正常进行的；</w:t>
      </w:r>
    </w:p>
    <w:p>
      <w:pPr>
        <w:pStyle w:val="64"/>
        <w:ind w:firstLine="480"/>
      </w:pPr>
      <w:r>
        <w:rPr>
          <w:rFonts w:hint="eastAsia"/>
        </w:rPr>
        <w:t>不遵守评审现场工作纪律的；</w:t>
      </w:r>
    </w:p>
    <w:p>
      <w:pPr>
        <w:pStyle w:val="64"/>
        <w:ind w:firstLine="480"/>
      </w:pPr>
      <w:r>
        <w:rPr>
          <w:rFonts w:hint="eastAsia"/>
        </w:rPr>
        <w:t>明显故意拖延评审时间的；</w:t>
      </w:r>
    </w:p>
    <w:p>
      <w:pPr>
        <w:pStyle w:val="64"/>
        <w:ind w:firstLine="480"/>
      </w:pPr>
      <w:r>
        <w:rPr>
          <w:rFonts w:hint="eastAsia"/>
        </w:rPr>
        <w:t>抄袭其他评审委员会成员的评审意见的；</w:t>
      </w:r>
    </w:p>
    <w:p>
      <w:pPr>
        <w:pStyle w:val="64"/>
        <w:ind w:firstLine="480"/>
      </w:pPr>
      <w:r>
        <w:rPr>
          <w:rFonts w:hint="eastAsia"/>
        </w:rPr>
        <w:t>不按照政府采购法律制度和磋商文件的规定进行评审，导致评审过程、评审结果违法违规，情节轻微不构成行政处罚的；</w:t>
      </w:r>
    </w:p>
    <w:p>
      <w:pPr>
        <w:pStyle w:val="64"/>
        <w:ind w:firstLine="480"/>
      </w:pPr>
      <w:r>
        <w:rPr>
          <w:rFonts w:hint="eastAsia"/>
        </w:rPr>
        <w:t>索取高于规定的劳务报酬，或者要求先给付报酬再进行评审，或者因劳务报酬低而拒绝评审、拒绝签署评审报告的；</w:t>
      </w:r>
    </w:p>
    <w:p>
      <w:pPr>
        <w:pStyle w:val="64"/>
        <w:ind w:firstLine="480"/>
      </w:pPr>
      <w:r>
        <w:rPr>
          <w:rFonts w:hint="eastAsia"/>
        </w:rPr>
        <w:t>不按照《四川省政府采购评审专家管理实施办法》的规定记录或者反馈采购人或者采购代理机构的职责履行情况的；</w:t>
      </w:r>
    </w:p>
    <w:p>
      <w:pPr>
        <w:pStyle w:val="64"/>
        <w:ind w:firstLine="480"/>
      </w:pPr>
      <w:r>
        <w:rPr>
          <w:rFonts w:hint="eastAsia"/>
        </w:rPr>
        <w:t>存在其他违反政府采购法规制度，但不构成行政处罚行为的。</w:t>
      </w:r>
    </w:p>
    <w:p>
      <w:pPr>
        <w:pStyle w:val="44"/>
      </w:pPr>
    </w:p>
    <w:p>
      <w:pPr>
        <w:pStyle w:val="49"/>
        <w:numPr>
          <w:ilvl w:val="0"/>
          <w:numId w:val="20"/>
        </w:numPr>
        <w:spacing w:before="120" w:after="120"/>
      </w:pPr>
      <w:r>
        <w:rPr>
          <w:rFonts w:hint="eastAsia"/>
        </w:rPr>
        <w:br w:type="page"/>
      </w:r>
      <w:bookmarkEnd w:id="362"/>
      <w:bookmarkStart w:id="416" w:name="_Toc15613"/>
      <w:r>
        <w:rPr>
          <w:rFonts w:hint="eastAsia"/>
        </w:rPr>
        <w:t>合同草案条款(参考文本)</w:t>
      </w:r>
      <w:bookmarkEnd w:id="416"/>
    </w:p>
    <w:p>
      <w:pPr>
        <w:pStyle w:val="47"/>
        <w:ind w:firstLine="482"/>
      </w:pPr>
      <w:r>
        <w:rPr>
          <w:rFonts w:hint="eastAsia"/>
          <w:b/>
          <w:bCs/>
          <w:highlight w:val="yellow"/>
        </w:rPr>
        <w:t>说明：</w:t>
      </w:r>
      <w:r>
        <w:rPr>
          <w:rFonts w:hint="eastAsia" w:cs="宋体"/>
          <w:b/>
          <w:bCs/>
          <w:highlight w:val="yellow"/>
        </w:rPr>
        <w:t>此合同为格式模板合同，仅作为采购人与成交供应商签订合同之时的参考，采购人有权根据实际情况对合同进行调整。</w:t>
      </w:r>
    </w:p>
    <w:p>
      <w:pPr>
        <w:pStyle w:val="47"/>
      </w:pPr>
    </w:p>
    <w:p>
      <w:pPr>
        <w:pStyle w:val="47"/>
      </w:pPr>
      <w:r>
        <w:rPr>
          <w:rFonts w:hint="eastAsia"/>
        </w:rPr>
        <w:t>合同编号：与项目编号一致</w:t>
      </w:r>
    </w:p>
    <w:p>
      <w:pPr>
        <w:pStyle w:val="47"/>
        <w:rPr>
          <w:highlight w:val="yellow"/>
          <w:u w:val="single"/>
        </w:rPr>
      </w:pPr>
      <w:r>
        <w:rPr>
          <w:rFonts w:hint="eastAsia"/>
          <w:highlight w:val="yellow"/>
        </w:rPr>
        <w:t>计划号/备案号：</w:t>
      </w:r>
      <w:r>
        <w:rPr>
          <w:rFonts w:hint="eastAsia"/>
          <w:highlight w:val="yellow"/>
          <w:u w:val="single"/>
        </w:rPr>
        <w:t xml:space="preserve">                   </w:t>
      </w:r>
    </w:p>
    <w:p>
      <w:pPr>
        <w:pStyle w:val="47"/>
        <w:rPr>
          <w:u w:val="single"/>
        </w:rPr>
      </w:pPr>
      <w:r>
        <w:rPr>
          <w:rFonts w:hint="eastAsia"/>
        </w:rPr>
        <w:t>签订地点：</w:t>
      </w:r>
      <w:r>
        <w:rPr>
          <w:rFonts w:hint="eastAsia"/>
          <w:u w:val="single"/>
        </w:rPr>
        <w:t xml:space="preserve">                     </w:t>
      </w:r>
    </w:p>
    <w:p>
      <w:pPr>
        <w:pStyle w:val="47"/>
        <w:rPr>
          <w:u w:val="single"/>
        </w:rPr>
      </w:pPr>
      <w:r>
        <w:rPr>
          <w:rFonts w:hint="eastAsia"/>
        </w:rPr>
        <w:t>签订时间：</w:t>
      </w:r>
      <w:r>
        <w:rPr>
          <w:rFonts w:hint="eastAsia"/>
          <w:u w:val="single"/>
        </w:rPr>
        <w:t xml:space="preserve">                     </w:t>
      </w:r>
    </w:p>
    <w:p>
      <w:pPr>
        <w:pStyle w:val="47"/>
        <w:rPr>
          <w:u w:val="single"/>
        </w:rPr>
      </w:pPr>
      <w:r>
        <w:rPr>
          <w:rFonts w:hint="eastAsia"/>
        </w:rPr>
        <w:t>采购人名称(甲方)：</w:t>
      </w:r>
      <w:r>
        <w:rPr>
          <w:rFonts w:hint="eastAsia"/>
          <w:u w:val="single"/>
        </w:rPr>
        <w:t xml:space="preserve">                              </w:t>
      </w:r>
    </w:p>
    <w:p>
      <w:pPr>
        <w:pStyle w:val="47"/>
        <w:rPr>
          <w:u w:val="single"/>
        </w:rPr>
      </w:pPr>
      <w:r>
        <w:rPr>
          <w:rFonts w:hint="eastAsia"/>
        </w:rPr>
        <w:t>成交供应商名称(乙方)：</w:t>
      </w:r>
      <w:r>
        <w:rPr>
          <w:rFonts w:hint="eastAsia"/>
          <w:u w:val="single"/>
        </w:rPr>
        <w:t xml:space="preserve">                          </w:t>
      </w:r>
    </w:p>
    <w:p>
      <w:pPr>
        <w:pStyle w:val="44"/>
        <w:ind w:firstLine="482" w:firstLineChars="200"/>
        <w:rPr>
          <w:b/>
          <w:bCs/>
          <w:highlight w:val="green"/>
        </w:rPr>
      </w:pPr>
      <w:r>
        <w:rPr>
          <w:rFonts w:hint="eastAsia"/>
          <w:b/>
          <w:bCs/>
          <w:highlight w:val="green"/>
        </w:rPr>
        <w:t>合同类型：</w:t>
      </w:r>
      <w:r>
        <w:rPr>
          <w:rFonts w:hint="eastAsia"/>
          <w:b/>
          <w:bCs/>
          <w:highlight w:val="green"/>
          <w:u w:val="single"/>
        </w:rPr>
        <w:t>本合同为中小企业预留合同(适用于专门面向中小企业采购的项目)</w:t>
      </w:r>
    </w:p>
    <w:p>
      <w:pPr>
        <w:pStyle w:val="44"/>
      </w:pPr>
    </w:p>
    <w:p>
      <w:pPr>
        <w:pStyle w:val="44"/>
        <w:ind w:firstLine="480" w:firstLineChars="200"/>
      </w:pPr>
      <w:r>
        <w:rPr>
          <w:rFonts w:hint="eastAsia"/>
        </w:rPr>
        <w:t>根据《中华人民共和国民法典》、《中华人民共和国政府采购法》、《中华人民共和国政府采购法实施条例》(国务院令第658号)、《政府采购竞争性磋商采购方式管理暂行办法》及</w:t>
      </w:r>
      <w:r>
        <w:rPr>
          <w:rFonts w:hint="eastAsia"/>
          <w:color w:val="FF0000"/>
        </w:rPr>
        <w:t>(采购项目的名称)</w:t>
      </w:r>
      <w:r>
        <w:rPr>
          <w:rFonts w:hint="eastAsia"/>
        </w:rPr>
        <w:t>(项目编号：</w:t>
      </w:r>
      <w:r>
        <w:rPr>
          <w:rFonts w:hint="eastAsia"/>
          <w:color w:val="FF0000"/>
        </w:rPr>
        <w:t>(采购项目的编号)</w:t>
      </w:r>
      <w:r>
        <w:rPr>
          <w:rFonts w:hint="eastAsia"/>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67"/>
        <w:ind w:firstLine="482"/>
      </w:pPr>
      <w:bookmarkStart w:id="417" w:name="_Toc10451"/>
      <w:r>
        <w:rPr>
          <w:rFonts w:hint="eastAsia"/>
        </w:rPr>
        <w:t>项目基本情况</w:t>
      </w:r>
      <w:bookmarkEnd w:id="417"/>
    </w:p>
    <w:p/>
    <w:p>
      <w:pPr>
        <w:pStyle w:val="67"/>
        <w:ind w:firstLine="482"/>
      </w:pPr>
      <w:bookmarkStart w:id="418" w:name="_Toc7430"/>
      <w:r>
        <w:rPr>
          <w:rFonts w:hint="eastAsia"/>
        </w:rPr>
        <w:t>合同履行</w:t>
      </w:r>
      <w:bookmarkEnd w:id="418"/>
    </w:p>
    <w:p>
      <w:pPr>
        <w:pStyle w:val="34"/>
        <w:numPr>
          <w:ilvl w:val="1"/>
          <w:numId w:val="24"/>
        </w:numPr>
        <w:ind w:firstLine="480"/>
      </w:pPr>
      <w:r>
        <w:rPr>
          <w:rFonts w:hint="eastAsia"/>
        </w:rPr>
        <w:t>履约期限：</w:t>
      </w:r>
    </w:p>
    <w:p>
      <w:pPr>
        <w:pStyle w:val="34"/>
        <w:numPr>
          <w:ilvl w:val="1"/>
          <w:numId w:val="24"/>
        </w:numPr>
        <w:ind w:firstLine="480"/>
      </w:pPr>
      <w:r>
        <w:rPr>
          <w:rFonts w:hint="eastAsia"/>
        </w:rPr>
        <w:t>履行地点：</w:t>
      </w:r>
    </w:p>
    <w:p>
      <w:pPr>
        <w:pStyle w:val="34"/>
        <w:numPr>
          <w:ilvl w:val="1"/>
          <w:numId w:val="24"/>
        </w:numPr>
        <w:ind w:firstLine="480"/>
      </w:pPr>
      <w:r>
        <w:rPr>
          <w:rFonts w:hint="eastAsia"/>
        </w:rPr>
        <w:t>履约方式：</w:t>
      </w:r>
    </w:p>
    <w:p>
      <w:pPr>
        <w:pStyle w:val="67"/>
        <w:ind w:firstLine="482"/>
      </w:pPr>
      <w:bookmarkStart w:id="419" w:name="_Toc25657"/>
      <w:bookmarkStart w:id="420" w:name="_Toc241833903"/>
      <w:bookmarkStart w:id="421" w:name="_Toc211854449"/>
      <w:bookmarkStart w:id="422" w:name="_Toc239568418"/>
      <w:bookmarkStart w:id="423" w:name="_Toc283019214"/>
      <w:bookmarkStart w:id="424" w:name="_Toc286993786"/>
      <w:bookmarkStart w:id="425" w:name="_Toc211911348"/>
      <w:bookmarkStart w:id="426" w:name="_Toc238984975"/>
      <w:bookmarkStart w:id="427" w:name="_Toc232492928"/>
      <w:bookmarkStart w:id="428" w:name="_Toc247334841"/>
      <w:bookmarkStart w:id="429" w:name="_Toc212019594"/>
      <w:bookmarkStart w:id="430" w:name="_Toc225654644"/>
      <w:bookmarkStart w:id="431" w:name="_Toc251768862"/>
      <w:bookmarkStart w:id="432" w:name="_Toc225244852"/>
      <w:bookmarkStart w:id="433" w:name="_Toc239233914"/>
      <w:bookmarkStart w:id="434" w:name="_Toc185395249"/>
      <w:bookmarkStart w:id="435" w:name="_Toc282696226"/>
      <w:bookmarkStart w:id="436" w:name="_Toc237145406"/>
      <w:bookmarkStart w:id="437" w:name="_Toc225670751"/>
      <w:r>
        <w:rPr>
          <w:rFonts w:hint="eastAsia"/>
        </w:rPr>
        <w:t>合同标的</w:t>
      </w:r>
      <w:bookmarkEnd w:id="419"/>
    </w:p>
    <w:p>
      <w:pPr>
        <w:pStyle w:val="34"/>
        <w:numPr>
          <w:ilvl w:val="1"/>
          <w:numId w:val="25"/>
        </w:numPr>
        <w:ind w:firstLine="480"/>
      </w:pPr>
      <w:r>
        <w:rPr>
          <w:rFonts w:hint="eastAsia"/>
        </w:rPr>
        <w:t>XXXX……；</w:t>
      </w:r>
    </w:p>
    <w:p>
      <w:pPr>
        <w:pStyle w:val="34"/>
        <w:numPr>
          <w:ilvl w:val="1"/>
          <w:numId w:val="25"/>
        </w:numPr>
        <w:ind w:firstLine="480"/>
      </w:pPr>
      <w:r>
        <w:rPr>
          <w:rFonts w:hint="eastAsia"/>
        </w:rPr>
        <w:t>数量(若涉及填写)；</w:t>
      </w:r>
    </w:p>
    <w:p>
      <w:pPr>
        <w:pStyle w:val="34"/>
        <w:numPr>
          <w:ilvl w:val="1"/>
          <w:numId w:val="25"/>
        </w:numPr>
        <w:ind w:firstLine="480"/>
      </w:pPr>
      <w:r>
        <w:rPr>
          <w:rFonts w:hint="eastAsia"/>
        </w:rPr>
        <w:t>质量(若涉及填写)；</w:t>
      </w:r>
    </w:p>
    <w:p>
      <w:pPr>
        <w:pStyle w:val="67"/>
        <w:ind w:firstLine="482"/>
      </w:pPr>
      <w:bookmarkStart w:id="438" w:name="_Toc614"/>
      <w:r>
        <w:rPr>
          <w:rFonts w:hint="eastAsia"/>
        </w:rPr>
        <w:t>质量标准</w:t>
      </w:r>
      <w:bookmarkEnd w:id="438"/>
    </w:p>
    <w:p>
      <w:pPr>
        <w:pStyle w:val="34"/>
        <w:numPr>
          <w:ilvl w:val="1"/>
          <w:numId w:val="26"/>
        </w:numPr>
        <w:ind w:firstLine="480"/>
      </w:pPr>
      <w:r>
        <w:rPr>
          <w:rFonts w:hint="eastAsia"/>
        </w:rPr>
        <w:t>XXXX；</w:t>
      </w:r>
    </w:p>
    <w:p>
      <w:pPr>
        <w:pStyle w:val="34"/>
        <w:numPr>
          <w:ilvl w:val="1"/>
          <w:numId w:val="26"/>
        </w:numPr>
        <w:ind w:firstLine="480"/>
      </w:pPr>
      <w:r>
        <w:rPr>
          <w:rFonts w:hint="eastAsia"/>
        </w:rPr>
        <w:t>XXXX；</w:t>
      </w:r>
    </w:p>
    <w:p>
      <w:pPr>
        <w:pStyle w:val="34"/>
        <w:numPr>
          <w:ilvl w:val="1"/>
          <w:numId w:val="26"/>
        </w:numPr>
        <w:ind w:firstLine="480"/>
      </w:pPr>
      <w:r>
        <w:rPr>
          <w:rFonts w:hint="eastAsia"/>
        </w:rPr>
        <w:t>XXXX．</w:t>
      </w:r>
    </w:p>
    <w:p>
      <w:pPr>
        <w:pStyle w:val="67"/>
        <w:ind w:firstLine="482"/>
      </w:pPr>
      <w:bookmarkStart w:id="439" w:name="_Toc28415"/>
      <w:r>
        <w:rPr>
          <w:rFonts w:hint="eastAsia"/>
        </w:rPr>
        <w:t>验收要求</w:t>
      </w:r>
      <w:bookmarkEnd w:id="439"/>
    </w:p>
    <w:p>
      <w:pPr>
        <w:pStyle w:val="34"/>
        <w:numPr>
          <w:ilvl w:val="1"/>
          <w:numId w:val="27"/>
        </w:numPr>
        <w:ind w:firstLine="480"/>
      </w:pPr>
      <w:r>
        <w:rPr>
          <w:rFonts w:hint="eastAsia"/>
        </w:rPr>
        <w:t>严格按照《财政部关于进一步加强政府采购需求和履约验收管理的指导意见》(财库〔2016〕205号)要求进行验收。须符合国家有关规定、磋商文件的质量要求和技术指标、供应商的响应文件及承诺以及合同条款。</w:t>
      </w:r>
    </w:p>
    <w:p>
      <w:pPr>
        <w:pStyle w:val="34"/>
        <w:numPr>
          <w:ilvl w:val="1"/>
          <w:numId w:val="27"/>
        </w:numPr>
        <w:ind w:firstLine="480"/>
      </w:pPr>
      <w:r>
        <w:rPr>
          <w:rFonts w:hint="eastAsia"/>
        </w:rPr>
        <w:t>甲乙双方如对质量要求和技术指标的约定标准有相互抵触或异议的事项，由甲方在响应文件中按质量要求和技术指标比较优胜的原则确定该项的约定标准进行验收；</w:t>
      </w:r>
    </w:p>
    <w:p>
      <w:pPr>
        <w:pStyle w:val="34"/>
        <w:numPr>
          <w:ilvl w:val="1"/>
          <w:numId w:val="27"/>
        </w:numPr>
        <w:ind w:firstLine="480"/>
      </w:pPr>
      <w:r>
        <w:rPr>
          <w:rFonts w:hint="eastAsia"/>
        </w:rPr>
        <w:t>如质量验收合格，双方签署质量验收报告。</w:t>
      </w:r>
    </w:p>
    <w:p>
      <w:pPr>
        <w:pStyle w:val="67"/>
        <w:ind w:firstLine="482"/>
      </w:pPr>
      <w:bookmarkStart w:id="440" w:name="_Toc11401"/>
      <w:r>
        <w:rPr>
          <w:rFonts w:hint="eastAsia"/>
        </w:rPr>
        <w:t>合同价款及支付方式</w:t>
      </w:r>
      <w:bookmarkEnd w:id="440"/>
    </w:p>
    <w:p>
      <w:pPr>
        <w:pStyle w:val="34"/>
        <w:numPr>
          <w:ilvl w:val="1"/>
          <w:numId w:val="28"/>
        </w:numPr>
        <w:ind w:firstLine="480"/>
      </w:pPr>
      <w:r>
        <w:rPr>
          <w:rFonts w:hint="eastAsia"/>
        </w:rPr>
        <w:t>本项目合同价款由以下组成：</w:t>
      </w:r>
    </w:p>
    <w:p>
      <w:pPr>
        <w:pStyle w:val="34"/>
        <w:numPr>
          <w:ilvl w:val="1"/>
          <w:numId w:val="28"/>
        </w:numPr>
        <w:ind w:firstLine="480"/>
      </w:pPr>
      <w:r>
        <w:rPr>
          <w:rFonts w:hint="eastAsia"/>
        </w:rPr>
        <w:t>XX万元；</w:t>
      </w:r>
    </w:p>
    <w:p>
      <w:pPr>
        <w:pStyle w:val="34"/>
        <w:numPr>
          <w:ilvl w:val="1"/>
          <w:numId w:val="28"/>
        </w:numPr>
        <w:ind w:firstLine="480"/>
      </w:pPr>
      <w:r>
        <w:rPr>
          <w:rFonts w:hint="eastAsia"/>
        </w:rPr>
        <w:t>XX万元；</w:t>
      </w:r>
    </w:p>
    <w:p>
      <w:pPr>
        <w:pStyle w:val="34"/>
        <w:numPr>
          <w:ilvl w:val="1"/>
          <w:numId w:val="28"/>
        </w:numPr>
        <w:ind w:firstLine="480"/>
      </w:pPr>
      <w:r>
        <w:rPr>
          <w:rFonts w:hint="eastAsia"/>
        </w:rPr>
        <w:t>XX万元。</w:t>
      </w:r>
    </w:p>
    <w:p>
      <w:pPr>
        <w:pStyle w:val="34"/>
        <w:numPr>
          <w:ilvl w:val="1"/>
          <w:numId w:val="28"/>
        </w:numPr>
        <w:ind w:firstLine="480"/>
      </w:pPr>
      <w:r>
        <w:rPr>
          <w:rFonts w:hint="eastAsia"/>
        </w:rPr>
        <w:t>……</w:t>
      </w:r>
    </w:p>
    <w:p>
      <w:pPr>
        <w:pStyle w:val="34"/>
        <w:numPr>
          <w:ilvl w:val="1"/>
          <w:numId w:val="28"/>
        </w:numPr>
        <w:ind w:firstLine="480"/>
      </w:pPr>
      <w:r>
        <w:rPr>
          <w:rFonts w:hint="eastAsia"/>
        </w:rPr>
        <w:t xml:space="preserve">支付方式： </w:t>
      </w:r>
    </w:p>
    <w:p>
      <w:pPr>
        <w:pStyle w:val="67"/>
        <w:ind w:firstLine="482"/>
      </w:pPr>
      <w:bookmarkStart w:id="441" w:name="_Toc8157"/>
      <w:r>
        <w:rPr>
          <w:rFonts w:hint="eastAsia"/>
        </w:rPr>
        <w:t>知识产权</w:t>
      </w:r>
      <w:bookmarkEnd w:id="441"/>
    </w:p>
    <w:p>
      <w:pPr>
        <w:pStyle w:val="47"/>
      </w:pPr>
      <w:r>
        <w:rPr>
          <w:rFonts w:hint="eastAsia"/>
        </w:rPr>
        <w:t>乙方应保证所提供的服务或其任何一部分均不会侵犯任何第三方的专利权、商标权或著作权。</w:t>
      </w:r>
    </w:p>
    <w:p>
      <w:pPr>
        <w:pStyle w:val="67"/>
        <w:ind w:firstLine="482"/>
      </w:pPr>
      <w:bookmarkStart w:id="442" w:name="_Toc24635"/>
      <w:r>
        <w:rPr>
          <w:rFonts w:hint="eastAsia"/>
        </w:rPr>
        <w:t>无产权瑕疵条款</w:t>
      </w:r>
      <w:bookmarkEnd w:id="442"/>
    </w:p>
    <w:p>
      <w:pPr>
        <w:pStyle w:val="47"/>
      </w:pPr>
      <w:r>
        <w:rPr>
          <w:rFonts w:hint="eastAsia"/>
        </w:rPr>
        <w:t>乙方保证所提供的服务的所有权完全属于乙方且无任何抵押、查封等产权瑕疵。如有产权瑕疵的，视为乙方违约。乙方应负担由此而产生的一切损失。</w:t>
      </w:r>
    </w:p>
    <w:p>
      <w:pPr>
        <w:pStyle w:val="67"/>
        <w:ind w:firstLine="482"/>
      </w:pPr>
      <w:bookmarkStart w:id="443" w:name="_Toc13697"/>
      <w:r>
        <w:rPr>
          <w:rFonts w:hint="eastAsia"/>
        </w:rPr>
        <w:t>甲方的权利和义务</w:t>
      </w:r>
      <w:bookmarkEnd w:id="443"/>
    </w:p>
    <w:p>
      <w:pPr>
        <w:pStyle w:val="34"/>
        <w:numPr>
          <w:ilvl w:val="1"/>
          <w:numId w:val="29"/>
        </w:numPr>
        <w:ind w:firstLine="480"/>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34"/>
        <w:numPr>
          <w:ilvl w:val="1"/>
          <w:numId w:val="29"/>
        </w:numPr>
        <w:ind w:firstLine="480"/>
      </w:pPr>
      <w:r>
        <w:rPr>
          <w:rFonts w:hint="eastAsia"/>
        </w:rPr>
        <w:t>甲方有权依据双方签订的考评办法对乙方提供的服务进行定期考评。当考评结果未达到标准时，有权依据考评办法约定的数额扣除履约保证金。</w:t>
      </w:r>
    </w:p>
    <w:p>
      <w:pPr>
        <w:pStyle w:val="34"/>
        <w:numPr>
          <w:ilvl w:val="1"/>
          <w:numId w:val="29"/>
        </w:numPr>
        <w:ind w:firstLine="480"/>
      </w:pPr>
      <w:r>
        <w:rPr>
          <w:rFonts w:hint="eastAsia"/>
        </w:rPr>
        <w:t>负责检查监督乙方管理工作的实施及制度的执行情况。</w:t>
      </w:r>
    </w:p>
    <w:p>
      <w:pPr>
        <w:pStyle w:val="34"/>
        <w:numPr>
          <w:ilvl w:val="1"/>
          <w:numId w:val="29"/>
        </w:numPr>
        <w:ind w:firstLine="480"/>
      </w:pPr>
      <w:r>
        <w:rPr>
          <w:rFonts w:hint="eastAsia"/>
        </w:rPr>
        <w:t>根据本合同规定，按时向乙方支付应付服务费用。</w:t>
      </w:r>
    </w:p>
    <w:p>
      <w:pPr>
        <w:pStyle w:val="34"/>
        <w:numPr>
          <w:ilvl w:val="1"/>
          <w:numId w:val="29"/>
        </w:numPr>
        <w:ind w:firstLine="480"/>
      </w:pPr>
      <w:r>
        <w:rPr>
          <w:rFonts w:hint="eastAsia"/>
        </w:rPr>
        <w:t>国家法律、法规所规定由甲方承担的其它责任。</w:t>
      </w:r>
    </w:p>
    <w:p>
      <w:pPr>
        <w:pStyle w:val="67"/>
        <w:ind w:firstLine="482"/>
      </w:pPr>
      <w:bookmarkStart w:id="444" w:name="_Toc573"/>
      <w:r>
        <w:rPr>
          <w:rFonts w:hint="eastAsia"/>
        </w:rPr>
        <w:t>乙方的权利和义务</w:t>
      </w:r>
      <w:bookmarkEnd w:id="444"/>
    </w:p>
    <w:p>
      <w:pPr>
        <w:pStyle w:val="34"/>
        <w:numPr>
          <w:ilvl w:val="1"/>
          <w:numId w:val="30"/>
        </w:numPr>
        <w:ind w:firstLine="480"/>
      </w:pPr>
      <w:r>
        <w:rPr>
          <w:rFonts w:hint="eastAsia"/>
        </w:rPr>
        <w:t>对本合同规定的委托服务范围内的项目享有管理权及服务义务。</w:t>
      </w:r>
    </w:p>
    <w:p>
      <w:pPr>
        <w:pStyle w:val="34"/>
        <w:numPr>
          <w:ilvl w:val="1"/>
          <w:numId w:val="30"/>
        </w:numPr>
        <w:ind w:firstLine="480"/>
      </w:pPr>
      <w:r>
        <w:rPr>
          <w:rFonts w:hint="eastAsia"/>
        </w:rPr>
        <w:t>根据本合同的规定向甲方收取相关服务费用，并有权在本项目管理范围内管理及合理使用。</w:t>
      </w:r>
    </w:p>
    <w:p>
      <w:pPr>
        <w:pStyle w:val="34"/>
        <w:numPr>
          <w:ilvl w:val="1"/>
          <w:numId w:val="30"/>
        </w:numPr>
        <w:ind w:firstLine="480"/>
      </w:pPr>
      <w:r>
        <w:rPr>
          <w:rFonts w:hint="eastAsia"/>
        </w:rPr>
        <w:t>及时向甲方通告本项目服务范围内有关服务的重大事项，及时配合处理投诉。</w:t>
      </w:r>
    </w:p>
    <w:p>
      <w:pPr>
        <w:pStyle w:val="34"/>
        <w:numPr>
          <w:ilvl w:val="1"/>
          <w:numId w:val="30"/>
        </w:numPr>
        <w:ind w:firstLine="480"/>
      </w:pPr>
      <w:r>
        <w:rPr>
          <w:rFonts w:hint="eastAsia"/>
        </w:rPr>
        <w:t>接受项目行业管理部门及政府有关部门的指导，接受甲方的监督。</w:t>
      </w:r>
    </w:p>
    <w:p>
      <w:pPr>
        <w:pStyle w:val="34"/>
        <w:numPr>
          <w:ilvl w:val="1"/>
          <w:numId w:val="30"/>
        </w:numPr>
        <w:ind w:firstLine="480"/>
      </w:pPr>
      <w:r>
        <w:rPr>
          <w:rFonts w:hint="eastAsia"/>
        </w:rPr>
        <w:t>国家法律、法规所规定由乙方承担的其它责任。</w:t>
      </w:r>
    </w:p>
    <w:p>
      <w:pPr>
        <w:pStyle w:val="67"/>
        <w:ind w:firstLine="482"/>
      </w:pPr>
      <w:bookmarkStart w:id="445" w:name="_Toc18251"/>
      <w:r>
        <w:rPr>
          <w:rFonts w:hint="eastAsia"/>
        </w:rPr>
        <w:t>违约责任</w:t>
      </w:r>
      <w:bookmarkEnd w:id="445"/>
    </w:p>
    <w:p>
      <w:pPr>
        <w:pStyle w:val="34"/>
        <w:numPr>
          <w:ilvl w:val="1"/>
          <w:numId w:val="31"/>
        </w:numPr>
        <w:ind w:firstLine="480"/>
      </w:pPr>
      <w:r>
        <w:rPr>
          <w:rFonts w:hint="eastAsia"/>
        </w:rPr>
        <w:t>甲乙双方必须遵守本合同并执行合同中的各项规定，保证本合同的正常履行。</w:t>
      </w:r>
    </w:p>
    <w:p>
      <w:pPr>
        <w:pStyle w:val="34"/>
        <w:numPr>
          <w:ilvl w:val="1"/>
          <w:numId w:val="31"/>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7"/>
        <w:ind w:firstLine="482"/>
      </w:pPr>
      <w:bookmarkStart w:id="446" w:name="_Toc909"/>
      <w:r>
        <w:rPr>
          <w:rFonts w:hint="eastAsia"/>
        </w:rPr>
        <w:t>不可抗力事件处理</w:t>
      </w:r>
      <w:bookmarkEnd w:id="446"/>
    </w:p>
    <w:p>
      <w:pPr>
        <w:pStyle w:val="34"/>
        <w:numPr>
          <w:ilvl w:val="1"/>
          <w:numId w:val="32"/>
        </w:numPr>
        <w:ind w:firstLine="480"/>
      </w:pPr>
      <w:r>
        <w:rPr>
          <w:rFonts w:hint="eastAsia"/>
        </w:rPr>
        <w:t>在合同有效期内，任何一方因不可抗力事件导致不能履行合同，则合同履行期可延长，其延长期与不可抗力影响期相同。</w:t>
      </w:r>
    </w:p>
    <w:p>
      <w:pPr>
        <w:pStyle w:val="34"/>
        <w:numPr>
          <w:ilvl w:val="1"/>
          <w:numId w:val="32"/>
        </w:numPr>
        <w:ind w:firstLine="480"/>
      </w:pPr>
      <w:r>
        <w:rPr>
          <w:rFonts w:hint="eastAsia"/>
        </w:rPr>
        <w:t>不可抗力事件发生后，应立即通知对方，并寄送有关权威机构出具的证明。</w:t>
      </w:r>
    </w:p>
    <w:p>
      <w:pPr>
        <w:pStyle w:val="34"/>
        <w:numPr>
          <w:ilvl w:val="1"/>
          <w:numId w:val="32"/>
        </w:numPr>
        <w:ind w:firstLine="480"/>
      </w:pPr>
      <w:r>
        <w:rPr>
          <w:rFonts w:hint="eastAsia"/>
        </w:rPr>
        <w:t>不可抗力事件延续XX天以上，双方应通过友好协商，确定是否继续履行合同。</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pStyle w:val="67"/>
        <w:ind w:firstLine="482"/>
      </w:pPr>
      <w:bookmarkStart w:id="447" w:name="_Toc185395254"/>
      <w:bookmarkStart w:id="448" w:name="_Toc232492933"/>
      <w:bookmarkStart w:id="449" w:name="_Toc239233919"/>
      <w:bookmarkStart w:id="450" w:name="_Toc225244857"/>
      <w:bookmarkStart w:id="451" w:name="_Toc238984980"/>
      <w:bookmarkStart w:id="452" w:name="_Toc225670756"/>
      <w:bookmarkStart w:id="453" w:name="_Toc241833908"/>
      <w:bookmarkStart w:id="454" w:name="_Toc247334846"/>
      <w:bookmarkStart w:id="455" w:name="_Toc239568423"/>
      <w:bookmarkStart w:id="456" w:name="_Toc211911353"/>
      <w:bookmarkStart w:id="457" w:name="_Toc225654649"/>
      <w:bookmarkStart w:id="458" w:name="_Toc237145411"/>
      <w:bookmarkStart w:id="459" w:name="_Toc286993792"/>
      <w:bookmarkStart w:id="460" w:name="_Toc212019599"/>
      <w:bookmarkStart w:id="461" w:name="_Toc251768867"/>
      <w:bookmarkStart w:id="462" w:name="_Toc211854454"/>
      <w:bookmarkStart w:id="463" w:name="_Toc17653"/>
      <w:r>
        <w:rPr>
          <w:rFonts w:hint="eastAsia"/>
        </w:rPr>
        <w:t>解决</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hint="eastAsia"/>
        </w:rPr>
        <w:t>争议的方法</w:t>
      </w:r>
      <w:bookmarkEnd w:id="463"/>
    </w:p>
    <w:p>
      <w:pPr>
        <w:pStyle w:val="34"/>
        <w:numPr>
          <w:ilvl w:val="1"/>
          <w:numId w:val="33"/>
        </w:numPr>
        <w:ind w:firstLine="480"/>
      </w:pPr>
      <w:r>
        <w:rPr>
          <w:rStyle w:val="59"/>
          <w:rFonts w:hint="eastAsia"/>
        </w:rPr>
        <w:t>因服务的质量问题发生争议，由甲方或其指定的第三方机构进行质量鉴定。服务符合标准的，</w:t>
      </w:r>
      <w:r>
        <w:rPr>
          <w:rFonts w:hint="eastAsia"/>
        </w:rPr>
        <w:t>鉴定费由甲方承担；服务不符合质量标准的，鉴定费由乙方承担。</w:t>
      </w:r>
    </w:p>
    <w:p>
      <w:pPr>
        <w:pStyle w:val="34"/>
        <w:numPr>
          <w:ilvl w:val="1"/>
          <w:numId w:val="33"/>
        </w:numPr>
        <w:ind w:firstLine="480"/>
      </w:pPr>
      <w:r>
        <w:rPr>
          <w:rFonts w:hint="eastAsia"/>
        </w:rPr>
        <w:t>合同履行期间,若双方发生争议，可协商或由有关部门调解解决，协商或调解不成的，按照下列方式解决(任选一项，且只能选择一项，在选定的一项前的方框内打“√”)：</w:t>
      </w:r>
    </w:p>
    <w:p>
      <w:pPr>
        <w:pStyle w:val="47"/>
      </w:pPr>
      <w:r>
        <w:rPr>
          <w:rFonts w:hint="eastAsia"/>
        </w:rPr>
        <w:t>□ 向</w:t>
      </w:r>
      <w:r>
        <w:rPr>
          <w:rFonts w:hint="eastAsia"/>
          <w:u w:val="single"/>
        </w:rPr>
        <w:t xml:space="preserve">     </w:t>
      </w:r>
      <w:r>
        <w:rPr>
          <w:rFonts w:hint="eastAsia"/>
        </w:rPr>
        <w:t>仲裁委员会申请仲裁；□ 向</w:t>
      </w:r>
      <w:r>
        <w:rPr>
          <w:rFonts w:hint="eastAsia"/>
          <w:u w:val="single"/>
        </w:rPr>
        <w:t xml:space="preserve">    </w:t>
      </w:r>
      <w:r>
        <w:rPr>
          <w:rFonts w:hint="eastAsia"/>
        </w:rPr>
        <w:t>所在地人民法院起诉。</w:t>
      </w:r>
    </w:p>
    <w:p>
      <w:pPr>
        <w:pStyle w:val="34"/>
        <w:numPr>
          <w:ilvl w:val="1"/>
          <w:numId w:val="33"/>
        </w:numPr>
        <w:ind w:firstLine="480"/>
      </w:pPr>
      <w:r>
        <w:rPr>
          <w:rFonts w:hint="eastAsia"/>
        </w:rPr>
        <w:t>仲裁裁决应为最终决定，并对双方具有约束力。</w:t>
      </w:r>
    </w:p>
    <w:p>
      <w:pPr>
        <w:pStyle w:val="34"/>
        <w:numPr>
          <w:ilvl w:val="1"/>
          <w:numId w:val="33"/>
        </w:numPr>
        <w:ind w:firstLine="480"/>
      </w:pPr>
      <w:r>
        <w:rPr>
          <w:rFonts w:hint="eastAsia"/>
        </w:rPr>
        <w:t xml:space="preserve">除另有裁决外，仲裁费应由败诉方负担。 </w:t>
      </w:r>
    </w:p>
    <w:p>
      <w:pPr>
        <w:pStyle w:val="34"/>
        <w:numPr>
          <w:ilvl w:val="1"/>
          <w:numId w:val="33"/>
        </w:numPr>
        <w:ind w:firstLine="480"/>
      </w:pPr>
      <w:r>
        <w:rPr>
          <w:rFonts w:hint="eastAsia"/>
        </w:rPr>
        <w:t xml:space="preserve">在仲裁期间，除正在进行仲裁部分外，合同其他部分继续执行。  </w:t>
      </w:r>
    </w:p>
    <w:p>
      <w:pPr>
        <w:pStyle w:val="67"/>
        <w:ind w:firstLine="482"/>
      </w:pPr>
      <w:bookmarkStart w:id="464" w:name="_Toc237145412"/>
      <w:bookmarkStart w:id="465" w:name="_Toc238984981"/>
      <w:bookmarkStart w:id="466" w:name="_Toc239568424"/>
      <w:bookmarkStart w:id="467" w:name="_Toc211911354"/>
      <w:bookmarkStart w:id="468" w:name="_Toc241833909"/>
      <w:bookmarkStart w:id="469" w:name="_Toc283019219"/>
      <w:bookmarkStart w:id="470" w:name="_Toc185395255"/>
      <w:bookmarkStart w:id="471" w:name="_Toc225654650"/>
      <w:bookmarkStart w:id="472" w:name="_Toc282696231"/>
      <w:bookmarkStart w:id="473" w:name="_Toc211854455"/>
      <w:bookmarkStart w:id="474" w:name="_Toc232492934"/>
      <w:bookmarkStart w:id="475" w:name="_Toc239233920"/>
      <w:bookmarkStart w:id="476" w:name="_Toc212019600"/>
      <w:bookmarkStart w:id="477" w:name="_Toc225670757"/>
      <w:bookmarkStart w:id="478" w:name="_Toc225244858"/>
      <w:bookmarkStart w:id="479" w:name="_Toc286993793"/>
      <w:bookmarkStart w:id="480" w:name="_Toc251768868"/>
      <w:bookmarkStart w:id="481" w:name="_Toc247334847"/>
      <w:bookmarkStart w:id="482" w:name="_Toc5347"/>
      <w:r>
        <w:rPr>
          <w:rFonts w:hint="eastAsia"/>
        </w:rPr>
        <w:t>合同</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rPr>
        <w:t>生效及其他</w:t>
      </w:r>
      <w:bookmarkEnd w:id="482"/>
    </w:p>
    <w:p>
      <w:pPr>
        <w:pStyle w:val="34"/>
        <w:numPr>
          <w:ilvl w:val="1"/>
          <w:numId w:val="34"/>
        </w:numPr>
        <w:ind w:firstLine="480"/>
      </w:pPr>
      <w:r>
        <w:rPr>
          <w:rFonts w:hint="eastAsia"/>
        </w:rPr>
        <w:t>合同经双方法定代表人或授权委托代理人签字并加盖单位公章后生效。</w:t>
      </w:r>
    </w:p>
    <w:p>
      <w:pPr>
        <w:pStyle w:val="34"/>
        <w:numPr>
          <w:ilvl w:val="1"/>
          <w:numId w:val="34"/>
        </w:numPr>
        <w:ind w:firstLine="480"/>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34"/>
        <w:numPr>
          <w:ilvl w:val="1"/>
          <w:numId w:val="34"/>
        </w:numPr>
        <w:ind w:firstLine="480"/>
      </w:pPr>
      <w:r>
        <w:rPr>
          <w:rFonts w:hint="eastAsia"/>
        </w:rPr>
        <w:t>本合同一式XX份，自双方签章之日起起效。甲方XX份，乙方XX份，政府采购代理机构XX份，同级财政部门备案XX份，具有同等法律效力。</w:t>
      </w:r>
    </w:p>
    <w:p>
      <w:pPr>
        <w:pStyle w:val="67"/>
        <w:ind w:firstLine="482"/>
      </w:pPr>
      <w:bookmarkStart w:id="483" w:name="_Toc823"/>
      <w:r>
        <w:rPr>
          <w:rFonts w:hint="eastAsia"/>
        </w:rPr>
        <w:t>附件</w:t>
      </w:r>
      <w:bookmarkEnd w:id="483"/>
    </w:p>
    <w:p>
      <w:pPr>
        <w:pStyle w:val="34"/>
        <w:numPr>
          <w:ilvl w:val="1"/>
          <w:numId w:val="35"/>
        </w:numPr>
        <w:ind w:firstLine="480"/>
      </w:pPr>
      <w:r>
        <w:rPr>
          <w:rFonts w:hint="eastAsia"/>
        </w:rPr>
        <w:t>项目竞争性磋商文件。</w:t>
      </w:r>
    </w:p>
    <w:p>
      <w:pPr>
        <w:pStyle w:val="34"/>
        <w:numPr>
          <w:ilvl w:val="1"/>
          <w:numId w:val="35"/>
        </w:numPr>
        <w:ind w:firstLine="480"/>
      </w:pPr>
      <w:r>
        <w:rPr>
          <w:rFonts w:hint="eastAsia"/>
        </w:rPr>
        <w:t>项目修改澄清文件。</w:t>
      </w:r>
    </w:p>
    <w:p>
      <w:pPr>
        <w:pStyle w:val="34"/>
        <w:numPr>
          <w:ilvl w:val="1"/>
          <w:numId w:val="35"/>
        </w:numPr>
        <w:ind w:firstLine="480"/>
      </w:pPr>
      <w:r>
        <w:rPr>
          <w:rFonts w:hint="eastAsia"/>
        </w:rPr>
        <w:t>项目响应文件。</w:t>
      </w:r>
    </w:p>
    <w:p>
      <w:pPr>
        <w:pStyle w:val="34"/>
        <w:numPr>
          <w:ilvl w:val="1"/>
          <w:numId w:val="35"/>
        </w:numPr>
        <w:ind w:firstLine="480"/>
      </w:pPr>
      <w:r>
        <w:rPr>
          <w:rFonts w:hint="eastAsia"/>
        </w:rPr>
        <w:t>成交通知书。</w:t>
      </w:r>
    </w:p>
    <w:p>
      <w:pPr>
        <w:pStyle w:val="34"/>
        <w:numPr>
          <w:ilvl w:val="1"/>
          <w:numId w:val="35"/>
        </w:numPr>
        <w:ind w:firstLine="480"/>
      </w:pPr>
      <w:r>
        <w:rPr>
          <w:rFonts w:hint="eastAsia"/>
        </w:rPr>
        <w:t>其他。</w:t>
      </w:r>
    </w:p>
    <w:p>
      <w:pPr>
        <w:pStyle w:val="35"/>
        <w:pageBreakBefore/>
        <w:spacing w:before="240" w:beforeLines="100" w:after="240" w:afterLines="100"/>
        <w:jc w:val="center"/>
        <w:rPr>
          <w:b/>
          <w:bCs/>
        </w:rPr>
      </w:pPr>
      <w:r>
        <w:rPr>
          <w:rFonts w:hint="eastAsia"/>
          <w:b/>
          <w:bCs/>
        </w:rPr>
        <w:t>(本页无正文)</w:t>
      </w:r>
    </w:p>
    <w:tbl>
      <w:tblPr>
        <w:tblStyle w:val="26"/>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pPr>
            <w:r>
              <w:rPr>
                <w:rFonts w:hint="eastAsia"/>
              </w:rPr>
              <w:t>甲方：   (盖章)</w:t>
            </w:r>
          </w:p>
        </w:tc>
        <w:tc>
          <w:tcPr>
            <w:tcW w:w="4981" w:type="dxa"/>
            <w:vAlign w:val="center"/>
          </w:tcPr>
          <w:p>
            <w:pPr>
              <w:pStyle w:val="44"/>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8" w:hRule="atLeast"/>
          <w:jc w:val="center"/>
        </w:trPr>
        <w:tc>
          <w:tcPr>
            <w:tcW w:w="4981" w:type="dxa"/>
            <w:vAlign w:val="center"/>
          </w:tcPr>
          <w:p>
            <w:pPr>
              <w:pStyle w:val="44"/>
            </w:pPr>
            <w:r>
              <w:rPr>
                <w:rFonts w:hint="eastAsia"/>
              </w:rPr>
              <w:t>法定代表人(被授权人)：</w:t>
            </w:r>
          </w:p>
        </w:tc>
        <w:tc>
          <w:tcPr>
            <w:tcW w:w="4981" w:type="dxa"/>
            <w:vAlign w:val="center"/>
          </w:tcPr>
          <w:p>
            <w:pPr>
              <w:pStyle w:val="44"/>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pPr>
            <w:r>
              <w:rPr>
                <w:rFonts w:hint="eastAsia"/>
              </w:rPr>
              <w:t>地址(住所)：</w:t>
            </w:r>
          </w:p>
        </w:tc>
        <w:tc>
          <w:tcPr>
            <w:tcW w:w="4981" w:type="dxa"/>
            <w:vAlign w:val="center"/>
          </w:tcPr>
          <w:p>
            <w:pPr>
              <w:pStyle w:val="44"/>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pPr>
            <w:r>
              <w:rPr>
                <w:rFonts w:hint="eastAsia"/>
              </w:rPr>
              <w:t>开户银行：</w:t>
            </w:r>
          </w:p>
        </w:tc>
        <w:tc>
          <w:tcPr>
            <w:tcW w:w="4981" w:type="dxa"/>
            <w:vAlign w:val="center"/>
          </w:tcPr>
          <w:p>
            <w:pPr>
              <w:pStyle w:val="44"/>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pPr>
            <w:r>
              <w:rPr>
                <w:rFonts w:hint="eastAsia"/>
              </w:rPr>
              <w:t>账号：</w:t>
            </w:r>
          </w:p>
        </w:tc>
        <w:tc>
          <w:tcPr>
            <w:tcW w:w="4981" w:type="dxa"/>
            <w:vAlign w:val="center"/>
          </w:tcPr>
          <w:p>
            <w:pPr>
              <w:pStyle w:val="44"/>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pPr>
            <w:r>
              <w:rPr>
                <w:rFonts w:hint="eastAsia"/>
              </w:rPr>
              <w:t xml:space="preserve">电话： </w:t>
            </w:r>
          </w:p>
        </w:tc>
        <w:tc>
          <w:tcPr>
            <w:tcW w:w="4981" w:type="dxa"/>
            <w:vAlign w:val="center"/>
          </w:tcPr>
          <w:p>
            <w:pPr>
              <w:pStyle w:val="44"/>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4"/>
            </w:pPr>
            <w:r>
              <w:rPr>
                <w:rFonts w:hint="eastAsia"/>
              </w:rPr>
              <w:t>传真：</w:t>
            </w:r>
          </w:p>
        </w:tc>
        <w:tc>
          <w:tcPr>
            <w:tcW w:w="4981" w:type="dxa"/>
            <w:vAlign w:val="center"/>
          </w:tcPr>
          <w:p>
            <w:pPr>
              <w:pStyle w:val="44"/>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4"/>
            </w:pPr>
            <w:r>
              <w:rPr>
                <w:rFonts w:hint="eastAsia"/>
              </w:rPr>
              <w:t>签约日期：XX年XX月XX日</w:t>
            </w:r>
          </w:p>
        </w:tc>
        <w:tc>
          <w:tcPr>
            <w:tcW w:w="4981" w:type="dxa"/>
            <w:vAlign w:val="center"/>
          </w:tcPr>
          <w:p>
            <w:pPr>
              <w:pStyle w:val="44"/>
            </w:pPr>
            <w:r>
              <w:rPr>
                <w:rFonts w:hint="eastAsia"/>
              </w:rPr>
              <w:t>签约日期：XX年XX月XX日</w:t>
            </w:r>
          </w:p>
        </w:tc>
      </w:tr>
    </w:tbl>
    <w:p>
      <w:pPr>
        <w:pStyle w:val="44"/>
      </w:pPr>
      <w:r>
        <w:rPr>
          <w:rFonts w:hint="eastAsia"/>
        </w:rPr>
        <w:br w:type="page"/>
      </w:r>
    </w:p>
    <w:p>
      <w:pPr>
        <w:pStyle w:val="49"/>
        <w:numPr>
          <w:ilvl w:val="0"/>
          <w:numId w:val="20"/>
        </w:numPr>
        <w:spacing w:before="120" w:after="120"/>
      </w:pPr>
      <w:bookmarkStart w:id="484" w:name="_Toc28848"/>
      <w:bookmarkStart w:id="485" w:name="_Toc6556"/>
      <w:r>
        <w:rPr>
          <w:rFonts w:hint="eastAsia"/>
        </w:rPr>
        <w:t>附件</w:t>
      </w:r>
      <w:bookmarkEnd w:id="484"/>
      <w:bookmarkEnd w:id="485"/>
    </w:p>
    <w:p>
      <w:pPr>
        <w:pStyle w:val="36"/>
        <w:numPr>
          <w:ilvl w:val="1"/>
          <w:numId w:val="0"/>
        </w:numPr>
        <w:ind w:left="480" w:leftChars="200"/>
      </w:pPr>
      <w:bookmarkStart w:id="486" w:name="_Toc18539"/>
      <w:bookmarkStart w:id="487" w:name="_Toc27972"/>
      <w:r>
        <w:rPr>
          <w:rFonts w:hint="eastAsia"/>
        </w:rPr>
        <w:t>附件一：问题的澄清、说明、更正通知</w:t>
      </w:r>
      <w:bookmarkEnd w:id="486"/>
      <w:bookmarkEnd w:id="487"/>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问题的澄清、说明、更正通知</w:t>
      </w:r>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(由磋商小组发出)</w:t>
      </w:r>
    </w:p>
    <w:p>
      <w:pPr>
        <w:spacing w:line="360" w:lineRule="auto"/>
        <w:ind w:firstLine="480"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编号：</w:t>
      </w:r>
    </w:p>
    <w:p>
      <w:pPr>
        <w:spacing w:line="360" w:lineRule="auto"/>
        <w:ind w:firstLine="480" w:firstLineChars="200"/>
        <w:rPr>
          <w:rFonts w:asciiTheme="minorEastAsia" w:hAnsiTheme="minorEastAsia" w:eastAsiaTheme="minorEastAsia" w:cstheme="minorEastAsia"/>
          <w:color w:val="000000"/>
          <w:u w:val="single"/>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(供应商名称)： </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(项目名称)竞争性磋商小组，对你方的响应文件进行了仔细的审查，现需你方对下列问题以书面形式予以</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请将上述问题的</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于</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(详细地址)或传真至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(传真号码)。采用传真方式的，应在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时前将原件递交至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w:t>
      </w:r>
    </w:p>
    <w:p>
      <w:pPr>
        <w:ind w:firstLine="5880" w:firstLineChars="2450"/>
        <w:rPr>
          <w:rFonts w:asciiTheme="minorEastAsia" w:hAnsiTheme="minorEastAsia" w:eastAsiaTheme="minorEastAsia" w:cstheme="minorEastAsia"/>
          <w:color w:val="000000"/>
        </w:rPr>
      </w:pPr>
    </w:p>
    <w:p>
      <w:pPr>
        <w:ind w:firstLine="5880" w:firstLineChars="2450"/>
        <w:rPr>
          <w:rFonts w:asciiTheme="minorEastAsia" w:hAnsiTheme="minorEastAsia" w:eastAsiaTheme="minorEastAsia" w:cstheme="minorEastAsia"/>
          <w:color w:val="000000"/>
        </w:rPr>
      </w:pPr>
    </w:p>
    <w:p>
      <w:pPr>
        <w:ind w:firstLine="2160" w:firstLineChars="900"/>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ind w:firstLine="616" w:firstLineChars="257"/>
        <w:rPr>
          <w:rFonts w:asciiTheme="minorEastAsia" w:hAnsiTheme="minorEastAsia" w:eastAsiaTheme="minorEastAsia" w:cstheme="minorEastAsia"/>
          <w:color w:val="000000"/>
        </w:rPr>
      </w:pPr>
    </w:p>
    <w:p>
      <w:pPr>
        <w:ind w:firstLine="616" w:firstLineChars="25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注：(1)“问题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通知”由磋商小组拟定书面形式作出，由采购人或采购代理机构代为发出。</w:t>
      </w:r>
    </w:p>
    <w:p>
      <w:pPr>
        <w:ind w:firstLine="616" w:firstLineChars="257"/>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(2)发给供应商的“问题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通知”，应删除“磋商小组：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(签字)”一栏，以“采购人或采购代理机构：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(盖单位章或负责人签字)”代替。磋商小组签字的“问题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通知”，应编入评审报告并存档备查。</w:t>
      </w:r>
    </w:p>
    <w:p>
      <w:pPr>
        <w:pStyle w:val="36"/>
        <w:numPr>
          <w:ilvl w:val="1"/>
          <w:numId w:val="0"/>
        </w:numPr>
        <w:ind w:left="480" w:left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u w:val="single"/>
        </w:rPr>
        <w:br w:type="page"/>
      </w:r>
      <w:bookmarkStart w:id="488" w:name="_Toc31095"/>
      <w:bookmarkStart w:id="489" w:name="_Toc17584"/>
      <w:r>
        <w:rPr>
          <w:rFonts w:hint="eastAsia" w:asciiTheme="minorEastAsia" w:hAnsiTheme="minorEastAsia" w:eastAsiaTheme="minorEastAsia" w:cstheme="minorEastAsia"/>
          <w:color w:val="000000"/>
        </w:rPr>
        <w:t>附件二：问题的澄清、说明、更正</w:t>
      </w:r>
      <w:bookmarkEnd w:id="488"/>
      <w:bookmarkEnd w:id="489"/>
    </w:p>
    <w:p>
      <w:pPr>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编号：</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(项目名称)竞争性磋商小组：</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问题澄清</w:t>
      </w:r>
      <w:r>
        <w:rPr>
          <w:rFonts w:hint="eastAsia" w:asciiTheme="minorEastAsia" w:hAnsiTheme="minorEastAsia" w:eastAsiaTheme="minorEastAsia" w:cstheme="minorEastAsia"/>
          <w:b/>
          <w:color w:val="000000"/>
        </w:rPr>
        <w:t>、说明、更正</w:t>
      </w:r>
      <w:r>
        <w:rPr>
          <w:rFonts w:hint="eastAsia" w:asciiTheme="minorEastAsia" w:hAnsiTheme="minorEastAsia" w:eastAsiaTheme="minorEastAsia" w:cstheme="minorEastAsia"/>
          <w:color w:val="000000"/>
        </w:rPr>
        <w:t>通知(编号：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)已收悉，现</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如下：</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200" w:firstLineChars="17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法定代表人或其授权代表：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ind w:firstLine="5880" w:firstLineChars="2450"/>
        <w:rPr>
          <w:rFonts w:asciiTheme="minorEastAsia" w:hAnsiTheme="minorEastAsia" w:eastAsiaTheme="minorEastAsia" w:cstheme="minorEastAsia"/>
          <w:color w:val="000000"/>
          <w:u w:val="single"/>
        </w:rPr>
      </w:pPr>
    </w:p>
    <w:p>
      <w:pPr>
        <w:ind w:firstLine="5400" w:firstLineChars="22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注：供应商应按本“</w:t>
      </w:r>
      <w:r>
        <w:rPr>
          <w:rFonts w:hint="eastAsia" w:asciiTheme="minorEastAsia" w:hAnsiTheme="minorEastAsia" w:eastAsiaTheme="minorEastAsia" w:cstheme="minorEastAsia"/>
          <w:b/>
          <w:color w:val="000000"/>
        </w:rPr>
        <w:t>问题的澄清、说明、更正</w:t>
      </w:r>
      <w:r>
        <w:rPr>
          <w:rFonts w:hint="eastAsia" w:asciiTheme="minorEastAsia" w:hAnsiTheme="minorEastAsia" w:eastAsiaTheme="minorEastAsia" w:cstheme="minorEastAsia"/>
          <w:color w:val="000000"/>
        </w:rPr>
        <w:t>”格式回复。</w:t>
      </w:r>
    </w:p>
    <w:p>
      <w:r>
        <w:rPr>
          <w:rFonts w:hint="eastAsia"/>
        </w:rPr>
        <w:br w:type="page"/>
      </w:r>
    </w:p>
    <w:p>
      <w:pPr>
        <w:pStyle w:val="36"/>
        <w:numPr>
          <w:ilvl w:val="1"/>
          <w:numId w:val="0"/>
        </w:numPr>
        <w:ind w:left="480" w:leftChars="200"/>
      </w:pPr>
      <w:bookmarkStart w:id="490" w:name="_Toc17005"/>
      <w:r>
        <w:rPr>
          <w:rFonts w:hint="eastAsia"/>
        </w:rPr>
        <w:t>附件三：2021年度信用评价服务效果调查表</w:t>
      </w:r>
      <w:bookmarkEnd w:id="490"/>
    </w:p>
    <w:p>
      <w:pPr>
        <w:pStyle w:val="44"/>
        <w:spacing w:before="240" w:beforeLines="100" w:after="240" w:afterLines="100"/>
        <w:jc w:val="center"/>
        <w:rPr>
          <w:b/>
          <w:bCs/>
          <w:sz w:val="36"/>
          <w:szCs w:val="36"/>
        </w:rPr>
      </w:pPr>
      <w:r>
        <w:rPr>
          <w:rFonts w:hint="eastAsia"/>
          <w:b/>
          <w:bCs/>
          <w:sz w:val="36"/>
          <w:szCs w:val="36"/>
        </w:rPr>
        <w:t>2021年度信用评价服务效果调查表(供应商)</w:t>
      </w:r>
    </w:p>
    <w:p>
      <w:pPr>
        <w:pStyle w:val="44"/>
        <w:rPr>
          <w:u w:val="single"/>
        </w:rPr>
      </w:pPr>
      <w:r>
        <w:rPr>
          <w:rFonts w:hint="eastAsia"/>
        </w:rPr>
        <w:t>项目名称：</w:t>
      </w:r>
      <w:r>
        <w:rPr>
          <w:rFonts w:hint="eastAsia"/>
          <w:u w:val="single"/>
        </w:rPr>
        <w:t xml:space="preserve">                               </w:t>
      </w:r>
    </w:p>
    <w:p>
      <w:pPr>
        <w:pStyle w:val="44"/>
        <w:rPr>
          <w:u w:val="single"/>
        </w:rPr>
      </w:pPr>
      <w:r>
        <w:rPr>
          <w:rFonts w:hint="eastAsia"/>
        </w:rPr>
        <w:t>项目编号：</w:t>
      </w:r>
      <w:r>
        <w:rPr>
          <w:rFonts w:hint="eastAsia"/>
          <w:u w:val="single"/>
        </w:rPr>
        <w:t xml:space="preserve">                               </w:t>
      </w:r>
    </w:p>
    <w:p>
      <w:pPr>
        <w:pStyle w:val="44"/>
      </w:pPr>
      <w:r>
        <w:rPr>
          <w:rFonts w:hint="eastAsia"/>
        </w:rPr>
        <w:t>被评价代理机构名称：四川乾新招投标代理有限公司</w:t>
      </w:r>
    </w:p>
    <w:tbl>
      <w:tblPr>
        <w:tblStyle w:val="25"/>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满意</w:t>
            </w:r>
          </w:p>
          <w:p>
            <w:pPr>
              <w:pStyle w:val="46"/>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 xml:space="preserve">基本满意 </w:t>
            </w:r>
          </w:p>
          <w:p>
            <w:pPr>
              <w:pStyle w:val="46"/>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 xml:space="preserve">一般 </w:t>
            </w:r>
          </w:p>
          <w:p>
            <w:pPr>
              <w:pStyle w:val="46"/>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不满意</w:t>
            </w:r>
          </w:p>
          <w:p>
            <w:pPr>
              <w:pStyle w:val="46"/>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rPr>
                <w:b/>
                <w:bCs/>
              </w:rPr>
            </w:pPr>
            <w:r>
              <w:rPr>
                <w:rFonts w:hint="eastAsia"/>
                <w:b/>
                <w:bCs/>
              </w:rPr>
              <w:t>供应商名称：</w:t>
            </w:r>
            <w:r>
              <w:rPr>
                <w:rFonts w:hint="eastAsia"/>
                <w:b/>
                <w:bCs/>
                <w:u w:val="single"/>
              </w:rPr>
              <w:t xml:space="preserve">                     </w:t>
            </w:r>
            <w:r>
              <w:rPr>
                <w:rFonts w:hint="eastAsia"/>
                <w:b/>
                <w:bCs/>
              </w:rPr>
              <w:t>(加盖鲜章)</w:t>
            </w:r>
          </w:p>
        </w:tc>
      </w:tr>
    </w:tbl>
    <w:p>
      <w:pPr>
        <w:pStyle w:val="48"/>
        <w:ind w:firstLine="482"/>
      </w:pPr>
      <w:r>
        <w:rPr>
          <w:rFonts w:hint="eastAsia"/>
        </w:rPr>
        <w:t>说明：请贵公司根据政府采购代理机构2021年度政府采购项目的实际情况，在“满意”、“基本满意”、“一般”、“不满意”四个评价档次栏中选取一栏打“√”，并加盖鲜章。</w:t>
      </w:r>
    </w:p>
    <w:p>
      <w:r>
        <w:rPr>
          <w:rFonts w:hint="eastAsia"/>
        </w:rPr>
        <w:br w:type="page"/>
      </w:r>
    </w:p>
    <w:p>
      <w:pPr>
        <w:pStyle w:val="36"/>
        <w:numPr>
          <w:ilvl w:val="1"/>
          <w:numId w:val="0"/>
        </w:numPr>
        <w:ind w:firstLine="482" w:firstLineChars="200"/>
        <w:rPr>
          <w:rFonts w:asciiTheme="minorEastAsia" w:hAnsiTheme="minorEastAsia" w:eastAsiaTheme="minorEastAsia" w:cstheme="minorEastAsia"/>
          <w:color w:val="000000"/>
        </w:rPr>
      </w:pPr>
      <w:bookmarkStart w:id="491" w:name="_Toc2980"/>
      <w:r>
        <w:rPr>
          <w:rFonts w:hint="eastAsia" w:asciiTheme="minorEastAsia" w:hAnsiTheme="minorEastAsia" w:eastAsiaTheme="minorEastAsia" w:cstheme="minorEastAsia"/>
          <w:color w:val="000000"/>
        </w:rPr>
        <w:t>附件四：统计上大中小微型企业划分标准</w:t>
      </w:r>
      <w:bookmarkEnd w:id="491"/>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Align w:val="center"/>
          </w:tcPr>
          <w:p>
            <w:pPr>
              <w:widowControl/>
              <w:spacing w:line="240" w:lineRule="exact"/>
              <w:jc w:val="center"/>
              <w:rPr>
                <w:rFonts w:cs="宋体"/>
                <w:b/>
                <w:bCs/>
                <w:color w:val="000000"/>
                <w:kern w:val="0"/>
                <w:sz w:val="15"/>
                <w:szCs w:val="15"/>
              </w:rPr>
            </w:pPr>
            <w:r>
              <w:rPr>
                <w:rFonts w:hint="eastAsia" w:cs="宋体"/>
                <w:b/>
                <w:bCs/>
                <w:color w:val="000000"/>
                <w:kern w:val="0"/>
                <w:sz w:val="15"/>
                <w:szCs w:val="15"/>
              </w:rPr>
              <w:t>行业名称</w:t>
            </w:r>
          </w:p>
        </w:tc>
        <w:tc>
          <w:tcPr>
            <w:tcW w:w="725" w:type="pct"/>
            <w:vAlign w:val="center"/>
          </w:tcPr>
          <w:p>
            <w:pPr>
              <w:widowControl/>
              <w:jc w:val="center"/>
              <w:rPr>
                <w:rFonts w:cs="宋体"/>
                <w:b/>
                <w:bCs/>
                <w:color w:val="000000"/>
                <w:kern w:val="0"/>
                <w:sz w:val="15"/>
                <w:szCs w:val="15"/>
              </w:rPr>
            </w:pPr>
            <w:r>
              <w:rPr>
                <w:rFonts w:hint="eastAsia" w:cs="宋体"/>
                <w:b/>
                <w:bCs/>
                <w:color w:val="000000"/>
                <w:kern w:val="0"/>
                <w:sz w:val="15"/>
                <w:szCs w:val="15"/>
              </w:rPr>
              <w:t>指标名称</w:t>
            </w:r>
          </w:p>
        </w:tc>
        <w:tc>
          <w:tcPr>
            <w:tcW w:w="375" w:type="pct"/>
            <w:vAlign w:val="center"/>
          </w:tcPr>
          <w:p>
            <w:pPr>
              <w:widowControl/>
              <w:jc w:val="center"/>
              <w:rPr>
                <w:rFonts w:cs="宋体"/>
                <w:b/>
                <w:bCs/>
                <w:color w:val="000000"/>
                <w:kern w:val="0"/>
                <w:sz w:val="15"/>
                <w:szCs w:val="15"/>
              </w:rPr>
            </w:pPr>
            <w:r>
              <w:rPr>
                <w:rFonts w:hint="eastAsia" w:cs="宋体"/>
                <w:b/>
                <w:bCs/>
                <w:color w:val="000000"/>
                <w:kern w:val="0"/>
                <w:sz w:val="15"/>
                <w:szCs w:val="15"/>
              </w:rPr>
              <w:t>计量</w:t>
            </w:r>
            <w:r>
              <w:rPr>
                <w:rFonts w:hint="eastAsia" w:cs="宋体"/>
                <w:b/>
                <w:bCs/>
                <w:color w:val="000000"/>
                <w:kern w:val="0"/>
                <w:sz w:val="15"/>
                <w:szCs w:val="15"/>
              </w:rPr>
              <w:br w:type="textWrapping"/>
            </w:r>
            <w:r>
              <w:rPr>
                <w:rFonts w:hint="eastAsia" w:cs="宋体"/>
                <w:b/>
                <w:bCs/>
                <w:color w:val="000000"/>
                <w:kern w:val="0"/>
                <w:sz w:val="15"/>
                <w:szCs w:val="15"/>
              </w:rPr>
              <w:t>单位</w:t>
            </w:r>
          </w:p>
        </w:tc>
        <w:tc>
          <w:tcPr>
            <w:tcW w:w="595" w:type="pct"/>
            <w:vAlign w:val="center"/>
          </w:tcPr>
          <w:p>
            <w:pPr>
              <w:widowControl/>
              <w:jc w:val="center"/>
              <w:rPr>
                <w:rFonts w:cs="宋体"/>
                <w:b/>
                <w:bCs/>
                <w:color w:val="000000"/>
                <w:kern w:val="0"/>
                <w:sz w:val="15"/>
                <w:szCs w:val="15"/>
              </w:rPr>
            </w:pPr>
            <w:r>
              <w:rPr>
                <w:rFonts w:hint="eastAsia" w:cs="宋体"/>
                <w:b/>
                <w:bCs/>
                <w:color w:val="000000"/>
                <w:kern w:val="0"/>
                <w:sz w:val="15"/>
                <w:szCs w:val="15"/>
              </w:rPr>
              <w:t>大型</w:t>
            </w:r>
          </w:p>
        </w:tc>
        <w:tc>
          <w:tcPr>
            <w:tcW w:w="901" w:type="pct"/>
            <w:vAlign w:val="center"/>
          </w:tcPr>
          <w:p>
            <w:pPr>
              <w:widowControl/>
              <w:jc w:val="center"/>
              <w:rPr>
                <w:rFonts w:cs="宋体"/>
                <w:b/>
                <w:bCs/>
                <w:color w:val="000000"/>
                <w:kern w:val="0"/>
                <w:sz w:val="15"/>
                <w:szCs w:val="15"/>
              </w:rPr>
            </w:pPr>
            <w:r>
              <w:rPr>
                <w:rFonts w:hint="eastAsia" w:cs="宋体"/>
                <w:b/>
                <w:bCs/>
                <w:color w:val="000000"/>
                <w:kern w:val="0"/>
                <w:sz w:val="15"/>
                <w:szCs w:val="15"/>
              </w:rPr>
              <w:t>中型</w:t>
            </w:r>
          </w:p>
        </w:tc>
        <w:tc>
          <w:tcPr>
            <w:tcW w:w="755" w:type="pct"/>
            <w:vAlign w:val="center"/>
          </w:tcPr>
          <w:p>
            <w:pPr>
              <w:widowControl/>
              <w:jc w:val="center"/>
              <w:rPr>
                <w:rFonts w:cs="宋体"/>
                <w:b/>
                <w:bCs/>
                <w:color w:val="000000"/>
                <w:kern w:val="0"/>
                <w:sz w:val="15"/>
                <w:szCs w:val="15"/>
              </w:rPr>
            </w:pPr>
            <w:r>
              <w:rPr>
                <w:rFonts w:hint="eastAsia" w:cs="宋体"/>
                <w:b/>
                <w:bCs/>
                <w:color w:val="000000"/>
                <w:kern w:val="0"/>
                <w:sz w:val="15"/>
                <w:szCs w:val="15"/>
              </w:rPr>
              <w:t>小型</w:t>
            </w:r>
          </w:p>
        </w:tc>
        <w:tc>
          <w:tcPr>
            <w:tcW w:w="525" w:type="pct"/>
            <w:vAlign w:val="center"/>
          </w:tcPr>
          <w:p>
            <w:pPr>
              <w:widowControl/>
              <w:jc w:val="center"/>
              <w:rPr>
                <w:rFonts w:cs="宋体"/>
                <w:b/>
                <w:bCs/>
                <w:color w:val="000000"/>
                <w:kern w:val="0"/>
                <w:sz w:val="15"/>
                <w:szCs w:val="15"/>
              </w:rPr>
            </w:pPr>
            <w:r>
              <w:rPr>
                <w:rFonts w:hint="eastAsia"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农、林、牧、渔业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500≤Y＜20000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50≤Y＜500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工业 *</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20≤X＜300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2000≤Y＜40000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300≤Y＜2000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建筑业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Y≥80000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6000≤Y＜80000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300≤Y＜6000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Z≥80000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5000≤Z＜80000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300≤Z＜5000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批发业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20≤X＜200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5≤X＜20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5000≤Y＜40000</w:t>
            </w:r>
          </w:p>
        </w:tc>
        <w:tc>
          <w:tcPr>
            <w:tcW w:w="755" w:type="pct"/>
            <w:vAlign w:val="center"/>
          </w:tcPr>
          <w:p>
            <w:pPr>
              <w:widowControl/>
              <w:ind w:left="-1" w:leftChars="-1" w:hanging="1"/>
              <w:jc w:val="center"/>
              <w:rPr>
                <w:rFonts w:cs="宋体"/>
                <w:color w:val="000000"/>
                <w:kern w:val="0"/>
                <w:sz w:val="15"/>
                <w:szCs w:val="15"/>
              </w:rPr>
            </w:pPr>
            <w:r>
              <w:rPr>
                <w:rFonts w:hint="eastAsia" w:cs="宋体"/>
                <w:color w:val="000000"/>
                <w:kern w:val="0"/>
                <w:sz w:val="15"/>
                <w:szCs w:val="15"/>
              </w:rPr>
              <w:t>1000≤Y＜5000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零售业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50≤X＜300</w:t>
            </w:r>
          </w:p>
        </w:tc>
        <w:tc>
          <w:tcPr>
            <w:tcW w:w="755" w:type="pct"/>
            <w:vAlign w:val="center"/>
          </w:tcPr>
          <w:p>
            <w:pPr>
              <w:widowControl/>
              <w:ind w:left="-1" w:leftChars="-1" w:hanging="1"/>
              <w:jc w:val="center"/>
              <w:rPr>
                <w:rFonts w:cs="宋体"/>
                <w:color w:val="000000"/>
                <w:kern w:val="0"/>
                <w:sz w:val="15"/>
                <w:szCs w:val="15"/>
              </w:rPr>
            </w:pPr>
            <w:r>
              <w:rPr>
                <w:rFonts w:hint="eastAsia" w:cs="宋体"/>
                <w:color w:val="000000"/>
                <w:kern w:val="0"/>
                <w:sz w:val="15"/>
                <w:szCs w:val="15"/>
              </w:rPr>
              <w:t>10≤X＜50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500≤Y＜20000</w:t>
            </w:r>
          </w:p>
        </w:tc>
        <w:tc>
          <w:tcPr>
            <w:tcW w:w="755" w:type="pct"/>
            <w:vAlign w:val="center"/>
          </w:tcPr>
          <w:p>
            <w:pPr>
              <w:widowControl/>
              <w:ind w:left="-1" w:leftChars="-1" w:hanging="1"/>
              <w:jc w:val="center"/>
              <w:rPr>
                <w:rFonts w:cs="宋体"/>
                <w:color w:val="000000"/>
                <w:kern w:val="0"/>
                <w:sz w:val="15"/>
                <w:szCs w:val="15"/>
              </w:rPr>
            </w:pPr>
            <w:r>
              <w:rPr>
                <w:rFonts w:hint="eastAsia" w:cs="宋体"/>
                <w:color w:val="000000"/>
                <w:kern w:val="0"/>
                <w:sz w:val="15"/>
                <w:szCs w:val="15"/>
              </w:rPr>
              <w:t>100≤Y＜500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交通运输业 *</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20≤X＜300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3000≤Y＜30000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200≤Y＜3000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仓储业*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100≤X＜200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1000≤Y＜30000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100≤Y＜1000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邮政业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20≤X＜300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2000≤Y＜30000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100≤Y＜2000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住宿业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100≤X＜300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100≤Y＜2000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餐饮业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100≤X＜300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100≤Y＜2000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信息传输业 *</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X≥2000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100≤X＜2000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Y≥100000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1000≤Y＜100000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100≤Y＜1000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spacing w:val="-12"/>
                <w:kern w:val="0"/>
                <w:sz w:val="15"/>
                <w:szCs w:val="15"/>
              </w:rPr>
            </w:pPr>
            <w:r>
              <w:rPr>
                <w:rFonts w:hint="eastAsia" w:cs="宋体"/>
                <w:color w:val="000000"/>
                <w:spacing w:val="-12"/>
                <w:kern w:val="0"/>
                <w:sz w:val="15"/>
                <w:szCs w:val="15"/>
              </w:rPr>
              <w:t>软件和信息技术服</w:t>
            </w:r>
            <w:r>
              <w:rPr>
                <w:rFonts w:hint="eastAsia" w:cs="宋体"/>
                <w:color w:val="000000"/>
                <w:kern w:val="0"/>
                <w:sz w:val="15"/>
                <w:szCs w:val="15"/>
              </w:rPr>
              <w:t>务业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100≤X＜300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spacing w:val="-12"/>
                <w:kern w:val="0"/>
                <w:sz w:val="15"/>
                <w:szCs w:val="15"/>
              </w:rPr>
            </w:pP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1000≤Y＜10000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50≤Y＜1000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房地产开发经营</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Y≥200000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1000≤Y＜200000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100≤Y＜1000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Z≥10000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5000≤Z＜10000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2000≤Z＜5000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物业管理</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100≤X＜300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Y≥5000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1000≤Y＜5000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500≤Y＜1000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restar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租赁和商务服务业</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100≤X＜300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Merge w:val="continue"/>
            <w:vAlign w:val="center"/>
          </w:tcPr>
          <w:p>
            <w:pPr>
              <w:widowControl/>
              <w:jc w:val="center"/>
              <w:rPr>
                <w:rFonts w:cs="宋体"/>
                <w:color w:val="000000"/>
                <w:kern w:val="0"/>
                <w:sz w:val="15"/>
                <w:szCs w:val="15"/>
              </w:rPr>
            </w:pPr>
          </w:p>
        </w:tc>
        <w:tc>
          <w:tcPr>
            <w:tcW w:w="725"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Z≥120000</w:t>
            </w:r>
          </w:p>
        </w:tc>
        <w:tc>
          <w:tcPr>
            <w:tcW w:w="901" w:type="pct"/>
            <w:vAlign w:val="center"/>
          </w:tcPr>
          <w:p>
            <w:pPr>
              <w:widowControl/>
              <w:jc w:val="center"/>
              <w:rPr>
                <w:rFonts w:cs="宋体"/>
                <w:color w:val="000000"/>
                <w:kern w:val="0"/>
                <w:sz w:val="15"/>
                <w:szCs w:val="15"/>
              </w:rPr>
            </w:pPr>
            <w:r>
              <w:rPr>
                <w:rFonts w:hint="eastAsia" w:cs="宋体"/>
                <w:color w:val="000000"/>
                <w:kern w:val="0"/>
                <w:sz w:val="15"/>
                <w:szCs w:val="15"/>
              </w:rPr>
              <w:t>8000≤Z＜120000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100≤Z＜8000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0" w:type="pct"/>
            <w:vAlign w:val="center"/>
          </w:tcPr>
          <w:p>
            <w:pPr>
              <w:widowControl/>
              <w:spacing w:line="240" w:lineRule="exact"/>
              <w:jc w:val="center"/>
              <w:rPr>
                <w:rFonts w:cs="宋体"/>
                <w:color w:val="000000"/>
                <w:kern w:val="0"/>
                <w:sz w:val="15"/>
                <w:szCs w:val="15"/>
              </w:rPr>
            </w:pPr>
            <w:r>
              <w:rPr>
                <w:rFonts w:hint="eastAsia" w:cs="宋体"/>
                <w:color w:val="000000"/>
                <w:kern w:val="0"/>
                <w:sz w:val="15"/>
                <w:szCs w:val="15"/>
              </w:rPr>
              <w:t>其他未列明行业 *</w:t>
            </w:r>
          </w:p>
        </w:tc>
        <w:tc>
          <w:tcPr>
            <w:tcW w:w="725" w:type="pct"/>
            <w:vAlign w:val="center"/>
          </w:tcPr>
          <w:p>
            <w:pPr>
              <w:widowControl/>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ind w:left="-32" w:leftChars="-51" w:hanging="90" w:hangingChars="60"/>
              <w:jc w:val="center"/>
              <w:rPr>
                <w:rFonts w:cs="宋体"/>
                <w:color w:val="000000"/>
                <w:kern w:val="0"/>
                <w:sz w:val="15"/>
                <w:szCs w:val="15"/>
              </w:rPr>
            </w:pPr>
            <w:r>
              <w:rPr>
                <w:rFonts w:hint="eastAsia" w:cs="宋体"/>
                <w:color w:val="000000"/>
                <w:kern w:val="0"/>
                <w:sz w:val="15"/>
                <w:szCs w:val="15"/>
              </w:rPr>
              <w:t>100≤X＜300</w:t>
            </w:r>
          </w:p>
        </w:tc>
        <w:tc>
          <w:tcPr>
            <w:tcW w:w="755" w:type="pct"/>
            <w:vAlign w:val="center"/>
          </w:tcPr>
          <w:p>
            <w:pPr>
              <w:widowControl/>
              <w:jc w:val="center"/>
              <w:rPr>
                <w:rFonts w:cs="宋体"/>
                <w:color w:val="000000"/>
                <w:kern w:val="0"/>
                <w:sz w:val="15"/>
                <w:szCs w:val="15"/>
              </w:rPr>
            </w:pPr>
            <w:r>
              <w:rPr>
                <w:rFonts w:hint="eastAsia" w:cs="宋体"/>
                <w:color w:val="000000"/>
                <w:kern w:val="0"/>
                <w:sz w:val="15"/>
                <w:szCs w:val="15"/>
              </w:rPr>
              <w:t>10≤X＜100</w:t>
            </w:r>
          </w:p>
        </w:tc>
        <w:tc>
          <w:tcPr>
            <w:tcW w:w="525" w:type="pct"/>
            <w:vAlign w:val="center"/>
          </w:tcPr>
          <w:p>
            <w:pPr>
              <w:widowControl/>
              <w:jc w:val="center"/>
              <w:rPr>
                <w:rFonts w:cs="宋体"/>
                <w:color w:val="000000"/>
                <w:kern w:val="0"/>
                <w:sz w:val="15"/>
                <w:szCs w:val="15"/>
              </w:rPr>
            </w:pPr>
            <w:r>
              <w:rPr>
                <w:rFonts w:hint="eastAsia" w:cs="宋体"/>
                <w:color w:val="000000"/>
                <w:kern w:val="0"/>
                <w:sz w:val="15"/>
                <w:szCs w:val="15"/>
              </w:rPr>
              <w:t>X＜10</w:t>
            </w:r>
          </w:p>
        </w:tc>
      </w:tr>
    </w:tbl>
    <w:p>
      <w:pPr>
        <w:widowControl/>
        <w:adjustRightInd/>
        <w:snapToGrid/>
        <w:ind w:firstLine="512" w:firstLineChars="200"/>
        <w:rPr>
          <w:rFonts w:cs="宋体"/>
          <w:color w:val="000000"/>
          <w:spacing w:val="8"/>
          <w:kern w:val="0"/>
        </w:rPr>
      </w:pPr>
      <w:r>
        <w:rPr>
          <w:rFonts w:hint="eastAsia" w:cs="宋体"/>
          <w:color w:val="000000"/>
          <w:spacing w:val="8"/>
          <w:kern w:val="0"/>
        </w:rPr>
        <w:t>说明：</w:t>
      </w:r>
    </w:p>
    <w:p>
      <w:pPr>
        <w:adjustRightInd/>
        <w:snapToGrid/>
        <w:ind w:firstLine="512" w:firstLineChars="200"/>
        <w:rPr>
          <w:rFonts w:cs="宋体"/>
          <w:color w:val="000000"/>
          <w:spacing w:val="8"/>
          <w:kern w:val="0"/>
        </w:rPr>
      </w:pPr>
      <w:r>
        <w:rPr>
          <w:rFonts w:hint="eastAsia" w:cs="宋体"/>
          <w:color w:val="000000"/>
          <w:spacing w:val="8"/>
          <w:kern w:val="0"/>
        </w:rPr>
        <w:t>1.大型、中型和小型企业须同时满足所列指标的下限，否则下划一档；微型企业只须满足所列指标中的一项即可。</w:t>
      </w:r>
    </w:p>
    <w:p>
      <w:pPr>
        <w:adjustRightInd/>
        <w:snapToGrid/>
        <w:ind w:firstLine="512" w:firstLineChars="200"/>
        <w:rPr>
          <w:rFonts w:cs="宋体"/>
          <w:color w:val="000000"/>
          <w:spacing w:val="8"/>
          <w:kern w:val="0"/>
        </w:rPr>
      </w:pPr>
      <w:r>
        <w:rPr>
          <w:rFonts w:hint="eastAsia" w:cs="宋体"/>
          <w:color w:val="000000"/>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rPr>
      </w:pPr>
      <w:r>
        <w:rPr>
          <w:rFonts w:hint="eastAsia" w:cs="宋体"/>
          <w:color w:val="000000"/>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rPr>
        <w:br w:type="page"/>
      </w:r>
    </w:p>
    <w:p>
      <w:pPr>
        <w:pStyle w:val="36"/>
        <w:numPr>
          <w:ilvl w:val="1"/>
          <w:numId w:val="0"/>
        </w:numPr>
        <w:ind w:firstLine="482" w:firstLineChars="200"/>
        <w:rPr>
          <w:rFonts w:asciiTheme="minorEastAsia" w:hAnsiTheme="minorEastAsia" w:eastAsiaTheme="minorEastAsia" w:cstheme="minorEastAsia"/>
          <w:color w:val="000000"/>
        </w:rPr>
      </w:pPr>
      <w:bookmarkStart w:id="492" w:name="_Toc26920"/>
      <w:bookmarkStart w:id="493" w:name="_Toc21966"/>
      <w:bookmarkStart w:id="494" w:name="_Toc15720"/>
      <w:r>
        <w:rPr>
          <w:rFonts w:hint="eastAsia" w:asciiTheme="minorEastAsia" w:hAnsiTheme="minorEastAsia" w:eastAsiaTheme="minorEastAsia" w:cstheme="minorEastAsia"/>
          <w:color w:val="000000"/>
        </w:rPr>
        <w:t>附件五：《四川省财政厅关于推进四川省政府采购供应商信用融资工作的通知》(川财采〔2018〕123号文)</w:t>
      </w:r>
      <w:bookmarkEnd w:id="492"/>
      <w:bookmarkEnd w:id="493"/>
      <w:bookmarkEnd w:id="494"/>
    </w:p>
    <w:p>
      <w:pPr>
        <w:pStyle w:val="23"/>
        <w:widowControl/>
        <w:wordWrap w:val="0"/>
        <w:adjustRightInd/>
        <w:snapToGrid/>
        <w:spacing w:beforeAutospacing="0" w:afterAutospacing="0"/>
        <w:rPr>
          <w:rFonts w:cs="宋体"/>
          <w:b/>
          <w:bCs/>
        </w:rPr>
      </w:pPr>
      <w:r>
        <w:rPr>
          <w:rFonts w:hint="eastAsia"/>
          <w:b/>
          <w:bCs/>
        </w:rPr>
        <w:t>查询链接：</w:t>
      </w:r>
      <w:r>
        <w:rPr>
          <w:rFonts w:hint="eastAsia" w:cs="宋体"/>
          <w:b/>
          <w:bCs/>
        </w:rPr>
        <w:t>http：//www.ccgp-sichuan.gov.cn/view/staticpags/sjzcfg/40288687657ff75501672fd954532414.html</w:t>
      </w:r>
    </w:p>
    <w:p>
      <w:pPr>
        <w:widowControl/>
        <w:adjustRightInd/>
        <w:snapToGrid/>
      </w:pPr>
    </w:p>
    <w:p>
      <w:pPr>
        <w:widowControl/>
        <w:adjustRightInd/>
        <w:snapToGrid/>
        <w:spacing w:line="240" w:lineRule="auto"/>
        <w:jc w:val="center"/>
        <w:rPr>
          <w:rFonts w:cs="宋体"/>
        </w:rPr>
      </w:pPr>
      <w:r>
        <w:rPr>
          <w:rFonts w:hint="eastAsia" w:cs="宋体"/>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3"/>
        <w:widowControl/>
        <w:adjustRightInd/>
        <w:snapToGrid/>
        <w:spacing w:beforeAutospacing="0" w:afterAutospacing="0"/>
        <w:rPr>
          <w:rFonts w:cs="宋体"/>
        </w:rPr>
      </w:pPr>
      <w:r>
        <w:rPr>
          <w:rFonts w:hint="eastAsia" w:cs="宋体"/>
        </w:rPr>
        <w:t>各市(州)、扩权县(市)财政局，各省直机关、事业单位、团体组织，各金融机构，各采购代理机构，各政府采购供应商：</w:t>
      </w:r>
    </w:p>
    <w:p>
      <w:pPr>
        <w:pStyle w:val="23"/>
        <w:widowControl/>
        <w:adjustRightInd/>
        <w:snapToGrid/>
        <w:spacing w:beforeAutospacing="0" w:afterAutospacing="0"/>
        <w:ind w:firstLine="480" w:firstLineChars="200"/>
        <w:rPr>
          <w:rFonts w:cs="宋体"/>
        </w:rPr>
      </w:pPr>
      <w:r>
        <w:rPr>
          <w:rFonts w:hint="eastAsia" w:cs="宋体"/>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3"/>
        <w:widowControl/>
        <w:adjustRightInd/>
        <w:snapToGrid/>
        <w:spacing w:beforeAutospacing="0" w:afterAutospacing="0"/>
        <w:ind w:firstLine="480" w:firstLineChars="200"/>
        <w:rPr>
          <w:rFonts w:cs="宋体"/>
        </w:rPr>
      </w:pPr>
      <w:r>
        <w:rPr>
          <w:rFonts w:hint="eastAsia" w:cs="宋体"/>
        </w:rPr>
        <w:t>一、融资概念</w:t>
      </w:r>
    </w:p>
    <w:p>
      <w:pPr>
        <w:pStyle w:val="23"/>
        <w:widowControl/>
        <w:adjustRightInd/>
        <w:snapToGrid/>
        <w:spacing w:beforeAutospacing="0" w:afterAutospacing="0"/>
        <w:ind w:firstLine="480" w:firstLineChars="200"/>
        <w:rPr>
          <w:rFonts w:cs="宋体"/>
        </w:rPr>
      </w:pPr>
      <w:r>
        <w:rPr>
          <w:rFonts w:hint="eastAsia" w:cs="宋体"/>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3"/>
        <w:widowControl/>
        <w:adjustRightInd/>
        <w:snapToGrid/>
        <w:spacing w:beforeAutospacing="0" w:afterAutospacing="0"/>
        <w:ind w:firstLine="480" w:firstLineChars="200"/>
        <w:rPr>
          <w:rFonts w:cs="宋体"/>
        </w:rPr>
      </w:pPr>
      <w:r>
        <w:rPr>
          <w:rFonts w:hint="eastAsia" w:cs="宋体"/>
        </w:rPr>
        <w:t>二、基本原则</w:t>
      </w:r>
    </w:p>
    <w:p>
      <w:pPr>
        <w:pStyle w:val="23"/>
        <w:widowControl/>
        <w:adjustRightInd/>
        <w:snapToGrid/>
        <w:spacing w:beforeAutospacing="0" w:afterAutospacing="0"/>
        <w:ind w:firstLine="482" w:firstLineChars="200"/>
        <w:rPr>
          <w:rFonts w:cs="宋体"/>
        </w:rPr>
      </w:pPr>
      <w:r>
        <w:rPr>
          <w:rFonts w:hint="eastAsia" w:cs="宋体"/>
          <w:b/>
        </w:rPr>
        <w:t>(一)财政引导，市场运行</w:t>
      </w:r>
    </w:p>
    <w:p>
      <w:pPr>
        <w:pStyle w:val="23"/>
        <w:widowControl/>
        <w:adjustRightInd/>
        <w:snapToGrid/>
        <w:spacing w:beforeAutospacing="0" w:afterAutospacing="0"/>
        <w:ind w:firstLine="480" w:firstLineChars="200"/>
        <w:rPr>
          <w:rFonts w:cs="宋体"/>
        </w:rPr>
      </w:pPr>
      <w:r>
        <w:rPr>
          <w:rFonts w:hint="eastAsia" w:cs="宋体"/>
        </w:rPr>
        <w:t>财政部门推进“政采贷”，银行和供应商按照自愿原则参与。供应商自愿选择是否申请“政采贷”，银行依据其内部审查制度和决策程序决定是否为供应商提供融资，自担风险。</w:t>
      </w:r>
    </w:p>
    <w:p>
      <w:pPr>
        <w:pStyle w:val="23"/>
        <w:widowControl/>
        <w:adjustRightInd/>
        <w:snapToGrid/>
        <w:spacing w:beforeAutospacing="0" w:afterAutospacing="0"/>
        <w:ind w:firstLine="482" w:firstLineChars="200"/>
        <w:rPr>
          <w:rFonts w:cs="宋体"/>
        </w:rPr>
      </w:pPr>
      <w:r>
        <w:rPr>
          <w:rFonts w:hint="eastAsia" w:cs="宋体"/>
          <w:b/>
        </w:rPr>
        <w:t>(二)建立机制，服务银企</w:t>
      </w:r>
    </w:p>
    <w:p>
      <w:pPr>
        <w:pStyle w:val="23"/>
        <w:widowControl/>
        <w:adjustRightInd/>
        <w:snapToGrid/>
        <w:spacing w:beforeAutospacing="0" w:afterAutospacing="0"/>
        <w:ind w:firstLine="480" w:firstLineChars="200"/>
        <w:rPr>
          <w:rFonts w:cs="宋体"/>
        </w:rPr>
      </w:pPr>
      <w:r>
        <w:rPr>
          <w:rFonts w:hint="eastAsia" w:cs="宋体"/>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23"/>
        <w:widowControl/>
        <w:adjustRightInd/>
        <w:snapToGrid/>
        <w:spacing w:beforeAutospacing="0" w:afterAutospacing="0"/>
        <w:ind w:firstLine="482" w:firstLineChars="200"/>
        <w:rPr>
          <w:rFonts w:cs="宋体"/>
        </w:rPr>
      </w:pPr>
      <w:r>
        <w:rPr>
          <w:rFonts w:hint="eastAsia" w:cs="宋体"/>
          <w:b/>
        </w:rPr>
        <w:t>(三)优质优惠，加强扶持</w:t>
      </w:r>
    </w:p>
    <w:p>
      <w:pPr>
        <w:pStyle w:val="23"/>
        <w:widowControl/>
        <w:adjustRightInd/>
        <w:snapToGrid/>
        <w:spacing w:beforeAutospacing="0" w:afterAutospacing="0"/>
        <w:ind w:firstLine="480" w:firstLineChars="200"/>
        <w:rPr>
          <w:rFonts w:cs="宋体"/>
        </w:rPr>
      </w:pPr>
      <w:r>
        <w:rPr>
          <w:rFonts w:hint="eastAsia" w:cs="宋体"/>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3"/>
        <w:widowControl/>
        <w:adjustRightInd/>
        <w:snapToGrid/>
        <w:spacing w:beforeAutospacing="0" w:afterAutospacing="0"/>
        <w:ind w:firstLine="480" w:firstLineChars="200"/>
        <w:rPr>
          <w:rFonts w:cs="宋体"/>
        </w:rPr>
      </w:pPr>
      <w:r>
        <w:rPr>
          <w:rFonts w:hint="eastAsia" w:cs="宋体"/>
        </w:rPr>
        <w:t>三、基本条件</w:t>
      </w:r>
    </w:p>
    <w:p>
      <w:pPr>
        <w:pStyle w:val="23"/>
        <w:widowControl/>
        <w:adjustRightInd/>
        <w:snapToGrid/>
        <w:spacing w:beforeAutospacing="0" w:afterAutospacing="0"/>
        <w:ind w:firstLine="482" w:firstLineChars="200"/>
        <w:rPr>
          <w:rFonts w:cs="宋体"/>
        </w:rPr>
      </w:pPr>
      <w:r>
        <w:rPr>
          <w:rFonts w:hint="eastAsia" w:cs="宋体"/>
          <w:b/>
        </w:rPr>
        <w:t>(一)银行暨“政采贷”金融产品</w:t>
      </w:r>
    </w:p>
    <w:p>
      <w:pPr>
        <w:pStyle w:val="23"/>
        <w:widowControl/>
        <w:adjustRightInd/>
        <w:snapToGrid/>
        <w:spacing w:beforeAutospacing="0" w:afterAutospacing="0"/>
        <w:ind w:firstLine="482" w:firstLineChars="200"/>
        <w:rPr>
          <w:rFonts w:cs="宋体"/>
        </w:rPr>
      </w:pPr>
      <w:r>
        <w:rPr>
          <w:rFonts w:hint="eastAsia" w:cs="宋体"/>
          <w:b/>
        </w:rPr>
        <w:t>1、征集。</w:t>
      </w:r>
      <w:r>
        <w:rPr>
          <w:rFonts w:hint="eastAsia" w:cs="宋体"/>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3"/>
        <w:widowControl/>
        <w:adjustRightInd/>
        <w:snapToGrid/>
        <w:spacing w:beforeAutospacing="0" w:afterAutospacing="0"/>
        <w:ind w:firstLine="480" w:firstLineChars="200"/>
        <w:rPr>
          <w:rFonts w:cs="宋体"/>
        </w:rPr>
      </w:pPr>
      <w:r>
        <w:rPr>
          <w:rFonts w:hint="eastAsia" w:cs="宋体"/>
        </w:rPr>
        <w:t>申请材料应当包括银行基本情况、“政采贷”产品名称、申请贷款条件、申请贷款方式、申请贷款程序、贷款审查流程、贷款额度、发放贷款时间、收款方式及其他优质服务和优惠承诺等。</w:t>
      </w:r>
    </w:p>
    <w:p>
      <w:pPr>
        <w:pStyle w:val="23"/>
        <w:widowControl/>
        <w:adjustRightInd/>
        <w:snapToGrid/>
        <w:spacing w:beforeAutospacing="0" w:afterAutospacing="0"/>
        <w:ind w:firstLine="480" w:firstLineChars="200"/>
        <w:rPr>
          <w:rFonts w:cs="宋体"/>
        </w:rPr>
      </w:pPr>
      <w:r>
        <w:rPr>
          <w:rFonts w:hint="eastAsia" w:cs="宋体"/>
        </w:rPr>
        <w:t>银行提供的“政采贷”产品应当满足“无抵押担保、程序简便、利率优惠、放款及时”的基本条件以及本通知其他相关规定。</w:t>
      </w:r>
    </w:p>
    <w:p>
      <w:pPr>
        <w:pStyle w:val="23"/>
        <w:widowControl/>
        <w:adjustRightInd/>
        <w:snapToGrid/>
        <w:spacing w:beforeAutospacing="0" w:afterAutospacing="0"/>
        <w:ind w:firstLine="480" w:firstLineChars="200"/>
        <w:rPr>
          <w:rFonts w:cs="宋体"/>
        </w:rPr>
      </w:pPr>
      <w:r>
        <w:rPr>
          <w:rFonts w:hint="eastAsia" w:cs="宋体"/>
        </w:rPr>
        <w:t>银行申请材料中应当载明其自愿提供“政采贷”产品，自担风险，不得要求或者变相要求财政部门和采购人为其提供风险担保、承诺。</w:t>
      </w:r>
    </w:p>
    <w:p>
      <w:pPr>
        <w:pStyle w:val="23"/>
        <w:widowControl/>
        <w:adjustRightInd/>
        <w:snapToGrid/>
        <w:spacing w:beforeAutospacing="0" w:afterAutospacing="0"/>
        <w:ind w:firstLine="482" w:firstLineChars="200"/>
        <w:rPr>
          <w:rFonts w:cs="宋体"/>
        </w:rPr>
      </w:pPr>
      <w:r>
        <w:rPr>
          <w:rFonts w:hint="eastAsia" w:cs="宋体"/>
          <w:b/>
        </w:rPr>
        <w:t>2、公示。</w:t>
      </w:r>
      <w:r>
        <w:rPr>
          <w:rFonts w:hint="eastAsia" w:cs="宋体"/>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3"/>
        <w:widowControl/>
        <w:adjustRightInd/>
        <w:snapToGrid/>
        <w:spacing w:beforeAutospacing="0" w:afterAutospacing="0"/>
        <w:ind w:firstLine="482" w:firstLineChars="200"/>
        <w:rPr>
          <w:rFonts w:cs="宋体"/>
        </w:rPr>
      </w:pPr>
      <w:r>
        <w:rPr>
          <w:rFonts w:hint="eastAsia" w:cs="宋体"/>
          <w:b/>
        </w:rPr>
        <w:t>(二)供应商</w:t>
      </w:r>
    </w:p>
    <w:p>
      <w:pPr>
        <w:pStyle w:val="23"/>
        <w:widowControl/>
        <w:adjustRightInd/>
        <w:snapToGrid/>
        <w:spacing w:beforeAutospacing="0" w:afterAutospacing="0"/>
        <w:ind w:firstLine="480" w:firstLineChars="200"/>
        <w:rPr>
          <w:rFonts w:cs="宋体"/>
        </w:rPr>
      </w:pPr>
      <w:r>
        <w:rPr>
          <w:rFonts w:hint="eastAsia" w:cs="宋体"/>
        </w:rPr>
        <w:t>政府采购供应商向银行申请“政采贷”，应当满足下列基本条件：</w:t>
      </w:r>
    </w:p>
    <w:p>
      <w:pPr>
        <w:pStyle w:val="23"/>
        <w:widowControl/>
        <w:adjustRightInd/>
        <w:snapToGrid/>
        <w:spacing w:beforeAutospacing="0" w:afterAutospacing="0"/>
        <w:ind w:firstLine="482" w:firstLineChars="200"/>
        <w:rPr>
          <w:rFonts w:cs="宋体"/>
        </w:rPr>
      </w:pPr>
      <w:r>
        <w:rPr>
          <w:rFonts w:hint="eastAsia" w:cs="宋体"/>
          <w:b/>
        </w:rPr>
        <w:t>1、</w:t>
      </w:r>
      <w:r>
        <w:rPr>
          <w:rFonts w:hint="eastAsia" w:cs="宋体"/>
        </w:rPr>
        <w:t>具有依法承担民事责任的能力；</w:t>
      </w:r>
    </w:p>
    <w:p>
      <w:pPr>
        <w:pStyle w:val="23"/>
        <w:widowControl/>
        <w:adjustRightInd/>
        <w:snapToGrid/>
        <w:spacing w:beforeAutospacing="0" w:afterAutospacing="0"/>
        <w:ind w:firstLine="482" w:firstLineChars="200"/>
        <w:rPr>
          <w:rFonts w:cs="宋体"/>
        </w:rPr>
      </w:pPr>
      <w:r>
        <w:rPr>
          <w:rFonts w:hint="eastAsia" w:cs="宋体"/>
          <w:b/>
        </w:rPr>
        <w:t>2、</w:t>
      </w:r>
      <w:r>
        <w:rPr>
          <w:rFonts w:hint="eastAsia" w:cs="宋体"/>
        </w:rPr>
        <w:t>具有依法履行政府采购合同的能力；</w:t>
      </w:r>
    </w:p>
    <w:p>
      <w:pPr>
        <w:pStyle w:val="23"/>
        <w:widowControl/>
        <w:adjustRightInd/>
        <w:snapToGrid/>
        <w:spacing w:beforeAutospacing="0" w:afterAutospacing="0"/>
        <w:ind w:firstLine="482" w:firstLineChars="200"/>
        <w:rPr>
          <w:rFonts w:cs="宋体"/>
        </w:rPr>
      </w:pPr>
      <w:r>
        <w:rPr>
          <w:rFonts w:hint="eastAsia" w:cs="宋体"/>
          <w:b/>
        </w:rPr>
        <w:t>3、</w:t>
      </w:r>
      <w:r>
        <w:rPr>
          <w:rFonts w:hint="eastAsia" w:cs="宋体"/>
        </w:rPr>
        <w:t>参加的政府采购活动未被财政部门依法暂停、责令重新开展或者认定中标、成交无效；</w:t>
      </w:r>
    </w:p>
    <w:p>
      <w:pPr>
        <w:pStyle w:val="23"/>
        <w:widowControl/>
        <w:adjustRightInd/>
        <w:snapToGrid/>
        <w:spacing w:beforeAutospacing="0" w:afterAutospacing="0"/>
        <w:ind w:firstLine="482" w:firstLineChars="200"/>
        <w:rPr>
          <w:rFonts w:cs="宋体"/>
        </w:rPr>
      </w:pPr>
      <w:r>
        <w:rPr>
          <w:rFonts w:hint="eastAsia" w:cs="宋体"/>
          <w:b/>
        </w:rPr>
        <w:t>4、</w:t>
      </w:r>
      <w:r>
        <w:rPr>
          <w:rFonts w:hint="eastAsia" w:cs="宋体"/>
        </w:rPr>
        <w:t>无《政府采购法》第二十二条第一款第(五)项所称的重大违法记录；</w:t>
      </w:r>
    </w:p>
    <w:p>
      <w:pPr>
        <w:pStyle w:val="23"/>
        <w:widowControl/>
        <w:adjustRightInd/>
        <w:snapToGrid/>
        <w:spacing w:beforeAutospacing="0" w:afterAutospacing="0"/>
        <w:ind w:firstLine="482" w:firstLineChars="200"/>
        <w:rPr>
          <w:rFonts w:cs="宋体"/>
        </w:rPr>
      </w:pPr>
      <w:r>
        <w:rPr>
          <w:rFonts w:hint="eastAsia" w:cs="宋体"/>
          <w:b/>
        </w:rPr>
        <w:t>5、</w:t>
      </w:r>
      <w:r>
        <w:rPr>
          <w:rFonts w:hint="eastAsia" w:cs="宋体"/>
        </w:rPr>
        <w:t>未被法院、市场监管、税务、银行等部门单位纳入失信名单且在有效期内；</w:t>
      </w:r>
    </w:p>
    <w:p>
      <w:pPr>
        <w:pStyle w:val="23"/>
        <w:widowControl/>
        <w:adjustRightInd/>
        <w:snapToGrid/>
        <w:spacing w:beforeAutospacing="0" w:afterAutospacing="0"/>
        <w:ind w:firstLine="482" w:firstLineChars="200"/>
        <w:rPr>
          <w:rFonts w:cs="宋体"/>
        </w:rPr>
      </w:pPr>
      <w:r>
        <w:rPr>
          <w:rFonts w:hint="eastAsia" w:cs="宋体"/>
          <w:b/>
        </w:rPr>
        <w:t>6、</w:t>
      </w:r>
      <w:r>
        <w:rPr>
          <w:rFonts w:hint="eastAsia" w:cs="宋体"/>
        </w:rPr>
        <w:t>在一定期限内的(银行可以具体确定)政府采购合同履约过程中或者其他经营活动履约过程中，无不依法履约被有关行政部门行政处罚的或者产生法律纠纷被法院、仲裁机构判决、裁决败诉的；</w:t>
      </w:r>
    </w:p>
    <w:p>
      <w:pPr>
        <w:pStyle w:val="23"/>
        <w:widowControl/>
        <w:adjustRightInd/>
        <w:snapToGrid/>
        <w:spacing w:beforeAutospacing="0" w:afterAutospacing="0"/>
        <w:ind w:firstLine="482" w:firstLineChars="200"/>
        <w:rPr>
          <w:rFonts w:cs="宋体"/>
        </w:rPr>
      </w:pPr>
      <w:r>
        <w:rPr>
          <w:rFonts w:hint="eastAsia" w:cs="宋体"/>
          <w:b/>
        </w:rPr>
        <w:t>7、</w:t>
      </w:r>
      <w:r>
        <w:rPr>
          <w:rFonts w:hint="eastAsia" w:cs="宋体"/>
        </w:rPr>
        <w:t>其他银行要求的不属于提供财产抵押或第三方担保的条件。</w:t>
      </w:r>
    </w:p>
    <w:p>
      <w:pPr>
        <w:pStyle w:val="23"/>
        <w:widowControl/>
        <w:adjustRightInd/>
        <w:snapToGrid/>
        <w:spacing w:beforeAutospacing="0" w:afterAutospacing="0"/>
        <w:ind w:firstLine="480" w:firstLineChars="200"/>
        <w:rPr>
          <w:rFonts w:cs="宋体"/>
        </w:rPr>
      </w:pPr>
      <w:r>
        <w:rPr>
          <w:rFonts w:hint="eastAsia" w:cs="宋体"/>
        </w:rPr>
        <w:t>四、构建平台</w:t>
      </w:r>
    </w:p>
    <w:p>
      <w:pPr>
        <w:pStyle w:val="23"/>
        <w:widowControl/>
        <w:adjustRightInd/>
        <w:snapToGrid/>
        <w:spacing w:beforeAutospacing="0" w:afterAutospacing="0"/>
        <w:ind w:firstLine="480" w:firstLineChars="200"/>
        <w:rPr>
          <w:rFonts w:cs="宋体"/>
        </w:rPr>
      </w:pPr>
      <w:r>
        <w:rPr>
          <w:rFonts w:hint="eastAsia" w:cs="宋体"/>
        </w:rPr>
        <w:t>四川省财政厅将在“四川政府采购网”统一构建四川省“政采贷”信息化服务平台，推进四川省“政采贷”工作信息化建设。</w:t>
      </w:r>
    </w:p>
    <w:p>
      <w:pPr>
        <w:pStyle w:val="23"/>
        <w:widowControl/>
        <w:adjustRightInd/>
        <w:snapToGrid/>
        <w:spacing w:beforeAutospacing="0" w:afterAutospacing="0"/>
        <w:ind w:firstLine="480" w:firstLineChars="200"/>
        <w:rPr>
          <w:rFonts w:cs="宋体"/>
        </w:rPr>
      </w:pPr>
      <w:r>
        <w:rPr>
          <w:rFonts w:hint="eastAsia" w:cs="宋体"/>
        </w:rPr>
        <w:t>五、财金互动</w:t>
      </w:r>
    </w:p>
    <w:p>
      <w:pPr>
        <w:pStyle w:val="23"/>
        <w:widowControl/>
        <w:adjustRightInd/>
        <w:snapToGrid/>
        <w:spacing w:beforeAutospacing="0" w:afterAutospacing="0"/>
        <w:ind w:firstLine="480" w:firstLineChars="200"/>
        <w:rPr>
          <w:rFonts w:cs="宋体"/>
        </w:rPr>
      </w:pPr>
      <w:r>
        <w:rPr>
          <w:rFonts w:hint="eastAsia" w:cs="宋体"/>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3"/>
        <w:widowControl/>
        <w:adjustRightInd/>
        <w:snapToGrid/>
        <w:spacing w:beforeAutospacing="0" w:afterAutospacing="0"/>
        <w:ind w:firstLine="480" w:firstLineChars="200"/>
        <w:rPr>
          <w:rFonts w:cs="宋体"/>
        </w:rPr>
      </w:pPr>
      <w:r>
        <w:rPr>
          <w:rFonts w:hint="eastAsia" w:cs="宋体"/>
        </w:rPr>
        <w:t>六、基本流程</w:t>
      </w:r>
    </w:p>
    <w:p>
      <w:pPr>
        <w:pStyle w:val="23"/>
        <w:widowControl/>
        <w:adjustRightInd/>
        <w:snapToGrid/>
        <w:spacing w:beforeAutospacing="0" w:afterAutospacing="0"/>
        <w:ind w:firstLine="482" w:firstLineChars="200"/>
        <w:rPr>
          <w:rFonts w:cs="宋体"/>
        </w:rPr>
      </w:pPr>
      <w:r>
        <w:rPr>
          <w:rFonts w:hint="eastAsia" w:cs="宋体"/>
          <w:b/>
        </w:rPr>
        <w:t>(一)意向申请</w:t>
      </w:r>
    </w:p>
    <w:p>
      <w:pPr>
        <w:pStyle w:val="23"/>
        <w:widowControl/>
        <w:adjustRightInd/>
        <w:snapToGrid/>
        <w:spacing w:beforeAutospacing="0" w:afterAutospacing="0"/>
        <w:ind w:firstLine="480" w:firstLineChars="200"/>
        <w:rPr>
          <w:rFonts w:cs="宋体"/>
        </w:rPr>
      </w:pPr>
      <w:r>
        <w:rPr>
          <w:rFonts w:hint="eastAsia" w:cs="宋体"/>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3"/>
        <w:widowControl/>
        <w:adjustRightInd/>
        <w:snapToGrid/>
        <w:spacing w:beforeAutospacing="0" w:afterAutospacing="0"/>
        <w:ind w:firstLine="482" w:firstLineChars="200"/>
        <w:rPr>
          <w:rFonts w:cs="宋体"/>
          <w:b/>
        </w:rPr>
      </w:pPr>
      <w:r>
        <w:rPr>
          <w:rFonts w:hint="eastAsia" w:cs="宋体"/>
          <w:b/>
        </w:rPr>
        <w:t>(二)正式申请</w:t>
      </w:r>
    </w:p>
    <w:p>
      <w:pPr>
        <w:pStyle w:val="23"/>
        <w:widowControl/>
        <w:adjustRightInd/>
        <w:snapToGrid/>
        <w:spacing w:beforeAutospacing="0" w:afterAutospacing="0"/>
        <w:ind w:firstLine="480" w:firstLineChars="200"/>
        <w:rPr>
          <w:rFonts w:cs="宋体"/>
        </w:rPr>
      </w:pPr>
      <w:r>
        <w:rPr>
          <w:rFonts w:hint="eastAsia" w:cs="宋体"/>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3"/>
        <w:widowControl/>
        <w:adjustRightInd/>
        <w:snapToGrid/>
        <w:spacing w:beforeAutospacing="0" w:afterAutospacing="0"/>
        <w:ind w:firstLine="480" w:firstLineChars="200"/>
        <w:rPr>
          <w:rFonts w:cs="宋体"/>
        </w:rPr>
      </w:pPr>
      <w:r>
        <w:rPr>
          <w:rFonts w:hint="eastAsia" w:cs="宋体"/>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3"/>
        <w:widowControl/>
        <w:adjustRightInd/>
        <w:snapToGrid/>
        <w:spacing w:beforeAutospacing="0" w:afterAutospacing="0"/>
        <w:ind w:firstLine="482" w:firstLineChars="200"/>
        <w:rPr>
          <w:rFonts w:cs="宋体"/>
        </w:rPr>
      </w:pPr>
      <w:r>
        <w:rPr>
          <w:rFonts w:hint="eastAsia" w:cs="宋体"/>
          <w:b/>
        </w:rPr>
        <w:t>(三)贷款审查</w:t>
      </w:r>
    </w:p>
    <w:p>
      <w:pPr>
        <w:pStyle w:val="23"/>
        <w:widowControl/>
        <w:adjustRightInd/>
        <w:snapToGrid/>
        <w:spacing w:beforeAutospacing="0" w:afterAutospacing="0"/>
        <w:ind w:firstLine="480" w:firstLineChars="200"/>
        <w:rPr>
          <w:rFonts w:cs="宋体"/>
        </w:rPr>
      </w:pPr>
      <w:r>
        <w:rPr>
          <w:rFonts w:hint="eastAsia" w:cs="宋体"/>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3"/>
        <w:widowControl/>
        <w:adjustRightInd/>
        <w:snapToGrid/>
        <w:spacing w:beforeAutospacing="0" w:afterAutospacing="0"/>
        <w:ind w:firstLine="482" w:firstLineChars="200"/>
        <w:rPr>
          <w:rFonts w:cs="宋体"/>
        </w:rPr>
      </w:pPr>
      <w:r>
        <w:rPr>
          <w:rFonts w:hint="eastAsia" w:cs="宋体"/>
          <w:b/>
        </w:rPr>
        <w:t>(四)信息报送</w:t>
      </w:r>
    </w:p>
    <w:p>
      <w:pPr>
        <w:pStyle w:val="23"/>
        <w:widowControl/>
        <w:adjustRightInd/>
        <w:snapToGrid/>
        <w:spacing w:beforeAutospacing="0" w:afterAutospacing="0"/>
        <w:ind w:firstLine="480" w:firstLineChars="200"/>
        <w:rPr>
          <w:rFonts w:cs="宋体"/>
        </w:rPr>
      </w:pPr>
      <w:r>
        <w:rPr>
          <w:rFonts w:hint="eastAsia" w:cs="宋体"/>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3"/>
        <w:widowControl/>
        <w:adjustRightInd/>
        <w:snapToGrid/>
        <w:spacing w:beforeAutospacing="0" w:afterAutospacing="0"/>
        <w:ind w:firstLine="482" w:firstLineChars="200"/>
        <w:rPr>
          <w:rFonts w:cs="宋体"/>
        </w:rPr>
      </w:pPr>
      <w:r>
        <w:rPr>
          <w:rFonts w:hint="eastAsia" w:cs="宋体"/>
          <w:b/>
        </w:rPr>
        <w:t>(五)资金支付</w:t>
      </w:r>
    </w:p>
    <w:p>
      <w:pPr>
        <w:pStyle w:val="23"/>
        <w:widowControl/>
        <w:adjustRightInd/>
        <w:snapToGrid/>
        <w:spacing w:beforeAutospacing="0" w:afterAutospacing="0"/>
        <w:ind w:firstLine="480" w:firstLineChars="200"/>
        <w:rPr>
          <w:rFonts w:cs="宋体"/>
        </w:rPr>
      </w:pPr>
      <w:r>
        <w:rPr>
          <w:rFonts w:hint="eastAsia" w:cs="宋体"/>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3"/>
        <w:widowControl/>
        <w:adjustRightInd/>
        <w:snapToGrid/>
        <w:spacing w:beforeAutospacing="0" w:afterAutospacing="0"/>
        <w:ind w:firstLine="480" w:firstLineChars="200"/>
        <w:rPr>
          <w:rFonts w:cs="宋体"/>
        </w:rPr>
      </w:pPr>
      <w:r>
        <w:rPr>
          <w:rFonts w:hint="eastAsia" w:cs="宋体"/>
        </w:rPr>
        <w:t>政府采购资金支付过程中，银行需要查询采购资金支付进程有关信息的，财政部门和采购人应当支持。</w:t>
      </w:r>
    </w:p>
    <w:p>
      <w:pPr>
        <w:pStyle w:val="23"/>
        <w:widowControl/>
        <w:adjustRightInd/>
        <w:snapToGrid/>
        <w:spacing w:beforeAutospacing="0" w:afterAutospacing="0"/>
        <w:ind w:firstLine="480" w:firstLineChars="200"/>
        <w:rPr>
          <w:rFonts w:cs="宋体"/>
        </w:rPr>
      </w:pPr>
      <w:r>
        <w:rPr>
          <w:rFonts w:hint="eastAsia" w:cs="宋体"/>
        </w:rPr>
        <w:t>七、职责要求</w:t>
      </w:r>
    </w:p>
    <w:p>
      <w:pPr>
        <w:pStyle w:val="23"/>
        <w:widowControl/>
        <w:adjustRightInd/>
        <w:snapToGrid/>
        <w:spacing w:beforeAutospacing="0" w:afterAutospacing="0"/>
        <w:ind w:firstLine="482" w:firstLineChars="200"/>
        <w:rPr>
          <w:rFonts w:cs="宋体"/>
        </w:rPr>
      </w:pPr>
      <w:r>
        <w:rPr>
          <w:rFonts w:hint="eastAsia" w:cs="宋体"/>
          <w:b/>
        </w:rPr>
        <w:t>(一)</w:t>
      </w:r>
      <w:r>
        <w:rPr>
          <w:rFonts w:hint="eastAsia" w:cs="宋体"/>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3"/>
        <w:widowControl/>
        <w:adjustRightInd/>
        <w:snapToGrid/>
        <w:spacing w:beforeAutospacing="0" w:afterAutospacing="0"/>
        <w:ind w:firstLine="482" w:firstLineChars="200"/>
        <w:rPr>
          <w:rFonts w:cs="宋体"/>
        </w:rPr>
      </w:pPr>
      <w:r>
        <w:rPr>
          <w:rFonts w:hint="eastAsia" w:cs="宋体"/>
          <w:b/>
        </w:rPr>
        <w:t>(二)</w:t>
      </w:r>
      <w:r>
        <w:rPr>
          <w:rFonts w:hint="eastAsia" w:cs="宋体"/>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3"/>
        <w:widowControl/>
        <w:adjustRightInd/>
        <w:snapToGrid/>
        <w:spacing w:beforeAutospacing="0" w:afterAutospacing="0"/>
        <w:ind w:firstLine="482" w:firstLineChars="200"/>
        <w:rPr>
          <w:rFonts w:cs="宋体"/>
        </w:rPr>
      </w:pPr>
      <w:r>
        <w:rPr>
          <w:rFonts w:hint="eastAsia" w:cs="宋体"/>
          <w:b/>
        </w:rPr>
        <w:t>(三)</w:t>
      </w:r>
      <w:r>
        <w:rPr>
          <w:rFonts w:hint="eastAsia" w:cs="宋体"/>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3"/>
        <w:widowControl/>
        <w:adjustRightInd/>
        <w:snapToGrid/>
        <w:spacing w:beforeAutospacing="0" w:afterAutospacing="0"/>
        <w:ind w:firstLine="482" w:firstLineChars="200"/>
        <w:rPr>
          <w:rFonts w:cs="宋体"/>
        </w:rPr>
      </w:pPr>
      <w:r>
        <w:rPr>
          <w:rFonts w:hint="eastAsia" w:cs="宋体"/>
          <w:b/>
        </w:rPr>
        <w:t>(四)</w:t>
      </w:r>
      <w:r>
        <w:rPr>
          <w:rFonts w:hint="eastAsia" w:cs="宋体"/>
        </w:rPr>
        <w:t>采购代理机构在组织实施政府采购活动中，应当采取有效方式，向供应商宣传“政采贷”政策。银行需要借用采购代理机构的场所直接向供应商介绍其“政采贷”产品的，采购代理机构应当支持。</w:t>
      </w:r>
    </w:p>
    <w:p>
      <w:pPr>
        <w:pStyle w:val="23"/>
        <w:widowControl/>
        <w:adjustRightInd/>
        <w:snapToGrid/>
        <w:spacing w:beforeAutospacing="0" w:afterAutospacing="0"/>
        <w:ind w:firstLine="482" w:firstLineChars="200"/>
        <w:rPr>
          <w:rFonts w:cs="宋体"/>
        </w:rPr>
      </w:pPr>
      <w:r>
        <w:rPr>
          <w:rFonts w:hint="eastAsia" w:cs="宋体"/>
          <w:b/>
        </w:rPr>
        <w:t>(五)</w:t>
      </w:r>
      <w:r>
        <w:rPr>
          <w:rFonts w:hint="eastAsia" w:cs="宋体"/>
        </w:rPr>
        <w:t>供应商应当依法参加政府采购活动，公平竞争，诚实守信，严格按照政府采购合同履约，严格按照借款合同偿还债务。</w:t>
      </w:r>
    </w:p>
    <w:p>
      <w:pPr>
        <w:pStyle w:val="23"/>
        <w:widowControl/>
        <w:adjustRightInd/>
        <w:snapToGrid/>
        <w:spacing w:beforeAutospacing="0" w:afterAutospacing="0"/>
        <w:ind w:firstLine="482" w:firstLineChars="200"/>
        <w:rPr>
          <w:rFonts w:cs="宋体"/>
        </w:rPr>
      </w:pPr>
      <w:r>
        <w:rPr>
          <w:rFonts w:hint="eastAsia" w:cs="宋体"/>
          <w:b/>
        </w:rPr>
        <w:t>(六)</w:t>
      </w:r>
      <w:r>
        <w:rPr>
          <w:rFonts w:hint="eastAsia" w:cs="宋体"/>
        </w:rPr>
        <w:t>财政部门、采购人、采购代理机构及其他有关单位和个人不得违规干预供应商选择“政采贷”银行及其产品，也不得违规干预银行向供应商进行贷款。</w:t>
      </w:r>
    </w:p>
    <w:p>
      <w:pPr>
        <w:pStyle w:val="23"/>
        <w:widowControl/>
        <w:adjustRightInd/>
        <w:snapToGrid/>
        <w:spacing w:beforeAutospacing="0" w:afterAutospacing="0"/>
        <w:ind w:firstLine="482" w:firstLineChars="200"/>
        <w:rPr>
          <w:rFonts w:cs="宋体"/>
        </w:rPr>
      </w:pPr>
      <w:r>
        <w:rPr>
          <w:rFonts w:hint="eastAsia" w:cs="宋体"/>
          <w:b/>
        </w:rPr>
        <w:t>(七)</w:t>
      </w:r>
      <w:r>
        <w:rPr>
          <w:rFonts w:hint="eastAsia" w:cs="宋体"/>
        </w:rPr>
        <w:t>相关单位和个人在开展“政采贷”工作过程中，发现新问题、新情况或者有意见建议的，请及时向四川省财政厅反馈。</w:t>
      </w:r>
    </w:p>
    <w:p>
      <w:pPr>
        <w:pStyle w:val="23"/>
        <w:widowControl/>
        <w:adjustRightInd/>
        <w:snapToGrid/>
        <w:spacing w:beforeAutospacing="0" w:afterAutospacing="0"/>
        <w:ind w:firstLine="480" w:firstLineChars="200"/>
        <w:rPr>
          <w:rFonts w:cs="宋体"/>
        </w:rPr>
      </w:pPr>
      <w:r>
        <w:rPr>
          <w:rFonts w:hint="eastAsia" w:cs="宋体"/>
        </w:rPr>
        <w:t>八、违规处理</w:t>
      </w:r>
    </w:p>
    <w:p>
      <w:pPr>
        <w:pStyle w:val="23"/>
        <w:widowControl/>
        <w:adjustRightInd/>
        <w:snapToGrid/>
        <w:spacing w:beforeAutospacing="0" w:afterAutospacing="0"/>
        <w:ind w:firstLine="482" w:firstLineChars="200"/>
        <w:rPr>
          <w:rFonts w:cs="宋体"/>
        </w:rPr>
      </w:pPr>
      <w:r>
        <w:rPr>
          <w:rFonts w:hint="eastAsia" w:cs="宋体"/>
          <w:b/>
        </w:rPr>
        <w:t>(一)银行违规处理</w:t>
      </w:r>
    </w:p>
    <w:p>
      <w:pPr>
        <w:pStyle w:val="23"/>
        <w:widowControl/>
        <w:adjustRightInd/>
        <w:snapToGrid/>
        <w:spacing w:beforeAutospacing="0" w:afterAutospacing="0"/>
        <w:ind w:firstLine="480" w:firstLineChars="200"/>
        <w:rPr>
          <w:rFonts w:cs="宋体"/>
        </w:rPr>
      </w:pPr>
      <w:r>
        <w:rPr>
          <w:rFonts w:hint="eastAsia" w:cs="宋体"/>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3"/>
        <w:widowControl/>
        <w:adjustRightInd/>
        <w:snapToGrid/>
        <w:spacing w:beforeAutospacing="0" w:afterAutospacing="0"/>
        <w:ind w:firstLine="482" w:firstLineChars="200"/>
        <w:rPr>
          <w:rFonts w:cs="宋体"/>
        </w:rPr>
      </w:pPr>
      <w:r>
        <w:rPr>
          <w:rFonts w:hint="eastAsia" w:cs="宋体"/>
          <w:b/>
        </w:rPr>
        <w:t>(二)供应商违规处理</w:t>
      </w:r>
    </w:p>
    <w:p>
      <w:pPr>
        <w:pStyle w:val="23"/>
        <w:widowControl/>
        <w:adjustRightInd/>
        <w:snapToGrid/>
        <w:spacing w:beforeAutospacing="0" w:afterAutospacing="0"/>
        <w:ind w:firstLine="480" w:firstLineChars="200"/>
        <w:rPr>
          <w:rFonts w:cs="宋体"/>
        </w:rPr>
      </w:pPr>
      <w:r>
        <w:rPr>
          <w:rFonts w:hint="eastAsia" w:cs="宋体"/>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3"/>
        <w:widowControl/>
        <w:adjustRightInd/>
        <w:snapToGrid/>
        <w:spacing w:beforeAutospacing="0" w:afterAutospacing="0"/>
        <w:ind w:firstLine="482" w:firstLineChars="200"/>
        <w:rPr>
          <w:rFonts w:cs="宋体"/>
        </w:rPr>
      </w:pPr>
      <w:r>
        <w:rPr>
          <w:rFonts w:hint="eastAsia" w:cs="宋体"/>
          <w:b/>
        </w:rPr>
        <w:t>(三)其他违规处理</w:t>
      </w:r>
    </w:p>
    <w:p>
      <w:pPr>
        <w:pStyle w:val="23"/>
        <w:widowControl/>
        <w:adjustRightInd/>
        <w:snapToGrid/>
        <w:spacing w:beforeAutospacing="0" w:afterAutospacing="0"/>
        <w:ind w:firstLine="480" w:firstLineChars="200"/>
        <w:rPr>
          <w:rFonts w:cs="宋体"/>
        </w:rPr>
      </w:pPr>
      <w:r>
        <w:rPr>
          <w:rFonts w:hint="eastAsia" w:cs="宋体"/>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3"/>
        <w:widowControl/>
        <w:adjustRightInd/>
        <w:snapToGrid/>
        <w:spacing w:beforeAutospacing="0" w:afterAutospacing="0"/>
        <w:ind w:firstLine="480" w:firstLineChars="200"/>
        <w:rPr>
          <w:rFonts w:cs="宋体"/>
        </w:rPr>
      </w:pPr>
      <w:r>
        <w:rPr>
          <w:rFonts w:hint="eastAsia" w:cs="宋体"/>
        </w:rPr>
        <w:t> </w:t>
      </w:r>
    </w:p>
    <w:p>
      <w:pPr>
        <w:rPr>
          <w:rFonts w:cs="宋体"/>
        </w:rPr>
      </w:pPr>
      <w:r>
        <w:rPr>
          <w:rFonts w:hint="eastAsia" w:cs="宋体"/>
          <w:kern w:val="0"/>
        </w:rPr>
        <w:drawing>
          <wp:anchor distT="0" distB="0" distL="114300" distR="114300" simplePos="0" relativeHeight="251664384"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cs="宋体"/>
        </w:rPr>
        <w:br w:type="page"/>
      </w:r>
    </w:p>
    <w:p>
      <w:pPr>
        <w:pStyle w:val="36"/>
        <w:numPr>
          <w:ilvl w:val="1"/>
          <w:numId w:val="0"/>
        </w:numPr>
        <w:ind w:firstLine="482" w:firstLineChars="200"/>
      </w:pPr>
      <w:bookmarkStart w:id="495" w:name="_Toc31255"/>
      <w:bookmarkStart w:id="496" w:name="_Toc18025"/>
      <w:bookmarkStart w:id="497" w:name="_Toc16851"/>
      <w:r>
        <w:rPr>
          <w:rFonts w:hint="eastAsia" w:asciiTheme="minorEastAsia" w:hAnsiTheme="minorEastAsia" w:eastAsiaTheme="minorEastAsia" w:cstheme="minorEastAsia"/>
          <w:color w:val="000000"/>
        </w:rPr>
        <w:t>附件六：成都市财政局  中国人民银行成都分行营业管理部关于印发《成都市中小企业政府采购信用融资暂行办法》和《成都市级支持中小企业政府采购信用融资实施方案》的通</w:t>
      </w:r>
      <w:r>
        <w:rPr>
          <w:rFonts w:hint="eastAsia"/>
        </w:rPr>
        <w:t>知(成财采〔2019〕17号)</w:t>
      </w:r>
      <w:bookmarkEnd w:id="495"/>
      <w:bookmarkEnd w:id="496"/>
      <w:bookmarkEnd w:id="497"/>
    </w:p>
    <w:p>
      <w:pPr>
        <w:widowControl/>
        <w:wordWrap w:val="0"/>
        <w:adjustRightInd/>
        <w:snapToGrid/>
        <w:rPr>
          <w:rFonts w:cs="宋体"/>
          <w:b/>
          <w:bCs/>
        </w:rPr>
      </w:pPr>
      <w:r>
        <w:rPr>
          <w:rFonts w:hint="eastAsia" w:cs="宋体"/>
          <w:b/>
          <w:bCs/>
        </w:rPr>
        <w:t>查询链接：</w:t>
      </w:r>
      <w:r>
        <w:fldChar w:fldCharType="begin"/>
      </w:r>
      <w:r>
        <w:instrText xml:space="preserve"> HYPERLINK "http://cdcz.chengdu.gov.cn/cdsczj/c116726/2019-03/13/content_7d81ae9c2a1e48968c7839a9c5b88ccd.shtml" </w:instrText>
      </w:r>
      <w:r>
        <w:fldChar w:fldCharType="separate"/>
      </w:r>
      <w:r>
        <w:rPr>
          <w:rStyle w:val="28"/>
          <w:rFonts w:hint="eastAsia" w:cs="宋体"/>
          <w:b/>
          <w:bCs/>
        </w:rPr>
        <w:t>http：//cdcz.chengdu.gov.cn/cdsczj/c116726/2019-03/13/content_7d81ae9c2a1e48968c7839a9c5b88ccd.shtml</w:t>
      </w:r>
      <w:r>
        <w:rPr>
          <w:rStyle w:val="28"/>
          <w:rFonts w:hint="eastAsia" w:cs="宋体"/>
          <w:b/>
          <w:bCs/>
        </w:rPr>
        <w:fldChar w:fldCharType="end"/>
      </w:r>
    </w:p>
    <w:p>
      <w:pPr>
        <w:widowControl/>
        <w:wordWrap w:val="0"/>
        <w:adjustRightInd/>
        <w:snapToGrid/>
        <w:rPr>
          <w:rFonts w:cs="宋体"/>
          <w:b/>
          <w:bCs/>
        </w:rPr>
      </w:pPr>
    </w:p>
    <w:tbl>
      <w:tblPr>
        <w:tblStyle w:val="25"/>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FF0000"/>
                <w:sz w:val="66"/>
                <w:szCs w:val="66"/>
              </w:rPr>
            </w:pPr>
            <w:r>
              <w:rPr>
                <w:rFonts w:hint="eastAsia" w:eastAsia="方正小标宋简体"/>
                <w:color w:val="FF0000"/>
                <w:sz w:val="66"/>
                <w:szCs w:val="66"/>
              </w:rPr>
              <w:t>成都市财政局</w:t>
            </w:r>
          </w:p>
        </w:tc>
        <w:tc>
          <w:tcPr>
            <w:tcW w:w="1580" w:type="dxa"/>
            <w:vMerge w:val="restart"/>
            <w:vAlign w:val="center"/>
          </w:tcPr>
          <w:p>
            <w:pPr>
              <w:spacing w:line="240" w:lineRule="auto"/>
              <w:jc w:val="center"/>
              <w:rPr>
                <w:rFonts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vAlign w:val="center"/>
          </w:tcPr>
          <w:p>
            <w:pPr>
              <w:spacing w:line="240" w:lineRule="auto"/>
              <w:jc w:val="center"/>
              <w:rPr>
                <w:rFonts w:eastAsia="方正小标宋简体"/>
                <w:color w:val="FF0000"/>
                <w:sz w:val="66"/>
                <w:szCs w:val="66"/>
              </w:rPr>
            </w:pPr>
          </w:p>
        </w:tc>
      </w:tr>
    </w:tbl>
    <w:p>
      <w:pPr>
        <w:jc w:val="center"/>
        <w:rPr>
          <w:rFonts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540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ascii="方正小标宋_GBK" w:hAnsi="方正小标宋_GBK" w:eastAsia="方正小标宋_GBK"/>
        </w:rPr>
      </w:pPr>
    </w:p>
    <w:p>
      <w:pPr>
        <w:topLinePunct/>
        <w:jc w:val="center"/>
        <w:rPr>
          <w:rFonts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eastAsia="方正仿宋_GBK"/>
        </w:rPr>
      </w:pPr>
    </w:p>
    <w:p>
      <w:pPr>
        <w:widowControl/>
        <w:adjustRightInd/>
        <w:snapToGrid/>
        <w:rPr>
          <w:rFonts w:cs="宋体"/>
        </w:rPr>
      </w:pPr>
      <w:r>
        <w:rPr>
          <w:rFonts w:hint="eastAsia" w:cs="宋体"/>
        </w:rPr>
        <w:t>成都天府新区、高新区财政金融局，各区(市)县财政局，市级各部门、单位，各银行业金融机构：</w:t>
      </w:r>
    </w:p>
    <w:p>
      <w:pPr>
        <w:widowControl/>
        <w:adjustRightInd/>
        <w:snapToGrid/>
        <w:ind w:firstLine="480" w:firstLineChars="200"/>
        <w:rPr>
          <w:rFonts w:cs="宋体"/>
        </w:rPr>
      </w:pPr>
      <w:r>
        <w:rPr>
          <w:rFonts w:hint="eastAsia" w:cs="宋体"/>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rPr>
      </w:pPr>
      <w:r>
        <w:rPr>
          <w:rFonts w:hint="eastAsia" w:cs="宋体"/>
        </w:rPr>
        <w:t>一、高度重视、迅速行动</w:t>
      </w:r>
    </w:p>
    <w:p>
      <w:pPr>
        <w:widowControl/>
        <w:adjustRightInd/>
        <w:snapToGrid/>
        <w:ind w:firstLine="480" w:firstLineChars="200"/>
        <w:rPr>
          <w:rFonts w:cs="宋体"/>
        </w:rPr>
      </w:pPr>
      <w:r>
        <w:rPr>
          <w:rFonts w:hint="eastAsia" w:cs="宋体"/>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rPr>
      </w:pPr>
      <w:r>
        <w:rPr>
          <w:rFonts w:hint="eastAsia" w:cs="宋体"/>
        </w:rPr>
        <w:t>二、明确责任、压茬推进</w:t>
      </w:r>
    </w:p>
    <w:p>
      <w:pPr>
        <w:widowControl/>
        <w:adjustRightInd/>
        <w:snapToGrid/>
        <w:ind w:firstLine="480" w:firstLineChars="200"/>
        <w:rPr>
          <w:rFonts w:cs="宋体"/>
        </w:rPr>
      </w:pPr>
      <w:r>
        <w:rPr>
          <w:rFonts w:hint="eastAsia" w:cs="宋体"/>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rPr>
      </w:pPr>
      <w:r>
        <w:rPr>
          <w:rFonts w:hint="eastAsia" w:cs="宋体"/>
        </w:rPr>
        <w:t>三、优化服务、营造氛围</w:t>
      </w:r>
    </w:p>
    <w:p>
      <w:pPr>
        <w:widowControl/>
        <w:adjustRightInd/>
        <w:snapToGrid/>
        <w:ind w:firstLine="480" w:firstLineChars="200"/>
        <w:rPr>
          <w:rFonts w:cs="宋体"/>
        </w:rPr>
      </w:pPr>
      <w:r>
        <w:rPr>
          <w:rFonts w:hint="eastAsia" w:cs="宋体"/>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rPr>
      </w:pPr>
    </w:p>
    <w:p>
      <w:pPr>
        <w:widowControl/>
        <w:adjustRightInd/>
        <w:snapToGrid/>
        <w:ind w:firstLine="480" w:firstLineChars="200"/>
        <w:rPr>
          <w:rFonts w:cs="宋体"/>
        </w:rPr>
      </w:pPr>
      <w:r>
        <w:rPr>
          <w:rFonts w:hint="eastAsia" w:cs="宋体"/>
        </w:rPr>
        <w:t xml:space="preserve">附件：1．成都市中小企业政府采购信用融资暂行办法 </w:t>
      </w:r>
    </w:p>
    <w:p>
      <w:pPr>
        <w:widowControl/>
        <w:adjustRightInd/>
        <w:snapToGrid/>
        <w:ind w:firstLine="480" w:firstLineChars="200"/>
        <w:rPr>
          <w:rFonts w:cs="宋体"/>
        </w:rPr>
      </w:pPr>
      <w:r>
        <w:rPr>
          <w:rFonts w:hint="eastAsia" w:cs="宋体"/>
        </w:rPr>
        <w:t>2．成都市级支持中小企业政府采购信用融资实施方案</w:t>
      </w:r>
    </w:p>
    <w:p>
      <w:pPr>
        <w:pStyle w:val="12"/>
        <w:widowControl/>
        <w:topLinePunct/>
        <w:adjustRightInd/>
        <w:snapToGrid/>
        <w:ind w:firstLine="480" w:firstLineChars="200"/>
        <w:rPr>
          <w:rFonts w:ascii="宋体" w:eastAsia="宋体" w:cs="宋体"/>
          <w:sz w:val="24"/>
        </w:rPr>
      </w:pPr>
    </w:p>
    <w:p>
      <w:pPr>
        <w:pStyle w:val="12"/>
        <w:widowControl/>
        <w:topLinePunct/>
        <w:adjustRightInd/>
        <w:snapToGrid/>
        <w:ind w:firstLine="480" w:firstLineChars="200"/>
        <w:rPr>
          <w:rFonts w:ascii="宋体" w:eastAsia="宋体" w:cs="宋体"/>
          <w:sz w:val="24"/>
        </w:rPr>
      </w:pPr>
    </w:p>
    <w:p>
      <w:pPr>
        <w:pStyle w:val="12"/>
        <w:widowControl/>
        <w:topLinePunct/>
        <w:adjustRightInd/>
        <w:snapToGrid/>
        <w:ind w:firstLine="480" w:firstLineChars="200"/>
        <w:rPr>
          <w:rFonts w:ascii="宋体" w:eastAsia="宋体" w:cs="宋体"/>
          <w:sz w:val="24"/>
        </w:rPr>
      </w:pPr>
    </w:p>
    <w:p>
      <w:pPr>
        <w:widowControl/>
        <w:tabs>
          <w:tab w:val="left" w:pos="7584"/>
          <w:tab w:val="clear" w:pos="0"/>
        </w:tabs>
        <w:topLinePunct/>
        <w:adjustRightInd/>
        <w:snapToGrid/>
        <w:ind w:firstLine="480" w:firstLineChars="200"/>
        <w:jc w:val="right"/>
        <w:rPr>
          <w:rFonts w:cs="宋体"/>
        </w:rPr>
      </w:pPr>
      <w:r>
        <w:rPr>
          <w:rFonts w:hint="eastAsia" w:cs="宋体"/>
        </w:rPr>
        <w:t>成都市财政局         中国人民银行成都分行营业管理部</w:t>
      </w:r>
    </w:p>
    <w:p>
      <w:pPr>
        <w:widowControl/>
        <w:tabs>
          <w:tab w:val="left" w:pos="7584"/>
          <w:tab w:val="clear" w:pos="0"/>
        </w:tabs>
        <w:topLinePunct/>
        <w:adjustRightInd/>
        <w:snapToGrid/>
        <w:ind w:firstLine="480" w:firstLineChars="200"/>
        <w:jc w:val="right"/>
        <w:rPr>
          <w:rFonts w:cs="宋体"/>
        </w:rPr>
      </w:pPr>
      <w:r>
        <w:rPr>
          <w:rFonts w:hint="eastAsia" w:cs="宋体"/>
        </w:rPr>
        <w:t>2019年2月26日</w:t>
      </w:r>
    </w:p>
    <w:p>
      <w:pPr>
        <w:rPr>
          <w:rFonts w:cs="宋体"/>
        </w:rPr>
      </w:pPr>
      <w:r>
        <w:rPr>
          <w:rFonts w:hint="eastAsia" w:cs="宋体"/>
        </w:rPr>
        <w:br w:type="page"/>
      </w:r>
    </w:p>
    <w:p>
      <w:pPr>
        <w:topLinePunct/>
        <w:adjustRightInd/>
        <w:rPr>
          <w:rFonts w:cs="宋体"/>
        </w:rPr>
      </w:pPr>
      <w:r>
        <w:rPr>
          <w:rFonts w:hint="eastAsia" w:cs="宋体"/>
        </w:rPr>
        <w:t>附件1</w:t>
      </w:r>
    </w:p>
    <w:p>
      <w:pPr>
        <w:topLinePunct/>
        <w:adjustRightInd/>
        <w:rPr>
          <w:rFonts w:cs="宋体"/>
        </w:rPr>
      </w:pPr>
    </w:p>
    <w:p>
      <w:pPr>
        <w:topLinePunct/>
        <w:adjustRightInd/>
        <w:jc w:val="center"/>
        <w:rPr>
          <w:rFonts w:cs="宋体"/>
        </w:rPr>
      </w:pPr>
      <w:r>
        <w:rPr>
          <w:rFonts w:hint="eastAsia" w:cs="宋体"/>
        </w:rPr>
        <w:t>成都市中小企业</w:t>
      </w:r>
      <w:r>
        <w:rPr>
          <w:rFonts w:hint="eastAsia" w:cs="宋体"/>
          <w:color w:val="000000"/>
        </w:rPr>
        <w:t>政府采购信用融资暂行</w:t>
      </w:r>
      <w:r>
        <w:rPr>
          <w:rFonts w:hint="eastAsia" w:cs="宋体"/>
        </w:rPr>
        <w:t>办法</w:t>
      </w:r>
    </w:p>
    <w:p>
      <w:pPr>
        <w:topLinePunct/>
        <w:adjustRightInd/>
        <w:jc w:val="center"/>
        <w:rPr>
          <w:rFonts w:cs="宋体"/>
        </w:rPr>
      </w:pPr>
      <w:r>
        <w:rPr>
          <w:rFonts w:hint="eastAsia" w:cs="宋体"/>
        </w:rPr>
        <w:t>第一章  总  则</w:t>
      </w:r>
    </w:p>
    <w:p>
      <w:pPr>
        <w:topLinePunct/>
        <w:adjustRightInd/>
        <w:ind w:firstLine="480" w:firstLineChars="200"/>
        <w:rPr>
          <w:rFonts w:cs="宋体"/>
        </w:rPr>
      </w:pPr>
      <w:r>
        <w:rPr>
          <w:rFonts w:hint="eastAsia" w:cs="宋体"/>
        </w:rPr>
        <w:t>第一条(政策依据)</w:t>
      </w:r>
    </w:p>
    <w:p>
      <w:pPr>
        <w:topLinePunct/>
        <w:adjustRightInd/>
        <w:ind w:firstLine="480" w:firstLineChars="200"/>
        <w:rPr>
          <w:rFonts w:cs="宋体"/>
        </w:rPr>
      </w:pPr>
      <w:r>
        <w:rPr>
          <w:rFonts w:hint="eastAsia" w:cs="宋体"/>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rPr>
      </w:pPr>
      <w:r>
        <w:rPr>
          <w:rFonts w:hint="eastAsia" w:cs="宋体"/>
        </w:rPr>
        <w:t>第二条(适用范围)</w:t>
      </w:r>
    </w:p>
    <w:p>
      <w:pPr>
        <w:topLinePunct/>
        <w:adjustRightInd/>
        <w:ind w:firstLine="480" w:firstLineChars="200"/>
        <w:rPr>
          <w:rFonts w:cs="宋体"/>
        </w:rPr>
      </w:pPr>
      <w:r>
        <w:rPr>
          <w:rFonts w:hint="eastAsia" w:cs="宋体"/>
        </w:rPr>
        <w:t>成都市行政区域内政府采购信用融资适用本办法。</w:t>
      </w:r>
    </w:p>
    <w:p>
      <w:pPr>
        <w:topLinePunct/>
        <w:adjustRightInd/>
        <w:ind w:firstLine="480" w:firstLineChars="200"/>
        <w:rPr>
          <w:rFonts w:cs="宋体"/>
        </w:rPr>
      </w:pPr>
      <w:r>
        <w:rPr>
          <w:rFonts w:hint="eastAsia" w:cs="宋体"/>
        </w:rPr>
        <w:t>第三条(术语定义)</w:t>
      </w:r>
    </w:p>
    <w:p>
      <w:pPr>
        <w:topLinePunct/>
        <w:adjustRightInd/>
        <w:ind w:firstLine="480" w:firstLineChars="200"/>
        <w:rPr>
          <w:rFonts w:cs="宋体"/>
        </w:rPr>
      </w:pPr>
      <w:r>
        <w:rPr>
          <w:rFonts w:hint="eastAsia" w:cs="宋体"/>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rPr>
      </w:pPr>
      <w:r>
        <w:rPr>
          <w:rFonts w:hint="eastAsia" w:cs="宋体"/>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rPr>
      </w:pPr>
      <w:r>
        <w:rPr>
          <w:rFonts w:hint="eastAsia" w:cs="宋体"/>
        </w:rPr>
        <w:t>本办法所称中小企业，包括中型、小型及微型企业，其划型标准按照国家相关规定执行。</w:t>
      </w:r>
    </w:p>
    <w:p>
      <w:pPr>
        <w:topLinePunct/>
        <w:adjustRightInd/>
        <w:ind w:firstLine="480" w:firstLineChars="200"/>
        <w:rPr>
          <w:rFonts w:cs="宋体"/>
        </w:rPr>
      </w:pPr>
      <w:r>
        <w:rPr>
          <w:rFonts w:hint="eastAsia" w:cs="宋体"/>
        </w:rPr>
        <w:t>第四条(基本原则)</w:t>
      </w:r>
    </w:p>
    <w:p>
      <w:pPr>
        <w:topLinePunct/>
        <w:adjustRightInd/>
        <w:ind w:firstLine="480" w:firstLineChars="200"/>
        <w:rPr>
          <w:rFonts w:cs="宋体"/>
        </w:rPr>
      </w:pPr>
      <w:r>
        <w:rPr>
          <w:rFonts w:hint="eastAsia" w:cs="宋体"/>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rPr>
      </w:pPr>
      <w:r>
        <w:rPr>
          <w:rFonts w:hint="eastAsia" w:cs="宋体"/>
        </w:rPr>
        <w:t>第二章  融资优惠</w:t>
      </w:r>
    </w:p>
    <w:p>
      <w:pPr>
        <w:topLinePunct/>
        <w:adjustRightInd/>
        <w:ind w:firstLine="480" w:firstLineChars="200"/>
        <w:rPr>
          <w:rFonts w:cs="宋体"/>
        </w:rPr>
      </w:pPr>
      <w:r>
        <w:rPr>
          <w:rFonts w:hint="eastAsia" w:cs="宋体"/>
        </w:rPr>
        <w:t>第五条(融资方式)</w:t>
      </w:r>
    </w:p>
    <w:p>
      <w:pPr>
        <w:topLinePunct/>
        <w:adjustRightInd/>
        <w:ind w:firstLine="480" w:firstLineChars="200"/>
        <w:rPr>
          <w:rFonts w:cs="宋体"/>
        </w:rPr>
      </w:pPr>
      <w:r>
        <w:rPr>
          <w:rFonts w:hint="eastAsia" w:cs="宋体"/>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rPr>
      </w:pPr>
      <w:r>
        <w:rPr>
          <w:rFonts w:hint="eastAsia" w:cs="宋体"/>
        </w:rPr>
        <w:t>第六条(融资额度)</w:t>
      </w:r>
    </w:p>
    <w:p>
      <w:pPr>
        <w:topLinePunct/>
        <w:adjustRightInd/>
        <w:ind w:firstLine="480" w:firstLineChars="200"/>
        <w:rPr>
          <w:rFonts w:cs="宋体"/>
        </w:rPr>
      </w:pPr>
      <w:r>
        <w:rPr>
          <w:rFonts w:hint="eastAsia" w:cs="宋体"/>
        </w:rPr>
        <w:t>融资额度原则上不超过政府采购合同金额。</w:t>
      </w:r>
    </w:p>
    <w:p>
      <w:pPr>
        <w:topLinePunct/>
        <w:adjustRightInd/>
        <w:ind w:firstLine="480" w:firstLineChars="200"/>
        <w:rPr>
          <w:rFonts w:cs="宋体"/>
        </w:rPr>
      </w:pPr>
      <w:r>
        <w:rPr>
          <w:rFonts w:hint="eastAsia" w:cs="宋体"/>
        </w:rPr>
        <w:t>第七条(融资利率)</w:t>
      </w:r>
    </w:p>
    <w:p>
      <w:pPr>
        <w:topLinePunct/>
        <w:adjustRightInd/>
        <w:ind w:firstLine="480" w:firstLineChars="200"/>
        <w:rPr>
          <w:rFonts w:cs="宋体"/>
        </w:rPr>
      </w:pPr>
      <w:r>
        <w:rPr>
          <w:rFonts w:hint="eastAsia" w:cs="宋体"/>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rPr>
      </w:pPr>
      <w:r>
        <w:rPr>
          <w:rFonts w:hint="eastAsia" w:cs="宋体"/>
        </w:rPr>
        <w:t>第八条(融资期限)</w:t>
      </w:r>
    </w:p>
    <w:p>
      <w:pPr>
        <w:topLinePunct/>
        <w:adjustRightInd/>
        <w:ind w:firstLine="480" w:firstLineChars="200"/>
        <w:rPr>
          <w:rFonts w:cs="宋体"/>
        </w:rPr>
      </w:pPr>
      <w:r>
        <w:rPr>
          <w:rFonts w:hint="eastAsia" w:cs="宋体"/>
        </w:rPr>
        <w:t>融资期限原则上与政府采购合同履行期限一致。</w:t>
      </w:r>
    </w:p>
    <w:p>
      <w:pPr>
        <w:topLinePunct/>
        <w:adjustRightInd/>
        <w:ind w:firstLine="480" w:firstLineChars="200"/>
        <w:rPr>
          <w:rFonts w:cs="宋体"/>
        </w:rPr>
      </w:pPr>
      <w:r>
        <w:rPr>
          <w:rFonts w:hint="eastAsia" w:cs="宋体"/>
        </w:rPr>
        <w:t>第九条(融资效率)</w:t>
      </w:r>
    </w:p>
    <w:p>
      <w:pPr>
        <w:topLinePunct/>
        <w:adjustRightInd/>
        <w:ind w:firstLine="480" w:firstLineChars="200"/>
        <w:rPr>
          <w:rFonts w:cs="宋体"/>
        </w:rPr>
      </w:pPr>
      <w:r>
        <w:rPr>
          <w:rFonts w:hint="eastAsia" w:cs="宋体"/>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rPr>
      </w:pPr>
      <w:r>
        <w:rPr>
          <w:rFonts w:hint="eastAsia" w:cs="宋体"/>
        </w:rPr>
        <w:t>第十条(融资业务升级)</w:t>
      </w:r>
    </w:p>
    <w:p>
      <w:pPr>
        <w:topLinePunct/>
        <w:adjustRightInd/>
        <w:ind w:firstLine="480" w:firstLineChars="200"/>
        <w:rPr>
          <w:rFonts w:cs="宋体"/>
        </w:rPr>
      </w:pPr>
      <w:r>
        <w:rPr>
          <w:rFonts w:hint="eastAsia" w:cs="宋体"/>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rPr>
      </w:pPr>
      <w:r>
        <w:rPr>
          <w:rFonts w:hint="eastAsia" w:cs="宋体"/>
        </w:rPr>
        <w:t>第十一条(贷款风险补贴)</w:t>
      </w:r>
    </w:p>
    <w:p>
      <w:pPr>
        <w:topLinePunct/>
        <w:adjustRightInd/>
        <w:ind w:firstLine="480" w:firstLineChars="200"/>
        <w:rPr>
          <w:rFonts w:cs="宋体"/>
        </w:rPr>
      </w:pPr>
      <w:r>
        <w:rPr>
          <w:rFonts w:hint="eastAsia" w:cs="宋体"/>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rPr>
      </w:pPr>
      <w:r>
        <w:rPr>
          <w:rFonts w:hint="eastAsia" w:cs="宋体"/>
        </w:rPr>
        <w:t>第三章  融资流程</w:t>
      </w:r>
    </w:p>
    <w:p>
      <w:pPr>
        <w:topLinePunct/>
        <w:adjustRightInd/>
        <w:ind w:firstLine="480" w:firstLineChars="200"/>
        <w:rPr>
          <w:rFonts w:cs="宋体"/>
        </w:rPr>
      </w:pPr>
      <w:r>
        <w:rPr>
          <w:rFonts w:hint="eastAsia" w:cs="宋体"/>
        </w:rPr>
        <w:t>第十二条(融资流程)</w:t>
      </w:r>
    </w:p>
    <w:p>
      <w:pPr>
        <w:topLinePunct/>
        <w:adjustRightInd/>
        <w:ind w:firstLine="480" w:firstLineChars="200"/>
        <w:rPr>
          <w:rFonts w:cs="宋体"/>
        </w:rPr>
      </w:pPr>
      <w:r>
        <w:rPr>
          <w:rFonts w:hint="eastAsia" w:cs="宋体"/>
        </w:rPr>
        <w:t>(一)信息发布。采购人应当在发布的采购公告和采购文件中载明采购项目可提供信用融资的信息。</w:t>
      </w:r>
    </w:p>
    <w:p>
      <w:pPr>
        <w:topLinePunct/>
        <w:adjustRightInd/>
        <w:ind w:firstLine="480" w:firstLineChars="200"/>
        <w:rPr>
          <w:rFonts w:cs="宋体"/>
        </w:rPr>
      </w:pPr>
      <w:r>
        <w:rPr>
          <w:rFonts w:hint="eastAsia" w:cs="宋体"/>
        </w:rPr>
        <w:t>(二)融资申请。有融资需求的供应商自主选择提供政府采购信用融资服务的融资机构及产品，并按要求提供申请资料。</w:t>
      </w:r>
    </w:p>
    <w:p>
      <w:pPr>
        <w:topLinePunct/>
        <w:adjustRightInd/>
        <w:ind w:firstLine="480" w:firstLineChars="200"/>
        <w:rPr>
          <w:rFonts w:cs="宋体"/>
        </w:rPr>
      </w:pPr>
      <w:r>
        <w:rPr>
          <w:rFonts w:hint="eastAsia" w:cs="宋体"/>
        </w:rPr>
        <w:t>(三)融资审查。融资机构对供应商的融资申请进行审查，并向供应商反馈审查及融资额度等情况。</w:t>
      </w:r>
    </w:p>
    <w:p>
      <w:pPr>
        <w:topLinePunct/>
        <w:adjustRightInd/>
        <w:ind w:firstLine="480" w:firstLineChars="200"/>
        <w:rPr>
          <w:rFonts w:cs="宋体"/>
        </w:rPr>
      </w:pPr>
      <w:r>
        <w:rPr>
          <w:rFonts w:hint="eastAsia" w:cs="宋体"/>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rPr>
      </w:pPr>
      <w:r>
        <w:rPr>
          <w:rFonts w:hint="eastAsia" w:cs="宋体"/>
        </w:rPr>
        <w:t>(五)放款。融资机构对政府采购合同及融资相关信息进行确认，并向供应商提供相应的融资产品。</w:t>
      </w:r>
    </w:p>
    <w:p>
      <w:pPr>
        <w:topLinePunct/>
        <w:adjustRightInd/>
        <w:ind w:firstLine="480" w:firstLineChars="200"/>
        <w:rPr>
          <w:rFonts w:cs="宋体"/>
        </w:rPr>
      </w:pPr>
      <w:r>
        <w:rPr>
          <w:rFonts w:hint="eastAsia" w:cs="宋体"/>
        </w:rPr>
        <w:t>(六)贷款归还。采购人按相关规定和合同约定将合同资金支付至约定的唯一收款账户。</w:t>
      </w:r>
    </w:p>
    <w:p>
      <w:pPr>
        <w:topLinePunct/>
        <w:adjustRightInd/>
        <w:ind w:firstLine="480" w:firstLineChars="200"/>
        <w:jc w:val="center"/>
        <w:rPr>
          <w:rFonts w:cs="宋体"/>
        </w:rPr>
      </w:pPr>
      <w:r>
        <w:rPr>
          <w:rFonts w:hint="eastAsia" w:cs="宋体"/>
        </w:rPr>
        <w:t>第四章  职责分工</w:t>
      </w:r>
    </w:p>
    <w:p>
      <w:pPr>
        <w:topLinePunct/>
        <w:adjustRightInd/>
        <w:ind w:firstLine="480" w:firstLineChars="200"/>
        <w:rPr>
          <w:rFonts w:cs="宋体"/>
        </w:rPr>
      </w:pPr>
      <w:r>
        <w:rPr>
          <w:rFonts w:hint="eastAsia" w:cs="宋体"/>
        </w:rPr>
        <w:t>第十三条(财政部门职责)</w:t>
      </w:r>
    </w:p>
    <w:p>
      <w:pPr>
        <w:topLinePunct/>
        <w:adjustRightInd/>
        <w:ind w:firstLine="480" w:firstLineChars="200"/>
        <w:rPr>
          <w:rFonts w:cs="宋体"/>
        </w:rPr>
      </w:pPr>
      <w:r>
        <w:rPr>
          <w:rFonts w:hint="eastAsia" w:cs="宋体"/>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rPr>
      </w:pPr>
      <w:r>
        <w:rPr>
          <w:rFonts w:hint="eastAsia" w:cs="宋体"/>
        </w:rPr>
        <w:t>第十四条(融资机构主管部门职责)</w:t>
      </w:r>
    </w:p>
    <w:p>
      <w:pPr>
        <w:topLinePunct/>
        <w:adjustRightInd/>
        <w:ind w:firstLine="480" w:firstLineChars="200"/>
        <w:rPr>
          <w:rFonts w:cs="宋体"/>
        </w:rPr>
      </w:pPr>
      <w:r>
        <w:rPr>
          <w:rFonts w:hint="eastAsia" w:cs="宋体"/>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rPr>
      </w:pPr>
      <w:r>
        <w:rPr>
          <w:rFonts w:hint="eastAsia" w:cs="宋体"/>
        </w:rPr>
        <w:t>第十五条(采购人职责)</w:t>
      </w:r>
    </w:p>
    <w:p>
      <w:pPr>
        <w:topLinePunct/>
        <w:adjustRightInd/>
        <w:ind w:firstLine="480" w:firstLineChars="200"/>
        <w:rPr>
          <w:rFonts w:cs="宋体"/>
        </w:rPr>
      </w:pPr>
      <w:r>
        <w:rPr>
          <w:rFonts w:hint="eastAsia" w:cs="宋体"/>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rPr>
      </w:pPr>
      <w:r>
        <w:rPr>
          <w:rFonts w:hint="eastAsia" w:cs="宋体"/>
        </w:rPr>
        <w:t>第十六条(融资机构职责)</w:t>
      </w:r>
    </w:p>
    <w:p>
      <w:pPr>
        <w:topLinePunct/>
        <w:adjustRightInd/>
        <w:ind w:firstLine="480" w:firstLineChars="200"/>
        <w:rPr>
          <w:rFonts w:cs="宋体"/>
        </w:rPr>
      </w:pPr>
      <w:r>
        <w:rPr>
          <w:rFonts w:hint="eastAsia" w:cs="宋体"/>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rPr>
      </w:pPr>
      <w:r>
        <w:rPr>
          <w:rFonts w:hint="eastAsia" w:cs="宋体"/>
        </w:rPr>
        <w:t>第十七条(供应商职责)</w:t>
      </w:r>
    </w:p>
    <w:p>
      <w:pPr>
        <w:topLinePunct/>
        <w:adjustRightInd/>
        <w:ind w:firstLine="480" w:firstLineChars="200"/>
        <w:rPr>
          <w:rFonts w:cs="宋体"/>
        </w:rPr>
      </w:pPr>
      <w:r>
        <w:rPr>
          <w:rFonts w:hint="eastAsia" w:cs="宋体"/>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rPr>
      </w:pPr>
      <w:r>
        <w:rPr>
          <w:rFonts w:hint="eastAsia" w:cs="宋体"/>
        </w:rPr>
        <w:t>第五章 监督管理</w:t>
      </w:r>
    </w:p>
    <w:p>
      <w:pPr>
        <w:topLinePunct/>
        <w:adjustRightInd/>
        <w:ind w:firstLine="480" w:firstLineChars="200"/>
        <w:rPr>
          <w:rFonts w:cs="宋体"/>
        </w:rPr>
      </w:pPr>
      <w:r>
        <w:rPr>
          <w:rFonts w:hint="eastAsia" w:cs="宋体"/>
        </w:rPr>
        <w:t>第十八条(采购人监管)</w:t>
      </w:r>
    </w:p>
    <w:p>
      <w:pPr>
        <w:topLinePunct/>
        <w:adjustRightInd/>
        <w:ind w:firstLine="480" w:firstLineChars="200"/>
        <w:rPr>
          <w:rFonts w:cs="宋体"/>
        </w:rPr>
      </w:pPr>
      <w:r>
        <w:rPr>
          <w:rFonts w:hint="eastAsia" w:cs="宋体"/>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rPr>
      </w:pPr>
      <w:r>
        <w:rPr>
          <w:rFonts w:hint="eastAsia" w:cs="宋体"/>
        </w:rPr>
        <w:t>第十九条(融资机构监管)</w:t>
      </w:r>
    </w:p>
    <w:p>
      <w:pPr>
        <w:topLinePunct/>
        <w:adjustRightInd/>
        <w:ind w:firstLine="480" w:firstLineChars="200"/>
        <w:rPr>
          <w:rFonts w:cs="宋体"/>
        </w:rPr>
      </w:pPr>
      <w:r>
        <w:rPr>
          <w:rFonts w:hint="eastAsia" w:cs="宋体"/>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rPr>
      </w:pPr>
      <w:r>
        <w:rPr>
          <w:rFonts w:hint="eastAsia" w:cs="宋体"/>
        </w:rPr>
        <w:t>第二十条(供应商监管)</w:t>
      </w:r>
    </w:p>
    <w:p>
      <w:pPr>
        <w:topLinePunct/>
        <w:adjustRightInd/>
        <w:ind w:firstLine="480" w:firstLineChars="200"/>
        <w:rPr>
          <w:rFonts w:cs="宋体"/>
        </w:rPr>
      </w:pPr>
      <w:r>
        <w:rPr>
          <w:rFonts w:hint="eastAsia" w:cs="宋体"/>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rPr>
      </w:pPr>
      <w:r>
        <w:rPr>
          <w:rFonts w:hint="eastAsia" w:cs="宋体"/>
        </w:rPr>
        <w:t>第二十一条</w:t>
      </w:r>
      <w:bookmarkStart w:id="498" w:name="BM24558847_25425864_3"/>
      <w:bookmarkEnd w:id="498"/>
      <w:r>
        <w:rPr>
          <w:rFonts w:hint="eastAsia" w:cs="宋体"/>
        </w:rPr>
        <w:t>(相关单位及工作人员监管)</w:t>
      </w:r>
    </w:p>
    <w:p>
      <w:pPr>
        <w:topLinePunct/>
        <w:adjustRightInd/>
        <w:ind w:firstLine="480" w:firstLineChars="200"/>
        <w:rPr>
          <w:rFonts w:cs="宋体"/>
        </w:rPr>
      </w:pPr>
      <w:r>
        <w:rPr>
          <w:rFonts w:hint="eastAsia" w:cs="宋体"/>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rPr>
      </w:pPr>
      <w:r>
        <w:rPr>
          <w:rFonts w:hint="eastAsia" w:cs="宋体"/>
        </w:rPr>
        <w:t>第六章  附  则</w:t>
      </w:r>
    </w:p>
    <w:p>
      <w:pPr>
        <w:topLinePunct/>
        <w:adjustRightInd/>
        <w:ind w:firstLine="480" w:firstLineChars="200"/>
        <w:rPr>
          <w:rFonts w:cs="宋体"/>
        </w:rPr>
      </w:pPr>
      <w:r>
        <w:rPr>
          <w:rFonts w:hint="eastAsia" w:cs="宋体"/>
        </w:rPr>
        <w:t>第二十二条(解释相关)</w:t>
      </w:r>
    </w:p>
    <w:p>
      <w:pPr>
        <w:topLinePunct/>
        <w:adjustRightInd/>
        <w:ind w:firstLine="480" w:firstLineChars="200"/>
        <w:rPr>
          <w:rFonts w:cs="宋体"/>
        </w:rPr>
      </w:pPr>
      <w:r>
        <w:rPr>
          <w:rFonts w:hint="eastAsia" w:cs="宋体"/>
        </w:rPr>
        <w:t>本办法由市财政局会同中国人民银行成都分行营业管理部负责解释。</w:t>
      </w:r>
    </w:p>
    <w:p>
      <w:pPr>
        <w:topLinePunct/>
        <w:adjustRightInd/>
        <w:ind w:firstLine="480" w:firstLineChars="200"/>
        <w:rPr>
          <w:rFonts w:cs="宋体"/>
        </w:rPr>
      </w:pPr>
      <w:r>
        <w:rPr>
          <w:rFonts w:hint="eastAsia" w:cs="宋体"/>
        </w:rPr>
        <w:t>第二十三条(施行相关)</w:t>
      </w:r>
    </w:p>
    <w:p>
      <w:pPr>
        <w:topLinePunct/>
        <w:adjustRightInd/>
        <w:ind w:firstLine="480" w:firstLineChars="200"/>
        <w:rPr>
          <w:rFonts w:cs="宋体"/>
        </w:rPr>
      </w:pPr>
      <w:r>
        <w:rPr>
          <w:rFonts w:hint="eastAsia" w:cs="宋体"/>
        </w:rPr>
        <w:t>本办法自印发之日起施行。市财政局、市金融办2013年12月9日印发的《关于开展中小企业政府采购信用担保及融资试点工作的通知》(成财采〔2013〕200号)同时废止。</w:t>
      </w:r>
    </w:p>
    <w:p>
      <w:pPr>
        <w:rPr>
          <w:rFonts w:cs="宋体"/>
        </w:rPr>
      </w:pPr>
      <w:r>
        <w:rPr>
          <w:rFonts w:hint="eastAsia" w:cs="宋体"/>
        </w:rPr>
        <w:br w:type="page"/>
      </w:r>
    </w:p>
    <w:p>
      <w:pPr>
        <w:topLinePunct/>
        <w:adjustRightInd/>
        <w:rPr>
          <w:rFonts w:cs="宋体"/>
        </w:rPr>
      </w:pPr>
      <w:r>
        <w:rPr>
          <w:rFonts w:hint="eastAsia" w:cs="宋体"/>
        </w:rPr>
        <w:t>附件2</w:t>
      </w:r>
    </w:p>
    <w:p>
      <w:pPr>
        <w:topLinePunct/>
        <w:adjustRightInd/>
        <w:ind w:firstLine="480" w:firstLineChars="200"/>
        <w:rPr>
          <w:rFonts w:cs="宋体"/>
        </w:rPr>
      </w:pPr>
    </w:p>
    <w:p>
      <w:pPr>
        <w:topLinePunct/>
        <w:adjustRightInd/>
        <w:jc w:val="center"/>
        <w:rPr>
          <w:rFonts w:cs="宋体"/>
        </w:rPr>
      </w:pPr>
      <w:r>
        <w:rPr>
          <w:rFonts w:hint="eastAsia" w:cs="宋体"/>
        </w:rPr>
        <w:t>成都市级支持中小企业政府采购</w:t>
      </w:r>
    </w:p>
    <w:p>
      <w:pPr>
        <w:topLinePunct/>
        <w:adjustRightInd/>
        <w:jc w:val="center"/>
        <w:rPr>
          <w:rFonts w:cs="宋体"/>
        </w:rPr>
      </w:pPr>
      <w:r>
        <w:rPr>
          <w:rFonts w:hint="eastAsia" w:cs="宋体"/>
        </w:rPr>
        <w:t>信用融资实施方案</w:t>
      </w:r>
    </w:p>
    <w:p>
      <w:pPr>
        <w:topLinePunct/>
        <w:adjustRightInd/>
        <w:ind w:firstLine="480" w:firstLineChars="200"/>
        <w:rPr>
          <w:rFonts w:cs="宋体"/>
        </w:rPr>
      </w:pPr>
    </w:p>
    <w:p>
      <w:pPr>
        <w:topLinePunct/>
        <w:adjustRightInd/>
        <w:ind w:firstLine="480" w:firstLineChars="200"/>
        <w:rPr>
          <w:rFonts w:cs="宋体"/>
        </w:rPr>
      </w:pPr>
      <w:r>
        <w:rPr>
          <w:rFonts w:hint="eastAsia" w:cs="宋体"/>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rPr>
      </w:pPr>
      <w:r>
        <w:rPr>
          <w:rFonts w:hint="eastAsia" w:cs="宋体"/>
        </w:rPr>
        <w:t>一、目标任务</w:t>
      </w:r>
    </w:p>
    <w:p>
      <w:pPr>
        <w:topLinePunct/>
        <w:adjustRightInd/>
        <w:ind w:firstLine="480" w:firstLineChars="200"/>
        <w:rPr>
          <w:rFonts w:cs="宋体"/>
        </w:rPr>
      </w:pPr>
      <w:r>
        <w:rPr>
          <w:rFonts w:hint="eastAsia" w:cs="宋体"/>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rPr>
      </w:pPr>
      <w:r>
        <w:rPr>
          <w:rFonts w:hint="eastAsia" w:cs="宋体"/>
        </w:rPr>
        <w:t>二、适用范围</w:t>
      </w:r>
    </w:p>
    <w:p>
      <w:pPr>
        <w:topLinePunct/>
        <w:adjustRightInd/>
        <w:ind w:firstLine="480" w:firstLineChars="200"/>
        <w:rPr>
          <w:rFonts w:cs="宋体"/>
        </w:rPr>
      </w:pPr>
      <w:r>
        <w:rPr>
          <w:rFonts w:hint="eastAsia" w:cs="宋体"/>
        </w:rPr>
        <w:t>本《实施方案》适用于成都市本级政府采购信用融资工作。</w:t>
      </w:r>
    </w:p>
    <w:p>
      <w:pPr>
        <w:topLinePunct/>
        <w:adjustRightInd/>
        <w:ind w:firstLine="480" w:firstLineChars="200"/>
        <w:rPr>
          <w:rFonts w:cs="宋体"/>
        </w:rPr>
      </w:pPr>
      <w:r>
        <w:rPr>
          <w:rFonts w:hint="eastAsia" w:cs="宋体"/>
        </w:rPr>
        <w:t xml:space="preserve">三、基本原则 </w:t>
      </w:r>
    </w:p>
    <w:p>
      <w:pPr>
        <w:topLinePunct/>
        <w:adjustRightInd/>
        <w:ind w:firstLine="480" w:firstLineChars="200"/>
        <w:rPr>
          <w:rFonts w:cs="宋体"/>
        </w:rPr>
      </w:pPr>
      <w:r>
        <w:rPr>
          <w:rFonts w:hint="eastAsia" w:cs="宋体"/>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rPr>
      </w:pPr>
      <w:r>
        <w:rPr>
          <w:rFonts w:hint="eastAsia" w:cs="宋体"/>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rPr>
      </w:pPr>
      <w:r>
        <w:rPr>
          <w:rFonts w:hint="eastAsia" w:cs="宋体"/>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rPr>
      </w:pPr>
      <w:r>
        <w:rPr>
          <w:rFonts w:hint="eastAsia" w:cs="宋体"/>
        </w:rPr>
        <w:t>四、组织实施</w:t>
      </w:r>
    </w:p>
    <w:p>
      <w:pPr>
        <w:topLinePunct/>
        <w:adjustRightInd/>
        <w:ind w:firstLine="480" w:firstLineChars="200"/>
        <w:rPr>
          <w:rFonts w:cs="宋体"/>
        </w:rPr>
      </w:pPr>
      <w:r>
        <w:rPr>
          <w:rFonts w:hint="eastAsia" w:cs="宋体"/>
        </w:rPr>
        <w:t>(一)宣传动员</w:t>
      </w:r>
    </w:p>
    <w:p>
      <w:pPr>
        <w:topLinePunct/>
        <w:adjustRightInd/>
        <w:ind w:firstLine="480" w:firstLineChars="200"/>
        <w:rPr>
          <w:rFonts w:cs="宋体"/>
          <w:color w:val="000000"/>
        </w:rPr>
      </w:pPr>
      <w:r>
        <w:rPr>
          <w:rFonts w:hint="eastAsia" w:cs="宋体"/>
        </w:rPr>
        <w:t>相关部门和单位采取多种方式积极宣传《暂行办法》和《实</w:t>
      </w:r>
      <w:r>
        <w:rPr>
          <w:rFonts w:hint="eastAsia" w:cs="宋体"/>
          <w:color w:val="000000"/>
        </w:rPr>
        <w:t>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rPr>
      </w:pPr>
      <w:r>
        <w:rPr>
          <w:rFonts w:hint="eastAsia" w:cs="宋体"/>
        </w:rPr>
        <w:t>(二)融资机构选择</w:t>
      </w:r>
    </w:p>
    <w:p>
      <w:pPr>
        <w:topLinePunct/>
        <w:adjustRightInd/>
        <w:ind w:firstLine="480" w:firstLineChars="200"/>
        <w:rPr>
          <w:rFonts w:cs="宋体"/>
          <w:color w:val="000000"/>
        </w:rPr>
      </w:pPr>
      <w:r>
        <w:rPr>
          <w:rFonts w:hint="eastAsia" w:cs="宋体"/>
          <w:color w:val="000000"/>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000000"/>
        </w:rPr>
      </w:pPr>
      <w:r>
        <w:rPr>
          <w:rFonts w:hint="eastAsia" w:cs="宋体"/>
          <w:color w:val="000000"/>
        </w:rPr>
        <w:t>(1)融资机构基本情况；</w:t>
      </w:r>
    </w:p>
    <w:p>
      <w:pPr>
        <w:topLinePunct/>
        <w:adjustRightInd/>
        <w:ind w:firstLine="480" w:firstLineChars="200"/>
        <w:rPr>
          <w:rFonts w:cs="宋体"/>
          <w:color w:val="000000"/>
        </w:rPr>
      </w:pPr>
      <w:r>
        <w:rPr>
          <w:rFonts w:hint="eastAsia" w:cs="宋体"/>
          <w:color w:val="000000"/>
        </w:rPr>
        <w:t>(2)政府采购信用融资实施方案(包括授信政策、融资产品、贷款利率及其它优惠措施、业务流程及各环节办结时间、联系方式等)；</w:t>
      </w:r>
    </w:p>
    <w:p>
      <w:pPr>
        <w:topLinePunct/>
        <w:adjustRightInd/>
        <w:ind w:firstLine="480" w:firstLineChars="200"/>
        <w:rPr>
          <w:rFonts w:cs="宋体"/>
          <w:color w:val="000000"/>
        </w:rPr>
      </w:pPr>
      <w:r>
        <w:rPr>
          <w:rFonts w:hint="eastAsia" w:cs="宋体"/>
          <w:color w:val="000000"/>
        </w:rPr>
        <w:t>(3)关于遵照《暂行办法》和《实施方案》开展政府采购信用融资业务的承诺；</w:t>
      </w:r>
    </w:p>
    <w:p>
      <w:pPr>
        <w:topLinePunct/>
        <w:adjustRightInd/>
        <w:ind w:firstLine="480" w:firstLineChars="200"/>
        <w:rPr>
          <w:rFonts w:cs="宋体"/>
          <w:color w:val="000000"/>
        </w:rPr>
      </w:pPr>
      <w:r>
        <w:rPr>
          <w:rFonts w:hint="eastAsia" w:cs="宋体"/>
          <w:color w:val="000000"/>
        </w:rPr>
        <w:t>(4)关于政府采购信用融资业务风险及系统对接研发费用自行承担的承诺。</w:t>
      </w:r>
    </w:p>
    <w:p>
      <w:pPr>
        <w:topLinePunct/>
        <w:adjustRightInd/>
        <w:ind w:firstLine="480" w:firstLineChars="200"/>
        <w:rPr>
          <w:rFonts w:cs="宋体"/>
          <w:color w:val="000000"/>
        </w:rPr>
      </w:pPr>
      <w:r>
        <w:rPr>
          <w:rFonts w:hint="eastAsia" w:cs="宋体"/>
          <w:color w:val="000000"/>
        </w:rPr>
        <w:t>2．系统对接。融资机构成功报名后，须按要求完成政府采购信用融资业务与成都市政府采购监督管理系统的技术对接。</w:t>
      </w:r>
    </w:p>
    <w:p>
      <w:pPr>
        <w:topLinePunct/>
        <w:adjustRightInd/>
        <w:ind w:firstLine="480" w:firstLineChars="200"/>
        <w:rPr>
          <w:rFonts w:cs="宋体"/>
          <w:color w:val="000000"/>
        </w:rPr>
      </w:pPr>
      <w:r>
        <w:rPr>
          <w:rFonts w:hint="eastAsia" w:cs="宋体"/>
          <w:color w:val="000000"/>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rPr>
      </w:pPr>
      <w:r>
        <w:rPr>
          <w:rFonts w:hint="eastAsia" w:cs="宋体"/>
        </w:rPr>
        <w:t>(三)其他事项</w:t>
      </w:r>
    </w:p>
    <w:p>
      <w:pPr>
        <w:topLinePunct/>
        <w:adjustRightInd/>
        <w:ind w:firstLine="480" w:firstLineChars="200"/>
        <w:rPr>
          <w:rFonts w:cs="宋体"/>
          <w:color w:val="000000"/>
        </w:rPr>
      </w:pPr>
      <w:r>
        <w:rPr>
          <w:rFonts w:hint="eastAsia" w:cs="宋体"/>
          <w:color w:val="000000"/>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rPr>
      </w:pPr>
      <w:r>
        <w:rPr>
          <w:rFonts w:hint="eastAsia" w:cs="宋体"/>
        </w:rPr>
        <w:t>五、相关要求</w:t>
      </w:r>
    </w:p>
    <w:p>
      <w:pPr>
        <w:topLinePunct/>
        <w:adjustRightInd/>
        <w:ind w:firstLine="480" w:firstLineChars="200"/>
        <w:rPr>
          <w:rFonts w:cs="宋体"/>
        </w:rPr>
      </w:pPr>
      <w:r>
        <w:rPr>
          <w:rFonts w:hint="eastAsia" w:cs="宋体"/>
        </w:rPr>
        <w:t>(一)加强组织领导。</w:t>
      </w:r>
      <w:r>
        <w:rPr>
          <w:rFonts w:hint="eastAsia" w:cs="宋体"/>
          <w:color w:val="000000"/>
          <w:kern w:val="0"/>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rPr>
        <w:t>全面、有序、科学推进政府采购信用融资工作。</w:t>
      </w:r>
    </w:p>
    <w:p>
      <w:pPr>
        <w:topLinePunct/>
        <w:adjustRightInd/>
        <w:ind w:firstLine="480" w:firstLineChars="200"/>
        <w:rPr>
          <w:rFonts w:cs="宋体"/>
        </w:rPr>
      </w:pPr>
      <w:r>
        <w:rPr>
          <w:rFonts w:hint="eastAsia" w:cs="宋体"/>
        </w:rPr>
        <w:t>(二)注重协调配合。</w:t>
      </w:r>
      <w:r>
        <w:rPr>
          <w:rFonts w:hint="eastAsia" w:cs="宋体"/>
          <w:color w:val="000000"/>
          <w:kern w:val="0"/>
        </w:rPr>
        <w:t>市财政局、中国人民银行成都分行营业管理部及采购人</w:t>
      </w:r>
      <w:r>
        <w:rPr>
          <w:rFonts w:hint="eastAsia" w:cs="宋体"/>
        </w:rPr>
        <w:t>等有关单位要根据职责任务，及时协调解决工作中遇到的困难和问题，积极</w:t>
      </w:r>
      <w:r>
        <w:rPr>
          <w:rFonts w:hint="eastAsia" w:cs="宋体"/>
          <w:color w:val="000000"/>
          <w:kern w:val="0"/>
        </w:rPr>
        <w:t>创造条件主动服务，帮助有融资需求、符合条件的供应商实现政府采购信用融资，促进中小企业又好又快发展</w:t>
      </w:r>
      <w:r>
        <w:rPr>
          <w:rFonts w:hint="eastAsia" w:cs="宋体"/>
        </w:rPr>
        <w:t>。</w:t>
      </w:r>
    </w:p>
    <w:p>
      <w:pPr>
        <w:topLinePunct/>
        <w:adjustRightInd/>
        <w:ind w:firstLine="480" w:firstLineChars="200"/>
        <w:rPr>
          <w:rFonts w:cs="宋体"/>
        </w:rPr>
      </w:pPr>
      <w:r>
        <w:rPr>
          <w:rFonts w:hint="eastAsia" w:cs="宋体"/>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8"/>
        <w:ind w:firstLine="482"/>
        <w:outlineLvl w:val="1"/>
        <w:rPr>
          <w:highlight w:val="red"/>
        </w:rPr>
      </w:pPr>
    </w:p>
    <w:p>
      <w:pPr>
        <w:pStyle w:val="48"/>
        <w:ind w:firstLine="482"/>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6"/>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7"/>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AC84"/>
    <w:multiLevelType w:val="singleLevel"/>
    <w:tmpl w:val="984AAC84"/>
    <w:lvl w:ilvl="0" w:tentative="0">
      <w:start w:val="1"/>
      <w:numFmt w:val="decimal"/>
      <w:lvlText w:val="(%1)"/>
      <w:lvlJc w:val="left"/>
      <w:pPr>
        <w:ind w:left="425" w:hanging="425"/>
      </w:pPr>
      <w:rPr>
        <w:rFonts w:hint="default"/>
      </w:rPr>
    </w:lvl>
  </w:abstractNum>
  <w:abstractNum w:abstractNumId="1">
    <w:nsid w:val="A12B5F6C"/>
    <w:multiLevelType w:val="singleLevel"/>
    <w:tmpl w:val="A12B5F6C"/>
    <w:lvl w:ilvl="0" w:tentative="0">
      <w:start w:val="1"/>
      <w:numFmt w:val="chineseCounting"/>
      <w:lvlText w:val="(%1)"/>
      <w:lvlJc w:val="left"/>
      <w:pPr>
        <w:tabs>
          <w:tab w:val="left" w:pos="312"/>
        </w:tabs>
      </w:pPr>
      <w:rPr>
        <w:rFonts w:hint="eastAsia"/>
      </w:rPr>
    </w:lvl>
  </w:abstractNum>
  <w:abstractNum w:abstractNumId="2">
    <w:nsid w:val="A80635A9"/>
    <w:multiLevelType w:val="singleLevel"/>
    <w:tmpl w:val="A80635A9"/>
    <w:lvl w:ilvl="0" w:tentative="0">
      <w:start w:val="1"/>
      <w:numFmt w:val="chineseCounting"/>
      <w:pStyle w:val="67"/>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6"/>
      <w:suff w:val="nothing"/>
      <w:lvlText w:val="%2、"/>
      <w:lvlJc w:val="left"/>
      <w:pPr>
        <w:ind w:left="0" w:firstLine="0"/>
      </w:pPr>
      <w:rPr>
        <w:rFonts w:hint="eastAsia" w:ascii="宋体" w:hAnsi="宋体" w:eastAsia="宋体" w:cs="宋体"/>
      </w:rPr>
    </w:lvl>
    <w:lvl w:ilvl="2" w:tentative="0">
      <w:start w:val="1"/>
      <w:numFmt w:val="chineseCounting"/>
      <w:pStyle w:val="50"/>
      <w:suff w:val="nothing"/>
      <w:lvlText w:val="(%3)"/>
      <w:lvlJc w:val="left"/>
      <w:pPr>
        <w:tabs>
          <w:tab w:val="left" w:pos="0"/>
        </w:tabs>
        <w:ind w:left="0" w:firstLine="0"/>
      </w:pPr>
      <w:rPr>
        <w:rFonts w:hint="eastAsia" w:ascii="宋体" w:hAnsi="宋体" w:eastAsia="宋体" w:cs="宋体"/>
      </w:rPr>
    </w:lvl>
    <w:lvl w:ilvl="3" w:tentative="0">
      <w:start w:val="1"/>
      <w:numFmt w:val="decimal"/>
      <w:pStyle w:val="64"/>
      <w:suff w:val="nothing"/>
      <w:lvlText w:val="%4."/>
      <w:lvlJc w:val="left"/>
      <w:pPr>
        <w:tabs>
          <w:tab w:val="left" w:pos="0"/>
        </w:tabs>
        <w:ind w:left="0" w:firstLine="0"/>
      </w:pPr>
      <w:rPr>
        <w:rFonts w:hint="eastAsia" w:ascii="宋体" w:hAnsi="宋体" w:eastAsia="宋体" w:cs="宋体"/>
      </w:rPr>
    </w:lvl>
    <w:lvl w:ilvl="4" w:tentative="0">
      <w:start w:val="1"/>
      <w:numFmt w:val="decimal"/>
      <w:pStyle w:val="65"/>
      <w:suff w:val="nothing"/>
      <w:lvlText w:val="%4.%5"/>
      <w:lvlJc w:val="left"/>
      <w:pPr>
        <w:ind w:left="0" w:firstLine="0"/>
      </w:pPr>
      <w:rPr>
        <w:rFonts w:hint="eastAsia" w:ascii="宋体" w:hAnsi="宋体" w:eastAsia="宋体" w:cs="宋体"/>
      </w:rPr>
    </w:lvl>
    <w:lvl w:ilvl="5" w:tentative="0">
      <w:start w:val="1"/>
      <w:numFmt w:val="decimal"/>
      <w:pStyle w:val="6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40"/>
      <w:suff w:val="nothing"/>
      <w:lvlText w:val="%1."/>
      <w:lvlJc w:val="left"/>
      <w:pPr>
        <w:tabs>
          <w:tab w:val="left" w:pos="420"/>
        </w:tabs>
        <w:ind w:left="0" w:firstLine="0"/>
      </w:pPr>
      <w:rPr>
        <w:rFonts w:hint="default" w:ascii="宋体" w:hAnsi="宋体" w:eastAsia="宋体" w:cs="宋体"/>
      </w:rPr>
    </w:lvl>
    <w:lvl w:ilvl="1" w:tentative="0">
      <w:start w:val="1"/>
      <w:numFmt w:val="decimal"/>
      <w:pStyle w:val="41"/>
      <w:suff w:val="nothing"/>
      <w:lvlText w:val="%1.%2"/>
      <w:lvlJc w:val="left"/>
      <w:pPr>
        <w:tabs>
          <w:tab w:val="left" w:pos="420"/>
        </w:tabs>
        <w:ind w:left="0" w:firstLine="0"/>
      </w:pPr>
      <w:rPr>
        <w:rFonts w:hint="default" w:ascii="宋体" w:hAnsi="宋体" w:eastAsia="宋体" w:cs="宋体"/>
      </w:rPr>
    </w:lvl>
    <w:lvl w:ilvl="2" w:tentative="0">
      <w:start w:val="1"/>
      <w:numFmt w:val="decimal"/>
      <w:pStyle w:val="42"/>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0" w:firstLine="0"/>
      </w:pPr>
      <w:rPr>
        <w:rFonts w:hint="eastAsia" w:ascii="宋体" w:hAnsi="宋体" w:eastAsia="宋体" w:cs="宋体"/>
      </w:rPr>
    </w:lvl>
    <w:lvl w:ilvl="2" w:tentative="0">
      <w:start w:val="1"/>
      <w:numFmt w:val="decimal"/>
      <w:pStyle w:val="37"/>
      <w:suff w:val="nothing"/>
      <w:lvlText w:val="%3."/>
      <w:lvlJc w:val="left"/>
      <w:pPr>
        <w:ind w:left="0" w:firstLine="0"/>
      </w:pPr>
      <w:rPr>
        <w:rFonts w:hint="eastAsia" w:ascii="宋体" w:hAnsi="宋体" w:eastAsia="宋体" w:cs="宋体"/>
      </w:rPr>
    </w:lvl>
    <w:lvl w:ilvl="3" w:tentative="0">
      <w:start w:val="1"/>
      <w:numFmt w:val="decimal"/>
      <w:pStyle w:val="38"/>
      <w:suff w:val="nothing"/>
      <w:lvlText w:val="%3.%4"/>
      <w:lvlJc w:val="left"/>
      <w:pPr>
        <w:ind w:left="0" w:firstLine="0"/>
      </w:pPr>
      <w:rPr>
        <w:rFonts w:hint="eastAsia" w:ascii="宋体" w:hAnsi="宋体" w:eastAsia="宋体" w:cs="宋体"/>
      </w:rPr>
    </w:lvl>
    <w:lvl w:ilvl="4" w:tentative="0">
      <w:start w:val="1"/>
      <w:numFmt w:val="decimal"/>
      <w:pStyle w:val="39"/>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B6083F9"/>
    <w:multiLevelType w:val="singleLevel"/>
    <w:tmpl w:val="EB6083F9"/>
    <w:lvl w:ilvl="0" w:tentative="0">
      <w:start w:val="1"/>
      <w:numFmt w:val="chineseCounting"/>
      <w:suff w:val="nothing"/>
      <w:lvlText w:val="%1、"/>
      <w:lvlJc w:val="left"/>
      <w:pPr>
        <w:ind w:left="1440" w:firstLine="420"/>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2">
    <w:nsid w:val="3C10C3C5"/>
    <w:multiLevelType w:val="singleLevel"/>
    <w:tmpl w:val="3C10C3C5"/>
    <w:lvl w:ilvl="0" w:tentative="0">
      <w:start w:val="1"/>
      <w:numFmt w:val="decimal"/>
      <w:lvlText w:val="%1."/>
      <w:lvlJc w:val="left"/>
      <w:pPr>
        <w:tabs>
          <w:tab w:val="left" w:pos="312"/>
        </w:tabs>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8"/>
  </w:num>
  <w:num w:numId="2">
    <w:abstractNumId w:val="13"/>
  </w:num>
  <w:num w:numId="3">
    <w:abstractNumId w:val="3"/>
  </w:num>
  <w:num w:numId="4">
    <w:abstractNumId w:val="4"/>
  </w:num>
  <w:num w:numId="5">
    <w:abstractNumId w:val="2"/>
  </w:num>
  <w:num w:numId="6">
    <w:abstractNumId w:val="5"/>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7"/>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0F5074"/>
    <w:rsid w:val="0010191C"/>
    <w:rsid w:val="001025A9"/>
    <w:rsid w:val="0010309E"/>
    <w:rsid w:val="001111B8"/>
    <w:rsid w:val="0012071D"/>
    <w:rsid w:val="00127F82"/>
    <w:rsid w:val="00152049"/>
    <w:rsid w:val="00172A27"/>
    <w:rsid w:val="001737CB"/>
    <w:rsid w:val="001747EE"/>
    <w:rsid w:val="0017522A"/>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84A03"/>
    <w:rsid w:val="00290AF1"/>
    <w:rsid w:val="002A54E4"/>
    <w:rsid w:val="002B5D9A"/>
    <w:rsid w:val="002B6AE7"/>
    <w:rsid w:val="002B79CA"/>
    <w:rsid w:val="002E06BF"/>
    <w:rsid w:val="002E1A1C"/>
    <w:rsid w:val="002E5F48"/>
    <w:rsid w:val="002F05A6"/>
    <w:rsid w:val="002F3BB7"/>
    <w:rsid w:val="00315B60"/>
    <w:rsid w:val="003274CB"/>
    <w:rsid w:val="003368A3"/>
    <w:rsid w:val="00344015"/>
    <w:rsid w:val="00346B27"/>
    <w:rsid w:val="003474F2"/>
    <w:rsid w:val="00353E82"/>
    <w:rsid w:val="003579E9"/>
    <w:rsid w:val="00395AF9"/>
    <w:rsid w:val="00396369"/>
    <w:rsid w:val="003B2228"/>
    <w:rsid w:val="003C13E4"/>
    <w:rsid w:val="003D21F1"/>
    <w:rsid w:val="003E1DCC"/>
    <w:rsid w:val="003F4651"/>
    <w:rsid w:val="00410967"/>
    <w:rsid w:val="00411E40"/>
    <w:rsid w:val="00415E21"/>
    <w:rsid w:val="00445ADF"/>
    <w:rsid w:val="004469EA"/>
    <w:rsid w:val="0046727E"/>
    <w:rsid w:val="00482071"/>
    <w:rsid w:val="00483674"/>
    <w:rsid w:val="004861AE"/>
    <w:rsid w:val="00486D20"/>
    <w:rsid w:val="00495036"/>
    <w:rsid w:val="004A488B"/>
    <w:rsid w:val="004A6781"/>
    <w:rsid w:val="004A7D40"/>
    <w:rsid w:val="004B4092"/>
    <w:rsid w:val="004E0FDD"/>
    <w:rsid w:val="004E6A9C"/>
    <w:rsid w:val="004F2F95"/>
    <w:rsid w:val="004F5665"/>
    <w:rsid w:val="00506600"/>
    <w:rsid w:val="00526D76"/>
    <w:rsid w:val="00551430"/>
    <w:rsid w:val="00554499"/>
    <w:rsid w:val="00557A19"/>
    <w:rsid w:val="00570E40"/>
    <w:rsid w:val="00573162"/>
    <w:rsid w:val="00595086"/>
    <w:rsid w:val="005C50D4"/>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021"/>
    <w:rsid w:val="00784579"/>
    <w:rsid w:val="007A6D7D"/>
    <w:rsid w:val="007B1F36"/>
    <w:rsid w:val="007D09EC"/>
    <w:rsid w:val="007D1EE2"/>
    <w:rsid w:val="007F300C"/>
    <w:rsid w:val="008003F4"/>
    <w:rsid w:val="008016F9"/>
    <w:rsid w:val="008062AE"/>
    <w:rsid w:val="00811328"/>
    <w:rsid w:val="00815C57"/>
    <w:rsid w:val="00815F35"/>
    <w:rsid w:val="0082614F"/>
    <w:rsid w:val="008501F4"/>
    <w:rsid w:val="00850B71"/>
    <w:rsid w:val="0085639C"/>
    <w:rsid w:val="0087454D"/>
    <w:rsid w:val="00890D7F"/>
    <w:rsid w:val="008A0EB1"/>
    <w:rsid w:val="008A2076"/>
    <w:rsid w:val="008C0077"/>
    <w:rsid w:val="008C65FC"/>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04562"/>
    <w:rsid w:val="00A23AFB"/>
    <w:rsid w:val="00A3273B"/>
    <w:rsid w:val="00A33E9A"/>
    <w:rsid w:val="00A447CA"/>
    <w:rsid w:val="00A466E6"/>
    <w:rsid w:val="00A47F1F"/>
    <w:rsid w:val="00A75A1A"/>
    <w:rsid w:val="00A83298"/>
    <w:rsid w:val="00A837A5"/>
    <w:rsid w:val="00A95C07"/>
    <w:rsid w:val="00AA4C47"/>
    <w:rsid w:val="00AA51C1"/>
    <w:rsid w:val="00AB65CA"/>
    <w:rsid w:val="00AB67D8"/>
    <w:rsid w:val="00AC1343"/>
    <w:rsid w:val="00AC2F78"/>
    <w:rsid w:val="00AC5E59"/>
    <w:rsid w:val="00AF3998"/>
    <w:rsid w:val="00B07B2E"/>
    <w:rsid w:val="00B31CC3"/>
    <w:rsid w:val="00B44B56"/>
    <w:rsid w:val="00B93111"/>
    <w:rsid w:val="00BA5DBE"/>
    <w:rsid w:val="00BA69F4"/>
    <w:rsid w:val="00BA6D13"/>
    <w:rsid w:val="00BB299F"/>
    <w:rsid w:val="00BE1766"/>
    <w:rsid w:val="00BF4E9E"/>
    <w:rsid w:val="00C00F81"/>
    <w:rsid w:val="00C17A63"/>
    <w:rsid w:val="00C32340"/>
    <w:rsid w:val="00C35487"/>
    <w:rsid w:val="00C43BC1"/>
    <w:rsid w:val="00C711E4"/>
    <w:rsid w:val="00CA0AAA"/>
    <w:rsid w:val="00CB1C9A"/>
    <w:rsid w:val="00CD401B"/>
    <w:rsid w:val="00CD437E"/>
    <w:rsid w:val="00CD43B3"/>
    <w:rsid w:val="00CD58A7"/>
    <w:rsid w:val="00CE226F"/>
    <w:rsid w:val="00CF53F3"/>
    <w:rsid w:val="00D0799C"/>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0702B"/>
    <w:rsid w:val="00E2173D"/>
    <w:rsid w:val="00E25E39"/>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158A"/>
    <w:rsid w:val="00F140D0"/>
    <w:rsid w:val="00F22D2F"/>
    <w:rsid w:val="00F23715"/>
    <w:rsid w:val="00F32329"/>
    <w:rsid w:val="00F358EB"/>
    <w:rsid w:val="00F414AE"/>
    <w:rsid w:val="00F4295B"/>
    <w:rsid w:val="00F54D7B"/>
    <w:rsid w:val="00F714C7"/>
    <w:rsid w:val="00F9177B"/>
    <w:rsid w:val="00FD2CEE"/>
    <w:rsid w:val="01007DD1"/>
    <w:rsid w:val="011E300A"/>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653A3"/>
    <w:rsid w:val="01DA5F1D"/>
    <w:rsid w:val="01E366FD"/>
    <w:rsid w:val="02132164"/>
    <w:rsid w:val="02195753"/>
    <w:rsid w:val="022117A3"/>
    <w:rsid w:val="022D7471"/>
    <w:rsid w:val="023372E3"/>
    <w:rsid w:val="02362CC5"/>
    <w:rsid w:val="024669DA"/>
    <w:rsid w:val="02646339"/>
    <w:rsid w:val="02676F4A"/>
    <w:rsid w:val="026D704D"/>
    <w:rsid w:val="02735026"/>
    <w:rsid w:val="027655B6"/>
    <w:rsid w:val="02792F82"/>
    <w:rsid w:val="02825F13"/>
    <w:rsid w:val="028430AA"/>
    <w:rsid w:val="028879D9"/>
    <w:rsid w:val="028917F5"/>
    <w:rsid w:val="02A14D74"/>
    <w:rsid w:val="02B43DAD"/>
    <w:rsid w:val="02BC4E5F"/>
    <w:rsid w:val="02DC1FED"/>
    <w:rsid w:val="02DD3DF1"/>
    <w:rsid w:val="02E247AD"/>
    <w:rsid w:val="02E3266E"/>
    <w:rsid w:val="02F71628"/>
    <w:rsid w:val="02F82EB2"/>
    <w:rsid w:val="0306250D"/>
    <w:rsid w:val="031218D5"/>
    <w:rsid w:val="031C70D4"/>
    <w:rsid w:val="0321449C"/>
    <w:rsid w:val="033436B4"/>
    <w:rsid w:val="034175A9"/>
    <w:rsid w:val="034561FE"/>
    <w:rsid w:val="03486A36"/>
    <w:rsid w:val="0350391F"/>
    <w:rsid w:val="03644B36"/>
    <w:rsid w:val="036E7CB0"/>
    <w:rsid w:val="03770FAA"/>
    <w:rsid w:val="03784C08"/>
    <w:rsid w:val="039261BA"/>
    <w:rsid w:val="0399197E"/>
    <w:rsid w:val="03B32D25"/>
    <w:rsid w:val="03B428DD"/>
    <w:rsid w:val="03C23BAF"/>
    <w:rsid w:val="03C40ABE"/>
    <w:rsid w:val="03D60077"/>
    <w:rsid w:val="03DC7E66"/>
    <w:rsid w:val="03E3449B"/>
    <w:rsid w:val="03F050BD"/>
    <w:rsid w:val="03F7077E"/>
    <w:rsid w:val="03F90DB1"/>
    <w:rsid w:val="03FB00F1"/>
    <w:rsid w:val="040172D5"/>
    <w:rsid w:val="04053316"/>
    <w:rsid w:val="04182CA9"/>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096B27"/>
    <w:rsid w:val="05204AF2"/>
    <w:rsid w:val="05232BB3"/>
    <w:rsid w:val="053C2598"/>
    <w:rsid w:val="05533444"/>
    <w:rsid w:val="056C3A64"/>
    <w:rsid w:val="056D77F4"/>
    <w:rsid w:val="057C1154"/>
    <w:rsid w:val="0586026D"/>
    <w:rsid w:val="059052A1"/>
    <w:rsid w:val="059377C2"/>
    <w:rsid w:val="05981791"/>
    <w:rsid w:val="05AA6ECF"/>
    <w:rsid w:val="05B55267"/>
    <w:rsid w:val="05BD44C2"/>
    <w:rsid w:val="05C14E93"/>
    <w:rsid w:val="05CB1DB4"/>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C14990"/>
    <w:rsid w:val="06C255FB"/>
    <w:rsid w:val="06C466BB"/>
    <w:rsid w:val="06C47484"/>
    <w:rsid w:val="06CD71EE"/>
    <w:rsid w:val="06DC4238"/>
    <w:rsid w:val="06E91B3A"/>
    <w:rsid w:val="06F23D1E"/>
    <w:rsid w:val="06FF392B"/>
    <w:rsid w:val="07057562"/>
    <w:rsid w:val="072A238A"/>
    <w:rsid w:val="073B634E"/>
    <w:rsid w:val="073C2D1E"/>
    <w:rsid w:val="074C58DC"/>
    <w:rsid w:val="075615A8"/>
    <w:rsid w:val="07641D0D"/>
    <w:rsid w:val="07662674"/>
    <w:rsid w:val="0767483A"/>
    <w:rsid w:val="077C4AFF"/>
    <w:rsid w:val="07A31B05"/>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5760EE"/>
    <w:rsid w:val="086379DD"/>
    <w:rsid w:val="08795873"/>
    <w:rsid w:val="08874B60"/>
    <w:rsid w:val="08885FE3"/>
    <w:rsid w:val="08903BD8"/>
    <w:rsid w:val="08A4283A"/>
    <w:rsid w:val="08B0513C"/>
    <w:rsid w:val="08B72C3A"/>
    <w:rsid w:val="08BA5FE9"/>
    <w:rsid w:val="08BE07C4"/>
    <w:rsid w:val="08C0336E"/>
    <w:rsid w:val="08C203AB"/>
    <w:rsid w:val="08C665C7"/>
    <w:rsid w:val="08CF3947"/>
    <w:rsid w:val="08D539E3"/>
    <w:rsid w:val="08DB73B0"/>
    <w:rsid w:val="08DE1C47"/>
    <w:rsid w:val="08EC63BA"/>
    <w:rsid w:val="08EE6DAF"/>
    <w:rsid w:val="08EF3D6F"/>
    <w:rsid w:val="09187ED2"/>
    <w:rsid w:val="091D71CF"/>
    <w:rsid w:val="093B5F9E"/>
    <w:rsid w:val="09467593"/>
    <w:rsid w:val="09474FBC"/>
    <w:rsid w:val="094D4667"/>
    <w:rsid w:val="095520D8"/>
    <w:rsid w:val="096B20A4"/>
    <w:rsid w:val="0980411B"/>
    <w:rsid w:val="098E57E7"/>
    <w:rsid w:val="09B024F6"/>
    <w:rsid w:val="09CC3BAD"/>
    <w:rsid w:val="09E244D3"/>
    <w:rsid w:val="09E40044"/>
    <w:rsid w:val="09E44204"/>
    <w:rsid w:val="09F410FD"/>
    <w:rsid w:val="0A141092"/>
    <w:rsid w:val="0A18215B"/>
    <w:rsid w:val="0A1C206E"/>
    <w:rsid w:val="0A1F3AFB"/>
    <w:rsid w:val="0A214D17"/>
    <w:rsid w:val="0A3B1828"/>
    <w:rsid w:val="0A3D4730"/>
    <w:rsid w:val="0A406793"/>
    <w:rsid w:val="0A4707DC"/>
    <w:rsid w:val="0A4F2112"/>
    <w:rsid w:val="0A562EAD"/>
    <w:rsid w:val="0A88671B"/>
    <w:rsid w:val="0A941E7B"/>
    <w:rsid w:val="0A957458"/>
    <w:rsid w:val="0A9A0D24"/>
    <w:rsid w:val="0ABF45E0"/>
    <w:rsid w:val="0AC253B8"/>
    <w:rsid w:val="0AD029E3"/>
    <w:rsid w:val="0AD20D78"/>
    <w:rsid w:val="0AD319F0"/>
    <w:rsid w:val="0AD95FEE"/>
    <w:rsid w:val="0AEB1D55"/>
    <w:rsid w:val="0AEF28BE"/>
    <w:rsid w:val="0AFC7C23"/>
    <w:rsid w:val="0B030A0E"/>
    <w:rsid w:val="0B165FCB"/>
    <w:rsid w:val="0B283403"/>
    <w:rsid w:val="0B373A25"/>
    <w:rsid w:val="0B490628"/>
    <w:rsid w:val="0B4D084E"/>
    <w:rsid w:val="0B5001FD"/>
    <w:rsid w:val="0B5D62E7"/>
    <w:rsid w:val="0B5E6C1B"/>
    <w:rsid w:val="0B7C78A1"/>
    <w:rsid w:val="0B94665C"/>
    <w:rsid w:val="0B964EC9"/>
    <w:rsid w:val="0B9B3CCE"/>
    <w:rsid w:val="0B9D5FFB"/>
    <w:rsid w:val="0BA62356"/>
    <w:rsid w:val="0BB91FA4"/>
    <w:rsid w:val="0BCF0D6E"/>
    <w:rsid w:val="0BDD0790"/>
    <w:rsid w:val="0BDD4638"/>
    <w:rsid w:val="0BE944BF"/>
    <w:rsid w:val="0BF5093F"/>
    <w:rsid w:val="0BFE728E"/>
    <w:rsid w:val="0C095932"/>
    <w:rsid w:val="0C0D7E74"/>
    <w:rsid w:val="0C154760"/>
    <w:rsid w:val="0C166DCE"/>
    <w:rsid w:val="0C371FE2"/>
    <w:rsid w:val="0C426E10"/>
    <w:rsid w:val="0C4358FB"/>
    <w:rsid w:val="0C593A85"/>
    <w:rsid w:val="0C6116CC"/>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05261D"/>
    <w:rsid w:val="0D1158BC"/>
    <w:rsid w:val="0D1D5BF4"/>
    <w:rsid w:val="0D290E15"/>
    <w:rsid w:val="0D2E7CDA"/>
    <w:rsid w:val="0D3161DB"/>
    <w:rsid w:val="0D38710E"/>
    <w:rsid w:val="0D3A5B22"/>
    <w:rsid w:val="0D4A61F6"/>
    <w:rsid w:val="0D5A0CC0"/>
    <w:rsid w:val="0D5A4C9D"/>
    <w:rsid w:val="0D5E127F"/>
    <w:rsid w:val="0D636535"/>
    <w:rsid w:val="0D652404"/>
    <w:rsid w:val="0D7824BD"/>
    <w:rsid w:val="0D790005"/>
    <w:rsid w:val="0D793F75"/>
    <w:rsid w:val="0D8323B8"/>
    <w:rsid w:val="0D8774B4"/>
    <w:rsid w:val="0D8D3FD0"/>
    <w:rsid w:val="0D941DD9"/>
    <w:rsid w:val="0D947DEF"/>
    <w:rsid w:val="0D9960F6"/>
    <w:rsid w:val="0D9B3836"/>
    <w:rsid w:val="0D9D017D"/>
    <w:rsid w:val="0DAF57C7"/>
    <w:rsid w:val="0DB87064"/>
    <w:rsid w:val="0DC23414"/>
    <w:rsid w:val="0DD37D4F"/>
    <w:rsid w:val="0DED2447"/>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8D2FCC"/>
    <w:rsid w:val="0E9944EA"/>
    <w:rsid w:val="0EB331E4"/>
    <w:rsid w:val="0EB5186D"/>
    <w:rsid w:val="0EBA7291"/>
    <w:rsid w:val="0ED45063"/>
    <w:rsid w:val="0EE00334"/>
    <w:rsid w:val="0F090320"/>
    <w:rsid w:val="0F293B64"/>
    <w:rsid w:val="0F2D4847"/>
    <w:rsid w:val="0F3E4FBF"/>
    <w:rsid w:val="0F4527B9"/>
    <w:rsid w:val="0F4A055C"/>
    <w:rsid w:val="0F552295"/>
    <w:rsid w:val="0F555D3E"/>
    <w:rsid w:val="0F68165A"/>
    <w:rsid w:val="0F7331B1"/>
    <w:rsid w:val="0F790888"/>
    <w:rsid w:val="0F7F79D4"/>
    <w:rsid w:val="0F830CF9"/>
    <w:rsid w:val="0F8807D3"/>
    <w:rsid w:val="0F961643"/>
    <w:rsid w:val="0F985025"/>
    <w:rsid w:val="0F993EA0"/>
    <w:rsid w:val="0FA715B7"/>
    <w:rsid w:val="0FA8483D"/>
    <w:rsid w:val="0FAB0735"/>
    <w:rsid w:val="0FAB73CF"/>
    <w:rsid w:val="0FBA136E"/>
    <w:rsid w:val="0FC67596"/>
    <w:rsid w:val="0FD23538"/>
    <w:rsid w:val="0FEA7956"/>
    <w:rsid w:val="0FF2619D"/>
    <w:rsid w:val="0FF91388"/>
    <w:rsid w:val="10002E78"/>
    <w:rsid w:val="10082322"/>
    <w:rsid w:val="100A088B"/>
    <w:rsid w:val="101E557F"/>
    <w:rsid w:val="10220902"/>
    <w:rsid w:val="102832C0"/>
    <w:rsid w:val="1030329B"/>
    <w:rsid w:val="103627B4"/>
    <w:rsid w:val="10476538"/>
    <w:rsid w:val="10723DA8"/>
    <w:rsid w:val="107921C2"/>
    <w:rsid w:val="107E07FE"/>
    <w:rsid w:val="10805044"/>
    <w:rsid w:val="108A45AA"/>
    <w:rsid w:val="108B5C75"/>
    <w:rsid w:val="10927871"/>
    <w:rsid w:val="109B2457"/>
    <w:rsid w:val="10A80202"/>
    <w:rsid w:val="10A86948"/>
    <w:rsid w:val="10A91F3A"/>
    <w:rsid w:val="10BD4B6E"/>
    <w:rsid w:val="10C05016"/>
    <w:rsid w:val="10D95D0E"/>
    <w:rsid w:val="10DC5341"/>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B13A44"/>
    <w:rsid w:val="11B64B9D"/>
    <w:rsid w:val="11C337DE"/>
    <w:rsid w:val="11C34C5A"/>
    <w:rsid w:val="11D7281B"/>
    <w:rsid w:val="11D93657"/>
    <w:rsid w:val="11E62926"/>
    <w:rsid w:val="11E7019B"/>
    <w:rsid w:val="12041F1C"/>
    <w:rsid w:val="1256165C"/>
    <w:rsid w:val="125C1D36"/>
    <w:rsid w:val="126F4111"/>
    <w:rsid w:val="126F5ED9"/>
    <w:rsid w:val="128A25F6"/>
    <w:rsid w:val="1299328B"/>
    <w:rsid w:val="12A04B9A"/>
    <w:rsid w:val="12A30DA6"/>
    <w:rsid w:val="12A60CD7"/>
    <w:rsid w:val="12C23A7C"/>
    <w:rsid w:val="12C6156A"/>
    <w:rsid w:val="12D37006"/>
    <w:rsid w:val="12D919C1"/>
    <w:rsid w:val="12E94BA8"/>
    <w:rsid w:val="12F55F70"/>
    <w:rsid w:val="130A3353"/>
    <w:rsid w:val="130B7334"/>
    <w:rsid w:val="131B0C66"/>
    <w:rsid w:val="13380869"/>
    <w:rsid w:val="135C15A5"/>
    <w:rsid w:val="136B30DD"/>
    <w:rsid w:val="13755EB2"/>
    <w:rsid w:val="13877DCB"/>
    <w:rsid w:val="13881341"/>
    <w:rsid w:val="13887B1A"/>
    <w:rsid w:val="138E1213"/>
    <w:rsid w:val="139F2E5E"/>
    <w:rsid w:val="13A23B9A"/>
    <w:rsid w:val="13A35911"/>
    <w:rsid w:val="13A47BFE"/>
    <w:rsid w:val="13AD2096"/>
    <w:rsid w:val="13AE0DA1"/>
    <w:rsid w:val="13B773EB"/>
    <w:rsid w:val="13C4002F"/>
    <w:rsid w:val="13E67824"/>
    <w:rsid w:val="13ED6898"/>
    <w:rsid w:val="13FA079B"/>
    <w:rsid w:val="14063E97"/>
    <w:rsid w:val="14166484"/>
    <w:rsid w:val="14197E9B"/>
    <w:rsid w:val="14242A9B"/>
    <w:rsid w:val="14293FDD"/>
    <w:rsid w:val="14335E33"/>
    <w:rsid w:val="144F3B92"/>
    <w:rsid w:val="145D7218"/>
    <w:rsid w:val="145E21A7"/>
    <w:rsid w:val="14663754"/>
    <w:rsid w:val="1470604A"/>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426FB"/>
    <w:rsid w:val="16290D5F"/>
    <w:rsid w:val="162C4C37"/>
    <w:rsid w:val="163409FD"/>
    <w:rsid w:val="164925E6"/>
    <w:rsid w:val="16564ED8"/>
    <w:rsid w:val="16601950"/>
    <w:rsid w:val="166556E6"/>
    <w:rsid w:val="16695F27"/>
    <w:rsid w:val="166B2C03"/>
    <w:rsid w:val="166B2D98"/>
    <w:rsid w:val="167113A8"/>
    <w:rsid w:val="167949AF"/>
    <w:rsid w:val="167A093E"/>
    <w:rsid w:val="167E6CA3"/>
    <w:rsid w:val="167F4B95"/>
    <w:rsid w:val="16894102"/>
    <w:rsid w:val="169327D0"/>
    <w:rsid w:val="169D0E74"/>
    <w:rsid w:val="16A0455F"/>
    <w:rsid w:val="16A25BC1"/>
    <w:rsid w:val="16AB4CC3"/>
    <w:rsid w:val="16BD04E5"/>
    <w:rsid w:val="16C419E8"/>
    <w:rsid w:val="16E21427"/>
    <w:rsid w:val="16E57675"/>
    <w:rsid w:val="16F50B49"/>
    <w:rsid w:val="17033117"/>
    <w:rsid w:val="170A61ED"/>
    <w:rsid w:val="170C6A21"/>
    <w:rsid w:val="170C751B"/>
    <w:rsid w:val="17166620"/>
    <w:rsid w:val="17174AB2"/>
    <w:rsid w:val="1726040A"/>
    <w:rsid w:val="172F59B8"/>
    <w:rsid w:val="173C59AC"/>
    <w:rsid w:val="173F20E2"/>
    <w:rsid w:val="17740853"/>
    <w:rsid w:val="177F62FA"/>
    <w:rsid w:val="178E0BAF"/>
    <w:rsid w:val="17987B34"/>
    <w:rsid w:val="17990FA9"/>
    <w:rsid w:val="17C271C7"/>
    <w:rsid w:val="17DE3FD2"/>
    <w:rsid w:val="17E25684"/>
    <w:rsid w:val="17FA253A"/>
    <w:rsid w:val="18071145"/>
    <w:rsid w:val="180D1861"/>
    <w:rsid w:val="181126A7"/>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B1669"/>
    <w:rsid w:val="189E12C3"/>
    <w:rsid w:val="189E32A4"/>
    <w:rsid w:val="18BD055D"/>
    <w:rsid w:val="18C04A46"/>
    <w:rsid w:val="18C4037B"/>
    <w:rsid w:val="18D72014"/>
    <w:rsid w:val="18D764B0"/>
    <w:rsid w:val="18D92B7A"/>
    <w:rsid w:val="18FF308F"/>
    <w:rsid w:val="19050EC9"/>
    <w:rsid w:val="19263C11"/>
    <w:rsid w:val="19351878"/>
    <w:rsid w:val="19364034"/>
    <w:rsid w:val="193D5EB3"/>
    <w:rsid w:val="194B6D06"/>
    <w:rsid w:val="194F0096"/>
    <w:rsid w:val="19580F07"/>
    <w:rsid w:val="19605FFF"/>
    <w:rsid w:val="196C060A"/>
    <w:rsid w:val="197226D6"/>
    <w:rsid w:val="197B045A"/>
    <w:rsid w:val="19911370"/>
    <w:rsid w:val="19981B0B"/>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82E8A"/>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42E45"/>
    <w:rsid w:val="1B67625B"/>
    <w:rsid w:val="1B6B043B"/>
    <w:rsid w:val="1B6B336B"/>
    <w:rsid w:val="1B6E424D"/>
    <w:rsid w:val="1B863F0D"/>
    <w:rsid w:val="1B8E6B89"/>
    <w:rsid w:val="1B9369D7"/>
    <w:rsid w:val="1B9E5564"/>
    <w:rsid w:val="1BAF5377"/>
    <w:rsid w:val="1BB15F13"/>
    <w:rsid w:val="1BB678D9"/>
    <w:rsid w:val="1BBF4AED"/>
    <w:rsid w:val="1BCB3B13"/>
    <w:rsid w:val="1BF33FFA"/>
    <w:rsid w:val="1C146D3D"/>
    <w:rsid w:val="1C19483C"/>
    <w:rsid w:val="1C213008"/>
    <w:rsid w:val="1C347AE7"/>
    <w:rsid w:val="1C3709C2"/>
    <w:rsid w:val="1C3F5A29"/>
    <w:rsid w:val="1C6D2061"/>
    <w:rsid w:val="1C73352D"/>
    <w:rsid w:val="1C781961"/>
    <w:rsid w:val="1C7F0A0D"/>
    <w:rsid w:val="1C883EE2"/>
    <w:rsid w:val="1C8A5704"/>
    <w:rsid w:val="1C993644"/>
    <w:rsid w:val="1CA30814"/>
    <w:rsid w:val="1CA411B8"/>
    <w:rsid w:val="1CA91C58"/>
    <w:rsid w:val="1CAE730B"/>
    <w:rsid w:val="1CD11261"/>
    <w:rsid w:val="1CDE53B2"/>
    <w:rsid w:val="1CF333E6"/>
    <w:rsid w:val="1D0565E2"/>
    <w:rsid w:val="1D1C5DA2"/>
    <w:rsid w:val="1D2122A1"/>
    <w:rsid w:val="1D2357FD"/>
    <w:rsid w:val="1D2D51F1"/>
    <w:rsid w:val="1D37486F"/>
    <w:rsid w:val="1D38223B"/>
    <w:rsid w:val="1D42071E"/>
    <w:rsid w:val="1D4856D1"/>
    <w:rsid w:val="1D4C2B5B"/>
    <w:rsid w:val="1D6257AE"/>
    <w:rsid w:val="1D677324"/>
    <w:rsid w:val="1D6E2D29"/>
    <w:rsid w:val="1D6F21B6"/>
    <w:rsid w:val="1D782040"/>
    <w:rsid w:val="1D8C6A7E"/>
    <w:rsid w:val="1D8E167F"/>
    <w:rsid w:val="1DA269D9"/>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D48C4"/>
    <w:rsid w:val="1E32366D"/>
    <w:rsid w:val="1E36628C"/>
    <w:rsid w:val="1E3B46CC"/>
    <w:rsid w:val="1E464658"/>
    <w:rsid w:val="1E510853"/>
    <w:rsid w:val="1E57604D"/>
    <w:rsid w:val="1E635018"/>
    <w:rsid w:val="1E656782"/>
    <w:rsid w:val="1E814CED"/>
    <w:rsid w:val="1E8469F9"/>
    <w:rsid w:val="1E92658B"/>
    <w:rsid w:val="1E9C5BFF"/>
    <w:rsid w:val="1EA53511"/>
    <w:rsid w:val="1ECC3FFD"/>
    <w:rsid w:val="1ED2384F"/>
    <w:rsid w:val="1ED9232C"/>
    <w:rsid w:val="1EDD43FA"/>
    <w:rsid w:val="1EDF476D"/>
    <w:rsid w:val="1EEA697A"/>
    <w:rsid w:val="1EEC0C5C"/>
    <w:rsid w:val="1F176E60"/>
    <w:rsid w:val="1F2B238C"/>
    <w:rsid w:val="1F37018C"/>
    <w:rsid w:val="1F455558"/>
    <w:rsid w:val="1F4C1597"/>
    <w:rsid w:val="1F51433D"/>
    <w:rsid w:val="1F5500CB"/>
    <w:rsid w:val="1F5B5AF9"/>
    <w:rsid w:val="1F6A25F1"/>
    <w:rsid w:val="1F7574A3"/>
    <w:rsid w:val="1F7C2691"/>
    <w:rsid w:val="1F9A340A"/>
    <w:rsid w:val="1F9B4D04"/>
    <w:rsid w:val="1FA24F7F"/>
    <w:rsid w:val="1FB31A5F"/>
    <w:rsid w:val="1FC97C87"/>
    <w:rsid w:val="1FCC023A"/>
    <w:rsid w:val="1FD16581"/>
    <w:rsid w:val="1FDE3F49"/>
    <w:rsid w:val="1FE933AA"/>
    <w:rsid w:val="1FF468DA"/>
    <w:rsid w:val="1FF94A2D"/>
    <w:rsid w:val="1FFC560A"/>
    <w:rsid w:val="200B0D0C"/>
    <w:rsid w:val="201051B9"/>
    <w:rsid w:val="20191A25"/>
    <w:rsid w:val="2040794E"/>
    <w:rsid w:val="20460DDC"/>
    <w:rsid w:val="204D6F6C"/>
    <w:rsid w:val="20506C8E"/>
    <w:rsid w:val="2064368A"/>
    <w:rsid w:val="207F43D9"/>
    <w:rsid w:val="20906E82"/>
    <w:rsid w:val="209128E5"/>
    <w:rsid w:val="209C3F2C"/>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B548D"/>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894FBA"/>
    <w:rsid w:val="228B7D1B"/>
    <w:rsid w:val="22993411"/>
    <w:rsid w:val="22A3753B"/>
    <w:rsid w:val="22A627B6"/>
    <w:rsid w:val="22BB1853"/>
    <w:rsid w:val="22C41C6A"/>
    <w:rsid w:val="22EE7034"/>
    <w:rsid w:val="22F20146"/>
    <w:rsid w:val="22F2629E"/>
    <w:rsid w:val="22FD46BD"/>
    <w:rsid w:val="23153857"/>
    <w:rsid w:val="231B17F9"/>
    <w:rsid w:val="23216DFA"/>
    <w:rsid w:val="233A304E"/>
    <w:rsid w:val="23443D7D"/>
    <w:rsid w:val="235511EA"/>
    <w:rsid w:val="23614F48"/>
    <w:rsid w:val="23690609"/>
    <w:rsid w:val="237A3E4E"/>
    <w:rsid w:val="237E1230"/>
    <w:rsid w:val="238435E8"/>
    <w:rsid w:val="238A29AB"/>
    <w:rsid w:val="238F40D9"/>
    <w:rsid w:val="23933508"/>
    <w:rsid w:val="239504D4"/>
    <w:rsid w:val="23950A3C"/>
    <w:rsid w:val="239B5FC0"/>
    <w:rsid w:val="23A92C60"/>
    <w:rsid w:val="23AA0F3C"/>
    <w:rsid w:val="23B03FD9"/>
    <w:rsid w:val="23B714CC"/>
    <w:rsid w:val="23BA7F5A"/>
    <w:rsid w:val="23C13739"/>
    <w:rsid w:val="23E11DA2"/>
    <w:rsid w:val="23E235B0"/>
    <w:rsid w:val="24044813"/>
    <w:rsid w:val="242474A7"/>
    <w:rsid w:val="2428389C"/>
    <w:rsid w:val="2439617A"/>
    <w:rsid w:val="244520C9"/>
    <w:rsid w:val="245005B3"/>
    <w:rsid w:val="24661A7D"/>
    <w:rsid w:val="246C280E"/>
    <w:rsid w:val="24734E74"/>
    <w:rsid w:val="24940315"/>
    <w:rsid w:val="249511E4"/>
    <w:rsid w:val="249604BE"/>
    <w:rsid w:val="24A31E88"/>
    <w:rsid w:val="24B55367"/>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603917"/>
    <w:rsid w:val="25627611"/>
    <w:rsid w:val="25636FED"/>
    <w:rsid w:val="25645A54"/>
    <w:rsid w:val="256711EA"/>
    <w:rsid w:val="25772EBB"/>
    <w:rsid w:val="25832019"/>
    <w:rsid w:val="259331FE"/>
    <w:rsid w:val="25957FF8"/>
    <w:rsid w:val="259D545F"/>
    <w:rsid w:val="25A149AC"/>
    <w:rsid w:val="25A642CD"/>
    <w:rsid w:val="25AF3F32"/>
    <w:rsid w:val="25B22A3B"/>
    <w:rsid w:val="25BA2D11"/>
    <w:rsid w:val="25C206E3"/>
    <w:rsid w:val="25C654B7"/>
    <w:rsid w:val="25D02B1C"/>
    <w:rsid w:val="25D26FA5"/>
    <w:rsid w:val="25D97596"/>
    <w:rsid w:val="25DC5BE4"/>
    <w:rsid w:val="25E37902"/>
    <w:rsid w:val="25F044F9"/>
    <w:rsid w:val="25F74971"/>
    <w:rsid w:val="25FD1A05"/>
    <w:rsid w:val="26040109"/>
    <w:rsid w:val="26061962"/>
    <w:rsid w:val="260F672F"/>
    <w:rsid w:val="26175540"/>
    <w:rsid w:val="262C56B0"/>
    <w:rsid w:val="262F1527"/>
    <w:rsid w:val="2642755C"/>
    <w:rsid w:val="264436A6"/>
    <w:rsid w:val="26507D69"/>
    <w:rsid w:val="26590788"/>
    <w:rsid w:val="265D1B10"/>
    <w:rsid w:val="26640280"/>
    <w:rsid w:val="266D04E0"/>
    <w:rsid w:val="267D0DD4"/>
    <w:rsid w:val="268A18BB"/>
    <w:rsid w:val="26900E65"/>
    <w:rsid w:val="269308F5"/>
    <w:rsid w:val="269B5762"/>
    <w:rsid w:val="26A0140A"/>
    <w:rsid w:val="26A4480F"/>
    <w:rsid w:val="26AB027E"/>
    <w:rsid w:val="26AF758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4F2AF8"/>
    <w:rsid w:val="27537702"/>
    <w:rsid w:val="27644968"/>
    <w:rsid w:val="2771098E"/>
    <w:rsid w:val="27752950"/>
    <w:rsid w:val="27803467"/>
    <w:rsid w:val="278B23EE"/>
    <w:rsid w:val="279C7ABE"/>
    <w:rsid w:val="27A46AC2"/>
    <w:rsid w:val="27A70952"/>
    <w:rsid w:val="27AD5B8D"/>
    <w:rsid w:val="27B52D32"/>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763CA"/>
    <w:rsid w:val="284C1CF1"/>
    <w:rsid w:val="285259C3"/>
    <w:rsid w:val="286F0F65"/>
    <w:rsid w:val="28810C2F"/>
    <w:rsid w:val="28832153"/>
    <w:rsid w:val="28864B2C"/>
    <w:rsid w:val="288C402F"/>
    <w:rsid w:val="288F7370"/>
    <w:rsid w:val="28A86D3D"/>
    <w:rsid w:val="28AB6575"/>
    <w:rsid w:val="28AF56E0"/>
    <w:rsid w:val="28BF2E88"/>
    <w:rsid w:val="28C50D1F"/>
    <w:rsid w:val="28CA5CB4"/>
    <w:rsid w:val="28D63BF9"/>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E870B5"/>
    <w:rsid w:val="29F43C64"/>
    <w:rsid w:val="29FA25C8"/>
    <w:rsid w:val="29FC032F"/>
    <w:rsid w:val="29FD19B7"/>
    <w:rsid w:val="2A03307B"/>
    <w:rsid w:val="2A0D142F"/>
    <w:rsid w:val="2A0E5BA5"/>
    <w:rsid w:val="2A112438"/>
    <w:rsid w:val="2A121ADD"/>
    <w:rsid w:val="2A1808B1"/>
    <w:rsid w:val="2A1C72FC"/>
    <w:rsid w:val="2A2F17BE"/>
    <w:rsid w:val="2A31193B"/>
    <w:rsid w:val="2A363D92"/>
    <w:rsid w:val="2A3B23D3"/>
    <w:rsid w:val="2A463A10"/>
    <w:rsid w:val="2A463A27"/>
    <w:rsid w:val="2A6021EF"/>
    <w:rsid w:val="2A6A0AB6"/>
    <w:rsid w:val="2A7A288C"/>
    <w:rsid w:val="2A7A5040"/>
    <w:rsid w:val="2A7F5588"/>
    <w:rsid w:val="2A871EF8"/>
    <w:rsid w:val="2A94612D"/>
    <w:rsid w:val="2A99095C"/>
    <w:rsid w:val="2A9C5B40"/>
    <w:rsid w:val="2AA400F4"/>
    <w:rsid w:val="2AAC54BB"/>
    <w:rsid w:val="2AB57FF9"/>
    <w:rsid w:val="2ABA6371"/>
    <w:rsid w:val="2ABD299F"/>
    <w:rsid w:val="2AC329D5"/>
    <w:rsid w:val="2AC771F9"/>
    <w:rsid w:val="2ACC28DA"/>
    <w:rsid w:val="2AE11D66"/>
    <w:rsid w:val="2AEA0AA0"/>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CF35216"/>
    <w:rsid w:val="2D016444"/>
    <w:rsid w:val="2D0B00A7"/>
    <w:rsid w:val="2D12077C"/>
    <w:rsid w:val="2D134418"/>
    <w:rsid w:val="2D270FD0"/>
    <w:rsid w:val="2D277EFB"/>
    <w:rsid w:val="2D31047C"/>
    <w:rsid w:val="2D3178DC"/>
    <w:rsid w:val="2D324DB9"/>
    <w:rsid w:val="2D4E3F0C"/>
    <w:rsid w:val="2D646B9E"/>
    <w:rsid w:val="2D6D1127"/>
    <w:rsid w:val="2D700E9E"/>
    <w:rsid w:val="2D85539C"/>
    <w:rsid w:val="2D976683"/>
    <w:rsid w:val="2DB27C81"/>
    <w:rsid w:val="2DB74C8F"/>
    <w:rsid w:val="2DCB05F1"/>
    <w:rsid w:val="2DE35338"/>
    <w:rsid w:val="2DE77F38"/>
    <w:rsid w:val="2E132BF2"/>
    <w:rsid w:val="2E161683"/>
    <w:rsid w:val="2E194F3D"/>
    <w:rsid w:val="2E3E0198"/>
    <w:rsid w:val="2E3F0BEE"/>
    <w:rsid w:val="2E4F0821"/>
    <w:rsid w:val="2E5015EC"/>
    <w:rsid w:val="2E521413"/>
    <w:rsid w:val="2E560939"/>
    <w:rsid w:val="2E5A7CD6"/>
    <w:rsid w:val="2E5E648E"/>
    <w:rsid w:val="2E743409"/>
    <w:rsid w:val="2E790DE1"/>
    <w:rsid w:val="2E7B7EC9"/>
    <w:rsid w:val="2E9136EE"/>
    <w:rsid w:val="2EC56BA9"/>
    <w:rsid w:val="2EC56BE5"/>
    <w:rsid w:val="2EC73785"/>
    <w:rsid w:val="2EF00893"/>
    <w:rsid w:val="2EFF3E52"/>
    <w:rsid w:val="2F08433B"/>
    <w:rsid w:val="2F136646"/>
    <w:rsid w:val="2F1B2581"/>
    <w:rsid w:val="2F1F371B"/>
    <w:rsid w:val="2F2F22BD"/>
    <w:rsid w:val="2F3557ED"/>
    <w:rsid w:val="2F363704"/>
    <w:rsid w:val="2F3D14B0"/>
    <w:rsid w:val="2F5762E2"/>
    <w:rsid w:val="2F61762B"/>
    <w:rsid w:val="2F724E7C"/>
    <w:rsid w:val="2F793F6A"/>
    <w:rsid w:val="2F7C397E"/>
    <w:rsid w:val="2F847853"/>
    <w:rsid w:val="2F962068"/>
    <w:rsid w:val="2F9E3716"/>
    <w:rsid w:val="2F9E5E02"/>
    <w:rsid w:val="2FA12592"/>
    <w:rsid w:val="2FA92ACB"/>
    <w:rsid w:val="2FB47BDE"/>
    <w:rsid w:val="2FC12E0D"/>
    <w:rsid w:val="2FC32224"/>
    <w:rsid w:val="2FD3657A"/>
    <w:rsid w:val="2FDD2E8E"/>
    <w:rsid w:val="2FDE3125"/>
    <w:rsid w:val="2FE93CC7"/>
    <w:rsid w:val="2FEC0550"/>
    <w:rsid w:val="2FED2320"/>
    <w:rsid w:val="2FF260EA"/>
    <w:rsid w:val="2FF3094F"/>
    <w:rsid w:val="2FFD0C0E"/>
    <w:rsid w:val="300D20E3"/>
    <w:rsid w:val="300D36B9"/>
    <w:rsid w:val="301B2328"/>
    <w:rsid w:val="30225849"/>
    <w:rsid w:val="30315EDA"/>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D90799"/>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A20742"/>
    <w:rsid w:val="31B36D87"/>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865A2"/>
    <w:rsid w:val="32D817FB"/>
    <w:rsid w:val="32E75208"/>
    <w:rsid w:val="32FE6CC1"/>
    <w:rsid w:val="330E2F53"/>
    <w:rsid w:val="330F4321"/>
    <w:rsid w:val="3317426F"/>
    <w:rsid w:val="331F2416"/>
    <w:rsid w:val="33260724"/>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1162E1"/>
    <w:rsid w:val="34244795"/>
    <w:rsid w:val="342B7310"/>
    <w:rsid w:val="342F343D"/>
    <w:rsid w:val="34482B77"/>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47AB7"/>
    <w:rsid w:val="34E75F12"/>
    <w:rsid w:val="34F32500"/>
    <w:rsid w:val="34F338FE"/>
    <w:rsid w:val="350A5CF4"/>
    <w:rsid w:val="351F2F82"/>
    <w:rsid w:val="3535293E"/>
    <w:rsid w:val="3536502B"/>
    <w:rsid w:val="353665BD"/>
    <w:rsid w:val="35371562"/>
    <w:rsid w:val="355B65B2"/>
    <w:rsid w:val="355D4F81"/>
    <w:rsid w:val="35705AE4"/>
    <w:rsid w:val="35824905"/>
    <w:rsid w:val="35843F72"/>
    <w:rsid w:val="35862A9A"/>
    <w:rsid w:val="35970273"/>
    <w:rsid w:val="35C74E47"/>
    <w:rsid w:val="35E24DF5"/>
    <w:rsid w:val="35FC0320"/>
    <w:rsid w:val="35FC78A0"/>
    <w:rsid w:val="35FF3C90"/>
    <w:rsid w:val="35FF463C"/>
    <w:rsid w:val="3606454A"/>
    <w:rsid w:val="360C6E10"/>
    <w:rsid w:val="360D4DD7"/>
    <w:rsid w:val="361124A4"/>
    <w:rsid w:val="36132896"/>
    <w:rsid w:val="36251E52"/>
    <w:rsid w:val="3633222C"/>
    <w:rsid w:val="363407F7"/>
    <w:rsid w:val="3638445C"/>
    <w:rsid w:val="36434D26"/>
    <w:rsid w:val="36470DE8"/>
    <w:rsid w:val="364D39D1"/>
    <w:rsid w:val="364E3F72"/>
    <w:rsid w:val="365612E8"/>
    <w:rsid w:val="366513C8"/>
    <w:rsid w:val="3686608C"/>
    <w:rsid w:val="368E7A3C"/>
    <w:rsid w:val="36AD62EF"/>
    <w:rsid w:val="36B4674F"/>
    <w:rsid w:val="36B756F0"/>
    <w:rsid w:val="36C04CF9"/>
    <w:rsid w:val="36CA1F25"/>
    <w:rsid w:val="36DE0951"/>
    <w:rsid w:val="36F210B1"/>
    <w:rsid w:val="36F901E6"/>
    <w:rsid w:val="37007AC7"/>
    <w:rsid w:val="37133063"/>
    <w:rsid w:val="371722E2"/>
    <w:rsid w:val="371D335B"/>
    <w:rsid w:val="371F6EDC"/>
    <w:rsid w:val="372A09FA"/>
    <w:rsid w:val="37330115"/>
    <w:rsid w:val="373529C0"/>
    <w:rsid w:val="37462CD5"/>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3704FE"/>
    <w:rsid w:val="385E6AEF"/>
    <w:rsid w:val="38A00A0E"/>
    <w:rsid w:val="38A172FA"/>
    <w:rsid w:val="38A23923"/>
    <w:rsid w:val="38B10FD3"/>
    <w:rsid w:val="38B12660"/>
    <w:rsid w:val="38DA68DA"/>
    <w:rsid w:val="38DC7DB9"/>
    <w:rsid w:val="38DE2E10"/>
    <w:rsid w:val="38E12A24"/>
    <w:rsid w:val="38E7522B"/>
    <w:rsid w:val="38F172EC"/>
    <w:rsid w:val="38FA46B4"/>
    <w:rsid w:val="39053626"/>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6A6FF0"/>
    <w:rsid w:val="3A791CD8"/>
    <w:rsid w:val="3A9611FB"/>
    <w:rsid w:val="3AB06356"/>
    <w:rsid w:val="3AB77E36"/>
    <w:rsid w:val="3AC20A9E"/>
    <w:rsid w:val="3ACA5143"/>
    <w:rsid w:val="3ACC7E1E"/>
    <w:rsid w:val="3ADC43DB"/>
    <w:rsid w:val="3AE13593"/>
    <w:rsid w:val="3AE20C06"/>
    <w:rsid w:val="3AE95AC8"/>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66851"/>
    <w:rsid w:val="3B97118C"/>
    <w:rsid w:val="3B9B6F13"/>
    <w:rsid w:val="3B9E20F8"/>
    <w:rsid w:val="3BAE3267"/>
    <w:rsid w:val="3BC05AA5"/>
    <w:rsid w:val="3BCD738B"/>
    <w:rsid w:val="3BD3218F"/>
    <w:rsid w:val="3BE5760A"/>
    <w:rsid w:val="3BE95FBF"/>
    <w:rsid w:val="3BF736C7"/>
    <w:rsid w:val="3C0134AE"/>
    <w:rsid w:val="3C0D7EBC"/>
    <w:rsid w:val="3C193F39"/>
    <w:rsid w:val="3C35789E"/>
    <w:rsid w:val="3C3A17EA"/>
    <w:rsid w:val="3C3E6D60"/>
    <w:rsid w:val="3C4B2C39"/>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43404"/>
    <w:rsid w:val="3D2B2775"/>
    <w:rsid w:val="3D2C60B6"/>
    <w:rsid w:val="3D422B64"/>
    <w:rsid w:val="3D441D96"/>
    <w:rsid w:val="3D4D2A46"/>
    <w:rsid w:val="3D500385"/>
    <w:rsid w:val="3D5A44CB"/>
    <w:rsid w:val="3D5A54B8"/>
    <w:rsid w:val="3D6025AF"/>
    <w:rsid w:val="3D647CD4"/>
    <w:rsid w:val="3D7B49B3"/>
    <w:rsid w:val="3D84454D"/>
    <w:rsid w:val="3D8D259B"/>
    <w:rsid w:val="3D8D2E74"/>
    <w:rsid w:val="3D940183"/>
    <w:rsid w:val="3D94569F"/>
    <w:rsid w:val="3DAD4BED"/>
    <w:rsid w:val="3DB328C2"/>
    <w:rsid w:val="3DCC12F0"/>
    <w:rsid w:val="3DCF4CC6"/>
    <w:rsid w:val="3DD46CC7"/>
    <w:rsid w:val="3DE17BB9"/>
    <w:rsid w:val="3DE41CDC"/>
    <w:rsid w:val="3DE4495D"/>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BA00BA"/>
    <w:rsid w:val="3EC03348"/>
    <w:rsid w:val="3EC3043C"/>
    <w:rsid w:val="3EC8242A"/>
    <w:rsid w:val="3EC8679C"/>
    <w:rsid w:val="3ECE132F"/>
    <w:rsid w:val="3ED66E05"/>
    <w:rsid w:val="3EE5288B"/>
    <w:rsid w:val="3EEC123B"/>
    <w:rsid w:val="3EF9519B"/>
    <w:rsid w:val="3F027DD0"/>
    <w:rsid w:val="3F232D0D"/>
    <w:rsid w:val="3F257025"/>
    <w:rsid w:val="3F2763A2"/>
    <w:rsid w:val="3F293129"/>
    <w:rsid w:val="3F2E1337"/>
    <w:rsid w:val="3F2E2497"/>
    <w:rsid w:val="3F3203B7"/>
    <w:rsid w:val="3F3303B1"/>
    <w:rsid w:val="3F4152FA"/>
    <w:rsid w:val="3F4A339D"/>
    <w:rsid w:val="3F553F1E"/>
    <w:rsid w:val="3F66563F"/>
    <w:rsid w:val="3F6E7773"/>
    <w:rsid w:val="3F7F1757"/>
    <w:rsid w:val="3F8E7BF9"/>
    <w:rsid w:val="3F9F1936"/>
    <w:rsid w:val="3FAE53CD"/>
    <w:rsid w:val="3FBF2FE8"/>
    <w:rsid w:val="3FC00B58"/>
    <w:rsid w:val="3FDE02D2"/>
    <w:rsid w:val="3FFB6A4F"/>
    <w:rsid w:val="40016981"/>
    <w:rsid w:val="4002562A"/>
    <w:rsid w:val="400D69C0"/>
    <w:rsid w:val="401E0B4D"/>
    <w:rsid w:val="401E1F88"/>
    <w:rsid w:val="40266EE6"/>
    <w:rsid w:val="402D166A"/>
    <w:rsid w:val="40394E90"/>
    <w:rsid w:val="403A2EC7"/>
    <w:rsid w:val="40607E01"/>
    <w:rsid w:val="40653402"/>
    <w:rsid w:val="40654256"/>
    <w:rsid w:val="406E2D1C"/>
    <w:rsid w:val="407A1956"/>
    <w:rsid w:val="407C3AE5"/>
    <w:rsid w:val="407F1C79"/>
    <w:rsid w:val="409171F4"/>
    <w:rsid w:val="40942BDE"/>
    <w:rsid w:val="409B660A"/>
    <w:rsid w:val="40A96AA7"/>
    <w:rsid w:val="40AF72CE"/>
    <w:rsid w:val="40B04F11"/>
    <w:rsid w:val="40C27447"/>
    <w:rsid w:val="40CA627D"/>
    <w:rsid w:val="40D2308B"/>
    <w:rsid w:val="40D641E4"/>
    <w:rsid w:val="40DD7A15"/>
    <w:rsid w:val="40E23B33"/>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33E46"/>
    <w:rsid w:val="418718DD"/>
    <w:rsid w:val="418E755B"/>
    <w:rsid w:val="41975AE6"/>
    <w:rsid w:val="419A0534"/>
    <w:rsid w:val="419B5637"/>
    <w:rsid w:val="41A50C0C"/>
    <w:rsid w:val="41A7672E"/>
    <w:rsid w:val="41AB30BD"/>
    <w:rsid w:val="41C16449"/>
    <w:rsid w:val="41CB028C"/>
    <w:rsid w:val="41EC4267"/>
    <w:rsid w:val="41F64494"/>
    <w:rsid w:val="42101E16"/>
    <w:rsid w:val="4212294F"/>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F46B8"/>
    <w:rsid w:val="432129E2"/>
    <w:rsid w:val="432B0A09"/>
    <w:rsid w:val="43441DEB"/>
    <w:rsid w:val="4345375F"/>
    <w:rsid w:val="434B6E74"/>
    <w:rsid w:val="4357300A"/>
    <w:rsid w:val="43621BFB"/>
    <w:rsid w:val="43654953"/>
    <w:rsid w:val="43675239"/>
    <w:rsid w:val="4372656A"/>
    <w:rsid w:val="437300B3"/>
    <w:rsid w:val="43756941"/>
    <w:rsid w:val="437F77BC"/>
    <w:rsid w:val="43801B7A"/>
    <w:rsid w:val="438028DB"/>
    <w:rsid w:val="43830C99"/>
    <w:rsid w:val="43864E40"/>
    <w:rsid w:val="43933756"/>
    <w:rsid w:val="439C453E"/>
    <w:rsid w:val="43B53A2B"/>
    <w:rsid w:val="43B823A9"/>
    <w:rsid w:val="43BE6232"/>
    <w:rsid w:val="43C01AD5"/>
    <w:rsid w:val="43D349E2"/>
    <w:rsid w:val="43D40CA3"/>
    <w:rsid w:val="43D951C6"/>
    <w:rsid w:val="43D95633"/>
    <w:rsid w:val="43DA1716"/>
    <w:rsid w:val="44011F00"/>
    <w:rsid w:val="44057C4B"/>
    <w:rsid w:val="44062C0D"/>
    <w:rsid w:val="44174544"/>
    <w:rsid w:val="441C152A"/>
    <w:rsid w:val="44320154"/>
    <w:rsid w:val="44385C50"/>
    <w:rsid w:val="44415838"/>
    <w:rsid w:val="4449591C"/>
    <w:rsid w:val="444F6752"/>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830823"/>
    <w:rsid w:val="45862A66"/>
    <w:rsid w:val="458C5E75"/>
    <w:rsid w:val="45912560"/>
    <w:rsid w:val="45BA3A4B"/>
    <w:rsid w:val="45C168FC"/>
    <w:rsid w:val="45E42AD7"/>
    <w:rsid w:val="45E44565"/>
    <w:rsid w:val="45ED675F"/>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31429"/>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783650"/>
    <w:rsid w:val="47876B9F"/>
    <w:rsid w:val="479236A7"/>
    <w:rsid w:val="47953EA1"/>
    <w:rsid w:val="47985C20"/>
    <w:rsid w:val="47A213C0"/>
    <w:rsid w:val="47B76453"/>
    <w:rsid w:val="47C2640D"/>
    <w:rsid w:val="47CA5946"/>
    <w:rsid w:val="47DC4284"/>
    <w:rsid w:val="47DF7B1C"/>
    <w:rsid w:val="47E8372E"/>
    <w:rsid w:val="47F21EF0"/>
    <w:rsid w:val="47F5197C"/>
    <w:rsid w:val="47F95DB7"/>
    <w:rsid w:val="480B45A0"/>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C5552"/>
    <w:rsid w:val="489D3C05"/>
    <w:rsid w:val="48A86830"/>
    <w:rsid w:val="48AB0568"/>
    <w:rsid w:val="48AF7082"/>
    <w:rsid w:val="48B23A8E"/>
    <w:rsid w:val="48C170BE"/>
    <w:rsid w:val="48C37480"/>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109D3"/>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C68C2"/>
    <w:rsid w:val="4ACF2AC4"/>
    <w:rsid w:val="4ADB40EF"/>
    <w:rsid w:val="4ADD4949"/>
    <w:rsid w:val="4ADF497B"/>
    <w:rsid w:val="4AE86A3E"/>
    <w:rsid w:val="4AF331A0"/>
    <w:rsid w:val="4AF7270C"/>
    <w:rsid w:val="4AF81756"/>
    <w:rsid w:val="4AFB4707"/>
    <w:rsid w:val="4B037587"/>
    <w:rsid w:val="4B0C10BD"/>
    <w:rsid w:val="4B251F7E"/>
    <w:rsid w:val="4B33627A"/>
    <w:rsid w:val="4B356505"/>
    <w:rsid w:val="4B3A331C"/>
    <w:rsid w:val="4B3D32A5"/>
    <w:rsid w:val="4B425199"/>
    <w:rsid w:val="4B503E7D"/>
    <w:rsid w:val="4B5526A6"/>
    <w:rsid w:val="4B6140D7"/>
    <w:rsid w:val="4B6A739A"/>
    <w:rsid w:val="4B6B2FC4"/>
    <w:rsid w:val="4B720A2E"/>
    <w:rsid w:val="4B746000"/>
    <w:rsid w:val="4B816AF3"/>
    <w:rsid w:val="4B84080B"/>
    <w:rsid w:val="4BBA5C6F"/>
    <w:rsid w:val="4BC3761F"/>
    <w:rsid w:val="4BEE2702"/>
    <w:rsid w:val="4BF03667"/>
    <w:rsid w:val="4BF1539E"/>
    <w:rsid w:val="4C0D69A5"/>
    <w:rsid w:val="4C114E73"/>
    <w:rsid w:val="4C1D41C6"/>
    <w:rsid w:val="4C276414"/>
    <w:rsid w:val="4C30348B"/>
    <w:rsid w:val="4C3A1B69"/>
    <w:rsid w:val="4C457E06"/>
    <w:rsid w:val="4C486022"/>
    <w:rsid w:val="4C533964"/>
    <w:rsid w:val="4C561AA4"/>
    <w:rsid w:val="4C564748"/>
    <w:rsid w:val="4C5653EF"/>
    <w:rsid w:val="4C58759F"/>
    <w:rsid w:val="4C6E490F"/>
    <w:rsid w:val="4C7A3E0A"/>
    <w:rsid w:val="4C992C68"/>
    <w:rsid w:val="4C9A24A5"/>
    <w:rsid w:val="4CB4751A"/>
    <w:rsid w:val="4CC80B32"/>
    <w:rsid w:val="4CD36081"/>
    <w:rsid w:val="4CD715B6"/>
    <w:rsid w:val="4CE34671"/>
    <w:rsid w:val="4CFE58B7"/>
    <w:rsid w:val="4D0D5045"/>
    <w:rsid w:val="4D0F534D"/>
    <w:rsid w:val="4D241DA1"/>
    <w:rsid w:val="4D2874FB"/>
    <w:rsid w:val="4D694853"/>
    <w:rsid w:val="4D6E3730"/>
    <w:rsid w:val="4D7D0B22"/>
    <w:rsid w:val="4D964BDE"/>
    <w:rsid w:val="4DA22F6F"/>
    <w:rsid w:val="4DA366F2"/>
    <w:rsid w:val="4DA65D61"/>
    <w:rsid w:val="4DA74E33"/>
    <w:rsid w:val="4DA82C5E"/>
    <w:rsid w:val="4DAF51E3"/>
    <w:rsid w:val="4DB90D53"/>
    <w:rsid w:val="4DBD285B"/>
    <w:rsid w:val="4DC43E1F"/>
    <w:rsid w:val="4DCA651D"/>
    <w:rsid w:val="4DD455C4"/>
    <w:rsid w:val="4DEE1BA4"/>
    <w:rsid w:val="4DF85277"/>
    <w:rsid w:val="4DFC5B74"/>
    <w:rsid w:val="4E00643A"/>
    <w:rsid w:val="4E0B0A76"/>
    <w:rsid w:val="4E1A5E9B"/>
    <w:rsid w:val="4E204F8C"/>
    <w:rsid w:val="4E206385"/>
    <w:rsid w:val="4E220315"/>
    <w:rsid w:val="4E2B750E"/>
    <w:rsid w:val="4E5057CD"/>
    <w:rsid w:val="4E525C89"/>
    <w:rsid w:val="4E5F70ED"/>
    <w:rsid w:val="4E6C7842"/>
    <w:rsid w:val="4E716DD6"/>
    <w:rsid w:val="4E7D41EF"/>
    <w:rsid w:val="4E8743CF"/>
    <w:rsid w:val="4E8A19A2"/>
    <w:rsid w:val="4E90586D"/>
    <w:rsid w:val="4EA73499"/>
    <w:rsid w:val="4EAF6660"/>
    <w:rsid w:val="4EB3274A"/>
    <w:rsid w:val="4EC112A5"/>
    <w:rsid w:val="4EC27DC2"/>
    <w:rsid w:val="4EC55A56"/>
    <w:rsid w:val="4ECD7A91"/>
    <w:rsid w:val="4EE33A64"/>
    <w:rsid w:val="4EE520BF"/>
    <w:rsid w:val="4EEC2511"/>
    <w:rsid w:val="4F05494C"/>
    <w:rsid w:val="4F0D50A9"/>
    <w:rsid w:val="4F11126D"/>
    <w:rsid w:val="4F1A62E3"/>
    <w:rsid w:val="4F1E19C9"/>
    <w:rsid w:val="4F20737B"/>
    <w:rsid w:val="4F254CD6"/>
    <w:rsid w:val="4F311C64"/>
    <w:rsid w:val="4F460289"/>
    <w:rsid w:val="4F474CB8"/>
    <w:rsid w:val="4F4D512E"/>
    <w:rsid w:val="4F5D32F2"/>
    <w:rsid w:val="4F6F5597"/>
    <w:rsid w:val="4F737BC5"/>
    <w:rsid w:val="4F8306AF"/>
    <w:rsid w:val="4F897829"/>
    <w:rsid w:val="4F970DE9"/>
    <w:rsid w:val="4F971FC4"/>
    <w:rsid w:val="4F985CD1"/>
    <w:rsid w:val="4FA5268C"/>
    <w:rsid w:val="4FC804D5"/>
    <w:rsid w:val="4FCC1A25"/>
    <w:rsid w:val="4FDD6723"/>
    <w:rsid w:val="4FDF78E9"/>
    <w:rsid w:val="4FF22676"/>
    <w:rsid w:val="4FF42CFE"/>
    <w:rsid w:val="4FFE1B06"/>
    <w:rsid w:val="50047F66"/>
    <w:rsid w:val="500A40D7"/>
    <w:rsid w:val="501042C7"/>
    <w:rsid w:val="501A122A"/>
    <w:rsid w:val="502138A5"/>
    <w:rsid w:val="505A67EB"/>
    <w:rsid w:val="50654940"/>
    <w:rsid w:val="50750658"/>
    <w:rsid w:val="50765757"/>
    <w:rsid w:val="508C15FC"/>
    <w:rsid w:val="509C3829"/>
    <w:rsid w:val="50A85754"/>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2E0268"/>
    <w:rsid w:val="52353550"/>
    <w:rsid w:val="523A1249"/>
    <w:rsid w:val="524450A3"/>
    <w:rsid w:val="52510CC8"/>
    <w:rsid w:val="52583CBA"/>
    <w:rsid w:val="52643FB3"/>
    <w:rsid w:val="526E0E00"/>
    <w:rsid w:val="5270414C"/>
    <w:rsid w:val="528E64EB"/>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4555A6"/>
    <w:rsid w:val="53501B3A"/>
    <w:rsid w:val="53577FC1"/>
    <w:rsid w:val="5367646B"/>
    <w:rsid w:val="536F7FD1"/>
    <w:rsid w:val="537514ED"/>
    <w:rsid w:val="53815461"/>
    <w:rsid w:val="53987838"/>
    <w:rsid w:val="539E2F53"/>
    <w:rsid w:val="53A90282"/>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273ED"/>
    <w:rsid w:val="5414737F"/>
    <w:rsid w:val="541C389D"/>
    <w:rsid w:val="541F29DD"/>
    <w:rsid w:val="5422041B"/>
    <w:rsid w:val="54435191"/>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11126"/>
    <w:rsid w:val="556C60B3"/>
    <w:rsid w:val="55754E2B"/>
    <w:rsid w:val="55945D37"/>
    <w:rsid w:val="55AA0F8C"/>
    <w:rsid w:val="55C87E5B"/>
    <w:rsid w:val="55CD5E8D"/>
    <w:rsid w:val="55DB4561"/>
    <w:rsid w:val="55DC0F43"/>
    <w:rsid w:val="55E353AF"/>
    <w:rsid w:val="55EB1F25"/>
    <w:rsid w:val="55EE0C26"/>
    <w:rsid w:val="56177866"/>
    <w:rsid w:val="561A04E3"/>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D273C"/>
    <w:rsid w:val="571E1E61"/>
    <w:rsid w:val="57207A1E"/>
    <w:rsid w:val="57302766"/>
    <w:rsid w:val="573518D3"/>
    <w:rsid w:val="57501DED"/>
    <w:rsid w:val="575A1028"/>
    <w:rsid w:val="57634140"/>
    <w:rsid w:val="576524BB"/>
    <w:rsid w:val="576D6D93"/>
    <w:rsid w:val="577F5FA9"/>
    <w:rsid w:val="577F68C1"/>
    <w:rsid w:val="57812F5F"/>
    <w:rsid w:val="57A1557A"/>
    <w:rsid w:val="57C24C91"/>
    <w:rsid w:val="57CF2668"/>
    <w:rsid w:val="57D20CF9"/>
    <w:rsid w:val="57E70737"/>
    <w:rsid w:val="57EA2A94"/>
    <w:rsid w:val="57EB1FD6"/>
    <w:rsid w:val="57EE6662"/>
    <w:rsid w:val="57FC57BD"/>
    <w:rsid w:val="57FF6155"/>
    <w:rsid w:val="580140A6"/>
    <w:rsid w:val="580B6E3C"/>
    <w:rsid w:val="580C1C8E"/>
    <w:rsid w:val="580D7D81"/>
    <w:rsid w:val="58120B37"/>
    <w:rsid w:val="581E62DD"/>
    <w:rsid w:val="58291B84"/>
    <w:rsid w:val="582E254B"/>
    <w:rsid w:val="58342026"/>
    <w:rsid w:val="585673E9"/>
    <w:rsid w:val="58623049"/>
    <w:rsid w:val="586A54CE"/>
    <w:rsid w:val="586C3CC6"/>
    <w:rsid w:val="58783CFA"/>
    <w:rsid w:val="587B52C1"/>
    <w:rsid w:val="588D4442"/>
    <w:rsid w:val="58912178"/>
    <w:rsid w:val="58951088"/>
    <w:rsid w:val="58990FC0"/>
    <w:rsid w:val="58A14C54"/>
    <w:rsid w:val="58A64233"/>
    <w:rsid w:val="58AF4435"/>
    <w:rsid w:val="58BB3DC0"/>
    <w:rsid w:val="58C07FBB"/>
    <w:rsid w:val="58CC1EB8"/>
    <w:rsid w:val="58D95B4A"/>
    <w:rsid w:val="58DD409B"/>
    <w:rsid w:val="58E236F3"/>
    <w:rsid w:val="5906339C"/>
    <w:rsid w:val="59131292"/>
    <w:rsid w:val="59167DEA"/>
    <w:rsid w:val="59232A72"/>
    <w:rsid w:val="593B46B2"/>
    <w:rsid w:val="5942577F"/>
    <w:rsid w:val="59511F8F"/>
    <w:rsid w:val="59580B22"/>
    <w:rsid w:val="596A0C5D"/>
    <w:rsid w:val="5988042A"/>
    <w:rsid w:val="599041ED"/>
    <w:rsid w:val="59912541"/>
    <w:rsid w:val="59924FF5"/>
    <w:rsid w:val="599817E8"/>
    <w:rsid w:val="59A24E66"/>
    <w:rsid w:val="59B56492"/>
    <w:rsid w:val="59C35ACF"/>
    <w:rsid w:val="59C53B23"/>
    <w:rsid w:val="59D65B05"/>
    <w:rsid w:val="5A02182B"/>
    <w:rsid w:val="5A0D509A"/>
    <w:rsid w:val="5A2400DF"/>
    <w:rsid w:val="5A285981"/>
    <w:rsid w:val="5A38069B"/>
    <w:rsid w:val="5A552EDD"/>
    <w:rsid w:val="5A64740A"/>
    <w:rsid w:val="5A664CCE"/>
    <w:rsid w:val="5A680FE5"/>
    <w:rsid w:val="5A746011"/>
    <w:rsid w:val="5A764626"/>
    <w:rsid w:val="5A8A5E83"/>
    <w:rsid w:val="5AA20ED6"/>
    <w:rsid w:val="5AA423B5"/>
    <w:rsid w:val="5AA708CA"/>
    <w:rsid w:val="5AA775FF"/>
    <w:rsid w:val="5AAC551A"/>
    <w:rsid w:val="5AB37F0E"/>
    <w:rsid w:val="5ADA3FE6"/>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F22D70"/>
    <w:rsid w:val="5BF51892"/>
    <w:rsid w:val="5BF55195"/>
    <w:rsid w:val="5C0553DC"/>
    <w:rsid w:val="5C0C53F2"/>
    <w:rsid w:val="5C111495"/>
    <w:rsid w:val="5C165947"/>
    <w:rsid w:val="5C1739FF"/>
    <w:rsid w:val="5C182B40"/>
    <w:rsid w:val="5C3405B2"/>
    <w:rsid w:val="5C4863C1"/>
    <w:rsid w:val="5C61437B"/>
    <w:rsid w:val="5C637C18"/>
    <w:rsid w:val="5C6C3BD8"/>
    <w:rsid w:val="5C7A6CC5"/>
    <w:rsid w:val="5C8C06C1"/>
    <w:rsid w:val="5C992D62"/>
    <w:rsid w:val="5CB02287"/>
    <w:rsid w:val="5CC24B59"/>
    <w:rsid w:val="5CCC5196"/>
    <w:rsid w:val="5CDF5473"/>
    <w:rsid w:val="5CEF6584"/>
    <w:rsid w:val="5CF71428"/>
    <w:rsid w:val="5D121968"/>
    <w:rsid w:val="5D1773C9"/>
    <w:rsid w:val="5D187B04"/>
    <w:rsid w:val="5D254024"/>
    <w:rsid w:val="5D34149D"/>
    <w:rsid w:val="5D3B5726"/>
    <w:rsid w:val="5D4601B1"/>
    <w:rsid w:val="5D494DBC"/>
    <w:rsid w:val="5D4A48FA"/>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65BAC"/>
    <w:rsid w:val="5DF84E51"/>
    <w:rsid w:val="5E156A90"/>
    <w:rsid w:val="5E211BF7"/>
    <w:rsid w:val="5E294CFC"/>
    <w:rsid w:val="5E3564A3"/>
    <w:rsid w:val="5E39617D"/>
    <w:rsid w:val="5E400076"/>
    <w:rsid w:val="5E5A73BB"/>
    <w:rsid w:val="5E6572A9"/>
    <w:rsid w:val="5E6F4588"/>
    <w:rsid w:val="5E766ABA"/>
    <w:rsid w:val="5E790CA0"/>
    <w:rsid w:val="5E7945FC"/>
    <w:rsid w:val="5E930082"/>
    <w:rsid w:val="5E93121F"/>
    <w:rsid w:val="5EB351E3"/>
    <w:rsid w:val="5EB6009E"/>
    <w:rsid w:val="5EC43375"/>
    <w:rsid w:val="5ECB5E0F"/>
    <w:rsid w:val="5ED32946"/>
    <w:rsid w:val="5EE278D0"/>
    <w:rsid w:val="5F0E22EC"/>
    <w:rsid w:val="5F4C162A"/>
    <w:rsid w:val="5F4F10AF"/>
    <w:rsid w:val="5F5C4825"/>
    <w:rsid w:val="5F701D7B"/>
    <w:rsid w:val="5F727FC6"/>
    <w:rsid w:val="5F8874C5"/>
    <w:rsid w:val="5FA562EE"/>
    <w:rsid w:val="5FB67C3B"/>
    <w:rsid w:val="5FBA715C"/>
    <w:rsid w:val="5FBE789B"/>
    <w:rsid w:val="5FC469D3"/>
    <w:rsid w:val="5FD354DD"/>
    <w:rsid w:val="5FD862BD"/>
    <w:rsid w:val="5FDD0F28"/>
    <w:rsid w:val="5FDE4C57"/>
    <w:rsid w:val="5FE03BDF"/>
    <w:rsid w:val="60085D90"/>
    <w:rsid w:val="60265BCA"/>
    <w:rsid w:val="603A2B07"/>
    <w:rsid w:val="6040415C"/>
    <w:rsid w:val="6054527B"/>
    <w:rsid w:val="60613951"/>
    <w:rsid w:val="606705FB"/>
    <w:rsid w:val="607F45F5"/>
    <w:rsid w:val="607F6BA2"/>
    <w:rsid w:val="608E4E60"/>
    <w:rsid w:val="609A3A92"/>
    <w:rsid w:val="60A35595"/>
    <w:rsid w:val="60A652C9"/>
    <w:rsid w:val="60A94626"/>
    <w:rsid w:val="60B3575F"/>
    <w:rsid w:val="60BE3971"/>
    <w:rsid w:val="60C36BAA"/>
    <w:rsid w:val="60DA02C2"/>
    <w:rsid w:val="60E471F1"/>
    <w:rsid w:val="60F600EF"/>
    <w:rsid w:val="60F864F0"/>
    <w:rsid w:val="610244AA"/>
    <w:rsid w:val="61093E19"/>
    <w:rsid w:val="610A775B"/>
    <w:rsid w:val="611304E9"/>
    <w:rsid w:val="61186287"/>
    <w:rsid w:val="613045F7"/>
    <w:rsid w:val="613C19CF"/>
    <w:rsid w:val="6145645F"/>
    <w:rsid w:val="614B50C1"/>
    <w:rsid w:val="61517443"/>
    <w:rsid w:val="61593AF6"/>
    <w:rsid w:val="615E036B"/>
    <w:rsid w:val="6161797C"/>
    <w:rsid w:val="61705093"/>
    <w:rsid w:val="61791AAE"/>
    <w:rsid w:val="618F5E5F"/>
    <w:rsid w:val="61B00A1E"/>
    <w:rsid w:val="61C44FB6"/>
    <w:rsid w:val="61CA606C"/>
    <w:rsid w:val="61D3123E"/>
    <w:rsid w:val="61D4596C"/>
    <w:rsid w:val="61DE243F"/>
    <w:rsid w:val="61ED2A14"/>
    <w:rsid w:val="62006316"/>
    <w:rsid w:val="620C3E1D"/>
    <w:rsid w:val="621A51B1"/>
    <w:rsid w:val="621B7911"/>
    <w:rsid w:val="62244482"/>
    <w:rsid w:val="622446F8"/>
    <w:rsid w:val="622C2A0D"/>
    <w:rsid w:val="62364403"/>
    <w:rsid w:val="62387CD2"/>
    <w:rsid w:val="62436960"/>
    <w:rsid w:val="62521D8C"/>
    <w:rsid w:val="625C6B16"/>
    <w:rsid w:val="625F53CD"/>
    <w:rsid w:val="62604FDE"/>
    <w:rsid w:val="62686E91"/>
    <w:rsid w:val="627B5880"/>
    <w:rsid w:val="628B082A"/>
    <w:rsid w:val="6294124F"/>
    <w:rsid w:val="629C00D6"/>
    <w:rsid w:val="629C583C"/>
    <w:rsid w:val="629F5000"/>
    <w:rsid w:val="62CA2E80"/>
    <w:rsid w:val="62CB57FE"/>
    <w:rsid w:val="62D17676"/>
    <w:rsid w:val="62D32BA1"/>
    <w:rsid w:val="62E37288"/>
    <w:rsid w:val="63027145"/>
    <w:rsid w:val="63075750"/>
    <w:rsid w:val="630E1549"/>
    <w:rsid w:val="631040EF"/>
    <w:rsid w:val="63147EC5"/>
    <w:rsid w:val="63162979"/>
    <w:rsid w:val="631D7C98"/>
    <w:rsid w:val="632054A3"/>
    <w:rsid w:val="633571CC"/>
    <w:rsid w:val="633B709F"/>
    <w:rsid w:val="6348512C"/>
    <w:rsid w:val="634D0FFB"/>
    <w:rsid w:val="634D4E50"/>
    <w:rsid w:val="635A4FE5"/>
    <w:rsid w:val="635C7A8A"/>
    <w:rsid w:val="63607B63"/>
    <w:rsid w:val="636451F8"/>
    <w:rsid w:val="636655E8"/>
    <w:rsid w:val="6368274B"/>
    <w:rsid w:val="63864396"/>
    <w:rsid w:val="63AC40B1"/>
    <w:rsid w:val="63AC7B01"/>
    <w:rsid w:val="63B069B7"/>
    <w:rsid w:val="63B96A14"/>
    <w:rsid w:val="63C85E2C"/>
    <w:rsid w:val="63D92960"/>
    <w:rsid w:val="63E35F3A"/>
    <w:rsid w:val="63EC4F0E"/>
    <w:rsid w:val="63F0276B"/>
    <w:rsid w:val="63F43CF5"/>
    <w:rsid w:val="63FF4C2E"/>
    <w:rsid w:val="640A7A27"/>
    <w:rsid w:val="64104E63"/>
    <w:rsid w:val="6419743D"/>
    <w:rsid w:val="642D197F"/>
    <w:rsid w:val="64351649"/>
    <w:rsid w:val="64505561"/>
    <w:rsid w:val="6451172E"/>
    <w:rsid w:val="645B218B"/>
    <w:rsid w:val="64615543"/>
    <w:rsid w:val="646949A2"/>
    <w:rsid w:val="646A5923"/>
    <w:rsid w:val="64721FA0"/>
    <w:rsid w:val="64752152"/>
    <w:rsid w:val="64802D6E"/>
    <w:rsid w:val="6481537F"/>
    <w:rsid w:val="64A37A75"/>
    <w:rsid w:val="64B7696A"/>
    <w:rsid w:val="64BF2823"/>
    <w:rsid w:val="64C64792"/>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8D546D"/>
    <w:rsid w:val="65931D3A"/>
    <w:rsid w:val="659822DD"/>
    <w:rsid w:val="65A3380C"/>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1273BE"/>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D440E3"/>
    <w:rsid w:val="67D514C6"/>
    <w:rsid w:val="67EA233A"/>
    <w:rsid w:val="67EF30B3"/>
    <w:rsid w:val="67FB3432"/>
    <w:rsid w:val="68061993"/>
    <w:rsid w:val="680D0939"/>
    <w:rsid w:val="68237FD2"/>
    <w:rsid w:val="68252054"/>
    <w:rsid w:val="68331294"/>
    <w:rsid w:val="68394CF3"/>
    <w:rsid w:val="684224C0"/>
    <w:rsid w:val="684557CE"/>
    <w:rsid w:val="68466D27"/>
    <w:rsid w:val="685F5D48"/>
    <w:rsid w:val="686A00C3"/>
    <w:rsid w:val="686D127F"/>
    <w:rsid w:val="687067F6"/>
    <w:rsid w:val="68741E62"/>
    <w:rsid w:val="6874371C"/>
    <w:rsid w:val="68747A3A"/>
    <w:rsid w:val="6878198F"/>
    <w:rsid w:val="68802A41"/>
    <w:rsid w:val="6885133E"/>
    <w:rsid w:val="689078F6"/>
    <w:rsid w:val="689304A0"/>
    <w:rsid w:val="68B65617"/>
    <w:rsid w:val="68B729D2"/>
    <w:rsid w:val="68B93D81"/>
    <w:rsid w:val="68BC7885"/>
    <w:rsid w:val="68D1337E"/>
    <w:rsid w:val="68D500F3"/>
    <w:rsid w:val="68E3352F"/>
    <w:rsid w:val="68E65278"/>
    <w:rsid w:val="68EC04DE"/>
    <w:rsid w:val="68FC7FC0"/>
    <w:rsid w:val="69022832"/>
    <w:rsid w:val="69093CAF"/>
    <w:rsid w:val="690B7520"/>
    <w:rsid w:val="691200AE"/>
    <w:rsid w:val="69152147"/>
    <w:rsid w:val="69285AA8"/>
    <w:rsid w:val="6931256A"/>
    <w:rsid w:val="69317031"/>
    <w:rsid w:val="694C0DAA"/>
    <w:rsid w:val="69647D29"/>
    <w:rsid w:val="697E74B0"/>
    <w:rsid w:val="6992357A"/>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6E3D4B"/>
    <w:rsid w:val="6A817C93"/>
    <w:rsid w:val="6A83685F"/>
    <w:rsid w:val="6A871F0C"/>
    <w:rsid w:val="6A897C0D"/>
    <w:rsid w:val="6A8D10DF"/>
    <w:rsid w:val="6A90546D"/>
    <w:rsid w:val="6AA320BF"/>
    <w:rsid w:val="6AB5211E"/>
    <w:rsid w:val="6ABF0E6A"/>
    <w:rsid w:val="6AD97F5A"/>
    <w:rsid w:val="6AE66347"/>
    <w:rsid w:val="6AF42FD3"/>
    <w:rsid w:val="6B05038A"/>
    <w:rsid w:val="6B176BC8"/>
    <w:rsid w:val="6B2B66DF"/>
    <w:rsid w:val="6B716202"/>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6B3E3B"/>
    <w:rsid w:val="6C774EA5"/>
    <w:rsid w:val="6C77611C"/>
    <w:rsid w:val="6C7D1340"/>
    <w:rsid w:val="6C8A7F22"/>
    <w:rsid w:val="6C8E2466"/>
    <w:rsid w:val="6C900289"/>
    <w:rsid w:val="6C917687"/>
    <w:rsid w:val="6C957B96"/>
    <w:rsid w:val="6C973107"/>
    <w:rsid w:val="6C9D26A9"/>
    <w:rsid w:val="6CB561E6"/>
    <w:rsid w:val="6CC02E2E"/>
    <w:rsid w:val="6CCB53A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E22A7"/>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1A2251"/>
    <w:rsid w:val="6F1A6D0C"/>
    <w:rsid w:val="6F227B1E"/>
    <w:rsid w:val="6F231DFF"/>
    <w:rsid w:val="6F2A675D"/>
    <w:rsid w:val="6F5C3578"/>
    <w:rsid w:val="6F7F78D9"/>
    <w:rsid w:val="6F844DBC"/>
    <w:rsid w:val="6F8715EB"/>
    <w:rsid w:val="6F8725F7"/>
    <w:rsid w:val="6F8C1686"/>
    <w:rsid w:val="6FAD579E"/>
    <w:rsid w:val="6FB65B07"/>
    <w:rsid w:val="6FBD6232"/>
    <w:rsid w:val="6FC01F8F"/>
    <w:rsid w:val="6FDC1942"/>
    <w:rsid w:val="6FE06C43"/>
    <w:rsid w:val="6FE20202"/>
    <w:rsid w:val="6FEC283D"/>
    <w:rsid w:val="6FF1266F"/>
    <w:rsid w:val="6FF93153"/>
    <w:rsid w:val="6FFA2C08"/>
    <w:rsid w:val="700C21C5"/>
    <w:rsid w:val="70246D82"/>
    <w:rsid w:val="702A275D"/>
    <w:rsid w:val="70382C39"/>
    <w:rsid w:val="703D65DA"/>
    <w:rsid w:val="703F5BF3"/>
    <w:rsid w:val="704551BF"/>
    <w:rsid w:val="704C260E"/>
    <w:rsid w:val="70543CE2"/>
    <w:rsid w:val="70561F0A"/>
    <w:rsid w:val="706458F5"/>
    <w:rsid w:val="707675BB"/>
    <w:rsid w:val="70883251"/>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C65A4"/>
    <w:rsid w:val="70F82D59"/>
    <w:rsid w:val="710515F9"/>
    <w:rsid w:val="711606F7"/>
    <w:rsid w:val="71275730"/>
    <w:rsid w:val="712E302C"/>
    <w:rsid w:val="713043DC"/>
    <w:rsid w:val="7136359B"/>
    <w:rsid w:val="714F1722"/>
    <w:rsid w:val="717179D7"/>
    <w:rsid w:val="7175261E"/>
    <w:rsid w:val="7175696F"/>
    <w:rsid w:val="7198256C"/>
    <w:rsid w:val="719C7B18"/>
    <w:rsid w:val="719E7939"/>
    <w:rsid w:val="719F49F9"/>
    <w:rsid w:val="71B95573"/>
    <w:rsid w:val="71BB5741"/>
    <w:rsid w:val="71C30E32"/>
    <w:rsid w:val="71CE7B26"/>
    <w:rsid w:val="71DB6D74"/>
    <w:rsid w:val="71E0131C"/>
    <w:rsid w:val="71E02D3A"/>
    <w:rsid w:val="71EB7849"/>
    <w:rsid w:val="71EC1C07"/>
    <w:rsid w:val="71F24FB3"/>
    <w:rsid w:val="71F52906"/>
    <w:rsid w:val="720D1F2F"/>
    <w:rsid w:val="72217E8B"/>
    <w:rsid w:val="72256327"/>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3F2E"/>
    <w:rsid w:val="73043142"/>
    <w:rsid w:val="7309555D"/>
    <w:rsid w:val="73150018"/>
    <w:rsid w:val="731F472C"/>
    <w:rsid w:val="73225980"/>
    <w:rsid w:val="734C1455"/>
    <w:rsid w:val="73691C33"/>
    <w:rsid w:val="7373536B"/>
    <w:rsid w:val="737522CC"/>
    <w:rsid w:val="73770563"/>
    <w:rsid w:val="737C342A"/>
    <w:rsid w:val="737D37CC"/>
    <w:rsid w:val="738714E3"/>
    <w:rsid w:val="738B6531"/>
    <w:rsid w:val="738C4998"/>
    <w:rsid w:val="73A24FAD"/>
    <w:rsid w:val="73AA47FB"/>
    <w:rsid w:val="73AD7669"/>
    <w:rsid w:val="73B04BCD"/>
    <w:rsid w:val="73B65D64"/>
    <w:rsid w:val="73BC476F"/>
    <w:rsid w:val="73CE71BF"/>
    <w:rsid w:val="73D14BBF"/>
    <w:rsid w:val="73D36370"/>
    <w:rsid w:val="73E26FB6"/>
    <w:rsid w:val="73EC4687"/>
    <w:rsid w:val="73F932F6"/>
    <w:rsid w:val="73FD0584"/>
    <w:rsid w:val="7405558D"/>
    <w:rsid w:val="74126BC0"/>
    <w:rsid w:val="74150779"/>
    <w:rsid w:val="74273790"/>
    <w:rsid w:val="74432E49"/>
    <w:rsid w:val="744732F4"/>
    <w:rsid w:val="744D309E"/>
    <w:rsid w:val="744D6CEA"/>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2511EC"/>
    <w:rsid w:val="754B359F"/>
    <w:rsid w:val="75514745"/>
    <w:rsid w:val="755334CE"/>
    <w:rsid w:val="755976A1"/>
    <w:rsid w:val="756C77A6"/>
    <w:rsid w:val="758B7BC5"/>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E1C7F"/>
    <w:rsid w:val="760043B5"/>
    <w:rsid w:val="76044DBC"/>
    <w:rsid w:val="7608238C"/>
    <w:rsid w:val="76094850"/>
    <w:rsid w:val="762142B8"/>
    <w:rsid w:val="762A6911"/>
    <w:rsid w:val="762A6F77"/>
    <w:rsid w:val="762B7BC5"/>
    <w:rsid w:val="764A13AC"/>
    <w:rsid w:val="76504B2A"/>
    <w:rsid w:val="76515480"/>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F0EAD"/>
    <w:rsid w:val="77FB21B6"/>
    <w:rsid w:val="77FF444C"/>
    <w:rsid w:val="78102276"/>
    <w:rsid w:val="78164B46"/>
    <w:rsid w:val="781C7010"/>
    <w:rsid w:val="784C76E4"/>
    <w:rsid w:val="784D556E"/>
    <w:rsid w:val="784E76DC"/>
    <w:rsid w:val="786A010A"/>
    <w:rsid w:val="787C42DD"/>
    <w:rsid w:val="788A5451"/>
    <w:rsid w:val="789418F0"/>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22ABC"/>
    <w:rsid w:val="79162D4D"/>
    <w:rsid w:val="792D38DD"/>
    <w:rsid w:val="793C27D0"/>
    <w:rsid w:val="79421111"/>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2F35F7"/>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61676"/>
    <w:rsid w:val="7BFF4559"/>
    <w:rsid w:val="7C0827FE"/>
    <w:rsid w:val="7C1A756B"/>
    <w:rsid w:val="7C1B1028"/>
    <w:rsid w:val="7C226546"/>
    <w:rsid w:val="7C27745C"/>
    <w:rsid w:val="7C2B2034"/>
    <w:rsid w:val="7C3043FE"/>
    <w:rsid w:val="7C4401D8"/>
    <w:rsid w:val="7C455132"/>
    <w:rsid w:val="7C4E1254"/>
    <w:rsid w:val="7C4F607B"/>
    <w:rsid w:val="7C54745D"/>
    <w:rsid w:val="7C556A53"/>
    <w:rsid w:val="7C583982"/>
    <w:rsid w:val="7C7D0B32"/>
    <w:rsid w:val="7C804B0D"/>
    <w:rsid w:val="7C8C5EFB"/>
    <w:rsid w:val="7CA31AB6"/>
    <w:rsid w:val="7CA4518D"/>
    <w:rsid w:val="7CB660DA"/>
    <w:rsid w:val="7CBE5D37"/>
    <w:rsid w:val="7CD17149"/>
    <w:rsid w:val="7CD730F8"/>
    <w:rsid w:val="7CEF7B71"/>
    <w:rsid w:val="7CF37EDB"/>
    <w:rsid w:val="7CF659DD"/>
    <w:rsid w:val="7D027F2A"/>
    <w:rsid w:val="7D061726"/>
    <w:rsid w:val="7D0A1A32"/>
    <w:rsid w:val="7D0C1069"/>
    <w:rsid w:val="7D0E4B5B"/>
    <w:rsid w:val="7D1B6EB8"/>
    <w:rsid w:val="7D33504E"/>
    <w:rsid w:val="7D362C54"/>
    <w:rsid w:val="7D363C81"/>
    <w:rsid w:val="7D3C08AA"/>
    <w:rsid w:val="7D4928DE"/>
    <w:rsid w:val="7D4C641E"/>
    <w:rsid w:val="7D5A7C45"/>
    <w:rsid w:val="7D5C493C"/>
    <w:rsid w:val="7D8605C7"/>
    <w:rsid w:val="7DAE540F"/>
    <w:rsid w:val="7DB07FBB"/>
    <w:rsid w:val="7DB520AD"/>
    <w:rsid w:val="7DCB22D5"/>
    <w:rsid w:val="7DD535C7"/>
    <w:rsid w:val="7DD80B95"/>
    <w:rsid w:val="7DDC0344"/>
    <w:rsid w:val="7DE75F71"/>
    <w:rsid w:val="7DEA41A0"/>
    <w:rsid w:val="7DF1781A"/>
    <w:rsid w:val="7DF5241B"/>
    <w:rsid w:val="7DF7247F"/>
    <w:rsid w:val="7E0C5874"/>
    <w:rsid w:val="7E0D5730"/>
    <w:rsid w:val="7E1F2DD5"/>
    <w:rsid w:val="7E2A39F6"/>
    <w:rsid w:val="7E3C6DB1"/>
    <w:rsid w:val="7E4313B6"/>
    <w:rsid w:val="7E480690"/>
    <w:rsid w:val="7E513527"/>
    <w:rsid w:val="7E6071B0"/>
    <w:rsid w:val="7E804FCB"/>
    <w:rsid w:val="7E8E42BF"/>
    <w:rsid w:val="7E90670A"/>
    <w:rsid w:val="7E9212CE"/>
    <w:rsid w:val="7E9552F4"/>
    <w:rsid w:val="7E971EEC"/>
    <w:rsid w:val="7EA6705B"/>
    <w:rsid w:val="7ED44F77"/>
    <w:rsid w:val="7ED544B5"/>
    <w:rsid w:val="7EDB49B6"/>
    <w:rsid w:val="7EEE4464"/>
    <w:rsid w:val="7EEF0F32"/>
    <w:rsid w:val="7EF249D0"/>
    <w:rsid w:val="7F0C3E44"/>
    <w:rsid w:val="7F0D0F48"/>
    <w:rsid w:val="7F110E3B"/>
    <w:rsid w:val="7F1B5E8E"/>
    <w:rsid w:val="7F2E4552"/>
    <w:rsid w:val="7F3022EC"/>
    <w:rsid w:val="7F3360A4"/>
    <w:rsid w:val="7F366049"/>
    <w:rsid w:val="7F3950C2"/>
    <w:rsid w:val="7F3A08BE"/>
    <w:rsid w:val="7F3A609B"/>
    <w:rsid w:val="7F490B8E"/>
    <w:rsid w:val="7F4E3073"/>
    <w:rsid w:val="7F5117A9"/>
    <w:rsid w:val="7F6B5FB7"/>
    <w:rsid w:val="7F7119F3"/>
    <w:rsid w:val="7F853AB6"/>
    <w:rsid w:val="7F8D4C51"/>
    <w:rsid w:val="7F8F7D7D"/>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33"/>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toc 7"/>
    <w:basedOn w:val="1"/>
    <w:next w:val="1"/>
    <w:unhideWhenUsed/>
    <w:qFormat/>
    <w:uiPriority w:val="39"/>
    <w:pPr>
      <w:tabs>
        <w:tab w:val="clear" w:pos="0"/>
      </w:tabs>
      <w:adjustRightInd/>
      <w:snapToGrid/>
      <w:spacing w:line="240" w:lineRule="auto"/>
      <w:ind w:left="2520" w:leftChars="1200"/>
      <w:jc w:val="both"/>
    </w:pPr>
    <w:rPr>
      <w:rFonts w:asciiTheme="minorHAnsi" w:hAnsiTheme="minorHAnsi" w:eastAsiaTheme="minorEastAsia"/>
      <w:sz w:val="21"/>
      <w:szCs w:val="22"/>
    </w:rPr>
  </w:style>
  <w:style w:type="paragraph" w:styleId="11">
    <w:name w:val="annotation text"/>
    <w:basedOn w:val="1"/>
    <w:qFormat/>
    <w:uiPriority w:val="0"/>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5"/>
    <w:basedOn w:val="1"/>
    <w:next w:val="1"/>
    <w:unhideWhenUsed/>
    <w:qFormat/>
    <w:uiPriority w:val="39"/>
    <w:pPr>
      <w:tabs>
        <w:tab w:val="clear" w:pos="0"/>
      </w:tabs>
      <w:adjustRightInd/>
      <w:snapToGrid/>
      <w:spacing w:line="240" w:lineRule="auto"/>
      <w:ind w:left="1680" w:leftChars="800"/>
      <w:jc w:val="both"/>
    </w:pPr>
    <w:rPr>
      <w:rFonts w:asciiTheme="minorHAnsi" w:hAnsiTheme="minorHAnsi" w:eastAsiaTheme="minorEastAsia"/>
      <w:sz w:val="21"/>
      <w:szCs w:val="22"/>
    </w:rPr>
  </w:style>
  <w:style w:type="paragraph" w:styleId="14">
    <w:name w:val="toc 3"/>
    <w:basedOn w:val="1"/>
    <w:next w:val="1"/>
    <w:qFormat/>
    <w:uiPriority w:val="39"/>
    <w:pPr>
      <w:wordWrap w:val="0"/>
      <w:topLinePunct/>
      <w:spacing w:line="400" w:lineRule="exact"/>
      <w:ind w:left="840" w:leftChars="400"/>
    </w:pPr>
    <w:rPr>
      <w:sz w:val="21"/>
    </w:rPr>
  </w:style>
  <w:style w:type="paragraph" w:styleId="15">
    <w:name w:val="toc 8"/>
    <w:basedOn w:val="1"/>
    <w:next w:val="1"/>
    <w:unhideWhenUsed/>
    <w:qFormat/>
    <w:uiPriority w:val="39"/>
    <w:pPr>
      <w:tabs>
        <w:tab w:val="clear" w:pos="0"/>
      </w:tabs>
      <w:adjustRightInd/>
      <w:snapToGrid/>
      <w:spacing w:line="240" w:lineRule="auto"/>
      <w:ind w:left="2940" w:leftChars="1400"/>
      <w:jc w:val="both"/>
    </w:pPr>
    <w:rPr>
      <w:rFonts w:asciiTheme="minorHAnsi" w:hAnsiTheme="minorHAnsi" w:eastAsiaTheme="minorEastAsia"/>
      <w:sz w:val="21"/>
      <w:szCs w:val="22"/>
    </w:rPr>
  </w:style>
  <w:style w:type="paragraph" w:styleId="16">
    <w:name w:val="footer"/>
    <w:basedOn w:val="1"/>
    <w:link w:val="32"/>
    <w:qFormat/>
    <w:uiPriority w:val="0"/>
    <w:pPr>
      <w:spacing w:line="240" w:lineRule="auto"/>
    </w:pPr>
    <w:rPr>
      <w:sz w:val="18"/>
      <w:szCs w:val="18"/>
    </w:rPr>
  </w:style>
  <w:style w:type="paragraph" w:styleId="17">
    <w:name w:val="header"/>
    <w:basedOn w:val="1"/>
    <w:link w:val="31"/>
    <w:qFormat/>
    <w:uiPriority w:val="0"/>
    <w:pPr>
      <w:pBdr>
        <w:bottom w:val="single" w:color="auto" w:sz="6" w:space="1"/>
      </w:pBdr>
      <w:wordWrap w:val="0"/>
      <w:topLinePunct/>
      <w:spacing w:line="240" w:lineRule="auto"/>
      <w:jc w:val="center"/>
    </w:pPr>
    <w:rPr>
      <w:sz w:val="18"/>
      <w:szCs w:val="18"/>
    </w:rPr>
  </w:style>
  <w:style w:type="paragraph" w:styleId="18">
    <w:name w:val="toc 1"/>
    <w:basedOn w:val="1"/>
    <w:next w:val="1"/>
    <w:qFormat/>
    <w:uiPriority w:val="39"/>
    <w:pPr>
      <w:tabs>
        <w:tab w:val="right" w:leader="dot" w:pos="0"/>
        <w:tab w:val="right" w:leader="dot" w:pos="9746"/>
      </w:tabs>
      <w:wordWrap w:val="0"/>
      <w:topLinePunct/>
      <w:spacing w:line="400" w:lineRule="exact"/>
    </w:pPr>
    <w:rPr>
      <w:sz w:val="21"/>
    </w:rPr>
  </w:style>
  <w:style w:type="paragraph" w:styleId="19">
    <w:name w:val="toc 4"/>
    <w:basedOn w:val="1"/>
    <w:next w:val="1"/>
    <w:unhideWhenUsed/>
    <w:qFormat/>
    <w:uiPriority w:val="39"/>
    <w:pPr>
      <w:tabs>
        <w:tab w:val="clear" w:pos="0"/>
      </w:tabs>
      <w:adjustRightInd/>
      <w:snapToGrid/>
      <w:spacing w:line="240" w:lineRule="auto"/>
      <w:ind w:left="1260" w:leftChars="600"/>
      <w:jc w:val="both"/>
    </w:pPr>
    <w:rPr>
      <w:rFonts w:asciiTheme="minorHAnsi" w:hAnsiTheme="minorHAnsi" w:eastAsiaTheme="minorEastAsia"/>
      <w:sz w:val="21"/>
      <w:szCs w:val="22"/>
    </w:rPr>
  </w:style>
  <w:style w:type="paragraph" w:styleId="20">
    <w:name w:val="toc 6"/>
    <w:basedOn w:val="1"/>
    <w:next w:val="1"/>
    <w:unhideWhenUsed/>
    <w:qFormat/>
    <w:uiPriority w:val="39"/>
    <w:pPr>
      <w:tabs>
        <w:tab w:val="clear" w:pos="0"/>
      </w:tabs>
      <w:adjustRightInd/>
      <w:snapToGrid/>
      <w:spacing w:line="240" w:lineRule="auto"/>
      <w:ind w:left="2100" w:leftChars="1000"/>
      <w:jc w:val="both"/>
    </w:pPr>
    <w:rPr>
      <w:rFonts w:asciiTheme="minorHAnsi" w:hAnsiTheme="minorHAnsi" w:eastAsiaTheme="minorEastAsia"/>
      <w:sz w:val="21"/>
      <w:szCs w:val="22"/>
    </w:rPr>
  </w:style>
  <w:style w:type="paragraph" w:styleId="21">
    <w:name w:val="toc 2"/>
    <w:basedOn w:val="1"/>
    <w:next w:val="1"/>
    <w:qFormat/>
    <w:uiPriority w:val="39"/>
    <w:pPr>
      <w:wordWrap w:val="0"/>
      <w:topLinePunct/>
      <w:spacing w:line="400" w:lineRule="exact"/>
      <w:ind w:left="420" w:leftChars="200"/>
    </w:pPr>
    <w:rPr>
      <w:sz w:val="21"/>
    </w:rPr>
  </w:style>
  <w:style w:type="paragraph" w:styleId="22">
    <w:name w:val="toc 9"/>
    <w:basedOn w:val="1"/>
    <w:next w:val="1"/>
    <w:unhideWhenUsed/>
    <w:qFormat/>
    <w:uiPriority w:val="39"/>
    <w:pPr>
      <w:tabs>
        <w:tab w:val="clear" w:pos="0"/>
      </w:tabs>
      <w:adjustRightInd/>
      <w:snapToGrid/>
      <w:spacing w:line="240" w:lineRule="auto"/>
      <w:ind w:left="3360" w:leftChars="1600"/>
      <w:jc w:val="both"/>
    </w:pPr>
    <w:rPr>
      <w:rFonts w:asciiTheme="minorHAnsi" w:hAnsiTheme="minorHAnsi" w:eastAsiaTheme="minorEastAsia"/>
      <w:sz w:val="21"/>
      <w:szCs w:val="22"/>
    </w:rPr>
  </w:style>
  <w:style w:type="paragraph" w:styleId="23">
    <w:name w:val="Normal (Web)"/>
    <w:basedOn w:val="1"/>
    <w:qFormat/>
    <w:uiPriority w:val="0"/>
    <w:pPr>
      <w:spacing w:beforeAutospacing="1" w:afterAutospacing="1"/>
    </w:pPr>
    <w:rPr>
      <w:rFonts w:cs="Times New Roman"/>
      <w:kern w:val="0"/>
    </w:rPr>
  </w:style>
  <w:style w:type="paragraph" w:styleId="24">
    <w:name w:val="Body Text First Indent 2"/>
    <w:basedOn w:val="12"/>
    <w:qFormat/>
    <w:uiPriority w:val="0"/>
    <w:pPr>
      <w:tabs>
        <w:tab w:val="left" w:pos="2700"/>
      </w:tabs>
      <w:ind w:firstLine="420" w:firstLineChars="200"/>
    </w:pPr>
    <w:rPr>
      <w:rFonts w:ascii="Times New Roman"/>
      <w:sz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99"/>
    <w:rPr>
      <w:color w:val="0000FF"/>
      <w:u w:val="single"/>
    </w:rPr>
  </w:style>
  <w:style w:type="paragraph" w:customStyle="1" w:styleId="29">
    <w:name w:val="标题 5（有编号）（绿盟科技）"/>
    <w:basedOn w:val="1"/>
    <w:next w:val="30"/>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1">
    <w:name w:val="页眉 Char"/>
    <w:basedOn w:val="27"/>
    <w:link w:val="17"/>
    <w:qFormat/>
    <w:uiPriority w:val="0"/>
    <w:rPr>
      <w:rFonts w:ascii="宋体" w:hAnsi="宋体" w:eastAsia="宋体" w:cstheme="minorBidi"/>
      <w:kern w:val="2"/>
      <w:sz w:val="18"/>
      <w:szCs w:val="18"/>
    </w:rPr>
  </w:style>
  <w:style w:type="character" w:customStyle="1" w:styleId="32">
    <w:name w:val="页脚 Char"/>
    <w:basedOn w:val="27"/>
    <w:link w:val="16"/>
    <w:qFormat/>
    <w:uiPriority w:val="0"/>
    <w:rPr>
      <w:rFonts w:ascii="宋体" w:hAnsi="宋体" w:eastAsia="宋体" w:cstheme="minorBidi"/>
      <w:kern w:val="2"/>
      <w:sz w:val="18"/>
      <w:szCs w:val="18"/>
    </w:rPr>
  </w:style>
  <w:style w:type="character" w:customStyle="1" w:styleId="33">
    <w:name w:val="标题 2 Char"/>
    <w:basedOn w:val="27"/>
    <w:link w:val="4"/>
    <w:qFormat/>
    <w:uiPriority w:val="0"/>
    <w:rPr>
      <w:rFonts w:ascii="Arial" w:hAnsi="Arial" w:eastAsia="黑体"/>
      <w:b/>
      <w:sz w:val="28"/>
    </w:rPr>
  </w:style>
  <w:style w:type="paragraph" w:customStyle="1" w:styleId="34">
    <w:name w:val="05、“(一)”正文三级标题"/>
    <w:basedOn w:val="1"/>
    <w:link w:val="59"/>
    <w:qFormat/>
    <w:uiPriority w:val="0"/>
    <w:pPr>
      <w:numPr>
        <w:ilvl w:val="1"/>
        <w:numId w:val="1"/>
      </w:numPr>
      <w:wordWrap w:val="0"/>
      <w:topLinePunct/>
      <w:ind w:firstLine="803" w:firstLineChars="200"/>
    </w:pPr>
  </w:style>
  <w:style w:type="paragraph" w:customStyle="1" w:styleId="35">
    <w:name w:val="00、封面正文(与其他内容无关的格式)"/>
    <w:basedOn w:val="1"/>
    <w:qFormat/>
    <w:uiPriority w:val="0"/>
  </w:style>
  <w:style w:type="paragraph" w:customStyle="1" w:styleId="36">
    <w:name w:val="15、“一、”二级标题"/>
    <w:basedOn w:val="1"/>
    <w:qFormat/>
    <w:uiPriority w:val="0"/>
    <w:pPr>
      <w:numPr>
        <w:ilvl w:val="1"/>
        <w:numId w:val="3"/>
      </w:numPr>
      <w:wordWrap w:val="0"/>
      <w:topLinePunct/>
      <w:ind w:firstLine="803" w:firstLineChars="200"/>
      <w:outlineLvl w:val="1"/>
    </w:pPr>
    <w:rPr>
      <w:b/>
    </w:rPr>
  </w:style>
  <w:style w:type="paragraph" w:customStyle="1" w:styleId="37">
    <w:name w:val="06、“1.”正文四级标题"/>
    <w:basedOn w:val="1"/>
    <w:link w:val="61"/>
    <w:qFormat/>
    <w:uiPriority w:val="0"/>
    <w:pPr>
      <w:numPr>
        <w:ilvl w:val="2"/>
        <w:numId w:val="1"/>
      </w:numPr>
      <w:wordWrap w:val="0"/>
      <w:topLinePunct/>
      <w:ind w:firstLine="803" w:firstLineChars="200"/>
    </w:pPr>
    <w:rPr>
      <w:snapToGrid w:val="0"/>
    </w:rPr>
  </w:style>
  <w:style w:type="paragraph" w:customStyle="1" w:styleId="38">
    <w:name w:val="07、“1.1”正文五级标题"/>
    <w:basedOn w:val="1"/>
    <w:link w:val="53"/>
    <w:qFormat/>
    <w:uiPriority w:val="0"/>
    <w:pPr>
      <w:numPr>
        <w:ilvl w:val="3"/>
        <w:numId w:val="1"/>
      </w:numPr>
      <w:ind w:firstLine="803" w:firstLineChars="200"/>
    </w:pPr>
  </w:style>
  <w:style w:type="paragraph" w:customStyle="1" w:styleId="39">
    <w:name w:val="08、“(1)”正文六级标题"/>
    <w:basedOn w:val="1"/>
    <w:link w:val="62"/>
    <w:qFormat/>
    <w:uiPriority w:val="0"/>
    <w:pPr>
      <w:numPr>
        <w:ilvl w:val="4"/>
        <w:numId w:val="1"/>
      </w:numPr>
      <w:ind w:firstLine="803" w:firstLineChars="200"/>
    </w:pPr>
    <w:rPr>
      <w:snapToGrid w:val="0"/>
    </w:rPr>
  </w:style>
  <w:style w:type="paragraph" w:customStyle="1" w:styleId="40">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1">
    <w:name w:val="10、“1.1”表格内二级标题"/>
    <w:basedOn w:val="1"/>
    <w:link w:val="52"/>
    <w:qFormat/>
    <w:uiPriority w:val="0"/>
    <w:pPr>
      <w:numPr>
        <w:ilvl w:val="1"/>
        <w:numId w:val="4"/>
      </w:numPr>
      <w:wordWrap w:val="0"/>
      <w:topLinePunct/>
      <w:spacing w:line="360" w:lineRule="exact"/>
      <w:ind w:left="48" w:leftChars="20"/>
    </w:pPr>
    <w:rPr>
      <w:snapToGrid w:val="0"/>
      <w:sz w:val="21"/>
    </w:rPr>
  </w:style>
  <w:style w:type="paragraph" w:customStyle="1" w:styleId="42">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3">
    <w:name w:val="12、表格内左对齐正文"/>
    <w:basedOn w:val="1"/>
    <w:link w:val="63"/>
    <w:qFormat/>
    <w:uiPriority w:val="0"/>
    <w:pPr>
      <w:wordWrap w:val="0"/>
      <w:topLinePunct/>
      <w:spacing w:line="360" w:lineRule="exact"/>
      <w:ind w:left="48" w:leftChars="20"/>
    </w:pPr>
    <w:rPr>
      <w:snapToGrid w:val="0"/>
      <w:sz w:val="21"/>
    </w:rPr>
  </w:style>
  <w:style w:type="paragraph" w:customStyle="1" w:styleId="44">
    <w:name w:val="01、普通正文"/>
    <w:basedOn w:val="1"/>
    <w:link w:val="57"/>
    <w:qFormat/>
    <w:uiPriority w:val="0"/>
    <w:pPr>
      <w:wordWrap w:val="0"/>
      <w:topLinePunct/>
    </w:pPr>
    <w:rPr>
      <w:snapToGrid w:val="0"/>
    </w:rPr>
  </w:style>
  <w:style w:type="paragraph" w:customStyle="1" w:styleId="45">
    <w:name w:val="20、第五章“(一)”三级标题"/>
    <w:basedOn w:val="44"/>
    <w:link w:val="54"/>
    <w:qFormat/>
    <w:uiPriority w:val="0"/>
    <w:pPr>
      <w:pageBreakBefore/>
      <w:spacing w:before="50" w:beforeLines="50" w:after="50" w:afterLines="50"/>
      <w:jc w:val="center"/>
      <w:outlineLvl w:val="2"/>
    </w:pPr>
    <w:rPr>
      <w:b/>
      <w:sz w:val="28"/>
    </w:rPr>
  </w:style>
  <w:style w:type="paragraph" w:customStyle="1" w:styleId="46">
    <w:name w:val="13、表格内居中正文"/>
    <w:basedOn w:val="1"/>
    <w:qFormat/>
    <w:uiPriority w:val="0"/>
    <w:pPr>
      <w:wordWrap w:val="0"/>
      <w:topLinePunct/>
      <w:spacing w:line="360" w:lineRule="exact"/>
      <w:jc w:val="center"/>
    </w:pPr>
    <w:rPr>
      <w:sz w:val="21"/>
    </w:rPr>
  </w:style>
  <w:style w:type="paragraph" w:customStyle="1" w:styleId="47">
    <w:name w:val="02、首行缩进2字符正文"/>
    <w:basedOn w:val="1"/>
    <w:link w:val="56"/>
    <w:qFormat/>
    <w:uiPriority w:val="0"/>
    <w:pPr>
      <w:wordWrap w:val="0"/>
      <w:topLinePunct/>
      <w:ind w:firstLine="480" w:firstLineChars="200"/>
    </w:pPr>
  </w:style>
  <w:style w:type="paragraph" w:customStyle="1" w:styleId="48">
    <w:name w:val="03、“注：”正文(加粗，首行缩进2字符)"/>
    <w:basedOn w:val="44"/>
    <w:link w:val="58"/>
    <w:qFormat/>
    <w:uiPriority w:val="0"/>
    <w:pPr>
      <w:ind w:firstLine="480" w:firstLineChars="200"/>
    </w:pPr>
    <w:rPr>
      <w:b/>
    </w:rPr>
  </w:style>
  <w:style w:type="paragraph" w:customStyle="1" w:styleId="49">
    <w:name w:val="14、“第一章”一级标题"/>
    <w:basedOn w:val="44"/>
    <w:qFormat/>
    <w:uiPriority w:val="0"/>
    <w:pPr>
      <w:numPr>
        <w:ilvl w:val="0"/>
        <w:numId w:val="3"/>
      </w:numPr>
      <w:spacing w:before="50" w:beforeLines="50" w:after="50" w:afterLines="50" w:line="240" w:lineRule="auto"/>
      <w:jc w:val="center"/>
      <w:outlineLvl w:val="0"/>
    </w:pPr>
    <w:rPr>
      <w:b/>
      <w:sz w:val="36"/>
    </w:rPr>
  </w:style>
  <w:style w:type="paragraph" w:customStyle="1" w:styleId="50">
    <w:name w:val="16、“(一)”三级标题"/>
    <w:basedOn w:val="44"/>
    <w:link w:val="55"/>
    <w:qFormat/>
    <w:uiPriority w:val="0"/>
    <w:pPr>
      <w:numPr>
        <w:ilvl w:val="2"/>
        <w:numId w:val="3"/>
      </w:numPr>
      <w:ind w:firstLine="803" w:firstLineChars="200"/>
      <w:outlineLvl w:val="2"/>
    </w:pPr>
    <w:rPr>
      <w:b/>
    </w:rPr>
  </w:style>
  <w:style w:type="paragraph" w:customStyle="1" w:styleId="51">
    <w:name w:val="04“一、”正文二级标题"/>
    <w:basedOn w:val="44"/>
    <w:link w:val="60"/>
    <w:qFormat/>
    <w:uiPriority w:val="0"/>
    <w:pPr>
      <w:ind w:firstLine="803" w:firstLineChars="200"/>
    </w:pPr>
  </w:style>
  <w:style w:type="character" w:customStyle="1" w:styleId="52">
    <w:name w:val="10、“1.1”表格内二级标题 Char"/>
    <w:link w:val="41"/>
    <w:qFormat/>
    <w:uiPriority w:val="0"/>
    <w:rPr>
      <w:rFonts w:ascii="宋体" w:hAnsi="宋体" w:eastAsia="宋体"/>
      <w:snapToGrid w:val="0"/>
      <w:sz w:val="21"/>
    </w:rPr>
  </w:style>
  <w:style w:type="character" w:customStyle="1" w:styleId="53">
    <w:name w:val="07、“1.1”正文五级标题 Char"/>
    <w:link w:val="38"/>
    <w:qFormat/>
    <w:uiPriority w:val="0"/>
    <w:rPr>
      <w:rFonts w:ascii="宋体" w:hAnsi="宋体" w:eastAsia="宋体"/>
    </w:rPr>
  </w:style>
  <w:style w:type="character" w:customStyle="1" w:styleId="54">
    <w:name w:val="18、第三章“(一)”三级标题 Char"/>
    <w:link w:val="45"/>
    <w:qFormat/>
    <w:uiPriority w:val="0"/>
    <w:rPr>
      <w:rFonts w:ascii="宋体" w:hAnsi="宋体" w:cstheme="minorBidi"/>
      <w:b/>
      <w:snapToGrid w:val="0"/>
      <w:kern w:val="2"/>
      <w:sz w:val="28"/>
      <w:szCs w:val="24"/>
    </w:rPr>
  </w:style>
  <w:style w:type="character" w:customStyle="1" w:styleId="55">
    <w:name w:val="16、“(一)”三级标题 Char"/>
    <w:link w:val="50"/>
    <w:qFormat/>
    <w:uiPriority w:val="0"/>
    <w:rPr>
      <w:rFonts w:ascii="宋体" w:hAnsi="宋体" w:eastAsia="宋体"/>
      <w:b/>
    </w:rPr>
  </w:style>
  <w:style w:type="character" w:customStyle="1" w:styleId="56">
    <w:name w:val="02、首行缩进2字符正文 Char"/>
    <w:link w:val="47"/>
    <w:qFormat/>
    <w:uiPriority w:val="0"/>
    <w:rPr>
      <w:rFonts w:ascii="宋体" w:hAnsi="宋体" w:eastAsia="宋体"/>
    </w:rPr>
  </w:style>
  <w:style w:type="character" w:customStyle="1" w:styleId="57">
    <w:name w:val="01、普通正文 Char"/>
    <w:link w:val="44"/>
    <w:qFormat/>
    <w:uiPriority w:val="0"/>
    <w:rPr>
      <w:rFonts w:ascii="宋体" w:hAnsi="宋体" w:eastAsia="宋体"/>
      <w:snapToGrid w:val="0"/>
    </w:rPr>
  </w:style>
  <w:style w:type="character" w:customStyle="1" w:styleId="58">
    <w:name w:val="03、“注：”正文(加粗，首行缩进2字符) Char"/>
    <w:link w:val="48"/>
    <w:qFormat/>
    <w:uiPriority w:val="0"/>
    <w:rPr>
      <w:b/>
    </w:rPr>
  </w:style>
  <w:style w:type="character" w:customStyle="1" w:styleId="59">
    <w:name w:val="05、“(一)”正文三级标题 Char"/>
    <w:link w:val="34"/>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37"/>
    <w:qFormat/>
    <w:uiPriority w:val="0"/>
    <w:rPr>
      <w:rFonts w:ascii="宋体" w:hAnsi="宋体" w:eastAsia="宋体"/>
      <w:snapToGrid w:val="0"/>
    </w:rPr>
  </w:style>
  <w:style w:type="character" w:customStyle="1" w:styleId="62">
    <w:name w:val="08、“(1)”正文六级标题 Char"/>
    <w:link w:val="39"/>
    <w:qFormat/>
    <w:uiPriority w:val="0"/>
    <w:rPr>
      <w:rFonts w:ascii="宋体" w:hAnsi="宋体" w:eastAsia="宋体"/>
      <w:snapToGrid w:val="0"/>
    </w:rPr>
  </w:style>
  <w:style w:type="character" w:customStyle="1" w:styleId="63">
    <w:name w:val="12、表格内左对齐正文 Char"/>
    <w:link w:val="43"/>
    <w:qFormat/>
    <w:uiPriority w:val="0"/>
    <w:rPr>
      <w:rFonts w:ascii="宋体" w:hAnsi="宋体" w:eastAsia="宋体"/>
      <w:snapToGrid w:val="0"/>
      <w:sz w:val="21"/>
    </w:rPr>
  </w:style>
  <w:style w:type="paragraph" w:customStyle="1" w:styleId="64">
    <w:name w:val="17“1.”四级标题"/>
    <w:basedOn w:val="47"/>
    <w:link w:val="68"/>
    <w:qFormat/>
    <w:uiPriority w:val="0"/>
    <w:pPr>
      <w:numPr>
        <w:ilvl w:val="3"/>
        <w:numId w:val="3"/>
      </w:numPr>
      <w:ind w:firstLine="803"/>
    </w:pPr>
  </w:style>
  <w:style w:type="paragraph" w:customStyle="1" w:styleId="65">
    <w:name w:val="18、“1.1”五级标题"/>
    <w:basedOn w:val="64"/>
    <w:qFormat/>
    <w:uiPriority w:val="0"/>
    <w:pPr>
      <w:numPr>
        <w:ilvl w:val="4"/>
      </w:numPr>
      <w:ind w:firstLine="803"/>
    </w:pPr>
  </w:style>
  <w:style w:type="paragraph" w:customStyle="1" w:styleId="66">
    <w:name w:val="19、“(1)”六级标题"/>
    <w:basedOn w:val="64"/>
    <w:qFormat/>
    <w:uiPriority w:val="0"/>
    <w:pPr>
      <w:numPr>
        <w:ilvl w:val="5"/>
      </w:numPr>
      <w:ind w:firstLine="803"/>
    </w:pPr>
  </w:style>
  <w:style w:type="paragraph" w:customStyle="1" w:styleId="67">
    <w:name w:val="21、合同二级标题序号"/>
    <w:basedOn w:val="44"/>
    <w:qFormat/>
    <w:uiPriority w:val="0"/>
    <w:pPr>
      <w:numPr>
        <w:ilvl w:val="0"/>
        <w:numId w:val="5"/>
      </w:numPr>
      <w:ind w:firstLine="803" w:firstLineChars="200"/>
      <w:outlineLvl w:val="1"/>
    </w:pPr>
    <w:rPr>
      <w:b/>
    </w:rPr>
  </w:style>
  <w:style w:type="character" w:customStyle="1" w:styleId="68">
    <w:name w:val="17“1.”四级标题 Char"/>
    <w:link w:val="64"/>
    <w:qFormat/>
    <w:uiPriority w:val="0"/>
    <w:rPr>
      <w:rFonts w:ascii="宋体" w:hAnsi="宋体" w:eastAsia="宋体"/>
    </w:rPr>
  </w:style>
  <w:style w:type="paragraph" w:customStyle="1" w:styleId="69">
    <w:name w:val="正文首行缩进两字符"/>
    <w:basedOn w:val="1"/>
    <w:qFormat/>
    <w:uiPriority w:val="0"/>
    <w:pPr>
      <w:spacing w:line="360" w:lineRule="auto"/>
      <w:ind w:firstLine="200" w:firstLineChars="200"/>
      <w:jc w:val="both"/>
    </w:pPr>
    <w:rPr>
      <w:sz w:val="21"/>
      <w:szCs w:val="20"/>
    </w:rPr>
  </w:style>
  <w:style w:type="paragraph" w:customStyle="1" w:styleId="70">
    <w:name w:val="样式 首行缩进:  2 字符"/>
    <w:basedOn w:val="1"/>
    <w:qFormat/>
    <w:uiPriority w:val="0"/>
    <w:pPr>
      <w:ind w:firstLine="420" w:firstLineChars="200"/>
      <w:jc w:val="both"/>
    </w:pPr>
    <w:rPr>
      <w:rFonts w:cs="宋体"/>
      <w:sz w:val="21"/>
      <w:szCs w:val="20"/>
    </w:rPr>
  </w:style>
  <w:style w:type="paragraph" w:customStyle="1" w:styleId="71">
    <w:name w:val="21、第三章“(一)”三级标题"/>
    <w:basedOn w:val="44"/>
    <w:qFormat/>
    <w:uiPriority w:val="0"/>
    <w:pPr>
      <w:pageBreakBefore/>
      <w:numPr>
        <w:ilvl w:val="0"/>
        <w:numId w:val="6"/>
      </w:numPr>
      <w:spacing w:before="50" w:beforeLines="50" w:after="50" w:afterLines="50"/>
      <w:jc w:val="center"/>
      <w:outlineLvl w:val="2"/>
    </w:pPr>
    <w:rPr>
      <w:b/>
      <w:sz w:val="28"/>
    </w:rPr>
  </w:style>
  <w:style w:type="paragraph" w:customStyle="1" w:styleId="72">
    <w:name w:val="正文-缩进"/>
    <w:basedOn w:val="1"/>
    <w:qFormat/>
    <w:uiPriority w:val="0"/>
    <w:pPr>
      <w:ind w:firstLine="200" w:firstLineChars="200"/>
    </w:pPr>
    <w:rPr>
      <w:rFonts w:hAnsiTheme="minorHAnsi"/>
      <w:szCs w:val="22"/>
    </w:rPr>
  </w:style>
  <w:style w:type="paragraph" w:customStyle="1" w:styleId="73">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D7921-B448-400C-8111-427A922FFB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54122</Words>
  <Characters>56119</Characters>
  <Lines>492</Lines>
  <Paragraphs>138</Paragraphs>
  <TotalTime>0</TotalTime>
  <ScaleCrop>false</ScaleCrop>
  <LinksUpToDate>false</LinksUpToDate>
  <CharactersWithSpaces>59399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gqy</cp:lastModifiedBy>
  <cp:lastPrinted>2021-06-02T04:06:00Z</cp:lastPrinted>
  <dcterms:modified xsi:type="dcterms:W3CDTF">2021-06-15T07:58:43Z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D74D86C0E04241579E71F726F2334A69</vt:lpwstr>
  </property>
  <property fmtid="{D5CDD505-2E9C-101B-9397-08002B2CF9AE}" pid="4" name="KSOSaveFontToCloudKey">
    <vt:lpwstr>586944503_cloud</vt:lpwstr>
  </property>
</Properties>
</file>