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eastAsia" w:ascii="宋体" w:hAnsi="宋体" w:eastAsia="宋体" w:cs="宋体"/>
          <w:b/>
          <w:iCs/>
          <w:color w:val="auto"/>
          <w:sz w:val="28"/>
          <w:szCs w:val="28"/>
        </w:rPr>
      </w:pPr>
      <w:bookmarkStart w:id="976" w:name="_GoBack"/>
    </w:p>
    <w:p>
      <w:pPr>
        <w:spacing w:before="240" w:beforeLines="100" w:line="360" w:lineRule="auto"/>
        <w:jc w:val="center"/>
        <w:rPr>
          <w:rFonts w:hint="eastAsia" w:ascii="宋体" w:hAnsi="宋体" w:eastAsia="宋体" w:cs="宋体"/>
          <w:b/>
          <w:color w:val="auto"/>
          <w:sz w:val="40"/>
          <w:szCs w:val="40"/>
          <w:lang w:eastAsia="zh-CN"/>
        </w:rPr>
      </w:pPr>
      <w:r>
        <w:rPr>
          <w:rFonts w:hint="eastAsia" w:ascii="宋体" w:hAnsi="宋体" w:eastAsia="宋体" w:cs="宋体"/>
          <w:b/>
          <w:color w:val="auto"/>
          <w:sz w:val="32"/>
          <w:szCs w:val="32"/>
        </w:rPr>
        <w:t>项目编号：</w:t>
      </w:r>
      <w:r>
        <w:rPr>
          <w:rFonts w:hint="eastAsia" w:ascii="宋体" w:hAnsi="宋体" w:cs="宋体"/>
          <w:b/>
          <w:color w:val="auto"/>
          <w:sz w:val="32"/>
          <w:szCs w:val="32"/>
          <w:lang w:eastAsia="zh-CN"/>
        </w:rPr>
        <w:t>510122202100590</w:t>
      </w:r>
    </w:p>
    <w:p>
      <w:pPr>
        <w:spacing w:line="360" w:lineRule="auto"/>
        <w:jc w:val="center"/>
        <w:rPr>
          <w:rFonts w:hint="eastAsia" w:ascii="宋体" w:hAnsi="宋体" w:eastAsia="宋体" w:cs="宋体"/>
          <w:b/>
          <w:color w:val="auto"/>
          <w:sz w:val="44"/>
          <w:szCs w:val="44"/>
          <w:lang w:eastAsia="zh-CN"/>
        </w:rPr>
      </w:pPr>
      <w:r>
        <w:rPr>
          <w:rFonts w:hint="eastAsia" w:ascii="宋体" w:hAnsi="宋体" w:eastAsia="宋体" w:cs="宋体"/>
          <w:b/>
          <w:color w:val="auto"/>
          <w:sz w:val="44"/>
          <w:szCs w:val="44"/>
          <w:lang w:eastAsia="zh-CN"/>
        </w:rPr>
        <w:t>成都市公安局双流区分局道路交安设施维护服务采购项目</w:t>
      </w:r>
    </w:p>
    <w:p>
      <w:pPr>
        <w:jc w:val="center"/>
        <w:rPr>
          <w:rFonts w:hint="eastAsia" w:ascii="宋体" w:hAnsi="宋体" w:eastAsia="宋体" w:cs="宋体"/>
          <w:color w:val="auto"/>
          <w:szCs w:val="21"/>
        </w:rPr>
      </w:pPr>
    </w:p>
    <w:p>
      <w:pPr>
        <w:rPr>
          <w:rFonts w:hint="eastAsia" w:ascii="宋体" w:hAnsi="宋体" w:eastAsia="宋体" w:cs="宋体"/>
          <w:color w:val="auto"/>
          <w:szCs w:val="21"/>
        </w:rPr>
      </w:pPr>
    </w:p>
    <w:p>
      <w:pPr>
        <w:rPr>
          <w:rFonts w:hint="eastAsia" w:ascii="宋体" w:hAnsi="宋体" w:eastAsia="宋体" w:cs="宋体"/>
          <w:color w:val="auto"/>
        </w:rPr>
      </w:pPr>
    </w:p>
    <w:p>
      <w:pPr>
        <w:pStyle w:val="2"/>
        <w:rPr>
          <w:rFonts w:hint="eastAsia" w:ascii="宋体" w:hAnsi="宋体" w:eastAsia="宋体" w:cs="宋体"/>
          <w:color w:val="auto"/>
        </w:rPr>
      </w:pPr>
    </w:p>
    <w:p>
      <w:pPr>
        <w:pStyle w:val="3"/>
        <w:jc w:val="center"/>
        <w:rPr>
          <w:rFonts w:hint="eastAsia" w:ascii="宋体" w:hAnsi="宋体" w:eastAsia="宋体" w:cs="宋体"/>
          <w:b w:val="0"/>
          <w:bCs w:val="0"/>
          <w:color w:val="auto"/>
          <w:szCs w:val="160"/>
        </w:rPr>
      </w:pPr>
      <w:r>
        <w:rPr>
          <w:rFonts w:hint="eastAsia" w:ascii="宋体" w:hAnsi="宋体" w:eastAsia="宋体" w:cs="宋体"/>
          <w:color w:val="auto"/>
          <w:sz w:val="72"/>
          <w:szCs w:val="72"/>
        </w:rPr>
        <w:t>招标文件</w:t>
      </w:r>
    </w:p>
    <w:p>
      <w:pPr>
        <w:pStyle w:val="89"/>
        <w:rPr>
          <w:rFonts w:hint="eastAsia" w:ascii="宋体" w:hAnsi="宋体" w:eastAsia="宋体" w:cs="宋体"/>
          <w:color w:val="auto"/>
          <w:sz w:val="18"/>
          <w:szCs w:val="18"/>
        </w:rPr>
      </w:pPr>
    </w:p>
    <w:p>
      <w:pPr>
        <w:spacing w:line="360" w:lineRule="auto"/>
        <w:ind w:firstLine="964" w:firstLineChars="300"/>
        <w:rPr>
          <w:rFonts w:hint="eastAsia" w:ascii="宋体" w:hAnsi="宋体" w:eastAsia="宋体" w:cs="宋体"/>
          <w:b/>
          <w:color w:val="auto"/>
          <w:sz w:val="32"/>
          <w:szCs w:val="32"/>
        </w:rPr>
      </w:pPr>
    </w:p>
    <w:p>
      <w:pPr>
        <w:spacing w:line="360" w:lineRule="auto"/>
        <w:rPr>
          <w:rFonts w:hint="eastAsia" w:ascii="宋体" w:hAnsi="宋体" w:eastAsia="宋体" w:cs="宋体"/>
          <w:b/>
          <w:color w:val="auto"/>
          <w:sz w:val="32"/>
          <w:szCs w:val="32"/>
        </w:rPr>
      </w:pPr>
    </w:p>
    <w:p>
      <w:pPr>
        <w:pStyle w:val="2"/>
        <w:rPr>
          <w:rFonts w:hint="eastAsia" w:ascii="宋体" w:hAnsi="宋体" w:eastAsia="宋体" w:cs="宋体"/>
          <w:color w:val="auto"/>
        </w:rPr>
      </w:pPr>
    </w:p>
    <w:p>
      <w:pPr>
        <w:spacing w:line="360" w:lineRule="auto"/>
        <w:ind w:firstLine="964" w:firstLineChars="300"/>
        <w:rPr>
          <w:rFonts w:hint="eastAsia" w:ascii="宋体" w:hAnsi="宋体" w:eastAsia="宋体" w:cs="宋体"/>
          <w:b/>
          <w:color w:val="auto"/>
          <w:sz w:val="32"/>
          <w:szCs w:val="32"/>
        </w:rPr>
      </w:pPr>
    </w:p>
    <w:p>
      <w:pPr>
        <w:spacing w:line="360" w:lineRule="auto"/>
        <w:jc w:val="center"/>
        <w:rPr>
          <w:rFonts w:hint="eastAsia" w:ascii="宋体" w:hAnsi="宋体" w:eastAsia="宋体" w:cs="宋体"/>
          <w:b/>
          <w:color w:val="auto"/>
          <w:sz w:val="36"/>
          <w:szCs w:val="36"/>
          <w:lang w:eastAsia="zh-CN"/>
        </w:rPr>
      </w:pPr>
      <w:r>
        <w:rPr>
          <w:rFonts w:hint="eastAsia" w:ascii="宋体" w:hAnsi="宋体" w:eastAsia="宋体" w:cs="宋体"/>
          <w:b/>
          <w:color w:val="auto"/>
          <w:sz w:val="36"/>
          <w:szCs w:val="36"/>
        </w:rPr>
        <w:t>采购人：</w:t>
      </w:r>
      <w:r>
        <w:rPr>
          <w:rFonts w:hint="eastAsia" w:ascii="宋体" w:hAnsi="宋体" w:eastAsia="宋体" w:cs="宋体"/>
          <w:b/>
          <w:color w:val="auto"/>
          <w:sz w:val="36"/>
          <w:szCs w:val="36"/>
          <w:lang w:eastAsia="zh-CN"/>
        </w:rPr>
        <w:t xml:space="preserve">成都市公安局双流区分局 </w:t>
      </w:r>
    </w:p>
    <w:p>
      <w:pPr>
        <w:spacing w:line="360" w:lineRule="auto"/>
        <w:jc w:val="center"/>
        <w:rPr>
          <w:rFonts w:hint="eastAsia" w:ascii="宋体" w:hAnsi="宋体" w:eastAsia="宋体" w:cs="宋体"/>
          <w:color w:val="auto"/>
          <w:sz w:val="36"/>
          <w:szCs w:val="36"/>
        </w:rPr>
      </w:pPr>
      <w:r>
        <w:rPr>
          <w:rFonts w:hint="eastAsia" w:ascii="宋体" w:hAnsi="宋体" w:eastAsia="宋体" w:cs="宋体"/>
          <w:b/>
          <w:color w:val="auto"/>
          <w:sz w:val="36"/>
          <w:szCs w:val="36"/>
        </w:rPr>
        <w:t>采购代理机构：四川凯亿工程管理咨询有限公司</w:t>
      </w:r>
    </w:p>
    <w:p>
      <w:pPr>
        <w:spacing w:before="240" w:beforeLines="100"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共同编制</w:t>
      </w:r>
    </w:p>
    <w:p>
      <w:pPr>
        <w:spacing w:line="360" w:lineRule="auto"/>
        <w:jc w:val="center"/>
        <w:rPr>
          <w:rFonts w:hint="eastAsia" w:ascii="宋体" w:hAnsi="宋体" w:eastAsia="宋体" w:cs="宋体"/>
          <w:b/>
          <w:color w:val="auto"/>
          <w:sz w:val="32"/>
          <w:szCs w:val="32"/>
        </w:rPr>
      </w:pPr>
      <w:r>
        <w:rPr>
          <w:rFonts w:hint="eastAsia" w:ascii="宋体" w:hAnsi="宋体" w:eastAsia="宋体" w:cs="宋体"/>
          <w:b/>
          <w:bCs/>
          <w:color w:val="auto"/>
          <w:sz w:val="32"/>
          <w:szCs w:val="32"/>
        </w:rPr>
        <w:t>中国·四川（成都）</w:t>
      </w:r>
    </w:p>
    <w:p>
      <w:pPr>
        <w:widowControl/>
        <w:jc w:val="center"/>
        <w:rPr>
          <w:rFonts w:hint="eastAsia" w:ascii="宋体" w:hAnsi="宋体" w:eastAsia="宋体" w:cs="宋体"/>
          <w:b/>
          <w:color w:val="auto"/>
          <w:kern w:val="0"/>
          <w:sz w:val="31"/>
          <w:szCs w:val="31"/>
          <w:lang w:val="en-US" w:eastAsia="zh-CN" w:bidi="ar"/>
        </w:rPr>
      </w:pPr>
      <w:r>
        <w:rPr>
          <w:rFonts w:hint="eastAsia" w:ascii="宋体" w:hAnsi="宋体" w:eastAsia="宋体" w:cs="宋体"/>
          <w:b/>
          <w:color w:val="auto"/>
          <w:kern w:val="0"/>
          <w:sz w:val="31"/>
          <w:szCs w:val="31"/>
          <w:lang w:val="en-US" w:eastAsia="zh-CN" w:bidi="ar"/>
        </w:rPr>
        <w:t>2021年</w:t>
      </w:r>
      <w:r>
        <w:rPr>
          <w:rFonts w:hint="eastAsia" w:ascii="宋体" w:hAnsi="宋体" w:cs="宋体"/>
          <w:b/>
          <w:color w:val="auto"/>
          <w:kern w:val="0"/>
          <w:sz w:val="31"/>
          <w:szCs w:val="31"/>
          <w:lang w:val="en-US" w:eastAsia="zh-CN" w:bidi="ar"/>
        </w:rPr>
        <w:t>12</w:t>
      </w:r>
      <w:r>
        <w:rPr>
          <w:rFonts w:hint="eastAsia" w:ascii="宋体" w:hAnsi="宋体" w:eastAsia="宋体" w:cs="宋体"/>
          <w:b/>
          <w:color w:val="auto"/>
          <w:kern w:val="0"/>
          <w:sz w:val="31"/>
          <w:szCs w:val="31"/>
          <w:lang w:val="en-US" w:eastAsia="zh-CN" w:bidi="ar"/>
        </w:rPr>
        <w:t>月</w:t>
      </w:r>
    </w:p>
    <w:p>
      <w:pPr>
        <w:widowControl/>
        <w:jc w:val="center"/>
        <w:rPr>
          <w:rFonts w:hint="eastAsia" w:ascii="宋体" w:hAnsi="宋体" w:eastAsia="宋体" w:cs="宋体"/>
          <w:color w:val="auto"/>
        </w:rPr>
      </w:pPr>
    </w:p>
    <w:p>
      <w:pPr>
        <w:spacing w:line="360" w:lineRule="auto"/>
        <w:jc w:val="center"/>
        <w:rPr>
          <w:rFonts w:hint="eastAsia" w:ascii="宋体" w:hAnsi="宋体" w:eastAsia="宋体" w:cs="宋体"/>
          <w:b/>
          <w:color w:val="auto"/>
          <w:sz w:val="44"/>
          <w:szCs w:val="44"/>
        </w:rPr>
        <w:sectPr>
          <w:footerReference r:id="rId5" w:type="first"/>
          <w:headerReference r:id="rId3" w:type="default"/>
          <w:footerReference r:id="rId4" w:type="default"/>
          <w:pgSz w:w="11907" w:h="16840"/>
          <w:pgMar w:top="1417" w:right="1474" w:bottom="1134" w:left="1587" w:header="851" w:footer="992" w:gutter="0"/>
          <w:pgBorders w:offsetFrom="page">
            <w:top w:val="none" w:sz="0" w:space="0"/>
            <w:left w:val="none" w:sz="0" w:space="0"/>
            <w:bottom w:val="none" w:sz="0" w:space="0"/>
            <w:right w:val="none" w:sz="0" w:space="0"/>
          </w:pgBorders>
          <w:pgNumType w:fmt="decimal" w:start="1"/>
          <w:cols w:space="720" w:num="1"/>
          <w:docGrid w:linePitch="312" w:charSpace="0"/>
        </w:sectPr>
      </w:pPr>
    </w:p>
    <w:p>
      <w:pPr>
        <w:spacing w:line="360" w:lineRule="auto"/>
        <w:jc w:val="center"/>
        <w:rPr>
          <w:rFonts w:hint="eastAsia" w:ascii="宋体" w:hAnsi="宋体" w:eastAsia="宋体" w:cs="宋体"/>
          <w:b/>
          <w:color w:val="auto"/>
          <w:sz w:val="44"/>
          <w:szCs w:val="44"/>
        </w:rPr>
      </w:pPr>
    </w:p>
    <w:p>
      <w:pPr>
        <w:pStyle w:val="3"/>
        <w:jc w:val="center"/>
        <w:rPr>
          <w:rFonts w:hint="eastAsia" w:ascii="宋体" w:hAnsi="宋体" w:eastAsia="宋体" w:cs="宋体"/>
          <w:color w:val="auto"/>
          <w:sz w:val="32"/>
          <w:szCs w:val="32"/>
        </w:rPr>
      </w:pPr>
      <w:r>
        <w:rPr>
          <w:rFonts w:hint="eastAsia" w:ascii="宋体" w:hAnsi="宋体" w:eastAsia="宋体" w:cs="宋体"/>
          <w:color w:val="auto"/>
          <w:sz w:val="32"/>
          <w:szCs w:val="32"/>
        </w:rPr>
        <w:t>目  录</w:t>
      </w:r>
    </w:p>
    <w:p>
      <w:pPr>
        <w:rPr>
          <w:rFonts w:hint="eastAsia" w:ascii="宋体" w:hAnsi="宋体" w:eastAsia="宋体" w:cs="宋体"/>
          <w:color w:val="auto"/>
        </w:rPr>
      </w:pPr>
      <w:bookmarkStart w:id="0" w:name="_Toc470509904"/>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TOC \o "1-1" \h \z \u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_Toc3514 </w:instrText>
      </w:r>
      <w:r>
        <w:rPr>
          <w:rFonts w:hint="eastAsia" w:ascii="宋体" w:hAnsi="宋体" w:eastAsia="宋体" w:cs="宋体"/>
          <w:color w:val="auto"/>
        </w:rPr>
        <w:fldChar w:fldCharType="separate"/>
      </w:r>
      <w:r>
        <w:rPr>
          <w:rFonts w:hint="eastAsia" w:ascii="宋体" w:hAnsi="宋体" w:eastAsia="宋体" w:cs="宋体"/>
          <w:color w:val="auto"/>
          <w:szCs w:val="32"/>
        </w:rPr>
        <w:t>第一章  投标邀请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_Toc3514 \h </w:instrText>
      </w:r>
      <w:r>
        <w:rPr>
          <w:rFonts w:hint="eastAsia" w:ascii="宋体" w:hAnsi="宋体" w:eastAsia="宋体" w:cs="宋体"/>
          <w:color w:val="auto"/>
        </w:rPr>
        <w:fldChar w:fldCharType="separate"/>
      </w:r>
      <w:r>
        <w:rPr>
          <w:rFonts w:hint="eastAsia" w:ascii="宋体" w:hAnsi="宋体" w:eastAsia="宋体" w:cs="宋体"/>
          <w:color w:val="auto"/>
        </w:rPr>
        <w:t>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_Toc7746 </w:instrText>
      </w:r>
      <w:r>
        <w:rPr>
          <w:rFonts w:hint="eastAsia" w:ascii="宋体" w:hAnsi="宋体" w:eastAsia="宋体" w:cs="宋体"/>
          <w:color w:val="auto"/>
        </w:rPr>
        <w:fldChar w:fldCharType="separate"/>
      </w:r>
      <w:r>
        <w:rPr>
          <w:rFonts w:hint="eastAsia" w:ascii="宋体" w:hAnsi="宋体" w:eastAsia="宋体" w:cs="宋体"/>
          <w:color w:val="auto"/>
          <w:szCs w:val="32"/>
        </w:rPr>
        <w:t>第二章  投标人须知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_Toc7746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_Toc13732 </w:instrText>
      </w:r>
      <w:r>
        <w:rPr>
          <w:rFonts w:hint="eastAsia" w:ascii="宋体" w:hAnsi="宋体" w:eastAsia="宋体" w:cs="宋体"/>
          <w:color w:val="auto"/>
        </w:rPr>
        <w:fldChar w:fldCharType="separate"/>
      </w:r>
      <w:r>
        <w:rPr>
          <w:rFonts w:hint="eastAsia" w:ascii="宋体" w:hAnsi="宋体" w:eastAsia="宋体" w:cs="宋体"/>
          <w:color w:val="auto"/>
          <w:szCs w:val="32"/>
        </w:rPr>
        <w:t>第三章  投标文件格式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_Toc13732 \h </w:instrText>
      </w:r>
      <w:r>
        <w:rPr>
          <w:rFonts w:hint="eastAsia" w:ascii="宋体" w:hAnsi="宋体" w:eastAsia="宋体" w:cs="宋体"/>
          <w:color w:val="auto"/>
        </w:rPr>
        <w:fldChar w:fldCharType="separate"/>
      </w:r>
      <w:r>
        <w:rPr>
          <w:rFonts w:hint="eastAsia" w:ascii="宋体" w:hAnsi="宋体" w:eastAsia="宋体" w:cs="宋体"/>
          <w:color w:val="auto"/>
        </w:rPr>
        <w:t>23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_Toc25806 </w:instrText>
      </w:r>
      <w:r>
        <w:rPr>
          <w:rFonts w:hint="eastAsia" w:ascii="宋体" w:hAnsi="宋体" w:eastAsia="宋体" w:cs="宋体"/>
          <w:color w:val="auto"/>
        </w:rPr>
        <w:fldChar w:fldCharType="separate"/>
      </w:r>
      <w:r>
        <w:rPr>
          <w:rFonts w:hint="eastAsia" w:ascii="宋体" w:hAnsi="宋体" w:eastAsia="宋体" w:cs="宋体"/>
          <w:color w:val="auto"/>
          <w:szCs w:val="32"/>
        </w:rPr>
        <w:t>第四章  投标人的资格、资质性及其他类似效力要求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_Toc25806 \h </w:instrText>
      </w:r>
      <w:r>
        <w:rPr>
          <w:rFonts w:hint="eastAsia" w:ascii="宋体" w:hAnsi="宋体" w:eastAsia="宋体" w:cs="宋体"/>
          <w:color w:val="auto"/>
        </w:rPr>
        <w:fldChar w:fldCharType="separate"/>
      </w:r>
      <w:r>
        <w:rPr>
          <w:rFonts w:hint="eastAsia" w:ascii="宋体" w:hAnsi="宋体" w:eastAsia="宋体" w:cs="宋体"/>
          <w:color w:val="auto"/>
        </w:rPr>
        <w:t>46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_Toc16849 </w:instrText>
      </w:r>
      <w:r>
        <w:rPr>
          <w:rFonts w:hint="eastAsia" w:ascii="宋体" w:hAnsi="宋体" w:eastAsia="宋体" w:cs="宋体"/>
          <w:color w:val="auto"/>
        </w:rPr>
        <w:fldChar w:fldCharType="separate"/>
      </w:r>
      <w:r>
        <w:rPr>
          <w:rFonts w:hint="eastAsia" w:ascii="宋体" w:hAnsi="宋体" w:eastAsia="宋体" w:cs="宋体"/>
          <w:color w:val="auto"/>
          <w:szCs w:val="32"/>
        </w:rPr>
        <w:t>第五章  投标人应当提供的资格、资质性及其他类似效力要求的相关证明材料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_Toc16849 \h </w:instrText>
      </w:r>
      <w:r>
        <w:rPr>
          <w:rFonts w:hint="eastAsia" w:ascii="宋体" w:hAnsi="宋体" w:eastAsia="宋体" w:cs="宋体"/>
          <w:color w:val="auto"/>
        </w:rPr>
        <w:fldChar w:fldCharType="separate"/>
      </w:r>
      <w:r>
        <w:rPr>
          <w:rFonts w:hint="eastAsia" w:ascii="宋体" w:hAnsi="宋体" w:eastAsia="宋体" w:cs="宋体"/>
          <w:color w:val="auto"/>
        </w:rPr>
        <w:t>48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_Toc19447 </w:instrText>
      </w:r>
      <w:r>
        <w:rPr>
          <w:rFonts w:hint="eastAsia" w:ascii="宋体" w:hAnsi="宋体" w:eastAsia="宋体" w:cs="宋体"/>
          <w:color w:val="auto"/>
        </w:rPr>
        <w:fldChar w:fldCharType="separate"/>
      </w:r>
      <w:r>
        <w:rPr>
          <w:rFonts w:hint="eastAsia" w:ascii="宋体" w:hAnsi="宋体" w:eastAsia="宋体" w:cs="宋体"/>
          <w:color w:val="auto"/>
        </w:rPr>
        <w:t>第六章  采购项目技术、服务、商务及其他要求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_Toc19447 \h </w:instrText>
      </w:r>
      <w:r>
        <w:rPr>
          <w:rFonts w:hint="eastAsia" w:ascii="宋体" w:hAnsi="宋体" w:eastAsia="宋体" w:cs="宋体"/>
          <w:color w:val="auto"/>
        </w:rPr>
        <w:fldChar w:fldCharType="separate"/>
      </w:r>
      <w:r>
        <w:rPr>
          <w:rFonts w:hint="eastAsia" w:ascii="宋体" w:hAnsi="宋体" w:eastAsia="宋体" w:cs="宋体"/>
          <w:color w:val="auto"/>
        </w:rPr>
        <w:t>51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_Toc26599 </w:instrText>
      </w:r>
      <w:r>
        <w:rPr>
          <w:rFonts w:hint="eastAsia" w:ascii="宋体" w:hAnsi="宋体" w:eastAsia="宋体" w:cs="宋体"/>
          <w:color w:val="auto"/>
        </w:rPr>
        <w:fldChar w:fldCharType="separate"/>
      </w:r>
      <w:r>
        <w:rPr>
          <w:rFonts w:hint="eastAsia" w:ascii="宋体" w:hAnsi="宋体" w:eastAsia="宋体" w:cs="宋体"/>
          <w:color w:val="auto"/>
          <w:szCs w:val="32"/>
        </w:rPr>
        <w:t>第七章  评标办法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_Toc26599 \h </w:instrText>
      </w:r>
      <w:r>
        <w:rPr>
          <w:rFonts w:hint="eastAsia" w:ascii="宋体" w:hAnsi="宋体" w:eastAsia="宋体" w:cs="宋体"/>
          <w:color w:val="auto"/>
        </w:rPr>
        <w:fldChar w:fldCharType="separate"/>
      </w:r>
      <w:r>
        <w:rPr>
          <w:rFonts w:hint="eastAsia" w:ascii="宋体" w:hAnsi="宋体" w:eastAsia="宋体" w:cs="宋体"/>
          <w:color w:val="auto"/>
        </w:rPr>
        <w:t>98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_Toc19229 </w:instrText>
      </w:r>
      <w:r>
        <w:rPr>
          <w:rFonts w:hint="eastAsia" w:ascii="宋体" w:hAnsi="宋体" w:eastAsia="宋体" w:cs="宋体"/>
          <w:color w:val="auto"/>
        </w:rPr>
        <w:fldChar w:fldCharType="separate"/>
      </w:r>
      <w:r>
        <w:rPr>
          <w:rFonts w:hint="eastAsia" w:ascii="宋体" w:hAnsi="宋体" w:eastAsia="宋体" w:cs="宋体"/>
          <w:color w:val="auto"/>
          <w:szCs w:val="32"/>
        </w:rPr>
        <w:t>第八章  政府采购合同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_Toc19229 \h </w:instrText>
      </w:r>
      <w:r>
        <w:rPr>
          <w:rFonts w:hint="eastAsia" w:ascii="宋体" w:hAnsi="宋体" w:eastAsia="宋体" w:cs="宋体"/>
          <w:color w:val="auto"/>
        </w:rPr>
        <w:fldChar w:fldCharType="separate"/>
      </w:r>
      <w:r>
        <w:rPr>
          <w:rFonts w:hint="eastAsia" w:ascii="宋体" w:hAnsi="宋体" w:eastAsia="宋体" w:cs="宋体"/>
          <w:color w:val="auto"/>
        </w:rPr>
        <w:t>113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rPr>
          <w:rFonts w:hint="eastAsia" w:ascii="宋体" w:hAnsi="宋体" w:eastAsia="宋体" w:cs="宋体"/>
          <w:color w:val="auto"/>
        </w:rPr>
      </w:pPr>
      <w:r>
        <w:rPr>
          <w:rFonts w:hint="eastAsia" w:ascii="宋体" w:hAnsi="宋体" w:eastAsia="宋体" w:cs="宋体"/>
          <w:color w:val="auto"/>
        </w:rPr>
        <w:fldChar w:fldCharType="end"/>
      </w: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spacing w:before="240" w:beforeLines="100" w:after="240" w:afterLines="100" w:line="360" w:lineRule="auto"/>
        <w:jc w:val="center"/>
        <w:rPr>
          <w:rFonts w:hint="eastAsia" w:ascii="宋体" w:hAnsi="宋体" w:eastAsia="宋体" w:cs="宋体"/>
          <w:color w:val="auto"/>
          <w:sz w:val="32"/>
          <w:szCs w:val="32"/>
        </w:rPr>
      </w:pPr>
      <w:bookmarkStart w:id="1" w:name="_Toc18763"/>
      <w:bookmarkStart w:id="2" w:name="_Toc20212"/>
      <w:bookmarkStart w:id="3" w:name="_Toc9153"/>
      <w:bookmarkStart w:id="4" w:name="_Toc6178"/>
      <w:bookmarkStart w:id="5" w:name="_Toc3514"/>
      <w:bookmarkStart w:id="6" w:name="_Toc10368"/>
      <w:bookmarkStart w:id="7" w:name="_Toc29222"/>
      <w:bookmarkStart w:id="8" w:name="_Toc25358"/>
      <w:bookmarkStart w:id="9" w:name="_Toc1546"/>
      <w:r>
        <w:rPr>
          <w:rFonts w:hint="eastAsia" w:ascii="宋体" w:hAnsi="宋体" w:eastAsia="宋体" w:cs="宋体"/>
          <w:color w:val="auto"/>
          <w:sz w:val="32"/>
          <w:szCs w:val="32"/>
        </w:rPr>
        <w:t>第一章  投标邀请</w:t>
      </w:r>
      <w:bookmarkEnd w:id="0"/>
      <w:bookmarkEnd w:id="1"/>
      <w:bookmarkEnd w:id="2"/>
      <w:bookmarkEnd w:id="3"/>
      <w:bookmarkEnd w:id="4"/>
      <w:bookmarkEnd w:id="5"/>
      <w:bookmarkEnd w:id="6"/>
      <w:bookmarkEnd w:id="7"/>
      <w:bookmarkEnd w:id="8"/>
      <w:bookmarkEnd w:id="9"/>
    </w:p>
    <w:p>
      <w:pPr>
        <w:spacing w:before="120" w:beforeLines="50" w:after="120" w:afterLines="50" w:line="360" w:lineRule="auto"/>
        <w:ind w:firstLine="482" w:firstLineChars="200"/>
        <w:rPr>
          <w:rFonts w:hint="eastAsia" w:ascii="宋体" w:hAnsi="宋体" w:eastAsia="宋体" w:cs="宋体"/>
          <w:b/>
          <w:color w:val="auto"/>
          <w:sz w:val="24"/>
        </w:rPr>
      </w:pPr>
      <w:r>
        <w:rPr>
          <w:rFonts w:hint="eastAsia" w:ascii="宋体" w:hAnsi="宋体" w:eastAsia="宋体" w:cs="宋体"/>
          <w:b/>
          <w:bCs/>
          <w:color w:val="auto"/>
          <w:sz w:val="24"/>
          <w:u w:val="single"/>
        </w:rPr>
        <w:t>四川凯亿工程管理咨询有限公司</w:t>
      </w:r>
      <w:r>
        <w:rPr>
          <w:rFonts w:hint="eastAsia" w:ascii="宋体" w:hAnsi="宋体" w:eastAsia="宋体" w:cs="宋体"/>
          <w:color w:val="auto"/>
          <w:sz w:val="24"/>
        </w:rPr>
        <w:t>（招标代理机构）受</w:t>
      </w:r>
      <w:r>
        <w:rPr>
          <w:rFonts w:hint="eastAsia" w:ascii="宋体" w:hAnsi="宋体" w:eastAsia="宋体" w:cs="宋体"/>
          <w:b/>
          <w:bCs/>
          <w:color w:val="auto"/>
          <w:sz w:val="24"/>
          <w:u w:val="single"/>
          <w:lang w:eastAsia="zh-CN"/>
        </w:rPr>
        <w:t xml:space="preserve">成都市公安局双流区分局 </w:t>
      </w:r>
      <w:r>
        <w:rPr>
          <w:rFonts w:hint="eastAsia" w:ascii="宋体" w:hAnsi="宋体" w:eastAsia="宋体" w:cs="宋体"/>
          <w:bCs/>
          <w:color w:val="auto"/>
          <w:sz w:val="24"/>
        </w:rPr>
        <w:t>（招标人）</w:t>
      </w:r>
      <w:r>
        <w:rPr>
          <w:rFonts w:hint="eastAsia" w:ascii="宋体" w:hAnsi="宋体" w:eastAsia="宋体" w:cs="宋体"/>
          <w:color w:val="auto"/>
          <w:sz w:val="24"/>
        </w:rPr>
        <w:t>委托，拟对</w:t>
      </w:r>
      <w:r>
        <w:rPr>
          <w:rFonts w:hint="eastAsia" w:ascii="宋体" w:hAnsi="宋体" w:eastAsia="宋体" w:cs="宋体"/>
          <w:b/>
          <w:bCs/>
          <w:color w:val="auto"/>
          <w:sz w:val="24"/>
          <w:u w:val="single"/>
          <w:lang w:eastAsia="zh-CN"/>
        </w:rPr>
        <w:t>成都市公安局双流区分局道路交安设施维护服务采购项目</w:t>
      </w:r>
      <w:r>
        <w:rPr>
          <w:rFonts w:hint="eastAsia" w:ascii="宋体" w:hAnsi="宋体" w:eastAsia="宋体" w:cs="宋体"/>
          <w:color w:val="auto"/>
          <w:sz w:val="24"/>
        </w:rPr>
        <w:t>进行国内</w:t>
      </w:r>
      <w:r>
        <w:rPr>
          <w:rFonts w:hint="eastAsia" w:ascii="宋体" w:hAnsi="宋体" w:eastAsia="宋体" w:cs="宋体"/>
          <w:b/>
          <w:bCs/>
          <w:color w:val="auto"/>
          <w:sz w:val="24"/>
          <w:u w:val="single"/>
        </w:rPr>
        <w:t>公开招标</w:t>
      </w:r>
      <w:r>
        <w:rPr>
          <w:rFonts w:hint="eastAsia" w:ascii="宋体" w:hAnsi="宋体" w:eastAsia="宋体" w:cs="宋体"/>
          <w:color w:val="auto"/>
          <w:sz w:val="24"/>
        </w:rPr>
        <w:t>，兹邀请符合本次招标要求的投标人参加投标。</w:t>
      </w:r>
    </w:p>
    <w:p>
      <w:pPr>
        <w:spacing w:before="120" w:beforeLines="50" w:after="120" w:afterLines="50" w:line="360" w:lineRule="auto"/>
        <w:ind w:firstLine="482" w:firstLineChars="200"/>
        <w:rPr>
          <w:rFonts w:hint="eastAsia" w:ascii="宋体" w:hAnsi="宋体" w:eastAsia="宋体" w:cs="宋体"/>
          <w:bCs/>
          <w:color w:val="auto"/>
          <w:sz w:val="24"/>
        </w:rPr>
      </w:pPr>
      <w:r>
        <w:rPr>
          <w:rFonts w:hint="eastAsia" w:ascii="宋体" w:hAnsi="宋体" w:eastAsia="宋体" w:cs="宋体"/>
          <w:b/>
          <w:color w:val="auto"/>
          <w:sz w:val="24"/>
        </w:rPr>
        <w:t>一、项目编号：</w:t>
      </w:r>
      <w:r>
        <w:rPr>
          <w:rFonts w:hint="eastAsia" w:ascii="宋体" w:hAnsi="宋体" w:cs="宋体"/>
          <w:b/>
          <w:color w:val="auto"/>
          <w:sz w:val="24"/>
          <w:lang w:eastAsia="zh-CN"/>
        </w:rPr>
        <w:t>510122202100590</w:t>
      </w:r>
      <w:r>
        <w:rPr>
          <w:rFonts w:hint="eastAsia" w:ascii="宋体" w:hAnsi="宋体" w:eastAsia="宋体" w:cs="宋体"/>
          <w:bCs/>
          <w:color w:val="auto"/>
          <w:sz w:val="24"/>
        </w:rPr>
        <w:t>。</w:t>
      </w:r>
    </w:p>
    <w:p>
      <w:pPr>
        <w:spacing w:before="120" w:beforeLines="50" w:after="120" w:afterLines="50" w:line="360" w:lineRule="auto"/>
        <w:ind w:firstLine="482" w:firstLineChars="200"/>
        <w:rPr>
          <w:rFonts w:hint="eastAsia" w:ascii="宋体" w:hAnsi="宋体" w:eastAsia="宋体" w:cs="宋体"/>
          <w:b/>
          <w:color w:val="auto"/>
          <w:sz w:val="24"/>
        </w:rPr>
      </w:pPr>
      <w:r>
        <w:rPr>
          <w:rFonts w:hint="eastAsia" w:ascii="宋体" w:hAnsi="宋体" w:eastAsia="宋体" w:cs="宋体"/>
          <w:b/>
          <w:bCs/>
          <w:color w:val="auto"/>
          <w:sz w:val="24"/>
        </w:rPr>
        <w:t>二、</w:t>
      </w:r>
      <w:r>
        <w:rPr>
          <w:rFonts w:hint="eastAsia" w:ascii="宋体" w:hAnsi="宋体" w:eastAsia="宋体" w:cs="宋体"/>
          <w:b/>
          <w:color w:val="auto"/>
          <w:sz w:val="24"/>
        </w:rPr>
        <w:t>项目名称：</w:t>
      </w:r>
      <w:r>
        <w:rPr>
          <w:rFonts w:hint="eastAsia" w:ascii="宋体" w:hAnsi="宋体" w:eastAsia="宋体" w:cs="宋体"/>
          <w:b/>
          <w:bCs/>
          <w:color w:val="auto"/>
          <w:sz w:val="24"/>
          <w:u w:val="single"/>
          <w:lang w:eastAsia="zh-CN"/>
        </w:rPr>
        <w:t>成都市公安局双流区分局道路交安设施维护服务采购项目</w:t>
      </w:r>
      <w:r>
        <w:rPr>
          <w:rFonts w:hint="eastAsia" w:ascii="宋体" w:hAnsi="宋体" w:eastAsia="宋体" w:cs="宋体"/>
          <w:color w:val="auto"/>
          <w:sz w:val="24"/>
        </w:rPr>
        <w:t>。</w:t>
      </w:r>
    </w:p>
    <w:p>
      <w:pPr>
        <w:spacing w:line="360" w:lineRule="auto"/>
        <w:ind w:right="31" w:rightChars="15" w:firstLine="482" w:firstLineChars="200"/>
        <w:rPr>
          <w:rFonts w:hint="eastAsia" w:ascii="宋体" w:hAnsi="宋体" w:eastAsia="宋体" w:cs="宋体"/>
          <w:bCs/>
          <w:color w:val="auto"/>
          <w:sz w:val="24"/>
        </w:rPr>
      </w:pPr>
      <w:r>
        <w:rPr>
          <w:rFonts w:hint="eastAsia" w:ascii="宋体" w:hAnsi="宋体" w:eastAsia="宋体" w:cs="宋体"/>
          <w:b/>
          <w:color w:val="auto"/>
          <w:sz w:val="24"/>
        </w:rPr>
        <w:t>三、资金来源：</w:t>
      </w:r>
      <w:r>
        <w:rPr>
          <w:rFonts w:hint="eastAsia" w:ascii="宋体" w:hAnsi="宋体" w:eastAsia="宋体" w:cs="宋体"/>
          <w:bCs/>
          <w:color w:val="auto"/>
          <w:sz w:val="24"/>
        </w:rPr>
        <w:t>财政资金。预算金额：</w:t>
      </w:r>
      <w:r>
        <w:rPr>
          <w:rFonts w:hint="eastAsia" w:ascii="宋体" w:hAnsi="宋体" w:eastAsia="宋体" w:cs="宋体"/>
          <w:bCs/>
          <w:color w:val="auto"/>
          <w:sz w:val="24"/>
          <w:u w:val="single"/>
          <w:lang w:val="en-US" w:eastAsia="zh-CN"/>
        </w:rPr>
        <w:t>2459</w:t>
      </w:r>
      <w:r>
        <w:rPr>
          <w:rFonts w:hint="eastAsia" w:ascii="宋体" w:hAnsi="宋体" w:eastAsia="宋体" w:cs="宋体"/>
          <w:bCs/>
          <w:color w:val="auto"/>
          <w:sz w:val="24"/>
        </w:rPr>
        <w:t>万元</w:t>
      </w:r>
      <w:r>
        <w:rPr>
          <w:rFonts w:hint="eastAsia" w:ascii="宋体" w:hAnsi="宋体" w:eastAsia="宋体" w:cs="宋体"/>
          <w:bCs/>
          <w:color w:val="auto"/>
          <w:sz w:val="24"/>
          <w:lang w:val="en-US" w:eastAsia="zh-CN"/>
        </w:rPr>
        <w:t>/年</w:t>
      </w:r>
      <w:r>
        <w:rPr>
          <w:rFonts w:hint="eastAsia" w:ascii="宋体" w:hAnsi="宋体" w:eastAsia="宋体" w:cs="宋体"/>
          <w:bCs/>
          <w:color w:val="auto"/>
          <w:sz w:val="24"/>
        </w:rPr>
        <w:t>。</w:t>
      </w:r>
    </w:p>
    <w:p>
      <w:pPr>
        <w:snapToGrid w:val="0"/>
        <w:spacing w:before="50" w:after="120" w:afterLines="50"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 xml:space="preserve">四、采购项目简介： </w:t>
      </w:r>
    </w:p>
    <w:p>
      <w:pPr>
        <w:spacing w:line="360" w:lineRule="auto"/>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本项目共计</w:t>
      </w:r>
      <w:r>
        <w:rPr>
          <w:rFonts w:hint="eastAsia" w:ascii="宋体" w:hAnsi="宋体" w:eastAsia="宋体" w:cs="宋体"/>
          <w:color w:val="auto"/>
          <w:sz w:val="24"/>
          <w:szCs w:val="32"/>
          <w:lang w:val="en-US" w:eastAsia="zh-CN"/>
        </w:rPr>
        <w:t>3</w:t>
      </w:r>
      <w:r>
        <w:rPr>
          <w:rFonts w:hint="eastAsia" w:ascii="宋体" w:hAnsi="宋体" w:eastAsia="宋体" w:cs="宋体"/>
          <w:color w:val="auto"/>
          <w:sz w:val="24"/>
          <w:szCs w:val="32"/>
        </w:rPr>
        <w:t>个包件，投标人须对本项目服务内容进行投标，并响应招标文件的要求。详细的技术、服务、商务及其他要求见招标文件第六章。</w:t>
      </w:r>
    </w:p>
    <w:tbl>
      <w:tblPr>
        <w:tblStyle w:val="49"/>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3100"/>
        <w:gridCol w:w="3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0" w:type="dxa"/>
            <w:noWrap w:val="0"/>
            <w:vAlign w:val="center"/>
          </w:tcPr>
          <w:p>
            <w:pPr>
              <w:spacing w:after="120" w:afterLines="50" w:line="420" w:lineRule="exact"/>
              <w:jc w:val="center"/>
              <w:rPr>
                <w:rFonts w:hint="eastAsia" w:ascii="宋体" w:hAnsi="宋体" w:eastAsia="宋体" w:cs="宋体"/>
                <w:i/>
                <w:color w:val="auto"/>
                <w:sz w:val="24"/>
              </w:rPr>
            </w:pPr>
            <w:r>
              <w:rPr>
                <w:rFonts w:hint="eastAsia" w:ascii="宋体" w:hAnsi="宋体" w:eastAsia="宋体" w:cs="宋体"/>
                <w:color w:val="auto"/>
                <w:sz w:val="24"/>
              </w:rPr>
              <w:t>包号</w:t>
            </w:r>
          </w:p>
        </w:tc>
        <w:tc>
          <w:tcPr>
            <w:tcW w:w="3100" w:type="dxa"/>
            <w:noWrap w:val="0"/>
            <w:vAlign w:val="center"/>
          </w:tcPr>
          <w:p>
            <w:pPr>
              <w:spacing w:after="120" w:afterLines="50" w:line="420" w:lineRule="exact"/>
              <w:jc w:val="center"/>
              <w:rPr>
                <w:rFonts w:hint="eastAsia" w:ascii="宋体" w:hAnsi="宋体" w:eastAsia="宋体" w:cs="宋体"/>
                <w:i/>
                <w:color w:val="auto"/>
                <w:sz w:val="24"/>
              </w:rPr>
            </w:pPr>
            <w:r>
              <w:rPr>
                <w:rFonts w:hint="eastAsia" w:ascii="宋体" w:hAnsi="宋体" w:eastAsia="宋体" w:cs="宋体"/>
                <w:b w:val="0"/>
                <w:bCs w:val="0"/>
                <w:color w:val="auto"/>
                <w:sz w:val="24"/>
                <w:szCs w:val="24"/>
                <w:lang w:eastAsia="zh-CN"/>
              </w:rPr>
              <w:t>标的名称</w:t>
            </w:r>
          </w:p>
        </w:tc>
        <w:tc>
          <w:tcPr>
            <w:tcW w:w="3559" w:type="dxa"/>
            <w:noWrap w:val="0"/>
            <w:vAlign w:val="center"/>
          </w:tcPr>
          <w:p>
            <w:pPr>
              <w:spacing w:after="120" w:afterLines="50" w:line="420" w:lineRule="exact"/>
              <w:jc w:val="center"/>
              <w:rPr>
                <w:rFonts w:hint="eastAsia" w:ascii="宋体" w:hAnsi="宋体" w:eastAsia="宋体" w:cs="宋体"/>
                <w:i/>
                <w:color w:val="auto"/>
                <w:sz w:val="24"/>
              </w:rPr>
            </w:pPr>
            <w:r>
              <w:rPr>
                <w:rFonts w:hint="eastAsia" w:ascii="宋体" w:hAnsi="宋体" w:eastAsia="宋体" w:cs="宋体"/>
                <w:color w:val="auto"/>
                <w:sz w:val="24"/>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2130" w:type="dxa"/>
            <w:noWrap w:val="0"/>
            <w:vAlign w:val="center"/>
          </w:tcPr>
          <w:p>
            <w:pPr>
              <w:spacing w:after="120" w:afterLines="50" w:line="420" w:lineRule="exact"/>
              <w:jc w:val="center"/>
              <w:rPr>
                <w:rFonts w:hint="eastAsia" w:ascii="宋体" w:hAnsi="宋体" w:eastAsia="宋体" w:cs="宋体"/>
                <w:i/>
                <w:color w:val="auto"/>
                <w:sz w:val="24"/>
              </w:rPr>
            </w:pPr>
            <w:r>
              <w:rPr>
                <w:rFonts w:hint="eastAsia" w:ascii="宋体" w:hAnsi="宋体" w:eastAsia="宋体" w:cs="宋体"/>
                <w:color w:val="auto"/>
                <w:sz w:val="24"/>
              </w:rPr>
              <w:t>01包</w:t>
            </w:r>
          </w:p>
        </w:tc>
        <w:tc>
          <w:tcPr>
            <w:tcW w:w="3100" w:type="dxa"/>
            <w:noWrap w:val="0"/>
            <w:vAlign w:val="center"/>
          </w:tcPr>
          <w:p>
            <w:pPr>
              <w:spacing w:line="312" w:lineRule="auto"/>
              <w:jc w:val="center"/>
              <w:rPr>
                <w:rFonts w:hint="eastAsia" w:ascii="宋体" w:hAnsi="宋体" w:eastAsia="宋体" w:cs="宋体"/>
                <w:iCs/>
                <w:color w:val="auto"/>
                <w:sz w:val="24"/>
              </w:rPr>
            </w:pPr>
            <w:r>
              <w:rPr>
                <w:rFonts w:hint="eastAsia" w:ascii="宋体" w:hAnsi="宋体" w:eastAsia="宋体" w:cs="宋体"/>
                <w:b w:val="0"/>
                <w:bCs w:val="0"/>
                <w:color w:val="auto"/>
                <w:sz w:val="24"/>
                <w:szCs w:val="24"/>
              </w:rPr>
              <w:t>道路交安设施设计服务</w:t>
            </w:r>
          </w:p>
        </w:tc>
        <w:tc>
          <w:tcPr>
            <w:tcW w:w="3559" w:type="dxa"/>
            <w:noWrap w:val="0"/>
            <w:vAlign w:val="center"/>
          </w:tcPr>
          <w:p>
            <w:pPr>
              <w:spacing w:line="312" w:lineRule="auto"/>
              <w:jc w:val="center"/>
              <w:rPr>
                <w:rFonts w:hint="eastAsia" w:ascii="宋体" w:hAnsi="宋体" w:eastAsia="宋体" w:cs="宋体"/>
                <w:iCs/>
                <w:color w:val="auto"/>
                <w:sz w:val="24"/>
              </w:rPr>
            </w:pPr>
            <w:r>
              <w:rPr>
                <w:rFonts w:hint="eastAsia" w:ascii="宋体" w:hAnsi="宋体" w:eastAsia="宋体" w:cs="宋体"/>
                <w:iCs/>
                <w:color w:val="auto"/>
                <w:sz w:val="24"/>
                <w:lang w:val="zh-CN" w:eastAsia="zh-CN"/>
              </w:rPr>
              <w:t>60万元</w:t>
            </w:r>
            <w:r>
              <w:rPr>
                <w:rFonts w:hint="eastAsia" w:ascii="宋体" w:hAnsi="宋体" w:eastAsia="宋体" w:cs="宋体"/>
                <w:iCs/>
                <w:color w:val="auto"/>
                <w:sz w:val="24"/>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130" w:type="dxa"/>
            <w:noWrap w:val="0"/>
            <w:vAlign w:val="center"/>
          </w:tcPr>
          <w:p>
            <w:pPr>
              <w:spacing w:line="312" w:lineRule="auto"/>
              <w:jc w:val="center"/>
              <w:rPr>
                <w:rFonts w:hint="eastAsia" w:ascii="宋体" w:hAnsi="宋体" w:eastAsia="宋体" w:cs="宋体"/>
                <w:color w:val="auto"/>
                <w:sz w:val="24"/>
              </w:rPr>
            </w:pPr>
            <w:r>
              <w:rPr>
                <w:rFonts w:hint="eastAsia" w:ascii="宋体" w:hAnsi="宋体" w:eastAsia="宋体" w:cs="宋体"/>
                <w:color w:val="auto"/>
                <w:sz w:val="24"/>
                <w:szCs w:val="28"/>
              </w:rPr>
              <w:t>02包</w:t>
            </w:r>
          </w:p>
        </w:tc>
        <w:tc>
          <w:tcPr>
            <w:tcW w:w="3100" w:type="dxa"/>
            <w:noWrap w:val="0"/>
            <w:vAlign w:val="center"/>
          </w:tcPr>
          <w:p>
            <w:pPr>
              <w:spacing w:line="312" w:lineRule="auto"/>
              <w:jc w:val="center"/>
              <w:rPr>
                <w:rFonts w:hint="eastAsia" w:ascii="宋体" w:hAnsi="宋体" w:eastAsia="宋体" w:cs="宋体"/>
                <w:iCs/>
                <w:color w:val="auto"/>
                <w:sz w:val="24"/>
              </w:rPr>
            </w:pPr>
            <w:r>
              <w:rPr>
                <w:rFonts w:hint="eastAsia" w:ascii="宋体" w:hAnsi="宋体" w:eastAsia="宋体" w:cs="宋体"/>
                <w:b w:val="0"/>
                <w:bCs w:val="0"/>
                <w:color w:val="auto"/>
                <w:sz w:val="24"/>
                <w:szCs w:val="24"/>
              </w:rPr>
              <w:t>道路交安设施维护监理服务</w:t>
            </w:r>
          </w:p>
        </w:tc>
        <w:tc>
          <w:tcPr>
            <w:tcW w:w="3559" w:type="dxa"/>
            <w:noWrap w:val="0"/>
            <w:vAlign w:val="center"/>
          </w:tcPr>
          <w:p>
            <w:pPr>
              <w:spacing w:line="312" w:lineRule="auto"/>
              <w:jc w:val="center"/>
              <w:rPr>
                <w:rFonts w:hint="eastAsia" w:ascii="宋体" w:hAnsi="宋体" w:eastAsia="宋体" w:cs="宋体"/>
                <w:iCs/>
                <w:color w:val="auto"/>
                <w:sz w:val="24"/>
              </w:rPr>
            </w:pPr>
            <w:r>
              <w:rPr>
                <w:rFonts w:hint="eastAsia" w:ascii="宋体" w:hAnsi="宋体" w:eastAsia="宋体" w:cs="宋体"/>
                <w:iCs/>
                <w:color w:val="auto"/>
                <w:sz w:val="24"/>
                <w:lang w:val="zh-CN" w:eastAsia="zh-CN"/>
              </w:rPr>
              <w:t>80万元</w:t>
            </w:r>
            <w:r>
              <w:rPr>
                <w:rFonts w:hint="eastAsia" w:ascii="宋体" w:hAnsi="宋体" w:eastAsia="宋体" w:cs="宋体"/>
                <w:iCs/>
                <w:color w:val="auto"/>
                <w:sz w:val="24"/>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130" w:type="dxa"/>
            <w:noWrap w:val="0"/>
            <w:vAlign w:val="center"/>
          </w:tcPr>
          <w:p>
            <w:pPr>
              <w:spacing w:line="312" w:lineRule="auto"/>
              <w:jc w:val="center"/>
              <w:rPr>
                <w:rFonts w:hint="eastAsia" w:ascii="宋体" w:hAnsi="宋体" w:eastAsia="宋体" w:cs="宋体"/>
                <w:color w:val="auto"/>
                <w:sz w:val="24"/>
              </w:rPr>
            </w:pPr>
            <w:r>
              <w:rPr>
                <w:rFonts w:hint="eastAsia" w:ascii="宋体" w:hAnsi="宋体" w:eastAsia="宋体" w:cs="宋体"/>
                <w:color w:val="auto"/>
                <w:sz w:val="24"/>
                <w:szCs w:val="28"/>
              </w:rPr>
              <w:t>03包</w:t>
            </w:r>
          </w:p>
        </w:tc>
        <w:tc>
          <w:tcPr>
            <w:tcW w:w="3100" w:type="dxa"/>
            <w:noWrap w:val="0"/>
            <w:vAlign w:val="center"/>
          </w:tcPr>
          <w:p>
            <w:pPr>
              <w:spacing w:line="312" w:lineRule="auto"/>
              <w:jc w:val="center"/>
              <w:rPr>
                <w:rFonts w:hint="eastAsia" w:ascii="宋体" w:hAnsi="宋体" w:eastAsia="宋体" w:cs="宋体"/>
                <w:iCs/>
                <w:color w:val="auto"/>
                <w:sz w:val="24"/>
              </w:rPr>
            </w:pPr>
            <w:r>
              <w:rPr>
                <w:rFonts w:hint="eastAsia" w:ascii="宋体" w:hAnsi="宋体" w:eastAsia="宋体" w:cs="宋体"/>
                <w:b w:val="0"/>
                <w:bCs w:val="0"/>
                <w:color w:val="auto"/>
                <w:sz w:val="24"/>
                <w:szCs w:val="24"/>
              </w:rPr>
              <w:t>道路交安设施维护服务</w:t>
            </w:r>
          </w:p>
        </w:tc>
        <w:tc>
          <w:tcPr>
            <w:tcW w:w="3559" w:type="dxa"/>
            <w:noWrap w:val="0"/>
            <w:vAlign w:val="center"/>
          </w:tcPr>
          <w:p>
            <w:pPr>
              <w:spacing w:line="312" w:lineRule="auto"/>
              <w:jc w:val="center"/>
              <w:rPr>
                <w:rFonts w:hint="eastAsia" w:ascii="宋体" w:hAnsi="宋体" w:eastAsia="宋体" w:cs="宋体"/>
                <w:iCs/>
                <w:color w:val="auto"/>
                <w:sz w:val="24"/>
              </w:rPr>
            </w:pPr>
            <w:r>
              <w:rPr>
                <w:rFonts w:hint="eastAsia" w:ascii="宋体" w:hAnsi="宋体" w:eastAsia="宋体" w:cs="宋体"/>
                <w:iCs/>
                <w:color w:val="auto"/>
                <w:sz w:val="24"/>
                <w:lang w:val="en-US" w:eastAsia="zh-CN"/>
              </w:rPr>
              <w:t>2319万元/年</w:t>
            </w:r>
          </w:p>
        </w:tc>
      </w:tr>
    </w:tbl>
    <w:p>
      <w:pPr>
        <w:snapToGrid w:val="0"/>
        <w:spacing w:before="50" w:after="120" w:afterLines="50"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bCs w:val="0"/>
          <w:color w:val="auto"/>
          <w:sz w:val="24"/>
          <w:szCs w:val="24"/>
        </w:rPr>
        <w:t>五、投标人参加本次政府采购活动，应当在提交投标文件前具备下列条件：</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1、满足《中华人民共和国政府采购法》第二十二条规定：</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（1）具有独立承担民事责任的能力；</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（2）具有良好的商业信誉和健全的财务会计制度；</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（3）具有履行合同所必需的设备和专业技术能力；</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（4）具有依法缴纳税收和社会保障资金的良好记录；</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（5）参加本次政府采购活动前三年内，在经营活动中没有重大违法记录；</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（6）法律、行政法规规定的其他条件。</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2、落实政府采购政策需满足的资格要求：</w:t>
      </w:r>
      <w:r>
        <w:rPr>
          <w:rFonts w:hint="eastAsia" w:ascii="宋体" w:hAnsi="宋体" w:eastAsia="宋体" w:cs="宋体"/>
          <w:color w:val="auto"/>
          <w:sz w:val="24"/>
          <w:szCs w:val="32"/>
          <w:lang w:val="en-US" w:eastAsia="zh-CN"/>
        </w:rPr>
        <w:t>无</w:t>
      </w:r>
      <w:r>
        <w:rPr>
          <w:rFonts w:hint="eastAsia" w:ascii="宋体" w:hAnsi="宋体" w:eastAsia="宋体" w:cs="宋体"/>
          <w:color w:val="auto"/>
          <w:sz w:val="24"/>
          <w:szCs w:val="32"/>
        </w:rPr>
        <w:t>。</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 xml:space="preserve">3、本项目的特殊资格要求： </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1）01包：①供应商具有行政主管部门颁发的有效的市政行业(道路工程)专业工程设计乙级及以上资质证书；②企业注册地不在四川省行政区域内的省外企业须提供在有效期内的《四川省入川从事勘察设计活动验证登记证》或《四川省省外建筑企业入川承揽业务验证登记证》或带二维码的《四川省省外施工、监理企业入川承揽业务信息录入证》。</w:t>
      </w:r>
    </w:p>
    <w:p>
      <w:pPr>
        <w:tabs>
          <w:tab w:val="left" w:pos="5970"/>
        </w:tabs>
        <w:spacing w:line="360" w:lineRule="auto"/>
        <w:ind w:firstLine="480" w:firstLineChars="200"/>
        <w:jc w:val="left"/>
        <w:rPr>
          <w:rFonts w:hint="eastAsia" w:ascii="宋体" w:hAnsi="宋体" w:eastAsia="宋体" w:cs="宋体"/>
          <w:color w:val="auto"/>
          <w:sz w:val="24"/>
          <w:szCs w:val="32"/>
          <w:highlight w:val="none"/>
        </w:rPr>
      </w:pPr>
      <w:r>
        <w:rPr>
          <w:rFonts w:hint="eastAsia" w:ascii="宋体" w:hAnsi="宋体" w:eastAsia="宋体" w:cs="宋体"/>
          <w:color w:val="auto"/>
          <w:sz w:val="24"/>
          <w:szCs w:val="32"/>
        </w:rPr>
        <w:t>（2）02包：①具有国家建设行政主管部门颁发的监理乙级及以上资质，须包含市政公用工程专业；②企业注册地不在四川省行政区域内的省外企业须提供在有效期内的《四川省入川从事勘察设计活动验证登记证》或《四川省省外建筑企业入川承揽业务验证登记证》或带二维码的《四川省省外施工、监理企业入川承揽业务信息录入证》。</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highlight w:val="none"/>
        </w:rPr>
        <w:t>（3）03包：①投标人应具备有效的行政主管部门颁发的</w:t>
      </w:r>
      <w:r>
        <w:rPr>
          <w:rFonts w:hint="eastAsia" w:ascii="宋体" w:hAnsi="宋体" w:eastAsia="宋体" w:cs="宋体"/>
          <w:color w:val="auto"/>
          <w:sz w:val="24"/>
          <w:szCs w:val="32"/>
        </w:rPr>
        <w:t>市政公用工程</w:t>
      </w:r>
      <w:r>
        <w:rPr>
          <w:rFonts w:hint="eastAsia" w:ascii="宋体" w:hAnsi="宋体" w:eastAsia="宋体" w:cs="宋体"/>
          <w:color w:val="auto"/>
          <w:sz w:val="24"/>
          <w:szCs w:val="32"/>
          <w:highlight w:val="none"/>
          <w:lang w:eastAsia="zh-CN"/>
        </w:rPr>
        <w:t>施工总承包二级及以上资质或公路交通工程专业承包（公路安全设施分项）二级及以上资质</w:t>
      </w:r>
      <w:r>
        <w:rPr>
          <w:rFonts w:hint="eastAsia" w:ascii="宋体" w:hAnsi="宋体" w:eastAsia="宋体" w:cs="宋体"/>
          <w:color w:val="auto"/>
          <w:sz w:val="24"/>
          <w:szCs w:val="32"/>
          <w:highlight w:val="none"/>
        </w:rPr>
        <w:t>；</w:t>
      </w:r>
      <w:r>
        <w:rPr>
          <w:rFonts w:hint="eastAsia" w:ascii="宋体" w:hAnsi="宋体" w:eastAsia="宋体" w:cs="宋体"/>
          <w:color w:val="auto"/>
          <w:sz w:val="24"/>
          <w:szCs w:val="32"/>
        </w:rPr>
        <w:t>②具有有效的安全生产许可证；③企业注册地不在四川省行政区域内的省外企业须提供在有效期内的《四川省入川从事勘察设计活动验证登记证》或《四川省省外建筑企业入川承揽业务验证登记证》或带二维码的《四川省省外施工、监理企业入川承揽业务信息录入证》。</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4、本项目不接受联合体</w:t>
      </w:r>
      <w:r>
        <w:rPr>
          <w:rFonts w:hint="eastAsia" w:ascii="宋体" w:hAnsi="宋体" w:eastAsia="宋体" w:cs="宋体"/>
          <w:color w:val="auto"/>
          <w:sz w:val="24"/>
          <w:szCs w:val="32"/>
          <w:lang w:eastAsia="zh-CN"/>
        </w:rPr>
        <w:t>投标</w:t>
      </w:r>
      <w:r>
        <w:rPr>
          <w:rFonts w:hint="eastAsia" w:ascii="宋体" w:hAnsi="宋体" w:eastAsia="宋体" w:cs="宋体"/>
          <w:color w:val="auto"/>
          <w:sz w:val="24"/>
          <w:szCs w:val="32"/>
        </w:rPr>
        <w:t>。</w:t>
      </w:r>
    </w:p>
    <w:p>
      <w:pPr>
        <w:snapToGrid w:val="0"/>
        <w:spacing w:before="50" w:after="120" w:afterLines="50"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六、禁止参加本次采购活动的供应商：</w:t>
      </w:r>
    </w:p>
    <w:p>
      <w:pPr>
        <w:pStyle w:val="153"/>
        <w:ind w:firstLine="480"/>
        <w:rPr>
          <w:rFonts w:hint="eastAsia" w:ascii="宋体" w:hAnsi="宋体" w:eastAsia="宋体" w:cs="宋体"/>
          <w:color w:val="auto"/>
          <w:sz w:val="24"/>
        </w:rPr>
      </w:pPr>
      <w:r>
        <w:rPr>
          <w:rFonts w:hint="eastAsia" w:ascii="宋体" w:hAnsi="宋体" w:eastAsia="宋体" w:cs="宋体"/>
          <w:color w:val="auto"/>
          <w:sz w:val="24"/>
        </w:rPr>
        <w:t>1.根据《关于在政府采购活动中查询及使用信用记录有关问题的通知》（财库〔2016〕125号）的要求，采购人/采购代理机构将通过“信用中国”网站（www.creditchina.gov.cn）、“中国政府采购网”网站（www.ccgp.gov.cn）等渠道查询供应商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pStyle w:val="153"/>
        <w:ind w:firstLine="424" w:firstLineChars="177"/>
        <w:rPr>
          <w:rFonts w:hint="eastAsia" w:ascii="宋体" w:hAnsi="宋体" w:eastAsia="宋体" w:cs="宋体"/>
          <w:color w:val="auto"/>
          <w:sz w:val="24"/>
        </w:rPr>
      </w:pPr>
      <w:r>
        <w:rPr>
          <w:rFonts w:hint="eastAsia" w:ascii="宋体" w:hAnsi="宋体" w:eastAsia="宋体" w:cs="宋体"/>
          <w:color w:val="auto"/>
          <w:sz w:val="24"/>
        </w:rPr>
        <w:t>2.为采购项目提供整体设计、规范编制或者项目管理、监理、检测等服务的供应商，不得参加本采购项目。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153"/>
        <w:ind w:firstLine="424" w:firstLineChars="177"/>
        <w:rPr>
          <w:rFonts w:hint="eastAsia" w:ascii="宋体" w:hAnsi="宋体" w:eastAsia="宋体" w:cs="宋体"/>
          <w:color w:val="auto"/>
          <w:sz w:val="24"/>
          <w:szCs w:val="32"/>
        </w:rPr>
      </w:pPr>
      <w:r>
        <w:rPr>
          <w:rFonts w:hint="eastAsia" w:ascii="宋体" w:hAnsi="宋体" w:eastAsia="宋体" w:cs="宋体"/>
          <w:color w:val="auto"/>
          <w:sz w:val="24"/>
        </w:rPr>
        <w:t>3.</w:t>
      </w:r>
      <w:r>
        <w:rPr>
          <w:rFonts w:hint="eastAsia" w:ascii="宋体" w:hAnsi="宋体" w:eastAsia="宋体" w:cs="宋体"/>
          <w:color w:val="auto"/>
          <w:kern w:val="0"/>
          <w:sz w:val="24"/>
        </w:rPr>
        <w:t>投标人单位、其现任法定代表人（主要负责人）、拟委任的项目负责人在近三年具有行贿犯罪记录的拒绝参加本项目采购活动。</w:t>
      </w:r>
      <w:r>
        <w:rPr>
          <w:rFonts w:hint="eastAsia" w:ascii="宋体" w:hAnsi="宋体" w:eastAsia="宋体" w:cs="宋体"/>
          <w:color w:val="auto"/>
          <w:sz w:val="24"/>
          <w:szCs w:val="32"/>
        </w:rPr>
        <w:tab/>
      </w:r>
    </w:p>
    <w:p>
      <w:pPr>
        <w:snapToGrid w:val="0"/>
        <w:spacing w:before="50" w:after="120" w:afterLines="50"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七、招标文件获取时间、地点：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招标文件获取时间：2021年</w:t>
      </w:r>
      <w:r>
        <w:rPr>
          <w:rFonts w:hint="eastAsia" w:ascii="宋体" w:hAnsi="宋体" w:cs="宋体"/>
          <w:color w:val="auto"/>
          <w:sz w:val="24"/>
          <w:lang w:val="en-US" w:eastAsia="zh-CN"/>
        </w:rPr>
        <w:t>12</w:t>
      </w:r>
      <w:r>
        <w:rPr>
          <w:rFonts w:hint="eastAsia" w:ascii="宋体" w:hAnsi="宋体" w:eastAsia="宋体" w:cs="宋体"/>
          <w:color w:val="auto"/>
          <w:sz w:val="24"/>
        </w:rPr>
        <w:t>月</w:t>
      </w:r>
      <w:r>
        <w:rPr>
          <w:rFonts w:hint="eastAsia" w:ascii="宋体" w:hAnsi="宋体" w:cs="宋体"/>
          <w:color w:val="auto"/>
          <w:sz w:val="24"/>
          <w:lang w:val="en-US" w:eastAsia="zh-CN"/>
        </w:rPr>
        <w:t>07</w:t>
      </w:r>
      <w:r>
        <w:rPr>
          <w:rFonts w:hint="eastAsia" w:ascii="宋体" w:hAnsi="宋体" w:eastAsia="宋体" w:cs="宋体"/>
          <w:color w:val="auto"/>
          <w:sz w:val="24"/>
        </w:rPr>
        <w:t>日至2021年</w:t>
      </w:r>
      <w:r>
        <w:rPr>
          <w:rFonts w:hint="eastAsia" w:ascii="宋体" w:hAnsi="宋体" w:cs="宋体"/>
          <w:color w:val="auto"/>
          <w:sz w:val="24"/>
          <w:lang w:val="en-US" w:eastAsia="zh-CN"/>
        </w:rPr>
        <w:t>12</w:t>
      </w:r>
      <w:r>
        <w:rPr>
          <w:rFonts w:hint="eastAsia" w:ascii="宋体" w:hAnsi="宋体" w:eastAsia="宋体" w:cs="宋体"/>
          <w:color w:val="auto"/>
          <w:sz w:val="24"/>
        </w:rPr>
        <w:t>月</w:t>
      </w:r>
      <w:r>
        <w:rPr>
          <w:rFonts w:hint="eastAsia" w:ascii="宋体" w:hAnsi="宋体" w:cs="宋体"/>
          <w:color w:val="auto"/>
          <w:sz w:val="24"/>
          <w:lang w:val="en-US" w:eastAsia="zh-CN"/>
        </w:rPr>
        <w:t>13</w:t>
      </w:r>
      <w:r>
        <w:rPr>
          <w:rFonts w:hint="eastAsia" w:ascii="宋体" w:hAnsi="宋体" w:eastAsia="宋体" w:cs="宋体"/>
          <w:color w:val="auto"/>
          <w:sz w:val="24"/>
        </w:rPr>
        <w:t>日每天上午9:00-12:00，下午14:00-17:00（北京时间，节假日除外）。</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招标文件获取地点：政府采购云平台（https://www.zcygov.cn/）。</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文件获取方式：凡有意参加本项目者，在本项目招标文件获取时间期限内，登录政府采购云平台（https://www.zcygov.cn/）获取，操作步骤：登录政府采购云平台—我的工作台—项目采购—获取采购文件—申请获取采购文件。 提示：（1）本项目招标文件免费获取。（2）投标人只有在“政府采购云平台”完成获取招标文件申请并下载招标文件后才视作依法参与本项目。如未在“政府采购云平台”内完成相关流程，引起的投标无效责任自负。</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为电子招标投标项目，投标人参与本项目全过程中凡涉及系统操作请详见《供应商政府采购项目电子交易操作指南》。（操作指南以政府采购云平台网站发布为准，获取方式详见：政府采购云平台使用介绍）</w:t>
      </w:r>
    </w:p>
    <w:p>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八、投标截止时间和开标时间：</w:t>
      </w:r>
      <w:bookmarkStart w:id="10" w:name="PO_开标时间_1"/>
      <w:r>
        <w:rPr>
          <w:rFonts w:hint="eastAsia" w:ascii="宋体" w:hAnsi="宋体" w:eastAsia="宋体" w:cs="宋体"/>
          <w:b/>
          <w:color w:val="auto"/>
          <w:sz w:val="24"/>
        </w:rPr>
        <w:t>2021年</w:t>
      </w:r>
      <w:r>
        <w:rPr>
          <w:rFonts w:hint="eastAsia" w:ascii="宋体" w:hAnsi="宋体" w:cs="宋体"/>
          <w:b/>
          <w:bCs/>
          <w:color w:val="auto"/>
          <w:sz w:val="24"/>
          <w:lang w:val="en-US" w:eastAsia="zh-CN"/>
        </w:rPr>
        <w:t>12</w:t>
      </w:r>
      <w:r>
        <w:rPr>
          <w:rFonts w:hint="eastAsia" w:ascii="宋体" w:hAnsi="宋体" w:eastAsia="宋体" w:cs="宋体"/>
          <w:b/>
          <w:bCs/>
          <w:color w:val="auto"/>
          <w:sz w:val="24"/>
        </w:rPr>
        <w:t>月</w:t>
      </w:r>
      <w:r>
        <w:rPr>
          <w:rFonts w:hint="eastAsia" w:ascii="宋体" w:hAnsi="宋体" w:cs="宋体"/>
          <w:b/>
          <w:bCs/>
          <w:color w:val="auto"/>
          <w:sz w:val="24"/>
          <w:lang w:val="en-US" w:eastAsia="zh-CN"/>
        </w:rPr>
        <w:t>28</w:t>
      </w:r>
      <w:r>
        <w:rPr>
          <w:rFonts w:hint="eastAsia" w:ascii="宋体" w:hAnsi="宋体" w:eastAsia="宋体" w:cs="宋体"/>
          <w:b/>
          <w:bCs/>
          <w:color w:val="auto"/>
          <w:sz w:val="24"/>
        </w:rPr>
        <w:t>日</w:t>
      </w:r>
      <w:r>
        <w:rPr>
          <w:rFonts w:hint="eastAsia" w:ascii="宋体" w:hAnsi="宋体" w:cs="宋体"/>
          <w:b/>
          <w:bCs/>
          <w:color w:val="auto"/>
          <w:sz w:val="24"/>
          <w:lang w:val="en-US" w:eastAsia="zh-CN"/>
        </w:rPr>
        <w:t>9</w:t>
      </w:r>
      <w:r>
        <w:rPr>
          <w:rFonts w:hint="eastAsia" w:ascii="宋体" w:hAnsi="宋体" w:eastAsia="宋体" w:cs="宋体"/>
          <w:b/>
          <w:bCs/>
          <w:color w:val="auto"/>
          <w:sz w:val="24"/>
        </w:rPr>
        <w:t>:</w:t>
      </w:r>
      <w:r>
        <w:rPr>
          <w:rFonts w:hint="eastAsia" w:ascii="宋体" w:hAnsi="宋体" w:cs="宋体"/>
          <w:b/>
          <w:bCs/>
          <w:color w:val="auto"/>
          <w:sz w:val="24"/>
          <w:lang w:val="en-US" w:eastAsia="zh-CN"/>
        </w:rPr>
        <w:t>3</w:t>
      </w:r>
      <w:r>
        <w:rPr>
          <w:rFonts w:hint="eastAsia" w:ascii="宋体" w:hAnsi="宋体" w:eastAsia="宋体" w:cs="宋体"/>
          <w:b/>
          <w:bCs/>
          <w:color w:val="auto"/>
          <w:sz w:val="24"/>
        </w:rPr>
        <w:t>0</w:t>
      </w:r>
      <w:bookmarkEnd w:id="10"/>
      <w:r>
        <w:rPr>
          <w:rFonts w:hint="eastAsia" w:ascii="宋体" w:hAnsi="宋体" w:eastAsia="宋体" w:cs="宋体"/>
          <w:color w:val="auto"/>
          <w:sz w:val="24"/>
        </w:rPr>
        <w:t>（北京时间）。</w:t>
      </w:r>
    </w:p>
    <w:p>
      <w:pPr>
        <w:pStyle w:val="23"/>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投标截止时间前，投标人应将加密的电子投标文件递交至“政府采购云平台”对应项目（包件）。</w:t>
      </w:r>
    </w:p>
    <w:p>
      <w:pPr>
        <w:spacing w:line="360" w:lineRule="auto"/>
        <w:ind w:firstLine="482" w:firstLineChars="200"/>
        <w:rPr>
          <w:rFonts w:hint="eastAsia" w:ascii="宋体" w:hAnsi="宋体" w:eastAsia="宋体" w:cs="宋体"/>
          <w:color w:val="auto"/>
          <w:sz w:val="24"/>
        </w:rPr>
      </w:pPr>
      <w:r>
        <w:rPr>
          <w:rFonts w:hint="eastAsia" w:ascii="宋体" w:hAnsi="宋体" w:eastAsia="宋体" w:cs="宋体"/>
          <w:b/>
          <w:bCs/>
          <w:color w:val="auto"/>
          <w:sz w:val="24"/>
        </w:rPr>
        <w:t>九、开标地点：</w:t>
      </w:r>
      <w:r>
        <w:rPr>
          <w:rFonts w:hint="eastAsia" w:ascii="宋体" w:hAnsi="宋体" w:eastAsia="宋体" w:cs="宋体"/>
          <w:color w:val="auto"/>
          <w:sz w:val="24"/>
        </w:rPr>
        <w:t>（1）本项目为不见面开标项目；（2）开标地点：政府采购云平台(https://www.zcygov.cn)；（3）本项目只接受投标人加密并递交至“政府采购云平台”的投标文件。</w:t>
      </w:r>
    </w:p>
    <w:p>
      <w:pPr>
        <w:snapToGrid w:val="0"/>
        <w:spacing w:before="50" w:after="120" w:afterLines="50" w:line="360" w:lineRule="auto"/>
        <w:ind w:firstLine="482" w:firstLineChars="200"/>
        <w:jc w:val="left"/>
        <w:rPr>
          <w:rFonts w:hint="eastAsia" w:ascii="宋体" w:hAnsi="宋体" w:eastAsia="宋体" w:cs="宋体"/>
          <w:color w:val="auto"/>
          <w:sz w:val="24"/>
        </w:rPr>
      </w:pPr>
      <w:r>
        <w:rPr>
          <w:rFonts w:hint="eastAsia" w:ascii="宋体" w:hAnsi="宋体" w:eastAsia="宋体" w:cs="宋体"/>
          <w:b/>
          <w:bCs/>
          <w:color w:val="auto"/>
          <w:sz w:val="24"/>
        </w:rPr>
        <w:t>十、</w:t>
      </w:r>
      <w:r>
        <w:rPr>
          <w:rFonts w:hint="eastAsia" w:ascii="宋体" w:hAnsi="宋体" w:eastAsia="宋体" w:cs="宋体"/>
          <w:color w:val="auto"/>
          <w:sz w:val="24"/>
        </w:rPr>
        <w:t>本投标邀请在</w:t>
      </w:r>
      <w:r>
        <w:rPr>
          <w:rFonts w:hint="eastAsia" w:ascii="宋体" w:hAnsi="宋体" w:eastAsia="宋体" w:cs="宋体"/>
          <w:b/>
          <w:bCs/>
          <w:color w:val="auto"/>
          <w:sz w:val="24"/>
          <w:u w:val="single"/>
        </w:rPr>
        <w:t>四川政府采购网</w:t>
      </w:r>
      <w:r>
        <w:rPr>
          <w:rFonts w:hint="eastAsia" w:ascii="宋体" w:hAnsi="宋体" w:eastAsia="宋体" w:cs="宋体"/>
          <w:color w:val="auto"/>
          <w:sz w:val="24"/>
        </w:rPr>
        <w:t>上以公告形式发布。</w:t>
      </w:r>
    </w:p>
    <w:p>
      <w:pPr>
        <w:pStyle w:val="153"/>
        <w:ind w:firstLine="482"/>
        <w:rPr>
          <w:rFonts w:hint="eastAsia" w:ascii="宋体" w:hAnsi="宋体" w:eastAsia="宋体" w:cs="宋体"/>
          <w:b/>
          <w:color w:val="auto"/>
          <w:sz w:val="24"/>
        </w:rPr>
      </w:pPr>
      <w:r>
        <w:rPr>
          <w:rFonts w:hint="eastAsia" w:ascii="宋体" w:hAnsi="宋体" w:eastAsia="宋体" w:cs="宋体"/>
          <w:b/>
          <w:color w:val="auto"/>
          <w:sz w:val="24"/>
        </w:rPr>
        <w:t>十一、供应商信用融资：</w:t>
      </w:r>
    </w:p>
    <w:p>
      <w:pPr>
        <w:pStyle w:val="2"/>
        <w:spacing w:line="360" w:lineRule="auto"/>
        <w:ind w:firstLine="720"/>
        <w:rPr>
          <w:rFonts w:hint="eastAsia" w:ascii="宋体" w:hAnsi="宋体" w:eastAsia="宋体" w:cs="宋体"/>
          <w:color w:val="auto"/>
        </w:rPr>
      </w:pPr>
      <w:r>
        <w:rPr>
          <w:rFonts w:hint="eastAsia" w:ascii="宋体" w:hAnsi="宋体" w:eastAsia="宋体" w:cs="宋体"/>
          <w:color w:val="auto"/>
          <w:sz w:val="24"/>
          <w:szCs w:val="24"/>
        </w:rPr>
        <w:t>四川省正在推进政府采购供应商信用融资工作，相关要求详见《四川省财政厅关于推进四川省政府采购供应商信用融资工作的通知》（川财采〔2018〕123 号）；成都市财政局 中国人民银行成都分行营业管理部关于印发《成都市中小企业政府采购信用融资暂行办法》和《成都市级支持中小企业政府采购信用融资实施方案》的通知（成财采〔2019〕17号），上述文件请在四川政府采购网上查询。中标（成交）供应商为中小微企业的，可依据政府采购合同申请政府采购信用融资， 在四川省、成都市确定的首期开展“政采贷”业务银行的基础上，双流区另有10家银行机构自愿开展政府采购信用融资业务，双流区银行机构名单如下：1.成都银行双流支行 2.中国建设银行双流分行 3.交通银行双流分行 4.中国农业银行双流支行 5.成都农商银行双流支行 6.中国银行双流分行 7.上海银行成都双流支行 8.浙商银行成都双流支行 9.中国工商银行成都双流支行 10.中国邮政储蓄银行成都双流支行；成都市双流区范围内政府采购项目中标（成交）的中小企业均可向其提出融资申请。</w:t>
      </w:r>
    </w:p>
    <w:p>
      <w:pPr>
        <w:snapToGrid w:val="0"/>
        <w:spacing w:before="50" w:after="120" w:afterLines="50"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十</w:t>
      </w:r>
      <w:r>
        <w:rPr>
          <w:rFonts w:hint="eastAsia" w:ascii="宋体" w:hAnsi="宋体" w:cs="宋体"/>
          <w:b/>
          <w:color w:val="auto"/>
          <w:sz w:val="24"/>
          <w:lang w:val="en-US" w:eastAsia="zh-CN"/>
        </w:rPr>
        <w:t>二</w:t>
      </w:r>
      <w:r>
        <w:rPr>
          <w:rFonts w:hint="eastAsia" w:ascii="宋体" w:hAnsi="宋体" w:eastAsia="宋体" w:cs="宋体"/>
          <w:b/>
          <w:color w:val="auto"/>
          <w:sz w:val="24"/>
        </w:rPr>
        <w:t>、联系方式</w:t>
      </w:r>
    </w:p>
    <w:p>
      <w:pPr>
        <w:spacing w:line="336" w:lineRule="auto"/>
        <w:ind w:firstLine="482" w:firstLineChars="200"/>
        <w:rPr>
          <w:rFonts w:hint="eastAsia" w:ascii="宋体" w:hAnsi="宋体" w:eastAsia="宋体" w:cs="宋体"/>
          <w:b/>
          <w:bCs/>
          <w:color w:val="auto"/>
          <w:sz w:val="24"/>
          <w:lang w:eastAsia="zh-CN"/>
        </w:rPr>
      </w:pPr>
      <w:r>
        <w:rPr>
          <w:rFonts w:hint="eastAsia" w:ascii="宋体" w:hAnsi="宋体" w:eastAsia="宋体" w:cs="宋体"/>
          <w:b/>
          <w:bCs/>
          <w:color w:val="auto"/>
          <w:sz w:val="24"/>
        </w:rPr>
        <w:t>采购人：</w:t>
      </w:r>
      <w:r>
        <w:rPr>
          <w:rFonts w:hint="eastAsia" w:ascii="宋体" w:hAnsi="宋体" w:eastAsia="宋体" w:cs="宋体"/>
          <w:b/>
          <w:bCs/>
          <w:color w:val="auto"/>
          <w:sz w:val="24"/>
          <w:lang w:eastAsia="zh-CN"/>
        </w:rPr>
        <w:t xml:space="preserve">成都市公安局双流区分局 </w:t>
      </w:r>
    </w:p>
    <w:p>
      <w:pPr>
        <w:pStyle w:val="2"/>
        <w:ind w:firstLine="480" w:firstLineChars="200"/>
        <w:rPr>
          <w:rFonts w:hint="eastAsia" w:ascii="宋体" w:hAnsi="宋体" w:eastAsia="宋体" w:cs="宋体"/>
          <w:color w:val="auto"/>
          <w:lang w:eastAsia="zh-CN"/>
        </w:rPr>
      </w:pPr>
      <w:r>
        <w:rPr>
          <w:rFonts w:hint="eastAsia" w:ascii="宋体" w:hAnsi="宋体" w:eastAsia="宋体" w:cs="宋体"/>
          <w:color w:val="auto"/>
          <w:sz w:val="24"/>
          <w:lang w:val="en-US" w:eastAsia="zh-CN"/>
        </w:rPr>
        <w:t>地址：成都市双流区东升街道棠湖南路2段129号</w:t>
      </w:r>
    </w:p>
    <w:p>
      <w:pPr>
        <w:spacing w:line="360" w:lineRule="auto"/>
        <w:ind w:firstLine="460" w:firstLineChars="192"/>
        <w:rPr>
          <w:rFonts w:hint="eastAsia" w:ascii="宋体" w:hAnsi="宋体" w:eastAsia="宋体" w:cs="宋体"/>
          <w:color w:val="auto"/>
          <w:sz w:val="24"/>
          <w:lang w:eastAsia="zh-CN"/>
        </w:rPr>
      </w:pPr>
      <w:r>
        <w:rPr>
          <w:rFonts w:hint="eastAsia" w:ascii="宋体" w:hAnsi="宋体" w:eastAsia="宋体" w:cs="宋体"/>
          <w:color w:val="auto"/>
          <w:sz w:val="24"/>
        </w:rPr>
        <w:t>联系人：</w:t>
      </w:r>
      <w:r>
        <w:rPr>
          <w:rFonts w:hint="eastAsia" w:ascii="宋体" w:hAnsi="宋体" w:eastAsia="宋体" w:cs="宋体"/>
          <w:color w:val="auto"/>
          <w:sz w:val="24"/>
          <w:lang w:val="en-US" w:eastAsia="zh-CN"/>
        </w:rPr>
        <w:t>罗老师</w:t>
      </w:r>
    </w:p>
    <w:p>
      <w:pPr>
        <w:spacing w:line="360" w:lineRule="auto"/>
        <w:ind w:firstLine="460" w:firstLineChars="192"/>
        <w:rPr>
          <w:rFonts w:hint="eastAsia" w:ascii="宋体" w:hAnsi="宋体" w:eastAsia="宋体" w:cs="宋体"/>
          <w:b/>
          <w:color w:val="auto"/>
          <w:sz w:val="24"/>
          <w:lang w:eastAsia="zh-CN"/>
        </w:rPr>
      </w:pPr>
      <w:r>
        <w:rPr>
          <w:rFonts w:hint="eastAsia" w:ascii="宋体" w:hAnsi="宋体" w:eastAsia="宋体" w:cs="宋体"/>
          <w:color w:val="auto"/>
          <w:sz w:val="24"/>
        </w:rPr>
        <w:t>联系电话：</w:t>
      </w:r>
      <w:r>
        <w:rPr>
          <w:rFonts w:hint="eastAsia" w:ascii="宋体" w:hAnsi="宋体" w:eastAsia="宋体" w:cs="宋体"/>
          <w:color w:val="auto"/>
          <w:sz w:val="24"/>
          <w:lang w:val="en-US" w:eastAsia="zh-CN"/>
        </w:rPr>
        <w:t xml:space="preserve">028-85801986 </w:t>
      </w:r>
    </w:p>
    <w:p>
      <w:pPr>
        <w:spacing w:line="336"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招标代理机构： 四川凯亿工程管理咨询有限公司</w:t>
      </w:r>
    </w:p>
    <w:p>
      <w:pPr>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地    址：成都市武科西一路3号-2号楼5层</w:t>
      </w:r>
    </w:p>
    <w:p>
      <w:pPr>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邮    编：610000</w:t>
      </w:r>
    </w:p>
    <w:p>
      <w:pPr>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联 系 人：聂女士</w:t>
      </w:r>
    </w:p>
    <w:p>
      <w:pPr>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联系电话：</w:t>
      </w:r>
      <w:bookmarkStart w:id="11" w:name="PO_项目负责人电话_1"/>
      <w:r>
        <w:rPr>
          <w:rFonts w:hint="eastAsia" w:ascii="宋体" w:hAnsi="宋体" w:eastAsia="宋体" w:cs="宋体"/>
          <w:color w:val="auto"/>
          <w:sz w:val="24"/>
        </w:rPr>
        <w:t>028-</w:t>
      </w:r>
      <w:bookmarkEnd w:id="11"/>
      <w:r>
        <w:rPr>
          <w:rFonts w:hint="eastAsia" w:ascii="宋体" w:hAnsi="宋体" w:eastAsia="宋体" w:cs="宋体"/>
          <w:color w:val="auto"/>
          <w:sz w:val="24"/>
        </w:rPr>
        <w:t>85179390</w:t>
      </w:r>
    </w:p>
    <w:p>
      <w:pPr>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传    真：028-85179390</w:t>
      </w:r>
    </w:p>
    <w:p>
      <w:pPr>
        <w:rPr>
          <w:rFonts w:hint="eastAsia" w:ascii="宋体" w:hAnsi="宋体" w:eastAsia="宋体" w:cs="宋体"/>
          <w:color w:val="auto"/>
        </w:rPr>
        <w:sectPr>
          <w:footerReference r:id="rId6" w:type="default"/>
          <w:pgSz w:w="11907" w:h="16840"/>
          <w:pgMar w:top="1417" w:right="1474" w:bottom="1134" w:left="1587" w:header="851" w:footer="851" w:gutter="0"/>
          <w:pgBorders w:offsetFrom="page">
            <w:top w:val="none" w:sz="0" w:space="0"/>
            <w:left w:val="none" w:sz="0" w:space="0"/>
            <w:bottom w:val="none" w:sz="0" w:space="0"/>
            <w:right w:val="none" w:sz="0" w:space="0"/>
          </w:pgBorders>
          <w:pgNumType w:fmt="decimal" w:start="1"/>
          <w:cols w:space="720" w:num="1"/>
          <w:docGrid w:linePitch="312" w:charSpace="0"/>
        </w:sectPr>
      </w:pPr>
    </w:p>
    <w:p>
      <w:pPr>
        <w:pStyle w:val="3"/>
        <w:spacing w:before="240" w:beforeLines="100" w:after="240" w:afterLines="100" w:line="360" w:lineRule="auto"/>
        <w:jc w:val="center"/>
        <w:rPr>
          <w:rFonts w:hint="eastAsia" w:ascii="宋体" w:hAnsi="宋体" w:eastAsia="宋体" w:cs="宋体"/>
          <w:color w:val="auto"/>
          <w:sz w:val="32"/>
          <w:szCs w:val="32"/>
        </w:rPr>
      </w:pPr>
      <w:bookmarkStart w:id="12" w:name="_Toc10250"/>
      <w:bookmarkStart w:id="13" w:name="_Toc12529"/>
      <w:bookmarkStart w:id="14" w:name="_Toc470509905"/>
      <w:bookmarkStart w:id="15" w:name="_Toc11780"/>
      <w:bookmarkStart w:id="16" w:name="_Toc22246"/>
      <w:bookmarkStart w:id="17" w:name="_Toc3142"/>
      <w:bookmarkStart w:id="18" w:name="_Toc7746"/>
      <w:bookmarkStart w:id="19" w:name="_Toc25006"/>
      <w:bookmarkStart w:id="20" w:name="_Toc9496"/>
      <w:bookmarkStart w:id="21" w:name="_Toc8657"/>
      <w:bookmarkStart w:id="22" w:name="_Toc213396759"/>
      <w:bookmarkStart w:id="23" w:name="_Toc217446031"/>
      <w:bookmarkStart w:id="24" w:name="_Toc213496267"/>
      <w:bookmarkStart w:id="25" w:name="_Toc213396945"/>
      <w:bookmarkStart w:id="26" w:name="_Toc213397009"/>
      <w:r>
        <w:rPr>
          <w:rFonts w:hint="eastAsia" w:ascii="宋体" w:hAnsi="宋体" w:eastAsia="宋体" w:cs="宋体"/>
          <w:color w:val="auto"/>
          <w:sz w:val="32"/>
          <w:szCs w:val="32"/>
          <w:lang w:val="en-US" w:eastAsia="zh-CN"/>
        </w:rPr>
        <w:t xml:space="preserve">第二章  </w:t>
      </w:r>
      <w:r>
        <w:rPr>
          <w:rFonts w:hint="eastAsia" w:ascii="宋体" w:hAnsi="宋体" w:eastAsia="宋体" w:cs="宋体"/>
          <w:color w:val="auto"/>
          <w:sz w:val="32"/>
          <w:szCs w:val="32"/>
        </w:rPr>
        <w:t>投标人须知</w:t>
      </w:r>
      <w:bookmarkEnd w:id="12"/>
      <w:bookmarkEnd w:id="13"/>
      <w:bookmarkEnd w:id="14"/>
      <w:bookmarkEnd w:id="15"/>
      <w:bookmarkEnd w:id="16"/>
      <w:bookmarkEnd w:id="17"/>
      <w:bookmarkEnd w:id="18"/>
      <w:bookmarkEnd w:id="19"/>
      <w:bookmarkEnd w:id="20"/>
      <w:bookmarkEnd w:id="21"/>
    </w:p>
    <w:p>
      <w:pPr>
        <w:pStyle w:val="4"/>
        <w:spacing w:before="240" w:beforeLines="100" w:after="240" w:afterLines="100"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一、投标人须知附表</w:t>
      </w:r>
    </w:p>
    <w:tbl>
      <w:tblPr>
        <w:tblStyle w:val="49"/>
        <w:tblpPr w:leftFromText="180" w:rightFromText="180" w:vertAnchor="text" w:horzAnchor="page" w:tblpX="1441" w:tblpY="541"/>
        <w:tblOverlap w:val="never"/>
        <w:tblW w:w="9221" w:type="dxa"/>
        <w:tblInd w:w="-23"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67"/>
        <w:gridCol w:w="1989"/>
        <w:gridCol w:w="6465"/>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blHeader/>
        </w:trPr>
        <w:tc>
          <w:tcPr>
            <w:tcW w:w="767" w:type="dxa"/>
            <w:noWrap w:val="0"/>
            <w:vAlign w:val="center"/>
          </w:tcPr>
          <w:p>
            <w:pPr>
              <w:pStyle w:val="335"/>
              <w:spacing w:line="360" w:lineRule="auto"/>
              <w:ind w:left="9"/>
              <w:jc w:val="center"/>
              <w:rPr>
                <w:rFonts w:hint="eastAsia" w:ascii="宋体" w:hAnsi="宋体" w:eastAsia="宋体" w:cs="宋体"/>
                <w:b/>
                <w:bCs/>
                <w:color w:val="auto"/>
                <w:kern w:val="2"/>
              </w:rPr>
            </w:pPr>
            <w:bookmarkStart w:id="27" w:name="_Toc4874"/>
            <w:bookmarkStart w:id="28" w:name="_Toc10608"/>
            <w:bookmarkStart w:id="29" w:name="_Toc18902"/>
            <w:bookmarkStart w:id="30" w:name="_Toc11633"/>
            <w:bookmarkStart w:id="31" w:name="_Toc15046"/>
            <w:bookmarkStart w:id="32" w:name="_Toc19896"/>
            <w:r>
              <w:rPr>
                <w:rFonts w:hint="eastAsia" w:ascii="宋体" w:hAnsi="宋体" w:eastAsia="宋体" w:cs="宋体"/>
                <w:b/>
                <w:bCs/>
                <w:color w:val="auto"/>
                <w:kern w:val="2"/>
              </w:rPr>
              <w:t>序号</w:t>
            </w:r>
          </w:p>
        </w:tc>
        <w:tc>
          <w:tcPr>
            <w:tcW w:w="1989" w:type="dxa"/>
            <w:noWrap w:val="0"/>
            <w:vAlign w:val="center"/>
          </w:tcPr>
          <w:p>
            <w:pPr>
              <w:pStyle w:val="335"/>
              <w:spacing w:line="360" w:lineRule="auto"/>
              <w:ind w:left="38"/>
              <w:jc w:val="center"/>
              <w:rPr>
                <w:rFonts w:hint="eastAsia" w:ascii="宋体" w:hAnsi="宋体" w:eastAsia="宋体" w:cs="宋体"/>
                <w:b/>
                <w:bCs/>
                <w:color w:val="auto"/>
                <w:kern w:val="2"/>
              </w:rPr>
            </w:pPr>
            <w:r>
              <w:rPr>
                <w:rFonts w:hint="eastAsia" w:ascii="宋体" w:hAnsi="宋体" w:eastAsia="宋体" w:cs="宋体"/>
                <w:b/>
                <w:bCs/>
                <w:color w:val="auto"/>
                <w:kern w:val="2"/>
              </w:rPr>
              <w:t>条款名称</w:t>
            </w:r>
          </w:p>
        </w:tc>
        <w:tc>
          <w:tcPr>
            <w:tcW w:w="6465" w:type="dxa"/>
            <w:noWrap w:val="0"/>
            <w:vAlign w:val="center"/>
          </w:tcPr>
          <w:p>
            <w:pPr>
              <w:pStyle w:val="335"/>
              <w:spacing w:line="360"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w:t>
            </w:r>
          </w:p>
        </w:tc>
        <w:tc>
          <w:tcPr>
            <w:tcW w:w="1989" w:type="dxa"/>
            <w:tcBorders>
              <w:bottom w:val="single" w:color="auto" w:sz="4" w:space="0"/>
            </w:tcBorders>
            <w:noWrap w:val="0"/>
            <w:vAlign w:val="center"/>
          </w:tcPr>
          <w:p>
            <w:pPr>
              <w:pStyle w:val="335"/>
              <w:spacing w:line="360"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采购预算</w:t>
            </w:r>
          </w:p>
          <w:p>
            <w:pPr>
              <w:pStyle w:val="335"/>
              <w:spacing w:line="360" w:lineRule="auto"/>
              <w:jc w:val="center"/>
              <w:rPr>
                <w:rFonts w:hint="eastAsia" w:ascii="宋体" w:hAnsi="宋体" w:eastAsia="宋体" w:cs="宋体"/>
                <w:color w:val="auto"/>
                <w:kern w:val="2"/>
              </w:rPr>
            </w:pPr>
            <w:r>
              <w:rPr>
                <w:rFonts w:hint="eastAsia" w:ascii="宋体" w:hAnsi="宋体" w:eastAsia="宋体" w:cs="宋体"/>
                <w:b/>
                <w:bCs/>
                <w:color w:val="auto"/>
                <w:kern w:val="2"/>
              </w:rPr>
              <w:t>（实质性要求）</w:t>
            </w:r>
          </w:p>
        </w:tc>
        <w:tc>
          <w:tcPr>
            <w:tcW w:w="6465" w:type="dxa"/>
            <w:tcBorders>
              <w:bottom w:val="single" w:color="auto" w:sz="4" w:space="0"/>
            </w:tcBorders>
            <w:noWrap w:val="0"/>
            <w:vAlign w:val="center"/>
          </w:tcPr>
          <w:p>
            <w:pPr>
              <w:spacing w:line="276" w:lineRule="auto"/>
              <w:ind w:right="31" w:rightChars="15"/>
              <w:rPr>
                <w:rFonts w:hint="eastAsia" w:ascii="宋体" w:hAnsi="宋体" w:eastAsia="宋体" w:cs="宋体"/>
                <w:color w:val="auto"/>
                <w:kern w:val="0"/>
                <w:sz w:val="24"/>
              </w:rPr>
            </w:pPr>
            <w:r>
              <w:rPr>
                <w:rFonts w:hint="eastAsia" w:ascii="宋体" w:hAnsi="宋体" w:eastAsia="宋体" w:cs="宋体"/>
                <w:color w:val="auto"/>
                <w:sz w:val="24"/>
              </w:rPr>
              <w:t>预算金额：</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2459</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万元</w:t>
            </w:r>
            <w:r>
              <w:rPr>
                <w:rFonts w:hint="eastAsia" w:ascii="宋体" w:hAnsi="宋体" w:eastAsia="宋体" w:cs="宋体"/>
                <w:color w:val="auto"/>
                <w:kern w:val="2"/>
                <w:u w:val="none"/>
                <w:lang w:val="en-US" w:eastAsia="zh-CN"/>
              </w:rPr>
              <w:t>/年</w:t>
            </w:r>
            <w:r>
              <w:rPr>
                <w:rFonts w:hint="eastAsia" w:ascii="宋体" w:hAnsi="宋体" w:eastAsia="宋体" w:cs="宋体"/>
                <w:color w:val="auto"/>
                <w:kern w:val="0"/>
                <w:sz w:val="24"/>
              </w:rPr>
              <w:t>。</w:t>
            </w:r>
          </w:p>
          <w:p>
            <w:pPr>
              <w:spacing w:line="276" w:lineRule="auto"/>
              <w:ind w:right="31" w:rightChars="15"/>
              <w:rPr>
                <w:rFonts w:hint="eastAsia" w:ascii="宋体" w:hAnsi="宋体" w:eastAsia="宋体" w:cs="宋体"/>
                <w:color w:val="auto"/>
                <w:sz w:val="24"/>
                <w:lang w:eastAsia="zh-CN"/>
              </w:rPr>
            </w:pPr>
            <w:r>
              <w:rPr>
                <w:rFonts w:hint="eastAsia" w:ascii="宋体" w:hAnsi="宋体" w:eastAsia="宋体" w:cs="宋体"/>
                <w:color w:val="auto"/>
                <w:kern w:val="0"/>
                <w:sz w:val="24"/>
                <w:lang w:val="zh-CN" w:eastAsia="zh-CN"/>
              </w:rPr>
              <w:t>本项目报价不能超过</w:t>
            </w:r>
            <w:r>
              <w:rPr>
                <w:rFonts w:hint="eastAsia" w:ascii="宋体" w:hAnsi="宋体" w:eastAsia="宋体" w:cs="宋体"/>
                <w:color w:val="auto"/>
                <w:kern w:val="0"/>
                <w:sz w:val="24"/>
                <w:lang w:eastAsia="zh-CN"/>
              </w:rPr>
              <w:t>采购预算，否则按无效投标处理。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2</w:t>
            </w:r>
          </w:p>
        </w:tc>
        <w:tc>
          <w:tcPr>
            <w:tcW w:w="1989" w:type="dxa"/>
            <w:tcBorders>
              <w:top w:val="single" w:color="auto" w:sz="4" w:space="0"/>
            </w:tcBorders>
            <w:noWrap w:val="0"/>
            <w:vAlign w:val="center"/>
          </w:tcPr>
          <w:p>
            <w:pPr>
              <w:pStyle w:val="335"/>
              <w:spacing w:line="288"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最高限价</w:t>
            </w:r>
          </w:p>
          <w:p>
            <w:pPr>
              <w:pStyle w:val="335"/>
              <w:spacing w:line="288" w:lineRule="auto"/>
              <w:jc w:val="center"/>
              <w:rPr>
                <w:rFonts w:hint="eastAsia" w:ascii="宋体" w:hAnsi="宋体" w:eastAsia="宋体" w:cs="宋体"/>
                <w:b/>
                <w:bCs/>
                <w:color w:val="auto"/>
                <w:kern w:val="2"/>
              </w:rPr>
            </w:pPr>
            <w:r>
              <w:rPr>
                <w:rFonts w:hint="eastAsia" w:ascii="宋体" w:hAnsi="宋体" w:eastAsia="宋体" w:cs="宋体"/>
                <w:b/>
                <w:bCs/>
                <w:color w:val="auto"/>
              </w:rPr>
              <w:t>（实质性要求）</w:t>
            </w:r>
          </w:p>
        </w:tc>
        <w:tc>
          <w:tcPr>
            <w:tcW w:w="6465" w:type="dxa"/>
            <w:tcBorders>
              <w:top w:val="single" w:color="auto" w:sz="4" w:space="0"/>
            </w:tcBorders>
            <w:noWrap w:val="0"/>
            <w:vAlign w:val="center"/>
          </w:tcPr>
          <w:p>
            <w:pPr>
              <w:pStyle w:val="335"/>
              <w:spacing w:line="360" w:lineRule="auto"/>
              <w:rPr>
                <w:rFonts w:hint="eastAsia" w:ascii="宋体" w:hAnsi="宋体" w:eastAsia="宋体" w:cs="宋体"/>
                <w:color w:val="auto"/>
                <w:kern w:val="2"/>
                <w:lang w:eastAsia="zh-CN"/>
              </w:rPr>
            </w:pPr>
            <w:r>
              <w:rPr>
                <w:rFonts w:hint="eastAsia" w:ascii="宋体" w:hAnsi="宋体" w:eastAsia="宋体" w:cs="宋体"/>
                <w:color w:val="auto"/>
                <w:kern w:val="2"/>
              </w:rPr>
              <w:t>最高限价</w:t>
            </w:r>
            <w:r>
              <w:rPr>
                <w:rFonts w:hint="eastAsia" w:ascii="宋体" w:hAnsi="宋体" w:eastAsia="宋体" w:cs="宋体"/>
                <w:color w:val="auto"/>
                <w:kern w:val="2"/>
                <w:lang w:eastAsia="zh-CN"/>
              </w:rPr>
              <w:t>：</w:t>
            </w:r>
          </w:p>
          <w:p>
            <w:pPr>
              <w:pStyle w:val="335"/>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2"/>
                <w:u w:val="none"/>
                <w:lang w:val="en-US" w:eastAsia="zh-CN"/>
              </w:rPr>
              <w:t>01包最高限价：</w:t>
            </w:r>
            <w:r>
              <w:rPr>
                <w:rFonts w:hint="eastAsia" w:ascii="宋体" w:hAnsi="宋体" w:eastAsia="宋体" w:cs="宋体"/>
                <w:color w:val="auto"/>
                <w:kern w:val="2"/>
                <w:u w:val="single"/>
                <w:lang w:val="en-US" w:eastAsia="zh-CN"/>
              </w:rPr>
              <w:t>60</w:t>
            </w:r>
            <w:r>
              <w:rPr>
                <w:rFonts w:hint="eastAsia" w:ascii="宋体" w:hAnsi="宋体" w:eastAsia="宋体" w:cs="宋体"/>
                <w:color w:val="auto"/>
                <w:kern w:val="2"/>
                <w:u w:val="none"/>
                <w:lang w:val="en-US" w:eastAsia="zh-CN"/>
              </w:rPr>
              <w:t>万元/年</w:t>
            </w:r>
            <w:r>
              <w:rPr>
                <w:rFonts w:hint="eastAsia" w:ascii="宋体" w:hAnsi="宋体" w:eastAsia="宋体" w:cs="宋体"/>
                <w:color w:val="auto"/>
                <w:kern w:val="0"/>
                <w:sz w:val="24"/>
                <w:lang w:eastAsia="zh-CN"/>
              </w:rPr>
              <w:t>；</w:t>
            </w:r>
          </w:p>
          <w:p>
            <w:pPr>
              <w:pStyle w:val="335"/>
              <w:spacing w:line="360" w:lineRule="auto"/>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02包最高限价：</w:t>
            </w:r>
            <w:r>
              <w:rPr>
                <w:rFonts w:hint="eastAsia" w:ascii="宋体" w:hAnsi="宋体" w:eastAsia="宋体" w:cs="宋体"/>
                <w:color w:val="auto"/>
                <w:kern w:val="0"/>
                <w:sz w:val="24"/>
                <w:u w:val="single"/>
                <w:lang w:val="en-US" w:eastAsia="zh-CN"/>
              </w:rPr>
              <w:t>80</w:t>
            </w:r>
            <w:r>
              <w:rPr>
                <w:rFonts w:hint="eastAsia" w:ascii="宋体" w:hAnsi="宋体" w:eastAsia="宋体" w:cs="宋体"/>
                <w:color w:val="auto"/>
                <w:kern w:val="0"/>
                <w:sz w:val="24"/>
                <w:lang w:val="en-US" w:eastAsia="zh-CN"/>
              </w:rPr>
              <w:t>万元/年；</w:t>
            </w:r>
          </w:p>
          <w:p>
            <w:pPr>
              <w:pStyle w:val="335"/>
              <w:spacing w:line="360" w:lineRule="auto"/>
              <w:rPr>
                <w:rFonts w:hint="eastAsia" w:ascii="宋体" w:hAnsi="宋体" w:eastAsia="宋体" w:cs="宋体"/>
                <w:color w:val="auto"/>
                <w:kern w:val="2"/>
              </w:rPr>
            </w:pPr>
            <w:r>
              <w:rPr>
                <w:rFonts w:hint="eastAsia" w:ascii="宋体" w:hAnsi="宋体" w:eastAsia="宋体" w:cs="宋体"/>
                <w:color w:val="auto"/>
                <w:kern w:val="0"/>
                <w:sz w:val="24"/>
                <w:lang w:val="en-US" w:eastAsia="zh-CN"/>
              </w:rPr>
              <w:t>03包最高限价：</w:t>
            </w:r>
            <w:r>
              <w:rPr>
                <w:rFonts w:hint="eastAsia" w:ascii="宋体" w:hAnsi="宋体" w:eastAsia="宋体" w:cs="宋体"/>
                <w:color w:val="auto"/>
                <w:kern w:val="0"/>
                <w:sz w:val="24"/>
                <w:u w:val="single"/>
                <w:lang w:val="en-US" w:eastAsia="zh-CN"/>
              </w:rPr>
              <w:t>2319</w:t>
            </w:r>
            <w:r>
              <w:rPr>
                <w:rFonts w:hint="eastAsia" w:ascii="宋体" w:hAnsi="宋体" w:eastAsia="宋体" w:cs="宋体"/>
                <w:color w:val="auto"/>
                <w:kern w:val="0"/>
                <w:sz w:val="24"/>
                <w:lang w:val="en-US" w:eastAsia="zh-CN"/>
              </w:rPr>
              <w:t>万元/年</w:t>
            </w:r>
            <w:r>
              <w:rPr>
                <w:rFonts w:hint="eastAsia" w:ascii="宋体" w:hAnsi="宋体" w:eastAsia="宋体" w:cs="宋体"/>
                <w:color w:val="auto"/>
                <w:kern w:val="0"/>
                <w:sz w:val="24"/>
              </w:rPr>
              <w:t>。</w:t>
            </w:r>
          </w:p>
          <w:p>
            <w:pPr>
              <w:pStyle w:val="335"/>
              <w:spacing w:line="360" w:lineRule="auto"/>
              <w:rPr>
                <w:rFonts w:hint="eastAsia" w:ascii="宋体" w:hAnsi="宋体" w:eastAsia="宋体" w:cs="宋体"/>
                <w:color w:val="auto"/>
                <w:lang w:eastAsia="zh-CN"/>
              </w:rPr>
            </w:pPr>
            <w:r>
              <w:rPr>
                <w:rFonts w:hint="eastAsia" w:ascii="宋体" w:hAnsi="宋体" w:eastAsia="宋体" w:cs="宋体"/>
                <w:color w:val="auto"/>
                <w:kern w:val="2"/>
                <w:lang w:val="zh-CN" w:eastAsia="zh-CN"/>
              </w:rPr>
              <w:t>本项目报价不能超过最高限价</w:t>
            </w:r>
            <w:r>
              <w:rPr>
                <w:rFonts w:hint="eastAsia" w:ascii="宋体" w:hAnsi="宋体" w:eastAsia="宋体" w:cs="宋体"/>
                <w:color w:val="auto"/>
                <w:kern w:val="2"/>
                <w:lang w:eastAsia="zh-CN"/>
              </w:rPr>
              <w:t>，否则按无效投标处理。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3</w:t>
            </w:r>
          </w:p>
        </w:tc>
        <w:tc>
          <w:tcPr>
            <w:tcW w:w="1989" w:type="dxa"/>
            <w:noWrap w:val="0"/>
            <w:vAlign w:val="center"/>
          </w:tcPr>
          <w:p>
            <w:pPr>
              <w:pStyle w:val="335"/>
              <w:spacing w:line="360" w:lineRule="auto"/>
              <w:ind w:left="38"/>
              <w:jc w:val="center"/>
              <w:rPr>
                <w:rFonts w:hint="eastAsia" w:ascii="宋体" w:hAnsi="宋体" w:eastAsia="宋体" w:cs="宋体"/>
                <w:b/>
                <w:bCs/>
                <w:color w:val="auto"/>
                <w:kern w:val="2"/>
              </w:rPr>
            </w:pPr>
            <w:r>
              <w:rPr>
                <w:rFonts w:hint="eastAsia" w:ascii="宋体" w:hAnsi="宋体" w:eastAsia="宋体" w:cs="宋体"/>
                <w:b/>
                <w:bCs/>
                <w:color w:val="auto"/>
                <w:kern w:val="2"/>
              </w:rPr>
              <w:t>低于成本价不正当</w:t>
            </w:r>
          </w:p>
          <w:p>
            <w:pPr>
              <w:pStyle w:val="335"/>
              <w:spacing w:line="360" w:lineRule="auto"/>
              <w:ind w:left="38"/>
              <w:jc w:val="center"/>
              <w:rPr>
                <w:rFonts w:hint="eastAsia" w:ascii="宋体" w:hAnsi="宋体" w:eastAsia="宋体" w:cs="宋体"/>
                <w:b/>
                <w:bCs/>
                <w:color w:val="auto"/>
                <w:kern w:val="2"/>
              </w:rPr>
            </w:pPr>
            <w:r>
              <w:rPr>
                <w:rFonts w:hint="eastAsia" w:ascii="宋体" w:hAnsi="宋体" w:eastAsia="宋体" w:cs="宋体"/>
                <w:b/>
                <w:bCs/>
                <w:color w:val="auto"/>
                <w:kern w:val="2"/>
              </w:rPr>
              <w:t>竞争预防措施</w:t>
            </w:r>
          </w:p>
          <w:p>
            <w:pPr>
              <w:pStyle w:val="335"/>
              <w:spacing w:line="360" w:lineRule="auto"/>
              <w:ind w:left="38"/>
              <w:jc w:val="center"/>
              <w:rPr>
                <w:rFonts w:hint="eastAsia" w:ascii="宋体" w:hAnsi="宋体" w:eastAsia="宋体" w:cs="宋体"/>
                <w:b/>
                <w:bCs/>
                <w:color w:val="auto"/>
                <w:kern w:val="2"/>
              </w:rPr>
            </w:pPr>
            <w:r>
              <w:rPr>
                <w:rFonts w:hint="eastAsia" w:ascii="宋体" w:hAnsi="宋体" w:eastAsia="宋体" w:cs="宋体"/>
                <w:b/>
                <w:bCs/>
                <w:color w:val="auto"/>
              </w:rPr>
              <w:t>（实质性要求）</w:t>
            </w:r>
          </w:p>
        </w:tc>
        <w:tc>
          <w:tcPr>
            <w:tcW w:w="6465" w:type="dxa"/>
            <w:noWrap w:val="0"/>
            <w:vAlign w:val="center"/>
          </w:tcPr>
          <w:p>
            <w:pPr>
              <w:pStyle w:val="335"/>
              <w:ind w:firstLine="240" w:firstLineChars="100"/>
              <w:jc w:val="both"/>
              <w:rPr>
                <w:rFonts w:hint="eastAsia" w:ascii="宋体" w:hAnsi="宋体" w:eastAsia="宋体" w:cs="宋体"/>
                <w:color w:val="auto"/>
                <w:kern w:val="2"/>
              </w:rPr>
            </w:pPr>
            <w:r>
              <w:rPr>
                <w:rFonts w:hint="eastAsia" w:ascii="宋体" w:hAnsi="宋体" w:eastAsia="宋体" w:cs="宋体"/>
                <w:color w:val="auto"/>
                <w:kern w:val="2"/>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35"/>
              <w:ind w:firstLine="240" w:firstLineChars="100"/>
              <w:jc w:val="both"/>
              <w:rPr>
                <w:rFonts w:hint="eastAsia" w:ascii="宋体" w:hAnsi="宋体" w:eastAsia="宋体" w:cs="宋体"/>
                <w:color w:val="auto"/>
                <w:kern w:val="2"/>
              </w:rPr>
            </w:pPr>
            <w:r>
              <w:rPr>
                <w:rFonts w:hint="eastAsia" w:ascii="宋体" w:hAnsi="宋体" w:eastAsia="宋体" w:cs="宋体"/>
                <w:color w:val="auto"/>
                <w:kern w:val="2"/>
              </w:rPr>
              <w:t>注：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如因系统故障（包括组织场所停电、断网等）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lang w:val="zh-CN"/>
              </w:rPr>
            </w:pPr>
            <w:r>
              <w:rPr>
                <w:rFonts w:hint="eastAsia" w:ascii="宋体" w:hAnsi="宋体" w:eastAsia="宋体" w:cs="宋体"/>
                <w:b/>
                <w:bCs/>
                <w:color w:val="auto"/>
                <w:kern w:val="2"/>
              </w:rPr>
              <w:t>4</w:t>
            </w:r>
          </w:p>
        </w:tc>
        <w:tc>
          <w:tcPr>
            <w:tcW w:w="1989" w:type="dxa"/>
            <w:noWrap w:val="0"/>
            <w:vAlign w:val="center"/>
          </w:tcPr>
          <w:p>
            <w:pPr>
              <w:pStyle w:val="335"/>
              <w:spacing w:line="360" w:lineRule="auto"/>
              <w:jc w:val="center"/>
              <w:rPr>
                <w:rFonts w:hint="eastAsia" w:ascii="宋体" w:hAnsi="宋体" w:eastAsia="宋体" w:cs="宋体"/>
                <w:b/>
                <w:bCs/>
                <w:color w:val="auto"/>
              </w:rPr>
            </w:pPr>
            <w:r>
              <w:rPr>
                <w:rFonts w:hint="eastAsia" w:ascii="宋体" w:hAnsi="宋体" w:eastAsia="宋体" w:cs="宋体"/>
                <w:b/>
                <w:bCs/>
                <w:color w:val="auto"/>
              </w:rPr>
              <w:t>小微企业（监狱企业、残疾人福利性单位视同小微企业）价格扣除</w:t>
            </w:r>
          </w:p>
          <w:p>
            <w:pPr>
              <w:pStyle w:val="335"/>
              <w:spacing w:line="360" w:lineRule="auto"/>
              <w:jc w:val="both"/>
              <w:rPr>
                <w:rFonts w:hint="eastAsia" w:ascii="宋体" w:hAnsi="宋体" w:eastAsia="宋体" w:cs="宋体"/>
                <w:b/>
                <w:bCs/>
                <w:color w:val="auto"/>
              </w:rPr>
            </w:pPr>
          </w:p>
          <w:p>
            <w:pPr>
              <w:pStyle w:val="335"/>
              <w:spacing w:line="360" w:lineRule="auto"/>
              <w:jc w:val="center"/>
              <w:rPr>
                <w:rFonts w:hint="eastAsia" w:ascii="宋体" w:hAnsi="宋体" w:eastAsia="宋体" w:cs="宋体"/>
                <w:b/>
                <w:bCs/>
                <w:color w:val="auto"/>
                <w:kern w:val="2"/>
              </w:rPr>
            </w:pPr>
          </w:p>
        </w:tc>
        <w:tc>
          <w:tcPr>
            <w:tcW w:w="6465" w:type="dxa"/>
            <w:noWrap w:val="0"/>
            <w:vAlign w:val="center"/>
          </w:tcPr>
          <w:p>
            <w:pPr>
              <w:pStyle w:val="335"/>
              <w:spacing w:line="360" w:lineRule="auto"/>
              <w:rPr>
                <w:rFonts w:hint="eastAsia" w:ascii="宋体" w:hAnsi="宋体" w:eastAsia="宋体" w:cs="宋体"/>
                <w:b/>
                <w:bCs/>
                <w:color w:val="auto"/>
              </w:rPr>
            </w:pPr>
            <w:r>
              <w:rPr>
                <w:rFonts w:hint="eastAsia" w:ascii="宋体" w:hAnsi="宋体" w:eastAsia="宋体" w:cs="宋体"/>
                <w:b/>
                <w:bCs/>
                <w:color w:val="auto"/>
              </w:rPr>
              <w:t>一、小微企业（监狱企业、残疾人福利性单位均视同小微企业）价格扣除</w:t>
            </w:r>
          </w:p>
          <w:p>
            <w:pPr>
              <w:pStyle w:val="335"/>
              <w:spacing w:line="360" w:lineRule="auto"/>
              <w:rPr>
                <w:rFonts w:hint="eastAsia" w:ascii="宋体" w:hAnsi="宋体" w:eastAsia="宋体" w:cs="宋体"/>
                <w:color w:val="auto"/>
              </w:rPr>
            </w:pPr>
            <w:r>
              <w:rPr>
                <w:rFonts w:hint="eastAsia" w:ascii="宋体" w:hAnsi="宋体" w:eastAsia="宋体" w:cs="宋体"/>
                <w:color w:val="auto"/>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spacing w:line="360" w:lineRule="auto"/>
              <w:ind w:left="36" w:right="105" w:rightChars="50" w:hanging="36" w:hangingChars="15"/>
              <w:rPr>
                <w:rFonts w:hint="eastAsia" w:ascii="宋体" w:hAnsi="宋体" w:eastAsia="宋体" w:cs="宋体"/>
                <w:color w:val="auto"/>
                <w:sz w:val="24"/>
              </w:rPr>
            </w:pPr>
            <w:r>
              <w:rPr>
                <w:rFonts w:hint="eastAsia" w:ascii="宋体" w:hAnsi="宋体" w:eastAsia="宋体" w:cs="宋体"/>
                <w:color w:val="auto"/>
                <w:sz w:val="24"/>
              </w:rPr>
              <w:t>2. 参加政府采购活动的中小企业应当提供《中小企业（监狱企业）声明函》原件，监狱企业应当提供《中小企业（监狱企业）声明函》原件，残疾人福利性单位应当提供《残疾人福利性单位声明函》原件，未提供的视为放弃享受小微企业价格扣除优惠政策。</w:t>
            </w:r>
          </w:p>
          <w:p>
            <w:pPr>
              <w:pStyle w:val="335"/>
              <w:spacing w:line="360" w:lineRule="auto"/>
              <w:rPr>
                <w:rFonts w:hint="eastAsia" w:ascii="宋体" w:hAnsi="宋体" w:eastAsia="宋体" w:cs="宋体"/>
                <w:color w:val="auto"/>
              </w:rPr>
            </w:pPr>
            <w:r>
              <w:rPr>
                <w:rFonts w:hint="eastAsia" w:ascii="宋体" w:hAnsi="宋体" w:eastAsia="宋体" w:cs="宋体"/>
                <w:color w:val="auto"/>
              </w:rPr>
              <w:t>3、大中型企业和其他自然人、法人或者其他组织与小型、微型企业组成联合体共同参加非专门面向中小企业的政府采购活动的，联合体投标协议中约定，小型、微型企业的协议合同金额占到联合体投标协议合同总金额 30%以上的小微企业、监狱企业价可给予联合体3%的价格扣除。联合体各方均为小型、微型企业的，联合体视同为小型、微型企业享受规定的扶持政策。组成联合体的大中型企业和其他价加成或者扣分；自然人、法人或者其他组织，与小型、微型企业之间不得存在投资关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5</w:t>
            </w:r>
          </w:p>
        </w:tc>
        <w:tc>
          <w:tcPr>
            <w:tcW w:w="1989" w:type="dxa"/>
            <w:noWrap w:val="0"/>
            <w:vAlign w:val="center"/>
          </w:tcPr>
          <w:p>
            <w:pPr>
              <w:pStyle w:val="335"/>
              <w:spacing w:line="360" w:lineRule="auto"/>
              <w:jc w:val="center"/>
              <w:rPr>
                <w:rFonts w:hint="eastAsia" w:ascii="宋体" w:hAnsi="宋体" w:eastAsia="宋体" w:cs="宋体"/>
                <w:b/>
                <w:bCs/>
                <w:color w:val="auto"/>
              </w:rPr>
            </w:pPr>
            <w:r>
              <w:rPr>
                <w:rFonts w:hint="eastAsia" w:ascii="宋体" w:hAnsi="宋体" w:eastAsia="宋体" w:cs="宋体"/>
                <w:b/>
                <w:bCs/>
                <w:color w:val="auto"/>
              </w:rPr>
              <w:t>节能产品或者政府采购环境标志产品或者无线局域网产品</w:t>
            </w:r>
          </w:p>
          <w:p>
            <w:pPr>
              <w:pStyle w:val="335"/>
              <w:spacing w:line="360" w:lineRule="auto"/>
              <w:jc w:val="center"/>
              <w:rPr>
                <w:rFonts w:hint="eastAsia" w:ascii="宋体" w:hAnsi="宋体" w:eastAsia="宋体" w:cs="宋体"/>
                <w:b/>
                <w:bCs/>
                <w:color w:val="auto"/>
              </w:rPr>
            </w:pPr>
            <w:r>
              <w:rPr>
                <w:rFonts w:hint="eastAsia" w:ascii="宋体" w:hAnsi="宋体" w:eastAsia="宋体" w:cs="宋体"/>
                <w:b/>
                <w:bCs/>
                <w:color w:val="auto"/>
              </w:rPr>
              <w:t>（本项目不涉及）</w:t>
            </w:r>
          </w:p>
          <w:p>
            <w:pPr>
              <w:pStyle w:val="335"/>
              <w:spacing w:line="360" w:lineRule="auto"/>
              <w:jc w:val="center"/>
              <w:rPr>
                <w:rFonts w:hint="eastAsia" w:ascii="宋体" w:hAnsi="宋体" w:eastAsia="宋体" w:cs="宋体"/>
                <w:b/>
                <w:bCs/>
                <w:color w:val="auto"/>
              </w:rPr>
            </w:pPr>
          </w:p>
        </w:tc>
        <w:tc>
          <w:tcPr>
            <w:tcW w:w="6465" w:type="dxa"/>
            <w:noWrap w:val="0"/>
            <w:vAlign w:val="center"/>
          </w:tcPr>
          <w:p>
            <w:pPr>
              <w:pStyle w:val="335"/>
              <w:spacing w:line="360" w:lineRule="auto"/>
              <w:rPr>
                <w:rFonts w:hint="eastAsia" w:ascii="宋体" w:hAnsi="宋体" w:eastAsia="宋体" w:cs="宋体"/>
                <w:color w:val="auto"/>
                <w:lang w:val="zh-CN"/>
              </w:rPr>
            </w:pPr>
            <w:r>
              <w:rPr>
                <w:rFonts w:hint="eastAsia" w:ascii="宋体" w:hAnsi="宋体" w:eastAsia="宋体" w:cs="宋体"/>
                <w:color w:val="auto"/>
                <w:lang w:val="zh-CN"/>
              </w:rPr>
              <w:t>一、节能、环保产品政府采购政策：</w:t>
            </w:r>
          </w:p>
          <w:p>
            <w:pPr>
              <w:pStyle w:val="335"/>
              <w:spacing w:line="360" w:lineRule="auto"/>
              <w:ind w:firstLine="480" w:firstLineChars="200"/>
              <w:rPr>
                <w:rFonts w:hint="eastAsia" w:ascii="宋体" w:hAnsi="宋体" w:eastAsia="宋体" w:cs="宋体"/>
                <w:color w:val="auto"/>
                <w:lang w:val="zh-CN"/>
              </w:rPr>
            </w:pPr>
            <w:r>
              <w:rPr>
                <w:rFonts w:hint="eastAsia" w:ascii="宋体" w:hAnsi="宋体" w:eastAsia="宋体" w:cs="宋体"/>
                <w:color w:val="auto"/>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335"/>
              <w:spacing w:line="360" w:lineRule="auto"/>
              <w:ind w:firstLine="480" w:firstLineChars="200"/>
              <w:rPr>
                <w:rFonts w:hint="eastAsia" w:ascii="宋体" w:hAnsi="宋体" w:eastAsia="宋体" w:cs="宋体"/>
                <w:color w:val="auto"/>
                <w:lang w:val="zh-CN"/>
              </w:rPr>
            </w:pPr>
            <w:r>
              <w:rPr>
                <w:rFonts w:hint="eastAsia" w:ascii="宋体" w:hAnsi="宋体" w:eastAsia="宋体" w:cs="宋体"/>
                <w:color w:val="auto"/>
                <w:lang w:val="zh-CN"/>
              </w:rPr>
              <w:t>本项目采购的产品属于品目清单范围内强制采购的，供应商应按上述要求提供</w:t>
            </w:r>
            <w:r>
              <w:rPr>
                <w:rFonts w:hint="eastAsia" w:ascii="宋体" w:hAnsi="宋体" w:eastAsia="宋体" w:cs="宋体"/>
                <w:color w:val="auto"/>
              </w:rPr>
              <w:t>国家确定的认证机构的认证结果信息发布平台公布的该产品认证信息截图或者打印资料并加盖投标单位公章</w:t>
            </w:r>
            <w:r>
              <w:rPr>
                <w:rFonts w:hint="eastAsia" w:ascii="宋体" w:hAnsi="宋体" w:eastAsia="宋体" w:cs="宋体"/>
                <w:color w:val="auto"/>
                <w:lang w:val="zh-CN"/>
              </w:rPr>
              <w:t>，否则投标无效。</w:t>
            </w:r>
          </w:p>
          <w:p>
            <w:pPr>
              <w:pStyle w:val="335"/>
              <w:spacing w:line="360" w:lineRule="auto"/>
              <w:ind w:firstLine="480" w:firstLineChars="200"/>
              <w:rPr>
                <w:rFonts w:hint="eastAsia" w:ascii="宋体" w:hAnsi="宋体" w:eastAsia="宋体" w:cs="宋体"/>
                <w:color w:val="auto"/>
                <w:lang w:val="zh-CN"/>
              </w:rPr>
            </w:pPr>
            <w:r>
              <w:rPr>
                <w:rFonts w:hint="eastAsia" w:ascii="宋体" w:hAnsi="宋体" w:eastAsia="宋体" w:cs="宋体"/>
                <w:color w:val="auto"/>
                <w:lang w:val="zh-CN"/>
              </w:rPr>
              <w:t>本项目采购的产品属于品目清单范围内优先采购的，按照第七章《综合评分明细表》的规则进行加分。</w:t>
            </w:r>
          </w:p>
          <w:p>
            <w:pPr>
              <w:pStyle w:val="335"/>
              <w:spacing w:line="360" w:lineRule="auto"/>
              <w:rPr>
                <w:rFonts w:hint="eastAsia" w:ascii="宋体" w:hAnsi="宋体" w:eastAsia="宋体" w:cs="宋体"/>
                <w:color w:val="auto"/>
                <w:lang w:val="zh-CN"/>
              </w:rPr>
            </w:pPr>
            <w:r>
              <w:rPr>
                <w:rFonts w:hint="eastAsia" w:ascii="宋体" w:hAnsi="宋体" w:eastAsia="宋体" w:cs="宋体"/>
                <w:color w:val="auto"/>
                <w:lang w:val="zh-CN"/>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pStyle w:val="335"/>
              <w:spacing w:line="360" w:lineRule="auto"/>
              <w:rPr>
                <w:rFonts w:hint="eastAsia" w:ascii="宋体" w:hAnsi="宋体" w:eastAsia="宋体" w:cs="宋体"/>
                <w:color w:val="auto"/>
                <w:lang w:val="zh-CN"/>
              </w:rPr>
            </w:pPr>
            <w:r>
              <w:rPr>
                <w:rFonts w:hint="eastAsia" w:ascii="宋体" w:hAnsi="宋体" w:eastAsia="宋体" w:cs="宋体"/>
                <w:color w:val="auto"/>
                <w:lang w:val="zh-CN"/>
              </w:rPr>
              <w:t>二、无线局域网产品政府采购政策：</w:t>
            </w:r>
          </w:p>
          <w:p>
            <w:pPr>
              <w:pStyle w:val="335"/>
              <w:spacing w:line="360" w:lineRule="auto"/>
              <w:rPr>
                <w:rFonts w:hint="eastAsia" w:ascii="宋体" w:hAnsi="宋体" w:eastAsia="宋体" w:cs="宋体"/>
                <w:color w:val="auto"/>
                <w:lang w:val="zh-CN"/>
              </w:rPr>
            </w:pPr>
            <w:r>
              <w:rPr>
                <w:rFonts w:hint="eastAsia" w:ascii="宋体" w:hAnsi="宋体" w:eastAsia="宋体" w:cs="宋体"/>
                <w:color w:val="auto"/>
                <w:lang w:val="zh-CN"/>
              </w:rPr>
              <w:t>本项目采购的产品属于中国政府采购网公布的《无线局域网认证产品政府采购清单》的，将按照第七章《综合评分明细表》的规则进行加分。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6</w:t>
            </w:r>
          </w:p>
        </w:tc>
        <w:tc>
          <w:tcPr>
            <w:tcW w:w="1989" w:type="dxa"/>
            <w:noWrap w:val="0"/>
            <w:vAlign w:val="center"/>
          </w:tcPr>
          <w:p>
            <w:pPr>
              <w:pStyle w:val="335"/>
              <w:spacing w:line="360" w:lineRule="auto"/>
              <w:jc w:val="center"/>
              <w:rPr>
                <w:rFonts w:hint="eastAsia" w:ascii="宋体" w:hAnsi="宋体" w:eastAsia="宋体" w:cs="宋体"/>
                <w:b/>
                <w:bCs/>
                <w:color w:val="auto"/>
              </w:rPr>
            </w:pPr>
            <w:r>
              <w:rPr>
                <w:rFonts w:hint="eastAsia" w:ascii="宋体" w:hAnsi="宋体" w:eastAsia="宋体" w:cs="宋体"/>
                <w:b/>
                <w:bCs/>
                <w:color w:val="auto"/>
              </w:rPr>
              <w:t>扶持不发达地区和少数民族地区</w:t>
            </w:r>
          </w:p>
        </w:tc>
        <w:tc>
          <w:tcPr>
            <w:tcW w:w="6465" w:type="dxa"/>
            <w:noWrap w:val="0"/>
            <w:vAlign w:val="center"/>
          </w:tcPr>
          <w:p>
            <w:pPr>
              <w:pStyle w:val="335"/>
              <w:spacing w:line="360" w:lineRule="auto"/>
              <w:rPr>
                <w:rFonts w:hint="eastAsia" w:ascii="宋体" w:hAnsi="宋体" w:eastAsia="宋体" w:cs="宋体"/>
                <w:color w:val="auto"/>
                <w:lang w:val="zh-CN"/>
              </w:rPr>
            </w:pPr>
            <w:r>
              <w:rPr>
                <w:rFonts w:hint="eastAsia" w:ascii="宋体" w:hAnsi="宋体" w:eastAsia="宋体" w:cs="宋体"/>
                <w:color w:val="auto"/>
                <w:lang w:val="zh-CN"/>
              </w:rPr>
              <w:t>符合扶持不发达地区和少数民族地区政策条件的，根据《中华人民共和国政府采购法实施条例》的规定，对不发达地区和少数民族地区的投标人产品及服务</w:t>
            </w:r>
            <w:r>
              <w:rPr>
                <w:rFonts w:hint="eastAsia" w:ascii="宋体" w:hAnsi="宋体" w:eastAsia="宋体" w:cs="宋体"/>
                <w:color w:val="auto"/>
              </w:rPr>
              <w:t>实行优先采购</w:t>
            </w:r>
            <w:r>
              <w:rPr>
                <w:rFonts w:hint="eastAsia" w:ascii="宋体" w:hAnsi="宋体" w:eastAsia="宋体" w:cs="宋体"/>
                <w:color w:val="auto"/>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7</w:t>
            </w:r>
          </w:p>
        </w:tc>
        <w:tc>
          <w:tcPr>
            <w:tcW w:w="1989" w:type="dxa"/>
            <w:noWrap w:val="0"/>
            <w:vAlign w:val="center"/>
          </w:tcPr>
          <w:p>
            <w:pPr>
              <w:pStyle w:val="335"/>
              <w:spacing w:line="360" w:lineRule="auto"/>
              <w:jc w:val="center"/>
              <w:rPr>
                <w:rFonts w:hint="eastAsia" w:ascii="宋体" w:hAnsi="宋体" w:eastAsia="宋体" w:cs="宋体"/>
                <w:b/>
                <w:bCs/>
                <w:color w:val="auto"/>
              </w:rPr>
            </w:pPr>
            <w:r>
              <w:rPr>
                <w:rFonts w:hint="eastAsia" w:ascii="宋体" w:hAnsi="宋体" w:eastAsia="宋体" w:cs="宋体"/>
                <w:b/>
                <w:bCs/>
                <w:color w:val="auto"/>
              </w:rPr>
              <w:t>中小企业政府采购</w:t>
            </w:r>
          </w:p>
          <w:p>
            <w:pPr>
              <w:pStyle w:val="335"/>
              <w:spacing w:line="360" w:lineRule="auto"/>
              <w:jc w:val="center"/>
              <w:rPr>
                <w:rFonts w:hint="eastAsia" w:ascii="宋体" w:hAnsi="宋体" w:eastAsia="宋体" w:cs="宋体"/>
                <w:b/>
                <w:bCs/>
                <w:color w:val="auto"/>
              </w:rPr>
            </w:pPr>
            <w:r>
              <w:rPr>
                <w:rFonts w:hint="eastAsia" w:ascii="宋体" w:hAnsi="宋体" w:eastAsia="宋体" w:cs="宋体"/>
                <w:b/>
                <w:bCs/>
                <w:color w:val="auto"/>
              </w:rPr>
              <w:t>信用融资</w:t>
            </w:r>
          </w:p>
        </w:tc>
        <w:tc>
          <w:tcPr>
            <w:tcW w:w="6465" w:type="dxa"/>
            <w:noWrap w:val="0"/>
            <w:vAlign w:val="center"/>
          </w:tcPr>
          <w:p>
            <w:pPr>
              <w:pStyle w:val="335"/>
              <w:spacing w:line="360" w:lineRule="auto"/>
              <w:rPr>
                <w:rFonts w:hint="eastAsia" w:ascii="宋体" w:hAnsi="宋体" w:eastAsia="宋体" w:cs="宋体"/>
                <w:color w:val="auto"/>
                <w:lang w:val="zh-CN"/>
              </w:rPr>
            </w:pPr>
            <w:r>
              <w:rPr>
                <w:rFonts w:hint="eastAsia" w:ascii="宋体" w:hAnsi="宋体" w:eastAsia="宋体" w:cs="宋体"/>
                <w:color w:val="auto"/>
              </w:rPr>
              <w:t>根据《四川省财政厅关于推进四川省政府采购供应商信用融资工作的通知》（川财采[2018]123号）</w:t>
            </w:r>
            <w:r>
              <w:rPr>
                <w:rFonts w:hint="eastAsia" w:ascii="宋体" w:hAnsi="宋体" w:eastAsia="宋体" w:cs="宋体"/>
                <w:color w:val="auto"/>
                <w:shd w:val="clear" w:color="auto" w:fill="FFFFFF"/>
              </w:rPr>
              <w:t>、</w:t>
            </w:r>
            <w:bookmarkStart w:id="33" w:name="_Hlk47710956"/>
            <w:r>
              <w:rPr>
                <w:rFonts w:hint="eastAsia" w:ascii="宋体" w:hAnsi="宋体" w:eastAsia="宋体" w:cs="宋体"/>
                <w:color w:val="auto"/>
                <w:spacing w:val="-6"/>
                <w:shd w:val="clear" w:color="auto" w:fill="FFFFFF"/>
              </w:rPr>
              <w:t>《成都市中小企业政府采购信用融资暂行办法》（成财采〔2019〕17 号）</w:t>
            </w:r>
            <w:bookmarkEnd w:id="33"/>
            <w:r>
              <w:rPr>
                <w:rFonts w:hint="eastAsia" w:ascii="宋体" w:hAnsi="宋体" w:eastAsia="宋体" w:cs="宋体"/>
                <w:color w:val="auto"/>
                <w:shd w:val="clear" w:color="auto" w:fill="FFFFFF"/>
              </w:rPr>
              <w:t>文件要求</w:t>
            </w:r>
            <w:r>
              <w:rPr>
                <w:rFonts w:hint="eastAsia" w:ascii="宋体" w:hAnsi="宋体" w:eastAsia="宋体" w:cs="宋体"/>
                <w:color w:val="auto"/>
              </w:rPr>
              <w:t>。中标人若为中小微企业的，可依据政府采购合同申请政府采购信用融资。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8</w:t>
            </w:r>
          </w:p>
        </w:tc>
        <w:tc>
          <w:tcPr>
            <w:tcW w:w="1989" w:type="dxa"/>
            <w:noWrap w:val="0"/>
            <w:vAlign w:val="center"/>
          </w:tcPr>
          <w:p>
            <w:pPr>
              <w:spacing w:line="360" w:lineRule="auto"/>
              <w:ind w:left="105" w:leftChars="50" w:right="105" w:rightChars="50"/>
              <w:jc w:val="center"/>
              <w:rPr>
                <w:rFonts w:hint="eastAsia" w:ascii="宋体" w:hAnsi="宋体" w:eastAsia="宋体" w:cs="宋体"/>
                <w:b/>
                <w:bCs/>
                <w:color w:val="auto"/>
                <w:sz w:val="24"/>
              </w:rPr>
            </w:pPr>
            <w:r>
              <w:rPr>
                <w:rFonts w:hint="eastAsia" w:ascii="宋体" w:hAnsi="宋体" w:eastAsia="宋体" w:cs="宋体"/>
                <w:b/>
                <w:bCs/>
                <w:color w:val="auto"/>
                <w:kern w:val="0"/>
                <w:sz w:val="24"/>
              </w:rPr>
              <w:t>评标情况公告</w:t>
            </w:r>
          </w:p>
        </w:tc>
        <w:tc>
          <w:tcPr>
            <w:tcW w:w="6465" w:type="dxa"/>
            <w:noWrap w:val="0"/>
            <w:vAlign w:val="center"/>
          </w:tcPr>
          <w:p>
            <w:pPr>
              <w:widowControl/>
              <w:spacing w:line="360" w:lineRule="auto"/>
              <w:jc w:val="left"/>
              <w:rPr>
                <w:rFonts w:hint="eastAsia" w:ascii="宋体" w:hAnsi="宋体" w:eastAsia="宋体" w:cs="宋体"/>
                <w:color w:val="auto"/>
                <w:sz w:val="24"/>
              </w:rPr>
            </w:pPr>
            <w:r>
              <w:rPr>
                <w:rFonts w:hint="eastAsia" w:ascii="宋体" w:hAnsi="宋体" w:eastAsia="宋体" w:cs="宋体"/>
                <w:color w:val="auto"/>
                <w:kern w:val="0"/>
                <w:sz w:val="24"/>
              </w:rPr>
              <w:t>所有投标人投标文件资格性、符合性检查情况、采用综合评分法时的得分情况、评标结果等将在四川政府采购网上采购结果公告栏中予以公告。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9</w:t>
            </w:r>
          </w:p>
        </w:tc>
        <w:tc>
          <w:tcPr>
            <w:tcW w:w="1989" w:type="dxa"/>
            <w:noWrap w:val="0"/>
            <w:vAlign w:val="center"/>
          </w:tcPr>
          <w:p>
            <w:pPr>
              <w:pStyle w:val="335"/>
              <w:spacing w:line="360" w:lineRule="auto"/>
              <w:ind w:left="96"/>
              <w:jc w:val="center"/>
              <w:rPr>
                <w:rFonts w:hint="eastAsia" w:ascii="宋体" w:hAnsi="宋体" w:eastAsia="宋体" w:cs="宋体"/>
                <w:b/>
                <w:bCs/>
                <w:color w:val="auto"/>
                <w:lang w:val="zh-CN"/>
              </w:rPr>
            </w:pPr>
            <w:r>
              <w:rPr>
                <w:rFonts w:hint="eastAsia" w:ascii="宋体" w:hAnsi="宋体" w:eastAsia="宋体" w:cs="宋体"/>
                <w:b/>
                <w:bCs/>
                <w:color w:val="auto"/>
                <w:lang w:val="zh-CN"/>
              </w:rPr>
              <w:t>投标保证金</w:t>
            </w:r>
          </w:p>
        </w:tc>
        <w:tc>
          <w:tcPr>
            <w:tcW w:w="6465" w:type="dxa"/>
            <w:noWrap w:val="0"/>
            <w:vAlign w:val="center"/>
          </w:tcPr>
          <w:p>
            <w:pPr>
              <w:pStyle w:val="335"/>
              <w:spacing w:line="360" w:lineRule="auto"/>
              <w:rPr>
                <w:rFonts w:hint="eastAsia" w:ascii="宋体" w:hAnsi="宋体" w:eastAsia="宋体" w:cs="宋体"/>
                <w:color w:val="auto"/>
              </w:rPr>
            </w:pPr>
            <w:r>
              <w:rPr>
                <w:rFonts w:hint="eastAsia" w:ascii="宋体" w:hAnsi="宋体" w:eastAsia="宋体" w:cs="宋体"/>
                <w:color w:val="auto"/>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10</w:t>
            </w:r>
          </w:p>
        </w:tc>
        <w:tc>
          <w:tcPr>
            <w:tcW w:w="1989" w:type="dxa"/>
            <w:noWrap w:val="0"/>
            <w:vAlign w:val="center"/>
          </w:tcPr>
          <w:p>
            <w:pPr>
              <w:pStyle w:val="335"/>
              <w:spacing w:line="360" w:lineRule="auto"/>
              <w:ind w:left="96"/>
              <w:jc w:val="center"/>
              <w:rPr>
                <w:rFonts w:hint="eastAsia" w:ascii="宋体" w:hAnsi="宋体" w:eastAsia="宋体" w:cs="宋体"/>
                <w:b/>
                <w:bCs/>
                <w:color w:val="auto"/>
                <w:lang w:val="zh-CN"/>
              </w:rPr>
            </w:pPr>
            <w:r>
              <w:rPr>
                <w:rFonts w:hint="eastAsia" w:ascii="宋体" w:hAnsi="宋体" w:eastAsia="宋体" w:cs="宋体"/>
                <w:b/>
                <w:bCs/>
                <w:color w:val="auto"/>
                <w:lang w:val="zh-CN"/>
              </w:rPr>
              <w:t>履约保证金</w:t>
            </w:r>
          </w:p>
        </w:tc>
        <w:tc>
          <w:tcPr>
            <w:tcW w:w="6465" w:type="dxa"/>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金额：</w:t>
            </w:r>
            <w:r>
              <w:rPr>
                <w:rFonts w:hint="eastAsia" w:ascii="宋体" w:hAnsi="宋体" w:eastAsia="宋体" w:cs="宋体"/>
                <w:color w:val="auto"/>
                <w:sz w:val="24"/>
                <w:szCs w:val="24"/>
                <w:lang w:val="en-US" w:eastAsia="zh-CN"/>
              </w:rPr>
              <w:t>中标</w:t>
            </w:r>
            <w:r>
              <w:rPr>
                <w:rFonts w:hint="eastAsia" w:ascii="宋体" w:hAnsi="宋体" w:eastAsia="宋体" w:cs="宋体"/>
                <w:color w:val="auto"/>
                <w:sz w:val="24"/>
                <w:szCs w:val="24"/>
              </w:rPr>
              <w:t>金额的</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w:t>
            </w:r>
          </w:p>
          <w:p>
            <w:pPr>
              <w:pStyle w:val="335"/>
              <w:spacing w:line="360" w:lineRule="auto"/>
              <w:rPr>
                <w:rFonts w:hint="eastAsia" w:ascii="宋体" w:hAnsi="宋体" w:eastAsia="宋体" w:cs="宋体"/>
                <w:color w:val="auto"/>
              </w:rPr>
            </w:pPr>
            <w:r>
              <w:rPr>
                <w:rFonts w:hint="eastAsia" w:ascii="宋体" w:hAnsi="宋体" w:eastAsia="宋体" w:cs="宋体"/>
                <w:color w:val="auto"/>
                <w:sz w:val="24"/>
                <w:szCs w:val="24"/>
              </w:rPr>
              <w:t>交款方式：可以是银行转账、银行电汇、网上银行转账保函等非现金形式。</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tcBorders>
              <w:top w:val="single" w:color="auto" w:sz="4" w:space="0"/>
              <w:bottom w:val="single" w:color="auto" w:sz="4" w:space="0"/>
            </w:tcBorders>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12</w:t>
            </w:r>
          </w:p>
        </w:tc>
        <w:tc>
          <w:tcPr>
            <w:tcW w:w="1989" w:type="dxa"/>
            <w:tcBorders>
              <w:top w:val="single" w:color="auto" w:sz="4" w:space="0"/>
              <w:bottom w:val="single" w:color="auto" w:sz="4" w:space="0"/>
            </w:tcBorders>
            <w:noWrap w:val="0"/>
            <w:vAlign w:val="center"/>
          </w:tcPr>
          <w:p>
            <w:pPr>
              <w:pStyle w:val="335"/>
              <w:spacing w:line="360"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采购文件咨询</w:t>
            </w:r>
          </w:p>
        </w:tc>
        <w:tc>
          <w:tcPr>
            <w:tcW w:w="6465" w:type="dxa"/>
            <w:tcBorders>
              <w:top w:val="single" w:color="auto" w:sz="4" w:space="0"/>
              <w:bottom w:val="single" w:color="auto" w:sz="4" w:space="0"/>
            </w:tcBorders>
            <w:noWrap w:val="0"/>
            <w:vAlign w:val="center"/>
          </w:tcPr>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联系人： 蒋先生</w:t>
            </w:r>
          </w:p>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联系电话： 028-85179390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tcBorders>
              <w:top w:val="single" w:color="auto" w:sz="4" w:space="0"/>
              <w:bottom w:val="single" w:color="auto" w:sz="4" w:space="0"/>
            </w:tcBorders>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13</w:t>
            </w:r>
          </w:p>
        </w:tc>
        <w:tc>
          <w:tcPr>
            <w:tcW w:w="1989" w:type="dxa"/>
            <w:tcBorders>
              <w:top w:val="single" w:color="auto" w:sz="4" w:space="0"/>
              <w:bottom w:val="single" w:color="auto" w:sz="4" w:space="0"/>
            </w:tcBorders>
            <w:noWrap w:val="0"/>
            <w:vAlign w:val="center"/>
          </w:tcPr>
          <w:p>
            <w:pPr>
              <w:pStyle w:val="335"/>
              <w:spacing w:line="360"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开标、评标工作咨询</w:t>
            </w:r>
          </w:p>
        </w:tc>
        <w:tc>
          <w:tcPr>
            <w:tcW w:w="6465" w:type="dxa"/>
            <w:tcBorders>
              <w:top w:val="single" w:color="auto" w:sz="4" w:space="0"/>
              <w:bottom w:val="single" w:color="auto" w:sz="4" w:space="0"/>
            </w:tcBorders>
            <w:noWrap w:val="0"/>
            <w:vAlign w:val="center"/>
          </w:tcPr>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联系人： 黄女士</w:t>
            </w:r>
          </w:p>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联系电话： 028-85179390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tcBorders>
              <w:top w:val="single" w:color="auto" w:sz="4" w:space="0"/>
            </w:tcBorders>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14</w:t>
            </w:r>
          </w:p>
        </w:tc>
        <w:tc>
          <w:tcPr>
            <w:tcW w:w="1989" w:type="dxa"/>
            <w:tcBorders>
              <w:top w:val="single" w:color="auto" w:sz="4" w:space="0"/>
            </w:tcBorders>
            <w:noWrap w:val="0"/>
            <w:vAlign w:val="center"/>
          </w:tcPr>
          <w:p>
            <w:pPr>
              <w:spacing w:line="360" w:lineRule="auto"/>
              <w:ind w:left="105" w:leftChars="50" w:right="105" w:rightChars="50"/>
              <w:jc w:val="center"/>
              <w:rPr>
                <w:rFonts w:hint="eastAsia" w:ascii="宋体" w:hAnsi="宋体" w:eastAsia="宋体" w:cs="宋体"/>
                <w:b/>
                <w:bCs/>
                <w:color w:val="auto"/>
                <w:sz w:val="24"/>
              </w:rPr>
            </w:pPr>
            <w:r>
              <w:rPr>
                <w:rFonts w:hint="eastAsia" w:ascii="宋体" w:hAnsi="宋体" w:eastAsia="宋体" w:cs="宋体"/>
                <w:b/>
                <w:bCs/>
                <w:color w:val="auto"/>
                <w:sz w:val="24"/>
              </w:rPr>
              <w:t>中标通知书领取</w:t>
            </w:r>
          </w:p>
        </w:tc>
        <w:tc>
          <w:tcPr>
            <w:tcW w:w="6465" w:type="dxa"/>
            <w:tcBorders>
              <w:top w:val="single" w:color="auto" w:sz="4" w:space="0"/>
            </w:tcBorders>
            <w:noWrap w:val="0"/>
            <w:vAlign w:val="center"/>
          </w:tcPr>
          <w:p>
            <w:pPr>
              <w:tabs>
                <w:tab w:val="left" w:pos="7665"/>
              </w:tabs>
              <w:spacing w:line="360" w:lineRule="auto"/>
              <w:jc w:val="left"/>
              <w:rPr>
                <w:rFonts w:hint="eastAsia" w:ascii="宋体" w:hAnsi="宋体" w:eastAsia="宋体" w:cs="宋体"/>
                <w:color w:val="auto"/>
                <w:sz w:val="24"/>
              </w:rPr>
            </w:pPr>
            <w:r>
              <w:rPr>
                <w:rFonts w:hint="eastAsia" w:ascii="宋体" w:hAnsi="宋体" w:eastAsia="宋体" w:cs="宋体"/>
                <w:color w:val="auto"/>
                <w:sz w:val="24"/>
              </w:rPr>
              <w:t>中标公告在四川政府采购网上公告后，请中标人凭有效身份证明证件到</w:t>
            </w:r>
            <w:r>
              <w:rPr>
                <w:rFonts w:hint="eastAsia" w:ascii="宋体" w:hAnsi="宋体" w:eastAsia="宋体" w:cs="宋体"/>
                <w:color w:val="auto"/>
                <w:sz w:val="24"/>
                <w:lang w:val="zh-CN"/>
              </w:rPr>
              <w:t>招标代理机构</w:t>
            </w:r>
            <w:r>
              <w:rPr>
                <w:rFonts w:hint="eastAsia" w:ascii="宋体" w:hAnsi="宋体" w:eastAsia="宋体" w:cs="宋体"/>
                <w:color w:val="auto"/>
                <w:sz w:val="24"/>
              </w:rPr>
              <w:t>领取中标通知书。</w:t>
            </w:r>
          </w:p>
          <w:p>
            <w:pPr>
              <w:spacing w:line="360" w:lineRule="auto"/>
              <w:jc w:val="left"/>
              <w:rPr>
                <w:rFonts w:hint="eastAsia" w:ascii="宋体" w:hAnsi="宋体" w:eastAsia="宋体" w:cs="宋体"/>
                <w:color w:val="auto"/>
                <w:sz w:val="24"/>
                <w:lang w:val="zh-CN"/>
              </w:rPr>
            </w:pPr>
            <w:r>
              <w:rPr>
                <w:rFonts w:hint="eastAsia" w:ascii="宋体" w:hAnsi="宋体" w:eastAsia="宋体" w:cs="宋体"/>
                <w:color w:val="auto"/>
                <w:sz w:val="24"/>
                <w:lang w:val="zh-CN"/>
              </w:rPr>
              <w:t xml:space="preserve">联系人： </w:t>
            </w:r>
            <w:r>
              <w:rPr>
                <w:rFonts w:hint="eastAsia" w:ascii="宋体" w:hAnsi="宋体" w:eastAsia="宋体" w:cs="宋体"/>
                <w:color w:val="auto"/>
                <w:sz w:val="24"/>
              </w:rPr>
              <w:t>黄</w:t>
            </w:r>
            <w:r>
              <w:rPr>
                <w:rFonts w:hint="eastAsia" w:ascii="宋体" w:hAnsi="宋体" w:eastAsia="宋体" w:cs="宋体"/>
                <w:color w:val="auto"/>
                <w:sz w:val="24"/>
                <w:lang w:val="zh-CN"/>
              </w:rPr>
              <w:t>女士</w:t>
            </w:r>
          </w:p>
          <w:p>
            <w:pPr>
              <w:spacing w:line="360" w:lineRule="auto"/>
              <w:jc w:val="left"/>
              <w:rPr>
                <w:rFonts w:hint="eastAsia" w:ascii="宋体" w:hAnsi="宋体" w:eastAsia="宋体" w:cs="宋体"/>
                <w:color w:val="auto"/>
                <w:sz w:val="24"/>
                <w:lang w:val="zh-CN"/>
              </w:rPr>
            </w:pPr>
            <w:r>
              <w:rPr>
                <w:rFonts w:hint="eastAsia" w:ascii="宋体" w:hAnsi="宋体" w:eastAsia="宋体" w:cs="宋体"/>
                <w:color w:val="auto"/>
                <w:sz w:val="24"/>
                <w:lang w:val="zh-CN"/>
              </w:rPr>
              <w:t>联系电话： 028-85179390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tcBorders>
              <w:top w:val="single" w:color="auto" w:sz="4" w:space="0"/>
            </w:tcBorders>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15</w:t>
            </w:r>
          </w:p>
        </w:tc>
        <w:tc>
          <w:tcPr>
            <w:tcW w:w="1989" w:type="dxa"/>
            <w:tcBorders>
              <w:top w:val="single" w:color="auto" w:sz="4" w:space="0"/>
            </w:tcBorders>
            <w:noWrap w:val="0"/>
            <w:vAlign w:val="center"/>
          </w:tcPr>
          <w:p>
            <w:pPr>
              <w:pStyle w:val="335"/>
              <w:spacing w:line="360"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投标人询问</w:t>
            </w:r>
          </w:p>
        </w:tc>
        <w:tc>
          <w:tcPr>
            <w:tcW w:w="6465" w:type="dxa"/>
            <w:tcBorders>
              <w:top w:val="single" w:color="auto" w:sz="4" w:space="0"/>
            </w:tcBorders>
            <w:noWrap w:val="0"/>
            <w:vAlign w:val="center"/>
          </w:tcPr>
          <w:p>
            <w:pPr>
              <w:spacing w:line="360" w:lineRule="auto"/>
              <w:jc w:val="left"/>
              <w:rPr>
                <w:rFonts w:hint="eastAsia" w:ascii="宋体" w:hAnsi="宋体" w:eastAsia="宋体" w:cs="宋体"/>
                <w:color w:val="auto"/>
                <w:sz w:val="24"/>
                <w:lang w:val="zh-CN"/>
              </w:rPr>
            </w:pPr>
            <w:r>
              <w:rPr>
                <w:rFonts w:hint="eastAsia" w:ascii="宋体" w:hAnsi="宋体" w:eastAsia="宋体" w:cs="宋体"/>
                <w:color w:val="auto"/>
                <w:sz w:val="24"/>
              </w:rPr>
              <w:t>根据委托代理协议约定，投标人询问由</w:t>
            </w:r>
            <w:r>
              <w:rPr>
                <w:rFonts w:hint="eastAsia" w:ascii="宋体" w:hAnsi="宋体" w:eastAsia="宋体" w:cs="宋体"/>
                <w:color w:val="auto"/>
                <w:sz w:val="24"/>
                <w:lang w:val="zh-CN"/>
              </w:rPr>
              <w:t>招标代理机构负责答复。</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联系人： 蒋先生</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联系电话： 028-85179390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16</w:t>
            </w:r>
          </w:p>
        </w:tc>
        <w:tc>
          <w:tcPr>
            <w:tcW w:w="1989" w:type="dxa"/>
            <w:noWrap w:val="0"/>
            <w:vAlign w:val="center"/>
          </w:tcPr>
          <w:p>
            <w:pPr>
              <w:pStyle w:val="335"/>
              <w:spacing w:line="360"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投标人质疑</w:t>
            </w:r>
          </w:p>
        </w:tc>
        <w:tc>
          <w:tcPr>
            <w:tcW w:w="6465" w:type="dxa"/>
            <w:noWrap w:val="0"/>
            <w:vAlign w:val="center"/>
          </w:tcPr>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1.根据委托代理协议约定，对于招标文件(招标文件技术条款和除政府采购法第二十二条之外的其他资格条件、专业商务要求)的质疑由采购人负责答复；对于采购过程由采购代理机构负责答复；对于采购结果由采购代理机构负责答复。</w:t>
            </w:r>
          </w:p>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2.接收质疑函的方式：投标人在法定时间内以书面形式现场、邮寄或快递提交质疑函(邮寄以寄出的邮戳日期为准，快递以受送达人在签收单上签收之日为准)，逾期提交不予受理。</w:t>
            </w:r>
          </w:p>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lang w:val="zh-CN"/>
              </w:rPr>
              <w:t>受理单位：四川凯亿</w:t>
            </w:r>
            <w:r>
              <w:rPr>
                <w:rFonts w:hint="eastAsia" w:ascii="宋体" w:hAnsi="宋体" w:eastAsia="宋体" w:cs="宋体"/>
                <w:color w:val="auto"/>
                <w:sz w:val="24"/>
              </w:rPr>
              <w:t>工程管理咨询有限公司</w:t>
            </w:r>
          </w:p>
          <w:p>
            <w:pPr>
              <w:spacing w:line="360" w:lineRule="auto"/>
              <w:ind w:right="105" w:rightChars="50"/>
              <w:jc w:val="left"/>
              <w:rPr>
                <w:rFonts w:hint="eastAsia" w:ascii="宋体" w:hAnsi="宋体" w:eastAsia="宋体" w:cs="宋体"/>
                <w:color w:val="auto"/>
                <w:sz w:val="24"/>
                <w:lang w:val="zh-CN"/>
              </w:rPr>
            </w:pPr>
            <w:r>
              <w:rPr>
                <w:rFonts w:hint="eastAsia" w:ascii="宋体" w:hAnsi="宋体" w:eastAsia="宋体" w:cs="宋体"/>
                <w:color w:val="auto"/>
                <w:sz w:val="24"/>
                <w:lang w:val="zh-CN"/>
              </w:rPr>
              <w:t>联系人：</w:t>
            </w:r>
            <w:r>
              <w:rPr>
                <w:rFonts w:hint="eastAsia" w:ascii="宋体" w:hAnsi="宋体" w:eastAsia="宋体" w:cs="宋体"/>
                <w:color w:val="auto"/>
                <w:sz w:val="24"/>
              </w:rPr>
              <w:t>王</w:t>
            </w:r>
            <w:r>
              <w:rPr>
                <w:rFonts w:hint="eastAsia" w:ascii="宋体" w:hAnsi="宋体" w:eastAsia="宋体" w:cs="宋体"/>
                <w:color w:val="auto"/>
                <w:sz w:val="24"/>
                <w:lang w:val="zh-CN"/>
              </w:rPr>
              <w:t xml:space="preserve">先生 </w:t>
            </w:r>
          </w:p>
          <w:p>
            <w:pPr>
              <w:spacing w:line="360" w:lineRule="auto"/>
              <w:ind w:right="105" w:rightChars="50"/>
              <w:jc w:val="left"/>
              <w:rPr>
                <w:rFonts w:hint="eastAsia" w:ascii="宋体" w:hAnsi="宋体" w:eastAsia="宋体" w:cs="宋体"/>
                <w:color w:val="auto"/>
                <w:sz w:val="24"/>
                <w:lang w:val="zh-CN"/>
              </w:rPr>
            </w:pPr>
            <w:r>
              <w:rPr>
                <w:rFonts w:hint="eastAsia" w:ascii="宋体" w:hAnsi="宋体" w:eastAsia="宋体" w:cs="宋体"/>
                <w:color w:val="auto"/>
                <w:sz w:val="24"/>
                <w:lang w:val="zh-CN"/>
              </w:rPr>
              <w:t>联系电话：028-85179390</w:t>
            </w:r>
          </w:p>
          <w:p>
            <w:pPr>
              <w:spacing w:line="360" w:lineRule="auto"/>
              <w:ind w:right="105" w:rightChars="50"/>
              <w:jc w:val="left"/>
              <w:rPr>
                <w:rFonts w:hint="eastAsia" w:ascii="宋体" w:hAnsi="宋体" w:eastAsia="宋体" w:cs="宋体"/>
                <w:color w:val="auto"/>
                <w:sz w:val="24"/>
                <w:lang w:val="zh-CN"/>
              </w:rPr>
            </w:pPr>
            <w:r>
              <w:rPr>
                <w:rFonts w:hint="eastAsia" w:ascii="宋体" w:hAnsi="宋体" w:eastAsia="宋体" w:cs="宋体"/>
                <w:color w:val="auto"/>
                <w:sz w:val="24"/>
                <w:lang w:val="zh-CN"/>
              </w:rPr>
              <w:t>通讯地址：成都市武科西一路3号-2号楼5层</w:t>
            </w:r>
          </w:p>
          <w:p>
            <w:pPr>
              <w:spacing w:line="360" w:lineRule="auto"/>
              <w:ind w:right="105" w:rightChars="50"/>
              <w:jc w:val="left"/>
              <w:rPr>
                <w:rFonts w:hint="eastAsia" w:ascii="宋体" w:hAnsi="宋体" w:eastAsia="宋体" w:cs="宋体"/>
                <w:color w:val="auto"/>
                <w:sz w:val="24"/>
                <w:lang w:val="zh-CN"/>
              </w:rPr>
            </w:pPr>
            <w:r>
              <w:rPr>
                <w:rFonts w:hint="eastAsia" w:ascii="宋体" w:hAnsi="宋体" w:eastAsia="宋体" w:cs="宋体"/>
                <w:color w:val="auto"/>
                <w:sz w:val="24"/>
                <w:lang w:val="zh-CN"/>
              </w:rPr>
              <w:t>邮编：610000</w:t>
            </w:r>
          </w:p>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注：①根据《中华人民共和国政府采购法》等法律法规规定，投标人质疑应当有明确的请求和必要的证明材料，须符合《政府采购质疑和投诉办法》财政部第94号令规定。</w:t>
            </w:r>
          </w:p>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②投标人应当在法定质疑期内一次性提出针对同一采购程序环节的质疑，否则不予受理。</w:t>
            </w:r>
          </w:p>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③投标人质疑不得超出招标文件、采购过程、采购结果的范围，不得进行虚假、恶意质疑，不得以质疑为手段获取不当得利、实现非法目的。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17</w:t>
            </w:r>
          </w:p>
        </w:tc>
        <w:tc>
          <w:tcPr>
            <w:tcW w:w="1989" w:type="dxa"/>
            <w:noWrap w:val="0"/>
            <w:vAlign w:val="center"/>
          </w:tcPr>
          <w:p>
            <w:pPr>
              <w:pStyle w:val="335"/>
              <w:spacing w:line="360"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投标人投诉</w:t>
            </w:r>
          </w:p>
        </w:tc>
        <w:tc>
          <w:tcPr>
            <w:tcW w:w="6465" w:type="dxa"/>
            <w:noWrap w:val="0"/>
            <w:vAlign w:val="center"/>
          </w:tcPr>
          <w:p>
            <w:pPr>
              <w:pStyle w:val="335"/>
              <w:spacing w:line="360" w:lineRule="auto"/>
              <w:jc w:val="both"/>
              <w:rPr>
                <w:rFonts w:hint="eastAsia" w:ascii="宋体" w:hAnsi="宋体" w:eastAsia="宋体" w:cs="宋体"/>
                <w:color w:val="auto"/>
                <w:lang w:val="zh-CN"/>
              </w:rPr>
            </w:pPr>
            <w:r>
              <w:rPr>
                <w:rFonts w:hint="eastAsia" w:ascii="宋体" w:hAnsi="宋体" w:eastAsia="宋体" w:cs="宋体"/>
                <w:color w:val="auto"/>
              </w:rPr>
              <w:t>投诉受理单位：本采购项目同级财政部门</w:t>
            </w:r>
            <w:r>
              <w:rPr>
                <w:rFonts w:hint="eastAsia" w:ascii="宋体" w:hAnsi="宋体" w:eastAsia="宋体" w:cs="宋体"/>
                <w:color w:val="auto"/>
                <w:lang w:val="zh-CN"/>
              </w:rPr>
              <w:t>，即</w:t>
            </w:r>
            <w:r>
              <w:rPr>
                <w:rFonts w:hint="eastAsia" w:ascii="宋体" w:hAnsi="宋体" w:eastAsia="宋体" w:cs="宋体"/>
                <w:color w:val="auto"/>
              </w:rPr>
              <w:t>成都市</w:t>
            </w:r>
            <w:r>
              <w:rPr>
                <w:rFonts w:hint="eastAsia" w:ascii="宋体" w:hAnsi="宋体" w:eastAsia="宋体" w:cs="宋体"/>
                <w:color w:val="auto"/>
                <w:lang w:val="zh-CN"/>
              </w:rPr>
              <w:t>双流区财政局。</w:t>
            </w:r>
          </w:p>
          <w:p>
            <w:pPr>
              <w:pStyle w:val="335"/>
              <w:spacing w:line="360" w:lineRule="auto"/>
              <w:jc w:val="both"/>
              <w:rPr>
                <w:rFonts w:hint="eastAsia" w:ascii="宋体" w:hAnsi="宋体" w:eastAsia="宋体" w:cs="宋体"/>
                <w:color w:val="auto"/>
              </w:rPr>
            </w:pPr>
            <w:r>
              <w:rPr>
                <w:rFonts w:hint="eastAsia" w:ascii="宋体" w:hAnsi="宋体" w:eastAsia="宋体" w:cs="宋体"/>
                <w:color w:val="auto"/>
                <w:lang w:val="zh-CN"/>
              </w:rPr>
              <w:t>联系电话：</w:t>
            </w:r>
            <w:r>
              <w:rPr>
                <w:rFonts w:hint="eastAsia" w:ascii="宋体" w:hAnsi="宋体" w:eastAsia="宋体" w:cs="宋体"/>
                <w:color w:val="auto"/>
              </w:rPr>
              <w:t xml:space="preserve">028-85804726 </w:t>
            </w:r>
          </w:p>
          <w:p>
            <w:pPr>
              <w:pStyle w:val="335"/>
              <w:spacing w:line="360" w:lineRule="auto"/>
              <w:jc w:val="both"/>
              <w:rPr>
                <w:rFonts w:hint="eastAsia" w:ascii="宋体" w:hAnsi="宋体" w:eastAsia="宋体" w:cs="宋体"/>
                <w:color w:val="auto"/>
              </w:rPr>
            </w:pPr>
            <w:r>
              <w:rPr>
                <w:rFonts w:hint="eastAsia" w:ascii="宋体" w:hAnsi="宋体" w:eastAsia="宋体" w:cs="宋体"/>
                <w:color w:val="auto"/>
                <w:lang w:val="zh-CN"/>
              </w:rPr>
              <w:t>联系地址：</w:t>
            </w:r>
            <w:r>
              <w:rPr>
                <w:rFonts w:hint="eastAsia" w:ascii="宋体" w:hAnsi="宋体" w:eastAsia="宋体" w:cs="宋体"/>
                <w:color w:val="auto"/>
              </w:rPr>
              <w:t>成都市双流区电视塔路2段36号</w:t>
            </w:r>
          </w:p>
          <w:p>
            <w:pPr>
              <w:pStyle w:val="335"/>
              <w:spacing w:line="360" w:lineRule="auto"/>
              <w:jc w:val="both"/>
              <w:rPr>
                <w:rFonts w:hint="eastAsia" w:ascii="宋体" w:hAnsi="宋体" w:eastAsia="宋体" w:cs="宋体"/>
                <w:color w:val="auto"/>
                <w:lang w:val="zh-CN"/>
              </w:rPr>
            </w:pPr>
            <w:r>
              <w:rPr>
                <w:rFonts w:hint="eastAsia" w:ascii="宋体" w:hAnsi="宋体" w:eastAsia="宋体" w:cs="宋体"/>
                <w:bCs/>
                <w:color w:val="auto"/>
                <w:lang w:val="zh-CN"/>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18</w:t>
            </w:r>
          </w:p>
        </w:tc>
        <w:tc>
          <w:tcPr>
            <w:tcW w:w="1989" w:type="dxa"/>
            <w:tcBorders>
              <w:right w:val="single" w:color="auto" w:sz="4" w:space="0"/>
            </w:tcBorders>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政府采购合同</w:t>
            </w:r>
          </w:p>
          <w:p>
            <w:pPr>
              <w:spacing w:line="360" w:lineRule="auto"/>
              <w:ind w:firstLine="120" w:firstLineChars="50"/>
              <w:jc w:val="center"/>
              <w:rPr>
                <w:rFonts w:hint="eastAsia" w:ascii="宋体" w:hAnsi="宋体" w:eastAsia="宋体" w:cs="宋体"/>
                <w:b/>
                <w:bCs/>
                <w:color w:val="auto"/>
                <w:sz w:val="24"/>
              </w:rPr>
            </w:pPr>
            <w:r>
              <w:rPr>
                <w:rFonts w:hint="eastAsia" w:ascii="宋体" w:hAnsi="宋体" w:eastAsia="宋体" w:cs="宋体"/>
                <w:b/>
                <w:bCs/>
                <w:color w:val="auto"/>
                <w:sz w:val="24"/>
              </w:rPr>
              <w:t>公告备案</w:t>
            </w:r>
          </w:p>
        </w:tc>
        <w:tc>
          <w:tcPr>
            <w:tcW w:w="6465" w:type="dxa"/>
            <w:tcBorders>
              <w:left w:val="single" w:color="auto" w:sz="4" w:space="0"/>
            </w:tcBorders>
            <w:noWrap w:val="0"/>
            <w:vAlign w:val="center"/>
          </w:tcPr>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政府采购合同签订之日起2个工作日内，政府采购合同将在四川政府采购网公告；政府采购合同签订之日起7个工作日内，政府采购合同将向本采购项目同级财政部门备案。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19</w:t>
            </w:r>
          </w:p>
        </w:tc>
        <w:tc>
          <w:tcPr>
            <w:tcW w:w="1989" w:type="dxa"/>
            <w:tcBorders>
              <w:right w:val="single" w:color="auto" w:sz="4" w:space="0"/>
            </w:tcBorders>
            <w:noWrap w:val="0"/>
            <w:vAlign w:val="center"/>
          </w:tcPr>
          <w:p>
            <w:pPr>
              <w:pStyle w:val="335"/>
              <w:spacing w:line="360" w:lineRule="auto"/>
              <w:ind w:left="96"/>
              <w:jc w:val="center"/>
              <w:rPr>
                <w:rFonts w:hint="eastAsia" w:ascii="宋体" w:hAnsi="宋体" w:eastAsia="宋体" w:cs="宋体"/>
                <w:b/>
                <w:bCs/>
                <w:color w:val="auto"/>
              </w:rPr>
            </w:pPr>
            <w:r>
              <w:rPr>
                <w:rFonts w:hint="eastAsia" w:ascii="宋体" w:hAnsi="宋体" w:eastAsia="宋体" w:cs="宋体"/>
                <w:b/>
                <w:bCs/>
                <w:color w:val="auto"/>
                <w:lang w:val="zh-CN"/>
              </w:rPr>
              <w:t>招标服务费</w:t>
            </w:r>
          </w:p>
        </w:tc>
        <w:tc>
          <w:tcPr>
            <w:tcW w:w="6465" w:type="dxa"/>
            <w:tcBorders>
              <w:left w:val="single" w:color="auto" w:sz="4" w:space="0"/>
            </w:tcBorders>
            <w:noWrap w:val="0"/>
            <w:vAlign w:val="center"/>
          </w:tcPr>
          <w:p>
            <w:pPr>
              <w:pStyle w:val="335"/>
              <w:tabs>
                <w:tab w:val="left" w:pos="1344"/>
              </w:tabs>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本项目招标</w:t>
            </w:r>
            <w:r>
              <w:rPr>
                <w:rFonts w:hint="eastAsia" w:ascii="宋体" w:hAnsi="宋体" w:eastAsia="宋体" w:cs="宋体"/>
                <w:color w:val="auto"/>
                <w:sz w:val="24"/>
                <w:szCs w:val="24"/>
              </w:rPr>
              <w:t>代理</w:t>
            </w:r>
            <w:r>
              <w:rPr>
                <w:rFonts w:hint="eastAsia" w:ascii="宋体" w:hAnsi="宋体" w:eastAsia="宋体" w:cs="宋体"/>
                <w:color w:val="auto"/>
                <w:sz w:val="24"/>
                <w:szCs w:val="24"/>
                <w:lang w:val="zh-CN"/>
              </w:rPr>
              <w:t>服务费</w:t>
            </w:r>
            <w:r>
              <w:rPr>
                <w:rFonts w:hint="eastAsia" w:ascii="宋体" w:hAnsi="宋体" w:eastAsia="宋体" w:cs="宋体"/>
                <w:color w:val="auto"/>
                <w:sz w:val="24"/>
                <w:szCs w:val="24"/>
                <w:lang w:val="en-US" w:eastAsia="zh-CN"/>
              </w:rPr>
              <w:t>由中标供应商承担，</w:t>
            </w:r>
            <w:r>
              <w:rPr>
                <w:rFonts w:hint="eastAsia" w:ascii="宋体" w:hAnsi="宋体" w:eastAsia="宋体" w:cs="宋体"/>
                <w:color w:val="auto"/>
                <w:sz w:val="24"/>
                <w:szCs w:val="24"/>
              </w:rPr>
              <w:t>参照国家计委《计价格[2002]1980号》收费标准及国家发展改革委《发改办价格[2003]857号》的规定,以中标金额作为计算基数</w:t>
            </w:r>
            <w:r>
              <w:rPr>
                <w:rFonts w:hint="eastAsia" w:ascii="宋体" w:hAnsi="宋体" w:eastAsia="宋体" w:cs="宋体"/>
                <w:color w:val="auto"/>
                <w:sz w:val="24"/>
                <w:szCs w:val="24"/>
                <w:lang w:val="en-US" w:eastAsia="zh-CN"/>
              </w:rPr>
              <w:t>下浮20%</w:t>
            </w:r>
            <w:r>
              <w:rPr>
                <w:rFonts w:hint="eastAsia" w:ascii="宋体" w:hAnsi="宋体" w:eastAsia="宋体" w:cs="宋体"/>
                <w:color w:val="auto"/>
                <w:sz w:val="24"/>
                <w:szCs w:val="24"/>
              </w:rPr>
              <w:t>计取招标代理服务费。</w:t>
            </w:r>
          </w:p>
          <w:p>
            <w:pPr>
              <w:pStyle w:val="335"/>
              <w:tabs>
                <w:tab w:val="left" w:pos="1344"/>
              </w:tabs>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2、收取方式：由中标</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rPr>
              <w:t>在领取中标通知书时</w:t>
            </w:r>
            <w:r>
              <w:rPr>
                <w:rFonts w:hint="eastAsia" w:ascii="宋体" w:hAnsi="宋体" w:eastAsia="宋体" w:cs="宋体"/>
                <w:color w:val="auto"/>
                <w:sz w:val="24"/>
                <w:szCs w:val="24"/>
                <w:lang w:val="en-US" w:eastAsia="zh-CN"/>
              </w:rPr>
              <w:t>向</w:t>
            </w:r>
            <w:r>
              <w:rPr>
                <w:rFonts w:hint="eastAsia" w:ascii="宋体" w:hAnsi="宋体" w:eastAsia="宋体" w:cs="宋体"/>
                <w:color w:val="auto"/>
                <w:sz w:val="24"/>
                <w:szCs w:val="24"/>
              </w:rPr>
              <w:t>采购代理机构</w:t>
            </w:r>
            <w:r>
              <w:rPr>
                <w:rFonts w:hint="eastAsia" w:ascii="宋体" w:hAnsi="宋体" w:eastAsia="宋体" w:cs="宋体"/>
                <w:color w:val="auto"/>
                <w:sz w:val="24"/>
                <w:szCs w:val="24"/>
                <w:lang w:val="en-US" w:eastAsia="zh-CN"/>
              </w:rPr>
              <w:t>一次性支付</w:t>
            </w:r>
            <w:r>
              <w:rPr>
                <w:rFonts w:hint="eastAsia" w:ascii="宋体" w:hAnsi="宋体" w:eastAsia="宋体" w:cs="宋体"/>
                <w:color w:val="auto"/>
                <w:sz w:val="24"/>
                <w:szCs w:val="24"/>
              </w:rPr>
              <w:t>。</w:t>
            </w:r>
          </w:p>
          <w:p>
            <w:pPr>
              <w:pStyle w:val="335"/>
              <w:tabs>
                <w:tab w:val="left" w:pos="1344"/>
              </w:tabs>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lang w:val="zh-CN"/>
              </w:rPr>
              <w:t>3、服务费收款单位</w:t>
            </w:r>
            <w:r>
              <w:rPr>
                <w:rFonts w:hint="eastAsia" w:ascii="宋体" w:hAnsi="宋体" w:eastAsia="宋体" w:cs="宋体"/>
                <w:color w:val="auto"/>
                <w:sz w:val="24"/>
                <w:szCs w:val="24"/>
              </w:rPr>
              <w:t>账户信息</w:t>
            </w:r>
            <w:r>
              <w:rPr>
                <w:rFonts w:hint="eastAsia" w:ascii="宋体" w:hAnsi="宋体" w:eastAsia="宋体" w:cs="宋体"/>
                <w:color w:val="auto"/>
                <w:sz w:val="24"/>
                <w:szCs w:val="24"/>
                <w:lang w:val="zh-CN"/>
              </w:rPr>
              <w:t>：</w:t>
            </w:r>
          </w:p>
          <w:p>
            <w:pPr>
              <w:pStyle w:val="335"/>
              <w:tabs>
                <w:tab w:val="left" w:pos="1344"/>
              </w:tabs>
              <w:spacing w:line="360" w:lineRule="auto"/>
              <w:ind w:firstLine="42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收款单位：四川凯亿工程管理咨询有限公司。</w:t>
            </w:r>
          </w:p>
          <w:p>
            <w:pPr>
              <w:pStyle w:val="335"/>
              <w:tabs>
                <w:tab w:val="left" w:pos="1344"/>
              </w:tabs>
              <w:spacing w:line="360" w:lineRule="auto"/>
              <w:ind w:firstLine="42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开户行：中国工商银行股份有限公司成都棕北支行。</w:t>
            </w:r>
          </w:p>
          <w:p>
            <w:pPr>
              <w:pStyle w:val="335"/>
              <w:tabs>
                <w:tab w:val="left" w:pos="1344"/>
              </w:tabs>
              <w:spacing w:line="360" w:lineRule="auto"/>
              <w:ind w:firstLine="420"/>
              <w:rPr>
                <w:rFonts w:hint="eastAsia" w:ascii="宋体" w:hAnsi="宋体" w:eastAsia="宋体" w:cs="宋体"/>
                <w:color w:val="auto"/>
                <w:lang w:val="zh-CN"/>
              </w:rPr>
            </w:pPr>
            <w:r>
              <w:rPr>
                <w:rFonts w:hint="eastAsia" w:ascii="宋体" w:hAnsi="宋体" w:eastAsia="宋体" w:cs="宋体"/>
                <w:color w:val="auto"/>
                <w:sz w:val="24"/>
                <w:szCs w:val="24"/>
                <w:lang w:val="zh-CN"/>
              </w:rPr>
              <w:t>银行账号：4402 0221 0910 0101 388。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20</w:t>
            </w:r>
          </w:p>
        </w:tc>
        <w:tc>
          <w:tcPr>
            <w:tcW w:w="1989" w:type="dxa"/>
            <w:tcBorders>
              <w:right w:val="single" w:color="auto" w:sz="4" w:space="0"/>
            </w:tcBorders>
            <w:noWrap w:val="0"/>
            <w:vAlign w:val="center"/>
          </w:tcPr>
          <w:p>
            <w:pPr>
              <w:pStyle w:val="335"/>
              <w:snapToGrid w:val="0"/>
              <w:spacing w:line="300" w:lineRule="exact"/>
              <w:ind w:left="96" w:leftChars="0"/>
              <w:jc w:val="center"/>
              <w:rPr>
                <w:rFonts w:hint="eastAsia" w:ascii="宋体" w:hAnsi="宋体" w:eastAsia="宋体" w:cs="宋体"/>
                <w:b/>
                <w:bCs/>
                <w:color w:val="auto"/>
                <w:sz w:val="24"/>
                <w:lang w:val="zh-CN"/>
              </w:rPr>
            </w:pPr>
            <w:r>
              <w:rPr>
                <w:rFonts w:hint="eastAsia" w:ascii="宋体" w:hAnsi="宋体" w:eastAsia="宋体" w:cs="宋体"/>
                <w:b/>
                <w:bCs/>
                <w:color w:val="auto"/>
                <w:kern w:val="2"/>
                <w:sz w:val="24"/>
                <w:szCs w:val="24"/>
                <w:lang w:val="zh-CN" w:eastAsia="zh-CN" w:bidi="ar-SA"/>
              </w:rPr>
              <w:t>现场考察或标前答疑会</w:t>
            </w:r>
          </w:p>
        </w:tc>
        <w:tc>
          <w:tcPr>
            <w:tcW w:w="6465" w:type="dxa"/>
            <w:tcBorders>
              <w:left w:val="single" w:color="auto" w:sz="4" w:space="0"/>
            </w:tcBorders>
            <w:noWrap w:val="0"/>
            <w:vAlign w:val="center"/>
          </w:tcPr>
          <w:p>
            <w:pPr>
              <w:pStyle w:val="335"/>
              <w:tabs>
                <w:tab w:val="left" w:pos="1344"/>
              </w:tabs>
              <w:spacing w:line="360" w:lineRule="auto"/>
              <w:rPr>
                <w:rFonts w:hint="eastAsia" w:ascii="宋体" w:hAnsi="宋体" w:eastAsia="宋体" w:cs="宋体"/>
                <w:color w:val="auto"/>
                <w:lang w:val="zh-CN"/>
              </w:rPr>
            </w:pPr>
            <w:r>
              <w:rPr>
                <w:rFonts w:hint="eastAsia" w:ascii="宋体" w:hAnsi="宋体" w:eastAsia="宋体" w:cs="宋体"/>
                <w:color w:val="auto"/>
                <w:lang w:val="zh-CN"/>
              </w:rPr>
              <w:t>现场考察或标前答疑会时间：本项目不组织。</w:t>
            </w:r>
          </w:p>
          <w:p>
            <w:pPr>
              <w:pStyle w:val="335"/>
              <w:tabs>
                <w:tab w:val="left" w:pos="1344"/>
              </w:tabs>
              <w:spacing w:line="360" w:lineRule="auto"/>
              <w:rPr>
                <w:rFonts w:hint="eastAsia" w:ascii="宋体" w:hAnsi="宋体" w:eastAsia="宋体" w:cs="宋体"/>
                <w:color w:val="auto"/>
                <w:sz w:val="24"/>
                <w:lang w:val="zh-CN"/>
              </w:rPr>
            </w:pPr>
            <w:r>
              <w:rPr>
                <w:rFonts w:hint="eastAsia" w:ascii="宋体" w:hAnsi="宋体" w:eastAsia="宋体" w:cs="宋体"/>
                <w:color w:val="auto"/>
                <w:lang w:val="zh-CN"/>
              </w:rPr>
              <w:t>现场考察或标前答疑会地点：本项目不组织。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21</w:t>
            </w:r>
          </w:p>
        </w:tc>
        <w:tc>
          <w:tcPr>
            <w:tcW w:w="1989" w:type="dxa"/>
            <w:tcBorders>
              <w:right w:val="single" w:color="auto" w:sz="4" w:space="0"/>
            </w:tcBorders>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联合体</w:t>
            </w:r>
          </w:p>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（实质性要求）</w:t>
            </w:r>
          </w:p>
        </w:tc>
        <w:tc>
          <w:tcPr>
            <w:tcW w:w="6465" w:type="dxa"/>
            <w:tcBorders>
              <w:left w:val="single" w:color="auto" w:sz="4" w:space="0"/>
            </w:tcBorders>
            <w:noWrap w:val="0"/>
            <w:vAlign w:val="center"/>
          </w:tcPr>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本项目不允许联合体投标。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22</w:t>
            </w:r>
          </w:p>
        </w:tc>
        <w:tc>
          <w:tcPr>
            <w:tcW w:w="1989" w:type="dxa"/>
            <w:tcBorders>
              <w:right w:val="single" w:color="auto" w:sz="4" w:space="0"/>
            </w:tcBorders>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是否专门面向中小企业的项目或专门面向小微企业采购的项目</w:t>
            </w:r>
          </w:p>
        </w:tc>
        <w:tc>
          <w:tcPr>
            <w:tcW w:w="6465" w:type="dxa"/>
            <w:tcBorders>
              <w:left w:val="single" w:color="auto" w:sz="4" w:space="0"/>
            </w:tcBorders>
            <w:noWrap w:val="0"/>
            <w:vAlign w:val="center"/>
          </w:tcPr>
          <w:p>
            <w:pPr>
              <w:spacing w:line="360" w:lineRule="auto"/>
              <w:jc w:val="left"/>
              <w:rPr>
                <w:rFonts w:hint="eastAsia" w:ascii="宋体" w:hAnsi="宋体" w:eastAsia="宋体" w:cs="宋体"/>
                <w:b/>
                <w:bCs/>
                <w:color w:val="auto"/>
                <w:sz w:val="24"/>
              </w:rPr>
            </w:pPr>
            <w:r>
              <w:rPr>
                <w:rFonts w:hint="eastAsia" w:ascii="宋体" w:hAnsi="宋体" w:eastAsia="宋体" w:cs="宋体"/>
                <w:b/>
                <w:bCs/>
                <w:color w:val="auto"/>
                <w:sz w:val="24"/>
              </w:rPr>
              <w:t>本项目为非专门面向中小企业采购的项目。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23</w:t>
            </w:r>
          </w:p>
        </w:tc>
        <w:tc>
          <w:tcPr>
            <w:tcW w:w="1989" w:type="dxa"/>
            <w:tcBorders>
              <w:right w:val="single" w:color="auto" w:sz="4" w:space="0"/>
            </w:tcBorders>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所属行业</w:t>
            </w:r>
          </w:p>
        </w:tc>
        <w:tc>
          <w:tcPr>
            <w:tcW w:w="6465" w:type="dxa"/>
            <w:tcBorders>
              <w:left w:val="single" w:color="auto" w:sz="4" w:space="0"/>
            </w:tcBorders>
            <w:noWrap w:val="0"/>
            <w:vAlign w:val="center"/>
          </w:tcPr>
          <w:p>
            <w:pPr>
              <w:widowControl/>
              <w:jc w:val="left"/>
              <w:rPr>
                <w:rFonts w:hint="eastAsia" w:ascii="宋体" w:hAnsi="宋体" w:eastAsia="宋体" w:cs="宋体"/>
                <w:b/>
                <w:bCs/>
                <w:color w:val="auto"/>
                <w:sz w:val="24"/>
              </w:rPr>
            </w:pPr>
            <w:r>
              <w:rPr>
                <w:rFonts w:hint="eastAsia" w:ascii="宋体" w:hAnsi="宋体" w:eastAsia="宋体" w:cs="宋体"/>
                <w:color w:val="auto"/>
                <w:kern w:val="0"/>
                <w:sz w:val="24"/>
                <w:lang w:val="en-US" w:eastAsia="zh-CN" w:bidi="ar"/>
              </w:rPr>
              <w:t>其他未列明行业</w:t>
            </w:r>
            <w:r>
              <w:rPr>
                <w:rFonts w:hint="eastAsia" w:ascii="宋体" w:hAnsi="宋体" w:eastAsia="宋体" w:cs="宋体"/>
                <w:color w:val="auto"/>
                <w:kern w:val="0"/>
                <w:sz w:val="24"/>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24</w:t>
            </w:r>
          </w:p>
        </w:tc>
        <w:tc>
          <w:tcPr>
            <w:tcW w:w="1989" w:type="dxa"/>
            <w:tcBorders>
              <w:right w:val="single" w:color="auto" w:sz="4" w:space="0"/>
            </w:tcBorders>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val="zh-CN"/>
              </w:rPr>
              <w:t>应知事项</w:t>
            </w:r>
          </w:p>
        </w:tc>
        <w:tc>
          <w:tcPr>
            <w:tcW w:w="6465" w:type="dxa"/>
            <w:tcBorders>
              <w:left w:val="single" w:color="auto" w:sz="4" w:space="0"/>
            </w:tcBorders>
            <w:noWrap w:val="0"/>
            <w:vAlign w:val="center"/>
          </w:tcPr>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1、除明确要求须声明或承诺的事项外，</w:t>
            </w:r>
            <w:r>
              <w:rPr>
                <w:rFonts w:hint="eastAsia" w:ascii="宋体" w:hAnsi="宋体" w:eastAsia="宋体" w:cs="宋体"/>
                <w:color w:val="auto"/>
                <w:sz w:val="24"/>
                <w:lang w:val="zh-CN"/>
              </w:rPr>
              <w:t>投标人</w:t>
            </w:r>
            <w:r>
              <w:rPr>
                <w:rFonts w:hint="eastAsia" w:ascii="宋体" w:hAnsi="宋体" w:eastAsia="宋体" w:cs="宋体"/>
                <w:color w:val="auto"/>
                <w:sz w:val="24"/>
              </w:rPr>
              <w:t>可不对未要求声明或承诺的实质性要求进行承诺，只要</w:t>
            </w:r>
            <w:r>
              <w:rPr>
                <w:rFonts w:hint="eastAsia" w:ascii="宋体" w:hAnsi="宋体" w:eastAsia="宋体" w:cs="宋体"/>
                <w:color w:val="auto"/>
                <w:sz w:val="24"/>
                <w:lang w:val="zh-CN"/>
              </w:rPr>
              <w:t>投标人</w:t>
            </w:r>
            <w:r>
              <w:rPr>
                <w:rFonts w:hint="eastAsia" w:ascii="宋体" w:hAnsi="宋体" w:eastAsia="宋体" w:cs="宋体"/>
                <w:color w:val="auto"/>
                <w:sz w:val="24"/>
              </w:rPr>
              <w:t>未明确表示不响应招标文件的要求，即视为</w:t>
            </w:r>
            <w:r>
              <w:rPr>
                <w:rFonts w:hint="eastAsia" w:ascii="宋体" w:hAnsi="宋体" w:eastAsia="宋体" w:cs="宋体"/>
                <w:color w:val="auto"/>
                <w:sz w:val="24"/>
                <w:lang w:val="zh-CN"/>
              </w:rPr>
              <w:t>投标人</w:t>
            </w:r>
            <w:r>
              <w:rPr>
                <w:rFonts w:hint="eastAsia" w:ascii="宋体" w:hAnsi="宋体" w:eastAsia="宋体" w:cs="宋体"/>
                <w:color w:val="auto"/>
                <w:sz w:val="24"/>
              </w:rPr>
              <w:t>完全响应。</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2、如因行业惯例或习惯，在招投标文件中使用了非法定计量单位，不影响招投标文件的有效性和符合性。</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25</w:t>
            </w:r>
          </w:p>
        </w:tc>
        <w:tc>
          <w:tcPr>
            <w:tcW w:w="1989" w:type="dxa"/>
            <w:tcBorders>
              <w:right w:val="single" w:color="auto" w:sz="4" w:space="0"/>
            </w:tcBorders>
            <w:noWrap w:val="0"/>
            <w:vAlign w:val="center"/>
          </w:tcPr>
          <w:p>
            <w:pPr>
              <w:spacing w:line="360" w:lineRule="auto"/>
              <w:jc w:val="center"/>
              <w:rPr>
                <w:rFonts w:hint="eastAsia" w:ascii="宋体" w:hAnsi="宋体" w:eastAsia="宋体" w:cs="宋体"/>
                <w:b/>
                <w:bCs/>
                <w:color w:val="auto"/>
                <w:sz w:val="24"/>
                <w:lang w:val="zh-CN"/>
              </w:rPr>
            </w:pPr>
            <w:r>
              <w:rPr>
                <w:rFonts w:hint="eastAsia" w:ascii="宋体" w:hAnsi="宋体" w:eastAsia="宋体" w:cs="宋体"/>
                <w:b/>
                <w:bCs/>
                <w:color w:val="auto"/>
                <w:sz w:val="24"/>
                <w:lang w:val="zh-CN"/>
              </w:rPr>
              <w:t>温馨提示</w:t>
            </w:r>
          </w:p>
        </w:tc>
        <w:tc>
          <w:tcPr>
            <w:tcW w:w="6465" w:type="dxa"/>
            <w:tcBorders>
              <w:left w:val="single" w:color="auto" w:sz="4" w:space="0"/>
            </w:tcBorders>
            <w:noWrap w:val="0"/>
            <w:vAlign w:val="center"/>
          </w:tcPr>
          <w:p>
            <w:pPr>
              <w:spacing w:line="360" w:lineRule="auto"/>
              <w:jc w:val="left"/>
              <w:rPr>
                <w:rFonts w:hint="eastAsia" w:ascii="宋体" w:hAnsi="宋体" w:eastAsia="宋体" w:cs="宋体"/>
                <w:color w:val="auto"/>
                <w:sz w:val="24"/>
                <w:lang w:val="zh-CN"/>
              </w:rPr>
            </w:pPr>
            <w:r>
              <w:rPr>
                <w:rFonts w:hint="eastAsia" w:ascii="宋体" w:hAnsi="宋体" w:eastAsia="宋体" w:cs="宋体"/>
                <w:color w:val="auto"/>
                <w:sz w:val="24"/>
                <w:lang w:val="zh-CN"/>
              </w:rPr>
              <w:t>（</w:t>
            </w:r>
            <w:r>
              <w:rPr>
                <w:rFonts w:hint="eastAsia" w:ascii="宋体" w:hAnsi="宋体" w:eastAsia="宋体" w:cs="宋体"/>
                <w:color w:val="auto"/>
                <w:sz w:val="24"/>
              </w:rPr>
              <w:t>1</w:t>
            </w:r>
            <w:r>
              <w:rPr>
                <w:rFonts w:hint="eastAsia" w:ascii="宋体" w:hAnsi="宋体" w:eastAsia="宋体" w:cs="宋体"/>
                <w:color w:val="auto"/>
                <w:sz w:val="24"/>
                <w:lang w:val="zh-CN"/>
              </w:rPr>
              <w:t>）供应商需准备全流程所必需的硬件设备包括电脑（版本 win7 64位及以上）、麦克风、摄像头、CA证书等。建议使用同一台电脑完成投标、评标相关事宜，推荐安装 chrome 浏览器，且解密CA必须和加密CA为同一把。</w:t>
            </w:r>
          </w:p>
          <w:p>
            <w:pPr>
              <w:spacing w:line="360" w:lineRule="auto"/>
              <w:jc w:val="left"/>
              <w:rPr>
                <w:rFonts w:hint="eastAsia" w:ascii="宋体" w:hAnsi="宋体" w:eastAsia="宋体" w:cs="宋体"/>
                <w:color w:val="auto"/>
                <w:sz w:val="24"/>
                <w:lang w:val="zh-CN"/>
              </w:rPr>
            </w:pPr>
            <w:r>
              <w:rPr>
                <w:rFonts w:hint="eastAsia" w:ascii="宋体" w:hAnsi="宋体" w:eastAsia="宋体" w:cs="宋体"/>
                <w:color w:val="auto"/>
                <w:sz w:val="24"/>
                <w:lang w:val="zh-CN"/>
              </w:rPr>
              <w:t>（</w:t>
            </w:r>
            <w:r>
              <w:rPr>
                <w:rFonts w:hint="eastAsia" w:ascii="宋体" w:hAnsi="宋体" w:eastAsia="宋体" w:cs="宋体"/>
                <w:color w:val="auto"/>
                <w:sz w:val="24"/>
              </w:rPr>
              <w:t>2</w:t>
            </w:r>
            <w:r>
              <w:rPr>
                <w:rFonts w:hint="eastAsia" w:ascii="宋体" w:hAnsi="宋体" w:eastAsia="宋体" w:cs="宋体"/>
                <w:color w:val="auto"/>
                <w:sz w:val="24"/>
                <w:lang w:val="zh-CN"/>
              </w:rPr>
              <w:t>）政府采购云平台供应商注册地址：</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lang w:val="zh-CN"/>
              </w:rPr>
              <w:t>https://middle.zcygov.cn/v-settle-front/registry?settleCategory=1&amp;entranceType=119&amp;utm=a0017.b1347.cl50.3.c0de9400b91b11eb870ad7da87d69c97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26</w:t>
            </w:r>
          </w:p>
        </w:tc>
        <w:tc>
          <w:tcPr>
            <w:tcW w:w="1989" w:type="dxa"/>
            <w:tcBorders>
              <w:right w:val="single" w:color="auto" w:sz="4" w:space="0"/>
            </w:tcBorders>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备注</w:t>
            </w:r>
          </w:p>
        </w:tc>
        <w:tc>
          <w:tcPr>
            <w:tcW w:w="6465" w:type="dxa"/>
            <w:tcBorders>
              <w:left w:val="single" w:color="auto" w:sz="4" w:space="0"/>
            </w:tcBorders>
            <w:noWrap w:val="0"/>
            <w:vAlign w:val="center"/>
          </w:tcPr>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若招标文件中其他内容与投标人须知附表内容不一致的，以投标人须知附表为准。</w:t>
            </w:r>
          </w:p>
        </w:tc>
      </w:tr>
      <w:bookmarkEnd w:id="22"/>
      <w:bookmarkEnd w:id="23"/>
      <w:bookmarkEnd w:id="24"/>
      <w:bookmarkEnd w:id="25"/>
      <w:bookmarkEnd w:id="26"/>
      <w:bookmarkEnd w:id="27"/>
      <w:bookmarkEnd w:id="28"/>
      <w:bookmarkEnd w:id="29"/>
      <w:bookmarkEnd w:id="30"/>
      <w:bookmarkEnd w:id="31"/>
      <w:bookmarkEnd w:id="32"/>
    </w:tbl>
    <w:p>
      <w:pPr>
        <w:pStyle w:val="89"/>
        <w:spacing w:line="360" w:lineRule="auto"/>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bCs w:val="0"/>
          <w:color w:val="auto"/>
          <w:sz w:val="28"/>
          <w:szCs w:val="28"/>
        </w:rPr>
      </w:pPr>
      <w:bookmarkStart w:id="34" w:name="_Toc24091"/>
      <w:bookmarkStart w:id="35" w:name="_Toc22633"/>
      <w:bookmarkStart w:id="36" w:name="_Toc2614"/>
      <w:bookmarkStart w:id="37" w:name="_Toc31697"/>
      <w:bookmarkStart w:id="38" w:name="_Toc28789"/>
      <w:bookmarkStart w:id="39" w:name="_Toc29842"/>
      <w:r>
        <w:rPr>
          <w:rFonts w:hint="eastAsia" w:ascii="宋体" w:hAnsi="宋体" w:eastAsia="宋体" w:cs="宋体"/>
          <w:bCs w:val="0"/>
          <w:color w:val="auto"/>
          <w:sz w:val="28"/>
          <w:szCs w:val="28"/>
        </w:rPr>
        <w:t>二、总  则</w:t>
      </w:r>
      <w:bookmarkEnd w:id="34"/>
      <w:bookmarkEnd w:id="35"/>
      <w:bookmarkEnd w:id="36"/>
      <w:bookmarkEnd w:id="37"/>
      <w:bookmarkEnd w:id="38"/>
      <w:bookmarkEnd w:id="39"/>
    </w:p>
    <w:p>
      <w:pPr>
        <w:pStyle w:val="5"/>
        <w:spacing w:before="200" w:after="200" w:line="360" w:lineRule="auto"/>
        <w:rPr>
          <w:rFonts w:hint="eastAsia" w:ascii="宋体" w:hAnsi="宋体" w:eastAsia="宋体" w:cs="宋体"/>
          <w:color w:val="auto"/>
          <w:sz w:val="24"/>
          <w:szCs w:val="24"/>
        </w:rPr>
      </w:pPr>
      <w:bookmarkStart w:id="40" w:name="_Toc183582205"/>
      <w:bookmarkStart w:id="41" w:name="_Toc183682342"/>
      <w:bookmarkStart w:id="42" w:name="_Toc18032"/>
      <w:bookmarkStart w:id="43" w:name="_Toc7795"/>
      <w:bookmarkStart w:id="44" w:name="_Toc32689"/>
      <w:bookmarkStart w:id="45" w:name="_Toc217446034"/>
      <w:bookmarkStart w:id="46" w:name="_Toc28207"/>
      <w:bookmarkStart w:id="47" w:name="_Toc25473"/>
      <w:r>
        <w:rPr>
          <w:rFonts w:hint="eastAsia" w:ascii="宋体" w:hAnsi="宋体" w:eastAsia="宋体" w:cs="宋体"/>
          <w:color w:val="auto"/>
          <w:sz w:val="24"/>
          <w:szCs w:val="24"/>
        </w:rPr>
        <w:t>1</w:t>
      </w:r>
      <w:bookmarkEnd w:id="40"/>
      <w:bookmarkEnd w:id="41"/>
      <w:r>
        <w:rPr>
          <w:rFonts w:hint="eastAsia" w:ascii="宋体" w:hAnsi="宋体" w:eastAsia="宋体" w:cs="宋体"/>
          <w:color w:val="auto"/>
          <w:sz w:val="24"/>
          <w:szCs w:val="24"/>
        </w:rPr>
        <w:t>．适用范围</w:t>
      </w:r>
      <w:bookmarkEnd w:id="42"/>
      <w:bookmarkEnd w:id="43"/>
      <w:bookmarkEnd w:id="44"/>
      <w:bookmarkEnd w:id="45"/>
      <w:bookmarkEnd w:id="46"/>
      <w:bookmarkEnd w:id="47"/>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1.1 本招标文件仅适用于本次招标采购项目。</w:t>
      </w:r>
    </w:p>
    <w:p>
      <w:pPr>
        <w:pStyle w:val="5"/>
        <w:spacing w:before="200" w:after="200" w:line="360" w:lineRule="auto"/>
        <w:rPr>
          <w:rFonts w:hint="eastAsia" w:ascii="宋体" w:hAnsi="宋体" w:eastAsia="宋体" w:cs="宋体"/>
          <w:color w:val="auto"/>
          <w:sz w:val="24"/>
          <w:szCs w:val="24"/>
        </w:rPr>
      </w:pPr>
      <w:bookmarkStart w:id="48" w:name="_Toc183682343"/>
      <w:bookmarkStart w:id="49" w:name="_Toc183582206"/>
      <w:bookmarkStart w:id="50" w:name="_Toc3541"/>
      <w:bookmarkStart w:id="51" w:name="_Toc23451"/>
      <w:bookmarkStart w:id="52" w:name="_Toc217446035"/>
      <w:bookmarkStart w:id="53" w:name="_Toc12382"/>
      <w:bookmarkStart w:id="54" w:name="_Toc25186"/>
      <w:bookmarkStart w:id="55" w:name="_Toc30554"/>
      <w:r>
        <w:rPr>
          <w:rFonts w:hint="eastAsia" w:ascii="宋体" w:hAnsi="宋体" w:eastAsia="宋体" w:cs="宋体"/>
          <w:color w:val="auto"/>
          <w:sz w:val="24"/>
          <w:szCs w:val="24"/>
        </w:rPr>
        <w:t>2</w:t>
      </w:r>
      <w:bookmarkEnd w:id="48"/>
      <w:bookmarkEnd w:id="49"/>
      <w:r>
        <w:rPr>
          <w:rFonts w:hint="eastAsia" w:ascii="宋体" w:hAnsi="宋体" w:eastAsia="宋体" w:cs="宋体"/>
          <w:color w:val="auto"/>
          <w:sz w:val="24"/>
          <w:szCs w:val="24"/>
        </w:rPr>
        <w:t>．有关定义</w:t>
      </w:r>
      <w:bookmarkEnd w:id="50"/>
      <w:bookmarkEnd w:id="51"/>
      <w:bookmarkEnd w:id="52"/>
      <w:bookmarkEnd w:id="53"/>
      <w:bookmarkEnd w:id="54"/>
      <w:bookmarkEnd w:id="55"/>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 “招标人或采购人”系指依法进行政府采购的国家机关、事业单位、团体组织。本次招标的招标人是</w:t>
      </w:r>
      <w:r>
        <w:rPr>
          <w:rFonts w:hint="eastAsia" w:ascii="宋体" w:hAnsi="宋体" w:eastAsia="宋体" w:cs="宋体"/>
          <w:b/>
          <w:bCs/>
          <w:color w:val="auto"/>
          <w:sz w:val="24"/>
          <w:u w:val="single"/>
        </w:rPr>
        <w:t xml:space="preserve"> </w:t>
      </w:r>
      <w:r>
        <w:rPr>
          <w:rFonts w:hint="eastAsia" w:ascii="宋体" w:hAnsi="宋体" w:eastAsia="宋体" w:cs="宋体"/>
          <w:b/>
          <w:bCs/>
          <w:color w:val="auto"/>
          <w:sz w:val="24"/>
          <w:u w:val="single"/>
          <w:lang w:eastAsia="zh-CN"/>
        </w:rPr>
        <w:t xml:space="preserve">成都市公安局双流区分局 </w:t>
      </w:r>
      <w:r>
        <w:rPr>
          <w:rFonts w:hint="eastAsia" w:ascii="宋体" w:hAnsi="宋体" w:eastAsia="宋体" w:cs="宋体"/>
          <w:b/>
          <w:bCs/>
          <w:color w:val="auto"/>
          <w:sz w:val="24"/>
          <w:u w:val="single"/>
        </w:rPr>
        <w:t xml:space="preserve"> </w:t>
      </w:r>
      <w:r>
        <w:rPr>
          <w:rFonts w:hint="eastAsia" w:ascii="宋体" w:hAnsi="宋体" w:eastAsia="宋体" w:cs="宋体"/>
          <w:color w:val="auto"/>
          <w:sz w:val="24"/>
        </w:rPr>
        <w:t>。</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 “招标代理机构或采购代理机构”系指根据招标人的委托依法办理招标事宜的采购机构。本次招标的招标代理机构是</w:t>
      </w:r>
      <w:r>
        <w:rPr>
          <w:rFonts w:hint="eastAsia" w:ascii="宋体" w:hAnsi="宋体" w:eastAsia="宋体" w:cs="宋体"/>
          <w:b/>
          <w:bCs/>
          <w:color w:val="auto"/>
          <w:sz w:val="24"/>
          <w:u w:val="single"/>
        </w:rPr>
        <w:t xml:space="preserve"> 四川凯亿工程管理咨询有限公司 </w:t>
      </w:r>
      <w:r>
        <w:rPr>
          <w:rFonts w:hint="eastAsia" w:ascii="宋体" w:hAnsi="宋体" w:eastAsia="宋体" w:cs="宋体"/>
          <w:color w:val="auto"/>
          <w:sz w:val="24"/>
        </w:rPr>
        <w:t>。</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 “招标采购单位”系指“招标人或采购人”和“招标代理机构或采购代理机构”的统称。</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2.4 “投标人或供应商”系指购买了招标文件拟参加投标和向招标人提供货物及相应服务的投标人。</w:t>
      </w:r>
    </w:p>
    <w:p>
      <w:pPr>
        <w:pStyle w:val="5"/>
        <w:spacing w:before="200" w:after="200" w:line="360" w:lineRule="auto"/>
        <w:rPr>
          <w:rFonts w:hint="eastAsia" w:ascii="宋体" w:hAnsi="宋体" w:eastAsia="宋体" w:cs="宋体"/>
          <w:color w:val="auto"/>
          <w:sz w:val="24"/>
          <w:szCs w:val="24"/>
        </w:rPr>
      </w:pPr>
      <w:bookmarkStart w:id="56" w:name="_Toc183682344"/>
      <w:bookmarkStart w:id="57" w:name="_Toc217390843"/>
      <w:bookmarkStart w:id="58" w:name="_Toc217446036"/>
      <w:bookmarkStart w:id="59" w:name="_Toc183582207"/>
      <w:bookmarkStart w:id="60" w:name="_Toc27320"/>
      <w:bookmarkStart w:id="61" w:name="_Toc26530"/>
      <w:bookmarkStart w:id="62" w:name="_Toc30913"/>
      <w:bookmarkStart w:id="63" w:name="_Toc1927"/>
      <w:bookmarkStart w:id="64" w:name="_Toc10330"/>
      <w:r>
        <w:rPr>
          <w:rFonts w:hint="eastAsia" w:ascii="宋体" w:hAnsi="宋体" w:eastAsia="宋体" w:cs="宋体"/>
          <w:color w:val="auto"/>
          <w:sz w:val="24"/>
          <w:szCs w:val="24"/>
        </w:rPr>
        <w:t>3．合格的投标人</w:t>
      </w:r>
      <w:bookmarkEnd w:id="56"/>
      <w:bookmarkEnd w:id="57"/>
      <w:bookmarkEnd w:id="58"/>
      <w:bookmarkEnd w:id="59"/>
      <w:r>
        <w:rPr>
          <w:rFonts w:hint="eastAsia" w:ascii="宋体" w:hAnsi="宋体" w:eastAsia="宋体" w:cs="宋体"/>
          <w:color w:val="auto"/>
          <w:sz w:val="24"/>
          <w:szCs w:val="24"/>
        </w:rPr>
        <w:t>（实质性要求）</w:t>
      </w:r>
      <w:bookmarkEnd w:id="60"/>
      <w:bookmarkEnd w:id="61"/>
      <w:bookmarkEnd w:id="62"/>
      <w:bookmarkEnd w:id="63"/>
      <w:bookmarkEnd w:id="64"/>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合格的投标人应具备以下条件：</w:t>
      </w:r>
    </w:p>
    <w:p>
      <w:pPr>
        <w:tabs>
          <w:tab w:val="left" w:pos="7665"/>
        </w:tabs>
        <w:spacing w:before="120" w:beforeLines="50" w:after="120" w:afterLines="50" w:line="360" w:lineRule="auto"/>
        <w:ind w:firstLine="480" w:firstLineChars="200"/>
        <w:rPr>
          <w:rFonts w:hint="eastAsia" w:ascii="宋体" w:hAnsi="宋体" w:eastAsia="宋体" w:cs="宋体"/>
          <w:color w:val="auto"/>
          <w:spacing w:val="-4"/>
          <w:sz w:val="24"/>
        </w:rPr>
      </w:pPr>
      <w:r>
        <w:rPr>
          <w:rFonts w:hint="eastAsia" w:ascii="宋体" w:hAnsi="宋体" w:eastAsia="宋体" w:cs="宋体"/>
          <w:color w:val="auto"/>
          <w:sz w:val="24"/>
        </w:rPr>
        <w:t>（1）本招标文件规定的投标人资格条件</w:t>
      </w:r>
      <w:r>
        <w:rPr>
          <w:rFonts w:hint="eastAsia" w:ascii="宋体" w:hAnsi="宋体" w:eastAsia="宋体" w:cs="宋体"/>
          <w:color w:val="auto"/>
          <w:spacing w:val="-4"/>
          <w:sz w:val="24"/>
        </w:rPr>
        <w:t>；</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（2）遵守国家有关的法律、法规、规章和其他政策制度；</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（3）按要求获取了招标文件。</w:t>
      </w:r>
    </w:p>
    <w:p>
      <w:pPr>
        <w:pStyle w:val="5"/>
        <w:spacing w:before="200" w:after="200" w:line="360" w:lineRule="auto"/>
        <w:rPr>
          <w:rFonts w:hint="eastAsia" w:ascii="宋体" w:hAnsi="宋体" w:eastAsia="宋体" w:cs="宋体"/>
          <w:color w:val="auto"/>
          <w:sz w:val="24"/>
          <w:szCs w:val="24"/>
        </w:rPr>
      </w:pPr>
      <w:bookmarkStart w:id="65" w:name="_Toc183582208"/>
      <w:bookmarkStart w:id="66" w:name="_Toc217446037"/>
      <w:bookmarkStart w:id="67" w:name="_Toc183682345"/>
      <w:bookmarkStart w:id="68" w:name="_Toc2560"/>
      <w:bookmarkStart w:id="69" w:name="_Toc17600"/>
      <w:bookmarkStart w:id="70" w:name="_Toc6115"/>
      <w:bookmarkStart w:id="71" w:name="_Toc27431"/>
      <w:bookmarkStart w:id="72" w:name="_Toc29189"/>
      <w:r>
        <w:rPr>
          <w:rFonts w:hint="eastAsia" w:ascii="宋体" w:hAnsi="宋体" w:eastAsia="宋体" w:cs="宋体"/>
          <w:color w:val="auto"/>
          <w:sz w:val="24"/>
          <w:szCs w:val="24"/>
        </w:rPr>
        <w:t>4．投标费用</w:t>
      </w:r>
      <w:bookmarkEnd w:id="65"/>
      <w:bookmarkEnd w:id="66"/>
      <w:bookmarkEnd w:id="67"/>
      <w:r>
        <w:rPr>
          <w:rFonts w:hint="eastAsia" w:ascii="宋体" w:hAnsi="宋体" w:eastAsia="宋体" w:cs="宋体"/>
          <w:color w:val="auto"/>
          <w:sz w:val="24"/>
          <w:szCs w:val="24"/>
        </w:rPr>
        <w:t>（实质性要求）</w:t>
      </w:r>
      <w:bookmarkEnd w:id="68"/>
      <w:bookmarkEnd w:id="69"/>
      <w:bookmarkEnd w:id="70"/>
      <w:bookmarkEnd w:id="71"/>
      <w:bookmarkEnd w:id="72"/>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投标人参加投标的有关费用由投标人自行承担。</w:t>
      </w:r>
    </w:p>
    <w:p>
      <w:pPr>
        <w:pStyle w:val="5"/>
        <w:spacing w:before="200" w:after="200" w:line="360" w:lineRule="auto"/>
        <w:rPr>
          <w:rFonts w:hint="eastAsia" w:ascii="宋体" w:hAnsi="宋体" w:eastAsia="宋体" w:cs="宋体"/>
          <w:color w:val="auto"/>
          <w:sz w:val="24"/>
          <w:szCs w:val="24"/>
        </w:rPr>
      </w:pPr>
      <w:bookmarkStart w:id="73" w:name="_Toc20796"/>
      <w:bookmarkStart w:id="74" w:name="_Toc26409"/>
      <w:bookmarkStart w:id="75" w:name="_Toc6253"/>
      <w:bookmarkStart w:id="76" w:name="_Toc4285"/>
      <w:bookmarkStart w:id="77" w:name="_Toc21372"/>
      <w:r>
        <w:rPr>
          <w:rFonts w:hint="eastAsia" w:ascii="宋体" w:hAnsi="宋体" w:eastAsia="宋体" w:cs="宋体"/>
          <w:color w:val="auto"/>
          <w:sz w:val="24"/>
          <w:szCs w:val="24"/>
        </w:rPr>
        <w:t>5．充分、公平竞争保障措施（实质性要求）</w:t>
      </w:r>
      <w:bookmarkEnd w:id="73"/>
      <w:bookmarkEnd w:id="74"/>
      <w:bookmarkEnd w:id="75"/>
      <w:bookmarkEnd w:id="76"/>
      <w:bookmarkEnd w:id="77"/>
    </w:p>
    <w:p>
      <w:pPr>
        <w:tabs>
          <w:tab w:val="left" w:pos="7665"/>
        </w:tabs>
        <w:spacing w:before="120" w:beforeLines="50" w:after="120" w:afterLines="50"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5.1 利害关系投标人处理。</w:t>
      </w:r>
      <w:r>
        <w:rPr>
          <w:rFonts w:hint="eastAsia" w:ascii="宋体" w:hAnsi="宋体" w:eastAsia="宋体" w:cs="宋体"/>
          <w:color w:val="auto"/>
          <w:sz w:val="24"/>
        </w:rPr>
        <w:t>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tabs>
          <w:tab w:val="left" w:pos="7665"/>
        </w:tabs>
        <w:spacing w:before="120" w:beforeLines="50" w:after="120" w:afterLines="50"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5.2 前期参与投标人处理。</w:t>
      </w:r>
      <w:r>
        <w:rPr>
          <w:rFonts w:hint="eastAsia" w:ascii="宋体" w:hAnsi="宋体" w:eastAsia="宋体" w:cs="宋体"/>
          <w:color w:val="auto"/>
          <w:sz w:val="24"/>
        </w:rPr>
        <w:t>为采购项目提供整体设计、规范编制或者项目管理、监理、检测等服务的投标人，不得再参加该采购项目的其他采购活动。投标人为招标人、招标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tabs>
          <w:tab w:val="left" w:pos="7665"/>
        </w:tabs>
        <w:spacing w:before="120" w:beforeLines="50" w:after="120" w:afterLines="50"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5.3 利害关系代理人处理。</w:t>
      </w:r>
      <w:r>
        <w:rPr>
          <w:rFonts w:hint="eastAsia" w:ascii="宋体" w:hAnsi="宋体" w:eastAsia="宋体" w:cs="宋体"/>
          <w:color w:val="auto"/>
          <w:sz w:val="24"/>
        </w:rPr>
        <w:t>2家以上的投标人不得在同一合同项下的采购项目中，同时委托同一个自然人、同一家庭的人员、同一单位的人员作为其代理人，否则，其投标文件作为无效处理。</w:t>
      </w:r>
    </w:p>
    <w:p>
      <w:pPr>
        <w:pStyle w:val="89"/>
        <w:spacing w:line="360" w:lineRule="auto"/>
        <w:ind w:firstLine="482" w:firstLineChars="200"/>
        <w:rPr>
          <w:rFonts w:hint="eastAsia" w:ascii="宋体" w:hAnsi="宋体" w:eastAsia="宋体" w:cs="宋体"/>
          <w:b/>
          <w:bCs/>
          <w:color w:val="auto"/>
        </w:rPr>
      </w:pPr>
      <w:r>
        <w:rPr>
          <w:rFonts w:hint="eastAsia" w:ascii="宋体" w:hAnsi="宋体" w:eastAsia="宋体" w:cs="宋体"/>
          <w:b/>
          <w:bCs/>
          <w:color w:val="auto"/>
        </w:rPr>
        <w:t>5.4 招标人不得向投标人索要或者接受其给予的赠品、回扣或者采购无关的其他商品、服务。</w:t>
      </w:r>
    </w:p>
    <w:p>
      <w:pPr>
        <w:pStyle w:val="4"/>
        <w:jc w:val="center"/>
        <w:rPr>
          <w:rFonts w:hint="eastAsia" w:ascii="宋体" w:hAnsi="宋体" w:eastAsia="宋体" w:cs="宋体"/>
          <w:bCs w:val="0"/>
          <w:color w:val="auto"/>
          <w:sz w:val="28"/>
          <w:szCs w:val="28"/>
        </w:rPr>
      </w:pPr>
      <w:bookmarkStart w:id="78" w:name="_Toc89075875"/>
      <w:bookmarkStart w:id="79" w:name="_Toc27811"/>
      <w:bookmarkStart w:id="80" w:name="_Toc3574"/>
      <w:bookmarkStart w:id="81" w:name="_Toc217446038"/>
      <w:bookmarkStart w:id="82" w:name="_Toc77400779"/>
      <w:bookmarkStart w:id="83" w:name="_Toc17420"/>
      <w:bookmarkStart w:id="84" w:name="_Toc183682346"/>
      <w:bookmarkStart w:id="85" w:name="_Toc31677"/>
      <w:bookmarkStart w:id="86" w:name="_Toc18498"/>
      <w:bookmarkStart w:id="87" w:name="_Toc183582209"/>
      <w:r>
        <w:rPr>
          <w:rFonts w:hint="eastAsia" w:ascii="宋体" w:hAnsi="宋体" w:eastAsia="宋体" w:cs="宋体"/>
          <w:bCs w:val="0"/>
          <w:color w:val="auto"/>
          <w:sz w:val="28"/>
          <w:szCs w:val="28"/>
        </w:rPr>
        <w:t>三、招标文件</w:t>
      </w:r>
      <w:bookmarkEnd w:id="78"/>
      <w:bookmarkEnd w:id="79"/>
      <w:bookmarkEnd w:id="80"/>
      <w:bookmarkEnd w:id="81"/>
      <w:bookmarkEnd w:id="82"/>
      <w:bookmarkEnd w:id="83"/>
      <w:bookmarkEnd w:id="84"/>
      <w:bookmarkEnd w:id="85"/>
      <w:bookmarkEnd w:id="86"/>
      <w:bookmarkEnd w:id="87"/>
    </w:p>
    <w:p>
      <w:pPr>
        <w:pStyle w:val="5"/>
        <w:spacing w:before="200" w:after="200" w:line="360" w:lineRule="auto"/>
        <w:rPr>
          <w:rFonts w:hint="eastAsia" w:ascii="宋体" w:hAnsi="宋体" w:eastAsia="宋体" w:cs="宋体"/>
          <w:color w:val="auto"/>
          <w:sz w:val="24"/>
          <w:szCs w:val="24"/>
        </w:rPr>
      </w:pPr>
      <w:bookmarkStart w:id="88" w:name="_Toc25706"/>
      <w:bookmarkStart w:id="89" w:name="_Toc1054"/>
      <w:bookmarkStart w:id="90" w:name="_Toc29039"/>
      <w:bookmarkStart w:id="91" w:name="_Toc10604"/>
      <w:bookmarkStart w:id="92" w:name="_Toc183682347"/>
      <w:bookmarkStart w:id="93" w:name="_Toc183582210"/>
      <w:bookmarkStart w:id="94" w:name="_Toc217446039"/>
      <w:bookmarkStart w:id="95" w:name="_Toc25921"/>
      <w:r>
        <w:rPr>
          <w:rFonts w:hint="eastAsia" w:ascii="宋体" w:hAnsi="宋体" w:eastAsia="宋体" w:cs="宋体"/>
          <w:color w:val="auto"/>
          <w:sz w:val="24"/>
          <w:szCs w:val="24"/>
        </w:rPr>
        <w:t>6．招标文件的构成</w:t>
      </w:r>
      <w:bookmarkEnd w:id="88"/>
      <w:bookmarkEnd w:id="89"/>
      <w:bookmarkEnd w:id="90"/>
      <w:bookmarkEnd w:id="91"/>
      <w:bookmarkEnd w:id="92"/>
      <w:bookmarkEnd w:id="93"/>
      <w:bookmarkEnd w:id="94"/>
      <w:bookmarkEnd w:id="95"/>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文件是投标人准备投标文件和参加投标的依据，同时也是评标的重要依据，具有准法律文件性质。招标文件用以阐明采购项目所需的资质、技术、服务及报价等要求、招标投标程序、有关规定和注意事项以及合同主要条款等。本招标文件包括以下内容：</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（1）投标邀请；</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（2）投标人须知；</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（3）投标文件格式；</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（4）投标人的资格、资质性及其他类似效力要求；</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（5）投标人应当提供的资格、资质性及其他类似效力要求的相关证明材料；</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（6）采购项目技术、服务、商务及其他要求；</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（7）评标办法；</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（8）政府采购合同。</w:t>
      </w:r>
    </w:p>
    <w:p>
      <w:pPr>
        <w:pStyle w:val="5"/>
        <w:spacing w:before="200" w:after="200" w:line="360" w:lineRule="auto"/>
        <w:rPr>
          <w:rFonts w:hint="eastAsia" w:ascii="宋体" w:hAnsi="宋体" w:eastAsia="宋体" w:cs="宋体"/>
          <w:color w:val="auto"/>
          <w:sz w:val="24"/>
          <w:szCs w:val="24"/>
        </w:rPr>
      </w:pPr>
      <w:bookmarkStart w:id="96" w:name="_Toc183582211"/>
      <w:bookmarkStart w:id="97" w:name="_Toc183682348"/>
      <w:bookmarkStart w:id="98" w:name="_Toc12482"/>
      <w:bookmarkStart w:id="99" w:name="_Toc20077"/>
      <w:bookmarkStart w:id="100" w:name="_Toc217446040"/>
      <w:bookmarkStart w:id="101" w:name="_Toc4334"/>
      <w:bookmarkStart w:id="102" w:name="_Toc119"/>
      <w:bookmarkStart w:id="103" w:name="_Toc24996"/>
      <w:r>
        <w:rPr>
          <w:rFonts w:hint="eastAsia" w:ascii="宋体" w:hAnsi="宋体" w:eastAsia="宋体" w:cs="宋体"/>
          <w:color w:val="auto"/>
          <w:sz w:val="24"/>
          <w:szCs w:val="24"/>
        </w:rPr>
        <w:t>7．招标文件的澄清</w:t>
      </w:r>
      <w:bookmarkEnd w:id="96"/>
      <w:bookmarkEnd w:id="97"/>
      <w:r>
        <w:rPr>
          <w:rFonts w:hint="eastAsia" w:ascii="宋体" w:hAnsi="宋体" w:eastAsia="宋体" w:cs="宋体"/>
          <w:color w:val="auto"/>
          <w:sz w:val="24"/>
          <w:szCs w:val="24"/>
        </w:rPr>
        <w:t>和修改</w:t>
      </w:r>
      <w:bookmarkEnd w:id="98"/>
      <w:bookmarkEnd w:id="99"/>
      <w:bookmarkEnd w:id="100"/>
      <w:bookmarkEnd w:id="101"/>
      <w:bookmarkEnd w:id="102"/>
      <w:bookmarkEnd w:id="103"/>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7.1 招标采购单位可以依法对招标文件进行澄清或者修改。</w:t>
      </w:r>
    </w:p>
    <w:p>
      <w:pPr>
        <w:tabs>
          <w:tab w:val="left" w:pos="7665"/>
        </w:tabs>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7.2澄清或者修改的内容，将在“四川政府采购网”上发布更正公告，同时通过政府采购云平台将澄清或者修改的内容告知所有在系统中成功获取招标文件的潜在投标人（投标人通过账号或CA证书登录云平台查看）。该澄清或者修改的内容为招标文件的组成部分，澄清或者修改的内容可能影响投标文件、资格预审申请文件编制的，采购人或者采购代理机构发布公告并书面通知供应商的时间，应当在投标截止时间至少15日前、提交资格预审申请文件截止时间至少3日前；不足上述时间的，应当顺延提交投标文件、资格预审申请文件的截止时间。</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7.3 投标人认为需要对招标文件进行澄清或者修改的，可以以书面形式向招标采购单位提出申请，但招标采购单位可以决定是否采纳投标人的申请事项。</w:t>
      </w:r>
    </w:p>
    <w:p>
      <w:pPr>
        <w:pStyle w:val="5"/>
        <w:spacing w:before="200" w:after="200" w:line="360" w:lineRule="auto"/>
        <w:rPr>
          <w:rFonts w:hint="eastAsia" w:ascii="宋体" w:hAnsi="宋体" w:eastAsia="宋体" w:cs="宋体"/>
          <w:color w:val="auto"/>
          <w:sz w:val="24"/>
          <w:szCs w:val="24"/>
        </w:rPr>
      </w:pPr>
      <w:bookmarkStart w:id="104" w:name="_Toc8419"/>
      <w:bookmarkStart w:id="105" w:name="_Toc32710"/>
      <w:bookmarkStart w:id="106" w:name="_Toc26469"/>
      <w:bookmarkStart w:id="107" w:name="_Toc32531"/>
      <w:bookmarkStart w:id="108" w:name="_Toc217446041"/>
      <w:bookmarkStart w:id="109" w:name="_Toc208848971"/>
      <w:bookmarkStart w:id="110" w:name="_Toc25553"/>
      <w:r>
        <w:rPr>
          <w:rFonts w:hint="eastAsia" w:ascii="宋体" w:hAnsi="宋体" w:eastAsia="宋体" w:cs="宋体"/>
          <w:color w:val="auto"/>
          <w:sz w:val="24"/>
          <w:szCs w:val="24"/>
        </w:rPr>
        <w:t>8．答疑会和现场考察</w:t>
      </w:r>
      <w:bookmarkEnd w:id="104"/>
      <w:bookmarkEnd w:id="105"/>
      <w:bookmarkEnd w:id="106"/>
      <w:bookmarkEnd w:id="107"/>
      <w:bookmarkEnd w:id="108"/>
      <w:bookmarkEnd w:id="109"/>
      <w:bookmarkEnd w:id="110"/>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360" w:lineRule="auto"/>
        <w:ind w:firstLine="480" w:firstLineChars="200"/>
        <w:rPr>
          <w:rFonts w:hint="eastAsia" w:ascii="宋体" w:hAnsi="宋体" w:eastAsia="宋体" w:cs="宋体"/>
          <w:color w:val="auto"/>
        </w:rPr>
      </w:pPr>
      <w:r>
        <w:rPr>
          <w:rFonts w:hint="eastAsia" w:ascii="宋体" w:hAnsi="宋体" w:eastAsia="宋体" w:cs="宋体"/>
          <w:color w:val="auto"/>
          <w:sz w:val="24"/>
        </w:rPr>
        <w:t>8.2 投标人考察现场所发生的一切费用由投标人自己承担。</w:t>
      </w:r>
    </w:p>
    <w:p>
      <w:pPr>
        <w:pStyle w:val="4"/>
        <w:jc w:val="center"/>
        <w:rPr>
          <w:rFonts w:hint="eastAsia" w:ascii="宋体" w:hAnsi="宋体" w:eastAsia="宋体" w:cs="宋体"/>
          <w:bCs w:val="0"/>
          <w:color w:val="auto"/>
          <w:sz w:val="28"/>
          <w:szCs w:val="28"/>
        </w:rPr>
      </w:pPr>
      <w:bookmarkStart w:id="111" w:name="_Toc77400780"/>
      <w:bookmarkStart w:id="112" w:name="_Toc183682351"/>
      <w:bookmarkStart w:id="113" w:name="_Toc89075876"/>
      <w:bookmarkStart w:id="114" w:name="_Toc13370"/>
      <w:bookmarkStart w:id="115" w:name="_Toc183582214"/>
      <w:bookmarkStart w:id="116" w:name="_Toc12313"/>
      <w:bookmarkStart w:id="117" w:name="_Toc217446042"/>
      <w:bookmarkStart w:id="118" w:name="_Toc24865"/>
      <w:bookmarkStart w:id="119" w:name="_Toc16928"/>
      <w:bookmarkStart w:id="120" w:name="_Toc8263"/>
      <w:r>
        <w:rPr>
          <w:rFonts w:hint="eastAsia" w:ascii="宋体" w:hAnsi="宋体" w:eastAsia="宋体" w:cs="宋体"/>
          <w:bCs w:val="0"/>
          <w:color w:val="auto"/>
          <w:sz w:val="28"/>
          <w:szCs w:val="28"/>
        </w:rPr>
        <w:t>四、投标文件</w:t>
      </w:r>
      <w:bookmarkEnd w:id="111"/>
      <w:bookmarkEnd w:id="112"/>
      <w:bookmarkEnd w:id="113"/>
      <w:bookmarkEnd w:id="114"/>
      <w:bookmarkEnd w:id="115"/>
      <w:bookmarkEnd w:id="116"/>
      <w:bookmarkEnd w:id="117"/>
      <w:bookmarkEnd w:id="118"/>
      <w:bookmarkEnd w:id="119"/>
      <w:bookmarkEnd w:id="120"/>
    </w:p>
    <w:p>
      <w:pPr>
        <w:pStyle w:val="5"/>
        <w:spacing w:before="200" w:after="200" w:line="360" w:lineRule="auto"/>
        <w:rPr>
          <w:rFonts w:hint="eastAsia" w:ascii="宋体" w:hAnsi="宋体" w:eastAsia="宋体" w:cs="宋体"/>
          <w:color w:val="auto"/>
          <w:sz w:val="24"/>
          <w:szCs w:val="24"/>
        </w:rPr>
      </w:pPr>
      <w:bookmarkStart w:id="121" w:name="_Toc183682352"/>
      <w:bookmarkStart w:id="122" w:name="_Toc183582215"/>
      <w:bookmarkStart w:id="123" w:name="_Toc217446043"/>
      <w:bookmarkStart w:id="124" w:name="_Toc4063"/>
      <w:bookmarkStart w:id="125" w:name="_Toc12930"/>
      <w:bookmarkStart w:id="126" w:name="_Toc4262"/>
      <w:bookmarkStart w:id="127" w:name="_Toc21948"/>
      <w:bookmarkStart w:id="128" w:name="_Toc23750"/>
      <w:r>
        <w:rPr>
          <w:rFonts w:hint="eastAsia" w:ascii="宋体" w:hAnsi="宋体" w:eastAsia="宋体" w:cs="宋体"/>
          <w:color w:val="auto"/>
          <w:sz w:val="24"/>
          <w:szCs w:val="24"/>
        </w:rPr>
        <w:t>9．投标文件的语言</w:t>
      </w:r>
      <w:bookmarkEnd w:id="121"/>
      <w:bookmarkEnd w:id="122"/>
      <w:bookmarkEnd w:id="123"/>
      <w:r>
        <w:rPr>
          <w:rFonts w:hint="eastAsia" w:ascii="宋体" w:hAnsi="宋体" w:eastAsia="宋体" w:cs="宋体"/>
          <w:color w:val="auto"/>
          <w:sz w:val="24"/>
          <w:szCs w:val="24"/>
        </w:rPr>
        <w:t>（实质性要求）</w:t>
      </w:r>
      <w:bookmarkEnd w:id="124"/>
      <w:bookmarkEnd w:id="125"/>
      <w:bookmarkEnd w:id="126"/>
      <w:bookmarkEnd w:id="127"/>
      <w:bookmarkEnd w:id="128"/>
    </w:p>
    <w:p>
      <w:pPr>
        <w:tabs>
          <w:tab w:val="left" w:pos="7665"/>
        </w:tabs>
        <w:spacing w:after="120" w:afterLines="50" w:line="360" w:lineRule="auto"/>
        <w:ind w:firstLine="480" w:firstLineChars="200"/>
        <w:rPr>
          <w:rFonts w:hint="eastAsia" w:ascii="宋体" w:hAnsi="宋体" w:eastAsia="宋体" w:cs="宋体"/>
          <w:color w:val="auto"/>
          <w:sz w:val="24"/>
        </w:rPr>
      </w:pPr>
      <w:bookmarkStart w:id="129" w:name="_Toc183582216"/>
      <w:bookmarkStart w:id="130" w:name="_Toc183682353"/>
      <w:bookmarkStart w:id="131" w:name="_Toc217446044"/>
      <w:r>
        <w:rPr>
          <w:rFonts w:hint="eastAsia" w:ascii="宋体" w:hAnsi="宋体" w:eastAsia="宋体" w:cs="宋体"/>
          <w:color w:val="auto"/>
          <w:sz w:val="24"/>
        </w:rPr>
        <w:t>9.1 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说明：投标人的法定代表人为外籍人士的，法定代表人的签字和护照除外。）</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9.2 翻译的中文资料与外文资料如果出现差异和矛盾时，以中文为准。涉嫌虚假响应的按照相关法律法规处理。</w:t>
      </w:r>
    </w:p>
    <w:p>
      <w:pPr>
        <w:pStyle w:val="5"/>
        <w:spacing w:before="200" w:after="200" w:line="360" w:lineRule="auto"/>
        <w:rPr>
          <w:rFonts w:hint="eastAsia" w:ascii="宋体" w:hAnsi="宋体" w:eastAsia="宋体" w:cs="宋体"/>
          <w:color w:val="auto"/>
          <w:sz w:val="24"/>
          <w:szCs w:val="24"/>
        </w:rPr>
      </w:pPr>
      <w:bookmarkStart w:id="132" w:name="_Toc18513"/>
      <w:bookmarkStart w:id="133" w:name="_Toc2790"/>
      <w:bookmarkStart w:id="134" w:name="_Toc12637"/>
      <w:bookmarkStart w:id="135" w:name="_Toc4941"/>
      <w:bookmarkStart w:id="136" w:name="_Toc14922"/>
      <w:r>
        <w:rPr>
          <w:rFonts w:hint="eastAsia" w:ascii="宋体" w:hAnsi="宋体" w:eastAsia="宋体" w:cs="宋体"/>
          <w:color w:val="auto"/>
          <w:sz w:val="24"/>
          <w:szCs w:val="24"/>
        </w:rPr>
        <w:t>10．计量单位</w:t>
      </w:r>
      <w:bookmarkEnd w:id="129"/>
      <w:bookmarkEnd w:id="130"/>
      <w:bookmarkEnd w:id="131"/>
      <w:r>
        <w:rPr>
          <w:rFonts w:hint="eastAsia" w:ascii="宋体" w:hAnsi="宋体" w:eastAsia="宋体" w:cs="宋体"/>
          <w:color w:val="auto"/>
          <w:sz w:val="24"/>
          <w:szCs w:val="24"/>
        </w:rPr>
        <w:t>（实质性要求）</w:t>
      </w:r>
      <w:bookmarkEnd w:id="132"/>
      <w:bookmarkEnd w:id="133"/>
      <w:bookmarkEnd w:id="134"/>
      <w:bookmarkEnd w:id="135"/>
      <w:bookmarkEnd w:id="136"/>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除招标文件中另有规定外，本次采购项目所有合同项下的投标均采用国家法定的计量单位。</w:t>
      </w:r>
    </w:p>
    <w:p>
      <w:pPr>
        <w:pStyle w:val="5"/>
        <w:spacing w:before="200" w:after="200" w:line="360" w:lineRule="auto"/>
        <w:rPr>
          <w:rFonts w:hint="eastAsia" w:ascii="宋体" w:hAnsi="宋体" w:eastAsia="宋体" w:cs="宋体"/>
          <w:color w:val="auto"/>
          <w:sz w:val="24"/>
          <w:szCs w:val="24"/>
        </w:rPr>
      </w:pPr>
      <w:bookmarkStart w:id="137" w:name="_Toc217446045"/>
      <w:bookmarkStart w:id="138" w:name="_Toc18302"/>
      <w:bookmarkStart w:id="139" w:name="_Toc17453"/>
      <w:bookmarkStart w:id="140" w:name="_Toc4679"/>
      <w:bookmarkStart w:id="141" w:name="_Toc20145"/>
      <w:bookmarkStart w:id="142" w:name="_Toc9681"/>
      <w:r>
        <w:rPr>
          <w:rFonts w:hint="eastAsia" w:ascii="宋体" w:hAnsi="宋体" w:eastAsia="宋体" w:cs="宋体"/>
          <w:color w:val="auto"/>
          <w:sz w:val="24"/>
          <w:szCs w:val="24"/>
        </w:rPr>
        <w:t>11．投标货币</w:t>
      </w:r>
      <w:bookmarkEnd w:id="137"/>
      <w:r>
        <w:rPr>
          <w:rFonts w:hint="eastAsia" w:ascii="宋体" w:hAnsi="宋体" w:eastAsia="宋体" w:cs="宋体"/>
          <w:color w:val="auto"/>
          <w:sz w:val="24"/>
          <w:szCs w:val="24"/>
        </w:rPr>
        <w:t>（实质性要求）</w:t>
      </w:r>
      <w:bookmarkEnd w:id="138"/>
      <w:bookmarkEnd w:id="139"/>
      <w:bookmarkEnd w:id="140"/>
      <w:bookmarkEnd w:id="141"/>
      <w:bookmarkEnd w:id="142"/>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本次采购项目的投标均以人民币报价。</w:t>
      </w:r>
    </w:p>
    <w:p>
      <w:pPr>
        <w:pStyle w:val="5"/>
        <w:spacing w:before="200" w:after="200"/>
        <w:rPr>
          <w:rFonts w:hint="eastAsia" w:ascii="宋体" w:hAnsi="宋体" w:eastAsia="宋体" w:cs="宋体"/>
          <w:color w:val="auto"/>
          <w:sz w:val="24"/>
          <w:szCs w:val="24"/>
        </w:rPr>
      </w:pPr>
      <w:bookmarkStart w:id="143" w:name="_Toc217446046"/>
      <w:bookmarkStart w:id="144" w:name="_Toc13141"/>
      <w:bookmarkStart w:id="145" w:name="_Toc4703"/>
      <w:bookmarkStart w:id="146" w:name="_Toc25853"/>
      <w:bookmarkStart w:id="147" w:name="_Toc21981"/>
      <w:bookmarkStart w:id="148" w:name="_Toc6387"/>
      <w:r>
        <w:rPr>
          <w:rFonts w:hint="eastAsia" w:ascii="宋体" w:hAnsi="宋体" w:eastAsia="宋体" w:cs="宋体"/>
          <w:color w:val="auto"/>
          <w:sz w:val="24"/>
          <w:szCs w:val="24"/>
        </w:rPr>
        <w:t>12．联合体投标</w:t>
      </w:r>
      <w:bookmarkEnd w:id="143"/>
      <w:r>
        <w:rPr>
          <w:rFonts w:hint="eastAsia" w:ascii="宋体" w:hAnsi="宋体" w:eastAsia="宋体" w:cs="宋体"/>
          <w:color w:val="auto"/>
          <w:sz w:val="24"/>
          <w:szCs w:val="24"/>
        </w:rPr>
        <w:t>（实质性要求）</w:t>
      </w:r>
      <w:bookmarkEnd w:id="144"/>
      <w:bookmarkEnd w:id="145"/>
      <w:bookmarkEnd w:id="146"/>
      <w:bookmarkEnd w:id="147"/>
      <w:bookmarkEnd w:id="148"/>
      <w:bookmarkStart w:id="149" w:name="_Toc217446047"/>
    </w:p>
    <w:p>
      <w:pPr>
        <w:spacing w:line="360" w:lineRule="auto"/>
        <w:ind w:firstLine="480"/>
        <w:rPr>
          <w:rFonts w:hint="eastAsia" w:ascii="宋体" w:hAnsi="宋体" w:eastAsia="宋体" w:cs="宋体"/>
          <w:b/>
          <w:color w:val="auto"/>
        </w:rPr>
      </w:pPr>
      <w:r>
        <w:rPr>
          <w:rFonts w:hint="eastAsia" w:ascii="宋体" w:hAnsi="宋体" w:eastAsia="宋体" w:cs="宋体"/>
          <w:b/>
          <w:color w:val="auto"/>
          <w:sz w:val="24"/>
        </w:rPr>
        <w:t>本项目不接受联合体投标</w:t>
      </w:r>
      <w:r>
        <w:rPr>
          <w:rFonts w:hint="eastAsia" w:ascii="宋体" w:hAnsi="宋体" w:eastAsia="宋体" w:cs="宋体"/>
          <w:color w:val="auto"/>
          <w:sz w:val="24"/>
        </w:rPr>
        <w:t>。</w:t>
      </w:r>
    </w:p>
    <w:p>
      <w:pPr>
        <w:pStyle w:val="5"/>
        <w:spacing w:before="200" w:after="200" w:line="360" w:lineRule="auto"/>
        <w:rPr>
          <w:rFonts w:hint="eastAsia" w:ascii="宋体" w:hAnsi="宋体" w:eastAsia="宋体" w:cs="宋体"/>
          <w:color w:val="auto"/>
          <w:sz w:val="24"/>
          <w:szCs w:val="24"/>
        </w:rPr>
      </w:pPr>
      <w:bookmarkStart w:id="150" w:name="_Toc308164797"/>
      <w:bookmarkStart w:id="151" w:name="_Toc28348"/>
      <w:bookmarkStart w:id="152" w:name="_Toc14007"/>
      <w:bookmarkStart w:id="153" w:name="_Toc8926"/>
      <w:bookmarkStart w:id="154" w:name="_Toc26062"/>
      <w:bookmarkStart w:id="155" w:name="_Toc3877"/>
      <w:r>
        <w:rPr>
          <w:rFonts w:hint="eastAsia" w:ascii="宋体" w:hAnsi="宋体" w:eastAsia="宋体" w:cs="宋体"/>
          <w:color w:val="auto"/>
          <w:sz w:val="24"/>
          <w:szCs w:val="24"/>
        </w:rPr>
        <w:t>13．知识产权</w:t>
      </w:r>
      <w:bookmarkEnd w:id="149"/>
      <w:bookmarkEnd w:id="150"/>
      <w:r>
        <w:rPr>
          <w:rFonts w:hint="eastAsia" w:ascii="宋体" w:hAnsi="宋体" w:eastAsia="宋体" w:cs="宋体"/>
          <w:color w:val="auto"/>
          <w:sz w:val="24"/>
          <w:szCs w:val="24"/>
        </w:rPr>
        <w:t>（实质性要求）</w:t>
      </w:r>
      <w:bookmarkEnd w:id="151"/>
      <w:bookmarkEnd w:id="152"/>
      <w:bookmarkEnd w:id="153"/>
      <w:bookmarkEnd w:id="154"/>
      <w:bookmarkEnd w:id="155"/>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13.2 招标人享有本项目实施过程中产生的知识成果及知识产权。</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13.3 投标人如欲在项目实施过程中采用自有知识成果的，则在使用该知识成果后，须向招标人提供开发接口和开发手册等技术文档，并提供无限期技术支持，招标人享有永久使用权（含招标人委托第三方在该项目后续开发的使用权）。</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13.4 如采用投标人所不拥有的知识产权，则在投标报价中必须包括合法获取该知识产权的相关费用。</w:t>
      </w:r>
    </w:p>
    <w:p>
      <w:pPr>
        <w:pStyle w:val="5"/>
        <w:spacing w:before="200" w:after="200" w:line="360" w:lineRule="auto"/>
        <w:rPr>
          <w:rFonts w:hint="eastAsia" w:ascii="宋体" w:hAnsi="宋体" w:eastAsia="宋体" w:cs="宋体"/>
          <w:color w:val="auto"/>
          <w:sz w:val="24"/>
          <w:szCs w:val="24"/>
        </w:rPr>
      </w:pPr>
      <w:bookmarkStart w:id="156" w:name="_Toc183682354"/>
      <w:bookmarkStart w:id="157" w:name="_Toc7011"/>
      <w:bookmarkStart w:id="158" w:name="_Toc217446048"/>
      <w:bookmarkStart w:id="159" w:name="_Toc8499"/>
      <w:bookmarkStart w:id="160" w:name="_Toc183582217"/>
      <w:bookmarkStart w:id="161" w:name="_Toc6242"/>
      <w:bookmarkStart w:id="162" w:name="_Toc12527"/>
      <w:bookmarkStart w:id="163" w:name="_Toc308164798"/>
      <w:bookmarkStart w:id="164" w:name="_Toc12101"/>
      <w:r>
        <w:rPr>
          <w:rFonts w:hint="eastAsia" w:ascii="宋体" w:hAnsi="宋体" w:eastAsia="宋体" w:cs="宋体"/>
          <w:color w:val="auto"/>
          <w:sz w:val="24"/>
          <w:szCs w:val="24"/>
        </w:rPr>
        <w:t>14．投标文件的组成</w:t>
      </w:r>
      <w:bookmarkEnd w:id="156"/>
      <w:bookmarkEnd w:id="157"/>
      <w:bookmarkEnd w:id="158"/>
      <w:bookmarkEnd w:id="159"/>
      <w:bookmarkEnd w:id="160"/>
      <w:bookmarkEnd w:id="161"/>
      <w:bookmarkEnd w:id="162"/>
      <w:bookmarkEnd w:id="163"/>
      <w:bookmarkEnd w:id="164"/>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投标人应按照招标文件的规定和要求编制投标文件。投标人编写的投标文件应包括下列部分：</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14.1投标文件封面；</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14.2资格性审查部分：投标人应按照招标文件第五章要求集中在此部分提供资格证明材料，未在此部分提供的资格性证明材料在进行资格性审查时不予认可。</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14.3服务、商务及其他要求响应部分：投标人根据招标文件要求提供的除资格性审查材料以外的其他一切材料。</w:t>
      </w:r>
    </w:p>
    <w:p>
      <w:pPr>
        <w:pStyle w:val="5"/>
        <w:spacing w:before="200" w:after="200" w:line="360" w:lineRule="auto"/>
        <w:rPr>
          <w:rFonts w:hint="eastAsia" w:ascii="宋体" w:hAnsi="宋体" w:eastAsia="宋体" w:cs="宋体"/>
          <w:color w:val="auto"/>
          <w:sz w:val="24"/>
          <w:szCs w:val="24"/>
        </w:rPr>
      </w:pPr>
      <w:bookmarkStart w:id="165" w:name="_Toc26578"/>
      <w:bookmarkStart w:id="166" w:name="_Toc308164799"/>
      <w:bookmarkStart w:id="167" w:name="_Toc217446049"/>
      <w:bookmarkStart w:id="168" w:name="_Toc2328"/>
      <w:bookmarkStart w:id="169" w:name="_Toc9451"/>
      <w:bookmarkStart w:id="170" w:name="_Toc183682355"/>
      <w:bookmarkStart w:id="171" w:name="_Toc11634"/>
      <w:bookmarkStart w:id="172" w:name="_Toc183582218"/>
      <w:bookmarkStart w:id="173" w:name="_Toc31061"/>
      <w:r>
        <w:rPr>
          <w:rFonts w:hint="eastAsia" w:ascii="宋体" w:hAnsi="宋体" w:eastAsia="宋体" w:cs="宋体"/>
          <w:color w:val="auto"/>
          <w:sz w:val="24"/>
          <w:szCs w:val="24"/>
        </w:rPr>
        <w:t>15．投标文件格式</w:t>
      </w:r>
      <w:bookmarkEnd w:id="165"/>
      <w:bookmarkEnd w:id="166"/>
      <w:bookmarkEnd w:id="167"/>
      <w:bookmarkEnd w:id="168"/>
      <w:bookmarkEnd w:id="169"/>
      <w:bookmarkEnd w:id="170"/>
      <w:bookmarkEnd w:id="171"/>
      <w:bookmarkEnd w:id="172"/>
      <w:bookmarkEnd w:id="173"/>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15.1 投标人应执行招标文件第三章的规定要求。</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15.2 对于没有格式要求的投标文件由投标人自行编写。</w:t>
      </w:r>
    </w:p>
    <w:p>
      <w:pPr>
        <w:pStyle w:val="5"/>
        <w:spacing w:before="200" w:after="200" w:line="360" w:lineRule="auto"/>
        <w:rPr>
          <w:rFonts w:hint="eastAsia" w:ascii="宋体" w:hAnsi="宋体" w:eastAsia="宋体" w:cs="宋体"/>
          <w:color w:val="auto"/>
          <w:sz w:val="24"/>
          <w:szCs w:val="24"/>
        </w:rPr>
      </w:pPr>
      <w:bookmarkStart w:id="174" w:name="_Toc9027"/>
      <w:bookmarkStart w:id="175" w:name="_Toc183582223"/>
      <w:bookmarkStart w:id="176" w:name="_Toc14893"/>
      <w:bookmarkStart w:id="177" w:name="_Toc308164800"/>
      <w:bookmarkStart w:id="178" w:name="_Toc18510"/>
      <w:bookmarkStart w:id="179" w:name="_Toc29771"/>
      <w:bookmarkStart w:id="180" w:name="_Toc183682360"/>
      <w:bookmarkStart w:id="181" w:name="_Toc6107"/>
      <w:bookmarkStart w:id="182" w:name="_Toc217446050"/>
      <w:r>
        <w:rPr>
          <w:rFonts w:hint="eastAsia" w:ascii="宋体" w:hAnsi="宋体" w:eastAsia="宋体" w:cs="宋体"/>
          <w:color w:val="auto"/>
          <w:sz w:val="24"/>
          <w:szCs w:val="24"/>
        </w:rPr>
        <w:t>16．投标保证金</w:t>
      </w:r>
      <w:bookmarkEnd w:id="174"/>
      <w:bookmarkEnd w:id="175"/>
      <w:bookmarkEnd w:id="176"/>
      <w:bookmarkEnd w:id="177"/>
      <w:bookmarkEnd w:id="178"/>
      <w:bookmarkEnd w:id="179"/>
      <w:bookmarkEnd w:id="180"/>
      <w:bookmarkEnd w:id="181"/>
      <w:bookmarkEnd w:id="182"/>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本项目不收取投标保证金</w:t>
      </w:r>
    </w:p>
    <w:p>
      <w:pPr>
        <w:pStyle w:val="5"/>
        <w:spacing w:before="200" w:after="200" w:line="360" w:lineRule="auto"/>
        <w:rPr>
          <w:rFonts w:hint="eastAsia" w:ascii="宋体" w:hAnsi="宋体" w:eastAsia="宋体" w:cs="宋体"/>
          <w:color w:val="auto"/>
          <w:sz w:val="24"/>
          <w:szCs w:val="24"/>
        </w:rPr>
      </w:pPr>
      <w:bookmarkStart w:id="183" w:name="_Toc183582224"/>
      <w:bookmarkStart w:id="184" w:name="_Toc217446051"/>
      <w:bookmarkStart w:id="185" w:name="_Toc183682361"/>
      <w:bookmarkStart w:id="186" w:name="_Toc308164801"/>
      <w:bookmarkStart w:id="187" w:name="_Toc405"/>
      <w:bookmarkStart w:id="188" w:name="_Toc13993"/>
      <w:bookmarkStart w:id="189" w:name="_Toc26410"/>
      <w:bookmarkStart w:id="190" w:name="_Toc2022"/>
      <w:bookmarkStart w:id="191" w:name="_Toc8633"/>
      <w:r>
        <w:rPr>
          <w:rFonts w:hint="eastAsia" w:ascii="宋体" w:hAnsi="宋体" w:eastAsia="宋体" w:cs="宋体"/>
          <w:color w:val="auto"/>
          <w:sz w:val="24"/>
          <w:szCs w:val="24"/>
        </w:rPr>
        <w:t>17．投标有效期</w:t>
      </w:r>
      <w:bookmarkEnd w:id="183"/>
      <w:bookmarkEnd w:id="184"/>
      <w:bookmarkEnd w:id="185"/>
      <w:bookmarkEnd w:id="186"/>
      <w:r>
        <w:rPr>
          <w:rFonts w:hint="eastAsia" w:ascii="宋体" w:hAnsi="宋体" w:eastAsia="宋体" w:cs="宋体"/>
          <w:color w:val="auto"/>
          <w:sz w:val="24"/>
          <w:szCs w:val="24"/>
        </w:rPr>
        <w:t>（实质性要求）</w:t>
      </w:r>
      <w:bookmarkEnd w:id="187"/>
      <w:bookmarkEnd w:id="188"/>
      <w:bookmarkEnd w:id="189"/>
      <w:bookmarkEnd w:id="190"/>
      <w:bookmarkEnd w:id="191"/>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17.1 本项目投标有效期为投标截止时间起90日历天。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17.2 因不可抗力事件，招标人可于投标有效期届满之前与投标人协商延长投标有效期。投标人拒绝延长投标有效期的，不得再参与该项目后续采购活动，但由此给投标人造成的损失，招标人可以自主决定是否可以给予适当补偿。投标人同意延长投标有效期的，不能修改投标文件。</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17.3 因招标人采购需求作出必要调整，招标人可于投标有效期届满之前与投标人协商延长投标有效期。投标人拒绝延长投标有效期的，不得再参与该项目后续采购活动，但由此给投标人造成的损失，招标人应当予以赔偿或者合理补偿。投标人同意延长投标有效期的，不能修改投标文件。</w:t>
      </w:r>
    </w:p>
    <w:p>
      <w:pPr>
        <w:pStyle w:val="5"/>
        <w:spacing w:before="200" w:after="200" w:line="360" w:lineRule="auto"/>
        <w:rPr>
          <w:rFonts w:hint="eastAsia" w:ascii="宋体" w:hAnsi="宋体" w:eastAsia="宋体" w:cs="宋体"/>
          <w:color w:val="auto"/>
          <w:sz w:val="24"/>
          <w:szCs w:val="24"/>
        </w:rPr>
      </w:pPr>
      <w:bookmarkStart w:id="192" w:name="_Toc217446052"/>
      <w:bookmarkStart w:id="193" w:name="_Toc183682362"/>
      <w:bookmarkStart w:id="194" w:name="_Toc183582225"/>
      <w:bookmarkStart w:id="195" w:name="_Toc308164802"/>
      <w:r>
        <w:rPr>
          <w:rFonts w:hint="eastAsia" w:ascii="宋体" w:hAnsi="宋体" w:eastAsia="宋体" w:cs="宋体"/>
          <w:color w:val="auto"/>
          <w:sz w:val="24"/>
          <w:szCs w:val="24"/>
        </w:rPr>
        <w:t>18．</w:t>
      </w:r>
      <w:bookmarkEnd w:id="192"/>
      <w:bookmarkEnd w:id="193"/>
      <w:bookmarkEnd w:id="194"/>
      <w:bookmarkEnd w:id="195"/>
      <w:r>
        <w:rPr>
          <w:rFonts w:hint="eastAsia" w:ascii="宋体" w:hAnsi="宋体" w:eastAsia="宋体" w:cs="宋体"/>
          <w:color w:val="auto"/>
          <w:sz w:val="24"/>
          <w:szCs w:val="24"/>
        </w:rPr>
        <w:t>投标文件的制作和签章、加密</w:t>
      </w:r>
    </w:p>
    <w:p>
      <w:pPr>
        <w:tabs>
          <w:tab w:val="left" w:pos="1080"/>
        </w:tabs>
        <w:spacing w:line="360" w:lineRule="auto"/>
        <w:ind w:firstLine="482" w:firstLineChars="200"/>
        <w:rPr>
          <w:rFonts w:hint="eastAsia" w:ascii="宋体" w:hAnsi="宋体" w:eastAsia="宋体" w:cs="宋体"/>
          <w:b/>
          <w:bCs/>
          <w:color w:val="auto"/>
          <w:sz w:val="24"/>
        </w:rPr>
      </w:pPr>
      <w:bookmarkStart w:id="196" w:name="_Toc77400781"/>
      <w:bookmarkStart w:id="197" w:name="_Toc183682363"/>
      <w:bookmarkStart w:id="198" w:name="_Toc308164803"/>
      <w:bookmarkStart w:id="199" w:name="_Toc183582226"/>
      <w:bookmarkStart w:id="200" w:name="_Toc89075877"/>
      <w:bookmarkStart w:id="201" w:name="_Toc217446053"/>
      <w:r>
        <w:rPr>
          <w:rFonts w:hint="eastAsia" w:ascii="宋体" w:hAnsi="宋体" w:eastAsia="宋体" w:cs="宋体"/>
          <w:b/>
          <w:bCs/>
          <w:color w:val="auto"/>
          <w:sz w:val="24"/>
        </w:rPr>
        <w:t>18.1 本项目实行电子投标。投标人应先安装“政采云投标客户端”。（政府采购云平台—CA管理—绑定CA—下载驱动—“政采云投标客户端”立即下载）。投标人应按招标文件要求，通过“政采云投标客户端”制作、加密并提交投标文件。（实质性要求）</w:t>
      </w:r>
    </w:p>
    <w:p>
      <w:pPr>
        <w:tabs>
          <w:tab w:val="left" w:pos="1080"/>
        </w:tabs>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18.2 投标文件每页均应加盖投标人（法定名称）电子签章，不得使用投标人专用章（如经济合同章、投标专用章等）或下属单位印章代替。</w:t>
      </w:r>
    </w:p>
    <w:p>
      <w:pPr>
        <w:tabs>
          <w:tab w:val="left" w:pos="1080"/>
        </w:tabs>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18.3 投标人应使用本企业CA数字证书对投标文件进行加密。（实质性要求）</w:t>
      </w:r>
    </w:p>
    <w:p>
      <w:pPr>
        <w:tabs>
          <w:tab w:val="left" w:pos="1080"/>
        </w:tabs>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18.4 招标文件若有修改，投标人根据修改后的招标文件制作或修改并递交投标文件。</w:t>
      </w:r>
    </w:p>
    <w:p>
      <w:pPr>
        <w:tabs>
          <w:tab w:val="left" w:pos="1080"/>
        </w:tabs>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18.5 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实质性要求）</w:t>
      </w:r>
    </w:p>
    <w:bookmarkEnd w:id="196"/>
    <w:bookmarkEnd w:id="197"/>
    <w:bookmarkEnd w:id="198"/>
    <w:bookmarkEnd w:id="199"/>
    <w:bookmarkEnd w:id="200"/>
    <w:bookmarkEnd w:id="201"/>
    <w:p>
      <w:pPr>
        <w:pStyle w:val="5"/>
        <w:spacing w:before="200" w:after="200" w:line="360" w:lineRule="auto"/>
        <w:rPr>
          <w:rFonts w:hint="eastAsia" w:ascii="宋体" w:hAnsi="宋体" w:eastAsia="宋体" w:cs="宋体"/>
          <w:color w:val="auto"/>
          <w:sz w:val="24"/>
          <w:szCs w:val="24"/>
        </w:rPr>
      </w:pPr>
      <w:bookmarkStart w:id="202" w:name="_Toc183582227"/>
      <w:bookmarkStart w:id="203" w:name="_Toc183682364"/>
      <w:bookmarkStart w:id="204" w:name="_Toc308164804"/>
      <w:bookmarkStart w:id="205" w:name="_Toc217446054"/>
      <w:bookmarkStart w:id="206" w:name="_Toc29440"/>
      <w:r>
        <w:rPr>
          <w:rFonts w:hint="eastAsia" w:ascii="宋体" w:hAnsi="宋体" w:eastAsia="宋体" w:cs="宋体"/>
          <w:color w:val="auto"/>
          <w:sz w:val="24"/>
          <w:szCs w:val="24"/>
          <w:lang w:val="en-US" w:eastAsia="zh-CN"/>
        </w:rPr>
        <w:t>19</w:t>
      </w:r>
      <w:r>
        <w:rPr>
          <w:rFonts w:hint="eastAsia" w:ascii="宋体" w:hAnsi="宋体" w:eastAsia="宋体" w:cs="宋体"/>
          <w:color w:val="auto"/>
          <w:sz w:val="24"/>
          <w:szCs w:val="24"/>
        </w:rPr>
        <w:t>．投标文件的</w:t>
      </w:r>
      <w:bookmarkEnd w:id="202"/>
      <w:bookmarkEnd w:id="203"/>
      <w:r>
        <w:rPr>
          <w:rFonts w:hint="eastAsia" w:ascii="宋体" w:hAnsi="宋体" w:eastAsia="宋体" w:cs="宋体"/>
          <w:color w:val="auto"/>
          <w:sz w:val="24"/>
          <w:szCs w:val="24"/>
        </w:rPr>
        <w:t>递交</w:t>
      </w:r>
      <w:bookmarkEnd w:id="204"/>
      <w:bookmarkEnd w:id="205"/>
      <w:bookmarkEnd w:id="206"/>
      <w:r>
        <w:rPr>
          <w:rFonts w:hint="eastAsia" w:ascii="宋体" w:hAnsi="宋体" w:eastAsia="宋体" w:cs="宋体"/>
          <w:color w:val="auto"/>
          <w:sz w:val="24"/>
          <w:szCs w:val="24"/>
        </w:rPr>
        <w:t>（实质性要求）</w:t>
      </w:r>
    </w:p>
    <w:p>
      <w:pPr>
        <w:tabs>
          <w:tab w:val="left" w:pos="1095"/>
        </w:tabs>
        <w:spacing w:line="360" w:lineRule="auto"/>
        <w:ind w:firstLine="480" w:firstLineChars="200"/>
        <w:rPr>
          <w:rFonts w:hint="eastAsia" w:ascii="宋体" w:hAnsi="宋体" w:eastAsia="宋体" w:cs="宋体"/>
          <w:color w:val="auto"/>
          <w:sz w:val="24"/>
        </w:rPr>
      </w:pPr>
      <w:bookmarkStart w:id="207" w:name="_Toc183582228"/>
      <w:bookmarkStart w:id="208" w:name="_Toc183682365"/>
      <w:bookmarkStart w:id="209" w:name="_Toc217446055"/>
      <w:bookmarkStart w:id="210" w:name="_Toc13257"/>
      <w:bookmarkStart w:id="211" w:name="_Toc16606"/>
      <w:bookmarkStart w:id="212" w:name="_Toc26050"/>
      <w:bookmarkStart w:id="213" w:name="_Toc28663"/>
      <w:bookmarkStart w:id="214" w:name="_Toc12090"/>
      <w:r>
        <w:rPr>
          <w:rFonts w:hint="eastAsia" w:ascii="宋体" w:hAnsi="宋体" w:eastAsia="宋体" w:cs="宋体"/>
          <w:color w:val="auto"/>
          <w:sz w:val="24"/>
        </w:rPr>
        <w:t>19.1 投标人应当在投标文件递交截止时间前，将生成的已加密的电子投标文件成功递交至“政府采购云平台”。</w:t>
      </w:r>
    </w:p>
    <w:p>
      <w:pPr>
        <w:tabs>
          <w:tab w:val="left" w:pos="109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19.2投标人应充分考虑递交文件的不可预见因素，在投标截止时间后将无法递交。</w:t>
      </w:r>
    </w:p>
    <w:p>
      <w:pPr>
        <w:pStyle w:val="5"/>
        <w:spacing w:before="200" w:after="20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21．投标文件的修改和撤</w:t>
      </w:r>
      <w:bookmarkEnd w:id="207"/>
      <w:bookmarkEnd w:id="208"/>
      <w:r>
        <w:rPr>
          <w:rFonts w:hint="eastAsia" w:ascii="宋体" w:hAnsi="宋体" w:eastAsia="宋体" w:cs="宋体"/>
          <w:color w:val="auto"/>
          <w:sz w:val="24"/>
          <w:szCs w:val="24"/>
        </w:rPr>
        <w:t>回</w:t>
      </w:r>
      <w:bookmarkEnd w:id="209"/>
      <w:bookmarkEnd w:id="210"/>
      <w:bookmarkEnd w:id="211"/>
      <w:bookmarkEnd w:id="212"/>
      <w:bookmarkEnd w:id="213"/>
      <w:bookmarkEnd w:id="214"/>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20.1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20.2投标截止时间后，投标人不得对其递交的投标文件做任何补充、修改。</w:t>
      </w:r>
    </w:p>
    <w:p>
      <w:pPr>
        <w:pStyle w:val="5"/>
        <w:spacing w:before="200" w:after="20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lang w:val="en-US" w:eastAsia="zh-CN"/>
        </w:rPr>
        <w:t>22</w:t>
      </w:r>
      <w:r>
        <w:rPr>
          <w:rFonts w:hint="eastAsia" w:ascii="宋体" w:hAnsi="宋体" w:eastAsia="宋体" w:cs="宋体"/>
          <w:color w:val="auto"/>
          <w:sz w:val="24"/>
          <w:szCs w:val="24"/>
        </w:rPr>
        <w:t>．</w:t>
      </w:r>
      <w:r>
        <w:rPr>
          <w:rFonts w:hint="eastAsia" w:ascii="宋体" w:hAnsi="宋体" w:eastAsia="宋体" w:cs="宋体"/>
          <w:bCs w:val="0"/>
          <w:color w:val="auto"/>
          <w:sz w:val="24"/>
          <w:szCs w:val="24"/>
        </w:rPr>
        <w:t>投标文件的解密</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22.1投标人登录政府采购云平台，点击“项目采购—开标评标”模块，进入本项目“开标大厅”，等待代理机构开启解密后，进行线上解密。除因断电、断网、系统故障或其他不可抗力等因素，导致系统无法使用外，投标人在规定的解密时间内，未成功解密的投标文件将视为无效投标文件。</w:t>
      </w:r>
    </w:p>
    <w:p>
      <w:pPr>
        <w:tabs>
          <w:tab w:val="left" w:pos="7665"/>
        </w:tabs>
        <w:spacing w:after="120" w:afterLines="50" w:line="360" w:lineRule="auto"/>
        <w:ind w:firstLine="480" w:firstLineChars="200"/>
        <w:rPr>
          <w:rFonts w:hint="eastAsia" w:ascii="宋体" w:hAnsi="宋体" w:eastAsia="宋体" w:cs="宋体"/>
          <w:color w:val="auto"/>
          <w:sz w:val="24"/>
        </w:rPr>
      </w:pPr>
    </w:p>
    <w:p>
      <w:pPr>
        <w:pStyle w:val="4"/>
        <w:jc w:val="center"/>
        <w:rPr>
          <w:rFonts w:hint="eastAsia" w:ascii="宋体" w:hAnsi="宋体" w:eastAsia="宋体" w:cs="宋体"/>
          <w:color w:val="auto"/>
          <w:sz w:val="28"/>
          <w:szCs w:val="28"/>
        </w:rPr>
      </w:pPr>
      <w:bookmarkStart w:id="215" w:name="_Toc308164805"/>
      <w:bookmarkStart w:id="216" w:name="_Toc29298"/>
      <w:bookmarkStart w:id="217" w:name="_Toc217446056"/>
      <w:bookmarkStart w:id="218" w:name="_Toc89075878"/>
      <w:bookmarkStart w:id="219" w:name="_Toc22208"/>
      <w:bookmarkStart w:id="220" w:name="_Toc3505"/>
      <w:bookmarkStart w:id="221" w:name="_Toc7234"/>
      <w:bookmarkStart w:id="222" w:name="_Toc183682368"/>
      <w:bookmarkStart w:id="223" w:name="_Toc183582231"/>
      <w:bookmarkStart w:id="224" w:name="_Toc77400782"/>
      <w:bookmarkStart w:id="225" w:name="_Toc3716"/>
      <w:r>
        <w:rPr>
          <w:rFonts w:hint="eastAsia" w:ascii="宋体" w:hAnsi="宋体" w:eastAsia="宋体" w:cs="宋体"/>
          <w:color w:val="auto"/>
          <w:sz w:val="28"/>
          <w:szCs w:val="28"/>
        </w:rPr>
        <w:t>五、开标和中标</w:t>
      </w:r>
      <w:bookmarkEnd w:id="215"/>
      <w:bookmarkEnd w:id="216"/>
      <w:bookmarkEnd w:id="217"/>
      <w:bookmarkEnd w:id="218"/>
      <w:bookmarkEnd w:id="219"/>
      <w:bookmarkEnd w:id="220"/>
      <w:bookmarkEnd w:id="221"/>
      <w:bookmarkEnd w:id="222"/>
      <w:bookmarkEnd w:id="223"/>
      <w:bookmarkEnd w:id="224"/>
      <w:bookmarkEnd w:id="225"/>
    </w:p>
    <w:p>
      <w:pPr>
        <w:pStyle w:val="5"/>
        <w:spacing w:before="200" w:after="200" w:line="360" w:lineRule="auto"/>
        <w:rPr>
          <w:rFonts w:hint="eastAsia" w:ascii="宋体" w:hAnsi="宋体" w:eastAsia="宋体" w:cs="宋体"/>
          <w:color w:val="auto"/>
          <w:sz w:val="24"/>
          <w:szCs w:val="24"/>
        </w:rPr>
      </w:pPr>
      <w:bookmarkStart w:id="226" w:name="_Toc183582232"/>
      <w:bookmarkStart w:id="227" w:name="_Toc2975"/>
      <w:bookmarkStart w:id="228" w:name="_Toc217446057"/>
      <w:bookmarkStart w:id="229" w:name="_Toc15942"/>
      <w:bookmarkStart w:id="230" w:name="_Toc28623"/>
      <w:bookmarkStart w:id="231" w:name="_Toc30227"/>
      <w:bookmarkStart w:id="232" w:name="_Toc308164806"/>
      <w:bookmarkStart w:id="233" w:name="_Toc26215"/>
      <w:bookmarkStart w:id="234" w:name="_Toc183682369"/>
      <w:r>
        <w:rPr>
          <w:rFonts w:hint="eastAsia" w:ascii="宋体" w:hAnsi="宋体" w:eastAsia="宋体" w:cs="宋体"/>
          <w:color w:val="auto"/>
          <w:sz w:val="24"/>
          <w:szCs w:val="24"/>
        </w:rPr>
        <w:t>22．开标</w:t>
      </w:r>
      <w:bookmarkEnd w:id="226"/>
      <w:bookmarkEnd w:id="227"/>
      <w:bookmarkEnd w:id="228"/>
      <w:bookmarkEnd w:id="229"/>
      <w:bookmarkEnd w:id="230"/>
      <w:bookmarkEnd w:id="231"/>
      <w:bookmarkEnd w:id="232"/>
      <w:bookmarkEnd w:id="233"/>
      <w:bookmarkEnd w:id="234"/>
    </w:p>
    <w:p>
      <w:pPr>
        <w:spacing w:line="360" w:lineRule="auto"/>
        <w:ind w:firstLine="480" w:firstLineChars="200"/>
        <w:rPr>
          <w:rFonts w:hint="eastAsia" w:ascii="宋体" w:hAnsi="宋体" w:eastAsia="宋体" w:cs="宋体"/>
          <w:color w:val="auto"/>
          <w:sz w:val="24"/>
        </w:rPr>
      </w:pPr>
      <w:bookmarkStart w:id="235" w:name="_Toc30757"/>
      <w:bookmarkStart w:id="236" w:name="_Toc308164807"/>
      <w:bookmarkStart w:id="237" w:name="_Toc5882"/>
      <w:bookmarkStart w:id="238" w:name="_Toc12271"/>
      <w:bookmarkStart w:id="239" w:name="_Toc217446058"/>
      <w:bookmarkStart w:id="240" w:name="_Toc1884"/>
      <w:bookmarkStart w:id="241" w:name="_Toc9449"/>
      <w:r>
        <w:rPr>
          <w:rFonts w:hint="eastAsia" w:ascii="宋体" w:hAnsi="宋体" w:eastAsia="宋体" w:cs="宋体"/>
          <w:color w:val="auto"/>
          <w:sz w:val="24"/>
        </w:rPr>
        <w:t>22.1本项目为不见面开标项目。（</w:t>
      </w:r>
      <w:r>
        <w:rPr>
          <w:rFonts w:hint="eastAsia" w:ascii="宋体" w:hAnsi="宋体" w:eastAsia="宋体" w:cs="宋体"/>
          <w:color w:val="auto"/>
          <w:sz w:val="24"/>
          <w:lang w:val="en-US" w:eastAsia="zh-CN"/>
        </w:rPr>
        <w:t>各包</w:t>
      </w:r>
      <w:r>
        <w:rPr>
          <w:rFonts w:hint="eastAsia" w:ascii="宋体" w:hAnsi="宋体" w:eastAsia="宋体" w:cs="宋体"/>
          <w:color w:val="auto"/>
          <w:sz w:val="24"/>
        </w:rPr>
        <w:t>递交电子投标文件的投标人不足3家的，不予开标。）</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22.2开标准备工作。投标人需在开标当日、投标截止时间前登录“政府采购云平台”，通过本项目“开标大厅”参与不见面开标。登录政府采购云平台—项目采购—开标评标—开标大厅（确保进入本项目开标大厅）。</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提示：投标人未按时登录不见面开标系统，错过开标解密时间的，由投标人自行承担不利后果。</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22.3解密投标文件。等待代理机构开启解密后，投标人进行线上解密。开启解密后，投标人应在</w:t>
      </w:r>
      <w:r>
        <w:rPr>
          <w:rFonts w:hint="eastAsia" w:ascii="宋体" w:hAnsi="宋体" w:eastAsia="宋体" w:cs="宋体"/>
          <w:b/>
          <w:bCs/>
          <w:color w:val="auto"/>
          <w:sz w:val="24"/>
        </w:rPr>
        <w:t>60分钟内</w:t>
      </w:r>
      <w:r>
        <w:rPr>
          <w:rFonts w:hint="eastAsia" w:ascii="宋体" w:hAnsi="宋体" w:eastAsia="宋体" w:cs="宋体"/>
          <w:color w:val="auto"/>
          <w:sz w:val="24"/>
        </w:rPr>
        <w:t>，使用加密该投标文件的CA数字证书在线完成投标文件的解密。除因断电、断网、系统故障或其他不可抗力等因素，导致系统无法使用外，投标人在规定的解密时间内，未成功解密的投标文件将视为无效投标文件。</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22.4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22.5投标人电脑终端等硬件设备和软件系统配置：投标人电脑终端等硬件设备和软件系统配置应符合电子投标（含不见面开标大厅）投标人电脑终端配置要求并运行正常，投标人承担因未尽职责产生的不利后果。</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22.6因断电、断网、系统故障或其他不可抗力等因素导致不见面开标系统无法正常运行的，开标活动中止或延迟，待系统恢复正常后继续进行开标活动。</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22.7不见面开标过程中，各方主体均应遵守互联网有关规定，不得发表与交易活动无关的言论。</w:t>
      </w:r>
    </w:p>
    <w:bookmarkEnd w:id="235"/>
    <w:bookmarkEnd w:id="236"/>
    <w:bookmarkEnd w:id="237"/>
    <w:bookmarkEnd w:id="238"/>
    <w:bookmarkEnd w:id="239"/>
    <w:bookmarkEnd w:id="240"/>
    <w:bookmarkEnd w:id="241"/>
    <w:p>
      <w:pPr>
        <w:pStyle w:val="5"/>
        <w:spacing w:before="200" w:after="200" w:line="360" w:lineRule="auto"/>
        <w:rPr>
          <w:rFonts w:hint="eastAsia" w:ascii="宋体" w:hAnsi="宋体" w:eastAsia="宋体" w:cs="宋体"/>
          <w:color w:val="auto"/>
          <w:sz w:val="24"/>
          <w:szCs w:val="24"/>
        </w:rPr>
      </w:pPr>
      <w:bookmarkStart w:id="242" w:name="_Toc31397"/>
      <w:bookmarkStart w:id="243" w:name="_Toc23459"/>
      <w:bookmarkStart w:id="244" w:name="_Toc30051"/>
      <w:bookmarkStart w:id="245" w:name="_Toc28498"/>
      <w:bookmarkStart w:id="246" w:name="_Toc31504"/>
      <w:bookmarkStart w:id="247" w:name="_Toc183582238"/>
      <w:bookmarkStart w:id="248" w:name="_Toc183682375"/>
      <w:bookmarkStart w:id="249" w:name="_Toc217446063"/>
      <w:bookmarkStart w:id="250" w:name="_Toc308164809"/>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．开评标过程存档</w:t>
      </w:r>
      <w:bookmarkEnd w:id="242"/>
      <w:bookmarkEnd w:id="243"/>
      <w:bookmarkEnd w:id="244"/>
      <w:bookmarkEnd w:id="245"/>
      <w:bookmarkEnd w:id="246"/>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开标和评标过程进行全过程电子监控，并将电子监控资料存储介质留存归档。</w:t>
      </w:r>
    </w:p>
    <w:p>
      <w:pPr>
        <w:pStyle w:val="5"/>
        <w:spacing w:before="200" w:after="200" w:line="360" w:lineRule="auto"/>
        <w:rPr>
          <w:rFonts w:hint="eastAsia" w:ascii="宋体" w:hAnsi="宋体" w:eastAsia="宋体" w:cs="宋体"/>
          <w:color w:val="auto"/>
          <w:sz w:val="24"/>
          <w:szCs w:val="24"/>
        </w:rPr>
      </w:pPr>
      <w:bookmarkStart w:id="251" w:name="_Toc15396"/>
      <w:bookmarkStart w:id="252" w:name="_Toc20609"/>
      <w:bookmarkStart w:id="253" w:name="_Toc18565"/>
      <w:bookmarkStart w:id="254" w:name="_Toc24398"/>
      <w:bookmarkStart w:id="255" w:name="_Toc15323"/>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．评标情况公告</w:t>
      </w:r>
      <w:bookmarkEnd w:id="251"/>
      <w:bookmarkEnd w:id="252"/>
      <w:bookmarkEnd w:id="253"/>
      <w:bookmarkEnd w:id="254"/>
      <w:bookmarkEnd w:id="255"/>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所有投标人投标文件资格性、符合性检查情况、采用综合评分法时的得分情况、评标结果等将在四川政府采购网上采购结果公告栏中予以公告。</w:t>
      </w:r>
    </w:p>
    <w:p>
      <w:pPr>
        <w:pStyle w:val="5"/>
        <w:spacing w:before="200" w:after="200" w:line="360" w:lineRule="auto"/>
        <w:rPr>
          <w:rFonts w:hint="eastAsia" w:ascii="宋体" w:hAnsi="宋体" w:eastAsia="宋体" w:cs="宋体"/>
          <w:color w:val="auto"/>
          <w:sz w:val="24"/>
          <w:szCs w:val="24"/>
        </w:rPr>
      </w:pPr>
      <w:bookmarkStart w:id="256" w:name="_Toc18227"/>
      <w:bookmarkStart w:id="257" w:name="_Toc14914"/>
      <w:bookmarkStart w:id="258" w:name="_Toc19515"/>
      <w:bookmarkStart w:id="259" w:name="_Toc28873"/>
      <w:bookmarkStart w:id="260" w:name="_Toc2271"/>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．采购人确定中标人过程中，发现中标候选人有下列情形之一的，应当不予确定其为中标人：</w:t>
      </w: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（1）发现中标候选人存在禁止参加本项目采购活动的违法行为的；</w:t>
      </w: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（2）中标候选人因不可抗力，不能继续参加政府采购活动；</w:t>
      </w: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（3）中标候选人无偿赠与或者低于成本价竞争；</w:t>
      </w: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（4）中标候选人提供虚假材料；</w:t>
      </w: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（5）中标候选人恶意串通。</w:t>
      </w:r>
    </w:p>
    <w:p>
      <w:pPr>
        <w:pStyle w:val="5"/>
        <w:spacing w:before="200" w:after="20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．中标通知</w:t>
      </w:r>
      <w:bookmarkEnd w:id="247"/>
      <w:bookmarkEnd w:id="248"/>
      <w:r>
        <w:rPr>
          <w:rFonts w:hint="eastAsia" w:ascii="宋体" w:hAnsi="宋体" w:eastAsia="宋体" w:cs="宋体"/>
          <w:color w:val="auto"/>
          <w:sz w:val="24"/>
          <w:szCs w:val="24"/>
        </w:rPr>
        <w:t>书</w:t>
      </w:r>
      <w:bookmarkEnd w:id="249"/>
      <w:bookmarkEnd w:id="250"/>
      <w:bookmarkEnd w:id="256"/>
      <w:bookmarkEnd w:id="257"/>
      <w:bookmarkEnd w:id="258"/>
      <w:bookmarkEnd w:id="259"/>
      <w:bookmarkEnd w:id="260"/>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26</w:t>
      </w:r>
      <w:r>
        <w:rPr>
          <w:rFonts w:hint="eastAsia" w:ascii="宋体" w:hAnsi="宋体" w:eastAsia="宋体" w:cs="宋体"/>
          <w:bCs/>
          <w:color w:val="auto"/>
          <w:sz w:val="24"/>
        </w:rPr>
        <w:t>.</w:t>
      </w:r>
      <w:r>
        <w:rPr>
          <w:rFonts w:hint="eastAsia" w:ascii="宋体" w:hAnsi="宋体" w:eastAsia="宋体" w:cs="宋体"/>
          <w:color w:val="auto"/>
          <w:sz w:val="24"/>
        </w:rPr>
        <w:t>1 中标通知书为签订政府采购合同的依据之一，是合同的有效组成部分。</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26.2 投标人中标后，拒绝领取中标通知书的，招标采购单位将于中标投标人确定之日起两个工作日内采取邮寄、快递方式按照投标人投标文件中的地址发出中标通知书。</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26.3 中标通知书对招标人和中标人均具有法律效力。中标通知书发出后，招标人改变中标结果，或者中标人无正当理由放弃中标的，应当承担相应的法律责任。</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26.4 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26.5 中标公告发出后，中标投标人自行领取中标通知书的，需凭有效身份证明证件到四川凯亿工程管理咨询有限公司领取中标通知书。联系人：聂女士。联系电话：028-85179390。</w:t>
      </w:r>
    </w:p>
    <w:p>
      <w:pPr>
        <w:pStyle w:val="4"/>
        <w:spacing w:before="200" w:after="200" w:line="360" w:lineRule="auto"/>
        <w:jc w:val="center"/>
        <w:rPr>
          <w:rFonts w:hint="eastAsia" w:ascii="宋体" w:hAnsi="宋体" w:eastAsia="宋体" w:cs="宋体"/>
          <w:color w:val="auto"/>
          <w:sz w:val="28"/>
          <w:szCs w:val="28"/>
        </w:rPr>
      </w:pPr>
      <w:bookmarkStart w:id="261" w:name="_Toc6084"/>
      <w:bookmarkStart w:id="262" w:name="_Toc24102"/>
      <w:bookmarkStart w:id="263" w:name="_Toc29350"/>
      <w:bookmarkStart w:id="264" w:name="_Toc217446064"/>
      <w:bookmarkStart w:id="265" w:name="_Toc6134"/>
      <w:bookmarkStart w:id="266" w:name="_Toc28850"/>
      <w:bookmarkStart w:id="267" w:name="_Toc308164810"/>
      <w:bookmarkStart w:id="268" w:name="_Toc183682377"/>
      <w:bookmarkStart w:id="269" w:name="_Toc183582240"/>
      <w:r>
        <w:rPr>
          <w:rFonts w:hint="eastAsia" w:ascii="宋体" w:hAnsi="宋体" w:eastAsia="宋体" w:cs="宋体"/>
          <w:color w:val="auto"/>
          <w:sz w:val="28"/>
          <w:szCs w:val="28"/>
        </w:rPr>
        <w:t>六、签订及履行合同和验收</w:t>
      </w:r>
      <w:bookmarkEnd w:id="261"/>
      <w:bookmarkEnd w:id="262"/>
      <w:bookmarkEnd w:id="263"/>
      <w:bookmarkEnd w:id="264"/>
      <w:bookmarkEnd w:id="265"/>
      <w:bookmarkEnd w:id="266"/>
      <w:bookmarkEnd w:id="267"/>
    </w:p>
    <w:p>
      <w:pPr>
        <w:pStyle w:val="5"/>
        <w:spacing w:before="200" w:after="200" w:line="360" w:lineRule="auto"/>
        <w:rPr>
          <w:rFonts w:hint="eastAsia" w:ascii="宋体" w:hAnsi="宋体" w:eastAsia="宋体" w:cs="宋体"/>
          <w:color w:val="auto"/>
          <w:sz w:val="24"/>
          <w:szCs w:val="24"/>
        </w:rPr>
      </w:pPr>
      <w:bookmarkStart w:id="270" w:name="_Toc11279"/>
      <w:bookmarkStart w:id="271" w:name="_Toc10716"/>
      <w:bookmarkStart w:id="272" w:name="_Toc217446065"/>
      <w:bookmarkStart w:id="273" w:name="_Toc15863"/>
      <w:bookmarkStart w:id="274" w:name="_Toc4579"/>
      <w:bookmarkStart w:id="275" w:name="_Toc308164811"/>
      <w:bookmarkStart w:id="276" w:name="_Toc16307"/>
      <w:r>
        <w:rPr>
          <w:rFonts w:hint="eastAsia" w:ascii="宋体" w:hAnsi="宋体" w:eastAsia="宋体" w:cs="宋体"/>
          <w:color w:val="auto"/>
          <w:sz w:val="24"/>
          <w:szCs w:val="24"/>
        </w:rPr>
        <w:t>27．签订合同</w:t>
      </w:r>
      <w:bookmarkEnd w:id="270"/>
      <w:bookmarkEnd w:id="271"/>
      <w:bookmarkEnd w:id="272"/>
      <w:bookmarkEnd w:id="273"/>
      <w:bookmarkEnd w:id="274"/>
      <w:bookmarkEnd w:id="275"/>
      <w:bookmarkEnd w:id="276"/>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27.1 中标人应在中标通知书发出之日起三十日内与招标人签订采购合同。由于中标人的原因逾期未与招标人签订采购合同的，将视为放弃中标，取消其中标资格并将按相关规定进行处理。</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27.2 招标人不得向中标人提出任何不合理的要求，作为签订合同的条件，不得与中标人私下订立背离合同实质性内容的任何协议，所签订的合同不得对招标文件和中标人投标文件确定的事项进行修改。</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27.3 中标人因不可抗力原因不能履行采购合同或放弃中标的，招标人可以与排在中标人之后第一位的中标候选人签订采购合同，以此类推。</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27.4中标人在合同签订之后三个工作日内，将签订的合同（壹份）送招标代理机构。中标人应及时到招标代理机构办理。联系人：聂女士。联系电话：028-85179390。</w:t>
      </w:r>
    </w:p>
    <w:p>
      <w:pPr>
        <w:pStyle w:val="5"/>
        <w:spacing w:before="200" w:after="200" w:line="360" w:lineRule="auto"/>
        <w:rPr>
          <w:rFonts w:hint="eastAsia" w:ascii="宋体" w:hAnsi="宋体" w:eastAsia="宋体" w:cs="宋体"/>
          <w:color w:val="auto"/>
          <w:sz w:val="24"/>
          <w:szCs w:val="24"/>
        </w:rPr>
      </w:pPr>
      <w:bookmarkStart w:id="277" w:name="_Toc22898"/>
      <w:bookmarkStart w:id="278" w:name="_Toc20490"/>
      <w:bookmarkStart w:id="279" w:name="_Toc29848"/>
      <w:bookmarkStart w:id="280" w:name="_Toc31730"/>
      <w:bookmarkStart w:id="281" w:name="_Toc23810"/>
      <w:r>
        <w:rPr>
          <w:rFonts w:hint="eastAsia" w:ascii="宋体" w:hAnsi="宋体" w:eastAsia="宋体" w:cs="宋体"/>
          <w:color w:val="auto"/>
          <w:sz w:val="24"/>
          <w:szCs w:val="24"/>
        </w:rPr>
        <w:t>28．合同分包（实质性要求）</w:t>
      </w:r>
      <w:bookmarkEnd w:id="277"/>
      <w:bookmarkEnd w:id="278"/>
      <w:bookmarkEnd w:id="279"/>
      <w:bookmarkEnd w:id="280"/>
      <w:bookmarkEnd w:id="281"/>
    </w:p>
    <w:p>
      <w:pPr>
        <w:tabs>
          <w:tab w:val="left" w:pos="7665"/>
        </w:tabs>
        <w:spacing w:before="120" w:beforeLines="50" w:after="120" w:afterLines="50"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本采购项目不允许合同分包。</w:t>
      </w:r>
    </w:p>
    <w:p>
      <w:pPr>
        <w:pStyle w:val="5"/>
        <w:spacing w:before="200" w:after="200" w:line="360" w:lineRule="auto"/>
        <w:rPr>
          <w:rFonts w:hint="eastAsia" w:ascii="宋体" w:hAnsi="宋体" w:eastAsia="宋体" w:cs="宋体"/>
          <w:color w:val="auto"/>
          <w:sz w:val="24"/>
          <w:szCs w:val="24"/>
        </w:rPr>
      </w:pPr>
      <w:bookmarkStart w:id="282" w:name="_Toc9232"/>
      <w:bookmarkStart w:id="283" w:name="_Toc16954"/>
      <w:bookmarkStart w:id="284" w:name="_Toc22387"/>
      <w:bookmarkStart w:id="285" w:name="_Toc28704"/>
      <w:bookmarkStart w:id="286" w:name="_Toc15806"/>
      <w:r>
        <w:rPr>
          <w:rFonts w:hint="eastAsia" w:ascii="宋体" w:hAnsi="宋体" w:eastAsia="宋体" w:cs="宋体"/>
          <w:color w:val="auto"/>
          <w:sz w:val="24"/>
          <w:szCs w:val="24"/>
        </w:rPr>
        <w:t>29．合同转包（实质性要求）</w:t>
      </w:r>
      <w:bookmarkEnd w:id="282"/>
      <w:bookmarkEnd w:id="283"/>
      <w:bookmarkEnd w:id="284"/>
      <w:bookmarkEnd w:id="285"/>
      <w:bookmarkEnd w:id="286"/>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采购项目严禁中标人将任何政府采购合同义务转包。本项目所称合同转包，是指中标人将政府采购合同义务转让给第三人，并退出现有政府采购合同当事人双方的权利义务关系，受让人（即第三人）成为政府采购合同的另一方当事人的行为。</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中标人转包的，视同拒绝履行政府采购合同义务，将依法追究法律责任。</w:t>
      </w:r>
    </w:p>
    <w:p>
      <w:pPr>
        <w:tabs>
          <w:tab w:val="left" w:pos="7665"/>
        </w:tabs>
        <w:spacing w:before="120" w:beforeLines="50" w:after="120" w:afterLines="50" w:line="360" w:lineRule="auto"/>
        <w:ind w:firstLine="482" w:firstLineChars="200"/>
        <w:rPr>
          <w:rFonts w:hint="eastAsia" w:ascii="宋体" w:hAnsi="宋体" w:eastAsia="宋体" w:cs="宋体"/>
          <w:b/>
          <w:color w:val="auto"/>
          <w:sz w:val="24"/>
        </w:rPr>
      </w:pPr>
      <w:r>
        <w:rPr>
          <w:rFonts w:hint="eastAsia" w:ascii="宋体" w:hAnsi="宋体" w:eastAsia="宋体" w:cs="宋体"/>
          <w:b/>
          <w:bCs/>
          <w:color w:val="auto"/>
          <w:sz w:val="24"/>
        </w:rPr>
        <w:t>本采购项目不允许合同</w:t>
      </w:r>
      <w:r>
        <w:rPr>
          <w:rFonts w:hint="eastAsia" w:ascii="宋体" w:hAnsi="宋体" w:eastAsia="宋体" w:cs="宋体"/>
          <w:b/>
          <w:color w:val="auto"/>
          <w:sz w:val="24"/>
        </w:rPr>
        <w:t>转包。</w:t>
      </w:r>
    </w:p>
    <w:p>
      <w:pPr>
        <w:pStyle w:val="5"/>
        <w:spacing w:before="200" w:after="200" w:line="360" w:lineRule="auto"/>
        <w:rPr>
          <w:rFonts w:hint="eastAsia" w:ascii="宋体" w:hAnsi="宋体" w:eastAsia="宋体" w:cs="宋体"/>
          <w:color w:val="auto"/>
          <w:sz w:val="24"/>
          <w:szCs w:val="24"/>
        </w:rPr>
      </w:pPr>
      <w:bookmarkStart w:id="287" w:name="_Toc217446066"/>
      <w:bookmarkStart w:id="288" w:name="_Toc32057"/>
      <w:bookmarkStart w:id="289" w:name="_Toc11489"/>
      <w:bookmarkStart w:id="290" w:name="_Toc8029"/>
      <w:bookmarkStart w:id="291" w:name="_Toc27332"/>
      <w:bookmarkStart w:id="292" w:name="_Toc16721"/>
      <w:r>
        <w:rPr>
          <w:rFonts w:hint="eastAsia" w:ascii="宋体" w:hAnsi="宋体" w:eastAsia="宋体" w:cs="宋体"/>
          <w:color w:val="auto"/>
          <w:sz w:val="24"/>
          <w:szCs w:val="24"/>
        </w:rPr>
        <w:t>30</w:t>
      </w:r>
      <w:bookmarkEnd w:id="287"/>
      <w:r>
        <w:rPr>
          <w:rFonts w:hint="eastAsia" w:ascii="宋体" w:hAnsi="宋体" w:eastAsia="宋体" w:cs="宋体"/>
          <w:color w:val="auto"/>
          <w:sz w:val="24"/>
          <w:szCs w:val="24"/>
        </w:rPr>
        <w:t>．补充合同</w:t>
      </w:r>
      <w:bookmarkEnd w:id="288"/>
      <w:bookmarkEnd w:id="289"/>
      <w:bookmarkEnd w:id="290"/>
      <w:bookmarkEnd w:id="291"/>
      <w:bookmarkEnd w:id="292"/>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采购合同履行过程中，招标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before="200" w:after="200" w:line="360" w:lineRule="auto"/>
        <w:rPr>
          <w:rFonts w:hint="eastAsia" w:ascii="宋体" w:hAnsi="宋体" w:eastAsia="宋体" w:cs="宋体"/>
          <w:color w:val="auto"/>
          <w:sz w:val="24"/>
          <w:szCs w:val="24"/>
        </w:rPr>
      </w:pPr>
      <w:bookmarkStart w:id="293" w:name="_Toc14136"/>
      <w:bookmarkStart w:id="294" w:name="_Toc30063"/>
      <w:bookmarkStart w:id="295" w:name="_Toc22525"/>
      <w:bookmarkStart w:id="296" w:name="_Toc217446068"/>
      <w:bookmarkStart w:id="297" w:name="_Toc16256"/>
      <w:bookmarkStart w:id="298" w:name="_Toc308164812"/>
      <w:bookmarkStart w:id="299" w:name="_Toc29253"/>
      <w:r>
        <w:rPr>
          <w:rFonts w:hint="eastAsia" w:ascii="宋体" w:hAnsi="宋体" w:eastAsia="宋体" w:cs="宋体"/>
          <w:color w:val="auto"/>
          <w:sz w:val="24"/>
          <w:szCs w:val="24"/>
        </w:rPr>
        <w:t>31．履约保证金</w:t>
      </w:r>
      <w:bookmarkEnd w:id="293"/>
      <w:bookmarkEnd w:id="294"/>
      <w:bookmarkEnd w:id="295"/>
      <w:bookmarkEnd w:id="296"/>
      <w:bookmarkEnd w:id="297"/>
      <w:bookmarkEnd w:id="298"/>
      <w:bookmarkEnd w:id="299"/>
    </w:p>
    <w:p>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31.1中标人应在合同签订之前交纳招标文件规定数额的履约保证金（若招标文件要求的话）。</w:t>
      </w:r>
    </w:p>
    <w:p>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31.2如果中标人在规定的合同签订时间内，没有按照招标文件的规定交纳履约保证金，且又无正当理由的，将视为放弃中标。</w:t>
      </w:r>
    </w:p>
    <w:p>
      <w:pPr>
        <w:pStyle w:val="5"/>
        <w:spacing w:before="200" w:after="200" w:line="360" w:lineRule="auto"/>
        <w:rPr>
          <w:rFonts w:hint="eastAsia" w:ascii="宋体" w:hAnsi="宋体" w:eastAsia="宋体" w:cs="宋体"/>
          <w:color w:val="auto"/>
          <w:sz w:val="24"/>
          <w:szCs w:val="24"/>
        </w:rPr>
      </w:pPr>
      <w:bookmarkStart w:id="300" w:name="_Toc1327"/>
      <w:bookmarkStart w:id="301" w:name="_Toc21695"/>
      <w:bookmarkStart w:id="302" w:name="_Toc1073"/>
      <w:bookmarkStart w:id="303" w:name="_Toc15347"/>
      <w:bookmarkStart w:id="304" w:name="_Toc15509"/>
      <w:bookmarkStart w:id="305" w:name="_Toc217446069"/>
      <w:bookmarkStart w:id="306" w:name="_Toc308164813"/>
      <w:r>
        <w:rPr>
          <w:rFonts w:hint="eastAsia" w:ascii="宋体" w:hAnsi="宋体" w:eastAsia="宋体" w:cs="宋体"/>
          <w:color w:val="auto"/>
          <w:sz w:val="24"/>
          <w:szCs w:val="24"/>
        </w:rPr>
        <w:t>32．合同公告</w:t>
      </w:r>
      <w:bookmarkEnd w:id="300"/>
      <w:bookmarkEnd w:id="301"/>
      <w:bookmarkEnd w:id="302"/>
      <w:bookmarkEnd w:id="303"/>
      <w:bookmarkEnd w:id="304"/>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spacing w:before="200" w:after="200" w:line="360" w:lineRule="auto"/>
        <w:rPr>
          <w:rFonts w:hint="eastAsia" w:ascii="宋体" w:hAnsi="宋体" w:eastAsia="宋体" w:cs="宋体"/>
          <w:color w:val="auto"/>
          <w:sz w:val="24"/>
          <w:szCs w:val="24"/>
        </w:rPr>
      </w:pPr>
      <w:bookmarkStart w:id="307" w:name="_Toc14486"/>
      <w:bookmarkStart w:id="308" w:name="_Toc27724"/>
      <w:bookmarkStart w:id="309" w:name="_Toc11922"/>
      <w:bookmarkStart w:id="310" w:name="_Toc30297"/>
      <w:bookmarkStart w:id="311" w:name="_Toc18125"/>
      <w:r>
        <w:rPr>
          <w:rFonts w:hint="eastAsia" w:ascii="宋体" w:hAnsi="宋体" w:eastAsia="宋体" w:cs="宋体"/>
          <w:color w:val="auto"/>
          <w:sz w:val="24"/>
          <w:szCs w:val="24"/>
        </w:rPr>
        <w:t>33．合同备案</w:t>
      </w:r>
      <w:bookmarkEnd w:id="307"/>
      <w:bookmarkEnd w:id="308"/>
      <w:bookmarkEnd w:id="309"/>
      <w:bookmarkEnd w:id="310"/>
      <w:bookmarkEnd w:id="311"/>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招标人应当将政府采购合同副本自签订（双方当事人均已签字盖章）之日起七个工作日内通过四川政府采购网报同级财政部门备案。</w:t>
      </w:r>
    </w:p>
    <w:p>
      <w:pPr>
        <w:pStyle w:val="5"/>
        <w:spacing w:before="200" w:after="200" w:line="360" w:lineRule="auto"/>
        <w:rPr>
          <w:rFonts w:hint="eastAsia" w:ascii="宋体" w:hAnsi="宋体" w:eastAsia="宋体" w:cs="宋体"/>
          <w:color w:val="auto"/>
          <w:sz w:val="24"/>
          <w:szCs w:val="24"/>
        </w:rPr>
      </w:pPr>
      <w:bookmarkStart w:id="312" w:name="_Toc22461"/>
      <w:bookmarkStart w:id="313" w:name="_Toc23161"/>
      <w:bookmarkStart w:id="314" w:name="_Toc25154"/>
      <w:bookmarkStart w:id="315" w:name="_Toc4051"/>
      <w:bookmarkStart w:id="316" w:name="_Toc25831"/>
      <w:r>
        <w:rPr>
          <w:rFonts w:hint="eastAsia" w:ascii="宋体" w:hAnsi="宋体" w:eastAsia="宋体" w:cs="宋体"/>
          <w:color w:val="auto"/>
          <w:sz w:val="24"/>
          <w:szCs w:val="24"/>
        </w:rPr>
        <w:t>34．履行合同</w:t>
      </w:r>
      <w:bookmarkEnd w:id="305"/>
      <w:bookmarkEnd w:id="306"/>
      <w:bookmarkEnd w:id="312"/>
      <w:bookmarkEnd w:id="313"/>
      <w:bookmarkEnd w:id="314"/>
      <w:bookmarkEnd w:id="315"/>
      <w:bookmarkEnd w:id="316"/>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34.1 中标人与招标人签订合同后，合同双方应严格执行合同条款，履行合同规定的义务，保证合同的顺利完成。</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34.2 在合同履行过程中，如发生合同纠纷，合同双方应按照《中华人民共和国民法典》的有关规定进行处理。</w:t>
      </w:r>
    </w:p>
    <w:p>
      <w:pPr>
        <w:pStyle w:val="5"/>
        <w:spacing w:before="200" w:after="200" w:line="360" w:lineRule="auto"/>
        <w:rPr>
          <w:rFonts w:hint="eastAsia" w:ascii="宋体" w:hAnsi="宋体" w:eastAsia="宋体" w:cs="宋体"/>
          <w:color w:val="auto"/>
          <w:sz w:val="24"/>
          <w:szCs w:val="24"/>
        </w:rPr>
      </w:pPr>
      <w:bookmarkStart w:id="317" w:name="_Toc903"/>
      <w:bookmarkStart w:id="318" w:name="_Toc21582"/>
      <w:bookmarkStart w:id="319" w:name="_Toc28967"/>
      <w:bookmarkStart w:id="320" w:name="_Toc29516"/>
      <w:bookmarkStart w:id="321" w:name="_Toc217446070"/>
      <w:bookmarkStart w:id="322" w:name="_Toc19586"/>
      <w:bookmarkStart w:id="323" w:name="_Toc308164814"/>
      <w:r>
        <w:rPr>
          <w:rFonts w:hint="eastAsia" w:ascii="宋体" w:hAnsi="宋体" w:eastAsia="宋体" w:cs="宋体"/>
          <w:color w:val="auto"/>
          <w:sz w:val="24"/>
          <w:szCs w:val="24"/>
        </w:rPr>
        <w:t>35．验收</w:t>
      </w:r>
      <w:bookmarkEnd w:id="317"/>
      <w:bookmarkEnd w:id="318"/>
      <w:bookmarkEnd w:id="319"/>
      <w:bookmarkEnd w:id="320"/>
      <w:bookmarkEnd w:id="321"/>
      <w:bookmarkEnd w:id="322"/>
      <w:bookmarkEnd w:id="323"/>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bookmarkStart w:id="324" w:name="_Toc217446071"/>
      <w:r>
        <w:rPr>
          <w:rFonts w:hint="eastAsia" w:ascii="宋体" w:hAnsi="宋体" w:eastAsia="宋体" w:cs="宋体"/>
          <w:color w:val="auto"/>
          <w:sz w:val="24"/>
        </w:rPr>
        <w:t>3</w:t>
      </w:r>
      <w:r>
        <w:rPr>
          <w:rFonts w:hint="eastAsia" w:ascii="宋体" w:hAnsi="宋体" w:eastAsia="宋体" w:cs="宋体"/>
          <w:color w:val="auto"/>
          <w:sz w:val="24"/>
          <w:lang w:val="en-US" w:eastAsia="zh-CN"/>
        </w:rPr>
        <w:t>5</w:t>
      </w:r>
      <w:r>
        <w:rPr>
          <w:rFonts w:hint="eastAsia" w:ascii="宋体" w:hAnsi="宋体" w:eastAsia="宋体" w:cs="宋体"/>
          <w:color w:val="auto"/>
          <w:sz w:val="24"/>
        </w:rPr>
        <w:t>.1本项目采购人及其委托的采购代理机构将严格按照《财政部关于进一步加强政府采购需求和履约验收管理的指导意见》（财库〔2016〕205号）等政府采购相关法律法规的要求进行验收。</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color w:val="auto"/>
          <w:sz w:val="24"/>
          <w:lang w:val="en-US" w:eastAsia="zh-CN"/>
        </w:rPr>
        <w:t>5</w:t>
      </w:r>
      <w:r>
        <w:rPr>
          <w:rFonts w:hint="eastAsia" w:ascii="宋体" w:hAnsi="宋体" w:eastAsia="宋体" w:cs="宋体"/>
          <w:color w:val="auto"/>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p>
    <w:p>
      <w:pPr>
        <w:pStyle w:val="5"/>
        <w:spacing w:before="200" w:after="200" w:line="360" w:lineRule="auto"/>
        <w:rPr>
          <w:rFonts w:hint="eastAsia" w:ascii="宋体" w:hAnsi="宋体" w:eastAsia="宋体" w:cs="宋体"/>
          <w:color w:val="auto"/>
          <w:sz w:val="24"/>
          <w:szCs w:val="24"/>
        </w:rPr>
      </w:pPr>
      <w:bookmarkStart w:id="325" w:name="_Toc308164818"/>
      <w:bookmarkStart w:id="326" w:name="_Toc28568"/>
      <w:bookmarkStart w:id="327" w:name="_Toc3234"/>
      <w:bookmarkStart w:id="328" w:name="_Toc4035"/>
      <w:bookmarkStart w:id="329" w:name="_Toc23608"/>
      <w:bookmarkStart w:id="330" w:name="_Toc217446077"/>
      <w:bookmarkStart w:id="331" w:name="_Toc3995"/>
      <w:r>
        <w:rPr>
          <w:rFonts w:hint="eastAsia" w:ascii="宋体" w:hAnsi="宋体" w:eastAsia="宋体" w:cs="宋体"/>
          <w:color w:val="auto"/>
          <w:sz w:val="24"/>
          <w:szCs w:val="24"/>
        </w:rPr>
        <w:t>36．资金支付</w:t>
      </w:r>
      <w:bookmarkEnd w:id="325"/>
      <w:bookmarkEnd w:id="326"/>
      <w:bookmarkEnd w:id="327"/>
      <w:bookmarkEnd w:id="328"/>
      <w:bookmarkEnd w:id="329"/>
      <w:bookmarkEnd w:id="330"/>
      <w:bookmarkEnd w:id="331"/>
    </w:p>
    <w:bookmarkEnd w:id="268"/>
    <w:bookmarkEnd w:id="269"/>
    <w:bookmarkEnd w:id="324"/>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bookmarkStart w:id="332" w:name="_Toc308164815"/>
      <w:bookmarkStart w:id="333" w:name="_Toc217446074"/>
      <w:bookmarkStart w:id="334" w:name="_Toc183582243"/>
      <w:bookmarkStart w:id="335" w:name="_Toc183682380"/>
      <w:r>
        <w:rPr>
          <w:rFonts w:hint="eastAsia" w:ascii="宋体" w:hAnsi="宋体" w:eastAsia="宋体" w:cs="宋体"/>
          <w:color w:val="auto"/>
          <w:sz w:val="24"/>
        </w:rPr>
        <w:t>招标人将按照政府采购合同规定，及时向中标投标人支付采购资金。本项目采购资金采取授权支付，支付程序为：见第六章商务要求条款。</w:t>
      </w:r>
    </w:p>
    <w:p>
      <w:pPr>
        <w:rPr>
          <w:rFonts w:hint="eastAsia" w:ascii="宋体" w:hAnsi="宋体" w:eastAsia="宋体" w:cs="宋体"/>
          <w:color w:val="auto"/>
        </w:rPr>
      </w:pPr>
    </w:p>
    <w:p>
      <w:pPr>
        <w:pStyle w:val="4"/>
        <w:spacing w:before="200" w:after="200" w:line="360" w:lineRule="auto"/>
        <w:jc w:val="center"/>
        <w:rPr>
          <w:rFonts w:hint="eastAsia" w:ascii="宋体" w:hAnsi="宋体" w:eastAsia="宋体" w:cs="宋体"/>
          <w:color w:val="auto"/>
          <w:sz w:val="28"/>
          <w:szCs w:val="28"/>
        </w:rPr>
      </w:pPr>
      <w:bookmarkStart w:id="336" w:name="_Toc17671"/>
      <w:bookmarkStart w:id="337" w:name="_Toc2093"/>
      <w:bookmarkStart w:id="338" w:name="_Toc25863"/>
      <w:bookmarkStart w:id="339" w:name="_Toc23923"/>
      <w:bookmarkStart w:id="340" w:name="_Toc5084"/>
      <w:r>
        <w:rPr>
          <w:rFonts w:hint="eastAsia" w:ascii="宋体" w:hAnsi="宋体" w:eastAsia="宋体" w:cs="宋体"/>
          <w:color w:val="auto"/>
          <w:sz w:val="28"/>
          <w:szCs w:val="28"/>
        </w:rPr>
        <w:t>七、投标纪律要求</w:t>
      </w:r>
      <w:bookmarkEnd w:id="332"/>
      <w:bookmarkEnd w:id="333"/>
      <w:bookmarkEnd w:id="336"/>
      <w:bookmarkEnd w:id="337"/>
      <w:bookmarkEnd w:id="338"/>
      <w:bookmarkEnd w:id="339"/>
      <w:bookmarkEnd w:id="340"/>
    </w:p>
    <w:p>
      <w:pPr>
        <w:pStyle w:val="5"/>
        <w:spacing w:before="200" w:after="200" w:line="360" w:lineRule="auto"/>
        <w:rPr>
          <w:rFonts w:hint="eastAsia" w:ascii="宋体" w:hAnsi="宋体" w:eastAsia="宋体" w:cs="宋体"/>
          <w:color w:val="auto"/>
          <w:sz w:val="24"/>
          <w:szCs w:val="24"/>
        </w:rPr>
      </w:pPr>
      <w:bookmarkStart w:id="341" w:name="_Toc217446075"/>
      <w:bookmarkStart w:id="342" w:name="_Toc1660"/>
      <w:bookmarkStart w:id="343" w:name="_Toc17312"/>
      <w:bookmarkStart w:id="344" w:name="_Toc25917"/>
      <w:bookmarkStart w:id="345" w:name="_Toc8289"/>
      <w:bookmarkStart w:id="346" w:name="_Toc24485"/>
      <w:bookmarkStart w:id="347" w:name="_Toc308164816"/>
      <w:r>
        <w:rPr>
          <w:rFonts w:hint="eastAsia" w:ascii="宋体" w:hAnsi="宋体" w:eastAsia="宋体" w:cs="宋体"/>
          <w:color w:val="auto"/>
          <w:sz w:val="24"/>
          <w:szCs w:val="24"/>
        </w:rPr>
        <w:t>37．投标人不得具有的情形</w:t>
      </w:r>
      <w:bookmarkEnd w:id="341"/>
      <w:bookmarkEnd w:id="342"/>
      <w:bookmarkEnd w:id="343"/>
      <w:bookmarkEnd w:id="344"/>
      <w:bookmarkEnd w:id="345"/>
      <w:bookmarkEnd w:id="346"/>
      <w:bookmarkEnd w:id="347"/>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投标人参加本项目投标不得有下列情形：</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（1）提供虚假材料谋取中标；</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（2）采取不正当手段诋毁、排挤其他投标人；</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（3）与招标采购单位、其他投标人恶意串通；</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（4）向招标采购单位、评标委员会成员行贿或者提供其他不正当利益；</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（5）在招标过程中与招标采购单位进行协商谈判；</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（6）中标或者成交后无正当理由拒不与招标人签订政府采购合同；</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（7）未按照采购文件确定的事项签订政府采购合同；</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（8）将政府采购合同转包或者违规分包；</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（9）提供假冒伪劣产品；</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（10）擅自变更、中止或者终止政府采购合同；</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（11）拒绝有关部门的监督检查或者向监督检查部门提供虚假情况；</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（12）法律法规规定的其他情形。</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投标人有上述情形的，按照规定追究法律责任，具备（1）～（10）条情形之一的，同时将取消中标资格或者认定中标无效。</w:t>
      </w:r>
    </w:p>
    <w:p>
      <w:pPr>
        <w:pStyle w:val="4"/>
        <w:spacing w:before="200" w:after="200" w:line="360" w:lineRule="auto"/>
        <w:jc w:val="center"/>
        <w:rPr>
          <w:rFonts w:hint="eastAsia" w:ascii="宋体" w:hAnsi="宋体" w:eastAsia="宋体" w:cs="宋体"/>
          <w:color w:val="auto"/>
          <w:sz w:val="28"/>
          <w:szCs w:val="28"/>
        </w:rPr>
      </w:pPr>
      <w:bookmarkStart w:id="348" w:name="_Toc3224"/>
      <w:bookmarkStart w:id="349" w:name="_Toc28415"/>
      <w:bookmarkStart w:id="350" w:name="_Toc308164819"/>
      <w:bookmarkStart w:id="351" w:name="_Toc3015"/>
      <w:bookmarkStart w:id="352" w:name="_Toc22941"/>
      <w:bookmarkStart w:id="353" w:name="_Toc217446078"/>
      <w:bookmarkStart w:id="354" w:name="_Toc20883"/>
      <w:r>
        <w:rPr>
          <w:rFonts w:hint="eastAsia" w:ascii="宋体" w:hAnsi="宋体" w:eastAsia="宋体" w:cs="宋体"/>
          <w:color w:val="auto"/>
          <w:sz w:val="28"/>
          <w:szCs w:val="28"/>
        </w:rPr>
        <w:t>八、询问、质疑和投诉</w:t>
      </w:r>
      <w:bookmarkEnd w:id="348"/>
      <w:bookmarkEnd w:id="349"/>
      <w:bookmarkEnd w:id="350"/>
      <w:bookmarkEnd w:id="351"/>
      <w:bookmarkEnd w:id="352"/>
      <w:bookmarkEnd w:id="353"/>
      <w:bookmarkEnd w:id="354"/>
      <w:bookmarkStart w:id="355" w:name="_Toc217446079"/>
    </w:p>
    <w:bookmarkEnd w:id="334"/>
    <w:bookmarkEnd w:id="335"/>
    <w:bookmarkEnd w:id="355"/>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38．询问、质疑、投诉的接收和处理严格按照《中华人民共和国政府采购法》、《中华人民共和国政府采购法实施条例》、《政府采购货物和服务招标投标管理办法》、政府采购质疑和投诉办法》财政部第94号令等规定办理（详细规定请在四川政府采购网政策法规模块查询）。</w:t>
      </w:r>
    </w:p>
    <w:p>
      <w:pPr>
        <w:pStyle w:val="4"/>
        <w:spacing w:before="200" w:after="200" w:line="360" w:lineRule="auto"/>
        <w:jc w:val="center"/>
        <w:rPr>
          <w:rFonts w:hint="eastAsia" w:ascii="宋体" w:hAnsi="宋体" w:eastAsia="宋体" w:cs="宋体"/>
          <w:color w:val="auto"/>
          <w:sz w:val="28"/>
          <w:szCs w:val="28"/>
        </w:rPr>
      </w:pPr>
      <w:bookmarkStart w:id="356" w:name="_Toc30412"/>
      <w:bookmarkStart w:id="357" w:name="_Toc12833"/>
      <w:bookmarkStart w:id="358" w:name="_Toc5678"/>
      <w:bookmarkStart w:id="359" w:name="_Toc16559"/>
      <w:bookmarkStart w:id="360" w:name="_Toc31265"/>
      <w:r>
        <w:rPr>
          <w:rFonts w:hint="eastAsia" w:ascii="宋体" w:hAnsi="宋体" w:eastAsia="宋体" w:cs="宋体"/>
          <w:color w:val="auto"/>
          <w:sz w:val="28"/>
          <w:szCs w:val="28"/>
        </w:rPr>
        <w:t>九、其他</w:t>
      </w:r>
      <w:bookmarkEnd w:id="356"/>
      <w:bookmarkEnd w:id="357"/>
      <w:bookmarkEnd w:id="358"/>
      <w:bookmarkEnd w:id="359"/>
      <w:bookmarkEnd w:id="360"/>
    </w:p>
    <w:p>
      <w:pPr>
        <w:tabs>
          <w:tab w:val="left" w:pos="7665"/>
        </w:tabs>
        <w:spacing w:after="120" w:afterLines="50" w:line="360" w:lineRule="auto"/>
        <w:ind w:firstLine="480" w:firstLineChars="200"/>
        <w:rPr>
          <w:rFonts w:hint="eastAsia" w:ascii="宋体" w:hAnsi="宋体" w:eastAsia="宋体" w:cs="宋体"/>
          <w:color w:val="auto"/>
        </w:rPr>
      </w:pPr>
      <w:r>
        <w:rPr>
          <w:rFonts w:hint="eastAsia" w:ascii="宋体" w:hAnsi="宋体" w:eastAsia="宋体" w:cs="宋体"/>
          <w:color w:val="auto"/>
          <w:sz w:val="24"/>
        </w:rPr>
        <w:t>39．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pStyle w:val="3"/>
        <w:spacing w:line="360" w:lineRule="auto"/>
        <w:jc w:val="center"/>
        <w:rPr>
          <w:rFonts w:hint="eastAsia" w:ascii="宋体" w:hAnsi="宋体" w:eastAsia="宋体" w:cs="宋体"/>
          <w:color w:val="auto"/>
          <w:sz w:val="32"/>
          <w:szCs w:val="32"/>
        </w:rPr>
      </w:pPr>
      <w:bookmarkStart w:id="361" w:name="_Toc6161"/>
      <w:bookmarkStart w:id="362" w:name="_Toc18791"/>
      <w:bookmarkStart w:id="363" w:name="_Toc13732"/>
      <w:bookmarkStart w:id="364" w:name="_Toc470509906"/>
      <w:bookmarkStart w:id="365" w:name="_Toc12692"/>
      <w:bookmarkStart w:id="366" w:name="_Toc14710"/>
      <w:bookmarkStart w:id="367" w:name="_Toc20149"/>
      <w:bookmarkStart w:id="368" w:name="_Toc14874"/>
      <w:bookmarkStart w:id="369" w:name="_Toc13844"/>
      <w:bookmarkStart w:id="370" w:name="_Toc6650"/>
      <w:bookmarkStart w:id="371" w:name="_Toc217446083"/>
      <w:r>
        <w:rPr>
          <w:rFonts w:hint="eastAsia" w:ascii="宋体" w:hAnsi="宋体" w:eastAsia="宋体" w:cs="宋体"/>
          <w:color w:val="auto"/>
          <w:sz w:val="32"/>
          <w:szCs w:val="32"/>
        </w:rPr>
        <w:br w:type="page"/>
      </w:r>
      <w:r>
        <w:rPr>
          <w:rFonts w:hint="eastAsia" w:ascii="宋体" w:hAnsi="宋体" w:eastAsia="宋体" w:cs="宋体"/>
          <w:color w:val="auto"/>
          <w:sz w:val="32"/>
          <w:szCs w:val="32"/>
        </w:rPr>
        <w:t>第三章  投标文件格式</w:t>
      </w:r>
      <w:bookmarkEnd w:id="361"/>
      <w:bookmarkEnd w:id="362"/>
      <w:bookmarkEnd w:id="363"/>
      <w:bookmarkEnd w:id="364"/>
      <w:bookmarkEnd w:id="365"/>
      <w:bookmarkEnd w:id="366"/>
      <w:bookmarkEnd w:id="367"/>
      <w:bookmarkEnd w:id="368"/>
      <w:bookmarkEnd w:id="369"/>
      <w:bookmarkEnd w:id="370"/>
      <w:bookmarkStart w:id="372" w:name="_Toc308164821"/>
      <w:bookmarkStart w:id="373" w:name="_Toc217446082"/>
    </w:p>
    <w:p>
      <w:pPr>
        <w:tabs>
          <w:tab w:val="left" w:pos="7665"/>
        </w:tabs>
        <w:spacing w:after="120" w:afterLines="50" w:line="360" w:lineRule="auto"/>
        <w:rPr>
          <w:rFonts w:hint="eastAsia" w:ascii="宋体" w:hAnsi="宋体" w:eastAsia="宋体" w:cs="宋体"/>
          <w:b/>
          <w:color w:val="auto"/>
          <w:sz w:val="28"/>
          <w:szCs w:val="28"/>
        </w:rPr>
      </w:pPr>
      <w:r>
        <w:rPr>
          <w:rFonts w:hint="eastAsia" w:ascii="宋体" w:hAnsi="宋体" w:eastAsia="宋体" w:cs="宋体"/>
          <w:b/>
          <w:color w:val="auto"/>
          <w:sz w:val="28"/>
          <w:szCs w:val="28"/>
        </w:rPr>
        <w:t>说明：</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二、本章所制投标文件格式有关表格中的备注栏，由投标人根据自身投标情况作解释性说明，不作为必填项。</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三、本章所制投标文件格式中需要填写的相关内容事项，可能会与本采购项目无关，在不改变投标文件原义、不影响本项目采购需求的情况下，投标人可以不予填写，但应当注明。</w:t>
      </w:r>
    </w:p>
    <w:p>
      <w:pPr>
        <w:pStyle w:val="2"/>
        <w:spacing w:line="360" w:lineRule="auto"/>
        <w:ind w:firstLine="482" w:firstLineChars="200"/>
        <w:rPr>
          <w:rFonts w:hint="eastAsia" w:ascii="宋体" w:hAnsi="宋体" w:eastAsia="宋体" w:cs="宋体"/>
          <w:b/>
          <w:bCs/>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pStyle w:val="4"/>
        <w:jc w:val="center"/>
        <w:rPr>
          <w:rFonts w:hint="eastAsia" w:ascii="宋体" w:hAnsi="宋体" w:eastAsia="宋体" w:cs="宋体"/>
          <w:b w:val="0"/>
          <w:color w:val="auto"/>
        </w:rPr>
      </w:pPr>
      <w:r>
        <w:rPr>
          <w:rFonts w:hint="eastAsia" w:ascii="宋体" w:hAnsi="宋体" w:eastAsia="宋体" w:cs="宋体"/>
          <w:b w:val="0"/>
          <w:color w:val="auto"/>
        </w:rPr>
        <w:br w:type="page"/>
      </w:r>
      <w:r>
        <w:rPr>
          <w:rStyle w:val="63"/>
          <w:rFonts w:hint="eastAsia" w:ascii="宋体" w:hAnsi="宋体" w:eastAsia="宋体" w:cs="宋体"/>
          <w:b/>
          <w:bCs/>
          <w:color w:val="auto"/>
        </w:rPr>
        <w:t>第一部分    “资格性投标文件”格式</w:t>
      </w:r>
    </w:p>
    <w:p>
      <w:pPr>
        <w:pStyle w:val="89"/>
        <w:rPr>
          <w:rFonts w:hint="eastAsia" w:ascii="宋体" w:hAnsi="宋体" w:eastAsia="宋体" w:cs="宋体"/>
          <w:color w:val="auto"/>
        </w:rPr>
      </w:pPr>
    </w:p>
    <w:p>
      <w:pPr>
        <w:pStyle w:val="5"/>
        <w:jc w:val="left"/>
        <w:rPr>
          <w:rFonts w:hint="eastAsia" w:ascii="宋体" w:hAnsi="宋体" w:eastAsia="宋体" w:cs="宋体"/>
          <w:b w:val="0"/>
          <w:color w:val="auto"/>
        </w:rPr>
      </w:pPr>
      <w:r>
        <w:rPr>
          <w:rFonts w:hint="eastAsia" w:ascii="宋体" w:hAnsi="宋体" w:eastAsia="宋体" w:cs="宋体"/>
          <w:b w:val="0"/>
          <w:color w:val="auto"/>
        </w:rPr>
        <w:t>封面：</w:t>
      </w:r>
    </w:p>
    <w:p>
      <w:pPr>
        <w:spacing w:line="360" w:lineRule="auto"/>
        <w:jc w:val="right"/>
        <w:rPr>
          <w:rFonts w:hint="eastAsia" w:ascii="宋体" w:hAnsi="宋体" w:eastAsia="宋体" w:cs="宋体"/>
          <w:b/>
          <w:color w:val="auto"/>
          <w:sz w:val="36"/>
        </w:rPr>
      </w:pPr>
    </w:p>
    <w:p>
      <w:pPr>
        <w:spacing w:line="360" w:lineRule="auto"/>
        <w:rPr>
          <w:rFonts w:hint="eastAsia" w:ascii="宋体" w:hAnsi="宋体" w:eastAsia="宋体" w:cs="宋体"/>
          <w:b/>
          <w:color w:val="auto"/>
          <w:sz w:val="32"/>
          <w:szCs w:val="32"/>
        </w:rPr>
      </w:pPr>
    </w:p>
    <w:p>
      <w:pPr>
        <w:spacing w:line="360" w:lineRule="auto"/>
        <w:rPr>
          <w:rFonts w:hint="eastAsia" w:ascii="宋体" w:hAnsi="宋体" w:eastAsia="宋体" w:cs="宋体"/>
          <w:b/>
          <w:color w:val="auto"/>
          <w:sz w:val="32"/>
          <w:szCs w:val="32"/>
        </w:rPr>
      </w:pPr>
    </w:p>
    <w:p>
      <w:pPr>
        <w:spacing w:line="360" w:lineRule="auto"/>
        <w:jc w:val="center"/>
        <w:rPr>
          <w:rFonts w:hint="eastAsia" w:ascii="宋体" w:hAnsi="宋体" w:eastAsia="宋体" w:cs="宋体"/>
          <w:b/>
          <w:color w:val="auto"/>
          <w:sz w:val="72"/>
        </w:rPr>
      </w:pPr>
      <w:r>
        <w:rPr>
          <w:rFonts w:hint="eastAsia" w:ascii="宋体" w:hAnsi="宋体" w:eastAsia="宋体" w:cs="宋体"/>
          <w:b/>
          <w:color w:val="auto"/>
          <w:sz w:val="40"/>
          <w:szCs w:val="48"/>
          <w:u w:val="single"/>
        </w:rPr>
        <w:t xml:space="preserve">                      </w:t>
      </w:r>
      <w:r>
        <w:rPr>
          <w:rFonts w:hint="eastAsia" w:ascii="宋体" w:hAnsi="宋体" w:eastAsia="宋体" w:cs="宋体"/>
          <w:b/>
          <w:color w:val="auto"/>
          <w:sz w:val="40"/>
          <w:szCs w:val="48"/>
        </w:rPr>
        <w:t>项目</w:t>
      </w:r>
    </w:p>
    <w:p>
      <w:pPr>
        <w:spacing w:line="360" w:lineRule="auto"/>
        <w:rPr>
          <w:rFonts w:hint="eastAsia" w:ascii="宋体" w:hAnsi="宋体" w:eastAsia="宋体" w:cs="宋体"/>
          <w:b/>
          <w:color w:val="auto"/>
          <w:sz w:val="52"/>
          <w:szCs w:val="52"/>
        </w:rPr>
      </w:pPr>
    </w:p>
    <w:p>
      <w:pPr>
        <w:spacing w:line="360" w:lineRule="auto"/>
        <w:jc w:val="center"/>
        <w:rPr>
          <w:rFonts w:hint="eastAsia" w:ascii="宋体" w:hAnsi="宋体" w:eastAsia="宋体" w:cs="宋体"/>
          <w:b/>
          <w:color w:val="auto"/>
          <w:sz w:val="52"/>
          <w:szCs w:val="52"/>
        </w:rPr>
      </w:pPr>
      <w:r>
        <w:rPr>
          <w:rFonts w:hint="eastAsia" w:ascii="宋体" w:hAnsi="宋体" w:eastAsia="宋体" w:cs="宋体"/>
          <w:b/>
          <w:color w:val="auto"/>
          <w:sz w:val="52"/>
          <w:szCs w:val="52"/>
        </w:rPr>
        <w:t>资格性投标文件</w:t>
      </w:r>
    </w:p>
    <w:p>
      <w:pPr>
        <w:rPr>
          <w:rFonts w:hint="eastAsia" w:ascii="宋体" w:hAnsi="宋体" w:eastAsia="宋体" w:cs="宋体"/>
          <w:color w:val="auto"/>
          <w:sz w:val="52"/>
          <w:szCs w:val="72"/>
        </w:rPr>
      </w:pPr>
    </w:p>
    <w:p>
      <w:pPr>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第</w:t>
      </w:r>
      <w:r>
        <w:rPr>
          <w:rFonts w:hint="eastAsia" w:ascii="宋体" w:hAnsi="宋体" w:eastAsia="宋体" w:cs="宋体"/>
          <w:color w:val="auto"/>
          <w:sz w:val="32"/>
          <w:szCs w:val="32"/>
          <w:u w:val="single"/>
        </w:rPr>
        <w:t xml:space="preserve">    </w:t>
      </w:r>
      <w:r>
        <w:rPr>
          <w:rFonts w:hint="eastAsia" w:ascii="宋体" w:hAnsi="宋体" w:eastAsia="宋体" w:cs="宋体"/>
          <w:b/>
          <w:bCs/>
          <w:color w:val="auto"/>
          <w:sz w:val="32"/>
          <w:szCs w:val="32"/>
        </w:rPr>
        <w:t>包</w:t>
      </w:r>
    </w:p>
    <w:p>
      <w:pPr>
        <w:rPr>
          <w:rFonts w:hint="eastAsia" w:ascii="宋体" w:hAnsi="宋体" w:eastAsia="宋体" w:cs="宋体"/>
          <w:color w:val="auto"/>
          <w:sz w:val="52"/>
          <w:szCs w:val="72"/>
        </w:rPr>
      </w:pPr>
    </w:p>
    <w:p>
      <w:pPr>
        <w:spacing w:line="360" w:lineRule="auto"/>
        <w:jc w:val="left"/>
        <w:rPr>
          <w:rFonts w:hint="eastAsia" w:ascii="宋体" w:hAnsi="宋体" w:eastAsia="宋体" w:cs="宋体"/>
          <w:b/>
          <w:color w:val="auto"/>
          <w:sz w:val="32"/>
          <w:u w:val="single"/>
        </w:rPr>
      </w:pPr>
      <w:r>
        <w:rPr>
          <w:rFonts w:hint="eastAsia" w:ascii="宋体" w:hAnsi="宋体" w:eastAsia="宋体" w:cs="宋体"/>
          <w:b/>
          <w:color w:val="auto"/>
          <w:sz w:val="32"/>
        </w:rPr>
        <w:t>投标人名称：</w:t>
      </w:r>
      <w:r>
        <w:rPr>
          <w:rFonts w:hint="eastAsia" w:ascii="宋体" w:hAnsi="宋体" w:eastAsia="宋体" w:cs="宋体"/>
          <w:b/>
          <w:color w:val="auto"/>
          <w:sz w:val="32"/>
          <w:u w:val="single"/>
        </w:rPr>
        <w:t xml:space="preserve">                                 </w:t>
      </w:r>
    </w:p>
    <w:p>
      <w:pPr>
        <w:spacing w:line="360" w:lineRule="auto"/>
        <w:jc w:val="left"/>
        <w:rPr>
          <w:rFonts w:hint="eastAsia" w:ascii="宋体" w:hAnsi="宋体" w:eastAsia="宋体" w:cs="宋体"/>
          <w:b/>
          <w:color w:val="auto"/>
          <w:sz w:val="32"/>
          <w:u w:val="single"/>
        </w:rPr>
      </w:pPr>
      <w:r>
        <w:rPr>
          <w:rFonts w:hint="eastAsia" w:ascii="宋体" w:hAnsi="宋体" w:eastAsia="宋体" w:cs="宋体"/>
          <w:b/>
          <w:color w:val="auto"/>
          <w:sz w:val="32"/>
        </w:rPr>
        <w:t>采购项目编号：</w:t>
      </w:r>
      <w:r>
        <w:rPr>
          <w:rFonts w:hint="eastAsia" w:ascii="宋体" w:hAnsi="宋体" w:eastAsia="宋体" w:cs="宋体"/>
          <w:b/>
          <w:color w:val="auto"/>
          <w:sz w:val="32"/>
          <w:u w:val="single"/>
        </w:rPr>
        <w:t xml:space="preserve">                               </w:t>
      </w:r>
    </w:p>
    <w:p>
      <w:pPr>
        <w:spacing w:line="360" w:lineRule="auto"/>
        <w:ind w:firstLine="790" w:firstLineChars="246"/>
        <w:jc w:val="center"/>
        <w:rPr>
          <w:rFonts w:hint="eastAsia" w:ascii="宋体" w:hAnsi="宋体" w:eastAsia="宋体" w:cs="宋体"/>
          <w:b/>
          <w:color w:val="auto"/>
          <w:sz w:val="32"/>
        </w:rPr>
      </w:pPr>
    </w:p>
    <w:p>
      <w:pPr>
        <w:pStyle w:val="89"/>
        <w:spacing w:line="360" w:lineRule="auto"/>
        <w:rPr>
          <w:rFonts w:hint="eastAsia" w:ascii="宋体" w:hAnsi="宋体" w:eastAsia="宋体" w:cs="宋体"/>
          <w:color w:val="auto"/>
        </w:rPr>
      </w:pPr>
    </w:p>
    <w:p>
      <w:pPr>
        <w:widowControl/>
        <w:jc w:val="center"/>
        <w:rPr>
          <w:rFonts w:hint="eastAsia" w:ascii="宋体" w:hAnsi="宋体" w:eastAsia="宋体" w:cs="宋体"/>
          <w:b/>
          <w:bCs/>
          <w:color w:val="auto"/>
        </w:rPr>
      </w:pPr>
      <w:r>
        <w:rPr>
          <w:rFonts w:hint="eastAsia" w:ascii="宋体" w:hAnsi="宋体" w:eastAsia="宋体" w:cs="宋体"/>
          <w:b/>
          <w:color w:val="auto"/>
          <w:sz w:val="32"/>
        </w:rPr>
        <w:t>投标时间：</w:t>
      </w:r>
      <w:r>
        <w:rPr>
          <w:rFonts w:hint="eastAsia" w:ascii="宋体" w:hAnsi="宋体" w:eastAsia="宋体" w:cs="宋体"/>
          <w:b/>
          <w:color w:val="auto"/>
          <w:sz w:val="32"/>
          <w:u w:val="single"/>
        </w:rPr>
        <w:t xml:space="preserve">    </w:t>
      </w:r>
      <w:r>
        <w:rPr>
          <w:rFonts w:hint="eastAsia" w:ascii="宋体" w:hAnsi="宋体" w:eastAsia="宋体" w:cs="宋体"/>
          <w:b/>
          <w:color w:val="auto"/>
          <w:sz w:val="32"/>
        </w:rPr>
        <w:t>年</w:t>
      </w:r>
      <w:r>
        <w:rPr>
          <w:rFonts w:hint="eastAsia" w:ascii="宋体" w:hAnsi="宋体" w:eastAsia="宋体" w:cs="宋体"/>
          <w:b/>
          <w:color w:val="auto"/>
          <w:sz w:val="32"/>
          <w:u w:val="single"/>
        </w:rPr>
        <w:t xml:space="preserve">   </w:t>
      </w:r>
      <w:r>
        <w:rPr>
          <w:rFonts w:hint="eastAsia" w:ascii="宋体" w:hAnsi="宋体" w:eastAsia="宋体" w:cs="宋体"/>
          <w:b/>
          <w:color w:val="auto"/>
          <w:sz w:val="32"/>
        </w:rPr>
        <w:t>月</w:t>
      </w:r>
      <w:r>
        <w:rPr>
          <w:rFonts w:hint="eastAsia" w:ascii="宋体" w:hAnsi="宋体" w:eastAsia="宋体" w:cs="宋体"/>
          <w:b/>
          <w:color w:val="auto"/>
          <w:sz w:val="32"/>
          <w:u w:val="single"/>
        </w:rPr>
        <w:t xml:space="preserve">   </w:t>
      </w:r>
      <w:r>
        <w:rPr>
          <w:rFonts w:hint="eastAsia" w:ascii="宋体" w:hAnsi="宋体" w:eastAsia="宋体" w:cs="宋体"/>
          <w:b/>
          <w:color w:val="auto"/>
          <w:sz w:val="32"/>
        </w:rPr>
        <w:t>日</w:t>
      </w:r>
    </w:p>
    <w:p>
      <w:pPr>
        <w:rPr>
          <w:rFonts w:hint="eastAsia" w:ascii="宋体" w:hAnsi="宋体" w:eastAsia="宋体" w:cs="宋体"/>
          <w:b/>
          <w:color w:val="auto"/>
          <w:sz w:val="24"/>
        </w:rPr>
      </w:pPr>
    </w:p>
    <w:p>
      <w:pPr>
        <w:rPr>
          <w:rFonts w:hint="eastAsia" w:ascii="宋体" w:hAnsi="宋体" w:eastAsia="宋体" w:cs="宋体"/>
          <w:b/>
          <w:color w:val="auto"/>
          <w:sz w:val="24"/>
        </w:rPr>
      </w:pPr>
    </w:p>
    <w:p>
      <w:pPr>
        <w:pStyle w:val="89"/>
        <w:spacing w:line="360" w:lineRule="auto"/>
        <w:rPr>
          <w:rFonts w:hint="eastAsia" w:ascii="宋体" w:hAnsi="宋体" w:eastAsia="宋体" w:cs="宋体"/>
          <w:b/>
          <w:color w:val="auto"/>
        </w:rPr>
      </w:pPr>
    </w:p>
    <w:p>
      <w:pPr>
        <w:pStyle w:val="89"/>
        <w:spacing w:line="360" w:lineRule="auto"/>
        <w:rPr>
          <w:rFonts w:hint="eastAsia" w:ascii="宋体" w:hAnsi="宋体" w:eastAsia="宋体" w:cs="宋体"/>
          <w:b/>
          <w:color w:val="auto"/>
        </w:rPr>
      </w:pPr>
    </w:p>
    <w:p>
      <w:pPr>
        <w:rPr>
          <w:rFonts w:hint="eastAsia" w:ascii="宋体" w:hAnsi="宋体" w:eastAsia="宋体" w:cs="宋体"/>
          <w:color w:val="auto"/>
        </w:rPr>
      </w:pPr>
    </w:p>
    <w:p>
      <w:pPr>
        <w:pStyle w:val="5"/>
        <w:jc w:val="center"/>
        <w:rPr>
          <w:rFonts w:hint="eastAsia" w:ascii="宋体" w:hAnsi="宋体" w:eastAsia="宋体" w:cs="宋体"/>
          <w:color w:val="auto"/>
          <w:sz w:val="40"/>
        </w:rPr>
      </w:pPr>
      <w:bookmarkStart w:id="374" w:name="_Toc1629"/>
      <w:bookmarkStart w:id="375" w:name="_Toc19245"/>
      <w:bookmarkStart w:id="376" w:name="_Toc25129"/>
      <w:bookmarkStart w:id="377" w:name="_Toc1618"/>
      <w:bookmarkStart w:id="378" w:name="_Toc14377"/>
      <w:bookmarkStart w:id="379" w:name="_Toc2641"/>
      <w:r>
        <w:rPr>
          <w:rFonts w:hint="eastAsia" w:ascii="宋体" w:hAnsi="宋体" w:eastAsia="宋体" w:cs="宋体"/>
          <w:color w:val="auto"/>
          <w:sz w:val="40"/>
        </w:rPr>
        <w:t>目录</w:t>
      </w:r>
    </w:p>
    <w:p>
      <w:pPr>
        <w:widowControl/>
        <w:spacing w:line="360" w:lineRule="auto"/>
        <w:ind w:firstLine="480" w:firstLineChars="200"/>
        <w:jc w:val="center"/>
        <w:rPr>
          <w:rFonts w:hint="eastAsia" w:ascii="宋体" w:hAnsi="宋体" w:eastAsia="宋体" w:cs="宋体"/>
          <w:b/>
          <w:color w:val="auto"/>
          <w:sz w:val="24"/>
        </w:rPr>
        <w:sectPr>
          <w:pgSz w:w="11907" w:h="16840"/>
          <w:pgMar w:top="1417" w:right="1474" w:bottom="1134" w:left="1587" w:header="851" w:footer="851" w:gutter="0"/>
          <w:pgBorders w:offsetFrom="page">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color w:val="auto"/>
          <w:kern w:val="0"/>
          <w:sz w:val="24"/>
        </w:rPr>
        <w:t>格式自拟</w:t>
      </w:r>
    </w:p>
    <w:p>
      <w:pPr>
        <w:pStyle w:val="5"/>
        <w:jc w:val="center"/>
        <w:rPr>
          <w:rFonts w:hint="eastAsia" w:ascii="宋体" w:hAnsi="宋体" w:eastAsia="宋体" w:cs="宋体"/>
          <w:b w:val="0"/>
          <w:color w:val="auto"/>
          <w:sz w:val="28"/>
          <w:szCs w:val="28"/>
        </w:rPr>
      </w:pPr>
      <w:r>
        <w:rPr>
          <w:rFonts w:hint="eastAsia" w:ascii="宋体" w:hAnsi="宋体" w:eastAsia="宋体" w:cs="宋体"/>
          <w:bCs w:val="0"/>
          <w:color w:val="auto"/>
          <w:sz w:val="28"/>
          <w:szCs w:val="28"/>
        </w:rPr>
        <w:t>一、具有独立承担民事责任的能力的证明材料</w:t>
      </w:r>
    </w:p>
    <w:p>
      <w:pPr>
        <w:widowControl/>
        <w:spacing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1 供应商若为企业法人：提供“统一社会信用代码营业执照”；</w:t>
      </w:r>
    </w:p>
    <w:p>
      <w:pPr>
        <w:widowControl/>
        <w:spacing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2 若为事业法人：提供“统一社会信用代码法人登记证书”；</w:t>
      </w:r>
    </w:p>
    <w:p>
      <w:pPr>
        <w:widowControl/>
        <w:spacing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3 若为其他组织：提供“对应主管部门颁发的准许执业证明文件或营业执照”；</w:t>
      </w:r>
    </w:p>
    <w:p>
      <w:pPr>
        <w:widowControl/>
        <w:spacing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4 若为自然人：提供“身份证明材料”（身份证明材料是指居民身份证（正反面）或军官证或护照等）。</w:t>
      </w:r>
    </w:p>
    <w:p>
      <w:pPr>
        <w:widowControl/>
        <w:spacing w:line="360" w:lineRule="auto"/>
        <w:ind w:firstLine="602" w:firstLineChars="250"/>
        <w:jc w:val="left"/>
        <w:rPr>
          <w:rFonts w:hint="eastAsia" w:ascii="宋体" w:hAnsi="宋体" w:eastAsia="宋体" w:cs="宋体"/>
          <w:b/>
          <w:color w:val="auto"/>
          <w:sz w:val="28"/>
          <w:szCs w:val="28"/>
        </w:rPr>
        <w:sectPr>
          <w:pgSz w:w="11907" w:h="16840"/>
          <w:pgMar w:top="1843" w:right="1701" w:bottom="1418" w:left="1418" w:header="851" w:footer="851" w:gutter="0"/>
          <w:pgBorders w:offsetFrom="page">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b/>
          <w:color w:val="auto"/>
          <w:sz w:val="24"/>
        </w:rPr>
        <w:t>注：以上第1项-第3项提供复印件加盖单位公章，第4项提供复印件并签字。</w:t>
      </w:r>
    </w:p>
    <w:p>
      <w:pPr>
        <w:pStyle w:val="5"/>
        <w:spacing w:before="0" w:after="0"/>
        <w:jc w:val="center"/>
        <w:rPr>
          <w:rStyle w:val="63"/>
          <w:rFonts w:hint="eastAsia" w:ascii="宋体" w:hAnsi="宋体" w:eastAsia="宋体" w:cs="宋体"/>
          <w:b/>
          <w:bCs/>
          <w:color w:val="auto"/>
        </w:rPr>
      </w:pPr>
      <w:r>
        <w:rPr>
          <w:rStyle w:val="63"/>
          <w:rFonts w:hint="eastAsia" w:ascii="宋体" w:hAnsi="宋体" w:eastAsia="宋体" w:cs="宋体"/>
          <w:b/>
          <w:bCs/>
          <w:color w:val="auto"/>
          <w:lang w:val="en-US" w:eastAsia="zh-CN"/>
        </w:rPr>
        <w:t>二</w:t>
      </w:r>
      <w:r>
        <w:rPr>
          <w:rStyle w:val="63"/>
          <w:rFonts w:hint="eastAsia" w:ascii="宋体" w:hAnsi="宋体" w:eastAsia="宋体" w:cs="宋体"/>
          <w:b/>
          <w:bCs/>
          <w:color w:val="auto"/>
        </w:rPr>
        <w:t>、法定代表人授权书</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XXXX XXXX（招标代理机构名称）：</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本授权声明：</w:t>
      </w:r>
      <w:r>
        <w:rPr>
          <w:rFonts w:hint="eastAsia" w:ascii="宋体" w:hAnsi="宋体" w:eastAsia="宋体" w:cs="宋体"/>
          <w:color w:val="auto"/>
          <w:sz w:val="24"/>
          <w:u w:val="single"/>
        </w:rPr>
        <w:t xml:space="preserve">                     </w:t>
      </w:r>
      <w:r>
        <w:rPr>
          <w:rFonts w:hint="eastAsia" w:ascii="宋体" w:hAnsi="宋体" w:eastAsia="宋体" w:cs="宋体"/>
          <w:color w:val="auto"/>
          <w:sz w:val="24"/>
        </w:rPr>
        <w:t>（投标人名称）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（法定代表人姓名、职务）授权</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（被授权人姓名、职务）为我方 “ </w:t>
      </w:r>
      <w:r>
        <w:rPr>
          <w:rFonts w:hint="eastAsia" w:ascii="宋体" w:hAnsi="宋体" w:eastAsia="宋体" w:cs="宋体"/>
          <w:color w:val="auto"/>
          <w:sz w:val="24"/>
          <w:u w:val="single"/>
        </w:rPr>
        <w:t xml:space="preserve">             </w:t>
      </w:r>
      <w:r>
        <w:rPr>
          <w:rFonts w:hint="eastAsia" w:ascii="宋体" w:hAnsi="宋体" w:eastAsia="宋体" w:cs="宋体"/>
          <w:color w:val="auto"/>
          <w:sz w:val="24"/>
        </w:rPr>
        <w:t>” 项目（项目编号：</w:t>
      </w:r>
      <w:r>
        <w:rPr>
          <w:rFonts w:hint="eastAsia" w:ascii="宋体" w:hAnsi="宋体" w:eastAsia="宋体" w:cs="宋体"/>
          <w:color w:val="auto"/>
          <w:sz w:val="24"/>
          <w:u w:val="single"/>
        </w:rPr>
        <w:t xml:space="preserve">         </w:t>
      </w:r>
      <w:r>
        <w:rPr>
          <w:rFonts w:hint="eastAsia" w:ascii="宋体" w:hAnsi="宋体" w:eastAsia="宋体" w:cs="宋体"/>
          <w:color w:val="auto"/>
          <w:sz w:val="24"/>
        </w:rPr>
        <w:t>）投标活动的合法代表，以我方名义全权处理该项目有关投标、签订合同以及执行合同等一切事宜。</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特此声明。</w:t>
      </w:r>
    </w:p>
    <w:p>
      <w:pPr>
        <w:spacing w:line="360" w:lineRule="auto"/>
        <w:ind w:firstLine="480" w:firstLineChars="200"/>
        <w:rPr>
          <w:rFonts w:hint="eastAsia" w:ascii="宋体" w:hAnsi="宋体" w:eastAsia="宋体" w:cs="宋体"/>
          <w:bCs/>
          <w:color w:val="auto"/>
          <w:sz w:val="24"/>
        </w:rPr>
      </w:pPr>
    </w:p>
    <w:p>
      <w:pPr>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32"/>
        </w:rPr>
        <w:t>附：（1）法定代表人有效身份证明材料正反面复印件</w:t>
      </w:r>
    </w:p>
    <w:p>
      <w:pPr>
        <w:spacing w:line="360" w:lineRule="auto"/>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（2）授权代表有效身份证明材料正反面复印件</w:t>
      </w:r>
    </w:p>
    <w:p>
      <w:pPr>
        <w:spacing w:line="400" w:lineRule="exact"/>
        <w:rPr>
          <w:rFonts w:hint="eastAsia" w:ascii="宋体" w:hAnsi="宋体" w:eastAsia="宋体" w:cs="宋体"/>
          <w:color w:val="auto"/>
          <w:sz w:val="24"/>
        </w:rPr>
      </w:pPr>
    </w:p>
    <w:p>
      <w:pPr>
        <w:pStyle w:val="2"/>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法定代表人（签字或加盖个人名章）：</w:t>
      </w:r>
      <w:r>
        <w:rPr>
          <w:rFonts w:hint="eastAsia" w:ascii="宋体" w:hAnsi="宋体" w:eastAsia="宋体" w:cs="宋体"/>
          <w:color w:val="auto"/>
          <w:sz w:val="24"/>
          <w:u w:val="single"/>
        </w:rPr>
        <w:t xml:space="preserve">            </w:t>
      </w:r>
    </w:p>
    <w:p>
      <w:pPr>
        <w:spacing w:line="360" w:lineRule="auto"/>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授权代表（签字或加盖个人名章）：</w:t>
      </w:r>
      <w:r>
        <w:rPr>
          <w:rFonts w:hint="eastAsia" w:ascii="宋体" w:hAnsi="宋体" w:eastAsia="宋体" w:cs="宋体"/>
          <w:color w:val="auto"/>
          <w:sz w:val="24"/>
          <w:u w:val="single"/>
        </w:rPr>
        <w:t xml:space="preserve">              </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rPr>
          <w:rFonts w:hint="eastAsia" w:ascii="宋体" w:hAnsi="宋体" w:eastAsia="宋体" w:cs="宋体"/>
          <w:color w:val="auto"/>
        </w:rPr>
      </w:pPr>
    </w:p>
    <w:p>
      <w:pPr>
        <w:spacing w:line="360" w:lineRule="auto"/>
        <w:rPr>
          <w:rFonts w:hint="eastAsia" w:ascii="宋体" w:hAnsi="宋体" w:eastAsia="宋体" w:cs="宋体"/>
          <w:b/>
          <w:color w:val="auto"/>
          <w:sz w:val="24"/>
        </w:rPr>
      </w:pPr>
      <w:r>
        <w:rPr>
          <w:rFonts w:hint="eastAsia" w:ascii="宋体" w:hAnsi="宋体" w:eastAsia="宋体" w:cs="宋体"/>
          <w:color w:val="auto"/>
          <w:sz w:val="24"/>
        </w:rPr>
        <w:t>注：</w:t>
      </w:r>
      <w:r>
        <w:rPr>
          <w:rFonts w:hint="eastAsia" w:ascii="宋体" w:hAnsi="宋体" w:eastAsia="宋体" w:cs="宋体"/>
          <w:b/>
          <w:bCs/>
          <w:color w:val="auto"/>
          <w:sz w:val="24"/>
        </w:rPr>
        <w:t>1、</w:t>
      </w:r>
      <w:r>
        <w:rPr>
          <w:rFonts w:hint="eastAsia" w:ascii="宋体" w:hAnsi="宋体" w:eastAsia="宋体" w:cs="宋体"/>
          <w:b/>
          <w:color w:val="auto"/>
          <w:sz w:val="24"/>
        </w:rPr>
        <w:t>法定代表人不亲自参加投标，而授权代表参加投标的适用。</w:t>
      </w:r>
    </w:p>
    <w:p>
      <w:pPr>
        <w:pStyle w:val="17"/>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2、供应商为法人单位时提供“法定代表人授权书”，供应商为其他组织时提供“单位负责人授权书”，供应商为自然人时提供“自然人身份证明材料”。</w:t>
      </w:r>
    </w:p>
    <w:p>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3、身份证明材料包括居民身份证或户口本或军官证或护照等。</w:t>
      </w:r>
    </w:p>
    <w:p>
      <w:pPr>
        <w:spacing w:line="360" w:lineRule="auto"/>
        <w:jc w:val="center"/>
        <w:outlineLvl w:val="2"/>
        <w:rPr>
          <w:rStyle w:val="63"/>
          <w:rFonts w:hint="eastAsia" w:ascii="宋体" w:hAnsi="宋体" w:eastAsia="宋体" w:cs="宋体"/>
          <w:color w:val="auto"/>
        </w:rPr>
      </w:pPr>
      <w:r>
        <w:rPr>
          <w:rFonts w:hint="eastAsia" w:ascii="宋体" w:hAnsi="宋体" w:eastAsia="宋体" w:cs="宋体"/>
          <w:color w:val="auto"/>
          <w:sz w:val="24"/>
        </w:rPr>
        <w:br w:type="page"/>
      </w:r>
      <w:r>
        <w:rPr>
          <w:rStyle w:val="63"/>
          <w:rFonts w:hint="eastAsia" w:ascii="宋体" w:hAnsi="宋体" w:eastAsia="宋体" w:cs="宋体"/>
          <w:color w:val="auto"/>
        </w:rPr>
        <w:t>二、法定代表人证明书</w:t>
      </w:r>
    </w:p>
    <w:p>
      <w:pPr>
        <w:pStyle w:val="2"/>
        <w:tabs>
          <w:tab w:val="left" w:pos="1519"/>
          <w:tab w:val="left" w:pos="5419"/>
        </w:tabs>
        <w:spacing w:after="0" w:line="360" w:lineRule="auto"/>
        <w:ind w:firstLine="480" w:firstLineChars="200"/>
        <w:jc w:val="left"/>
        <w:rPr>
          <w:rFonts w:hint="eastAsia" w:ascii="宋体" w:hAnsi="宋体" w:eastAsia="宋体" w:cs="宋体"/>
          <w:color w:val="auto"/>
          <w:sz w:val="24"/>
          <w:u w:val="single"/>
        </w:rPr>
      </w:pPr>
      <w:r>
        <w:rPr>
          <w:rFonts w:hint="eastAsia" w:ascii="宋体" w:hAnsi="宋体" w:eastAsia="宋体" w:cs="宋体"/>
          <w:color w:val="auto"/>
          <w:sz w:val="24"/>
        </w:rPr>
        <w:t>单位名称：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p>
    <w:p>
      <w:pPr>
        <w:pStyle w:val="2"/>
        <w:tabs>
          <w:tab w:val="left" w:pos="1519"/>
          <w:tab w:val="left" w:pos="5419"/>
        </w:tabs>
        <w:spacing w:after="0"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地</w:t>
      </w:r>
      <w:r>
        <w:rPr>
          <w:rFonts w:hint="eastAsia" w:ascii="宋体" w:hAnsi="宋体" w:eastAsia="宋体" w:cs="宋体"/>
          <w:color w:val="auto"/>
          <w:sz w:val="24"/>
        </w:rPr>
        <w:tab/>
      </w:r>
      <w:r>
        <w:rPr>
          <w:rFonts w:hint="eastAsia" w:ascii="宋体" w:hAnsi="宋体" w:eastAsia="宋体" w:cs="宋体"/>
          <w:color w:val="auto"/>
          <w:sz w:val="24"/>
        </w:rPr>
        <w:t>址：</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p>
    <w:p>
      <w:pPr>
        <w:pStyle w:val="2"/>
        <w:tabs>
          <w:tab w:val="left" w:pos="1519"/>
          <w:tab w:val="left" w:pos="3079"/>
          <w:tab w:val="left" w:pos="4399"/>
          <w:tab w:val="left" w:pos="5719"/>
          <w:tab w:val="left" w:pos="7939"/>
        </w:tabs>
        <w:spacing w:after="0"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姓</w:t>
      </w:r>
      <w:r>
        <w:rPr>
          <w:rFonts w:hint="eastAsia" w:ascii="宋体" w:hAnsi="宋体" w:eastAsia="宋体" w:cs="宋体"/>
          <w:color w:val="auto"/>
          <w:sz w:val="24"/>
        </w:rPr>
        <w:tab/>
      </w:r>
      <w:r>
        <w:rPr>
          <w:rFonts w:hint="eastAsia" w:ascii="宋体" w:hAnsi="宋体" w:eastAsia="宋体" w:cs="宋体"/>
          <w:color w:val="auto"/>
          <w:sz w:val="24"/>
        </w:rPr>
        <w:t>名：</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p>
    <w:p>
      <w:pPr>
        <w:pStyle w:val="2"/>
        <w:tabs>
          <w:tab w:val="left" w:pos="3295"/>
          <w:tab w:val="left" w:pos="4759"/>
          <w:tab w:val="left" w:pos="6871"/>
        </w:tabs>
        <w:spacing w:after="0"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本人系</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r>
        <w:rPr>
          <w:rFonts w:hint="eastAsia" w:ascii="宋体" w:hAnsi="宋体" w:eastAsia="宋体" w:cs="宋体"/>
          <w:color w:val="auto"/>
          <w:sz w:val="24"/>
          <w:u w:val="single"/>
        </w:rPr>
        <w:tab/>
      </w:r>
      <w:r>
        <w:rPr>
          <w:rFonts w:hint="eastAsia" w:ascii="宋体" w:hAnsi="宋体" w:eastAsia="宋体" w:cs="宋体"/>
          <w:color w:val="auto"/>
          <w:sz w:val="24"/>
        </w:rPr>
        <w:t>(投标人名称)的法定代表人/单位负责人。就参加</w:t>
      </w:r>
      <w:r>
        <w:rPr>
          <w:rFonts w:hint="eastAsia" w:ascii="宋体" w:hAnsi="宋体" w:eastAsia="宋体" w:cs="宋体"/>
          <w:color w:val="auto"/>
          <w:spacing w:val="-16"/>
          <w:sz w:val="24"/>
        </w:rPr>
        <w:t>你</w:t>
      </w:r>
      <w:r>
        <w:rPr>
          <w:rFonts w:hint="eastAsia" w:ascii="宋体" w:hAnsi="宋体" w:eastAsia="宋体" w:cs="宋体"/>
          <w:color w:val="auto"/>
          <w:sz w:val="24"/>
        </w:rPr>
        <w:t>单位组织</w:t>
      </w:r>
      <w:r>
        <w:rPr>
          <w:rFonts w:hint="eastAsia" w:ascii="宋体" w:hAnsi="宋体" w:eastAsia="宋体" w:cs="宋体"/>
          <w:color w:val="auto"/>
          <w:spacing w:val="-24"/>
          <w:sz w:val="24"/>
        </w:rPr>
        <w:t>的</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r>
        <w:rPr>
          <w:rFonts w:hint="eastAsia" w:ascii="宋体" w:hAnsi="宋体" w:eastAsia="宋体" w:cs="宋体"/>
          <w:color w:val="auto"/>
          <w:sz w:val="24"/>
        </w:rPr>
        <w:t>(项目名称)(项目编号</w:t>
      </w:r>
      <w:r>
        <w:rPr>
          <w:rFonts w:hint="eastAsia" w:ascii="宋体" w:hAnsi="宋体" w:eastAsia="宋体" w:cs="宋体"/>
          <w:color w:val="auto"/>
          <w:spacing w:val="-24"/>
          <w:sz w:val="24"/>
        </w:rPr>
        <w:t>：</w:t>
      </w:r>
      <w:r>
        <w:rPr>
          <w:rFonts w:hint="eastAsia" w:ascii="宋体" w:hAnsi="宋体" w:eastAsia="宋体" w:cs="宋体"/>
          <w:color w:val="auto"/>
          <w:spacing w:val="-24"/>
          <w:sz w:val="24"/>
          <w:u w:val="single"/>
        </w:rPr>
        <w:t xml:space="preserve">         </w:t>
      </w:r>
      <w:r>
        <w:rPr>
          <w:rFonts w:hint="eastAsia" w:ascii="宋体" w:hAnsi="宋体" w:eastAsia="宋体" w:cs="宋体"/>
          <w:color w:val="auto"/>
          <w:spacing w:val="-24"/>
          <w:sz w:val="24"/>
          <w:u w:val="single"/>
        </w:rPr>
        <w:tab/>
      </w:r>
      <w:r>
        <w:rPr>
          <w:rFonts w:hint="eastAsia" w:ascii="宋体" w:hAnsi="宋体" w:eastAsia="宋体" w:cs="宋体"/>
          <w:color w:val="auto"/>
          <w:spacing w:val="-12"/>
          <w:sz w:val="24"/>
        </w:rPr>
        <w:t>)”</w:t>
      </w:r>
      <w:r>
        <w:rPr>
          <w:rFonts w:hint="eastAsia" w:ascii="宋体" w:hAnsi="宋体" w:eastAsia="宋体" w:cs="宋体"/>
          <w:color w:val="auto"/>
          <w:sz w:val="24"/>
        </w:rPr>
        <w:t>的政府采购活动</w:t>
      </w:r>
      <w:r>
        <w:rPr>
          <w:rFonts w:hint="eastAsia" w:ascii="宋体" w:hAnsi="宋体" w:eastAsia="宋体" w:cs="宋体"/>
          <w:color w:val="auto"/>
          <w:spacing w:val="-22"/>
          <w:sz w:val="24"/>
        </w:rPr>
        <w:t>、</w:t>
      </w:r>
      <w:r>
        <w:rPr>
          <w:rFonts w:hint="eastAsia" w:ascii="宋体" w:hAnsi="宋体" w:eastAsia="宋体" w:cs="宋体"/>
          <w:color w:val="auto"/>
          <w:sz w:val="24"/>
        </w:rPr>
        <w:t>合同签</w:t>
      </w:r>
      <w:r>
        <w:rPr>
          <w:rFonts w:hint="eastAsia" w:ascii="宋体" w:hAnsi="宋体" w:eastAsia="宋体" w:cs="宋体"/>
          <w:color w:val="auto"/>
          <w:spacing w:val="-16"/>
          <w:sz w:val="24"/>
        </w:rPr>
        <w:t>订</w:t>
      </w:r>
      <w:r>
        <w:rPr>
          <w:rFonts w:hint="eastAsia" w:ascii="宋体" w:hAnsi="宋体" w:eastAsia="宋体" w:cs="宋体"/>
          <w:color w:val="auto"/>
          <w:sz w:val="24"/>
        </w:rPr>
        <w:t>以及合同履约等一切事宜，我单位均予承认，所产生的法律后果均由我单位承担。</w:t>
      </w:r>
    </w:p>
    <w:p>
      <w:pPr>
        <w:pStyle w:val="2"/>
        <w:spacing w:before="1"/>
        <w:ind w:left="800"/>
        <w:rPr>
          <w:rFonts w:hint="eastAsia" w:ascii="宋体" w:hAnsi="宋体" w:eastAsia="宋体" w:cs="宋体"/>
          <w:color w:val="auto"/>
          <w:sz w:val="24"/>
        </w:rPr>
      </w:pPr>
      <w:r>
        <w:rPr>
          <w:rFonts w:hint="eastAsia" w:ascii="宋体" w:hAnsi="宋体" w:eastAsia="宋体" w:cs="宋体"/>
          <w:color w:val="auto"/>
          <w:sz w:val="24"/>
        </w:rPr>
        <w:t>特此证明。</w:t>
      </w:r>
    </w:p>
    <w:p>
      <w:pPr>
        <w:spacing w:line="400" w:lineRule="exact"/>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附：（1）法定代表人有效身份证明材料正反面复印件</w:t>
      </w:r>
    </w:p>
    <w:p>
      <w:pPr>
        <w:pStyle w:val="2"/>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法定代表人（签字或加盖个人名章）：</w:t>
      </w:r>
      <w:r>
        <w:rPr>
          <w:rFonts w:hint="eastAsia" w:ascii="宋体" w:hAnsi="宋体" w:eastAsia="宋体" w:cs="宋体"/>
          <w:color w:val="auto"/>
          <w:sz w:val="24"/>
          <w:u w:val="single"/>
        </w:rPr>
        <w:t xml:space="preserve">            </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rPr>
          <w:rFonts w:hint="eastAsia" w:ascii="宋体" w:hAnsi="宋体" w:eastAsia="宋体" w:cs="宋体"/>
          <w:color w:val="auto"/>
        </w:rPr>
      </w:pPr>
    </w:p>
    <w:p>
      <w:pPr>
        <w:spacing w:line="360" w:lineRule="auto"/>
        <w:rPr>
          <w:rFonts w:hint="eastAsia" w:ascii="宋体" w:hAnsi="宋体" w:eastAsia="宋体" w:cs="宋体"/>
          <w:b/>
          <w:color w:val="auto"/>
          <w:sz w:val="24"/>
        </w:rPr>
      </w:pPr>
      <w:r>
        <w:rPr>
          <w:rFonts w:hint="eastAsia" w:ascii="宋体" w:hAnsi="宋体" w:eastAsia="宋体" w:cs="宋体"/>
          <w:color w:val="auto"/>
          <w:sz w:val="24"/>
        </w:rPr>
        <w:t>注：</w:t>
      </w:r>
      <w:r>
        <w:rPr>
          <w:rFonts w:hint="eastAsia" w:ascii="宋体" w:hAnsi="宋体" w:eastAsia="宋体" w:cs="宋体"/>
          <w:b/>
          <w:bCs/>
          <w:color w:val="auto"/>
          <w:sz w:val="24"/>
        </w:rPr>
        <w:t>1、</w:t>
      </w:r>
      <w:r>
        <w:rPr>
          <w:rFonts w:hint="eastAsia" w:ascii="宋体" w:hAnsi="宋体" w:eastAsia="宋体" w:cs="宋体"/>
          <w:b/>
          <w:color w:val="auto"/>
          <w:sz w:val="24"/>
        </w:rPr>
        <w:t>法定代表人亲自参加投标时适用本证明书。</w:t>
      </w:r>
    </w:p>
    <w:p>
      <w:pPr>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2、身份证明材料包括居民身份证或户口本或军官证或护照等。</w:t>
      </w:r>
    </w:p>
    <w:p>
      <w:pPr>
        <w:rPr>
          <w:rFonts w:hint="eastAsia" w:ascii="宋体" w:hAnsi="宋体" w:eastAsia="宋体" w:cs="宋体"/>
          <w:bCs/>
          <w:color w:val="auto"/>
          <w:szCs w:val="21"/>
        </w:rPr>
      </w:pPr>
    </w:p>
    <w:bookmarkEnd w:id="374"/>
    <w:bookmarkEnd w:id="375"/>
    <w:bookmarkEnd w:id="376"/>
    <w:bookmarkEnd w:id="377"/>
    <w:bookmarkEnd w:id="378"/>
    <w:bookmarkEnd w:id="379"/>
    <w:p>
      <w:pPr>
        <w:pStyle w:val="5"/>
        <w:jc w:val="center"/>
        <w:rPr>
          <w:rFonts w:hint="eastAsia" w:ascii="宋体" w:hAnsi="宋体" w:eastAsia="宋体" w:cs="宋体"/>
          <w:color w:val="auto"/>
        </w:rPr>
      </w:pPr>
      <w:r>
        <w:rPr>
          <w:rFonts w:hint="eastAsia" w:ascii="宋体" w:hAnsi="宋体" w:eastAsia="宋体" w:cs="宋体"/>
          <w:color w:val="auto"/>
        </w:rPr>
        <w:br w:type="page"/>
      </w:r>
      <w:bookmarkStart w:id="380" w:name="_Toc17086"/>
      <w:bookmarkStart w:id="381" w:name="_Toc27010"/>
      <w:bookmarkStart w:id="382" w:name="_Toc30006"/>
      <w:bookmarkStart w:id="383" w:name="_Toc28650"/>
      <w:bookmarkStart w:id="384" w:name="_Toc32166"/>
      <w:bookmarkStart w:id="385" w:name="_Toc32251"/>
      <w:r>
        <w:rPr>
          <w:rFonts w:hint="eastAsia" w:ascii="宋体" w:hAnsi="宋体" w:eastAsia="宋体" w:cs="宋体"/>
          <w:color w:val="auto"/>
          <w:lang w:val="en-US" w:eastAsia="zh-CN"/>
        </w:rPr>
        <w:t>三</w:t>
      </w:r>
      <w:r>
        <w:rPr>
          <w:rFonts w:hint="eastAsia" w:ascii="宋体" w:hAnsi="宋体" w:eastAsia="宋体" w:cs="宋体"/>
          <w:color w:val="auto"/>
        </w:rPr>
        <w:t>、承诺函</w:t>
      </w:r>
      <w:bookmarkEnd w:id="380"/>
      <w:bookmarkEnd w:id="381"/>
      <w:bookmarkEnd w:id="382"/>
      <w:bookmarkEnd w:id="383"/>
      <w:bookmarkEnd w:id="384"/>
      <w:bookmarkEnd w:id="385"/>
    </w:p>
    <w:p>
      <w:pPr>
        <w:spacing w:line="420" w:lineRule="auto"/>
        <w:rPr>
          <w:rFonts w:hint="eastAsia" w:ascii="宋体" w:hAnsi="宋体" w:eastAsia="宋体" w:cs="宋体"/>
          <w:color w:val="auto"/>
          <w:sz w:val="24"/>
        </w:rPr>
      </w:pPr>
      <w:bookmarkStart w:id="386" w:name="_Toc14672"/>
      <w:bookmarkStart w:id="387" w:name="_Toc1668"/>
      <w:bookmarkStart w:id="388" w:name="_Toc31742"/>
      <w:bookmarkStart w:id="389" w:name="_Toc1140"/>
      <w:bookmarkStart w:id="390" w:name="_Toc14840"/>
      <w:bookmarkStart w:id="391" w:name="_Toc4984"/>
      <w:bookmarkStart w:id="392" w:name="_Toc19307"/>
      <w:bookmarkStart w:id="393" w:name="_Toc4232"/>
      <w:bookmarkStart w:id="394" w:name="_Toc8362"/>
      <w:bookmarkStart w:id="395" w:name="_Toc798"/>
      <w:r>
        <w:rPr>
          <w:rFonts w:hint="eastAsia" w:ascii="宋体" w:hAnsi="宋体" w:eastAsia="宋体" w:cs="宋体"/>
          <w:color w:val="auto"/>
          <w:sz w:val="24"/>
        </w:rPr>
        <w:t>XXXX XXXX（招标代理机构名称）：</w:t>
      </w:r>
      <w:bookmarkEnd w:id="386"/>
      <w:bookmarkEnd w:id="387"/>
      <w:bookmarkEnd w:id="388"/>
      <w:bookmarkEnd w:id="389"/>
      <w:bookmarkEnd w:id="390"/>
      <w:bookmarkEnd w:id="391"/>
      <w:bookmarkEnd w:id="392"/>
      <w:bookmarkEnd w:id="393"/>
      <w:bookmarkEnd w:id="394"/>
      <w:bookmarkEnd w:id="395"/>
    </w:p>
    <w:p>
      <w:pPr>
        <w:spacing w:line="420" w:lineRule="auto"/>
        <w:jc w:val="left"/>
        <w:rPr>
          <w:rFonts w:hint="eastAsia" w:ascii="宋体" w:hAnsi="宋体" w:eastAsia="宋体" w:cs="宋体"/>
          <w:color w:val="auto"/>
          <w:sz w:val="24"/>
        </w:rPr>
      </w:pPr>
      <w:r>
        <w:rPr>
          <w:rFonts w:hint="eastAsia" w:ascii="宋体" w:hAnsi="宋体" w:eastAsia="宋体" w:cs="宋体"/>
          <w:color w:val="auto"/>
          <w:sz w:val="24"/>
        </w:rPr>
        <w:t xml:space="preserve">    我公司作为本次采购项目的投标人，根据招标文件要求，现郑重承诺如下：</w:t>
      </w:r>
    </w:p>
    <w:p>
      <w:pPr>
        <w:spacing w:line="420" w:lineRule="auto"/>
        <w:ind w:firstLine="424" w:firstLineChars="177"/>
        <w:jc w:val="left"/>
        <w:rPr>
          <w:rFonts w:hint="eastAsia" w:ascii="宋体" w:hAnsi="宋体" w:eastAsia="宋体" w:cs="宋体"/>
          <w:color w:val="auto"/>
          <w:sz w:val="24"/>
        </w:rPr>
      </w:pPr>
      <w:r>
        <w:rPr>
          <w:rFonts w:hint="eastAsia" w:ascii="宋体" w:hAnsi="宋体" w:eastAsia="宋体" w:cs="宋体"/>
          <w:color w:val="auto"/>
          <w:sz w:val="24"/>
        </w:rPr>
        <w:t>一、具备《中华人民共和国政府采购法》第二十二条第一款和本项目规定的条件：</w:t>
      </w:r>
    </w:p>
    <w:p>
      <w:pPr>
        <w:spacing w:line="42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1.具有独立承担民事责任的能力；</w:t>
      </w:r>
    </w:p>
    <w:p>
      <w:pPr>
        <w:spacing w:line="42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2.具有良好的商业信誉和健全的财务会计制度；</w:t>
      </w:r>
    </w:p>
    <w:p>
      <w:pPr>
        <w:spacing w:line="42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3.具有履行合同所必需的设备和专业技术能力；</w:t>
      </w:r>
    </w:p>
    <w:p>
      <w:pPr>
        <w:spacing w:line="42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4.有依法缴纳税收和社会保障资金的良好记录；</w:t>
      </w:r>
    </w:p>
    <w:p>
      <w:pPr>
        <w:spacing w:line="42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5.参加政府采购活动前三年内，在经营活动中没有重大违法记录；</w:t>
      </w:r>
    </w:p>
    <w:p>
      <w:pPr>
        <w:spacing w:line="42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6.法律、行政法规规定的其他条件；</w:t>
      </w:r>
    </w:p>
    <w:p>
      <w:pPr>
        <w:spacing w:line="42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（1）我单位</w:t>
      </w:r>
      <w:r>
        <w:rPr>
          <w:rFonts w:hint="eastAsia" w:ascii="宋体" w:hAnsi="宋体" w:eastAsia="宋体" w:cs="宋体"/>
          <w:color w:val="auto"/>
          <w:sz w:val="24"/>
          <w:u w:val="single"/>
        </w:rPr>
        <w:t xml:space="preserve">        （单位名称）</w:t>
      </w:r>
      <w:r>
        <w:rPr>
          <w:rFonts w:hint="eastAsia" w:ascii="宋体" w:hAnsi="宋体" w:eastAsia="宋体" w:cs="宋体"/>
          <w:color w:val="auto"/>
          <w:sz w:val="24"/>
        </w:rPr>
        <w:t>承诺截至投标截止日未被列入失信被执行人、重大税收违法案件当事人名单、政府采购严重违法失信行为记录名单。</w:t>
      </w:r>
    </w:p>
    <w:p>
      <w:pPr>
        <w:spacing w:line="420" w:lineRule="auto"/>
        <w:ind w:firstLine="424" w:firstLineChars="177"/>
        <w:rPr>
          <w:rFonts w:hint="eastAsia" w:ascii="宋体" w:hAnsi="宋体" w:eastAsia="宋体" w:cs="宋体"/>
          <w:color w:val="auto"/>
        </w:rPr>
      </w:pPr>
      <w:bookmarkStart w:id="396" w:name="_Toc11413"/>
      <w:bookmarkStart w:id="397" w:name="_Toc18439"/>
      <w:bookmarkStart w:id="398" w:name="_Toc17076"/>
      <w:bookmarkStart w:id="399" w:name="_Toc24488"/>
      <w:bookmarkStart w:id="400" w:name="_Toc2254"/>
      <w:bookmarkStart w:id="401" w:name="_Toc17513"/>
      <w:bookmarkStart w:id="402" w:name="_Toc9017"/>
      <w:bookmarkStart w:id="403" w:name="_Toc10086"/>
      <w:bookmarkStart w:id="404" w:name="_Toc28037"/>
      <w:bookmarkStart w:id="405" w:name="_Toc15077"/>
      <w:r>
        <w:rPr>
          <w:rFonts w:hint="eastAsia" w:ascii="宋体" w:hAnsi="宋体" w:eastAsia="宋体" w:cs="宋体"/>
          <w:color w:val="auto"/>
          <w:sz w:val="24"/>
        </w:rPr>
        <w:t>（2）我单位</w:t>
      </w:r>
      <w:r>
        <w:rPr>
          <w:rFonts w:hint="eastAsia" w:ascii="宋体" w:hAnsi="宋体" w:eastAsia="宋体" w:cs="宋体"/>
          <w:color w:val="auto"/>
          <w:sz w:val="24"/>
          <w:u w:val="single"/>
        </w:rPr>
        <w:t xml:space="preserve">        （单位名称）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（法定代表人）</w:t>
      </w:r>
      <w:r>
        <w:rPr>
          <w:rFonts w:hint="eastAsia" w:ascii="宋体" w:hAnsi="宋体" w:eastAsia="宋体" w:cs="宋体"/>
          <w:color w:val="auto"/>
          <w:sz w:val="24"/>
        </w:rPr>
        <w:t>、</w:t>
      </w:r>
      <w:r>
        <w:rPr>
          <w:rFonts w:hint="eastAsia" w:ascii="宋体" w:hAnsi="宋体" w:eastAsia="宋体" w:cs="宋体"/>
          <w:color w:val="auto"/>
          <w:sz w:val="24"/>
          <w:u w:val="single"/>
        </w:rPr>
        <w:t xml:space="preserve">     （项目负责人）</w:t>
      </w:r>
      <w:r>
        <w:rPr>
          <w:rFonts w:hint="eastAsia" w:ascii="宋体" w:hAnsi="宋体" w:eastAsia="宋体" w:cs="宋体"/>
          <w:color w:val="auto"/>
          <w:sz w:val="24"/>
        </w:rPr>
        <w:t>在前三年内没有行贿犯罪记录</w:t>
      </w:r>
      <w:bookmarkEnd w:id="396"/>
      <w:bookmarkEnd w:id="397"/>
      <w:bookmarkEnd w:id="398"/>
      <w:bookmarkEnd w:id="399"/>
      <w:bookmarkEnd w:id="400"/>
      <w:r>
        <w:rPr>
          <w:rFonts w:hint="eastAsia" w:ascii="宋体" w:hAnsi="宋体" w:eastAsia="宋体" w:cs="宋体"/>
          <w:color w:val="auto"/>
          <w:sz w:val="24"/>
        </w:rPr>
        <w:t>。</w:t>
      </w:r>
      <w:bookmarkEnd w:id="401"/>
      <w:bookmarkEnd w:id="402"/>
      <w:bookmarkEnd w:id="403"/>
      <w:bookmarkEnd w:id="404"/>
      <w:bookmarkEnd w:id="405"/>
    </w:p>
    <w:p>
      <w:pPr>
        <w:spacing w:line="360" w:lineRule="auto"/>
        <w:ind w:firstLine="480"/>
        <w:rPr>
          <w:rFonts w:hint="eastAsia" w:ascii="宋体" w:hAnsi="宋体" w:eastAsia="宋体" w:cs="宋体"/>
          <w:color w:val="auto"/>
          <w:sz w:val="24"/>
        </w:rPr>
      </w:pPr>
      <w:bookmarkStart w:id="406" w:name="_Toc16372"/>
      <w:bookmarkStart w:id="407" w:name="_Toc7525"/>
      <w:bookmarkStart w:id="408" w:name="_Toc14870"/>
      <w:bookmarkStart w:id="409" w:name="_Toc3864"/>
      <w:bookmarkStart w:id="410" w:name="_Toc22548"/>
      <w:bookmarkStart w:id="411" w:name="_Toc27734"/>
      <w:bookmarkStart w:id="412" w:name="_Toc10047"/>
      <w:bookmarkStart w:id="413" w:name="_Toc29749"/>
      <w:bookmarkStart w:id="414" w:name="_Toc23222"/>
      <w:bookmarkStart w:id="415" w:name="_Toc10184"/>
      <w:r>
        <w:rPr>
          <w:rFonts w:hint="eastAsia" w:ascii="宋体" w:hAnsi="宋体" w:eastAsia="宋体" w:cs="宋体"/>
          <w:color w:val="auto"/>
          <w:sz w:val="24"/>
        </w:rPr>
        <w:t>二、我方满足本项目落实政府采购/政策需满足的资格要求；</w:t>
      </w:r>
    </w:p>
    <w:p>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三、我方满足本项目提出的</w:t>
      </w:r>
      <w:r>
        <w:rPr>
          <w:rFonts w:hint="eastAsia" w:ascii="宋体" w:hAnsi="宋体" w:eastAsia="宋体" w:cs="宋体"/>
          <w:bCs/>
          <w:color w:val="auto"/>
          <w:sz w:val="24"/>
        </w:rPr>
        <w:t>特定资格要求</w:t>
      </w:r>
      <w:r>
        <w:rPr>
          <w:rFonts w:hint="eastAsia" w:ascii="宋体" w:hAnsi="宋体" w:eastAsia="宋体" w:cs="宋体"/>
          <w:color w:val="auto"/>
          <w:sz w:val="24"/>
        </w:rPr>
        <w:t>。</w:t>
      </w:r>
    </w:p>
    <w:bookmarkEnd w:id="406"/>
    <w:bookmarkEnd w:id="407"/>
    <w:bookmarkEnd w:id="408"/>
    <w:bookmarkEnd w:id="409"/>
    <w:bookmarkEnd w:id="410"/>
    <w:bookmarkEnd w:id="411"/>
    <w:bookmarkEnd w:id="412"/>
    <w:bookmarkEnd w:id="413"/>
    <w:bookmarkEnd w:id="414"/>
    <w:bookmarkEnd w:id="415"/>
    <w:p>
      <w:pPr>
        <w:spacing w:line="420" w:lineRule="auto"/>
        <w:rPr>
          <w:rFonts w:hint="eastAsia" w:ascii="宋体" w:hAnsi="宋体" w:eastAsia="宋体" w:cs="宋体"/>
          <w:color w:val="auto"/>
        </w:rPr>
      </w:pPr>
    </w:p>
    <w:p>
      <w:pPr>
        <w:spacing w:line="420" w:lineRule="auto"/>
        <w:ind w:firstLine="480"/>
        <w:rPr>
          <w:rFonts w:hint="eastAsia" w:ascii="宋体" w:hAnsi="宋体" w:eastAsia="宋体" w:cs="宋体"/>
          <w:color w:val="auto"/>
        </w:rPr>
      </w:pPr>
      <w:r>
        <w:rPr>
          <w:rFonts w:hint="eastAsia" w:ascii="宋体" w:hAnsi="宋体" w:eastAsia="宋体" w:cs="宋体"/>
          <w:color w:val="auto"/>
          <w:sz w:val="24"/>
        </w:rPr>
        <w:t>本公司对上述承诺的内容事项真实性负责。如经查实上述承诺的内容事项存在虚假，我公司愿意接受以提供虚假材料谋取成交追究法律责任。</w:t>
      </w:r>
    </w:p>
    <w:p>
      <w:pPr>
        <w:rPr>
          <w:rFonts w:hint="eastAsia" w:ascii="宋体" w:hAnsi="宋体" w:eastAsia="宋体" w:cs="宋体"/>
          <w:color w:val="auto"/>
        </w:rPr>
      </w:pPr>
    </w:p>
    <w:p>
      <w:pPr>
        <w:spacing w:line="420" w:lineRule="auto"/>
        <w:ind w:firstLine="424" w:firstLineChars="177"/>
        <w:rPr>
          <w:rFonts w:hint="eastAsia" w:ascii="宋体" w:hAnsi="宋体" w:eastAsia="宋体" w:cs="宋体"/>
          <w:color w:val="auto"/>
          <w:sz w:val="24"/>
        </w:rPr>
      </w:pPr>
      <w:bookmarkStart w:id="416" w:name="_Toc748"/>
      <w:bookmarkStart w:id="417" w:name="_Toc26159"/>
      <w:bookmarkStart w:id="418" w:name="_Toc20517"/>
      <w:bookmarkStart w:id="419" w:name="_Toc20633"/>
      <w:bookmarkStart w:id="420" w:name="_Toc8417"/>
      <w:bookmarkStart w:id="421" w:name="_Toc593"/>
      <w:bookmarkStart w:id="422" w:name="_Toc17048"/>
      <w:bookmarkStart w:id="423" w:name="_Toc11256"/>
      <w:bookmarkStart w:id="424" w:name="_Toc1795"/>
      <w:bookmarkStart w:id="425" w:name="_Toc18218"/>
      <w:r>
        <w:rPr>
          <w:rFonts w:hint="eastAsia" w:ascii="宋体" w:hAnsi="宋体" w:eastAsia="宋体" w:cs="宋体"/>
          <w:color w:val="auto"/>
          <w:sz w:val="24"/>
        </w:rPr>
        <w:t>投标人名称：XXX（单位公章）。</w:t>
      </w:r>
      <w:bookmarkEnd w:id="416"/>
      <w:bookmarkEnd w:id="417"/>
      <w:bookmarkEnd w:id="418"/>
      <w:bookmarkEnd w:id="419"/>
      <w:bookmarkEnd w:id="420"/>
      <w:bookmarkEnd w:id="421"/>
      <w:bookmarkEnd w:id="422"/>
      <w:bookmarkEnd w:id="423"/>
      <w:bookmarkEnd w:id="424"/>
      <w:bookmarkEnd w:id="425"/>
    </w:p>
    <w:p>
      <w:pPr>
        <w:spacing w:line="420" w:lineRule="auto"/>
        <w:ind w:firstLine="424" w:firstLineChars="177"/>
        <w:rPr>
          <w:rFonts w:hint="eastAsia" w:ascii="宋体" w:hAnsi="宋体" w:eastAsia="宋体" w:cs="宋体"/>
          <w:color w:val="auto"/>
          <w:sz w:val="24"/>
        </w:rPr>
      </w:pPr>
      <w:bookmarkStart w:id="426" w:name="_Toc2049"/>
      <w:bookmarkStart w:id="427" w:name="_Toc154"/>
      <w:bookmarkStart w:id="428" w:name="_Toc8878"/>
      <w:bookmarkStart w:id="429" w:name="_Toc18010"/>
      <w:bookmarkStart w:id="430" w:name="_Toc28175"/>
      <w:bookmarkStart w:id="431" w:name="_Toc22996"/>
      <w:bookmarkStart w:id="432" w:name="_Toc31107"/>
      <w:bookmarkStart w:id="433" w:name="_Toc24451"/>
      <w:bookmarkStart w:id="434" w:name="_Toc1662"/>
      <w:bookmarkStart w:id="435" w:name="_Toc7302"/>
      <w:r>
        <w:rPr>
          <w:rFonts w:hint="eastAsia" w:ascii="宋体" w:hAnsi="宋体" w:eastAsia="宋体" w:cs="宋体"/>
          <w:color w:val="auto"/>
          <w:sz w:val="24"/>
        </w:rPr>
        <w:t>法定代表人（主要负责人）或授权代表（签字或加盖个人名章）：XXXX。</w:t>
      </w:r>
      <w:bookmarkEnd w:id="426"/>
      <w:bookmarkEnd w:id="427"/>
      <w:bookmarkEnd w:id="428"/>
      <w:bookmarkEnd w:id="429"/>
      <w:bookmarkEnd w:id="430"/>
      <w:bookmarkEnd w:id="431"/>
      <w:bookmarkEnd w:id="432"/>
      <w:bookmarkEnd w:id="433"/>
      <w:bookmarkEnd w:id="434"/>
      <w:bookmarkEnd w:id="435"/>
    </w:p>
    <w:p>
      <w:pPr>
        <w:spacing w:line="420" w:lineRule="auto"/>
        <w:ind w:firstLine="424" w:firstLineChars="177"/>
        <w:rPr>
          <w:rFonts w:hint="eastAsia" w:ascii="宋体" w:hAnsi="宋体" w:eastAsia="宋体" w:cs="宋体"/>
          <w:color w:val="auto"/>
          <w:sz w:val="24"/>
        </w:rPr>
      </w:pPr>
      <w:bookmarkStart w:id="436" w:name="_Toc8599"/>
      <w:bookmarkStart w:id="437" w:name="_Toc24207"/>
      <w:bookmarkStart w:id="438" w:name="_Toc22799"/>
      <w:bookmarkStart w:id="439" w:name="_Toc4143"/>
      <w:bookmarkStart w:id="440" w:name="_Toc28144"/>
      <w:bookmarkStart w:id="441" w:name="_Toc14615"/>
      <w:bookmarkStart w:id="442" w:name="_Toc17399"/>
      <w:bookmarkStart w:id="443" w:name="_Toc10821"/>
      <w:bookmarkStart w:id="444" w:name="_Toc27590"/>
      <w:bookmarkStart w:id="445" w:name="_Toc8120"/>
      <w:r>
        <w:rPr>
          <w:rFonts w:hint="eastAsia" w:ascii="宋体" w:hAnsi="宋体" w:eastAsia="宋体" w:cs="宋体"/>
          <w:color w:val="auto"/>
          <w:sz w:val="24"/>
        </w:rPr>
        <w:t>日      期：XXXX年XX月XX日。</w:t>
      </w:r>
      <w:bookmarkEnd w:id="436"/>
      <w:bookmarkEnd w:id="437"/>
      <w:bookmarkEnd w:id="438"/>
      <w:bookmarkEnd w:id="439"/>
      <w:bookmarkEnd w:id="440"/>
      <w:bookmarkEnd w:id="441"/>
      <w:bookmarkEnd w:id="442"/>
      <w:bookmarkEnd w:id="443"/>
      <w:bookmarkEnd w:id="444"/>
      <w:bookmarkEnd w:id="445"/>
    </w:p>
    <w:p>
      <w:pPr>
        <w:pStyle w:val="5"/>
        <w:jc w:val="center"/>
        <w:rPr>
          <w:rFonts w:hint="eastAsia" w:ascii="宋体" w:hAnsi="宋体" w:eastAsia="宋体" w:cs="宋体"/>
          <w:bCs w:val="0"/>
          <w:color w:val="auto"/>
          <w:sz w:val="28"/>
          <w:szCs w:val="28"/>
        </w:rPr>
      </w:pPr>
      <w:bookmarkStart w:id="446" w:name="_Toc13166"/>
      <w:bookmarkStart w:id="447" w:name="_Toc26780"/>
      <w:bookmarkStart w:id="448" w:name="_Toc4780"/>
      <w:bookmarkStart w:id="449" w:name="_Toc2769"/>
      <w:bookmarkStart w:id="450" w:name="_Toc14227"/>
      <w:bookmarkStart w:id="451" w:name="_Toc22317"/>
      <w:r>
        <w:rPr>
          <w:rFonts w:hint="eastAsia" w:ascii="宋体" w:hAnsi="宋体" w:eastAsia="宋体" w:cs="宋体"/>
          <w:bCs w:val="0"/>
          <w:color w:val="auto"/>
          <w:sz w:val="28"/>
          <w:szCs w:val="28"/>
          <w:lang w:val="en-US" w:eastAsia="zh-CN"/>
        </w:rPr>
        <w:t>四</w:t>
      </w:r>
      <w:r>
        <w:rPr>
          <w:rFonts w:hint="eastAsia" w:ascii="宋体" w:hAnsi="宋体" w:eastAsia="宋体" w:cs="宋体"/>
          <w:bCs w:val="0"/>
          <w:color w:val="auto"/>
          <w:sz w:val="28"/>
          <w:szCs w:val="28"/>
        </w:rPr>
        <w:t>、投标人其他资格、资质性及其他类似效力要求的相关证明材料</w:t>
      </w:r>
      <w:bookmarkEnd w:id="446"/>
      <w:bookmarkEnd w:id="447"/>
      <w:bookmarkEnd w:id="448"/>
      <w:bookmarkEnd w:id="449"/>
      <w:bookmarkEnd w:id="450"/>
      <w:bookmarkEnd w:id="451"/>
    </w:p>
    <w:p>
      <w:pPr>
        <w:rPr>
          <w:rFonts w:hint="eastAsia" w:ascii="宋体" w:hAnsi="宋体" w:eastAsia="宋体" w:cs="宋体"/>
          <w:color w:val="auto"/>
          <w:sz w:val="28"/>
          <w:szCs w:val="28"/>
        </w:rPr>
      </w:pPr>
    </w:p>
    <w:p>
      <w:pPr>
        <w:spacing w:line="360" w:lineRule="auto"/>
        <w:rPr>
          <w:rFonts w:hint="eastAsia" w:ascii="宋体" w:hAnsi="宋体" w:eastAsia="宋体" w:cs="宋体"/>
          <w:bCs/>
          <w:color w:val="auto"/>
          <w:sz w:val="24"/>
        </w:rPr>
        <w:sectPr>
          <w:pgSz w:w="11907" w:h="16840"/>
          <w:pgMar w:top="1843" w:right="1701" w:bottom="1418" w:left="1418" w:header="851" w:footer="851" w:gutter="0"/>
          <w:pgBorders w:offsetFrom="page">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bCs/>
          <w:color w:val="auto"/>
          <w:sz w:val="24"/>
        </w:rPr>
        <w:t>注：投标人应按招标文件第四章、第五章相关要求提供佐证材料，有格式要求的从其要求，无格式要求的格式自拟。</w:t>
      </w:r>
    </w:p>
    <w:p>
      <w:pPr>
        <w:pStyle w:val="5"/>
        <w:jc w:val="center"/>
        <w:rPr>
          <w:rFonts w:hint="eastAsia" w:ascii="宋体" w:hAnsi="宋体" w:eastAsia="宋体" w:cs="宋体"/>
          <w:b w:val="0"/>
          <w:color w:val="auto"/>
        </w:rPr>
      </w:pPr>
      <w:r>
        <w:rPr>
          <w:rFonts w:hint="eastAsia" w:ascii="宋体" w:hAnsi="宋体" w:eastAsia="宋体" w:cs="宋体"/>
          <w:color w:val="auto"/>
        </w:rPr>
        <w:t>第二部分 “其他响应性投标文件”格式</w:t>
      </w:r>
    </w:p>
    <w:p>
      <w:pPr>
        <w:pStyle w:val="5"/>
        <w:rPr>
          <w:rFonts w:hint="eastAsia" w:ascii="宋体" w:hAnsi="宋体" w:eastAsia="宋体" w:cs="宋体"/>
          <w:b w:val="0"/>
          <w:color w:val="auto"/>
        </w:rPr>
      </w:pPr>
      <w:r>
        <w:rPr>
          <w:rFonts w:hint="eastAsia" w:ascii="宋体" w:hAnsi="宋体" w:eastAsia="宋体" w:cs="宋体"/>
          <w:b w:val="0"/>
          <w:color w:val="auto"/>
        </w:rPr>
        <w:t>封面：</w:t>
      </w:r>
    </w:p>
    <w:p>
      <w:pPr>
        <w:spacing w:line="360" w:lineRule="auto"/>
        <w:jc w:val="right"/>
        <w:rPr>
          <w:rFonts w:hint="eastAsia" w:ascii="宋体" w:hAnsi="宋体" w:eastAsia="宋体" w:cs="宋体"/>
          <w:b/>
          <w:color w:val="auto"/>
          <w:sz w:val="36"/>
        </w:rPr>
      </w:pPr>
    </w:p>
    <w:p>
      <w:pPr>
        <w:spacing w:line="360" w:lineRule="auto"/>
        <w:rPr>
          <w:rFonts w:hint="eastAsia" w:ascii="宋体" w:hAnsi="宋体" w:eastAsia="宋体" w:cs="宋体"/>
          <w:b/>
          <w:color w:val="auto"/>
          <w:sz w:val="32"/>
          <w:szCs w:val="32"/>
        </w:rPr>
      </w:pPr>
    </w:p>
    <w:p>
      <w:pPr>
        <w:spacing w:line="360" w:lineRule="auto"/>
        <w:rPr>
          <w:rFonts w:hint="eastAsia" w:ascii="宋体" w:hAnsi="宋体" w:eastAsia="宋体" w:cs="宋体"/>
          <w:b/>
          <w:color w:val="auto"/>
          <w:sz w:val="32"/>
          <w:szCs w:val="32"/>
        </w:rPr>
      </w:pPr>
    </w:p>
    <w:p>
      <w:pPr>
        <w:spacing w:line="360" w:lineRule="auto"/>
        <w:jc w:val="center"/>
        <w:rPr>
          <w:rFonts w:hint="eastAsia" w:ascii="宋体" w:hAnsi="宋体" w:eastAsia="宋体" w:cs="宋体"/>
          <w:b/>
          <w:color w:val="auto"/>
          <w:sz w:val="72"/>
        </w:rPr>
      </w:pPr>
      <w:r>
        <w:rPr>
          <w:rFonts w:hint="eastAsia" w:ascii="宋体" w:hAnsi="宋体" w:eastAsia="宋体" w:cs="宋体"/>
          <w:b/>
          <w:color w:val="auto"/>
          <w:sz w:val="40"/>
          <w:szCs w:val="48"/>
          <w:u w:val="single"/>
        </w:rPr>
        <w:t xml:space="preserve">                      </w:t>
      </w:r>
      <w:r>
        <w:rPr>
          <w:rFonts w:hint="eastAsia" w:ascii="宋体" w:hAnsi="宋体" w:eastAsia="宋体" w:cs="宋体"/>
          <w:b/>
          <w:color w:val="auto"/>
          <w:sz w:val="40"/>
          <w:szCs w:val="48"/>
        </w:rPr>
        <w:t>项目</w:t>
      </w:r>
    </w:p>
    <w:p>
      <w:pPr>
        <w:spacing w:line="360" w:lineRule="auto"/>
        <w:rPr>
          <w:rFonts w:hint="eastAsia" w:ascii="宋体" w:hAnsi="宋体" w:eastAsia="宋体" w:cs="宋体"/>
          <w:b/>
          <w:color w:val="auto"/>
          <w:sz w:val="52"/>
          <w:szCs w:val="52"/>
        </w:rPr>
      </w:pPr>
    </w:p>
    <w:p>
      <w:pPr>
        <w:spacing w:line="360" w:lineRule="auto"/>
        <w:jc w:val="center"/>
        <w:rPr>
          <w:rFonts w:hint="eastAsia" w:ascii="宋体" w:hAnsi="宋体" w:eastAsia="宋体" w:cs="宋体"/>
          <w:b/>
          <w:color w:val="auto"/>
          <w:sz w:val="52"/>
          <w:szCs w:val="52"/>
        </w:rPr>
      </w:pPr>
      <w:r>
        <w:rPr>
          <w:rFonts w:hint="eastAsia" w:ascii="宋体" w:hAnsi="宋体" w:eastAsia="宋体" w:cs="宋体"/>
          <w:b/>
          <w:color w:val="auto"/>
          <w:sz w:val="52"/>
          <w:szCs w:val="52"/>
        </w:rPr>
        <w:t>其他响应性投标文件</w:t>
      </w:r>
    </w:p>
    <w:p>
      <w:pPr>
        <w:rPr>
          <w:rFonts w:hint="eastAsia" w:ascii="宋体" w:hAnsi="宋体" w:eastAsia="宋体" w:cs="宋体"/>
          <w:color w:val="auto"/>
          <w:sz w:val="52"/>
          <w:szCs w:val="72"/>
        </w:rPr>
      </w:pPr>
    </w:p>
    <w:p>
      <w:pPr>
        <w:spacing w:line="360" w:lineRule="auto"/>
        <w:jc w:val="center"/>
        <w:rPr>
          <w:rFonts w:hint="eastAsia" w:ascii="宋体" w:hAnsi="宋体" w:eastAsia="宋体" w:cs="宋体"/>
          <w:b/>
          <w:color w:val="auto"/>
          <w:sz w:val="36"/>
        </w:rPr>
      </w:pPr>
      <w:r>
        <w:rPr>
          <w:rFonts w:hint="eastAsia" w:ascii="宋体" w:hAnsi="宋体" w:eastAsia="宋体" w:cs="宋体"/>
          <w:b/>
          <w:color w:val="auto"/>
          <w:sz w:val="36"/>
        </w:rPr>
        <w:t>第</w:t>
      </w:r>
      <w:r>
        <w:rPr>
          <w:rFonts w:hint="eastAsia" w:ascii="宋体" w:hAnsi="宋体" w:eastAsia="宋体" w:cs="宋体"/>
          <w:b/>
          <w:color w:val="auto"/>
          <w:sz w:val="36"/>
          <w:u w:val="single"/>
        </w:rPr>
        <w:t xml:space="preserve">   </w:t>
      </w:r>
      <w:r>
        <w:rPr>
          <w:rFonts w:hint="eastAsia" w:ascii="宋体" w:hAnsi="宋体" w:eastAsia="宋体" w:cs="宋体"/>
          <w:b/>
          <w:color w:val="auto"/>
          <w:sz w:val="36"/>
        </w:rPr>
        <w:t>包</w:t>
      </w:r>
    </w:p>
    <w:p>
      <w:pPr>
        <w:rPr>
          <w:rFonts w:hint="eastAsia" w:ascii="宋体" w:hAnsi="宋体" w:eastAsia="宋体" w:cs="宋体"/>
          <w:color w:val="auto"/>
          <w:sz w:val="52"/>
          <w:szCs w:val="72"/>
        </w:rPr>
      </w:pPr>
    </w:p>
    <w:p>
      <w:pPr>
        <w:spacing w:line="360" w:lineRule="auto"/>
        <w:jc w:val="left"/>
        <w:rPr>
          <w:rFonts w:hint="eastAsia" w:ascii="宋体" w:hAnsi="宋体" w:eastAsia="宋体" w:cs="宋体"/>
          <w:b/>
          <w:color w:val="auto"/>
          <w:sz w:val="32"/>
          <w:u w:val="single"/>
        </w:rPr>
      </w:pPr>
      <w:r>
        <w:rPr>
          <w:rFonts w:hint="eastAsia" w:ascii="宋体" w:hAnsi="宋体" w:eastAsia="宋体" w:cs="宋体"/>
          <w:b/>
          <w:color w:val="auto"/>
          <w:sz w:val="32"/>
        </w:rPr>
        <w:t>投标人名称：</w:t>
      </w:r>
      <w:r>
        <w:rPr>
          <w:rFonts w:hint="eastAsia" w:ascii="宋体" w:hAnsi="宋体" w:eastAsia="宋体" w:cs="宋体"/>
          <w:b/>
          <w:color w:val="auto"/>
          <w:sz w:val="32"/>
          <w:u w:val="single"/>
        </w:rPr>
        <w:t xml:space="preserve">                                 </w:t>
      </w:r>
    </w:p>
    <w:p>
      <w:pPr>
        <w:spacing w:line="360" w:lineRule="auto"/>
        <w:jc w:val="left"/>
        <w:rPr>
          <w:rFonts w:hint="eastAsia" w:ascii="宋体" w:hAnsi="宋体" w:eastAsia="宋体" w:cs="宋体"/>
          <w:b/>
          <w:color w:val="auto"/>
          <w:sz w:val="32"/>
          <w:u w:val="single"/>
        </w:rPr>
      </w:pPr>
      <w:r>
        <w:rPr>
          <w:rFonts w:hint="eastAsia" w:ascii="宋体" w:hAnsi="宋体" w:eastAsia="宋体" w:cs="宋体"/>
          <w:b/>
          <w:color w:val="auto"/>
          <w:sz w:val="32"/>
        </w:rPr>
        <w:t>采购项目编号：</w:t>
      </w:r>
      <w:r>
        <w:rPr>
          <w:rFonts w:hint="eastAsia" w:ascii="宋体" w:hAnsi="宋体" w:eastAsia="宋体" w:cs="宋体"/>
          <w:b/>
          <w:color w:val="auto"/>
          <w:sz w:val="32"/>
          <w:u w:val="single"/>
        </w:rPr>
        <w:t xml:space="preserve">                               </w:t>
      </w:r>
    </w:p>
    <w:p>
      <w:pPr>
        <w:spacing w:line="360" w:lineRule="auto"/>
        <w:ind w:firstLine="790" w:firstLineChars="246"/>
        <w:jc w:val="center"/>
        <w:rPr>
          <w:rFonts w:hint="eastAsia" w:ascii="宋体" w:hAnsi="宋体" w:eastAsia="宋体" w:cs="宋体"/>
          <w:b/>
          <w:color w:val="auto"/>
          <w:sz w:val="32"/>
        </w:rPr>
      </w:pPr>
    </w:p>
    <w:p>
      <w:pPr>
        <w:pStyle w:val="89"/>
        <w:spacing w:line="360" w:lineRule="auto"/>
        <w:rPr>
          <w:rFonts w:hint="eastAsia" w:ascii="宋体" w:hAnsi="宋体" w:eastAsia="宋体" w:cs="宋体"/>
          <w:color w:val="auto"/>
        </w:rPr>
      </w:pPr>
    </w:p>
    <w:p>
      <w:pPr>
        <w:widowControl/>
        <w:jc w:val="center"/>
        <w:rPr>
          <w:rFonts w:hint="eastAsia" w:ascii="宋体" w:hAnsi="宋体" w:eastAsia="宋体" w:cs="宋体"/>
          <w:b/>
          <w:bCs/>
          <w:color w:val="auto"/>
        </w:rPr>
      </w:pPr>
      <w:r>
        <w:rPr>
          <w:rFonts w:hint="eastAsia" w:ascii="宋体" w:hAnsi="宋体" w:eastAsia="宋体" w:cs="宋体"/>
          <w:b/>
          <w:color w:val="auto"/>
          <w:sz w:val="32"/>
        </w:rPr>
        <w:t>投标时间：</w:t>
      </w:r>
      <w:r>
        <w:rPr>
          <w:rFonts w:hint="eastAsia" w:ascii="宋体" w:hAnsi="宋体" w:eastAsia="宋体" w:cs="宋体"/>
          <w:b/>
          <w:color w:val="auto"/>
          <w:sz w:val="32"/>
          <w:u w:val="single"/>
        </w:rPr>
        <w:t xml:space="preserve">    </w:t>
      </w:r>
      <w:r>
        <w:rPr>
          <w:rFonts w:hint="eastAsia" w:ascii="宋体" w:hAnsi="宋体" w:eastAsia="宋体" w:cs="宋体"/>
          <w:b/>
          <w:color w:val="auto"/>
          <w:sz w:val="32"/>
        </w:rPr>
        <w:t>年</w:t>
      </w:r>
      <w:r>
        <w:rPr>
          <w:rFonts w:hint="eastAsia" w:ascii="宋体" w:hAnsi="宋体" w:eastAsia="宋体" w:cs="宋体"/>
          <w:b/>
          <w:color w:val="auto"/>
          <w:sz w:val="32"/>
          <w:u w:val="single"/>
        </w:rPr>
        <w:t xml:space="preserve">   </w:t>
      </w:r>
      <w:r>
        <w:rPr>
          <w:rFonts w:hint="eastAsia" w:ascii="宋体" w:hAnsi="宋体" w:eastAsia="宋体" w:cs="宋体"/>
          <w:b/>
          <w:color w:val="auto"/>
          <w:sz w:val="32"/>
        </w:rPr>
        <w:t>月</w:t>
      </w:r>
      <w:r>
        <w:rPr>
          <w:rFonts w:hint="eastAsia" w:ascii="宋体" w:hAnsi="宋体" w:eastAsia="宋体" w:cs="宋体"/>
          <w:b/>
          <w:color w:val="auto"/>
          <w:sz w:val="32"/>
          <w:u w:val="single"/>
        </w:rPr>
        <w:t xml:space="preserve">   </w:t>
      </w:r>
      <w:r>
        <w:rPr>
          <w:rFonts w:hint="eastAsia" w:ascii="宋体" w:hAnsi="宋体" w:eastAsia="宋体" w:cs="宋体"/>
          <w:b/>
          <w:color w:val="auto"/>
          <w:sz w:val="32"/>
        </w:rPr>
        <w:t>日</w:t>
      </w:r>
    </w:p>
    <w:p>
      <w:pPr>
        <w:rPr>
          <w:rFonts w:hint="eastAsia" w:ascii="宋体" w:hAnsi="宋体" w:eastAsia="宋体" w:cs="宋体"/>
          <w:b/>
          <w:color w:val="auto"/>
          <w:sz w:val="24"/>
        </w:rPr>
      </w:pPr>
    </w:p>
    <w:p>
      <w:pPr>
        <w:pStyle w:val="89"/>
        <w:rPr>
          <w:rFonts w:hint="eastAsia" w:ascii="宋体" w:hAnsi="宋体" w:eastAsia="宋体" w:cs="宋体"/>
          <w:b/>
          <w:color w:val="auto"/>
        </w:rPr>
      </w:pPr>
    </w:p>
    <w:p>
      <w:pPr>
        <w:rPr>
          <w:rFonts w:hint="eastAsia" w:ascii="宋体" w:hAnsi="宋体" w:eastAsia="宋体" w:cs="宋体"/>
          <w:b/>
          <w:color w:val="auto"/>
          <w:sz w:val="24"/>
        </w:rPr>
      </w:pPr>
    </w:p>
    <w:p>
      <w:pPr>
        <w:pStyle w:val="89"/>
        <w:rPr>
          <w:rFonts w:hint="eastAsia" w:ascii="宋体" w:hAnsi="宋体" w:eastAsia="宋体" w:cs="宋体"/>
          <w:b/>
          <w:color w:val="auto"/>
        </w:rPr>
      </w:pPr>
    </w:p>
    <w:bookmarkEnd w:id="372"/>
    <w:bookmarkEnd w:id="373"/>
    <w:p>
      <w:pPr>
        <w:pStyle w:val="5"/>
        <w:jc w:val="center"/>
        <w:rPr>
          <w:rFonts w:hint="eastAsia" w:ascii="宋体" w:hAnsi="宋体" w:eastAsia="宋体" w:cs="宋体"/>
          <w:b w:val="0"/>
          <w:color w:val="auto"/>
          <w:szCs w:val="30"/>
        </w:rPr>
      </w:pPr>
      <w:bookmarkStart w:id="452" w:name="_Toc6330"/>
      <w:bookmarkStart w:id="453" w:name="_Toc15843"/>
      <w:bookmarkStart w:id="454" w:name="_Toc24973"/>
      <w:bookmarkStart w:id="455" w:name="_Toc16241"/>
      <w:bookmarkStart w:id="456" w:name="_Toc14001"/>
      <w:bookmarkStart w:id="457" w:name="_Toc7294"/>
      <w:r>
        <w:rPr>
          <w:rFonts w:hint="eastAsia" w:ascii="宋体" w:hAnsi="宋体" w:eastAsia="宋体" w:cs="宋体"/>
          <w:b w:val="0"/>
          <w:color w:val="auto"/>
          <w:szCs w:val="30"/>
        </w:rPr>
        <w:br w:type="page"/>
      </w:r>
      <w:r>
        <w:rPr>
          <w:rFonts w:hint="eastAsia" w:ascii="宋体" w:hAnsi="宋体" w:eastAsia="宋体" w:cs="宋体"/>
          <w:color w:val="auto"/>
        </w:rPr>
        <w:t>目 录</w:t>
      </w:r>
    </w:p>
    <w:p>
      <w:pPr>
        <w:widowControl/>
        <w:tabs>
          <w:tab w:val="right" w:leader="dot" w:pos="8400"/>
        </w:tabs>
        <w:spacing w:after="100" w:line="360" w:lineRule="auto"/>
        <w:ind w:left="890" w:leftChars="1" w:right="651" w:rightChars="310" w:hanging="888" w:hangingChars="370"/>
        <w:jc w:val="center"/>
        <w:rPr>
          <w:rFonts w:hint="eastAsia" w:ascii="宋体" w:hAnsi="宋体" w:eastAsia="宋体" w:cs="宋体"/>
          <w:color w:val="auto"/>
          <w:sz w:val="24"/>
        </w:rPr>
      </w:pPr>
      <w:r>
        <w:rPr>
          <w:rFonts w:hint="eastAsia" w:ascii="宋体" w:hAnsi="宋体" w:eastAsia="宋体" w:cs="宋体"/>
          <w:color w:val="auto"/>
          <w:kern w:val="0"/>
          <w:sz w:val="24"/>
        </w:rPr>
        <w:t>格式自拟</w:t>
      </w: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pStyle w:val="5"/>
        <w:jc w:val="center"/>
        <w:rPr>
          <w:rFonts w:hint="eastAsia" w:ascii="宋体" w:hAnsi="宋体" w:eastAsia="宋体" w:cs="宋体"/>
          <w:bCs w:val="0"/>
          <w:color w:val="auto"/>
          <w:sz w:val="28"/>
          <w:szCs w:val="28"/>
          <w:lang w:eastAsia="zh-CN"/>
        </w:rPr>
      </w:pPr>
      <w:r>
        <w:rPr>
          <w:rFonts w:hint="eastAsia" w:ascii="宋体" w:hAnsi="宋体" w:eastAsia="宋体" w:cs="宋体"/>
          <w:b w:val="0"/>
          <w:color w:val="auto"/>
          <w:sz w:val="28"/>
          <w:szCs w:val="28"/>
        </w:rPr>
        <w:br w:type="page"/>
      </w:r>
      <w:r>
        <w:rPr>
          <w:rFonts w:hint="eastAsia" w:ascii="宋体" w:hAnsi="宋体" w:eastAsia="宋体" w:cs="宋体"/>
          <w:color w:val="auto"/>
          <w:lang w:val="en-US" w:eastAsia="zh-CN"/>
        </w:rPr>
        <w:t>一、投 标 函</w:t>
      </w:r>
      <w:bookmarkEnd w:id="452"/>
      <w:bookmarkEnd w:id="453"/>
      <w:bookmarkEnd w:id="454"/>
      <w:bookmarkEnd w:id="455"/>
      <w:bookmarkEnd w:id="456"/>
      <w:bookmarkEnd w:id="457"/>
      <w:r>
        <w:rPr>
          <w:rFonts w:hint="eastAsia" w:ascii="宋体" w:hAnsi="宋体" w:eastAsia="宋体" w:cs="宋体"/>
          <w:color w:val="auto"/>
          <w:lang w:val="en-US" w:eastAsia="zh-CN"/>
        </w:rPr>
        <w:t xml:space="preserve"> </w:t>
      </w:r>
    </w:p>
    <w:p>
      <w:pPr>
        <w:spacing w:line="360" w:lineRule="auto"/>
        <w:rPr>
          <w:rFonts w:hint="eastAsia" w:ascii="宋体" w:hAnsi="宋体" w:eastAsia="宋体" w:cs="宋体"/>
          <w:color w:val="auto"/>
          <w:sz w:val="24"/>
        </w:rPr>
      </w:pPr>
      <w:bookmarkStart w:id="458" w:name="_Toc21335"/>
      <w:bookmarkStart w:id="459" w:name="_Toc4600"/>
      <w:bookmarkStart w:id="460" w:name="_Toc26334"/>
      <w:bookmarkStart w:id="461" w:name="_Toc27044"/>
      <w:bookmarkStart w:id="462" w:name="_Toc23471"/>
      <w:bookmarkStart w:id="463" w:name="_Toc21967"/>
      <w:r>
        <w:rPr>
          <w:rFonts w:hint="eastAsia" w:ascii="宋体" w:hAnsi="宋体" w:eastAsia="宋体" w:cs="宋体"/>
          <w:color w:val="auto"/>
          <w:sz w:val="24"/>
        </w:rPr>
        <w:t>XXXX XXXX（招标代理机构名称）：</w:t>
      </w:r>
      <w:bookmarkEnd w:id="458"/>
      <w:bookmarkEnd w:id="459"/>
      <w:bookmarkEnd w:id="460"/>
      <w:bookmarkEnd w:id="461"/>
      <w:bookmarkEnd w:id="462"/>
      <w:bookmarkEnd w:id="463"/>
    </w:p>
    <w:p>
      <w:pPr>
        <w:spacing w:line="360" w:lineRule="auto"/>
        <w:ind w:firstLine="480" w:firstLineChars="200"/>
        <w:rPr>
          <w:rFonts w:hint="eastAsia" w:ascii="宋体" w:hAnsi="宋体" w:eastAsia="宋体" w:cs="宋体"/>
          <w:color w:val="auto"/>
          <w:sz w:val="24"/>
        </w:rPr>
      </w:pPr>
      <w:bookmarkStart w:id="464" w:name="_Toc21444"/>
      <w:bookmarkStart w:id="465" w:name="_Toc12980"/>
      <w:bookmarkStart w:id="466" w:name="_Toc25114"/>
      <w:bookmarkStart w:id="467" w:name="_Toc22991"/>
      <w:bookmarkStart w:id="468" w:name="_Toc14881"/>
      <w:bookmarkStart w:id="469" w:name="_Toc12190"/>
      <w:r>
        <w:rPr>
          <w:rFonts w:hint="eastAsia" w:ascii="宋体" w:hAnsi="宋体" w:eastAsia="宋体" w:cs="宋体"/>
          <w:color w:val="auto"/>
          <w:sz w:val="24"/>
        </w:rPr>
        <w:t>我方全面研究了“</w:t>
      </w:r>
      <w:r>
        <w:rPr>
          <w:rFonts w:hint="eastAsia" w:ascii="宋体" w:hAnsi="宋体" w:eastAsia="宋体" w:cs="宋体"/>
          <w:color w:val="auto"/>
          <w:sz w:val="24"/>
          <w:u w:val="single"/>
        </w:rPr>
        <w:t>XXXXXXXX</w:t>
      </w:r>
      <w:r>
        <w:rPr>
          <w:rFonts w:hint="eastAsia" w:ascii="宋体" w:hAnsi="宋体" w:eastAsia="宋体" w:cs="宋体"/>
          <w:color w:val="auto"/>
          <w:sz w:val="24"/>
        </w:rPr>
        <w:t>”项目（项目编号：</w:t>
      </w:r>
      <w:r>
        <w:rPr>
          <w:rFonts w:hint="eastAsia" w:ascii="宋体" w:hAnsi="宋体" w:eastAsia="宋体" w:cs="宋体"/>
          <w:color w:val="auto"/>
          <w:sz w:val="24"/>
          <w:u w:val="single"/>
        </w:rPr>
        <w:t>XXXX</w:t>
      </w:r>
      <w:r>
        <w:rPr>
          <w:rFonts w:hint="eastAsia" w:ascii="宋体" w:hAnsi="宋体" w:eastAsia="宋体" w:cs="宋体"/>
          <w:color w:val="auto"/>
          <w:sz w:val="24"/>
        </w:rPr>
        <w:t>）招标文件，决定参加贵单位组织的本项目第</w:t>
      </w:r>
      <w:r>
        <w:rPr>
          <w:rFonts w:hint="eastAsia" w:ascii="宋体" w:hAnsi="宋体" w:eastAsia="宋体" w:cs="宋体"/>
          <w:color w:val="auto"/>
          <w:sz w:val="24"/>
          <w:u w:val="single"/>
        </w:rPr>
        <w:t xml:space="preserve"> XXX  </w:t>
      </w:r>
      <w:r>
        <w:rPr>
          <w:rFonts w:hint="eastAsia" w:ascii="宋体" w:hAnsi="宋体" w:eastAsia="宋体" w:cs="宋体"/>
          <w:color w:val="auto"/>
          <w:sz w:val="24"/>
        </w:rPr>
        <w:t>包投标。我方授权</w:t>
      </w:r>
      <w:r>
        <w:rPr>
          <w:rFonts w:hint="eastAsia" w:ascii="宋体" w:hAnsi="宋体" w:eastAsia="宋体" w:cs="宋体"/>
          <w:color w:val="auto"/>
          <w:sz w:val="24"/>
          <w:u w:val="single"/>
        </w:rPr>
        <w:t>XXXX</w:t>
      </w:r>
      <w:r>
        <w:rPr>
          <w:rFonts w:hint="eastAsia" w:ascii="宋体" w:hAnsi="宋体" w:eastAsia="宋体" w:cs="宋体"/>
          <w:color w:val="auto"/>
          <w:sz w:val="24"/>
        </w:rPr>
        <w:t>（姓名、职务）代表我方</w:t>
      </w:r>
      <w:r>
        <w:rPr>
          <w:rFonts w:hint="eastAsia" w:ascii="宋体" w:hAnsi="宋体" w:eastAsia="宋体" w:cs="宋体"/>
          <w:color w:val="auto"/>
          <w:sz w:val="24"/>
          <w:u w:val="single"/>
        </w:rPr>
        <w:t>XXXXXXXX</w:t>
      </w:r>
      <w:r>
        <w:rPr>
          <w:rFonts w:hint="eastAsia" w:ascii="宋体" w:hAnsi="宋体" w:eastAsia="宋体" w:cs="宋体"/>
          <w:color w:val="auto"/>
          <w:sz w:val="24"/>
        </w:rPr>
        <w:t>（投标单位的名称）全权处理本项目投标的有关事宜。</w:t>
      </w:r>
      <w:bookmarkEnd w:id="464"/>
      <w:bookmarkEnd w:id="465"/>
      <w:bookmarkEnd w:id="466"/>
      <w:bookmarkEnd w:id="467"/>
      <w:bookmarkEnd w:id="468"/>
      <w:bookmarkEnd w:id="469"/>
    </w:p>
    <w:p>
      <w:pPr>
        <w:spacing w:line="360" w:lineRule="auto"/>
        <w:ind w:firstLine="480" w:firstLineChars="200"/>
        <w:rPr>
          <w:rFonts w:hint="eastAsia" w:ascii="宋体" w:hAnsi="宋体" w:eastAsia="宋体" w:cs="宋体"/>
          <w:color w:val="auto"/>
        </w:rPr>
      </w:pPr>
      <w:bookmarkStart w:id="470" w:name="_Toc9037"/>
      <w:bookmarkStart w:id="471" w:name="_Toc20492"/>
      <w:bookmarkStart w:id="472" w:name="_Toc21889"/>
      <w:bookmarkStart w:id="473" w:name="_Toc13567"/>
      <w:bookmarkStart w:id="474" w:name="_Toc9131"/>
      <w:bookmarkStart w:id="475" w:name="_Toc11883"/>
      <w:r>
        <w:rPr>
          <w:rFonts w:hint="eastAsia" w:ascii="宋体" w:hAnsi="宋体" w:eastAsia="宋体" w:cs="宋体"/>
          <w:color w:val="auto"/>
          <w:sz w:val="24"/>
          <w:lang w:val="en-US" w:eastAsia="zh-CN"/>
        </w:rPr>
        <w:t>1</w:t>
      </w:r>
      <w:r>
        <w:rPr>
          <w:rFonts w:hint="eastAsia" w:ascii="宋体" w:hAnsi="宋体" w:eastAsia="宋体" w:cs="宋体"/>
          <w:color w:val="auto"/>
          <w:sz w:val="24"/>
        </w:rPr>
        <w:t>、我方自愿按照招标文件规定的各项要求向招标人提供所需服务，投标</w:t>
      </w:r>
      <w:bookmarkEnd w:id="470"/>
      <w:bookmarkStart w:id="476" w:name="_Toc18615"/>
      <w:r>
        <w:rPr>
          <w:rFonts w:hint="eastAsia" w:ascii="宋体" w:hAnsi="宋体" w:eastAsia="宋体" w:cs="宋体"/>
          <w:color w:val="auto"/>
          <w:sz w:val="24"/>
        </w:rPr>
        <w:t>报价以“开标一览表为准”。</w:t>
      </w:r>
      <w:bookmarkEnd w:id="471"/>
      <w:bookmarkEnd w:id="472"/>
      <w:bookmarkEnd w:id="473"/>
      <w:bookmarkEnd w:id="474"/>
      <w:bookmarkEnd w:id="475"/>
    </w:p>
    <w:p>
      <w:pPr>
        <w:spacing w:line="360" w:lineRule="auto"/>
        <w:ind w:firstLine="480" w:firstLineChars="200"/>
        <w:rPr>
          <w:rFonts w:hint="eastAsia" w:ascii="宋体" w:hAnsi="宋体" w:eastAsia="宋体" w:cs="宋体"/>
          <w:color w:val="auto"/>
          <w:sz w:val="24"/>
        </w:rPr>
      </w:pPr>
      <w:bookmarkStart w:id="477" w:name="_Toc9145"/>
      <w:bookmarkStart w:id="478" w:name="_Toc31353"/>
      <w:bookmarkStart w:id="479" w:name="_Toc14235"/>
      <w:bookmarkStart w:id="480" w:name="_Toc19486"/>
      <w:bookmarkStart w:id="481" w:name="_Toc24330"/>
      <w:r>
        <w:rPr>
          <w:rFonts w:hint="eastAsia" w:ascii="宋体" w:hAnsi="宋体" w:eastAsia="宋体" w:cs="宋体"/>
          <w:color w:val="auto"/>
          <w:sz w:val="24"/>
          <w:lang w:val="en-US" w:eastAsia="zh-CN"/>
        </w:rPr>
        <w:t>2</w:t>
      </w:r>
      <w:r>
        <w:rPr>
          <w:rFonts w:hint="eastAsia" w:ascii="宋体" w:hAnsi="宋体" w:eastAsia="宋体" w:cs="宋体"/>
          <w:color w:val="auto"/>
          <w:sz w:val="24"/>
        </w:rPr>
        <w:t>、一旦我方中标，我方将严格履行政府采购合同规定的责任和义务。</w:t>
      </w:r>
      <w:bookmarkEnd w:id="476"/>
      <w:bookmarkEnd w:id="477"/>
      <w:bookmarkEnd w:id="478"/>
      <w:bookmarkEnd w:id="479"/>
      <w:bookmarkEnd w:id="480"/>
      <w:bookmarkEnd w:id="481"/>
    </w:p>
    <w:p>
      <w:pPr>
        <w:spacing w:line="360" w:lineRule="auto"/>
        <w:ind w:firstLine="480" w:firstLineChars="200"/>
        <w:rPr>
          <w:rFonts w:hint="eastAsia" w:ascii="宋体" w:hAnsi="宋体" w:eastAsia="宋体" w:cs="宋体"/>
          <w:color w:val="auto"/>
          <w:sz w:val="24"/>
        </w:rPr>
      </w:pPr>
      <w:bookmarkStart w:id="482" w:name="_Toc21953"/>
      <w:bookmarkStart w:id="483" w:name="_Toc7566"/>
      <w:bookmarkStart w:id="484" w:name="_Toc31905"/>
      <w:bookmarkStart w:id="485" w:name="_Toc22108"/>
      <w:bookmarkStart w:id="486" w:name="_Toc6548"/>
      <w:bookmarkStart w:id="487" w:name="_Toc4693"/>
      <w:r>
        <w:rPr>
          <w:rFonts w:hint="eastAsia" w:ascii="宋体" w:hAnsi="宋体" w:eastAsia="宋体" w:cs="宋体"/>
          <w:color w:val="auto"/>
          <w:sz w:val="24"/>
          <w:lang w:val="en-US" w:eastAsia="zh-CN"/>
        </w:rPr>
        <w:t>3</w:t>
      </w:r>
      <w:r>
        <w:rPr>
          <w:rFonts w:hint="eastAsia" w:ascii="宋体" w:hAnsi="宋体" w:eastAsia="宋体" w:cs="宋体"/>
          <w:color w:val="auto"/>
          <w:sz w:val="24"/>
        </w:rPr>
        <w:t>、我方同意</w:t>
      </w:r>
      <w:bookmarkEnd w:id="482"/>
      <w:r>
        <w:rPr>
          <w:rFonts w:hint="eastAsia" w:ascii="宋体" w:hAnsi="宋体" w:eastAsia="宋体" w:cs="宋体"/>
          <w:color w:val="auto"/>
          <w:sz w:val="24"/>
        </w:rPr>
        <w:t>本项目投标有效期为投标截止时间起90日历天。</w:t>
      </w:r>
      <w:bookmarkEnd w:id="483"/>
      <w:bookmarkEnd w:id="484"/>
      <w:bookmarkEnd w:id="485"/>
      <w:bookmarkEnd w:id="486"/>
      <w:bookmarkEnd w:id="487"/>
    </w:p>
    <w:p>
      <w:pPr>
        <w:spacing w:line="360" w:lineRule="auto"/>
        <w:ind w:firstLine="480" w:firstLineChars="200"/>
        <w:rPr>
          <w:rFonts w:hint="eastAsia" w:ascii="宋体" w:hAnsi="宋体" w:eastAsia="宋体" w:cs="宋体"/>
          <w:color w:val="auto"/>
          <w:sz w:val="24"/>
        </w:rPr>
      </w:pPr>
      <w:bookmarkStart w:id="488" w:name="_Toc7902"/>
      <w:bookmarkStart w:id="489" w:name="_Toc6358"/>
      <w:bookmarkStart w:id="490" w:name="_Toc25687"/>
      <w:bookmarkStart w:id="491" w:name="_Toc28540"/>
      <w:bookmarkStart w:id="492" w:name="_Toc1359"/>
      <w:bookmarkStart w:id="493" w:name="_Toc24327"/>
      <w:r>
        <w:rPr>
          <w:rFonts w:hint="eastAsia" w:ascii="宋体" w:hAnsi="宋体" w:eastAsia="宋体" w:cs="宋体"/>
          <w:color w:val="auto"/>
          <w:sz w:val="24"/>
          <w:lang w:val="en-US" w:eastAsia="zh-CN"/>
        </w:rPr>
        <w:t>4</w:t>
      </w:r>
      <w:r>
        <w:rPr>
          <w:rFonts w:hint="eastAsia" w:ascii="宋体" w:hAnsi="宋体" w:eastAsia="宋体" w:cs="宋体"/>
          <w:color w:val="auto"/>
          <w:sz w:val="24"/>
        </w:rPr>
        <w:t>、我方愿意提供贵单位可能另外要求的，与投标有关的文件资料，并保证我方已提供和将要提供的文件资料是真实、准确的。</w:t>
      </w:r>
      <w:bookmarkEnd w:id="488"/>
      <w:bookmarkEnd w:id="489"/>
      <w:bookmarkEnd w:id="490"/>
      <w:bookmarkEnd w:id="491"/>
      <w:bookmarkEnd w:id="492"/>
      <w:bookmarkEnd w:id="493"/>
    </w:p>
    <w:p>
      <w:pPr>
        <w:spacing w:line="360" w:lineRule="auto"/>
        <w:ind w:firstLine="480" w:firstLineChars="200"/>
        <w:rPr>
          <w:rFonts w:hint="eastAsia" w:ascii="宋体" w:hAnsi="宋体" w:eastAsia="宋体" w:cs="宋体"/>
          <w:color w:val="auto"/>
          <w:sz w:val="24"/>
        </w:rPr>
      </w:pPr>
      <w:bookmarkStart w:id="494" w:name="_Toc28240"/>
      <w:bookmarkStart w:id="495" w:name="_Toc5670"/>
      <w:bookmarkStart w:id="496" w:name="_Toc31442"/>
      <w:bookmarkStart w:id="497" w:name="_Toc12531"/>
      <w:bookmarkStart w:id="498" w:name="_Toc30310"/>
      <w:bookmarkStart w:id="499" w:name="_Toc8080"/>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投标人名称：XXXX（单位公章）。</w:t>
      </w:r>
      <w:bookmarkEnd w:id="494"/>
      <w:bookmarkEnd w:id="495"/>
      <w:bookmarkEnd w:id="496"/>
      <w:bookmarkEnd w:id="497"/>
      <w:bookmarkEnd w:id="498"/>
      <w:bookmarkEnd w:id="499"/>
    </w:p>
    <w:p>
      <w:pPr>
        <w:spacing w:line="360" w:lineRule="auto"/>
        <w:ind w:firstLine="480" w:firstLineChars="200"/>
        <w:rPr>
          <w:rFonts w:hint="eastAsia" w:ascii="宋体" w:hAnsi="宋体" w:eastAsia="宋体" w:cs="宋体"/>
          <w:color w:val="auto"/>
          <w:sz w:val="24"/>
        </w:rPr>
      </w:pPr>
      <w:bookmarkStart w:id="500" w:name="_Toc14300"/>
      <w:bookmarkStart w:id="501" w:name="_Toc14705"/>
      <w:bookmarkStart w:id="502" w:name="_Toc29916"/>
      <w:bookmarkStart w:id="503" w:name="_Toc11019"/>
      <w:bookmarkStart w:id="504" w:name="_Toc22871"/>
      <w:bookmarkStart w:id="505" w:name="_Toc27559"/>
      <w:r>
        <w:rPr>
          <w:rFonts w:hint="eastAsia" w:ascii="宋体" w:hAnsi="宋体" w:eastAsia="宋体" w:cs="宋体"/>
          <w:color w:val="auto"/>
          <w:sz w:val="24"/>
        </w:rPr>
        <w:t>法定代表人（主要负责人）或授权代表（签字或加盖个人名章）：XXXX。</w:t>
      </w:r>
      <w:bookmarkEnd w:id="500"/>
      <w:bookmarkEnd w:id="501"/>
      <w:bookmarkEnd w:id="502"/>
      <w:bookmarkEnd w:id="503"/>
      <w:bookmarkEnd w:id="504"/>
      <w:bookmarkEnd w:id="505"/>
    </w:p>
    <w:p>
      <w:pPr>
        <w:spacing w:line="360" w:lineRule="auto"/>
        <w:ind w:firstLine="480" w:firstLineChars="200"/>
        <w:rPr>
          <w:rFonts w:hint="eastAsia" w:ascii="宋体" w:hAnsi="宋体" w:eastAsia="宋体" w:cs="宋体"/>
          <w:color w:val="auto"/>
          <w:sz w:val="24"/>
        </w:rPr>
      </w:pPr>
      <w:bookmarkStart w:id="506" w:name="_Toc22749"/>
      <w:bookmarkStart w:id="507" w:name="_Toc5193"/>
      <w:bookmarkStart w:id="508" w:name="_Toc11897"/>
      <w:bookmarkStart w:id="509" w:name="_Toc6905"/>
      <w:bookmarkStart w:id="510" w:name="_Toc10341"/>
      <w:bookmarkStart w:id="511" w:name="_Toc2964"/>
      <w:r>
        <w:rPr>
          <w:rFonts w:hint="eastAsia" w:ascii="宋体" w:hAnsi="宋体" w:eastAsia="宋体" w:cs="宋体"/>
          <w:color w:val="auto"/>
          <w:sz w:val="24"/>
        </w:rPr>
        <w:t>通讯地址：XXXX。</w:t>
      </w:r>
      <w:bookmarkEnd w:id="506"/>
      <w:bookmarkEnd w:id="507"/>
      <w:bookmarkEnd w:id="508"/>
      <w:bookmarkEnd w:id="509"/>
      <w:bookmarkEnd w:id="510"/>
      <w:bookmarkEnd w:id="511"/>
    </w:p>
    <w:p>
      <w:pPr>
        <w:spacing w:line="360" w:lineRule="auto"/>
        <w:ind w:firstLine="480" w:firstLineChars="200"/>
        <w:rPr>
          <w:rFonts w:hint="eastAsia" w:ascii="宋体" w:hAnsi="宋体" w:eastAsia="宋体" w:cs="宋体"/>
          <w:color w:val="auto"/>
          <w:sz w:val="24"/>
        </w:rPr>
      </w:pPr>
      <w:bookmarkStart w:id="512" w:name="_Toc17963"/>
      <w:bookmarkStart w:id="513" w:name="_Toc23605"/>
      <w:bookmarkStart w:id="514" w:name="_Toc32081"/>
      <w:bookmarkStart w:id="515" w:name="_Toc556"/>
      <w:bookmarkStart w:id="516" w:name="_Toc7679"/>
      <w:bookmarkStart w:id="517" w:name="_Toc10323"/>
      <w:r>
        <w:rPr>
          <w:rFonts w:hint="eastAsia" w:ascii="宋体" w:hAnsi="宋体" w:eastAsia="宋体" w:cs="宋体"/>
          <w:color w:val="auto"/>
          <w:sz w:val="24"/>
        </w:rPr>
        <w:t>邮政编码：XXXX。</w:t>
      </w:r>
      <w:bookmarkEnd w:id="512"/>
      <w:bookmarkEnd w:id="513"/>
      <w:bookmarkEnd w:id="514"/>
      <w:bookmarkEnd w:id="515"/>
      <w:bookmarkEnd w:id="516"/>
      <w:bookmarkEnd w:id="517"/>
    </w:p>
    <w:p>
      <w:pPr>
        <w:spacing w:line="360" w:lineRule="auto"/>
        <w:ind w:firstLine="480" w:firstLineChars="200"/>
        <w:rPr>
          <w:rFonts w:hint="eastAsia" w:ascii="宋体" w:hAnsi="宋体" w:eastAsia="宋体" w:cs="宋体"/>
          <w:color w:val="auto"/>
          <w:sz w:val="24"/>
        </w:rPr>
      </w:pPr>
      <w:bookmarkStart w:id="518" w:name="_Toc14621"/>
      <w:bookmarkStart w:id="519" w:name="_Toc21916"/>
      <w:bookmarkStart w:id="520" w:name="_Toc9035"/>
      <w:bookmarkStart w:id="521" w:name="_Toc30105"/>
      <w:bookmarkStart w:id="522" w:name="_Toc288"/>
      <w:bookmarkStart w:id="523" w:name="_Toc1136"/>
      <w:r>
        <w:rPr>
          <w:rFonts w:hint="eastAsia" w:ascii="宋体" w:hAnsi="宋体" w:eastAsia="宋体" w:cs="宋体"/>
          <w:color w:val="auto"/>
          <w:sz w:val="24"/>
        </w:rPr>
        <w:t>联系电话：XXXX。</w:t>
      </w:r>
      <w:bookmarkEnd w:id="518"/>
      <w:bookmarkEnd w:id="519"/>
      <w:bookmarkEnd w:id="520"/>
      <w:bookmarkEnd w:id="521"/>
      <w:bookmarkEnd w:id="522"/>
      <w:bookmarkEnd w:id="523"/>
    </w:p>
    <w:p>
      <w:pPr>
        <w:spacing w:line="360" w:lineRule="auto"/>
        <w:ind w:firstLine="480" w:firstLineChars="200"/>
        <w:rPr>
          <w:rFonts w:hint="eastAsia" w:ascii="宋体" w:hAnsi="宋体" w:eastAsia="宋体" w:cs="宋体"/>
          <w:color w:val="auto"/>
          <w:sz w:val="24"/>
        </w:rPr>
      </w:pPr>
      <w:bookmarkStart w:id="524" w:name="_Toc348"/>
      <w:bookmarkStart w:id="525" w:name="_Toc16427"/>
      <w:bookmarkStart w:id="526" w:name="_Toc6620"/>
      <w:bookmarkStart w:id="527" w:name="_Toc8899"/>
      <w:bookmarkStart w:id="528" w:name="_Toc7896"/>
      <w:bookmarkStart w:id="529" w:name="_Toc29206"/>
      <w:r>
        <w:rPr>
          <w:rFonts w:hint="eastAsia" w:ascii="宋体" w:hAnsi="宋体" w:eastAsia="宋体" w:cs="宋体"/>
          <w:color w:val="auto"/>
          <w:sz w:val="24"/>
        </w:rPr>
        <w:t>传    真：XXXX。</w:t>
      </w:r>
      <w:bookmarkEnd w:id="524"/>
      <w:bookmarkEnd w:id="525"/>
      <w:bookmarkEnd w:id="526"/>
      <w:bookmarkEnd w:id="527"/>
      <w:bookmarkEnd w:id="528"/>
      <w:bookmarkEnd w:id="529"/>
    </w:p>
    <w:p>
      <w:pPr>
        <w:spacing w:line="360" w:lineRule="auto"/>
        <w:ind w:firstLine="480" w:firstLineChars="200"/>
        <w:rPr>
          <w:rFonts w:hint="eastAsia" w:ascii="宋体" w:hAnsi="宋体" w:eastAsia="宋体" w:cs="宋体"/>
          <w:color w:val="auto"/>
          <w:sz w:val="24"/>
        </w:rPr>
      </w:pPr>
      <w:bookmarkStart w:id="530" w:name="_Toc30627"/>
      <w:bookmarkStart w:id="531" w:name="_Toc17106"/>
      <w:bookmarkStart w:id="532" w:name="_Toc26826"/>
      <w:bookmarkStart w:id="533" w:name="_Toc29211"/>
      <w:bookmarkStart w:id="534" w:name="_Toc3593"/>
      <w:bookmarkStart w:id="535" w:name="_Toc17665"/>
      <w:r>
        <w:rPr>
          <w:rFonts w:hint="eastAsia" w:ascii="宋体" w:hAnsi="宋体" w:eastAsia="宋体" w:cs="宋体"/>
          <w:color w:val="auto"/>
          <w:sz w:val="24"/>
        </w:rPr>
        <w:t>日    期：XXXX年XX月XX日。</w:t>
      </w:r>
      <w:bookmarkEnd w:id="530"/>
      <w:bookmarkEnd w:id="531"/>
      <w:bookmarkEnd w:id="532"/>
      <w:bookmarkEnd w:id="533"/>
      <w:bookmarkEnd w:id="534"/>
      <w:bookmarkEnd w:id="535"/>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bCs/>
          <w:color w:val="auto"/>
        </w:rPr>
        <w:sectPr>
          <w:headerReference r:id="rId7" w:type="default"/>
          <w:footerReference r:id="rId8" w:type="default"/>
          <w:pgSz w:w="11907" w:h="16840"/>
          <w:pgMar w:top="1417" w:right="1474" w:bottom="1134" w:left="1587"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536" w:name="五、开标一览表"/>
      <w:bookmarkEnd w:id="536"/>
      <w:bookmarkStart w:id="537" w:name="_Toc308164824"/>
    </w:p>
    <w:p>
      <w:pPr>
        <w:pStyle w:val="5"/>
        <w:jc w:val="center"/>
        <w:rPr>
          <w:rFonts w:hint="eastAsia" w:ascii="宋体" w:hAnsi="宋体" w:eastAsia="宋体" w:cs="宋体"/>
          <w:color w:val="auto"/>
          <w:lang w:eastAsia="zh-CN"/>
        </w:rPr>
      </w:pPr>
      <w:r>
        <w:rPr>
          <w:rFonts w:hint="eastAsia" w:ascii="宋体" w:hAnsi="宋体" w:eastAsia="宋体" w:cs="宋体"/>
          <w:color w:val="auto"/>
        </w:rPr>
        <w:t>二、开标一览表</w:t>
      </w:r>
      <w:r>
        <w:rPr>
          <w:rFonts w:hint="eastAsia" w:ascii="宋体" w:hAnsi="宋体" w:eastAsia="宋体" w:cs="宋体"/>
          <w:color w:val="auto"/>
          <w:lang w:val="en-US" w:eastAsia="zh-CN"/>
        </w:rPr>
        <w:t xml:space="preserve"> </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项目名称：</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项目编号：</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 xml:space="preserve">包    号： </w:t>
      </w:r>
    </w:p>
    <w:p>
      <w:pPr>
        <w:pStyle w:val="2"/>
        <w:rPr>
          <w:rFonts w:hint="eastAsia" w:ascii="宋体" w:hAnsi="宋体" w:eastAsia="宋体" w:cs="宋体"/>
          <w:color w:val="auto"/>
        </w:rPr>
      </w:pPr>
    </w:p>
    <w:tbl>
      <w:tblPr>
        <w:tblStyle w:val="49"/>
        <w:tblW w:w="13764" w:type="dxa"/>
        <w:tblInd w:w="0" w:type="dxa"/>
        <w:tblLayout w:type="fixed"/>
        <w:tblCellMar>
          <w:top w:w="0" w:type="dxa"/>
          <w:left w:w="0" w:type="dxa"/>
          <w:bottom w:w="0" w:type="dxa"/>
          <w:right w:w="0" w:type="dxa"/>
        </w:tblCellMar>
      </w:tblPr>
      <w:tblGrid>
        <w:gridCol w:w="5028"/>
        <w:gridCol w:w="4679"/>
        <w:gridCol w:w="4057"/>
      </w:tblGrid>
      <w:tr>
        <w:tblPrEx>
          <w:tblCellMar>
            <w:top w:w="0" w:type="dxa"/>
            <w:left w:w="0" w:type="dxa"/>
            <w:bottom w:w="0" w:type="dxa"/>
            <w:right w:w="0" w:type="dxa"/>
          </w:tblCellMar>
        </w:tblPrEx>
        <w:trPr>
          <w:trHeight w:val="811" w:hRule="exact"/>
        </w:trPr>
        <w:tc>
          <w:tcPr>
            <w:tcW w:w="50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标的名称</w:t>
            </w:r>
          </w:p>
        </w:tc>
        <w:tc>
          <w:tcPr>
            <w:tcW w:w="4679"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宋体" w:hAnsi="宋体" w:eastAsia="宋体" w:cs="宋体"/>
                <w:color w:val="auto"/>
                <w:sz w:val="24"/>
                <w:lang w:eastAsia="zh-CN"/>
              </w:rPr>
            </w:pPr>
            <w:r>
              <w:rPr>
                <w:rFonts w:hint="eastAsia" w:ascii="宋体" w:hAnsi="宋体" w:eastAsia="宋体" w:cs="宋体"/>
                <w:color w:val="auto"/>
                <w:sz w:val="24"/>
              </w:rPr>
              <w:t>投标报价</w:t>
            </w:r>
          </w:p>
        </w:tc>
        <w:tc>
          <w:tcPr>
            <w:tcW w:w="4057" w:type="dxa"/>
            <w:tcBorders>
              <w:top w:val="single" w:color="000000" w:sz="4" w:space="0"/>
              <w:left w:val="single" w:color="000000" w:sz="4" w:space="0"/>
              <w:bottom w:val="single" w:color="auto" w:sz="4" w:space="0"/>
              <w:right w:val="single" w:color="000000" w:sz="4" w:space="0"/>
            </w:tcBorders>
            <w:noWrap w:val="0"/>
            <w:vAlign w:val="top"/>
          </w:tcPr>
          <w:p>
            <w:pPr>
              <w:rPr>
                <w:rFonts w:hint="eastAsia" w:ascii="宋体" w:hAnsi="宋体" w:eastAsia="宋体" w:cs="宋体"/>
                <w:color w:val="auto"/>
                <w:sz w:val="19"/>
                <w:szCs w:val="19"/>
              </w:rPr>
            </w:pPr>
          </w:p>
          <w:p>
            <w:pPr>
              <w:jc w:val="center"/>
              <w:rPr>
                <w:rFonts w:hint="eastAsia" w:ascii="宋体" w:hAnsi="宋体" w:eastAsia="宋体" w:cs="宋体"/>
                <w:color w:val="auto"/>
                <w:sz w:val="24"/>
              </w:rPr>
            </w:pPr>
            <w:r>
              <w:rPr>
                <w:rFonts w:hint="eastAsia" w:ascii="宋体" w:hAnsi="宋体" w:eastAsia="宋体" w:cs="宋体"/>
                <w:color w:val="auto"/>
                <w:sz w:val="24"/>
              </w:rPr>
              <w:t>服务期限</w:t>
            </w:r>
          </w:p>
        </w:tc>
      </w:tr>
      <w:tr>
        <w:tblPrEx>
          <w:tblCellMar>
            <w:top w:w="0" w:type="dxa"/>
            <w:left w:w="0" w:type="dxa"/>
            <w:bottom w:w="0" w:type="dxa"/>
            <w:right w:w="0" w:type="dxa"/>
          </w:tblCellMar>
        </w:tblPrEx>
        <w:trPr>
          <w:trHeight w:val="2021" w:hRule="exact"/>
        </w:trPr>
        <w:tc>
          <w:tcPr>
            <w:tcW w:w="5028" w:type="dxa"/>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宋体" w:hAnsi="宋体" w:eastAsia="宋体" w:cs="宋体"/>
                <w:color w:val="auto"/>
                <w:sz w:val="24"/>
              </w:rPr>
            </w:pPr>
          </w:p>
          <w:p>
            <w:pPr>
              <w:jc w:val="center"/>
              <w:rPr>
                <w:rFonts w:hint="eastAsia" w:ascii="宋体" w:hAnsi="宋体" w:eastAsia="宋体" w:cs="宋体"/>
                <w:color w:val="auto"/>
              </w:rPr>
            </w:pPr>
          </w:p>
        </w:tc>
        <w:tc>
          <w:tcPr>
            <w:tcW w:w="4679" w:type="dxa"/>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宋体" w:hAnsi="宋体" w:eastAsia="宋体" w:cs="宋体"/>
                <w:color w:val="auto"/>
              </w:rPr>
            </w:pPr>
          </w:p>
        </w:tc>
        <w:tc>
          <w:tcPr>
            <w:tcW w:w="4057" w:type="dxa"/>
            <w:tcBorders>
              <w:top w:val="single" w:color="auto" w:sz="4" w:space="0"/>
              <w:left w:val="single" w:color="000000" w:sz="4" w:space="0"/>
              <w:bottom w:val="single" w:color="auto" w:sz="4" w:space="0"/>
              <w:right w:val="single" w:color="auto" w:sz="4" w:space="0"/>
            </w:tcBorders>
            <w:noWrap w:val="0"/>
            <w:vAlign w:val="center"/>
          </w:tcPr>
          <w:p>
            <w:pPr>
              <w:jc w:val="center"/>
              <w:rPr>
                <w:rFonts w:hint="eastAsia" w:ascii="宋体" w:hAnsi="宋体" w:eastAsia="宋体" w:cs="宋体"/>
                <w:color w:val="auto"/>
              </w:rPr>
            </w:pPr>
          </w:p>
        </w:tc>
      </w:tr>
    </w:tbl>
    <w:p>
      <w:pPr>
        <w:spacing w:line="288" w:lineRule="auto"/>
        <w:rPr>
          <w:rFonts w:hint="eastAsia" w:ascii="宋体" w:hAnsi="宋体" w:eastAsia="宋体" w:cs="宋体"/>
          <w:color w:val="auto"/>
          <w:szCs w:val="21"/>
        </w:rPr>
      </w:pPr>
    </w:p>
    <w:p>
      <w:pPr>
        <w:pStyle w:val="2"/>
        <w:spacing w:after="0" w:line="288" w:lineRule="auto"/>
        <w:rPr>
          <w:rFonts w:hint="eastAsia" w:ascii="宋体" w:hAnsi="宋体" w:eastAsia="宋体" w:cs="宋体"/>
          <w:color w:val="auto"/>
          <w:szCs w:val="21"/>
        </w:rPr>
      </w:pPr>
      <w:bookmarkStart w:id="538" w:name="_Toc25894"/>
      <w:r>
        <w:rPr>
          <w:rFonts w:hint="eastAsia" w:ascii="宋体" w:hAnsi="宋体" w:eastAsia="宋体" w:cs="宋体"/>
          <w:color w:val="auto"/>
          <w:szCs w:val="21"/>
        </w:rPr>
        <w:t xml:space="preserve">注：1、投标人的报价是投标人响应招标项目要求的全部工作内容的价格体现，包括投标人完成本项目所需的一切费用； </w:t>
      </w:r>
    </w:p>
    <w:p>
      <w:pPr>
        <w:spacing w:line="360" w:lineRule="auto"/>
        <w:rPr>
          <w:rFonts w:hint="eastAsia" w:ascii="宋体" w:hAnsi="宋体" w:eastAsia="宋体" w:cs="宋体"/>
          <w:color w:val="auto"/>
          <w:sz w:val="24"/>
        </w:rPr>
      </w:pPr>
    </w:p>
    <w:p>
      <w:pPr>
        <w:spacing w:line="360" w:lineRule="auto"/>
        <w:rPr>
          <w:rFonts w:hint="eastAsia" w:ascii="宋体" w:hAnsi="宋体" w:eastAsia="宋体" w:cs="宋体"/>
          <w:color w:val="auto"/>
          <w:sz w:val="24"/>
        </w:rPr>
      </w:pPr>
      <w:r>
        <w:rPr>
          <w:rFonts w:hint="eastAsia" w:ascii="宋体" w:hAnsi="宋体" w:eastAsia="宋体" w:cs="宋体"/>
          <w:color w:val="auto"/>
          <w:sz w:val="24"/>
        </w:rPr>
        <w:t>投标人名称：XXXX（单位盖章）</w:t>
      </w:r>
      <w:bookmarkEnd w:id="538"/>
    </w:p>
    <w:p>
      <w:pPr>
        <w:spacing w:line="360" w:lineRule="auto"/>
        <w:rPr>
          <w:rFonts w:hint="eastAsia" w:ascii="宋体" w:hAnsi="宋体" w:eastAsia="宋体" w:cs="宋体"/>
          <w:color w:val="auto"/>
          <w:sz w:val="24"/>
        </w:rPr>
      </w:pPr>
      <w:bookmarkStart w:id="539" w:name="_Toc1955"/>
      <w:r>
        <w:rPr>
          <w:rFonts w:hint="eastAsia" w:ascii="宋体" w:hAnsi="宋体" w:eastAsia="宋体" w:cs="宋体"/>
          <w:color w:val="auto"/>
          <w:sz w:val="24"/>
        </w:rPr>
        <w:t>法定代表人（主要负责人）或授权代表（签字或加盖个人名章）：XXXX</w:t>
      </w:r>
      <w:bookmarkEnd w:id="539"/>
    </w:p>
    <w:p>
      <w:pPr>
        <w:spacing w:line="360" w:lineRule="auto"/>
        <w:rPr>
          <w:rFonts w:hint="eastAsia" w:ascii="宋体" w:hAnsi="宋体" w:eastAsia="宋体" w:cs="宋体"/>
          <w:color w:val="auto"/>
          <w:sz w:val="24"/>
        </w:rPr>
      </w:pPr>
      <w:bookmarkStart w:id="540" w:name="_Toc21619"/>
      <w:r>
        <w:rPr>
          <w:rFonts w:hint="eastAsia" w:ascii="宋体" w:hAnsi="宋体" w:eastAsia="宋体" w:cs="宋体"/>
          <w:color w:val="auto"/>
          <w:sz w:val="24"/>
        </w:rPr>
        <w:t>投标日期：</w:t>
      </w:r>
      <w:bookmarkEnd w:id="540"/>
      <w:r>
        <w:rPr>
          <w:rFonts w:hint="eastAsia" w:ascii="宋体" w:hAnsi="宋体" w:eastAsia="宋体" w:cs="宋体"/>
          <w:color w:val="auto"/>
          <w:sz w:val="24"/>
        </w:rPr>
        <w:t>XXXX年XX月XX日</w:t>
      </w:r>
    </w:p>
    <w:p>
      <w:pPr>
        <w:spacing w:line="360" w:lineRule="auto"/>
        <w:rPr>
          <w:rFonts w:hint="eastAsia" w:ascii="宋体" w:hAnsi="宋体" w:eastAsia="宋体" w:cs="宋体"/>
          <w:bCs/>
          <w:color w:val="auto"/>
          <w:sz w:val="24"/>
        </w:rPr>
        <w:sectPr>
          <w:pgSz w:w="16840" w:h="11907" w:orient="landscape"/>
          <w:pgMar w:top="1417" w:right="1474" w:bottom="1134" w:left="1587"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bookmarkEnd w:id="371"/>
    <w:bookmarkEnd w:id="537"/>
    <w:p>
      <w:pPr>
        <w:pStyle w:val="5"/>
        <w:jc w:val="center"/>
        <w:rPr>
          <w:rFonts w:hint="eastAsia" w:ascii="宋体" w:hAnsi="宋体" w:eastAsia="宋体" w:cs="宋体"/>
          <w:color w:val="auto"/>
          <w:lang w:val="en-US" w:eastAsia="zh-CN"/>
        </w:rPr>
      </w:pPr>
      <w:bookmarkStart w:id="541" w:name="_Toc26887"/>
      <w:bookmarkStart w:id="542" w:name="_Toc21002"/>
      <w:bookmarkStart w:id="543" w:name="_Toc7167"/>
      <w:bookmarkStart w:id="544" w:name="_Toc32231"/>
      <w:bookmarkStart w:id="545" w:name="_Toc4064"/>
      <w:bookmarkStart w:id="546" w:name="_Toc7567"/>
      <w:bookmarkStart w:id="547" w:name="_Toc217446087"/>
      <w:r>
        <w:rPr>
          <w:rFonts w:hint="eastAsia" w:ascii="宋体" w:hAnsi="宋体" w:eastAsia="宋体" w:cs="宋体"/>
          <w:color w:val="auto"/>
        </w:rPr>
        <w:t>三、技术、服务应答表</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项目名称：</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项目编号：</w:t>
      </w:r>
    </w:p>
    <w:p>
      <w:pPr>
        <w:spacing w:line="312" w:lineRule="auto"/>
        <w:rPr>
          <w:rFonts w:hint="eastAsia" w:ascii="宋体" w:hAnsi="宋体" w:eastAsia="宋体" w:cs="宋体"/>
          <w:color w:val="auto"/>
        </w:rPr>
      </w:pPr>
      <w:r>
        <w:rPr>
          <w:rFonts w:hint="eastAsia" w:ascii="宋体" w:hAnsi="宋体" w:eastAsia="宋体" w:cs="宋体"/>
          <w:color w:val="auto"/>
          <w:sz w:val="24"/>
        </w:rPr>
        <w:t xml:space="preserve">包    号： </w:t>
      </w:r>
      <w:r>
        <w:rPr>
          <w:rFonts w:hint="eastAsia" w:ascii="宋体" w:hAnsi="宋体" w:eastAsia="宋体" w:cs="宋体"/>
          <w:color w:val="auto"/>
        </w:rPr>
        <w:t xml:space="preserve">             </w:t>
      </w:r>
    </w:p>
    <w:tbl>
      <w:tblPr>
        <w:tblStyle w:val="49"/>
        <w:tblW w:w="907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268"/>
        <w:gridCol w:w="2551"/>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135"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序号</w:t>
            </w:r>
          </w:p>
        </w:tc>
        <w:tc>
          <w:tcPr>
            <w:tcW w:w="2268"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招标文件条目号</w:t>
            </w:r>
          </w:p>
        </w:tc>
        <w:tc>
          <w:tcPr>
            <w:tcW w:w="2551"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招标文件要求</w:t>
            </w:r>
          </w:p>
        </w:tc>
        <w:tc>
          <w:tcPr>
            <w:tcW w:w="3119"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投标文件的应答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1</w:t>
            </w:r>
          </w:p>
        </w:tc>
        <w:tc>
          <w:tcPr>
            <w:tcW w:w="2268" w:type="dxa"/>
            <w:noWrap w:val="0"/>
            <w:vAlign w:val="center"/>
          </w:tcPr>
          <w:p>
            <w:pPr>
              <w:spacing w:line="360" w:lineRule="auto"/>
              <w:rPr>
                <w:rFonts w:hint="eastAsia" w:ascii="宋体" w:hAnsi="宋体" w:eastAsia="宋体" w:cs="宋体"/>
                <w:color w:val="auto"/>
                <w:kern w:val="0"/>
                <w:sz w:val="24"/>
              </w:rPr>
            </w:pPr>
          </w:p>
        </w:tc>
        <w:tc>
          <w:tcPr>
            <w:tcW w:w="2551" w:type="dxa"/>
            <w:noWrap w:val="0"/>
            <w:vAlign w:val="center"/>
          </w:tcPr>
          <w:p>
            <w:pPr>
              <w:spacing w:line="360" w:lineRule="auto"/>
              <w:rPr>
                <w:rFonts w:hint="eastAsia" w:ascii="宋体" w:hAnsi="宋体" w:eastAsia="宋体" w:cs="宋体"/>
                <w:color w:val="auto"/>
                <w:kern w:val="0"/>
                <w:sz w:val="24"/>
              </w:rPr>
            </w:pPr>
          </w:p>
        </w:tc>
        <w:tc>
          <w:tcPr>
            <w:tcW w:w="3119"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2</w:t>
            </w:r>
          </w:p>
        </w:tc>
        <w:tc>
          <w:tcPr>
            <w:tcW w:w="2268" w:type="dxa"/>
            <w:noWrap w:val="0"/>
            <w:vAlign w:val="center"/>
          </w:tcPr>
          <w:p>
            <w:pPr>
              <w:spacing w:line="360" w:lineRule="auto"/>
              <w:rPr>
                <w:rFonts w:hint="eastAsia" w:ascii="宋体" w:hAnsi="宋体" w:eastAsia="宋体" w:cs="宋体"/>
                <w:color w:val="auto"/>
                <w:kern w:val="0"/>
                <w:sz w:val="24"/>
              </w:rPr>
            </w:pPr>
          </w:p>
        </w:tc>
        <w:tc>
          <w:tcPr>
            <w:tcW w:w="2551" w:type="dxa"/>
            <w:noWrap w:val="0"/>
            <w:vAlign w:val="center"/>
          </w:tcPr>
          <w:p>
            <w:pPr>
              <w:spacing w:line="360" w:lineRule="auto"/>
              <w:rPr>
                <w:rFonts w:hint="eastAsia" w:ascii="宋体" w:hAnsi="宋体" w:eastAsia="宋体" w:cs="宋体"/>
                <w:color w:val="auto"/>
                <w:kern w:val="0"/>
                <w:sz w:val="24"/>
              </w:rPr>
            </w:pPr>
          </w:p>
        </w:tc>
        <w:tc>
          <w:tcPr>
            <w:tcW w:w="3119"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3</w:t>
            </w:r>
          </w:p>
        </w:tc>
        <w:tc>
          <w:tcPr>
            <w:tcW w:w="2268" w:type="dxa"/>
            <w:noWrap w:val="0"/>
            <w:vAlign w:val="center"/>
          </w:tcPr>
          <w:p>
            <w:pPr>
              <w:spacing w:line="360" w:lineRule="auto"/>
              <w:rPr>
                <w:rFonts w:hint="eastAsia" w:ascii="宋体" w:hAnsi="宋体" w:eastAsia="宋体" w:cs="宋体"/>
                <w:color w:val="auto"/>
                <w:kern w:val="0"/>
                <w:sz w:val="24"/>
              </w:rPr>
            </w:pPr>
          </w:p>
        </w:tc>
        <w:tc>
          <w:tcPr>
            <w:tcW w:w="2551" w:type="dxa"/>
            <w:noWrap w:val="0"/>
            <w:vAlign w:val="center"/>
          </w:tcPr>
          <w:p>
            <w:pPr>
              <w:spacing w:line="360" w:lineRule="auto"/>
              <w:rPr>
                <w:rFonts w:hint="eastAsia" w:ascii="宋体" w:hAnsi="宋体" w:eastAsia="宋体" w:cs="宋体"/>
                <w:color w:val="auto"/>
                <w:kern w:val="0"/>
                <w:sz w:val="24"/>
              </w:rPr>
            </w:pPr>
          </w:p>
        </w:tc>
        <w:tc>
          <w:tcPr>
            <w:tcW w:w="3119"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4</w:t>
            </w:r>
          </w:p>
        </w:tc>
        <w:tc>
          <w:tcPr>
            <w:tcW w:w="2268" w:type="dxa"/>
            <w:noWrap w:val="0"/>
            <w:vAlign w:val="center"/>
          </w:tcPr>
          <w:p>
            <w:pPr>
              <w:spacing w:line="360" w:lineRule="auto"/>
              <w:rPr>
                <w:rFonts w:hint="eastAsia" w:ascii="宋体" w:hAnsi="宋体" w:eastAsia="宋体" w:cs="宋体"/>
                <w:color w:val="auto"/>
                <w:kern w:val="0"/>
                <w:sz w:val="24"/>
              </w:rPr>
            </w:pPr>
          </w:p>
        </w:tc>
        <w:tc>
          <w:tcPr>
            <w:tcW w:w="2551" w:type="dxa"/>
            <w:noWrap w:val="0"/>
            <w:vAlign w:val="center"/>
          </w:tcPr>
          <w:p>
            <w:pPr>
              <w:spacing w:line="360" w:lineRule="auto"/>
              <w:rPr>
                <w:rFonts w:hint="eastAsia" w:ascii="宋体" w:hAnsi="宋体" w:eastAsia="宋体" w:cs="宋体"/>
                <w:color w:val="auto"/>
                <w:kern w:val="0"/>
                <w:sz w:val="24"/>
              </w:rPr>
            </w:pPr>
          </w:p>
        </w:tc>
        <w:tc>
          <w:tcPr>
            <w:tcW w:w="3119"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5</w:t>
            </w:r>
          </w:p>
        </w:tc>
        <w:tc>
          <w:tcPr>
            <w:tcW w:w="2268" w:type="dxa"/>
            <w:noWrap w:val="0"/>
            <w:vAlign w:val="center"/>
          </w:tcPr>
          <w:p>
            <w:pPr>
              <w:spacing w:line="360" w:lineRule="auto"/>
              <w:rPr>
                <w:rFonts w:hint="eastAsia" w:ascii="宋体" w:hAnsi="宋体" w:eastAsia="宋体" w:cs="宋体"/>
                <w:color w:val="auto"/>
                <w:kern w:val="0"/>
                <w:sz w:val="24"/>
              </w:rPr>
            </w:pPr>
          </w:p>
        </w:tc>
        <w:tc>
          <w:tcPr>
            <w:tcW w:w="2551" w:type="dxa"/>
            <w:noWrap w:val="0"/>
            <w:vAlign w:val="center"/>
          </w:tcPr>
          <w:p>
            <w:pPr>
              <w:spacing w:line="360" w:lineRule="auto"/>
              <w:rPr>
                <w:rFonts w:hint="eastAsia" w:ascii="宋体" w:hAnsi="宋体" w:eastAsia="宋体" w:cs="宋体"/>
                <w:color w:val="auto"/>
                <w:kern w:val="0"/>
                <w:sz w:val="24"/>
              </w:rPr>
            </w:pPr>
          </w:p>
        </w:tc>
        <w:tc>
          <w:tcPr>
            <w:tcW w:w="3119"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2268" w:type="dxa"/>
            <w:noWrap w:val="0"/>
            <w:vAlign w:val="center"/>
          </w:tcPr>
          <w:p>
            <w:pPr>
              <w:spacing w:line="360" w:lineRule="auto"/>
              <w:rPr>
                <w:rFonts w:hint="eastAsia" w:ascii="宋体" w:hAnsi="宋体" w:eastAsia="宋体" w:cs="宋体"/>
                <w:color w:val="auto"/>
                <w:kern w:val="0"/>
                <w:sz w:val="24"/>
              </w:rPr>
            </w:pPr>
          </w:p>
        </w:tc>
        <w:tc>
          <w:tcPr>
            <w:tcW w:w="2551" w:type="dxa"/>
            <w:noWrap w:val="0"/>
            <w:vAlign w:val="center"/>
          </w:tcPr>
          <w:p>
            <w:pPr>
              <w:spacing w:line="360" w:lineRule="auto"/>
              <w:rPr>
                <w:rFonts w:hint="eastAsia" w:ascii="宋体" w:hAnsi="宋体" w:eastAsia="宋体" w:cs="宋体"/>
                <w:color w:val="auto"/>
                <w:kern w:val="0"/>
                <w:sz w:val="24"/>
              </w:rPr>
            </w:pPr>
          </w:p>
        </w:tc>
        <w:tc>
          <w:tcPr>
            <w:tcW w:w="3119" w:type="dxa"/>
            <w:noWrap w:val="0"/>
            <w:vAlign w:val="center"/>
          </w:tcPr>
          <w:p>
            <w:pPr>
              <w:spacing w:line="360" w:lineRule="auto"/>
              <w:rPr>
                <w:rFonts w:hint="eastAsia" w:ascii="宋体" w:hAnsi="宋体" w:eastAsia="宋体" w:cs="宋体"/>
                <w:color w:val="auto"/>
                <w:kern w:val="0"/>
                <w:sz w:val="24"/>
              </w:rPr>
            </w:pPr>
          </w:p>
        </w:tc>
      </w:tr>
    </w:tbl>
    <w:p>
      <w:pPr>
        <w:spacing w:line="360" w:lineRule="auto"/>
        <w:ind w:firstLine="482" w:firstLineChars="200"/>
        <w:rPr>
          <w:rFonts w:hint="eastAsia" w:ascii="宋体" w:hAnsi="宋体" w:eastAsia="宋体" w:cs="宋体"/>
          <w:b/>
          <w:bCs/>
          <w:color w:val="auto"/>
          <w:sz w:val="24"/>
        </w:rPr>
      </w:pPr>
    </w:p>
    <w:p>
      <w:pPr>
        <w:spacing w:line="360" w:lineRule="auto"/>
        <w:ind w:firstLine="470"/>
        <w:rPr>
          <w:rFonts w:hint="eastAsia" w:ascii="宋体" w:hAnsi="宋体" w:eastAsia="宋体" w:cs="宋体"/>
          <w:color w:val="auto"/>
          <w:szCs w:val="21"/>
        </w:rPr>
      </w:pPr>
      <w:r>
        <w:rPr>
          <w:rFonts w:hint="eastAsia" w:ascii="宋体" w:hAnsi="宋体" w:eastAsia="宋体" w:cs="宋体"/>
          <w:color w:val="auto"/>
          <w:szCs w:val="21"/>
        </w:rPr>
        <w:t>注：1．投标人必须根据招标文件</w:t>
      </w:r>
      <w:r>
        <w:rPr>
          <w:rFonts w:hint="eastAsia" w:ascii="宋体" w:hAnsi="宋体" w:eastAsia="宋体" w:cs="宋体"/>
          <w:b/>
          <w:color w:val="auto"/>
          <w:szCs w:val="21"/>
        </w:rPr>
        <w:t>第六章中的</w:t>
      </w:r>
      <w:r>
        <w:rPr>
          <w:rFonts w:hint="eastAsia" w:ascii="宋体" w:hAnsi="宋体" w:eastAsia="宋体" w:cs="宋体"/>
          <w:b/>
          <w:color w:val="auto"/>
          <w:szCs w:val="21"/>
          <w:lang w:eastAsia="zh-CN"/>
        </w:rPr>
        <w:t>“（</w:t>
      </w:r>
      <w:r>
        <w:rPr>
          <w:rFonts w:hint="eastAsia" w:ascii="宋体" w:hAnsi="宋体" w:eastAsia="宋体" w:cs="宋体"/>
          <w:b/>
          <w:color w:val="auto"/>
          <w:szCs w:val="21"/>
          <w:lang w:val="en-US" w:eastAsia="zh-CN"/>
        </w:rPr>
        <w:t>一</w:t>
      </w:r>
      <w:r>
        <w:rPr>
          <w:rFonts w:hint="eastAsia" w:ascii="宋体" w:hAnsi="宋体" w:eastAsia="宋体" w:cs="宋体"/>
          <w:b/>
          <w:color w:val="auto"/>
          <w:szCs w:val="21"/>
          <w:lang w:eastAsia="zh-CN"/>
        </w:rPr>
        <w:t>）</w:t>
      </w:r>
      <w:r>
        <w:rPr>
          <w:rFonts w:hint="eastAsia" w:ascii="宋体" w:hAnsi="宋体" w:eastAsia="宋体" w:cs="宋体"/>
          <w:b/>
          <w:color w:val="auto"/>
          <w:szCs w:val="21"/>
        </w:rPr>
        <w:t>服务、技术要求</w:t>
      </w:r>
      <w:r>
        <w:rPr>
          <w:rFonts w:hint="eastAsia" w:ascii="宋体" w:hAnsi="宋体" w:eastAsia="宋体" w:cs="宋体"/>
          <w:b/>
          <w:color w:val="auto"/>
          <w:szCs w:val="21"/>
          <w:lang w:eastAsia="zh-CN"/>
        </w:rPr>
        <w:t>”</w:t>
      </w:r>
      <w:r>
        <w:rPr>
          <w:rFonts w:hint="eastAsia" w:ascii="宋体" w:hAnsi="宋体" w:eastAsia="宋体" w:cs="宋体"/>
          <w:color w:val="auto"/>
          <w:szCs w:val="21"/>
        </w:rPr>
        <w:t>的内容据实逐条填写。</w:t>
      </w:r>
    </w:p>
    <w:p>
      <w:pPr>
        <w:spacing w:line="360" w:lineRule="auto"/>
        <w:ind w:firstLine="470"/>
        <w:rPr>
          <w:rFonts w:hint="eastAsia" w:ascii="宋体" w:hAnsi="宋体" w:eastAsia="宋体" w:cs="宋体"/>
          <w:color w:val="auto"/>
          <w:szCs w:val="21"/>
        </w:rPr>
      </w:pPr>
      <w:r>
        <w:rPr>
          <w:rFonts w:hint="eastAsia" w:ascii="宋体" w:hAnsi="宋体" w:eastAsia="宋体" w:cs="宋体"/>
          <w:color w:val="auto"/>
          <w:szCs w:val="21"/>
        </w:rPr>
        <w:t>2．按照招标项目服务及技术要求的顺序对应填写。</w:t>
      </w:r>
    </w:p>
    <w:p>
      <w:pPr>
        <w:spacing w:line="360" w:lineRule="auto"/>
        <w:ind w:firstLine="470"/>
        <w:rPr>
          <w:rFonts w:hint="eastAsia" w:ascii="宋体" w:hAnsi="宋体" w:eastAsia="宋体" w:cs="宋体"/>
          <w:color w:val="auto"/>
          <w:szCs w:val="21"/>
        </w:rPr>
      </w:pPr>
      <w:r>
        <w:rPr>
          <w:rFonts w:hint="eastAsia" w:ascii="宋体" w:hAnsi="宋体" w:eastAsia="宋体" w:cs="宋体"/>
          <w:color w:val="auto"/>
          <w:szCs w:val="21"/>
        </w:rPr>
        <w:t>3．投标人必须据实填写，不得虚假填写，否则将取消其投标或中标资格。</w:t>
      </w:r>
    </w:p>
    <w:p>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4.</w:t>
      </w:r>
      <w:r>
        <w:rPr>
          <w:rFonts w:hint="eastAsia" w:ascii="宋体" w:hAnsi="宋体" w:eastAsia="宋体" w:cs="宋体"/>
          <w:color w:val="auto"/>
          <w:szCs w:val="21"/>
        </w:rPr>
        <w:t xml:space="preserve"> 投标人</w:t>
      </w:r>
      <w:r>
        <w:rPr>
          <w:rFonts w:hint="eastAsia" w:ascii="宋体" w:hAnsi="宋体" w:eastAsia="宋体" w:cs="宋体"/>
          <w:b/>
          <w:bCs/>
          <w:color w:val="auto"/>
          <w:szCs w:val="21"/>
        </w:rPr>
        <w:t>须对招标文件中的技术服务要求进行逐条应答。若无偏离，则在“投标文件的应答”栏填写“无偏离或完全响应”；否则，则在“投标文件的应答”栏填写“正偏离”或“负偏离”，并注明有关情况</w:t>
      </w:r>
      <w:r>
        <w:rPr>
          <w:rFonts w:hint="eastAsia" w:ascii="宋体" w:hAnsi="宋体" w:eastAsia="宋体" w:cs="宋体"/>
          <w:color w:val="auto"/>
          <w:szCs w:val="21"/>
        </w:rPr>
        <w:t>。</w:t>
      </w:r>
    </w:p>
    <w:p>
      <w:pPr>
        <w:spacing w:line="360" w:lineRule="auto"/>
        <w:ind w:firstLine="560" w:firstLineChars="200"/>
        <w:rPr>
          <w:rFonts w:hint="eastAsia" w:ascii="宋体" w:hAnsi="宋体" w:eastAsia="宋体" w:cs="宋体"/>
          <w:bCs/>
          <w:color w:val="auto"/>
          <w:sz w:val="28"/>
          <w:szCs w:val="28"/>
        </w:rPr>
      </w:pP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投标人名称：XXXXXX（盖章）</w:t>
      </w: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color w:val="auto"/>
          <w:sz w:val="24"/>
        </w:rPr>
        <w:t>法定代表人</w:t>
      </w:r>
      <w:r>
        <w:rPr>
          <w:rFonts w:hint="eastAsia" w:ascii="宋体" w:hAnsi="宋体" w:eastAsia="宋体" w:cs="宋体"/>
          <w:bCs/>
          <w:color w:val="auto"/>
          <w:sz w:val="24"/>
        </w:rPr>
        <w:t>（</w:t>
      </w:r>
      <w:r>
        <w:rPr>
          <w:rFonts w:hint="eastAsia" w:ascii="宋体" w:hAnsi="宋体" w:eastAsia="宋体" w:cs="宋体"/>
          <w:color w:val="auto"/>
          <w:sz w:val="24"/>
        </w:rPr>
        <w:t>主要负责人</w:t>
      </w:r>
      <w:r>
        <w:rPr>
          <w:rFonts w:hint="eastAsia" w:ascii="宋体" w:hAnsi="宋体" w:eastAsia="宋体" w:cs="宋体"/>
          <w:bCs/>
          <w:color w:val="auto"/>
          <w:sz w:val="24"/>
        </w:rPr>
        <w:t>）</w:t>
      </w:r>
      <w:r>
        <w:rPr>
          <w:rFonts w:hint="eastAsia" w:ascii="宋体" w:hAnsi="宋体" w:eastAsia="宋体" w:cs="宋体"/>
          <w:color w:val="auto"/>
          <w:sz w:val="24"/>
        </w:rPr>
        <w:t>或授权代表（签字或加盖个人名章）</w:t>
      </w:r>
      <w:r>
        <w:rPr>
          <w:rFonts w:hint="eastAsia" w:ascii="宋体" w:hAnsi="宋体" w:eastAsia="宋体" w:cs="宋体"/>
          <w:bCs/>
          <w:color w:val="auto"/>
          <w:sz w:val="24"/>
        </w:rPr>
        <w:t>：XXX</w:t>
      </w: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投标日期:</w:t>
      </w:r>
      <w:r>
        <w:rPr>
          <w:rFonts w:hint="eastAsia" w:ascii="宋体" w:hAnsi="宋体" w:eastAsia="宋体" w:cs="宋体"/>
          <w:color w:val="auto"/>
          <w:sz w:val="24"/>
        </w:rPr>
        <w:t xml:space="preserve"> XXXX年XX月XX日</w:t>
      </w:r>
    </w:p>
    <w:p>
      <w:pPr>
        <w:spacing w:line="360" w:lineRule="auto"/>
        <w:ind w:firstLine="480" w:firstLineChars="200"/>
        <w:rPr>
          <w:rFonts w:hint="eastAsia" w:ascii="宋体" w:hAnsi="宋体" w:eastAsia="宋体" w:cs="宋体"/>
          <w:color w:val="auto"/>
          <w:sz w:val="24"/>
        </w:rPr>
      </w:pPr>
    </w:p>
    <w:p>
      <w:pPr>
        <w:rPr>
          <w:rFonts w:hint="eastAsia" w:ascii="宋体" w:hAnsi="宋体" w:eastAsia="宋体" w:cs="宋体"/>
          <w:b/>
          <w:color w:val="auto"/>
          <w:sz w:val="28"/>
          <w:szCs w:val="28"/>
        </w:rPr>
      </w:pPr>
    </w:p>
    <w:p>
      <w:pPr>
        <w:rPr>
          <w:rFonts w:hint="eastAsia" w:ascii="宋体" w:hAnsi="宋体" w:eastAsia="宋体" w:cs="宋体"/>
          <w:b/>
          <w:color w:val="auto"/>
          <w:sz w:val="28"/>
          <w:szCs w:val="28"/>
        </w:rPr>
      </w:pPr>
    </w:p>
    <w:p>
      <w:pPr>
        <w:rPr>
          <w:rFonts w:hint="eastAsia" w:ascii="宋体" w:hAnsi="宋体" w:eastAsia="宋体" w:cs="宋体"/>
          <w:b/>
          <w:color w:val="auto"/>
          <w:sz w:val="28"/>
          <w:szCs w:val="28"/>
        </w:rPr>
      </w:pPr>
    </w:p>
    <w:p>
      <w:pPr>
        <w:rPr>
          <w:rFonts w:hint="eastAsia" w:ascii="宋体" w:hAnsi="宋体" w:eastAsia="宋体" w:cs="宋体"/>
          <w:b/>
          <w:color w:val="auto"/>
          <w:sz w:val="28"/>
          <w:szCs w:val="28"/>
        </w:rPr>
      </w:pPr>
    </w:p>
    <w:p>
      <w:pPr>
        <w:rPr>
          <w:rFonts w:hint="eastAsia" w:ascii="宋体" w:hAnsi="宋体" w:eastAsia="宋体" w:cs="宋体"/>
          <w:b/>
          <w:color w:val="auto"/>
          <w:sz w:val="28"/>
          <w:szCs w:val="28"/>
        </w:rPr>
      </w:pPr>
    </w:p>
    <w:p>
      <w:pPr>
        <w:rPr>
          <w:rFonts w:hint="eastAsia" w:ascii="宋体" w:hAnsi="宋体" w:eastAsia="宋体" w:cs="宋体"/>
          <w:b/>
          <w:color w:val="auto"/>
          <w:sz w:val="28"/>
          <w:szCs w:val="28"/>
        </w:rPr>
      </w:pPr>
    </w:p>
    <w:p>
      <w:pPr>
        <w:pStyle w:val="5"/>
        <w:jc w:val="center"/>
        <w:rPr>
          <w:rFonts w:hint="eastAsia" w:ascii="宋体" w:hAnsi="宋体" w:eastAsia="宋体" w:cs="宋体"/>
          <w:color w:val="auto"/>
          <w:lang w:eastAsia="zh-CN"/>
        </w:rPr>
      </w:pPr>
      <w:r>
        <w:rPr>
          <w:rFonts w:hint="eastAsia" w:ascii="宋体" w:hAnsi="宋体" w:eastAsia="宋体" w:cs="宋体"/>
          <w:color w:val="auto"/>
        </w:rPr>
        <w:t>四、商务应答表</w:t>
      </w:r>
      <w:bookmarkEnd w:id="541"/>
      <w:bookmarkEnd w:id="542"/>
      <w:bookmarkEnd w:id="543"/>
      <w:bookmarkEnd w:id="544"/>
      <w:bookmarkEnd w:id="545"/>
      <w:bookmarkEnd w:id="546"/>
      <w:r>
        <w:rPr>
          <w:rFonts w:hint="eastAsia" w:ascii="宋体" w:hAnsi="宋体" w:eastAsia="宋体" w:cs="宋体"/>
          <w:color w:val="auto"/>
          <w:lang w:val="en-US" w:eastAsia="zh-CN"/>
        </w:rPr>
        <w:t xml:space="preserve"> </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项目名称：</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项目编号：</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 xml:space="preserve">包    号：                </w:t>
      </w:r>
    </w:p>
    <w:tbl>
      <w:tblPr>
        <w:tblStyle w:val="49"/>
        <w:tblW w:w="921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2317"/>
        <w:gridCol w:w="2835"/>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944"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序号</w:t>
            </w:r>
          </w:p>
        </w:tc>
        <w:tc>
          <w:tcPr>
            <w:tcW w:w="2317"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招标文件条目号</w:t>
            </w:r>
          </w:p>
        </w:tc>
        <w:tc>
          <w:tcPr>
            <w:tcW w:w="2835"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招标文件要求</w:t>
            </w:r>
          </w:p>
        </w:tc>
        <w:tc>
          <w:tcPr>
            <w:tcW w:w="3118"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投标文件的应答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1</w:t>
            </w:r>
          </w:p>
        </w:tc>
        <w:tc>
          <w:tcPr>
            <w:tcW w:w="2317" w:type="dxa"/>
            <w:noWrap w:val="0"/>
            <w:vAlign w:val="center"/>
          </w:tcPr>
          <w:p>
            <w:pPr>
              <w:spacing w:line="360" w:lineRule="auto"/>
              <w:rPr>
                <w:rFonts w:hint="eastAsia" w:ascii="宋体" w:hAnsi="宋体" w:eastAsia="宋体" w:cs="宋体"/>
                <w:color w:val="auto"/>
                <w:kern w:val="0"/>
                <w:sz w:val="24"/>
              </w:rPr>
            </w:pPr>
          </w:p>
        </w:tc>
        <w:tc>
          <w:tcPr>
            <w:tcW w:w="2835" w:type="dxa"/>
            <w:noWrap w:val="0"/>
            <w:vAlign w:val="center"/>
          </w:tcPr>
          <w:p>
            <w:pPr>
              <w:spacing w:line="360" w:lineRule="auto"/>
              <w:rPr>
                <w:rFonts w:hint="eastAsia" w:ascii="宋体" w:hAnsi="宋体" w:eastAsia="宋体" w:cs="宋体"/>
                <w:color w:val="auto"/>
                <w:kern w:val="0"/>
                <w:sz w:val="24"/>
              </w:rPr>
            </w:pPr>
          </w:p>
        </w:tc>
        <w:tc>
          <w:tcPr>
            <w:tcW w:w="3118"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2</w:t>
            </w:r>
          </w:p>
        </w:tc>
        <w:tc>
          <w:tcPr>
            <w:tcW w:w="2317" w:type="dxa"/>
            <w:noWrap w:val="0"/>
            <w:vAlign w:val="center"/>
          </w:tcPr>
          <w:p>
            <w:pPr>
              <w:spacing w:line="360" w:lineRule="auto"/>
              <w:rPr>
                <w:rFonts w:hint="eastAsia" w:ascii="宋体" w:hAnsi="宋体" w:eastAsia="宋体" w:cs="宋体"/>
                <w:color w:val="auto"/>
                <w:kern w:val="0"/>
                <w:sz w:val="24"/>
              </w:rPr>
            </w:pPr>
          </w:p>
        </w:tc>
        <w:tc>
          <w:tcPr>
            <w:tcW w:w="2835" w:type="dxa"/>
            <w:noWrap w:val="0"/>
            <w:vAlign w:val="center"/>
          </w:tcPr>
          <w:p>
            <w:pPr>
              <w:spacing w:line="360" w:lineRule="auto"/>
              <w:rPr>
                <w:rFonts w:hint="eastAsia" w:ascii="宋体" w:hAnsi="宋体" w:eastAsia="宋体" w:cs="宋体"/>
                <w:color w:val="auto"/>
                <w:kern w:val="0"/>
                <w:sz w:val="24"/>
              </w:rPr>
            </w:pPr>
          </w:p>
        </w:tc>
        <w:tc>
          <w:tcPr>
            <w:tcW w:w="3118"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3</w:t>
            </w:r>
          </w:p>
        </w:tc>
        <w:tc>
          <w:tcPr>
            <w:tcW w:w="2317" w:type="dxa"/>
            <w:noWrap w:val="0"/>
            <w:vAlign w:val="center"/>
          </w:tcPr>
          <w:p>
            <w:pPr>
              <w:spacing w:line="360" w:lineRule="auto"/>
              <w:rPr>
                <w:rFonts w:hint="eastAsia" w:ascii="宋体" w:hAnsi="宋体" w:eastAsia="宋体" w:cs="宋体"/>
                <w:color w:val="auto"/>
                <w:kern w:val="0"/>
                <w:sz w:val="24"/>
              </w:rPr>
            </w:pPr>
          </w:p>
        </w:tc>
        <w:tc>
          <w:tcPr>
            <w:tcW w:w="2835" w:type="dxa"/>
            <w:noWrap w:val="0"/>
            <w:vAlign w:val="center"/>
          </w:tcPr>
          <w:p>
            <w:pPr>
              <w:spacing w:line="360" w:lineRule="auto"/>
              <w:rPr>
                <w:rFonts w:hint="eastAsia" w:ascii="宋体" w:hAnsi="宋体" w:eastAsia="宋体" w:cs="宋体"/>
                <w:color w:val="auto"/>
                <w:kern w:val="0"/>
                <w:sz w:val="24"/>
              </w:rPr>
            </w:pPr>
          </w:p>
        </w:tc>
        <w:tc>
          <w:tcPr>
            <w:tcW w:w="3118"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4</w:t>
            </w:r>
          </w:p>
        </w:tc>
        <w:tc>
          <w:tcPr>
            <w:tcW w:w="2317" w:type="dxa"/>
            <w:noWrap w:val="0"/>
            <w:vAlign w:val="center"/>
          </w:tcPr>
          <w:p>
            <w:pPr>
              <w:spacing w:line="360" w:lineRule="auto"/>
              <w:rPr>
                <w:rFonts w:hint="eastAsia" w:ascii="宋体" w:hAnsi="宋体" w:eastAsia="宋体" w:cs="宋体"/>
                <w:color w:val="auto"/>
                <w:kern w:val="0"/>
                <w:sz w:val="24"/>
              </w:rPr>
            </w:pPr>
          </w:p>
        </w:tc>
        <w:tc>
          <w:tcPr>
            <w:tcW w:w="2835" w:type="dxa"/>
            <w:noWrap w:val="0"/>
            <w:vAlign w:val="center"/>
          </w:tcPr>
          <w:p>
            <w:pPr>
              <w:spacing w:line="360" w:lineRule="auto"/>
              <w:rPr>
                <w:rFonts w:hint="eastAsia" w:ascii="宋体" w:hAnsi="宋体" w:eastAsia="宋体" w:cs="宋体"/>
                <w:color w:val="auto"/>
                <w:kern w:val="0"/>
                <w:sz w:val="24"/>
              </w:rPr>
            </w:pPr>
          </w:p>
        </w:tc>
        <w:tc>
          <w:tcPr>
            <w:tcW w:w="3118"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5</w:t>
            </w:r>
          </w:p>
        </w:tc>
        <w:tc>
          <w:tcPr>
            <w:tcW w:w="2317" w:type="dxa"/>
            <w:noWrap w:val="0"/>
            <w:vAlign w:val="center"/>
          </w:tcPr>
          <w:p>
            <w:pPr>
              <w:spacing w:line="360" w:lineRule="auto"/>
              <w:rPr>
                <w:rFonts w:hint="eastAsia" w:ascii="宋体" w:hAnsi="宋体" w:eastAsia="宋体" w:cs="宋体"/>
                <w:color w:val="auto"/>
                <w:kern w:val="0"/>
                <w:sz w:val="24"/>
              </w:rPr>
            </w:pPr>
          </w:p>
        </w:tc>
        <w:tc>
          <w:tcPr>
            <w:tcW w:w="2835" w:type="dxa"/>
            <w:noWrap w:val="0"/>
            <w:vAlign w:val="center"/>
          </w:tcPr>
          <w:p>
            <w:pPr>
              <w:spacing w:line="360" w:lineRule="auto"/>
              <w:rPr>
                <w:rFonts w:hint="eastAsia" w:ascii="宋体" w:hAnsi="宋体" w:eastAsia="宋体" w:cs="宋体"/>
                <w:color w:val="auto"/>
                <w:kern w:val="0"/>
                <w:sz w:val="24"/>
              </w:rPr>
            </w:pPr>
          </w:p>
        </w:tc>
        <w:tc>
          <w:tcPr>
            <w:tcW w:w="3118"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2317" w:type="dxa"/>
            <w:noWrap w:val="0"/>
            <w:vAlign w:val="center"/>
          </w:tcPr>
          <w:p>
            <w:pPr>
              <w:spacing w:line="360" w:lineRule="auto"/>
              <w:rPr>
                <w:rFonts w:hint="eastAsia" w:ascii="宋体" w:hAnsi="宋体" w:eastAsia="宋体" w:cs="宋体"/>
                <w:color w:val="auto"/>
                <w:kern w:val="0"/>
                <w:sz w:val="24"/>
              </w:rPr>
            </w:pPr>
          </w:p>
        </w:tc>
        <w:tc>
          <w:tcPr>
            <w:tcW w:w="2835" w:type="dxa"/>
            <w:noWrap w:val="0"/>
            <w:vAlign w:val="center"/>
          </w:tcPr>
          <w:p>
            <w:pPr>
              <w:spacing w:line="360" w:lineRule="auto"/>
              <w:rPr>
                <w:rFonts w:hint="eastAsia" w:ascii="宋体" w:hAnsi="宋体" w:eastAsia="宋体" w:cs="宋体"/>
                <w:color w:val="auto"/>
                <w:kern w:val="0"/>
                <w:sz w:val="24"/>
              </w:rPr>
            </w:pPr>
          </w:p>
        </w:tc>
        <w:tc>
          <w:tcPr>
            <w:tcW w:w="3118" w:type="dxa"/>
            <w:noWrap w:val="0"/>
            <w:vAlign w:val="center"/>
          </w:tcPr>
          <w:p>
            <w:pPr>
              <w:spacing w:line="360" w:lineRule="auto"/>
              <w:rPr>
                <w:rFonts w:hint="eastAsia" w:ascii="宋体" w:hAnsi="宋体" w:eastAsia="宋体" w:cs="宋体"/>
                <w:color w:val="auto"/>
                <w:kern w:val="0"/>
                <w:sz w:val="24"/>
              </w:rPr>
            </w:pPr>
          </w:p>
        </w:tc>
      </w:tr>
    </w:tbl>
    <w:p>
      <w:pPr>
        <w:pStyle w:val="2"/>
        <w:rPr>
          <w:rFonts w:hint="eastAsia" w:ascii="宋体" w:hAnsi="宋体" w:eastAsia="宋体" w:cs="宋体"/>
          <w:color w:val="auto"/>
        </w:rPr>
      </w:pP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注：1．投标人必须根据招标文件</w:t>
      </w:r>
      <w:r>
        <w:rPr>
          <w:rFonts w:hint="eastAsia" w:ascii="宋体" w:hAnsi="宋体" w:eastAsia="宋体" w:cs="宋体"/>
          <w:b/>
          <w:color w:val="auto"/>
          <w:szCs w:val="21"/>
        </w:rPr>
        <w:t>第六章中的</w:t>
      </w:r>
      <w:r>
        <w:rPr>
          <w:rFonts w:hint="eastAsia" w:ascii="宋体" w:hAnsi="宋体" w:eastAsia="宋体" w:cs="宋体"/>
          <w:b/>
          <w:color w:val="auto"/>
          <w:szCs w:val="21"/>
          <w:lang w:eastAsia="zh-CN"/>
        </w:rPr>
        <w:t>“（</w:t>
      </w:r>
      <w:r>
        <w:rPr>
          <w:rFonts w:hint="eastAsia" w:ascii="宋体" w:hAnsi="宋体" w:eastAsia="宋体" w:cs="宋体"/>
          <w:b/>
          <w:color w:val="auto"/>
          <w:szCs w:val="21"/>
          <w:lang w:val="en-US" w:eastAsia="zh-CN"/>
        </w:rPr>
        <w:t>二</w:t>
      </w:r>
      <w:r>
        <w:rPr>
          <w:rFonts w:hint="eastAsia" w:ascii="宋体" w:hAnsi="宋体" w:eastAsia="宋体" w:cs="宋体"/>
          <w:b/>
          <w:color w:val="auto"/>
          <w:szCs w:val="21"/>
          <w:lang w:eastAsia="zh-CN"/>
        </w:rPr>
        <w:t>）</w:t>
      </w:r>
      <w:r>
        <w:rPr>
          <w:rFonts w:hint="eastAsia" w:ascii="宋体" w:hAnsi="宋体" w:eastAsia="宋体" w:cs="宋体"/>
          <w:b/>
          <w:color w:val="auto"/>
          <w:szCs w:val="21"/>
        </w:rPr>
        <w:t>商务要求</w:t>
      </w:r>
      <w:r>
        <w:rPr>
          <w:rFonts w:hint="eastAsia" w:ascii="宋体" w:hAnsi="宋体" w:eastAsia="宋体" w:cs="宋体"/>
          <w:b/>
          <w:color w:val="auto"/>
          <w:szCs w:val="21"/>
          <w:lang w:eastAsia="zh-CN"/>
        </w:rPr>
        <w:t>”</w:t>
      </w:r>
      <w:r>
        <w:rPr>
          <w:rFonts w:hint="eastAsia" w:ascii="宋体" w:hAnsi="宋体" w:eastAsia="宋体" w:cs="宋体"/>
          <w:color w:val="auto"/>
          <w:szCs w:val="21"/>
        </w:rPr>
        <w:t>的内容据实逐条填写。</w:t>
      </w:r>
    </w:p>
    <w:p>
      <w:pPr>
        <w:spacing w:line="360" w:lineRule="auto"/>
        <w:ind w:firstLine="371" w:firstLineChars="177"/>
        <w:rPr>
          <w:rFonts w:hint="eastAsia" w:ascii="宋体" w:hAnsi="宋体" w:eastAsia="宋体" w:cs="宋体"/>
          <w:color w:val="auto"/>
          <w:szCs w:val="21"/>
        </w:rPr>
      </w:pPr>
      <w:r>
        <w:rPr>
          <w:rFonts w:hint="eastAsia" w:ascii="宋体" w:hAnsi="宋体" w:eastAsia="宋体" w:cs="宋体"/>
          <w:color w:val="auto"/>
          <w:szCs w:val="21"/>
        </w:rPr>
        <w:t>2．按照招标项目商务要求的顺序对应填写。</w:t>
      </w:r>
    </w:p>
    <w:p>
      <w:pPr>
        <w:spacing w:line="360" w:lineRule="auto"/>
        <w:ind w:firstLine="371" w:firstLineChars="177"/>
        <w:rPr>
          <w:rFonts w:hint="eastAsia" w:ascii="宋体" w:hAnsi="宋体" w:eastAsia="宋体" w:cs="宋体"/>
          <w:color w:val="auto"/>
          <w:szCs w:val="21"/>
        </w:rPr>
      </w:pPr>
      <w:r>
        <w:rPr>
          <w:rFonts w:hint="eastAsia" w:ascii="宋体" w:hAnsi="宋体" w:eastAsia="宋体" w:cs="宋体"/>
          <w:color w:val="auto"/>
          <w:szCs w:val="21"/>
        </w:rPr>
        <w:t>3．投标人必须据实填写，不得虚假填写，否则将取消其投标或中标资格。</w:t>
      </w:r>
    </w:p>
    <w:p>
      <w:pPr>
        <w:spacing w:line="360" w:lineRule="auto"/>
        <w:ind w:firstLine="369" w:firstLineChars="176"/>
        <w:rPr>
          <w:rFonts w:hint="eastAsia" w:ascii="宋体" w:hAnsi="宋体" w:eastAsia="宋体" w:cs="宋体"/>
          <w:b/>
          <w:bCs/>
          <w:color w:val="auto"/>
          <w:szCs w:val="21"/>
        </w:rPr>
      </w:pPr>
      <w:r>
        <w:rPr>
          <w:rFonts w:hint="eastAsia" w:ascii="宋体" w:hAnsi="宋体" w:eastAsia="宋体" w:cs="宋体"/>
          <w:color w:val="auto"/>
          <w:szCs w:val="21"/>
        </w:rPr>
        <w:t>4. 投标人</w:t>
      </w:r>
      <w:r>
        <w:rPr>
          <w:rFonts w:hint="eastAsia" w:ascii="宋体" w:hAnsi="宋体" w:eastAsia="宋体" w:cs="宋体"/>
          <w:b/>
          <w:bCs/>
          <w:color w:val="auto"/>
          <w:szCs w:val="21"/>
        </w:rPr>
        <w:t>须对招标文件中的商务要求进行逐条应答。若无偏离，则在“投标文件的应答”栏填写“无偏离或完全响应”；否则，则在“投标文件的应答”栏填写“正偏离”或“负偏离”，并注明有关情况</w:t>
      </w:r>
      <w:r>
        <w:rPr>
          <w:rFonts w:hint="eastAsia" w:ascii="宋体" w:hAnsi="宋体" w:eastAsia="宋体" w:cs="宋体"/>
          <w:color w:val="auto"/>
          <w:szCs w:val="21"/>
        </w:rPr>
        <w:t>。</w:t>
      </w:r>
    </w:p>
    <w:p>
      <w:pPr>
        <w:tabs>
          <w:tab w:val="left" w:pos="546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ab/>
      </w:r>
    </w:p>
    <w:p>
      <w:pPr>
        <w:spacing w:line="360" w:lineRule="auto"/>
        <w:ind w:firstLine="480" w:firstLineChars="200"/>
        <w:rPr>
          <w:rFonts w:hint="eastAsia" w:ascii="宋体" w:hAnsi="宋体" w:eastAsia="宋体" w:cs="宋体"/>
          <w:color w:val="auto"/>
          <w:sz w:val="24"/>
        </w:rPr>
      </w:pPr>
      <w:bookmarkStart w:id="548" w:name="_Toc7448"/>
      <w:bookmarkStart w:id="549" w:name="_Toc7402"/>
      <w:bookmarkStart w:id="550" w:name="_Toc13285"/>
      <w:bookmarkStart w:id="551" w:name="_Toc29393"/>
      <w:bookmarkStart w:id="552" w:name="_Toc13171"/>
      <w:bookmarkStart w:id="553" w:name="_Toc190"/>
      <w:r>
        <w:rPr>
          <w:rFonts w:hint="eastAsia" w:ascii="宋体" w:hAnsi="宋体" w:eastAsia="宋体" w:cs="宋体"/>
          <w:color w:val="auto"/>
          <w:sz w:val="24"/>
        </w:rPr>
        <w:t>投标人名称：XXXX（单位盖章）</w:t>
      </w:r>
      <w:bookmarkEnd w:id="548"/>
      <w:bookmarkEnd w:id="549"/>
      <w:bookmarkEnd w:id="550"/>
      <w:bookmarkEnd w:id="551"/>
      <w:bookmarkEnd w:id="552"/>
      <w:bookmarkEnd w:id="553"/>
    </w:p>
    <w:p>
      <w:pPr>
        <w:spacing w:line="360" w:lineRule="auto"/>
        <w:ind w:firstLine="480" w:firstLineChars="200"/>
        <w:rPr>
          <w:rFonts w:hint="eastAsia" w:ascii="宋体" w:hAnsi="宋体" w:eastAsia="宋体" w:cs="宋体"/>
          <w:color w:val="auto"/>
          <w:sz w:val="24"/>
        </w:rPr>
      </w:pPr>
      <w:bookmarkStart w:id="554" w:name="_Toc13295"/>
      <w:bookmarkStart w:id="555" w:name="_Toc14878"/>
      <w:bookmarkStart w:id="556" w:name="_Toc28532"/>
      <w:bookmarkStart w:id="557" w:name="_Toc28354"/>
      <w:bookmarkStart w:id="558" w:name="_Toc4898"/>
      <w:bookmarkStart w:id="559" w:name="_Toc30797"/>
      <w:r>
        <w:rPr>
          <w:rFonts w:hint="eastAsia" w:ascii="宋体" w:hAnsi="宋体" w:eastAsia="宋体" w:cs="宋体"/>
          <w:color w:val="auto"/>
          <w:sz w:val="24"/>
        </w:rPr>
        <w:t>法定代表人</w:t>
      </w:r>
      <w:r>
        <w:rPr>
          <w:rFonts w:hint="eastAsia" w:ascii="宋体" w:hAnsi="宋体" w:eastAsia="宋体" w:cs="宋体"/>
          <w:bCs/>
          <w:color w:val="auto"/>
          <w:sz w:val="24"/>
        </w:rPr>
        <w:t>（</w:t>
      </w:r>
      <w:r>
        <w:rPr>
          <w:rFonts w:hint="eastAsia" w:ascii="宋体" w:hAnsi="宋体" w:eastAsia="宋体" w:cs="宋体"/>
          <w:color w:val="auto"/>
          <w:sz w:val="24"/>
        </w:rPr>
        <w:t>主要负责人</w:t>
      </w:r>
      <w:r>
        <w:rPr>
          <w:rFonts w:hint="eastAsia" w:ascii="宋体" w:hAnsi="宋体" w:eastAsia="宋体" w:cs="宋体"/>
          <w:bCs/>
          <w:color w:val="auto"/>
          <w:sz w:val="24"/>
        </w:rPr>
        <w:t>）</w:t>
      </w:r>
      <w:r>
        <w:rPr>
          <w:rFonts w:hint="eastAsia" w:ascii="宋体" w:hAnsi="宋体" w:eastAsia="宋体" w:cs="宋体"/>
          <w:color w:val="auto"/>
          <w:sz w:val="24"/>
        </w:rPr>
        <w:t>或授权代表（签字或加盖个人名章）：XXXX</w:t>
      </w:r>
      <w:bookmarkEnd w:id="554"/>
      <w:bookmarkEnd w:id="555"/>
      <w:bookmarkEnd w:id="556"/>
      <w:bookmarkEnd w:id="557"/>
      <w:bookmarkEnd w:id="558"/>
      <w:bookmarkEnd w:id="559"/>
    </w:p>
    <w:p>
      <w:pPr>
        <w:spacing w:line="360" w:lineRule="auto"/>
        <w:ind w:firstLine="480" w:firstLineChars="200"/>
        <w:rPr>
          <w:rFonts w:hint="eastAsia" w:ascii="宋体" w:hAnsi="宋体" w:eastAsia="宋体" w:cs="宋体"/>
          <w:color w:val="auto"/>
          <w:sz w:val="24"/>
        </w:rPr>
      </w:pPr>
      <w:bookmarkStart w:id="560" w:name="_Toc17067"/>
      <w:bookmarkStart w:id="561" w:name="_Toc8963"/>
      <w:bookmarkStart w:id="562" w:name="_Toc21239"/>
      <w:bookmarkStart w:id="563" w:name="_Toc21685"/>
      <w:bookmarkStart w:id="564" w:name="_Toc24546"/>
      <w:bookmarkStart w:id="565" w:name="_Toc10123"/>
      <w:r>
        <w:rPr>
          <w:rFonts w:hint="eastAsia" w:ascii="宋体" w:hAnsi="宋体" w:eastAsia="宋体" w:cs="宋体"/>
          <w:color w:val="auto"/>
          <w:sz w:val="24"/>
        </w:rPr>
        <w:t>投标日期:</w:t>
      </w:r>
      <w:bookmarkEnd w:id="560"/>
      <w:bookmarkEnd w:id="561"/>
      <w:bookmarkEnd w:id="562"/>
      <w:bookmarkEnd w:id="563"/>
      <w:bookmarkEnd w:id="564"/>
      <w:bookmarkEnd w:id="565"/>
      <w:r>
        <w:rPr>
          <w:rFonts w:hint="eastAsia" w:ascii="宋体" w:hAnsi="宋体" w:eastAsia="宋体" w:cs="宋体"/>
          <w:color w:val="auto"/>
          <w:sz w:val="24"/>
        </w:rPr>
        <w:t xml:space="preserve"> XXXX年XX月XX日</w:t>
      </w: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bookmarkEnd w:id="547"/>
    <w:p>
      <w:pPr>
        <w:pStyle w:val="5"/>
        <w:jc w:val="center"/>
        <w:rPr>
          <w:rFonts w:hint="eastAsia" w:ascii="宋体" w:hAnsi="宋体" w:eastAsia="宋体" w:cs="宋体"/>
          <w:color w:val="auto"/>
        </w:rPr>
      </w:pPr>
      <w:bookmarkStart w:id="566" w:name="_Toc27080"/>
      <w:bookmarkStart w:id="567" w:name="_Toc17575"/>
      <w:bookmarkStart w:id="568" w:name="_Toc31078"/>
      <w:bookmarkStart w:id="569" w:name="_Toc25859"/>
      <w:bookmarkStart w:id="570" w:name="_Toc6175"/>
      <w:bookmarkStart w:id="571" w:name="_Toc27440"/>
      <w:bookmarkStart w:id="572" w:name="_Toc438730689"/>
      <w:r>
        <w:rPr>
          <w:rFonts w:hint="eastAsia" w:ascii="宋体" w:hAnsi="宋体" w:eastAsia="宋体" w:cs="宋体"/>
          <w:color w:val="auto"/>
        </w:rPr>
        <w:t>五、投标人基本情况表</w:t>
      </w:r>
      <w:bookmarkEnd w:id="566"/>
      <w:bookmarkEnd w:id="567"/>
      <w:bookmarkEnd w:id="568"/>
      <w:bookmarkEnd w:id="569"/>
      <w:bookmarkEnd w:id="570"/>
      <w:bookmarkEnd w:id="571"/>
    </w:p>
    <w:tbl>
      <w:tblPr>
        <w:tblStyle w:val="49"/>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noWrap w:val="0"/>
            <w:vAlign w:val="center"/>
          </w:tcPr>
          <w:p>
            <w:pPr>
              <w:rPr>
                <w:rFonts w:hint="eastAsia" w:ascii="宋体" w:hAnsi="宋体" w:eastAsia="宋体" w:cs="宋体"/>
                <w:color w:val="auto"/>
                <w:sz w:val="24"/>
              </w:rPr>
            </w:pPr>
            <w:bookmarkStart w:id="573" w:name="_Toc19149"/>
            <w:bookmarkStart w:id="574" w:name="_Toc17317"/>
            <w:bookmarkStart w:id="575" w:name="_Toc4917"/>
            <w:bookmarkStart w:id="576" w:name="_Toc461"/>
            <w:bookmarkStart w:id="577" w:name="_Toc15898"/>
            <w:bookmarkStart w:id="578" w:name="_Toc24848"/>
            <w:r>
              <w:rPr>
                <w:rFonts w:hint="eastAsia" w:ascii="宋体" w:hAnsi="宋体" w:eastAsia="宋体" w:cs="宋体"/>
                <w:color w:val="auto"/>
                <w:sz w:val="24"/>
              </w:rPr>
              <w:t>投标人名称</w:t>
            </w:r>
            <w:bookmarkEnd w:id="573"/>
            <w:bookmarkEnd w:id="574"/>
            <w:bookmarkEnd w:id="575"/>
            <w:bookmarkEnd w:id="576"/>
            <w:bookmarkEnd w:id="577"/>
            <w:bookmarkEnd w:id="578"/>
          </w:p>
        </w:tc>
        <w:tc>
          <w:tcPr>
            <w:tcW w:w="6693" w:type="dxa"/>
            <w:gridSpan w:val="7"/>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noWrap w:val="0"/>
            <w:vAlign w:val="center"/>
          </w:tcPr>
          <w:p>
            <w:pPr>
              <w:rPr>
                <w:rFonts w:hint="eastAsia" w:ascii="宋体" w:hAnsi="宋体" w:eastAsia="宋体" w:cs="宋体"/>
                <w:color w:val="auto"/>
                <w:sz w:val="24"/>
              </w:rPr>
            </w:pPr>
            <w:bookmarkStart w:id="579" w:name="_Toc23284"/>
            <w:bookmarkStart w:id="580" w:name="_Toc14790"/>
            <w:bookmarkStart w:id="581" w:name="_Toc22203"/>
            <w:bookmarkStart w:id="582" w:name="_Toc19798"/>
            <w:bookmarkStart w:id="583" w:name="_Toc25528"/>
            <w:bookmarkStart w:id="584" w:name="_Toc19658"/>
            <w:r>
              <w:rPr>
                <w:rFonts w:hint="eastAsia" w:ascii="宋体" w:hAnsi="宋体" w:eastAsia="宋体" w:cs="宋体"/>
                <w:color w:val="auto"/>
                <w:sz w:val="24"/>
              </w:rPr>
              <w:t>注册地址</w:t>
            </w:r>
            <w:bookmarkEnd w:id="579"/>
            <w:bookmarkEnd w:id="580"/>
            <w:bookmarkEnd w:id="581"/>
            <w:bookmarkEnd w:id="582"/>
            <w:bookmarkEnd w:id="583"/>
            <w:bookmarkEnd w:id="584"/>
          </w:p>
        </w:tc>
        <w:tc>
          <w:tcPr>
            <w:tcW w:w="3443" w:type="dxa"/>
            <w:gridSpan w:val="3"/>
            <w:noWrap w:val="0"/>
            <w:vAlign w:val="center"/>
          </w:tcPr>
          <w:p>
            <w:pPr>
              <w:rPr>
                <w:rFonts w:hint="eastAsia" w:ascii="宋体" w:hAnsi="宋体" w:eastAsia="宋体" w:cs="宋体"/>
                <w:color w:val="auto"/>
                <w:sz w:val="24"/>
              </w:rPr>
            </w:pPr>
          </w:p>
        </w:tc>
        <w:tc>
          <w:tcPr>
            <w:tcW w:w="1320" w:type="dxa"/>
            <w:noWrap w:val="0"/>
            <w:vAlign w:val="center"/>
          </w:tcPr>
          <w:p>
            <w:pPr>
              <w:rPr>
                <w:rFonts w:hint="eastAsia" w:ascii="宋体" w:hAnsi="宋体" w:eastAsia="宋体" w:cs="宋体"/>
                <w:color w:val="auto"/>
                <w:sz w:val="24"/>
              </w:rPr>
            </w:pPr>
            <w:bookmarkStart w:id="585" w:name="_Toc2609"/>
            <w:bookmarkStart w:id="586" w:name="_Toc28689"/>
            <w:bookmarkStart w:id="587" w:name="_Toc28413"/>
            <w:bookmarkStart w:id="588" w:name="_Toc28547"/>
            <w:bookmarkStart w:id="589" w:name="_Toc17299"/>
            <w:bookmarkStart w:id="590" w:name="_Toc6931"/>
            <w:r>
              <w:rPr>
                <w:rFonts w:hint="eastAsia" w:ascii="宋体" w:hAnsi="宋体" w:eastAsia="宋体" w:cs="宋体"/>
                <w:color w:val="auto"/>
                <w:sz w:val="24"/>
              </w:rPr>
              <w:t>邮政编码</w:t>
            </w:r>
            <w:bookmarkEnd w:id="585"/>
            <w:bookmarkEnd w:id="586"/>
            <w:bookmarkEnd w:id="587"/>
            <w:bookmarkEnd w:id="588"/>
            <w:bookmarkEnd w:id="589"/>
            <w:bookmarkEnd w:id="590"/>
          </w:p>
        </w:tc>
        <w:tc>
          <w:tcPr>
            <w:tcW w:w="1930" w:type="dxa"/>
            <w:gridSpan w:val="3"/>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Merge w:val="restart"/>
            <w:noWrap w:val="0"/>
            <w:vAlign w:val="center"/>
          </w:tcPr>
          <w:p>
            <w:pPr>
              <w:rPr>
                <w:rFonts w:hint="eastAsia" w:ascii="宋体" w:hAnsi="宋体" w:eastAsia="宋体" w:cs="宋体"/>
                <w:color w:val="auto"/>
                <w:sz w:val="24"/>
              </w:rPr>
            </w:pPr>
            <w:bookmarkStart w:id="591" w:name="_Toc9675"/>
            <w:bookmarkStart w:id="592" w:name="_Toc16190"/>
            <w:bookmarkStart w:id="593" w:name="_Toc3076"/>
            <w:bookmarkStart w:id="594" w:name="_Toc7253"/>
            <w:bookmarkStart w:id="595" w:name="_Toc25757"/>
            <w:bookmarkStart w:id="596" w:name="_Toc8065"/>
            <w:r>
              <w:rPr>
                <w:rFonts w:hint="eastAsia" w:ascii="宋体" w:hAnsi="宋体" w:eastAsia="宋体" w:cs="宋体"/>
                <w:color w:val="auto"/>
                <w:sz w:val="24"/>
              </w:rPr>
              <w:t>联系方式</w:t>
            </w:r>
            <w:bookmarkEnd w:id="591"/>
            <w:bookmarkEnd w:id="592"/>
            <w:bookmarkEnd w:id="593"/>
            <w:bookmarkEnd w:id="594"/>
            <w:bookmarkEnd w:id="595"/>
            <w:bookmarkEnd w:id="596"/>
          </w:p>
        </w:tc>
        <w:tc>
          <w:tcPr>
            <w:tcW w:w="957" w:type="dxa"/>
            <w:noWrap w:val="0"/>
            <w:vAlign w:val="center"/>
          </w:tcPr>
          <w:p>
            <w:pPr>
              <w:rPr>
                <w:rFonts w:hint="eastAsia" w:ascii="宋体" w:hAnsi="宋体" w:eastAsia="宋体" w:cs="宋体"/>
                <w:color w:val="auto"/>
                <w:sz w:val="24"/>
              </w:rPr>
            </w:pPr>
            <w:bookmarkStart w:id="597" w:name="_Toc21092"/>
            <w:bookmarkStart w:id="598" w:name="_Toc16883"/>
            <w:bookmarkStart w:id="599" w:name="_Toc31944"/>
            <w:bookmarkStart w:id="600" w:name="_Toc5867"/>
            <w:bookmarkStart w:id="601" w:name="_Toc9889"/>
            <w:bookmarkStart w:id="602" w:name="_Toc18080"/>
            <w:r>
              <w:rPr>
                <w:rFonts w:hint="eastAsia" w:ascii="宋体" w:hAnsi="宋体" w:eastAsia="宋体" w:cs="宋体"/>
                <w:color w:val="auto"/>
                <w:sz w:val="24"/>
              </w:rPr>
              <w:t>联系人</w:t>
            </w:r>
            <w:bookmarkEnd w:id="597"/>
            <w:bookmarkEnd w:id="598"/>
            <w:bookmarkEnd w:id="599"/>
            <w:bookmarkEnd w:id="600"/>
            <w:bookmarkEnd w:id="601"/>
            <w:bookmarkEnd w:id="602"/>
          </w:p>
        </w:tc>
        <w:tc>
          <w:tcPr>
            <w:tcW w:w="2486" w:type="dxa"/>
            <w:gridSpan w:val="2"/>
            <w:noWrap w:val="0"/>
            <w:vAlign w:val="center"/>
          </w:tcPr>
          <w:p>
            <w:pPr>
              <w:rPr>
                <w:rFonts w:hint="eastAsia" w:ascii="宋体" w:hAnsi="宋体" w:eastAsia="宋体" w:cs="宋体"/>
                <w:color w:val="auto"/>
                <w:sz w:val="24"/>
              </w:rPr>
            </w:pPr>
          </w:p>
        </w:tc>
        <w:tc>
          <w:tcPr>
            <w:tcW w:w="1320" w:type="dxa"/>
            <w:noWrap w:val="0"/>
            <w:vAlign w:val="center"/>
          </w:tcPr>
          <w:p>
            <w:pPr>
              <w:rPr>
                <w:rFonts w:hint="eastAsia" w:ascii="宋体" w:hAnsi="宋体" w:eastAsia="宋体" w:cs="宋体"/>
                <w:color w:val="auto"/>
                <w:sz w:val="24"/>
              </w:rPr>
            </w:pPr>
            <w:bookmarkStart w:id="603" w:name="_Toc21090"/>
            <w:bookmarkStart w:id="604" w:name="_Toc15343"/>
            <w:bookmarkStart w:id="605" w:name="_Toc28626"/>
            <w:bookmarkStart w:id="606" w:name="_Toc2165"/>
            <w:bookmarkStart w:id="607" w:name="_Toc12978"/>
            <w:bookmarkStart w:id="608" w:name="_Toc31827"/>
            <w:r>
              <w:rPr>
                <w:rFonts w:hint="eastAsia" w:ascii="宋体" w:hAnsi="宋体" w:eastAsia="宋体" w:cs="宋体"/>
                <w:color w:val="auto"/>
                <w:sz w:val="24"/>
              </w:rPr>
              <w:t>电话</w:t>
            </w:r>
            <w:bookmarkEnd w:id="603"/>
            <w:bookmarkEnd w:id="604"/>
            <w:bookmarkEnd w:id="605"/>
            <w:bookmarkEnd w:id="606"/>
            <w:bookmarkEnd w:id="607"/>
            <w:bookmarkEnd w:id="608"/>
          </w:p>
        </w:tc>
        <w:tc>
          <w:tcPr>
            <w:tcW w:w="1930" w:type="dxa"/>
            <w:gridSpan w:val="3"/>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22" w:type="dxa"/>
            <w:vMerge w:val="continue"/>
            <w:noWrap w:val="0"/>
            <w:vAlign w:val="center"/>
          </w:tcPr>
          <w:p>
            <w:pPr>
              <w:rPr>
                <w:rFonts w:hint="eastAsia" w:ascii="宋体" w:hAnsi="宋体" w:eastAsia="宋体" w:cs="宋体"/>
                <w:color w:val="auto"/>
              </w:rPr>
            </w:pPr>
          </w:p>
        </w:tc>
        <w:tc>
          <w:tcPr>
            <w:tcW w:w="957" w:type="dxa"/>
            <w:noWrap w:val="0"/>
            <w:vAlign w:val="center"/>
          </w:tcPr>
          <w:p>
            <w:pPr>
              <w:rPr>
                <w:rFonts w:hint="eastAsia" w:ascii="宋体" w:hAnsi="宋体" w:eastAsia="宋体" w:cs="宋体"/>
                <w:color w:val="auto"/>
                <w:sz w:val="24"/>
              </w:rPr>
            </w:pPr>
            <w:bookmarkStart w:id="609" w:name="_Toc19983"/>
            <w:bookmarkStart w:id="610" w:name="_Toc16092"/>
            <w:bookmarkStart w:id="611" w:name="_Toc9416"/>
            <w:bookmarkStart w:id="612" w:name="_Toc29448"/>
            <w:bookmarkStart w:id="613" w:name="_Toc20285"/>
            <w:bookmarkStart w:id="614" w:name="_Toc14329"/>
            <w:r>
              <w:rPr>
                <w:rFonts w:hint="eastAsia" w:ascii="宋体" w:hAnsi="宋体" w:eastAsia="宋体" w:cs="宋体"/>
                <w:color w:val="auto"/>
                <w:sz w:val="24"/>
              </w:rPr>
              <w:t>传真</w:t>
            </w:r>
            <w:bookmarkEnd w:id="609"/>
            <w:bookmarkEnd w:id="610"/>
            <w:bookmarkEnd w:id="611"/>
            <w:bookmarkEnd w:id="612"/>
            <w:bookmarkEnd w:id="613"/>
            <w:bookmarkEnd w:id="614"/>
          </w:p>
        </w:tc>
        <w:tc>
          <w:tcPr>
            <w:tcW w:w="2486" w:type="dxa"/>
            <w:gridSpan w:val="2"/>
            <w:noWrap w:val="0"/>
            <w:vAlign w:val="center"/>
          </w:tcPr>
          <w:p>
            <w:pPr>
              <w:rPr>
                <w:rFonts w:hint="eastAsia" w:ascii="宋体" w:hAnsi="宋体" w:eastAsia="宋体" w:cs="宋体"/>
                <w:color w:val="auto"/>
                <w:sz w:val="24"/>
              </w:rPr>
            </w:pPr>
          </w:p>
        </w:tc>
        <w:tc>
          <w:tcPr>
            <w:tcW w:w="1320" w:type="dxa"/>
            <w:noWrap w:val="0"/>
            <w:vAlign w:val="center"/>
          </w:tcPr>
          <w:p>
            <w:pPr>
              <w:rPr>
                <w:rFonts w:hint="eastAsia" w:ascii="宋体" w:hAnsi="宋体" w:eastAsia="宋体" w:cs="宋体"/>
                <w:color w:val="auto"/>
                <w:sz w:val="24"/>
              </w:rPr>
            </w:pPr>
            <w:bookmarkStart w:id="615" w:name="_Toc12478"/>
            <w:bookmarkStart w:id="616" w:name="_Toc3055"/>
            <w:bookmarkStart w:id="617" w:name="_Toc24315"/>
            <w:bookmarkStart w:id="618" w:name="_Toc31335"/>
            <w:bookmarkStart w:id="619" w:name="_Toc25082"/>
            <w:bookmarkStart w:id="620" w:name="_Toc15352"/>
            <w:r>
              <w:rPr>
                <w:rFonts w:hint="eastAsia" w:ascii="宋体" w:hAnsi="宋体" w:eastAsia="宋体" w:cs="宋体"/>
                <w:color w:val="auto"/>
                <w:sz w:val="24"/>
              </w:rPr>
              <w:t>网址</w:t>
            </w:r>
            <w:bookmarkEnd w:id="615"/>
            <w:bookmarkEnd w:id="616"/>
            <w:bookmarkEnd w:id="617"/>
            <w:bookmarkEnd w:id="618"/>
            <w:bookmarkEnd w:id="619"/>
            <w:bookmarkEnd w:id="620"/>
          </w:p>
        </w:tc>
        <w:tc>
          <w:tcPr>
            <w:tcW w:w="1930" w:type="dxa"/>
            <w:gridSpan w:val="3"/>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noWrap w:val="0"/>
            <w:vAlign w:val="center"/>
          </w:tcPr>
          <w:p>
            <w:pPr>
              <w:rPr>
                <w:rFonts w:hint="eastAsia" w:ascii="宋体" w:hAnsi="宋体" w:eastAsia="宋体" w:cs="宋体"/>
                <w:color w:val="auto"/>
                <w:sz w:val="24"/>
              </w:rPr>
            </w:pPr>
            <w:bookmarkStart w:id="621" w:name="_Toc19334"/>
            <w:bookmarkStart w:id="622" w:name="_Toc18173"/>
            <w:bookmarkStart w:id="623" w:name="_Toc30253"/>
            <w:bookmarkStart w:id="624" w:name="_Toc13511"/>
            <w:bookmarkStart w:id="625" w:name="_Toc1868"/>
            <w:bookmarkStart w:id="626" w:name="_Toc17225"/>
            <w:r>
              <w:rPr>
                <w:rFonts w:hint="eastAsia" w:ascii="宋体" w:hAnsi="宋体" w:eastAsia="宋体" w:cs="宋体"/>
                <w:color w:val="auto"/>
                <w:sz w:val="24"/>
              </w:rPr>
              <w:t>组织结构</w:t>
            </w:r>
            <w:bookmarkEnd w:id="621"/>
            <w:bookmarkEnd w:id="622"/>
            <w:bookmarkEnd w:id="623"/>
            <w:bookmarkEnd w:id="624"/>
            <w:bookmarkEnd w:id="625"/>
            <w:bookmarkEnd w:id="626"/>
          </w:p>
        </w:tc>
        <w:tc>
          <w:tcPr>
            <w:tcW w:w="6693" w:type="dxa"/>
            <w:gridSpan w:val="7"/>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22" w:type="dxa"/>
            <w:noWrap w:val="0"/>
            <w:vAlign w:val="center"/>
          </w:tcPr>
          <w:p>
            <w:pPr>
              <w:rPr>
                <w:rFonts w:hint="eastAsia" w:ascii="宋体" w:hAnsi="宋体" w:eastAsia="宋体" w:cs="宋体"/>
                <w:color w:val="auto"/>
                <w:sz w:val="24"/>
              </w:rPr>
            </w:pPr>
            <w:bookmarkStart w:id="627" w:name="_Toc18315"/>
            <w:bookmarkStart w:id="628" w:name="_Toc10052"/>
            <w:bookmarkStart w:id="629" w:name="_Toc12272"/>
            <w:bookmarkStart w:id="630" w:name="_Toc901"/>
            <w:bookmarkStart w:id="631" w:name="_Toc21219"/>
            <w:bookmarkStart w:id="632" w:name="_Toc30385"/>
            <w:r>
              <w:rPr>
                <w:rFonts w:hint="eastAsia" w:ascii="宋体" w:hAnsi="宋体" w:eastAsia="宋体" w:cs="宋体"/>
                <w:color w:val="auto"/>
                <w:sz w:val="24"/>
              </w:rPr>
              <w:t>法定代表人</w:t>
            </w:r>
            <w:bookmarkEnd w:id="627"/>
            <w:bookmarkEnd w:id="628"/>
            <w:bookmarkEnd w:id="629"/>
            <w:bookmarkEnd w:id="630"/>
            <w:bookmarkEnd w:id="631"/>
            <w:bookmarkEnd w:id="632"/>
          </w:p>
        </w:tc>
        <w:tc>
          <w:tcPr>
            <w:tcW w:w="957" w:type="dxa"/>
            <w:noWrap w:val="0"/>
            <w:vAlign w:val="center"/>
          </w:tcPr>
          <w:p>
            <w:pPr>
              <w:rPr>
                <w:rFonts w:hint="eastAsia" w:ascii="宋体" w:hAnsi="宋体" w:eastAsia="宋体" w:cs="宋体"/>
                <w:color w:val="auto"/>
                <w:sz w:val="24"/>
              </w:rPr>
            </w:pPr>
            <w:bookmarkStart w:id="633" w:name="_Toc29101"/>
            <w:bookmarkStart w:id="634" w:name="_Toc16577"/>
            <w:bookmarkStart w:id="635" w:name="_Toc2540"/>
            <w:bookmarkStart w:id="636" w:name="_Toc2706"/>
            <w:bookmarkStart w:id="637" w:name="_Toc26632"/>
            <w:bookmarkStart w:id="638" w:name="_Toc11505"/>
            <w:r>
              <w:rPr>
                <w:rFonts w:hint="eastAsia" w:ascii="宋体" w:hAnsi="宋体" w:eastAsia="宋体" w:cs="宋体"/>
                <w:color w:val="auto"/>
                <w:sz w:val="24"/>
              </w:rPr>
              <w:t>姓名</w:t>
            </w:r>
            <w:bookmarkEnd w:id="633"/>
            <w:bookmarkEnd w:id="634"/>
            <w:bookmarkEnd w:id="635"/>
            <w:bookmarkEnd w:id="636"/>
            <w:bookmarkEnd w:id="637"/>
            <w:bookmarkEnd w:id="638"/>
          </w:p>
        </w:tc>
        <w:tc>
          <w:tcPr>
            <w:tcW w:w="1239" w:type="dxa"/>
            <w:noWrap w:val="0"/>
            <w:vAlign w:val="center"/>
          </w:tcPr>
          <w:p>
            <w:pPr>
              <w:rPr>
                <w:rFonts w:hint="eastAsia" w:ascii="宋体" w:hAnsi="宋体" w:eastAsia="宋体" w:cs="宋体"/>
                <w:color w:val="auto"/>
                <w:sz w:val="24"/>
              </w:rPr>
            </w:pPr>
          </w:p>
        </w:tc>
        <w:tc>
          <w:tcPr>
            <w:tcW w:w="1247" w:type="dxa"/>
            <w:noWrap w:val="0"/>
            <w:vAlign w:val="center"/>
          </w:tcPr>
          <w:p>
            <w:pPr>
              <w:rPr>
                <w:rFonts w:hint="eastAsia" w:ascii="宋体" w:hAnsi="宋体" w:eastAsia="宋体" w:cs="宋体"/>
                <w:color w:val="auto"/>
                <w:sz w:val="24"/>
              </w:rPr>
            </w:pPr>
            <w:bookmarkStart w:id="639" w:name="_Toc19648"/>
            <w:bookmarkStart w:id="640" w:name="_Toc10409"/>
            <w:bookmarkStart w:id="641" w:name="_Toc21841"/>
            <w:bookmarkStart w:id="642" w:name="_Toc27254"/>
            <w:bookmarkStart w:id="643" w:name="_Toc31902"/>
            <w:bookmarkStart w:id="644" w:name="_Toc12804"/>
            <w:r>
              <w:rPr>
                <w:rFonts w:hint="eastAsia" w:ascii="宋体" w:hAnsi="宋体" w:eastAsia="宋体" w:cs="宋体"/>
                <w:color w:val="auto"/>
                <w:sz w:val="24"/>
              </w:rPr>
              <w:t>技术职称</w:t>
            </w:r>
            <w:bookmarkEnd w:id="639"/>
            <w:bookmarkEnd w:id="640"/>
            <w:bookmarkEnd w:id="641"/>
            <w:bookmarkEnd w:id="642"/>
            <w:bookmarkEnd w:id="643"/>
            <w:bookmarkEnd w:id="644"/>
          </w:p>
        </w:tc>
        <w:tc>
          <w:tcPr>
            <w:tcW w:w="1320" w:type="dxa"/>
            <w:noWrap w:val="0"/>
            <w:vAlign w:val="center"/>
          </w:tcPr>
          <w:p>
            <w:pPr>
              <w:rPr>
                <w:rFonts w:hint="eastAsia" w:ascii="宋体" w:hAnsi="宋体" w:eastAsia="宋体" w:cs="宋体"/>
                <w:color w:val="auto"/>
                <w:sz w:val="24"/>
              </w:rPr>
            </w:pPr>
          </w:p>
        </w:tc>
        <w:tc>
          <w:tcPr>
            <w:tcW w:w="850" w:type="dxa"/>
            <w:gridSpan w:val="2"/>
            <w:noWrap w:val="0"/>
            <w:vAlign w:val="center"/>
          </w:tcPr>
          <w:p>
            <w:pPr>
              <w:rPr>
                <w:rFonts w:hint="eastAsia" w:ascii="宋体" w:hAnsi="宋体" w:eastAsia="宋体" w:cs="宋体"/>
                <w:color w:val="auto"/>
                <w:sz w:val="24"/>
              </w:rPr>
            </w:pPr>
            <w:bookmarkStart w:id="645" w:name="_Toc1852"/>
            <w:bookmarkStart w:id="646" w:name="_Toc21980"/>
            <w:bookmarkStart w:id="647" w:name="_Toc31617"/>
            <w:bookmarkStart w:id="648" w:name="_Toc17082"/>
            <w:bookmarkStart w:id="649" w:name="_Toc10186"/>
            <w:bookmarkStart w:id="650" w:name="_Toc3924"/>
            <w:r>
              <w:rPr>
                <w:rFonts w:hint="eastAsia" w:ascii="宋体" w:hAnsi="宋体" w:eastAsia="宋体" w:cs="宋体"/>
                <w:color w:val="auto"/>
                <w:sz w:val="24"/>
              </w:rPr>
              <w:t>电话</w:t>
            </w:r>
            <w:bookmarkEnd w:id="645"/>
            <w:bookmarkEnd w:id="646"/>
            <w:bookmarkEnd w:id="647"/>
            <w:bookmarkEnd w:id="648"/>
            <w:bookmarkEnd w:id="649"/>
            <w:bookmarkEnd w:id="650"/>
          </w:p>
        </w:tc>
        <w:tc>
          <w:tcPr>
            <w:tcW w:w="1080" w:type="dxa"/>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522" w:type="dxa"/>
            <w:noWrap w:val="0"/>
            <w:vAlign w:val="center"/>
          </w:tcPr>
          <w:p>
            <w:pPr>
              <w:rPr>
                <w:rFonts w:hint="eastAsia" w:ascii="宋体" w:hAnsi="宋体" w:eastAsia="宋体" w:cs="宋体"/>
                <w:color w:val="auto"/>
                <w:sz w:val="24"/>
              </w:rPr>
            </w:pPr>
            <w:bookmarkStart w:id="651" w:name="_Toc10873"/>
            <w:bookmarkStart w:id="652" w:name="_Toc21193"/>
            <w:bookmarkStart w:id="653" w:name="_Toc18356"/>
            <w:bookmarkStart w:id="654" w:name="_Toc30004"/>
            <w:bookmarkStart w:id="655" w:name="_Toc17224"/>
            <w:bookmarkStart w:id="656" w:name="_Toc18966"/>
            <w:r>
              <w:rPr>
                <w:rFonts w:hint="eastAsia" w:ascii="宋体" w:hAnsi="宋体" w:eastAsia="宋体" w:cs="宋体"/>
                <w:color w:val="auto"/>
                <w:sz w:val="24"/>
              </w:rPr>
              <w:t>技术负责人</w:t>
            </w:r>
            <w:bookmarkEnd w:id="651"/>
            <w:bookmarkEnd w:id="652"/>
            <w:bookmarkEnd w:id="653"/>
            <w:bookmarkEnd w:id="654"/>
            <w:bookmarkEnd w:id="655"/>
            <w:bookmarkEnd w:id="656"/>
          </w:p>
        </w:tc>
        <w:tc>
          <w:tcPr>
            <w:tcW w:w="957" w:type="dxa"/>
            <w:noWrap w:val="0"/>
            <w:vAlign w:val="center"/>
          </w:tcPr>
          <w:p>
            <w:pPr>
              <w:rPr>
                <w:rFonts w:hint="eastAsia" w:ascii="宋体" w:hAnsi="宋体" w:eastAsia="宋体" w:cs="宋体"/>
                <w:color w:val="auto"/>
                <w:sz w:val="24"/>
              </w:rPr>
            </w:pPr>
            <w:bookmarkStart w:id="657" w:name="_Toc29852"/>
            <w:bookmarkStart w:id="658" w:name="_Toc673"/>
            <w:bookmarkStart w:id="659" w:name="_Toc8158"/>
            <w:bookmarkStart w:id="660" w:name="_Toc30984"/>
            <w:bookmarkStart w:id="661" w:name="_Toc15229"/>
            <w:bookmarkStart w:id="662" w:name="_Toc23932"/>
            <w:r>
              <w:rPr>
                <w:rFonts w:hint="eastAsia" w:ascii="宋体" w:hAnsi="宋体" w:eastAsia="宋体" w:cs="宋体"/>
                <w:color w:val="auto"/>
                <w:sz w:val="24"/>
              </w:rPr>
              <w:t>姓名</w:t>
            </w:r>
            <w:bookmarkEnd w:id="657"/>
            <w:bookmarkEnd w:id="658"/>
            <w:bookmarkEnd w:id="659"/>
            <w:bookmarkEnd w:id="660"/>
            <w:bookmarkEnd w:id="661"/>
            <w:bookmarkEnd w:id="662"/>
          </w:p>
        </w:tc>
        <w:tc>
          <w:tcPr>
            <w:tcW w:w="1239" w:type="dxa"/>
            <w:noWrap w:val="0"/>
            <w:vAlign w:val="center"/>
          </w:tcPr>
          <w:p>
            <w:pPr>
              <w:rPr>
                <w:rFonts w:hint="eastAsia" w:ascii="宋体" w:hAnsi="宋体" w:eastAsia="宋体" w:cs="宋体"/>
                <w:color w:val="auto"/>
                <w:sz w:val="24"/>
              </w:rPr>
            </w:pPr>
          </w:p>
        </w:tc>
        <w:tc>
          <w:tcPr>
            <w:tcW w:w="1247" w:type="dxa"/>
            <w:noWrap w:val="0"/>
            <w:vAlign w:val="center"/>
          </w:tcPr>
          <w:p>
            <w:pPr>
              <w:rPr>
                <w:rFonts w:hint="eastAsia" w:ascii="宋体" w:hAnsi="宋体" w:eastAsia="宋体" w:cs="宋体"/>
                <w:color w:val="auto"/>
                <w:sz w:val="24"/>
              </w:rPr>
            </w:pPr>
            <w:bookmarkStart w:id="663" w:name="_Toc4550"/>
            <w:bookmarkStart w:id="664" w:name="_Toc32529"/>
            <w:bookmarkStart w:id="665" w:name="_Toc19759"/>
            <w:bookmarkStart w:id="666" w:name="_Toc28538"/>
            <w:bookmarkStart w:id="667" w:name="_Toc29958"/>
            <w:bookmarkStart w:id="668" w:name="_Toc28660"/>
            <w:r>
              <w:rPr>
                <w:rFonts w:hint="eastAsia" w:ascii="宋体" w:hAnsi="宋体" w:eastAsia="宋体" w:cs="宋体"/>
                <w:color w:val="auto"/>
                <w:sz w:val="24"/>
              </w:rPr>
              <w:t>技术职称</w:t>
            </w:r>
            <w:bookmarkEnd w:id="663"/>
            <w:bookmarkEnd w:id="664"/>
            <w:bookmarkEnd w:id="665"/>
            <w:bookmarkEnd w:id="666"/>
            <w:bookmarkEnd w:id="667"/>
            <w:bookmarkEnd w:id="668"/>
          </w:p>
        </w:tc>
        <w:tc>
          <w:tcPr>
            <w:tcW w:w="1320" w:type="dxa"/>
            <w:noWrap w:val="0"/>
            <w:vAlign w:val="center"/>
          </w:tcPr>
          <w:p>
            <w:pPr>
              <w:rPr>
                <w:rFonts w:hint="eastAsia" w:ascii="宋体" w:hAnsi="宋体" w:eastAsia="宋体" w:cs="宋体"/>
                <w:color w:val="auto"/>
                <w:sz w:val="24"/>
              </w:rPr>
            </w:pPr>
          </w:p>
        </w:tc>
        <w:tc>
          <w:tcPr>
            <w:tcW w:w="850" w:type="dxa"/>
            <w:gridSpan w:val="2"/>
            <w:noWrap w:val="0"/>
            <w:vAlign w:val="center"/>
          </w:tcPr>
          <w:p>
            <w:pPr>
              <w:rPr>
                <w:rFonts w:hint="eastAsia" w:ascii="宋体" w:hAnsi="宋体" w:eastAsia="宋体" w:cs="宋体"/>
                <w:color w:val="auto"/>
                <w:sz w:val="24"/>
              </w:rPr>
            </w:pPr>
            <w:bookmarkStart w:id="669" w:name="_Toc17219"/>
            <w:bookmarkStart w:id="670" w:name="_Toc7028"/>
            <w:bookmarkStart w:id="671" w:name="_Toc14015"/>
            <w:bookmarkStart w:id="672" w:name="_Toc24566"/>
            <w:bookmarkStart w:id="673" w:name="_Toc29323"/>
            <w:bookmarkStart w:id="674" w:name="_Toc29343"/>
            <w:r>
              <w:rPr>
                <w:rFonts w:hint="eastAsia" w:ascii="宋体" w:hAnsi="宋体" w:eastAsia="宋体" w:cs="宋体"/>
                <w:color w:val="auto"/>
                <w:sz w:val="24"/>
              </w:rPr>
              <w:t>电话</w:t>
            </w:r>
            <w:bookmarkEnd w:id="669"/>
            <w:bookmarkEnd w:id="670"/>
            <w:bookmarkEnd w:id="671"/>
            <w:bookmarkEnd w:id="672"/>
            <w:bookmarkEnd w:id="673"/>
            <w:bookmarkEnd w:id="674"/>
          </w:p>
        </w:tc>
        <w:tc>
          <w:tcPr>
            <w:tcW w:w="1080" w:type="dxa"/>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noWrap w:val="0"/>
            <w:vAlign w:val="center"/>
          </w:tcPr>
          <w:p>
            <w:pPr>
              <w:rPr>
                <w:rFonts w:hint="eastAsia" w:ascii="宋体" w:hAnsi="宋体" w:eastAsia="宋体" w:cs="宋体"/>
                <w:color w:val="auto"/>
                <w:sz w:val="24"/>
              </w:rPr>
            </w:pPr>
            <w:bookmarkStart w:id="675" w:name="_Toc23520"/>
            <w:bookmarkStart w:id="676" w:name="_Toc791"/>
            <w:bookmarkStart w:id="677" w:name="_Toc9827"/>
            <w:bookmarkStart w:id="678" w:name="_Toc31661"/>
            <w:bookmarkStart w:id="679" w:name="_Toc31034"/>
            <w:bookmarkStart w:id="680" w:name="_Toc16613"/>
            <w:r>
              <w:rPr>
                <w:rFonts w:hint="eastAsia" w:ascii="宋体" w:hAnsi="宋体" w:eastAsia="宋体" w:cs="宋体"/>
                <w:color w:val="auto"/>
                <w:sz w:val="24"/>
              </w:rPr>
              <w:t>成立时间</w:t>
            </w:r>
            <w:bookmarkEnd w:id="675"/>
            <w:bookmarkEnd w:id="676"/>
            <w:bookmarkEnd w:id="677"/>
            <w:bookmarkEnd w:id="678"/>
            <w:bookmarkEnd w:id="679"/>
            <w:bookmarkEnd w:id="680"/>
          </w:p>
        </w:tc>
        <w:tc>
          <w:tcPr>
            <w:tcW w:w="2196" w:type="dxa"/>
            <w:gridSpan w:val="2"/>
            <w:noWrap w:val="0"/>
            <w:vAlign w:val="center"/>
          </w:tcPr>
          <w:p>
            <w:pPr>
              <w:rPr>
                <w:rFonts w:hint="eastAsia" w:ascii="宋体" w:hAnsi="宋体" w:eastAsia="宋体" w:cs="宋体"/>
                <w:color w:val="auto"/>
                <w:sz w:val="24"/>
              </w:rPr>
            </w:pPr>
          </w:p>
        </w:tc>
        <w:tc>
          <w:tcPr>
            <w:tcW w:w="4497" w:type="dxa"/>
            <w:gridSpan w:val="5"/>
            <w:noWrap w:val="0"/>
            <w:vAlign w:val="center"/>
          </w:tcPr>
          <w:p>
            <w:pPr>
              <w:rPr>
                <w:rFonts w:hint="eastAsia" w:ascii="宋体" w:hAnsi="宋体" w:eastAsia="宋体" w:cs="宋体"/>
                <w:color w:val="auto"/>
                <w:sz w:val="24"/>
              </w:rPr>
            </w:pPr>
            <w:bookmarkStart w:id="681" w:name="_Toc26034"/>
            <w:bookmarkStart w:id="682" w:name="_Toc32193"/>
            <w:bookmarkStart w:id="683" w:name="_Toc31028"/>
            <w:bookmarkStart w:id="684" w:name="_Toc28628"/>
            <w:bookmarkStart w:id="685" w:name="_Toc19344"/>
            <w:bookmarkStart w:id="686" w:name="_Toc6314"/>
            <w:r>
              <w:rPr>
                <w:rFonts w:hint="eastAsia" w:ascii="宋体" w:hAnsi="宋体" w:eastAsia="宋体" w:cs="宋体"/>
                <w:color w:val="auto"/>
                <w:sz w:val="24"/>
              </w:rPr>
              <w:t>员工总人数：</w:t>
            </w:r>
            <w:bookmarkEnd w:id="681"/>
            <w:bookmarkEnd w:id="682"/>
            <w:bookmarkEnd w:id="683"/>
            <w:bookmarkEnd w:id="684"/>
            <w:bookmarkEnd w:id="685"/>
            <w:bookmarkEnd w:id="686"/>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noWrap w:val="0"/>
            <w:vAlign w:val="center"/>
          </w:tcPr>
          <w:p>
            <w:pPr>
              <w:rPr>
                <w:rFonts w:hint="eastAsia" w:ascii="宋体" w:hAnsi="宋体" w:eastAsia="宋体" w:cs="宋体"/>
                <w:color w:val="auto"/>
                <w:sz w:val="24"/>
              </w:rPr>
            </w:pPr>
            <w:bookmarkStart w:id="687" w:name="_Toc4794"/>
            <w:bookmarkStart w:id="688" w:name="_Toc10987"/>
            <w:bookmarkStart w:id="689" w:name="_Toc8540"/>
            <w:bookmarkStart w:id="690" w:name="_Toc2286"/>
            <w:bookmarkStart w:id="691" w:name="_Toc10360"/>
            <w:bookmarkStart w:id="692" w:name="_Toc5174"/>
            <w:r>
              <w:rPr>
                <w:rFonts w:hint="eastAsia" w:ascii="宋体" w:hAnsi="宋体" w:eastAsia="宋体" w:cs="宋体"/>
                <w:color w:val="auto"/>
                <w:sz w:val="24"/>
              </w:rPr>
              <w:t>企业资质</w:t>
            </w:r>
            <w:bookmarkEnd w:id="687"/>
          </w:p>
          <w:p>
            <w:pPr>
              <w:rPr>
                <w:rFonts w:hint="eastAsia" w:ascii="宋体" w:hAnsi="宋体" w:eastAsia="宋体" w:cs="宋体"/>
                <w:color w:val="auto"/>
                <w:sz w:val="24"/>
              </w:rPr>
            </w:pPr>
            <w:bookmarkStart w:id="693" w:name="_Toc29227"/>
            <w:r>
              <w:rPr>
                <w:rFonts w:hint="eastAsia" w:ascii="宋体" w:hAnsi="宋体" w:eastAsia="宋体" w:cs="宋体"/>
                <w:color w:val="auto"/>
                <w:sz w:val="24"/>
              </w:rPr>
              <w:t>等级</w:t>
            </w:r>
            <w:bookmarkEnd w:id="688"/>
            <w:bookmarkEnd w:id="689"/>
            <w:bookmarkEnd w:id="690"/>
            <w:bookmarkEnd w:id="691"/>
            <w:bookmarkEnd w:id="692"/>
            <w:bookmarkEnd w:id="693"/>
          </w:p>
        </w:tc>
        <w:tc>
          <w:tcPr>
            <w:tcW w:w="2196" w:type="dxa"/>
            <w:gridSpan w:val="2"/>
            <w:noWrap w:val="0"/>
            <w:vAlign w:val="center"/>
          </w:tcPr>
          <w:p>
            <w:pPr>
              <w:rPr>
                <w:rFonts w:hint="eastAsia" w:ascii="宋体" w:hAnsi="宋体" w:eastAsia="宋体" w:cs="宋体"/>
                <w:color w:val="auto"/>
                <w:sz w:val="24"/>
              </w:rPr>
            </w:pPr>
          </w:p>
        </w:tc>
        <w:tc>
          <w:tcPr>
            <w:tcW w:w="1247" w:type="dxa"/>
            <w:vMerge w:val="restart"/>
            <w:noWrap w:val="0"/>
            <w:vAlign w:val="center"/>
          </w:tcPr>
          <w:p>
            <w:pPr>
              <w:rPr>
                <w:rFonts w:hint="eastAsia" w:ascii="宋体" w:hAnsi="宋体" w:eastAsia="宋体" w:cs="宋体"/>
                <w:color w:val="auto"/>
                <w:sz w:val="24"/>
              </w:rPr>
            </w:pPr>
            <w:bookmarkStart w:id="694" w:name="_Toc12893"/>
            <w:bookmarkStart w:id="695" w:name="_Toc12281"/>
            <w:bookmarkStart w:id="696" w:name="_Toc12540"/>
            <w:bookmarkStart w:id="697" w:name="_Toc21740"/>
            <w:bookmarkStart w:id="698" w:name="_Toc29642"/>
            <w:bookmarkStart w:id="699" w:name="_Toc24270"/>
            <w:r>
              <w:rPr>
                <w:rFonts w:hint="eastAsia" w:ascii="宋体" w:hAnsi="宋体" w:eastAsia="宋体" w:cs="宋体"/>
                <w:color w:val="auto"/>
                <w:sz w:val="24"/>
              </w:rPr>
              <w:t>其中</w:t>
            </w:r>
            <w:bookmarkEnd w:id="694"/>
            <w:bookmarkEnd w:id="695"/>
            <w:bookmarkEnd w:id="696"/>
            <w:bookmarkEnd w:id="697"/>
            <w:bookmarkEnd w:id="698"/>
            <w:bookmarkEnd w:id="699"/>
          </w:p>
        </w:tc>
        <w:tc>
          <w:tcPr>
            <w:tcW w:w="1478" w:type="dxa"/>
            <w:gridSpan w:val="2"/>
            <w:noWrap w:val="0"/>
            <w:vAlign w:val="center"/>
          </w:tcPr>
          <w:p>
            <w:pPr>
              <w:rPr>
                <w:rFonts w:hint="eastAsia" w:ascii="宋体" w:hAnsi="宋体" w:eastAsia="宋体" w:cs="宋体"/>
                <w:color w:val="auto"/>
                <w:sz w:val="24"/>
              </w:rPr>
            </w:pPr>
            <w:bookmarkStart w:id="700" w:name="_Toc27744"/>
            <w:bookmarkStart w:id="701" w:name="_Toc10570"/>
            <w:bookmarkStart w:id="702" w:name="_Toc25740"/>
            <w:bookmarkStart w:id="703" w:name="_Toc9948"/>
            <w:bookmarkStart w:id="704" w:name="_Toc21933"/>
            <w:bookmarkStart w:id="705" w:name="_Toc19305"/>
            <w:r>
              <w:rPr>
                <w:rFonts w:hint="eastAsia" w:ascii="宋体" w:hAnsi="宋体" w:eastAsia="宋体" w:cs="宋体"/>
                <w:color w:val="auto"/>
                <w:sz w:val="24"/>
              </w:rPr>
              <w:t>项目经理</w:t>
            </w:r>
            <w:bookmarkEnd w:id="700"/>
            <w:bookmarkEnd w:id="701"/>
            <w:bookmarkEnd w:id="702"/>
            <w:bookmarkEnd w:id="703"/>
            <w:bookmarkEnd w:id="704"/>
            <w:bookmarkEnd w:id="705"/>
          </w:p>
        </w:tc>
        <w:tc>
          <w:tcPr>
            <w:tcW w:w="1772" w:type="dxa"/>
            <w:gridSpan w:val="2"/>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61" w:hRule="atLeast"/>
          <w:jc w:val="center"/>
        </w:trPr>
        <w:tc>
          <w:tcPr>
            <w:tcW w:w="1522" w:type="dxa"/>
            <w:noWrap w:val="0"/>
            <w:vAlign w:val="center"/>
          </w:tcPr>
          <w:p>
            <w:pPr>
              <w:rPr>
                <w:rFonts w:hint="eastAsia" w:ascii="宋体" w:hAnsi="宋体" w:eastAsia="宋体" w:cs="宋体"/>
                <w:color w:val="auto"/>
                <w:sz w:val="24"/>
              </w:rPr>
            </w:pPr>
            <w:bookmarkStart w:id="706" w:name="_Toc10286"/>
            <w:bookmarkStart w:id="707" w:name="_Toc10023"/>
            <w:bookmarkStart w:id="708" w:name="_Toc23671"/>
            <w:bookmarkStart w:id="709" w:name="_Toc1560"/>
            <w:bookmarkStart w:id="710" w:name="_Toc16616"/>
            <w:bookmarkStart w:id="711" w:name="_Toc32143"/>
            <w:r>
              <w:rPr>
                <w:rFonts w:hint="eastAsia" w:ascii="宋体" w:hAnsi="宋体" w:eastAsia="宋体" w:cs="宋体"/>
                <w:color w:val="auto"/>
                <w:sz w:val="24"/>
              </w:rPr>
              <w:t>营业执照号</w:t>
            </w:r>
            <w:bookmarkEnd w:id="706"/>
            <w:bookmarkEnd w:id="707"/>
            <w:bookmarkEnd w:id="708"/>
            <w:bookmarkEnd w:id="709"/>
            <w:bookmarkEnd w:id="710"/>
            <w:bookmarkEnd w:id="711"/>
          </w:p>
        </w:tc>
        <w:tc>
          <w:tcPr>
            <w:tcW w:w="2196" w:type="dxa"/>
            <w:gridSpan w:val="2"/>
            <w:noWrap w:val="0"/>
            <w:vAlign w:val="center"/>
          </w:tcPr>
          <w:p>
            <w:pPr>
              <w:rPr>
                <w:rFonts w:hint="eastAsia" w:ascii="宋体" w:hAnsi="宋体" w:eastAsia="宋体" w:cs="宋体"/>
                <w:color w:val="auto"/>
                <w:sz w:val="24"/>
              </w:rPr>
            </w:pPr>
          </w:p>
        </w:tc>
        <w:tc>
          <w:tcPr>
            <w:tcW w:w="1247" w:type="dxa"/>
            <w:vMerge w:val="continue"/>
            <w:noWrap w:val="0"/>
            <w:vAlign w:val="center"/>
          </w:tcPr>
          <w:p>
            <w:pPr>
              <w:rPr>
                <w:rFonts w:hint="eastAsia" w:ascii="宋体" w:hAnsi="宋体" w:eastAsia="宋体" w:cs="宋体"/>
                <w:color w:val="auto"/>
              </w:rPr>
            </w:pPr>
          </w:p>
        </w:tc>
        <w:tc>
          <w:tcPr>
            <w:tcW w:w="1478" w:type="dxa"/>
            <w:gridSpan w:val="2"/>
            <w:noWrap w:val="0"/>
            <w:vAlign w:val="center"/>
          </w:tcPr>
          <w:p>
            <w:pPr>
              <w:rPr>
                <w:rFonts w:hint="eastAsia" w:ascii="宋体" w:hAnsi="宋体" w:eastAsia="宋体" w:cs="宋体"/>
                <w:color w:val="auto"/>
                <w:sz w:val="24"/>
              </w:rPr>
            </w:pPr>
            <w:bookmarkStart w:id="712" w:name="_Toc30434"/>
            <w:bookmarkStart w:id="713" w:name="_Toc32034"/>
            <w:bookmarkStart w:id="714" w:name="_Toc27921"/>
            <w:bookmarkStart w:id="715" w:name="_Toc15234"/>
            <w:bookmarkStart w:id="716" w:name="_Toc8388"/>
            <w:bookmarkStart w:id="717" w:name="_Toc1673"/>
            <w:r>
              <w:rPr>
                <w:rFonts w:hint="eastAsia" w:ascii="宋体" w:hAnsi="宋体" w:eastAsia="宋体" w:cs="宋体"/>
                <w:color w:val="auto"/>
                <w:sz w:val="24"/>
              </w:rPr>
              <w:t>高级职称</w:t>
            </w:r>
            <w:bookmarkEnd w:id="712"/>
          </w:p>
          <w:p>
            <w:pPr>
              <w:rPr>
                <w:rFonts w:hint="eastAsia" w:ascii="宋体" w:hAnsi="宋体" w:eastAsia="宋体" w:cs="宋体"/>
                <w:color w:val="auto"/>
                <w:sz w:val="24"/>
              </w:rPr>
            </w:pPr>
            <w:bookmarkStart w:id="718" w:name="_Toc24438"/>
            <w:r>
              <w:rPr>
                <w:rFonts w:hint="eastAsia" w:ascii="宋体" w:hAnsi="宋体" w:eastAsia="宋体" w:cs="宋体"/>
                <w:color w:val="auto"/>
                <w:sz w:val="24"/>
              </w:rPr>
              <w:t>人员</w:t>
            </w:r>
            <w:bookmarkEnd w:id="713"/>
            <w:bookmarkEnd w:id="714"/>
            <w:bookmarkEnd w:id="715"/>
            <w:bookmarkEnd w:id="716"/>
            <w:bookmarkEnd w:id="717"/>
            <w:bookmarkEnd w:id="718"/>
          </w:p>
        </w:tc>
        <w:tc>
          <w:tcPr>
            <w:tcW w:w="1772" w:type="dxa"/>
            <w:gridSpan w:val="2"/>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noWrap w:val="0"/>
            <w:vAlign w:val="center"/>
          </w:tcPr>
          <w:p>
            <w:pPr>
              <w:rPr>
                <w:rFonts w:hint="eastAsia" w:ascii="宋体" w:hAnsi="宋体" w:eastAsia="宋体" w:cs="宋体"/>
                <w:color w:val="auto"/>
                <w:sz w:val="24"/>
              </w:rPr>
            </w:pPr>
            <w:bookmarkStart w:id="719" w:name="_Toc14865"/>
            <w:bookmarkStart w:id="720" w:name="_Toc14536"/>
            <w:bookmarkStart w:id="721" w:name="_Toc17217"/>
            <w:bookmarkStart w:id="722" w:name="_Toc5724"/>
            <w:bookmarkStart w:id="723" w:name="_Toc4844"/>
            <w:bookmarkStart w:id="724" w:name="_Toc13165"/>
            <w:r>
              <w:rPr>
                <w:rFonts w:hint="eastAsia" w:ascii="宋体" w:hAnsi="宋体" w:eastAsia="宋体" w:cs="宋体"/>
                <w:color w:val="auto"/>
                <w:sz w:val="24"/>
              </w:rPr>
              <w:t>注册资金</w:t>
            </w:r>
            <w:bookmarkEnd w:id="719"/>
            <w:bookmarkEnd w:id="720"/>
            <w:bookmarkEnd w:id="721"/>
            <w:bookmarkEnd w:id="722"/>
            <w:bookmarkEnd w:id="723"/>
            <w:bookmarkEnd w:id="724"/>
          </w:p>
        </w:tc>
        <w:tc>
          <w:tcPr>
            <w:tcW w:w="2196" w:type="dxa"/>
            <w:gridSpan w:val="2"/>
            <w:noWrap w:val="0"/>
            <w:vAlign w:val="center"/>
          </w:tcPr>
          <w:p>
            <w:pPr>
              <w:rPr>
                <w:rFonts w:hint="eastAsia" w:ascii="宋体" w:hAnsi="宋体" w:eastAsia="宋体" w:cs="宋体"/>
                <w:color w:val="auto"/>
                <w:sz w:val="24"/>
              </w:rPr>
            </w:pPr>
          </w:p>
        </w:tc>
        <w:tc>
          <w:tcPr>
            <w:tcW w:w="1247" w:type="dxa"/>
            <w:vMerge w:val="continue"/>
            <w:noWrap w:val="0"/>
            <w:vAlign w:val="center"/>
          </w:tcPr>
          <w:p>
            <w:pPr>
              <w:rPr>
                <w:rFonts w:hint="eastAsia" w:ascii="宋体" w:hAnsi="宋体" w:eastAsia="宋体" w:cs="宋体"/>
                <w:color w:val="auto"/>
              </w:rPr>
            </w:pPr>
          </w:p>
        </w:tc>
        <w:tc>
          <w:tcPr>
            <w:tcW w:w="1478" w:type="dxa"/>
            <w:gridSpan w:val="2"/>
            <w:noWrap w:val="0"/>
            <w:vAlign w:val="center"/>
          </w:tcPr>
          <w:p>
            <w:pPr>
              <w:rPr>
                <w:rFonts w:hint="eastAsia" w:ascii="宋体" w:hAnsi="宋体" w:eastAsia="宋体" w:cs="宋体"/>
                <w:color w:val="auto"/>
                <w:sz w:val="24"/>
              </w:rPr>
            </w:pPr>
            <w:bookmarkStart w:id="725" w:name="_Toc11702"/>
            <w:bookmarkStart w:id="726" w:name="_Toc11343"/>
            <w:bookmarkStart w:id="727" w:name="_Toc6697"/>
            <w:bookmarkStart w:id="728" w:name="_Toc10001"/>
            <w:bookmarkStart w:id="729" w:name="_Toc31506"/>
            <w:bookmarkStart w:id="730" w:name="_Toc4150"/>
            <w:r>
              <w:rPr>
                <w:rFonts w:hint="eastAsia" w:ascii="宋体" w:hAnsi="宋体" w:eastAsia="宋体" w:cs="宋体"/>
                <w:color w:val="auto"/>
                <w:sz w:val="24"/>
              </w:rPr>
              <w:t>中级职称</w:t>
            </w:r>
            <w:bookmarkEnd w:id="725"/>
          </w:p>
          <w:p>
            <w:pPr>
              <w:rPr>
                <w:rFonts w:hint="eastAsia" w:ascii="宋体" w:hAnsi="宋体" w:eastAsia="宋体" w:cs="宋体"/>
                <w:color w:val="auto"/>
                <w:sz w:val="24"/>
              </w:rPr>
            </w:pPr>
            <w:bookmarkStart w:id="731" w:name="_Toc8583"/>
            <w:r>
              <w:rPr>
                <w:rFonts w:hint="eastAsia" w:ascii="宋体" w:hAnsi="宋体" w:eastAsia="宋体" w:cs="宋体"/>
                <w:color w:val="auto"/>
                <w:sz w:val="24"/>
              </w:rPr>
              <w:t>人员</w:t>
            </w:r>
            <w:bookmarkEnd w:id="726"/>
            <w:bookmarkEnd w:id="727"/>
            <w:bookmarkEnd w:id="728"/>
            <w:bookmarkEnd w:id="729"/>
            <w:bookmarkEnd w:id="730"/>
            <w:bookmarkEnd w:id="731"/>
          </w:p>
        </w:tc>
        <w:tc>
          <w:tcPr>
            <w:tcW w:w="1772" w:type="dxa"/>
            <w:gridSpan w:val="2"/>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noWrap w:val="0"/>
            <w:vAlign w:val="center"/>
          </w:tcPr>
          <w:p>
            <w:pPr>
              <w:rPr>
                <w:rFonts w:hint="eastAsia" w:ascii="宋体" w:hAnsi="宋体" w:eastAsia="宋体" w:cs="宋体"/>
                <w:color w:val="auto"/>
                <w:sz w:val="24"/>
              </w:rPr>
            </w:pPr>
            <w:bookmarkStart w:id="732" w:name="_Toc22376"/>
            <w:bookmarkStart w:id="733" w:name="_Toc30239"/>
            <w:bookmarkStart w:id="734" w:name="_Toc18733"/>
            <w:bookmarkStart w:id="735" w:name="_Toc3703"/>
            <w:bookmarkStart w:id="736" w:name="_Toc1317"/>
            <w:bookmarkStart w:id="737" w:name="_Toc24879"/>
            <w:r>
              <w:rPr>
                <w:rFonts w:hint="eastAsia" w:ascii="宋体" w:hAnsi="宋体" w:eastAsia="宋体" w:cs="宋体"/>
                <w:color w:val="auto"/>
                <w:sz w:val="24"/>
              </w:rPr>
              <w:t>开户银行</w:t>
            </w:r>
            <w:bookmarkEnd w:id="732"/>
            <w:bookmarkEnd w:id="733"/>
            <w:bookmarkEnd w:id="734"/>
            <w:bookmarkEnd w:id="735"/>
            <w:bookmarkEnd w:id="736"/>
            <w:bookmarkEnd w:id="737"/>
          </w:p>
        </w:tc>
        <w:tc>
          <w:tcPr>
            <w:tcW w:w="2196" w:type="dxa"/>
            <w:gridSpan w:val="2"/>
            <w:noWrap w:val="0"/>
            <w:vAlign w:val="center"/>
          </w:tcPr>
          <w:p>
            <w:pPr>
              <w:rPr>
                <w:rFonts w:hint="eastAsia" w:ascii="宋体" w:hAnsi="宋体" w:eastAsia="宋体" w:cs="宋体"/>
                <w:color w:val="auto"/>
                <w:sz w:val="24"/>
              </w:rPr>
            </w:pPr>
          </w:p>
        </w:tc>
        <w:tc>
          <w:tcPr>
            <w:tcW w:w="1247" w:type="dxa"/>
            <w:vMerge w:val="continue"/>
            <w:noWrap w:val="0"/>
            <w:vAlign w:val="center"/>
          </w:tcPr>
          <w:p>
            <w:pPr>
              <w:rPr>
                <w:rFonts w:hint="eastAsia" w:ascii="宋体" w:hAnsi="宋体" w:eastAsia="宋体" w:cs="宋体"/>
                <w:color w:val="auto"/>
              </w:rPr>
            </w:pPr>
          </w:p>
        </w:tc>
        <w:tc>
          <w:tcPr>
            <w:tcW w:w="1478" w:type="dxa"/>
            <w:gridSpan w:val="2"/>
            <w:noWrap w:val="0"/>
            <w:vAlign w:val="center"/>
          </w:tcPr>
          <w:p>
            <w:pPr>
              <w:rPr>
                <w:rFonts w:hint="eastAsia" w:ascii="宋体" w:hAnsi="宋体" w:eastAsia="宋体" w:cs="宋体"/>
                <w:color w:val="auto"/>
                <w:sz w:val="24"/>
              </w:rPr>
            </w:pPr>
            <w:bookmarkStart w:id="738" w:name="_Toc2228"/>
            <w:bookmarkStart w:id="739" w:name="_Toc30212"/>
            <w:bookmarkStart w:id="740" w:name="_Toc2212"/>
            <w:bookmarkStart w:id="741" w:name="_Toc22897"/>
            <w:bookmarkStart w:id="742" w:name="_Toc11237"/>
            <w:bookmarkStart w:id="743" w:name="_Toc5207"/>
            <w:r>
              <w:rPr>
                <w:rFonts w:hint="eastAsia" w:ascii="宋体" w:hAnsi="宋体" w:eastAsia="宋体" w:cs="宋体"/>
                <w:color w:val="auto"/>
                <w:sz w:val="24"/>
              </w:rPr>
              <w:t>初级职称</w:t>
            </w:r>
            <w:bookmarkEnd w:id="738"/>
          </w:p>
          <w:p>
            <w:pPr>
              <w:rPr>
                <w:rFonts w:hint="eastAsia" w:ascii="宋体" w:hAnsi="宋体" w:eastAsia="宋体" w:cs="宋体"/>
                <w:color w:val="auto"/>
                <w:sz w:val="24"/>
              </w:rPr>
            </w:pPr>
            <w:bookmarkStart w:id="744" w:name="_Toc18501"/>
            <w:r>
              <w:rPr>
                <w:rFonts w:hint="eastAsia" w:ascii="宋体" w:hAnsi="宋体" w:eastAsia="宋体" w:cs="宋体"/>
                <w:color w:val="auto"/>
                <w:sz w:val="24"/>
              </w:rPr>
              <w:t>人员</w:t>
            </w:r>
            <w:bookmarkEnd w:id="739"/>
            <w:bookmarkEnd w:id="740"/>
            <w:bookmarkEnd w:id="741"/>
            <w:bookmarkEnd w:id="742"/>
            <w:bookmarkEnd w:id="743"/>
            <w:bookmarkEnd w:id="744"/>
          </w:p>
        </w:tc>
        <w:tc>
          <w:tcPr>
            <w:tcW w:w="1772" w:type="dxa"/>
            <w:gridSpan w:val="2"/>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noWrap w:val="0"/>
            <w:vAlign w:val="center"/>
          </w:tcPr>
          <w:p>
            <w:pPr>
              <w:rPr>
                <w:rFonts w:hint="eastAsia" w:ascii="宋体" w:hAnsi="宋体" w:eastAsia="宋体" w:cs="宋体"/>
                <w:color w:val="auto"/>
                <w:sz w:val="24"/>
              </w:rPr>
            </w:pPr>
            <w:bookmarkStart w:id="745" w:name="_Toc27244"/>
            <w:bookmarkStart w:id="746" w:name="_Toc2966"/>
            <w:bookmarkStart w:id="747" w:name="_Toc6851"/>
            <w:bookmarkStart w:id="748" w:name="_Toc27001"/>
            <w:bookmarkStart w:id="749" w:name="_Toc9229"/>
            <w:bookmarkStart w:id="750" w:name="_Toc29993"/>
            <w:r>
              <w:rPr>
                <w:rFonts w:hint="eastAsia" w:ascii="宋体" w:hAnsi="宋体" w:eastAsia="宋体" w:cs="宋体"/>
                <w:color w:val="auto"/>
                <w:sz w:val="24"/>
              </w:rPr>
              <w:t>账号</w:t>
            </w:r>
            <w:bookmarkEnd w:id="745"/>
            <w:bookmarkEnd w:id="746"/>
            <w:bookmarkEnd w:id="747"/>
            <w:bookmarkEnd w:id="748"/>
            <w:bookmarkEnd w:id="749"/>
            <w:bookmarkEnd w:id="750"/>
          </w:p>
        </w:tc>
        <w:tc>
          <w:tcPr>
            <w:tcW w:w="2196" w:type="dxa"/>
            <w:gridSpan w:val="2"/>
            <w:noWrap w:val="0"/>
            <w:vAlign w:val="center"/>
          </w:tcPr>
          <w:p>
            <w:pPr>
              <w:rPr>
                <w:rFonts w:hint="eastAsia" w:ascii="宋体" w:hAnsi="宋体" w:eastAsia="宋体" w:cs="宋体"/>
                <w:color w:val="auto"/>
                <w:sz w:val="24"/>
              </w:rPr>
            </w:pPr>
          </w:p>
        </w:tc>
        <w:tc>
          <w:tcPr>
            <w:tcW w:w="1247" w:type="dxa"/>
            <w:vMerge w:val="continue"/>
            <w:noWrap w:val="0"/>
            <w:vAlign w:val="center"/>
          </w:tcPr>
          <w:p>
            <w:pPr>
              <w:rPr>
                <w:rFonts w:hint="eastAsia" w:ascii="宋体" w:hAnsi="宋体" w:eastAsia="宋体" w:cs="宋体"/>
                <w:color w:val="auto"/>
              </w:rPr>
            </w:pPr>
          </w:p>
        </w:tc>
        <w:tc>
          <w:tcPr>
            <w:tcW w:w="1478" w:type="dxa"/>
            <w:gridSpan w:val="2"/>
            <w:noWrap w:val="0"/>
            <w:vAlign w:val="center"/>
          </w:tcPr>
          <w:p>
            <w:pPr>
              <w:rPr>
                <w:rFonts w:hint="eastAsia" w:ascii="宋体" w:hAnsi="宋体" w:eastAsia="宋体" w:cs="宋体"/>
                <w:color w:val="auto"/>
                <w:sz w:val="24"/>
              </w:rPr>
            </w:pPr>
            <w:bookmarkStart w:id="751" w:name="_Toc27384"/>
            <w:bookmarkStart w:id="752" w:name="_Toc18092"/>
            <w:bookmarkStart w:id="753" w:name="_Toc13770"/>
            <w:bookmarkStart w:id="754" w:name="_Toc24151"/>
            <w:bookmarkStart w:id="755" w:name="_Toc17335"/>
            <w:bookmarkStart w:id="756" w:name="_Toc20247"/>
            <w:r>
              <w:rPr>
                <w:rFonts w:hint="eastAsia" w:ascii="宋体" w:hAnsi="宋体" w:eastAsia="宋体" w:cs="宋体"/>
                <w:color w:val="auto"/>
                <w:sz w:val="24"/>
              </w:rPr>
              <w:t>技工</w:t>
            </w:r>
            <w:bookmarkEnd w:id="751"/>
            <w:bookmarkEnd w:id="752"/>
            <w:bookmarkEnd w:id="753"/>
            <w:bookmarkEnd w:id="754"/>
            <w:bookmarkEnd w:id="755"/>
            <w:bookmarkEnd w:id="756"/>
          </w:p>
        </w:tc>
        <w:tc>
          <w:tcPr>
            <w:tcW w:w="1772" w:type="dxa"/>
            <w:gridSpan w:val="2"/>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557" w:hRule="atLeast"/>
          <w:jc w:val="center"/>
        </w:trPr>
        <w:tc>
          <w:tcPr>
            <w:tcW w:w="1522" w:type="dxa"/>
            <w:noWrap w:val="0"/>
            <w:vAlign w:val="center"/>
          </w:tcPr>
          <w:p>
            <w:pPr>
              <w:rPr>
                <w:rFonts w:hint="eastAsia" w:ascii="宋体" w:hAnsi="宋体" w:eastAsia="宋体" w:cs="宋体"/>
                <w:color w:val="auto"/>
                <w:sz w:val="24"/>
              </w:rPr>
            </w:pPr>
            <w:bookmarkStart w:id="757" w:name="_Toc22546"/>
            <w:bookmarkStart w:id="758" w:name="_Toc15524"/>
            <w:bookmarkStart w:id="759" w:name="_Toc5028"/>
            <w:bookmarkStart w:id="760" w:name="_Toc27039"/>
            <w:bookmarkStart w:id="761" w:name="_Toc25385"/>
            <w:bookmarkStart w:id="762" w:name="_Toc18709"/>
            <w:r>
              <w:rPr>
                <w:rFonts w:hint="eastAsia" w:ascii="宋体" w:hAnsi="宋体" w:eastAsia="宋体" w:cs="宋体"/>
                <w:color w:val="auto"/>
                <w:sz w:val="24"/>
              </w:rPr>
              <w:t>经营范围</w:t>
            </w:r>
            <w:bookmarkEnd w:id="757"/>
            <w:bookmarkEnd w:id="758"/>
            <w:bookmarkEnd w:id="759"/>
            <w:bookmarkEnd w:id="760"/>
            <w:bookmarkEnd w:id="761"/>
            <w:bookmarkEnd w:id="762"/>
          </w:p>
        </w:tc>
        <w:tc>
          <w:tcPr>
            <w:tcW w:w="6693" w:type="dxa"/>
            <w:gridSpan w:val="7"/>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25" w:hRule="atLeast"/>
          <w:jc w:val="center"/>
        </w:trPr>
        <w:tc>
          <w:tcPr>
            <w:tcW w:w="1522" w:type="dxa"/>
            <w:noWrap w:val="0"/>
            <w:vAlign w:val="center"/>
          </w:tcPr>
          <w:p>
            <w:pPr>
              <w:rPr>
                <w:rFonts w:hint="eastAsia" w:ascii="宋体" w:hAnsi="宋体" w:eastAsia="宋体" w:cs="宋体"/>
                <w:color w:val="auto"/>
                <w:sz w:val="24"/>
              </w:rPr>
            </w:pPr>
            <w:bookmarkStart w:id="763" w:name="_Toc18026"/>
            <w:bookmarkStart w:id="764" w:name="_Toc7611"/>
            <w:bookmarkStart w:id="765" w:name="_Toc22530"/>
            <w:bookmarkStart w:id="766" w:name="_Toc31184"/>
            <w:bookmarkStart w:id="767" w:name="_Toc31696"/>
            <w:bookmarkStart w:id="768" w:name="_Toc21243"/>
            <w:r>
              <w:rPr>
                <w:rFonts w:hint="eastAsia" w:ascii="宋体" w:hAnsi="宋体" w:eastAsia="宋体" w:cs="宋体"/>
                <w:color w:val="auto"/>
                <w:sz w:val="24"/>
              </w:rPr>
              <w:t>备注</w:t>
            </w:r>
            <w:bookmarkEnd w:id="763"/>
            <w:bookmarkEnd w:id="764"/>
            <w:bookmarkEnd w:id="765"/>
            <w:bookmarkEnd w:id="766"/>
            <w:bookmarkEnd w:id="767"/>
            <w:bookmarkEnd w:id="768"/>
          </w:p>
        </w:tc>
        <w:tc>
          <w:tcPr>
            <w:tcW w:w="6693" w:type="dxa"/>
            <w:gridSpan w:val="7"/>
            <w:noWrap w:val="0"/>
            <w:vAlign w:val="center"/>
          </w:tcPr>
          <w:p>
            <w:pPr>
              <w:rPr>
                <w:rFonts w:hint="eastAsia" w:ascii="宋体" w:hAnsi="宋体" w:eastAsia="宋体" w:cs="宋体"/>
                <w:color w:val="auto"/>
                <w:sz w:val="24"/>
              </w:rPr>
            </w:pPr>
          </w:p>
        </w:tc>
      </w:tr>
    </w:tbl>
    <w:p>
      <w:pPr>
        <w:rPr>
          <w:rFonts w:hint="eastAsia" w:ascii="宋体" w:hAnsi="宋体" w:eastAsia="宋体" w:cs="宋体"/>
          <w:b/>
          <w:color w:val="auto"/>
          <w:sz w:val="24"/>
        </w:rPr>
      </w:pPr>
    </w:p>
    <w:p>
      <w:pPr>
        <w:rPr>
          <w:rFonts w:hint="eastAsia" w:ascii="宋体" w:hAnsi="宋体" w:eastAsia="宋体" w:cs="宋体"/>
          <w:color w:val="auto"/>
          <w:sz w:val="24"/>
        </w:rPr>
      </w:pPr>
      <w:bookmarkStart w:id="769" w:name="_Toc4698"/>
      <w:bookmarkStart w:id="770" w:name="_Toc19791"/>
      <w:bookmarkStart w:id="771" w:name="_Toc24564"/>
      <w:bookmarkStart w:id="772" w:name="_Toc312"/>
      <w:bookmarkStart w:id="773" w:name="_Toc30154"/>
      <w:bookmarkStart w:id="774" w:name="_Toc28440"/>
    </w:p>
    <w:p>
      <w:pPr>
        <w:spacing w:line="360" w:lineRule="auto"/>
        <w:rPr>
          <w:rFonts w:hint="eastAsia" w:ascii="宋体" w:hAnsi="宋体" w:eastAsia="宋体" w:cs="宋体"/>
          <w:color w:val="auto"/>
          <w:sz w:val="24"/>
        </w:rPr>
      </w:pPr>
      <w:r>
        <w:rPr>
          <w:rFonts w:hint="eastAsia" w:ascii="宋体" w:hAnsi="宋体" w:eastAsia="宋体" w:cs="宋体"/>
          <w:color w:val="auto"/>
          <w:sz w:val="24"/>
        </w:rPr>
        <w:t>投标人名称：XXXX（单位盖章）</w:t>
      </w:r>
      <w:bookmarkEnd w:id="769"/>
      <w:bookmarkEnd w:id="770"/>
      <w:bookmarkEnd w:id="771"/>
      <w:bookmarkEnd w:id="772"/>
      <w:bookmarkEnd w:id="773"/>
      <w:bookmarkEnd w:id="774"/>
    </w:p>
    <w:p>
      <w:pPr>
        <w:spacing w:line="360" w:lineRule="auto"/>
        <w:rPr>
          <w:rFonts w:hint="eastAsia" w:ascii="宋体" w:hAnsi="宋体" w:eastAsia="宋体" w:cs="宋体"/>
          <w:color w:val="auto"/>
          <w:sz w:val="24"/>
        </w:rPr>
      </w:pPr>
      <w:bookmarkStart w:id="775" w:name="_Toc9189"/>
      <w:bookmarkStart w:id="776" w:name="_Toc7146"/>
      <w:bookmarkStart w:id="777" w:name="_Toc19772"/>
      <w:bookmarkStart w:id="778" w:name="_Toc17251"/>
      <w:bookmarkStart w:id="779" w:name="_Toc21694"/>
      <w:bookmarkStart w:id="780" w:name="_Toc7384"/>
      <w:r>
        <w:rPr>
          <w:rFonts w:hint="eastAsia" w:ascii="宋体" w:hAnsi="宋体" w:eastAsia="宋体" w:cs="宋体"/>
          <w:color w:val="auto"/>
          <w:sz w:val="24"/>
        </w:rPr>
        <w:t>法定代表人</w:t>
      </w:r>
      <w:r>
        <w:rPr>
          <w:rFonts w:hint="eastAsia" w:ascii="宋体" w:hAnsi="宋体" w:eastAsia="宋体" w:cs="宋体"/>
          <w:bCs/>
          <w:color w:val="auto"/>
          <w:sz w:val="24"/>
        </w:rPr>
        <w:t>（</w:t>
      </w:r>
      <w:r>
        <w:rPr>
          <w:rFonts w:hint="eastAsia" w:ascii="宋体" w:hAnsi="宋体" w:eastAsia="宋体" w:cs="宋体"/>
          <w:color w:val="auto"/>
          <w:sz w:val="24"/>
        </w:rPr>
        <w:t>主要负责人</w:t>
      </w:r>
      <w:r>
        <w:rPr>
          <w:rFonts w:hint="eastAsia" w:ascii="宋体" w:hAnsi="宋体" w:eastAsia="宋体" w:cs="宋体"/>
          <w:bCs/>
          <w:color w:val="auto"/>
          <w:sz w:val="24"/>
        </w:rPr>
        <w:t>）</w:t>
      </w:r>
      <w:r>
        <w:rPr>
          <w:rFonts w:hint="eastAsia" w:ascii="宋体" w:hAnsi="宋体" w:eastAsia="宋体" w:cs="宋体"/>
          <w:color w:val="auto"/>
          <w:sz w:val="24"/>
        </w:rPr>
        <w:t>或授权代表（签字或加盖个人名章）：XXXX</w:t>
      </w:r>
      <w:bookmarkEnd w:id="775"/>
      <w:bookmarkEnd w:id="776"/>
      <w:bookmarkEnd w:id="777"/>
      <w:bookmarkEnd w:id="778"/>
      <w:bookmarkEnd w:id="779"/>
      <w:bookmarkEnd w:id="780"/>
    </w:p>
    <w:p>
      <w:pPr>
        <w:spacing w:line="360" w:lineRule="auto"/>
        <w:rPr>
          <w:rFonts w:hint="eastAsia" w:ascii="宋体" w:hAnsi="宋体" w:eastAsia="宋体" w:cs="宋体"/>
          <w:color w:val="auto"/>
          <w:sz w:val="24"/>
        </w:rPr>
      </w:pPr>
      <w:bookmarkStart w:id="781" w:name="_Toc12990"/>
      <w:bookmarkStart w:id="782" w:name="_Toc14125"/>
      <w:bookmarkStart w:id="783" w:name="_Toc11176"/>
      <w:bookmarkStart w:id="784" w:name="_Toc30951"/>
      <w:bookmarkStart w:id="785" w:name="_Toc1619"/>
      <w:bookmarkStart w:id="786" w:name="_Toc1118"/>
      <w:r>
        <w:rPr>
          <w:rFonts w:hint="eastAsia" w:ascii="宋体" w:hAnsi="宋体" w:eastAsia="宋体" w:cs="宋体"/>
          <w:color w:val="auto"/>
          <w:sz w:val="24"/>
        </w:rPr>
        <w:t>投标日期:</w:t>
      </w:r>
      <w:bookmarkEnd w:id="781"/>
      <w:bookmarkEnd w:id="782"/>
      <w:bookmarkEnd w:id="783"/>
      <w:bookmarkEnd w:id="784"/>
      <w:bookmarkEnd w:id="785"/>
      <w:bookmarkEnd w:id="786"/>
      <w:r>
        <w:rPr>
          <w:rFonts w:hint="eastAsia" w:ascii="宋体" w:hAnsi="宋体" w:eastAsia="宋体" w:cs="宋体"/>
          <w:color w:val="auto"/>
          <w:sz w:val="24"/>
        </w:rPr>
        <w:t xml:space="preserve"> XXXX年XX月XX日</w:t>
      </w:r>
    </w:p>
    <w:p>
      <w:pPr>
        <w:rPr>
          <w:rFonts w:hint="eastAsia" w:ascii="宋体" w:hAnsi="宋体" w:eastAsia="宋体" w:cs="宋体"/>
          <w:color w:val="auto"/>
        </w:rPr>
      </w:pPr>
      <w:bookmarkStart w:id="787" w:name="_Toc217446089"/>
    </w:p>
    <w:p>
      <w:pPr>
        <w:rPr>
          <w:rFonts w:hint="eastAsia" w:ascii="宋体" w:hAnsi="宋体" w:eastAsia="宋体" w:cs="宋体"/>
          <w:color w:val="auto"/>
        </w:rPr>
      </w:pPr>
    </w:p>
    <w:p>
      <w:pPr>
        <w:pStyle w:val="2"/>
        <w:rPr>
          <w:rFonts w:hint="eastAsia" w:ascii="宋体" w:hAnsi="宋体" w:eastAsia="宋体" w:cs="宋体"/>
          <w:color w:val="auto"/>
        </w:rPr>
      </w:pPr>
    </w:p>
    <w:p>
      <w:pPr>
        <w:rPr>
          <w:rFonts w:hint="eastAsia" w:ascii="宋体" w:hAnsi="宋体" w:eastAsia="宋体" w:cs="宋体"/>
          <w:color w:val="auto"/>
        </w:rPr>
      </w:pPr>
    </w:p>
    <w:p>
      <w:pPr>
        <w:pStyle w:val="5"/>
        <w:jc w:val="center"/>
        <w:rPr>
          <w:rFonts w:hint="eastAsia" w:ascii="宋体" w:hAnsi="宋体" w:eastAsia="宋体" w:cs="宋体"/>
          <w:color w:val="auto"/>
        </w:rPr>
      </w:pPr>
      <w:bookmarkStart w:id="788" w:name="_Toc30294"/>
      <w:bookmarkStart w:id="789" w:name="_Toc22893"/>
      <w:bookmarkStart w:id="790" w:name="_Toc13708"/>
      <w:bookmarkStart w:id="791" w:name="_Toc25432"/>
      <w:bookmarkStart w:id="792" w:name="_Toc1065"/>
      <w:bookmarkStart w:id="793" w:name="_Toc6530"/>
      <w:r>
        <w:rPr>
          <w:rFonts w:hint="eastAsia" w:ascii="宋体" w:hAnsi="宋体" w:eastAsia="宋体" w:cs="宋体"/>
          <w:color w:val="auto"/>
        </w:rPr>
        <w:t>六、投标人类似项目案例一览表</w:t>
      </w:r>
      <w:bookmarkEnd w:id="787"/>
      <w:bookmarkEnd w:id="788"/>
      <w:bookmarkEnd w:id="789"/>
      <w:bookmarkEnd w:id="790"/>
      <w:bookmarkEnd w:id="791"/>
      <w:bookmarkEnd w:id="792"/>
      <w:bookmarkEnd w:id="793"/>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项目名称：</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项目编号：</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 xml:space="preserve">包    号： </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298"/>
        <w:gridCol w:w="1754"/>
        <w:gridCol w:w="1134"/>
        <w:gridCol w:w="1275"/>
        <w:gridCol w:w="1418"/>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84" w:type="dxa"/>
            <w:noWrap w:val="0"/>
            <w:vAlign w:val="center"/>
          </w:tcPr>
          <w:p>
            <w:pPr>
              <w:spacing w:line="360" w:lineRule="auto"/>
              <w:rPr>
                <w:rFonts w:hint="eastAsia" w:ascii="宋体" w:hAnsi="宋体" w:eastAsia="宋体" w:cs="宋体"/>
                <w:color w:val="auto"/>
                <w:sz w:val="24"/>
              </w:rPr>
            </w:pPr>
            <w:bookmarkStart w:id="794" w:name="_Toc2038"/>
            <w:bookmarkStart w:id="795" w:name="_Toc16863"/>
            <w:bookmarkStart w:id="796" w:name="_Toc20759"/>
            <w:bookmarkStart w:id="797" w:name="_Toc17298"/>
            <w:bookmarkStart w:id="798" w:name="_Toc13267"/>
            <w:r>
              <w:rPr>
                <w:rFonts w:hint="eastAsia" w:ascii="宋体" w:hAnsi="宋体" w:eastAsia="宋体" w:cs="宋体"/>
                <w:color w:val="auto"/>
                <w:sz w:val="24"/>
              </w:rPr>
              <w:t>序号</w:t>
            </w:r>
            <w:bookmarkEnd w:id="794"/>
            <w:bookmarkEnd w:id="795"/>
            <w:bookmarkEnd w:id="796"/>
            <w:bookmarkEnd w:id="797"/>
            <w:bookmarkEnd w:id="798"/>
          </w:p>
        </w:tc>
        <w:tc>
          <w:tcPr>
            <w:tcW w:w="1298" w:type="dxa"/>
            <w:noWrap w:val="0"/>
            <w:vAlign w:val="center"/>
          </w:tcPr>
          <w:p>
            <w:pPr>
              <w:spacing w:line="360" w:lineRule="auto"/>
              <w:rPr>
                <w:rFonts w:hint="eastAsia" w:ascii="宋体" w:hAnsi="宋体" w:eastAsia="宋体" w:cs="宋体"/>
                <w:color w:val="auto"/>
                <w:sz w:val="24"/>
              </w:rPr>
            </w:pPr>
            <w:bookmarkStart w:id="799" w:name="_Toc18432"/>
            <w:bookmarkStart w:id="800" w:name="_Toc23203"/>
            <w:bookmarkStart w:id="801" w:name="_Toc16070"/>
            <w:bookmarkStart w:id="802" w:name="_Toc2763"/>
            <w:bookmarkStart w:id="803" w:name="_Toc16158"/>
            <w:r>
              <w:rPr>
                <w:rFonts w:hint="eastAsia" w:ascii="宋体" w:hAnsi="宋体" w:eastAsia="宋体" w:cs="宋体"/>
                <w:color w:val="auto"/>
                <w:sz w:val="24"/>
              </w:rPr>
              <w:t>项目名称</w:t>
            </w:r>
            <w:bookmarkEnd w:id="799"/>
            <w:bookmarkEnd w:id="800"/>
            <w:bookmarkEnd w:id="801"/>
            <w:bookmarkEnd w:id="802"/>
            <w:bookmarkEnd w:id="803"/>
          </w:p>
        </w:tc>
        <w:tc>
          <w:tcPr>
            <w:tcW w:w="1754" w:type="dxa"/>
            <w:noWrap w:val="0"/>
            <w:vAlign w:val="center"/>
          </w:tcPr>
          <w:p>
            <w:pPr>
              <w:spacing w:line="360" w:lineRule="auto"/>
              <w:rPr>
                <w:rFonts w:hint="eastAsia" w:ascii="宋体" w:hAnsi="宋体" w:eastAsia="宋体" w:cs="宋体"/>
                <w:color w:val="auto"/>
                <w:sz w:val="24"/>
              </w:rPr>
            </w:pPr>
            <w:bookmarkStart w:id="804" w:name="_Toc30899"/>
            <w:bookmarkStart w:id="805" w:name="_Toc28286"/>
            <w:bookmarkStart w:id="806" w:name="_Toc17481"/>
            <w:bookmarkStart w:id="807" w:name="_Toc7305"/>
            <w:bookmarkStart w:id="808" w:name="_Toc7856"/>
            <w:r>
              <w:rPr>
                <w:rFonts w:hint="eastAsia" w:ascii="宋体" w:hAnsi="宋体" w:eastAsia="宋体" w:cs="宋体"/>
                <w:color w:val="auto"/>
                <w:sz w:val="24"/>
              </w:rPr>
              <w:t>合同签订时间</w:t>
            </w:r>
            <w:bookmarkEnd w:id="804"/>
            <w:bookmarkEnd w:id="805"/>
            <w:bookmarkEnd w:id="806"/>
            <w:bookmarkEnd w:id="807"/>
            <w:bookmarkEnd w:id="808"/>
          </w:p>
        </w:tc>
        <w:tc>
          <w:tcPr>
            <w:tcW w:w="1134" w:type="dxa"/>
            <w:noWrap w:val="0"/>
            <w:vAlign w:val="center"/>
          </w:tcPr>
          <w:p>
            <w:pPr>
              <w:spacing w:line="360" w:lineRule="auto"/>
              <w:rPr>
                <w:rFonts w:hint="eastAsia" w:ascii="宋体" w:hAnsi="宋体" w:eastAsia="宋体" w:cs="宋体"/>
                <w:color w:val="auto"/>
                <w:sz w:val="24"/>
              </w:rPr>
            </w:pPr>
            <w:bookmarkStart w:id="809" w:name="_Toc17940"/>
            <w:bookmarkStart w:id="810" w:name="_Toc23113"/>
            <w:bookmarkStart w:id="811" w:name="_Toc23993"/>
            <w:bookmarkStart w:id="812" w:name="_Toc4641"/>
            <w:bookmarkStart w:id="813" w:name="_Toc6741"/>
            <w:r>
              <w:rPr>
                <w:rFonts w:hint="eastAsia" w:ascii="宋体" w:hAnsi="宋体" w:eastAsia="宋体" w:cs="宋体"/>
                <w:color w:val="auto"/>
                <w:sz w:val="24"/>
              </w:rPr>
              <w:t>项目业主名称</w:t>
            </w:r>
            <w:bookmarkEnd w:id="809"/>
            <w:bookmarkEnd w:id="810"/>
            <w:bookmarkEnd w:id="811"/>
            <w:bookmarkEnd w:id="812"/>
            <w:bookmarkEnd w:id="813"/>
          </w:p>
        </w:tc>
        <w:tc>
          <w:tcPr>
            <w:tcW w:w="1275" w:type="dxa"/>
            <w:noWrap w:val="0"/>
            <w:vAlign w:val="center"/>
          </w:tcPr>
          <w:p>
            <w:pPr>
              <w:spacing w:line="360" w:lineRule="auto"/>
              <w:rPr>
                <w:rFonts w:hint="eastAsia" w:ascii="宋体" w:hAnsi="宋体" w:eastAsia="宋体" w:cs="宋体"/>
                <w:color w:val="auto"/>
                <w:sz w:val="24"/>
              </w:rPr>
            </w:pPr>
            <w:r>
              <w:rPr>
                <w:rFonts w:hint="eastAsia" w:ascii="宋体" w:hAnsi="宋体" w:eastAsia="宋体" w:cs="宋体"/>
                <w:color w:val="auto"/>
                <w:sz w:val="24"/>
              </w:rPr>
              <w:t>完成时间</w:t>
            </w:r>
          </w:p>
        </w:tc>
        <w:tc>
          <w:tcPr>
            <w:tcW w:w="1418" w:type="dxa"/>
            <w:noWrap w:val="0"/>
            <w:vAlign w:val="center"/>
          </w:tcPr>
          <w:p>
            <w:pPr>
              <w:spacing w:line="360" w:lineRule="auto"/>
              <w:rPr>
                <w:rFonts w:hint="eastAsia" w:ascii="宋体" w:hAnsi="宋体" w:eastAsia="宋体" w:cs="宋体"/>
                <w:color w:val="auto"/>
                <w:sz w:val="24"/>
              </w:rPr>
            </w:pPr>
            <w:bookmarkStart w:id="814" w:name="_Toc4277"/>
            <w:bookmarkStart w:id="815" w:name="_Toc21190"/>
            <w:bookmarkStart w:id="816" w:name="_Toc5538"/>
            <w:bookmarkStart w:id="817" w:name="_Toc7595"/>
            <w:bookmarkStart w:id="818" w:name="_Toc30338"/>
            <w:r>
              <w:rPr>
                <w:rFonts w:hint="eastAsia" w:ascii="宋体" w:hAnsi="宋体" w:eastAsia="宋体" w:cs="宋体"/>
                <w:color w:val="auto"/>
                <w:sz w:val="24"/>
              </w:rPr>
              <w:t>项目金额</w:t>
            </w:r>
            <w:bookmarkEnd w:id="814"/>
            <w:bookmarkEnd w:id="815"/>
            <w:bookmarkEnd w:id="816"/>
            <w:bookmarkEnd w:id="817"/>
            <w:bookmarkEnd w:id="818"/>
          </w:p>
        </w:tc>
        <w:tc>
          <w:tcPr>
            <w:tcW w:w="1679" w:type="dxa"/>
            <w:noWrap w:val="0"/>
            <w:vAlign w:val="center"/>
          </w:tcPr>
          <w:p>
            <w:pPr>
              <w:spacing w:line="360" w:lineRule="auto"/>
              <w:rPr>
                <w:rFonts w:hint="eastAsia" w:ascii="宋体" w:hAnsi="宋体" w:eastAsia="宋体" w:cs="宋体"/>
                <w:color w:val="auto"/>
                <w:sz w:val="24"/>
              </w:rPr>
            </w:pPr>
            <w:bookmarkStart w:id="819" w:name="_Toc14459"/>
            <w:bookmarkStart w:id="820" w:name="_Toc12315"/>
            <w:bookmarkStart w:id="821" w:name="_Toc21068"/>
            <w:bookmarkStart w:id="822" w:name="_Toc606"/>
            <w:bookmarkStart w:id="823" w:name="_Toc14382"/>
            <w:r>
              <w:rPr>
                <w:rFonts w:hint="eastAsia" w:ascii="宋体" w:hAnsi="宋体" w:eastAsia="宋体" w:cs="宋体"/>
                <w:color w:val="auto"/>
                <w:sz w:val="24"/>
              </w:rPr>
              <w:t>备注</w:t>
            </w:r>
            <w:bookmarkEnd w:id="819"/>
            <w:bookmarkEnd w:id="820"/>
            <w:bookmarkEnd w:id="821"/>
            <w:bookmarkEnd w:id="822"/>
            <w:bookmarkEnd w:id="8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bl>
    <w:p>
      <w:pPr>
        <w:spacing w:line="360" w:lineRule="auto"/>
        <w:rPr>
          <w:rFonts w:hint="eastAsia" w:ascii="宋体" w:hAnsi="宋体" w:eastAsia="宋体" w:cs="宋体"/>
          <w:color w:val="auto"/>
          <w:sz w:val="24"/>
        </w:rPr>
      </w:pPr>
    </w:p>
    <w:p>
      <w:pPr>
        <w:spacing w:line="360" w:lineRule="auto"/>
        <w:rPr>
          <w:rFonts w:hint="eastAsia" w:ascii="宋体" w:hAnsi="宋体" w:eastAsia="宋体" w:cs="宋体"/>
          <w:b/>
          <w:bCs/>
          <w:color w:val="auto"/>
          <w:szCs w:val="21"/>
        </w:rPr>
      </w:pPr>
      <w:bookmarkStart w:id="824" w:name="_Toc6362"/>
      <w:r>
        <w:rPr>
          <w:rFonts w:hint="eastAsia" w:ascii="宋体" w:hAnsi="宋体" w:eastAsia="宋体" w:cs="宋体"/>
          <w:b/>
          <w:bCs/>
          <w:color w:val="auto"/>
          <w:szCs w:val="21"/>
        </w:rPr>
        <w:t>注：以上业绩</w:t>
      </w:r>
      <w:r>
        <w:rPr>
          <w:rFonts w:hint="eastAsia" w:ascii="宋体" w:hAnsi="宋体" w:eastAsia="宋体" w:cs="宋体"/>
          <w:b/>
          <w:bCs/>
          <w:color w:val="auto"/>
          <w:szCs w:val="21"/>
          <w:lang w:eastAsia="zh-CN"/>
        </w:rPr>
        <w:t>以招标文件的规定提供复印件，并加盖公章</w:t>
      </w:r>
      <w:r>
        <w:rPr>
          <w:rFonts w:hint="eastAsia" w:ascii="宋体" w:hAnsi="宋体" w:eastAsia="宋体" w:cs="宋体"/>
          <w:b/>
          <w:bCs/>
          <w:color w:val="auto"/>
          <w:szCs w:val="21"/>
        </w:rPr>
        <w:t>，否则将不予认定。</w:t>
      </w:r>
    </w:p>
    <w:bookmarkEnd w:id="824"/>
    <w:p>
      <w:pPr>
        <w:spacing w:line="360" w:lineRule="auto"/>
        <w:rPr>
          <w:rFonts w:hint="eastAsia" w:ascii="宋体" w:hAnsi="宋体" w:eastAsia="宋体" w:cs="宋体"/>
          <w:color w:val="auto"/>
          <w:sz w:val="24"/>
        </w:rPr>
      </w:pPr>
      <w:bookmarkStart w:id="825" w:name="_Toc7573"/>
      <w:bookmarkStart w:id="826" w:name="_Toc22205"/>
      <w:bookmarkStart w:id="827" w:name="_Toc17020"/>
      <w:bookmarkStart w:id="828" w:name="_Toc5183"/>
      <w:bookmarkStart w:id="829" w:name="_Toc32435"/>
      <w:bookmarkStart w:id="830" w:name="_Toc9244"/>
    </w:p>
    <w:p>
      <w:pPr>
        <w:spacing w:line="360" w:lineRule="auto"/>
        <w:rPr>
          <w:rFonts w:hint="eastAsia" w:ascii="宋体" w:hAnsi="宋体" w:eastAsia="宋体" w:cs="宋体"/>
          <w:color w:val="auto"/>
          <w:sz w:val="24"/>
        </w:rPr>
      </w:pPr>
      <w:r>
        <w:rPr>
          <w:rFonts w:hint="eastAsia" w:ascii="宋体" w:hAnsi="宋体" w:eastAsia="宋体" w:cs="宋体"/>
          <w:color w:val="auto"/>
          <w:sz w:val="24"/>
        </w:rPr>
        <w:t>投标人名称：XXXX（单位盖章）</w:t>
      </w:r>
      <w:bookmarkEnd w:id="825"/>
      <w:bookmarkEnd w:id="826"/>
      <w:bookmarkEnd w:id="827"/>
      <w:bookmarkEnd w:id="828"/>
      <w:bookmarkEnd w:id="829"/>
      <w:bookmarkEnd w:id="830"/>
    </w:p>
    <w:p>
      <w:pPr>
        <w:spacing w:line="360" w:lineRule="auto"/>
        <w:rPr>
          <w:rFonts w:hint="eastAsia" w:ascii="宋体" w:hAnsi="宋体" w:eastAsia="宋体" w:cs="宋体"/>
          <w:color w:val="auto"/>
          <w:sz w:val="24"/>
        </w:rPr>
      </w:pPr>
      <w:bookmarkStart w:id="831" w:name="_Toc26917"/>
      <w:bookmarkStart w:id="832" w:name="_Toc5783"/>
      <w:bookmarkStart w:id="833" w:name="_Toc3529"/>
      <w:bookmarkStart w:id="834" w:name="_Toc1987"/>
      <w:bookmarkStart w:id="835" w:name="_Toc16266"/>
      <w:bookmarkStart w:id="836" w:name="_Toc18240"/>
      <w:r>
        <w:rPr>
          <w:rFonts w:hint="eastAsia" w:ascii="宋体" w:hAnsi="宋体" w:eastAsia="宋体" w:cs="宋体"/>
          <w:color w:val="auto"/>
          <w:sz w:val="24"/>
        </w:rPr>
        <w:t>法定代表人</w:t>
      </w:r>
      <w:r>
        <w:rPr>
          <w:rFonts w:hint="eastAsia" w:ascii="宋体" w:hAnsi="宋体" w:eastAsia="宋体" w:cs="宋体"/>
          <w:bCs/>
          <w:color w:val="auto"/>
          <w:sz w:val="24"/>
        </w:rPr>
        <w:t>（</w:t>
      </w:r>
      <w:r>
        <w:rPr>
          <w:rFonts w:hint="eastAsia" w:ascii="宋体" w:hAnsi="宋体" w:eastAsia="宋体" w:cs="宋体"/>
          <w:color w:val="auto"/>
          <w:sz w:val="24"/>
        </w:rPr>
        <w:t>主要负责人</w:t>
      </w:r>
      <w:r>
        <w:rPr>
          <w:rFonts w:hint="eastAsia" w:ascii="宋体" w:hAnsi="宋体" w:eastAsia="宋体" w:cs="宋体"/>
          <w:bCs/>
          <w:color w:val="auto"/>
          <w:sz w:val="24"/>
        </w:rPr>
        <w:t>）</w:t>
      </w:r>
      <w:r>
        <w:rPr>
          <w:rFonts w:hint="eastAsia" w:ascii="宋体" w:hAnsi="宋体" w:eastAsia="宋体" w:cs="宋体"/>
          <w:color w:val="auto"/>
          <w:sz w:val="24"/>
        </w:rPr>
        <w:t>或授权代表（签字或加盖个人名章）：XXXX</w:t>
      </w:r>
      <w:bookmarkEnd w:id="831"/>
      <w:bookmarkEnd w:id="832"/>
      <w:bookmarkEnd w:id="833"/>
      <w:bookmarkEnd w:id="834"/>
      <w:bookmarkEnd w:id="835"/>
      <w:bookmarkEnd w:id="836"/>
    </w:p>
    <w:p>
      <w:pPr>
        <w:spacing w:line="360" w:lineRule="auto"/>
        <w:rPr>
          <w:rFonts w:hint="eastAsia" w:ascii="宋体" w:hAnsi="宋体" w:eastAsia="宋体" w:cs="宋体"/>
          <w:color w:val="auto"/>
          <w:sz w:val="24"/>
        </w:rPr>
      </w:pPr>
      <w:bookmarkStart w:id="837" w:name="_Toc6771"/>
      <w:bookmarkStart w:id="838" w:name="_Toc9531"/>
      <w:bookmarkStart w:id="839" w:name="_Toc1170"/>
      <w:bookmarkStart w:id="840" w:name="_Toc19599"/>
      <w:bookmarkStart w:id="841" w:name="_Toc18247"/>
      <w:bookmarkStart w:id="842" w:name="_Toc6444"/>
      <w:r>
        <w:rPr>
          <w:rFonts w:hint="eastAsia" w:ascii="宋体" w:hAnsi="宋体" w:eastAsia="宋体" w:cs="宋体"/>
          <w:color w:val="auto"/>
          <w:sz w:val="24"/>
        </w:rPr>
        <w:t xml:space="preserve">投标日期: </w:t>
      </w:r>
      <w:bookmarkEnd w:id="837"/>
      <w:bookmarkEnd w:id="838"/>
      <w:bookmarkEnd w:id="839"/>
      <w:bookmarkEnd w:id="840"/>
      <w:bookmarkEnd w:id="841"/>
      <w:bookmarkEnd w:id="842"/>
      <w:r>
        <w:rPr>
          <w:rFonts w:hint="eastAsia" w:ascii="宋体" w:hAnsi="宋体" w:eastAsia="宋体" w:cs="宋体"/>
          <w:color w:val="auto"/>
          <w:sz w:val="24"/>
        </w:rPr>
        <w:t>XXXX年XX月XX日</w:t>
      </w:r>
    </w:p>
    <w:p>
      <w:pPr>
        <w:rPr>
          <w:rFonts w:hint="eastAsia" w:ascii="宋体" w:hAnsi="宋体" w:eastAsia="宋体" w:cs="宋体"/>
          <w:b/>
          <w:color w:val="auto"/>
          <w:sz w:val="24"/>
        </w:rPr>
      </w:pPr>
      <w:bookmarkStart w:id="843" w:name="_Toc217446090"/>
    </w:p>
    <w:p>
      <w:pPr>
        <w:pStyle w:val="5"/>
        <w:jc w:val="center"/>
        <w:rPr>
          <w:rFonts w:hint="eastAsia" w:ascii="宋体" w:hAnsi="宋体" w:eastAsia="宋体" w:cs="宋体"/>
          <w:color w:val="auto"/>
        </w:rPr>
      </w:pPr>
      <w:r>
        <w:rPr>
          <w:rFonts w:hint="eastAsia" w:ascii="宋体" w:hAnsi="宋体" w:eastAsia="宋体" w:cs="宋体"/>
          <w:color w:val="auto"/>
        </w:rPr>
        <w:br w:type="page"/>
      </w:r>
      <w:bookmarkEnd w:id="843"/>
      <w:bookmarkStart w:id="844" w:name="_Toc26470"/>
      <w:bookmarkStart w:id="845" w:name="_Toc217446091"/>
      <w:bookmarkStart w:id="846" w:name="_Toc5768"/>
      <w:bookmarkStart w:id="847" w:name="_Toc10854"/>
      <w:bookmarkStart w:id="848" w:name="_Toc5870"/>
      <w:bookmarkStart w:id="849" w:name="_Toc1378"/>
      <w:bookmarkStart w:id="850" w:name="_Toc23120"/>
      <w:r>
        <w:rPr>
          <w:rFonts w:hint="eastAsia" w:ascii="宋体" w:hAnsi="宋体" w:eastAsia="宋体" w:cs="宋体"/>
          <w:color w:val="auto"/>
        </w:rPr>
        <w:t>七、投标人拟派本项目管理、技术、服务人员情况表</w:t>
      </w:r>
      <w:bookmarkEnd w:id="844"/>
      <w:bookmarkEnd w:id="845"/>
      <w:bookmarkEnd w:id="846"/>
      <w:bookmarkEnd w:id="847"/>
      <w:bookmarkEnd w:id="848"/>
      <w:bookmarkEnd w:id="849"/>
      <w:bookmarkEnd w:id="850"/>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项目名称：</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项目编号：</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 xml:space="preserve">包    号： </w:t>
      </w:r>
    </w:p>
    <w:tbl>
      <w:tblPr>
        <w:tblStyle w:val="49"/>
        <w:tblW w:w="9533" w:type="dxa"/>
        <w:jc w:val="center"/>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Layout w:type="fixed"/>
        <w:tblCellMar>
          <w:top w:w="0" w:type="dxa"/>
          <w:left w:w="108" w:type="dxa"/>
          <w:bottom w:w="0" w:type="dxa"/>
          <w:right w:w="108" w:type="dxa"/>
        </w:tblCellMar>
      </w:tblPr>
      <w:tblGrid>
        <w:gridCol w:w="700"/>
        <w:gridCol w:w="800"/>
        <w:gridCol w:w="862"/>
        <w:gridCol w:w="725"/>
        <w:gridCol w:w="1013"/>
        <w:gridCol w:w="1013"/>
        <w:gridCol w:w="1153"/>
        <w:gridCol w:w="866"/>
        <w:gridCol w:w="900"/>
        <w:gridCol w:w="834"/>
        <w:gridCol w:w="667"/>
      </w:tblGrid>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631" w:hRule="exact"/>
          <w:jc w:val="center"/>
        </w:trPr>
        <w:tc>
          <w:tcPr>
            <w:tcW w:w="700" w:type="dxa"/>
            <w:vMerge w:val="restart"/>
            <w:tcBorders>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类别</w:t>
            </w:r>
          </w:p>
        </w:tc>
        <w:tc>
          <w:tcPr>
            <w:tcW w:w="800" w:type="dxa"/>
            <w:vMerge w:val="restart"/>
            <w:tcBorders>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职务</w:t>
            </w:r>
          </w:p>
        </w:tc>
        <w:tc>
          <w:tcPr>
            <w:tcW w:w="862" w:type="dxa"/>
            <w:vMerge w:val="restart"/>
            <w:tcBorders>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姓名</w:t>
            </w:r>
          </w:p>
        </w:tc>
        <w:tc>
          <w:tcPr>
            <w:tcW w:w="725" w:type="dxa"/>
            <w:vMerge w:val="restart"/>
            <w:tcBorders>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职称</w:t>
            </w:r>
          </w:p>
        </w:tc>
        <w:tc>
          <w:tcPr>
            <w:tcW w:w="1013" w:type="dxa"/>
            <w:vMerge w:val="restart"/>
            <w:tcBorders>
              <w:left w:val="single" w:color="auto" w:sz="4"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常住地</w:t>
            </w:r>
          </w:p>
        </w:tc>
        <w:tc>
          <w:tcPr>
            <w:tcW w:w="1013" w:type="dxa"/>
            <w:vMerge w:val="restart"/>
            <w:tcBorders>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联系</w:t>
            </w:r>
          </w:p>
          <w:p>
            <w:pPr>
              <w:jc w:val="center"/>
              <w:rPr>
                <w:rFonts w:hint="eastAsia" w:ascii="宋体" w:hAnsi="宋体" w:eastAsia="宋体" w:cs="宋体"/>
                <w:b/>
                <w:color w:val="auto"/>
                <w:szCs w:val="21"/>
              </w:rPr>
            </w:pPr>
            <w:r>
              <w:rPr>
                <w:rFonts w:hint="eastAsia" w:ascii="宋体" w:hAnsi="宋体" w:eastAsia="宋体" w:cs="宋体"/>
                <w:b/>
                <w:color w:val="auto"/>
                <w:szCs w:val="21"/>
              </w:rPr>
              <w:t>电话</w:t>
            </w:r>
          </w:p>
        </w:tc>
        <w:tc>
          <w:tcPr>
            <w:tcW w:w="3753" w:type="dxa"/>
            <w:gridSpan w:val="4"/>
            <w:tcBorders>
              <w:left w:val="single" w:color="auto" w:sz="4" w:space="0"/>
              <w:bottom w:val="single" w:color="auto" w:sz="2"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资格证明（附复印件）</w:t>
            </w:r>
          </w:p>
        </w:tc>
        <w:tc>
          <w:tcPr>
            <w:tcW w:w="667" w:type="dxa"/>
            <w:vMerge w:val="restart"/>
            <w:tcBorders>
              <w:lef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备注</w:t>
            </w: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12" w:hRule="exact"/>
          <w:jc w:val="center"/>
        </w:trPr>
        <w:tc>
          <w:tcPr>
            <w:tcW w:w="700" w:type="dxa"/>
            <w:vMerge w:val="continue"/>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p>
        </w:tc>
        <w:tc>
          <w:tcPr>
            <w:tcW w:w="800" w:type="dxa"/>
            <w:vMerge w:val="continue"/>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p>
        </w:tc>
        <w:tc>
          <w:tcPr>
            <w:tcW w:w="862" w:type="dxa"/>
            <w:vMerge w:val="continue"/>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p>
        </w:tc>
        <w:tc>
          <w:tcPr>
            <w:tcW w:w="725" w:type="dxa"/>
            <w:vMerge w:val="continue"/>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p>
        </w:tc>
        <w:tc>
          <w:tcPr>
            <w:tcW w:w="1013" w:type="dxa"/>
            <w:vMerge w:val="continue"/>
            <w:tcBorders>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p>
        </w:tc>
        <w:tc>
          <w:tcPr>
            <w:tcW w:w="1013" w:type="dxa"/>
            <w:vMerge w:val="continue"/>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证书名称</w:t>
            </w: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级别</w:t>
            </w: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证号</w:t>
            </w: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专业</w:t>
            </w:r>
          </w:p>
        </w:tc>
        <w:tc>
          <w:tcPr>
            <w:tcW w:w="667" w:type="dxa"/>
            <w:vMerge w:val="continue"/>
            <w:tcBorders>
              <w:left w:val="single" w:color="auto" w:sz="4" w:space="0"/>
              <w:bottom w:val="single" w:color="auto" w:sz="2" w:space="0"/>
            </w:tcBorders>
            <w:noWrap w:val="0"/>
            <w:vAlign w:val="center"/>
          </w:tcPr>
          <w:p>
            <w:pPr>
              <w:jc w:val="center"/>
              <w:rPr>
                <w:rFonts w:hint="eastAsia" w:ascii="宋体" w:hAnsi="宋体" w:eastAsia="宋体" w:cs="宋体"/>
                <w:b/>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restart"/>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管</w:t>
            </w:r>
          </w:p>
          <w:p>
            <w:pPr>
              <w:jc w:val="center"/>
              <w:rPr>
                <w:rFonts w:hint="eastAsia" w:ascii="宋体" w:hAnsi="宋体" w:eastAsia="宋体" w:cs="宋体"/>
                <w:color w:val="auto"/>
                <w:szCs w:val="21"/>
              </w:rPr>
            </w:pPr>
            <w:r>
              <w:rPr>
                <w:rFonts w:hint="eastAsia" w:ascii="宋体" w:hAnsi="宋体" w:eastAsia="宋体" w:cs="宋体"/>
                <w:color w:val="auto"/>
                <w:szCs w:val="21"/>
              </w:rPr>
              <w:t>理</w:t>
            </w:r>
          </w:p>
          <w:p>
            <w:pPr>
              <w:jc w:val="center"/>
              <w:rPr>
                <w:rFonts w:hint="eastAsia" w:ascii="宋体" w:hAnsi="宋体" w:eastAsia="宋体" w:cs="宋体"/>
                <w:color w:val="auto"/>
                <w:szCs w:val="21"/>
              </w:rPr>
            </w:pPr>
            <w:r>
              <w:rPr>
                <w:rFonts w:hint="eastAsia" w:ascii="宋体" w:hAnsi="宋体" w:eastAsia="宋体" w:cs="宋体"/>
                <w:color w:val="auto"/>
                <w:szCs w:val="21"/>
              </w:rPr>
              <w:t>人</w:t>
            </w:r>
          </w:p>
          <w:p>
            <w:pPr>
              <w:jc w:val="center"/>
              <w:rPr>
                <w:rFonts w:hint="eastAsia" w:ascii="宋体" w:hAnsi="宋体" w:eastAsia="宋体" w:cs="宋体"/>
                <w:color w:val="auto"/>
                <w:szCs w:val="21"/>
              </w:rPr>
            </w:pPr>
            <w:r>
              <w:rPr>
                <w:rFonts w:hint="eastAsia" w:ascii="宋体" w:hAnsi="宋体" w:eastAsia="宋体" w:cs="宋体"/>
                <w:color w:val="auto"/>
                <w:szCs w:val="21"/>
              </w:rPr>
              <w:t>员</w:t>
            </w: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725" w:type="dxa"/>
            <w:tcBorders>
              <w:top w:val="single" w:color="auto" w:sz="2" w:space="0"/>
              <w:left w:val="single" w:color="auto" w:sz="4" w:space="0"/>
              <w:bottom w:val="single" w:color="000000"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continue"/>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000000" w:sz="2" w:space="0"/>
            </w:tcBorders>
            <w:noWrap w:val="0"/>
            <w:vAlign w:val="center"/>
          </w:tcPr>
          <w:p>
            <w:pPr>
              <w:jc w:val="center"/>
              <w:rPr>
                <w:rFonts w:hint="eastAsia" w:ascii="宋体" w:hAnsi="宋体" w:eastAsia="宋体" w:cs="宋体"/>
                <w:color w:val="auto"/>
                <w:szCs w:val="21"/>
              </w:rPr>
            </w:pPr>
          </w:p>
        </w:tc>
        <w:tc>
          <w:tcPr>
            <w:tcW w:w="725" w:type="dxa"/>
            <w:tcBorders>
              <w:top w:val="single" w:color="000000" w:sz="2" w:space="0"/>
              <w:left w:val="single" w:color="000000" w:sz="2" w:space="0"/>
              <w:bottom w:val="single" w:color="000000" w:sz="2" w:space="0"/>
              <w:right w:val="single" w:color="000000" w:sz="2"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000000"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000000"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continue"/>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725" w:type="dxa"/>
            <w:tcBorders>
              <w:top w:val="single" w:color="000000"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restart"/>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技</w:t>
            </w:r>
          </w:p>
          <w:p>
            <w:pPr>
              <w:jc w:val="center"/>
              <w:rPr>
                <w:rFonts w:hint="eastAsia" w:ascii="宋体" w:hAnsi="宋体" w:eastAsia="宋体" w:cs="宋体"/>
                <w:color w:val="auto"/>
                <w:szCs w:val="21"/>
              </w:rPr>
            </w:pPr>
            <w:r>
              <w:rPr>
                <w:rFonts w:hint="eastAsia" w:ascii="宋体" w:hAnsi="宋体" w:eastAsia="宋体" w:cs="宋体"/>
                <w:color w:val="auto"/>
                <w:szCs w:val="21"/>
              </w:rPr>
              <w:t>术</w:t>
            </w:r>
          </w:p>
          <w:p>
            <w:pPr>
              <w:jc w:val="center"/>
              <w:rPr>
                <w:rFonts w:hint="eastAsia" w:ascii="宋体" w:hAnsi="宋体" w:eastAsia="宋体" w:cs="宋体"/>
                <w:color w:val="auto"/>
                <w:szCs w:val="21"/>
              </w:rPr>
            </w:pPr>
            <w:r>
              <w:rPr>
                <w:rFonts w:hint="eastAsia" w:ascii="宋体" w:hAnsi="宋体" w:eastAsia="宋体" w:cs="宋体"/>
                <w:color w:val="auto"/>
                <w:szCs w:val="21"/>
              </w:rPr>
              <w:t>人</w:t>
            </w:r>
          </w:p>
          <w:p>
            <w:pPr>
              <w:jc w:val="center"/>
              <w:rPr>
                <w:rFonts w:hint="eastAsia" w:ascii="宋体" w:hAnsi="宋体" w:eastAsia="宋体" w:cs="宋体"/>
                <w:color w:val="auto"/>
                <w:szCs w:val="21"/>
              </w:rPr>
            </w:pPr>
            <w:r>
              <w:rPr>
                <w:rFonts w:hint="eastAsia" w:ascii="宋体" w:hAnsi="宋体" w:eastAsia="宋体" w:cs="宋体"/>
                <w:color w:val="auto"/>
                <w:szCs w:val="21"/>
              </w:rPr>
              <w:t>员</w:t>
            </w: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725"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continue"/>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725"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continue"/>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725"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restart"/>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其他</w:t>
            </w:r>
          </w:p>
          <w:p>
            <w:pPr>
              <w:jc w:val="center"/>
              <w:rPr>
                <w:rFonts w:hint="eastAsia" w:ascii="宋体" w:hAnsi="宋体" w:eastAsia="宋体" w:cs="宋体"/>
                <w:color w:val="auto"/>
                <w:szCs w:val="21"/>
              </w:rPr>
            </w:pPr>
            <w:r>
              <w:rPr>
                <w:rFonts w:hint="eastAsia" w:ascii="宋体" w:hAnsi="宋体" w:eastAsia="宋体" w:cs="宋体"/>
                <w:color w:val="auto"/>
                <w:szCs w:val="21"/>
              </w:rPr>
              <w:t>人员</w:t>
            </w: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725"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continue"/>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bCs/>
                <w:color w:val="auto"/>
                <w:szCs w:val="21"/>
              </w:rPr>
            </w:pPr>
          </w:p>
        </w:tc>
        <w:tc>
          <w:tcPr>
            <w:tcW w:w="725"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bCs/>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bCs/>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bCs/>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bCs/>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bCs/>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bCs/>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b/>
                <w:bCs/>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b/>
                <w:bCs/>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continue"/>
            <w:tcBorders>
              <w:top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00"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b/>
                <w:bCs/>
                <w:color w:val="auto"/>
                <w:szCs w:val="21"/>
              </w:rPr>
            </w:pPr>
          </w:p>
        </w:tc>
        <w:tc>
          <w:tcPr>
            <w:tcW w:w="725"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b/>
                <w:bCs/>
                <w:color w:val="auto"/>
                <w:szCs w:val="21"/>
              </w:rPr>
            </w:pPr>
          </w:p>
        </w:tc>
        <w:tc>
          <w:tcPr>
            <w:tcW w:w="1013"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b/>
                <w:bCs/>
                <w:color w:val="auto"/>
                <w:szCs w:val="21"/>
              </w:rPr>
            </w:pPr>
          </w:p>
        </w:tc>
        <w:tc>
          <w:tcPr>
            <w:tcW w:w="1013"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b/>
                <w:bCs/>
                <w:color w:val="auto"/>
                <w:szCs w:val="21"/>
              </w:rPr>
            </w:pPr>
          </w:p>
        </w:tc>
        <w:tc>
          <w:tcPr>
            <w:tcW w:w="1153"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b/>
                <w:bCs/>
                <w:color w:val="auto"/>
                <w:szCs w:val="21"/>
              </w:rPr>
            </w:pPr>
          </w:p>
        </w:tc>
        <w:tc>
          <w:tcPr>
            <w:tcW w:w="866"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b/>
                <w:bCs/>
                <w:color w:val="auto"/>
                <w:szCs w:val="21"/>
              </w:rPr>
            </w:pPr>
          </w:p>
        </w:tc>
        <w:tc>
          <w:tcPr>
            <w:tcW w:w="900"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b/>
                <w:bCs/>
                <w:color w:val="auto"/>
                <w:szCs w:val="21"/>
              </w:rPr>
            </w:pPr>
          </w:p>
        </w:tc>
        <w:tc>
          <w:tcPr>
            <w:tcW w:w="834" w:type="dxa"/>
            <w:tcBorders>
              <w:top w:val="single" w:color="auto" w:sz="2" w:space="0"/>
              <w:left w:val="single" w:color="auto" w:sz="4" w:space="0"/>
            </w:tcBorders>
            <w:noWrap w:val="0"/>
            <w:vAlign w:val="center"/>
          </w:tcPr>
          <w:p>
            <w:pPr>
              <w:jc w:val="center"/>
              <w:rPr>
                <w:rFonts w:hint="eastAsia" w:ascii="宋体" w:hAnsi="宋体" w:eastAsia="宋体" w:cs="宋体"/>
                <w:b/>
                <w:bCs/>
                <w:color w:val="auto"/>
                <w:szCs w:val="21"/>
              </w:rPr>
            </w:pPr>
          </w:p>
        </w:tc>
        <w:tc>
          <w:tcPr>
            <w:tcW w:w="667" w:type="dxa"/>
            <w:tcBorders>
              <w:top w:val="single" w:color="auto" w:sz="2" w:space="0"/>
              <w:left w:val="single" w:color="auto" w:sz="4" w:space="0"/>
            </w:tcBorders>
            <w:noWrap w:val="0"/>
            <w:vAlign w:val="center"/>
          </w:tcPr>
          <w:p>
            <w:pPr>
              <w:jc w:val="center"/>
              <w:rPr>
                <w:rFonts w:hint="eastAsia" w:ascii="宋体" w:hAnsi="宋体" w:eastAsia="宋体" w:cs="宋体"/>
                <w:b/>
                <w:bCs/>
                <w:color w:val="auto"/>
                <w:szCs w:val="21"/>
              </w:rPr>
            </w:pPr>
          </w:p>
        </w:tc>
      </w:tr>
    </w:tbl>
    <w:p>
      <w:pPr>
        <w:rPr>
          <w:rFonts w:hint="eastAsia" w:ascii="宋体" w:hAnsi="宋体" w:eastAsia="宋体" w:cs="宋体"/>
          <w:color w:val="auto"/>
          <w:sz w:val="24"/>
        </w:rPr>
      </w:pP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注：拟派驻本项目相关人员应附身份证、职称证书、有效的资格证书以及为本单位人员的证明材料复印件；以上证明资料均须以加盖供应商公章。如不实，属于弄虚作假，取消中标资格。</w:t>
      </w:r>
    </w:p>
    <w:p>
      <w:pPr>
        <w:rPr>
          <w:rFonts w:hint="eastAsia" w:ascii="宋体" w:hAnsi="宋体" w:eastAsia="宋体" w:cs="宋体"/>
          <w:color w:val="auto"/>
        </w:rPr>
      </w:pPr>
    </w:p>
    <w:p>
      <w:pPr>
        <w:spacing w:line="360" w:lineRule="auto"/>
        <w:rPr>
          <w:rFonts w:hint="eastAsia" w:ascii="宋体" w:hAnsi="宋体" w:eastAsia="宋体" w:cs="宋体"/>
          <w:color w:val="auto"/>
          <w:sz w:val="24"/>
        </w:rPr>
      </w:pPr>
      <w:bookmarkStart w:id="851" w:name="_Toc18123"/>
      <w:bookmarkStart w:id="852" w:name="_Toc20201"/>
      <w:bookmarkStart w:id="853" w:name="_Toc19932"/>
      <w:bookmarkStart w:id="854" w:name="_Toc1216"/>
      <w:bookmarkStart w:id="855" w:name="_Toc32509"/>
      <w:bookmarkStart w:id="856" w:name="_Toc10976"/>
      <w:r>
        <w:rPr>
          <w:rFonts w:hint="eastAsia" w:ascii="宋体" w:hAnsi="宋体" w:eastAsia="宋体" w:cs="宋体"/>
          <w:color w:val="auto"/>
          <w:sz w:val="24"/>
        </w:rPr>
        <w:t>投标人名称：XXXX（单位盖章）</w:t>
      </w:r>
      <w:bookmarkEnd w:id="851"/>
      <w:bookmarkEnd w:id="852"/>
      <w:bookmarkEnd w:id="853"/>
      <w:bookmarkEnd w:id="854"/>
      <w:bookmarkEnd w:id="855"/>
      <w:bookmarkEnd w:id="856"/>
    </w:p>
    <w:p>
      <w:pPr>
        <w:spacing w:line="360" w:lineRule="auto"/>
        <w:rPr>
          <w:rFonts w:hint="eastAsia" w:ascii="宋体" w:hAnsi="宋体" w:eastAsia="宋体" w:cs="宋体"/>
          <w:color w:val="auto"/>
          <w:sz w:val="24"/>
        </w:rPr>
      </w:pPr>
      <w:bookmarkStart w:id="857" w:name="_Toc14249"/>
      <w:bookmarkStart w:id="858" w:name="_Toc7101"/>
      <w:bookmarkStart w:id="859" w:name="_Toc8214"/>
      <w:bookmarkStart w:id="860" w:name="_Toc24430"/>
      <w:bookmarkStart w:id="861" w:name="_Toc22861"/>
      <w:bookmarkStart w:id="862" w:name="_Toc1277"/>
      <w:r>
        <w:rPr>
          <w:rFonts w:hint="eastAsia" w:ascii="宋体" w:hAnsi="宋体" w:eastAsia="宋体" w:cs="宋体"/>
          <w:color w:val="auto"/>
          <w:sz w:val="24"/>
        </w:rPr>
        <w:t>法定代表人</w:t>
      </w:r>
      <w:r>
        <w:rPr>
          <w:rFonts w:hint="eastAsia" w:ascii="宋体" w:hAnsi="宋体" w:eastAsia="宋体" w:cs="宋体"/>
          <w:bCs/>
          <w:color w:val="auto"/>
          <w:sz w:val="24"/>
        </w:rPr>
        <w:t>（</w:t>
      </w:r>
      <w:r>
        <w:rPr>
          <w:rFonts w:hint="eastAsia" w:ascii="宋体" w:hAnsi="宋体" w:eastAsia="宋体" w:cs="宋体"/>
          <w:color w:val="auto"/>
          <w:sz w:val="24"/>
        </w:rPr>
        <w:t>主要负责人</w:t>
      </w:r>
      <w:r>
        <w:rPr>
          <w:rFonts w:hint="eastAsia" w:ascii="宋体" w:hAnsi="宋体" w:eastAsia="宋体" w:cs="宋体"/>
          <w:bCs/>
          <w:color w:val="auto"/>
          <w:sz w:val="24"/>
        </w:rPr>
        <w:t>）</w:t>
      </w:r>
      <w:r>
        <w:rPr>
          <w:rFonts w:hint="eastAsia" w:ascii="宋体" w:hAnsi="宋体" w:eastAsia="宋体" w:cs="宋体"/>
          <w:color w:val="auto"/>
          <w:sz w:val="24"/>
        </w:rPr>
        <w:t>或授权代表（签字或加盖个人名章）：XXXX</w:t>
      </w:r>
      <w:bookmarkEnd w:id="857"/>
      <w:bookmarkEnd w:id="858"/>
      <w:bookmarkEnd w:id="859"/>
      <w:bookmarkEnd w:id="860"/>
      <w:bookmarkEnd w:id="861"/>
      <w:bookmarkEnd w:id="862"/>
    </w:p>
    <w:p>
      <w:pPr>
        <w:spacing w:line="360" w:lineRule="auto"/>
        <w:rPr>
          <w:rFonts w:hint="eastAsia" w:ascii="宋体" w:hAnsi="宋体" w:eastAsia="宋体" w:cs="宋体"/>
          <w:color w:val="auto"/>
          <w:sz w:val="24"/>
        </w:rPr>
      </w:pPr>
      <w:bookmarkStart w:id="863" w:name="_Toc1596"/>
      <w:bookmarkStart w:id="864" w:name="_Toc23179"/>
      <w:bookmarkStart w:id="865" w:name="_Toc6854"/>
      <w:bookmarkStart w:id="866" w:name="_Toc22149"/>
      <w:bookmarkStart w:id="867" w:name="_Toc13454"/>
      <w:bookmarkStart w:id="868" w:name="_Toc5356"/>
      <w:r>
        <w:rPr>
          <w:rFonts w:hint="eastAsia" w:ascii="宋体" w:hAnsi="宋体" w:eastAsia="宋体" w:cs="宋体"/>
          <w:color w:val="auto"/>
          <w:sz w:val="24"/>
        </w:rPr>
        <w:t xml:space="preserve">投标日期: </w:t>
      </w:r>
      <w:bookmarkEnd w:id="863"/>
      <w:bookmarkEnd w:id="864"/>
      <w:bookmarkEnd w:id="865"/>
      <w:bookmarkEnd w:id="866"/>
      <w:bookmarkEnd w:id="867"/>
      <w:bookmarkEnd w:id="868"/>
      <w:r>
        <w:rPr>
          <w:rFonts w:hint="eastAsia" w:ascii="宋体" w:hAnsi="宋体" w:eastAsia="宋体" w:cs="宋体"/>
          <w:color w:val="auto"/>
          <w:sz w:val="24"/>
        </w:rPr>
        <w:t>XXXX年XX月XX日</w:t>
      </w:r>
    </w:p>
    <w:p>
      <w:pPr>
        <w:pStyle w:val="2"/>
        <w:rPr>
          <w:rFonts w:hint="eastAsia" w:ascii="宋体" w:hAnsi="宋体" w:eastAsia="宋体" w:cs="宋体"/>
          <w:color w:val="auto"/>
        </w:rPr>
      </w:pPr>
    </w:p>
    <w:bookmarkEnd w:id="572"/>
    <w:p>
      <w:pPr>
        <w:pStyle w:val="5"/>
        <w:jc w:val="center"/>
        <w:rPr>
          <w:rFonts w:hint="eastAsia" w:ascii="宋体" w:hAnsi="宋体" w:eastAsia="宋体" w:cs="宋体"/>
          <w:color w:val="auto"/>
        </w:rPr>
      </w:pPr>
      <w:bookmarkStart w:id="869" w:name="_Toc31106"/>
      <w:bookmarkStart w:id="870" w:name="_Toc17341"/>
      <w:bookmarkStart w:id="871" w:name="_Toc10928"/>
      <w:bookmarkStart w:id="872" w:name="_Toc21475"/>
      <w:bookmarkStart w:id="873" w:name="_Toc9580"/>
      <w:bookmarkStart w:id="874" w:name="_Toc3537"/>
      <w:bookmarkStart w:id="875" w:name="_Toc15112"/>
      <w:bookmarkStart w:id="876" w:name="_Toc13346"/>
      <w:bookmarkStart w:id="877" w:name="_Toc470509907"/>
      <w:r>
        <w:rPr>
          <w:rFonts w:hint="eastAsia" w:ascii="宋体" w:hAnsi="宋体" w:eastAsia="宋体" w:cs="宋体"/>
          <w:color w:val="auto"/>
          <w:lang w:val="en-US" w:eastAsia="zh-CN"/>
        </w:rPr>
        <w:t>八</w:t>
      </w:r>
      <w:r>
        <w:rPr>
          <w:rFonts w:hint="eastAsia" w:ascii="宋体" w:hAnsi="宋体" w:eastAsia="宋体" w:cs="宋体"/>
          <w:color w:val="auto"/>
        </w:rPr>
        <w:t>、中小企业（监狱企业）声明函</w:t>
      </w:r>
    </w:p>
    <w:p>
      <w:pPr>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 xml:space="preserve">本公司郑重声明，根据《政府采购促进中小企业发展管理办法》（财库〔2020〕46 号）或《政府采购支持监狱企业发展有关问题的通知》（财库〔2014〕68号）的规定，本公司（联合体）参加 </w:t>
      </w:r>
      <w:r>
        <w:rPr>
          <w:rFonts w:hint="eastAsia" w:ascii="宋体" w:hAnsi="宋体" w:eastAsia="宋体" w:cs="宋体"/>
          <w:color w:val="auto"/>
          <w:sz w:val="24"/>
          <w:u w:val="single"/>
        </w:rPr>
        <w:t xml:space="preserve">（单位名称） </w:t>
      </w:r>
      <w:r>
        <w:rPr>
          <w:rFonts w:hint="eastAsia" w:ascii="宋体" w:hAnsi="宋体" w:eastAsia="宋体" w:cs="宋体"/>
          <w:color w:val="auto"/>
          <w:sz w:val="24"/>
        </w:rPr>
        <w:t xml:space="preserve">的 </w:t>
      </w:r>
      <w:r>
        <w:rPr>
          <w:rFonts w:hint="eastAsia" w:ascii="宋体" w:hAnsi="宋体" w:eastAsia="宋体" w:cs="宋体"/>
          <w:color w:val="auto"/>
          <w:sz w:val="24"/>
          <w:u w:val="single"/>
        </w:rPr>
        <w:t>（项目名称）  （包号：   ）</w:t>
      </w:r>
      <w:r>
        <w:rPr>
          <w:rFonts w:hint="eastAsia" w:ascii="宋体" w:hAnsi="宋体" w:eastAsia="宋体" w:cs="宋体"/>
          <w:color w:val="auto"/>
          <w:sz w:val="24"/>
        </w:rPr>
        <w:t>采购活动，服务全部由符合政策要求的中小企业（监狱企业）承接。相关企业（含联合体中的中小企业、签订分包意向协议的中小企业）的具体情况如下：</w:t>
      </w:r>
    </w:p>
    <w:p>
      <w:pPr>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 xml:space="preserve">1. </w:t>
      </w:r>
      <w:r>
        <w:rPr>
          <w:rFonts w:hint="eastAsia" w:ascii="宋体" w:hAnsi="宋体" w:eastAsia="宋体" w:cs="宋体"/>
          <w:color w:val="auto"/>
          <w:sz w:val="24"/>
          <w:u w:val="single"/>
        </w:rPr>
        <w:t xml:space="preserve">（标的名称） </w:t>
      </w:r>
      <w:r>
        <w:rPr>
          <w:rFonts w:hint="eastAsia" w:ascii="宋体" w:hAnsi="宋体" w:eastAsia="宋体" w:cs="宋体"/>
          <w:color w:val="auto"/>
          <w:sz w:val="24"/>
        </w:rPr>
        <w:t>，属于</w:t>
      </w:r>
      <w:r>
        <w:rPr>
          <w:rFonts w:hint="eastAsia" w:ascii="宋体" w:hAnsi="宋体" w:eastAsia="宋体" w:cs="宋体"/>
          <w:color w:val="auto"/>
          <w:sz w:val="24"/>
          <w:u w:val="single"/>
        </w:rPr>
        <w:t xml:space="preserve"> （采购文件中明确的所属行业） </w:t>
      </w:r>
      <w:r>
        <w:rPr>
          <w:rFonts w:hint="eastAsia" w:ascii="宋体" w:hAnsi="宋体" w:eastAsia="宋体" w:cs="宋体"/>
          <w:color w:val="auto"/>
          <w:sz w:val="24"/>
        </w:rPr>
        <w:t>；承建（承接）企业为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（中型企业、小型企业、微型企业、监狱企业） </w:t>
      </w:r>
      <w:r>
        <w:rPr>
          <w:rFonts w:hint="eastAsia" w:ascii="宋体" w:hAnsi="宋体" w:eastAsia="宋体" w:cs="宋体"/>
          <w:color w:val="auto"/>
          <w:sz w:val="24"/>
        </w:rPr>
        <w:t>；</w:t>
      </w:r>
    </w:p>
    <w:p>
      <w:pPr>
        <w:spacing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w:t>
      </w:r>
    </w:p>
    <w:p>
      <w:pPr>
        <w:spacing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以上企业，不属于大企业的分支机构，不存在控股股东为大企业的情形，也不存在与大企业的负责人为同一人的情形。</w:t>
      </w:r>
    </w:p>
    <w:p>
      <w:pPr>
        <w:spacing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本企业对上述声明内容的真实性负责。如有虚假，将依法承担相应责任。</w:t>
      </w:r>
    </w:p>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企业名称（盖章）：</w:t>
      </w:r>
    </w:p>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日 期：</w:t>
      </w:r>
    </w:p>
    <w:p>
      <w:pPr>
        <w:spacing w:line="360" w:lineRule="auto"/>
        <w:ind w:firstLine="480" w:firstLineChars="200"/>
        <w:jc w:val="left"/>
        <w:rPr>
          <w:rFonts w:hint="eastAsia" w:ascii="宋体" w:hAnsi="宋体" w:eastAsia="宋体" w:cs="宋体"/>
          <w:color w:val="auto"/>
          <w:sz w:val="24"/>
        </w:rPr>
      </w:pPr>
    </w:p>
    <w:p>
      <w:pPr>
        <w:spacing w:line="360" w:lineRule="auto"/>
        <w:rPr>
          <w:rFonts w:hint="eastAsia" w:ascii="宋体" w:hAnsi="宋体" w:eastAsia="宋体" w:cs="宋体"/>
          <w:color w:val="auto"/>
          <w:szCs w:val="21"/>
        </w:rPr>
      </w:pP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注：</w:t>
      </w:r>
    </w:p>
    <w:bookmarkEnd w:id="869"/>
    <w:bookmarkEnd w:id="870"/>
    <w:bookmarkEnd w:id="871"/>
    <w:bookmarkEnd w:id="872"/>
    <w:bookmarkEnd w:id="873"/>
    <w:bookmarkEnd w:id="874"/>
    <w:bookmarkEnd w:id="875"/>
    <w:p>
      <w:pPr>
        <w:spacing w:line="360" w:lineRule="auto"/>
        <w:rPr>
          <w:rFonts w:hint="eastAsia" w:ascii="宋体" w:hAnsi="宋体" w:eastAsia="宋体" w:cs="宋体"/>
          <w:color w:val="auto"/>
        </w:rPr>
      </w:pPr>
      <w:r>
        <w:rPr>
          <w:rFonts w:hint="eastAsia" w:ascii="宋体" w:hAnsi="宋体" w:eastAsia="宋体" w:cs="宋体"/>
          <w:color w:val="auto"/>
        </w:rPr>
        <w:t>1、投标人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spacing w:line="360" w:lineRule="auto"/>
        <w:rPr>
          <w:rFonts w:hint="eastAsia" w:ascii="宋体" w:hAnsi="宋体" w:eastAsia="宋体" w:cs="宋体"/>
          <w:color w:val="auto"/>
        </w:rPr>
      </w:pPr>
      <w:r>
        <w:rPr>
          <w:rFonts w:hint="eastAsia" w:ascii="宋体" w:hAnsi="宋体" w:eastAsia="宋体" w:cs="宋体"/>
          <w:color w:val="auto"/>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spacing w:line="360" w:lineRule="auto"/>
        <w:rPr>
          <w:rFonts w:hint="eastAsia" w:ascii="宋体" w:hAnsi="宋体" w:eastAsia="宋体" w:cs="宋体"/>
          <w:color w:val="auto"/>
        </w:rPr>
      </w:pPr>
      <w:r>
        <w:rPr>
          <w:rFonts w:hint="eastAsia" w:ascii="宋体" w:hAnsi="宋体" w:eastAsia="宋体" w:cs="宋体"/>
          <w:color w:val="auto"/>
        </w:rPr>
        <w:t>3、从业人员、营业收入、资产总额填报上一年度数据，无上一年度数据的新成立企业及监狱企业可不填报。</w:t>
      </w: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pStyle w:val="5"/>
        <w:jc w:val="center"/>
        <w:rPr>
          <w:rFonts w:hint="eastAsia" w:ascii="宋体" w:hAnsi="宋体" w:eastAsia="宋体" w:cs="宋体"/>
          <w:color w:val="auto"/>
        </w:rPr>
      </w:pPr>
      <w:bookmarkStart w:id="878" w:name="_Toc28563"/>
      <w:bookmarkStart w:id="879" w:name="_Toc8863"/>
      <w:bookmarkStart w:id="880" w:name="OLE_LINK14"/>
      <w:bookmarkStart w:id="881" w:name="_Toc9891"/>
      <w:bookmarkStart w:id="882" w:name="_Toc22371"/>
      <w:bookmarkStart w:id="883" w:name="_Toc8073"/>
      <w:bookmarkStart w:id="884" w:name="_Toc4359"/>
      <w:bookmarkStart w:id="885" w:name="OLE_LINK13"/>
      <w:bookmarkStart w:id="886" w:name="_Toc24295"/>
      <w:r>
        <w:rPr>
          <w:rFonts w:hint="eastAsia" w:ascii="宋体" w:hAnsi="宋体" w:eastAsia="宋体" w:cs="宋体"/>
          <w:color w:val="auto"/>
          <w:lang w:val="en-US" w:eastAsia="zh-CN"/>
        </w:rPr>
        <w:t>八、</w:t>
      </w:r>
      <w:r>
        <w:rPr>
          <w:rFonts w:hint="eastAsia" w:ascii="宋体" w:hAnsi="宋体" w:eastAsia="宋体" w:cs="宋体"/>
          <w:color w:val="auto"/>
        </w:rPr>
        <w:t>残疾人福利性单位声明函</w:t>
      </w:r>
      <w:bookmarkEnd w:id="878"/>
      <w:bookmarkEnd w:id="879"/>
      <w:bookmarkEnd w:id="880"/>
      <w:bookmarkEnd w:id="881"/>
      <w:bookmarkEnd w:id="882"/>
      <w:bookmarkEnd w:id="883"/>
      <w:bookmarkEnd w:id="884"/>
      <w:bookmarkEnd w:id="885"/>
      <w:bookmarkEnd w:id="886"/>
    </w:p>
    <w:p>
      <w:pPr>
        <w:spacing w:line="360" w:lineRule="auto"/>
        <w:ind w:firstLine="504" w:firstLineChars="200"/>
        <w:rPr>
          <w:rFonts w:hint="eastAsia" w:ascii="宋体" w:hAnsi="宋体" w:eastAsia="宋体" w:cs="宋体"/>
          <w:color w:val="auto"/>
          <w:spacing w:val="6"/>
          <w:sz w:val="24"/>
        </w:rPr>
      </w:pPr>
      <w:r>
        <w:rPr>
          <w:rFonts w:hint="eastAsia" w:ascii="宋体" w:hAnsi="宋体" w:eastAsia="宋体" w:cs="宋体"/>
          <w:color w:val="auto"/>
          <w:spacing w:val="6"/>
          <w:sz w:val="24"/>
        </w:rPr>
        <w:t>本单位郑重声明，根据《财政部 民政部 中国残疾人联合会关于促进残疾人就业政府采购政策的通知》（财库</w:t>
      </w:r>
      <w:r>
        <w:rPr>
          <w:rFonts w:hint="eastAsia" w:ascii="宋体" w:hAnsi="宋体" w:eastAsia="宋体" w:cs="宋体"/>
          <w:color w:val="auto"/>
          <w:sz w:val="24"/>
        </w:rPr>
        <w:t>〔2017〕141</w:t>
      </w:r>
      <w:r>
        <w:rPr>
          <w:rFonts w:hint="eastAsia" w:ascii="宋体" w:hAnsi="宋体" w:eastAsia="宋体" w:cs="宋体"/>
          <w:color w:val="auto"/>
          <w:spacing w:val="6"/>
          <w:sz w:val="24"/>
        </w:rPr>
        <w:t>号）的规定，本单位为符合条件的残疾人福利性单位，且本单位参加</w:t>
      </w:r>
      <w:r>
        <w:rPr>
          <w:rFonts w:hint="eastAsia" w:ascii="宋体" w:hAnsi="宋体" w:eastAsia="宋体" w:cs="宋体"/>
          <w:color w:val="auto"/>
          <w:spacing w:val="6"/>
          <w:sz w:val="24"/>
          <w:u w:val="single"/>
        </w:rPr>
        <w:t xml:space="preserve">     </w:t>
      </w:r>
      <w:r>
        <w:rPr>
          <w:rFonts w:hint="eastAsia" w:ascii="宋体" w:hAnsi="宋体" w:eastAsia="宋体" w:cs="宋体"/>
          <w:color w:val="auto"/>
          <w:spacing w:val="6"/>
          <w:sz w:val="24"/>
        </w:rPr>
        <w:t>单位的</w:t>
      </w:r>
      <w:r>
        <w:rPr>
          <w:rFonts w:hint="eastAsia" w:ascii="宋体" w:hAnsi="宋体" w:eastAsia="宋体" w:cs="宋体"/>
          <w:color w:val="auto"/>
          <w:spacing w:val="6"/>
          <w:sz w:val="24"/>
          <w:u w:val="single"/>
        </w:rPr>
        <w:t xml:space="preserve">     </w:t>
      </w:r>
      <w:r>
        <w:rPr>
          <w:rFonts w:hint="eastAsia" w:ascii="宋体" w:hAnsi="宋体" w:eastAsia="宋体" w:cs="宋体"/>
          <w:color w:val="auto"/>
          <w:spacing w:val="6"/>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int="eastAsia" w:ascii="宋体" w:hAnsi="宋体" w:eastAsia="宋体" w:cs="宋体"/>
          <w:color w:val="auto"/>
          <w:spacing w:val="6"/>
          <w:sz w:val="24"/>
        </w:rPr>
      </w:pPr>
      <w:r>
        <w:rPr>
          <w:rFonts w:hint="eastAsia" w:ascii="宋体" w:hAnsi="宋体" w:eastAsia="宋体" w:cs="宋体"/>
          <w:color w:val="auto"/>
          <w:spacing w:val="6"/>
          <w:sz w:val="24"/>
        </w:rPr>
        <w:t>本单位对上述声明的真实性负责。如有虚假，将依法承担相应责任。</w:t>
      </w:r>
    </w:p>
    <w:p>
      <w:pPr>
        <w:spacing w:line="360" w:lineRule="auto"/>
        <w:ind w:firstLine="504" w:firstLineChars="200"/>
        <w:rPr>
          <w:rFonts w:hint="eastAsia" w:ascii="宋体" w:hAnsi="宋体" w:eastAsia="宋体" w:cs="宋体"/>
          <w:color w:val="auto"/>
          <w:spacing w:val="6"/>
          <w:sz w:val="24"/>
        </w:rPr>
      </w:pPr>
    </w:p>
    <w:p>
      <w:pPr>
        <w:spacing w:line="360" w:lineRule="auto"/>
        <w:ind w:firstLine="504" w:firstLineChars="200"/>
        <w:rPr>
          <w:rFonts w:hint="eastAsia" w:ascii="宋体" w:hAnsi="宋体" w:eastAsia="宋体" w:cs="宋体"/>
          <w:color w:val="auto"/>
          <w:spacing w:val="6"/>
          <w:sz w:val="24"/>
        </w:rPr>
      </w:pPr>
    </w:p>
    <w:p>
      <w:pPr>
        <w:spacing w:line="360" w:lineRule="auto"/>
        <w:ind w:firstLine="504" w:firstLineChars="200"/>
        <w:rPr>
          <w:rFonts w:hint="eastAsia" w:ascii="宋体" w:hAnsi="宋体" w:eastAsia="宋体" w:cs="宋体"/>
          <w:color w:val="auto"/>
          <w:spacing w:val="6"/>
          <w:sz w:val="24"/>
        </w:rPr>
      </w:pPr>
      <w:r>
        <w:rPr>
          <w:rFonts w:hint="eastAsia" w:ascii="宋体" w:hAnsi="宋体" w:eastAsia="宋体" w:cs="宋体"/>
          <w:color w:val="auto"/>
          <w:spacing w:val="6"/>
          <w:sz w:val="24"/>
        </w:rPr>
        <w:t xml:space="preserve">               单位名称（盖章）：</w:t>
      </w:r>
    </w:p>
    <w:p>
      <w:pPr>
        <w:spacing w:line="360" w:lineRule="auto"/>
        <w:ind w:firstLine="504" w:firstLineChars="200"/>
        <w:rPr>
          <w:rFonts w:hint="eastAsia" w:ascii="宋体" w:hAnsi="宋体" w:eastAsia="宋体" w:cs="宋体"/>
          <w:color w:val="auto"/>
          <w:sz w:val="24"/>
        </w:rPr>
      </w:pPr>
      <w:r>
        <w:rPr>
          <w:rFonts w:hint="eastAsia" w:ascii="宋体" w:hAnsi="宋体" w:eastAsia="宋体" w:cs="宋体"/>
          <w:color w:val="auto"/>
          <w:spacing w:val="6"/>
          <w:sz w:val="24"/>
        </w:rPr>
        <w:t xml:space="preserve">               日  期：</w:t>
      </w:r>
    </w:p>
    <w:p>
      <w:pPr>
        <w:spacing w:line="360" w:lineRule="auto"/>
        <w:ind w:firstLine="482" w:firstLineChars="200"/>
        <w:rPr>
          <w:rFonts w:hint="eastAsia" w:ascii="宋体" w:hAnsi="宋体" w:eastAsia="宋体" w:cs="宋体"/>
          <w:b/>
          <w:color w:val="auto"/>
          <w:sz w:val="24"/>
        </w:rPr>
      </w:pPr>
    </w:p>
    <w:p>
      <w:pPr>
        <w:spacing w:line="360" w:lineRule="auto"/>
        <w:ind w:firstLine="444" w:firstLineChars="200"/>
        <w:rPr>
          <w:rFonts w:hint="eastAsia" w:ascii="宋体" w:hAnsi="宋体" w:eastAsia="宋体" w:cs="宋体"/>
          <w:color w:val="auto"/>
          <w:spacing w:val="6"/>
          <w:szCs w:val="21"/>
        </w:rPr>
        <w:sectPr>
          <w:footerReference r:id="rId9" w:type="default"/>
          <w:pgSz w:w="11906" w:h="16838"/>
          <w:pgMar w:top="1417" w:right="1474" w:bottom="1134" w:left="1587"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color w:val="auto"/>
          <w:spacing w:val="6"/>
          <w:szCs w:val="21"/>
        </w:rPr>
        <w:t>(注：投标人属于残疾人福利性单位则提供，不属于残疾人福利性单位不需要提供）</w:t>
      </w:r>
    </w:p>
    <w:p>
      <w:pPr>
        <w:pStyle w:val="5"/>
        <w:jc w:val="center"/>
        <w:rPr>
          <w:rFonts w:hint="eastAsia" w:ascii="宋体" w:hAnsi="宋体" w:eastAsia="宋体" w:cs="宋体"/>
          <w:color w:val="auto"/>
          <w:lang w:val="en-US" w:eastAsia="zh-CN"/>
        </w:rPr>
      </w:pPr>
      <w:bookmarkStart w:id="887" w:name="_Toc20424"/>
      <w:bookmarkStart w:id="888" w:name="_Toc13497"/>
      <w:bookmarkStart w:id="889" w:name="_Toc15310"/>
      <w:bookmarkStart w:id="890" w:name="_Toc1478"/>
      <w:bookmarkStart w:id="891" w:name="_Toc31577"/>
      <w:r>
        <w:rPr>
          <w:rFonts w:hint="eastAsia" w:ascii="宋体" w:hAnsi="宋体" w:eastAsia="宋体" w:cs="宋体"/>
          <w:color w:val="auto"/>
          <w:lang w:val="en-US" w:eastAsia="zh-CN"/>
        </w:rPr>
        <w:t>九、承诺函（实质性要求）</w:t>
      </w:r>
    </w:p>
    <w:p>
      <w:pPr>
        <w:spacing w:line="408" w:lineRule="auto"/>
        <w:rPr>
          <w:rFonts w:hint="eastAsia" w:ascii="宋体" w:hAnsi="宋体" w:eastAsia="宋体" w:cs="宋体"/>
          <w:color w:val="auto"/>
          <w:sz w:val="24"/>
        </w:rPr>
      </w:pPr>
      <w:r>
        <w:rPr>
          <w:rFonts w:hint="eastAsia" w:ascii="宋体" w:hAnsi="宋体" w:eastAsia="宋体" w:cs="宋体"/>
          <w:color w:val="auto"/>
          <w:sz w:val="24"/>
        </w:rPr>
        <w:t>XXXX（采购代理机构名称）：</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我方作为本次采购项目的投标人，根据招标文件要求，现郑重承诺如下：</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、我方已认真阅读并接受本项目招标文件第二章的全部实质性要求，如对招标文件有异议，已依法进行维权救济，不存在对招标文件有异议的同时又参加投标以求侥幸中标或者为实现其他非法目的的行为。</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我方完全同意招标文件第二章关于“投标费用”、“投标文件的语言”、“计量单位”、“投标货币”、“合同分包”、“合同转包”、“履约保证金”等的实质性要求，并承诺严格按照招标文件要求履行。</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、参加本次招标采购活动，不存在与单位负责人为同一人或者存在直接控股、管理关系的其他供应商参与同一合同项下的政府采购活动的行为。</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3</w:t>
      </w:r>
      <w:r>
        <w:rPr>
          <w:rFonts w:hint="eastAsia" w:ascii="宋体" w:hAnsi="宋体" w:eastAsia="宋体" w:cs="宋体"/>
          <w:color w:val="auto"/>
          <w:sz w:val="24"/>
        </w:rPr>
        <w:t>、为采购项目提供整体设计、规范编制或者项目管理、监理、检测等服务的供应商，不得再参加该采购项目的其他采购活动，我方承诺不属于此类禁止参加本项目的供应商。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w:t>
      </w:r>
      <w:r>
        <w:rPr>
          <w:rFonts w:hint="eastAsia" w:ascii="宋体" w:hAnsi="宋体" w:eastAsia="宋体" w:cs="宋体"/>
          <w:color w:val="auto"/>
          <w:sz w:val="24"/>
        </w:rPr>
        <w:t>、参加本次招标采购活动，不存在和其他供应商在同一合同项下的采购项目中，同时委托同一个自然人、同一家庭的人员、同一单位的人员作为代理人的行为。</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、投标文件中提供的能够给予我方带来优惠、好处的任何材料资料和技术、服务、商务、响应产品等响应承诺情况都是真实的、有效的、合法的。</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7</w:t>
      </w:r>
      <w:r>
        <w:rPr>
          <w:rFonts w:hint="eastAsia" w:ascii="宋体" w:hAnsi="宋体" w:eastAsia="宋体" w:cs="宋体"/>
          <w:color w:val="auto"/>
          <w:sz w:val="24"/>
        </w:rPr>
        <w:t>、国家或行业主管部门对采购产品的技术标准、质量标准和资格资质条件等有强制性规定的，我方承诺符合其要求。</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8</w:t>
      </w:r>
      <w:r>
        <w:rPr>
          <w:rFonts w:hint="eastAsia" w:ascii="宋体" w:hAnsi="宋体" w:eastAsia="宋体" w:cs="宋体"/>
          <w:color w:val="auto"/>
          <w:sz w:val="24"/>
        </w:rPr>
        <w:t>、在本次投标之前一周年内，投标人本次投标中对同一品牌同一型号相同配置的产品报价与其在中国境内其他地方的最低报价比例不得高于20%，我方承诺符合该要求。</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9</w:t>
      </w:r>
      <w:r>
        <w:rPr>
          <w:rFonts w:hint="eastAsia" w:ascii="宋体" w:hAnsi="宋体" w:eastAsia="宋体" w:cs="宋体"/>
          <w:color w:val="auto"/>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pStyle w:val="2"/>
        <w:rPr>
          <w:rFonts w:hint="eastAsia" w:ascii="宋体" w:hAnsi="宋体" w:eastAsia="宋体" w:cs="宋体"/>
          <w:color w:val="auto"/>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我方对上述承诺的内容事项真实性负责。如经查实上述承诺的内容事项存在虚假，我方愿意接受以提供虚假材料谋取中标追究法律责任。</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投标人名称：XXXX（单位公章）</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法定代表人</w:t>
      </w:r>
      <w:r>
        <w:rPr>
          <w:rFonts w:hint="eastAsia" w:ascii="宋体" w:hAnsi="宋体" w:eastAsia="宋体" w:cs="宋体"/>
          <w:bCs/>
          <w:color w:val="auto"/>
          <w:sz w:val="24"/>
        </w:rPr>
        <w:t>（</w:t>
      </w:r>
      <w:r>
        <w:rPr>
          <w:rFonts w:hint="eastAsia" w:ascii="宋体" w:hAnsi="宋体" w:eastAsia="宋体" w:cs="宋体"/>
          <w:color w:val="auto"/>
          <w:sz w:val="24"/>
        </w:rPr>
        <w:t>主要负责人</w:t>
      </w:r>
      <w:r>
        <w:rPr>
          <w:rFonts w:hint="eastAsia" w:ascii="宋体" w:hAnsi="宋体" w:eastAsia="宋体" w:cs="宋体"/>
          <w:bCs/>
          <w:color w:val="auto"/>
          <w:sz w:val="24"/>
        </w:rPr>
        <w:t>）</w:t>
      </w:r>
      <w:r>
        <w:rPr>
          <w:rFonts w:hint="eastAsia" w:ascii="宋体" w:hAnsi="宋体" w:eastAsia="宋体" w:cs="宋体"/>
          <w:color w:val="auto"/>
          <w:sz w:val="24"/>
        </w:rPr>
        <w:t>或授权代表（签字或加盖个人名章）：XXXX</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日    期：XXXX年XX月XX日</w:t>
      </w:r>
    </w:p>
    <w:p>
      <w:pPr>
        <w:spacing w:line="360" w:lineRule="auto"/>
        <w:rPr>
          <w:rFonts w:hint="eastAsia" w:ascii="宋体" w:hAnsi="宋体" w:eastAsia="宋体" w:cs="宋体"/>
          <w:b/>
          <w:color w:val="auto"/>
          <w:sz w:val="44"/>
          <w:szCs w:val="44"/>
        </w:rPr>
      </w:pPr>
      <w:r>
        <w:rPr>
          <w:rFonts w:hint="eastAsia" w:ascii="宋体" w:hAnsi="宋体" w:eastAsia="宋体" w:cs="宋体"/>
          <w:b/>
          <w:color w:val="auto"/>
          <w:sz w:val="44"/>
          <w:szCs w:val="44"/>
        </w:rPr>
        <w:t xml:space="preserve">   </w:t>
      </w:r>
    </w:p>
    <w:p>
      <w:pPr>
        <w:pStyle w:val="5"/>
        <w:jc w:val="center"/>
        <w:rPr>
          <w:rFonts w:hint="eastAsia" w:ascii="宋体" w:hAnsi="宋体" w:eastAsia="宋体" w:cs="宋体"/>
          <w:color w:val="auto"/>
          <w:sz w:val="28"/>
          <w:szCs w:val="28"/>
        </w:rPr>
      </w:pPr>
      <w:r>
        <w:rPr>
          <w:rFonts w:hint="eastAsia" w:ascii="宋体" w:hAnsi="宋体" w:eastAsia="宋体" w:cs="宋体"/>
          <w:color w:val="auto"/>
          <w:lang w:val="en-US" w:eastAsia="zh-CN"/>
        </w:rPr>
        <w:br w:type="page"/>
      </w:r>
      <w:r>
        <w:rPr>
          <w:rFonts w:hint="eastAsia" w:ascii="宋体" w:hAnsi="宋体" w:eastAsia="宋体" w:cs="宋体"/>
          <w:color w:val="auto"/>
          <w:lang w:val="en-US" w:eastAsia="zh-CN"/>
        </w:rPr>
        <w:t>十、</w:t>
      </w:r>
      <w:bookmarkEnd w:id="887"/>
      <w:bookmarkEnd w:id="888"/>
      <w:bookmarkEnd w:id="889"/>
      <w:bookmarkEnd w:id="890"/>
      <w:bookmarkEnd w:id="891"/>
      <w:r>
        <w:rPr>
          <w:rFonts w:hint="eastAsia" w:ascii="宋体" w:hAnsi="宋体" w:eastAsia="宋体" w:cs="宋体"/>
          <w:color w:val="auto"/>
          <w:lang w:val="en-US" w:eastAsia="zh-CN"/>
        </w:rPr>
        <w:t>项目实施方案</w:t>
      </w:r>
    </w:p>
    <w:p>
      <w:pPr>
        <w:spacing w:line="36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投标人应根据本招标文件，充分理解本项目各项要求，全面详细地制定科学、合理、可行的</w:t>
      </w:r>
      <w:r>
        <w:rPr>
          <w:rFonts w:hint="eastAsia" w:ascii="宋体" w:hAnsi="宋体" w:eastAsia="宋体" w:cs="宋体"/>
          <w:color w:val="auto"/>
          <w:sz w:val="24"/>
          <w:lang w:val="en-US" w:eastAsia="zh-CN"/>
        </w:rPr>
        <w:t>项目实施方案</w:t>
      </w:r>
      <w:r>
        <w:rPr>
          <w:rFonts w:hint="eastAsia" w:ascii="宋体" w:hAnsi="宋体" w:eastAsia="宋体" w:cs="宋体"/>
          <w:color w:val="auto"/>
          <w:spacing w:val="6"/>
          <w:sz w:val="24"/>
        </w:rPr>
        <w:t>（格式自拟）</w:t>
      </w:r>
      <w:r>
        <w:rPr>
          <w:rFonts w:hint="eastAsia" w:ascii="宋体" w:hAnsi="宋体" w:eastAsia="宋体" w:cs="宋体"/>
          <w:color w:val="auto"/>
          <w:sz w:val="24"/>
        </w:rPr>
        <w:t>，组织项目实施。</w:t>
      </w:r>
    </w:p>
    <w:p>
      <w:pPr>
        <w:pStyle w:val="5"/>
        <w:jc w:val="center"/>
        <w:rPr>
          <w:rFonts w:hint="eastAsia" w:ascii="宋体" w:hAnsi="宋体" w:eastAsia="宋体" w:cs="宋体"/>
          <w:bCs w:val="0"/>
          <w:color w:val="auto"/>
          <w:sz w:val="28"/>
          <w:szCs w:val="28"/>
        </w:rPr>
      </w:pPr>
      <w:r>
        <w:rPr>
          <w:rFonts w:hint="eastAsia" w:ascii="宋体" w:hAnsi="宋体" w:eastAsia="宋体" w:cs="宋体"/>
          <w:color w:val="auto"/>
        </w:rPr>
        <w:br w:type="page"/>
      </w:r>
      <w:r>
        <w:rPr>
          <w:rFonts w:hint="eastAsia" w:ascii="宋体" w:hAnsi="宋体" w:eastAsia="宋体" w:cs="宋体"/>
          <w:bCs w:val="0"/>
          <w:color w:val="auto"/>
          <w:sz w:val="28"/>
          <w:szCs w:val="28"/>
        </w:rPr>
        <w:t>十</w:t>
      </w:r>
      <w:r>
        <w:rPr>
          <w:rFonts w:hint="eastAsia" w:ascii="宋体" w:hAnsi="宋体" w:eastAsia="宋体" w:cs="宋体"/>
          <w:bCs w:val="0"/>
          <w:color w:val="auto"/>
          <w:sz w:val="28"/>
          <w:szCs w:val="28"/>
          <w:lang w:val="en-US" w:eastAsia="zh-CN"/>
        </w:rPr>
        <w:t>二</w:t>
      </w:r>
      <w:r>
        <w:rPr>
          <w:rFonts w:hint="eastAsia" w:ascii="宋体" w:hAnsi="宋体" w:eastAsia="宋体" w:cs="宋体"/>
          <w:bCs w:val="0"/>
          <w:color w:val="auto"/>
          <w:sz w:val="28"/>
          <w:szCs w:val="28"/>
        </w:rPr>
        <w:t>、投标人认为需要提供的其他材料</w:t>
      </w:r>
    </w:p>
    <w:p>
      <w:pPr>
        <w:spacing w:line="360" w:lineRule="auto"/>
        <w:jc w:val="left"/>
        <w:rPr>
          <w:rFonts w:hint="eastAsia" w:ascii="宋体" w:hAnsi="宋体" w:eastAsia="宋体" w:cs="宋体"/>
          <w:b/>
          <w:color w:val="auto"/>
          <w:sz w:val="24"/>
          <w:szCs w:val="32"/>
        </w:rPr>
        <w:sectPr>
          <w:pgSz w:w="11906" w:h="16838"/>
          <w:pgMar w:top="1417" w:right="1474" w:bottom="1134" w:left="1587"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color w:val="auto"/>
          <w:sz w:val="24"/>
        </w:rPr>
        <w:t>投标人认为需要提供的其他资料，格式不作要求，认为不提供的可以空白或填写“无”。</w:t>
      </w:r>
    </w:p>
    <w:p>
      <w:pPr>
        <w:pStyle w:val="3"/>
        <w:spacing w:before="160" w:after="160" w:line="360" w:lineRule="auto"/>
        <w:jc w:val="center"/>
        <w:rPr>
          <w:rFonts w:hint="eastAsia" w:ascii="宋体" w:hAnsi="宋体" w:eastAsia="宋体" w:cs="宋体"/>
          <w:color w:val="auto"/>
          <w:sz w:val="32"/>
          <w:szCs w:val="32"/>
        </w:rPr>
      </w:pPr>
      <w:bookmarkStart w:id="892" w:name="_Toc18318"/>
      <w:bookmarkStart w:id="893" w:name="_Toc25806"/>
      <w:bookmarkStart w:id="894" w:name="_Toc18156"/>
      <w:bookmarkStart w:id="895" w:name="_Toc32341"/>
      <w:bookmarkStart w:id="896" w:name="_Toc21676"/>
      <w:bookmarkStart w:id="897" w:name="_Toc16591"/>
      <w:bookmarkStart w:id="898" w:name="_Toc12027"/>
      <w:bookmarkStart w:id="899" w:name="_Toc23275"/>
      <w:r>
        <w:rPr>
          <w:rFonts w:hint="eastAsia" w:ascii="宋体" w:hAnsi="宋体" w:eastAsia="宋体" w:cs="宋体"/>
          <w:color w:val="auto"/>
          <w:sz w:val="32"/>
          <w:szCs w:val="32"/>
        </w:rPr>
        <w:t>第四章  投标人的资格、资质性及其他类似</w:t>
      </w:r>
      <w:bookmarkEnd w:id="876"/>
      <w:bookmarkStart w:id="900" w:name="_Toc16253"/>
      <w:r>
        <w:rPr>
          <w:rFonts w:hint="eastAsia" w:ascii="宋体" w:hAnsi="宋体" w:eastAsia="宋体" w:cs="宋体"/>
          <w:color w:val="auto"/>
          <w:sz w:val="32"/>
          <w:szCs w:val="32"/>
        </w:rPr>
        <w:t>效力要求</w:t>
      </w:r>
      <w:bookmarkEnd w:id="877"/>
      <w:bookmarkEnd w:id="892"/>
      <w:bookmarkEnd w:id="893"/>
      <w:bookmarkEnd w:id="894"/>
      <w:bookmarkEnd w:id="895"/>
      <w:bookmarkEnd w:id="896"/>
      <w:bookmarkEnd w:id="897"/>
      <w:bookmarkEnd w:id="898"/>
      <w:bookmarkEnd w:id="899"/>
      <w:bookmarkEnd w:id="900"/>
    </w:p>
    <w:p>
      <w:pPr>
        <w:spacing w:before="120" w:beforeLines="50" w:after="120" w:afterLines="50" w:line="360" w:lineRule="auto"/>
        <w:rPr>
          <w:rFonts w:hint="eastAsia" w:ascii="宋体" w:hAnsi="宋体" w:eastAsia="宋体" w:cs="宋体"/>
          <w:b/>
          <w:bCs/>
          <w:color w:val="auto"/>
          <w:sz w:val="24"/>
          <w:szCs w:val="32"/>
        </w:rPr>
      </w:pPr>
      <w:bookmarkStart w:id="901" w:name="_Toc22028"/>
      <w:bookmarkStart w:id="902" w:name="_Toc24458"/>
      <w:bookmarkStart w:id="903" w:name="_Toc4463"/>
      <w:bookmarkStart w:id="904" w:name="_Toc14676"/>
      <w:bookmarkStart w:id="905" w:name="_Toc1281"/>
      <w:bookmarkStart w:id="906" w:name="_Toc8279"/>
      <w:r>
        <w:rPr>
          <w:rFonts w:hint="eastAsia" w:ascii="宋体" w:hAnsi="宋体" w:eastAsia="宋体" w:cs="宋体"/>
          <w:b/>
          <w:bCs/>
          <w:color w:val="auto"/>
          <w:sz w:val="24"/>
          <w:szCs w:val="32"/>
        </w:rPr>
        <w:t>一、投标人资格、资质性及其他类似效力要求</w:t>
      </w:r>
      <w:bookmarkEnd w:id="901"/>
      <w:bookmarkEnd w:id="902"/>
      <w:bookmarkEnd w:id="903"/>
      <w:bookmarkEnd w:id="904"/>
      <w:bookmarkEnd w:id="905"/>
      <w:bookmarkEnd w:id="906"/>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1、满足《中华人民共和国政府采购法》第二十二条规定：</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（1）具有独立承担民事责任的能力；</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（2）具有良好的商业信誉和健全的财务会计制度；</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（3）具有履行合同所必需的设备和专业技术能力；</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（4）具有依法缴纳税收和社会保障资金的良好记录；</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（5）参加本次政府采购活动前三年内，在经营活动中没有重大违法记录；</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（6）法律、行政法规规定的其他条件：</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投标人及其现任法定代表人（主要负责人）在参加本项目政府采购活动前三年无行贿犯罪记录；</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投标人须提供“截至投标截止日未被列入失信被执行人、重大税收违法案件当事人名单、政府采购严重违法失信行为记录名单的承诺函”</w:t>
      </w:r>
      <w:r>
        <w:rPr>
          <w:rFonts w:hint="eastAsia" w:ascii="宋体" w:hAnsi="宋体" w:eastAsia="宋体" w:cs="宋体"/>
          <w:color w:val="auto"/>
          <w:sz w:val="24"/>
          <w:szCs w:val="32"/>
        </w:rPr>
        <w:t>。</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注：招标人或招标代理机构将于本项目投标截止日在‘信用中国’网站、‘中国政府采购网’网站等渠道对投标人进行信用记录查询，并将查询记录存档。凡被列入失信被执行人、重大税收违法案件当事人名单、政府采购严重违法失信行为记录名单的，视为存在不良信用记录，参与本项目的将被拒绝。</w:t>
      </w:r>
    </w:p>
    <w:p>
      <w:pPr>
        <w:spacing w:before="120" w:beforeLines="50" w:after="120" w:afterLines="50" w:line="360" w:lineRule="auto"/>
        <w:rPr>
          <w:rFonts w:hint="eastAsia" w:ascii="宋体" w:hAnsi="宋体" w:eastAsia="宋体" w:cs="宋体"/>
          <w:b/>
          <w:bCs/>
          <w:color w:val="auto"/>
          <w:sz w:val="24"/>
          <w:szCs w:val="32"/>
        </w:rPr>
      </w:pPr>
      <w:r>
        <w:rPr>
          <w:rFonts w:hint="eastAsia" w:ascii="宋体" w:hAnsi="宋体" w:eastAsia="宋体" w:cs="宋体"/>
          <w:b/>
          <w:bCs/>
          <w:color w:val="auto"/>
          <w:sz w:val="24"/>
          <w:szCs w:val="32"/>
        </w:rPr>
        <w:t>二、本项目的特定资格要求：</w:t>
      </w:r>
    </w:p>
    <w:p>
      <w:pPr>
        <w:pStyle w:val="153"/>
        <w:ind w:firstLine="480"/>
        <w:rPr>
          <w:rFonts w:hint="eastAsia" w:ascii="宋体" w:hAnsi="宋体" w:eastAsia="宋体" w:cs="宋体"/>
          <w:color w:val="auto"/>
          <w:sz w:val="24"/>
        </w:rPr>
      </w:pPr>
      <w:r>
        <w:rPr>
          <w:rFonts w:hint="eastAsia" w:ascii="宋体" w:hAnsi="宋体" w:eastAsia="宋体" w:cs="宋体"/>
          <w:color w:val="auto"/>
          <w:sz w:val="24"/>
        </w:rPr>
        <w:t>（1）01包：①供应商具有行政主管部门颁发的有效的市政行业(道路工程)专业工程设计乙级及以上资质证书；②企业注册地不在四川省行政区域内的省外企业须提供在有效期内的《四川省入川从事勘察设计活动验证登记证》或《四川省省外建筑企业入川承揽业务验证登记证》或带二维码的《四川省省外施工、监理企业入川承揽业务信息录入证》。</w:t>
      </w:r>
    </w:p>
    <w:p>
      <w:pPr>
        <w:pStyle w:val="153"/>
        <w:ind w:firstLine="480"/>
        <w:rPr>
          <w:rFonts w:hint="eastAsia" w:ascii="宋体" w:hAnsi="宋体" w:eastAsia="宋体" w:cs="宋体"/>
          <w:color w:val="auto"/>
          <w:sz w:val="24"/>
        </w:rPr>
      </w:pPr>
      <w:r>
        <w:rPr>
          <w:rFonts w:hint="eastAsia" w:ascii="宋体" w:hAnsi="宋体" w:eastAsia="宋体" w:cs="宋体"/>
          <w:color w:val="auto"/>
          <w:sz w:val="24"/>
        </w:rPr>
        <w:t>（2）02包：①</w:t>
      </w:r>
      <w:r>
        <w:rPr>
          <w:rFonts w:hint="eastAsia" w:ascii="宋体" w:hAnsi="宋体" w:eastAsia="宋体" w:cs="宋体"/>
          <w:color w:val="auto"/>
          <w:sz w:val="24"/>
          <w:highlight w:val="none"/>
        </w:rPr>
        <w:t>具有国家建设行政主管部门颁发的监理乙级及以上资质，须包含市政公用工程专业</w:t>
      </w:r>
      <w:r>
        <w:rPr>
          <w:rFonts w:hint="eastAsia" w:ascii="宋体" w:hAnsi="宋体" w:eastAsia="宋体" w:cs="宋体"/>
          <w:color w:val="auto"/>
          <w:sz w:val="24"/>
        </w:rPr>
        <w:t>；②企业注册地不在四川省行政区域内的省外企业须提供在有效期内的《四川省入川从事勘察设计活动验证登记证》或《四川省省外建筑企业入川承揽业务验证登记证》或带二维码的《四川省省外施工、监理企业入川承揽业务信息录入证》。</w:t>
      </w:r>
    </w:p>
    <w:p>
      <w:pPr>
        <w:pStyle w:val="153"/>
        <w:ind w:firstLine="480"/>
        <w:rPr>
          <w:rFonts w:hint="eastAsia" w:ascii="宋体" w:hAnsi="宋体" w:eastAsia="宋体" w:cs="宋体"/>
          <w:color w:val="auto"/>
          <w:sz w:val="24"/>
          <w:lang w:val="zh-CN"/>
        </w:rPr>
      </w:pPr>
      <w:r>
        <w:rPr>
          <w:rFonts w:hint="eastAsia" w:ascii="宋体" w:hAnsi="宋体" w:eastAsia="宋体" w:cs="宋体"/>
          <w:color w:val="auto"/>
          <w:sz w:val="24"/>
        </w:rPr>
        <w:t>（3）03包：①投标人应具备有效的行政主管部门颁发的</w:t>
      </w:r>
      <w:r>
        <w:rPr>
          <w:rFonts w:hint="eastAsia" w:ascii="宋体" w:hAnsi="宋体" w:eastAsia="宋体" w:cs="宋体"/>
          <w:color w:val="auto"/>
          <w:sz w:val="24"/>
          <w:highlight w:val="none"/>
          <w:lang w:eastAsia="zh-CN"/>
        </w:rPr>
        <w:t>市政公用工程施工总承包二级及以上资质或公路交通工程专业承包（公路安全设施分项）二级及以上资质</w:t>
      </w:r>
      <w:r>
        <w:rPr>
          <w:rFonts w:hint="eastAsia" w:ascii="宋体" w:hAnsi="宋体" w:eastAsia="宋体" w:cs="宋体"/>
          <w:color w:val="auto"/>
          <w:sz w:val="24"/>
          <w:highlight w:val="none"/>
        </w:rPr>
        <w:t>；②</w:t>
      </w:r>
      <w:r>
        <w:rPr>
          <w:rFonts w:hint="eastAsia" w:ascii="宋体" w:hAnsi="宋体" w:eastAsia="宋体" w:cs="宋体"/>
          <w:color w:val="auto"/>
          <w:sz w:val="24"/>
        </w:rPr>
        <w:t>具有有效的安全生产许可证；③企业注册地不在四川省行政区域内的省外企业须提供在有效期内的《四川省入川从事勘察设计活动验证登记证》或《四川省省外建筑企业入川承揽业务验证登记证》或带二维码的《四川省省外施工、监理企业入川承揽业务信息录入证》。</w:t>
      </w:r>
    </w:p>
    <w:p>
      <w:pPr>
        <w:spacing w:before="120" w:beforeLines="50" w:after="120" w:afterLines="50" w:line="360" w:lineRule="auto"/>
        <w:rPr>
          <w:rFonts w:hint="eastAsia" w:ascii="宋体" w:hAnsi="宋体" w:eastAsia="宋体" w:cs="宋体"/>
          <w:b/>
          <w:bCs/>
          <w:color w:val="auto"/>
          <w:sz w:val="24"/>
          <w:szCs w:val="32"/>
          <w:lang w:eastAsia="zh-CN"/>
        </w:rPr>
      </w:pPr>
      <w:r>
        <w:rPr>
          <w:rFonts w:hint="eastAsia" w:ascii="宋体" w:hAnsi="宋体" w:eastAsia="宋体" w:cs="宋体"/>
          <w:b/>
          <w:bCs/>
          <w:color w:val="auto"/>
          <w:sz w:val="24"/>
          <w:szCs w:val="32"/>
          <w:lang w:eastAsia="zh-CN"/>
        </w:rPr>
        <w:t>三、本项目不接受联合体投标。</w:t>
      </w:r>
    </w:p>
    <w:p>
      <w:pPr>
        <w:spacing w:before="120" w:beforeLines="50" w:after="120" w:afterLines="50" w:line="360" w:lineRule="auto"/>
        <w:rPr>
          <w:rFonts w:hint="eastAsia" w:ascii="宋体" w:hAnsi="宋体" w:eastAsia="宋体" w:cs="宋体"/>
          <w:b/>
          <w:color w:val="auto"/>
          <w:kern w:val="0"/>
          <w:sz w:val="24"/>
        </w:rPr>
      </w:pPr>
      <w:r>
        <w:rPr>
          <w:rFonts w:hint="eastAsia" w:ascii="宋体" w:hAnsi="宋体" w:eastAsia="宋体" w:cs="宋体"/>
          <w:b/>
          <w:bCs/>
          <w:color w:val="auto"/>
          <w:sz w:val="24"/>
          <w:szCs w:val="32"/>
          <w:lang w:eastAsia="zh-CN"/>
        </w:rPr>
        <w:t>四</w:t>
      </w:r>
      <w:r>
        <w:rPr>
          <w:rFonts w:hint="eastAsia" w:ascii="宋体" w:hAnsi="宋体" w:eastAsia="宋体" w:cs="宋体"/>
          <w:b/>
          <w:bCs/>
          <w:color w:val="auto"/>
          <w:sz w:val="24"/>
          <w:szCs w:val="32"/>
        </w:rPr>
        <w:t>、</w:t>
      </w:r>
      <w:r>
        <w:rPr>
          <w:rFonts w:hint="eastAsia" w:ascii="宋体" w:hAnsi="宋体" w:eastAsia="宋体" w:cs="宋体"/>
          <w:b/>
          <w:color w:val="auto"/>
          <w:sz w:val="24"/>
          <w:szCs w:val="32"/>
        </w:rPr>
        <w:t>投标人法定代表人授权参加本次采购活动的合法代表</w:t>
      </w:r>
      <w:r>
        <w:rPr>
          <w:rFonts w:hint="eastAsia" w:ascii="宋体" w:hAnsi="宋体" w:eastAsia="宋体" w:cs="宋体"/>
          <w:b/>
          <w:bCs/>
          <w:color w:val="auto"/>
          <w:sz w:val="24"/>
          <w:szCs w:val="32"/>
        </w:rPr>
        <w:t>。</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注 ：1、本项目确定投标人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spacing w:line="360" w:lineRule="auto"/>
        <w:ind w:firstLine="424" w:firstLineChars="176"/>
        <w:rPr>
          <w:rFonts w:hint="eastAsia" w:ascii="宋体" w:hAnsi="宋体" w:eastAsia="宋体" w:cs="宋体"/>
          <w:b/>
          <w:bCs/>
          <w:color w:val="auto"/>
          <w:sz w:val="24"/>
        </w:rPr>
        <w:sectPr>
          <w:footerReference r:id="rId10" w:type="default"/>
          <w:pgSz w:w="11906" w:h="16838"/>
          <w:pgMar w:top="1417" w:right="1474" w:bottom="1134" w:left="1587"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b/>
          <w:bCs/>
          <w:color w:val="auto"/>
          <w:sz w:val="24"/>
        </w:rPr>
        <w:t>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spacing w:before="160" w:after="160" w:line="360" w:lineRule="auto"/>
        <w:jc w:val="center"/>
        <w:rPr>
          <w:rFonts w:hint="eastAsia" w:ascii="宋体" w:hAnsi="宋体" w:eastAsia="宋体" w:cs="宋体"/>
          <w:color w:val="auto"/>
          <w:sz w:val="32"/>
          <w:szCs w:val="32"/>
        </w:rPr>
      </w:pPr>
      <w:bookmarkStart w:id="907" w:name="_Toc23018"/>
      <w:bookmarkStart w:id="908" w:name="_Toc16849"/>
      <w:bookmarkStart w:id="909" w:name="_Toc31444"/>
      <w:r>
        <w:rPr>
          <w:rFonts w:hint="eastAsia" w:ascii="宋体" w:hAnsi="宋体" w:eastAsia="宋体" w:cs="宋体"/>
          <w:color w:val="auto"/>
          <w:sz w:val="32"/>
          <w:szCs w:val="32"/>
        </w:rPr>
        <w:t>第五</w:t>
      </w:r>
      <w:bookmarkStart w:id="910" w:name="_Toc24341"/>
      <w:bookmarkStart w:id="911" w:name="_Toc19660"/>
      <w:bookmarkStart w:id="912" w:name="_Toc13596"/>
      <w:bookmarkStart w:id="913" w:name="_Toc5495"/>
      <w:bookmarkStart w:id="914" w:name="_Toc21345"/>
      <w:bookmarkStart w:id="915" w:name="_Toc20854"/>
      <w:bookmarkStart w:id="916" w:name="_Toc470509908"/>
      <w:r>
        <w:rPr>
          <w:rFonts w:hint="eastAsia" w:ascii="宋体" w:hAnsi="宋体" w:eastAsia="宋体" w:cs="宋体"/>
          <w:color w:val="auto"/>
          <w:sz w:val="32"/>
          <w:szCs w:val="32"/>
        </w:rPr>
        <w:t>章  投标人应当提供的资格、资质性及其他类似效力要求的</w:t>
      </w:r>
      <w:bookmarkEnd w:id="910"/>
      <w:bookmarkEnd w:id="911"/>
      <w:bookmarkEnd w:id="912"/>
      <w:bookmarkEnd w:id="913"/>
      <w:bookmarkEnd w:id="914"/>
      <w:bookmarkEnd w:id="915"/>
      <w:bookmarkStart w:id="917" w:name="_Toc28103"/>
      <w:bookmarkStart w:id="918" w:name="_Toc31009"/>
      <w:bookmarkStart w:id="919" w:name="_Toc21816"/>
      <w:bookmarkStart w:id="920" w:name="_Toc3615"/>
      <w:bookmarkStart w:id="921" w:name="_Toc25027"/>
      <w:bookmarkStart w:id="922" w:name="_Toc5891"/>
      <w:r>
        <w:rPr>
          <w:rFonts w:hint="eastAsia" w:ascii="宋体" w:hAnsi="宋体" w:eastAsia="宋体" w:cs="宋体"/>
          <w:color w:val="auto"/>
          <w:sz w:val="32"/>
          <w:szCs w:val="32"/>
        </w:rPr>
        <w:t>相关证明材料</w:t>
      </w:r>
      <w:bookmarkEnd w:id="907"/>
      <w:bookmarkEnd w:id="908"/>
      <w:bookmarkEnd w:id="909"/>
      <w:bookmarkEnd w:id="916"/>
      <w:bookmarkEnd w:id="917"/>
      <w:bookmarkEnd w:id="918"/>
      <w:bookmarkEnd w:id="919"/>
      <w:bookmarkEnd w:id="920"/>
      <w:bookmarkEnd w:id="921"/>
      <w:bookmarkEnd w:id="922"/>
    </w:p>
    <w:p>
      <w:pPr>
        <w:spacing w:before="120" w:beforeLines="50" w:after="120" w:afterLines="50" w:line="360" w:lineRule="auto"/>
        <w:rPr>
          <w:rFonts w:hint="eastAsia" w:ascii="宋体" w:hAnsi="宋体" w:eastAsia="宋体" w:cs="宋体"/>
          <w:b/>
          <w:bCs/>
          <w:color w:val="auto"/>
          <w:sz w:val="24"/>
          <w:szCs w:val="32"/>
        </w:rPr>
      </w:pPr>
      <w:bookmarkStart w:id="923" w:name="_Toc5133"/>
      <w:bookmarkStart w:id="924" w:name="_Toc106"/>
      <w:bookmarkStart w:id="925" w:name="_Toc18668"/>
      <w:bookmarkStart w:id="926" w:name="_Toc28777"/>
      <w:bookmarkStart w:id="927" w:name="_Toc17759"/>
      <w:bookmarkStart w:id="928" w:name="_Toc18870"/>
      <w:r>
        <w:rPr>
          <w:rFonts w:hint="eastAsia" w:ascii="宋体" w:hAnsi="宋体" w:eastAsia="宋体" w:cs="宋体"/>
          <w:b/>
          <w:bCs/>
          <w:color w:val="auto"/>
          <w:sz w:val="24"/>
          <w:szCs w:val="32"/>
        </w:rPr>
        <w:t>一、应当提供的投标人资格、资质性及其他类似效力要求的相关证明材料</w:t>
      </w:r>
      <w:bookmarkEnd w:id="923"/>
      <w:bookmarkEnd w:id="924"/>
      <w:bookmarkEnd w:id="925"/>
      <w:bookmarkEnd w:id="926"/>
      <w:bookmarkEnd w:id="927"/>
      <w:bookmarkEnd w:id="928"/>
    </w:p>
    <w:p>
      <w:pPr>
        <w:pStyle w:val="89"/>
        <w:spacing w:line="360" w:lineRule="auto"/>
        <w:ind w:firstLine="424" w:firstLineChars="177"/>
        <w:rPr>
          <w:rFonts w:hint="eastAsia" w:ascii="宋体" w:hAnsi="宋体" w:eastAsia="宋体" w:cs="宋体"/>
          <w:color w:val="auto"/>
        </w:rPr>
      </w:pPr>
      <w:r>
        <w:rPr>
          <w:rFonts w:hint="eastAsia" w:ascii="宋体" w:hAnsi="宋体" w:eastAsia="宋体" w:cs="宋体"/>
          <w:color w:val="auto"/>
        </w:rPr>
        <w:t>1．具有独立承担民事责任的能力：</w:t>
      </w:r>
    </w:p>
    <w:p>
      <w:pPr>
        <w:pStyle w:val="89"/>
        <w:spacing w:line="360" w:lineRule="auto"/>
        <w:ind w:firstLine="424" w:firstLineChars="177"/>
        <w:rPr>
          <w:rFonts w:hint="eastAsia" w:ascii="宋体" w:hAnsi="宋体" w:eastAsia="宋体" w:cs="宋体"/>
          <w:color w:val="auto"/>
        </w:rPr>
      </w:pPr>
      <w:r>
        <w:rPr>
          <w:rFonts w:hint="eastAsia" w:ascii="宋体" w:hAnsi="宋体" w:eastAsia="宋体" w:cs="宋体"/>
          <w:color w:val="auto"/>
        </w:rPr>
        <w:t>（1）投标人若为企业法人：提供“统一社会信用代码营业执照”；未换证的提供“营业执照、税务登记证、组织机构代码证”；</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（2）投标人若为事业法人：提供“统一社会信用代码法人登记证书”；未换证的提交“事业法人登记证书、组织机构代码证”；</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（3）投标人若为其他组织：提供“对应主管部门颁发的准许执业证明文件或营业执照”。</w:t>
      </w:r>
    </w:p>
    <w:p>
      <w:pPr>
        <w:pStyle w:val="89"/>
        <w:spacing w:line="360" w:lineRule="auto"/>
        <w:ind w:firstLine="482" w:firstLineChars="200"/>
        <w:rPr>
          <w:rFonts w:hint="eastAsia" w:ascii="宋体" w:hAnsi="宋体" w:eastAsia="宋体" w:cs="宋体"/>
          <w:color w:val="auto"/>
        </w:rPr>
      </w:pPr>
      <w:r>
        <w:rPr>
          <w:rFonts w:hint="eastAsia" w:ascii="宋体" w:hAnsi="宋体" w:eastAsia="宋体" w:cs="宋体"/>
          <w:b/>
          <w:bCs/>
          <w:color w:val="auto"/>
        </w:rPr>
        <w:t>注：以上证明材料（1）、（2）、（3）均为【复印件】</w:t>
      </w:r>
      <w:r>
        <w:rPr>
          <w:rFonts w:hint="eastAsia" w:ascii="宋体" w:hAnsi="宋体" w:eastAsia="宋体" w:cs="宋体"/>
          <w:color w:val="auto"/>
        </w:rPr>
        <w:t>。</w:t>
      </w:r>
    </w:p>
    <w:p>
      <w:pPr>
        <w:spacing w:line="36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2．具备良好商业信誉的证明材料：</w:t>
      </w:r>
    </w:p>
    <w:p>
      <w:pPr>
        <w:spacing w:line="36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提供承诺函</w:t>
      </w:r>
      <w:r>
        <w:rPr>
          <w:rFonts w:hint="eastAsia" w:ascii="宋体" w:hAnsi="宋体" w:eastAsia="宋体" w:cs="宋体"/>
          <w:b/>
          <w:color w:val="auto"/>
          <w:sz w:val="24"/>
        </w:rPr>
        <w:t>【格式详见第三章格式的内容】</w:t>
      </w:r>
      <w:r>
        <w:rPr>
          <w:rFonts w:hint="eastAsia" w:ascii="宋体" w:hAnsi="宋体" w:eastAsia="宋体" w:cs="宋体"/>
          <w:color w:val="auto"/>
          <w:sz w:val="24"/>
        </w:rPr>
        <w:t>。</w:t>
      </w:r>
    </w:p>
    <w:p>
      <w:pPr>
        <w:snapToGrid w:val="0"/>
        <w:spacing w:line="360" w:lineRule="auto"/>
        <w:ind w:firstLine="424" w:firstLineChars="177"/>
        <w:rPr>
          <w:rFonts w:hint="eastAsia" w:ascii="宋体" w:hAnsi="宋体" w:eastAsia="宋体" w:cs="宋体"/>
          <w:bCs/>
          <w:color w:val="auto"/>
          <w:sz w:val="24"/>
        </w:rPr>
      </w:pPr>
      <w:r>
        <w:rPr>
          <w:rFonts w:hint="eastAsia" w:ascii="宋体" w:hAnsi="宋体" w:eastAsia="宋体" w:cs="宋体"/>
          <w:bCs/>
          <w:color w:val="auto"/>
          <w:sz w:val="24"/>
        </w:rPr>
        <w:t>3</w:t>
      </w:r>
      <w:r>
        <w:rPr>
          <w:rFonts w:hint="eastAsia" w:ascii="宋体" w:hAnsi="宋体" w:eastAsia="宋体" w:cs="宋体"/>
          <w:color w:val="auto"/>
          <w:sz w:val="24"/>
        </w:rPr>
        <w:t>．</w:t>
      </w:r>
      <w:r>
        <w:rPr>
          <w:rFonts w:hint="eastAsia" w:ascii="宋体" w:hAnsi="宋体" w:eastAsia="宋体" w:cs="宋体"/>
          <w:bCs/>
          <w:color w:val="auto"/>
          <w:sz w:val="24"/>
        </w:rPr>
        <w:t>具备健全的财务会计制度证明材料：</w:t>
      </w:r>
    </w:p>
    <w:p>
      <w:pPr>
        <w:pStyle w:val="2"/>
        <w:snapToGrid w:val="0"/>
        <w:spacing w:after="0" w:line="360" w:lineRule="auto"/>
        <w:ind w:right="498" w:firstLine="424" w:firstLineChars="177"/>
        <w:rPr>
          <w:rFonts w:hint="eastAsia" w:ascii="宋体" w:hAnsi="宋体" w:eastAsia="宋体" w:cs="宋体"/>
          <w:color w:val="auto"/>
          <w:sz w:val="24"/>
          <w:szCs w:val="32"/>
        </w:rPr>
      </w:pPr>
      <w:r>
        <w:rPr>
          <w:rFonts w:hint="eastAsia" w:ascii="宋体" w:hAnsi="宋体" w:eastAsia="宋体" w:cs="宋体"/>
          <w:bCs/>
          <w:color w:val="auto"/>
          <w:sz w:val="24"/>
        </w:rPr>
        <w:t>（1）可提供2019年度或2020年度经审计的财务报告（包含审计报告和审计报告中所涉及的财务报表和报表附注）</w:t>
      </w:r>
      <w:r>
        <w:rPr>
          <w:rFonts w:hint="eastAsia" w:ascii="宋体" w:hAnsi="宋体" w:eastAsia="宋体" w:cs="宋体"/>
          <w:color w:val="auto"/>
          <w:sz w:val="24"/>
        </w:rPr>
        <w:t>【</w:t>
      </w:r>
      <w:r>
        <w:rPr>
          <w:rFonts w:hint="eastAsia" w:ascii="宋体" w:hAnsi="宋体" w:eastAsia="宋体" w:cs="宋体"/>
          <w:b/>
          <w:bCs/>
          <w:color w:val="auto"/>
          <w:sz w:val="24"/>
        </w:rPr>
        <w:t>复印件</w:t>
      </w:r>
      <w:r>
        <w:rPr>
          <w:rFonts w:hint="eastAsia" w:ascii="宋体" w:hAnsi="宋体" w:eastAsia="宋体" w:cs="宋体"/>
          <w:color w:val="auto"/>
          <w:sz w:val="24"/>
        </w:rPr>
        <w:t>】</w:t>
      </w:r>
      <w:r>
        <w:rPr>
          <w:rFonts w:hint="eastAsia" w:ascii="宋体" w:hAnsi="宋体" w:eastAsia="宋体" w:cs="宋体"/>
          <w:bCs/>
          <w:color w:val="auto"/>
          <w:sz w:val="24"/>
        </w:rPr>
        <w:t>；</w:t>
      </w:r>
    </w:p>
    <w:p>
      <w:pPr>
        <w:pStyle w:val="2"/>
        <w:snapToGrid w:val="0"/>
        <w:spacing w:after="0" w:line="360" w:lineRule="auto"/>
        <w:ind w:right="498" w:firstLine="424" w:firstLineChars="177"/>
        <w:rPr>
          <w:rFonts w:hint="eastAsia" w:ascii="宋体" w:hAnsi="宋体" w:eastAsia="宋体" w:cs="宋体"/>
          <w:color w:val="auto"/>
          <w:sz w:val="24"/>
          <w:szCs w:val="32"/>
        </w:rPr>
      </w:pPr>
      <w:r>
        <w:rPr>
          <w:rFonts w:hint="eastAsia" w:ascii="宋体" w:hAnsi="宋体" w:eastAsia="宋体" w:cs="宋体"/>
          <w:color w:val="auto"/>
          <w:sz w:val="24"/>
        </w:rPr>
        <w:t>（2）可提供2019或2020年度供应商内部的财务报表复印件（至少包含资产负债表）【</w:t>
      </w:r>
      <w:r>
        <w:rPr>
          <w:rFonts w:hint="eastAsia" w:ascii="宋体" w:hAnsi="宋体" w:eastAsia="宋体" w:cs="宋体"/>
          <w:b/>
          <w:bCs/>
          <w:color w:val="auto"/>
          <w:sz w:val="24"/>
        </w:rPr>
        <w:t>复印件</w:t>
      </w:r>
      <w:r>
        <w:rPr>
          <w:rFonts w:hint="eastAsia" w:ascii="宋体" w:hAnsi="宋体" w:eastAsia="宋体" w:cs="宋体"/>
          <w:color w:val="auto"/>
          <w:sz w:val="24"/>
        </w:rPr>
        <w:t>】</w:t>
      </w:r>
      <w:r>
        <w:rPr>
          <w:rFonts w:hint="eastAsia" w:ascii="宋体" w:hAnsi="宋体" w:eastAsia="宋体" w:cs="宋体"/>
          <w:bCs/>
          <w:color w:val="auto"/>
          <w:sz w:val="24"/>
        </w:rPr>
        <w:t>；</w:t>
      </w:r>
    </w:p>
    <w:p>
      <w:pPr>
        <w:pStyle w:val="2"/>
        <w:snapToGrid w:val="0"/>
        <w:spacing w:after="0" w:line="360" w:lineRule="auto"/>
        <w:ind w:right="498" w:firstLine="424" w:firstLineChars="177"/>
        <w:rPr>
          <w:rFonts w:hint="eastAsia" w:ascii="宋体" w:hAnsi="宋体" w:eastAsia="宋体" w:cs="宋体"/>
          <w:bCs/>
          <w:color w:val="auto"/>
          <w:sz w:val="24"/>
        </w:rPr>
      </w:pPr>
      <w:r>
        <w:rPr>
          <w:rFonts w:hint="eastAsia" w:ascii="宋体" w:hAnsi="宋体" w:eastAsia="宋体" w:cs="宋体"/>
          <w:bCs/>
          <w:color w:val="auto"/>
          <w:sz w:val="24"/>
        </w:rPr>
        <w:t>（3）可提供距投标文件递交截止日前三个月内银行出具的资信证明</w:t>
      </w:r>
      <w:r>
        <w:rPr>
          <w:rFonts w:hint="eastAsia" w:ascii="宋体" w:hAnsi="宋体" w:eastAsia="宋体" w:cs="宋体"/>
          <w:color w:val="auto"/>
          <w:sz w:val="24"/>
        </w:rPr>
        <w:t>【</w:t>
      </w:r>
      <w:r>
        <w:rPr>
          <w:rFonts w:hint="eastAsia" w:ascii="宋体" w:hAnsi="宋体" w:eastAsia="宋体" w:cs="宋体"/>
          <w:b/>
          <w:bCs/>
          <w:color w:val="auto"/>
          <w:sz w:val="24"/>
        </w:rPr>
        <w:t>复印件</w:t>
      </w:r>
      <w:r>
        <w:rPr>
          <w:rFonts w:hint="eastAsia" w:ascii="宋体" w:hAnsi="宋体" w:eastAsia="宋体" w:cs="宋体"/>
          <w:color w:val="auto"/>
          <w:sz w:val="24"/>
        </w:rPr>
        <w:t>】</w:t>
      </w:r>
      <w:r>
        <w:rPr>
          <w:rFonts w:hint="eastAsia" w:ascii="宋体" w:hAnsi="宋体" w:eastAsia="宋体" w:cs="宋体"/>
          <w:bCs/>
          <w:color w:val="auto"/>
          <w:sz w:val="24"/>
        </w:rPr>
        <w:t>；</w:t>
      </w:r>
    </w:p>
    <w:p>
      <w:pPr>
        <w:pStyle w:val="2"/>
        <w:snapToGrid w:val="0"/>
        <w:spacing w:after="0" w:line="360" w:lineRule="auto"/>
        <w:ind w:right="498" w:firstLine="424" w:firstLineChars="177"/>
        <w:rPr>
          <w:rFonts w:hint="eastAsia" w:ascii="宋体" w:hAnsi="宋体" w:eastAsia="宋体" w:cs="宋体"/>
          <w:bCs/>
          <w:color w:val="auto"/>
          <w:sz w:val="24"/>
        </w:rPr>
      </w:pPr>
      <w:r>
        <w:rPr>
          <w:rFonts w:hint="eastAsia" w:ascii="宋体" w:hAnsi="宋体" w:eastAsia="宋体" w:cs="宋体"/>
          <w:bCs/>
          <w:color w:val="auto"/>
          <w:sz w:val="24"/>
        </w:rPr>
        <w:t>（4）投标人注册时间至投标文件递交截止日不足一年的，也可提供在工商备案的公司章程</w:t>
      </w:r>
      <w:r>
        <w:rPr>
          <w:rFonts w:hint="eastAsia" w:ascii="宋体" w:hAnsi="宋体" w:eastAsia="宋体" w:cs="宋体"/>
          <w:color w:val="auto"/>
          <w:sz w:val="24"/>
          <w:szCs w:val="32"/>
        </w:rPr>
        <w:t>。</w:t>
      </w:r>
    </w:p>
    <w:p>
      <w:pPr>
        <w:pStyle w:val="89"/>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注：提供的证明资料满足以上任意一项均视为符合要求。</w:t>
      </w:r>
    </w:p>
    <w:p>
      <w:pPr>
        <w:pStyle w:val="2"/>
        <w:snapToGrid w:val="0"/>
        <w:spacing w:after="0" w:line="360" w:lineRule="auto"/>
        <w:ind w:right="498" w:firstLine="424" w:firstLineChars="177"/>
        <w:rPr>
          <w:rFonts w:hint="eastAsia" w:ascii="宋体" w:hAnsi="宋体" w:eastAsia="宋体" w:cs="宋体"/>
          <w:bCs/>
          <w:color w:val="auto"/>
          <w:sz w:val="24"/>
        </w:rPr>
      </w:pPr>
      <w:r>
        <w:rPr>
          <w:rFonts w:hint="eastAsia" w:ascii="宋体" w:hAnsi="宋体" w:eastAsia="宋体" w:cs="宋体"/>
          <w:bCs/>
          <w:color w:val="auto"/>
          <w:sz w:val="24"/>
        </w:rPr>
        <w:t>4</w:t>
      </w:r>
      <w:r>
        <w:rPr>
          <w:rFonts w:hint="eastAsia" w:ascii="宋体" w:hAnsi="宋体" w:eastAsia="宋体" w:cs="宋体"/>
          <w:color w:val="auto"/>
          <w:sz w:val="24"/>
        </w:rPr>
        <w:t>．</w:t>
      </w:r>
      <w:r>
        <w:rPr>
          <w:rFonts w:hint="eastAsia" w:ascii="宋体" w:hAnsi="宋体" w:eastAsia="宋体" w:cs="宋体"/>
          <w:bCs/>
          <w:color w:val="auto"/>
          <w:sz w:val="24"/>
        </w:rPr>
        <w:t>具有履行合同所必需的设备和专业技术能力证明材料：</w:t>
      </w:r>
    </w:p>
    <w:p>
      <w:pPr>
        <w:snapToGrid w:val="0"/>
        <w:spacing w:line="360" w:lineRule="auto"/>
        <w:ind w:firstLine="566" w:firstLineChars="236"/>
        <w:rPr>
          <w:rFonts w:hint="eastAsia" w:ascii="宋体" w:hAnsi="宋体" w:eastAsia="宋体" w:cs="宋体"/>
          <w:color w:val="auto"/>
          <w:sz w:val="24"/>
        </w:rPr>
      </w:pPr>
      <w:r>
        <w:rPr>
          <w:rFonts w:hint="eastAsia" w:ascii="宋体" w:hAnsi="宋体" w:eastAsia="宋体" w:cs="宋体"/>
          <w:color w:val="auto"/>
          <w:sz w:val="24"/>
        </w:rPr>
        <w:t>提供承诺函</w:t>
      </w:r>
      <w:r>
        <w:rPr>
          <w:rFonts w:hint="eastAsia" w:ascii="宋体" w:hAnsi="宋体" w:eastAsia="宋体" w:cs="宋体"/>
          <w:b/>
          <w:color w:val="auto"/>
          <w:sz w:val="24"/>
        </w:rPr>
        <w:t>【格式详见第三章格式的内容】</w:t>
      </w:r>
      <w:r>
        <w:rPr>
          <w:rFonts w:hint="eastAsia" w:ascii="宋体" w:hAnsi="宋体" w:eastAsia="宋体" w:cs="宋体"/>
          <w:color w:val="auto"/>
          <w:sz w:val="24"/>
        </w:rPr>
        <w:t>。</w:t>
      </w:r>
    </w:p>
    <w:p>
      <w:pPr>
        <w:snapToGrid w:val="0"/>
        <w:spacing w:line="360" w:lineRule="auto"/>
        <w:ind w:firstLine="424" w:firstLineChars="177"/>
        <w:rPr>
          <w:rFonts w:hint="eastAsia" w:ascii="宋体" w:hAnsi="宋体" w:eastAsia="宋体" w:cs="宋体"/>
          <w:bCs/>
          <w:color w:val="auto"/>
          <w:sz w:val="24"/>
        </w:rPr>
      </w:pPr>
      <w:r>
        <w:rPr>
          <w:rFonts w:hint="eastAsia" w:ascii="宋体" w:hAnsi="宋体" w:eastAsia="宋体" w:cs="宋体"/>
          <w:bCs/>
          <w:color w:val="auto"/>
          <w:sz w:val="24"/>
        </w:rPr>
        <w:t>5</w:t>
      </w:r>
      <w:r>
        <w:rPr>
          <w:rFonts w:hint="eastAsia" w:ascii="宋体" w:hAnsi="宋体" w:eastAsia="宋体" w:cs="宋体"/>
          <w:color w:val="auto"/>
          <w:sz w:val="24"/>
        </w:rPr>
        <w:t>．</w:t>
      </w:r>
      <w:r>
        <w:rPr>
          <w:rFonts w:hint="eastAsia" w:ascii="宋体" w:hAnsi="宋体" w:eastAsia="宋体" w:cs="宋体"/>
          <w:bCs/>
          <w:color w:val="auto"/>
          <w:sz w:val="24"/>
        </w:rPr>
        <w:t>具有依法缴纳税收和社会保障资金的良好记录证明材料：</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（1）投标人提供2020年1月1日以后任意三月的缴纳税收的银行电子回单或者税务部门出具的纳税证明或完税证明</w:t>
      </w:r>
      <w:r>
        <w:rPr>
          <w:rFonts w:hint="eastAsia" w:ascii="宋体" w:hAnsi="宋体" w:eastAsia="宋体" w:cs="宋体"/>
          <w:b/>
          <w:color w:val="auto"/>
          <w:sz w:val="24"/>
        </w:rPr>
        <w:t>【复印件】</w:t>
      </w:r>
      <w:r>
        <w:rPr>
          <w:rFonts w:hint="eastAsia" w:ascii="宋体" w:hAnsi="宋体" w:eastAsia="宋体" w:cs="宋体"/>
          <w:color w:val="auto"/>
          <w:sz w:val="24"/>
        </w:rPr>
        <w:t>或提供承诺函</w:t>
      </w:r>
      <w:r>
        <w:rPr>
          <w:rFonts w:hint="eastAsia" w:ascii="宋体" w:hAnsi="宋体" w:eastAsia="宋体" w:cs="宋体"/>
          <w:b/>
          <w:color w:val="auto"/>
          <w:sz w:val="24"/>
        </w:rPr>
        <w:t>【格式详见第三章格式的内容】</w:t>
      </w:r>
      <w:r>
        <w:rPr>
          <w:rFonts w:hint="eastAsia" w:ascii="宋体" w:hAnsi="宋体" w:eastAsia="宋体" w:cs="宋体"/>
          <w:color w:val="auto"/>
          <w:sz w:val="24"/>
        </w:rPr>
        <w:t>。</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（2）投标人提供社保部门出具的2020年1月1日以后任意三个月社保缴纳的证明材料（注：1.缴纳的银行电子回单或以社保部门出具的为准；2.复印件）或自行提供承诺函</w:t>
      </w:r>
      <w:r>
        <w:rPr>
          <w:rFonts w:hint="eastAsia" w:ascii="宋体" w:hAnsi="宋体" w:eastAsia="宋体" w:cs="宋体"/>
          <w:b/>
          <w:color w:val="auto"/>
          <w:sz w:val="24"/>
        </w:rPr>
        <w:t>【格式详见第三章格式的内容】</w:t>
      </w:r>
      <w:r>
        <w:rPr>
          <w:rFonts w:hint="eastAsia" w:ascii="宋体" w:hAnsi="宋体" w:eastAsia="宋体" w:cs="宋体"/>
          <w:color w:val="auto"/>
          <w:sz w:val="24"/>
        </w:rPr>
        <w:t>。</w:t>
      </w:r>
    </w:p>
    <w:p>
      <w:pPr>
        <w:pStyle w:val="89"/>
        <w:spacing w:line="360" w:lineRule="auto"/>
        <w:ind w:firstLine="424" w:firstLineChars="177"/>
        <w:rPr>
          <w:rFonts w:hint="eastAsia" w:ascii="宋体" w:hAnsi="宋体" w:eastAsia="宋体" w:cs="宋体"/>
          <w:color w:val="auto"/>
        </w:rPr>
      </w:pPr>
      <w:r>
        <w:rPr>
          <w:rFonts w:hint="eastAsia" w:ascii="宋体" w:hAnsi="宋体" w:eastAsia="宋体" w:cs="宋体"/>
          <w:color w:val="auto"/>
        </w:rPr>
        <w:t>6、</w:t>
      </w:r>
      <w:r>
        <w:rPr>
          <w:rFonts w:hint="eastAsia" w:ascii="宋体" w:hAnsi="宋体" w:eastAsia="宋体" w:cs="宋体"/>
          <w:color w:val="auto"/>
          <w:lang w:val="zh-CN"/>
        </w:rPr>
        <w:t>法律、行政法规规定的其他条件：</w:t>
      </w:r>
    </w:p>
    <w:p>
      <w:pPr>
        <w:spacing w:line="360" w:lineRule="auto"/>
        <w:ind w:firstLine="424" w:firstLineChars="177"/>
        <w:jc w:val="left"/>
        <w:rPr>
          <w:rFonts w:hint="eastAsia" w:ascii="宋体" w:hAnsi="宋体" w:eastAsia="宋体" w:cs="宋体"/>
          <w:color w:val="auto"/>
          <w:sz w:val="24"/>
        </w:rPr>
      </w:pPr>
      <w:r>
        <w:rPr>
          <w:rFonts w:hint="eastAsia" w:ascii="宋体" w:hAnsi="宋体" w:eastAsia="宋体" w:cs="宋体"/>
          <w:color w:val="auto"/>
          <w:sz w:val="24"/>
        </w:rPr>
        <w:t>（1）投标人应提供投标人及其现任法定代表人（主要负责人）在参加本项目政府采购活动前三年无行贿犯罪记录的承诺函</w:t>
      </w:r>
      <w:r>
        <w:rPr>
          <w:rFonts w:hint="eastAsia" w:ascii="宋体" w:hAnsi="宋体" w:eastAsia="宋体" w:cs="宋体"/>
          <w:b/>
          <w:color w:val="auto"/>
          <w:sz w:val="24"/>
        </w:rPr>
        <w:t>【格式详见第三章格式的内容】</w:t>
      </w:r>
      <w:r>
        <w:rPr>
          <w:rFonts w:hint="eastAsia" w:ascii="宋体" w:hAnsi="宋体" w:eastAsia="宋体" w:cs="宋体"/>
          <w:color w:val="auto"/>
          <w:sz w:val="24"/>
        </w:rPr>
        <w:t>。</w:t>
      </w:r>
    </w:p>
    <w:p>
      <w:pPr>
        <w:pStyle w:val="89"/>
        <w:spacing w:line="360" w:lineRule="auto"/>
        <w:ind w:firstLine="424" w:firstLineChars="177"/>
        <w:rPr>
          <w:rFonts w:hint="eastAsia" w:ascii="宋体" w:hAnsi="宋体" w:eastAsia="宋体" w:cs="宋体"/>
          <w:color w:val="auto"/>
        </w:rPr>
      </w:pPr>
      <w:r>
        <w:rPr>
          <w:rFonts w:hint="eastAsia" w:ascii="宋体" w:hAnsi="宋体" w:eastAsia="宋体" w:cs="宋体"/>
          <w:color w:val="auto"/>
        </w:rPr>
        <w:t>（2）须提供“截至投标截止日未被列入失信被执行人、重大税收违法案件当事人名单、政府采购严重违法失信行为记录名单”的承诺函</w:t>
      </w:r>
      <w:r>
        <w:rPr>
          <w:rFonts w:hint="eastAsia" w:ascii="宋体" w:hAnsi="宋体" w:eastAsia="宋体" w:cs="宋体"/>
          <w:b/>
          <w:color w:val="auto"/>
        </w:rPr>
        <w:t>【格式详见第三章格式的内容】</w:t>
      </w:r>
      <w:r>
        <w:rPr>
          <w:rFonts w:hint="eastAsia" w:ascii="宋体" w:hAnsi="宋体" w:eastAsia="宋体" w:cs="宋体"/>
          <w:color w:val="auto"/>
        </w:rPr>
        <w:t>。</w:t>
      </w:r>
    </w:p>
    <w:p>
      <w:pPr>
        <w:pStyle w:val="89"/>
        <w:spacing w:line="360" w:lineRule="auto"/>
        <w:ind w:firstLine="482" w:firstLineChars="200"/>
        <w:rPr>
          <w:rFonts w:hint="eastAsia" w:ascii="宋体" w:hAnsi="宋体" w:eastAsia="宋体" w:cs="宋体"/>
          <w:b/>
          <w:bCs/>
          <w:color w:val="auto"/>
        </w:rPr>
      </w:pPr>
      <w:r>
        <w:rPr>
          <w:rFonts w:hint="eastAsia" w:ascii="宋体" w:hAnsi="宋体" w:eastAsia="宋体" w:cs="宋体"/>
          <w:b/>
          <w:bCs/>
          <w:color w:val="auto"/>
        </w:rPr>
        <w:t>注：以上承诺在同一格式内可不单独提供。</w:t>
      </w:r>
    </w:p>
    <w:p>
      <w:pPr>
        <w:spacing w:before="120" w:beforeLines="50" w:after="120" w:afterLines="50" w:line="360" w:lineRule="auto"/>
        <w:rPr>
          <w:rFonts w:hint="eastAsia" w:ascii="宋体" w:hAnsi="宋体" w:eastAsia="宋体" w:cs="宋体"/>
          <w:b/>
          <w:bCs/>
          <w:color w:val="auto"/>
          <w:sz w:val="24"/>
          <w:szCs w:val="32"/>
        </w:rPr>
      </w:pPr>
      <w:r>
        <w:rPr>
          <w:rFonts w:hint="eastAsia" w:ascii="宋体" w:hAnsi="宋体" w:eastAsia="宋体" w:cs="宋体"/>
          <w:b/>
          <w:bCs/>
          <w:color w:val="auto"/>
          <w:sz w:val="24"/>
          <w:szCs w:val="32"/>
        </w:rPr>
        <w:t>二、本项目的特定资格要求：</w:t>
      </w:r>
    </w:p>
    <w:p>
      <w:pPr>
        <w:pStyle w:val="153"/>
        <w:ind w:firstLine="424" w:firstLineChars="177"/>
        <w:rPr>
          <w:rFonts w:hint="eastAsia" w:ascii="宋体" w:hAnsi="宋体" w:eastAsia="宋体" w:cs="宋体"/>
          <w:color w:val="auto"/>
          <w:sz w:val="24"/>
        </w:rPr>
      </w:pPr>
      <w:r>
        <w:rPr>
          <w:rFonts w:hint="eastAsia" w:ascii="宋体" w:hAnsi="宋体" w:eastAsia="宋体" w:cs="宋体"/>
          <w:color w:val="auto"/>
          <w:sz w:val="24"/>
        </w:rPr>
        <w:t>（1）01包：①供应商具有行政主管部门颁发的有效的市政行业(道路工程)专业工程设计乙级及以上资质证书；②企业注册地不在四川省行政区域内的省外企业须提供在有效期内的《四川省入川从事勘察设计活动验证登记证》或《四川省省外建筑企业入川承揽业务验证登记证》或带二维码的《四川省省外施工、监理企业入川承揽业务信息录入证》。</w:t>
      </w:r>
      <w:r>
        <w:rPr>
          <w:rFonts w:hint="eastAsia" w:ascii="宋体" w:hAnsi="宋体" w:eastAsia="宋体" w:cs="宋体"/>
          <w:b/>
          <w:bCs/>
          <w:color w:val="auto"/>
          <w:sz w:val="24"/>
        </w:rPr>
        <w:t>提供有效的证书【复印件】加盖投标人公章</w:t>
      </w:r>
      <w:r>
        <w:rPr>
          <w:rFonts w:hint="eastAsia" w:ascii="宋体" w:hAnsi="宋体" w:eastAsia="宋体" w:cs="宋体"/>
          <w:b/>
          <w:bCs/>
          <w:color w:val="auto"/>
          <w:sz w:val="24"/>
          <w:lang w:eastAsia="zh-CN"/>
        </w:rPr>
        <w:t>。</w:t>
      </w:r>
    </w:p>
    <w:p>
      <w:pPr>
        <w:pStyle w:val="153"/>
        <w:ind w:firstLine="424" w:firstLineChars="177"/>
        <w:rPr>
          <w:rFonts w:hint="eastAsia" w:ascii="宋体" w:hAnsi="宋体" w:eastAsia="宋体" w:cs="宋体"/>
          <w:color w:val="auto"/>
          <w:sz w:val="24"/>
        </w:rPr>
      </w:pPr>
      <w:r>
        <w:rPr>
          <w:rFonts w:hint="eastAsia" w:ascii="宋体" w:hAnsi="宋体" w:eastAsia="宋体" w:cs="宋体"/>
          <w:color w:val="auto"/>
          <w:sz w:val="24"/>
        </w:rPr>
        <w:t>（2）02包：①具有国家建设行政主管部门颁发的监理乙级及以上资质，须包含市政公用工程专业；②企业注册地不在四川省行政区域内的省外企业须提供在有效期内的《四川省入川从事勘察设计活动验证登记证》或《四川省省外建筑企业入川承揽业务验证登记证》或带二维码的《四川省省外施工、监理企业入川承揽业务信息录入证》。</w:t>
      </w:r>
      <w:r>
        <w:rPr>
          <w:rFonts w:hint="eastAsia" w:ascii="宋体" w:hAnsi="宋体" w:eastAsia="宋体" w:cs="宋体"/>
          <w:b/>
          <w:bCs/>
          <w:color w:val="auto"/>
          <w:sz w:val="24"/>
        </w:rPr>
        <w:t>提供有效的证书【复印件】加盖投标人公章</w:t>
      </w:r>
      <w:r>
        <w:rPr>
          <w:rFonts w:hint="eastAsia" w:ascii="宋体" w:hAnsi="宋体" w:eastAsia="宋体" w:cs="宋体"/>
          <w:b/>
          <w:bCs/>
          <w:color w:val="auto"/>
          <w:sz w:val="24"/>
          <w:lang w:eastAsia="zh-CN"/>
        </w:rPr>
        <w:t>。</w:t>
      </w:r>
    </w:p>
    <w:p>
      <w:pPr>
        <w:pStyle w:val="153"/>
        <w:ind w:firstLine="424" w:firstLineChars="177"/>
        <w:rPr>
          <w:rFonts w:hint="eastAsia" w:ascii="宋体" w:hAnsi="宋体" w:eastAsia="宋体" w:cs="宋体"/>
          <w:color w:val="auto"/>
          <w:sz w:val="24"/>
        </w:rPr>
      </w:pPr>
      <w:r>
        <w:rPr>
          <w:rFonts w:hint="eastAsia" w:ascii="宋体" w:hAnsi="宋体" w:eastAsia="宋体" w:cs="宋体"/>
          <w:color w:val="auto"/>
          <w:sz w:val="24"/>
        </w:rPr>
        <w:t>（3）03包：①投标人应具备有效的行政主管部门颁发的</w:t>
      </w:r>
      <w:r>
        <w:rPr>
          <w:rFonts w:hint="eastAsia" w:ascii="宋体" w:hAnsi="宋体" w:eastAsia="宋体" w:cs="宋体"/>
          <w:color w:val="auto"/>
          <w:sz w:val="24"/>
          <w:lang w:eastAsia="zh-CN"/>
        </w:rPr>
        <w:t>市政公用工程施工总承包二级及以上资质或公路交通工程专业承包（公路安全设施分项）二级及以上资质</w:t>
      </w:r>
      <w:r>
        <w:rPr>
          <w:rFonts w:hint="eastAsia" w:ascii="宋体" w:hAnsi="宋体" w:eastAsia="宋体" w:cs="宋体"/>
          <w:color w:val="auto"/>
          <w:sz w:val="24"/>
        </w:rPr>
        <w:t>；②具有有效的安全生产许可证；③企业注册地不在四川省行政区域内的省外企业须提供在有效期内的《四川省入川从事勘察设计活动验证登记证》或《四川省省外建筑企业入川承揽业务验证登记证》或带二维码的《四川省省外施工、监理企业入川承揽业务信息录入证》。</w:t>
      </w:r>
      <w:r>
        <w:rPr>
          <w:rFonts w:hint="eastAsia" w:ascii="宋体" w:hAnsi="宋体" w:eastAsia="宋体" w:cs="宋体"/>
          <w:b/>
          <w:bCs/>
          <w:color w:val="auto"/>
          <w:sz w:val="24"/>
        </w:rPr>
        <w:t>提供有效的证书【复印件】加盖投标人公章</w:t>
      </w:r>
      <w:r>
        <w:rPr>
          <w:rFonts w:hint="eastAsia" w:ascii="宋体" w:hAnsi="宋体" w:eastAsia="宋体" w:cs="宋体"/>
          <w:b/>
          <w:bCs/>
          <w:color w:val="auto"/>
          <w:sz w:val="24"/>
          <w:lang w:eastAsia="zh-CN"/>
        </w:rPr>
        <w:t>。</w:t>
      </w:r>
    </w:p>
    <w:p>
      <w:pPr>
        <w:spacing w:before="120" w:beforeLines="50" w:after="120" w:afterLines="50" w:line="360" w:lineRule="auto"/>
        <w:rPr>
          <w:rFonts w:hint="eastAsia" w:ascii="宋体" w:hAnsi="宋体" w:eastAsia="宋体" w:cs="宋体"/>
          <w:color w:val="auto"/>
          <w:sz w:val="24"/>
          <w:szCs w:val="22"/>
        </w:rPr>
      </w:pPr>
      <w:r>
        <w:rPr>
          <w:rFonts w:hint="eastAsia" w:ascii="宋体" w:hAnsi="宋体" w:eastAsia="宋体" w:cs="宋体"/>
          <w:bCs/>
          <w:color w:val="auto"/>
          <w:sz w:val="24"/>
          <w:szCs w:val="32"/>
        </w:rPr>
        <w:t>三、</w:t>
      </w:r>
      <w:r>
        <w:rPr>
          <w:rFonts w:hint="eastAsia" w:ascii="宋体" w:hAnsi="宋体" w:eastAsia="宋体" w:cs="宋体"/>
          <w:color w:val="auto"/>
          <w:sz w:val="24"/>
          <w:szCs w:val="32"/>
        </w:rPr>
        <w:t>投标人法定代表人授权参加本次采购活动的合法代表</w:t>
      </w:r>
      <w:r>
        <w:rPr>
          <w:rFonts w:hint="eastAsia" w:ascii="宋体" w:hAnsi="宋体" w:eastAsia="宋体" w:cs="宋体"/>
          <w:b/>
          <w:bCs/>
          <w:color w:val="auto"/>
          <w:sz w:val="24"/>
          <w:szCs w:val="32"/>
        </w:rPr>
        <w:t>：</w:t>
      </w:r>
    </w:p>
    <w:p>
      <w:pPr>
        <w:spacing w:line="36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szCs w:val="32"/>
        </w:rPr>
        <w:t xml:space="preserve"> 1、</w:t>
      </w:r>
      <w:r>
        <w:rPr>
          <w:rFonts w:hint="eastAsia" w:ascii="宋体" w:hAnsi="宋体" w:eastAsia="宋体" w:cs="宋体"/>
          <w:color w:val="auto"/>
          <w:sz w:val="24"/>
        </w:rPr>
        <w:t>法定代表人（主要负责人）身份证复印件或护照复印件［注：①法定代表人（主要负责人）身份证复印件（在有效期内、正反面均应复印）或护照复印件（法定代表人（主要负责人）为外籍人士的，按此提供）；②复印件加盖公章]。</w:t>
      </w:r>
    </w:p>
    <w:p>
      <w:pPr>
        <w:pStyle w:val="153"/>
        <w:ind w:firstLine="424" w:firstLineChars="177"/>
        <w:rPr>
          <w:rFonts w:hint="eastAsia" w:ascii="宋体" w:hAnsi="宋体" w:eastAsia="宋体" w:cs="宋体"/>
          <w:color w:val="auto"/>
          <w:sz w:val="24"/>
        </w:rPr>
      </w:pPr>
      <w:r>
        <w:rPr>
          <w:rFonts w:hint="eastAsia" w:ascii="宋体" w:hAnsi="宋体" w:eastAsia="宋体" w:cs="宋体"/>
          <w:color w:val="auto"/>
          <w:sz w:val="24"/>
        </w:rPr>
        <w:t>2、授权代表身份证复印件（身份证正反面均应复印）（注：①在有效期内；②复印件加盖公章；③由供应商法定代表人（主要负责人）签署所有招标文件并参加开标的，则可不提供）。</w:t>
      </w:r>
    </w:p>
    <w:p>
      <w:pPr>
        <w:pStyle w:val="153"/>
        <w:ind w:firstLine="424" w:firstLineChars="177"/>
        <w:rPr>
          <w:rFonts w:hint="eastAsia" w:ascii="宋体" w:hAnsi="宋体" w:eastAsia="宋体" w:cs="宋体"/>
          <w:b/>
          <w:color w:val="auto"/>
          <w:sz w:val="24"/>
        </w:rPr>
      </w:pPr>
      <w:r>
        <w:rPr>
          <w:rFonts w:hint="eastAsia" w:ascii="宋体" w:hAnsi="宋体" w:eastAsia="宋体" w:cs="宋体"/>
          <w:color w:val="auto"/>
          <w:sz w:val="24"/>
        </w:rPr>
        <w:t>3、法定代表人（主要负责人）授权书原件（法定代表人（主要负责人）不参与开标而委托授权代表参加适用）；法定代表人（主要负责人）身份证明原件（法定代表人（主要负责人）开标而非委托授权代表开标适用）。</w:t>
      </w:r>
    </w:p>
    <w:p>
      <w:pPr>
        <w:pStyle w:val="153"/>
        <w:ind w:firstLine="422"/>
        <w:rPr>
          <w:rFonts w:hint="eastAsia" w:ascii="宋体" w:hAnsi="宋体" w:eastAsia="宋体" w:cs="宋体"/>
          <w:b/>
          <w:color w:val="auto"/>
          <w:szCs w:val="21"/>
        </w:rPr>
      </w:pPr>
      <w:r>
        <w:rPr>
          <w:rFonts w:hint="eastAsia" w:ascii="宋体" w:hAnsi="宋体" w:eastAsia="宋体" w:cs="宋体"/>
          <w:b/>
          <w:color w:val="auto"/>
          <w:szCs w:val="21"/>
        </w:rPr>
        <w:t>注：1、本章要求提供的相关证明材料应当与第四章的规定要求对应，除投标人自愿以外，不能要求投标人提供额外的证明材料。如果要求提供额外的证明材料，投标人有权不予提供，且不影响投标文件的有效性和完整性。</w:t>
      </w:r>
      <w:bookmarkStart w:id="929" w:name="_Toc217446093"/>
    </w:p>
    <w:p>
      <w:pPr>
        <w:pStyle w:val="153"/>
        <w:ind w:left="496" w:leftChars="236" w:firstLine="422"/>
        <w:rPr>
          <w:rFonts w:hint="eastAsia" w:ascii="宋体" w:hAnsi="宋体" w:eastAsia="宋体" w:cs="宋体"/>
          <w:b/>
          <w:color w:val="auto"/>
          <w:szCs w:val="21"/>
        </w:rPr>
      </w:pPr>
      <w:r>
        <w:rPr>
          <w:rFonts w:hint="eastAsia" w:ascii="宋体" w:hAnsi="宋体" w:eastAsia="宋体" w:cs="宋体"/>
          <w:b/>
          <w:color w:val="auto"/>
          <w:szCs w:val="21"/>
        </w:rPr>
        <w:t>2、以上资料均需加盖公章。</w:t>
      </w:r>
    </w:p>
    <w:p>
      <w:pPr>
        <w:pStyle w:val="153"/>
        <w:ind w:firstLine="0" w:firstLineChars="0"/>
        <w:rPr>
          <w:rFonts w:hint="eastAsia" w:ascii="宋体" w:hAnsi="宋体" w:eastAsia="宋体" w:cs="宋体"/>
          <w:b/>
          <w:color w:val="auto"/>
          <w:szCs w:val="21"/>
        </w:rPr>
        <w:sectPr>
          <w:pgSz w:w="11906" w:h="16838"/>
          <w:pgMar w:top="1417" w:right="1474" w:bottom="1134" w:left="1587"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pPr>
        <w:pStyle w:val="3"/>
        <w:spacing w:before="100" w:after="100" w:line="360" w:lineRule="auto"/>
        <w:jc w:val="center"/>
        <w:rPr>
          <w:rFonts w:hint="eastAsia" w:ascii="宋体" w:hAnsi="宋体" w:eastAsia="宋体" w:cs="宋体"/>
          <w:color w:val="auto"/>
          <w:sz w:val="32"/>
        </w:rPr>
      </w:pPr>
      <w:bookmarkStart w:id="930" w:name="_Toc470509909"/>
      <w:bookmarkStart w:id="931" w:name="_Toc25180"/>
      <w:bookmarkStart w:id="932" w:name="_Toc19447"/>
      <w:bookmarkStart w:id="933" w:name="_Toc13622"/>
      <w:r>
        <w:rPr>
          <w:rFonts w:hint="eastAsia" w:ascii="宋体" w:hAnsi="宋体" w:eastAsia="宋体" w:cs="宋体"/>
          <w:color w:val="auto"/>
          <w:sz w:val="32"/>
        </w:rPr>
        <w:t xml:space="preserve">第六章 </w:t>
      </w:r>
      <w:bookmarkStart w:id="934" w:name="_Toc11602"/>
      <w:bookmarkStart w:id="935" w:name="_Toc11399"/>
      <w:bookmarkStart w:id="936" w:name="_Toc12742"/>
      <w:bookmarkStart w:id="937" w:name="_Toc9076"/>
      <w:bookmarkStart w:id="938" w:name="_Toc10883"/>
      <w:bookmarkStart w:id="939" w:name="_Toc28114"/>
      <w:r>
        <w:rPr>
          <w:rFonts w:hint="eastAsia" w:ascii="宋体" w:hAnsi="宋体" w:eastAsia="宋体" w:cs="宋体"/>
          <w:color w:val="auto"/>
          <w:sz w:val="32"/>
        </w:rPr>
        <w:t xml:space="preserve"> </w:t>
      </w:r>
      <w:bookmarkEnd w:id="929"/>
      <w:bookmarkEnd w:id="930"/>
      <w:bookmarkEnd w:id="931"/>
      <w:bookmarkEnd w:id="932"/>
      <w:bookmarkEnd w:id="933"/>
      <w:bookmarkEnd w:id="934"/>
      <w:bookmarkEnd w:id="935"/>
      <w:bookmarkEnd w:id="936"/>
      <w:bookmarkEnd w:id="937"/>
      <w:bookmarkEnd w:id="938"/>
      <w:bookmarkEnd w:id="939"/>
      <w:r>
        <w:rPr>
          <w:rFonts w:hint="eastAsia" w:ascii="宋体" w:hAnsi="宋体" w:eastAsia="宋体" w:cs="宋体"/>
          <w:color w:val="auto"/>
          <w:sz w:val="32"/>
        </w:rPr>
        <w:t>采购项目技术、服务、政府采购合同内容条款及其他商务要求</w:t>
      </w:r>
    </w:p>
    <w:p>
      <w:pPr>
        <w:pStyle w:val="460"/>
        <w:snapToGrid w:val="0"/>
        <w:spacing w:line="360" w:lineRule="auto"/>
        <w:ind w:firstLine="482" w:firstLineChars="200"/>
        <w:jc w:val="left"/>
        <w:rPr>
          <w:rFonts w:hint="eastAsia" w:ascii="宋体" w:hAnsi="宋体" w:eastAsia="宋体" w:cs="宋体"/>
          <w:b/>
          <w:bCs/>
          <w:color w:val="auto"/>
          <w:sz w:val="24"/>
          <w:szCs w:val="24"/>
        </w:rPr>
      </w:pPr>
      <w:bookmarkStart w:id="940" w:name="_Toc18511"/>
      <w:bookmarkStart w:id="941" w:name="_Toc18629"/>
      <w:bookmarkStart w:id="942" w:name="_Toc19569"/>
      <w:bookmarkStart w:id="943" w:name="_Toc28019"/>
      <w:bookmarkStart w:id="944" w:name="_Toc29603"/>
      <w:bookmarkStart w:id="945" w:name="_Toc32046"/>
      <w:bookmarkStart w:id="946" w:name="_Toc27705"/>
      <w:bookmarkStart w:id="947" w:name="_Toc27446"/>
      <w:bookmarkStart w:id="948" w:name="_Toc470509910"/>
      <w:r>
        <w:rPr>
          <w:rFonts w:hint="eastAsia" w:ascii="宋体" w:hAnsi="宋体" w:eastAsia="宋体" w:cs="宋体"/>
          <w:b/>
          <w:bCs/>
          <w:color w:val="auto"/>
          <w:sz w:val="24"/>
          <w:szCs w:val="24"/>
        </w:rPr>
        <w:t>一、项目概述</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b w:val="0"/>
          <w:bCs w:val="0"/>
          <w:color w:val="auto"/>
          <w:sz w:val="24"/>
          <w:szCs w:val="24"/>
        </w:rPr>
        <w:t>成都市公安局双流区分局道路交安设施维护服务采购项目,包括双流区境内本次招标范围内的城市道路及乡村道路。</w:t>
      </w:r>
      <w:r>
        <w:rPr>
          <w:rFonts w:hint="eastAsia" w:ascii="宋体" w:hAnsi="宋体" w:eastAsia="宋体" w:cs="宋体"/>
          <w:color w:val="auto"/>
          <w:sz w:val="24"/>
          <w:highlight w:val="none"/>
        </w:rPr>
        <w:t>服务期限为贰年</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合同一年一签，</w:t>
      </w:r>
      <w:r>
        <w:rPr>
          <w:rFonts w:hint="eastAsia" w:ascii="宋体" w:hAnsi="宋体" w:eastAsia="宋体" w:cs="宋体"/>
          <w:color w:val="auto"/>
          <w:sz w:val="24"/>
          <w:highlight w:val="none"/>
        </w:rPr>
        <w:t>中标人在上一年考核合格后，方可签订下一年服务合同，考核不合格的，采购人有权终止合同并且不再续签下一年合同。</w:t>
      </w:r>
    </w:p>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本项目共三个包:</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4942"/>
        <w:gridCol w:w="2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64"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包号</w:t>
            </w:r>
          </w:p>
        </w:tc>
        <w:tc>
          <w:tcPr>
            <w:tcW w:w="4942"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标的名称</w:t>
            </w:r>
          </w:p>
        </w:tc>
        <w:tc>
          <w:tcPr>
            <w:tcW w:w="2454"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中标人数量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64"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01</w:t>
            </w:r>
          </w:p>
        </w:tc>
        <w:tc>
          <w:tcPr>
            <w:tcW w:w="4942"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道路交安设施设计服务</w:t>
            </w:r>
          </w:p>
        </w:tc>
        <w:tc>
          <w:tcPr>
            <w:tcW w:w="2454"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64"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02</w:t>
            </w:r>
          </w:p>
        </w:tc>
        <w:tc>
          <w:tcPr>
            <w:tcW w:w="4942"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道路交安设施维护监理服务</w:t>
            </w:r>
          </w:p>
        </w:tc>
        <w:tc>
          <w:tcPr>
            <w:tcW w:w="2454"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64"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03</w:t>
            </w:r>
          </w:p>
        </w:tc>
        <w:tc>
          <w:tcPr>
            <w:tcW w:w="4942"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道路交安设施维护服务</w:t>
            </w:r>
          </w:p>
        </w:tc>
        <w:tc>
          <w:tcPr>
            <w:tcW w:w="2454"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1个</w:t>
            </w:r>
          </w:p>
        </w:tc>
      </w:tr>
    </w:tbl>
    <w:p>
      <w:pPr>
        <w:pStyle w:val="460"/>
        <w:snapToGrid w:val="0"/>
        <w:spacing w:line="360" w:lineRule="auto"/>
        <w:ind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本项目采购预算为2459万元/年，其中：01包</w:t>
      </w:r>
      <w:r>
        <w:rPr>
          <w:rFonts w:hint="eastAsia" w:ascii="宋体" w:hAnsi="宋体" w:eastAsia="宋体" w:cs="宋体"/>
          <w:b w:val="0"/>
          <w:bCs w:val="0"/>
          <w:color w:val="auto"/>
          <w:sz w:val="24"/>
          <w:szCs w:val="24"/>
          <w:lang w:val="zh-CN" w:eastAsia="zh-CN"/>
        </w:rPr>
        <w:t>60万元</w:t>
      </w:r>
      <w:r>
        <w:rPr>
          <w:rFonts w:hint="eastAsia" w:ascii="宋体" w:hAnsi="宋体" w:eastAsia="宋体" w:cs="宋体"/>
          <w:b w:val="0"/>
          <w:bCs w:val="0"/>
          <w:color w:val="auto"/>
          <w:sz w:val="24"/>
          <w:szCs w:val="24"/>
          <w:lang w:val="en-US" w:eastAsia="zh-CN"/>
        </w:rPr>
        <w:t>/年</w:t>
      </w:r>
      <w:r>
        <w:rPr>
          <w:rFonts w:hint="eastAsia" w:ascii="宋体" w:hAnsi="宋体" w:eastAsia="宋体" w:cs="宋体"/>
          <w:b w:val="0"/>
          <w:bCs w:val="0"/>
          <w:color w:val="auto"/>
          <w:sz w:val="24"/>
          <w:szCs w:val="24"/>
          <w:lang w:val="zh-CN" w:eastAsia="zh-CN"/>
        </w:rPr>
        <w:t>；</w:t>
      </w:r>
      <w:r>
        <w:rPr>
          <w:rFonts w:hint="eastAsia" w:ascii="宋体" w:hAnsi="宋体" w:eastAsia="宋体" w:cs="宋体"/>
          <w:b w:val="0"/>
          <w:bCs w:val="0"/>
          <w:color w:val="auto"/>
          <w:sz w:val="24"/>
          <w:szCs w:val="24"/>
          <w:lang w:val="en-US" w:eastAsia="zh-CN"/>
        </w:rPr>
        <w:t>02包</w:t>
      </w:r>
      <w:r>
        <w:rPr>
          <w:rFonts w:hint="eastAsia" w:ascii="宋体" w:hAnsi="宋体" w:eastAsia="宋体" w:cs="宋体"/>
          <w:b w:val="0"/>
          <w:bCs w:val="0"/>
          <w:color w:val="auto"/>
          <w:sz w:val="24"/>
          <w:szCs w:val="24"/>
          <w:lang w:val="zh-CN" w:eastAsia="zh-CN"/>
        </w:rPr>
        <w:t>80万元</w:t>
      </w:r>
      <w:r>
        <w:rPr>
          <w:rFonts w:hint="eastAsia" w:ascii="宋体" w:hAnsi="宋体" w:eastAsia="宋体" w:cs="宋体"/>
          <w:b w:val="0"/>
          <w:bCs w:val="0"/>
          <w:color w:val="auto"/>
          <w:sz w:val="24"/>
          <w:szCs w:val="24"/>
          <w:lang w:val="en-US" w:eastAsia="zh-CN"/>
        </w:rPr>
        <w:t>/年</w:t>
      </w:r>
      <w:r>
        <w:rPr>
          <w:rFonts w:hint="eastAsia" w:ascii="宋体" w:hAnsi="宋体" w:eastAsia="宋体" w:cs="宋体"/>
          <w:b w:val="0"/>
          <w:bCs w:val="0"/>
          <w:color w:val="auto"/>
          <w:sz w:val="24"/>
          <w:szCs w:val="24"/>
          <w:lang w:val="zh-CN" w:eastAsia="zh-CN"/>
        </w:rPr>
        <w:t>；</w:t>
      </w:r>
      <w:r>
        <w:rPr>
          <w:rFonts w:hint="eastAsia" w:ascii="宋体" w:hAnsi="宋体" w:eastAsia="宋体" w:cs="宋体"/>
          <w:b w:val="0"/>
          <w:bCs w:val="0"/>
          <w:color w:val="auto"/>
          <w:sz w:val="24"/>
          <w:szCs w:val="24"/>
          <w:lang w:val="en-US" w:eastAsia="zh-CN"/>
        </w:rPr>
        <w:t>03</w:t>
      </w:r>
      <w:r>
        <w:rPr>
          <w:rFonts w:hint="eastAsia" w:ascii="宋体" w:hAnsi="宋体" w:eastAsia="宋体" w:cs="宋体"/>
          <w:b w:val="0"/>
          <w:bCs w:val="0"/>
          <w:color w:val="auto"/>
          <w:sz w:val="24"/>
          <w:szCs w:val="24"/>
          <w:lang w:val="zh-CN" w:eastAsia="zh-CN"/>
        </w:rPr>
        <w:t>包</w:t>
      </w:r>
      <w:r>
        <w:rPr>
          <w:rFonts w:hint="eastAsia" w:ascii="宋体" w:hAnsi="宋体" w:eastAsia="宋体" w:cs="宋体"/>
          <w:b w:val="0"/>
          <w:bCs w:val="0"/>
          <w:color w:val="auto"/>
          <w:sz w:val="24"/>
          <w:szCs w:val="24"/>
          <w:lang w:val="en-US" w:eastAsia="zh-CN"/>
        </w:rPr>
        <w:t>2319万元/年。</w:t>
      </w:r>
    </w:p>
    <w:p>
      <w:pPr>
        <w:pStyle w:val="460"/>
        <w:snapToGrid w:val="0"/>
        <w:spacing w:line="360" w:lineRule="auto"/>
        <w:ind w:firstLine="482" w:firstLineChars="200"/>
        <w:jc w:val="left"/>
        <w:rPr>
          <w:rFonts w:hint="eastAsia" w:ascii="宋体" w:hAnsi="宋体" w:eastAsia="宋体" w:cs="宋体"/>
          <w:b/>
          <w:bCs/>
          <w:color w:val="auto"/>
          <w:sz w:val="24"/>
          <w:szCs w:val="24"/>
        </w:rPr>
      </w:pPr>
      <w:r>
        <w:rPr>
          <w:rFonts w:hint="eastAsia" w:ascii="宋体" w:hAnsi="宋体" w:eastAsia="宋体" w:cs="宋体"/>
          <w:b/>
          <w:bCs/>
          <w:color w:val="auto"/>
          <w:sz w:val="24"/>
          <w:szCs w:val="24"/>
        </w:rPr>
        <w:t>二、采购项目主要内容及要求</w:t>
      </w:r>
    </w:p>
    <w:p>
      <w:pPr>
        <w:pStyle w:val="4"/>
        <w:tabs>
          <w:tab w:val="left" w:pos="720"/>
        </w:tabs>
        <w:spacing w:line="240" w:lineRule="auto"/>
        <w:ind w:firstLine="482"/>
        <w:rPr>
          <w:rFonts w:hint="eastAsia" w:ascii="宋体" w:hAnsi="宋体" w:eastAsia="宋体" w:cs="宋体"/>
          <w:bCs/>
          <w:color w:val="auto"/>
          <w:kern w:val="0"/>
          <w:sz w:val="24"/>
        </w:rPr>
      </w:pPr>
      <w:r>
        <w:rPr>
          <w:rFonts w:hint="eastAsia" w:ascii="宋体" w:hAnsi="宋体" w:eastAsia="宋体" w:cs="宋体"/>
          <w:bCs/>
          <w:color w:val="auto"/>
          <w:kern w:val="0"/>
          <w:sz w:val="24"/>
        </w:rPr>
        <w:t>01包：道路交安设施设计服务</w:t>
      </w:r>
    </w:p>
    <w:p>
      <w:pPr>
        <w:pStyle w:val="5"/>
        <w:bidi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服务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技术</w:t>
      </w:r>
      <w:r>
        <w:rPr>
          <w:rFonts w:hint="eastAsia" w:ascii="宋体" w:hAnsi="宋体" w:eastAsia="宋体" w:cs="宋体"/>
          <w:color w:val="auto"/>
          <w:sz w:val="24"/>
          <w:szCs w:val="24"/>
          <w:lang w:val="en-US" w:eastAsia="zh-CN"/>
        </w:rPr>
        <w:t>要求</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1</w:t>
      </w:r>
      <w:r>
        <w:rPr>
          <w:rFonts w:hint="eastAsia" w:ascii="宋体" w:hAnsi="宋体" w:eastAsia="宋体" w:cs="宋体"/>
          <w:bCs/>
          <w:color w:val="auto"/>
          <w:kern w:val="0"/>
          <w:sz w:val="24"/>
          <w:highlight w:val="none"/>
          <w:lang w:eastAsia="zh-CN"/>
        </w:rPr>
        <w:t>.</w:t>
      </w:r>
      <w:r>
        <w:rPr>
          <w:rFonts w:hint="eastAsia" w:ascii="宋体" w:hAnsi="宋体" w:eastAsia="宋体" w:cs="宋体"/>
          <w:bCs/>
          <w:color w:val="auto"/>
          <w:kern w:val="0"/>
          <w:sz w:val="24"/>
          <w:highlight w:val="none"/>
        </w:rPr>
        <w:t>项目内容</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本次招标范围的需要开展维护工作的道路交安设施初步设计、施工图设计、现场效果图设计、后续服务、施工配合、施工验收、协助编写汇报材料等工作。</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1.1参与采购人交通组织方案讨论或现场方案论证会，为采购人的方案制定提供技术支撑。</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1.2根据采购人交通组织方案制作路口、路段交通渠化方案设计，根据日常交安设施维护、维修、更换等工作所需，有针对性的绘制施工图设计。</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1.3参与采购人组织的道路交通工程设计方案的符合性审查工作；按采购人要求开展对采购人及设施维护施工公司的业务培训。</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1.4。负责采购人下达的交通工程专项设计任务的协调、推进等相关工作。</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1.5积极参与由采购人主导的交通安全设施的研发创新。</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1.6采购人交办的其它日常设计任务。</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1.7供应商应按采购人确定设计范围和设计要求，独立进行现场踏勘以及基础数据调查收集，独立完成初步设计方案报采购人审查，根据采购人审查意见和建议完善施工图设计方案。</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1.8参与采购人或采购人委托的监理单位组织的施工图设计现场交底，根据现场交底情况进一步修改设计方案，并出具正式的施工图设计。</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1.9在施工期间，供应商需根据施工现场情况制定设计变更方案。</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1.10参与采购人组织的道路交通工程竣工验收。</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1.11对采购人开展设计专业知识培训。</w:t>
      </w:r>
    </w:p>
    <w:p>
      <w:pPr>
        <w:pStyle w:val="5"/>
        <w:spacing w:line="240" w:lineRule="auto"/>
        <w:ind w:firstLine="482"/>
        <w:rPr>
          <w:rFonts w:hint="eastAsia" w:ascii="宋体" w:hAnsi="宋体" w:eastAsia="宋体" w:cs="宋体"/>
          <w:color w:val="auto"/>
          <w:highlight w:val="none"/>
        </w:rPr>
      </w:pPr>
      <w:r>
        <w:rPr>
          <w:rFonts w:hint="eastAsia" w:ascii="宋体" w:hAnsi="宋体" w:eastAsia="宋体" w:cs="宋体"/>
          <w:bCs/>
          <w:color w:val="auto"/>
          <w:kern w:val="0"/>
          <w:sz w:val="24"/>
          <w:highlight w:val="none"/>
        </w:rPr>
        <w:t>2</w:t>
      </w:r>
      <w:r>
        <w:rPr>
          <w:rFonts w:hint="eastAsia" w:ascii="宋体" w:hAnsi="宋体" w:eastAsia="宋体" w:cs="宋体"/>
          <w:bCs/>
          <w:color w:val="auto"/>
          <w:kern w:val="0"/>
          <w:sz w:val="24"/>
          <w:highlight w:val="none"/>
          <w:lang w:eastAsia="zh-CN"/>
        </w:rPr>
        <w:t>.</w:t>
      </w:r>
      <w:r>
        <w:rPr>
          <w:rFonts w:hint="eastAsia" w:ascii="宋体" w:hAnsi="宋体" w:eastAsia="宋体" w:cs="宋体"/>
          <w:bCs/>
          <w:color w:val="auto"/>
          <w:kern w:val="0"/>
          <w:sz w:val="24"/>
          <w:highlight w:val="none"/>
        </w:rPr>
        <w:t>服务及技术要求</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2.1供应商应按要求派遣设计</w:t>
      </w:r>
      <w:r>
        <w:rPr>
          <w:rFonts w:hint="eastAsia" w:ascii="宋体" w:hAnsi="宋体" w:eastAsia="宋体" w:cs="宋体"/>
          <w:color w:val="auto"/>
          <w:sz w:val="24"/>
          <w:highlight w:val="none"/>
          <w:lang w:eastAsia="zh-CN"/>
        </w:rPr>
        <w:t>师</w:t>
      </w:r>
      <w:r>
        <w:rPr>
          <w:rFonts w:hint="eastAsia" w:ascii="宋体" w:hAnsi="宋体" w:eastAsia="宋体" w:cs="宋体"/>
          <w:color w:val="auto"/>
          <w:sz w:val="24"/>
          <w:highlight w:val="none"/>
        </w:rPr>
        <w:t>2人、资料员1人，常驻成都市公安局双流区分局负责交通工程日常设计工作，设计人员按照采购人要求现场驻点工作制度，保持 24 小时通讯畅通，随时为采购人或采购人委托的监理公司、维护公司提供技术支撑。</w:t>
      </w:r>
    </w:p>
    <w:p>
      <w:pPr>
        <w:spacing w:line="24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设计服务</w:t>
      </w:r>
      <w:r>
        <w:rPr>
          <w:rFonts w:hint="eastAsia" w:ascii="宋体" w:hAnsi="宋体" w:eastAsia="宋体" w:cs="宋体"/>
          <w:color w:val="auto"/>
          <w:sz w:val="24"/>
          <w:highlight w:val="none"/>
        </w:rPr>
        <w:t>人员要求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szCs w:val="24"/>
          <w:highlight w:val="none"/>
        </w:rPr>
        <w:t>设计负责人</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人</w:t>
      </w:r>
      <w:r>
        <w:rPr>
          <w:rFonts w:hint="eastAsia" w:ascii="宋体" w:hAnsi="宋体" w:eastAsia="宋体" w:cs="宋体"/>
          <w:color w:val="auto"/>
          <w:sz w:val="24"/>
          <w:highlight w:val="none"/>
          <w:lang w:eastAsia="zh-CN"/>
        </w:rPr>
        <w:t>；设计师2人（常驻）；资料员1人（常驻）。</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2.2供应商需根据采购人作息时间安排驻场设计人员的上下班时间，严格请销假制度，迟到早退将纳入对供应商的考核。</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2.3本项目工程设计应达到下列现行中华人民共和国以及省、自治区、直辖市或行业的工程建设标准、规范的要求，包含但不仅限于以下标准。</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《中华人民共和国道路交通安全法》</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《中华人民共和国道路交通安全法实施条例》</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《道路交通标志和标线》（GB5768-2009）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《城市道路交通标志和标线设置规范》（GB51038-2015）</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《道路工程术语标准》（ GBJ124-88）</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《市政工程质量检验评定标准》（CJJ09-85）</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《道路交通信号控制机》（GB25280-2016）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《道路交通信号灯》（GB14887—2011）</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《道路交通信号灯设置与安装规范》（GB14886-2006）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《道路交通反光膜》（GB/T18833-2012）</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《地名 标志》（GB17733-2008）</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《钢结构设计规范》（GB 50017-2002）</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《成都市道路指路标志系统》（DB510100/T 129.1-2013）</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《城市道路施工作业交通组织规范》（GA/T900-2010）</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《公路交通安全设施设计细则》（JTG/T D81-2017）</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《公共场所双语标志英文译法》（第 1 部分：道路交通和旅游景点DB510100/T009-2006）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《成都市交通标志及信号灯设置规则》、《成都市新型路名牌设置原则》（采购人 2016 年制定）</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《公安交通管理外场设备基础设施施工通用要求》（GA/T652-2017）</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《道路交通标线质量要求和检测方法》（GB/T16311-2009）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《公路防撞桶》（GB/T 28650-2012）</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《道路交通防撞墩》（GA/T416-2003）</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《电气装置安装工程施工验收规范》GB50254、50255、50256、50257-2014</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《检查井盖》（GB23858-2009）及《成都市城市道路桥梁检查井盖监督管理技术规定》</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《建筑物防雷设计规范》（GB50057-2010）</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《钢筋混凝土设计规范》（GB50010-2010）</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注：上述“国家、行业、地方标准与规范”以及其他“国家、行业、地方标准与规范”中涉及的技术要求、相关标准发生变化的以最新标准为准。</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2.4设计图纸应清晰准确，图文相符，并在图纸的明显处标注图名、图例、设计时间、设计单位及其资质证书编号等内容。</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2.5设计成果应包含设计文本、图纸及附件，应当以书面和电子文件两种方式表达。</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2.6设计提交的评审内容包括设计文本、设计说明书、汇报方案等。</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2.7设计成果须经过采购人组织的相关专家审核通过，所有成果均应有符合要求的电子文档及相应的成果光盘，所有提供的图纸文件纸质文本 8 套，规格统一 A3(297mm×420mm)幅面，电子文本一套。</w:t>
      </w:r>
    </w:p>
    <w:p>
      <w:pPr>
        <w:pStyle w:val="5"/>
        <w:bidi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商务要求（实质性要求）</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rPr>
        <w:t>服务期限</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服务期限为贰年</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合同一年一签，</w:t>
      </w:r>
      <w:r>
        <w:rPr>
          <w:rFonts w:hint="eastAsia" w:ascii="宋体" w:hAnsi="宋体" w:eastAsia="宋体" w:cs="宋体"/>
          <w:color w:val="auto"/>
          <w:sz w:val="24"/>
          <w:highlight w:val="none"/>
        </w:rPr>
        <w:t>中标人在上一年考核合格后，方可签订下一年服务合同，考核不合格的，采购人有权终止合同并且不再续签下一年合同。</w:t>
      </w:r>
    </w:p>
    <w:p>
      <w:pPr>
        <w:spacing w:line="240" w:lineRule="auto"/>
        <w:ind w:firstLine="48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付款方式</w:t>
      </w:r>
    </w:p>
    <w:p>
      <w:pPr>
        <w:pStyle w:val="5"/>
        <w:spacing w:line="240" w:lineRule="auto"/>
        <w:ind w:firstLine="480"/>
        <w:rPr>
          <w:rFonts w:hint="eastAsia" w:ascii="宋体" w:hAnsi="宋体" w:eastAsia="宋体" w:cs="宋体"/>
          <w:b w:val="0"/>
          <w:color w:val="auto"/>
          <w:kern w:val="0"/>
          <w:sz w:val="24"/>
          <w:highlight w:val="none"/>
          <w:lang w:val="en-US"/>
        </w:rPr>
      </w:pPr>
      <w:r>
        <w:rPr>
          <w:rFonts w:hint="eastAsia" w:ascii="宋体" w:hAnsi="宋体" w:eastAsia="宋体" w:cs="宋体"/>
          <w:b w:val="0"/>
          <w:color w:val="auto"/>
          <w:kern w:val="0"/>
          <w:sz w:val="24"/>
          <w:highlight w:val="none"/>
          <w:lang w:val="en-US" w:eastAsia="zh-CN"/>
        </w:rPr>
        <w:t>采购人每月对中标人进行考核，然后根据考核得分情况支付费用。每月实际支付费用=中标价/12 - 1000×（100-考核得分）。采购人在收到中标人开具的发票后15日内完成支付。</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rPr>
        <w:t>严禁转包和分包</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严禁转包、分包，否则业主方有权解除合同，中标方负全责。</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4.</w:t>
      </w:r>
      <w:r>
        <w:rPr>
          <w:rFonts w:hint="eastAsia" w:ascii="宋体" w:hAnsi="宋体" w:eastAsia="宋体" w:cs="宋体"/>
          <w:bCs/>
          <w:color w:val="auto"/>
          <w:kern w:val="0"/>
          <w:sz w:val="24"/>
          <w:highlight w:val="none"/>
        </w:rPr>
        <w:t>考核办法</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  考核内容</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1.1考核工作由甲方具体组织。考核实行实时跟踪检查的办法进行。</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1.2本办法着重对乙方的履约情况进行考核。考核主要内容包括响应甲方指令时间；完成工作时限；工作完成的质量；完备、真实、清晰的设计资料；其他履约情况。</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1.3考核采用计分和扣款相结合的办法进行，满分为 100 分，60分至100分为合格，60 分以下为不合格。扣款按照扣1分对应扣1000元的比例方式进行。</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1.4对乙方的考核结果将作为每一次结算的重要依据。对于考核扣款将从每一次结算金额中直接扣除；对于完成任务差，乙方一年内连续两次或累计三次考核分数低于60分的，甲方有权终止合同并扣除履约保证金。</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1.5乙方对考核有异议的，应在3个工作日内向甲方提供书面申请，甲方应组织复核并在7个工作日内进行答复。</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1.6本考核办法为合同的重要组成部分，甲方和乙方严格按照本考核办法执行。同时乙方须遵守行业的相关规定。</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1.7在履约过程中，甲方有权单方面根据乙方履约情况等对本项目考核细则进行调整。</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1.8在上一年考核合格后，方可签订第二年合同，年度考核不合格，甲方有权终止合同。续签时，甲方有权根据乙方的履约情况对考核细则进行调整。</w:t>
      </w:r>
    </w:p>
    <w:p>
      <w:pPr>
        <w:pStyle w:val="89"/>
        <w:rPr>
          <w:rFonts w:hint="eastAsia" w:ascii="宋体" w:hAnsi="宋体" w:eastAsia="宋体" w:cs="宋体"/>
          <w:color w:val="auto"/>
          <w:highlight w:val="none"/>
        </w:rPr>
      </w:pP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2考核细则</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2.1甲方要对乙方承诺的服务人员等进行考核，发现与响应文件承诺不符的，第一次扣5分;第二次扣10分，第三次扣20分，第四次有权终止合同并扣除其全部履约保证金。服务人员因离职、意外、严重疾病等不可抗因素确需更换的，因在交接前的5个工作日内书面提出人员更换申请，并经甲方同意。更换人员身份、资历、级别、工作能力等应当对等，否则按旷工考核处理。</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2.2乙方指派的驻场设计人员上班迟到、早退的，按每次扣0.1分/人次累计扣除，旷工按每次扣 0.5分/人次按天数累计扣除，当月迟到、早退3次以上或旷工1天以上的，由乙方总工程师及以上级别的公司负责人作出书面检查，并更换驻场设计人员。</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2.3乙方指派的驻场设计人员未按规定时限或要求及时到达现场开展工作的，按每延迟1小时扣除0.5分累计扣款(不足1小时按1小时计算)。</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2.4未按时提交设计成果的，按每天1分累计扣分;超过3天还未提交设计文件的，按每天2分累计扣分(不足1天按 1 天计算)。</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2.5乙方提交的初步设计方案不符合交通组织、交通渠化要求的(由甲方认定)，每个送审方案扣除0.5分。因初步设计方案的设计质量问题，三次不达标的，从第三次开始计算，按每次1分累计扣分。</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2.6甲方发现施工图设计质量问题(设计文件不完整、路名错误、与现场情况不符、交通组织矛盾、信号灯杆标志杆以及基础与设计规范不符等），每处扣除0.5分。设计文件经甲方实施后，因设计图质量问题导致施工结果不符合现行规范要求的，每处扣1分，并承担一切由此产生的经济损失和法律责任后果。</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2.7乙方对甲方的业务咨询未及时答复的，每次扣0.1分；对甲方交通组织、交通渠化、交通设施方案论证工作不能提供有效的技术支撑服务的，每次扣1分。</w:t>
      </w:r>
    </w:p>
    <w:p>
      <w:pPr>
        <w:pStyle w:val="89"/>
        <w:ind w:firstLine="48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2.8乙方在各类书面资料编写、打印、存档等方面存在错误、缺失、不规范等问题的，每处扣1分，累计扣分。</w:t>
      </w:r>
    </w:p>
    <w:p>
      <w:pPr>
        <w:pStyle w:val="89"/>
        <w:ind w:firstLine="48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2.9乙方无故缺席甲方组织的工作会议、交安设施维护业务培训工作会、每月日常维护抽查考核验收工作的，每次扣 0.5分。</w:t>
      </w:r>
    </w:p>
    <w:p>
      <w:pPr>
        <w:pStyle w:val="89"/>
        <w:ind w:firstLine="48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2.10乙方工程师无故缺席甲方组织的涉及全区性的重大交通设计方案以及专项设计方案评审会的，每次扣 5分。</w:t>
      </w:r>
    </w:p>
    <w:p>
      <w:pPr>
        <w:pStyle w:val="89"/>
        <w:ind w:firstLine="48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2.11乙方不按甲方要求提交道路交通工程设计方案的符合性审查意见的，以及不按甲方要求开展业务培训的，每次扣1分。</w:t>
      </w:r>
    </w:p>
    <w:p>
      <w:pPr>
        <w:pStyle w:val="89"/>
        <w:ind w:firstLine="48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2.12乙方根据设计工作要求采集的道路宽度、流量等各类数据出现重大错误的，每次扣1分。</w:t>
      </w:r>
    </w:p>
    <w:p>
      <w:pPr>
        <w:pStyle w:val="89"/>
        <w:ind w:firstLine="48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2.13乙方不按甲方要求调派设计人员到现场处置施工过程中的设计问题的，每次扣1分。</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2.14甲方对乙方的履约过程实行三单制考核，视发现问题的轻重对应下达提示单、整改单、督办单，每张提示单扣除月绩效考核1分、每张整改单扣除月绩效考核3分、每张督办单扣除月绩效考核5分。考核扣分纳入当月考核。</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2.15驻场设计人员对交通工程设计任务的协调、衔接、推进工作不及时、不落实或不能准确传达甲方意图，造成专项设计工作延误的，由乙方总工程师及以上级别的公司负责人作出书面检查，并更换驻场设计人员，其专项设计工作任务时限不予延长，超出设计任务时限的将纳入考核。</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2.16由于乙方设计的交通安全设施存在不安全性，由此造成人员伤亡、财产损失等均由乙方承担一切责任，并负责事故的处理及赔偿事宜。造成交通安全事故的，甲方有权终止合同。</w:t>
      </w:r>
    </w:p>
    <w:p>
      <w:pPr>
        <w:pStyle w:val="2"/>
        <w:rPr>
          <w:rFonts w:hint="default" w:eastAsia="宋体"/>
          <w:b/>
          <w:bCs/>
          <w:color w:val="auto"/>
          <w:lang w:val="en-US" w:eastAsia="zh-CN"/>
        </w:rPr>
      </w:pPr>
      <w:r>
        <w:rPr>
          <w:rFonts w:hint="eastAsia" w:ascii="宋体" w:hAnsi="宋体" w:cs="宋体"/>
          <w:b/>
          <w:bCs/>
          <w:color w:val="auto"/>
          <w:sz w:val="24"/>
          <w:highlight w:val="none"/>
          <w:lang w:val="en-US" w:eastAsia="zh-CN"/>
        </w:rPr>
        <w:t>注：本项目所涉及的所有考核条款细则适用于本项目中所有派单件及招标文件中要求中标单位工作内容。</w:t>
      </w:r>
    </w:p>
    <w:p>
      <w:pPr>
        <w:spacing w:line="240" w:lineRule="auto"/>
        <w:ind w:firstLine="480"/>
        <w:rPr>
          <w:rFonts w:hint="eastAsia" w:ascii="宋体" w:hAnsi="宋体" w:eastAsia="宋体" w:cs="宋体"/>
          <w:b/>
          <w:bCs/>
          <w:color w:val="auto"/>
          <w:kern w:val="0"/>
          <w:sz w:val="24"/>
        </w:rPr>
      </w:pPr>
      <w:r>
        <w:rPr>
          <w:rFonts w:hint="eastAsia" w:ascii="宋体" w:hAnsi="宋体" w:eastAsia="宋体" w:cs="宋体"/>
          <w:b/>
          <w:bCs/>
          <w:color w:val="auto"/>
          <w:sz w:val="24"/>
        </w:rPr>
        <w:t>02包：</w:t>
      </w:r>
      <w:r>
        <w:rPr>
          <w:rFonts w:hint="eastAsia" w:ascii="宋体" w:hAnsi="宋体" w:eastAsia="宋体" w:cs="宋体"/>
          <w:b/>
          <w:bCs/>
          <w:color w:val="auto"/>
          <w:kern w:val="0"/>
          <w:sz w:val="24"/>
        </w:rPr>
        <w:t>道路交安设施维护监理服务</w:t>
      </w:r>
    </w:p>
    <w:p>
      <w:pPr>
        <w:pStyle w:val="5"/>
        <w:bidi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服务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技术</w:t>
      </w:r>
      <w:r>
        <w:rPr>
          <w:rFonts w:hint="eastAsia" w:ascii="宋体" w:hAnsi="宋体" w:eastAsia="宋体" w:cs="宋体"/>
          <w:color w:val="auto"/>
          <w:sz w:val="24"/>
          <w:szCs w:val="24"/>
          <w:lang w:val="en-US" w:eastAsia="zh-CN"/>
        </w:rPr>
        <w:t>要求</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 xml:space="preserve">1 </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rPr>
        <w:t>项目内容</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1.1向采购人提供总体监理大纲，并根据各类交安设施维护项目特点制定专项监理方案；</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1.2审查并考核施工方资质、履约能力等，并将审核考核意见报告采购人；</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1.3审查维护工程材料、材质及相关质量检测报告等资料；</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1.4审查施工方提交的施工组织方案、施工技术方案和施工进度计划，并监督实施，并形成进度监督台账；</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1.5审查施工方各项施工准备工作，下达开工令；</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1.6参与图纸会审，整理设计审核意见，参与施工图设计交底，并对施工全过程实施监督；</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1.7对隐蔽工程进行验收，并提供隐蔽工程验收记录表；</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1.8按照相关施工规范，审核施工质量是否符合相关项目合同文件要求，并对符合相关规范的已完工程量，签认施工方工程付款申请；</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1.9监理审核有施工方提请的变更方案，并向采购人报请变更方案，经采购人批准设计变更后，发布施工工程变更令；</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1.10审查工程使用的原材料、半成品、成品、构配件和设备的质量，按照行业规范和甲方要求进行抽样送检和监控工作；</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1.11监督施工方严格按照技术规范和设计文件施工，控制工程质量，重要工程部位督促施工方实施预控措施；</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1.12抽查工程施工质量，对隐蔽工程进行复验确认签证，参与工程质量事故的分析及处理；</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1.13全面掌握施工进度，分阶段进行进度控制、督促推进及时提出调整意见，并建立工程进度清单，上报采购人，接受采购人的检查；</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1.14协助处理合同纠纷和索赔事宜，协调采购人与施工方之间的争议； </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1.15监督检查安全生产，文明施工的实施；</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1.16编制监理工作月报、监理工作总结和质检运行报告，报采购人；</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1.17组织并参与道路改扩建工程交安设施初验以及竣工验收移交，审核竣工验收工程量及移交资料，对工程质量提出评价意见；</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1.18督促施工方整理合同文件、施工技术档案、基础数据资料；</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1.19审核竣工图纸和其他技术资料；</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1.20编制监理工作竣工资料和项目工程最终总结；负责工程缺陷期内的工程修复、检修、检验、检测等的相关监理工作；</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1.21签发交工验收证书和工程缺陷责任期终止证书；</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1.22签发最终支付申请；</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1.23组织施工方（包含受托方、供应商等）工程例会（每周一次），形成会议纪要，报采购人；</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1.24负责应急工作、重大活动时道路交安设施巡查、维护工作的监督检查；</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1.25根据甲方交安设施维护项目的特征有针对性的制定监理规划和各类项目的监理实施细则；</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1.26需对设备故障主材是修复或更换做出判断；</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1.27对交通事故损坏交安设施理赔工作的审核，现场监督核量，对维护公司计算的金额进行复核；</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1.28对废旧交安设施回收的审核工作，现场监督拆卸数量规格型号签署意见，废旧交安设施入库签证；</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1.29根据维护服务单位支付周期或采购人要求出具监理竣工验收报告；</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1.30投标人应满足高压日常维护（1、高压设备的运行维护:包括变压器、表箱、计量箱等高压设备的运行维护、安全隐患排除及设备安全监管。2、杆体、接地体、拉丝等的运行维护及安全隐患排除。3、10KV线路的运维维护及安全隐患排除等）监理工作需要。</w:t>
      </w:r>
      <w:r>
        <w:rPr>
          <w:rFonts w:hint="eastAsia" w:ascii="宋体" w:hAnsi="宋体" w:eastAsia="宋体" w:cs="宋体"/>
          <w:b/>
          <w:bCs/>
          <w:color w:val="auto"/>
          <w:sz w:val="24"/>
          <w:highlight w:val="none"/>
          <w:lang w:eastAsia="zh-CN"/>
        </w:rPr>
        <w:t>（提供承诺函、格式自拟）</w:t>
      </w:r>
      <w:r>
        <w:rPr>
          <w:rFonts w:hint="eastAsia" w:ascii="宋体" w:hAnsi="宋体" w:eastAsia="宋体" w:cs="宋体"/>
          <w:b/>
          <w:bCs/>
          <w:color w:val="auto"/>
          <w:sz w:val="24"/>
          <w:highlight w:val="none"/>
        </w:rPr>
        <w:t>（实质性要求）</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1.31投标人应在中标后30日内熟练掌握甲方交安设施监管流程，正式进场后，必须在交安设施监管流程中按要求开展监理工作。</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1.32完成采购人安排的其它紧急监理工作。</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 xml:space="preserve">2 </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rPr>
        <w:t>服务及技术要求</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2.1材料和设备生产、提供阶段</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按照相关合同对交通安全设施服务单位提供的材料和设备物资质量进行审核，采取现场监督，批次验收、抽样送检等形式（送检经费由</w:t>
      </w:r>
      <w:r>
        <w:rPr>
          <w:rFonts w:hint="eastAsia" w:ascii="宋体" w:hAnsi="宋体" w:eastAsia="宋体" w:cs="宋体"/>
          <w:color w:val="auto"/>
          <w:sz w:val="24"/>
          <w:highlight w:val="none"/>
          <w:lang w:val="en-US" w:eastAsia="zh-CN"/>
        </w:rPr>
        <w:t>03包中标供应商</w:t>
      </w:r>
      <w:r>
        <w:rPr>
          <w:rFonts w:hint="eastAsia" w:ascii="宋体" w:hAnsi="宋体" w:eastAsia="宋体" w:cs="宋体"/>
          <w:color w:val="auto"/>
          <w:sz w:val="24"/>
          <w:highlight w:val="none"/>
        </w:rPr>
        <w:t>承担），确保材料和设备物资达到质量要求。</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2.2施工准备阶段</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（1）审查施工单位提交的施工方案（含施工方式、施工内容、工程量、工期等），对施工组织设计中的质量安全措施、专项施工方案进行审查；</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（2）确认相关服务工作内容的真实性，确定工作实施方案； </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（3）检查施工单位工程质量控制及安全生产管理措施的可行性；</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（4）审查各项开工条件，将情况上报采购人。</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2.3施工阶段</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（1）检查任务实施状况、人员与实施方案的一致性；</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（2）制定对施工单位的人员、机具、设备等投标文件中承诺的其他内容进行检查计划，并书面向采购人报告检查情况。</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（3）验收隐蔽工程、分部分项工程，签署分项、分部工程和单项工程质量评定表，并根据维护服务单位支付周期向采购人书面报送相应情况；</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（4）对发现的质量问题应及时通知施工单位整改，并做好监理记录；</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（5）审查施工单位报送的工程材料、设施设备的质量证明资料，抽检进场的工程材料、设施设备的质量，并经三方签字确认；</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（6）监督施工单位认真处理施工中发生的一般质量事故，并形成专项记录备查；</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（7）对重大质量事故以及其他紧急情况立即报告采购人；</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（8）监督施工单位严格按工期组织施工，对施工单位未按计划进度施工的，中标人应在维护工作完成时限前1个工作日向采购人书面报告督促情况；</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（9）审查施工单位提交的施工进度计划，核查施工单位对施工进度计划的调整；</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（10）监理应对天气因素、地质灾害等不可抗力原因造成的施工延迟等情况予以书面认定，并向采购人报告；</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（11）对施工单位安全生产管理进行监督；</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督促施工单位进行安全自查工作，巡视巡查施工现场安全生产情况，对实施监理过程中，发现存在安全事故隐患的，应签发书面通知单，要求施工单位整改；情况严重的要及时下达工程暂停指令，并上报采购人。</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2.4竣工验收阶段</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（1）书面督促和检查施工单位及时整理竣工文件和验收资料；</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（2）审查施工单位提交的竣工验收申请，对竣工量进行确认，编写工程质量评估报告；</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（3）组织工程预验收，参加采购人组织的竣工验收，并签署竣工验收意见；</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（4）编制、整理工程监理归档文件并提交给采购人。</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2.5其他工作要求</w:t>
      </w:r>
    </w:p>
    <w:p>
      <w:pPr>
        <w:spacing w:line="24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(1)监理人员要求</w:t>
      </w:r>
      <w:r>
        <w:rPr>
          <w:rFonts w:hint="eastAsia" w:ascii="宋体" w:hAnsi="宋体" w:eastAsia="宋体" w:cs="宋体"/>
          <w:color w:val="auto"/>
          <w:sz w:val="24"/>
          <w:szCs w:val="24"/>
          <w:lang w:val="en-US" w:eastAsia="zh-CN"/>
        </w:rPr>
        <w:t>（实质性要求）</w:t>
      </w:r>
    </w:p>
    <w:p>
      <w:pPr>
        <w:spacing w:line="24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监理负责人</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人</w:t>
      </w:r>
      <w:r>
        <w:rPr>
          <w:rFonts w:hint="eastAsia" w:ascii="宋体" w:hAnsi="宋体" w:eastAsia="宋体" w:cs="宋体"/>
          <w:color w:val="auto"/>
          <w:sz w:val="24"/>
          <w:highlight w:val="none"/>
          <w:lang w:eastAsia="zh-CN"/>
        </w:rPr>
        <w:t>：具有行政主管部门颁发的全国注册监理工程师证书（注册专业为市政公用工程）；</w:t>
      </w:r>
    </w:p>
    <w:p>
      <w:pPr>
        <w:spacing w:line="24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项目监理工程师2人（常驻）</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均具有行政主管部门颁发的全国注册监理工程师证书（注册专业为市政工程）</w:t>
      </w:r>
      <w:r>
        <w:rPr>
          <w:rFonts w:hint="eastAsia" w:ascii="宋体" w:hAnsi="宋体" w:eastAsia="宋体" w:cs="宋体"/>
          <w:color w:val="auto"/>
          <w:sz w:val="24"/>
          <w:highlight w:val="none"/>
          <w:lang w:eastAsia="zh-CN"/>
        </w:rPr>
        <w:t>；</w:t>
      </w:r>
    </w:p>
    <w:p>
      <w:pPr>
        <w:spacing w:line="24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项目监理员2人（常驻）：均具有监理相关执业证书；</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项目资料员1人（常驻）</w:t>
      </w:r>
      <w:r>
        <w:rPr>
          <w:rFonts w:hint="eastAsia" w:ascii="宋体" w:hAnsi="宋体" w:eastAsia="宋体" w:cs="宋体"/>
          <w:color w:val="auto"/>
          <w:sz w:val="24"/>
          <w:highlight w:val="none"/>
          <w:lang w:eastAsia="zh-CN"/>
        </w:rPr>
        <w:t>。</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甲方有权根据工作量情况，要求临时增加相应人员</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（实质性要求）</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（2）每周工作例会和每月日常维护抽查考核验收工作应由中标人监理工程师牵头组织。</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（3）中标人应按交安设施监理工作的需要，配备交安设施管理系统的外场手持终端设备、电脑等，做好交安设施维护监理工作的资料收集、整理、上报（包含纸质、电子文档，摄影、摄像资料）等相关工作。</w:t>
      </w:r>
    </w:p>
    <w:p>
      <w:pPr>
        <w:spacing w:line="24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(4)中标人安排人员实施24小时工作制度（含法定假日)，在8小时工作时间内，须有监理人员在采购人指定的办公区域坐班，确保交安设施监理工作的正常开展。</w:t>
      </w:r>
    </w:p>
    <w:p>
      <w:pPr>
        <w:spacing w:line="24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(5)响应时间要求。接采购人通知后，中标人应按采购人规定的时限到达指定地点开展监理工作。 </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6）施工现场的监理人员必须按采购人规定的标准统一工作服装（背面喷涂白色“双流交安设施维护监理”字样），并穿戴反光背心，同时，必须严格按照安全施工的相关要求穿戴工作帽等安全防护配备，严格按要求做好安全防护技术措施。</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（7）中标人对施工方的工程验收合格后，应将《监理报告表》附在相对应的施工方验收资料中，作为施工方验收依据。</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（8）中标人需按照本项目各类交安设施维护工作（标志类、标线类、信号灯维护类、路名牌类、隔离护栏类、巡查维护类、电子警察前端维护类等）的监理规划和监理实施细则开展工作。</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（9）每周一向采购人提交监理日志；每月23日向采购人提供竣工验收资料。</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（10）本项目监理服务工作规范参照《建设工程质量管理条例》、《建设工程监理规范》、《建设工程安全生产管理条例》执行。</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（11）成交供应商应具有建设行政主管部门制定的资质评定标准相对应专业的检测机具、设备，满足采购人对监理服务的需求。</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（12）为保证交通安全设施监理工作效率及质量，供应商须具有驻地服务能力，投标人</w:t>
      </w:r>
      <w:r>
        <w:rPr>
          <w:rFonts w:hint="eastAsia" w:ascii="宋体" w:hAnsi="宋体" w:eastAsia="宋体" w:cs="宋体"/>
          <w:color w:val="auto"/>
          <w:sz w:val="24"/>
          <w:highlight w:val="none"/>
          <w:lang w:eastAsia="zh-CN"/>
        </w:rPr>
        <w:t>若</w:t>
      </w:r>
      <w:r>
        <w:rPr>
          <w:rFonts w:hint="eastAsia" w:ascii="宋体" w:hAnsi="宋体" w:eastAsia="宋体" w:cs="宋体"/>
          <w:color w:val="auto"/>
          <w:sz w:val="24"/>
          <w:highlight w:val="none"/>
        </w:rPr>
        <w:t>在成都市双流区设有长期的正式固定办事机构或分公司（须提供本公司/分公司营业执照或办事机构具体地址房屋租赁合同）；若投标人无本地化服务机构，须承诺若中标在收到中选通知书后15日内在成都</w:t>
      </w:r>
      <w:r>
        <w:rPr>
          <w:rFonts w:hint="eastAsia" w:ascii="宋体" w:hAnsi="宋体" w:eastAsia="宋体" w:cs="宋体"/>
          <w:color w:val="auto"/>
          <w:sz w:val="24"/>
          <w:highlight w:val="none"/>
          <w:lang w:eastAsia="zh-CN"/>
        </w:rPr>
        <w:t>市双流区范围内</w:t>
      </w:r>
      <w:r>
        <w:rPr>
          <w:rFonts w:hint="eastAsia" w:ascii="宋体" w:hAnsi="宋体" w:eastAsia="宋体" w:cs="宋体"/>
          <w:color w:val="auto"/>
          <w:sz w:val="24"/>
          <w:highlight w:val="none"/>
        </w:rPr>
        <w:t>设立办事机构或分公司（须提供相应承诺书）</w:t>
      </w:r>
      <w:r>
        <w:rPr>
          <w:rFonts w:hint="eastAsia" w:ascii="宋体" w:hAnsi="宋体" w:eastAsia="宋体" w:cs="宋体"/>
          <w:color w:val="auto"/>
          <w:sz w:val="24"/>
          <w:szCs w:val="24"/>
          <w:lang w:val="en-US" w:eastAsia="zh-CN"/>
        </w:rPr>
        <w:t>（实质性要求）</w:t>
      </w:r>
      <w:r>
        <w:rPr>
          <w:rFonts w:hint="eastAsia" w:ascii="宋体" w:hAnsi="宋体" w:eastAsia="宋体" w:cs="宋体"/>
          <w:color w:val="auto"/>
          <w:sz w:val="24"/>
          <w:highlight w:val="none"/>
        </w:rPr>
        <w:t>。</w:t>
      </w:r>
    </w:p>
    <w:p>
      <w:pPr>
        <w:spacing w:line="240" w:lineRule="auto"/>
        <w:ind w:firstLine="48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信号灯维护施工规范：</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（1）《中华人民共和国道路交通安全法》</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（2）《四川省〈中华人民共和国道路交通安全法〉实施办法》</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（3）《道路交通信号灯》 (GB14887－2011)</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（4）《道路交通信号控制机》（GB25280-2016）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（5）《太阳能黄闪信号灯》GA/T743-2007</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（6）《道路交通信号控制机安装规范》(GA/T 489-2016)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（7）《人行过街信号控制设置规范》(GA/T 851-2009)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（8）《城市道路交通信号控制方式适用规范》GA/T 527-2016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（9）《道路交通信号倒计时显示器》（GA/T 508-2014）</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（10）《道路交通信号灯设置与安装规范 》（GB 14886-2016）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（11）《结构用无缝钢管》（GB/T8162-2018）</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（12）《额定电压450/750V及以下聚氯乙烯绝缘电缆》GB/T5023-2008</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（13）《城镇道路养护技术规范》（CJJ36-2016）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（14）《建筑物防雷设计规范》（GB50057-2010）</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（15）《电气装置安装工程施工验收规范》GB50254、50255、50256、50257-2014</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（16）《检查井盖》（GB23858-2009）及《成都市城市道路桥梁检查井盖监督管理技术规定》</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（17）《成都市信号灯设置原则》</w:t>
      </w:r>
    </w:p>
    <w:p>
      <w:pPr>
        <w:spacing w:line="240" w:lineRule="auto"/>
        <w:ind w:firstLine="48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交通标志、标线维护施工规范：</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（1）《中华人民共和国道路交通安全法》</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（2）《道路交通标志和标线》（GB5768-2009）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（3）《道路交通反光膜》（GB/T18833－2012）</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（4）《钢筋混凝土设计规范》（GB50010-2010）</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（5）《公路交通标志和标线设置规范》（JTG D82-2009）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（6）《道路交通标志板及支撑件》（GB/T23827－2009）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（7）《公路交通安全设施设计规范》（JTG D81-2006）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（8）《公路交通安全设施设计细则》（JTG/T D81-2017）</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（9）《成都市道路指路标志系统》（DB510100/T129.3-2013）</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（10）《公共场所双语标志英文译法 第1部分：道路交通和旅游景点》（DB510100/T009-2006）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（11）《公路交通安全设施施工技术规范》（JTG F71-2006）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（12）《公路防撞桶》（GB/T 28650-2012）</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（13）《道路交通防撞墩》（GA/T416-2003）</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（14）《国家高速公路网相关标志更换工作实施技术指南》（2007.10）</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（15）《成都市道路交通设施设置指南》（2007.12）</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（16）《城市道路交通标志和标线设置规范》(GB51038-2015）</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（17）《钢结构用高强度大六角头螺栓、大六角螺母、垫圈技术条件》（GB/T1231-2006）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（18）《碳素结构钢》（GB/T700-2006）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（19）《结构用无缝钢管》（GB/T8162-2018）</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（20）《道路交通标线质量要求和检测方法》（GB/T16311-2009）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（21）《路面标线涂料》（JT/T280－2004）</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（22）《路面防滑涂料》（JTT 712-2008）</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（23）《道路预成形标线带》（GB T 24717-2009）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（24）《路面橡胶减速带》（JTT 713-2008）</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（25）《突起路标》（GBT 24725-2009）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（26）《雨夜公路交通反光标线质量要求和检测方法》（DB51/ T2429—2017）</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（27）《路面标线用玻璃珠》（GB/T24722-2009）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（28）《新施划路面标线初始逆反射光亮系数及检测方法》（GB/T21383-2008）</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（29）《成都市标志设置原则》、《成都市信号灯、标志整合设置原则》</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（30）标志反光膜要求：城市道路标志反光膜不低于Ⅳ类微棱镜型反光膜技术标准；快速路、高速路标志反光膜不低于Ⅴ类微棱镜型反光膜技术标准。</w:t>
      </w:r>
    </w:p>
    <w:p>
      <w:pPr>
        <w:spacing w:line="240" w:lineRule="auto"/>
        <w:ind w:firstLine="48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2.8护栏（含隔离护栏、隔离桩、隐形护栏、铁链护栏等）施工规范：</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（1）《金属覆盖层钢铁制件热浸镀锌层技术要求及试验方法》（GB/T 13912-2002）；</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（2）《道路交通反光膜》（GB/T18833-2012）；</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（3）《焊接钢管尺寸及单位长度重量》（GB/T21835-2008）；</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（4）《热固性粉末涂料》(HG 2006-2006)；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（5）《低压流体输送焊接钢管》（GB/T3091-2015）；</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"http://www.docin.com/p-258170119.html" \t "docin_p_end" \o "GB_9439-1988(灰口铸铁件国标）"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highlight w:val="none"/>
        </w:rPr>
        <w:t>《灰铸铁件</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》（GB/T 9439-2010）；</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"http://www.docin.com/p-258170119.html" \t "docin_p_end" \o "GB_9439-1988(灰口铸铁件国标）"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highlight w:val="none"/>
        </w:rPr>
        <w:t>《球墨铸铁件</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》（GB/T 1348-2009）；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（8）《铸件尺寸公差与机械加工余量》(GB/T 6414-1999)；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（9）《建筑钢结构焊接技术规程》(JGJ 81-2002)；</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"http://www.51gcs.com/resources/47710" \t "_blank"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highlight w:val="none"/>
        </w:rPr>
        <w:t>《工程建设施工现场焊接目视检验规程</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》（CECS 71-1994）；</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（11）《隔离栅技术条件》（JT/T374-1998）；</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（12）《高速公路交通工程钢结构防腐技术条件》（GB/T18226-2015）；</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（13）《城镇道路工程施工与质量验收规范》（CJJ 1-2008）</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（14）《城镇道路养护技术规范》（CJJ  36-2016）。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（15）护栏反光膜要求：城市道路标志反光膜不低于Ⅳ类微棱镜型反光膜技术标准；快速路、高速路标志反光膜不低于Ⅴ类微棱镜型反光膜技术标准。</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2.9地名标示标牌施工规范：</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（1）《道路交通标志和标线》（GB5768-2009）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（2）《城市道路交通标志和标线设置规范》(GB51038-2015）</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（3）《道路交通反光膜》（GB/T18833－2012）</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（4）《钢筋混凝土设计规范》（GB50010-2010）</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（5）《成都市路名牌设置原则》</w:t>
      </w:r>
    </w:p>
    <w:p>
      <w:pPr>
        <w:spacing w:line="240" w:lineRule="auto"/>
        <w:ind w:firstLine="480"/>
        <w:rPr>
          <w:rFonts w:hint="eastAsia" w:ascii="宋体" w:hAnsi="宋体" w:eastAsia="宋体" w:cs="宋体"/>
          <w:color w:val="auto"/>
          <w:highlight w:val="none"/>
        </w:rPr>
      </w:pPr>
      <w:r>
        <w:rPr>
          <w:rFonts w:hint="eastAsia" w:ascii="宋体" w:hAnsi="宋体" w:eastAsia="宋体" w:cs="宋体"/>
          <w:color w:val="auto"/>
          <w:sz w:val="24"/>
          <w:highlight w:val="none"/>
        </w:rPr>
        <w:t>注：上述“国家、行业、地方标准与规范”中涉及的技术要求、相关标准发生变化的，以最新标准为准。</w:t>
      </w:r>
    </w:p>
    <w:p>
      <w:pPr>
        <w:pStyle w:val="5"/>
        <w:bidi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商务要求（实质性要求）</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rPr>
        <w:t>服务期限</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服务期限为贰年</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合同一年一签，</w:t>
      </w:r>
      <w:r>
        <w:rPr>
          <w:rFonts w:hint="eastAsia" w:ascii="宋体" w:hAnsi="宋体" w:eastAsia="宋体" w:cs="宋体"/>
          <w:color w:val="auto"/>
          <w:sz w:val="24"/>
          <w:highlight w:val="none"/>
        </w:rPr>
        <w:t>中标人在上一年考核合格后，方可签订下一年服务合同，考核不合格的，采购人有权终止合同并且不再续签下一年合同。</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rPr>
        <w:t>付款方式</w:t>
      </w:r>
    </w:p>
    <w:p>
      <w:pPr>
        <w:pStyle w:val="5"/>
        <w:spacing w:line="240" w:lineRule="auto"/>
        <w:ind w:firstLine="480"/>
        <w:rPr>
          <w:rFonts w:hint="eastAsia" w:ascii="宋体" w:hAnsi="宋体" w:eastAsia="宋体" w:cs="宋体"/>
          <w:b w:val="0"/>
          <w:color w:val="auto"/>
          <w:kern w:val="0"/>
          <w:sz w:val="24"/>
          <w:highlight w:val="none"/>
          <w:lang w:val="en-US"/>
        </w:rPr>
      </w:pPr>
      <w:r>
        <w:rPr>
          <w:rFonts w:hint="eastAsia" w:ascii="宋体" w:hAnsi="宋体" w:eastAsia="宋体" w:cs="宋体"/>
          <w:b w:val="0"/>
          <w:color w:val="auto"/>
          <w:kern w:val="0"/>
          <w:sz w:val="24"/>
          <w:highlight w:val="none"/>
          <w:lang w:val="en-US" w:eastAsia="zh-CN"/>
        </w:rPr>
        <w:t>采购人每月对中标人进行考核，然后根据考核得分情况支付费用。每月实际支付费用=中标价/12 - 1000×（100-考核得分）。采购人在收到中标人开具的发票后15日内完成支付。</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rPr>
        <w:t>严禁转包和分包</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严禁转包、分包，否则业主方将解除合同，中标方负全责。</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4.</w:t>
      </w:r>
      <w:r>
        <w:rPr>
          <w:rFonts w:hint="eastAsia" w:ascii="宋体" w:hAnsi="宋体" w:eastAsia="宋体" w:cs="宋体"/>
          <w:bCs/>
          <w:color w:val="auto"/>
          <w:kern w:val="0"/>
          <w:sz w:val="24"/>
          <w:highlight w:val="none"/>
        </w:rPr>
        <w:t>考核办法</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6.1  考核内容</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1.1考核工作由甲方具体组织。考核实行实时跟踪检查的办法进行。监理工作时间为全时段。</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1.2本办法着重对乙方的履约情况进行考核。考核主要内容包括响应时间、上报合格资料的时间、完成时限、投标中承诺事项、工作质量等履约情况。</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1.3考核采用计分和扣款相结合的办法进行，满分为 100 分，70分至100分为合格，70 分以下为不合格。扣款按照扣1分对应扣1000元的比例方式进行。</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1.4对乙方的考核结果将作为每一次结算的重要依据。对于考核扣款将从每一次结算金额中直接扣除；对于完成任务差，乙方一年内连续两次或累计三次考核分数低于70分的，甲方有权终止合同并扣除履约保证金。</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1.5乙方对考核有异议的，应在3个工作日内向甲方提供书面申请，甲方应组织复核并在7个工作日内进行答复。</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1.6本考核办法为合同的重要组成部分，甲方和乙方严格按照本考核办法执行。同时乙方须遵守行业的相关规定。</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1.7在履约过程中，甲方有权单方面根据乙方履约情况等对本项目考核细则进行调整。</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1.8在上一年考核合格后，方可签订第二年合同，年度考核不合格，甲方有权终止合同。续签时，甲方有权根据乙方的履约情况对考核细则进行调整。</w:t>
      </w:r>
    </w:p>
    <w:p>
      <w:pPr>
        <w:spacing w:line="240" w:lineRule="auto"/>
        <w:ind w:firstLine="480"/>
        <w:rPr>
          <w:rFonts w:hint="eastAsia" w:ascii="宋体" w:hAnsi="宋体" w:eastAsia="宋体" w:cs="宋体"/>
          <w:color w:val="auto"/>
          <w:sz w:val="24"/>
          <w:highlight w:val="none"/>
        </w:rPr>
      </w:pP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2考核细则</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2.1甲方要对乙方承诺的服务人员等进行考核，发现与响应文件承诺不符的，第一次扣5分;第二次扣10分，第三次扣20分，第四次有权终止合同并扣除其全部履约保证金。服务人员因离职、意外、严重疾病等不可抗因素确需更换的，因在交接前的5个工作日内书面提出人员更换申请，并经甲方同意。更换人员身份、资历、级别、工作能力等应当对等，否则按旷工考核处理。</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2.2未按规定时限或要求及时到达现场开展工作的，按每延迟1小时扣0.2分款累计扣除(不足1 小时按 1 小时计算)。</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2.3乙方应在维护工作完成时限前向甲方书面报告督促情况，一般维护工作(由甲方认定)未督促维护单位按规定时限完成，按每延迟1日扣0.5分款累计扣除(不足 1 日按 1 日计算);应急工作(由甲方认定)未督促维护单位按规定时限完成，每延迟1小时扣0.5分累计扣除(不足1 小时按 1小时计算)。</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2.4未按时向甲方上报监理报告、验收资料的，若不上报资料或因故不能按时报送的，必须以书面形式经公司法人签章后向甲方报告，对乙方未向甲方报送或延迟上报，且未按要求进行书面报告的，按照每延迟一天扣除0.5分累计扣除；未能提供监理管理工作相关记录资料的，每次扣2分；弄虚作假的，业主方有权终止服务合同，并扣除全部履约保证金，且不支付当月费用，监理单位负相关经济和法律全责。</w:t>
      </w:r>
    </w:p>
    <w:p>
      <w:pPr>
        <w:pStyle w:val="89"/>
        <w:ind w:firstLine="48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2.5未严格实施现场监督，对施工单位的货物、服务、施工出现质量不达标、以次充好等情况，以及对实际施工工程量把关不严或施工单位虚报工作量未及时发现的，每发现一次扣2分。</w:t>
      </w:r>
    </w:p>
    <w:p>
      <w:pPr>
        <w:pStyle w:val="89"/>
        <w:ind w:firstLine="48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2.6甲方发现乙方提供的相关签证、工作印证资料存在不符合相关标准或存在其它弄虚作假的，甲方有权解除合同，合同解除时间自甲方重新确定新的成交人进场履约之日起，乙方应向新的成交人交接工作，不得出现因乙方未对工作交接清楚，造成甲方工作延误的情况，解除合同导致的损失由乙方自行承担。</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2.7乙方在履约期间累计出现三次响应延迟的，甲方有权解除合同，合同解除时间自甲方重新确定的新成交人进场履约之日起，乙方应向新成交人交接工作，不得出现因乙方未对工作交接清楚，造成甲方工作延误的情况，解除合同导致的损失由乙方自行承担。</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2.8乙方在履约期间累计出现三次考核分值低于70 分的，甲方有权解除合同，合同解除时间自甲方重新确定新的成交人进场履约之日起。乙方应向新的成交人交接工作，不得出现因乙方未对工作交接清楚，造成甲方工作延误的情况，解除合同导致的损失由乙方自行承担。</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2.9施工作业现场人员未按要求着装，每人/次扣0.2分;施工作业现场安全措施不到位，未规范设置反光锥形桶等安全警告标志，无施工管理人员、每处扣1分;凡违规施工、冒险作业造成交通拥堵、安全事故等违反安全文明施工要求的行为，扣2分，并由乙方承担一切法律和经济责任。</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2.10乙方无故缺席甲方组织的工作例会、日常维护考核验收工作以及维护工作评议会的，每次扣1分。</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2.11乙方在服务过程中，造成负面舆情的，扣5分，同时必须整改，整改费用自行承担。</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2.12甲方对乙方的履约过程实行三单制考核，视发现问题的轻重对应下达提示单、整改单、督办单，每张提示单扣除月绩效考核1分、每张整改单扣除月绩效考核3分、每张督办单扣除月绩效考核5分。考核扣分纳入当月考核。</w:t>
      </w:r>
    </w:p>
    <w:p>
      <w:pPr>
        <w:pStyle w:val="89"/>
        <w:ind w:firstLine="482" w:firstLineChars="200"/>
        <w:rPr>
          <w:rFonts w:hint="eastAsia" w:ascii="宋体" w:hAnsi="宋体" w:eastAsia="宋体" w:cs="宋体"/>
          <w:b/>
          <w:bCs/>
          <w:color w:val="auto"/>
          <w:szCs w:val="20"/>
          <w:highlight w:val="none"/>
        </w:rPr>
      </w:pPr>
      <w:r>
        <w:rPr>
          <w:rFonts w:hint="eastAsia" w:hAnsi="宋体" w:cs="宋体"/>
          <w:b/>
          <w:bCs/>
          <w:color w:val="auto"/>
          <w:szCs w:val="20"/>
          <w:highlight w:val="none"/>
          <w:lang w:val="en-US" w:eastAsia="zh-CN"/>
        </w:rPr>
        <w:t>注：</w:t>
      </w:r>
      <w:r>
        <w:rPr>
          <w:rFonts w:hint="eastAsia" w:ascii="宋体" w:hAnsi="宋体" w:eastAsia="宋体" w:cs="宋体"/>
          <w:b/>
          <w:bCs/>
          <w:color w:val="auto"/>
          <w:szCs w:val="20"/>
          <w:highlight w:val="none"/>
        </w:rPr>
        <w:t>本项目所涉及的所有考核条款细则适用于本项目中所有派单件及招标文件中要求中标单位工作内容。</w:t>
      </w:r>
    </w:p>
    <w:p>
      <w:pPr>
        <w:pStyle w:val="4"/>
        <w:tabs>
          <w:tab w:val="left" w:pos="720"/>
        </w:tabs>
        <w:spacing w:line="240" w:lineRule="auto"/>
        <w:ind w:firstLine="482"/>
        <w:rPr>
          <w:rFonts w:hint="eastAsia" w:ascii="宋体" w:hAnsi="宋体" w:eastAsia="宋体" w:cs="宋体"/>
          <w:bCs/>
          <w:color w:val="auto"/>
          <w:kern w:val="0"/>
          <w:sz w:val="24"/>
        </w:rPr>
      </w:pPr>
      <w:r>
        <w:rPr>
          <w:rFonts w:hint="eastAsia" w:ascii="宋体" w:hAnsi="宋体" w:eastAsia="宋体" w:cs="宋体"/>
          <w:bCs/>
          <w:color w:val="auto"/>
          <w:kern w:val="0"/>
          <w:sz w:val="24"/>
          <w:lang w:eastAsia="zh-CN"/>
        </w:rPr>
        <w:t>（</w:t>
      </w:r>
      <w:r>
        <w:rPr>
          <w:rFonts w:hint="eastAsia" w:ascii="宋体" w:hAnsi="宋体" w:eastAsia="宋体" w:cs="宋体"/>
          <w:bCs/>
          <w:color w:val="auto"/>
          <w:kern w:val="0"/>
          <w:sz w:val="24"/>
          <w:lang w:val="en-US" w:eastAsia="zh-CN"/>
        </w:rPr>
        <w:t>三</w:t>
      </w:r>
      <w:r>
        <w:rPr>
          <w:rFonts w:hint="eastAsia" w:ascii="宋体" w:hAnsi="宋体" w:eastAsia="宋体" w:cs="宋体"/>
          <w:bCs/>
          <w:color w:val="auto"/>
          <w:kern w:val="0"/>
          <w:sz w:val="24"/>
          <w:lang w:eastAsia="zh-CN"/>
        </w:rPr>
        <w:t>）</w:t>
      </w:r>
      <w:r>
        <w:rPr>
          <w:rFonts w:hint="eastAsia" w:ascii="宋体" w:hAnsi="宋体" w:eastAsia="宋体" w:cs="宋体"/>
          <w:bCs/>
          <w:color w:val="auto"/>
          <w:kern w:val="0"/>
          <w:sz w:val="24"/>
        </w:rPr>
        <w:t>03包：道路交安设施维护服务</w:t>
      </w:r>
    </w:p>
    <w:p>
      <w:pPr>
        <w:pStyle w:val="5"/>
        <w:bidi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服务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技术</w:t>
      </w:r>
      <w:r>
        <w:rPr>
          <w:rFonts w:hint="eastAsia" w:ascii="宋体" w:hAnsi="宋体" w:eastAsia="宋体" w:cs="宋体"/>
          <w:color w:val="auto"/>
          <w:sz w:val="24"/>
          <w:szCs w:val="24"/>
          <w:lang w:val="en-US" w:eastAsia="zh-CN"/>
        </w:rPr>
        <w:t>要求</w:t>
      </w:r>
    </w:p>
    <w:p>
      <w:pPr>
        <w:spacing w:line="240" w:lineRule="auto"/>
        <w:ind w:firstLine="48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1 </w:t>
      </w:r>
      <w:r>
        <w:rPr>
          <w:rFonts w:hint="eastAsia" w:ascii="宋体" w:hAnsi="宋体" w:eastAsia="宋体" w:cs="宋体"/>
          <w:b/>
          <w:bCs/>
          <w:color w:val="auto"/>
          <w:sz w:val="24"/>
          <w:highlight w:val="none"/>
          <w:lang w:val="en-US" w:eastAsia="zh-CN"/>
        </w:rPr>
        <w:t>.</w:t>
      </w:r>
      <w:r>
        <w:rPr>
          <w:rFonts w:hint="eastAsia" w:ascii="宋体" w:hAnsi="宋体" w:eastAsia="宋体" w:cs="宋体"/>
          <w:b/>
          <w:bCs/>
          <w:color w:val="auto"/>
          <w:sz w:val="24"/>
          <w:highlight w:val="none"/>
        </w:rPr>
        <w:t>项目内容</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本次招标范围的道路交安设施维护管理工作。</w:t>
      </w:r>
    </w:p>
    <w:p>
      <w:pPr>
        <w:spacing w:line="240" w:lineRule="auto"/>
        <w:ind w:firstLine="48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2 </w:t>
      </w:r>
      <w:r>
        <w:rPr>
          <w:rFonts w:hint="eastAsia" w:ascii="宋体" w:hAnsi="宋体" w:eastAsia="宋体" w:cs="宋体"/>
          <w:b/>
          <w:bCs/>
          <w:color w:val="auto"/>
          <w:sz w:val="24"/>
          <w:highlight w:val="none"/>
          <w:lang w:val="en-US" w:eastAsia="zh-CN"/>
        </w:rPr>
        <w:t>.</w:t>
      </w:r>
      <w:r>
        <w:rPr>
          <w:rFonts w:hint="eastAsia" w:ascii="宋体" w:hAnsi="宋体" w:eastAsia="宋体" w:cs="宋体"/>
          <w:b/>
          <w:bCs/>
          <w:color w:val="auto"/>
          <w:sz w:val="24"/>
          <w:highlight w:val="none"/>
        </w:rPr>
        <w:t>服务及技术要求</w:t>
      </w:r>
    </w:p>
    <w:p>
      <w:pPr>
        <w:spacing w:line="24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2.1维护人员要求</w:t>
      </w:r>
      <w:r>
        <w:rPr>
          <w:rFonts w:hint="eastAsia" w:ascii="宋体" w:hAnsi="宋体" w:eastAsia="宋体" w:cs="宋体"/>
          <w:color w:val="auto"/>
          <w:sz w:val="24"/>
          <w:szCs w:val="24"/>
          <w:lang w:val="en-US" w:eastAsia="zh-CN"/>
        </w:rPr>
        <w:t>（实质性要求）</w:t>
      </w:r>
    </w:p>
    <w:p>
      <w:pPr>
        <w:spacing w:line="240" w:lineRule="auto"/>
        <w:ind w:firstLine="480"/>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highlight w:val="none"/>
          <w:lang w:val="en-US" w:eastAsia="zh-CN"/>
        </w:rPr>
        <w:t>维护人员不少于30人（常驻）。</w:t>
      </w:r>
      <w:r>
        <w:rPr>
          <w:rFonts w:hint="eastAsia" w:ascii="宋体" w:hAnsi="宋体" w:eastAsia="宋体" w:cs="宋体"/>
          <w:b/>
          <w:bCs/>
          <w:color w:val="auto"/>
          <w:sz w:val="24"/>
          <w:highlight w:val="none"/>
          <w:lang w:val="en-US" w:eastAsia="zh-CN"/>
        </w:rPr>
        <w:t>（提供承诺函、格式自拟）</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 xml:space="preserve"> 按照业主方要求，开展各项交安设施维护和管理工作。</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承担施工所需的甲方及其他外单位的所有审批手续、递交材料、申请、协调等所有工作。同时做好降尘、防噪、渣土清理、安全保障等工作，并派人值守，避免出现钢板移位、围板倒伏等情况，确保施工期间行人及车辆通行安全，路面恢复完毕后撤场，确保交通安全。 </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制作交安设施基础数据库、维护工作相关台账、专项工作资料、任务报告书等。</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在业务工作开展过程中接受业主方、设计方、监理方管理。</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维护单位的工程车辆和巡查车辆必须安装业主单位的GPS系统，费用自理。</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必须满足现行国标规范和成都市最新地方标准相关要求。</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无条件相应应急处置工作；无条件服从重大警卫、重大活动、特殊任务等工作安排。</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及时处置投诉、索赔等事宜。</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必须满足甲方提出的人员、机具、车辆、设备等增加需求，以便保质保量完成重大、紧急工作任务。</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仓库内的交安设施等物品在签订中标合同后的1个月内完成移交工作，搬运、运输、存放等过程中产生的一切安全问题及费用由中标方承担。</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中标方每月需填写《交安设施隐患问题承诺函》（加盖公章）报业主方存档，承诺全辖区维护范围内道路交安隐患问题归零，由交安设施隐患造成一切人员伤亡、财产损失等问题由中标方承担。</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2.1</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完成业主方交办的其他工作任务。</w:t>
      </w:r>
    </w:p>
    <w:p>
      <w:pPr>
        <w:pStyle w:val="5"/>
        <w:bidi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商务要求（实质性要求）</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rPr>
        <w:t xml:space="preserve"> 服务期限</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服务期限为贰年</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合同一年一签，</w:t>
      </w:r>
      <w:r>
        <w:rPr>
          <w:rFonts w:hint="eastAsia" w:ascii="宋体" w:hAnsi="宋体" w:eastAsia="宋体" w:cs="宋体"/>
          <w:color w:val="auto"/>
          <w:sz w:val="24"/>
          <w:highlight w:val="none"/>
        </w:rPr>
        <w:t>中标人在上一年考核合格后，方可签订下一年服务合同，考核不合格的，采购人有权终止合同并且不再续签下一年合同。</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rPr>
        <w:t>付款方式</w:t>
      </w:r>
    </w:p>
    <w:p>
      <w:pPr>
        <w:pStyle w:val="5"/>
        <w:spacing w:line="240" w:lineRule="auto"/>
        <w:ind w:firstLine="480"/>
        <w:rPr>
          <w:rFonts w:hint="eastAsia" w:ascii="宋体" w:hAnsi="宋体" w:eastAsia="宋体" w:cs="宋体"/>
          <w:b w:val="0"/>
          <w:bCs/>
          <w:color w:val="auto"/>
          <w:kern w:val="0"/>
          <w:sz w:val="24"/>
          <w:highlight w:val="none"/>
          <w:lang w:val="en-US" w:eastAsia="zh-CN"/>
        </w:rPr>
      </w:pPr>
      <w:r>
        <w:rPr>
          <w:rFonts w:hint="eastAsia" w:ascii="宋体" w:hAnsi="宋体" w:eastAsia="宋体" w:cs="宋体"/>
          <w:b w:val="0"/>
          <w:bCs/>
          <w:color w:val="auto"/>
          <w:sz w:val="24"/>
          <w:highlight w:val="none"/>
          <w:lang w:val="en-US" w:eastAsia="zh-CN"/>
        </w:rPr>
        <w:t>每月对维护内容进行考核，然后根据维护工程量和考核情况据实支付。每月实际支付费用=</w:t>
      </w:r>
      <w:r>
        <w:rPr>
          <w:rFonts w:hint="eastAsia" w:ascii="宋体" w:hAnsi="宋体" w:eastAsia="宋体" w:cs="宋体"/>
          <w:b w:val="0"/>
          <w:bCs/>
          <w:color w:val="auto"/>
          <w:sz w:val="24"/>
          <w:highlight w:val="none"/>
          <w:lang w:val="en-US" w:eastAsia="zh-Hans"/>
        </w:rPr>
        <w:t>（各分部分项</w:t>
      </w:r>
      <w:r>
        <w:rPr>
          <w:rFonts w:hint="eastAsia" w:ascii="宋体" w:hAnsi="宋体" w:eastAsia="宋体" w:cs="宋体"/>
          <w:b w:val="0"/>
          <w:bCs/>
          <w:color w:val="auto"/>
          <w:sz w:val="24"/>
          <w:highlight w:val="none"/>
          <w:lang w:val="en-US" w:eastAsia="zh-CN"/>
        </w:rPr>
        <w:t>维护工程量*</w:t>
      </w:r>
      <w:r>
        <w:rPr>
          <w:rFonts w:hint="eastAsia" w:ascii="宋体" w:hAnsi="宋体" w:eastAsia="宋体" w:cs="宋体"/>
          <w:b w:val="0"/>
          <w:bCs/>
          <w:color w:val="auto"/>
          <w:sz w:val="24"/>
          <w:highlight w:val="none"/>
          <w:lang w:val="en-US" w:eastAsia="zh-Hans"/>
        </w:rPr>
        <w:t>对应</w:t>
      </w:r>
      <w:r>
        <w:rPr>
          <w:rFonts w:hint="eastAsia" w:ascii="宋体" w:hAnsi="宋体" w:eastAsia="宋体" w:cs="宋体"/>
          <w:b w:val="0"/>
          <w:bCs/>
          <w:color w:val="auto"/>
          <w:sz w:val="24"/>
          <w:highlight w:val="none"/>
          <w:lang w:val="en-US" w:eastAsia="zh-CN"/>
        </w:rPr>
        <w:t>中标单价</w:t>
      </w:r>
      <w:r>
        <w:rPr>
          <w:rFonts w:hint="eastAsia" w:ascii="宋体" w:hAnsi="宋体" w:eastAsia="宋体" w:cs="宋体"/>
          <w:b w:val="0"/>
          <w:bCs/>
          <w:color w:val="auto"/>
          <w:sz w:val="24"/>
          <w:highlight w:val="none"/>
          <w:lang w:val="en-US" w:eastAsia="zh-Hans"/>
        </w:rPr>
        <w:t>累加之和）</w:t>
      </w:r>
      <w:r>
        <w:rPr>
          <w:rFonts w:hint="eastAsia" w:ascii="宋体" w:hAnsi="宋体" w:eastAsia="宋体" w:cs="宋体"/>
          <w:b w:val="0"/>
          <w:bCs/>
          <w:color w:val="auto"/>
          <w:sz w:val="24"/>
          <w:highlight w:val="none"/>
          <w:lang w:val="en-US" w:eastAsia="zh-CN"/>
        </w:rPr>
        <w:t>-（100-考核得分）*5000。</w:t>
      </w:r>
      <w:r>
        <w:rPr>
          <w:rFonts w:hint="eastAsia" w:ascii="宋体" w:hAnsi="宋体" w:eastAsia="宋体" w:cs="宋体"/>
          <w:b w:val="0"/>
          <w:bCs/>
          <w:color w:val="auto"/>
          <w:kern w:val="0"/>
          <w:sz w:val="24"/>
          <w:highlight w:val="none"/>
          <w:lang w:val="en-US" w:eastAsia="zh-CN"/>
        </w:rPr>
        <w:t>采购人在收到中标人开具的发票后15日内完成支付。</w:t>
      </w:r>
    </w:p>
    <w:p>
      <w:pPr>
        <w:rPr>
          <w:rFonts w:hint="eastAsia" w:ascii="宋体" w:hAnsi="宋体" w:eastAsia="宋体" w:cs="宋体"/>
          <w:b w:val="0"/>
          <w:bCs/>
          <w:color w:val="auto"/>
          <w:kern w:val="0"/>
          <w:sz w:val="24"/>
          <w:szCs w:val="32"/>
          <w:highlight w:val="none"/>
          <w:lang w:val="en-US" w:eastAsia="zh-CN" w:bidi="ar-SA"/>
        </w:rPr>
      </w:pPr>
      <w:r>
        <w:rPr>
          <w:rFonts w:hint="eastAsia"/>
          <w:color w:val="auto"/>
          <w:lang w:val="en-US" w:eastAsia="zh-CN"/>
        </w:rPr>
        <w:t xml:space="preserve">   </w:t>
      </w:r>
      <w:r>
        <w:rPr>
          <w:rFonts w:hint="eastAsia" w:ascii="宋体" w:hAnsi="宋体" w:eastAsia="宋体" w:cs="宋体"/>
          <w:b w:val="0"/>
          <w:bCs/>
          <w:color w:val="auto"/>
          <w:kern w:val="0"/>
          <w:sz w:val="24"/>
          <w:szCs w:val="32"/>
          <w:highlight w:val="none"/>
          <w:lang w:val="en-US" w:eastAsia="zh-CN" w:bidi="ar-SA"/>
        </w:rPr>
        <w:t xml:space="preserve"> </w:t>
      </w:r>
      <w:r>
        <w:rPr>
          <w:rFonts w:hint="eastAsia" w:ascii="宋体" w:hAnsi="宋体" w:eastAsia="宋体" w:cs="宋体"/>
          <w:b w:val="0"/>
          <w:bCs/>
          <w:color w:val="auto"/>
          <w:kern w:val="0"/>
          <w:sz w:val="24"/>
          <w:szCs w:val="32"/>
          <w:highlight w:val="none"/>
          <w:lang w:val="en-US" w:eastAsia="zh-CN" w:bidi="ar-SA"/>
        </w:rPr>
        <w:t>本项目维护内容中涉及工程项目的部分（设施动土施工的基础、管线、土方、人行道恢复等），结算价应以采购人聘请的第三方审计机构审计的价格为准，每个服务年度统一审计和结算。</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rPr>
        <w:t>严禁转包和分包</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严禁转包、分包，否则业主方将解除合同，中标方负全责。</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4.</w:t>
      </w:r>
      <w:r>
        <w:rPr>
          <w:rFonts w:hint="eastAsia" w:ascii="宋体" w:hAnsi="宋体" w:eastAsia="宋体" w:cs="宋体"/>
          <w:bCs/>
          <w:color w:val="auto"/>
          <w:kern w:val="0"/>
          <w:sz w:val="24"/>
          <w:highlight w:val="none"/>
        </w:rPr>
        <w:t>考核办法</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  考核内容</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1.1考核工作由甲方具体组织。考核实行实时跟踪检查的办法进行。</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1.2本办法着重对乙方的履约情况进行考核。考核主要内容包括响应时间、上报资料、完成时限、投标中承诺事项、工作质量等履约情况。</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1.3考核采用计分和扣款相结合的办法进行，满分为 100 分，60分至100分为合格，60 分以下为不合格。扣款按照扣1分对应扣5000元的比例方式进行。</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1.4对乙方的考核结果将作为每一次结算的重要依据。对于考核扣款将从每一次结算金额中直接扣除；对于完成任务差，乙方一年内连续两次或累计三次考核分数低于60分的，甲方有权终止合同并扣除全部履约保证金。</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1.5乙方对考核有异议的，应在3个工作日内向甲方提供书面申请，甲方应组织复核并在7个工作日内进行答复。</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1.6本考核办法为合同的重要组成部分，甲方和乙方严格按照本考核办法执行。同时乙方须遵守行业的相关规定。</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1.7在履约过程中，甲方有权单方面根据乙方履约情况等对本项目考核细则进行调整。</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1.8在上一年考核合格后，方可签订第二年合同，年度考核不合格，甲方有权终止合同。续签时，甲方有权根据乙方的履约情况随时对考核细则进行调整。</w:t>
      </w:r>
    </w:p>
    <w:p>
      <w:pPr>
        <w:spacing w:line="240" w:lineRule="auto"/>
        <w:ind w:firstLine="480"/>
        <w:rPr>
          <w:rFonts w:hint="eastAsia" w:ascii="宋体" w:hAnsi="宋体" w:eastAsia="宋体" w:cs="宋体"/>
          <w:color w:val="auto"/>
          <w:sz w:val="24"/>
          <w:highlight w:val="none"/>
        </w:rPr>
      </w:pP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2考核细则</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乙方接到施工通知后未按规定时限或要求及时到达现场开展工作的，按每延迟1小时扣0.1分累计扣分(不足1小时按1小时计算)；应急情况(由甲方认定)未按甲方规定时间到达现场开展工作，按每延迟5分钟扣0.1分累计扣分(不足5分钟按5分钟计算)。</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2.2一般维护工作(由甲方认定)未按甲方规定时间完成的，按每延迟1日扣0.2分累计扣分(不足1日按1日计算);应急工作(由甲方认定)未按甲方规定时间完成的，按每延迟5分钟扣0.1分累计扣分(不足5分钟按5分钟计算)。</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2.3每月已完成任务必须将工作资料按甲方要求时间进行报送，延迟报送的按每日0.2分进行累计扣除，报送资料存在错误、缺失等问题的，按每处0.1分累计扣除。</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2.4甲方要对乙方承诺的服务人员、机具、设备、服务水平、办公场地、仓储场地等进行考核，发现不实的，第一次扣2分;第二次扣4分，第三次扣10分，第四次有权终止合同并扣除其全部履约保证金。服务人员因离职、意外、严重疾病等不可抗因素确需更换的，因在交接前的5个工作日内书面提出人员更换申请，并经甲方同意。更换人员身份、资历、级别、工作能力等应当对等，否则按旷工考核处理。</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2.5日常零星工程存在施工质量问题的，不满足各类设施规范要求及技术指标要求的，每处扣0.2分累计扣分，同时必须限期整改，整改费用乙方自行承担。</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2.6对工程量核检的考核:每个派单项目虚报工程量达到 3%(含3%)的按实际工程量结算，并扣0.5分作为处罚;每个派单项目虚报工程量达到1%~3%的，按实际工程量结算。</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2.7甲方或监理在检查工作中发现乙方提供的各类交安设施材质、规格等存在不符合相关标准或存在其它弄虚作假的情况，第一次扣1分，第二次扣2分，第三次扣4分，第四次有权终止合同并扣除其履约保证金。</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2.8乙方实施的维护工程未通过监理、甲方验收的，按任务单计算，每个任务单扣0.1分累计扣分;整改后仍然不能通过验收的扣0.5分累计扣分。</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2.9未按甲方确定的期限要求上报验收及支付资料的，按每延迟1日扣0.1分计算，累计扣分。资料不完整、不准确的，退回乙方重新报送，同时，按退回之日起计算，按延迟1日扣0.2分计算，累计扣分。(不足1日按1日计算)</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2.10施工作业现场人员未按要求着装，每人/次扣0.1分累计扣分;施工作业现场安全措施不到位，未规范设置反光锥形桶等安全警告标志，无施工管理人员、每处扣0.1分累计扣分;凡违规施工、冒险作业造成交通拥堵、安全事故等违反安全文明施工要求的行为扣0.5分，并由乙方承担一切法律和经济责任。</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2.11施工材料和设备放置不规范、回收不及时，影响道路交通秩序、安全的每次每处扣0.2分;因施工造成第三方损失的扣0.1分，赔付事宜及其法律后果由乙方承担，同时必须整改，整改费用乙方自行承担。</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2.12完成工作任务后未及时上报的，按每次0.1分扣分。</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2.13乙方无故缺席甲方组织的每周工作例会、每月日常维护抽查考核验收工作以及每月维护工程评议会的，每次扣除考核分0.1分。</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2.14乙方在施工中需移动或拆除甲方权属范围内的交通设施的，应征得甲方同意，施工结束后及时恢复移动或拆除的设施，未及时恢复设施的，每次扣0.1分，并责令其限期恢复;未征得甲方同意，乙方擅自改动采购人权属范围内的交通设施(包括:设施的修改、移动和拆除)，每次扣0.5分，并责令其限期恢复。</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2.15乙方在维护服务过程中，造成负面舆情的每次扣0.5分，同时必须整改，整改费用乙方自行承担。</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2.16因乙方巡查、排查工作不到位，未能及时发现交安设施故障、破损、缺失、冲突等问题的，每处扣0.1分累计扣分；被上级部门考核的每处扣0.2分累计扣分；被督办的每处扣0.4分累计扣分。</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2.17甲方对乙方的履约过程实行三单制考核，视发现问题的轻重对应下达提示单、整改单、督办单，每张提示单扣除月绩效考核1分、每张整改单扣除月绩效考核3分、每张督办单扣除月绩效考核5分。考核扣分纳入当月考核。</w:t>
      </w:r>
    </w:p>
    <w:p>
      <w:pPr>
        <w:spacing w:line="240" w:lineRule="auto"/>
        <w:ind w:firstLine="480"/>
        <w:rPr>
          <w:rFonts w:hint="eastAsia" w:ascii="宋体" w:hAnsi="宋体" w:eastAsia="宋体" w:cs="宋体"/>
          <w:color w:val="auto"/>
          <w:kern w:val="0"/>
          <w:sz w:val="24"/>
          <w:szCs w:val="20"/>
          <w:highlight w:val="none"/>
          <w:lang w:val="en-US" w:eastAsia="zh-CN" w:bidi="ar-SA"/>
        </w:rPr>
      </w:pPr>
      <w:r>
        <w:rPr>
          <w:rFonts w:hint="eastAsia" w:ascii="宋体" w:hAnsi="宋体" w:eastAsia="宋体" w:cs="宋体"/>
          <w:color w:val="auto"/>
          <w:kern w:val="0"/>
          <w:sz w:val="24"/>
          <w:szCs w:val="20"/>
          <w:highlight w:val="none"/>
          <w:lang w:val="en-US" w:eastAsia="zh-CN" w:bidi="ar-SA"/>
        </w:rPr>
        <w:t>4.2.18由于乙方在工作过程中存在不安全性，由此造成人员伤亡、财产损失等均由乙方承担一切责任，并负责事故的处理及赔偿事宜。造成交通安全事故或者其他事故的，甲方有权终止合同。</w:t>
      </w:r>
    </w:p>
    <w:p>
      <w:pPr>
        <w:pStyle w:val="89"/>
        <w:ind w:firstLine="482" w:firstLineChars="200"/>
        <w:rPr>
          <w:rFonts w:hint="eastAsia" w:ascii="宋体" w:hAnsi="宋体" w:eastAsia="宋体" w:cs="宋体"/>
          <w:b/>
          <w:bCs/>
          <w:color w:val="auto"/>
          <w:szCs w:val="20"/>
          <w:highlight w:val="none"/>
        </w:rPr>
      </w:pPr>
      <w:r>
        <w:rPr>
          <w:rFonts w:hint="eastAsia" w:hAnsi="宋体" w:cs="宋体"/>
          <w:b/>
          <w:bCs/>
          <w:color w:val="auto"/>
          <w:szCs w:val="20"/>
          <w:highlight w:val="none"/>
          <w:lang w:val="en-US" w:eastAsia="zh-CN"/>
        </w:rPr>
        <w:t>注：</w:t>
      </w:r>
      <w:r>
        <w:rPr>
          <w:rFonts w:hint="eastAsia" w:ascii="宋体" w:hAnsi="宋体" w:eastAsia="宋体" w:cs="宋体"/>
          <w:b/>
          <w:bCs/>
          <w:color w:val="auto"/>
          <w:szCs w:val="20"/>
          <w:highlight w:val="none"/>
        </w:rPr>
        <w:t>本项目所涉及的所有考核条款细则适用于本项目中所有派单件及招标文件中要求中标单位工作内容。</w:t>
      </w:r>
    </w:p>
    <w:p>
      <w:pPr>
        <w:pStyle w:val="5"/>
        <w:spacing w:line="240" w:lineRule="auto"/>
        <w:ind w:firstLine="482"/>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lang w:val="en-US" w:eastAsia="zh-CN"/>
        </w:rPr>
        <w:t>5.</w:t>
      </w:r>
      <w:r>
        <w:rPr>
          <w:rFonts w:hint="eastAsia" w:ascii="宋体" w:hAnsi="宋体" w:eastAsia="宋体" w:cs="宋体"/>
          <w:b/>
          <w:bCs/>
          <w:color w:val="auto"/>
          <w:kern w:val="0"/>
          <w:sz w:val="24"/>
          <w:highlight w:val="none"/>
        </w:rPr>
        <w:t>合同履行过程中物价波动引起的价格调整</w:t>
      </w:r>
      <w:r>
        <w:rPr>
          <w:rFonts w:hint="eastAsia" w:ascii="宋体" w:hAnsi="宋体" w:eastAsia="宋体" w:cs="宋体"/>
          <w:b/>
          <w:bCs/>
          <w:color w:val="auto"/>
          <w:kern w:val="0"/>
          <w:sz w:val="24"/>
          <w:highlight w:val="none"/>
          <w:lang w:eastAsia="zh-CN"/>
        </w:rPr>
        <w:t>：</w:t>
      </w:r>
      <w:r>
        <w:rPr>
          <w:rFonts w:hint="eastAsia" w:ascii="宋体" w:hAnsi="宋体" w:eastAsia="宋体" w:cs="宋体"/>
          <w:b/>
          <w:bCs/>
          <w:color w:val="auto"/>
          <w:kern w:val="0"/>
          <w:sz w:val="24"/>
          <w:highlight w:val="none"/>
        </w:rPr>
        <w:t>在服务期内，合同</w:t>
      </w:r>
      <w:r>
        <w:rPr>
          <w:rFonts w:hint="eastAsia" w:ascii="宋体" w:hAnsi="宋体" w:eastAsia="宋体" w:cs="宋体"/>
          <w:b/>
          <w:bCs/>
          <w:color w:val="auto"/>
          <w:kern w:val="0"/>
          <w:sz w:val="24"/>
          <w:highlight w:val="none"/>
          <w:lang w:val="en-US" w:eastAsia="zh-CN"/>
        </w:rPr>
        <w:t>价格</w:t>
      </w:r>
      <w:r>
        <w:rPr>
          <w:rFonts w:hint="eastAsia" w:ascii="宋体" w:hAnsi="宋体" w:eastAsia="宋体" w:cs="宋体"/>
          <w:b/>
          <w:bCs/>
          <w:color w:val="auto"/>
          <w:kern w:val="0"/>
          <w:sz w:val="24"/>
          <w:highlight w:val="none"/>
        </w:rPr>
        <w:t>不因为物价波动而引起的价格调整而调整。</w:t>
      </w:r>
    </w:p>
    <w:p>
      <w:pPr>
        <w:pStyle w:val="5"/>
        <w:spacing w:line="240" w:lineRule="auto"/>
        <w:ind w:firstLine="482"/>
        <w:rPr>
          <w:rFonts w:hint="eastAsia" w:ascii="宋体" w:hAnsi="宋体" w:eastAsia="宋体" w:cs="宋体"/>
          <w:b/>
          <w:bCs/>
          <w:color w:val="auto"/>
          <w:kern w:val="0"/>
          <w:sz w:val="24"/>
          <w:highlight w:val="none"/>
          <w:lang w:val="en-US" w:eastAsia="zh-CN"/>
        </w:rPr>
      </w:pPr>
      <w:r>
        <w:rPr>
          <w:rFonts w:hint="eastAsia" w:ascii="宋体" w:hAnsi="宋体" w:eastAsia="宋体" w:cs="宋体"/>
          <w:b/>
          <w:bCs/>
          <w:color w:val="auto"/>
          <w:kern w:val="0"/>
          <w:sz w:val="24"/>
          <w:highlight w:val="none"/>
          <w:lang w:val="en-US" w:eastAsia="zh-CN"/>
        </w:rPr>
        <w:t>6.</w:t>
      </w:r>
      <w:r>
        <w:rPr>
          <w:rFonts w:hint="eastAsia" w:ascii="宋体" w:hAnsi="宋体" w:eastAsia="宋体" w:cs="宋体"/>
          <w:b/>
          <w:bCs/>
          <w:color w:val="auto"/>
          <w:kern w:val="0"/>
          <w:sz w:val="24"/>
          <w:highlight w:val="none"/>
        </w:rPr>
        <w:t>本次招标项目的</w:t>
      </w:r>
      <w:r>
        <w:rPr>
          <w:rFonts w:hint="eastAsia" w:ascii="宋体" w:hAnsi="宋体" w:eastAsia="宋体" w:cs="宋体"/>
          <w:b/>
          <w:bCs/>
          <w:color w:val="auto"/>
          <w:kern w:val="0"/>
          <w:sz w:val="24"/>
          <w:highlight w:val="none"/>
          <w:lang w:val="en-US" w:eastAsia="zh-CN"/>
        </w:rPr>
        <w:t>维护工程量以采购人、中标人和监理三方核实数据为准。</w:t>
      </w:r>
    </w:p>
    <w:p>
      <w:pPr>
        <w:pStyle w:val="5"/>
        <w:spacing w:line="240" w:lineRule="auto"/>
        <w:ind w:firstLine="482"/>
        <w:rPr>
          <w:rFonts w:hint="eastAsia" w:ascii="宋体" w:hAnsi="宋体" w:eastAsia="宋体" w:cs="宋体"/>
          <w:b/>
          <w:bCs/>
          <w:color w:val="auto"/>
          <w:kern w:val="0"/>
          <w:sz w:val="24"/>
          <w:highlight w:val="none"/>
          <w:lang w:val="en-US" w:eastAsia="zh-CN"/>
        </w:rPr>
      </w:pPr>
      <w:r>
        <w:rPr>
          <w:rFonts w:hint="eastAsia" w:ascii="宋体" w:hAnsi="宋体" w:eastAsia="宋体" w:cs="宋体"/>
          <w:b/>
          <w:bCs/>
          <w:color w:val="auto"/>
          <w:kern w:val="0"/>
          <w:sz w:val="24"/>
          <w:highlight w:val="none"/>
          <w:lang w:val="en-US" w:eastAsia="zh-CN"/>
        </w:rPr>
        <w:t>7.</w:t>
      </w:r>
      <w:r>
        <w:rPr>
          <w:rFonts w:hint="eastAsia" w:ascii="宋体" w:hAnsi="宋体" w:eastAsia="宋体" w:cs="宋体"/>
          <w:b/>
          <w:bCs/>
          <w:color w:val="auto"/>
          <w:kern w:val="0"/>
          <w:sz w:val="24"/>
          <w:highlight w:val="none"/>
          <w:lang w:val="en-US" w:eastAsia="zh-Hans"/>
        </w:rPr>
        <w:t>本包报价方式：</w:t>
      </w:r>
      <w:r>
        <w:rPr>
          <w:rFonts w:hint="eastAsia" w:ascii="宋体" w:hAnsi="宋体" w:eastAsia="宋体" w:cs="宋体"/>
          <w:b/>
          <w:bCs/>
          <w:color w:val="auto"/>
          <w:kern w:val="0"/>
          <w:sz w:val="24"/>
          <w:highlight w:val="none"/>
          <w:lang w:val="en-US" w:eastAsia="zh-CN"/>
        </w:rPr>
        <w:t>在全费用综合单价（包干价）控制价基础上，按报价比率（0＜报价比率≤100%，报价比率超过100%的报价为无效报价）进行报价。维护项目的全费用综合单价（包干价）控制价标准详见下表。</w:t>
      </w:r>
    </w:p>
    <w:tbl>
      <w:tblPr>
        <w:tblStyle w:val="49"/>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173"/>
        <w:gridCol w:w="1343"/>
        <w:gridCol w:w="4125"/>
        <w:gridCol w:w="655"/>
        <w:gridCol w:w="479"/>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555" w:type="dxa"/>
            <w:gridSpan w:val="7"/>
            <w:noWrap w:val="0"/>
            <w:vAlign w:val="center"/>
          </w:tcPr>
          <w:p>
            <w:pPr>
              <w:widowControl/>
              <w:snapToGrid w:val="0"/>
              <w:spacing w:line="240" w:lineRule="auto"/>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一、信号灯部分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3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117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项目编码</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项目名称</w:t>
            </w:r>
          </w:p>
        </w:tc>
        <w:tc>
          <w:tcPr>
            <w:tcW w:w="412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项目特征描述</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计量</w:t>
            </w:r>
          </w:p>
          <w:p>
            <w:pPr>
              <w:pStyle w:val="2"/>
              <w:rPr>
                <w:rFonts w:hint="eastAsia"/>
                <w:color w:val="auto"/>
                <w:lang w:eastAsia="zh-CN"/>
              </w:rPr>
            </w:pPr>
          </w:p>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工程量</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全费用综合单价（包干价）控制价（元）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202101001</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机动车信号灯 Φ400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1.名称：机动车信号灯</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2.型号、规格：Φ400整套</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3.类型：红、黄、绿三色圆盘满屏显示机动车信号灯整套</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szCs w:val="20"/>
                <w:highlight w:val="none"/>
              </w:rPr>
              <w:t>1729.59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202101002</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机动车信号灯 Φ400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1.名称：机动车信号灯</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2.型号、规格：Φ400</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3.类型：红、黄、绿单个圆盘满屏显示机动车信号灯灯盘</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szCs w:val="20"/>
                <w:highlight w:val="none"/>
              </w:rPr>
              <w:t>781.51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202101003</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机动车信号灯 Φ300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1.名称：机动车信号灯</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2.型号、规格：Φ300整套</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3.类型：红、黄、绿三色圆盘满屏显示机动车信号灯整套</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1563.48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202101004</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机动车信号灯 Φ300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1.名称：机动车信号灯</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2.型号、规格：Φ300</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3.类型：红、黄、绿单个圆盘满屏显示机动车信号灯灯盘</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szCs w:val="20"/>
                <w:highlight w:val="none"/>
              </w:rPr>
              <w:t>532.93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202101005</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机动车信号灯 箭头Φ400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1.名称：机动车信号灯</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2.型号、规格：Φ400整套</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3.类型：红、黄、绿三色箭头显示机动车信号灯整套</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szCs w:val="20"/>
                <w:highlight w:val="none"/>
              </w:rPr>
              <w:t>1682.28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202101006</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机动车信号灯 箭头Φ400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1.名称：机动车信号灯</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2.型号、规格：Φ400</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3.类型：红、黄、绿单个箭头显示机动车信号灯灯盘</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szCs w:val="20"/>
                <w:highlight w:val="none"/>
              </w:rPr>
              <w:t>726.39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202101007</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机动车信号灯 箭头Φ300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1.名称：机动车信号灯</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2.型号、规格：Φ300整套</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3.类型：红、黄、绿三色箭头显示机动车信号灯整套</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1536.42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202101008</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机动车信号灯 箭头Φ300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1.名称：机动车信号灯</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2.型号、规格：Φ300</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3.类型：红、黄、绿单个箭头显示机动车信号灯灯盘</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szCs w:val="20"/>
                <w:highlight w:val="none"/>
              </w:rPr>
              <w:t>616.03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202101009</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机动车信号灯 （门架式）</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1.名称：机动车信号灯</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2.型号、规格：大约1500*600矩形、嵌入式、需定制</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3.类型：红、黄、绿三色圆盘满屏显示机动车信号灯整套</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3436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202101010</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调头灯 800*800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1.名称：调头灯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2.型号、规格：800 *800</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3.类型：红、绿双色调头灯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szCs w:val="20"/>
                <w:highlight w:val="none"/>
              </w:rPr>
              <w:t>1743.79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202101011</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调头灯 Φ400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1.名称：调头灯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2.型号、规格：Φ400整套</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3.类型：红、黄、绿三色调头灯整套</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szCs w:val="20"/>
                <w:highlight w:val="none"/>
              </w:rPr>
              <w:t>2498.67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202101012</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调头灯 Φ400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1.名称：调头灯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2.型号、规格：Φ400</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3.类型：红、黄、绿单个调头灯灯盘</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szCs w:val="20"/>
                <w:highlight w:val="none"/>
              </w:rPr>
              <w:t>1619.05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202101013</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非机动车信号灯 Φ300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1.名称：非机动车信号灯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2.型号、规格：Φ300整套</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3.类型：红、黄、绿三色静态自行车图案单屏显示非机动车信号灯整套</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eastAsia="zh-CN"/>
              </w:rPr>
              <w:t>18</w:t>
            </w:r>
            <w:r>
              <w:rPr>
                <w:rFonts w:hint="eastAsia" w:ascii="宋体" w:hAnsi="宋体" w:eastAsia="宋体" w:cs="宋体"/>
                <w:color w:val="auto"/>
                <w:sz w:val="20"/>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202101014</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非机动车信号灯 Φ300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1.名称：非机动车信号灯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2.型号、规格：Φ300</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3.类型：红、黄、绿单个静态自行车图案单屏显示非机动车信号灯灯盘</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202101015</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人行道信号灯 Φ300</w:t>
            </w:r>
          </w:p>
        </w:tc>
        <w:tc>
          <w:tcPr>
            <w:tcW w:w="4125" w:type="dxa"/>
            <w:noWrap w:val="0"/>
            <w:vAlign w:val="center"/>
          </w:tcPr>
          <w:p>
            <w:pPr>
              <w:widowControl/>
              <w:numPr>
                <w:ilvl w:val="0"/>
                <w:numId w:val="5"/>
              </w:numPr>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名称：人行道信号灯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2.型号、规格：Φ300整套</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3.类型：红、绿二色行人图案单屏显示（绿色行人图案为静止）人行道信号灯整套</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912.13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202101016</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人行道信号灯 Φ300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1.名称：人行道信号灯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2.型号、规格：Φ300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3.类型：红、绿单个行人图案单屏显示（绿色行人图案为静止）人行道信号灯灯盘</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724.03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202101017</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隧道车道指示器</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1.名称：隧道车道指示器</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2.型号、规格：600*600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3.类型：红叉、绿箭头单屏显示指示器</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1864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202101018</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单位数信号灯倒计时器</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1.名称：信号灯倒计时器（单位数）</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2.型号、规格：600*400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3.类型：9秒倒计时、一灯三色</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1372.54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202101019</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双位数信号灯倒计时器</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1.名称：信号灯倒计时器（双位数）</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2.型号、规格：600*800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3.类型：99秒倒计时、一灯三色</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1501.75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202101020</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黄闪警示灯（太阳能）</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1.名称：黄闪警示灯</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2.型号、规格：Φ400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3.类型：黄色圆盘满屏闪烁显示、太阳能供电</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1682.4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202101021</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黄闪警示灯</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1.名称：黄闪警示灯</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2.型号、规格：Φ400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3.类型：黄色圆盘满屏闪烁显示、外接电源</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1243.31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202101022</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红蓝爆闪警示灯</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1.名称：红蓝爆闪警示灯</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2.型号、规格：700*150*210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3.类型：红蓝闪烁显示、外接电源或太阳能</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1032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202101023</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悬臂式机动车信号灯立柱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1.名称：机动车信号灯立柱</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2.型号、规格：Φ325*14*6800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3.类型：根据道路情况满足净高要求、铸铁镀锌喷塑</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件</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25867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202101024</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悬臂式机动车信号灯立柱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1.名称：机动车信号灯立柱</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2.型号、规格：Φ273*12*6800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3.类型：根据道路情况满足净高要求、铸铁镀锌喷塑</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件</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17635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202101025</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单立柱式机动车信号灯立柱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1.名称：机动车信号灯立柱</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2.型号、规格：Φ180*6*6800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3.类型：根据道路情况满足净高要求、铸铁镀锌喷塑</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件</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6998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202101026</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悬臂式机动车信号灯横杆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1.名称：机动车信号灯横杆</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2.型号、规格：长15米、Φ219*10、渐变</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3.类型：根据道路情况满足净高要求、铸铁镀锌喷塑</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件</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2083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202101027</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悬臂式机动车信号灯横杆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1.名称：机动车信号灯横杆</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2.型号、规格：长12米、Φ180*8、渐变</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3.类型：根据道路情况满足净高要求、铸铁镀锌喷塑</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件</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14836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202101028</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悬臂式机动车信号灯横杆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1.名称：机动车信号灯横杆</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2.型号、规格：长9米、Φ159*8、渐变</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3.类型：根据道路情况满足净高要求、铸铁镀锌喷塑</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件</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10832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202101029</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悬臂式机动车信号灯横杆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1.名称：机动车信号灯横杆</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2.型号、规格：长7米、Φ140*6、渐变</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3.类型：根据道路情况满足净高要求、铸铁镀锌喷塑</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件</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6825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202101030</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悬臂式机动车信号灯横杆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1.名称：机动车信号灯横杆</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2.型号、规格：长5米、Φ114*6</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3.类型：根据道路情况满足净高要求、铸铁镀锌喷塑</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件</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4089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202101031</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单立柱式非机动车信号灯立柱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1.名称：非机动车信号灯立柱</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2.型号、规格：Φ114*4.5*3400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3.类型：净高2.5米、铸铁镀锌喷塑</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件</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2086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202101032</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门架式封板 </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1.名称：门架式封板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2.类别：定制成品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3.规格：约695*695，根据实际情况定制</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面</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644.61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202101033</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封板 </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1.名称：信号灯杆件检修孔封板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2.类别：定制成品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3.规格：根据实际情况定制</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面</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202101034</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灯具帽檐</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1.名称：灯具帽檐</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2.类别：成品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3.规格：根据实际情况需求确定</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202101035</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灯具灯壳</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1.名称：灯具灯壳</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2.类别：成品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3.规格：根据实际情况需求确定</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322.81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202101036</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电表</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1.名称：信号灯电源电表</w:t>
            </w:r>
          </w:p>
          <w:p>
            <w:pPr>
              <w:widowControl/>
              <w:snapToGrid w:val="0"/>
              <w:spacing w:line="240" w:lineRule="auto"/>
              <w:ind w:firstLine="0" w:firstLineChars="0"/>
              <w:jc w:val="left"/>
              <w:rPr>
                <w:rFonts w:hint="eastAsia" w:ascii="宋体" w:hAnsi="宋体" w:eastAsia="宋体" w:cs="宋体"/>
                <w:color w:val="auto"/>
                <w:highlight w:val="none"/>
              </w:rPr>
            </w:pPr>
            <w:r>
              <w:rPr>
                <w:rFonts w:hint="eastAsia" w:ascii="宋体" w:hAnsi="宋体" w:eastAsia="宋体" w:cs="宋体"/>
                <w:color w:val="auto"/>
                <w:sz w:val="20"/>
                <w:highlight w:val="none"/>
              </w:rPr>
              <w:t>2.要求：满足供电部门要求、能够实现远程智能读表功能、包含电表保护柜（具备上锁功能）</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202101037</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信号机通讯模块 </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1、用于信号机改造，以实现信号机与倒计时器等</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设施间的通讯。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2、通讯协议满足《道路交通信号倒计时显示器》</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（GA/T508-2014）要求。 </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1082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202101038</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信号机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1.名称：交通信号机（非联网联控）</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2.类别：32相位</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3.功能：多相位控制、可以定义32个相位</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台</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5286.61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202101039</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信号机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1.名称：交通信号机（联网联控、兼容）</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2.类别：64相位</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3.功能：满足联网联控需求、能够接入双流区智慧交通系统</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台</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default" w:ascii="宋体" w:hAnsi="宋体" w:eastAsia="宋体" w:cs="宋体"/>
                <w:color w:val="auto"/>
                <w:sz w:val="20"/>
                <w:highlight w:val="none"/>
                <w:lang w:eastAsia="zh-Hans"/>
              </w:rPr>
              <w:t>33800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202101040</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触摸式过街系统</w:t>
            </w:r>
          </w:p>
        </w:tc>
        <w:tc>
          <w:tcPr>
            <w:tcW w:w="4125" w:type="dxa"/>
            <w:noWrap w:val="0"/>
            <w:vAlign w:val="center"/>
          </w:tcPr>
          <w:p>
            <w:pPr>
              <w:widowControl/>
              <w:snapToGrid w:val="0"/>
              <w:spacing w:line="240" w:lineRule="auto"/>
              <w:ind w:firstLine="0" w:firstLineChars="0"/>
              <w:jc w:val="both"/>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1.名称：触摸式过街系统（系统嵌入人行灯立柱内）</w:t>
            </w:r>
          </w:p>
          <w:p>
            <w:pPr>
              <w:widowControl/>
              <w:snapToGrid w:val="0"/>
              <w:spacing w:line="240" w:lineRule="auto"/>
              <w:ind w:firstLine="0" w:firstLineChars="0"/>
              <w:jc w:val="both"/>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2.类别：16相位及以上、含灯具及立柱配件</w:t>
            </w:r>
          </w:p>
          <w:p>
            <w:pPr>
              <w:widowControl/>
              <w:snapToGrid w:val="0"/>
              <w:spacing w:line="240" w:lineRule="auto"/>
              <w:ind w:firstLine="0" w:firstLineChars="0"/>
              <w:jc w:val="both"/>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3.功能：满足触摸式过街需求</w:t>
            </w:r>
          </w:p>
          <w:p>
            <w:pPr>
              <w:widowControl/>
              <w:snapToGrid w:val="0"/>
              <w:spacing w:line="240" w:lineRule="auto"/>
              <w:ind w:firstLine="0" w:firstLineChars="0"/>
              <w:jc w:val="both"/>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47821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202101041</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无线控制发射机 </w:t>
            </w:r>
          </w:p>
        </w:tc>
        <w:tc>
          <w:tcPr>
            <w:tcW w:w="4125" w:type="dxa"/>
            <w:noWrap w:val="0"/>
            <w:vAlign w:val="center"/>
          </w:tcPr>
          <w:p>
            <w:pPr>
              <w:widowControl/>
              <w:snapToGrid w:val="0"/>
              <w:spacing w:line="240" w:lineRule="auto"/>
              <w:ind w:firstLine="0" w:firstLineChars="0"/>
              <w:jc w:val="both"/>
              <w:rPr>
                <w:rFonts w:hint="eastAsia" w:ascii="宋体" w:hAnsi="宋体" w:eastAsia="宋体" w:cs="宋体"/>
                <w:color w:val="auto"/>
                <w:sz w:val="20"/>
                <w:highlight w:val="none"/>
              </w:rPr>
            </w:pPr>
            <w:r>
              <w:rPr>
                <w:rFonts w:hint="eastAsia" w:ascii="宋体" w:hAnsi="宋体" w:eastAsia="宋体" w:cs="宋体"/>
                <w:color w:val="auto"/>
                <w:sz w:val="20"/>
                <w:highlight w:val="none"/>
              </w:rPr>
              <w:t>包含电源模块、信号处理器、无线发射器、发射天</w:t>
            </w:r>
          </w:p>
          <w:p>
            <w:pPr>
              <w:widowControl/>
              <w:snapToGrid w:val="0"/>
              <w:spacing w:line="240" w:lineRule="auto"/>
              <w:ind w:firstLine="0" w:firstLineChars="0"/>
              <w:jc w:val="both"/>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线。信号处理器将接收到的交通信号控制机输出的控制信号或传感器信号处理后传输给无线发射器 的输入端，由无线发射器的输出端经发射天线将控制信号发出。 </w:t>
            </w:r>
          </w:p>
          <w:p>
            <w:pPr>
              <w:widowControl/>
              <w:snapToGrid w:val="0"/>
              <w:spacing w:line="240" w:lineRule="auto"/>
              <w:ind w:firstLine="0" w:firstLineChars="0"/>
              <w:jc w:val="both"/>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无线通讯采用合法频段。与无线控制接收机配套使用时，通信距离不小于 1KM（无遮挡），具有较强的抗干扰能力。 </w:t>
            </w:r>
          </w:p>
          <w:p>
            <w:pPr>
              <w:widowControl/>
              <w:snapToGrid w:val="0"/>
              <w:spacing w:line="240" w:lineRule="auto"/>
              <w:ind w:firstLine="0" w:firstLineChars="0"/>
              <w:jc w:val="both"/>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可与各类交通信号控制机对接，正确识别并发送信号机控制信号。系统通讯时延低于 100ms。通讯节点不低于 16 个。 </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eastAsia="zh-CN" w:bidi="ar-SA"/>
              </w:rPr>
              <w:t>1</w:t>
            </w:r>
            <w:r>
              <w:rPr>
                <w:rFonts w:hint="eastAsia" w:ascii="宋体" w:hAnsi="宋体" w:eastAsia="宋体" w:cs="宋体"/>
                <w:color w:val="auto"/>
                <w:sz w:val="20"/>
                <w:highlight w:val="none"/>
                <w:lang w:val="en-US" w:eastAsia="zh-CN" w:bidi="ar-SA"/>
              </w:rPr>
              <w:t>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202101042</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无线控制接收机 </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包含电源模块、接收天线、无线接收器。接收天线</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将接收到的数据信号送入无线接收器输入端，经无线接收器解调后，将控制信号通过无线接收器输出端与交通信号灯或提示板连接。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无线通讯采用合法频段。与无线控制发射机配套使用时，通信距离不小于 1KM（无遮挡），具有较强的抗干扰能力。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可与各类交通信号灯对接，正确识别并发送信号机控制信号。系统通讯时延低于 100ms。 </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eastAsia="zh-CN"/>
              </w:rPr>
              <w:t>1</w:t>
            </w:r>
            <w:r>
              <w:rPr>
                <w:rFonts w:hint="eastAsia" w:ascii="宋体" w:hAnsi="宋体" w:eastAsia="宋体" w:cs="宋体"/>
                <w:color w:val="auto"/>
                <w:sz w:val="20"/>
                <w:highlight w:val="none"/>
                <w:lang w:val="en-US" w:eastAsia="zh-CN"/>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202101043</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盲人过街声响提示装置 </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盲人过街声响提示装置声音基本波形为正弦波，频</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率为 700Hz±50Hz，周期为 0.4s；在绿灯信号周期的最后 3s，保持声音基本波形、频率不变，周期为0.2 秒；白天声压级应不超过 65dB，夜间声压级应</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不超过 40dB。</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3598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202101044</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智慧斑马线控制系统无线地灯</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1.名称：无线地灯</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2..功能：夜间发光及闪烁</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2629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202101045</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智慧斑马线控制系统无线相位检测器</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​​工作电压：DC5V</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​​相位检测输入路数：4</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​​I/O输出：4</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​​通讯接口：RS232</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7486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202101046</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​智慧斑马线控制系统多功能管理柱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​​外形尺寸：360mm×360mm×2850mm</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​​LED显示屏数量：3</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​​LED显示屏尺寸：256mm×1280mm</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​​LED显示屏规格：P8</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​​LED显示屏显示颜色：全彩</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​​LED显示屏功率：＜800W</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​​扬声器功率：10W</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​​灯带总功率：≤120W</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​​灯带显示颜色：全彩</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根</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25121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202101047</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智慧斑马线控制系统工控机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​​​存储空间：32GB；</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​​​显示核心频率：542MHz</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​​​显示核心最大动态频率：792MHz</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​​​接口：RS232×6，USB×2， RJ45×2， HDMI×1</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​​内置无线交通地灯接收器：</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​​​无线工作频率：2.4GHz</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​​​发射功率：9或18dBm可调</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​​​接收灵敏度：-110dBm</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​​​发射速率：250kbps</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​​​无线连接无线交通地灯数量：不低于60台</w:t>
            </w:r>
          </w:p>
          <w:p>
            <w:pPr>
              <w:widowControl/>
              <w:snapToGrid w:val="0"/>
              <w:spacing w:line="240" w:lineRule="auto"/>
              <w:ind w:firstLine="0" w:firstLineChars="0"/>
              <w:jc w:val="left"/>
              <w:rPr>
                <w:rFonts w:hint="eastAsia" w:ascii="宋体" w:hAnsi="宋体" w:eastAsia="宋体" w:cs="宋体"/>
                <w:color w:val="auto"/>
                <w:sz w:val="20"/>
                <w:highlight w:val="none"/>
              </w:rPr>
            </w:pP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台</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36268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202101048</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变压器</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用于信号灯的阻抗调整。 </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202101049</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保险管 3a*5a</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1.名称：保险管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2.类型：3a*5a</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26.81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202101050</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控制柜 960*550*420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1.名称：控制柜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2.型号、规格：960*550*420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台</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2639.15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202101051</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智能交通控制机柜</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1.名称：智能交通控制机柜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2.规格：多相位控制、可以定义16个相位</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4060.68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202101052</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信号仪控制柜 1200*600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1.名称：信号仪控制柜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2.型号、规格：1200*600</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3.普通式</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2757.45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202101053</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信号灯UPS应急电源</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1.名称：信号灯UPS应急电源</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2.要求：信号灯断电后能够自动启动并持续供电2小时以上、具备信号灯断电监测和报警功能</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台</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5823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202101054</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人行横道激光安全警示桩</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1.行人激光探测距离：10m以上；</w:t>
            </w:r>
          </w:p>
          <w:p>
            <w:pPr>
              <w:pStyle w:val="258"/>
              <w:numPr>
                <w:ilvl w:val="0"/>
                <w:numId w:val="0"/>
              </w:numPr>
              <w:snapToGrid w:val="0"/>
              <w:spacing w:before="0" w:after="0" w:line="240" w:lineRule="auto"/>
              <w:rPr>
                <w:rFonts w:hint="eastAsia" w:ascii="宋体" w:hAnsi="宋体" w:eastAsia="宋体" w:cs="宋体"/>
                <w:b w:val="0"/>
                <w:color w:val="auto"/>
                <w:sz w:val="20"/>
                <w:szCs w:val="20"/>
                <w:highlight w:val="none"/>
              </w:rPr>
            </w:pPr>
            <w:r>
              <w:rPr>
                <w:rFonts w:hint="eastAsia" w:ascii="宋体" w:hAnsi="宋体" w:eastAsia="宋体" w:cs="宋体"/>
                <w:b w:val="0"/>
                <w:color w:val="auto"/>
                <w:sz w:val="20"/>
                <w:szCs w:val="20"/>
                <w:highlight w:val="none"/>
              </w:rPr>
              <w:t>2.红外探测保护范围：30cm内；</w:t>
            </w:r>
          </w:p>
          <w:p>
            <w:pPr>
              <w:pStyle w:val="259"/>
              <w:spacing w:line="240" w:lineRule="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3.设备激光照射高度不高于40cm；</w:t>
            </w:r>
          </w:p>
          <w:p>
            <w:pPr>
              <w:pStyle w:val="259"/>
              <w:spacing w:line="240" w:lineRule="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4.原装进口不少于28颗200mA激光灯；</w:t>
            </w:r>
          </w:p>
          <w:p>
            <w:pPr>
              <w:pStyle w:val="259"/>
              <w:spacing w:line="240" w:lineRule="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5.自动识别场景工作；</w:t>
            </w:r>
          </w:p>
          <w:p>
            <w:pPr>
              <w:pStyle w:val="259"/>
              <w:spacing w:line="240" w:lineRule="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6.具有无线后台监控（含通讯费用）和可与其他智慧系统接入功能；</w:t>
            </w:r>
          </w:p>
          <w:p>
            <w:pPr>
              <w:pStyle w:val="259"/>
              <w:spacing w:line="240" w:lineRule="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7.取得公安部检测机构合格报告和具备合法知识产权；</w:t>
            </w:r>
          </w:p>
          <w:p>
            <w:pPr>
              <w:pStyle w:val="259"/>
              <w:spacing w:line="240" w:lineRule="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8.含基础预埋件及开挖浇筑、设备安装调试。</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根</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24512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202101055</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控制电缆 KVVP22-24*2.5mm2</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1.型号：控制电缆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2.规格：KVVP22-24*2.5mm2</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3.敷设方式：埋地敷设</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202101056</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控制电缆 KVVP22-7*2.5mm2</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1.型号：控制电缆</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2.规格：KVVP22-7*2.5mm2</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3.敷设方式：埋地敷设</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202101057</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控制电缆 KVVP22-5*2.5mm2</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1.型号：控制电缆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2.规格：KVVP22-5*2.5mm2</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3.敷设方式：埋地敷设</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202101058</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电气配线 RVV-3*6mm2</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1.配线形式：管内穿线</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2.导线型号、材质、规格：RVV-3*6mm2</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3.敷设部位或线制：电源线</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4.满足使用规范要求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13.92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202101059</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控制电缆头制作、安装 终端头 ≤7芯</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1.名称：控制电缆头制作、安装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2.型号、规格：终端头 ≤7芯</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104.15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202101060</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控制电缆头制作、安装 终端头7芯以上</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1.名称：控制电缆头制作、安装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2.型号、规格：终端头 7芯以上</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189.24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202101061</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镀锌钢管 SC80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1.名称：电气配管</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2.材质：镀锌钢管</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3.规格：SC80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4.配置形式及部位：地埋</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1</w:t>
            </w:r>
            <w:r>
              <w:rPr>
                <w:rFonts w:hint="eastAsia" w:ascii="宋体" w:hAnsi="宋体" w:eastAsia="宋体" w:cs="宋体"/>
                <w:color w:val="auto"/>
                <w:sz w:val="20"/>
                <w:highlight w:val="none"/>
                <w:lang w:eastAsia="zh-CN"/>
              </w:rPr>
              <w:t>3</w:t>
            </w:r>
            <w:r>
              <w:rPr>
                <w:rFonts w:hint="eastAsia" w:ascii="宋体" w:hAnsi="宋体" w:eastAsia="宋体" w:cs="宋体"/>
                <w:color w:val="auto"/>
                <w:sz w:val="20"/>
                <w:highlight w:val="none"/>
                <w:lang w:val="en-US"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202101062</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镀锌钢管 SC125</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1.名称：电气配管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2.材质：镀锌钢管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3.规格：SC125</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4.配置形式及部位：地埋</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158.89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202101063</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PVC塑料管 DN110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1.名称：电气配管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2.材质：塑料管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3.规格：DN110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4.配置形式及部位：地埋</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202101064</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PVC塑料管 DN75</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1.名称：电气配管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2.材质：塑料管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3.规格：DN75</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4.配置形式及部位：地埋</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202101065</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PE塑料管 DN50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1.名称：电气配管</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2.材质：PE塑料管</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3.规格：DN50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4.配置形式及部位：地埋</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30.79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202101066</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镀锌角钢 ∠50*5*1.5m</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1.接地母线材质：镀锌角钢</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2.接地极规格：∟50*5*1.5m</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根</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93.99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202101067</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交通信号灯灯具拆除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1.名称：交通信号灯灯具拆除</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62.07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202101068</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悬臂式、门架式信号灯杆拆除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1.项目名称：悬臂式、门架式信号灯杆拆除</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2.要求：包括立柱、横杆、基础处理、及基础面恢复</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5098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202101069</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立柱式信号灯杆拆除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1.项目名称：立柱式信号灯杆拆除</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2.要求：包括立柱、基础处理、及基础面恢复</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1756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202101070</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破除、恢复沥青路面</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1.材质:沥青路面</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2.面层厚度：120mm</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3.机械破除，包含切割机切缝</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462.35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202101071</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破除、恢复水泥路面</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1.材质：水泥路面</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2.面层厚度：200mm</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3.机械破除，包含切割机切缝</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420.56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202101072</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拆除、恢复人行道彩砖 </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1.材质：人行道彩砖</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2.厚度：根据现场实际情况确定</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202101073</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拆除、恢复人行道大理石 </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1.材质：人行道大理石</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2.厚度：根据现场实际情况确定</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202101074</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砖砌控制柜基础 600*400*400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1.砖砌控制柜基础 600*400*400</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2.干混砌筑砂浆 M7.5</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3.页岩标砖</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4.干混抹灰砂浆 M20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5.C10砼垫层,100mm厚</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座</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202101075</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人行道灯基础 300*300*300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1.规格:人行道灯(只计基础)</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2.基础：C30商品砼钢筋混凝土基础</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3.钢筋制作、安装</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4.底座及附件等制作安装、联接及油漆</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5.基础土方：开挖、回填及外运</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116.98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202101076</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机动车信号灯基础 1500*1500*2000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1.规格:普通信号灯(只计基础)</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2.基础：C30商品砼钢筋混凝土基础</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3.钢筋制作、安装</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4.底座及附件等制作安装、联接及油漆</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5.基础土方：开挖、回填及外运</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5581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202101077</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机动车信号灯基础 1000*1000*1600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1.规格:普通信号灯(只计基础)</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2.基础：C30商品砼钢筋混凝土基础</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3.钢筋制作、安装</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4.底座及附件等制作安装、联接及油漆</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5.基础土方：开挖、回填及外运</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2389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202101078</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机动车信号灯基础 800*800*1000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1.规格:普通信号灯(只计基础)</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2.基础：C30商品砼钢筋混凝土基础</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3.钢筋制作、安装</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4.底座及附件等制作安装、联接及油漆</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5.基础土方：开挖、回填及外运</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eastAsia="zh-CN" w:bidi="ar-SA"/>
              </w:rPr>
              <w:t>1</w:t>
            </w:r>
            <w:r>
              <w:rPr>
                <w:rFonts w:hint="eastAsia" w:ascii="宋体" w:hAnsi="宋体" w:eastAsia="宋体" w:cs="宋体"/>
                <w:color w:val="auto"/>
                <w:sz w:val="20"/>
                <w:highlight w:val="none"/>
                <w:lang w:val="en-US" w:eastAsia="zh-CN" w:bidi="ar-SA"/>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202101079</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空气开关</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名称：信号灯控制器空气开关</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202101080</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窨井 Φ700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1.窨井（整体）： Φ700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2.非定型井基础  C20商品砼</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3.非定型井砌筑 砖砌圆形井(M7.5) 干混砂浆</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4.干混抹灰砂浆 M20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5.含井盖井座</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6.镀锌圆钢接地及跨接 Φ8</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7.基础土方：开挖、回填及外运</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座</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1428.32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202101081</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窨井井盖</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1.窨井井盖： 300*300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2规格：高分子复合井盖</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座</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202101082</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窨井井盖</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1.窨井井盖： Φ700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2规格：球墨铸铁井盖</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座</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1462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202101083</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窨井井座</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1.窨井井盖： Φ700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2规格：球墨铸铁井座</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座</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202101084</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高分子材料井框井盖（按市城管局标准） </w:t>
            </w:r>
          </w:p>
        </w:tc>
        <w:tc>
          <w:tcPr>
            <w:tcW w:w="412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1、包括井框井盖、井框井盖运输安装； </w:t>
            </w:r>
          </w:p>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2、一般用于绿化带内； </w:t>
            </w:r>
          </w:p>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3、产品应具有三证（生产许可证、产品合格证、质量保证书），满足国家、行业标准规定的承载能力及耐久性要求。 </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202101085</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非标成品手孔井 300*300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1.名称：非标成品手孔井300*300</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2.材料：高分子复合材料</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3.基础土方：开挖、回填及外运</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座</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289.92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202101086</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信号灯配时优化</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1.名称：信号灯配时优化</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2.要求：根据业主要求情况，开展配时优化工作</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路口</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default" w:ascii="宋体" w:hAnsi="宋体" w:eastAsia="宋体" w:cs="宋体"/>
                <w:color w:val="auto"/>
                <w:sz w:val="20"/>
                <w:highlight w:val="none"/>
                <w:lang w:eastAsia="zh-Hans" w:bidi="ar-SA"/>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202101087</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移动信号灯摆放</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1.名称：移动信号灯摆放（普通式）</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2.要求：24小时内计算1次，不足24小时按24小时计算。信号灯乙方自行配置。</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次</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auto"/>
                <w:kern w:val="0"/>
                <w:sz w:val="20"/>
                <w:szCs w:val="20"/>
                <w:highlight w:val="none"/>
                <w:u w:val="none"/>
                <w:lang w:val="en-US" w:eastAsia="zh-CN" w:bidi="ar"/>
              </w:rPr>
              <w:t>202101088</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移动信号灯摆放</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1.名称：移动信号灯摆放（太阳能式）</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2.要求：24小时内计算1次，不足24小时按24小时计算。信号灯乙方自行配置。</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次</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20</w:t>
            </w:r>
          </w:p>
        </w:tc>
      </w:tr>
    </w:tbl>
    <w:p>
      <w:pPr>
        <w:spacing w:line="380" w:lineRule="exact"/>
        <w:ind w:firstLine="0" w:firstLineChars="0"/>
        <w:jc w:val="left"/>
        <w:rPr>
          <w:rFonts w:hint="eastAsia" w:ascii="宋体" w:hAnsi="宋体" w:eastAsia="宋体" w:cs="宋体"/>
          <w:color w:val="auto"/>
          <w:sz w:val="24"/>
          <w:highlight w:val="none"/>
        </w:rPr>
      </w:pPr>
    </w:p>
    <w:p>
      <w:pPr>
        <w:spacing w:line="380" w:lineRule="exact"/>
        <w:ind w:firstLine="0" w:firstLineChars="0"/>
        <w:jc w:val="left"/>
        <w:rPr>
          <w:rFonts w:hint="eastAsia" w:ascii="宋体" w:hAnsi="宋体" w:eastAsia="宋体" w:cs="宋体"/>
          <w:color w:val="auto"/>
          <w:sz w:val="24"/>
          <w:highlight w:val="none"/>
        </w:rPr>
      </w:pPr>
    </w:p>
    <w:tbl>
      <w:tblPr>
        <w:tblStyle w:val="49"/>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173"/>
        <w:gridCol w:w="1343"/>
        <w:gridCol w:w="4125"/>
        <w:gridCol w:w="655"/>
        <w:gridCol w:w="479"/>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555" w:type="dxa"/>
            <w:gridSpan w:val="7"/>
            <w:noWrap w:val="0"/>
            <w:vAlign w:val="center"/>
          </w:tcPr>
          <w:p>
            <w:pPr>
              <w:widowControl/>
              <w:snapToGrid w:val="0"/>
              <w:spacing w:line="240" w:lineRule="auto"/>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二、标志部分（整套）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3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117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项目编码</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项目名称</w:t>
            </w:r>
          </w:p>
        </w:tc>
        <w:tc>
          <w:tcPr>
            <w:tcW w:w="412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项目特征描述</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计量</w:t>
            </w:r>
          </w:p>
          <w:p>
            <w:pPr>
              <w:pStyle w:val="2"/>
              <w:rPr>
                <w:rFonts w:hint="eastAsia"/>
                <w:color w:val="auto"/>
                <w:lang w:eastAsia="zh-CN"/>
              </w:rPr>
            </w:pPr>
          </w:p>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工程量</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全费用综合单价（包干价）控制价（元）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202102001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警告标志 △70cm(单柱)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1.名称：警告标志△70cm(单柱)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2.标志板材质及规格型号：边长700*2mm正三角形铝板,铝基表面粘贴IV类反光膜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3.立柱材质及规格型号:钢管Φ89×4.5×3316mm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4.基础材质及规格型号：C30钢筋砼基础,60×80×80cm(含模板、钢筋制安、预埋及挖填土方)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1853.81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202102002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警告标志 △90cm(单柱)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1.名称：警告标志△90cm(单柱)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2.标志板材质及规格型号：边长900*2mm正三角形铝板,铝基表面粘贴IV类反光膜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3.立柱材质及规格型号:钢管Φ89×4.5×3549mm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4.基础材质及规格型号：C30钢筋砼基础,60×80×80cm(含模板、钢筋制安、预埋及挖填土方)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1978.88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202102003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警告标志 △110cm(单柱)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1.名称：警告标志△110cm(单柱)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2.标志板材质及规格型号：边长1100*2mm正三角形铝板,铝基表面粘贴IV类反光膜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3.立柱材质及规格型号:钢管Φ89×4.5×3782mm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4.基础材质及规格型号：C30钢筋砼基础,60×80×80cm(含模板、钢筋制安、预埋及挖填土方)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2094.08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202102004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禁令标志 φ80cm(单柱)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1.名称：禁令标志 φ80cm(单柱)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2.标志板材质及规格型号：φ800*2mm圆形铝板,铝基表面粘贴IV类反光膜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3.立柱材质及规格型号:钢管Φ89×4.5×3200mm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4.基础材质及规格型号：C30钢筋砼基础,60×80×80cm(含模板、钢筋制安、预埋及挖填土方)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2010.88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202102005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禁令标志 φ100cm(单柱)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1.名称：禁令标志 φ100cm(单柱)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2.标志板材质及规格型号：φ1000*2mm圆形铝板,铝基表面粘贴IV类反光膜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3.立柱材质及规格型号:钢管Φ89×4.5×3400mm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4.基础材质及规格型号：C30钢筋砼基础,60×80×80cm(含模板、钢筋制安、预埋及挖填土方)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2196.48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202102006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停让标志 八边形80cm(单柱)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1.名称：停让标志 八边形80cm(单柱)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2.标志板材质及规格型号：外径800*2mm八边形铝板,铝基表面粘贴IV类反光膜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3.立柱材质及规格型号:钢管Φ89×4.5×3200mm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4.基础材质及规格型号：C30钢筋砼基础,60×80×80cm(含模板、钢筋制安、预埋及挖填土方)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szCs w:val="20"/>
                <w:highlight w:val="none"/>
              </w:rPr>
              <w:t>2017.28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202102007</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减让标志 ▽90cm(单柱)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1.名称：减让标志 ▽90cm(单柱)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2.标志板材质及规格型号：边长900*2mm倒三角形铝板,铝基表面粘贴IV类反光膜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3.立柱材质及规格型号:钢管Φ89×4.5×3549mm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4.基础材质及规格型号：C30钢筋砼基础,60×80×80cm(含模板、钢筋制安、预埋及挖填土方)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szCs w:val="20"/>
                <w:highlight w:val="none"/>
              </w:rPr>
              <w:t>2009.85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202102008</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禁令组合标志板 90*230cm(单柱) </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1.名称：禁令组合标志 90*230cm(单柱)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2.标志板材质及规格型号：900*2300*3mm矩形铝板,铝基表面粘贴IV类反光膜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3.立柱材质及规格型号:钢管Φ114×4.5×5500mm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4.基础材质及规格型号：C30钢筋砼基础,80×100×100cm(含模板、钢筋制安、预埋及挖填土方)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eastAsia="zh-CN"/>
              </w:rPr>
              <w:t>3</w:t>
            </w:r>
            <w:r>
              <w:rPr>
                <w:rFonts w:hint="eastAsia" w:ascii="宋体" w:hAnsi="宋体" w:eastAsia="宋体" w:cs="宋体"/>
                <w:color w:val="auto"/>
                <w:sz w:val="20"/>
                <w:highlight w:val="none"/>
                <w:lang w:val="en-US" w:eastAsia="zh-CN"/>
              </w:rPr>
              <w:t>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202102009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禁令组合标志板 90*320cm(单柱) </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1.名称：禁令组合标志 90*320cm(单柱)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2.标志板材质及规格型号：900*3200*3mm矩形铝板,铝基表面粘贴IV类反光膜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3.立柱材质及规格型号:钢管Φ114×4.5×6500mm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4.基础材质及规格型号：C30钢筋砼基础,80×100×100cm(含模板、钢筋制安、预埋及挖填土方)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eastAsia="zh-CN"/>
              </w:rPr>
              <w:t>4</w:t>
            </w:r>
            <w:r>
              <w:rPr>
                <w:rFonts w:hint="eastAsia" w:ascii="宋体" w:hAnsi="宋体" w:eastAsia="宋体" w:cs="宋体"/>
                <w:color w:val="auto"/>
                <w:sz w:val="20"/>
                <w:highlight w:val="none"/>
                <w:lang w:val="en-US" w:eastAsia="zh-CN"/>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202102010</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40*60cm(单柱)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 40*60cm(单柱)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2.标志板材质及规格型号：400*600*2mm方形铝板,铝基表面粘贴IV类反光膜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3.立柱材质及规格型号:钢管Φ89×4.5×3050mm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4.基础材质及规格型号：C30钢筋砼基础,60×80×80cm(含模板、钢筋制安、预埋及挖填土方)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1798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202102011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80*80cm(单柱)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 80*80cm(单柱)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2.标志板材质及规格型号：800*800*2mm方形铝板,铝基表面粘贴IV类反光膜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3.立柱材质及规格型号:钢管Φ89×4.5×3250mm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4.基础材质及规格型号：C30钢筋砼基础,60×80×80cm(含模板、钢筋制安、预埋及挖填土方)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szCs w:val="20"/>
                <w:highlight w:val="none"/>
              </w:rPr>
              <w:t>2080.32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202102012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100*100cm(单柱)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 100*100cm(单柱)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2.标志板材质及规格型号：1000*1000*2mm方形铝板,铝基表面粘贴IV类反光膜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3.立柱材质及规格型号:钢管Φ89×4.5×3450mm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4.基础材质及规格型号：C30钢筋砼基础,60×80×80cm(含模板、钢筋制安、预埋及挖填土方)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szCs w:val="20"/>
                <w:highlight w:val="none"/>
              </w:rPr>
              <w:t>2230.41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202102013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140*100cm(单柱)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 140*100cm(单柱)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2.标志板材质及规格型号：1400*1000*3mm矩形铝板,铝基表面粘贴IV类反光膜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3.立柱材质及规格型号:钢管Φ121×4.5×3450mm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4.基础材质及规格型号：C30钢筋砼基础,80×100×100cm(含模板、钢筋制安、预埋及挖填土方)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szCs w:val="20"/>
                <w:highlight w:val="none"/>
              </w:rPr>
              <w:t>2564.59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202102014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160*120cm(单柱)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 160*120cm(单柱)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2.标志板材质及规格型号：1600*1200*3mm矩形铝板,铝基表面粘贴IV类反光膜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3.立柱材质及规格型号:钢管Φ121×4.5×3650mm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4.基础材质及规格型号：C30钢筋砼基础,80×100×100cm(含模板、钢筋制安、预埋及挖填土方)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2924.59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202102015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190*140cm(单柱)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 190*140cm(单柱)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2.标志板材质及规格型号：1900*1400*3mm矩形铝板,铝基表面粘贴IV类反光膜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3.立柱材质及规格型号:钢管Φ121×4.5×3850mm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4.基础材质及规格型号：C30钢筋砼基础,80×100×100cm(含模板、钢筋制安、预埋及挖填土方)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3443.90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202102016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60*30cm(单柱)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 60*30cm(单柱)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2.标志板材质及规格型号：600*300*2mm矩形铝板,铝基表面粘贴IV类反光膜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3.立柱材质及规格型号:钢管Φ89×4.5×2750mm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4.基础材质及规格型号：C30钢筋砼基础,60×80×80cm(含模板、钢筋制安、预埋及挖填土方)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1652.54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202102017</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80*40cm(单柱)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 80*40cm(单柱)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2.标志板材质及规格型号：800*400*2mm矩形铝板,铝基表面粘贴IV类反光膜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3.立柱材质及规格型号:钢管Φ89×4.5×2850mm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4.基础材质及规格型号：C30钢筋砼基础,60×80×80cm(含模板、钢筋制安、预埋及挖填土方)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1742.36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202102018</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100*50cm(单柱)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 100*50cm(含立柱)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2.标志板材质及规格型号：1000*500*2mm矩形铝板,铝基表面粘贴IV类反光膜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3.立柱材质及规格型号:钢管Φ89×4.5×2950mm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4.基础材质及规格型号：C30钢筋砼基础,60×80×80cm(含模板、钢筋制安、预埋及挖填土方)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1836.45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202102019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120*60cm(单柱)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 120*60cm(单柱)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2.标志板材质及规格型号：1200*600*2mm矩形铝板,铝基表面粘贴IV类反光膜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3.立柱材质及规格型号:钢管Φ89×4.5×3050mm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4.基础材质及规格型号：C30钢筋砼基础,60×80×80cm(含模板、钢筋制安、预埋及挖填土方)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1987.18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202102020</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200*280cm(单柱)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 200*280cm(单柱)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2.标志板材质及规格型号：2000*2800*3mm矩形铝板,铝基表面粘贴IV类反光膜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3.立柱材质及规格型号:钢管Φ121×4.5×5250mm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4.基础材质及规格型号：C30钢筋砼基础,100×140×100cm(含模板、钢筋制安、预埋及挖填土方)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6220.81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202102021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警告标志 △90cm(L型杆)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1.名称：警告标志△90cm(L型杆)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2.标志板材质及规格型号：边长900*2mm正三角形铝板,铝基表面粘贴IV类反光膜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3.L型杆规格型号:立柱采用Φ168×8×6300mm钢管，横梁采用Φ89×4.5×3360mm钢管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6492.16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202102022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警告标志 △110cm(L型杆)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1.名称：警告标志△110cm(L型杆)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2.标志板材质及规格型号：边长1100*2mm正三角形铝板,铝基表面粘贴IV类反光膜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3.L型杆规格型号:立柱采用Φ168×8×6450mm钢管，横梁采用Φ89×4.5×3360mm钢管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6739.16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202102023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禁令标志 φ80cm(L型杆)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1.名称：禁令标志φ80cm(L型杆)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2.标志板材质及规格型号：φ800*2mm圆形铝板,铝基表面粘贴IV类反光膜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3.L型杆规格型号:立柱采用Φ168×8×6300mm钢管，横梁采用Φ89×4.5×3360mm钢管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6838.53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202102024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禁令标志 φ100cm(L型杆)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1.名称：禁令标志φ100cm(L型杆)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2.标志板材质及规格型号：φ1000*2mm圆形铝板,铝基表面粘贴IV类反光膜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3.L型杆规格型号:立柱采用Φ168×8×6400mm钢管，横梁采用Φ89×4.5×3360mm钢管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7133.62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202102025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100*100cm(L型杆)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1.名称：指示标志100*100cm(L型杆)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2.标志板材质及规格型号：1000*1000*2mm方形铝板,铝基表面粘贴IV类反光膜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3.L型杆规格型号:立柱采用Φ168×8×6400mm钢管，横梁采用Φ89×4.5×3360mm钢管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7133.14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202102026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120*120cm(L型杆)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1.名称：指示标志120*120cm(L型杆)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2.标志板材质及规格型号：1200*1200*2mm方形铝板,铝基表面粘贴IV类反光膜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3.L型杆规格型号:立柱采用Φ168×8×6500mm钢管，横梁采用Φ89×4.5×3360mm钢管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7385.93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202102027</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140*100cm(L型杆)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1.名称：指示标志140*100cm(L型杆)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2.标志板材质及规格型号：1400*1000*3mm矩形铝板,铝基表面粘贴IV类反光膜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3.L型杆规格型号:立柱采用Φ180×8×6400mm钢管，横梁采用Φ114×4.5×3560mm钢管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4.基础材质及规格型号：C30钢筋砼基础,140×180×160cm(含模板、钢筋制安、预埋及挖填土方)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11243.14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202102028</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160*120cm(L型杆)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1.名称：指示标志160*120cm(L型杆)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2.标志板材质及规格型号：1600*1200*3mm矩形铝板,铝基表面粘贴IV类反光膜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3.L型杆规格型号:立柱采用Φ180×8×6500mm钢管，横梁采用Φ114×4.5×3560mm钢管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4.基础材质及规格型号：C30钢筋砼基础,140×180×160cm(含模板、钢筋制安、预埋及挖填土方)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11553.14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202102029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190*140cm(L型杆)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1.名称：指示标志190*140cm(L型杆)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2.标志板材质及规格型号：1900*1400*3mm矩形铝板,铝基表面粘贴IV类反光膜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3.L型杆规格型号:立柱采用Φ180×8×6600mm钢管，横梁采用Φ114×4.5×3560mm钢管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4.基础材质及规格型号：C30钢筋砼基础,140×180×160cm(含模板、钢筋制安、预埋及挖填土方)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12122.44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202102030</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500*350cm(F型杆)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1.名称：指示标志500*350cm(F型杆)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2.标志板材质及规格型号：5000*3500*3mm矩形铝板,铝基表面粘贴IV类反光膜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3.F型杆规格型号:立柱采用Φ325×12×8850mm钢管，横梁采用2根Φ180×10×8060mm钢管，竖撑采用2根Φ121×5×1900mm钢管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4.基础材质及规格型号：C30钢筋砼基础,220×280×240cm(含模板、钢筋制安、预埋及挖填土方)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36473.72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202102031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400*280cm(F型杆)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1.名称：指示标志400*280cm(F型杆)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2.标志板材质及规格型号：4000*2800*3mm矩形铝板,铝基表面粘贴IV类反光膜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3.F型杆规格型号:立柱采用Φ273×10×8000mm钢管，横梁采用2根Φ168×8×6060mm钢管，竖撑采用2根Φ121×5×1400mm钢管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4.基础材质及规格型号：C30钢筋砼基础,180×250×200cm(含模板、钢筋制安、预埋及挖填土方)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25931.54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202102032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300*210cm(F型杆)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1.名称：指示标志300*210cm(F型杆)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2.标志板材质及规格型号：3000*2100*3mm矩形铝板,铝基表面粘贴IV类反光膜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3.F型杆规格型号:立柱采用Φ219×8×7500mm钢管，横梁采用2根Φ152×8×5060mm钢管，竖撑采用2根Φ121×5×1100mm钢管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4.基础材质及规格型号：C30钢筋砼基础,180×250×200cm(含模板、钢筋制安、预埋及挖填土方)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23102.06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202102033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250*100cm(L型杆)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1.名称：指示标志250*100cm(L型杆)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2.标志板材质及规格型号：2500*1000*3mm矩形铝板,铝基表面粘贴IV类反光膜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3.L型杆规格型号:立柱采用Φ180×8×6400mm钢管，横梁采用Φ114×4.5×4060mm钢管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4.基础材质及规格型号：C30钢筋砼基础,140×180×160cm(含模板、钢筋制安、预埋及挖填土方)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12272.44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202102034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200*70cm(L型杆)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1.名称：指示标志200*70cm(L型杆)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2.标志板材质及规格型号：2000*700*3mm矩形铝板,铝基表面粘贴IV类反光膜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3.L型杆规格型号:立柱采用Φ180×8×6250mm钢管，横梁采用Φ114×4.5×4060mm钢管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4.基础材质及规格型号：C30钢筋砼基础,140×180×160cm(含模板、钢筋制安、预埋及挖填土方)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13343.14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202102035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340*300cm(F型杆)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1.名称：指示标志340*300cm(F型杆)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2.标志板材质及规格型号：3400*3000*3mm矩形铝板,铝基表面粘贴IV类反光膜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3.F型杆规格型号:立柱采用Φ273×10×8200mm钢管，横梁采用2根Φ168×8×6060mm钢管，竖撑采用2根Φ121×5×1600mm钢管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4.基础材质及规格型号：C30钢筋砼基础,180×250×200cm(含模板、钢筋制安、预埋及挖填土方)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25343.14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202102036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300*120cm(L型杆)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1.名称：指示标志300*120cm(L型杆)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2.标志板材质及规格型号：3000*1200*3mm矩形铝板,铝基表面粘贴IV类反光膜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3.L型杆规格型号:立柱采用Φ180×8×6500mm钢管，横梁采用Φ121×4.5×4560mm钢管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4.基础材质及规格型号：C30钢筋砼基础,140×180×160cm(含模板、钢筋制安、预埋及挖填土方)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5.油漆品种及防腐处理：所有钢构件先做热浸镀锌处理，再做喷塑处理，颜色按设计要求</w:t>
            </w:r>
          </w:p>
          <w:p>
            <w:pPr>
              <w:pStyle w:val="2"/>
              <w:rPr>
                <w:rFonts w:hint="eastAsia"/>
                <w:color w:val="auto"/>
                <w:lang w:eastAsia="zh-CN"/>
              </w:rPr>
            </w:pP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10772.44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202102037</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300*180cm(F型杆)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1.名称：指示标志300*180cm(F型杆)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2.标志板材质及规格型号：3000*1800*3mm矩形铝板,铝基表面粘贴IV类反光膜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3.F型杆规格型号:立柱采用Φ273×10×7500mm钢管，横梁采用2根Φ152×8×6810mm钢管，竖撑采用2根Φ121×5×1000mm钢管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4.基础材质及规格型号：C30钢筋砼基础,100×100×220cm(含模板、钢筋制安、预埋及挖填土方)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27931.54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202102038</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350*180cm(F型杆)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1.名称：指示标志350*180cm(F型杆)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2.标志板材质及规格型号：3500*1800*3mm矩形铝板,铝基表面粘贴IV类反光膜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3.F型杆规格型号:立柱采用Φ273×10×7500mm钢管，横梁采用2根Φ152×8×7310mm钢管，竖撑采用2根Φ121×5×1000mm钢管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4.基础材质及规格型号：C30钢筋砼基础,100×100×220cm(含模板、钢筋制安、预埋及挖填土方)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20234.78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202102039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420*180cm(F型杆)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1.名称：指示标志420*180cm(F型杆)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2.标志板材质及规格型号：4200*1800*3mm矩形铝板,铝基表面粘贴IV类反光膜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3.F型杆规格型号:立柱采用Φ325×12×7550mm钢管，横梁采用2根Φ159×8×8010mm钢管，竖撑采用2根Φ121×5×1000mm钢管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4.基础材质及规格型号：C30钢筋砼基础,140×200×160cm(含模板、钢筋制安、预埋及挖填土方)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23523.47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202102040</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5000*1800mm(F型杆)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1.名称：指示标志500*180cm(F型杆)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2.标志板材质及规格型号：5000*1800*3mm矩形铝板,铝基表面粘贴IV类反光膜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3.F型杆规格型号:立柱采用Φ325×12×7550mm钢管，横梁采用2根Φ159×8×8810mm钢管，竖撑采用2根Φ121×5×1000mm钢管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4.基础材质及规格型号：C30钢筋砼基础,140×200×160cm(含模板、钢筋制安、预埋及挖填土方)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26746.79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202102041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2-3000*2000mm(双T型杆)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 2-300*200cm(双T型杆)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2.标志板材质及规格型号：2块3000*2000*3mm矩形铝板,铝基表面粘贴IV类反光膜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3.双T型杆规格型号:立柱采用Φ273×12×7400mm钢管，横梁采用4根Φ121×6×3480mm钢管，竖撑采用2根Φ121×5×1000mm钢管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4.基础材质及规格型号：C30钢筋砼基础,160×220×180cm(含模板、钢筋制安、预埋及挖填土方)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5.基础垫层强度等级及厚度：200厚C15砼</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6.油漆品种及防腐处理：所有钢构件先做热浸镀锌处理，再做喷塑处理，颜色按设计要求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30594.98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202102042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10米跨幅门架</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1.名称：跨幅门架</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2.长度：10米</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3.含基础、门架，不含标志</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4.油漆品种及防腐处理：所有钢构件先做热浸镀锌处理，再做喷塑处理，颜色按设计要求</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5.具体做法详设计图S1-4－1</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54730.01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202102043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13米跨幅门架</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1.名称：跨幅门架</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2.长度：13米</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3.含基础、门架，不含标志</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4.油漆品种及防腐处理：所有钢构件先做热浸镀锌处理，再做喷塑处理，颜色按设计要求</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5.具体做法详设计图S1-4－2</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59324.09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202102044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17米跨幅门架</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1.名称：跨幅门架</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2.长度：17米</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3.含基础、门架，不含标志</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4.油漆品种及防腐处理：所有钢构件先做热浸镀锌处理，再做喷塑处理，颜色按设计要求</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 具体做法详设计图S1-4－3</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79995.31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202102045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25米跨幅门架</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1.名称：跨幅门架</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2.长度：25米</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3.含基础、门架，不含标志</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4.油漆品种及防腐处理：所有钢构件先做热浸镀锌处理，再做喷塑处理，颜色按设计要求</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5.具体做法详设计图S1-4－4</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110726.17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202102046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警告标志 △90cm(含L型杆、旋转机构)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1.名称：警告标志△90cm(含L型杆、旋转机构)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2.标志板材质及规格型号：边长900*2mm正三角形铝板,铝基表面粘贴IV类反光膜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3.L型杆规格型号:立柱采用Φ168×8×6300mm钢管，旋转机构接头详计图S1-6，横梁采用Φ89×4.5×3360mm钢管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5865.61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202102047</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警告标志 △110cm(含L型杆、旋转机构)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1.名称：警告标志△110cm(含L型杆、旋转机构)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2.标志板材质及规格型号：边长1100*2mm正三角形铝板,铝基表面粘贴IV类反光膜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3.L型杆规格型号:立柱采用Φ168×8×6450mm钢管，旋转机构接头详计图S1-6，横梁采用Φ89×4.5×3360mm钢管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lang w:val="en-US"/>
              </w:rPr>
            </w:pPr>
            <w:r>
              <w:rPr>
                <w:rFonts w:hint="eastAsia" w:ascii="宋体" w:hAnsi="宋体" w:eastAsia="宋体" w:cs="宋体"/>
                <w:color w:val="auto"/>
                <w:sz w:val="20"/>
                <w:szCs w:val="20"/>
                <w:highlight w:val="none"/>
              </w:rPr>
              <w:t>6055.61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202102048</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禁令标志 φ80cm(含L型杆、旋转机构)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1.名称：禁令标志φ80cm(含L型杆、旋转机构)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2.标志板材质及规格型号：φ800*2mm圆形铝板,铝基表面粘贴IV类反光膜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3.L型杆规格型号:立柱采用Φ168×8×6300mm钢管，旋转机构接头详计图S1-6，横梁采用Φ89×4.5×3360mm钢管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lang w:val="en-US"/>
              </w:rPr>
            </w:pPr>
            <w:r>
              <w:rPr>
                <w:rFonts w:hint="eastAsia" w:ascii="宋体" w:hAnsi="宋体" w:eastAsia="宋体" w:cs="宋体"/>
                <w:color w:val="auto"/>
                <w:sz w:val="20"/>
                <w:szCs w:val="20"/>
                <w:highlight w:val="none"/>
              </w:rPr>
              <w:t>5940.61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202102049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禁令标志 φ100cm(含L型杆、旋转机构)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1.名称：禁令标志φ100cm(含L型杆、旋转机构)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2.标志板材质及规格型号：φ1000*2mm圆形铝板,铝基表面粘贴IV类反光膜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3.L型杆规格型号:立柱采用Φ168×8×6400mm钢管，旋转机构接头详计图S1-6，横梁采用Φ89×4.5×3360mm钢管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6535.61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202102050</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100*100cm(含L型杆、旋转机构)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1.名称：指示标志100*100cm(含L型杆、旋转机构)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2.标志板材质及规格型号：1000*1000*2mm方形铝板,铝基表面粘贴IV类反光膜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3.L型杆规格型号:立柱采用Φ168×8×6400mm钢管，旋转机构接头详计图S1-6，横梁采用Φ89×4.5×3360mm钢管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7526.84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202102051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120*120cm(含L型杆、旋转机构)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1.名称：指示标志120*120cm(含L型杆、旋转机构)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2.标志板材质及规格型号：1200*1200*2mm方形铝板,铝基表面粘贴IV类反光膜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3.L型杆规格型号:立柱采用Φ168×8×6500mm钢管，旋转机构接头详计图S1-6，横梁采用Φ89×4.5×3360mm钢管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7989.65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202102052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140*100cm(含L型杆、旋转机构)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1.名称：指示标志140*100cm(含L型杆、旋转机构)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2.标志板材质及规格型号：1400*1000*3mm矩形铝板,铝基表面粘贴IV类反光膜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3.L型杆规格型号:立柱采用Φ168×8×6400mm钢管，旋转机构接头详计图S1-6，横梁采用Φ89×4.5×3560mm钢管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4.基础材质及规格型号：C30钢筋砼基础,80×100×160cm(含模板、钢筋制安、预埋及挖填土方)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11345.12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202102053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160*120cm(含L型杆、旋转机构)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1.名称：指示标志160*120cm(含L型杆、旋转机构)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2.标志板材质及规格型号：1600*1200*3mm矩形铝板,铝基表面粘贴IV类反光膜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3.L型杆规格型号:立柱采用Φ180×8×6500mm钢管，旋转机构接头详计图S1-6，横梁采用Φ114×4.5×3560mm钢管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4.基础材质及规格型号：C30钢筋砼基础,140×180×160cm(含模板、钢筋制安、预埋及挖填土方)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12854.36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202102054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190*140cm(含L型杆、旋转机构)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1.名称：指示标志190*140cm(含L型杆、旋转机构)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2.标志板材质及规格型号：1900*1400*3mm矩形铝板,铝基表面粘贴IV类反光膜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3.L型杆规格型号:立柱采用Φ180×8×6600mm钢管，旋转机构接头详计图S1-6，横梁采用Φ114×4.5×3560mm钢管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4.基础材质及规格型号：C30钢筋砼基础,140×180×160cm(含模板、钢筋制安、预埋及挖填土方)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15634.52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202102055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500*350cm(含F型杆、旋转机构)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1.名称：指示标志500*350cm(含F型杆、旋转机构)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2.标志板材质及规格型号：5000*3500*3mm矩形铝板,铝基表面粘贴IV类反光膜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3.F型杆规格型号:立柱采用Φ325×12×8850mm钢管，旋转机构接头详计图S1-6，横梁采用2根Φ180×10×8060mm钢管，竖撑采用2根Φ121×5×1900mm钢管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4.基础材质及规格型号：C30钢筋砼基础,220×280×240cm(含模板、钢筋制安、预埋及挖填土方)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36576.13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202102056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400*280cm(含F型杆、旋转机构)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1.名称：指示标志400*280cm(含F型杆、旋转机构)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2.标志板材质及规格型号：4000*2800*3mm矩形铝板,铝基表面粘贴IV类反光膜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3.F型杆规格型号:立柱采用Φ273×10×8000mm钢管，旋转机构接头详计图S1-6，横梁采用2根Φ168×8×6060mm钢管，竖撑采用2根Φ121×5×1400mm钢管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4.基础材质及规格型号：C30钢筋砼基础,180×250×200cm(含模板、钢筋制安、预埋及挖填土方)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25187.34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202102057</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300*210cm(含F型杆、旋转机构)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1.名称：指示标志300*210cm(含F型杆、旋转机构)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2.标志板材质及规格型号：3000*2100*3mm矩形铝板,铝基表面粘贴IV类反光膜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3.F型杆规格型号:立柱采用Φ219×8×7500mm钢管，旋转机构接头详计图S1-6，横梁采用2根Φ152×8×5060mm钢管，竖撑采用2根Φ121×5×1100mm钢管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4.基础材质及规格型号：C30钢筋砼基础,180×250×200cm(含模板、钢筋制安、预埋及挖填土方)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20204.35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202102058</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250*100cm(含L型杆、旋转机构)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1.名称：指示标志250*100cm(含L型杆、旋转机构)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2.标志板材质及规格型号：2500*1000*3mm矩形铝板,铝基表面粘贴IV类反光膜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3.L型杆规格型号:立柱采用Φ180×8×6400mm钢管，旋转机构接头详计图S1-6，横梁采用Φ114×4.5×4060mm钢管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4.基础材质及规格型号：C30钢筋砼基础,140×180×160cm(含模板、钢筋制安、预埋及挖填土方)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12342.12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202102059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200*70cm(含L型杆、旋转机构)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1.名称：指示标志200*70cm(含L型杆、旋转机构)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2.标志板材质及规格型号：2000*700*3mm矩形铝板,铝基表面粘贴IV类反光膜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3.L型杆规格型号:立柱采用Φ180×8×6250mm钢管，旋转机构接头详计图S1-6，横梁采用Φ114×4.5×4060mm钢管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4.基础材质及规格型号：C30钢筋砼基础,140×180×160cm(含模板、钢筋制安、预埋及挖填土方)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11430.56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202102060</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340*300cm(含F型杆、旋转机构)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1.名称：指示标志340*300cm(含F型杆、旋转机构)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2.标志板材质及规格型号：3400*3000*3mm矩形铝板,铝基表面粘贴IV类反光膜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3.F型杆规格型号:立柱采用Φ273×10×8200mm钢管，旋转机构接头详计图S1-6，横梁采用2根Φ168×8×6060mm钢管，竖撑采用2根Φ121×5×1600mm钢管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4.基础材质及规格型号：C30钢筋砼基础,180×250×200cm(含模板、钢筋制安、预埋及挖填土方)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26587.59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202102061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300*120cm(含L型杆、旋转机构)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1.名称：指示标志300*120cm(含L型杆、旋转机构)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2.标志板材质及规格型号：3000*1200*3mm矩形铝板,铝基表面粘贴IV类反光膜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3.L型杆规格型号:立柱采用Φ180×8×6500mm钢管，旋转机构接头详计图S1-6，横梁采用Φ121×4.5×4560mm钢管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4.基础材质及规格型号：C30钢筋砼基础,140×180×160cm(含模板、钢筋制安、预埋及挖填土方)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13854.36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202102062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300*180cm(含F型杆、旋转机构)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1.名称：指示标志300*180cm(含F型杆、旋转机构)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2.标志板材质及规格型号：3000*1800*3mm矩形铝板,铝基表面粘贴IV类反光膜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3.F型杆规格型号:立柱采用Φ273×10×7500mm钢管，旋转机构接头详计图S1-6，横梁采用2根Φ152×8×6810mm钢管，竖撑采用2根Φ121×5×1000mm钢管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4.基础材质及规格型号：C30钢筋砼基础,100×100×220cm(含模板、钢筋制安、预埋及挖填土方)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23125.23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202102063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350*180cm(含F型杆、旋转机构)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1.名称：指示标志350*180cm(含F型杆、旋转机构)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2.标志板材质及规格型号：3500*1800*3mm矩形铝板,铝基表面粘贴IV类反光膜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3.F型杆规格型号:立柱采用Φ273×10×7500mm钢管，旋转机构接头详计图S1-6，横梁采用2根Φ152×8×7310mm钢管，竖撑采用2根Φ121×5×1000mm钢管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4.基础材质及规格型号：C30钢筋砼基础,100×100×220cm(含模板、钢筋制安、预埋及挖填土方)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24625.23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202102064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420*180cm(含F型杆、旋转机构)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1.名称：指示标志420*180cm(含F型杆、旋转机构)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2.标志板材质及规格型号：4200*1800*3mm矩形铝板,铝基表面粘贴IV类反光膜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3.F型杆规格型号:立柱采用Φ325×12×7550mm钢管，旋转机构接头详计图S1-6，横梁采用2根Φ159×8×8010mm钢管，竖撑采用2根Φ121×5×1000mm钢管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4.基础材质及规格型号：C30钢筋砼基础,140×200×160cm(含模板、钢筋制安、预埋及挖填土方)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26842.78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202102065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指示标志 500*180cm(含F型杆、旋转机构)</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1.名称：指示标志500*180cm(含F型杆、旋转机构)</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2.标志板材质及规格型号：5000*1800*3mm矩形铝板,铝基表面粘贴IV类反光膜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3.F型杆规格型号:立柱采用Φ325×12×7550mm钢管，旋转机构接头详计图S1-6，横梁采用2根Φ159×8×8810mm钢管，竖撑采用2根Φ121×5×1000mm钢管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4.基础材质及规格型号：C30钢筋砼基础,140×200×160cm(含模板、钢筋制安、预埋及挖填土方)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5.油漆品种及防腐处理：所有钢构件先做热浸镀锌处理，再做喷塑处理，颜色按设计要求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29564.36</w:t>
            </w:r>
          </w:p>
        </w:tc>
      </w:tr>
    </w:tbl>
    <w:p>
      <w:pPr>
        <w:spacing w:line="380" w:lineRule="exact"/>
        <w:ind w:firstLine="0" w:firstLineChars="0"/>
        <w:jc w:val="left"/>
        <w:rPr>
          <w:rFonts w:hint="eastAsia" w:ascii="宋体" w:hAnsi="宋体" w:eastAsia="宋体" w:cs="宋体"/>
          <w:color w:val="auto"/>
          <w:sz w:val="24"/>
          <w:highlight w:val="none"/>
        </w:rPr>
      </w:pPr>
    </w:p>
    <w:p>
      <w:pPr>
        <w:spacing w:line="380" w:lineRule="exact"/>
        <w:ind w:firstLine="0" w:firstLineChars="0"/>
        <w:jc w:val="left"/>
        <w:rPr>
          <w:rFonts w:hint="eastAsia" w:ascii="宋体" w:hAnsi="宋体" w:eastAsia="宋体" w:cs="宋体"/>
          <w:color w:val="auto"/>
          <w:sz w:val="24"/>
          <w:highlight w:val="none"/>
        </w:rPr>
      </w:pPr>
    </w:p>
    <w:tbl>
      <w:tblPr>
        <w:tblStyle w:val="49"/>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173"/>
        <w:gridCol w:w="1343"/>
        <w:gridCol w:w="4125"/>
        <w:gridCol w:w="655"/>
        <w:gridCol w:w="479"/>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555" w:type="dxa"/>
            <w:gridSpan w:val="7"/>
            <w:noWrap w:val="0"/>
            <w:vAlign w:val="center"/>
          </w:tcPr>
          <w:p>
            <w:pPr>
              <w:widowControl/>
              <w:snapToGrid w:val="0"/>
              <w:spacing w:line="240" w:lineRule="auto"/>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三、标志部分（配件）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3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117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项目编码</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项目名称</w:t>
            </w:r>
          </w:p>
        </w:tc>
        <w:tc>
          <w:tcPr>
            <w:tcW w:w="412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项目特征描述</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计量</w:t>
            </w:r>
          </w:p>
          <w:p>
            <w:pPr>
              <w:pStyle w:val="2"/>
              <w:rPr>
                <w:rFonts w:hint="eastAsia"/>
                <w:color w:val="auto"/>
                <w:lang w:eastAsia="zh-CN"/>
              </w:rPr>
            </w:pPr>
          </w:p>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工程量</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全费用综合单价（包干价）控制价（元）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202103001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标志板面</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1.名称：标志板面更换（适配第二部分）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2.要求：板面大小及厚度适配原有或另行规定</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3.含板面、IV类反光膜、紧固件等更换</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202103002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标志横杆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1.名称：标志横杆更换（适配第二部分）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2.要求：长度、厚度等尺寸适配原有或另行规定</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3.含紧固件更换</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202103003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标志立柱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1.名称：标志立柱更换（适配第二部分）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2.要求：长度、厚度等尺寸适配原有或另行规定</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3.含紧固件、适配基础</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202103004</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单立柱基础 300*300*300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1.规格:单立柱基础</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2.基础：C30商品砼钢筋混凝土基础</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3.钢筋制作、安装</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4.底座及附件等制作安装</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5.基础土方：开挖、回填及外运</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lang w:val="en-US" w:eastAsia="zh-CN" w:bidi="ar-SA"/>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202103005</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T型标志牌基础 2000*2000*2000</w:t>
            </w:r>
          </w:p>
        </w:tc>
        <w:tc>
          <w:tcPr>
            <w:tcW w:w="4125" w:type="dxa"/>
            <w:noWrap w:val="0"/>
            <w:vAlign w:val="center"/>
          </w:tcPr>
          <w:p>
            <w:pPr>
              <w:widowControl/>
              <w:numPr>
                <w:ilvl w:val="0"/>
                <w:numId w:val="6"/>
              </w:numPr>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规格:T型标志牌基础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2.基础：C30商品砼钢筋混凝土基础</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3.钢筋制作、安装</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4.底座及附件等制作安装</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5.基础土方：开挖、回填及外运</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lang w:val="en-US" w:eastAsia="zh-CN" w:bidi="ar-SA"/>
              </w:rPr>
              <w:t>8563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202103006</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F型标志牌基础 1500*1500*1600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1.规格:F型标志牌基础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2.基础：C30商品砼钢筋混凝土基础</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3.钢筋制作、安装</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4.底座及附件等制作安装</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5.基础土方：开挖、回填及外运</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4385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202103007</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L型标志牌基础 1000*1000*1000</w:t>
            </w:r>
          </w:p>
        </w:tc>
        <w:tc>
          <w:tcPr>
            <w:tcW w:w="4125" w:type="dxa"/>
            <w:noWrap w:val="0"/>
            <w:vAlign w:val="center"/>
          </w:tcPr>
          <w:p>
            <w:pPr>
              <w:widowControl/>
              <w:numPr>
                <w:ilvl w:val="0"/>
                <w:numId w:val="7"/>
              </w:numPr>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规格:L型标志牌基础</w:t>
            </w:r>
          </w:p>
          <w:p>
            <w:pPr>
              <w:widowControl/>
              <w:numPr>
                <w:ilvl w:val="0"/>
                <w:numId w:val="7"/>
              </w:numPr>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2.基础：C30商品砼钢筋混凝土基础</w:t>
            </w:r>
          </w:p>
          <w:p>
            <w:pPr>
              <w:widowControl/>
              <w:numPr>
                <w:ilvl w:val="0"/>
                <w:numId w:val="7"/>
              </w:numPr>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3.钢筋制作、安装</w:t>
            </w:r>
          </w:p>
          <w:p>
            <w:pPr>
              <w:widowControl/>
              <w:numPr>
                <w:ilvl w:val="0"/>
                <w:numId w:val="7"/>
              </w:numPr>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4.底座及附件等制作安装</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5.基础土方：开挖、回填及外运</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1189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202103008</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已有附着式标志牌拆除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1.名称：已有附着式标志牌拆除</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202103009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已有立柱式标志拆除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1.名称：已有立柱式标志拆除</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202103010</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已有L型标志拆除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1.名称：已有L型标志拆除</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202103011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已有F型标志拆除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1.名称：已有F型标志拆除</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202103012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已有T型标志拆除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1.名称：已有T型标志拆除</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202103013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移动式交通标志，板面面积小于1平米</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1.名称：移动式交通标志</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2.要求：包含面板及内容、基座</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3.具体厚度、尺寸、材料、站立形式按实际需求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202103014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移动式交通标志，板面面积大于1平米且小于3平米</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1.名称：移动式交通标志</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2.要求：包含面板及内容、基座</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 具体厚度、尺寸、材料、站立形式按实际需求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202103015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移动式交通标志，板面面积大于3平米且小于6平米</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1.名称：移动式交通标志</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2.要求：包含面板及内容、基座</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 具体厚度、尺寸、材料、站立形式按实际需求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98" w:leftChars="-100" w:hanging="308" w:hangingChars="154"/>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202103016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移动式交通标志，四方柱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1.名称：移动式交通标志，四方柱（约12平米）</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2.要求：包含面板及内容</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 具体厚度、尺寸、材料、站立形式按实际需求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9983</w:t>
            </w:r>
          </w:p>
        </w:tc>
      </w:tr>
    </w:tbl>
    <w:p>
      <w:pPr>
        <w:pStyle w:val="89"/>
        <w:rPr>
          <w:rFonts w:hint="eastAsia" w:ascii="宋体" w:hAnsi="宋体" w:eastAsia="宋体" w:cs="宋体"/>
          <w:color w:val="auto"/>
          <w:highlight w:val="none"/>
        </w:rPr>
      </w:pPr>
    </w:p>
    <w:p>
      <w:pPr>
        <w:pStyle w:val="89"/>
        <w:rPr>
          <w:rFonts w:hint="eastAsia" w:ascii="宋体" w:hAnsi="宋体" w:eastAsia="宋体" w:cs="宋体"/>
          <w:color w:val="auto"/>
          <w:highlight w:val="none"/>
        </w:rPr>
      </w:pPr>
    </w:p>
    <w:tbl>
      <w:tblPr>
        <w:tblStyle w:val="49"/>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173"/>
        <w:gridCol w:w="1343"/>
        <w:gridCol w:w="4125"/>
        <w:gridCol w:w="655"/>
        <w:gridCol w:w="479"/>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555" w:type="dxa"/>
            <w:gridSpan w:val="7"/>
            <w:noWrap w:val="0"/>
            <w:vAlign w:val="center"/>
          </w:tcPr>
          <w:p>
            <w:pPr>
              <w:widowControl/>
              <w:snapToGrid w:val="0"/>
              <w:spacing w:line="240" w:lineRule="auto"/>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四、标线部分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3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117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项目编码</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项目名称</w:t>
            </w:r>
          </w:p>
        </w:tc>
        <w:tc>
          <w:tcPr>
            <w:tcW w:w="412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项目特征描述</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计量</w:t>
            </w:r>
          </w:p>
          <w:p>
            <w:pPr>
              <w:pStyle w:val="2"/>
              <w:rPr>
                <w:rFonts w:hint="eastAsia"/>
                <w:color w:val="auto"/>
                <w:lang w:eastAsia="zh-CN"/>
              </w:rPr>
            </w:pPr>
          </w:p>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工程量</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全费用综合单价（包干价）控制价（元）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202104001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2.0mm厚热熔标线</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1.材料：采用掺有反光玻璃珠的热熔标线，需满足逆反射系数检测行业规范要求</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2.工艺：热熔 </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48.63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202104002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5+2.0mm振荡标线</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1.材料：采用掺有反光玻璃珠的振荡标线</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2.工艺：热熔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3.线型：振荡标线</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145.23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202104003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导向箭头</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1.材料品种：采用掺有反光玻璃珠的热熔标线涂料 ，需满足逆反射系数检测行业规范要求</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2.类型：导向箭头，包括直行、转向、调头及组合箭头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3.规格尺寸：3m</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90.21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202104004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导向箭头</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1.材料品种：采用掺有反光玻璃珠的热熔标线涂料，需满足逆反射系数检测行业规范要求</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2.类型：导向箭头，包括直行、转向、调头及组合箭头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3.规格尺寸：6m</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202104005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文字、图案</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1.材料品种：采用掺有反光玻璃珠的热熔标线涂料，需满足逆反射系数检测行业规范要求</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2.类型：地面文字、图案</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3.规格尺寸：3m及以下（以最长边计算）</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65.41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202104006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文字、图案</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1.材料品种：采用掺有反光玻璃珠的热熔标线涂料，需满足逆反射系数检测行业规范要求</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2.类型：地面文字、图案</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3.规格尺寸：3m以上6m以下（以最长边计算）</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114.35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202104007</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彩色热熔标线</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1.材料：采用掺有反光玻璃珠的热熔标线，需满足逆反射系数检测行业规范要求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202104008</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反光雨夜标线</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1.材料：采用掺有反光雨夜珠的热熔标线，需满足逆反射系数检测行业规范要求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202104009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预成型视觉立体标线</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1.标线厚度：2.0mm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2.粘结性能、逆反射系数及耐磨抗滑系数满足国家标准GB/T 24717-2009 道路预成型带</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202104010</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双组份标线</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PMMA双组份刮涂标线厚度</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12+01m内混玻璃珠含量不得低于30%，内混玻璃珠成圆率不得低于90%。面撒玻璃珠采用级配范围在06~10mm的双组份专用玻璃珠，表面需经硅烷偶联剂处理以提高其对标线的附着力，成圆率不得低于95%。撒布量250~300g/m。白色标线逆反射系数不得低于250mcdlx-1m-2，黄色标线逆反射系数不得低于150mcdlx-1m-2。</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202104011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冷涂标线</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1.材料品种：普通油漆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2.工艺：冷涂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3.要求：某些小部分热标线画不到的边角、角落处根据实际要求用油漆补画</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25.24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202104012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水除线法标线清除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1.要求用水除线法开展各类废旧、破损标线的清除</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2.需带废旧回收功能</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45.38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202104013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突起路标清除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1.名称：突起路标清除</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2.清除方法：机械或手工</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3.包括混凝土路面、沥青路面等多种路面结构</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202104014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地面突起路标(A1)</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1.类型：地面突起路标(A1)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2.材质、规格尺寸：详图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3.板面反光膜等级：满足设计要求</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4.工程塑料及反光片</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35.26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202104015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地面突起路标(A3)</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1.类型：地面突起路标(A3)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2.材质、规格尺寸：详图 </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202104016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反光轮廓标（At1）</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1.类型：反光轮廓标（At1）</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2.材质、规格尺寸：详图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3.板面反光膜等级：满足设计要求</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4.附着于波形护栏</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28.46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202104017</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反光轮廓标（At2）</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1.类型：反光轮廓标（At2）</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2.材质、规格尺寸：详图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3.板面反光膜等级：满足设计要求</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4.附着于桥梁护栏侧壁</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lang w:val="en-US" w:eastAsia="zh-CN"/>
              </w:rPr>
              <w:t>35.32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202104018</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反光轮廓标（At3）</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1.类型：反光轮廓标（At3）</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2.材质、规格尺寸：详图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3.板面反光膜等级：满足设计要求</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4.附着于隧道侧壁</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39.84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202104019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地面彩色铺装</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1.抗滑性：不低于45bpn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2.厚度：3mm</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2.满足标准DB51/T 2427-2017</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348</w:t>
            </w:r>
          </w:p>
        </w:tc>
      </w:tr>
    </w:tbl>
    <w:p>
      <w:pPr>
        <w:pStyle w:val="89"/>
        <w:rPr>
          <w:rFonts w:hint="eastAsia" w:ascii="宋体" w:hAnsi="宋体" w:eastAsia="宋体" w:cs="宋体"/>
          <w:color w:val="auto"/>
          <w:highlight w:val="none"/>
        </w:rPr>
      </w:pPr>
    </w:p>
    <w:p>
      <w:pPr>
        <w:pStyle w:val="89"/>
        <w:rPr>
          <w:rFonts w:hint="eastAsia" w:ascii="宋体" w:hAnsi="宋体" w:eastAsia="宋体" w:cs="宋体"/>
          <w:color w:val="auto"/>
          <w:highlight w:val="none"/>
        </w:rPr>
      </w:pPr>
    </w:p>
    <w:tbl>
      <w:tblPr>
        <w:tblStyle w:val="49"/>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173"/>
        <w:gridCol w:w="1343"/>
        <w:gridCol w:w="4125"/>
        <w:gridCol w:w="655"/>
        <w:gridCol w:w="479"/>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555" w:type="dxa"/>
            <w:gridSpan w:val="7"/>
            <w:noWrap w:val="0"/>
            <w:vAlign w:val="center"/>
          </w:tcPr>
          <w:p>
            <w:pPr>
              <w:widowControl/>
              <w:snapToGrid w:val="0"/>
              <w:spacing w:line="240" w:lineRule="auto"/>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五、隔离设施部分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3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117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项目编码</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项目名称</w:t>
            </w:r>
          </w:p>
        </w:tc>
        <w:tc>
          <w:tcPr>
            <w:tcW w:w="412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项目特征描述</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计量</w:t>
            </w:r>
          </w:p>
          <w:p>
            <w:pPr>
              <w:pStyle w:val="2"/>
              <w:rPr>
                <w:rFonts w:hint="eastAsia"/>
                <w:color w:val="auto"/>
                <w:lang w:eastAsia="zh-CN"/>
              </w:rPr>
            </w:pPr>
          </w:p>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工程量</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全费用综合单价（包干价）控制价（元）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202105001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一代中央高护栏  H=950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1.类型：中央隔离护栏</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2.护栏规格、型号：H=950，上下横管为Φ51*2.0，竖立弯弧管为Φ25*1.6</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3.材料品种:不锈钢复合管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4.立柱：8mm厚Q235钢板加工成型后，表面整体进行镀锌喷塑处理；立柱上粘贴100*40Ⅳ类反光膜</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5.底座：1.0厚Q235钢板加工成型后，表面整体进行镀锌喷塑处理，内填充C20钢筋砼</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6.具体做法详设计图S3-1</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350.12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202105002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三代中央高护栏  H=905</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1.类型：中央隔离护栏</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2.护栏规格、型号：H=905，上下横管为Φ48*3.5，立管为Φ25*3</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3.护栏材料品种:热镀锌钢管，表面喷塑处理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4.立柱：8mm厚Q235钢板加工成型后，表面整体进行镀锌喷塑处理；每一支架迎车方向粘贴140*500Ⅳ类反光膜；每根立柱两侧需加装PP注塑保护套</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5.底座：3mm厚Q235钢板加工成型后，表面整体进行镀锌喷塑处理，内填充C20钢筋砼</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6.具体做法详设计图S3-5</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448.18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202105003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四代中央高护栏高护栏  H=1020</w:t>
            </w:r>
          </w:p>
        </w:tc>
        <w:tc>
          <w:tcPr>
            <w:tcW w:w="4125" w:type="dxa"/>
            <w:noWrap w:val="0"/>
            <w:vAlign w:val="center"/>
          </w:tcPr>
          <w:p>
            <w:pPr>
              <w:widowControl/>
              <w:numPr>
                <w:ilvl w:val="0"/>
                <w:numId w:val="8"/>
              </w:numPr>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类型：混凝土底座组合式高护栏</w:t>
            </w:r>
          </w:p>
          <w:p>
            <w:pPr>
              <w:widowControl/>
              <w:numPr>
                <w:ilvl w:val="0"/>
                <w:numId w:val="8"/>
              </w:numPr>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2.护栏规格、型号：H=1020，上下横管为Φ48*3.5，立管为Φ25*3.0</w:t>
            </w:r>
          </w:p>
          <w:p>
            <w:pPr>
              <w:widowControl/>
              <w:numPr>
                <w:ilvl w:val="0"/>
                <w:numId w:val="8"/>
              </w:numPr>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3.材料品种:热镀锌钢管，表面喷塑处理</w:t>
            </w:r>
          </w:p>
          <w:p>
            <w:pPr>
              <w:widowControl/>
              <w:numPr>
                <w:ilvl w:val="0"/>
                <w:numId w:val="8"/>
              </w:numPr>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4.立柱：8mm厚Q235钢板加工成型后，表面整体进行镀锌喷塑处理；每个立柱迎车方向粘贴50*180Ⅳ类反光膜</w:t>
            </w:r>
          </w:p>
          <w:p>
            <w:pPr>
              <w:widowControl/>
              <w:numPr>
                <w:ilvl w:val="0"/>
                <w:numId w:val="8"/>
              </w:numPr>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5.底座：450宽305高C40商品砼预制，主筋6Φ16，箍筋21φ10，模板采用订制异形钢模板</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6.包含端头诱导标志</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7. 具体做法详设计图S3-7</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552.68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202105004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rPr>
              <w:t>中央隔离护栏端头诱导标志</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1.固定于中央隔离护栏端头位置；</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2.双面</w:t>
            </w:r>
          </w:p>
          <w:p>
            <w:pPr>
              <w:widowControl/>
              <w:snapToGrid w:val="0"/>
              <w:spacing w:line="240" w:lineRule="auto"/>
              <w:ind w:firstLine="0" w:firstLineChars="0"/>
              <w:jc w:val="left"/>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rPr>
              <w:t>3.具体尺寸按成都市地方标准执行</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1718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202105005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一代机非隔离矮护栏  H=594</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1.类型：机非隔离护栏</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2.护栏规格、型号：H=594，上横管为Φ89*3.5，下横管为Φ63*3.0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3.护栏材料品种:不锈钢钢管（内衬无缝钢管）</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4.立柱：8mm厚Q235钢板加工成型后，表面整体进行镀锌喷塑处理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5.基础：1.5厚Q235钢板加工成型后，表面整体进行镀锌喷塑处理，内填充C20钢筋砼</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6.具体做法参照设计图S3-4</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280.47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202105006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三代机非隔离矮护栏  H=594</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1.类型：机非隔离护栏</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2.护栏规格、型号：H=594，上横管为Φ89*3.5，下横管为1根Φ63*3.0</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3.护栏材料品种:热镀锌钢管，表面喷塑处理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4.立柱：8mm厚Q235钢板加工成型后，表面整体进行镀锌喷塑处理；每一支架迎车方向粘贴140*120Ⅳ类反光膜；每根立柱两侧需加装PP注塑保护套</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5.基础：1.5厚Q235钢板加工成型后，表面整体进行镀锌喷塑处理，内填充C20钢筋砼</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6. 具体做法详设计图S3-12</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320.57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202105007</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中央护栏渐变端头</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1.类型：混凝土底座组合式渐变端头</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2.护栏规格、型号：H=1020，上下横管为Φ48*3.5，立管为Φ25*3.0</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3.材料品种:热镀锌钢管，表面喷塑处理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4.立柱：8mm厚Q235钢板加工成型后，表面整体进行镀锌喷塑处理；每个立柱迎车方向粘贴50*180Ⅳ类反光膜</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5.底座：450宽305高C40商品砼预制，主筋6Φ16，箍筋21φ10，模板采用订制异形钢模板</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eastAsia="zh-CN"/>
              </w:rPr>
              <w:t>6</w:t>
            </w:r>
            <w:r>
              <w:rPr>
                <w:rFonts w:hint="eastAsia" w:ascii="宋体" w:hAnsi="宋体" w:eastAsia="宋体" w:cs="宋体"/>
                <w:color w:val="auto"/>
                <w:sz w:val="20"/>
                <w:highlight w:val="none"/>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202105008</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所有隔离护栏的立柱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包含所有隔离护栏的立柱（用于单独增补、更换立柱的情况）</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202105009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绿化带隐形钢丝护栏</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1.类型：绿化带隐形钢丝护栏</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2.护栏规格、型号：φ89*4.5mm圆管,采用防腐处理。入土埋深不小于900mm，地面高度1200mm，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3.护栏材料品种: 不锈钢或无缝钢管，表面喷塑处理</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4.钢丝：不锈钢丝或镀锌钢丝5~6股，(单股7芯，单丝直径2.86mm，单股直径8.6mm)，每股高差间隔200~250mm，安装时应采用拉紧器将钢丝拉紧并锁扣</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5.间距：4000mm为一跨，立柱间距为4跨</w:t>
            </w:r>
          </w:p>
          <w:p>
            <w:pPr>
              <w:widowControl/>
              <w:snapToGrid w:val="0"/>
              <w:spacing w:line="240" w:lineRule="auto"/>
              <w:ind w:firstLine="0" w:firstLineChars="0"/>
              <w:jc w:val="left"/>
              <w:rPr>
                <w:rFonts w:hint="eastAsia" w:ascii="宋体" w:hAnsi="宋体" w:eastAsia="宋体" w:cs="宋体"/>
                <w:color w:val="auto"/>
                <w:highlight w:val="none"/>
              </w:rPr>
            </w:pPr>
            <w:r>
              <w:rPr>
                <w:rFonts w:hint="eastAsia" w:ascii="宋体" w:hAnsi="宋体" w:eastAsia="宋体" w:cs="宋体"/>
                <w:color w:val="auto"/>
                <w:sz w:val="20"/>
                <w:highlight w:val="none"/>
              </w:rPr>
              <w:t>6.颜色：采用成都灰</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val="en-US"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202105010</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隐形钢丝护栏：立柱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1.类型：立柱</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2.护栏规格、型号：φ89*4.5mm圆管,采用防腐处理。入土埋深不小于900mm，地面高度1200mm，</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3.护栏材料品种: 不锈钢或无缝钢管，表面喷塑处理</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4.间距：4000mm为一跨，立柱间距为4跨</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5.颜色：采用成都灰</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val="en-US"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202105011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隐形钢丝护栏：钢丝</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1.类型：钢丝</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2.钢丝：不锈钢丝或镀锌钢丝5~6股，(单股7芯，单丝直径2.86mm，单股直径8.6mm)，每股高差间隔200~250mm，安装时应采用拉紧器将钢丝拉紧并锁扣</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3.颜色：采用成都灰</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val="en-US"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202105012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桥梁、河道侧面防护栏</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1.材料类型：不锈钢复合管护栏</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2.护栏规格：H=1150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3.具体外观尺寸根据现场情况确定</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val="en-US"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424.21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202105013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街道边缘护栏</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1.材料名称：街道边缘护栏</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2.护栏规格：H=1200</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3.具体样式根据现场实际情况确定</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val="en-US"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424.21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202105014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隔离网</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1.材料名称：护栏网</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2.网片网孔：3.0cm×6.0cm-7.5cm×15.0cm[长方孔]3.0cm×3.0cm-7.5cm×7.5cm[正方孔]</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3.H=1800mm/H=1500mm</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80.25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202105015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密目式安全网</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1.名称：密目式安全网</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2.根据现场具体情况确定防落物网尺寸</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30.45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202105016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刚性隔离柱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1.类型：刚性隔离柱</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2.含钢管、紧固件，外涂反光漆</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根</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107.41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202105017</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弹性隔离柱</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1.类型：弹性隔离柱</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2.含柱体、紧固件</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根</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87.41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202105018</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水马</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1.材料品种：PE</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2.规格、型号：1.38(长)*800(高)*250(上宽)*480(下宽)</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235.57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202105019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TA级可导向防撞垫</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1.材料构成：前端框架、末端框架、侧护板、缓冲结构、滑轨和螺栓</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2.通过国家级检测中心碰撞试验，达到TA级标准</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22950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202105020</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TB级可导向防撞垫</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1.材料构成：前端框架、末端框架、侧护板、缓冲结构、滑轨和螺栓</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2.通过国家级检测中心碰撞试验，达到TB级标准</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rPr>
              <w:t>22882</w:t>
            </w:r>
          </w:p>
        </w:tc>
      </w:tr>
    </w:tbl>
    <w:p>
      <w:pPr>
        <w:pStyle w:val="89"/>
        <w:rPr>
          <w:rFonts w:hint="eastAsia" w:ascii="宋体" w:hAnsi="宋体" w:eastAsia="宋体" w:cs="宋体"/>
          <w:color w:val="auto"/>
          <w:highlight w:val="none"/>
        </w:rPr>
      </w:pPr>
    </w:p>
    <w:p>
      <w:pPr>
        <w:pStyle w:val="89"/>
        <w:rPr>
          <w:rFonts w:hint="eastAsia" w:ascii="宋体" w:hAnsi="宋体" w:eastAsia="宋体" w:cs="宋体"/>
          <w:color w:val="auto"/>
          <w:highlight w:val="none"/>
        </w:rPr>
      </w:pPr>
    </w:p>
    <w:tbl>
      <w:tblPr>
        <w:tblStyle w:val="49"/>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173"/>
        <w:gridCol w:w="1343"/>
        <w:gridCol w:w="4125"/>
        <w:gridCol w:w="655"/>
        <w:gridCol w:w="479"/>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555" w:type="dxa"/>
            <w:gridSpan w:val="7"/>
            <w:noWrap w:val="0"/>
            <w:vAlign w:val="center"/>
          </w:tcPr>
          <w:p>
            <w:pPr>
              <w:widowControl/>
              <w:snapToGrid w:val="0"/>
              <w:spacing w:line="240" w:lineRule="auto"/>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六、路名牌部分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3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117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项目编码</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项目名称</w:t>
            </w:r>
          </w:p>
        </w:tc>
        <w:tc>
          <w:tcPr>
            <w:tcW w:w="412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项目特征描述</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计量</w:t>
            </w:r>
          </w:p>
          <w:p>
            <w:pPr>
              <w:pStyle w:val="2"/>
              <w:rPr>
                <w:rFonts w:hint="eastAsia"/>
                <w:color w:val="auto"/>
                <w:lang w:eastAsia="zh-CN"/>
              </w:rPr>
            </w:pPr>
          </w:p>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工程量</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全费用综合单价（包干价）控制价（元）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val="en-US" w:eastAsia="zh-CN"/>
              </w:rPr>
              <w:t>202106001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路名牌</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1.名称：路名牌（补建或更换不再计算拆除费用）</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2.路名牌材质及规格型号：10厚白色有机板覆Ⅳ反光膜和3厚深灰色钢板，1200*380</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3.立柱材质及规格型号:120*100*8*3690铝合金矩管</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4.路名牌基座：C30砼基础，500*500*500，垫层为100厚C20砼，面贴30厚中国黑花岗石</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3118.02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rPr>
            </w:pPr>
            <w:r>
              <w:rPr>
                <w:rFonts w:hint="eastAsia" w:ascii="宋体" w:hAnsi="宋体" w:eastAsia="宋体" w:cs="宋体"/>
                <w:color w:val="auto"/>
                <w:sz w:val="20"/>
                <w:highlight w:val="none"/>
                <w:lang w:val="en-US" w:eastAsia="zh-CN"/>
              </w:rPr>
              <w:t>202106002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路名牌拆除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对多余路名牌进行拆除及地面基础恢复</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default" w:ascii="宋体" w:hAnsi="宋体" w:eastAsia="宋体" w:cs="宋体"/>
                <w:color w:val="auto"/>
                <w:sz w:val="20"/>
                <w:highlight w:val="none"/>
                <w:lang w:eastAsia="zh-Hans" w:bidi="ar-SA"/>
              </w:rPr>
              <w:t>200</w:t>
            </w:r>
          </w:p>
        </w:tc>
      </w:tr>
    </w:tbl>
    <w:p>
      <w:pPr>
        <w:pStyle w:val="89"/>
        <w:rPr>
          <w:rFonts w:hint="eastAsia" w:ascii="宋体" w:hAnsi="宋体" w:eastAsia="宋体" w:cs="宋体"/>
          <w:color w:val="auto"/>
          <w:highlight w:val="none"/>
        </w:rPr>
      </w:pPr>
    </w:p>
    <w:tbl>
      <w:tblPr>
        <w:tblStyle w:val="49"/>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173"/>
        <w:gridCol w:w="1343"/>
        <w:gridCol w:w="4125"/>
        <w:gridCol w:w="655"/>
        <w:gridCol w:w="479"/>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555" w:type="dxa"/>
            <w:gridSpan w:val="7"/>
            <w:noWrap w:val="0"/>
            <w:vAlign w:val="center"/>
          </w:tcPr>
          <w:p>
            <w:pPr>
              <w:widowControl/>
              <w:snapToGrid w:val="0"/>
              <w:spacing w:line="240" w:lineRule="auto"/>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七、设施迁建部分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3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117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项目编码</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项目名称</w:t>
            </w:r>
          </w:p>
        </w:tc>
        <w:tc>
          <w:tcPr>
            <w:tcW w:w="412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项目特征描述</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计量</w:t>
            </w:r>
          </w:p>
          <w:p>
            <w:pPr>
              <w:pStyle w:val="2"/>
              <w:rPr>
                <w:rFonts w:hint="eastAsia"/>
                <w:color w:val="auto"/>
                <w:lang w:eastAsia="zh-CN"/>
              </w:rPr>
            </w:pPr>
          </w:p>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工程量</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全费用综合单价（包干价）控制价（元）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202107001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人行信号灯迁建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根据业主要求，将人行信号灯迁建至另一地并完成安装（不含基础）</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202107002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杆件式机动车信号灯迁建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根据业主要求，将杆件式机动车信号灯迁建至另一地并完成安装（不含基础）</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202107003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一体式机动车信号灯迁建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根据业主要求，将一体式机动车信号灯迁建至另一地并完成安装（不含基础）</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202107004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立柱式标志牌迁建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根据业主要求，将已有立柱式标志牌迁建至另一地并完成安装（不含基础）</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202107005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L式标志牌迁建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根据业主要求，将已有L式标志牌迁建至另一地并完成安装（不含基础）</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202107006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F式标志牌迁建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根据业主要求，将F式标志牌迁建至另一地并完成安装（不含基础）</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202107007</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T式标志牌迁建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根据业主要求，将T式标志牌迁建至另一地并完成安装（不含基础）</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202107008</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路名牌迁建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根据业主要求，将路名牌迁建至另一地并完成安装（含基础）</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202107009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第一、三代中央隔离护栏迁建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根据业主要求，将第一、三代中央隔离护栏迁建至另一地并完成安装</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tabs>
                <w:tab w:val="left" w:pos="343"/>
              </w:tabs>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eastAsia="zh-CN" w:bidi="ar-SA"/>
              </w:rPr>
            </w:pPr>
            <w:r>
              <w:rPr>
                <w:rFonts w:hint="default" w:ascii="宋体" w:hAnsi="宋体" w:eastAsia="宋体" w:cs="宋体"/>
                <w:color w:val="auto"/>
                <w:sz w:val="20"/>
                <w:szCs w:val="20"/>
                <w:highlight w:val="none"/>
                <w:lang w:eastAsia="zh-Hans"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202107010</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第一、三代机非隔离护栏迁建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根据业主要求，将第一、三代机非隔离护栏迁建至另一地并完成安装</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default" w:ascii="宋体" w:hAnsi="宋体" w:eastAsia="宋体" w:cs="宋体"/>
                <w:color w:val="auto"/>
                <w:sz w:val="20"/>
                <w:szCs w:val="20"/>
                <w:highlight w:val="none"/>
                <w:lang w:eastAsia="zh-Han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202107011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第四代护栏、混泥土基座迁建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根据业主要求，将第四代护栏、混泥土基座迁建至另一地并完成安装</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default" w:ascii="宋体" w:hAnsi="宋体" w:eastAsia="宋体" w:cs="宋体"/>
                <w:color w:val="auto"/>
                <w:sz w:val="20"/>
                <w:szCs w:val="20"/>
                <w:highlight w:val="none"/>
                <w:lang w:eastAsia="zh-Han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202107012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隔离网、防落物网、侧护栏迁建</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根据业主要求，将隔离网、防落物网、侧护栏等设施迁建至另一地并完成安装</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default" w:ascii="宋体" w:hAnsi="宋体" w:eastAsia="宋体" w:cs="宋体"/>
                <w:color w:val="auto"/>
                <w:sz w:val="20"/>
                <w:szCs w:val="20"/>
                <w:highlight w:val="none"/>
                <w:lang w:eastAsia="zh-Han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202107013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租用、占用第三方电缆管道</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根据业主要求，维修红绿灯时租用、占用第三方电缆管道</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次</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3489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202107014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树木移栽</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1.树木遮挡问题或交安设施下基础等问题需要按照主管部门要求移栽树木</w:t>
            </w:r>
          </w:p>
          <w:p>
            <w:pPr>
              <w:widowControl/>
              <w:snapToGrid w:val="0"/>
              <w:spacing w:line="240" w:lineRule="auto"/>
              <w:ind w:firstLine="0" w:firstLineChars="0"/>
              <w:jc w:val="left"/>
              <w:rPr>
                <w:rFonts w:hint="eastAsia" w:ascii="宋体" w:hAnsi="宋体" w:eastAsia="宋体" w:cs="宋体"/>
                <w:color w:val="auto"/>
                <w:highlight w:val="none"/>
              </w:rPr>
            </w:pPr>
            <w:r>
              <w:rPr>
                <w:rFonts w:hint="eastAsia" w:ascii="宋体" w:hAnsi="宋体" w:eastAsia="宋体" w:cs="宋体"/>
                <w:color w:val="auto"/>
                <w:sz w:val="20"/>
                <w:highlight w:val="none"/>
              </w:rPr>
              <w:t>2.包括移除、运输、种植、养活等所有工作。</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棵</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top"/>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该项以园林部门为准，据实支付。</w:t>
            </w:r>
          </w:p>
        </w:tc>
      </w:tr>
    </w:tbl>
    <w:p>
      <w:pPr>
        <w:pStyle w:val="89"/>
        <w:rPr>
          <w:rFonts w:hint="eastAsia" w:ascii="宋体" w:hAnsi="宋体" w:eastAsia="宋体" w:cs="宋体"/>
          <w:color w:val="auto"/>
          <w:highlight w:val="none"/>
        </w:rPr>
      </w:pPr>
    </w:p>
    <w:tbl>
      <w:tblPr>
        <w:tblStyle w:val="49"/>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173"/>
        <w:gridCol w:w="1343"/>
        <w:gridCol w:w="4125"/>
        <w:gridCol w:w="655"/>
        <w:gridCol w:w="479"/>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555" w:type="dxa"/>
            <w:gridSpan w:val="7"/>
            <w:noWrap w:val="0"/>
            <w:vAlign w:val="center"/>
          </w:tcPr>
          <w:p>
            <w:pPr>
              <w:widowControl/>
              <w:snapToGrid w:val="0"/>
              <w:spacing w:line="240" w:lineRule="auto"/>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八、其他设施及服务部分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3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117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项目编码</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项目名称</w:t>
            </w:r>
          </w:p>
        </w:tc>
        <w:tc>
          <w:tcPr>
            <w:tcW w:w="412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项目特征描述</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计量</w:t>
            </w:r>
          </w:p>
          <w:p>
            <w:pPr>
              <w:pStyle w:val="2"/>
              <w:rPr>
                <w:rFonts w:hint="eastAsia"/>
                <w:color w:val="auto"/>
                <w:lang w:eastAsia="zh-CN"/>
              </w:rPr>
            </w:pPr>
          </w:p>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工程量</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全费用综合单价（包干价）控制价（元）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202108001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反光膜</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1.名称：更换反光膜</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2.尺寸：按照实际需求确定尺寸、类型</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3.反光膜类型：Ⅳ类反光膜</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150.57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202108002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LED显示屏</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1.名称：LED显示屏</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2.主要技术参数：像素间距10mm,物理密度10000点/㎡，可视距：10-200米</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6623.12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202108003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主动式放光标志板（</w:t>
            </w:r>
            <w:r>
              <w:rPr>
                <w:rFonts w:hint="eastAsia" w:ascii="宋体" w:hAnsi="宋体" w:eastAsia="宋体" w:cs="宋体"/>
                <w:color w:val="auto"/>
                <w:sz w:val="20"/>
                <w:szCs w:val="21"/>
                <w:highlight w:val="none"/>
              </w:rPr>
              <w:t>LED发光交通标志</w:t>
            </w:r>
            <w:r>
              <w:rPr>
                <w:rFonts w:hint="eastAsia" w:ascii="宋体" w:hAnsi="宋体" w:eastAsia="宋体" w:cs="宋体"/>
                <w:color w:val="auto"/>
                <w:sz w:val="20"/>
                <w:highlight w:val="none"/>
              </w:rPr>
              <w:t>）</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1.名称：主动式发光标志板</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2.要求：满足国家标准GB5768-2009《道路交通标志与标线》规定，具体尺寸按实际需求</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3.反光膜类型：铝基表面粘贴Ⅳ类反光膜</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2107.89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202108004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铝基反光立面标记</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1.类型：铝基反光立面标记</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2.材质、规格尺寸：详图 </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3.板面反光膜等级：满足设计要求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569.29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202108005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更换广角镜 φ80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1.名称：广角镜</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2.规格型号：φ80</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246.28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202108006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更换广角镜 φ100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1.名称：广角镜</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2.规格型号：φ100</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280.23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202108007</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更换减速路拱（橡胶）</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1.材料品种：橡胶 （含拆除破旧减速路拱）</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90.23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202108008</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更换减速路拱（铸钢）</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1.材料品种：铸钢 （含拆除破旧减速路拱）</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321.25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202108009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防撞桶（φ40*70）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1.材料品种：防撞桶</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2.规格、型号：φ40*70</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182.41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202108010</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防撞桶（φ60*80）</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1.材料品种：防撞桶</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2.规格、型号：φ60*80</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202.41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202108011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反光锥型桶（塑料圆锥）</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1.材料品种：反光锥型桶</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2.规格、型号：塑料圆锥</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202108012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发光锥型桶</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1.材料品种：发光锥型桶</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2.规格、型号：太阳能充电、电池包充电</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202108013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发光道钉</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1.材料品种：发光道钉</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2.规格、型号：太阳能充电</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202108014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防眩板（塑料）</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1.材料品种：防眩板（塑料）</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2.含支架、紧固件等安装必要的构件</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片</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128.56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202108015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防眩板（玻璃钢）</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1.材料品种：防眩板（玻璃钢）</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2.含支架、紧固件等安装必要的构件</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片</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150.84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202108016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停车位挡车杆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1.材料品种：停车位挡车杆</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2.产品规格：2000mm×8mm</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根</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125.45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202108017</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喷塑</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1.名称：喷塑（可计算面积）</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2.满足规范要求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90.96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202108018</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喷塑</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1.名称：喷塑（不可计算面积）</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2.满足规范要求</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szCs w:val="20"/>
                <w:highlight w:val="none"/>
              </w:rPr>
              <w:t>108.96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202108019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路沿石刷漆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1.道路路沿石涂刷油漆，具体颜色按需求定</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10.34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202108020</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信号灯红丹防锈漆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1.名称：刷红丹防锈漆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2.满足使用规范要求</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3.适用于控制柜、灯架刷漆</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202108021</w:t>
            </w:r>
          </w:p>
        </w:tc>
        <w:tc>
          <w:tcPr>
            <w:tcW w:w="1343"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信号灯调和漆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 xml:space="preserve">1.名称：调和漆 </w:t>
            </w:r>
          </w:p>
          <w:p>
            <w:pPr>
              <w:widowControl/>
              <w:snapToGrid w:val="0"/>
              <w:spacing w:line="240" w:lineRule="auto"/>
              <w:ind w:firstLine="0" w:firstLineChars="0"/>
              <w:jc w:val="left"/>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rPr>
              <w:t>2.满足使用规范要求</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3.适用于控制柜、灯架刷漆</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平方米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宋体" w:hAnsi="宋体" w:eastAsia="宋体" w:cs="宋体"/>
                <w:color w:val="auto"/>
                <w:sz w:val="20"/>
                <w:szCs w:val="20"/>
                <w:highlight w:val="none"/>
                <w:lang w:val="en-US" w:eastAsia="zh-CN" w:bidi="ar-SA"/>
              </w:rPr>
            </w:pPr>
            <w:r>
              <w:rPr>
                <w:rFonts w:hint="eastAsia" w:ascii="宋体" w:hAnsi="宋体" w:eastAsia="宋体" w:cs="宋体"/>
                <w:color w:val="auto"/>
                <w:sz w:val="20"/>
                <w:szCs w:val="20"/>
                <w:highlight w:val="none"/>
              </w:rPr>
              <w:t>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202108022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隔离栏翻新喷漆</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1.此项为单独对隔离栏进行喷漆修复（不含迁建、新建修复）</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40.52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202108023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第四代护栏水泥基座涂刷和勾缝翻新</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1.主要施工内容：将两相邻水泥基座合缝处用水泥浆进行勾缝找平，对水泥基座缺损部分进行修补涂刷</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202108024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1、3代中央隔离护栏拆除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1.名称：已有1、3代中央隔离护栏拆除</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default" w:ascii="宋体" w:hAnsi="宋体" w:eastAsia="宋体" w:cs="宋体"/>
                <w:color w:val="auto"/>
                <w:sz w:val="20"/>
                <w:highlight w:val="none"/>
                <w:lang w:eastAsia="zh-Hans"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202108025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1、3代机非护栏拆除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1.名称：已有1、3代机非护栏拆除</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default" w:ascii="宋体" w:hAnsi="宋体" w:eastAsia="宋体" w:cs="宋体"/>
                <w:color w:val="auto"/>
                <w:sz w:val="20"/>
                <w:highlight w:val="none"/>
                <w:lang w:eastAsia="zh-Hans"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202108026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4代护栏拆除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1.名称：已有4代护栏拆除（包含混泥土基础）</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default" w:ascii="宋体" w:hAnsi="宋体" w:eastAsia="宋体" w:cs="宋体"/>
                <w:color w:val="auto"/>
                <w:sz w:val="20"/>
                <w:highlight w:val="none"/>
                <w:lang w:eastAsia="zh-Hans" w:bidi="ar-SA"/>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202108027</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波形护栏拆除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1.名称：已有波形护栏拆除</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default" w:ascii="宋体" w:hAnsi="宋体" w:eastAsia="宋体" w:cs="宋体"/>
                <w:color w:val="auto"/>
                <w:sz w:val="20"/>
                <w:highlight w:val="none"/>
                <w:lang w:eastAsia="zh-Hans"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202108028</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减速路拱拆除</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对破损、废旧的减速路拱进行拆除</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202108029</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信号灯保洁</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1.按照路口计算（过街路段、丁字路口）</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2.包括该路口所有信号灯系统外立面</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202108030</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信号灯保洁</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1.按照路口计算（十字路口及异型星型）</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2.包括该路口所有信号灯系统外立面</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个</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1389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202108031</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隔离护栏、隔离网、防落物网、侧护栏保洁</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1.隔离设施不论高矮，工作量均按照横向距离计算；</w:t>
            </w:r>
          </w:p>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2.包括设施全部外立面</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eastAsia="zh-CN"/>
              </w:rPr>
              <w:t>米</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202108032</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路名牌保洁</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1.包括整套路名牌和基座</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202108033</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标志保洁</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单柱式标志</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tabs>
                <w:tab w:val="left" w:pos="352"/>
              </w:tabs>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202108034</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标志保洁</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双柱式标志</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202108035</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标志保洁</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L杆、F杆及T型标志</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202108036</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标志保洁</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门架式标志</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202108037</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标志保洁</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一体式标志</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套</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5" w:type="dxa"/>
            <w:noWrap w:val="0"/>
            <w:vAlign w:val="center"/>
          </w:tcPr>
          <w:p>
            <w:pPr>
              <w:widowControl/>
              <w:numPr>
                <w:ilvl w:val="0"/>
                <w:numId w:val="4"/>
              </w:numPr>
              <w:snapToGrid w:val="0"/>
              <w:spacing w:line="240" w:lineRule="auto"/>
              <w:ind w:left="0" w:leftChars="0" w:firstLine="0" w:firstLineChars="0"/>
              <w:jc w:val="center"/>
              <w:rPr>
                <w:rFonts w:hint="eastAsia" w:ascii="宋体" w:hAnsi="宋体" w:eastAsia="宋体" w:cs="宋体"/>
                <w:color w:val="auto"/>
                <w:sz w:val="20"/>
                <w:highlight w:val="none"/>
              </w:rPr>
            </w:pPr>
          </w:p>
        </w:tc>
        <w:tc>
          <w:tcPr>
            <w:tcW w:w="1173" w:type="dxa"/>
            <w:noWrap w:val="0"/>
            <w:vAlign w:val="center"/>
          </w:tcPr>
          <w:p>
            <w:pPr>
              <w:keepNext w:val="0"/>
              <w:keepLines w:val="0"/>
              <w:widowControl/>
              <w:suppressLineNumbers w:val="0"/>
              <w:ind w:left="0" w:leftChars="0" w:firstLine="0" w:firstLineChars="0"/>
              <w:jc w:val="right"/>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202108038</w:t>
            </w:r>
          </w:p>
        </w:tc>
        <w:tc>
          <w:tcPr>
            <w:tcW w:w="1343"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日常仓储</w:t>
            </w:r>
          </w:p>
        </w:tc>
        <w:tc>
          <w:tcPr>
            <w:tcW w:w="4125" w:type="dxa"/>
            <w:noWrap w:val="0"/>
            <w:vAlign w:val="center"/>
          </w:tcPr>
          <w:p>
            <w:pPr>
              <w:widowControl/>
              <w:snapToGrid w:val="0"/>
              <w:spacing w:line="240" w:lineRule="auto"/>
              <w:ind w:firstLine="0" w:firstLineChars="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1.包干制（具体要求见招标文件评标办法内要求），完善监控系统、门卫、管理登记台账</w:t>
            </w:r>
          </w:p>
        </w:tc>
        <w:tc>
          <w:tcPr>
            <w:tcW w:w="65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月</w:t>
            </w:r>
          </w:p>
        </w:tc>
        <w:tc>
          <w:tcPr>
            <w:tcW w:w="479"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w:t>
            </w:r>
          </w:p>
        </w:tc>
        <w:tc>
          <w:tcPr>
            <w:tcW w:w="1145" w:type="dxa"/>
            <w:noWrap w:val="0"/>
            <w:vAlign w:val="center"/>
          </w:tcPr>
          <w:p>
            <w:pPr>
              <w:widowControl/>
              <w:snapToGrid w:val="0"/>
              <w:spacing w:line="240" w:lineRule="auto"/>
              <w:ind w:firstLine="0" w:firstLineChars="0"/>
              <w:jc w:val="center"/>
              <w:rPr>
                <w:rFonts w:hint="eastAsia" w:ascii="宋体" w:hAnsi="宋体" w:eastAsia="宋体" w:cs="宋体"/>
                <w:color w:val="auto"/>
                <w:sz w:val="20"/>
                <w:highlight w:val="none"/>
                <w:lang w:val="en-US" w:eastAsia="zh-CN" w:bidi="ar-SA"/>
              </w:rPr>
            </w:pPr>
            <w:r>
              <w:rPr>
                <w:rFonts w:hint="eastAsia" w:ascii="宋体" w:hAnsi="宋体" w:eastAsia="宋体" w:cs="宋体"/>
                <w:color w:val="auto"/>
                <w:sz w:val="20"/>
                <w:highlight w:val="none"/>
                <w:lang w:val="en-US" w:eastAsia="zh-CN" w:bidi="ar-SA"/>
              </w:rPr>
              <w:t>12000</w:t>
            </w:r>
          </w:p>
        </w:tc>
      </w:tr>
    </w:tbl>
    <w:p>
      <w:pPr>
        <w:spacing w:line="380" w:lineRule="exact"/>
        <w:ind w:firstLine="0" w:firstLineChars="0"/>
        <w:jc w:val="left"/>
        <w:rPr>
          <w:rFonts w:hint="eastAsia" w:ascii="宋体" w:hAnsi="宋体" w:eastAsia="宋体" w:cs="宋体"/>
          <w:color w:val="auto"/>
          <w:sz w:val="24"/>
        </w:rPr>
      </w:pPr>
    </w:p>
    <w:p>
      <w:pPr>
        <w:spacing w:line="380" w:lineRule="exact"/>
        <w:ind w:firstLine="0" w:firstLineChars="0"/>
        <w:jc w:val="left"/>
        <w:rPr>
          <w:rFonts w:hint="eastAsia" w:ascii="宋体" w:hAnsi="宋体" w:eastAsia="宋体" w:cs="宋体"/>
          <w:color w:val="auto"/>
          <w:sz w:val="24"/>
        </w:rPr>
      </w:pPr>
    </w:p>
    <w:p>
      <w:pPr>
        <w:spacing w:line="380" w:lineRule="exact"/>
        <w:ind w:firstLine="0" w:firstLineChars="0"/>
        <w:jc w:val="left"/>
        <w:rPr>
          <w:rFonts w:hint="eastAsia" w:ascii="宋体" w:hAnsi="宋体" w:eastAsia="宋体" w:cs="宋体"/>
          <w:color w:val="auto"/>
          <w:sz w:val="24"/>
        </w:rPr>
      </w:pPr>
    </w:p>
    <w:p>
      <w:pPr>
        <w:pStyle w:val="89"/>
        <w:rPr>
          <w:rFonts w:hint="eastAsia" w:ascii="宋体" w:hAnsi="宋体" w:eastAsia="宋体" w:cs="宋体"/>
          <w:color w:val="auto"/>
        </w:rPr>
      </w:pP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32"/>
          <w:szCs w:val="32"/>
        </w:rPr>
      </w:pPr>
      <w:bookmarkStart w:id="949" w:name="_Toc26599"/>
      <w:r>
        <w:rPr>
          <w:rFonts w:hint="eastAsia" w:ascii="宋体" w:hAnsi="宋体" w:eastAsia="宋体" w:cs="宋体"/>
          <w:color w:val="auto"/>
          <w:sz w:val="32"/>
          <w:szCs w:val="32"/>
        </w:rPr>
        <w:t>第七章  评标办法</w:t>
      </w:r>
      <w:bookmarkEnd w:id="940"/>
      <w:bookmarkEnd w:id="941"/>
      <w:bookmarkEnd w:id="942"/>
      <w:bookmarkEnd w:id="943"/>
      <w:bookmarkEnd w:id="944"/>
      <w:bookmarkEnd w:id="945"/>
      <w:bookmarkEnd w:id="946"/>
      <w:bookmarkEnd w:id="947"/>
      <w:bookmarkEnd w:id="948"/>
      <w:bookmarkEnd w:id="949"/>
      <w:bookmarkStart w:id="950" w:name="_Hlt101846155"/>
      <w:bookmarkEnd w:id="950"/>
      <w:bookmarkStart w:id="951" w:name="_Toc183682415"/>
      <w:bookmarkStart w:id="952" w:name="_Toc183582280"/>
      <w:bookmarkStart w:id="953" w:name="_Toc217446097"/>
      <w:bookmarkStart w:id="954" w:name="_Toc208849007"/>
    </w:p>
    <w:p>
      <w:pPr>
        <w:pStyle w:val="4"/>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eastAsia="zh-CN"/>
        </w:rPr>
        <w:t>.</w:t>
      </w:r>
      <w:r>
        <w:rPr>
          <w:rFonts w:hint="eastAsia" w:ascii="宋体" w:hAnsi="宋体" w:eastAsia="宋体" w:cs="宋体"/>
          <w:color w:val="auto"/>
          <w:sz w:val="24"/>
        </w:rPr>
        <w:t>总则</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1.1 根据《中华人民共和国政府采购法》、《中华人民共和国政府采购法实施条例》、《政府采购货物和服务招标投标管理办法》等法律制度，结合采购项目特点制定本评标办法。</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 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pPr>
        <w:pStyle w:val="89"/>
        <w:spacing w:after="120" w:line="360" w:lineRule="auto"/>
        <w:ind w:firstLine="480" w:firstLineChars="200"/>
        <w:rPr>
          <w:rFonts w:hint="eastAsia" w:ascii="宋体" w:hAnsi="宋体" w:eastAsia="宋体" w:cs="宋体"/>
          <w:color w:val="auto"/>
        </w:rPr>
      </w:pPr>
      <w:r>
        <w:rPr>
          <w:rFonts w:hint="eastAsia" w:ascii="宋体" w:hAnsi="宋体" w:eastAsia="宋体" w:cs="宋体"/>
          <w:color w:val="auto"/>
        </w:rPr>
        <w:t>1.3 评标工作由招标代理机构负责组织，具体评标事务由招标代理机构依法组建的评标委员会负责。评标委员会由招标人代表和评审专家组成。评标工作应遵循公平、公正、科学及择优的原则，并以相同的评标程序和标准对待所有的投标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1.4 评标委员会按照招标文件规定的评标方法和标准进行评标，并独立履行下列职责：</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（1）审查、评价投标文件是否符合招标文件的商务、技术等实质性要求；</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（2）要求投标人对投标文件有关事项作出澄清或者说明；</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（3）对投标文件进行比较和评价；</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（4）确定中标候选人名单，以及根据招标人委托直接确定中标人；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（5）向招标人、招标代理机构或者有关部门报告评标中发现的违法行为。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评标委员会及其成员不得有下列行为：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（1）确定参与评标至评标结束前私自接触投标人；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（2）接受投标人提出的与投标文件不一致的澄清或者说明，《政府采购货物和服务招标投标管理办法》（财政部令第87号）第五十一条规定的情形除外；</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（3）违反评标纪律发表倾向性意见或者征询招标人的倾向性意见；</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（4）对需要专业判断的主观评审因素协商评分；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（5）在评标过程中擅离职守，影响评标程序正常进行的；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（6）记录、复制或者带走任何评标资料；</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（7）其他不遵守评标纪律的行为。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1.5 评标过程独立、保密。投标人非法干预评标过程的行为将导致其投标文件作为无效处理。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1.6 评标委员会评价投标文件的响应性，对于投标人而言，除评标委员会要求其澄清、说明或者更正而提供的资料外，仅依据投标文件本身的内容，不寻求其他外部证据。</w:t>
      </w:r>
    </w:p>
    <w:p>
      <w:pPr>
        <w:pStyle w:val="4"/>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eastAsia="zh-CN"/>
        </w:rPr>
        <w:t>.</w:t>
      </w:r>
      <w:r>
        <w:rPr>
          <w:rFonts w:hint="eastAsia" w:ascii="宋体" w:hAnsi="宋体" w:eastAsia="宋体" w:cs="宋体"/>
          <w:color w:val="auto"/>
          <w:sz w:val="24"/>
        </w:rPr>
        <w:t>评标方法</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本项目评标方法为：综合评分法。</w:t>
      </w:r>
    </w:p>
    <w:p>
      <w:pPr>
        <w:pStyle w:val="4"/>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color w:val="auto"/>
          <w:sz w:val="24"/>
          <w:lang w:eastAsia="zh-CN"/>
        </w:rPr>
        <w:t>.</w:t>
      </w:r>
      <w:r>
        <w:rPr>
          <w:rFonts w:hint="eastAsia" w:ascii="宋体" w:hAnsi="宋体" w:eastAsia="宋体" w:cs="宋体"/>
          <w:color w:val="auto"/>
          <w:sz w:val="24"/>
        </w:rPr>
        <w:t>评标程序</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3.1熟悉和理解招标文件和停止评标。</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3.1.2评标委员会熟悉和理解招标文件以及评标过程中，发现本招标文件有下列情形之一的，评标委员会应当停止评标：</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（1）招标文件的规定存在歧义、重大缺陷的；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（2）招标文件明显以不合理条件对供应商实行差别待遇或者歧视待遇的；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（3）采购项目属于国家规定的优先、强制采购范围，但是招标文件未依法体现优先、强制采购相关规定的；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（4）采购项目属于政府采购促进中小企业发展的范围，但是招标文件未依法体现促进中小企业发展相关规定的；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（5）招标文件规定的评标方法是综合评分法、最低评标价法之外的评标方法，或者虽然名称为综合评分法、最低评标价法，但实际上不符合国家规定；</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（6）招标文件将投标人的资格条件列为评分因素的；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（7）招标文件有违反国家其他有关强制性规定的情形。</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3.2  符合性检查。</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3.2.1 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bookmarkEnd w:id="951"/>
    <w:bookmarkEnd w:id="952"/>
    <w:bookmarkEnd w:id="953"/>
    <w:bookmarkEnd w:id="954"/>
    <w:p>
      <w:pPr>
        <w:spacing w:after="163" w:afterLines="50" w:line="360" w:lineRule="auto"/>
        <w:ind w:firstLine="480" w:firstLineChars="200"/>
        <w:rPr>
          <w:rFonts w:hint="eastAsia" w:ascii="宋体" w:hAnsi="宋体" w:eastAsia="宋体" w:cs="宋体"/>
          <w:color w:val="auto"/>
          <w:sz w:val="24"/>
        </w:rPr>
      </w:pPr>
      <w:bookmarkStart w:id="955" w:name="_Toc217446103"/>
      <w:bookmarkStart w:id="956" w:name="_Toc217446099"/>
      <w:r>
        <w:rPr>
          <w:rFonts w:hint="eastAsia" w:ascii="宋体" w:hAnsi="宋体" w:eastAsia="宋体" w:cs="宋体"/>
          <w:color w:val="auto"/>
          <w:sz w:val="24"/>
        </w:rPr>
        <w:t>3.2.2 投标文件（包括单独递交的开标一览表）有下列情形的，本项目不作为实质性要求进行规定，即不作为符合性审查事项，不得作为无效投标处理：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（1）存在个别地方（不超过2个）没有法定代表人签字，但有法定代表人的私人印章或者有效授权代理人签字的；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（2）除招标文件明确要求加盖单位（法人）公章的以外，其他地方以相关专用章加盖的；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（3）以骑缝章的形式代替投标文件内容逐页盖章的（但是骑缝章模糊不清，印章名称无法辨认的除外）；</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（4）其他不影响采购项目实质性要求的情形。</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3.2.3除政府采购法律制度规定的情形外，本项目投标人或者其投标文件有下列情形之一的，作为无效投标处理：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（1）投标文件组成明显不符合招标文件的规定要求，影响评标委员会评判的；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（2）投标文件的格式、语言、计量单位、报价货币、知识产权、投标有效期等不符合招标文件的规定，影响评标委员会评判的；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（3）投标报价不符合招标文件规定的价格标底和其他报价规定的；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技术应答内容完全复制招标文件规定要求，且无相关证明材料的（主要适用于专用设备和电子信息化建设采购项目，政府采购工程、政府采购协议供货或定点投标人采购、政府采购的货物属于规格标准统一或者订制产品的除外）；</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（5）商务、服务应答内容没有完全响应招标文件的实质性要求的；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（6）招标文件有明确要求，但投标文件未载明或者载明的采购项目履约时间、方式、数量与招标文件要求不一致的。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3.2.4 有下列情形之一的，视为投标人串通投标，其投标无效：</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（1）不同投标人的投标文件由同一单位或者个人编制；</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（2）不同投标人委托同一单位或者个人办理投标事宜；</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（3）不同投标人的投标文件载明的项目管理成员或者联系人员为同一人；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（4）不同投标人的投标文件异常一致或者投标报价呈规律性差异；</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（5）不同投标人的投标文件相互混装；</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（6）不同投标人的投标保证金从同一单位或者个人的账户转出。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3.3 比较与评价。按招标文件中规定的评标方法和标准，对符合性审查合格的投标文件进行商务和技术评估，综合比较与评价。</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3.4复核。评标结果汇总完成后，评标委员会拟出具评标报告前，招标采购单位应当组织2名以上的本单位工作人员，在采购现场监督人员的监督之下，依据有关的法律制度和采购文件对评标结果进行复核，出具复核报告。评标结果汇总完成后，除下列情形外，任何人不得修改评标结果：</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（1）分值汇总计算错误的；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（2）分项评分超出评分标准范围的；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（3）评标委员会成员对客观评审因素评分不一致的；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（4）经评标委员会认定评分畸高、畸低的。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报告签署前，经复核发现存在以上情形之一的，评标委员会应当当场修改评标结果，并在评标报告中记载；评标报告签署后，招标人或者招标代理机构发现存在以上情形之一的，应当组织原评标委员会进行重新评审，重新评审改变评标结果的，书面报告本级财政部门。</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3.5 推荐中标候选人。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推荐中标候选人。中标候选人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委员会可推荐的中标候选人数量不能满足招标文件规定的数量的，只有在获得采购人书面同意后，可以根据实际情况推荐中标候选人。未获得采购人的书面同意,评标委员会不得在招标文件规定之外推荐中标候选人，否则，采购人可以不予认可。</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3.6评标委员会根据全体评标成员签字的原始评标记录和评标结果编写评标报告。评标报告应当包括以下内容：</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（1）招标公告刊登的媒体名称、开标日期和地点；</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（2）投标人名单和评标委员会成员名单；</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（3）评标方法和标准；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（4）开标记录和评标情况及说明，包括无效投标人名单及原因；</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（5）评标结果，确定的中标候选人名单或者经招标人委托直接确定的中标人；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（6）其他需要说明的情况，包括评标过程中投标人根据评标委员会要求进行的澄清、说明或者补正，评标委员会成员的更换等。</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3.7评标争议处理规则。</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评标委员会成员对需要共同认定的事项存在争议的，应当按照少数服从多数的原则作出结论。持不同意见的评标委员会成员应当在评标报告上签署不同意见及理由，否则视为同意评标报告。</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3.8 投标人应当书面澄清、说明或者更正。</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3.8.1 在评标过程中，投标人投标文件实质性符合招标文件要求的前提下，评标委员会对投标文件中含义不明确、同类问题表述不一致或者有明显文字和计算错误的内容，应当以书面形式（须由评标委员会全体成员签字）要求投标人作出必要的书面澄清、说明或者更正，并给予投标人必要的反馈时间。</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3.8.2投标人应当书面澄清、说明或者更正，并加盖公章或签字确认（投标人为法人的，应当由其法定代表人或者代理人签字确认；投标人为其他组织的，应当由其主要负责人或者代理人签字确认；），否则无效。澄清、说明或者更正不影响投标文件的效力，有效的澄清、说明或者更正材料，是投标文件的组成部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3.8.3 评标委员会要求投标人澄清、说明或者更正，不得超出招标文件的范围，不得以此让投标人实质改变投标文件的内容，不得影响投标人公平竞争。本项目下列内容不得澄清：</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（1）按财政部规定应当在评标时不予承认的投标文件内容事项；</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（2）投标文件中已经明确的内容事项；</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（3）投标文件未提供的材料。</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3.8.4投标文件报价出现前后不一致的，按照下列规定修正：</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（1）投标文件中开标一览表（报价表）内容与投标文件中相应内容不一致的，以开标一览表（报价表）为准；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（2）大写金额和小写金额不一致的，以大写金额为准；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（3）单价金额小数点或者百分比有明显错位的，以开标一览表的总价为准，并修改单价；</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（4）总价金额与按单价汇总金额不一致的，以单价金额计算结果为准。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同时出现两种以上不一致的，按照前款规定的顺序修正。修正后的报价按照《政府采购货物和服务招标投标管理办法》第五十一条第二款“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出现本条第（4）项规定情形，单价汇总金额比总价金额高，且超过政府采购预算或者本项目最高限价的，投标人投标文件应作为无效投标处理；单价汇总金额比总价金额高，但未超过政府采购预算或者本项目最高限价的，应以单价汇总金额作为价格评分依据。</w:t>
      </w:r>
    </w:p>
    <w:p>
      <w:pPr>
        <w:spacing w:after="163" w:afterLines="50"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注：评标委员会当积极履行澄清、说明或者更正的职责，不得滥用权力。投标人的投标文件可以要求澄清、说明或者更正的，不得未经澄清、说明或者更正而直接作无效投标处理。</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3.9 低于成本价投标处理。在评标过程中，在评标过程中，评标委员会认为投标人的报价明显低于其他通过符合性审查投标人的报价，有可能影响产品质量或者不能诚信履约的，评标委员会应当要求其在评标现场合理的时间内提供成本构成书面说明，并提交相关证明材料。投标人书面说明应当按照国家财务会计制度的规定要求，逐项就投标人提供的货物、工程和服务的主营业务成本（应根据投标人企业类型予以区别）、税金及附加、销售费用、管理费用、财务费用等成本构成事项详细陈述。</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投标人书面说明应当签字确认或者加盖公章，否则无效。书面说明的签字确认，投标人为法人的，由其法定代表人或者代理人签字确认；投标人为其他组织的，由其主要负责人或者代理人签字确认。</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投标文件作为无效处理。</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3.10招标采购单位现场复核评标结果。</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3.10.1评标结果汇总完成后，评标委员会拟出具评标报告前，招标采购单位应当组织2名以上的本单位工作人员，在采购现场监督人员的监督之下，依据有关的法律制度和采购文件对评标结果进行复核，出具复核报告。存在下列情形之一的，招标采购单位应当根据情况书面建议评标委员会现场修改评标结果或者重新评标：</w:t>
      </w:r>
    </w:p>
    <w:p>
      <w:pPr>
        <w:pStyle w:val="335"/>
        <w:spacing w:line="360" w:lineRule="auto"/>
        <w:ind w:firstLine="480" w:firstLineChars="200"/>
        <w:jc w:val="both"/>
        <w:rPr>
          <w:rFonts w:hint="eastAsia" w:ascii="宋体" w:hAnsi="宋体" w:eastAsia="宋体" w:cs="宋体"/>
          <w:color w:val="auto"/>
          <w:kern w:val="2"/>
          <w:szCs w:val="20"/>
        </w:rPr>
      </w:pPr>
      <w:r>
        <w:rPr>
          <w:rFonts w:hint="eastAsia" w:ascii="宋体" w:hAnsi="宋体" w:eastAsia="宋体" w:cs="宋体"/>
          <w:color w:val="auto"/>
          <w:kern w:val="2"/>
          <w:szCs w:val="20"/>
        </w:rPr>
        <w:t>（1）分值汇总计算错误的；</w:t>
      </w:r>
    </w:p>
    <w:p>
      <w:pPr>
        <w:pStyle w:val="335"/>
        <w:spacing w:line="360" w:lineRule="auto"/>
        <w:ind w:firstLine="480" w:firstLineChars="200"/>
        <w:jc w:val="both"/>
        <w:rPr>
          <w:rFonts w:hint="eastAsia" w:ascii="宋体" w:hAnsi="宋体" w:eastAsia="宋体" w:cs="宋体"/>
          <w:color w:val="auto"/>
          <w:kern w:val="2"/>
          <w:szCs w:val="20"/>
        </w:rPr>
      </w:pPr>
      <w:r>
        <w:rPr>
          <w:rFonts w:hint="eastAsia" w:ascii="宋体" w:hAnsi="宋体" w:eastAsia="宋体" w:cs="宋体"/>
          <w:color w:val="auto"/>
          <w:kern w:val="2"/>
          <w:szCs w:val="20"/>
        </w:rPr>
        <w:t>（2）分项评分超出评分标准范围的；</w:t>
      </w:r>
    </w:p>
    <w:p>
      <w:pPr>
        <w:pStyle w:val="335"/>
        <w:spacing w:line="360" w:lineRule="auto"/>
        <w:ind w:firstLine="480" w:firstLineChars="200"/>
        <w:jc w:val="both"/>
        <w:rPr>
          <w:rFonts w:hint="eastAsia" w:ascii="宋体" w:hAnsi="宋体" w:eastAsia="宋体" w:cs="宋体"/>
          <w:color w:val="auto"/>
          <w:kern w:val="2"/>
          <w:szCs w:val="20"/>
        </w:rPr>
      </w:pPr>
      <w:r>
        <w:rPr>
          <w:rFonts w:hint="eastAsia" w:ascii="宋体" w:hAnsi="宋体" w:eastAsia="宋体" w:cs="宋体"/>
          <w:color w:val="auto"/>
          <w:kern w:val="2"/>
          <w:szCs w:val="20"/>
        </w:rPr>
        <w:t>（3）客观评分不一致的；</w:t>
      </w:r>
    </w:p>
    <w:p>
      <w:pPr>
        <w:pStyle w:val="335"/>
        <w:spacing w:line="360" w:lineRule="auto"/>
        <w:ind w:firstLine="480" w:firstLineChars="200"/>
        <w:jc w:val="both"/>
        <w:rPr>
          <w:rFonts w:hint="eastAsia" w:ascii="宋体" w:hAnsi="宋体" w:eastAsia="宋体" w:cs="宋体"/>
          <w:color w:val="auto"/>
          <w:kern w:val="2"/>
          <w:szCs w:val="20"/>
        </w:rPr>
      </w:pPr>
      <w:r>
        <w:rPr>
          <w:rFonts w:hint="eastAsia" w:ascii="宋体" w:hAnsi="宋体" w:eastAsia="宋体" w:cs="宋体"/>
          <w:color w:val="auto"/>
          <w:kern w:val="2"/>
          <w:szCs w:val="20"/>
        </w:rPr>
        <w:t>（4）经评标委员会认定评分畸高畸低的。</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存在本条上述规定情形的，由评标委员会自主决定是否采纳招标采购单位的书面建议，并承担独立评审责任。评标委员会采纳招标采购单位书面建议的，应当按照规定现场修改评标结果或者重新评标，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3.10.2有下列情形之一的，不得修改评标结果或者重新评标：</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（1）评标委员会已经出具评标报告并且离开评标现场的；</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（2）招标采购单位现场复核时，复核工作人员数量不足的；</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（3）招标采购单位现场复核时，没有采购监督人员现场监督的；</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（4）招标采购单位现场复核内容超出规定范围的；</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（5）招标采购单位未提供书面建议的。</w:t>
      </w:r>
    </w:p>
    <w:p>
      <w:pPr>
        <w:pStyle w:val="4"/>
        <w:rPr>
          <w:rFonts w:hint="eastAsia" w:ascii="宋体" w:hAnsi="宋体" w:eastAsia="宋体" w:cs="宋体"/>
          <w:color w:val="auto"/>
          <w:sz w:val="24"/>
        </w:rPr>
      </w:pPr>
      <w:r>
        <w:rPr>
          <w:rFonts w:hint="eastAsia" w:ascii="宋体" w:hAnsi="宋体" w:eastAsia="宋体" w:cs="宋体"/>
          <w:color w:val="auto"/>
          <w:sz w:val="24"/>
        </w:rPr>
        <w:t>4</w:t>
      </w:r>
      <w:r>
        <w:rPr>
          <w:rFonts w:hint="eastAsia" w:ascii="宋体" w:hAnsi="宋体" w:eastAsia="宋体" w:cs="宋体"/>
          <w:color w:val="auto"/>
          <w:sz w:val="24"/>
          <w:lang w:eastAsia="zh-CN"/>
        </w:rPr>
        <w:t>.</w:t>
      </w:r>
      <w:r>
        <w:rPr>
          <w:rFonts w:hint="eastAsia" w:ascii="宋体" w:hAnsi="宋体" w:eastAsia="宋体" w:cs="宋体"/>
          <w:color w:val="auto"/>
          <w:sz w:val="24"/>
        </w:rPr>
        <w:t>评标细则及标准</w:t>
      </w:r>
      <w:bookmarkEnd w:id="955"/>
    </w:p>
    <w:p>
      <w:pPr>
        <w:widowControl/>
        <w:adjustRightInd w:val="0"/>
        <w:snapToGri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4.1 本次综合评分的因素详见综合评分法</w:t>
      </w:r>
      <w:r>
        <w:rPr>
          <w:rFonts w:hint="eastAsia" w:ascii="宋体" w:hAnsi="宋体" w:eastAsia="宋体" w:cs="宋体"/>
          <w:b/>
          <w:bCs/>
          <w:color w:val="auto"/>
          <w:sz w:val="24"/>
        </w:rPr>
        <w:t>。</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招标人代表原则上对技术类评分因素独立评分。价格和其他不能明确区分的评分因素由评标委员会成员共同评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4.3 综合评分明细表</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4.3.1 综合评分明细表的制定以科学合理、降低评委会自由裁量权为原则。</w:t>
      </w:r>
    </w:p>
    <w:p>
      <w:pPr>
        <w:spacing w:after="163" w:afterLines="50" w:line="360" w:lineRule="auto"/>
        <w:ind w:firstLine="480" w:firstLineChars="200"/>
        <w:rPr>
          <w:rFonts w:hint="eastAsia" w:ascii="宋体" w:hAnsi="宋体" w:eastAsia="宋体" w:cs="宋体"/>
          <w:b/>
          <w:color w:val="auto"/>
          <w:sz w:val="24"/>
        </w:rPr>
      </w:pPr>
      <w:r>
        <w:rPr>
          <w:rFonts w:hint="eastAsia" w:ascii="宋体" w:hAnsi="宋体" w:eastAsia="宋体" w:cs="宋体"/>
          <w:color w:val="auto"/>
          <w:sz w:val="24"/>
        </w:rPr>
        <w:t>4.3.2</w:t>
      </w:r>
      <w:r>
        <w:rPr>
          <w:rFonts w:hint="eastAsia" w:ascii="宋体" w:hAnsi="宋体" w:eastAsia="宋体" w:cs="宋体"/>
          <w:b/>
          <w:color w:val="auto"/>
          <w:sz w:val="24"/>
        </w:rPr>
        <w:t xml:space="preserve"> 综合评分明细表 </w:t>
      </w:r>
    </w:p>
    <w:p>
      <w:pPr>
        <w:bidi w:val="0"/>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一</w:t>
      </w:r>
      <w:r>
        <w:rPr>
          <w:rFonts w:hint="eastAsia" w:ascii="宋体" w:hAnsi="宋体" w:eastAsia="宋体" w:cs="宋体"/>
          <w:color w:val="auto"/>
          <w:lang w:eastAsia="zh-CN"/>
        </w:rPr>
        <w:t>）</w:t>
      </w:r>
      <w:r>
        <w:rPr>
          <w:rFonts w:hint="eastAsia" w:ascii="宋体" w:hAnsi="宋体" w:eastAsia="宋体" w:cs="宋体"/>
          <w:color w:val="auto"/>
        </w:rPr>
        <w:t>01包 ：</w:t>
      </w:r>
    </w:p>
    <w:tbl>
      <w:tblPr>
        <w:tblStyle w:val="49"/>
        <w:tblW w:w="9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054"/>
        <w:gridCol w:w="786"/>
        <w:gridCol w:w="5236"/>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21"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054"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评分因素</w:t>
            </w:r>
          </w:p>
        </w:tc>
        <w:tc>
          <w:tcPr>
            <w:tcW w:w="78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23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评分标准</w:t>
            </w:r>
          </w:p>
        </w:tc>
        <w:tc>
          <w:tcPr>
            <w:tcW w:w="1709"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21"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54"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78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30分</w:t>
            </w:r>
          </w:p>
        </w:tc>
        <w:tc>
          <w:tcPr>
            <w:tcW w:w="5236" w:type="dxa"/>
            <w:tcBorders>
              <w:tl2br w:val="nil"/>
              <w:tr2bl w:val="nil"/>
            </w:tcBorders>
            <w:noWrap w:val="0"/>
            <w:vAlign w:val="center"/>
          </w:tcPr>
          <w:p>
            <w:pPr>
              <w:widowControl/>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1．经评审的最低有效报价作为评标基准价；</w:t>
            </w:r>
          </w:p>
          <w:p>
            <w:pPr>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2．投标报价得分=(评标基准价／投标报价)×30。</w:t>
            </w:r>
          </w:p>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注</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对残疾人福利性单位、小型、微型、监狱企业产品的价格给予10%的价格扣除，用扣除后的价格参与评审。</w:t>
            </w:r>
          </w:p>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2、参加政府采购活动的小微企业应当提供《中小企业声明函》</w:t>
            </w:r>
            <w:r>
              <w:rPr>
                <w:rFonts w:hint="eastAsia" w:ascii="宋体" w:hAnsi="宋体" w:eastAsia="宋体" w:cs="宋体"/>
                <w:color w:val="auto"/>
                <w:sz w:val="21"/>
                <w:szCs w:val="21"/>
                <w:highlight w:val="none"/>
              </w:rPr>
              <w:t>原件</w:t>
            </w:r>
            <w:r>
              <w:rPr>
                <w:rFonts w:hint="eastAsia" w:ascii="宋体" w:hAnsi="宋体" w:eastAsia="宋体" w:cs="宋体"/>
                <w:color w:val="auto"/>
                <w:sz w:val="21"/>
                <w:szCs w:val="21"/>
                <w:highlight w:val="none"/>
                <w:lang w:eastAsia="zh-CN"/>
              </w:rPr>
              <w:t>、残疾人福利性单位提供</w:t>
            </w:r>
            <w:r>
              <w:rPr>
                <w:rFonts w:hint="eastAsia" w:ascii="宋体" w:hAnsi="宋体" w:eastAsia="宋体" w:cs="宋体"/>
                <w:color w:val="auto"/>
                <w:sz w:val="21"/>
                <w:szCs w:val="21"/>
                <w:highlight w:val="none"/>
              </w:rPr>
              <w:t>《残疾人福利性单位声明函》原件</w:t>
            </w:r>
            <w:r>
              <w:rPr>
                <w:rFonts w:hint="eastAsia" w:ascii="宋体" w:hAnsi="宋体" w:eastAsia="宋体" w:cs="宋体"/>
                <w:color w:val="auto"/>
                <w:sz w:val="21"/>
                <w:szCs w:val="21"/>
                <w:highlight w:val="none"/>
                <w:lang w:eastAsia="zh-CN"/>
              </w:rPr>
              <w:t>、监狱企业提供证明材料</w:t>
            </w:r>
            <w:r>
              <w:rPr>
                <w:rFonts w:hint="eastAsia" w:ascii="宋体" w:hAnsi="宋体" w:eastAsia="宋体" w:cs="宋体"/>
                <w:color w:val="auto"/>
                <w:sz w:val="21"/>
                <w:szCs w:val="21"/>
                <w:highlight w:val="none"/>
              </w:rPr>
              <w:t>。</w:t>
            </w:r>
          </w:p>
        </w:tc>
        <w:tc>
          <w:tcPr>
            <w:tcW w:w="1709" w:type="dxa"/>
            <w:tcBorders>
              <w:tl2br w:val="nil"/>
              <w:tr2bl w:val="nil"/>
            </w:tcBorders>
            <w:noWrap w:val="0"/>
            <w:vAlign w:val="center"/>
          </w:tcPr>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621"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54" w:type="dxa"/>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项目人员配备</w:t>
            </w:r>
          </w:p>
        </w:tc>
        <w:tc>
          <w:tcPr>
            <w:tcW w:w="786" w:type="dxa"/>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20分</w:t>
            </w:r>
          </w:p>
        </w:tc>
        <w:tc>
          <w:tcPr>
            <w:tcW w:w="5236" w:type="dxa"/>
            <w:tcBorders>
              <w:tl2br w:val="nil"/>
              <w:tr2bl w:val="nil"/>
            </w:tcBorders>
            <w:noWrap w:val="0"/>
            <w:vAlign w:val="center"/>
          </w:tcPr>
          <w:p>
            <w:pPr>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为本项目配备的设计人员：</w:t>
            </w:r>
          </w:p>
          <w:p>
            <w:pPr>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项目设计负责人1人：具有</w:t>
            </w:r>
            <w:r>
              <w:rPr>
                <w:rFonts w:hint="eastAsia" w:ascii="宋体" w:hAnsi="宋体" w:eastAsia="宋体" w:cs="宋体"/>
                <w:color w:val="auto"/>
                <w:sz w:val="21"/>
                <w:szCs w:val="21"/>
                <w:highlight w:val="none"/>
                <w:lang w:eastAsia="zh-CN"/>
              </w:rPr>
              <w:t>市政工程</w:t>
            </w:r>
            <w:r>
              <w:rPr>
                <w:rFonts w:hint="eastAsia" w:ascii="宋体" w:hAnsi="宋体" w:eastAsia="宋体" w:cs="宋体"/>
                <w:color w:val="auto"/>
                <w:sz w:val="21"/>
                <w:szCs w:val="21"/>
                <w:highlight w:val="none"/>
              </w:rPr>
              <w:t>中级技术职称</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分，具有</w:t>
            </w:r>
            <w:r>
              <w:rPr>
                <w:rFonts w:hint="eastAsia" w:ascii="宋体" w:hAnsi="宋体" w:eastAsia="宋体" w:cs="宋体"/>
                <w:color w:val="auto"/>
                <w:sz w:val="21"/>
                <w:szCs w:val="21"/>
                <w:highlight w:val="none"/>
                <w:lang w:eastAsia="zh-CN"/>
              </w:rPr>
              <w:t>市政工程</w:t>
            </w:r>
            <w:r>
              <w:rPr>
                <w:rFonts w:hint="eastAsia" w:ascii="宋体" w:hAnsi="宋体" w:eastAsia="宋体" w:cs="宋体"/>
                <w:color w:val="auto"/>
                <w:sz w:val="21"/>
                <w:szCs w:val="21"/>
                <w:highlight w:val="none"/>
              </w:rPr>
              <w:t>高级</w:t>
            </w:r>
            <w:r>
              <w:rPr>
                <w:rFonts w:hint="eastAsia" w:ascii="宋体" w:hAnsi="宋体" w:eastAsia="宋体" w:cs="宋体"/>
                <w:color w:val="auto"/>
                <w:sz w:val="21"/>
                <w:szCs w:val="21"/>
                <w:highlight w:val="none"/>
                <w:lang w:eastAsia="zh-CN"/>
              </w:rPr>
              <w:t>及以上</w:t>
            </w:r>
            <w:r>
              <w:rPr>
                <w:rFonts w:hint="eastAsia" w:ascii="宋体" w:hAnsi="宋体" w:eastAsia="宋体" w:cs="宋体"/>
                <w:color w:val="auto"/>
                <w:sz w:val="21"/>
                <w:szCs w:val="21"/>
                <w:highlight w:val="none"/>
              </w:rPr>
              <w:t>技术职称</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分；本项最多得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snapToGrid w:val="0"/>
              <w:spacing w:line="24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2. 项目设计师2人（常驻）：具有</w:t>
            </w:r>
            <w:r>
              <w:rPr>
                <w:rFonts w:hint="eastAsia" w:ascii="宋体" w:hAnsi="宋体" w:eastAsia="宋体" w:cs="宋体"/>
                <w:color w:val="auto"/>
                <w:sz w:val="21"/>
                <w:szCs w:val="21"/>
                <w:highlight w:val="none"/>
                <w:lang w:eastAsia="zh-CN"/>
              </w:rPr>
              <w:t>市政工程</w:t>
            </w:r>
            <w:r>
              <w:rPr>
                <w:rFonts w:hint="eastAsia" w:ascii="宋体" w:hAnsi="宋体" w:eastAsia="宋体" w:cs="宋体"/>
                <w:color w:val="auto"/>
                <w:sz w:val="21"/>
                <w:szCs w:val="21"/>
                <w:highlight w:val="none"/>
              </w:rPr>
              <w:t>中级技术职称每人</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分，具有</w:t>
            </w:r>
            <w:r>
              <w:rPr>
                <w:rFonts w:hint="eastAsia" w:ascii="宋体" w:hAnsi="宋体" w:eastAsia="宋体" w:cs="宋体"/>
                <w:color w:val="auto"/>
                <w:sz w:val="21"/>
                <w:szCs w:val="21"/>
                <w:highlight w:val="none"/>
                <w:lang w:eastAsia="zh-CN"/>
              </w:rPr>
              <w:t>市政工程</w:t>
            </w:r>
            <w:r>
              <w:rPr>
                <w:rFonts w:hint="eastAsia" w:ascii="宋体" w:hAnsi="宋体" w:eastAsia="宋体" w:cs="宋体"/>
                <w:color w:val="auto"/>
                <w:sz w:val="21"/>
                <w:szCs w:val="21"/>
                <w:highlight w:val="none"/>
              </w:rPr>
              <w:t>高级</w:t>
            </w:r>
            <w:r>
              <w:rPr>
                <w:rFonts w:hint="eastAsia" w:ascii="宋体" w:hAnsi="宋体" w:eastAsia="宋体" w:cs="宋体"/>
                <w:color w:val="auto"/>
                <w:sz w:val="21"/>
                <w:szCs w:val="21"/>
                <w:highlight w:val="none"/>
                <w:lang w:eastAsia="zh-CN"/>
              </w:rPr>
              <w:t>及以上</w:t>
            </w:r>
            <w:r>
              <w:rPr>
                <w:rFonts w:hint="eastAsia" w:ascii="宋体" w:hAnsi="宋体" w:eastAsia="宋体" w:cs="宋体"/>
                <w:color w:val="auto"/>
                <w:sz w:val="21"/>
                <w:szCs w:val="21"/>
                <w:highlight w:val="none"/>
              </w:rPr>
              <w:t>技术职称每人</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分；本项最多得12分。</w:t>
            </w:r>
          </w:p>
          <w:p>
            <w:pPr>
              <w:snapToGrid w:val="0"/>
              <w:spacing w:line="240" w:lineRule="auto"/>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注：1、提供证书或相关证明材料复印件；</w:t>
            </w:r>
          </w:p>
          <w:p>
            <w:pPr>
              <w:snapToGrid w:val="0"/>
              <w:spacing w:line="240" w:lineRule="auto"/>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2、提供在单位有效的在职证明材料。</w:t>
            </w:r>
          </w:p>
        </w:tc>
        <w:tc>
          <w:tcPr>
            <w:tcW w:w="1709" w:type="dxa"/>
            <w:tcBorders>
              <w:tl2br w:val="nil"/>
              <w:tr2bl w:val="nil"/>
            </w:tcBorders>
            <w:noWrap w:val="0"/>
            <w:vAlign w:val="center"/>
          </w:tcPr>
          <w:p>
            <w:pPr>
              <w:numPr>
                <w:ilvl w:val="0"/>
                <w:numId w:val="0"/>
              </w:numPr>
              <w:adjustRightInd w:val="0"/>
              <w:snapToGrid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621"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54" w:type="dxa"/>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履约能力</w:t>
            </w:r>
          </w:p>
        </w:tc>
        <w:tc>
          <w:tcPr>
            <w:tcW w:w="786" w:type="dxa"/>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15分</w:t>
            </w:r>
          </w:p>
        </w:tc>
        <w:tc>
          <w:tcPr>
            <w:tcW w:w="5236" w:type="dxa"/>
            <w:tcBorders>
              <w:tl2br w:val="nil"/>
              <w:tr2bl w:val="nil"/>
            </w:tcBorders>
            <w:noWrap w:val="0"/>
            <w:vAlign w:val="center"/>
          </w:tcPr>
          <w:p>
            <w:pPr>
              <w:adjustRightInd w:val="0"/>
              <w:snapToGrid w:val="0"/>
              <w:spacing w:line="24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2018年1月1日以来具有类似市政工程项目或道路交通设施设计项目业绩一个得5分，每增加一个加5分。最多得15分。</w:t>
            </w:r>
          </w:p>
          <w:p>
            <w:pPr>
              <w:adjustRightInd w:val="0"/>
              <w:snapToGrid w:val="0"/>
              <w:spacing w:line="240" w:lineRule="auto"/>
              <w:ind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eastAsia="zh-CN"/>
              </w:rPr>
              <w:t>注：提供中标（成交）通知书和合同复印件。</w:t>
            </w:r>
          </w:p>
        </w:tc>
        <w:tc>
          <w:tcPr>
            <w:tcW w:w="1709" w:type="dxa"/>
            <w:tcBorders>
              <w:tl2br w:val="nil"/>
              <w:tr2bl w:val="nil"/>
            </w:tcBorders>
            <w:noWrap w:val="0"/>
            <w:vAlign w:val="center"/>
          </w:tcPr>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621"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054" w:type="dxa"/>
            <w:tcBorders>
              <w:tl2br w:val="nil"/>
              <w:tr2bl w:val="nil"/>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786" w:type="dxa"/>
            <w:tcBorders>
              <w:tl2br w:val="nil"/>
              <w:tr2bl w:val="nil"/>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35分</w:t>
            </w:r>
          </w:p>
        </w:tc>
        <w:tc>
          <w:tcPr>
            <w:tcW w:w="5236" w:type="dxa"/>
            <w:tcBorders>
              <w:tl2br w:val="nil"/>
              <w:tr2bl w:val="nil"/>
            </w:tcBorders>
            <w:noWrap w:val="0"/>
            <w:vAlign w:val="center"/>
          </w:tcPr>
          <w:p>
            <w:pPr>
              <w:pStyle w:val="89"/>
              <w:snapToGrid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根据投标人提供的项目实施方案，包括但不限于①对本项目的理解认识和对项目所在区域交安设施的实际了解情况进行项目背景分析、②</w:t>
            </w:r>
            <w:r>
              <w:rPr>
                <w:rFonts w:hint="eastAsia" w:ascii="宋体" w:hAnsi="宋体" w:eastAsia="宋体" w:cs="宋体"/>
                <w:color w:val="auto"/>
                <w:kern w:val="0"/>
                <w:sz w:val="21"/>
                <w:szCs w:val="21"/>
                <w:highlight w:val="none"/>
              </w:rPr>
              <w:t>工作内容</w:t>
            </w:r>
            <w:r>
              <w:rPr>
                <w:rFonts w:hint="eastAsia" w:ascii="宋体" w:hAnsi="宋体" w:eastAsia="宋体" w:cs="宋体"/>
                <w:color w:val="auto"/>
                <w:kern w:val="0"/>
                <w:sz w:val="21"/>
                <w:szCs w:val="21"/>
                <w:highlight w:val="none"/>
                <w:lang w:eastAsia="zh-CN"/>
              </w:rPr>
              <w:t>、③</w:t>
            </w:r>
            <w:r>
              <w:rPr>
                <w:rFonts w:hint="eastAsia" w:ascii="宋体" w:hAnsi="宋体" w:eastAsia="宋体" w:cs="宋体"/>
                <w:color w:val="auto"/>
                <w:kern w:val="0"/>
                <w:sz w:val="21"/>
                <w:szCs w:val="21"/>
                <w:highlight w:val="none"/>
              </w:rPr>
              <w:t>进度计划</w:t>
            </w:r>
            <w:r>
              <w:rPr>
                <w:rFonts w:hint="eastAsia" w:ascii="宋体" w:hAnsi="宋体" w:eastAsia="宋体" w:cs="宋体"/>
                <w:color w:val="auto"/>
                <w:kern w:val="0"/>
                <w:sz w:val="21"/>
                <w:szCs w:val="21"/>
                <w:highlight w:val="none"/>
                <w:lang w:eastAsia="zh-CN"/>
              </w:rPr>
              <w:t>、④</w:t>
            </w:r>
            <w:r>
              <w:rPr>
                <w:rFonts w:hint="eastAsia" w:ascii="宋体" w:hAnsi="宋体" w:eastAsia="宋体" w:cs="宋体"/>
                <w:color w:val="auto"/>
                <w:sz w:val="21"/>
                <w:szCs w:val="21"/>
                <w:highlight w:val="none"/>
              </w:rPr>
              <w:t>工作质量保障措施</w:t>
            </w:r>
            <w:r>
              <w:rPr>
                <w:rFonts w:hint="eastAsia" w:ascii="宋体" w:hAnsi="宋体" w:eastAsia="宋体" w:cs="宋体"/>
                <w:color w:val="auto"/>
                <w:sz w:val="21"/>
                <w:szCs w:val="21"/>
                <w:highlight w:val="none"/>
                <w:lang w:eastAsia="zh-CN"/>
              </w:rPr>
              <w:t>、⑤</w:t>
            </w:r>
            <w:r>
              <w:rPr>
                <w:rFonts w:hint="eastAsia" w:ascii="宋体" w:hAnsi="宋体" w:eastAsia="宋体" w:cs="宋体"/>
                <w:color w:val="auto"/>
                <w:sz w:val="21"/>
                <w:szCs w:val="21"/>
                <w:highlight w:val="none"/>
              </w:rPr>
              <w:t>工作周期保证措施</w:t>
            </w:r>
            <w:r>
              <w:rPr>
                <w:rFonts w:hint="eastAsia" w:ascii="宋体" w:hAnsi="宋体" w:eastAsia="宋体" w:cs="宋体"/>
                <w:color w:val="auto"/>
                <w:sz w:val="21"/>
                <w:szCs w:val="21"/>
                <w:highlight w:val="none"/>
                <w:lang w:eastAsia="zh-CN"/>
              </w:rPr>
              <w:t>进行综合评审；提供了以上五个方面的每项得</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分；每有一项存在①内容不</w:t>
            </w:r>
            <w:r>
              <w:rPr>
                <w:rFonts w:hint="eastAsia" w:hAnsi="宋体" w:cs="宋体"/>
                <w:color w:val="auto"/>
                <w:sz w:val="21"/>
                <w:szCs w:val="21"/>
                <w:highlight w:val="none"/>
                <w:lang w:val="en-US" w:eastAsia="zh-CN"/>
              </w:rPr>
              <w:t>完整</w:t>
            </w:r>
            <w:r>
              <w:rPr>
                <w:rFonts w:hint="eastAsia" w:ascii="宋体" w:hAnsi="宋体" w:eastAsia="宋体" w:cs="宋体"/>
                <w:color w:val="auto"/>
                <w:sz w:val="21"/>
                <w:szCs w:val="21"/>
                <w:highlight w:val="none"/>
                <w:lang w:eastAsia="zh-CN"/>
              </w:rPr>
              <w:t>②描述不清晰③有错误/逻辑混乱/有缺陷/有瑕疵④和本项目要求不一致的扣</w:t>
            </w:r>
            <w:r>
              <w:rPr>
                <w:rFonts w:hint="eastAsia" w:ascii="宋体" w:hAnsi="宋体" w:eastAsia="宋体" w:cs="宋体"/>
                <w:color w:val="auto"/>
                <w:sz w:val="21"/>
                <w:szCs w:val="21"/>
                <w:highlight w:val="none"/>
                <w:lang w:val="en-US" w:eastAsia="zh-CN"/>
              </w:rPr>
              <w:t>3.5</w:t>
            </w:r>
            <w:r>
              <w:rPr>
                <w:rFonts w:hint="eastAsia" w:ascii="宋体" w:hAnsi="宋体" w:eastAsia="宋体" w:cs="宋体"/>
                <w:color w:val="auto"/>
                <w:sz w:val="21"/>
                <w:szCs w:val="21"/>
                <w:highlight w:val="none"/>
                <w:lang w:eastAsia="zh-CN"/>
              </w:rPr>
              <w:t>分，直至扣完为止，未提供的不得分。（本项最多得</w:t>
            </w:r>
            <w:r>
              <w:rPr>
                <w:rFonts w:hint="eastAsia" w:ascii="宋体" w:hAnsi="宋体" w:eastAsia="宋体" w:cs="宋体"/>
                <w:color w:val="auto"/>
                <w:sz w:val="21"/>
                <w:szCs w:val="21"/>
                <w:highlight w:val="none"/>
                <w:lang w:val="en-US" w:eastAsia="zh-CN"/>
              </w:rPr>
              <w:t>35</w:t>
            </w:r>
            <w:r>
              <w:rPr>
                <w:rFonts w:hint="eastAsia" w:ascii="宋体" w:hAnsi="宋体" w:eastAsia="宋体" w:cs="宋体"/>
                <w:color w:val="auto"/>
                <w:sz w:val="21"/>
                <w:szCs w:val="21"/>
                <w:highlight w:val="none"/>
                <w:lang w:eastAsia="zh-CN"/>
              </w:rPr>
              <w:t>分）。</w:t>
            </w:r>
          </w:p>
        </w:tc>
        <w:tc>
          <w:tcPr>
            <w:tcW w:w="1709" w:type="dxa"/>
            <w:tcBorders>
              <w:tl2br w:val="nil"/>
              <w:tr2bl w:val="nil"/>
            </w:tcBorders>
            <w:noWrap w:val="0"/>
            <w:vAlign w:val="center"/>
          </w:tcPr>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技术类评分因素</w:t>
            </w:r>
          </w:p>
        </w:tc>
      </w:tr>
    </w:tbl>
    <w:p>
      <w:pPr>
        <w:numPr>
          <w:ilvl w:val="0"/>
          <w:numId w:val="0"/>
        </w:numPr>
        <w:snapToGrid w:val="0"/>
        <w:ind w:leftChars="0"/>
        <w:rPr>
          <w:rFonts w:hint="eastAsia" w:ascii="宋体" w:hAnsi="宋体" w:eastAsia="宋体" w:cs="宋体"/>
          <w:b/>
          <w:color w:val="auto"/>
          <w:sz w:val="24"/>
          <w:highlight w:val="none"/>
          <w:lang w:eastAsia="zh-CN"/>
        </w:rPr>
      </w:pPr>
    </w:p>
    <w:p>
      <w:pPr>
        <w:numPr>
          <w:ilvl w:val="0"/>
          <w:numId w:val="0"/>
        </w:numPr>
        <w:snapToGrid w:val="0"/>
        <w:ind w:lef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 xml:space="preserve">02包  </w:t>
      </w:r>
    </w:p>
    <w:tbl>
      <w:tblPr>
        <w:tblStyle w:val="49"/>
        <w:tblW w:w="9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054"/>
        <w:gridCol w:w="786"/>
        <w:gridCol w:w="5236"/>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21" w:type="dxa"/>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054" w:type="dxa"/>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评分因素</w:t>
            </w:r>
          </w:p>
        </w:tc>
        <w:tc>
          <w:tcPr>
            <w:tcW w:w="786" w:type="dxa"/>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236" w:type="dxa"/>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评分标准</w:t>
            </w:r>
          </w:p>
        </w:tc>
        <w:tc>
          <w:tcPr>
            <w:tcW w:w="1709" w:type="dxa"/>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21" w:type="dxa"/>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54" w:type="dxa"/>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786" w:type="dxa"/>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30分</w:t>
            </w:r>
          </w:p>
        </w:tc>
        <w:tc>
          <w:tcPr>
            <w:tcW w:w="5236" w:type="dxa"/>
            <w:noWrap w:val="0"/>
            <w:vAlign w:val="center"/>
          </w:tcPr>
          <w:p>
            <w:pPr>
              <w:widowControl/>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1．经评审的最低有效报价作为评标基准价；</w:t>
            </w:r>
          </w:p>
          <w:p>
            <w:pPr>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2．投标报价得分=(评标基准价／投标报价)×30。</w:t>
            </w:r>
          </w:p>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注</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对残疾人福利性单位、小型、微型、监狱企业产品的价格给予10%的价格扣除，用扣除后的价格参与评审。</w:t>
            </w:r>
          </w:p>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2、参加政府采购活动的小微企业应当提供《中小企业声明函》</w:t>
            </w:r>
            <w:r>
              <w:rPr>
                <w:rFonts w:hint="eastAsia" w:ascii="宋体" w:hAnsi="宋体" w:eastAsia="宋体" w:cs="宋体"/>
                <w:color w:val="auto"/>
                <w:sz w:val="21"/>
                <w:szCs w:val="21"/>
                <w:highlight w:val="none"/>
              </w:rPr>
              <w:t>原件</w:t>
            </w:r>
            <w:r>
              <w:rPr>
                <w:rFonts w:hint="eastAsia" w:ascii="宋体" w:hAnsi="宋体" w:eastAsia="宋体" w:cs="宋体"/>
                <w:color w:val="auto"/>
                <w:sz w:val="21"/>
                <w:szCs w:val="21"/>
                <w:highlight w:val="none"/>
                <w:lang w:eastAsia="zh-CN"/>
              </w:rPr>
              <w:t>、残疾人福利性单位提供</w:t>
            </w:r>
            <w:r>
              <w:rPr>
                <w:rFonts w:hint="eastAsia" w:ascii="宋体" w:hAnsi="宋体" w:eastAsia="宋体" w:cs="宋体"/>
                <w:color w:val="auto"/>
                <w:sz w:val="21"/>
                <w:szCs w:val="21"/>
                <w:highlight w:val="none"/>
              </w:rPr>
              <w:t>《残疾人福利性单位声明函》原件</w:t>
            </w:r>
            <w:r>
              <w:rPr>
                <w:rFonts w:hint="eastAsia" w:ascii="宋体" w:hAnsi="宋体" w:eastAsia="宋体" w:cs="宋体"/>
                <w:color w:val="auto"/>
                <w:sz w:val="21"/>
                <w:szCs w:val="21"/>
                <w:highlight w:val="none"/>
                <w:lang w:eastAsia="zh-CN"/>
              </w:rPr>
              <w:t>、监狱企业提供证明材料</w:t>
            </w:r>
            <w:r>
              <w:rPr>
                <w:rFonts w:hint="eastAsia" w:ascii="宋体" w:hAnsi="宋体" w:eastAsia="宋体" w:cs="宋体"/>
                <w:color w:val="auto"/>
                <w:sz w:val="21"/>
                <w:szCs w:val="21"/>
                <w:highlight w:val="none"/>
              </w:rPr>
              <w:t>。</w:t>
            </w:r>
          </w:p>
        </w:tc>
        <w:tc>
          <w:tcPr>
            <w:tcW w:w="1709" w:type="dxa"/>
            <w:noWrap w:val="0"/>
            <w:vAlign w:val="center"/>
          </w:tcPr>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621" w:type="dxa"/>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54" w:type="dxa"/>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项目人员配备</w:t>
            </w:r>
          </w:p>
        </w:tc>
        <w:tc>
          <w:tcPr>
            <w:tcW w:w="786" w:type="dxa"/>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分</w:t>
            </w:r>
          </w:p>
        </w:tc>
        <w:tc>
          <w:tcPr>
            <w:tcW w:w="5236" w:type="dxa"/>
            <w:noWrap w:val="0"/>
            <w:vAlign w:val="center"/>
          </w:tcPr>
          <w:p>
            <w:pPr>
              <w:snapToGrid w:val="0"/>
              <w:spacing w:line="240" w:lineRule="auto"/>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为本项目配备的监理人员：</w:t>
            </w:r>
          </w:p>
          <w:p>
            <w:pPr>
              <w:snapToGrid w:val="0"/>
              <w:spacing w:line="240" w:lineRule="auto"/>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1、项目监理负责人1人：具有</w:t>
            </w:r>
            <w:r>
              <w:rPr>
                <w:rFonts w:hint="eastAsia" w:ascii="宋体" w:hAnsi="宋体" w:eastAsia="宋体" w:cs="宋体"/>
                <w:color w:val="auto"/>
                <w:sz w:val="21"/>
                <w:szCs w:val="21"/>
                <w:highlight w:val="none"/>
                <w:lang w:eastAsia="zh-CN"/>
              </w:rPr>
              <w:t>市政工程</w:t>
            </w:r>
            <w:r>
              <w:rPr>
                <w:rFonts w:hint="eastAsia" w:ascii="宋体" w:hAnsi="宋体" w:eastAsia="宋体" w:cs="宋体"/>
                <w:color w:val="auto"/>
                <w:sz w:val="21"/>
                <w:szCs w:val="21"/>
                <w:highlight w:val="none"/>
              </w:rPr>
              <w:t>中级技术职称</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分，具有</w:t>
            </w:r>
            <w:r>
              <w:rPr>
                <w:rFonts w:hint="eastAsia" w:ascii="宋体" w:hAnsi="宋体" w:eastAsia="宋体" w:cs="宋体"/>
                <w:color w:val="auto"/>
                <w:sz w:val="21"/>
                <w:szCs w:val="21"/>
                <w:highlight w:val="none"/>
                <w:lang w:eastAsia="zh-CN"/>
              </w:rPr>
              <w:t>市政工程</w:t>
            </w:r>
            <w:r>
              <w:rPr>
                <w:rFonts w:hint="eastAsia" w:ascii="宋体" w:hAnsi="宋体" w:eastAsia="宋体" w:cs="宋体"/>
                <w:color w:val="auto"/>
                <w:sz w:val="21"/>
                <w:szCs w:val="21"/>
                <w:highlight w:val="none"/>
              </w:rPr>
              <w:t>高级</w:t>
            </w:r>
            <w:r>
              <w:rPr>
                <w:rFonts w:hint="eastAsia" w:ascii="宋体" w:hAnsi="宋体" w:eastAsia="宋体" w:cs="宋体"/>
                <w:color w:val="auto"/>
                <w:sz w:val="21"/>
                <w:szCs w:val="21"/>
                <w:highlight w:val="none"/>
                <w:lang w:eastAsia="zh-CN"/>
              </w:rPr>
              <w:t>及以上</w:t>
            </w:r>
            <w:r>
              <w:rPr>
                <w:rFonts w:hint="eastAsia" w:ascii="宋体" w:hAnsi="宋体" w:eastAsia="宋体" w:cs="宋体"/>
                <w:color w:val="auto"/>
                <w:sz w:val="21"/>
                <w:szCs w:val="21"/>
                <w:highlight w:val="none"/>
              </w:rPr>
              <w:t>技术职称</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分；本项最多得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2、项目监理工程师2人（常驻）：具有</w:t>
            </w:r>
            <w:r>
              <w:rPr>
                <w:rFonts w:hint="eastAsia" w:ascii="宋体" w:hAnsi="宋体" w:eastAsia="宋体" w:cs="宋体"/>
                <w:color w:val="auto"/>
                <w:sz w:val="21"/>
                <w:szCs w:val="21"/>
                <w:highlight w:val="none"/>
                <w:lang w:eastAsia="zh-CN"/>
              </w:rPr>
              <w:t>市政工程</w:t>
            </w:r>
            <w:r>
              <w:rPr>
                <w:rFonts w:hint="eastAsia" w:ascii="宋体" w:hAnsi="宋体" w:eastAsia="宋体" w:cs="宋体"/>
                <w:color w:val="auto"/>
                <w:sz w:val="21"/>
                <w:szCs w:val="21"/>
                <w:highlight w:val="none"/>
              </w:rPr>
              <w:t>中级技术职称每人</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分，具有</w:t>
            </w:r>
            <w:r>
              <w:rPr>
                <w:rFonts w:hint="eastAsia" w:ascii="宋体" w:hAnsi="宋体" w:eastAsia="宋体" w:cs="宋体"/>
                <w:color w:val="auto"/>
                <w:sz w:val="21"/>
                <w:szCs w:val="21"/>
                <w:highlight w:val="none"/>
                <w:lang w:eastAsia="zh-CN"/>
              </w:rPr>
              <w:t>市政工程</w:t>
            </w:r>
            <w:r>
              <w:rPr>
                <w:rFonts w:hint="eastAsia" w:ascii="宋体" w:hAnsi="宋体" w:eastAsia="宋体" w:cs="宋体"/>
                <w:color w:val="auto"/>
                <w:sz w:val="21"/>
                <w:szCs w:val="21"/>
                <w:highlight w:val="none"/>
              </w:rPr>
              <w:t>高级</w:t>
            </w:r>
            <w:r>
              <w:rPr>
                <w:rFonts w:hint="eastAsia" w:ascii="宋体" w:hAnsi="宋体" w:eastAsia="宋体" w:cs="宋体"/>
                <w:color w:val="auto"/>
                <w:sz w:val="21"/>
                <w:szCs w:val="21"/>
                <w:highlight w:val="none"/>
                <w:lang w:eastAsia="zh-CN"/>
              </w:rPr>
              <w:t>及以上</w:t>
            </w:r>
            <w:r>
              <w:rPr>
                <w:rFonts w:hint="eastAsia" w:ascii="宋体" w:hAnsi="宋体" w:eastAsia="宋体" w:cs="宋体"/>
                <w:color w:val="auto"/>
                <w:sz w:val="21"/>
                <w:szCs w:val="21"/>
                <w:highlight w:val="none"/>
              </w:rPr>
              <w:t>技术职称每人</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分；本项最多得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3、项目监理员2人（常驻）：具有</w:t>
            </w:r>
            <w:r>
              <w:rPr>
                <w:rFonts w:hint="eastAsia" w:ascii="宋体" w:hAnsi="宋体" w:eastAsia="宋体" w:cs="宋体"/>
                <w:color w:val="auto"/>
                <w:sz w:val="21"/>
                <w:szCs w:val="21"/>
                <w:highlight w:val="none"/>
                <w:lang w:eastAsia="zh-CN"/>
              </w:rPr>
              <w:t>市政工程</w:t>
            </w:r>
            <w:r>
              <w:rPr>
                <w:rFonts w:hint="eastAsia" w:ascii="宋体" w:hAnsi="宋体" w:eastAsia="宋体" w:cs="宋体"/>
                <w:color w:val="auto"/>
                <w:sz w:val="21"/>
                <w:szCs w:val="21"/>
                <w:highlight w:val="none"/>
              </w:rPr>
              <w:t>中级</w:t>
            </w:r>
            <w:r>
              <w:rPr>
                <w:rFonts w:hint="eastAsia" w:ascii="宋体" w:hAnsi="宋体" w:eastAsia="宋体" w:cs="宋体"/>
                <w:color w:val="auto"/>
                <w:sz w:val="21"/>
                <w:szCs w:val="21"/>
                <w:highlight w:val="none"/>
                <w:lang w:eastAsia="zh-CN"/>
              </w:rPr>
              <w:t>及以上</w:t>
            </w:r>
            <w:r>
              <w:rPr>
                <w:rFonts w:hint="eastAsia" w:ascii="宋体" w:hAnsi="宋体" w:eastAsia="宋体" w:cs="宋体"/>
                <w:color w:val="auto"/>
                <w:sz w:val="21"/>
                <w:szCs w:val="21"/>
                <w:highlight w:val="none"/>
              </w:rPr>
              <w:t>技术职称每人</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分；本项最多得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注：1、提供证书</w:t>
            </w:r>
            <w:r>
              <w:rPr>
                <w:rFonts w:hint="eastAsia" w:ascii="宋体" w:hAnsi="宋体" w:eastAsia="宋体" w:cs="宋体"/>
                <w:bCs/>
                <w:color w:val="auto"/>
                <w:sz w:val="21"/>
                <w:szCs w:val="21"/>
                <w:highlight w:val="none"/>
                <w:lang w:val="en-US" w:eastAsia="zh-CN"/>
              </w:rPr>
              <w:t>或相关证明材料</w:t>
            </w:r>
            <w:r>
              <w:rPr>
                <w:rFonts w:hint="eastAsia" w:ascii="宋体" w:hAnsi="宋体" w:eastAsia="宋体" w:cs="宋体"/>
                <w:color w:val="auto"/>
                <w:sz w:val="21"/>
                <w:szCs w:val="21"/>
                <w:highlight w:val="none"/>
                <w:lang w:val="en-US" w:eastAsia="zh-CN"/>
              </w:rPr>
              <w:t>复印件；</w:t>
            </w:r>
          </w:p>
          <w:p>
            <w:pPr>
              <w:snapToGrid w:val="0"/>
              <w:spacing w:line="240" w:lineRule="auto"/>
              <w:ind w:firstLine="0" w:firstLineChars="0"/>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2、提供在单位有效的在职证明材料。</w:t>
            </w:r>
          </w:p>
        </w:tc>
        <w:tc>
          <w:tcPr>
            <w:tcW w:w="1709" w:type="dxa"/>
            <w:noWrap w:val="0"/>
            <w:vAlign w:val="center"/>
          </w:tcPr>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621" w:type="dxa"/>
            <w:vMerge w:val="restart"/>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054" w:type="dxa"/>
            <w:vMerge w:val="restart"/>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p>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履约能力</w:t>
            </w:r>
          </w:p>
        </w:tc>
        <w:tc>
          <w:tcPr>
            <w:tcW w:w="786" w:type="dxa"/>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设备配置4分</w:t>
            </w:r>
          </w:p>
        </w:tc>
        <w:tc>
          <w:tcPr>
            <w:tcW w:w="5236" w:type="dxa"/>
            <w:noWrap w:val="0"/>
            <w:vAlign w:val="center"/>
          </w:tcPr>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供应商为本项目验收环节投入符合标准的检测设备：</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1、具有标线逆反射测量仪不少于2台，得2分；</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2、具有超声波测厚仪不少于2台，得2分。</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注：以上设备需提供供应商相应购买发票或租赁合同；未提供不得分。</w:t>
            </w:r>
          </w:p>
        </w:tc>
        <w:tc>
          <w:tcPr>
            <w:tcW w:w="1709" w:type="dxa"/>
            <w:noWrap w:val="0"/>
            <w:vAlign w:val="center"/>
          </w:tcPr>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621" w:type="dxa"/>
            <w:vMerge w:val="continue"/>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lang w:eastAsia="zh-CN"/>
              </w:rPr>
            </w:pPr>
          </w:p>
        </w:tc>
        <w:tc>
          <w:tcPr>
            <w:tcW w:w="1054" w:type="dxa"/>
            <w:vMerge w:val="continue"/>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p>
        </w:tc>
        <w:tc>
          <w:tcPr>
            <w:tcW w:w="786" w:type="dxa"/>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业绩</w:t>
            </w:r>
            <w:r>
              <w:rPr>
                <w:rFonts w:hint="eastAsia" w:ascii="宋体" w:hAnsi="宋体" w:eastAsia="宋体" w:cs="宋体"/>
                <w:color w:val="auto"/>
                <w:sz w:val="21"/>
                <w:szCs w:val="21"/>
                <w:highlight w:val="none"/>
              </w:rPr>
              <w:t>15分</w:t>
            </w:r>
          </w:p>
        </w:tc>
        <w:tc>
          <w:tcPr>
            <w:tcW w:w="5236" w:type="dxa"/>
            <w:noWrap w:val="0"/>
            <w:vAlign w:val="center"/>
          </w:tcPr>
          <w:p>
            <w:pPr>
              <w:adjustRightInd w:val="0"/>
              <w:snapToGrid w:val="0"/>
              <w:spacing w:line="24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2018年1月1日以来具有类似市政工程项目或道路交通设施监理项目业绩一个得5分，每增加一个加5分。最多得15分。</w:t>
            </w:r>
          </w:p>
          <w:p>
            <w:pPr>
              <w:adjustRightInd w:val="0"/>
              <w:snapToGrid w:val="0"/>
              <w:spacing w:line="240" w:lineRule="auto"/>
              <w:ind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eastAsia="zh-CN"/>
              </w:rPr>
              <w:t>注：提供中标（成交）通知书和合同复印件</w:t>
            </w:r>
            <w:r>
              <w:rPr>
                <w:rFonts w:hint="eastAsia" w:ascii="宋体" w:hAnsi="宋体" w:eastAsia="宋体" w:cs="宋体"/>
                <w:bCs/>
                <w:color w:val="auto"/>
                <w:sz w:val="21"/>
                <w:szCs w:val="21"/>
                <w:highlight w:val="none"/>
                <w:lang w:val="en-US" w:eastAsia="zh-CN"/>
              </w:rPr>
              <w:t>。</w:t>
            </w:r>
          </w:p>
        </w:tc>
        <w:tc>
          <w:tcPr>
            <w:tcW w:w="1709" w:type="dxa"/>
            <w:noWrap w:val="0"/>
            <w:vAlign w:val="center"/>
          </w:tcPr>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621" w:type="dxa"/>
            <w:vMerge w:val="continue"/>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lang w:eastAsia="zh-CN"/>
              </w:rPr>
            </w:pPr>
          </w:p>
        </w:tc>
        <w:tc>
          <w:tcPr>
            <w:tcW w:w="1054" w:type="dxa"/>
            <w:vMerge w:val="continue"/>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p>
        </w:tc>
        <w:tc>
          <w:tcPr>
            <w:tcW w:w="786" w:type="dxa"/>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企业能力3分</w:t>
            </w:r>
          </w:p>
        </w:tc>
        <w:tc>
          <w:tcPr>
            <w:tcW w:w="5236" w:type="dxa"/>
            <w:noWrap w:val="0"/>
            <w:vAlign w:val="center"/>
          </w:tcPr>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投标人具有</w:t>
            </w:r>
            <w:r>
              <w:rPr>
                <w:rFonts w:hint="eastAsia" w:ascii="宋体" w:hAnsi="宋体" w:eastAsia="宋体" w:cs="宋体"/>
                <w:color w:val="auto"/>
                <w:sz w:val="21"/>
                <w:szCs w:val="21"/>
                <w:highlight w:val="none"/>
                <w:lang w:eastAsia="zh-CN"/>
              </w:rPr>
              <w:t>有效的</w:t>
            </w:r>
            <w:r>
              <w:rPr>
                <w:rFonts w:hint="eastAsia" w:ascii="宋体" w:hAnsi="宋体" w:eastAsia="宋体" w:cs="宋体"/>
                <w:color w:val="auto"/>
                <w:sz w:val="21"/>
                <w:szCs w:val="21"/>
                <w:highlight w:val="none"/>
              </w:rPr>
              <w:t>质量管理体系认证证书，得1分；</w:t>
            </w:r>
          </w:p>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投标人具有</w:t>
            </w:r>
            <w:r>
              <w:rPr>
                <w:rFonts w:hint="eastAsia" w:ascii="宋体" w:hAnsi="宋体" w:eastAsia="宋体" w:cs="宋体"/>
                <w:color w:val="auto"/>
                <w:sz w:val="21"/>
                <w:szCs w:val="21"/>
                <w:highlight w:val="none"/>
                <w:lang w:eastAsia="zh-CN"/>
              </w:rPr>
              <w:t>有效的</w:t>
            </w:r>
            <w:r>
              <w:rPr>
                <w:rFonts w:hint="eastAsia" w:ascii="宋体" w:hAnsi="宋体" w:eastAsia="宋体" w:cs="宋体"/>
                <w:color w:val="auto"/>
                <w:sz w:val="21"/>
                <w:szCs w:val="21"/>
                <w:highlight w:val="none"/>
              </w:rPr>
              <w:t>职业健康安全管理体系认证证书，得1分；</w:t>
            </w:r>
          </w:p>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投标人具有</w:t>
            </w:r>
            <w:r>
              <w:rPr>
                <w:rFonts w:hint="eastAsia" w:ascii="宋体" w:hAnsi="宋体" w:eastAsia="宋体" w:cs="宋体"/>
                <w:color w:val="auto"/>
                <w:sz w:val="21"/>
                <w:szCs w:val="21"/>
                <w:highlight w:val="none"/>
                <w:lang w:eastAsia="zh-CN"/>
              </w:rPr>
              <w:t>有效的</w:t>
            </w:r>
            <w:r>
              <w:rPr>
                <w:rFonts w:hint="eastAsia" w:ascii="宋体" w:hAnsi="宋体" w:eastAsia="宋体" w:cs="宋体"/>
                <w:color w:val="auto"/>
                <w:sz w:val="21"/>
                <w:szCs w:val="21"/>
                <w:highlight w:val="none"/>
              </w:rPr>
              <w:t>环境管理体系认证证书，得1分。</w:t>
            </w:r>
          </w:p>
          <w:p>
            <w:pPr>
              <w:adjustRightInd w:val="0"/>
              <w:snapToGrid w:val="0"/>
              <w:spacing w:line="240" w:lineRule="auto"/>
              <w:ind w:firstLine="0" w:firstLineChars="0"/>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eastAsia="zh-CN"/>
              </w:rPr>
              <w:t>注：提供证书复印件。</w:t>
            </w:r>
          </w:p>
        </w:tc>
        <w:tc>
          <w:tcPr>
            <w:tcW w:w="1709" w:type="dxa"/>
            <w:noWrap w:val="0"/>
            <w:vAlign w:val="center"/>
          </w:tcPr>
          <w:p>
            <w:pPr>
              <w:adjustRightInd w:val="0"/>
              <w:snapToGrid w:val="0"/>
              <w:spacing w:line="240" w:lineRule="auto"/>
              <w:ind w:firstLine="0" w:firstLineChars="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1" w:type="dxa"/>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1054" w:type="dxa"/>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786" w:type="dxa"/>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30分</w:t>
            </w:r>
          </w:p>
        </w:tc>
        <w:tc>
          <w:tcPr>
            <w:tcW w:w="5236" w:type="dxa"/>
            <w:noWrap w:val="0"/>
            <w:vAlign w:val="center"/>
          </w:tcPr>
          <w:p>
            <w:pPr>
              <w:pStyle w:val="89"/>
              <w:snapToGrid w:val="0"/>
              <w:spacing w:line="32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根据投标人提供的项目实施方案，包括但不限于①质量控制措施、②工期控制措施</w:t>
            </w:r>
            <w:r>
              <w:rPr>
                <w:rFonts w:hint="eastAsia" w:ascii="宋体" w:hAnsi="宋体" w:eastAsia="宋体" w:cs="宋体"/>
                <w:color w:val="auto"/>
                <w:kern w:val="0"/>
                <w:sz w:val="21"/>
                <w:szCs w:val="21"/>
                <w:highlight w:val="none"/>
                <w:lang w:eastAsia="zh-CN"/>
              </w:rPr>
              <w:t>、③投资控制措施、④合同执行管理</w:t>
            </w:r>
            <w:r>
              <w:rPr>
                <w:rFonts w:hint="eastAsia" w:ascii="宋体" w:hAnsi="宋体" w:eastAsia="宋体" w:cs="宋体"/>
                <w:color w:val="auto"/>
                <w:sz w:val="21"/>
                <w:szCs w:val="21"/>
                <w:highlight w:val="none"/>
                <w:lang w:eastAsia="zh-CN"/>
              </w:rPr>
              <w:t>、⑤安全文明施工管理控制措施进行综合评审；提供了以上五个方面的每项得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分；每有一项存在①内容不</w:t>
            </w:r>
            <w:r>
              <w:rPr>
                <w:rFonts w:hint="eastAsia" w:hAnsi="宋体" w:cs="宋体"/>
                <w:color w:val="auto"/>
                <w:sz w:val="21"/>
                <w:szCs w:val="21"/>
                <w:highlight w:val="none"/>
                <w:lang w:val="en-US" w:eastAsia="zh-CN"/>
              </w:rPr>
              <w:t>完整</w:t>
            </w:r>
            <w:r>
              <w:rPr>
                <w:rFonts w:hint="eastAsia" w:ascii="宋体" w:hAnsi="宋体" w:eastAsia="宋体" w:cs="宋体"/>
                <w:color w:val="auto"/>
                <w:sz w:val="21"/>
                <w:szCs w:val="21"/>
                <w:highlight w:val="none"/>
                <w:lang w:eastAsia="zh-CN"/>
              </w:rPr>
              <w:t>②描述不清晰③有错误/逻辑混乱/有缺陷/有瑕疵④和本项目要求不一致的扣</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分，直至扣完为止，未提供的不得分。（本项最多得</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lang w:eastAsia="zh-CN"/>
              </w:rPr>
              <w:t>分）。</w:t>
            </w:r>
          </w:p>
        </w:tc>
        <w:tc>
          <w:tcPr>
            <w:tcW w:w="1709" w:type="dxa"/>
            <w:noWrap w:val="0"/>
            <w:vAlign w:val="center"/>
          </w:tcPr>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eastAsia="zh-CN"/>
              </w:rPr>
              <w:t>技术类评分因素</w:t>
            </w:r>
          </w:p>
        </w:tc>
      </w:tr>
    </w:tbl>
    <w:p>
      <w:pPr>
        <w:pStyle w:val="89"/>
        <w:rPr>
          <w:rFonts w:hint="eastAsia" w:ascii="宋体" w:hAnsi="宋体" w:eastAsia="宋体" w:cs="宋体"/>
          <w:b/>
          <w:color w:val="auto"/>
          <w:highlight w:val="none"/>
        </w:rPr>
      </w:pPr>
    </w:p>
    <w:p>
      <w:pPr>
        <w:pStyle w:val="23"/>
        <w:tabs>
          <w:tab w:val="left" w:pos="600"/>
        </w:tabs>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三</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03包：</w:t>
      </w:r>
    </w:p>
    <w:tbl>
      <w:tblPr>
        <w:tblStyle w:val="49"/>
        <w:tblW w:w="9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124"/>
        <w:gridCol w:w="795"/>
        <w:gridCol w:w="5239"/>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序号</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评审项目</w:t>
            </w:r>
          </w:p>
        </w:tc>
        <w:tc>
          <w:tcPr>
            <w:tcW w:w="795" w:type="dxa"/>
            <w:tcBorders>
              <w:top w:val="single" w:color="auto" w:sz="4" w:space="0"/>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分值</w:t>
            </w:r>
          </w:p>
        </w:tc>
        <w:tc>
          <w:tcPr>
            <w:tcW w:w="5239" w:type="dxa"/>
            <w:tcBorders>
              <w:top w:val="single" w:color="auto" w:sz="4" w:space="0"/>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评分标准</w:t>
            </w:r>
          </w:p>
        </w:tc>
        <w:tc>
          <w:tcPr>
            <w:tcW w:w="1698" w:type="dxa"/>
            <w:tcBorders>
              <w:top w:val="single" w:color="auto" w:sz="4" w:space="0"/>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55" w:type="dxa"/>
            <w:tcBorders>
              <w:top w:val="single" w:color="auto" w:sz="4" w:space="0"/>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124" w:type="dxa"/>
            <w:tcBorders>
              <w:top w:val="single" w:color="auto" w:sz="4" w:space="0"/>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报价</w:t>
            </w:r>
          </w:p>
        </w:tc>
        <w:tc>
          <w:tcPr>
            <w:tcW w:w="795" w:type="dxa"/>
            <w:tcBorders>
              <w:top w:val="single" w:color="auto" w:sz="4" w:space="0"/>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30分</w:t>
            </w:r>
          </w:p>
        </w:tc>
        <w:tc>
          <w:tcPr>
            <w:tcW w:w="5239" w:type="dxa"/>
            <w:tcBorders>
              <w:top w:val="single" w:color="auto" w:sz="4" w:space="0"/>
              <w:left w:val="single" w:color="auto" w:sz="4" w:space="0"/>
              <w:right w:val="single" w:color="auto" w:sz="4" w:space="0"/>
            </w:tcBorders>
            <w:noWrap w:val="0"/>
            <w:vAlign w:val="center"/>
          </w:tcPr>
          <w:p>
            <w:pPr>
              <w:widowControl/>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1．经评审的最低有效报价作为评标基准价；</w:t>
            </w:r>
          </w:p>
          <w:p>
            <w:pPr>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2．投标报价得分=(评标基准价／投标报价)×30。</w:t>
            </w:r>
          </w:p>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注</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对残疾人福利性单位、小型、微型、监狱企业产品的价格给予10%的价格扣除，用扣除后的价格参与评审。</w:t>
            </w:r>
          </w:p>
          <w:p>
            <w:pPr>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2、参加政府采购活动的小微企业应当提供《中小企业声明函》</w:t>
            </w:r>
            <w:r>
              <w:rPr>
                <w:rFonts w:hint="eastAsia" w:ascii="宋体" w:hAnsi="宋体" w:eastAsia="宋体" w:cs="宋体"/>
                <w:color w:val="auto"/>
                <w:sz w:val="21"/>
                <w:szCs w:val="21"/>
                <w:highlight w:val="none"/>
              </w:rPr>
              <w:t>原件</w:t>
            </w:r>
            <w:r>
              <w:rPr>
                <w:rFonts w:hint="eastAsia" w:ascii="宋体" w:hAnsi="宋体" w:eastAsia="宋体" w:cs="宋体"/>
                <w:color w:val="auto"/>
                <w:sz w:val="21"/>
                <w:szCs w:val="21"/>
                <w:highlight w:val="none"/>
                <w:lang w:eastAsia="zh-CN"/>
              </w:rPr>
              <w:t>、残疾人福利性单位提供</w:t>
            </w:r>
            <w:r>
              <w:rPr>
                <w:rFonts w:hint="eastAsia" w:ascii="宋体" w:hAnsi="宋体" w:eastAsia="宋体" w:cs="宋体"/>
                <w:color w:val="auto"/>
                <w:sz w:val="21"/>
                <w:szCs w:val="21"/>
                <w:highlight w:val="none"/>
              </w:rPr>
              <w:t>《残疾人福利性单位声明函》原件</w:t>
            </w:r>
            <w:r>
              <w:rPr>
                <w:rFonts w:hint="eastAsia" w:ascii="宋体" w:hAnsi="宋体" w:eastAsia="宋体" w:cs="宋体"/>
                <w:color w:val="auto"/>
                <w:sz w:val="21"/>
                <w:szCs w:val="21"/>
                <w:highlight w:val="none"/>
                <w:lang w:eastAsia="zh-CN"/>
              </w:rPr>
              <w:t>、监狱企业提供证明材料</w:t>
            </w:r>
            <w:r>
              <w:rPr>
                <w:rFonts w:hint="eastAsia" w:ascii="宋体" w:hAnsi="宋体" w:eastAsia="宋体" w:cs="宋体"/>
                <w:color w:val="auto"/>
                <w:sz w:val="21"/>
                <w:szCs w:val="21"/>
                <w:highlight w:val="none"/>
              </w:rPr>
              <w:t>。</w:t>
            </w:r>
          </w:p>
        </w:tc>
        <w:tc>
          <w:tcPr>
            <w:tcW w:w="169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ind w:firstLine="0" w:firstLine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55" w:type="dxa"/>
            <w:vMerge w:val="restart"/>
            <w:tcBorders>
              <w:top w:val="single" w:color="auto" w:sz="4" w:space="0"/>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1124" w:type="dxa"/>
            <w:vMerge w:val="restart"/>
            <w:tcBorders>
              <w:top w:val="single" w:color="auto" w:sz="4" w:space="0"/>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项目人员配备</w:t>
            </w:r>
          </w:p>
        </w:tc>
        <w:tc>
          <w:tcPr>
            <w:tcW w:w="795" w:type="dxa"/>
            <w:tcBorders>
              <w:top w:val="single" w:color="auto" w:sz="4" w:space="0"/>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项目经理</w:t>
            </w:r>
          </w:p>
          <w:p>
            <w:pPr>
              <w:snapToGrid w:val="0"/>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5分</w:t>
            </w:r>
          </w:p>
        </w:tc>
        <w:tc>
          <w:tcPr>
            <w:tcW w:w="5239" w:type="dxa"/>
            <w:tcBorders>
              <w:top w:val="single" w:color="auto" w:sz="4" w:space="0"/>
              <w:left w:val="single" w:color="auto" w:sz="4" w:space="0"/>
              <w:right w:val="single" w:color="auto" w:sz="4" w:space="0"/>
            </w:tcBorders>
            <w:noWrap w:val="0"/>
            <w:vAlign w:val="center"/>
          </w:tcPr>
          <w:p>
            <w:pPr>
              <w:snapToGrid w:val="0"/>
              <w:spacing w:line="240" w:lineRule="auto"/>
              <w:ind w:firstLine="0" w:firstLineChars="0"/>
              <w:jc w:val="left"/>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1、投标人为本项目配备项目经理1人，具有市政工程二级</w:t>
            </w:r>
            <w:r>
              <w:rPr>
                <w:rFonts w:hint="eastAsia" w:ascii="宋体" w:hAnsi="宋体" w:eastAsia="宋体" w:cs="宋体"/>
                <w:bCs/>
                <w:color w:val="auto"/>
                <w:kern w:val="2"/>
                <w:sz w:val="21"/>
                <w:szCs w:val="21"/>
                <w:highlight w:val="none"/>
                <w:lang w:eastAsia="zh-CN"/>
              </w:rPr>
              <w:t>及以上</w:t>
            </w:r>
            <w:r>
              <w:rPr>
                <w:rFonts w:hint="eastAsia" w:ascii="宋体" w:hAnsi="宋体" w:eastAsia="宋体" w:cs="宋体"/>
                <w:bCs/>
                <w:color w:val="auto"/>
                <w:kern w:val="2"/>
                <w:sz w:val="21"/>
                <w:szCs w:val="21"/>
                <w:highlight w:val="none"/>
              </w:rPr>
              <w:t>建造师</w:t>
            </w:r>
            <w:r>
              <w:rPr>
                <w:rFonts w:hint="eastAsia" w:ascii="宋体" w:hAnsi="宋体" w:eastAsia="宋体" w:cs="宋体"/>
                <w:bCs/>
                <w:color w:val="auto"/>
                <w:kern w:val="2"/>
                <w:sz w:val="21"/>
                <w:szCs w:val="21"/>
                <w:highlight w:val="none"/>
                <w:lang w:eastAsia="zh-CN"/>
              </w:rPr>
              <w:t>证书且同时具有安全生产考核合格</w:t>
            </w:r>
            <w:r>
              <w:rPr>
                <w:rFonts w:hint="eastAsia" w:ascii="宋体" w:hAnsi="宋体" w:eastAsia="宋体" w:cs="宋体"/>
                <w:bCs/>
                <w:color w:val="auto"/>
                <w:kern w:val="2"/>
                <w:sz w:val="21"/>
                <w:szCs w:val="21"/>
                <w:highlight w:val="none"/>
                <w:lang w:val="en-US" w:eastAsia="zh-CN"/>
              </w:rPr>
              <w:t>B证</w:t>
            </w:r>
            <w:r>
              <w:rPr>
                <w:rFonts w:hint="eastAsia" w:ascii="宋体" w:hAnsi="宋体" w:eastAsia="宋体" w:cs="宋体"/>
                <w:bCs/>
                <w:color w:val="auto"/>
                <w:kern w:val="2"/>
                <w:sz w:val="21"/>
                <w:szCs w:val="21"/>
                <w:highlight w:val="none"/>
              </w:rPr>
              <w:t>的得</w:t>
            </w: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rPr>
              <w:t>分</w:t>
            </w:r>
            <w:r>
              <w:rPr>
                <w:rFonts w:hint="eastAsia" w:ascii="宋体" w:hAnsi="宋体" w:eastAsia="宋体" w:cs="宋体"/>
                <w:bCs/>
                <w:color w:val="auto"/>
                <w:kern w:val="2"/>
                <w:sz w:val="21"/>
                <w:szCs w:val="21"/>
                <w:highlight w:val="none"/>
                <w:lang w:eastAsia="zh-CN"/>
              </w:rPr>
              <w:t>；</w:t>
            </w:r>
            <w:r>
              <w:rPr>
                <w:rFonts w:hint="eastAsia" w:ascii="宋体" w:hAnsi="宋体" w:eastAsia="宋体" w:cs="宋体"/>
                <w:bCs/>
                <w:color w:val="auto"/>
                <w:kern w:val="2"/>
                <w:sz w:val="21"/>
                <w:szCs w:val="21"/>
                <w:highlight w:val="none"/>
              </w:rPr>
              <w:t>具有</w:t>
            </w:r>
            <w:r>
              <w:rPr>
                <w:rFonts w:hint="eastAsia" w:ascii="宋体" w:hAnsi="宋体" w:eastAsia="宋体" w:cs="宋体"/>
                <w:bCs/>
                <w:color w:val="auto"/>
                <w:kern w:val="2"/>
                <w:sz w:val="21"/>
                <w:szCs w:val="21"/>
                <w:highlight w:val="none"/>
                <w:lang w:eastAsia="zh-CN"/>
              </w:rPr>
              <w:t>市政工程</w:t>
            </w:r>
            <w:r>
              <w:rPr>
                <w:rFonts w:hint="eastAsia" w:ascii="宋体" w:hAnsi="宋体" w:eastAsia="宋体" w:cs="宋体"/>
                <w:bCs/>
                <w:color w:val="auto"/>
                <w:kern w:val="2"/>
                <w:sz w:val="21"/>
                <w:szCs w:val="21"/>
                <w:highlight w:val="none"/>
              </w:rPr>
              <w:t>中级及以上职称的加</w:t>
            </w: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rPr>
              <w:t>分；具有类似道路交通安全设施维护工作经历加</w:t>
            </w:r>
            <w:r>
              <w:rPr>
                <w:rFonts w:hint="eastAsia" w:ascii="宋体" w:hAns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rPr>
              <w:t>分。</w:t>
            </w:r>
            <w:r>
              <w:rPr>
                <w:rFonts w:hint="eastAsia" w:ascii="宋体" w:hAnsi="宋体" w:eastAsia="宋体" w:cs="宋体"/>
                <w:bCs/>
                <w:color w:val="auto"/>
                <w:kern w:val="2"/>
                <w:sz w:val="21"/>
                <w:szCs w:val="21"/>
                <w:highlight w:val="none"/>
                <w:lang w:eastAsia="zh-CN"/>
              </w:rPr>
              <w:t>本项最多得</w:t>
            </w:r>
            <w:r>
              <w:rPr>
                <w:rFonts w:hint="eastAsia" w:ascii="宋体" w:hAnsi="宋体" w:eastAsia="宋体" w:cs="宋体"/>
                <w:bCs/>
                <w:color w:val="auto"/>
                <w:kern w:val="2"/>
                <w:sz w:val="21"/>
                <w:szCs w:val="21"/>
                <w:highlight w:val="none"/>
                <w:lang w:val="en-US" w:eastAsia="zh-CN"/>
              </w:rPr>
              <w:t>5分。</w:t>
            </w:r>
          </w:p>
          <w:p>
            <w:pPr>
              <w:snapToGrid w:val="0"/>
              <w:spacing w:line="240" w:lineRule="auto"/>
              <w:ind w:firstLine="0" w:firstLineChars="0"/>
              <w:jc w:val="left"/>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eastAsia="zh-CN"/>
              </w:rPr>
              <w:t>注：</w:t>
            </w:r>
            <w:r>
              <w:rPr>
                <w:rFonts w:hint="eastAsia" w:ascii="宋体" w:hAnsi="宋体" w:eastAsia="宋体" w:cs="宋体"/>
                <w:bCs/>
                <w:color w:val="auto"/>
                <w:kern w:val="2"/>
                <w:sz w:val="21"/>
                <w:szCs w:val="21"/>
                <w:highlight w:val="none"/>
                <w:lang w:val="en-US" w:eastAsia="zh-CN"/>
              </w:rPr>
              <w:t>1、提供证书复印件；</w:t>
            </w:r>
          </w:p>
          <w:p>
            <w:pPr>
              <w:snapToGrid w:val="0"/>
              <w:spacing w:line="240" w:lineRule="auto"/>
              <w:ind w:firstLine="0" w:firstLineChars="0"/>
              <w:jc w:val="left"/>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2、提供在单位有效的在职证明材料；</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highlight w:val="none"/>
                <w:lang w:eastAsia="zh-CN"/>
              </w:rPr>
              <w:t>3、类似工作经历提供中标（成交）通知书复印件或合同复印件，且中标通知书或合同或竣工验收材料中具有该人员参与工程管理的证明。</w:t>
            </w:r>
          </w:p>
        </w:tc>
        <w:tc>
          <w:tcPr>
            <w:tcW w:w="1698" w:type="dxa"/>
            <w:vMerge w:val="restart"/>
            <w:tcBorders>
              <w:top w:val="single" w:color="auto" w:sz="4" w:space="0"/>
              <w:left w:val="single" w:color="auto" w:sz="4" w:space="0"/>
              <w:right w:val="single" w:color="auto" w:sz="4" w:space="0"/>
            </w:tcBorders>
            <w:noWrap w:val="0"/>
            <w:vAlign w:val="center"/>
          </w:tcPr>
          <w:p>
            <w:pPr>
              <w:snapToGrid w:val="0"/>
              <w:spacing w:line="240" w:lineRule="auto"/>
              <w:ind w:firstLine="0" w:firstLineChars="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55"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p>
        </w:tc>
        <w:tc>
          <w:tcPr>
            <w:tcW w:w="1124" w:type="dxa"/>
            <w:vMerge w:val="continue"/>
            <w:tcBorders>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bCs/>
                <w:color w:val="auto"/>
                <w:sz w:val="21"/>
                <w:szCs w:val="21"/>
                <w:highlight w:val="none"/>
              </w:rPr>
            </w:pPr>
          </w:p>
        </w:tc>
        <w:tc>
          <w:tcPr>
            <w:tcW w:w="795" w:type="dxa"/>
            <w:tcBorders>
              <w:top w:val="single" w:color="auto" w:sz="4" w:space="0"/>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技术负责人</w:t>
            </w:r>
            <w:r>
              <w:rPr>
                <w:rFonts w:hint="eastAsia" w:ascii="宋体" w:hAnsi="宋体" w:eastAsia="宋体" w:cs="宋体"/>
                <w:color w:val="auto"/>
                <w:sz w:val="21"/>
                <w:szCs w:val="21"/>
                <w:highlight w:val="none"/>
                <w:lang w:val="en-US" w:eastAsia="zh-CN"/>
              </w:rPr>
              <w:t>4分</w:t>
            </w:r>
          </w:p>
        </w:tc>
        <w:tc>
          <w:tcPr>
            <w:tcW w:w="5239" w:type="dxa"/>
            <w:tcBorders>
              <w:top w:val="single" w:color="auto" w:sz="4" w:space="0"/>
              <w:left w:val="single" w:color="auto" w:sz="4" w:space="0"/>
              <w:right w:val="single" w:color="auto" w:sz="4" w:space="0"/>
            </w:tcBorders>
            <w:noWrap w:val="0"/>
            <w:vAlign w:val="center"/>
          </w:tcPr>
          <w:p>
            <w:pPr>
              <w:snapToGrid w:val="0"/>
              <w:spacing w:line="240" w:lineRule="auto"/>
              <w:ind w:firstLine="0" w:firstLineChars="0"/>
              <w:jc w:val="left"/>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投标人为本项目配备的技术负责</w:t>
            </w:r>
            <w:r>
              <w:rPr>
                <w:rFonts w:hint="eastAsia" w:ascii="宋体" w:hAnsi="宋体" w:eastAsia="宋体" w:cs="宋体"/>
                <w:bCs/>
                <w:color w:val="auto"/>
                <w:kern w:val="2"/>
                <w:sz w:val="21"/>
                <w:szCs w:val="21"/>
                <w:highlight w:val="none"/>
                <w:lang w:eastAsia="zh-CN"/>
              </w:rPr>
              <w:t>人</w:t>
            </w:r>
            <w:r>
              <w:rPr>
                <w:rFonts w:hint="eastAsia" w:ascii="宋体" w:hAnsi="宋体" w:eastAsia="宋体" w:cs="宋体"/>
                <w:bCs/>
                <w:color w:val="auto"/>
                <w:kern w:val="2"/>
                <w:sz w:val="21"/>
                <w:szCs w:val="21"/>
                <w:highlight w:val="none"/>
              </w:rPr>
              <w:t>1人</w:t>
            </w:r>
            <w:r>
              <w:rPr>
                <w:rFonts w:hint="eastAsia" w:ascii="宋体" w:hAnsi="宋体" w:eastAsia="宋体" w:cs="宋体"/>
                <w:bCs/>
                <w:color w:val="auto"/>
                <w:kern w:val="2"/>
                <w:sz w:val="21"/>
                <w:szCs w:val="21"/>
                <w:highlight w:val="none"/>
                <w:lang w:eastAsia="zh-CN"/>
              </w:rPr>
              <w:t>，具有市政工程中级职称得</w:t>
            </w:r>
            <w:r>
              <w:rPr>
                <w:rFonts w:hint="eastAsia" w:ascii="宋体" w:hAnsi="宋体" w:eastAsia="宋体" w:cs="宋体"/>
                <w:bCs/>
                <w:color w:val="auto"/>
                <w:kern w:val="2"/>
                <w:sz w:val="21"/>
                <w:szCs w:val="21"/>
                <w:highlight w:val="none"/>
                <w:lang w:val="en-US" w:eastAsia="zh-CN"/>
              </w:rPr>
              <w:t>2分，具有市政工程高级及以上职称得3分；同时具有建造师证书加1分。</w:t>
            </w:r>
            <w:r>
              <w:rPr>
                <w:rFonts w:hint="eastAsia" w:ascii="宋体" w:hAnsi="宋体" w:eastAsia="宋体" w:cs="宋体"/>
                <w:bCs/>
                <w:color w:val="auto"/>
                <w:kern w:val="2"/>
                <w:sz w:val="21"/>
                <w:szCs w:val="21"/>
                <w:highlight w:val="none"/>
                <w:lang w:eastAsia="zh-CN"/>
              </w:rPr>
              <w:t>本项最多得</w:t>
            </w:r>
            <w:r>
              <w:rPr>
                <w:rFonts w:hint="eastAsia" w:ascii="宋体" w:hAnsi="宋体" w:eastAsia="宋体" w:cs="宋体"/>
                <w:bCs/>
                <w:color w:val="auto"/>
                <w:kern w:val="2"/>
                <w:sz w:val="21"/>
                <w:szCs w:val="21"/>
                <w:highlight w:val="none"/>
                <w:lang w:val="en-US" w:eastAsia="zh-CN"/>
              </w:rPr>
              <w:t>4分。</w:t>
            </w:r>
          </w:p>
          <w:p>
            <w:pPr>
              <w:snapToGrid w:val="0"/>
              <w:spacing w:line="240" w:lineRule="auto"/>
              <w:ind w:firstLine="0" w:firstLineChars="0"/>
              <w:jc w:val="left"/>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注：1、提供证书复印件；</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2、提供在单位有效的在职证明材料。</w:t>
            </w:r>
          </w:p>
        </w:tc>
        <w:tc>
          <w:tcPr>
            <w:tcW w:w="1698" w:type="dxa"/>
            <w:vMerge w:val="continue"/>
            <w:tcBorders>
              <w:left w:val="single" w:color="auto" w:sz="4" w:space="0"/>
              <w:right w:val="single" w:color="auto" w:sz="4" w:space="0"/>
            </w:tcBorders>
            <w:noWrap w:val="0"/>
            <w:vAlign w:val="center"/>
          </w:tcPr>
          <w:p>
            <w:pPr>
              <w:snapToGrid w:val="0"/>
              <w:spacing w:line="240" w:lineRule="auto"/>
              <w:ind w:firstLine="0" w:firstLineChars="0"/>
              <w:rPr>
                <w:rFonts w:hint="eastAsia" w:ascii="宋体" w:hAnsi="宋体" w:eastAsia="宋体" w:cs="宋体"/>
                <w:color w:val="auto"/>
                <w:kern w:val="2"/>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55"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p>
        </w:tc>
        <w:tc>
          <w:tcPr>
            <w:tcW w:w="1124" w:type="dxa"/>
            <w:vMerge w:val="continue"/>
            <w:tcBorders>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bCs/>
                <w:color w:val="auto"/>
                <w:sz w:val="21"/>
                <w:szCs w:val="21"/>
                <w:highlight w:val="none"/>
              </w:rPr>
            </w:pPr>
          </w:p>
        </w:tc>
        <w:tc>
          <w:tcPr>
            <w:tcW w:w="795" w:type="dxa"/>
            <w:tcBorders>
              <w:top w:val="single" w:color="auto" w:sz="4" w:space="0"/>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维护技术人员配备4分</w:t>
            </w:r>
          </w:p>
        </w:tc>
        <w:tc>
          <w:tcPr>
            <w:tcW w:w="5239" w:type="dxa"/>
            <w:tcBorders>
              <w:top w:val="single" w:color="auto" w:sz="4" w:space="0"/>
              <w:left w:val="single" w:color="auto" w:sz="4" w:space="0"/>
              <w:right w:val="single" w:color="auto" w:sz="4" w:space="0"/>
            </w:tcBorders>
            <w:noWrap w:val="0"/>
            <w:vAlign w:val="center"/>
          </w:tcPr>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投标人为本项目配备的维护人员中的技术人员：</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1、施工员具有上岗证，得0.5分；</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2、安全员具有上岗证，得0.5分；</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3、质量（检）员具有上岗证，得0.5分；</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4、测量员具有上岗证，得0.5分；</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5、试验员具有上岗证，得0.5分；</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6、材料员具有上岗证，得0.5分；</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7、资料员具有上岗证，得0.5分；</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8、劳务员具有上岗证，得0.5分；</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注：1、提供证书复印件；</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2、提供在单位有效的在职证明材料；</w:t>
            </w:r>
          </w:p>
          <w:p>
            <w:pPr>
              <w:snapToGrid w:val="0"/>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3、同一人员不重复得分。</w:t>
            </w:r>
          </w:p>
        </w:tc>
        <w:tc>
          <w:tcPr>
            <w:tcW w:w="1698" w:type="dxa"/>
            <w:vMerge w:val="continue"/>
            <w:tcBorders>
              <w:left w:val="single" w:color="auto" w:sz="4" w:space="0"/>
              <w:bottom w:val="single" w:color="auto" w:sz="4" w:space="0"/>
              <w:right w:val="single" w:color="auto" w:sz="4" w:space="0"/>
            </w:tcBorders>
            <w:noWrap w:val="0"/>
            <w:vAlign w:val="center"/>
          </w:tcPr>
          <w:p>
            <w:pPr>
              <w:snapToGrid w:val="0"/>
              <w:spacing w:line="240" w:lineRule="auto"/>
              <w:ind w:firstLine="0" w:firstLineChars="0"/>
              <w:rPr>
                <w:rFonts w:hint="eastAsia" w:ascii="宋体" w:hAnsi="宋体" w:eastAsia="宋体" w:cs="宋体"/>
                <w:color w:val="auto"/>
                <w:kern w:val="2"/>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555" w:type="dxa"/>
            <w:vMerge w:val="restart"/>
            <w:tcBorders>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1124" w:type="dxa"/>
            <w:vMerge w:val="restart"/>
            <w:tcBorders>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履约能力</w:t>
            </w:r>
          </w:p>
          <w:p>
            <w:pPr>
              <w:snapToGrid w:val="0"/>
              <w:spacing w:line="240" w:lineRule="auto"/>
              <w:ind w:firstLine="0" w:firstLineChars="0"/>
              <w:jc w:val="center"/>
              <w:rPr>
                <w:rFonts w:hint="eastAsia" w:ascii="宋体" w:hAnsi="宋体" w:eastAsia="宋体" w:cs="宋体"/>
                <w:color w:val="auto"/>
                <w:sz w:val="21"/>
                <w:szCs w:val="21"/>
                <w:highlight w:val="none"/>
              </w:rPr>
            </w:pPr>
          </w:p>
        </w:tc>
        <w:tc>
          <w:tcPr>
            <w:tcW w:w="79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业绩</w:t>
            </w:r>
            <w:r>
              <w:rPr>
                <w:rFonts w:hint="eastAsia" w:ascii="宋体" w:hAnsi="宋体" w:eastAsia="宋体" w:cs="宋体"/>
                <w:color w:val="auto"/>
                <w:sz w:val="21"/>
                <w:szCs w:val="21"/>
                <w:highlight w:val="none"/>
              </w:rPr>
              <w:t>12分</w:t>
            </w:r>
          </w:p>
        </w:tc>
        <w:tc>
          <w:tcPr>
            <w:tcW w:w="523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ind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2018年1月1日以来具有</w:t>
            </w:r>
            <w:r>
              <w:rPr>
                <w:rFonts w:hint="eastAsia" w:ascii="宋体" w:hAnsi="宋体" w:eastAsia="宋体" w:cs="宋体"/>
                <w:color w:val="auto"/>
                <w:sz w:val="21"/>
                <w:szCs w:val="21"/>
                <w:highlight w:val="none"/>
              </w:rPr>
              <w:t>交通安全设施维护项目相关业绩</w:t>
            </w:r>
            <w:r>
              <w:rPr>
                <w:rFonts w:hint="eastAsia" w:ascii="宋体" w:hAnsi="宋体" w:eastAsia="宋体" w:cs="宋体"/>
                <w:color w:val="auto"/>
                <w:sz w:val="21"/>
                <w:szCs w:val="21"/>
                <w:highlight w:val="none"/>
                <w:lang w:eastAsia="zh-CN"/>
              </w:rPr>
              <w:t>一个得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分，每增加一个加</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分。最多得</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分。</w:t>
            </w:r>
          </w:p>
          <w:p>
            <w:pPr>
              <w:snapToGrid w:val="0"/>
              <w:spacing w:line="240" w:lineRule="auto"/>
              <w:ind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注：提供中标（成交）通知书和合同复印件</w:t>
            </w:r>
            <w:r>
              <w:rPr>
                <w:rFonts w:hint="eastAsia" w:ascii="宋体" w:hAnsi="宋体" w:eastAsia="宋体" w:cs="宋体"/>
                <w:color w:val="auto"/>
                <w:sz w:val="21"/>
                <w:szCs w:val="21"/>
                <w:highlight w:val="none"/>
                <w:lang w:val="en-US" w:eastAsia="zh-CN"/>
              </w:rPr>
              <w:t>。</w:t>
            </w:r>
          </w:p>
        </w:tc>
        <w:tc>
          <w:tcPr>
            <w:tcW w:w="1698" w:type="dxa"/>
            <w:tcBorders>
              <w:top w:val="single" w:color="auto" w:sz="4" w:space="0"/>
              <w:left w:val="single" w:color="auto" w:sz="4" w:space="0"/>
              <w:bottom w:val="single" w:color="auto" w:sz="4" w:space="0"/>
              <w:right w:val="single" w:color="auto" w:sz="4" w:space="0"/>
            </w:tcBorders>
            <w:noWrap w:val="0"/>
            <w:vAlign w:val="center"/>
          </w:tcPr>
          <w:p>
            <w:pPr>
              <w:pStyle w:val="89"/>
              <w:snapToGrid w:val="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55"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1124" w:type="dxa"/>
            <w:vMerge w:val="continue"/>
            <w:tcBorders>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rPr>
            </w:pPr>
          </w:p>
        </w:tc>
        <w:tc>
          <w:tcPr>
            <w:tcW w:w="795" w:type="dxa"/>
            <w:vMerge w:val="restart"/>
            <w:tcBorders>
              <w:top w:val="single" w:color="auto" w:sz="4" w:space="0"/>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p>
            <w:pPr>
              <w:pStyle w:val="461"/>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设备配置</w:t>
            </w:r>
            <w:r>
              <w:rPr>
                <w:rFonts w:hint="eastAsia" w:ascii="宋体" w:hAnsi="宋体" w:eastAsia="宋体" w:cs="宋体"/>
                <w:color w:val="auto"/>
                <w:kern w:val="0"/>
                <w:sz w:val="21"/>
                <w:szCs w:val="21"/>
                <w:highlight w:val="none"/>
                <w:lang w:val="en-US" w:eastAsia="zh-CN"/>
              </w:rPr>
              <w:t>11分</w:t>
            </w:r>
          </w:p>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5239" w:type="dxa"/>
            <w:tcBorders>
              <w:top w:val="single" w:color="FF0000" w:sz="4" w:space="0"/>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巡查维护工作专用车数量4辆及以上得3分</w:t>
            </w:r>
            <w:r>
              <w:rPr>
                <w:rFonts w:hint="eastAsia" w:ascii="宋体" w:hAnsi="宋体" w:eastAsia="宋体" w:cs="宋体"/>
                <w:color w:val="auto"/>
                <w:kern w:val="0"/>
                <w:sz w:val="21"/>
                <w:szCs w:val="21"/>
                <w:highlight w:val="none"/>
                <w:lang w:eastAsia="zh-CN"/>
              </w:rPr>
              <w:t>。</w:t>
            </w:r>
          </w:p>
          <w:p>
            <w:pPr>
              <w:snapToGrid w:val="0"/>
              <w:spacing w:line="240" w:lineRule="auto"/>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bCs/>
                <w:color w:val="auto"/>
                <w:kern w:val="2"/>
                <w:sz w:val="21"/>
                <w:szCs w:val="21"/>
                <w:highlight w:val="none"/>
                <w:lang w:val="en-US" w:eastAsia="zh-CN"/>
              </w:rPr>
              <w:t>提供检验有效期内的行驶证复印件；自有车辆提供购买发票复印件，租赁车辆提供租赁合同复印件。</w:t>
            </w:r>
          </w:p>
        </w:tc>
        <w:tc>
          <w:tcPr>
            <w:tcW w:w="1698" w:type="dxa"/>
            <w:vMerge w:val="restart"/>
            <w:tcBorders>
              <w:top w:val="single" w:color="auto" w:sz="4" w:space="0"/>
              <w:left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55"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1124" w:type="dxa"/>
            <w:vMerge w:val="continue"/>
            <w:tcBorders>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rPr>
            </w:pPr>
          </w:p>
        </w:tc>
        <w:tc>
          <w:tcPr>
            <w:tcW w:w="795"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5239" w:type="dxa"/>
            <w:tcBorders>
              <w:top w:val="single" w:color="FF0000" w:sz="4" w:space="0"/>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工作货车数量3辆及以上（其中1台须满足货箱长度4米以上）得2分</w:t>
            </w:r>
            <w:r>
              <w:rPr>
                <w:rFonts w:hint="eastAsia" w:ascii="宋体" w:hAnsi="宋体" w:eastAsia="宋体" w:cs="宋体"/>
                <w:color w:val="auto"/>
                <w:kern w:val="0"/>
                <w:sz w:val="21"/>
                <w:szCs w:val="21"/>
                <w:highlight w:val="none"/>
                <w:lang w:eastAsia="zh-CN"/>
              </w:rPr>
              <w:t>。</w:t>
            </w:r>
          </w:p>
          <w:p>
            <w:pPr>
              <w:pStyle w:val="461"/>
              <w:snapToGrid w:val="0"/>
              <w:spacing w:line="240" w:lineRule="auto"/>
              <w:ind w:firstLine="0"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注：提供检验有效期内的行驶证复印件；自有车辆提供购买发票复印件，租赁车辆提供租赁合同复印件。</w:t>
            </w:r>
          </w:p>
        </w:tc>
        <w:tc>
          <w:tcPr>
            <w:tcW w:w="1698"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555"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1124" w:type="dxa"/>
            <w:vMerge w:val="continue"/>
            <w:tcBorders>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rPr>
            </w:pPr>
          </w:p>
        </w:tc>
        <w:tc>
          <w:tcPr>
            <w:tcW w:w="795"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5239" w:type="dxa"/>
            <w:tcBorders>
              <w:top w:val="single" w:color="FF0000" w:sz="4" w:space="0"/>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为本项目至少配备2辆吊车（悬臂高度9米及以上）</w:t>
            </w:r>
            <w:r>
              <w:rPr>
                <w:rFonts w:hint="eastAsia" w:ascii="宋体" w:hAnsi="宋体" w:eastAsia="宋体" w:cs="宋体"/>
                <w:color w:val="auto"/>
                <w:kern w:val="0"/>
                <w:sz w:val="21"/>
                <w:szCs w:val="21"/>
                <w:highlight w:val="none"/>
                <w:lang w:eastAsia="zh-CN"/>
              </w:rPr>
              <w:t>得</w:t>
            </w:r>
            <w:r>
              <w:rPr>
                <w:rFonts w:hint="eastAsia" w:ascii="宋体" w:hAnsi="宋体" w:eastAsia="宋体" w:cs="宋体"/>
                <w:color w:val="auto"/>
                <w:kern w:val="0"/>
                <w:sz w:val="21"/>
                <w:szCs w:val="21"/>
                <w:highlight w:val="none"/>
                <w:lang w:val="en-US" w:eastAsia="zh-CN"/>
              </w:rPr>
              <w:t>2分。</w:t>
            </w:r>
          </w:p>
          <w:p>
            <w:pPr>
              <w:pStyle w:val="461"/>
              <w:snapToGrid w:val="0"/>
              <w:spacing w:line="240" w:lineRule="auto"/>
              <w:ind w:firstLine="0" w:firstLineChars="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注：提供检验有效期内的行驶证复印件；自有车辆提供购买发票复印件，租赁车辆提供租赁合同复印件。</w:t>
            </w:r>
          </w:p>
        </w:tc>
        <w:tc>
          <w:tcPr>
            <w:tcW w:w="1698"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555"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1124" w:type="dxa"/>
            <w:vMerge w:val="continue"/>
            <w:tcBorders>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rPr>
            </w:pPr>
          </w:p>
        </w:tc>
        <w:tc>
          <w:tcPr>
            <w:tcW w:w="795"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5239" w:type="dxa"/>
            <w:tcBorders>
              <w:top w:val="single" w:color="FF0000" w:sz="4" w:space="0"/>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为本项目至少配备2辆高空车（作业高度8米及以上）</w:t>
            </w:r>
            <w:r>
              <w:rPr>
                <w:rFonts w:hint="eastAsia" w:ascii="宋体" w:hAnsi="宋体" w:eastAsia="宋体" w:cs="宋体"/>
                <w:color w:val="auto"/>
                <w:kern w:val="0"/>
                <w:sz w:val="21"/>
                <w:szCs w:val="21"/>
                <w:highlight w:val="none"/>
                <w:lang w:eastAsia="zh-CN"/>
              </w:rPr>
              <w:t>得</w:t>
            </w:r>
            <w:r>
              <w:rPr>
                <w:rFonts w:hint="eastAsia" w:ascii="宋体" w:hAnsi="宋体" w:eastAsia="宋体" w:cs="宋体"/>
                <w:color w:val="auto"/>
                <w:kern w:val="0"/>
                <w:sz w:val="21"/>
                <w:szCs w:val="21"/>
                <w:highlight w:val="none"/>
                <w:lang w:val="en-US" w:eastAsia="zh-CN"/>
              </w:rPr>
              <w:t>2分。</w:t>
            </w:r>
          </w:p>
          <w:p>
            <w:pPr>
              <w:pStyle w:val="461"/>
              <w:snapToGrid w:val="0"/>
              <w:spacing w:line="240" w:lineRule="auto"/>
              <w:ind w:firstLine="0" w:firstLineChars="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注：提供检验有效期内的行驶证复印件；自有车辆提供购买发票复印件，租赁车辆提供租赁合同复印件。</w:t>
            </w:r>
          </w:p>
        </w:tc>
        <w:tc>
          <w:tcPr>
            <w:tcW w:w="1698"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55"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1124" w:type="dxa"/>
            <w:vMerge w:val="continue"/>
            <w:tcBorders>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rPr>
            </w:pPr>
          </w:p>
        </w:tc>
        <w:tc>
          <w:tcPr>
            <w:tcW w:w="795"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5239" w:type="dxa"/>
            <w:tcBorders>
              <w:top w:val="single" w:color="FF0000" w:sz="4" w:space="0"/>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为本项目至少配置1</w:t>
            </w:r>
            <w:r>
              <w:rPr>
                <w:rFonts w:hint="eastAsia" w:ascii="宋体" w:hAnsi="宋体" w:eastAsia="宋体" w:cs="宋体"/>
                <w:color w:val="auto"/>
                <w:kern w:val="0"/>
                <w:sz w:val="21"/>
                <w:szCs w:val="21"/>
                <w:highlight w:val="none"/>
                <w:lang w:eastAsia="zh-CN"/>
              </w:rPr>
              <w:t>辆隔离栏自动保洁车得</w:t>
            </w:r>
            <w:r>
              <w:rPr>
                <w:rFonts w:hint="eastAsia" w:ascii="宋体" w:hAnsi="宋体" w:eastAsia="宋体" w:cs="宋体"/>
                <w:color w:val="auto"/>
                <w:kern w:val="0"/>
                <w:sz w:val="21"/>
                <w:szCs w:val="21"/>
                <w:highlight w:val="none"/>
                <w:lang w:val="en-US" w:eastAsia="zh-CN"/>
              </w:rPr>
              <w:t>1分。</w:t>
            </w:r>
          </w:p>
          <w:p>
            <w:pPr>
              <w:pStyle w:val="461"/>
              <w:snapToGrid w:val="0"/>
              <w:spacing w:line="240" w:lineRule="auto"/>
              <w:ind w:firstLine="0"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注：提供检验有效期内的行驶证复印件；自有车辆提供购买发票复印件，租赁车辆提供租赁合同复印件。</w:t>
            </w:r>
          </w:p>
        </w:tc>
        <w:tc>
          <w:tcPr>
            <w:tcW w:w="1698"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555"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1124" w:type="dxa"/>
            <w:vMerge w:val="continue"/>
            <w:tcBorders>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rPr>
            </w:pPr>
          </w:p>
        </w:tc>
        <w:tc>
          <w:tcPr>
            <w:tcW w:w="795" w:type="dxa"/>
            <w:vMerge w:val="continue"/>
            <w:tcBorders>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5239" w:type="dxa"/>
            <w:tcBorders>
              <w:top w:val="single" w:color="FF0000" w:sz="4" w:space="0"/>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为本项目至少配置1</w:t>
            </w:r>
            <w:r>
              <w:rPr>
                <w:rFonts w:hint="eastAsia" w:ascii="宋体" w:hAnsi="宋体" w:eastAsia="宋体" w:cs="宋体"/>
                <w:color w:val="auto"/>
                <w:kern w:val="0"/>
                <w:sz w:val="21"/>
                <w:szCs w:val="21"/>
                <w:highlight w:val="none"/>
                <w:lang w:eastAsia="zh-CN"/>
              </w:rPr>
              <w:t>辆高压水除线机得</w:t>
            </w:r>
            <w:r>
              <w:rPr>
                <w:rFonts w:hint="eastAsia" w:ascii="宋体" w:hAnsi="宋体" w:eastAsia="宋体" w:cs="宋体"/>
                <w:color w:val="auto"/>
                <w:kern w:val="0"/>
                <w:sz w:val="21"/>
                <w:szCs w:val="21"/>
                <w:highlight w:val="none"/>
                <w:lang w:val="en-US" w:eastAsia="zh-CN"/>
              </w:rPr>
              <w:t>1分</w:t>
            </w:r>
            <w:r>
              <w:rPr>
                <w:rFonts w:hint="eastAsia" w:ascii="宋体" w:hAnsi="宋体" w:eastAsia="宋体" w:cs="宋体"/>
                <w:color w:val="auto"/>
                <w:kern w:val="0"/>
                <w:sz w:val="21"/>
                <w:szCs w:val="21"/>
                <w:highlight w:val="none"/>
                <w:lang w:eastAsia="zh-CN"/>
              </w:rPr>
              <w:t>。</w:t>
            </w:r>
          </w:p>
          <w:p>
            <w:pPr>
              <w:pStyle w:val="461"/>
              <w:snapToGrid w:val="0"/>
              <w:spacing w:line="240" w:lineRule="auto"/>
              <w:ind w:firstLine="0"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注：提供检验有效期内的行驶证复印件；自有车辆提供购买发票复印件，租赁车辆提供租赁合同复印件。</w:t>
            </w:r>
          </w:p>
        </w:tc>
        <w:tc>
          <w:tcPr>
            <w:tcW w:w="1698" w:type="dxa"/>
            <w:vMerge w:val="continue"/>
            <w:tcBorders>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555" w:type="dxa"/>
            <w:vMerge w:val="continue"/>
            <w:tcBorders>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1124" w:type="dxa"/>
            <w:vMerge w:val="continue"/>
            <w:tcBorders>
              <w:left w:val="single" w:color="auto" w:sz="4" w:space="0"/>
              <w:right w:val="single" w:color="auto" w:sz="4" w:space="0"/>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p>
        </w:tc>
        <w:tc>
          <w:tcPr>
            <w:tcW w:w="79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企业能力6</w:t>
            </w:r>
            <w:r>
              <w:rPr>
                <w:rFonts w:hint="eastAsia" w:ascii="宋体" w:hAnsi="宋体" w:eastAsia="宋体" w:cs="宋体"/>
                <w:color w:val="auto"/>
                <w:sz w:val="21"/>
                <w:szCs w:val="21"/>
                <w:highlight w:val="none"/>
              </w:rPr>
              <w:t>分</w:t>
            </w:r>
          </w:p>
        </w:tc>
        <w:tc>
          <w:tcPr>
            <w:tcW w:w="5239" w:type="dxa"/>
            <w:tcBorders>
              <w:top w:val="single" w:color="FF0000"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投标人具有</w:t>
            </w:r>
            <w:r>
              <w:rPr>
                <w:rFonts w:hint="eastAsia" w:ascii="宋体" w:hAnsi="宋体" w:eastAsia="宋体" w:cs="宋体"/>
                <w:color w:val="auto"/>
                <w:sz w:val="21"/>
                <w:szCs w:val="21"/>
                <w:highlight w:val="none"/>
                <w:lang w:eastAsia="zh-CN"/>
              </w:rPr>
              <w:t>有效的</w:t>
            </w:r>
            <w:r>
              <w:rPr>
                <w:rFonts w:hint="eastAsia" w:ascii="宋体" w:hAnsi="宋体" w:eastAsia="宋体" w:cs="宋体"/>
                <w:color w:val="auto"/>
                <w:sz w:val="21"/>
                <w:szCs w:val="21"/>
                <w:highlight w:val="none"/>
              </w:rPr>
              <w:t>质量管理体系认证证书，得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投标人具有</w:t>
            </w:r>
            <w:r>
              <w:rPr>
                <w:rFonts w:hint="eastAsia" w:ascii="宋体" w:hAnsi="宋体" w:eastAsia="宋体" w:cs="宋体"/>
                <w:color w:val="auto"/>
                <w:sz w:val="21"/>
                <w:szCs w:val="21"/>
                <w:highlight w:val="none"/>
                <w:lang w:eastAsia="zh-CN"/>
              </w:rPr>
              <w:t>有效的</w:t>
            </w:r>
            <w:r>
              <w:rPr>
                <w:rFonts w:hint="eastAsia" w:ascii="宋体" w:hAnsi="宋体" w:eastAsia="宋体" w:cs="宋体"/>
                <w:color w:val="auto"/>
                <w:sz w:val="21"/>
                <w:szCs w:val="21"/>
                <w:highlight w:val="none"/>
              </w:rPr>
              <w:t>职业健康安全管理体系认证证书，得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投标人具有</w:t>
            </w:r>
            <w:r>
              <w:rPr>
                <w:rFonts w:hint="eastAsia" w:ascii="宋体" w:hAnsi="宋体" w:eastAsia="宋体" w:cs="宋体"/>
                <w:color w:val="auto"/>
                <w:sz w:val="21"/>
                <w:szCs w:val="21"/>
                <w:highlight w:val="none"/>
                <w:lang w:eastAsia="zh-CN"/>
              </w:rPr>
              <w:t>有效的</w:t>
            </w:r>
            <w:r>
              <w:rPr>
                <w:rFonts w:hint="eastAsia" w:ascii="宋体" w:hAnsi="宋体" w:eastAsia="宋体" w:cs="宋体"/>
                <w:color w:val="auto"/>
                <w:sz w:val="21"/>
                <w:szCs w:val="21"/>
                <w:highlight w:val="none"/>
              </w:rPr>
              <w:t>环境管理体系认证证书，得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adjustRightInd w:val="0"/>
              <w:snapToGrid w:val="0"/>
              <w:spacing w:line="240" w:lineRule="auto"/>
              <w:ind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eastAsia="zh-CN"/>
              </w:rPr>
              <w:t>注：提供证书复印件</w:t>
            </w:r>
            <w:r>
              <w:rPr>
                <w:rFonts w:hint="eastAsia" w:ascii="宋体" w:hAnsi="宋体" w:eastAsia="宋体" w:cs="宋体"/>
                <w:color w:val="auto"/>
                <w:sz w:val="21"/>
                <w:szCs w:val="21"/>
                <w:highlight w:val="none"/>
                <w:lang w:val="en-US" w:eastAsia="zh-CN"/>
              </w:rPr>
              <w:t>。</w:t>
            </w:r>
          </w:p>
        </w:tc>
        <w:tc>
          <w:tcPr>
            <w:tcW w:w="1698" w:type="dxa"/>
            <w:tcBorders>
              <w:top w:val="single" w:color="auto" w:sz="4" w:space="0"/>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555" w:type="dxa"/>
            <w:tcBorders>
              <w:top w:val="single" w:color="auto" w:sz="4" w:space="0"/>
              <w:left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w:t>
            </w:r>
          </w:p>
        </w:tc>
        <w:tc>
          <w:tcPr>
            <w:tcW w:w="1124" w:type="dxa"/>
            <w:tcBorders>
              <w:top w:val="single" w:color="auto" w:sz="4" w:space="0"/>
              <w:left w:val="single" w:color="auto" w:sz="4" w:space="0"/>
              <w:right w:val="single" w:color="auto" w:sz="4" w:space="0"/>
            </w:tcBorders>
            <w:noWrap w:val="0"/>
            <w:vAlign w:val="center"/>
          </w:tcPr>
          <w:p>
            <w:pPr>
              <w:snapToGrid w:val="0"/>
              <w:spacing w:line="240" w:lineRule="auto"/>
              <w:ind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项目实施方案</w:t>
            </w:r>
          </w:p>
        </w:tc>
        <w:tc>
          <w:tcPr>
            <w:tcW w:w="795" w:type="dxa"/>
            <w:tcBorders>
              <w:top w:val="single" w:color="auto" w:sz="4" w:space="0"/>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28分</w:t>
            </w:r>
          </w:p>
        </w:tc>
        <w:tc>
          <w:tcPr>
            <w:tcW w:w="5239" w:type="dxa"/>
            <w:tcBorders>
              <w:top w:val="single" w:color="FF0000" w:sz="4" w:space="0"/>
              <w:left w:val="single" w:color="auto" w:sz="4" w:space="0"/>
              <w:bottom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eastAsia="zh-CN"/>
              </w:rPr>
              <w:t>根据投标人提供的项目实施方案，包括但不限于①管理服务理念、②交通信号灯维护方案</w:t>
            </w:r>
            <w:r>
              <w:rPr>
                <w:rFonts w:hint="eastAsia" w:ascii="宋体" w:hAnsi="宋体" w:eastAsia="宋体" w:cs="宋体"/>
                <w:color w:val="auto"/>
                <w:kern w:val="0"/>
                <w:sz w:val="21"/>
                <w:szCs w:val="21"/>
                <w:highlight w:val="none"/>
                <w:lang w:eastAsia="zh-CN"/>
              </w:rPr>
              <w:t>、③交通标志维护方案、④</w:t>
            </w:r>
            <w:r>
              <w:rPr>
                <w:rFonts w:hint="eastAsia" w:ascii="宋体" w:hAnsi="宋体" w:eastAsia="宋体" w:cs="宋体"/>
                <w:color w:val="auto"/>
                <w:kern w:val="0"/>
                <w:sz w:val="21"/>
                <w:szCs w:val="21"/>
                <w:highlight w:val="none"/>
              </w:rPr>
              <w:t>交通标线维护方案</w:t>
            </w:r>
            <w:r>
              <w:rPr>
                <w:rFonts w:hint="eastAsia" w:ascii="宋体" w:hAnsi="宋体" w:eastAsia="宋体" w:cs="宋体"/>
                <w:color w:val="auto"/>
                <w:sz w:val="21"/>
                <w:szCs w:val="21"/>
                <w:highlight w:val="none"/>
                <w:lang w:eastAsia="zh-CN"/>
              </w:rPr>
              <w:t>、⑤隔离护栏、隔离桩维护方案、⑥</w:t>
            </w:r>
            <w:r>
              <w:rPr>
                <w:rFonts w:hint="eastAsia" w:ascii="宋体" w:hAnsi="宋体" w:eastAsia="宋体" w:cs="宋体"/>
                <w:color w:val="auto"/>
                <w:kern w:val="0"/>
                <w:sz w:val="21"/>
                <w:szCs w:val="21"/>
                <w:highlight w:val="none"/>
              </w:rPr>
              <w:t>抢修维护工作方案</w:t>
            </w:r>
            <w:r>
              <w:rPr>
                <w:rFonts w:hint="eastAsia" w:ascii="宋体" w:hAnsi="宋体" w:eastAsia="宋体" w:cs="宋体"/>
                <w:color w:val="auto"/>
                <w:kern w:val="0"/>
                <w:sz w:val="21"/>
                <w:szCs w:val="21"/>
                <w:highlight w:val="none"/>
                <w:lang w:eastAsia="zh-CN"/>
              </w:rPr>
              <w:t>、⑦涉及重大活动、重要交办任务等提出特约服务方案</w:t>
            </w:r>
            <w:r>
              <w:rPr>
                <w:rFonts w:hint="eastAsia" w:ascii="宋体" w:hAnsi="宋体" w:eastAsia="宋体" w:cs="宋体"/>
                <w:color w:val="auto"/>
                <w:sz w:val="21"/>
                <w:szCs w:val="21"/>
                <w:highlight w:val="none"/>
                <w:lang w:eastAsia="zh-CN"/>
              </w:rPr>
              <w:t>进行综合评审；提供了以上七个方面的每项得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分；每有一项存在①内容</w:t>
            </w:r>
            <w:r>
              <w:rPr>
                <w:rFonts w:hint="eastAsia" w:ascii="宋体" w:hAnsi="宋体" w:cs="宋体"/>
                <w:color w:val="auto"/>
                <w:sz w:val="21"/>
                <w:szCs w:val="21"/>
                <w:highlight w:val="none"/>
                <w:lang w:val="en-US" w:eastAsia="zh-CN"/>
              </w:rPr>
              <w:t>完整</w:t>
            </w:r>
            <w:r>
              <w:rPr>
                <w:rFonts w:hint="eastAsia" w:ascii="宋体" w:hAnsi="宋体" w:eastAsia="宋体" w:cs="宋体"/>
                <w:color w:val="auto"/>
                <w:sz w:val="21"/>
                <w:szCs w:val="21"/>
                <w:highlight w:val="none"/>
                <w:lang w:eastAsia="zh-CN"/>
              </w:rPr>
              <w:t>②描述不清晰③有错误/逻辑混乱/有缺陷/有瑕疵④和本项目要求不一致的扣</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分，直至扣完为止，未提供的不得分。（本项最多得</w:t>
            </w:r>
            <w:r>
              <w:rPr>
                <w:rFonts w:hint="eastAsia" w:ascii="宋体" w:hAnsi="宋体" w:eastAsia="宋体" w:cs="宋体"/>
                <w:color w:val="auto"/>
                <w:sz w:val="21"/>
                <w:szCs w:val="21"/>
                <w:highlight w:val="none"/>
                <w:lang w:val="en-US" w:eastAsia="zh-CN"/>
              </w:rPr>
              <w:t>28</w:t>
            </w:r>
            <w:r>
              <w:rPr>
                <w:rFonts w:hint="eastAsia" w:ascii="宋体" w:hAnsi="宋体" w:eastAsia="宋体" w:cs="宋体"/>
                <w:color w:val="auto"/>
                <w:sz w:val="21"/>
                <w:szCs w:val="21"/>
                <w:highlight w:val="none"/>
                <w:lang w:eastAsia="zh-CN"/>
              </w:rPr>
              <w:t>分）。</w:t>
            </w:r>
          </w:p>
        </w:tc>
        <w:tc>
          <w:tcPr>
            <w:tcW w:w="1698" w:type="dxa"/>
            <w:tcBorders>
              <w:top w:val="single" w:color="auto" w:sz="4" w:space="0"/>
              <w:left w:val="single" w:color="auto" w:sz="4" w:space="0"/>
              <w:right w:val="single" w:color="auto" w:sz="4" w:space="0"/>
            </w:tcBorders>
            <w:noWrap w:val="0"/>
            <w:vAlign w:val="center"/>
          </w:tcPr>
          <w:p>
            <w:pPr>
              <w:pStyle w:val="461"/>
              <w:snapToGrid w:val="0"/>
              <w:spacing w:line="240" w:lineRule="auto"/>
              <w:ind w:firstLine="0"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技术类评分因素</w:t>
            </w:r>
          </w:p>
        </w:tc>
      </w:tr>
    </w:tbl>
    <w:p>
      <w:pPr>
        <w:pStyle w:val="23"/>
        <w:tabs>
          <w:tab w:val="left" w:pos="600"/>
        </w:tabs>
        <w:snapToGrid w:val="0"/>
        <w:spacing w:line="240" w:lineRule="auto"/>
        <w:ind w:firstLine="422"/>
        <w:rPr>
          <w:rFonts w:hint="eastAsia" w:ascii="宋体" w:hAnsi="宋体" w:eastAsia="宋体" w:cs="宋体"/>
          <w:b/>
          <w:color w:val="auto"/>
          <w:sz w:val="21"/>
          <w:szCs w:val="21"/>
          <w:highlight w:val="none"/>
        </w:rPr>
      </w:pPr>
    </w:p>
    <w:p>
      <w:pPr>
        <w:rPr>
          <w:rFonts w:hint="eastAsia" w:ascii="宋体" w:hAnsi="宋体" w:eastAsia="宋体" w:cs="宋体"/>
          <w:b/>
          <w:bCs/>
          <w:color w:val="auto"/>
        </w:rPr>
      </w:pPr>
      <w:r>
        <w:rPr>
          <w:rFonts w:hint="eastAsia" w:ascii="宋体" w:hAnsi="宋体" w:eastAsia="宋体" w:cs="宋体"/>
          <w:b/>
          <w:bCs/>
          <w:color w:val="auto"/>
        </w:rPr>
        <w:t>注：</w:t>
      </w:r>
      <w:r>
        <w:rPr>
          <w:rFonts w:hint="eastAsia" w:ascii="宋体" w:hAnsi="宋体" w:eastAsia="宋体" w:cs="宋体"/>
          <w:b/>
          <w:bCs/>
          <w:color w:val="auto"/>
          <w:lang w:val="en-US" w:eastAsia="zh-CN"/>
        </w:rPr>
        <w:t>1.</w:t>
      </w:r>
      <w:r>
        <w:rPr>
          <w:rFonts w:hint="eastAsia" w:ascii="宋体" w:hAnsi="宋体" w:eastAsia="宋体" w:cs="宋体"/>
          <w:b/>
          <w:bCs/>
          <w:color w:val="auto"/>
        </w:rPr>
        <w:t>评分的取值按四舍五入法，保留小数点后两位。2.评分标准中要求提供复印件的证明材料须清晰可辨。</w:t>
      </w:r>
    </w:p>
    <w:p>
      <w:pPr>
        <w:spacing w:after="163" w:afterLines="50" w:line="360" w:lineRule="auto"/>
        <w:ind w:firstLine="480" w:firstLineChars="200"/>
        <w:rPr>
          <w:rFonts w:hint="eastAsia" w:ascii="宋体" w:hAnsi="宋体" w:eastAsia="宋体" w:cs="宋体"/>
          <w:color w:val="auto"/>
          <w:sz w:val="24"/>
        </w:rPr>
      </w:pPr>
      <w:bookmarkStart w:id="957" w:name="_Toc217446059"/>
      <w:r>
        <w:rPr>
          <w:rFonts w:hint="eastAsia" w:ascii="宋体" w:hAnsi="宋体" w:eastAsia="宋体" w:cs="宋体"/>
          <w:color w:val="auto"/>
          <w:sz w:val="24"/>
        </w:rPr>
        <w:t xml:space="preserve">4.3.3本次综合评分法由评标委员会各成员独立对通过初审（资格检查和符合性检查）的投标人的投标文件进行评审和打分，    </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评标得分＝（A1＋A2＋……＋An）/NA＋（B1＋B2＋……＋Bn）/ NB＋（C1＋C2＋……＋Cn）/ NC＋（D1＋D2＋……＋Dn）/ ND</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分别为评审委员会每个成员的打分（共同评分类），ND为评标委员会人数。</w:t>
      </w:r>
    </w:p>
    <w:bookmarkEnd w:id="957"/>
    <w:p>
      <w:pPr>
        <w:pStyle w:val="4"/>
        <w:spacing w:before="120" w:after="20" w:line="360" w:lineRule="auto"/>
        <w:rPr>
          <w:rFonts w:hint="eastAsia" w:ascii="宋体" w:hAnsi="宋体" w:eastAsia="宋体" w:cs="宋体"/>
          <w:color w:val="auto"/>
          <w:sz w:val="24"/>
        </w:rPr>
      </w:pPr>
      <w:bookmarkStart w:id="958" w:name="_Toc217446060"/>
      <w:r>
        <w:rPr>
          <w:rFonts w:hint="eastAsia" w:ascii="宋体" w:hAnsi="宋体" w:eastAsia="宋体" w:cs="宋体"/>
          <w:color w:val="auto"/>
          <w:sz w:val="24"/>
        </w:rPr>
        <w:t>5</w:t>
      </w:r>
      <w:r>
        <w:rPr>
          <w:rFonts w:hint="eastAsia" w:ascii="宋体" w:hAnsi="宋体" w:eastAsia="宋体" w:cs="宋体"/>
          <w:color w:val="auto"/>
          <w:sz w:val="24"/>
          <w:lang w:eastAsia="zh-CN"/>
        </w:rPr>
        <w:t>.</w:t>
      </w:r>
      <w:r>
        <w:rPr>
          <w:rFonts w:hint="eastAsia" w:ascii="宋体" w:hAnsi="宋体" w:eastAsia="宋体" w:cs="宋体"/>
          <w:color w:val="auto"/>
          <w:sz w:val="24"/>
        </w:rPr>
        <w:t>废标</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5.1 本次政府采购活动中，出现下列情形之一的，予以废标：</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各个包件</w:t>
      </w:r>
      <w:r>
        <w:rPr>
          <w:rFonts w:hint="eastAsia" w:ascii="宋体" w:hAnsi="宋体" w:eastAsia="宋体" w:cs="宋体"/>
          <w:color w:val="auto"/>
          <w:sz w:val="24"/>
        </w:rPr>
        <w:t>符合专业条件的投标人或者对招标文件作实质响应的投标人不足三家的；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（2）出现影响采购公正的违法、违规行为的；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color w:val="auto"/>
          <w:sz w:val="24"/>
          <w:lang w:val="en-US" w:eastAsia="zh-CN"/>
        </w:rPr>
        <w:t>各个包件</w:t>
      </w:r>
      <w:r>
        <w:rPr>
          <w:rFonts w:hint="eastAsia" w:ascii="宋体" w:hAnsi="宋体" w:eastAsia="宋体" w:cs="宋体"/>
          <w:color w:val="auto"/>
          <w:sz w:val="24"/>
        </w:rPr>
        <w:t>投标人的报价均超过了采购预算，招标人不能支付的；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（4）因重大变故，采购任务取消的。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废标后，招标代理机构应在四川政府采购网上公告，并公告废标的情形。投标人需要知晓导致废标情形的具体原因和理由的，可以通过书面形式询问招标采购单位。</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5.2 对于评标过程中废标的采购项目，评标委员会应当对招标文件是否存在倾向性和歧视性、是否存在不合理条款进行论证，并出具书面论证意见。</w:t>
      </w:r>
    </w:p>
    <w:p>
      <w:pPr>
        <w:pStyle w:val="4"/>
        <w:spacing w:before="120" w:after="20" w:line="360" w:lineRule="auto"/>
        <w:rPr>
          <w:rFonts w:hint="eastAsia" w:ascii="宋体" w:hAnsi="宋体" w:eastAsia="宋体" w:cs="宋体"/>
          <w:color w:val="auto"/>
          <w:sz w:val="24"/>
        </w:rPr>
      </w:pPr>
      <w:r>
        <w:rPr>
          <w:rFonts w:hint="eastAsia" w:ascii="宋体" w:hAnsi="宋体" w:eastAsia="宋体" w:cs="宋体"/>
          <w:color w:val="auto"/>
          <w:sz w:val="24"/>
        </w:rPr>
        <w:t>6</w:t>
      </w:r>
      <w:r>
        <w:rPr>
          <w:rFonts w:hint="eastAsia" w:ascii="宋体" w:hAnsi="宋体" w:eastAsia="宋体" w:cs="宋体"/>
          <w:color w:val="auto"/>
          <w:sz w:val="24"/>
          <w:lang w:eastAsia="zh-CN"/>
        </w:rPr>
        <w:t>.</w:t>
      </w:r>
      <w:r>
        <w:rPr>
          <w:rFonts w:hint="eastAsia" w:ascii="宋体" w:hAnsi="宋体" w:eastAsia="宋体" w:cs="宋体"/>
          <w:color w:val="auto"/>
          <w:sz w:val="24"/>
        </w:rPr>
        <w:t>定标</w:t>
      </w:r>
      <w:bookmarkEnd w:id="958"/>
      <w:bookmarkStart w:id="959" w:name="_Toc217446061"/>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6.1 定标原则</w:t>
      </w:r>
      <w:bookmarkEnd w:id="959"/>
      <w:r>
        <w:rPr>
          <w:rFonts w:hint="eastAsia" w:ascii="宋体" w:hAnsi="宋体" w:eastAsia="宋体" w:cs="宋体"/>
          <w:color w:val="auto"/>
          <w:sz w:val="24"/>
        </w:rPr>
        <w:t>：本项目根据评标委员会推荐的中标候选人名单，按排名顺序确定各包中标投标人。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说明：投标人可参与每个包号投标，但中标包数不得超过1个。如投标人按自然包号顺序已确定为第一中标候选人，则后面参与包号不得再参与评审。</w:t>
      </w:r>
    </w:p>
    <w:p>
      <w:pPr>
        <w:spacing w:after="163" w:afterLines="50" w:line="360" w:lineRule="auto"/>
        <w:ind w:firstLine="480" w:firstLineChars="200"/>
        <w:rPr>
          <w:rFonts w:hint="eastAsia" w:ascii="宋体" w:hAnsi="宋体" w:eastAsia="宋体" w:cs="宋体"/>
          <w:color w:val="auto"/>
          <w:sz w:val="24"/>
        </w:rPr>
      </w:pPr>
      <w:bookmarkStart w:id="960" w:name="_Toc217446062"/>
      <w:r>
        <w:rPr>
          <w:rFonts w:hint="eastAsia" w:ascii="宋体" w:hAnsi="宋体" w:eastAsia="宋体" w:cs="宋体"/>
          <w:color w:val="auto"/>
          <w:sz w:val="24"/>
        </w:rPr>
        <w:t>6.2 定标程序</w:t>
      </w:r>
      <w:bookmarkEnd w:id="960"/>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6.2.1 评标委员会将评标情况写出书面报告，推荐中标候选人。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6.2.2 招标代理机构在评标结束后2个工作日内将评标报告送招标人。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6.2.3 招标人在收到评标报告后5个工作日内，按照评标报告中推荐的中标候选人顺序确定中标投标人。中标候选人并列的，由招标人或者招标人委托评标委员会按照招标文件规定的方式确定中标人；招标文件未规定的，采取随机抽取的方式确定。招标人在收到评标报告5个工作日内未按评标报告推荐的中标候选人顺序确定中标人，又不能说明合法理由的，视同按评标报告推荐的顺序确定中标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6.2.4 根据招标人确定的中标投标人，招标代理机构在四川政府采购网上发布中标公告，并自招标人确定中标之日起2个工作日内向中标投标人发出中标通知书。</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6.2.5 招标采购单位不退回投标人投标文件和其他投标资料。</w:t>
      </w:r>
    </w:p>
    <w:bookmarkEnd w:id="956"/>
    <w:p>
      <w:pPr>
        <w:pStyle w:val="4"/>
        <w:rPr>
          <w:rFonts w:hint="eastAsia" w:ascii="宋体" w:hAnsi="宋体" w:eastAsia="宋体" w:cs="宋体"/>
          <w:color w:val="auto"/>
          <w:sz w:val="24"/>
        </w:rPr>
      </w:pPr>
      <w:bookmarkStart w:id="961" w:name="_Toc208849022"/>
      <w:bookmarkStart w:id="962" w:name="_Toc217446105"/>
      <w:bookmarkStart w:id="963" w:name="_Toc183582297"/>
      <w:bookmarkStart w:id="964" w:name="_Toc183682432"/>
      <w:r>
        <w:rPr>
          <w:rFonts w:hint="eastAsia" w:ascii="宋体" w:hAnsi="宋体" w:eastAsia="宋体" w:cs="宋体"/>
          <w:color w:val="auto"/>
          <w:sz w:val="24"/>
        </w:rPr>
        <w:t>7</w:t>
      </w:r>
      <w:bookmarkEnd w:id="961"/>
      <w:bookmarkEnd w:id="962"/>
      <w:bookmarkEnd w:id="963"/>
      <w:bookmarkEnd w:id="964"/>
      <w:r>
        <w:rPr>
          <w:rFonts w:hint="eastAsia" w:ascii="宋体" w:hAnsi="宋体" w:eastAsia="宋体" w:cs="宋体"/>
          <w:color w:val="auto"/>
          <w:sz w:val="24"/>
          <w:lang w:eastAsia="zh-CN"/>
        </w:rPr>
        <w:t>.</w:t>
      </w:r>
      <w:r>
        <w:rPr>
          <w:rFonts w:hint="eastAsia" w:ascii="宋体" w:hAnsi="宋体" w:eastAsia="宋体" w:cs="宋体"/>
          <w:color w:val="auto"/>
          <w:sz w:val="24"/>
        </w:rPr>
        <w:t>评标专家在政府采购活动中承担以下义务：</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（1）遵守评审工作纪律；</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（2）按照客观、公正、审慎的原则，根据采购文件规定的评审程序、评审方法和评审标准进行独立评审；</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（3）不得泄露评审文件、评审情况和在评审过程中获悉的商业秘密；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（4）及时向监督部门报告评审过程中采购组织单位向评审专家做倾向性、误导性的解释或者说明，投标人行贿、提供虚假材料或者串通、受到的非法干预情况等违法违规行为；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（5）发现采购文件内容违反国家有关强制性规定或者存在歧义、重大缺陷导致评审工作无法进行时，停止评审并向采购组织单位书面说明情况；</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（6）配合答复处理投标人的询问、质疑和投诉等事项；</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（7）法律、法规和规章规定的其他义务。</w:t>
      </w:r>
    </w:p>
    <w:p>
      <w:pPr>
        <w:pStyle w:val="4"/>
        <w:rPr>
          <w:rFonts w:hint="eastAsia" w:ascii="宋体" w:hAnsi="宋体" w:eastAsia="宋体" w:cs="宋体"/>
          <w:color w:val="auto"/>
          <w:sz w:val="24"/>
        </w:rPr>
      </w:pPr>
      <w:r>
        <w:rPr>
          <w:rFonts w:hint="eastAsia" w:ascii="宋体" w:hAnsi="宋体" w:eastAsia="宋体" w:cs="宋体"/>
          <w:color w:val="auto"/>
          <w:sz w:val="24"/>
        </w:rPr>
        <w:t>8</w:t>
      </w:r>
      <w:r>
        <w:rPr>
          <w:rFonts w:hint="eastAsia" w:ascii="宋体" w:hAnsi="宋体" w:eastAsia="宋体" w:cs="宋体"/>
          <w:color w:val="auto"/>
          <w:sz w:val="24"/>
          <w:lang w:eastAsia="zh-CN"/>
        </w:rPr>
        <w:t>.</w:t>
      </w:r>
      <w:r>
        <w:rPr>
          <w:rFonts w:hint="eastAsia" w:ascii="宋体" w:hAnsi="宋体" w:eastAsia="宋体" w:cs="宋体"/>
          <w:color w:val="auto"/>
          <w:sz w:val="24"/>
        </w:rPr>
        <w:t>评标专家在政府采购活动中应当遵守以下工作纪律：</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（1）遵行《政府采购法》第十二条和《政府采购法实施条例》第九条及财政部关于回避的规定。</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（2）评标前，应当将通讯工具或者相关电子设备交由招标采购单位统一保管。</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（3）评标过程中，不得与外界联系，因发生不可预见情况，确实需要与外界联系的，应当在监督人员监督之下办理。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评标过程中，不得干预或者影响正常评标工作，不得发表倾向性、引导性意见，不得修改或细化招标文件确定的评标程序、评标方法、评标因素和评标标准，不得接受投标人主动提出的澄清和解释，不得征询招标人代表的意见，不得协商评分，不得违反规定的评标格式评分和撰写评标意见，不得拒绝对自己的评标意见签字确认。</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（5）在评标过程中和评标结束后，不得记录、复制或带走任何评标资料，除因规定的义务外，不得向外界透露评标内容。</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（6）服从评标现场招标采购单位的现场秩序管理，接受评标现场监督人员的合法监督。</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（7）遵守有关廉洁自律规定，不得私下接触投标人，不得收受投标人及有关业务单位和个人的财物或好处，不得接受采购组织单位的请托。</w:t>
      </w:r>
    </w:p>
    <w:p>
      <w:pPr>
        <w:pStyle w:val="3"/>
        <w:spacing w:before="0" w:after="0" w:line="360" w:lineRule="auto"/>
        <w:jc w:val="center"/>
        <w:rPr>
          <w:rFonts w:hint="eastAsia" w:ascii="宋体" w:hAnsi="宋体" w:eastAsia="宋体" w:cs="宋体"/>
          <w:color w:val="auto"/>
          <w:sz w:val="32"/>
          <w:szCs w:val="32"/>
          <w:lang w:val="en-US" w:eastAsia="zh-CN"/>
        </w:rPr>
      </w:pPr>
      <w:bookmarkStart w:id="965" w:name="_Toc12187"/>
      <w:bookmarkStart w:id="966" w:name="_Toc7403"/>
      <w:bookmarkStart w:id="967" w:name="_Toc29410"/>
      <w:bookmarkStart w:id="968" w:name="_Toc9840"/>
      <w:bookmarkStart w:id="969" w:name="_Toc470509911"/>
      <w:bookmarkStart w:id="970" w:name="_Toc7343"/>
      <w:bookmarkStart w:id="971" w:name="_Toc8892"/>
      <w:bookmarkStart w:id="972" w:name="_Toc6290"/>
      <w:r>
        <w:rPr>
          <w:rFonts w:hint="eastAsia" w:ascii="宋体" w:hAnsi="宋体" w:eastAsia="宋体" w:cs="宋体"/>
          <w:color w:val="auto"/>
        </w:rPr>
        <w:br w:type="page"/>
      </w:r>
      <w:bookmarkStart w:id="973" w:name="_Toc31745"/>
      <w:bookmarkStart w:id="974" w:name="_Toc28322"/>
      <w:bookmarkStart w:id="975" w:name="_Toc19229"/>
      <w:r>
        <w:rPr>
          <w:rFonts w:hint="eastAsia" w:ascii="宋体" w:hAnsi="宋体" w:eastAsia="宋体" w:cs="宋体"/>
          <w:color w:val="auto"/>
          <w:sz w:val="32"/>
          <w:szCs w:val="32"/>
        </w:rPr>
        <w:t>第八章  政府采购合同</w:t>
      </w:r>
      <w:bookmarkEnd w:id="965"/>
      <w:bookmarkEnd w:id="966"/>
      <w:bookmarkEnd w:id="967"/>
      <w:bookmarkEnd w:id="968"/>
      <w:bookmarkEnd w:id="969"/>
      <w:bookmarkEnd w:id="970"/>
      <w:bookmarkEnd w:id="971"/>
      <w:bookmarkEnd w:id="972"/>
      <w:bookmarkEnd w:id="973"/>
      <w:bookmarkEnd w:id="974"/>
      <w:bookmarkEnd w:id="975"/>
      <w:r>
        <w:rPr>
          <w:rFonts w:hint="eastAsia" w:ascii="宋体" w:hAnsi="宋体" w:eastAsia="宋体" w:cs="宋体"/>
          <w:color w:val="auto"/>
          <w:sz w:val="32"/>
          <w:szCs w:val="32"/>
          <w:lang w:val="en-US" w:eastAsia="zh-CN"/>
        </w:rPr>
        <w:t xml:space="preserve"> </w:t>
      </w:r>
    </w:p>
    <w:p>
      <w:pPr>
        <w:snapToGrid w:val="0"/>
        <w:spacing w:line="360" w:lineRule="auto"/>
        <w:ind w:firstLine="480" w:firstLineChars="200"/>
        <w:rPr>
          <w:rFonts w:hint="eastAsia" w:ascii="宋体" w:hAnsi="宋体" w:eastAsia="宋体" w:cs="宋体"/>
          <w:color w:val="auto"/>
          <w:sz w:val="24"/>
        </w:rPr>
      </w:pPr>
    </w:p>
    <w:p>
      <w:pPr>
        <w:spacing w:line="276" w:lineRule="auto"/>
        <w:jc w:val="center"/>
        <w:rPr>
          <w:rFonts w:hint="eastAsia" w:ascii="宋体" w:hAnsi="宋体" w:eastAsia="宋体" w:cs="宋体"/>
          <w:b/>
          <w:color w:val="auto"/>
          <w:sz w:val="48"/>
          <w:szCs w:val="48"/>
        </w:rPr>
      </w:pPr>
      <w:r>
        <w:rPr>
          <w:rFonts w:hint="eastAsia" w:ascii="宋体" w:hAnsi="宋体" w:eastAsia="宋体" w:cs="宋体"/>
          <w:b/>
          <w:color w:val="auto"/>
          <w:sz w:val="44"/>
          <w:szCs w:val="44"/>
          <w:lang w:eastAsia="zh-CN"/>
        </w:rPr>
        <w:t>成都市公安局双流区分局道路交安设施维护服务采购项目</w:t>
      </w:r>
    </w:p>
    <w:p>
      <w:pPr>
        <w:spacing w:line="276" w:lineRule="auto"/>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（包件1）</w:t>
      </w: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jc w:val="center"/>
        <w:rPr>
          <w:rFonts w:hint="eastAsia" w:ascii="宋体" w:hAnsi="宋体" w:eastAsia="宋体" w:cs="宋体"/>
          <w:b/>
          <w:color w:val="auto"/>
          <w:sz w:val="72"/>
          <w:szCs w:val="72"/>
        </w:rPr>
      </w:pPr>
      <w:r>
        <w:rPr>
          <w:rFonts w:hint="eastAsia" w:ascii="宋体" w:hAnsi="宋体" w:eastAsia="宋体" w:cs="宋体"/>
          <w:b/>
          <w:color w:val="auto"/>
          <w:sz w:val="72"/>
          <w:szCs w:val="72"/>
        </w:rPr>
        <w:t xml:space="preserve">合 同 协 议 书 </w:t>
      </w: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color w:val="auto"/>
          <w:sz w:val="30"/>
          <w:szCs w:val="30"/>
          <w:lang w:eastAsia="zh-CN"/>
        </w:rPr>
      </w:pPr>
      <w:r>
        <w:rPr>
          <w:rFonts w:hint="eastAsia" w:ascii="宋体" w:hAnsi="宋体" w:eastAsia="宋体" w:cs="宋体"/>
          <w:color w:val="auto"/>
          <w:sz w:val="30"/>
          <w:szCs w:val="30"/>
          <w:lang w:val="en-US" w:eastAsia="zh-CN"/>
        </w:rPr>
        <w:t>甲</w:t>
      </w:r>
      <w:r>
        <w:rPr>
          <w:rFonts w:hint="eastAsia" w:ascii="宋体" w:hAnsi="宋体" w:eastAsia="宋体" w:cs="宋体"/>
          <w:color w:val="auto"/>
          <w:sz w:val="30"/>
          <w:szCs w:val="30"/>
        </w:rPr>
        <w:t xml:space="preserve">  方：成都市公安局双流区分局</w:t>
      </w:r>
      <w:r>
        <w:rPr>
          <w:rFonts w:hint="eastAsia" w:ascii="宋体" w:hAnsi="宋体" w:eastAsia="宋体" w:cs="宋体"/>
          <w:color w:val="auto"/>
          <w:sz w:val="30"/>
          <w:szCs w:val="30"/>
          <w:lang w:val="en-US" w:eastAsia="zh-CN"/>
        </w:rPr>
        <w:t xml:space="preserve"> </w:t>
      </w:r>
    </w:p>
    <w:p>
      <w:pPr>
        <w:spacing w:line="276" w:lineRule="auto"/>
        <w:rPr>
          <w:rFonts w:hint="eastAsia" w:ascii="宋体" w:hAnsi="宋体" w:eastAsia="宋体" w:cs="宋体"/>
          <w:color w:val="auto"/>
          <w:sz w:val="30"/>
          <w:szCs w:val="30"/>
          <w:lang w:eastAsia="zh-CN"/>
        </w:rPr>
      </w:pPr>
      <w:r>
        <w:rPr>
          <w:rFonts w:hint="eastAsia" w:ascii="宋体" w:hAnsi="宋体" w:eastAsia="宋体" w:cs="宋体"/>
          <w:color w:val="auto"/>
          <w:sz w:val="30"/>
          <w:szCs w:val="30"/>
          <w:lang w:val="en-US" w:eastAsia="zh-CN"/>
        </w:rPr>
        <w:t>乙</w:t>
      </w:r>
      <w:r>
        <w:rPr>
          <w:rFonts w:hint="eastAsia" w:ascii="宋体" w:hAnsi="宋体" w:eastAsia="宋体" w:cs="宋体"/>
          <w:color w:val="auto"/>
          <w:sz w:val="30"/>
          <w:szCs w:val="30"/>
        </w:rPr>
        <w:t xml:space="preserve">  方：</w:t>
      </w:r>
      <w:r>
        <w:rPr>
          <w:rFonts w:hint="eastAsia" w:ascii="宋体" w:hAnsi="宋体" w:eastAsia="宋体" w:cs="宋体"/>
          <w:color w:val="auto"/>
          <w:sz w:val="30"/>
          <w:szCs w:val="30"/>
          <w:lang w:val="en-US" w:eastAsia="zh-CN"/>
        </w:rPr>
        <w:t xml:space="preserve">  </w:t>
      </w:r>
    </w:p>
    <w:p>
      <w:pPr>
        <w:spacing w:line="276" w:lineRule="auto"/>
        <w:rPr>
          <w:rFonts w:hint="eastAsia" w:ascii="宋体" w:hAnsi="宋体" w:eastAsia="宋体" w:cs="宋体"/>
          <w:color w:val="auto"/>
          <w:sz w:val="30"/>
          <w:szCs w:val="30"/>
        </w:rPr>
      </w:pPr>
      <w:r>
        <w:rPr>
          <w:rFonts w:hint="eastAsia" w:ascii="宋体" w:hAnsi="宋体" w:eastAsia="宋体" w:cs="宋体"/>
          <w:color w:val="auto"/>
          <w:sz w:val="30"/>
          <w:szCs w:val="30"/>
        </w:rPr>
        <w:t>日  期：</w:t>
      </w:r>
      <w:r>
        <w:rPr>
          <w:rFonts w:hint="eastAsia" w:ascii="宋体" w:hAnsi="宋体" w:eastAsia="宋体" w:cs="宋体"/>
          <w:color w:val="auto"/>
          <w:sz w:val="30"/>
          <w:szCs w:val="30"/>
          <w:lang w:val="en-US" w:eastAsia="zh-CN"/>
        </w:rPr>
        <w:t xml:space="preserve"> </w:t>
      </w:r>
      <w:r>
        <w:rPr>
          <w:rFonts w:hint="eastAsia" w:ascii="宋体" w:hAnsi="宋体" w:eastAsia="宋体" w:cs="宋体"/>
          <w:color w:val="auto"/>
          <w:sz w:val="30"/>
          <w:szCs w:val="30"/>
        </w:rPr>
        <w:t>年</w:t>
      </w:r>
      <w:r>
        <w:rPr>
          <w:rFonts w:hint="eastAsia" w:ascii="宋体" w:hAnsi="宋体" w:eastAsia="宋体" w:cs="宋体"/>
          <w:color w:val="auto"/>
          <w:sz w:val="30"/>
          <w:szCs w:val="30"/>
          <w:lang w:val="en-US" w:eastAsia="zh-CN"/>
        </w:rPr>
        <w:t xml:space="preserve">  </w:t>
      </w:r>
      <w:r>
        <w:rPr>
          <w:rFonts w:hint="eastAsia" w:ascii="宋体" w:hAnsi="宋体" w:eastAsia="宋体" w:cs="宋体"/>
          <w:color w:val="auto"/>
          <w:sz w:val="30"/>
          <w:szCs w:val="30"/>
        </w:rPr>
        <w:t>月</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spacing w:line="276" w:lineRule="auto"/>
        <w:rPr>
          <w:rFonts w:hint="eastAsia" w:ascii="宋体" w:hAnsi="宋体" w:eastAsia="宋体" w:cs="宋体"/>
          <w:color w:val="auto"/>
          <w:sz w:val="28"/>
          <w:szCs w:val="28"/>
        </w:rPr>
      </w:pPr>
      <w:r>
        <w:rPr>
          <w:rFonts w:hint="eastAsia" w:ascii="宋体" w:hAnsi="宋体" w:eastAsia="宋体" w:cs="宋体"/>
          <w:color w:val="auto"/>
          <w:sz w:val="28"/>
          <w:szCs w:val="28"/>
        </w:rPr>
        <w:t>合同编号：</w:t>
      </w:r>
    </w:p>
    <w:p>
      <w:pPr>
        <w:spacing w:line="276" w:lineRule="auto"/>
        <w:rPr>
          <w:rFonts w:hint="eastAsia" w:ascii="宋体" w:hAnsi="宋体" w:eastAsia="宋体" w:cs="宋体"/>
          <w:color w:val="auto"/>
          <w:sz w:val="28"/>
          <w:szCs w:val="28"/>
        </w:rPr>
      </w:pPr>
      <w:r>
        <w:rPr>
          <w:rFonts w:hint="eastAsia" w:ascii="宋体" w:hAnsi="宋体" w:eastAsia="宋体" w:cs="宋体"/>
          <w:color w:val="auto"/>
          <w:sz w:val="28"/>
          <w:szCs w:val="28"/>
        </w:rPr>
        <w:t>签订地点：成都市双流区</w:t>
      </w:r>
    </w:p>
    <w:p>
      <w:pPr>
        <w:spacing w:line="276" w:lineRule="auto"/>
        <w:rPr>
          <w:rFonts w:hint="eastAsia" w:ascii="宋体" w:hAnsi="宋体" w:eastAsia="宋体" w:cs="宋体"/>
          <w:color w:val="auto"/>
          <w:sz w:val="28"/>
          <w:szCs w:val="28"/>
        </w:rPr>
      </w:pPr>
      <w:r>
        <w:rPr>
          <w:rFonts w:hint="eastAsia" w:ascii="宋体" w:hAnsi="宋体" w:eastAsia="宋体" w:cs="宋体"/>
          <w:color w:val="auto"/>
          <w:sz w:val="28"/>
          <w:szCs w:val="28"/>
        </w:rPr>
        <w:t>签订时间：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日 </w:t>
      </w:r>
    </w:p>
    <w:p>
      <w:pPr>
        <w:spacing w:line="276" w:lineRule="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甲方：成都市公安局双流区分局</w:t>
      </w:r>
      <w:r>
        <w:rPr>
          <w:rFonts w:hint="eastAsia" w:ascii="宋体" w:hAnsi="宋体" w:eastAsia="宋体" w:cs="宋体"/>
          <w:color w:val="auto"/>
          <w:sz w:val="28"/>
          <w:szCs w:val="28"/>
          <w:lang w:val="en-US" w:eastAsia="zh-CN"/>
        </w:rPr>
        <w:t xml:space="preserve"> </w:t>
      </w:r>
    </w:p>
    <w:p>
      <w:pPr>
        <w:spacing w:line="276" w:lineRule="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乙方：</w:t>
      </w:r>
      <w:r>
        <w:rPr>
          <w:rFonts w:hint="eastAsia" w:ascii="宋体" w:hAnsi="宋体" w:eastAsia="宋体" w:cs="宋体"/>
          <w:color w:val="auto"/>
          <w:sz w:val="28"/>
          <w:szCs w:val="28"/>
          <w:lang w:val="en-US" w:eastAsia="zh-CN"/>
        </w:rPr>
        <w:t xml:space="preserve">  </w:t>
      </w:r>
    </w:p>
    <w:p>
      <w:pPr>
        <w:spacing w:line="276" w:lineRule="auto"/>
        <w:ind w:firstLine="700" w:firstLineChars="250"/>
        <w:jc w:val="left"/>
        <w:rPr>
          <w:rFonts w:hint="eastAsia" w:ascii="宋体" w:hAnsi="宋体" w:eastAsia="宋体" w:cs="宋体"/>
          <w:b/>
          <w:color w:val="auto"/>
          <w:sz w:val="28"/>
          <w:szCs w:val="28"/>
        </w:rPr>
      </w:pPr>
      <w:r>
        <w:rPr>
          <w:rFonts w:hint="eastAsia" w:ascii="宋体" w:hAnsi="宋体" w:eastAsia="宋体" w:cs="宋体"/>
          <w:color w:val="auto"/>
          <w:sz w:val="28"/>
          <w:szCs w:val="28"/>
        </w:rPr>
        <w:t>依照《中华人民共和国</w:t>
      </w:r>
      <w:r>
        <w:rPr>
          <w:rFonts w:hint="eastAsia" w:ascii="宋体" w:hAnsi="宋体" w:eastAsia="宋体" w:cs="宋体"/>
          <w:color w:val="auto"/>
          <w:sz w:val="28"/>
          <w:szCs w:val="28"/>
          <w:lang w:val="en-US" w:eastAsia="zh-CN"/>
        </w:rPr>
        <w:t>民法典</w:t>
      </w:r>
      <w:r>
        <w:rPr>
          <w:rFonts w:hint="eastAsia" w:ascii="宋体" w:hAnsi="宋体" w:eastAsia="宋体" w:cs="宋体"/>
          <w:color w:val="auto"/>
          <w:sz w:val="28"/>
          <w:szCs w:val="28"/>
        </w:rPr>
        <w:t>》《中华人民共和国政府采购法》及其他有关法律、行政法规，遵循平等、自愿、公平和诚实信用的原则，双方就</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项目</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none"/>
          <w:lang w:val="en-US" w:eastAsia="zh-CN"/>
        </w:rPr>
        <w:t>包</w:t>
      </w:r>
      <w:r>
        <w:rPr>
          <w:rFonts w:hint="eastAsia" w:ascii="宋体" w:hAnsi="宋体" w:eastAsia="宋体" w:cs="宋体"/>
          <w:color w:val="auto"/>
          <w:sz w:val="28"/>
          <w:szCs w:val="28"/>
        </w:rPr>
        <w:t>服务采购事项协商一致，同意按下述条款和条件签署本合同及附件。</w:t>
      </w:r>
    </w:p>
    <w:p>
      <w:pPr>
        <w:spacing w:line="276" w:lineRule="auto"/>
        <w:ind w:firstLine="562" w:firstLineChars="200"/>
        <w:jc w:val="left"/>
        <w:rPr>
          <w:rFonts w:hint="eastAsia" w:ascii="宋体" w:hAnsi="宋体" w:eastAsia="宋体" w:cs="宋体"/>
          <w:b/>
          <w:color w:val="auto"/>
          <w:sz w:val="28"/>
          <w:szCs w:val="28"/>
        </w:rPr>
      </w:pPr>
      <w:r>
        <w:rPr>
          <w:rFonts w:hint="eastAsia" w:ascii="宋体" w:hAnsi="宋体" w:eastAsia="宋体" w:cs="宋体"/>
          <w:b/>
          <w:color w:val="auto"/>
          <w:sz w:val="28"/>
          <w:szCs w:val="28"/>
        </w:rPr>
        <w:t>说明和要求：</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1、招标文件（招标编号：</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）和投标文件及其澄清和确认文件均为本合同不可分割部分。</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2、本合同内容受中华人民共和国的法律保护和制约；</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3、本合同术语的定义按《中华人民共和国</w:t>
      </w:r>
      <w:r>
        <w:rPr>
          <w:rFonts w:hint="eastAsia" w:ascii="宋体" w:hAnsi="宋体" w:eastAsia="宋体" w:cs="宋体"/>
          <w:color w:val="auto"/>
          <w:sz w:val="28"/>
          <w:szCs w:val="28"/>
          <w:lang w:val="en-US" w:eastAsia="zh-Hans"/>
        </w:rPr>
        <w:t>民法典</w:t>
      </w:r>
      <w:r>
        <w:rPr>
          <w:rFonts w:hint="eastAsia" w:ascii="宋体" w:hAnsi="宋体" w:eastAsia="宋体" w:cs="宋体"/>
          <w:color w:val="auto"/>
          <w:sz w:val="28"/>
          <w:szCs w:val="28"/>
        </w:rPr>
        <w:t>》和招标文件有关条款解释。</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4、本合同项下全部内容均不得转让、不得分包、不得挂靠，禁止挂牌企业参与竞争，如</w:t>
      </w:r>
      <w:r>
        <w:rPr>
          <w:rFonts w:hint="eastAsia" w:ascii="宋体" w:hAnsi="宋体" w:eastAsia="宋体" w:cs="宋体"/>
          <w:color w:val="auto"/>
          <w:sz w:val="28"/>
          <w:szCs w:val="28"/>
          <w:lang w:val="en-US" w:eastAsia="zh-Hans"/>
        </w:rPr>
        <w:t>甲方</w:t>
      </w:r>
      <w:r>
        <w:rPr>
          <w:rFonts w:hint="eastAsia" w:ascii="宋体" w:hAnsi="宋体" w:eastAsia="宋体" w:cs="宋体"/>
          <w:color w:val="auto"/>
          <w:sz w:val="28"/>
          <w:szCs w:val="28"/>
        </w:rPr>
        <w:t>在合同签订后发现</w:t>
      </w:r>
      <w:r>
        <w:rPr>
          <w:rFonts w:hint="eastAsia" w:ascii="宋体" w:hAnsi="宋体" w:eastAsia="宋体" w:cs="宋体"/>
          <w:color w:val="auto"/>
          <w:sz w:val="28"/>
          <w:szCs w:val="28"/>
          <w:lang w:val="en-US" w:eastAsia="zh-Hans"/>
        </w:rPr>
        <w:t>乙方</w:t>
      </w:r>
      <w:r>
        <w:rPr>
          <w:rFonts w:hint="eastAsia" w:ascii="宋体" w:hAnsi="宋体" w:eastAsia="宋体" w:cs="宋体"/>
          <w:color w:val="auto"/>
          <w:sz w:val="28"/>
          <w:szCs w:val="28"/>
        </w:rPr>
        <w:t>有上述行为的，甲方有权终止合同，且不支付任何费用。</w:t>
      </w:r>
    </w:p>
    <w:p>
      <w:pPr>
        <w:spacing w:line="4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5、乙方的服务进度应服从甲方的工程总体进度安排和需要。</w:t>
      </w:r>
    </w:p>
    <w:p>
      <w:pPr>
        <w:widowControl/>
        <w:jc w:val="left"/>
        <w:rPr>
          <w:rFonts w:hint="eastAsia" w:ascii="宋体" w:hAnsi="宋体" w:eastAsia="宋体" w:cs="宋体"/>
          <w:color w:val="auto"/>
          <w:sz w:val="28"/>
          <w:szCs w:val="28"/>
        </w:rPr>
      </w:pP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spacing w:line="400" w:lineRule="exact"/>
        <w:ind w:firstLine="560" w:firstLineChars="200"/>
        <w:rPr>
          <w:rFonts w:hint="eastAsia" w:ascii="宋体" w:hAnsi="宋体" w:eastAsia="宋体" w:cs="宋体"/>
          <w:color w:val="auto"/>
          <w:sz w:val="28"/>
          <w:szCs w:val="28"/>
        </w:rPr>
      </w:pP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一、作业范围、项目概况及内容</w:t>
      </w:r>
    </w:p>
    <w:p>
      <w:pPr>
        <w:spacing w:line="276" w:lineRule="auto"/>
        <w:jc w:val="left"/>
        <w:rPr>
          <w:rFonts w:hint="eastAsia" w:ascii="宋体" w:hAnsi="宋体" w:eastAsia="宋体" w:cs="宋体"/>
          <w:b/>
          <w:color w:val="auto"/>
          <w:sz w:val="28"/>
          <w:szCs w:val="28"/>
        </w:rPr>
      </w:pPr>
      <w:r>
        <w:rPr>
          <w:rFonts w:hint="eastAsia" w:ascii="宋体" w:hAnsi="宋体" w:eastAsia="宋体" w:cs="宋体"/>
          <w:b/>
          <w:color w:val="auto"/>
          <w:sz w:val="28"/>
          <w:szCs w:val="28"/>
        </w:rPr>
        <w:t>合同范围：</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1.1项目名称：成都市公安局双流区分局道路交安设施维护采购项目</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1.2作业范围、项目概况及内容：详见《招标文件》第六章。</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二、合同期限</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2.1本项目服务期限为2年，合同一年一签。</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2.2本次合同执行起始、终止日期：</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日至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日。</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三、交安设施维护的工作要求</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详细工作要求见招标文件第六章部分内容。</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四、设计质量要求</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4.1设计施工规范：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《中华人民共和国道路交通安全法》</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《中华人民共和国道路交通安全法实施条例》</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《道路交通标志和标线》（GB5768-2009）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《城市道路交通标志和标线设置规范》（GB51038-2015）</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《道路工程术语标准》（ GBJ124-88）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《市政工程质量检验评定标准》（CJJ09-85）</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《道路交通信号控制机》（GB25280-2016）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《道路交通信号灯》（GB14887—2011）</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《道路交通信号灯设置与安装规范》（GB14886-2006）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《道路交通反光膜》（GB/T18833-2012）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《地名 标志》（GB17733-2008）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《钢结构设计规范》（GB 50017-2002）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《成都市道路指路标志系统》（DB510100/T 129.1-2013）</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《城市道路施工作业交通组织规范》（GA/T900-2010）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《公路交通安全设施设计细则》（JTG/T D81-2017）</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《公共场所双语标志英文译法》（第 1 部分：道路交通和旅游景点DB510100/T009-2006）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《成都市交通标志及信号灯设置规则》、《成都市新型路名牌设置原则》（采购人 2016 年制定）</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《公安交通管理外场设备基础设施施工通用要求》（GA/T652-2017）</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《道路交通标线质量要求和检测方法》（GB/T16311-2009）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《公路防撞桶》（GB/T 28650-2012）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《道路交通防撞墩》（GA/T416-2003）</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《电气装置安装工程施工验收规范》GB50254、50255、50256、50257-2014</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《检查井盖》（GB23858-2009）及《成都市城市道路桥梁检查井盖监督管理技术规定》</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《建筑物防雷设计规范》（GB50057-2010）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《钢筋混凝土设计规范》（GB50010-2010）</w:t>
      </w:r>
    </w:p>
    <w:p>
      <w:pPr>
        <w:spacing w:line="276" w:lineRule="auto"/>
        <w:jc w:val="left"/>
        <w:rPr>
          <w:rFonts w:hint="eastAsia" w:ascii="宋体" w:hAnsi="宋体" w:eastAsia="宋体" w:cs="宋体"/>
          <w:color w:val="auto"/>
          <w:sz w:val="28"/>
          <w:szCs w:val="28"/>
          <w:lang w:val="en-US" w:eastAsia="zh-Hans"/>
        </w:rPr>
      </w:pPr>
      <w:r>
        <w:rPr>
          <w:rFonts w:hint="eastAsia" w:ascii="宋体" w:hAnsi="宋体" w:eastAsia="宋体" w:cs="宋体"/>
          <w:color w:val="auto"/>
          <w:sz w:val="28"/>
          <w:szCs w:val="28"/>
          <w:lang w:val="en-US" w:eastAsia="zh-Hans"/>
        </w:rPr>
        <w:t>及其他现行国标规范和成都市地方标准。</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其它相关法律、法规、规章、规范性文件等</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4.2甲乙双方均按招标文件中第六章“项目内容及服务要求”执行。</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4.3乙方设计要求必满足招标文件中交安设施维护考核办法执行。</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五、合同价款及结算方式</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5.1按照乙方中标价执行（</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万元）。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5.2结算方式：按照财政预算下达后，月结月付的方式进行。</w:t>
      </w:r>
    </w:p>
    <w:p>
      <w:pPr>
        <w:spacing w:line="276" w:lineRule="auto"/>
        <w:outlineLvl w:val="0"/>
        <w:rPr>
          <w:rFonts w:hint="eastAsia" w:ascii="宋体" w:hAnsi="宋体" w:eastAsia="宋体" w:cs="宋体"/>
          <w:color w:val="auto"/>
          <w:sz w:val="28"/>
          <w:szCs w:val="28"/>
        </w:rPr>
      </w:pPr>
      <w:r>
        <w:rPr>
          <w:rFonts w:hint="eastAsia" w:ascii="宋体" w:hAnsi="宋体" w:eastAsia="宋体" w:cs="宋体"/>
          <w:color w:val="auto"/>
          <w:sz w:val="28"/>
          <w:szCs w:val="28"/>
        </w:rPr>
        <w:t>5.2.1每月实际支付金额＝中标价/12—每月考核所扣费用</w:t>
      </w:r>
    </w:p>
    <w:p>
      <w:pPr>
        <w:spacing w:line="276" w:lineRule="auto"/>
        <w:outlineLvl w:val="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采购人在收到中标人开具的发票后15日内完成支付。</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六、项目检查考核与验收</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详细考核及评审办法见招标文件第六章部分内容。</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七、履约保证金</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7.1合同签订后乙方应根据招标文件要求交纳履约保证金（人民币</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万元）。乙方应在合同生效后7日内办理履约保证金事宜，否则甲方将终止合同，且不支付任何费用，一切后果由乙方承担。</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7.2履约保证金作为违约金的一部分及用于补偿甲方因乙方不能履行合同义务而蒙受的损失。</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7.3发生以下情况时履约保证金将被没收：</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（1）乙方单方面原因（自然灾害和国家政策等不可抗力因素除外）不按投标价格履行合同的；</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（2）乙方单方面原因（自然灾害和国家政策等不可抗力因素除外）不履行合同的。只有在甲乙双方协商一致的情况下才能免除履约保证金条款。</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（3）在工作中，乙方及乙方工作人员有违法犯罪行为的。</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（4）招标文件中明确的应当没收履约保证金的相应条款。</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7.4履约保证金退还：本合同服务期满，验收符合要求，结清所有款项，由甲方无息退还履约保证金给乙方。</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八、双方责任</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8.1 甲方未按本合同第五条约定在规定期限内付款，每超过三月，按当季结算价的5‰向乙方支付滞纳金。</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8.2乙方在合同期内，须按服务内容和管理部门要求开展科学的监督管理管理工作，达到“交安设施维护标准及考核办法”的要求。</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8.3乙方须严格执行招标文件中的安全文明施工措施。严格按照劳动和社会保障法律、法规雇聘工作人员确保设计工作顺利开展。在作业期间乙方人员的安全和第三方安全责任，由乙方负全责。</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8.4 乙方设计人员工作不力造成问题，导致甲方和维护方产生损失的，乙方负全责。</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8.5在工作中，如乙方及乙方工作人员有违反相关法律法规规定及其他违法犯罪事件，给甲方造成损失的，由乙方依法进行赔偿。</w:t>
      </w:r>
    </w:p>
    <w:p>
      <w:pPr>
        <w:numPr>
          <w:ilvl w:val="0"/>
          <w:numId w:val="9"/>
        </w:num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合同解除</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9.1本合同试用期2个月。试用期间，若乙方没有尽到相关责任，甲方有权解除本合同。</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9.2违反本合同第八条8.2、8.3、8.4、8.5项规定的，甲方有权解除本合同，由此造成的损失由乙方自行承担。</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9.3经双方协商一致可解除本合同。</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十、争议解决</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执行本合同中发生的或与本合同有关的争端，双方应通过友好协商的方式解决，协商不成时，可向双流区人民法院提起民事诉讼。</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十一、附则</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11.1本合同一式六份，甲乙双方各执两份，采购代理机构执两份。</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11.2本合同自双方代表签字，加盖双方公章或合同专用章即生效，服务期满验收符合要求，结清所有款项后终止。</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11.3本合同签订后，甲乙双方如需要提出修改时，经双方协商一致后，有关本项目的洽商、变更等书面协议或文件视为本合同的组成部分。</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11.4本合同未尽事宜，由双方另行商定，并签署补充协议。</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十二、合同附件</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t>附件1：设计承诺书</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t>附件2：中标通知书复印件</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附件3：履约保证金凭证复印件</w:t>
      </w:r>
    </w:p>
    <w:p>
      <w:pPr>
        <w:spacing w:line="276" w:lineRule="auto"/>
        <w:jc w:val="left"/>
        <w:rPr>
          <w:rFonts w:hint="eastAsia" w:ascii="宋体" w:hAnsi="宋体" w:eastAsia="宋体" w:cs="宋体"/>
          <w:color w:val="auto"/>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以下无正文</w:t>
      </w:r>
      <w:r>
        <w:rPr>
          <w:rFonts w:hint="eastAsia" w:ascii="宋体" w:hAnsi="宋体" w:eastAsia="宋体" w:cs="宋体"/>
          <w:color w:val="auto"/>
          <w:sz w:val="28"/>
          <w:szCs w:val="28"/>
          <w:lang w:eastAsia="zh-CN"/>
        </w:rPr>
        <w:t>）</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甲方：（公章）                    乙方：（公章）</w:t>
      </w:r>
    </w:p>
    <w:p>
      <w:pPr>
        <w:spacing w:line="276" w:lineRule="auto"/>
        <w:ind w:left="4900" w:hanging="4900" w:hangingChars="1750"/>
        <w:jc w:val="left"/>
        <w:rPr>
          <w:rFonts w:hint="eastAsia" w:ascii="宋体" w:hAnsi="宋体" w:eastAsia="宋体" w:cs="宋体"/>
          <w:color w:val="auto"/>
          <w:sz w:val="28"/>
          <w:szCs w:val="28"/>
        </w:rPr>
      </w:pPr>
      <w:r>
        <w:rPr>
          <w:rFonts w:hint="eastAsia" w:ascii="宋体" w:hAnsi="宋体" w:eastAsia="宋体" w:cs="宋体"/>
          <w:color w:val="auto"/>
          <w:sz w:val="28"/>
          <w:szCs w:val="28"/>
        </w:rPr>
        <w:t>地址：                             地址：</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法定代表人：                       法定代表人：</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委托代表人：                       委托代表人：</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电话：                             电话：</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传真：                             传真：</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开户银行：                         开户银行：</w:t>
      </w:r>
    </w:p>
    <w:p>
      <w:pPr>
        <w:spacing w:line="276" w:lineRule="auto"/>
        <w:ind w:left="-141" w:leftChars="-67" w:firstLine="140" w:firstLineChars="50"/>
        <w:jc w:val="left"/>
        <w:rPr>
          <w:rFonts w:hint="eastAsia" w:ascii="宋体" w:hAnsi="宋体" w:eastAsia="宋体" w:cs="宋体"/>
          <w:color w:val="auto"/>
          <w:sz w:val="28"/>
          <w:szCs w:val="28"/>
        </w:rPr>
      </w:pPr>
      <w:r>
        <w:rPr>
          <w:rFonts w:hint="eastAsia" w:ascii="宋体" w:hAnsi="宋体" w:eastAsia="宋体" w:cs="宋体"/>
          <w:color w:val="auto"/>
          <w:sz w:val="28"/>
          <w:szCs w:val="28"/>
        </w:rPr>
        <w:t>账号：                             账号：</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邮政编码：                         邮政编码：</w:t>
      </w:r>
    </w:p>
    <w:p>
      <w:pPr>
        <w:jc w:val="left"/>
        <w:rPr>
          <w:rFonts w:hint="eastAsia" w:ascii="宋体" w:hAnsi="宋体" w:eastAsia="宋体" w:cs="宋体"/>
          <w:b/>
          <w:bCs/>
          <w:color w:val="auto"/>
          <w:sz w:val="28"/>
          <w:szCs w:val="28"/>
        </w:rPr>
      </w:pP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日</w:t>
      </w: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p>
      <w:pPr>
        <w:spacing w:line="276" w:lineRule="auto"/>
        <w:jc w:val="center"/>
        <w:rPr>
          <w:rFonts w:hint="eastAsia" w:ascii="宋体" w:hAnsi="宋体" w:eastAsia="宋体" w:cs="宋体"/>
          <w:b/>
          <w:color w:val="auto"/>
          <w:sz w:val="44"/>
          <w:szCs w:val="44"/>
          <w:lang w:eastAsia="zh-CN"/>
        </w:rPr>
      </w:pPr>
      <w:r>
        <w:rPr>
          <w:rFonts w:hint="eastAsia" w:ascii="宋体" w:hAnsi="宋体" w:eastAsia="宋体" w:cs="宋体"/>
          <w:color w:val="auto"/>
          <w:lang w:eastAsia="zh-CN"/>
        </w:rPr>
        <w:br w:type="page"/>
      </w:r>
      <w:r>
        <w:rPr>
          <w:rFonts w:hint="eastAsia" w:ascii="宋体" w:hAnsi="宋体" w:eastAsia="宋体" w:cs="宋体"/>
          <w:b/>
          <w:color w:val="auto"/>
          <w:sz w:val="44"/>
          <w:szCs w:val="44"/>
          <w:lang w:eastAsia="zh-CN"/>
        </w:rPr>
        <w:t>成都市公安局双流区分局道路交安设施维护服务采购项目</w:t>
      </w:r>
    </w:p>
    <w:p>
      <w:pPr>
        <w:spacing w:line="276" w:lineRule="auto"/>
        <w:jc w:val="center"/>
        <w:rPr>
          <w:rFonts w:hint="eastAsia" w:ascii="宋体" w:hAnsi="宋体" w:eastAsia="宋体" w:cs="宋体"/>
          <w:b/>
          <w:color w:val="auto"/>
          <w:sz w:val="44"/>
          <w:szCs w:val="44"/>
          <w:lang w:eastAsia="zh-CN"/>
        </w:rPr>
      </w:pPr>
      <w:r>
        <w:rPr>
          <w:rFonts w:hint="eastAsia" w:ascii="宋体" w:hAnsi="宋体" w:eastAsia="宋体" w:cs="宋体"/>
          <w:b/>
          <w:color w:val="auto"/>
          <w:sz w:val="44"/>
          <w:szCs w:val="44"/>
          <w:lang w:eastAsia="zh-CN"/>
        </w:rPr>
        <w:t>（包件2）</w:t>
      </w: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jc w:val="center"/>
        <w:rPr>
          <w:rFonts w:hint="eastAsia" w:ascii="宋体" w:hAnsi="宋体" w:eastAsia="宋体" w:cs="宋体"/>
          <w:b/>
          <w:color w:val="auto"/>
          <w:sz w:val="72"/>
          <w:szCs w:val="72"/>
        </w:rPr>
      </w:pPr>
      <w:r>
        <w:rPr>
          <w:rFonts w:hint="eastAsia" w:ascii="宋体" w:hAnsi="宋体" w:eastAsia="宋体" w:cs="宋体"/>
          <w:b/>
          <w:color w:val="auto"/>
          <w:sz w:val="72"/>
          <w:szCs w:val="72"/>
        </w:rPr>
        <w:t xml:space="preserve">合 同 协 议 书 </w:t>
      </w: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color w:val="auto"/>
          <w:sz w:val="30"/>
          <w:szCs w:val="30"/>
          <w:lang w:eastAsia="zh-CN"/>
        </w:rPr>
      </w:pPr>
      <w:r>
        <w:rPr>
          <w:rFonts w:hint="eastAsia" w:ascii="宋体" w:hAnsi="宋体" w:eastAsia="宋体" w:cs="宋体"/>
          <w:color w:val="auto"/>
          <w:sz w:val="30"/>
          <w:szCs w:val="30"/>
          <w:lang w:val="en-US" w:eastAsia="zh-CN"/>
        </w:rPr>
        <w:t>甲</w:t>
      </w:r>
      <w:r>
        <w:rPr>
          <w:rFonts w:hint="eastAsia" w:ascii="宋体" w:hAnsi="宋体" w:eastAsia="宋体" w:cs="宋体"/>
          <w:color w:val="auto"/>
          <w:sz w:val="30"/>
          <w:szCs w:val="30"/>
        </w:rPr>
        <w:t xml:space="preserve">  方：成都市公安局双流区分局</w:t>
      </w:r>
      <w:r>
        <w:rPr>
          <w:rFonts w:hint="eastAsia" w:ascii="宋体" w:hAnsi="宋体" w:eastAsia="宋体" w:cs="宋体"/>
          <w:color w:val="auto"/>
          <w:sz w:val="30"/>
          <w:szCs w:val="30"/>
          <w:lang w:val="en-US" w:eastAsia="zh-CN"/>
        </w:rPr>
        <w:t xml:space="preserve"> </w:t>
      </w:r>
    </w:p>
    <w:p>
      <w:pPr>
        <w:spacing w:line="276" w:lineRule="auto"/>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乙</w:t>
      </w:r>
      <w:r>
        <w:rPr>
          <w:rFonts w:hint="eastAsia" w:ascii="宋体" w:hAnsi="宋体" w:eastAsia="宋体" w:cs="宋体"/>
          <w:color w:val="auto"/>
          <w:sz w:val="30"/>
          <w:szCs w:val="30"/>
        </w:rPr>
        <w:t xml:space="preserve">  方：</w:t>
      </w:r>
      <w:r>
        <w:rPr>
          <w:rFonts w:hint="eastAsia" w:ascii="宋体" w:hAnsi="宋体" w:eastAsia="宋体" w:cs="宋体"/>
          <w:color w:val="auto"/>
          <w:sz w:val="30"/>
          <w:szCs w:val="30"/>
          <w:lang w:val="en-US" w:eastAsia="zh-CN"/>
        </w:rPr>
        <w:t xml:space="preserve">     </w:t>
      </w:r>
    </w:p>
    <w:p>
      <w:pPr>
        <w:spacing w:line="276" w:lineRule="auto"/>
        <w:rPr>
          <w:rFonts w:hint="eastAsia" w:ascii="宋体" w:hAnsi="宋体" w:eastAsia="宋体" w:cs="宋体"/>
          <w:color w:val="auto"/>
          <w:sz w:val="30"/>
          <w:szCs w:val="30"/>
        </w:rPr>
      </w:pPr>
      <w:r>
        <w:rPr>
          <w:rFonts w:hint="eastAsia" w:ascii="宋体" w:hAnsi="宋体" w:eastAsia="宋体" w:cs="宋体"/>
          <w:color w:val="auto"/>
          <w:sz w:val="30"/>
          <w:szCs w:val="30"/>
        </w:rPr>
        <w:t>日  期：</w:t>
      </w:r>
      <w:r>
        <w:rPr>
          <w:rFonts w:hint="eastAsia" w:ascii="宋体" w:hAnsi="宋体" w:eastAsia="宋体" w:cs="宋体"/>
          <w:color w:val="auto"/>
          <w:sz w:val="30"/>
          <w:szCs w:val="30"/>
          <w:lang w:val="en-US" w:eastAsia="zh-CN"/>
        </w:rPr>
        <w:t xml:space="preserve">   </w:t>
      </w:r>
      <w:r>
        <w:rPr>
          <w:rFonts w:hint="eastAsia" w:ascii="宋体" w:hAnsi="宋体" w:eastAsia="宋体" w:cs="宋体"/>
          <w:color w:val="auto"/>
          <w:sz w:val="30"/>
          <w:szCs w:val="30"/>
        </w:rPr>
        <w:t>年</w:t>
      </w:r>
      <w:r>
        <w:rPr>
          <w:rFonts w:hint="eastAsia" w:ascii="宋体" w:hAnsi="宋体" w:eastAsia="宋体" w:cs="宋体"/>
          <w:color w:val="auto"/>
          <w:sz w:val="30"/>
          <w:szCs w:val="30"/>
          <w:lang w:val="en-US" w:eastAsia="zh-CN"/>
        </w:rPr>
        <w:t xml:space="preserve">   </w:t>
      </w:r>
      <w:r>
        <w:rPr>
          <w:rFonts w:hint="eastAsia" w:ascii="宋体" w:hAnsi="宋体" w:eastAsia="宋体" w:cs="宋体"/>
          <w:color w:val="auto"/>
          <w:sz w:val="30"/>
          <w:szCs w:val="30"/>
        </w:rPr>
        <w:t>月</w:t>
      </w:r>
    </w:p>
    <w:p>
      <w:pPr>
        <w:spacing w:line="276" w:lineRule="auto"/>
        <w:rPr>
          <w:rFonts w:hint="eastAsia" w:ascii="宋体" w:hAnsi="宋体" w:eastAsia="宋体" w:cs="宋体"/>
          <w:color w:val="auto"/>
          <w:sz w:val="30"/>
          <w:szCs w:val="30"/>
        </w:rPr>
      </w:pP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spacing w:line="276" w:lineRule="auto"/>
        <w:rPr>
          <w:rFonts w:hint="eastAsia" w:ascii="宋体" w:hAnsi="宋体" w:eastAsia="宋体" w:cs="宋体"/>
          <w:color w:val="auto"/>
          <w:sz w:val="28"/>
          <w:szCs w:val="28"/>
        </w:rPr>
      </w:pPr>
      <w:r>
        <w:rPr>
          <w:rFonts w:hint="eastAsia" w:ascii="宋体" w:hAnsi="宋体" w:eastAsia="宋体" w:cs="宋体"/>
          <w:color w:val="auto"/>
          <w:sz w:val="28"/>
          <w:szCs w:val="28"/>
        </w:rPr>
        <w:t>合同编号：</w:t>
      </w:r>
    </w:p>
    <w:p>
      <w:pPr>
        <w:spacing w:line="276" w:lineRule="auto"/>
        <w:rPr>
          <w:rFonts w:hint="eastAsia" w:ascii="宋体" w:hAnsi="宋体" w:eastAsia="宋体" w:cs="宋体"/>
          <w:color w:val="auto"/>
          <w:sz w:val="28"/>
          <w:szCs w:val="28"/>
        </w:rPr>
      </w:pPr>
      <w:r>
        <w:rPr>
          <w:rFonts w:hint="eastAsia" w:ascii="宋体" w:hAnsi="宋体" w:eastAsia="宋体" w:cs="宋体"/>
          <w:color w:val="auto"/>
          <w:sz w:val="28"/>
          <w:szCs w:val="28"/>
        </w:rPr>
        <w:t>签订地点：成都市双流区</w:t>
      </w:r>
    </w:p>
    <w:p>
      <w:pPr>
        <w:spacing w:line="276" w:lineRule="auto"/>
        <w:rPr>
          <w:rFonts w:hint="eastAsia" w:ascii="宋体" w:hAnsi="宋体" w:eastAsia="宋体" w:cs="宋体"/>
          <w:color w:val="auto"/>
          <w:sz w:val="28"/>
          <w:szCs w:val="28"/>
        </w:rPr>
      </w:pPr>
      <w:r>
        <w:rPr>
          <w:rFonts w:hint="eastAsia" w:ascii="宋体" w:hAnsi="宋体" w:eastAsia="宋体" w:cs="宋体"/>
          <w:color w:val="auto"/>
          <w:sz w:val="28"/>
          <w:szCs w:val="28"/>
        </w:rPr>
        <w:t>签订时间：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日 </w:t>
      </w:r>
    </w:p>
    <w:p>
      <w:pPr>
        <w:spacing w:line="276" w:lineRule="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甲</w:t>
      </w:r>
      <w:r>
        <w:rPr>
          <w:rFonts w:hint="eastAsia" w:ascii="宋体" w:hAnsi="宋体" w:eastAsia="宋体" w:cs="宋体"/>
          <w:color w:val="auto"/>
          <w:sz w:val="28"/>
          <w:szCs w:val="28"/>
        </w:rPr>
        <w:t xml:space="preserve">    方：成都市公安局双流区分局</w:t>
      </w:r>
    </w:p>
    <w:p>
      <w:pPr>
        <w:spacing w:line="276" w:lineRule="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乙</w:t>
      </w:r>
      <w:r>
        <w:rPr>
          <w:rFonts w:hint="eastAsia" w:ascii="宋体" w:hAnsi="宋体" w:eastAsia="宋体" w:cs="宋体"/>
          <w:color w:val="auto"/>
          <w:sz w:val="28"/>
          <w:szCs w:val="28"/>
        </w:rPr>
        <w:t xml:space="preserve">    方：</w:t>
      </w:r>
      <w:r>
        <w:rPr>
          <w:rFonts w:hint="eastAsia" w:ascii="宋体" w:hAnsi="宋体" w:eastAsia="宋体" w:cs="宋体"/>
          <w:color w:val="auto"/>
          <w:sz w:val="28"/>
          <w:szCs w:val="28"/>
          <w:lang w:val="en-US" w:eastAsia="zh-CN"/>
        </w:rPr>
        <w:t xml:space="preserve">  </w:t>
      </w:r>
    </w:p>
    <w:p>
      <w:pPr>
        <w:spacing w:line="276" w:lineRule="auto"/>
        <w:ind w:firstLine="700" w:firstLineChars="250"/>
        <w:jc w:val="left"/>
        <w:rPr>
          <w:rFonts w:hint="eastAsia" w:ascii="宋体" w:hAnsi="宋体" w:eastAsia="宋体" w:cs="宋体"/>
          <w:b/>
          <w:color w:val="auto"/>
          <w:sz w:val="28"/>
          <w:szCs w:val="28"/>
        </w:rPr>
      </w:pPr>
      <w:r>
        <w:rPr>
          <w:rFonts w:hint="eastAsia" w:ascii="宋体" w:hAnsi="宋体" w:eastAsia="宋体" w:cs="宋体"/>
          <w:color w:val="auto"/>
          <w:sz w:val="28"/>
          <w:szCs w:val="28"/>
        </w:rPr>
        <w:t>依照《中华人民共和国</w:t>
      </w:r>
      <w:r>
        <w:rPr>
          <w:rFonts w:hint="eastAsia" w:ascii="宋体" w:hAnsi="宋体" w:eastAsia="宋体" w:cs="宋体"/>
          <w:color w:val="auto"/>
          <w:sz w:val="28"/>
          <w:szCs w:val="28"/>
          <w:lang w:val="en-US" w:eastAsia="zh-CN"/>
        </w:rPr>
        <w:t>民法典</w:t>
      </w:r>
      <w:r>
        <w:rPr>
          <w:rFonts w:hint="eastAsia" w:ascii="宋体" w:hAnsi="宋体" w:eastAsia="宋体" w:cs="宋体"/>
          <w:color w:val="auto"/>
          <w:sz w:val="28"/>
          <w:szCs w:val="28"/>
        </w:rPr>
        <w:t>》《中华人民共和国政府采购法》及其他有关法律、行政法规，遵循平等、自愿、公平和诚实信用的原则，双方就</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项目</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none"/>
          <w:lang w:val="en-US" w:eastAsia="zh-CN"/>
        </w:rPr>
        <w:t>包</w:t>
      </w:r>
      <w:r>
        <w:rPr>
          <w:rFonts w:hint="eastAsia" w:ascii="宋体" w:hAnsi="宋体" w:eastAsia="宋体" w:cs="宋体"/>
          <w:color w:val="auto"/>
          <w:sz w:val="28"/>
          <w:szCs w:val="28"/>
        </w:rPr>
        <w:t>服务采购事项协商一致，同意按下述条款和条件签署本合同及附件。</w:t>
      </w:r>
    </w:p>
    <w:p>
      <w:pPr>
        <w:spacing w:line="276" w:lineRule="auto"/>
        <w:ind w:firstLine="562" w:firstLineChars="200"/>
        <w:jc w:val="left"/>
        <w:rPr>
          <w:rFonts w:hint="eastAsia" w:ascii="宋体" w:hAnsi="宋体" w:eastAsia="宋体" w:cs="宋体"/>
          <w:b/>
          <w:color w:val="auto"/>
          <w:sz w:val="28"/>
          <w:szCs w:val="28"/>
        </w:rPr>
      </w:pPr>
      <w:r>
        <w:rPr>
          <w:rFonts w:hint="eastAsia" w:ascii="宋体" w:hAnsi="宋体" w:eastAsia="宋体" w:cs="宋体"/>
          <w:b/>
          <w:color w:val="auto"/>
          <w:sz w:val="28"/>
          <w:szCs w:val="28"/>
        </w:rPr>
        <w:t>说明和要求：</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1、招标文件（招标编号：</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）和投标文件及其澄清和确认文件均为本合同不可分割部分。</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2、本合同内容受中华人民共和国的法律保护和制约；</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3、本合同术语的定义按《中华人民共和国</w:t>
      </w:r>
      <w:r>
        <w:rPr>
          <w:rFonts w:hint="eastAsia" w:ascii="宋体" w:hAnsi="宋体" w:eastAsia="宋体" w:cs="宋体"/>
          <w:color w:val="auto"/>
          <w:sz w:val="28"/>
          <w:szCs w:val="28"/>
          <w:lang w:val="en-US" w:eastAsia="zh-Hans"/>
        </w:rPr>
        <w:t>民法典</w:t>
      </w:r>
      <w:r>
        <w:rPr>
          <w:rFonts w:hint="eastAsia" w:ascii="宋体" w:hAnsi="宋体" w:eastAsia="宋体" w:cs="宋体"/>
          <w:color w:val="auto"/>
          <w:sz w:val="28"/>
          <w:szCs w:val="28"/>
        </w:rPr>
        <w:t>》和招标文件有关条款解释。</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4、本合同项下全部内容均不得转让、不得分包、不得挂靠，禁止挂牌企业参与竞争，如</w:t>
      </w:r>
      <w:r>
        <w:rPr>
          <w:rFonts w:hint="eastAsia" w:ascii="宋体" w:hAnsi="宋体" w:eastAsia="宋体" w:cs="宋体"/>
          <w:color w:val="auto"/>
          <w:sz w:val="28"/>
          <w:szCs w:val="28"/>
          <w:lang w:val="en-US" w:eastAsia="zh-Hans"/>
        </w:rPr>
        <w:t>甲方</w:t>
      </w:r>
      <w:r>
        <w:rPr>
          <w:rFonts w:hint="eastAsia" w:ascii="宋体" w:hAnsi="宋体" w:eastAsia="宋体" w:cs="宋体"/>
          <w:color w:val="auto"/>
          <w:sz w:val="28"/>
          <w:szCs w:val="28"/>
        </w:rPr>
        <w:t>在合同签订后发现</w:t>
      </w:r>
      <w:r>
        <w:rPr>
          <w:rFonts w:hint="eastAsia" w:ascii="宋体" w:hAnsi="宋体" w:eastAsia="宋体" w:cs="宋体"/>
          <w:color w:val="auto"/>
          <w:sz w:val="28"/>
          <w:szCs w:val="28"/>
          <w:lang w:val="en-US" w:eastAsia="zh-Hans"/>
        </w:rPr>
        <w:t>乙方</w:t>
      </w:r>
      <w:r>
        <w:rPr>
          <w:rFonts w:hint="eastAsia" w:ascii="宋体" w:hAnsi="宋体" w:eastAsia="宋体" w:cs="宋体"/>
          <w:color w:val="auto"/>
          <w:sz w:val="28"/>
          <w:szCs w:val="28"/>
        </w:rPr>
        <w:t>有上述行为的，甲方有权终止合同，且不支付任何费用。</w:t>
      </w:r>
    </w:p>
    <w:p>
      <w:pPr>
        <w:spacing w:line="4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5、乙方的服务进度应服从甲方的工程总体进度安排和需要。</w:t>
      </w:r>
    </w:p>
    <w:p>
      <w:pPr>
        <w:widowControl/>
        <w:jc w:val="left"/>
        <w:rPr>
          <w:rFonts w:hint="eastAsia" w:ascii="宋体" w:hAnsi="宋体" w:eastAsia="宋体" w:cs="宋体"/>
          <w:color w:val="auto"/>
          <w:sz w:val="28"/>
          <w:szCs w:val="28"/>
        </w:rPr>
      </w:pP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spacing w:line="400" w:lineRule="exact"/>
        <w:ind w:firstLine="560" w:firstLineChars="200"/>
        <w:rPr>
          <w:rFonts w:hint="eastAsia" w:ascii="宋体" w:hAnsi="宋体" w:eastAsia="宋体" w:cs="宋体"/>
          <w:color w:val="auto"/>
          <w:sz w:val="28"/>
          <w:szCs w:val="28"/>
        </w:rPr>
      </w:pP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一、作业范围、项目概况及内容</w:t>
      </w:r>
    </w:p>
    <w:p>
      <w:pPr>
        <w:spacing w:line="276" w:lineRule="auto"/>
        <w:jc w:val="left"/>
        <w:rPr>
          <w:rFonts w:hint="eastAsia" w:ascii="宋体" w:hAnsi="宋体" w:eastAsia="宋体" w:cs="宋体"/>
          <w:b/>
          <w:color w:val="auto"/>
          <w:sz w:val="28"/>
          <w:szCs w:val="28"/>
        </w:rPr>
      </w:pPr>
      <w:r>
        <w:rPr>
          <w:rFonts w:hint="eastAsia" w:ascii="宋体" w:hAnsi="宋体" w:eastAsia="宋体" w:cs="宋体"/>
          <w:b/>
          <w:color w:val="auto"/>
          <w:sz w:val="28"/>
          <w:szCs w:val="28"/>
        </w:rPr>
        <w:t>合同范围：</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1.1项目名称：成都市公安局双流区分局道路交安设施维护服务采购项目</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1.2作业范围、项目概况及内容：详见《招标文件》第六章。</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二、合同期限</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2.1本项目服务期限为2年，合同一年一签。</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2.2本次合同执行起始、终止日期：</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日至</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日。</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三、交安设施维护的工作要求</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详细工作要求见招标文件第六章部分内容。</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四、监理质量要求</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4.1监理</w:t>
      </w:r>
      <w:r>
        <w:rPr>
          <w:rFonts w:hint="eastAsia" w:ascii="宋体" w:hAnsi="宋体" w:eastAsia="宋体" w:cs="宋体"/>
          <w:color w:val="auto"/>
          <w:sz w:val="28"/>
          <w:szCs w:val="28"/>
          <w:lang w:val="en-US" w:eastAsia="zh-Hans"/>
        </w:rPr>
        <w:t>工作相关</w:t>
      </w:r>
      <w:r>
        <w:rPr>
          <w:rFonts w:hint="eastAsia" w:ascii="宋体" w:hAnsi="宋体" w:eastAsia="宋体" w:cs="宋体"/>
          <w:color w:val="auto"/>
          <w:sz w:val="28"/>
          <w:szCs w:val="28"/>
        </w:rPr>
        <w:t>规范：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4.1.1信号灯维护施工</w:t>
      </w:r>
      <w:r>
        <w:rPr>
          <w:rFonts w:hint="eastAsia" w:ascii="宋体" w:hAnsi="宋体" w:eastAsia="宋体" w:cs="宋体"/>
          <w:color w:val="auto"/>
          <w:sz w:val="28"/>
          <w:szCs w:val="28"/>
          <w:lang w:val="en-US" w:eastAsia="zh-Hans"/>
        </w:rPr>
        <w:t>相关</w:t>
      </w:r>
      <w:r>
        <w:rPr>
          <w:rFonts w:hint="eastAsia" w:ascii="宋体" w:hAnsi="宋体" w:eastAsia="宋体" w:cs="宋体"/>
          <w:color w:val="auto"/>
          <w:sz w:val="28"/>
          <w:szCs w:val="28"/>
        </w:rPr>
        <w:t>规范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（1）《中华人民共和国道路交通安全法》</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（2）《四川省〈中华人民共和国道路交通安全法〉实施办法》</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（3）《道路交通信号灯》 (GB14887－2011)</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（4）《道路交通信号控制机》（GB25280-2016）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（5）《太阳能黄闪信号灯》GA/T743-2007</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（6）《道路交通信号控制机安装规范》(GA/T 489-2016)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（7）《人行过街信号控制设置规范》(GA/T 851-2009)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（8）《城市道路交通信号控制方式适用规范》GA/T 527-2016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（9）《道路交通信号倒计时显示器》（GA/T 508-2014）</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（10）《道路交通信号灯设置与安装规范 》（GB 14886-2016）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（11）《结构用无缝钢管》（GB/T8162-2018）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（12）《额定电压450/750V及以下聚氯乙烯绝缘电缆》GB/T5023-2008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（13）《城镇道路养护技术规范》（CJJ36-2016）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（14）《建筑物防雷设计规范》（GB50057-2010）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（15）《电气装置安装工程施工验收规范》GB50254、50255、50256、50257-2014</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（16）《检查井盖》（GB23858-2009）及《成都市城市道路桥梁检查井盖监督管理技术规定》</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（17）《成都市信号灯设置原则》</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4.1.2交通标志、标线维护施工</w:t>
      </w:r>
      <w:r>
        <w:rPr>
          <w:rFonts w:hint="eastAsia" w:ascii="宋体" w:hAnsi="宋体" w:eastAsia="宋体" w:cs="宋体"/>
          <w:color w:val="auto"/>
          <w:sz w:val="28"/>
          <w:szCs w:val="28"/>
          <w:lang w:val="en-US" w:eastAsia="zh-Hans"/>
        </w:rPr>
        <w:t>相关</w:t>
      </w:r>
      <w:r>
        <w:rPr>
          <w:rFonts w:hint="eastAsia" w:ascii="宋体" w:hAnsi="宋体" w:eastAsia="宋体" w:cs="宋体"/>
          <w:color w:val="auto"/>
          <w:sz w:val="28"/>
          <w:szCs w:val="28"/>
        </w:rPr>
        <w:t>规范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（1）《中华人民共和国道路交通安全法》</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（2）《道路交通标志和标线》（GB5768-2009）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（3）《道路交通反光膜》（GB/T18833－2012）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（4）《钢筋混凝土设计规范》（GB50010-2010）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（5）《公路交通标志和标线设置规范》（JTG D82-2009）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（6）《道路交通标志板及支撑件》（GB/T23827－2009）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（7）《公路交通安全设施设计规范》（JTG D81-2006）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（8）《公路交通安全设施设计细则》（JTG/T D81-2017）</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（9）《成都市道路指路标志系统》（DB510100/T129.3-2013）</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（10）《公共场所双语标志英文译法 第1部分：道路交通和旅游景点》（DB510100/T009-2006）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（11）《公路交通安全设施施工技术规范》（JTG F71-2006）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（12）《公路防撞桶》（GB/T 28650-2012）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（13）《道路交通防撞墩》（GA/T416-2003）</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（14）《国家高速公路网相关标志更换工作实施技术指南》（2007.10）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（15）《成都市道路交通设施设置指南》（2007.12）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（16）《城市道路交通标志和标线设置规范》(GB51038-2015）</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（17）《钢结构用高强度大六角头螺栓、大六角螺母、垫圈技术条件》（GB/T1231-2006）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（18）《碳素结构钢》（GB/T700-2006）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（19）《结构用无缝钢管》（GB/T8162-2018）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（20）《道路交通标线质量要求和检测方法》（GB/T16311-2009）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（21）《路面标线涂料》（JT/T280－2004）</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（22）《路面防滑涂料》（JTT 712-2008）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（23）《道路预成形标线带》（GB T 24717-2009）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（24）《路面橡胶减速带》（JTT 713-2008）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（25）《突起路标》（GBT 24725-2009）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（26）《雨夜公路交通反光标线质量要求和检测方法》（DB51/ T2429—2017）</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（27）《路面标线用玻璃珠》（GB/T24722-2009）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（28）《新施划路面标线初始逆反射光亮系数及检测方法》（GB/T21383-2008）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（29）《成都市标志设置原则》、《成都市信号灯、标志整合设置原则》</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（30）标志反光膜要求：城市道路标志反光膜不低于Ⅳ类微棱镜型反光膜技术标准；快速路、高速路标志反光膜不低于Ⅴ类微棱镜型反光膜技术标准。</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4.1.3护栏（含隔离护栏、隔离桩、隐形护栏、铁链护栏等）施工</w:t>
      </w:r>
      <w:r>
        <w:rPr>
          <w:rFonts w:hint="eastAsia" w:ascii="宋体" w:hAnsi="宋体" w:eastAsia="宋体" w:cs="宋体"/>
          <w:color w:val="auto"/>
          <w:sz w:val="28"/>
          <w:szCs w:val="28"/>
          <w:lang w:val="en-US" w:eastAsia="zh-Hans"/>
        </w:rPr>
        <w:t>相关</w:t>
      </w:r>
      <w:r>
        <w:rPr>
          <w:rFonts w:hint="eastAsia" w:ascii="宋体" w:hAnsi="宋体" w:eastAsia="宋体" w:cs="宋体"/>
          <w:color w:val="auto"/>
          <w:sz w:val="28"/>
          <w:szCs w:val="28"/>
        </w:rPr>
        <w:t>规范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（1）《金属覆盖层钢铁制件热浸镀锌层技术要求及试验方法》（GB/T 13912-2002）；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（2）《道路交通反光膜》（GB/T18833-2012）；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（3）《焊接钢管尺寸及单位长度重量》（GB/T21835-2008）；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（4）《热固性粉末涂料》(HG 2006-2006)；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（5）《低压流体输送焊接钢管》（GB/T3091-2015）；</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（6）</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"http://www.docin.com/p-258170119.html" \t "docin_p_end" \o "GB_9439-1988(灰口铸铁件国标）"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《灰铸铁件</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》（GB/T 9439-2010）；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"http://www.docin.com/p-258170119.html" \t "docin_p_end" \o "GB_9439-1988(灰口铸铁件国标）"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《球墨铸铁件</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》（GB/T 1348-2009）；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（8）《铸件尺寸公差与机械加工余量》(GB/T 6414-1999)；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（9）《建筑钢结构焊接技术规程》(JGJ 81-2002)；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（10）</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"http://www.51gcs.com/resources/47710" \t "_blank"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《工程建设施工现场焊接目视检验规程</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》（CECS 71-1994）；</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（11）《隔离栅技术条件》（JT/T374-1998）；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（12）《高速公路交通工程钢结构防腐技术条件》（GB/T18226-2015）；</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（13）《城镇道路工程施工与质量验收规范》（CJJ 1-2008）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（14）《城镇道路养护技术规范》（CJJ  36-2016）。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（15）护栏反光膜要求：城市道路标志反光膜不低于Ⅳ类微棱镜型反光膜技术标准；快速路、高速路标志反光膜不低于Ⅴ类微棱镜型反光膜技术标准。</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4.1.4地名标示标牌</w:t>
      </w:r>
      <w:r>
        <w:rPr>
          <w:rFonts w:hint="eastAsia" w:ascii="宋体" w:hAnsi="宋体" w:eastAsia="宋体" w:cs="宋体"/>
          <w:color w:val="auto"/>
          <w:sz w:val="28"/>
          <w:szCs w:val="28"/>
          <w:lang w:val="en-US" w:eastAsia="zh-Hans"/>
        </w:rPr>
        <w:t>维护</w:t>
      </w:r>
      <w:r>
        <w:rPr>
          <w:rFonts w:hint="eastAsia" w:ascii="宋体" w:hAnsi="宋体" w:eastAsia="宋体" w:cs="宋体"/>
          <w:color w:val="auto"/>
          <w:sz w:val="28"/>
          <w:szCs w:val="28"/>
        </w:rPr>
        <w:t>施工</w:t>
      </w:r>
      <w:r>
        <w:rPr>
          <w:rFonts w:hint="eastAsia" w:ascii="宋体" w:hAnsi="宋体" w:eastAsia="宋体" w:cs="宋体"/>
          <w:color w:val="auto"/>
          <w:sz w:val="28"/>
          <w:szCs w:val="28"/>
          <w:lang w:val="en-US" w:eastAsia="zh-Hans"/>
        </w:rPr>
        <w:t>相关</w:t>
      </w:r>
      <w:r>
        <w:rPr>
          <w:rFonts w:hint="eastAsia" w:ascii="宋体" w:hAnsi="宋体" w:eastAsia="宋体" w:cs="宋体"/>
          <w:color w:val="auto"/>
          <w:sz w:val="28"/>
          <w:szCs w:val="28"/>
        </w:rPr>
        <w:t>规范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（1）《道路交通标志和标线》（GB5768-2009）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（2）《城市道路交通标志和标线设置规范》(GB51038-2015）</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（3）《道路交通反光膜》（GB/T18833－2012）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（4）《钢筋混凝土设计规范》（GB50010-2010）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（5）《成都市路名牌设置原则》</w:t>
      </w:r>
    </w:p>
    <w:p>
      <w:pPr>
        <w:spacing w:line="276" w:lineRule="auto"/>
        <w:jc w:val="left"/>
        <w:rPr>
          <w:rFonts w:hint="eastAsia" w:ascii="宋体" w:hAnsi="宋体" w:eastAsia="宋体" w:cs="宋体"/>
          <w:color w:val="auto"/>
          <w:sz w:val="28"/>
          <w:szCs w:val="28"/>
          <w:lang w:val="en-US" w:eastAsia="zh-Hans"/>
        </w:rPr>
      </w:pPr>
      <w:r>
        <w:rPr>
          <w:rFonts w:hint="eastAsia" w:ascii="宋体" w:hAnsi="宋体" w:eastAsia="宋体" w:cs="宋体"/>
          <w:color w:val="auto"/>
          <w:sz w:val="28"/>
          <w:szCs w:val="28"/>
        </w:rPr>
        <w:t>4.1.5</w:t>
      </w:r>
      <w:r>
        <w:rPr>
          <w:rFonts w:hint="eastAsia" w:ascii="宋体" w:hAnsi="宋体" w:eastAsia="宋体" w:cs="宋体"/>
          <w:color w:val="auto"/>
          <w:sz w:val="28"/>
          <w:szCs w:val="28"/>
          <w:lang w:eastAsia="zh-CN"/>
        </w:rPr>
        <w:t>监理单位中标文件中各技术规范</w:t>
      </w:r>
      <w:r>
        <w:rPr>
          <w:rFonts w:hint="eastAsia" w:ascii="宋体" w:hAnsi="宋体" w:eastAsia="宋体" w:cs="宋体"/>
          <w:color w:val="auto"/>
          <w:sz w:val="28"/>
          <w:szCs w:val="28"/>
          <w:lang w:eastAsia="zh-Hans"/>
        </w:rPr>
        <w:t>，</w:t>
      </w:r>
      <w:r>
        <w:rPr>
          <w:rFonts w:hint="eastAsia" w:ascii="宋体" w:hAnsi="宋体" w:eastAsia="宋体" w:cs="宋体"/>
          <w:color w:val="auto"/>
          <w:sz w:val="28"/>
          <w:szCs w:val="28"/>
          <w:lang w:val="en-US" w:eastAsia="zh-Hans"/>
        </w:rPr>
        <w:t>及其他现行国标规范和成都市地方标准。</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其它相关法律、法规、规章、规范性文件等</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4.2甲乙双方均按招标文件中第六章“项目内容及服务要求”执行。</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4.3乙方监理要求必满足招标文件中交安设施维护考核办法执行。</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五、合同价款及结算方式</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5.1按照乙方中标价执行（</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万元）。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5.2结算方式：按照财政预算下达后，月结月付的方式进行。</w:t>
      </w:r>
    </w:p>
    <w:p>
      <w:pPr>
        <w:spacing w:line="276" w:lineRule="auto"/>
        <w:outlineLvl w:val="0"/>
        <w:rPr>
          <w:rFonts w:hint="eastAsia" w:ascii="宋体" w:hAnsi="宋体" w:eastAsia="宋体" w:cs="宋体"/>
          <w:color w:val="auto"/>
          <w:sz w:val="28"/>
          <w:szCs w:val="28"/>
        </w:rPr>
      </w:pPr>
      <w:r>
        <w:rPr>
          <w:rFonts w:hint="eastAsia" w:ascii="宋体" w:hAnsi="宋体" w:eastAsia="宋体" w:cs="宋体"/>
          <w:color w:val="auto"/>
          <w:sz w:val="28"/>
          <w:szCs w:val="28"/>
        </w:rPr>
        <w:t>5.2.1每月实际支付金额＝中标价/12—每月考核所扣费用</w:t>
      </w:r>
    </w:p>
    <w:p>
      <w:pPr>
        <w:spacing w:line="276" w:lineRule="auto"/>
        <w:outlineLvl w:val="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采购人在收到中标人开具的发票后15日内完成支付。</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六、项目检查考核与验收</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详细考核及评审办法见招标文件第六章部分内容。</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七、履约保证金</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7.1合同签订后乙方应根据招标文件要求交纳履约保证金（人民币</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万元）。乙方应在合同生效后7日内办理履约保证金事宜，否则甲方将终止合同，且不支付任何费用，一切后果由乙方承担。</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7.2履约保证金作为违约金的一部分及用于补偿甲方因乙方不能履行合同义务而蒙受的损失。</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7.3发生以下情况时履约保证金将被没收：</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（1）乙方单方面原因（自然灾害和国家政策等不可抗力因素除外）不按投标价格履行合同的；</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（2）乙方单方面原因（自然灾害和国家政策等不可抗力因素除外）不履行合同的。只有在甲乙双方协商一致的情况下才能免除履约保证金条款。</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（3）在工作中，乙方及乙方工作人员有违法犯罪行为的。</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（4）招标文件中明确的应当没收履约保证金的相应条款。</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7.4履约保证金退还：本合同服务期满，验收符合要求，结清所有款项，由甲方无息退还履约保证金给乙方。</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八、双方责任</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8.1 甲方未按本合同第五条约定在规定期限内付款，每超过三月，按当季结算价的5‰向乙方支付滞纳金。</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8.2乙方在合同期内，须按服务内容和管理部门要求开展科学的监督管理管理工作，达到“交安设施维护标准及考核办法”的要求。</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8.3乙方须严格执行招标文件中的安全文明施工措施。严格按照劳动和社会保障法律、法规雇聘工作人员确保监理工作顺利开展。在作业期间乙方人员的安全和第三方安全责任，由乙方负全责。</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8.4 乙方监理人员工作不力造成问题，导致甲方和维护方产生损失的，乙方负全责。</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8.5在工作中，如乙方及乙方工作人员有违反相关法律法规规定及其他违法犯罪事件，给甲方造成损失的，由乙方依法进行赔偿。</w:t>
      </w:r>
    </w:p>
    <w:p>
      <w:pPr>
        <w:numPr>
          <w:ilvl w:val="0"/>
          <w:numId w:val="9"/>
        </w:num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合同解除</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9.1本合同试用期2个月。试用期间，若乙方没有尽到相关责任，甲方有权解除本合同。</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9.2违反本合同第八条8.2、8.3、8.4、8.5项规定的，甲方有权解除本合同，由此造成的损失由乙方自行承担。</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9.3经双方协商一致可解除本合同。</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十、争议解决</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执行本合同中发生的或与本合同有关的争端，双方应通过友好协商的方式解决，协商不成时，可向双流区人民法院提起民事诉讼。</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十一、附则</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11.1本合同一式六份，甲乙双方各执两份，采购代理机构执两份。</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11.2本合同自双方代表签字，加盖双方公章或合同专用章即生效，服务期满验收符合要求，结清所有款项后终止。</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11.3本合同签订后，甲乙双方如需要提出修改时，经双方协商一致后，有关本项目的洽商、变更等书面协议或文件视为本合同的组成部分。</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11.4本合同未尽事宜，由双方另行商定</w:t>
      </w:r>
      <w:r>
        <w:rPr>
          <w:rFonts w:hint="eastAsia" w:ascii="宋体" w:hAnsi="宋体" w:eastAsia="宋体" w:cs="宋体"/>
          <w:color w:val="auto"/>
          <w:sz w:val="28"/>
          <w:szCs w:val="28"/>
          <w:lang w:eastAsia="zh-CN"/>
        </w:rPr>
        <w:t>，并签署补充协议</w:t>
      </w:r>
      <w:r>
        <w:rPr>
          <w:rFonts w:hint="eastAsia" w:ascii="宋体" w:hAnsi="宋体" w:eastAsia="宋体" w:cs="宋体"/>
          <w:color w:val="auto"/>
          <w:sz w:val="28"/>
          <w:szCs w:val="28"/>
        </w:rPr>
        <w:t>。</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十二、合同附件</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t>附件1：监理承诺书</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t>附件2：中标通知书复印件</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附件3：履约保证金凭证复印件</w:t>
      </w:r>
    </w:p>
    <w:p>
      <w:pPr>
        <w:spacing w:line="276" w:lineRule="auto"/>
        <w:jc w:val="left"/>
        <w:rPr>
          <w:rFonts w:hint="eastAsia" w:ascii="宋体" w:hAnsi="宋体" w:eastAsia="宋体" w:cs="宋体"/>
          <w:color w:val="auto"/>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以下无正文</w:t>
      </w:r>
      <w:r>
        <w:rPr>
          <w:rFonts w:hint="eastAsia" w:ascii="宋体" w:hAnsi="宋体" w:eastAsia="宋体" w:cs="宋体"/>
          <w:color w:val="auto"/>
          <w:sz w:val="28"/>
          <w:szCs w:val="28"/>
          <w:lang w:eastAsia="zh-CN"/>
        </w:rPr>
        <w:t>）</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甲方：（公章）                    乙方：（公章）</w:t>
      </w:r>
    </w:p>
    <w:p>
      <w:pPr>
        <w:spacing w:line="276" w:lineRule="auto"/>
        <w:ind w:left="4900" w:hanging="4900" w:hangingChars="1750"/>
        <w:jc w:val="left"/>
        <w:rPr>
          <w:rFonts w:hint="eastAsia" w:ascii="宋体" w:hAnsi="宋体" w:eastAsia="宋体" w:cs="宋体"/>
          <w:color w:val="auto"/>
          <w:sz w:val="28"/>
          <w:szCs w:val="28"/>
        </w:rPr>
      </w:pPr>
      <w:r>
        <w:rPr>
          <w:rFonts w:hint="eastAsia" w:ascii="宋体" w:hAnsi="宋体" w:eastAsia="宋体" w:cs="宋体"/>
          <w:color w:val="auto"/>
          <w:sz w:val="28"/>
          <w:szCs w:val="28"/>
        </w:rPr>
        <w:t>地址：                             地址：</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法定代表人：                       法定代表人：</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委托代表人：                       委托代表人：</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电话：                             电话：</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传真：                             传真：</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开户银行：                         开户银行：</w:t>
      </w:r>
    </w:p>
    <w:p>
      <w:pPr>
        <w:spacing w:line="276" w:lineRule="auto"/>
        <w:ind w:left="-141" w:leftChars="-67" w:firstLine="140" w:firstLineChars="50"/>
        <w:jc w:val="left"/>
        <w:rPr>
          <w:rFonts w:hint="eastAsia" w:ascii="宋体" w:hAnsi="宋体" w:eastAsia="宋体" w:cs="宋体"/>
          <w:color w:val="auto"/>
          <w:sz w:val="28"/>
          <w:szCs w:val="28"/>
        </w:rPr>
      </w:pPr>
      <w:r>
        <w:rPr>
          <w:rFonts w:hint="eastAsia" w:ascii="宋体" w:hAnsi="宋体" w:eastAsia="宋体" w:cs="宋体"/>
          <w:color w:val="auto"/>
          <w:sz w:val="28"/>
          <w:szCs w:val="28"/>
        </w:rPr>
        <w:t>账号：                             账号：</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邮政编码：                         邮政编码：</w:t>
      </w:r>
    </w:p>
    <w:p>
      <w:pPr>
        <w:spacing w:line="276" w:lineRule="auto"/>
        <w:ind w:firstLine="5600" w:firstLineChars="2000"/>
        <w:jc w:val="left"/>
        <w:rPr>
          <w:rFonts w:hint="eastAsia" w:ascii="宋体" w:hAnsi="宋体" w:eastAsia="宋体" w:cs="宋体"/>
          <w:color w:val="auto"/>
          <w:sz w:val="28"/>
          <w:szCs w:val="28"/>
        </w:rPr>
      </w:pPr>
    </w:p>
    <w:p>
      <w:pPr>
        <w:spacing w:line="276" w:lineRule="auto"/>
        <w:ind w:firstLine="5600" w:firstLineChars="2000"/>
        <w:jc w:val="left"/>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日 </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spacing w:line="276" w:lineRule="auto"/>
        <w:jc w:val="center"/>
        <w:rPr>
          <w:rFonts w:hint="eastAsia" w:ascii="宋体" w:hAnsi="宋体" w:eastAsia="宋体" w:cs="宋体"/>
          <w:b/>
          <w:color w:val="auto"/>
          <w:sz w:val="48"/>
          <w:szCs w:val="48"/>
        </w:rPr>
      </w:pPr>
      <w:r>
        <w:rPr>
          <w:rFonts w:hint="eastAsia" w:ascii="宋体" w:hAnsi="宋体" w:eastAsia="宋体" w:cs="宋体"/>
          <w:b/>
          <w:color w:val="auto"/>
          <w:sz w:val="44"/>
          <w:szCs w:val="44"/>
          <w:lang w:eastAsia="zh-CN"/>
        </w:rPr>
        <w:t>成都市公安局双流区分局道路交安设施维护服务采购项目</w:t>
      </w:r>
    </w:p>
    <w:p>
      <w:pPr>
        <w:spacing w:line="276" w:lineRule="auto"/>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（包件3）</w:t>
      </w: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jc w:val="center"/>
        <w:rPr>
          <w:rFonts w:hint="eastAsia" w:ascii="宋体" w:hAnsi="宋体" w:eastAsia="宋体" w:cs="宋体"/>
          <w:b/>
          <w:color w:val="auto"/>
          <w:sz w:val="72"/>
          <w:szCs w:val="72"/>
        </w:rPr>
      </w:pPr>
      <w:r>
        <w:rPr>
          <w:rFonts w:hint="eastAsia" w:ascii="宋体" w:hAnsi="宋体" w:eastAsia="宋体" w:cs="宋体"/>
          <w:b/>
          <w:color w:val="auto"/>
          <w:sz w:val="72"/>
          <w:szCs w:val="72"/>
        </w:rPr>
        <w:t>合 同 协 议 书</w:t>
      </w: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color w:val="auto"/>
          <w:sz w:val="30"/>
          <w:szCs w:val="30"/>
          <w:lang w:eastAsia="zh-CN"/>
        </w:rPr>
      </w:pPr>
      <w:r>
        <w:rPr>
          <w:rFonts w:hint="eastAsia" w:ascii="宋体" w:hAnsi="宋体" w:eastAsia="宋体" w:cs="宋体"/>
          <w:color w:val="auto"/>
          <w:sz w:val="30"/>
          <w:szCs w:val="30"/>
          <w:lang w:val="en-US" w:eastAsia="zh-CN"/>
        </w:rPr>
        <w:t>甲</w:t>
      </w:r>
      <w:r>
        <w:rPr>
          <w:rFonts w:hint="eastAsia" w:ascii="宋体" w:hAnsi="宋体" w:eastAsia="宋体" w:cs="宋体"/>
          <w:color w:val="auto"/>
          <w:sz w:val="30"/>
          <w:szCs w:val="30"/>
        </w:rPr>
        <w:t xml:space="preserve">  方：成都市公安局双流区分局</w:t>
      </w:r>
      <w:r>
        <w:rPr>
          <w:rFonts w:hint="eastAsia" w:ascii="宋体" w:hAnsi="宋体" w:eastAsia="宋体" w:cs="宋体"/>
          <w:color w:val="auto"/>
          <w:sz w:val="30"/>
          <w:szCs w:val="30"/>
          <w:lang w:val="en-US" w:eastAsia="zh-CN"/>
        </w:rPr>
        <w:t xml:space="preserve"> </w:t>
      </w:r>
    </w:p>
    <w:p>
      <w:pPr>
        <w:spacing w:line="276" w:lineRule="auto"/>
        <w:rPr>
          <w:rFonts w:hint="eastAsia" w:ascii="宋体" w:hAnsi="宋体" w:eastAsia="宋体" w:cs="宋体"/>
          <w:color w:val="auto"/>
          <w:sz w:val="30"/>
          <w:szCs w:val="30"/>
          <w:lang w:eastAsia="zh-CN"/>
        </w:rPr>
      </w:pPr>
      <w:r>
        <w:rPr>
          <w:rFonts w:hint="eastAsia" w:ascii="宋体" w:hAnsi="宋体" w:eastAsia="宋体" w:cs="宋体"/>
          <w:color w:val="auto"/>
          <w:sz w:val="30"/>
          <w:szCs w:val="30"/>
          <w:lang w:val="en-US" w:eastAsia="zh-CN"/>
        </w:rPr>
        <w:t>乙</w:t>
      </w:r>
      <w:r>
        <w:rPr>
          <w:rFonts w:hint="eastAsia" w:ascii="宋体" w:hAnsi="宋体" w:eastAsia="宋体" w:cs="宋体"/>
          <w:color w:val="auto"/>
          <w:sz w:val="30"/>
          <w:szCs w:val="30"/>
        </w:rPr>
        <w:t xml:space="preserve">  方：</w:t>
      </w:r>
      <w:r>
        <w:rPr>
          <w:rFonts w:hint="eastAsia" w:ascii="宋体" w:hAnsi="宋体" w:eastAsia="宋体" w:cs="宋体"/>
          <w:color w:val="auto"/>
          <w:sz w:val="30"/>
          <w:szCs w:val="30"/>
          <w:lang w:val="en-US" w:eastAsia="zh-CN"/>
        </w:rPr>
        <w:t xml:space="preserve">  </w:t>
      </w:r>
    </w:p>
    <w:p>
      <w:pPr>
        <w:spacing w:line="276" w:lineRule="auto"/>
        <w:rPr>
          <w:rFonts w:hint="eastAsia" w:ascii="宋体" w:hAnsi="宋体" w:eastAsia="宋体" w:cs="宋体"/>
          <w:color w:val="auto"/>
          <w:sz w:val="30"/>
          <w:szCs w:val="30"/>
        </w:rPr>
      </w:pPr>
      <w:r>
        <w:rPr>
          <w:rFonts w:hint="eastAsia" w:ascii="宋体" w:hAnsi="宋体" w:eastAsia="宋体" w:cs="宋体"/>
          <w:color w:val="auto"/>
          <w:sz w:val="30"/>
          <w:szCs w:val="30"/>
        </w:rPr>
        <w:t>日  期：</w:t>
      </w:r>
      <w:r>
        <w:rPr>
          <w:rFonts w:hint="eastAsia" w:ascii="宋体" w:hAnsi="宋体" w:eastAsia="宋体" w:cs="宋体"/>
          <w:color w:val="auto"/>
          <w:sz w:val="30"/>
          <w:szCs w:val="30"/>
          <w:lang w:val="en-US" w:eastAsia="zh-CN"/>
        </w:rPr>
        <w:t xml:space="preserve"> </w:t>
      </w:r>
      <w:r>
        <w:rPr>
          <w:rFonts w:hint="eastAsia" w:ascii="宋体" w:hAnsi="宋体" w:eastAsia="宋体" w:cs="宋体"/>
          <w:color w:val="auto"/>
          <w:sz w:val="30"/>
          <w:szCs w:val="30"/>
        </w:rPr>
        <w:t>年</w:t>
      </w:r>
      <w:r>
        <w:rPr>
          <w:rFonts w:hint="eastAsia" w:ascii="宋体" w:hAnsi="宋体" w:eastAsia="宋体" w:cs="宋体"/>
          <w:color w:val="auto"/>
          <w:sz w:val="30"/>
          <w:szCs w:val="30"/>
          <w:lang w:val="en-US" w:eastAsia="zh-CN"/>
        </w:rPr>
        <w:t xml:space="preserve"> </w:t>
      </w:r>
      <w:r>
        <w:rPr>
          <w:rFonts w:hint="eastAsia" w:ascii="宋体" w:hAnsi="宋体" w:eastAsia="宋体" w:cs="宋体"/>
          <w:color w:val="auto"/>
          <w:sz w:val="30"/>
          <w:szCs w:val="30"/>
        </w:rPr>
        <w:t>月</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spacing w:line="276" w:lineRule="auto"/>
        <w:rPr>
          <w:rFonts w:hint="eastAsia" w:ascii="宋体" w:hAnsi="宋体" w:eastAsia="宋体" w:cs="宋体"/>
          <w:color w:val="auto"/>
          <w:sz w:val="28"/>
          <w:szCs w:val="28"/>
        </w:rPr>
      </w:pPr>
      <w:r>
        <w:rPr>
          <w:rFonts w:hint="eastAsia" w:ascii="宋体" w:hAnsi="宋体" w:eastAsia="宋体" w:cs="宋体"/>
          <w:color w:val="auto"/>
          <w:sz w:val="28"/>
          <w:szCs w:val="28"/>
        </w:rPr>
        <w:t>合同编号：</w:t>
      </w:r>
    </w:p>
    <w:p>
      <w:pPr>
        <w:spacing w:line="276" w:lineRule="auto"/>
        <w:rPr>
          <w:rFonts w:hint="eastAsia" w:ascii="宋体" w:hAnsi="宋体" w:eastAsia="宋体" w:cs="宋体"/>
          <w:color w:val="auto"/>
          <w:sz w:val="28"/>
          <w:szCs w:val="28"/>
        </w:rPr>
      </w:pPr>
      <w:r>
        <w:rPr>
          <w:rFonts w:hint="eastAsia" w:ascii="宋体" w:hAnsi="宋体" w:eastAsia="宋体" w:cs="宋体"/>
          <w:color w:val="auto"/>
          <w:sz w:val="28"/>
          <w:szCs w:val="28"/>
        </w:rPr>
        <w:t>签订地点：成都市双流区</w:t>
      </w:r>
    </w:p>
    <w:p>
      <w:pPr>
        <w:spacing w:line="276" w:lineRule="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签订时间：2021年00月00日 </w:t>
      </w:r>
    </w:p>
    <w:p>
      <w:pPr>
        <w:spacing w:line="276" w:lineRule="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甲</w:t>
      </w:r>
      <w:r>
        <w:rPr>
          <w:rFonts w:hint="eastAsia" w:ascii="宋体" w:hAnsi="宋体" w:eastAsia="宋体" w:cs="宋体"/>
          <w:color w:val="auto"/>
          <w:sz w:val="28"/>
          <w:szCs w:val="28"/>
        </w:rPr>
        <w:t xml:space="preserve">    方：成都市公安局双流区分局</w:t>
      </w:r>
      <w:r>
        <w:rPr>
          <w:rFonts w:hint="eastAsia" w:ascii="宋体" w:hAnsi="宋体" w:eastAsia="宋体" w:cs="宋体"/>
          <w:color w:val="auto"/>
          <w:sz w:val="28"/>
          <w:szCs w:val="28"/>
          <w:lang w:val="en-US" w:eastAsia="zh-CN"/>
        </w:rPr>
        <w:t xml:space="preserve"> </w:t>
      </w:r>
    </w:p>
    <w:p>
      <w:pPr>
        <w:spacing w:line="276" w:lineRule="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乙</w:t>
      </w:r>
      <w:r>
        <w:rPr>
          <w:rFonts w:hint="eastAsia" w:ascii="宋体" w:hAnsi="宋体" w:eastAsia="宋体" w:cs="宋体"/>
          <w:color w:val="auto"/>
          <w:sz w:val="28"/>
          <w:szCs w:val="28"/>
        </w:rPr>
        <w:t xml:space="preserve">    方：</w:t>
      </w:r>
      <w:r>
        <w:rPr>
          <w:rFonts w:hint="eastAsia" w:ascii="宋体" w:hAnsi="宋体" w:eastAsia="宋体" w:cs="宋体"/>
          <w:color w:val="auto"/>
          <w:sz w:val="28"/>
          <w:szCs w:val="28"/>
          <w:lang w:val="en-US" w:eastAsia="zh-CN"/>
        </w:rPr>
        <w:t xml:space="preserve">  </w:t>
      </w:r>
    </w:p>
    <w:p>
      <w:pPr>
        <w:spacing w:line="276" w:lineRule="auto"/>
        <w:ind w:firstLine="700" w:firstLineChars="250"/>
        <w:jc w:val="left"/>
        <w:rPr>
          <w:rFonts w:hint="eastAsia" w:ascii="宋体" w:hAnsi="宋体" w:eastAsia="宋体" w:cs="宋体"/>
          <w:b/>
          <w:color w:val="auto"/>
          <w:sz w:val="28"/>
          <w:szCs w:val="28"/>
        </w:rPr>
      </w:pPr>
      <w:r>
        <w:rPr>
          <w:rFonts w:hint="eastAsia" w:ascii="宋体" w:hAnsi="宋体" w:eastAsia="宋体" w:cs="宋体"/>
          <w:color w:val="auto"/>
          <w:sz w:val="28"/>
          <w:szCs w:val="28"/>
        </w:rPr>
        <w:t>依照《中华人民共和国</w:t>
      </w:r>
      <w:r>
        <w:rPr>
          <w:rFonts w:hint="eastAsia" w:ascii="宋体" w:hAnsi="宋体" w:eastAsia="宋体" w:cs="宋体"/>
          <w:color w:val="auto"/>
          <w:sz w:val="28"/>
          <w:szCs w:val="28"/>
          <w:lang w:val="en-US" w:eastAsia="zh-CN"/>
        </w:rPr>
        <w:t>民法典</w:t>
      </w:r>
      <w:r>
        <w:rPr>
          <w:rFonts w:hint="eastAsia" w:ascii="宋体" w:hAnsi="宋体" w:eastAsia="宋体" w:cs="宋体"/>
          <w:color w:val="auto"/>
          <w:sz w:val="28"/>
          <w:szCs w:val="28"/>
        </w:rPr>
        <w:t>》《中华人民共和国政府采购法》及其他有关法律、行政法规，遵循平等、自愿、公平和诚实信用的原则，双方就</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项目</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none"/>
          <w:lang w:val="en-US" w:eastAsia="zh-CN"/>
        </w:rPr>
        <w:t>包</w:t>
      </w:r>
      <w:r>
        <w:rPr>
          <w:rFonts w:hint="eastAsia" w:ascii="宋体" w:hAnsi="宋体" w:eastAsia="宋体" w:cs="宋体"/>
          <w:color w:val="auto"/>
          <w:sz w:val="28"/>
          <w:szCs w:val="28"/>
        </w:rPr>
        <w:t>服务采购事项协商一致，同意按下述条款和条件签署本合同及附件。</w:t>
      </w:r>
    </w:p>
    <w:p>
      <w:pPr>
        <w:spacing w:line="276" w:lineRule="auto"/>
        <w:ind w:firstLine="562" w:firstLineChars="200"/>
        <w:jc w:val="left"/>
        <w:rPr>
          <w:rFonts w:hint="eastAsia" w:ascii="宋体" w:hAnsi="宋体" w:eastAsia="宋体" w:cs="宋体"/>
          <w:b/>
          <w:color w:val="auto"/>
          <w:sz w:val="28"/>
          <w:szCs w:val="28"/>
        </w:rPr>
      </w:pPr>
      <w:r>
        <w:rPr>
          <w:rFonts w:hint="eastAsia" w:ascii="宋体" w:hAnsi="宋体" w:eastAsia="宋体" w:cs="宋体"/>
          <w:b/>
          <w:color w:val="auto"/>
          <w:sz w:val="28"/>
          <w:szCs w:val="28"/>
        </w:rPr>
        <w:t>说明和要求：</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1、招标文件（招标编号：</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）和投标文件及其澄清和确认文件均为本合同不可分割部分。</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2、本合同内容受中华人民共和国的法律保护和制约；</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3、本合同术语的定义按《中华人民共和国</w:t>
      </w:r>
      <w:r>
        <w:rPr>
          <w:rFonts w:hint="eastAsia" w:ascii="宋体" w:hAnsi="宋体" w:eastAsia="宋体" w:cs="宋体"/>
          <w:color w:val="auto"/>
          <w:sz w:val="28"/>
          <w:szCs w:val="28"/>
          <w:lang w:val="en-US" w:eastAsia="zh-Hans"/>
        </w:rPr>
        <w:t>民法典</w:t>
      </w:r>
      <w:r>
        <w:rPr>
          <w:rFonts w:hint="eastAsia" w:ascii="宋体" w:hAnsi="宋体" w:eastAsia="宋体" w:cs="宋体"/>
          <w:color w:val="auto"/>
          <w:sz w:val="28"/>
          <w:szCs w:val="28"/>
        </w:rPr>
        <w:t>》和招标文件有关条款解释。</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4、本合同项下全部内容均不得转让、不得分包、不得挂靠，禁止挂牌企业参与竞争，如</w:t>
      </w:r>
      <w:r>
        <w:rPr>
          <w:rFonts w:hint="eastAsia" w:ascii="宋体" w:hAnsi="宋体" w:eastAsia="宋体" w:cs="宋体"/>
          <w:color w:val="auto"/>
          <w:sz w:val="28"/>
          <w:szCs w:val="28"/>
          <w:lang w:val="en-US" w:eastAsia="zh-Hans"/>
        </w:rPr>
        <w:t>甲方</w:t>
      </w:r>
      <w:r>
        <w:rPr>
          <w:rFonts w:hint="eastAsia" w:ascii="宋体" w:hAnsi="宋体" w:eastAsia="宋体" w:cs="宋体"/>
          <w:color w:val="auto"/>
          <w:sz w:val="28"/>
          <w:szCs w:val="28"/>
        </w:rPr>
        <w:t>在合同签订后发现</w:t>
      </w:r>
      <w:r>
        <w:rPr>
          <w:rFonts w:hint="eastAsia" w:ascii="宋体" w:hAnsi="宋体" w:eastAsia="宋体" w:cs="宋体"/>
          <w:color w:val="auto"/>
          <w:sz w:val="28"/>
          <w:szCs w:val="28"/>
          <w:lang w:val="en-US" w:eastAsia="zh-Hans"/>
        </w:rPr>
        <w:t>乙方</w:t>
      </w:r>
      <w:r>
        <w:rPr>
          <w:rFonts w:hint="eastAsia" w:ascii="宋体" w:hAnsi="宋体" w:eastAsia="宋体" w:cs="宋体"/>
          <w:color w:val="auto"/>
          <w:sz w:val="28"/>
          <w:szCs w:val="28"/>
        </w:rPr>
        <w:t>有上述行为的，甲方有权终止合同，且不支付任何费用。</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5、本项目招标文件和投标文件中所确定的人员配备、机具</w:t>
      </w:r>
      <w:r>
        <w:rPr>
          <w:rFonts w:hint="eastAsia" w:ascii="宋体" w:hAnsi="宋体" w:eastAsia="宋体" w:cs="宋体"/>
          <w:color w:val="auto"/>
          <w:sz w:val="28"/>
          <w:szCs w:val="28"/>
          <w:lang w:val="en-US" w:eastAsia="zh-Hans"/>
        </w:rPr>
        <w:t>车辆</w:t>
      </w:r>
      <w:r>
        <w:rPr>
          <w:rFonts w:hint="eastAsia" w:ascii="宋体" w:hAnsi="宋体" w:eastAsia="宋体" w:cs="宋体"/>
          <w:color w:val="auto"/>
          <w:sz w:val="28"/>
          <w:szCs w:val="28"/>
        </w:rPr>
        <w:t>配备等存在弄虚作假或者不按甲方要求布置配备的，甲方有权终止合同，且不支付任何费用。</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6、乙方必须遵守国家安全主管和质量监督检验部门的现行有关规定，保证提供的设备、材料的全部内容严格按照招标文件的要求和投标文件的承诺执行，并完全符合现行国家标准和质量监督检验部门规定的验收标准和要求。</w:t>
      </w:r>
    </w:p>
    <w:p>
      <w:pPr>
        <w:spacing w:line="4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7、乙方的交货进度应服从甲方的工程总体进度安排和需要。</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一、作业范围、项目概况及内容</w:t>
      </w:r>
    </w:p>
    <w:p>
      <w:pPr>
        <w:spacing w:line="276" w:lineRule="auto"/>
        <w:jc w:val="left"/>
        <w:rPr>
          <w:rFonts w:hint="eastAsia" w:ascii="宋体" w:hAnsi="宋体" w:eastAsia="宋体" w:cs="宋体"/>
          <w:b/>
          <w:color w:val="auto"/>
          <w:sz w:val="28"/>
          <w:szCs w:val="28"/>
        </w:rPr>
      </w:pPr>
      <w:r>
        <w:rPr>
          <w:rFonts w:hint="eastAsia" w:ascii="宋体" w:hAnsi="宋体" w:eastAsia="宋体" w:cs="宋体"/>
          <w:b/>
          <w:color w:val="auto"/>
          <w:sz w:val="28"/>
          <w:szCs w:val="28"/>
        </w:rPr>
        <w:t>合同范围：</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1.1项目名称：成都市公安局双流区分局道路交安设施维护服务采购项目</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1.2作业范围、项目概况及内容：详见《招标文件》第六章。</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二、合同期限</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2.1本项目服务期限为2年，合同一年一签。</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2.2本次合同执行起始、终止日期：</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日至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日。</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三、交安设施维护的工作要求</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3.1维护作业现场应当落实文明、安全生产措施。作业结束后，保持现场</w:t>
      </w:r>
      <w:r>
        <w:rPr>
          <w:rFonts w:hint="eastAsia" w:ascii="宋体" w:hAnsi="宋体" w:eastAsia="宋体" w:cs="宋体"/>
          <w:color w:val="auto"/>
          <w:sz w:val="28"/>
          <w:szCs w:val="28"/>
          <w:lang w:val="en-US" w:eastAsia="zh-Hans"/>
        </w:rPr>
        <w:t>清洁</w:t>
      </w:r>
      <w:r>
        <w:rPr>
          <w:rFonts w:hint="eastAsia" w:ascii="宋体" w:hAnsi="宋体" w:eastAsia="宋体" w:cs="宋体"/>
          <w:color w:val="auto"/>
          <w:sz w:val="28"/>
          <w:szCs w:val="28"/>
        </w:rPr>
        <w:t>，不得遗留垃圾、作业工具等物品。</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3.2维护现场应当</w:t>
      </w:r>
      <w:r>
        <w:rPr>
          <w:rFonts w:hint="eastAsia" w:ascii="宋体" w:hAnsi="宋体" w:eastAsia="宋体" w:cs="宋体"/>
          <w:color w:val="auto"/>
          <w:sz w:val="28"/>
          <w:szCs w:val="28"/>
          <w:lang w:val="en-US" w:eastAsia="zh-Hans"/>
        </w:rPr>
        <w:t>按照施工作业规范要求</w:t>
      </w:r>
      <w:r>
        <w:rPr>
          <w:rFonts w:hint="eastAsia" w:ascii="宋体" w:hAnsi="宋体" w:eastAsia="宋体" w:cs="宋体"/>
          <w:color w:val="auto"/>
          <w:sz w:val="28"/>
          <w:szCs w:val="28"/>
        </w:rPr>
        <w:t>摆放</w:t>
      </w:r>
      <w:r>
        <w:rPr>
          <w:rFonts w:hint="eastAsia" w:ascii="宋体" w:hAnsi="宋体" w:eastAsia="宋体" w:cs="宋体"/>
          <w:color w:val="auto"/>
          <w:sz w:val="28"/>
          <w:szCs w:val="28"/>
          <w:lang w:val="en-US" w:eastAsia="zh-Hans"/>
        </w:rPr>
        <w:t>足够</w:t>
      </w:r>
      <w:r>
        <w:rPr>
          <w:rFonts w:hint="eastAsia" w:ascii="宋体" w:hAnsi="宋体" w:eastAsia="宋体" w:cs="宋体"/>
          <w:color w:val="auto"/>
          <w:sz w:val="28"/>
          <w:szCs w:val="28"/>
        </w:rPr>
        <w:t>可移动式LED诱导标和若干锥形桶</w:t>
      </w:r>
      <w:r>
        <w:rPr>
          <w:rFonts w:hint="eastAsia" w:ascii="宋体" w:hAnsi="宋体" w:eastAsia="宋体" w:cs="宋体"/>
          <w:color w:val="auto"/>
          <w:sz w:val="28"/>
          <w:szCs w:val="28"/>
          <w:lang w:val="en-US" w:eastAsia="zh-Hans"/>
        </w:rPr>
        <w:t>等临时设施</w:t>
      </w:r>
      <w:r>
        <w:rPr>
          <w:rFonts w:hint="eastAsia" w:ascii="宋体" w:hAnsi="宋体" w:eastAsia="宋体" w:cs="宋体"/>
          <w:color w:val="auto"/>
          <w:sz w:val="28"/>
          <w:szCs w:val="28"/>
        </w:rPr>
        <w:t>，锥形桶外观应当统一</w:t>
      </w:r>
      <w:r>
        <w:rPr>
          <w:rFonts w:hint="eastAsia" w:ascii="宋体" w:hAnsi="宋体" w:eastAsia="宋体" w:cs="宋体"/>
          <w:color w:val="auto"/>
          <w:sz w:val="28"/>
          <w:szCs w:val="28"/>
          <w:lang w:eastAsia="zh-Hans"/>
        </w:rPr>
        <w:t>，</w:t>
      </w:r>
      <w:r>
        <w:rPr>
          <w:rFonts w:hint="eastAsia" w:ascii="宋体" w:hAnsi="宋体" w:eastAsia="宋体" w:cs="宋体"/>
          <w:color w:val="auto"/>
          <w:sz w:val="28"/>
          <w:szCs w:val="28"/>
          <w:lang w:val="en-US" w:eastAsia="zh-Hans"/>
        </w:rPr>
        <w:t>确保施工安全规范</w:t>
      </w:r>
      <w:r>
        <w:rPr>
          <w:rFonts w:hint="eastAsia" w:ascii="宋体" w:hAnsi="宋体" w:eastAsia="宋体" w:cs="宋体"/>
          <w:color w:val="auto"/>
          <w:sz w:val="28"/>
          <w:szCs w:val="28"/>
        </w:rPr>
        <w:t>。</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3.3维护人员统一服装并穿戴反光背心。背心背面喷涂白色“</w:t>
      </w:r>
      <w:r>
        <w:rPr>
          <w:rFonts w:hint="eastAsia" w:ascii="宋体" w:hAnsi="宋体" w:eastAsia="宋体" w:cs="宋体"/>
          <w:color w:val="auto"/>
          <w:sz w:val="28"/>
          <w:szCs w:val="28"/>
          <w:lang w:val="en-US" w:eastAsia="zh-Hans"/>
        </w:rPr>
        <w:t>双流</w:t>
      </w:r>
      <w:r>
        <w:rPr>
          <w:rFonts w:hint="eastAsia" w:ascii="宋体" w:hAnsi="宋体" w:eastAsia="宋体" w:cs="宋体"/>
          <w:color w:val="auto"/>
          <w:sz w:val="28"/>
          <w:szCs w:val="28"/>
        </w:rPr>
        <w:t>交通设施维护”字样。维护车辆在左右车门上喷涂“</w:t>
      </w:r>
      <w:r>
        <w:rPr>
          <w:rFonts w:hint="eastAsia" w:ascii="宋体" w:hAnsi="宋体" w:eastAsia="宋体" w:cs="宋体"/>
          <w:color w:val="auto"/>
          <w:sz w:val="28"/>
          <w:szCs w:val="28"/>
          <w:lang w:val="en-US" w:eastAsia="zh-Hans"/>
        </w:rPr>
        <w:t>双流</w:t>
      </w:r>
      <w:r>
        <w:rPr>
          <w:rFonts w:hint="eastAsia" w:ascii="宋体" w:hAnsi="宋体" w:eastAsia="宋体" w:cs="宋体"/>
          <w:color w:val="auto"/>
          <w:sz w:val="28"/>
          <w:szCs w:val="28"/>
        </w:rPr>
        <w:t>交通设施维护”字样。</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3.4维护作业不得妨碍和阻断交通，维护方案必须经过甲方同意方可实施。维护作业人员应当注意交通安全，设置安全警示标志预防交通事故发生。在作业期间，乙方机具财产、人员以及第三方的安全责任，概由乙方负责。</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3.5乙方须安排工作人员24小时</w:t>
      </w:r>
      <w:r>
        <w:rPr>
          <w:rFonts w:hint="eastAsia" w:ascii="宋体" w:hAnsi="宋体" w:eastAsia="宋体" w:cs="宋体"/>
          <w:color w:val="auto"/>
          <w:sz w:val="28"/>
          <w:szCs w:val="28"/>
          <w:lang w:val="en-US" w:eastAsia="zh-Hans"/>
        </w:rPr>
        <w:t>全天候</w:t>
      </w:r>
      <w:r>
        <w:rPr>
          <w:rFonts w:hint="eastAsia" w:ascii="宋体" w:hAnsi="宋体" w:eastAsia="宋体" w:cs="宋体"/>
          <w:color w:val="auto"/>
          <w:sz w:val="28"/>
          <w:szCs w:val="28"/>
        </w:rPr>
        <w:t>值守，接到通知后按规定时间到达现场，</w:t>
      </w:r>
      <w:r>
        <w:rPr>
          <w:rFonts w:hint="eastAsia" w:ascii="宋体" w:hAnsi="宋体" w:eastAsia="宋体" w:cs="宋体"/>
          <w:color w:val="auto"/>
          <w:sz w:val="28"/>
          <w:szCs w:val="28"/>
          <w:lang w:val="en-US" w:eastAsia="zh-Hans"/>
        </w:rPr>
        <w:t>按要求</w:t>
      </w:r>
      <w:r>
        <w:rPr>
          <w:rFonts w:hint="eastAsia" w:ascii="宋体" w:hAnsi="宋体" w:eastAsia="宋体" w:cs="宋体"/>
          <w:color w:val="auto"/>
          <w:sz w:val="28"/>
          <w:szCs w:val="28"/>
        </w:rPr>
        <w:t>及时排除故障。</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3.6对维护服务区域内的交安设施及路名牌进行全面巡查，提前一周上报巡查计划。</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3.6.1巡查内容：</w:t>
      </w:r>
      <w:r>
        <w:rPr>
          <w:rFonts w:hint="eastAsia" w:ascii="宋体" w:hAnsi="宋体" w:eastAsia="宋体" w:cs="宋体"/>
          <w:color w:val="auto"/>
          <w:sz w:val="28"/>
          <w:szCs w:val="28"/>
          <w:lang w:val="en-US" w:eastAsia="zh-Hans"/>
        </w:rPr>
        <w:t>信号灯设置错误、不合理、冲突、故障等；</w:t>
      </w:r>
      <w:r>
        <w:rPr>
          <w:rFonts w:hint="eastAsia" w:ascii="宋体" w:hAnsi="宋体" w:eastAsia="宋体" w:cs="宋体"/>
          <w:color w:val="auto"/>
          <w:sz w:val="28"/>
          <w:szCs w:val="28"/>
        </w:rPr>
        <w:t>交安设施及路名牌之间、交安设施与交通组织是否存在矛盾和冲突；是否有树枝遮挡情况；是否存在倾倒、脏污、缺失、损坏、被盗、安全隐患情况；是否存在非法小广告、牛皮鲜等污染情况；排查非标情况；交安设施及路名牌内容错误情况</w:t>
      </w:r>
      <w:r>
        <w:rPr>
          <w:rFonts w:hint="eastAsia" w:ascii="宋体" w:hAnsi="宋体" w:eastAsia="宋体" w:cs="宋体"/>
          <w:color w:val="auto"/>
          <w:sz w:val="28"/>
          <w:szCs w:val="28"/>
          <w:lang w:eastAsia="zh-Hans"/>
        </w:rPr>
        <w:t>；</w:t>
      </w:r>
      <w:r>
        <w:rPr>
          <w:rFonts w:hint="eastAsia" w:ascii="宋体" w:hAnsi="宋体" w:eastAsia="宋体" w:cs="宋体"/>
          <w:color w:val="auto"/>
          <w:sz w:val="28"/>
          <w:szCs w:val="28"/>
          <w:lang w:val="en-US" w:eastAsia="zh-Hans"/>
        </w:rPr>
        <w:t>所有交安设施的其他问题等等</w:t>
      </w:r>
      <w:r>
        <w:rPr>
          <w:rFonts w:hint="eastAsia" w:ascii="宋体" w:hAnsi="宋体" w:eastAsia="宋体" w:cs="宋体"/>
          <w:color w:val="auto"/>
          <w:sz w:val="28"/>
          <w:szCs w:val="28"/>
        </w:rPr>
        <w:t>。</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3.6.2巡查人员车辆要求：配备</w:t>
      </w:r>
      <w:r>
        <w:rPr>
          <w:rFonts w:hint="eastAsia" w:ascii="宋体" w:hAnsi="宋体" w:eastAsia="宋体" w:cs="宋体"/>
          <w:color w:val="auto"/>
          <w:sz w:val="28"/>
          <w:szCs w:val="28"/>
          <w:lang w:val="en-US" w:eastAsia="zh-Hans"/>
        </w:rPr>
        <w:t>足够人员及</w:t>
      </w:r>
      <w:r>
        <w:rPr>
          <w:rFonts w:hint="eastAsia" w:ascii="宋体" w:hAnsi="宋体" w:eastAsia="宋体" w:cs="宋体"/>
          <w:color w:val="auto"/>
          <w:sz w:val="28"/>
          <w:szCs w:val="28"/>
        </w:rPr>
        <w:t>车辆进行巡查</w:t>
      </w:r>
      <w:r>
        <w:rPr>
          <w:rFonts w:hint="eastAsia" w:ascii="宋体" w:hAnsi="宋体" w:eastAsia="宋体" w:cs="宋体"/>
          <w:color w:val="auto"/>
          <w:sz w:val="28"/>
          <w:szCs w:val="28"/>
          <w:lang w:eastAsia="zh-Hans"/>
        </w:rPr>
        <w:t>，</w:t>
      </w:r>
      <w:r>
        <w:rPr>
          <w:rFonts w:hint="eastAsia" w:ascii="宋体" w:hAnsi="宋体" w:eastAsia="宋体" w:cs="宋体"/>
          <w:color w:val="auto"/>
          <w:sz w:val="28"/>
          <w:szCs w:val="28"/>
          <w:lang w:val="en-US" w:eastAsia="zh-Hans"/>
        </w:rPr>
        <w:t>满足工作需求</w:t>
      </w:r>
      <w:r>
        <w:rPr>
          <w:rFonts w:hint="eastAsia" w:ascii="宋体" w:hAnsi="宋体" w:eastAsia="宋体" w:cs="宋体"/>
          <w:color w:val="auto"/>
          <w:sz w:val="28"/>
          <w:szCs w:val="28"/>
        </w:rPr>
        <w:t>。</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3.6.3通过巡查发现问题，及时上报甲方和监理，并按照派工单开展维护工作。按时填写巡查、维护日志，并及时修改基础数据。每周五上午向甲方和监理上报巡查日志（上周四至本周四）。巡查过程中发现智能交通设施设备、交通信号灯、视频等存在问题的，应当立即上报指挥中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3.6.4巡查频率：按照甲方的具体要求和临时需求，通过派工单指令开展具体的巡查工作。（主要干道和城区道路每天巡查一次；支道、乡村道每3天巡查一次）</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3.7乙方负责对服务区域内交安设施及路名牌的清洁工作。具体要求根据派工单执行。在重大活动和国家法定节假日期间，乙方应当无条件服从甲方的</w:t>
      </w:r>
      <w:r>
        <w:rPr>
          <w:rFonts w:hint="eastAsia" w:ascii="宋体" w:hAnsi="宋体" w:eastAsia="宋体" w:cs="宋体"/>
          <w:color w:val="auto"/>
          <w:sz w:val="28"/>
          <w:szCs w:val="28"/>
          <w:lang w:val="en-US" w:eastAsia="zh-Hans"/>
        </w:rPr>
        <w:t>工作</w:t>
      </w:r>
      <w:r>
        <w:rPr>
          <w:rFonts w:hint="eastAsia" w:ascii="宋体" w:hAnsi="宋体" w:eastAsia="宋体" w:cs="宋体"/>
          <w:color w:val="auto"/>
          <w:sz w:val="28"/>
          <w:szCs w:val="28"/>
        </w:rPr>
        <w:t>安排，并按时完成任务。</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3.8在日常维护中产生费用的，需报甲方和监理核实后再进行维护。</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3.9具体工作要求按交安设施管理规定和考核办法执行。</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3.10因工作需要，在甲方采购的分部分项清单内未列举的零星服务项目，乙方应予以支持配合，费用</w:t>
      </w:r>
      <w:r>
        <w:rPr>
          <w:rFonts w:hint="eastAsia" w:ascii="宋体" w:hAnsi="宋体" w:eastAsia="宋体" w:cs="宋体"/>
          <w:color w:val="auto"/>
          <w:sz w:val="28"/>
          <w:szCs w:val="28"/>
          <w:lang w:val="en-US" w:eastAsia="zh-Hans"/>
        </w:rPr>
        <w:t>按照同行业（</w:t>
      </w:r>
      <w:r>
        <w:rPr>
          <w:rFonts w:hint="eastAsia" w:ascii="宋体" w:hAnsi="宋体" w:eastAsia="宋体" w:cs="宋体"/>
          <w:color w:val="auto"/>
          <w:sz w:val="28"/>
          <w:szCs w:val="28"/>
          <w:lang w:eastAsia="zh-Hans"/>
        </w:rPr>
        <w:t>3</w:t>
      </w:r>
      <w:r>
        <w:rPr>
          <w:rFonts w:hint="eastAsia" w:ascii="宋体" w:hAnsi="宋体" w:eastAsia="宋体" w:cs="宋体"/>
          <w:color w:val="auto"/>
          <w:sz w:val="28"/>
          <w:szCs w:val="28"/>
          <w:lang w:val="en-US" w:eastAsia="zh-Hans"/>
        </w:rPr>
        <w:t>家公司）询价情况按最低单价据实支付。</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3.11</w:t>
      </w:r>
      <w:r>
        <w:rPr>
          <w:rFonts w:hint="eastAsia" w:ascii="宋体" w:hAnsi="宋体" w:eastAsia="宋体" w:cs="宋体"/>
          <w:color w:val="auto"/>
          <w:sz w:val="28"/>
          <w:szCs w:val="28"/>
          <w:lang w:val="en-US" w:eastAsia="zh-Hans"/>
        </w:rPr>
        <w:t>满足甲方要求的其他相关施工、维护要求。</w:t>
      </w:r>
    </w:p>
    <w:p>
      <w:pPr>
        <w:spacing w:line="276" w:lineRule="auto"/>
        <w:jc w:val="left"/>
        <w:rPr>
          <w:rFonts w:hint="eastAsia" w:ascii="宋体" w:hAnsi="宋体" w:eastAsia="宋体" w:cs="宋体"/>
          <w:color w:val="auto"/>
        </w:rPr>
      </w:pPr>
      <w:r>
        <w:rPr>
          <w:rFonts w:hint="eastAsia" w:ascii="宋体" w:hAnsi="宋体" w:eastAsia="宋体" w:cs="宋体"/>
          <w:color w:val="auto"/>
          <w:sz w:val="28"/>
          <w:szCs w:val="28"/>
        </w:rPr>
        <w:t>3.12</w:t>
      </w:r>
      <w:r>
        <w:rPr>
          <w:rFonts w:hint="eastAsia" w:ascii="宋体" w:hAnsi="宋体" w:eastAsia="宋体" w:cs="宋体"/>
          <w:color w:val="auto"/>
          <w:sz w:val="28"/>
          <w:szCs w:val="28"/>
          <w:lang w:val="en-US" w:eastAsia="zh-Hans"/>
        </w:rPr>
        <w:t>完成</w:t>
      </w:r>
      <w:r>
        <w:rPr>
          <w:rFonts w:hint="eastAsia" w:ascii="宋体" w:hAnsi="宋体" w:eastAsia="宋体" w:cs="宋体"/>
          <w:color w:val="auto"/>
          <w:sz w:val="28"/>
          <w:szCs w:val="28"/>
        </w:rPr>
        <w:t>招标文件第六章部分</w:t>
      </w:r>
      <w:r>
        <w:rPr>
          <w:rFonts w:hint="eastAsia" w:ascii="宋体" w:hAnsi="宋体" w:eastAsia="宋体" w:cs="宋体"/>
          <w:color w:val="auto"/>
          <w:sz w:val="28"/>
          <w:szCs w:val="28"/>
          <w:lang w:val="en-US" w:eastAsia="zh-Hans"/>
        </w:rPr>
        <w:t>工作</w:t>
      </w:r>
      <w:r>
        <w:rPr>
          <w:rFonts w:hint="eastAsia" w:ascii="宋体" w:hAnsi="宋体" w:eastAsia="宋体" w:cs="宋体"/>
          <w:color w:val="auto"/>
          <w:sz w:val="28"/>
          <w:szCs w:val="28"/>
        </w:rPr>
        <w:t>内容</w:t>
      </w:r>
      <w:r>
        <w:rPr>
          <w:rFonts w:hint="eastAsia" w:ascii="宋体" w:hAnsi="宋体" w:eastAsia="宋体" w:cs="宋体"/>
          <w:color w:val="auto"/>
          <w:sz w:val="28"/>
          <w:szCs w:val="28"/>
          <w:lang w:val="en-US" w:eastAsia="zh-Hans"/>
        </w:rPr>
        <w:t>及其他相关甲方指派的工作任务</w:t>
      </w:r>
      <w:r>
        <w:rPr>
          <w:rFonts w:hint="eastAsia" w:ascii="宋体" w:hAnsi="宋体" w:eastAsia="宋体" w:cs="宋体"/>
          <w:color w:val="auto"/>
          <w:sz w:val="28"/>
          <w:szCs w:val="28"/>
        </w:rPr>
        <w:t>。</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四、交安设施维护质量要求</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4.1施工规范：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4.1.1信号灯维护施工</w:t>
      </w:r>
      <w:r>
        <w:rPr>
          <w:rFonts w:hint="eastAsia" w:ascii="宋体" w:hAnsi="宋体" w:eastAsia="宋体" w:cs="宋体"/>
          <w:color w:val="auto"/>
          <w:sz w:val="28"/>
          <w:szCs w:val="28"/>
          <w:lang w:val="en-US" w:eastAsia="zh-Hans"/>
        </w:rPr>
        <w:t>相关</w:t>
      </w:r>
      <w:r>
        <w:rPr>
          <w:rFonts w:hint="eastAsia" w:ascii="宋体" w:hAnsi="宋体" w:eastAsia="宋体" w:cs="宋体"/>
          <w:color w:val="auto"/>
          <w:sz w:val="28"/>
          <w:szCs w:val="28"/>
        </w:rPr>
        <w:t>规范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（1）《中华人民共和国道路交通安全法》</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（2）《四川省〈中华人民共和国道路交通安全法〉实施办法》</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（3）《道路交通信号灯》 (GB14887－2011)</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（4）《道路交通信号控制机》（GB25280-2016）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（5）《太阳能黄闪信号灯》GA/T743-2007</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（6）《道路交通信号控制机安装规范》(GA/T 489-2016)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（7）《人行过街信号控制设置规范》(GA/T 851-2009)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（8）《城市道路交通信号控制方式适用规范》GA/T 527-2016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（9）《道路交通信号倒计时显示器》（GA/T 508-2014）</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（10）《道路交通信号灯设置与安装规范 》（GB 14886-2016）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（11）《结构用无缝钢管》（GB/T8162-2018）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（12）《额定电压450/750V及以下聚氯乙烯绝缘电缆》GB/T5023-2008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（13）《城镇道路养护技术规范》（CJJ36-2016）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（14）《建筑物防雷设计规范》（GB50057-2010）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（15）《电气装置安装工程施工验收规范》GB50254、50255、50256、50257-2014</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（16）《检查井盖》（GB23858-2009）及《成都市城市道路桥梁检查井盖监督管理技术规定》</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（17）《成都市信号灯设置原则》</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4.1.2交通标志、标线维护施工</w:t>
      </w:r>
      <w:r>
        <w:rPr>
          <w:rFonts w:hint="eastAsia" w:ascii="宋体" w:hAnsi="宋体" w:eastAsia="宋体" w:cs="宋体"/>
          <w:color w:val="auto"/>
          <w:sz w:val="28"/>
          <w:szCs w:val="28"/>
          <w:lang w:val="en-US" w:eastAsia="zh-Hans"/>
        </w:rPr>
        <w:t>相关</w:t>
      </w:r>
      <w:r>
        <w:rPr>
          <w:rFonts w:hint="eastAsia" w:ascii="宋体" w:hAnsi="宋体" w:eastAsia="宋体" w:cs="宋体"/>
          <w:color w:val="auto"/>
          <w:sz w:val="28"/>
          <w:szCs w:val="28"/>
        </w:rPr>
        <w:t>规范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（1）《中华人民共和国道路交通安全法》</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（2）《道路交通标志和标线》（GB5768-2009）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（3）《道路交通反光膜》（GB/T18833－2012）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（4）《钢筋混凝土设计规范》（GB50010-2010）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（5）《公路交通标志和标线设置规范》（JTG D82-2009）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（6）《道路交通标志板及支撑件》（GB/T23827－2009）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（7）《公路交通安全设施设计规范》（JTG D81-2006）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（8）《公路交通安全设施设计细则》（JTG/T D81-2017）</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（9）《成都市道路指路标志系统》（DB510100/T129.3-2013）</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（10）《公共场所双语标志英文译法 第1部分：道路交通和旅游景点》（DB510100/T009-2006）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（11）《公路交通安全设施施工技术规范》（JTG F71-2006）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（12）《公路防撞桶》（GB/T 28650-2012）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（13）《道路交通防撞墩》（GA/T416-2003）</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（14）《国家高速公路网相关标志更换工作实施技术指南》（2007.10）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（15）《成都市道路交通设施设置指南》（2007.12）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（16）《城市道路交通标志和标线设置规范》(GB51038-2015）</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（17）《钢结构用高强度大六角头螺栓、大六角螺母、垫圈技术条件》（GB/T1231-2006）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（18）《碳素结构钢》（GB/T700-2006）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（19）《结构用无缝钢管》（GB/T8162-2018）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（20）《道路交通标线质量要求和检测方法》（GB/T16311-2009）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（21）《路面标线涂料》（JT/T280－2004）</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（22）《路面防滑涂料》（JTT 712-2008）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（23）《道路预成形标线带》（GB T 24717-2009）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（24）《路面橡胶减速带》（JTT 713-2008）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（25）《突起路标》（GBT 24725-2009）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（26）《雨夜公路交通反光标线质量要求和检测方法》（DB51/ T2429—2017）</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（27）《路面标线用玻璃珠》（GB/T24722-2009）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（28）《新施划路面标线初始逆反射光亮系数及检测方法》（GB/T21383-2008）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（29）《成都市标志设置原则》、《成都市信号灯、标志整合设置原则》</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（30）标志反光膜要求：城市道路标志反光膜不低于Ⅳ类微棱镜型反光膜技术标准；快速路、高速路标志反光膜不低于Ⅴ类微棱镜型反光膜技术标准。</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4.1.3护栏（含隔离护栏、隔离桩、隐形护栏、铁链护栏等）施工</w:t>
      </w:r>
      <w:r>
        <w:rPr>
          <w:rFonts w:hint="eastAsia" w:ascii="宋体" w:hAnsi="宋体" w:eastAsia="宋体" w:cs="宋体"/>
          <w:color w:val="auto"/>
          <w:sz w:val="28"/>
          <w:szCs w:val="28"/>
          <w:lang w:val="en-US" w:eastAsia="zh-Hans"/>
        </w:rPr>
        <w:t>相关</w:t>
      </w:r>
      <w:r>
        <w:rPr>
          <w:rFonts w:hint="eastAsia" w:ascii="宋体" w:hAnsi="宋体" w:eastAsia="宋体" w:cs="宋体"/>
          <w:color w:val="auto"/>
          <w:sz w:val="28"/>
          <w:szCs w:val="28"/>
        </w:rPr>
        <w:t>规范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（1）《金属覆盖层钢铁制件热浸镀锌层技术要求及试验方法》（GB/T 13912-2002）；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（2）《道路交通反光膜》（GB/T18833-2012）；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（3）《焊接钢管尺寸及单位长度重量》（GB/T21835-2008）；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（4）《热固性粉末涂料》(HG 2006-2006)；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（5）《低压流体输送焊接钢管》（GB/T3091-2015）；</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（6）</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"http://www.docin.com/p-258170119.html" \t "docin_p_end" \o "GB_9439-1988(灰口铸铁件国标）"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《灰铸铁件</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》（GB/T 9439-2010）；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"http://www.docin.com/p-258170119.html" \t "docin_p_end" \o "GB_9439-1988(灰口铸铁件国标）"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《球墨铸铁件</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》（GB/T 1348-2009）；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（8）《铸件尺寸公差与机械加工余量》(GB/T 6414-1999)；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（9）《建筑钢结构焊接技术规程》(JGJ 81-2002)；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（10）</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"http://www.51gcs.com/resources/47710" \t "_blank"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《工程建设施工现场焊接目视检验规程</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》（CECS 71-1994）；</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（11）《隔离栅技术条件》（JT/T374-1998）；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（12）《高速公路交通工程钢结构防腐技术条件》（GB/T18226-2015）；</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（13）《城镇道路工程施工与质量验收规范》（CJJ 1-2008）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（14）《城镇道路养护技术规范》（CJJ  36-2016）。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（15）护栏反光膜要求：城市道路标志反光膜不低于Ⅳ类微棱镜型反光膜技术标准；快速路、高速路标志反光膜不低于Ⅴ类微棱镜型反光膜技术标准。</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4.1.4地名标示标牌</w:t>
      </w:r>
      <w:r>
        <w:rPr>
          <w:rFonts w:hint="eastAsia" w:ascii="宋体" w:hAnsi="宋体" w:eastAsia="宋体" w:cs="宋体"/>
          <w:color w:val="auto"/>
          <w:sz w:val="28"/>
          <w:szCs w:val="28"/>
          <w:lang w:val="en-US" w:eastAsia="zh-Hans"/>
        </w:rPr>
        <w:t>维护</w:t>
      </w:r>
      <w:r>
        <w:rPr>
          <w:rFonts w:hint="eastAsia" w:ascii="宋体" w:hAnsi="宋体" w:eastAsia="宋体" w:cs="宋体"/>
          <w:color w:val="auto"/>
          <w:sz w:val="28"/>
          <w:szCs w:val="28"/>
        </w:rPr>
        <w:t>施工</w:t>
      </w:r>
      <w:r>
        <w:rPr>
          <w:rFonts w:hint="eastAsia" w:ascii="宋体" w:hAnsi="宋体" w:eastAsia="宋体" w:cs="宋体"/>
          <w:color w:val="auto"/>
          <w:sz w:val="28"/>
          <w:szCs w:val="28"/>
          <w:lang w:val="en-US" w:eastAsia="zh-Hans"/>
        </w:rPr>
        <w:t>相关</w:t>
      </w:r>
      <w:r>
        <w:rPr>
          <w:rFonts w:hint="eastAsia" w:ascii="宋体" w:hAnsi="宋体" w:eastAsia="宋体" w:cs="宋体"/>
          <w:color w:val="auto"/>
          <w:sz w:val="28"/>
          <w:szCs w:val="28"/>
        </w:rPr>
        <w:t>规范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（1）《道路交通标志和标线》（GB5768-2009）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（2）《城市道路交通标志和标线设置规范》(GB51038-2015）</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（3）《道路交通反光膜》（GB/T18833－2012）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（4）《钢筋混凝土设计规范》（GB50010-2010）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（5）《成都市路名牌设置原则》</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4.1.5</w:t>
      </w:r>
      <w:r>
        <w:rPr>
          <w:rFonts w:hint="eastAsia" w:ascii="宋体" w:hAnsi="宋体" w:eastAsia="宋体" w:cs="宋体"/>
          <w:color w:val="auto"/>
          <w:sz w:val="28"/>
          <w:szCs w:val="28"/>
          <w:lang w:val="en-US" w:eastAsia="zh-Hans"/>
        </w:rPr>
        <w:t>维护</w:t>
      </w:r>
      <w:r>
        <w:rPr>
          <w:rFonts w:hint="eastAsia" w:ascii="宋体" w:hAnsi="宋体" w:eastAsia="宋体" w:cs="宋体"/>
          <w:color w:val="auto"/>
          <w:sz w:val="28"/>
          <w:szCs w:val="28"/>
          <w:lang w:eastAsia="zh-CN"/>
        </w:rPr>
        <w:t>单位中标文件中各技术规范</w:t>
      </w:r>
      <w:r>
        <w:rPr>
          <w:rFonts w:hint="eastAsia" w:ascii="宋体" w:hAnsi="宋体" w:eastAsia="宋体" w:cs="宋体"/>
          <w:color w:val="auto"/>
          <w:sz w:val="28"/>
          <w:szCs w:val="28"/>
          <w:lang w:eastAsia="zh-Hans"/>
        </w:rPr>
        <w:t>，</w:t>
      </w:r>
      <w:r>
        <w:rPr>
          <w:rFonts w:hint="eastAsia" w:ascii="宋体" w:hAnsi="宋体" w:eastAsia="宋体" w:cs="宋体"/>
          <w:color w:val="auto"/>
          <w:sz w:val="28"/>
          <w:szCs w:val="28"/>
          <w:lang w:val="en-US" w:eastAsia="zh-Hans"/>
        </w:rPr>
        <w:t>及其他现行国标规范和成都市地方标准。</w:t>
      </w:r>
      <w:r>
        <w:rPr>
          <w:rFonts w:hint="eastAsia" w:ascii="宋体" w:hAnsi="宋体" w:eastAsia="宋体" w:cs="宋体"/>
          <w:color w:val="auto"/>
          <w:sz w:val="28"/>
          <w:szCs w:val="28"/>
        </w:rPr>
        <w:t>其它相关法律、法规、规章、规范性文件等</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4.2甲乙双方均按招标文件中第六章“项目内容及服务要求”执行。</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4.3</w:t>
      </w:r>
      <w:r>
        <w:rPr>
          <w:rFonts w:hint="eastAsia" w:ascii="宋体" w:hAnsi="宋体" w:eastAsia="宋体" w:cs="宋体"/>
          <w:color w:val="auto"/>
          <w:sz w:val="28"/>
          <w:szCs w:val="28"/>
          <w:lang w:val="en-US" w:eastAsia="zh-Hans"/>
        </w:rPr>
        <w:t>维护单位</w:t>
      </w:r>
      <w:r>
        <w:rPr>
          <w:rFonts w:hint="eastAsia" w:ascii="宋体" w:hAnsi="宋体" w:eastAsia="宋体" w:cs="宋体"/>
          <w:color w:val="auto"/>
          <w:sz w:val="28"/>
          <w:szCs w:val="28"/>
        </w:rPr>
        <w:t>要求必满足招标文件中交安设施维护考核办法执行。</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五、合同价款及结算方式</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5.1结算价格以乙方中标</w:t>
      </w:r>
      <w:r>
        <w:rPr>
          <w:rFonts w:hint="eastAsia" w:ascii="宋体" w:hAnsi="宋体" w:eastAsia="宋体" w:cs="宋体"/>
          <w:color w:val="auto"/>
          <w:sz w:val="28"/>
          <w:szCs w:val="28"/>
          <w:lang w:val="en-US" w:eastAsia="zh-CN"/>
        </w:rPr>
        <w:t>单</w:t>
      </w:r>
      <w:r>
        <w:rPr>
          <w:rFonts w:hint="eastAsia" w:ascii="宋体" w:hAnsi="宋体" w:eastAsia="宋体" w:cs="宋体"/>
          <w:color w:val="auto"/>
          <w:sz w:val="28"/>
          <w:szCs w:val="28"/>
        </w:rPr>
        <w:t>价为准</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详见</w:t>
      </w:r>
      <w:r>
        <w:rPr>
          <w:rFonts w:hint="eastAsia" w:ascii="宋体" w:hAnsi="宋体" w:eastAsia="宋体" w:cs="宋体"/>
          <w:color w:val="auto"/>
          <w:sz w:val="28"/>
          <w:szCs w:val="28"/>
          <w:lang w:val="en-US" w:eastAsia="zh-Hans"/>
        </w:rPr>
        <w:t>中标</w:t>
      </w:r>
      <w:r>
        <w:rPr>
          <w:rFonts w:hint="eastAsia" w:ascii="宋体" w:hAnsi="宋体" w:eastAsia="宋体" w:cs="宋体"/>
          <w:color w:val="auto"/>
          <w:sz w:val="28"/>
          <w:szCs w:val="28"/>
        </w:rPr>
        <w:t>分项清单</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5.2结算方式：按照财政预算下达后，月结月付的方式进行。</w:t>
      </w:r>
    </w:p>
    <w:p>
      <w:pPr>
        <w:spacing w:line="276" w:lineRule="auto"/>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5.2.1</w:t>
      </w:r>
      <w:r>
        <w:rPr>
          <w:rFonts w:hint="eastAsia" w:ascii="宋体" w:hAnsi="宋体" w:eastAsia="宋体" w:cs="宋体"/>
          <w:color w:val="auto"/>
          <w:sz w:val="28"/>
          <w:szCs w:val="28"/>
          <w:lang w:eastAsia="zh-CN"/>
        </w:rPr>
        <w:t>每月实际支付费用=</w:t>
      </w:r>
      <w:r>
        <w:rPr>
          <w:rFonts w:hint="eastAsia" w:ascii="宋体" w:hAnsi="宋体" w:eastAsia="宋体" w:cs="宋体"/>
          <w:color w:val="auto"/>
          <w:sz w:val="28"/>
          <w:szCs w:val="28"/>
          <w:lang w:eastAsia="zh-Hans"/>
        </w:rPr>
        <w:t>（各分部分项</w:t>
      </w:r>
      <w:r>
        <w:rPr>
          <w:rFonts w:hint="eastAsia" w:ascii="宋体" w:hAnsi="宋体" w:eastAsia="宋体" w:cs="宋体"/>
          <w:color w:val="auto"/>
          <w:sz w:val="28"/>
          <w:szCs w:val="28"/>
          <w:lang w:eastAsia="zh-CN"/>
        </w:rPr>
        <w:t>维护工程量*</w:t>
      </w:r>
      <w:r>
        <w:rPr>
          <w:rFonts w:hint="eastAsia" w:ascii="宋体" w:hAnsi="宋体" w:eastAsia="宋体" w:cs="宋体"/>
          <w:color w:val="auto"/>
          <w:sz w:val="28"/>
          <w:szCs w:val="28"/>
          <w:lang w:eastAsia="zh-Hans"/>
        </w:rPr>
        <w:t>对应</w:t>
      </w:r>
      <w:r>
        <w:rPr>
          <w:rFonts w:hint="eastAsia" w:ascii="宋体" w:hAnsi="宋体" w:eastAsia="宋体" w:cs="宋体"/>
          <w:color w:val="auto"/>
          <w:sz w:val="28"/>
          <w:szCs w:val="28"/>
          <w:lang w:eastAsia="zh-CN"/>
        </w:rPr>
        <w:t>中标单价</w:t>
      </w:r>
      <w:r>
        <w:rPr>
          <w:rFonts w:hint="eastAsia" w:ascii="宋体" w:hAnsi="宋体" w:eastAsia="宋体" w:cs="宋体"/>
          <w:color w:val="auto"/>
          <w:sz w:val="28"/>
          <w:szCs w:val="28"/>
          <w:lang w:eastAsia="zh-Hans"/>
        </w:rPr>
        <w:t>）</w:t>
      </w:r>
      <w:r>
        <w:rPr>
          <w:rFonts w:hint="eastAsia" w:ascii="宋体" w:hAnsi="宋体" w:eastAsia="宋体" w:cs="宋体"/>
          <w:color w:val="auto"/>
          <w:sz w:val="28"/>
          <w:szCs w:val="28"/>
          <w:lang w:val="en-US" w:eastAsia="zh-Hans"/>
        </w:rPr>
        <w:t>的</w:t>
      </w:r>
      <w:r>
        <w:rPr>
          <w:rFonts w:hint="eastAsia" w:ascii="宋体" w:hAnsi="宋体" w:eastAsia="宋体" w:cs="宋体"/>
          <w:color w:val="auto"/>
          <w:sz w:val="28"/>
          <w:szCs w:val="28"/>
          <w:lang w:eastAsia="zh-Hans"/>
        </w:rPr>
        <w:t>累加之和</w:t>
      </w:r>
      <w:r>
        <w:rPr>
          <w:rFonts w:hint="eastAsia" w:ascii="宋体" w:hAnsi="宋体" w:eastAsia="宋体" w:cs="宋体"/>
          <w:color w:val="auto"/>
          <w:sz w:val="28"/>
          <w:szCs w:val="28"/>
          <w:lang w:eastAsia="zh-CN"/>
        </w:rPr>
        <w:t>-（100-考核得分）*5000。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lang w:eastAsia="zh-CN"/>
        </w:rPr>
        <w:t>采购人在收到中标人开具的发票后15日内完成支付。</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六、项目检查考核与验收</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详细考核及评审办法见招标文件第六章部分内容。</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七、履约保证金</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7.1合同签订后乙方应根据招标文件要求交纳履约保证金（</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万元人民币现金）。乙方应在合同生效后7日内办理履约保证金事宜，否则甲方将终止合同，且不支付任何费用，一切后果由乙方承担。</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7.2履约保证金作为违约金的一部分及用于补偿甲方因乙方不能履行合同义务而蒙受的损失。</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7.3发生以下情况时履约保证金将被没收：</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（1）乙方单方面原因（自然灾害和国家政策等不可抗力因素除外）不按投标价格履行合同的；</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（2）乙方单方面原因（自然灾害和国家政策等不可抗力因素除外）不履行合同的。只有在甲乙双方协商一致的情况下才能免除履约保证金条款。</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（3）在履行合同中，乙方及乙方工作人员有违法犯罪行为的。</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（4）招标文件中明确的应当没收履约保证金的相应条款。</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7.4履约保证金退还：本合同服务期满，验收符合要求，结清所有款项，由甲方无息退还履约保证金给乙方。</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八、双方责任</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8.1甲方未按本合同第五条约定在规定期限内付款，每超过三月，按当月维护及保洁费结算价的5‰向乙方支付滞纳金。</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8.2乙方在合同期内，须按服务内容和管理部门要求开展科学的维护及保洁管理工作，达到“交安设施维护标准及考核办法”的要求。乙方若不按时进行维护及保洁工作，甲方可发出限期整改通知，超过期限仍未整改的，乙方须承担其全部作业费用，并赔偿甲方全部损失。</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8.3乙方在合同维护及保洁期内，针对同一问题甲方向乙方发出二次书面整改通知，仍达不到要求的，甲方可单方解除本合同，由此造成损失由乙方承担。</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8.4乙方须严格执行投标文件中的安全文明施工措施。严格按照劳动和社会保障法律、法规雇聘工作人员确保维护及保洁管理工作顺利开展。若发生安全责任事故，概由乙方承担一切法律责任。</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8.5乙方维护后</w:t>
      </w:r>
      <w:r>
        <w:rPr>
          <w:rFonts w:hint="eastAsia" w:ascii="宋体" w:hAnsi="宋体" w:eastAsia="宋体" w:cs="宋体"/>
          <w:color w:val="auto"/>
          <w:sz w:val="28"/>
          <w:szCs w:val="28"/>
          <w:lang w:val="en-US" w:eastAsia="zh-Hans"/>
        </w:rPr>
        <w:t>或者未及时处理交通事故现场损坏设施</w:t>
      </w:r>
      <w:r>
        <w:rPr>
          <w:rFonts w:hint="eastAsia" w:ascii="宋体" w:hAnsi="宋体" w:eastAsia="宋体" w:cs="宋体"/>
          <w:color w:val="auto"/>
          <w:sz w:val="28"/>
          <w:szCs w:val="28"/>
        </w:rPr>
        <w:t>产生次生问题，由乙方自行整改，并承担相应经费，并保证工程质量。</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8.6在工作中，如乙方及乙方工作人员有违反相关法律法规规定及其他违法犯罪事件，给甲方造成损失的，由乙方依法进行赔偿。</w:t>
      </w:r>
    </w:p>
    <w:p>
      <w:pPr>
        <w:numPr>
          <w:ilvl w:val="0"/>
          <w:numId w:val="9"/>
        </w:num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合同解除</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9.1本合同试用期2个月。试用期间，若乙方没有尽到相关责任，甲方有权解除本合同。</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9.2违反本合同第八条8.2、8.3、8.4、8.5</w:t>
      </w:r>
      <w:r>
        <w:rPr>
          <w:rFonts w:hint="eastAsia" w:ascii="宋体" w:hAnsi="宋体" w:eastAsia="宋体" w:cs="宋体"/>
          <w:color w:val="auto"/>
          <w:sz w:val="28"/>
          <w:szCs w:val="28"/>
          <w:lang w:eastAsia="zh-Hans"/>
        </w:rPr>
        <w:t>、</w:t>
      </w:r>
      <w:r>
        <w:rPr>
          <w:rFonts w:hint="eastAsia" w:ascii="宋体" w:hAnsi="宋体" w:eastAsia="宋体" w:cs="宋体"/>
          <w:color w:val="auto"/>
          <w:sz w:val="28"/>
          <w:szCs w:val="28"/>
        </w:rPr>
        <w:t>8.6项规定的，甲方有权单方解除本合同，由此造成的损失由乙方自行承担。</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9.3经双方协商一致可解除本合同。</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十、争议解决</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执行本合同中发生的或与本合同有关的争端，双方应通过友好协商的方式解决，协商不成时，可向双流区人民法院提起民事诉讼。</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十一、附则</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11.1本合同一式六份，甲乙双方各执两份，采购代理机构执两份。</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11.2本合同自双方代表签字，加盖双方公章或合同专用章即生效，服务期满验收符合要求，结清所有款项后终止。</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11.3本合同签订后，甲乙双方如需要提出修改时，经双方协商一致后，有关本项目的洽商、变更等书面协议或文件视为本合同的组成部分。</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11.4本合同未尽事宜，由双方另行商定</w:t>
      </w:r>
      <w:r>
        <w:rPr>
          <w:rFonts w:hint="eastAsia" w:ascii="宋体" w:hAnsi="宋体" w:eastAsia="宋体" w:cs="宋体"/>
          <w:color w:val="auto"/>
          <w:sz w:val="28"/>
          <w:szCs w:val="28"/>
          <w:lang w:eastAsia="zh-CN"/>
        </w:rPr>
        <w:t>，并签署补充协议</w:t>
      </w:r>
      <w:r>
        <w:rPr>
          <w:rFonts w:hint="eastAsia" w:ascii="宋体" w:hAnsi="宋体" w:eastAsia="宋体" w:cs="宋体"/>
          <w:color w:val="auto"/>
          <w:sz w:val="28"/>
          <w:szCs w:val="28"/>
        </w:rPr>
        <w:t>。</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十二、合同附件</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附件1：安全文明施工责任书</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t>附件2：安全生产合同</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t>附件3：维护工程质量保证书</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t>附件4：中标通知书复印件</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t>附件5：履约保证金凭证复印件</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t>附件6：</w:t>
      </w:r>
      <w:r>
        <w:rPr>
          <w:rFonts w:hint="eastAsia" w:ascii="宋体" w:hAnsi="宋体" w:eastAsia="宋体" w:cs="宋体"/>
          <w:color w:val="auto"/>
          <w:sz w:val="28"/>
          <w:szCs w:val="28"/>
          <w:lang w:val="en-US" w:eastAsia="zh-Hans"/>
        </w:rPr>
        <w:t>中标</w:t>
      </w:r>
      <w:r>
        <w:rPr>
          <w:rFonts w:hint="eastAsia" w:ascii="宋体" w:hAnsi="宋体" w:eastAsia="宋体" w:cs="宋体"/>
          <w:color w:val="auto"/>
          <w:sz w:val="28"/>
          <w:szCs w:val="28"/>
        </w:rPr>
        <w:t>分项清单</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以下无正文</w:t>
      </w:r>
      <w:r>
        <w:rPr>
          <w:rFonts w:hint="eastAsia" w:ascii="宋体" w:hAnsi="宋体" w:eastAsia="宋体" w:cs="宋体"/>
          <w:color w:val="auto"/>
          <w:sz w:val="28"/>
          <w:szCs w:val="28"/>
          <w:lang w:eastAsia="zh-CN"/>
        </w:rPr>
        <w:t>）</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甲方：（公章）                    乙方：（公章）</w:t>
      </w:r>
    </w:p>
    <w:p>
      <w:pPr>
        <w:spacing w:line="276" w:lineRule="auto"/>
        <w:ind w:left="4900" w:hanging="4900" w:hangingChars="1750"/>
        <w:jc w:val="left"/>
        <w:rPr>
          <w:rFonts w:hint="eastAsia" w:ascii="宋体" w:hAnsi="宋体" w:eastAsia="宋体" w:cs="宋体"/>
          <w:color w:val="auto"/>
          <w:sz w:val="28"/>
          <w:szCs w:val="28"/>
        </w:rPr>
      </w:pPr>
      <w:r>
        <w:rPr>
          <w:rFonts w:hint="eastAsia" w:ascii="宋体" w:hAnsi="宋体" w:eastAsia="宋体" w:cs="宋体"/>
          <w:color w:val="auto"/>
          <w:sz w:val="28"/>
          <w:szCs w:val="28"/>
        </w:rPr>
        <w:t>地址：                           地址：</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法定代表人：                     法定代表人：</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委托代表人：                     委托代表人：</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电话：                           电话：</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传真：                           传真：</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开户银行：                       开户银行：</w:t>
      </w:r>
    </w:p>
    <w:p>
      <w:pPr>
        <w:spacing w:line="276" w:lineRule="auto"/>
        <w:ind w:left="-141" w:leftChars="-67" w:firstLine="140" w:firstLineChars="50"/>
        <w:jc w:val="left"/>
        <w:rPr>
          <w:rFonts w:hint="eastAsia" w:ascii="宋体" w:hAnsi="宋体" w:eastAsia="宋体" w:cs="宋体"/>
          <w:color w:val="auto"/>
          <w:sz w:val="28"/>
          <w:szCs w:val="28"/>
        </w:rPr>
      </w:pPr>
      <w:r>
        <w:rPr>
          <w:rFonts w:hint="eastAsia" w:ascii="宋体" w:hAnsi="宋体" w:eastAsia="宋体" w:cs="宋体"/>
          <w:color w:val="auto"/>
          <w:sz w:val="28"/>
          <w:szCs w:val="28"/>
        </w:rPr>
        <w:t>账号：                           账号：</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邮政编码：                       邮政编码：</w:t>
      </w:r>
    </w:p>
    <w:p>
      <w:pPr>
        <w:pStyle w:val="42"/>
        <w:rPr>
          <w:rFonts w:hint="eastAsia" w:ascii="宋体" w:hAnsi="宋体" w:eastAsia="宋体" w:cs="宋体"/>
          <w:color w:val="auto"/>
          <w:lang w:eastAsia="zh-CN"/>
        </w:rPr>
      </w:pP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日 </w:t>
      </w:r>
    </w:p>
    <w:bookmarkEnd w:id="976"/>
    <w:sectPr>
      <w:footerReference r:id="rId13" w:type="first"/>
      <w:headerReference r:id="rId11" w:type="default"/>
      <w:footerReference r:id="rId12" w:type="default"/>
      <w:pgSz w:w="11906" w:h="16838"/>
      <w:pgMar w:top="1418" w:right="1555" w:bottom="1418" w:left="1531" w:header="851" w:footer="992" w:gutter="0"/>
      <w:pgBorders w:offsetFrom="page">
        <w:top w:val="none" w:sz="0" w:space="0"/>
        <w:left w:val="none" w:sz="0" w:space="0"/>
        <w:bottom w:val="none" w:sz="0" w:space="0"/>
        <w:right w:val="none" w:sz="0" w:space="0"/>
      </w:pgBorders>
      <w:pgNumType w:fmt="decimal"/>
      <w:cols w:space="720"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671530F-F559-4CC5-A224-765777696DC8}"/>
  </w:font>
  <w:font w:name="Arial">
    <w:panose1 w:val="020B0604020202020204"/>
    <w:charset w:val="01"/>
    <w:family w:val="swiss"/>
    <w:pitch w:val="default"/>
    <w:sig w:usb0="E0002AFF" w:usb1="C0007843" w:usb2="00000009" w:usb3="00000000" w:csb0="400001FF" w:csb1="FFFF0000"/>
    <w:embedRegular r:id="rId2" w:fontKey="{F3728F57-2840-4BFC-8DD0-94D19498E90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4C32CB2-6648-4073-8A0C-119C858C89F6}"/>
  </w:font>
  <w:font w:name="Symbol">
    <w:panose1 w:val="05050102010706020507"/>
    <w:charset w:val="02"/>
    <w:family w:val="roman"/>
    <w:pitch w:val="default"/>
    <w:sig w:usb0="00000000" w:usb1="00000000" w:usb2="00000000" w:usb3="00000000" w:csb0="80000000" w:csb1="00000000"/>
    <w:embedRegular r:id="rId4" w:fontKey="{1FE41776-15FF-410E-B39E-A819D4DECD52}"/>
  </w:font>
  <w:font w:name="Calibri">
    <w:panose1 w:val="020F0502020204030204"/>
    <w:charset w:val="00"/>
    <w:family w:val="swiss"/>
    <w:pitch w:val="default"/>
    <w:sig w:usb0="E00002FF" w:usb1="4000ACFF" w:usb2="00000001" w:usb3="00000000" w:csb0="2000019F" w:csb1="00000000"/>
    <w:embedRegular r:id="rId5" w:fontKey="{8F314692-0C29-4914-8919-404C192372DC}"/>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6" w:fontKey="{5DD3773F-98A2-4E7D-A1B2-C2D3BA4DF8A9}"/>
  </w:font>
  <w:font w:name="Cambria">
    <w:panose1 w:val="02040503050406030204"/>
    <w:charset w:val="00"/>
    <w:family w:val="roman"/>
    <w:pitch w:val="default"/>
    <w:sig w:usb0="E00002FF" w:usb1="400004FF" w:usb2="00000000" w:usb3="00000000" w:csb0="2000019F" w:csb1="00000000"/>
    <w:embedRegular r:id="rId7" w:fontKey="{09CFD060-91FA-4A61-86D1-05CD1400C122}"/>
  </w:font>
  <w:font w:name="Calibri Light">
    <w:panose1 w:val="020F0302020204030204"/>
    <w:charset w:val="00"/>
    <w:family w:val="swiss"/>
    <w:pitch w:val="default"/>
    <w:sig w:usb0="A00002EF" w:usb1="4000207B" w:usb2="00000000" w:usb3="00000000" w:csb0="2000019F" w:csb1="00000000"/>
    <w:embedRegular r:id="rId8" w:fontKey="{05836099-9921-4997-B317-EC45E832DF1B}"/>
  </w:font>
  <w:font w:name="Angsana New">
    <w:panose1 w:val="02020603050405020304"/>
    <w:charset w:val="00"/>
    <w:family w:val="roman"/>
    <w:pitch w:val="default"/>
    <w:sig w:usb0="81000003" w:usb1="00000000" w:usb2="00000000" w:usb3="00000000" w:csb0="00010001" w:csb1="00000000"/>
    <w:embedRegular r:id="rId9" w:fontKey="{2D23F1E1-DBE1-4F69-90F1-650567805DBF}"/>
  </w:font>
  <w:font w:name="Century Schoolbook">
    <w:panose1 w:val="02040604050505020304"/>
    <w:charset w:val="00"/>
    <w:family w:val="roman"/>
    <w:pitch w:val="default"/>
    <w:sig w:usb0="00000287" w:usb1="00000000" w:usb2="00000000" w:usb3="00000000" w:csb0="2000009F" w:csb1="DFD70000"/>
    <w:embedRegular r:id="rId10" w:fontKey="{C026CFC1-8E0C-4F99-86E4-4110BC6EEB1E}"/>
  </w:font>
  <w:font w:name="MS Mincho">
    <w:panose1 w:val="02020609040205080304"/>
    <w:charset w:val="80"/>
    <w:family w:val="modern"/>
    <w:pitch w:val="default"/>
    <w:sig w:usb0="E00002FF" w:usb1="6AC7FDFB" w:usb2="00000012" w:usb3="00000000" w:csb0="4002009F" w:csb1="DFD70000"/>
  </w:font>
  <w:font w:name="MingLiU">
    <w:panose1 w:val="02020509000000000000"/>
    <w:charset w:val="88"/>
    <w:family w:val="modern"/>
    <w:pitch w:val="default"/>
    <w:sig w:usb0="A00002FF" w:usb1="28CFFCFA" w:usb2="00000016" w:usb3="00000000" w:csb0="00100001" w:csb1="00000000"/>
  </w:font>
  <w:font w:name="长城仿宋">
    <w:altName w:val="宋体"/>
    <w:panose1 w:val="00000000000000000000"/>
    <w:charset w:val="86"/>
    <w:family w:val="modern"/>
    <w:pitch w:val="default"/>
    <w:sig w:usb0="00000000" w:usb1="00000000" w:usb2="00000010" w:usb3="00000000" w:csb0="00040000"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embedRegular r:id="rId11" w:fontKey="{B84FF2B3-EA9B-402A-AA6B-7E41BF19DB9B}"/>
  </w:font>
  <w:font w:name="仿宋_GB2312">
    <w:altName w:val="仿宋"/>
    <w:panose1 w:val="02010609030101010101"/>
    <w:charset w:val="86"/>
    <w:family w:val="modern"/>
    <w:pitch w:val="default"/>
    <w:sig w:usb0="00000000" w:usb1="00000000" w:usb2="00000000" w:usb3="00000000" w:csb0="00040000" w:csb1="00000000"/>
  </w:font>
  <w:font w:name="Marigold">
    <w:altName w:val="Segoe Print"/>
    <w:panose1 w:val="00000000000000000000"/>
    <w:charset w:val="00"/>
    <w:family w:val="script"/>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embedRegular r:id="rId12" w:fontKey="{4396DB7D-B830-454D-BA84-21ECC9B2CC0E}"/>
  </w:font>
  <w:font w:name="方正仿宋_GBK">
    <w:altName w:val="微软雅黑"/>
    <w:panose1 w:val="03000509000000000000"/>
    <w:charset w:val="86"/>
    <w:family w:val="auto"/>
    <w:pitch w:val="default"/>
    <w:sig w:usb0="00000000" w:usb1="00000000" w:usb2="00000000" w:usb3="00000000" w:csb0="00040000" w:csb1="00000000"/>
  </w:font>
  <w:font w:name="方正仿宋简体">
    <w:altName w:val="微软雅黑"/>
    <w:panose1 w:val="02010601030101010101"/>
    <w:charset w:val="86"/>
    <w:family w:val="script"/>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embedRegular r:id="rId13" w:fontKey="{1A846724-82FD-487F-B952-9F4E717E1846}"/>
  </w:font>
  <w:font w:name="楷体">
    <w:panose1 w:val="02010609060101010101"/>
    <w:charset w:val="86"/>
    <w:family w:val="modern"/>
    <w:pitch w:val="default"/>
    <w:sig w:usb0="800002BF" w:usb1="38CF7CFA" w:usb2="00000016" w:usb3="00000000" w:csb0="00040001" w:csb1="00000000"/>
    <w:embedRegular r:id="rId14" w:fontKey="{DDF02F58-5F1F-46ED-B07D-D3D612EEAA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CHJYKt8BAAC/AwAADgAAAAAA&#10;AAABACAAAAAeAQAAZHJzL2Uyb0RvYy54bWxQSwUGAAAAAAYABgBZAQAAbwU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K2d4BAAC/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r7izAlLA7/8+H75+fvy6xtb&#10;rpM+fYgVpd0FSsThtR9oa2Z/JGeiPbRg058IMYqTuuerumpAJtOl9Wq9LikkKTYfCL+4vx4g4lvl&#10;LUtGzYHGl1UVp/cRx9Q5JVVz/lYbk0do3F8OwkyeIvU+9pgsHPbDRGjvmzPxoXdAdToPXznraQtq&#10;7mjpOTPvHImcFmY2YDb2syGcpIs1R85G8w2Oi3UMoA9dXrXUVAyvjkidZgKpjbH21B3NNUsw7WBa&#10;nIfnnHX/7r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WH4rZ3gEAAL8DAAAOAAAAAAAA&#10;AAEAIAAAAB4BAABkcnMvZTJvRG9jLnhtbFBLBQYAAAAABgAGAFkBAABuBQ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31</w:t>
                          </w:r>
                          <w:r>
                            <w:fldChar w:fldCharType="end"/>
                          </w:r>
                        </w:p>
                      </w:txbxContent>
                    </wps:txbx>
                    <wps:bodyPr vert="horz" wrap="none" lIns="0" tIns="0" rIns="0" bIns="0" anchor="t" anchorCtr="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UUBQ+N8BAAC/AwAADgAAAAAA&#10;AAABACAAAAAeAQAAZHJzL2Uyb0RvYy54bWxQSwUGAAAAAAYABgBZAQAAbwU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35</w:t>
                          </w:r>
                          <w:r>
                            <w:fldChar w:fldCharType="end"/>
                          </w:r>
                        </w:p>
                      </w:txbxContent>
                    </wps:txbx>
                    <wps:bodyPr vert="horz" wrap="none" lIns="0" tIns="0" rIns="0" bIns="0" anchor="t" anchorCtr="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GTNkjdAQAAvwMAAA4AAAAAAAAA&#10;AQAgAAAAHgEAAGRycy9lMm9Eb2MueG1sUEsFBgAAAAAGAAYAWQEAAG0FA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46</w:t>
                          </w:r>
                          <w:r>
                            <w:fldChar w:fldCharType="end"/>
                          </w:r>
                        </w:p>
                      </w:txbxContent>
                    </wps:txbx>
                    <wps:bodyPr vert="horz" wrap="none" lIns="0" tIns="0" rIns="0" bIns="0" anchor="t" anchorCtr="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szsad4BAAC/AwAADgAAAGRycy9lMm9Eb2MueG1srVNNrtMwEN4jcQfL&#10;e5q0E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nzAlLA798/3b58evy8ytb&#10;LZM+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GzOxp3gEAAL8DAAAOAAAAAAAA&#10;AAEAIAAAAB4BAABkcnMvZTJvRG9jLnhtbFBLBQYAAAAABgAGAFkBAABuBQ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46</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wrap="none" lIns="0" tIns="0" rIns="0" bIns="0" upright="0">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36YsssBAACcAwAADgAAAGRycy9lMm9Eb2MueG1srVPNjtMwEL4j8Q6W&#10;79Rpk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BEoctzjwy/dvlx+/Lj+/kmX1&#10;8nVWqA9QY+JdwNQ0vPVDzp78gM5MfFDR5i9SIhhHfc9XfeWQiMiP1qv1usKQwNh8QRz28DxESO+k&#10;tyQbDY04wKIrP32ANKbOKbma87faGPTz2ri/HIiZPSz3PvaYrTTsh6nxvW/PyKfH2TfU4apTYt47&#10;lDavyWzE2djPxjFEfejKHuV6EN4cEzZRessVRtipMA6tsJsWLG/Fn/eS9fB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t+mLLLAQAAnAMAAA4AAAAAAAAAAQAgAAAAHgEAAGRycy9lMm9E&#10;b2MueG1sUEsFBgAAAAAGAAYAWQEAAFsFAAAAAA==&#10;">
              <v:fill on="f" focussize="0,0"/>
              <v:stroke on="f"/>
              <v:imagedata o:title=""/>
              <o:lock v:ext="edit" aspectratio="f"/>
              <v:textbox inset="0mm,0mm,0mm,0mm" style="mso-fit-shape-to-text:t;">
                <w:txbxContent>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PLYIL3gEAAL8DAAAOAAAAAAAA&#10;AAEAIAAAAB4BAABkcnMvZTJvRG9jLnhtbFBLBQYAAAAABgAGAFkBAABuBQ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rFyj94BAAC/AwAADgAAAGRycy9lMm9Eb2MueG1srVPBjtMwEL0j8Q+W&#10;7zTZaoW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rT2J2wNPDz92/nH7/OP7+y&#10;5XXSp/exorR7T4k4vIaBtmb2R3Im2kMbbPoTIUZxUvd0UVcNyGS6tFquViWFJMXmA+EXD9d9iPhG&#10;gWXJqHmg8WVVxfFdxDF1TknVHNxpY/IIjfvLQZjJU6Texx6ThcNumAjtoDkRH3oHVKeD8IWznrag&#10;5o6WnjPz1pHIaWFmI8zGbjaEk3Sx5sjZaN7iuFgHH/S+y6uWmor+1QGp00wgtTHWnrqjuWYJph1M&#10;i/PnOWc9vLv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isXKP3gEAAL8DAAAOAAAAAAAA&#10;AAEAIAAAAB4BAABkcnMvZTJvRG9jLnhtbFBLBQYAAAAABgAGAFkBAABuBQ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jc w:val="both"/>
    </w:pPr>
    <w:r>
      <w:drawing>
        <wp:inline distT="0" distB="0" distL="114300" distR="114300">
          <wp:extent cx="1895475" cy="354965"/>
          <wp:effectExtent l="0" t="0" r="9525" b="6985"/>
          <wp:docPr id="9" name="图片 1" descr="5{IQ{@JIAK]{B(LL({L4C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5{IQ{@JIAK]{B(LL({L4C2H"/>
                  <pic:cNvPicPr>
                    <a:picLocks noChangeAspect="1"/>
                  </pic:cNvPicPr>
                </pic:nvPicPr>
                <pic:blipFill>
                  <a:blip r:embed="rId1"/>
                  <a:stretch>
                    <a:fillRect/>
                  </a:stretch>
                </pic:blipFill>
                <pic:spPr>
                  <a:xfrm>
                    <a:off x="0" y="0"/>
                    <a:ext cx="1895475" cy="354965"/>
                  </a:xfrm>
                  <a:prstGeom prst="rect">
                    <a:avLst/>
                  </a:prstGeom>
                  <a:noFill/>
                  <a:ln>
                    <a:noFill/>
                  </a:ln>
                </pic:spPr>
              </pic:pic>
            </a:graphicData>
          </a:graphic>
        </wp:inline>
      </w:drawing>
    </w:r>
    <w:r>
      <w:t xml:space="preserve"> </w:t>
    </w:r>
    <w:r>
      <w:rPr>
        <w:rFonts w:ascii="仿宋" w:hAnsi="仿宋" w:eastAsia="仿宋" w:cs="仿宋"/>
      </w:rPr>
      <w:t xml:space="preserve">                                        </w:t>
    </w:r>
    <w:r>
      <w:rPr>
        <w:rFonts w:ascii="楷体" w:hAnsi="楷体" w:eastAsia="楷体"/>
        <w:b/>
        <w:color w:val="595959"/>
        <w:szCs w:val="21"/>
      </w:rPr>
      <w:t>公平公开☆专业高效</w:t>
    </w:r>
    <w:r>
      <w:t xml:space="preserve">     </w:t>
    </w:r>
  </w:p>
  <w:p>
    <w:pPr>
      <w:pStyle w:val="33"/>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rFonts w:hint="eastAsia"/>
        <w:sz w:val="2"/>
      </w:rPr>
    </w:pPr>
    <w:r>
      <w:rPr>
        <w:rFonts w:hint="eastAsia"/>
        <w:sz w:val="2"/>
      </w:rPr>
      <w:t>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rPr>
        <w:rFonts w:ascii="Times New Roman" w:hAnsi="Times New Roman" w:eastAsia="Times New Roman"/>
        <w:sz w:val="20"/>
        <w:szCs w:val="20"/>
      </w:rPr>
    </w:pPr>
  </w:p>
  <w:p>
    <w:pPr>
      <w:spacing w:after="0" w:line="10" w:lineRule="exac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BD1F20"/>
    <w:multiLevelType w:val="multilevel"/>
    <w:tmpl w:val="85BD1F20"/>
    <w:lvl w:ilvl="0" w:tentative="0">
      <w:start w:val="1"/>
      <w:numFmt w:val="decimal"/>
      <w:suff w:val="nothing"/>
      <w:lvlText w:val="%1"/>
      <w:lvlJc w:val="center"/>
      <w:pPr>
        <w:ind w:left="0" w:firstLine="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1B"/>
    <w:multiLevelType w:val="singleLevel"/>
    <w:tmpl w:val="0000001B"/>
    <w:lvl w:ilvl="0" w:tentative="0">
      <w:start w:val="1"/>
      <w:numFmt w:val="bullet"/>
      <w:pStyle w:val="25"/>
      <w:lvlText w:val=""/>
      <w:lvlJc w:val="left"/>
      <w:pPr>
        <w:tabs>
          <w:tab w:val="left" w:pos="780"/>
        </w:tabs>
        <w:ind w:left="780" w:hanging="360"/>
      </w:pPr>
      <w:rPr>
        <w:rFonts w:hint="default" w:ascii="Wingdings" w:hAnsi="Wingdings"/>
      </w:rPr>
    </w:lvl>
  </w:abstractNum>
  <w:abstractNum w:abstractNumId="2">
    <w:nsid w:val="0000002E"/>
    <w:multiLevelType w:val="multilevel"/>
    <w:tmpl w:val="0000002E"/>
    <w:lvl w:ilvl="0" w:tentative="0">
      <w:start w:val="1"/>
      <w:numFmt w:val="decimal"/>
      <w:lvlText w:val="第%1章"/>
      <w:lvlJc w:val="left"/>
      <w:pPr>
        <w:ind w:left="993" w:hanging="425"/>
      </w:pPr>
      <w:rPr>
        <w:rFonts w:hint="default" w:ascii="Times New Roman" w:hAnsi="Times New Roman" w:eastAsia="宋体"/>
        <w:b/>
        <w:i w:val="0"/>
        <w:sz w:val="32"/>
        <w:szCs w:val="32"/>
      </w:rPr>
    </w:lvl>
    <w:lvl w:ilvl="1" w:tentative="0">
      <w:start w:val="1"/>
      <w:numFmt w:val="decimal"/>
      <w:suff w:val="nothing"/>
      <w:lvlText w:val="%1.%2"/>
      <w:lvlJc w:val="left"/>
      <w:pPr>
        <w:ind w:left="127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127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2410" w:hanging="708"/>
      </w:pPr>
      <w:rPr>
        <w:rFonts w:hint="default" w:ascii="Times New Roman" w:hAnsi="Times New Roman" w:eastAsia="宋体" w:cs="Times New Roman"/>
        <w:b/>
        <w:i w:val="0"/>
        <w:sz w:val="28"/>
      </w:rPr>
    </w:lvl>
    <w:lvl w:ilvl="4" w:tentative="0">
      <w:start w:val="1"/>
      <w:numFmt w:val="decimal"/>
      <w:lvlText w:val="%1.%2.%3.%4.%5"/>
      <w:lvlJc w:val="left"/>
      <w:pPr>
        <w:ind w:left="3119" w:hanging="850"/>
      </w:pPr>
      <w:rPr>
        <w:rFonts w:hint="default" w:ascii="Times New Roman" w:hAnsi="Times New Roman" w:eastAsia="宋体" w:cs="Times New Roman"/>
        <w:sz w:val="28"/>
        <w:szCs w:val="28"/>
      </w:rPr>
    </w:lvl>
    <w:lvl w:ilvl="5" w:tentative="0">
      <w:start w:val="1"/>
      <w:numFmt w:val="decimal"/>
      <w:lvlText w:val="%1.%2.%3.%4.%5.%6"/>
      <w:lvlJc w:val="left"/>
      <w:pPr>
        <w:ind w:left="3828" w:hanging="1134"/>
      </w:pPr>
      <w:rPr>
        <w:rFonts w:hint="eastAsia"/>
      </w:rPr>
    </w:lvl>
    <w:lvl w:ilvl="6" w:tentative="0">
      <w:start w:val="1"/>
      <w:numFmt w:val="decimal"/>
      <w:lvlText w:val="%1.%2.%3.%4.%5.%6.%7"/>
      <w:lvlJc w:val="left"/>
      <w:pPr>
        <w:ind w:left="4395" w:hanging="1276"/>
      </w:pPr>
      <w:rPr>
        <w:rFonts w:hint="eastAsia"/>
      </w:rPr>
    </w:lvl>
    <w:lvl w:ilvl="7" w:tentative="0">
      <w:start w:val="1"/>
      <w:numFmt w:val="decimal"/>
      <w:lvlText w:val="%1.%2.%3.%4.%5.%6.%7.%8"/>
      <w:lvlJc w:val="left"/>
      <w:pPr>
        <w:ind w:left="4962" w:hanging="1418"/>
      </w:pPr>
      <w:rPr>
        <w:rFonts w:hint="eastAsia"/>
      </w:rPr>
    </w:lvl>
    <w:lvl w:ilvl="8" w:tentative="0">
      <w:start w:val="1"/>
      <w:numFmt w:val="decimal"/>
      <w:lvlText w:val="%1.%2.%3.%4.%5.%6.%7.%8.%9"/>
      <w:lvlJc w:val="left"/>
      <w:pPr>
        <w:ind w:left="5670" w:hanging="1700"/>
      </w:pPr>
      <w:rPr>
        <w:rFonts w:hint="eastAsia"/>
      </w:rPr>
    </w:lvl>
  </w:abstractNum>
  <w:abstractNum w:abstractNumId="3">
    <w:nsid w:val="3EBB3C91"/>
    <w:multiLevelType w:val="multilevel"/>
    <w:tmpl w:val="3EBB3C91"/>
    <w:lvl w:ilvl="0" w:tentative="0">
      <w:start w:val="1"/>
      <w:numFmt w:val="chineseCountingThousand"/>
      <w:suff w:val="space"/>
      <w:lvlText w:val="%1. "/>
      <w:lvlJc w:val="left"/>
      <w:pPr>
        <w:ind w:left="1191"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58"/>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52D9FB3A"/>
    <w:multiLevelType w:val="singleLevel"/>
    <w:tmpl w:val="52D9FB3A"/>
    <w:lvl w:ilvl="0" w:tentative="0">
      <w:start w:val="1"/>
      <w:numFmt w:val="decimal"/>
      <w:lvlText w:val="%1."/>
      <w:lvlJc w:val="left"/>
      <w:pPr>
        <w:tabs>
          <w:tab w:val="left" w:pos="312"/>
        </w:tabs>
      </w:pPr>
    </w:lvl>
  </w:abstractNum>
  <w:abstractNum w:abstractNumId="5">
    <w:nsid w:val="577DC9A8"/>
    <w:multiLevelType w:val="singleLevel"/>
    <w:tmpl w:val="577DC9A8"/>
    <w:lvl w:ilvl="0" w:tentative="0">
      <w:start w:val="9"/>
      <w:numFmt w:val="chineseCounting"/>
      <w:suff w:val="nothing"/>
      <w:lvlText w:val="%1、"/>
      <w:lvlJc w:val="left"/>
    </w:lvl>
  </w:abstractNum>
  <w:abstractNum w:abstractNumId="6">
    <w:nsid w:val="60B884F9"/>
    <w:multiLevelType w:val="singleLevel"/>
    <w:tmpl w:val="60B884F9"/>
    <w:lvl w:ilvl="0" w:tentative="0">
      <w:start w:val="1"/>
      <w:numFmt w:val="decimal"/>
      <w:suff w:val="nothing"/>
      <w:lvlText w:val="%1."/>
      <w:lvlJc w:val="left"/>
    </w:lvl>
  </w:abstractNum>
  <w:abstractNum w:abstractNumId="7">
    <w:nsid w:val="60B8D782"/>
    <w:multiLevelType w:val="singleLevel"/>
    <w:tmpl w:val="60B8D782"/>
    <w:lvl w:ilvl="0" w:tentative="0">
      <w:start w:val="1"/>
      <w:numFmt w:val="decimal"/>
      <w:suff w:val="nothing"/>
      <w:lvlText w:val="%1."/>
      <w:lvlJc w:val="left"/>
    </w:lvl>
  </w:abstractNum>
  <w:abstractNum w:abstractNumId="8">
    <w:nsid w:val="60B8D7AA"/>
    <w:multiLevelType w:val="singleLevel"/>
    <w:tmpl w:val="60B8D7AA"/>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 w:numId="5">
    <w:abstractNumId w:val="6"/>
  </w:num>
  <w:num w:numId="6">
    <w:abstractNumId w:val="7"/>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removePersonalInformation/>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509"/>
    <w:rsid w:val="000006EB"/>
    <w:rsid w:val="0000172A"/>
    <w:rsid w:val="000023B1"/>
    <w:rsid w:val="000027EB"/>
    <w:rsid w:val="000028C6"/>
    <w:rsid w:val="0000552C"/>
    <w:rsid w:val="0000576F"/>
    <w:rsid w:val="00005E45"/>
    <w:rsid w:val="000061EE"/>
    <w:rsid w:val="0000653E"/>
    <w:rsid w:val="000076F5"/>
    <w:rsid w:val="0000786D"/>
    <w:rsid w:val="00007A3E"/>
    <w:rsid w:val="00007B30"/>
    <w:rsid w:val="00007D70"/>
    <w:rsid w:val="00010189"/>
    <w:rsid w:val="00010FA3"/>
    <w:rsid w:val="000116E6"/>
    <w:rsid w:val="00011FD0"/>
    <w:rsid w:val="00012146"/>
    <w:rsid w:val="00012279"/>
    <w:rsid w:val="00012D10"/>
    <w:rsid w:val="000144EC"/>
    <w:rsid w:val="00015118"/>
    <w:rsid w:val="000153A5"/>
    <w:rsid w:val="00015E9D"/>
    <w:rsid w:val="00016C31"/>
    <w:rsid w:val="000171EC"/>
    <w:rsid w:val="0001725C"/>
    <w:rsid w:val="000173F7"/>
    <w:rsid w:val="000176CC"/>
    <w:rsid w:val="000179DA"/>
    <w:rsid w:val="00017FCA"/>
    <w:rsid w:val="00020782"/>
    <w:rsid w:val="000208CE"/>
    <w:rsid w:val="00020DEA"/>
    <w:rsid w:val="00021FB2"/>
    <w:rsid w:val="000225EB"/>
    <w:rsid w:val="00022E64"/>
    <w:rsid w:val="000230AA"/>
    <w:rsid w:val="00023492"/>
    <w:rsid w:val="000235DC"/>
    <w:rsid w:val="000242EB"/>
    <w:rsid w:val="000244C6"/>
    <w:rsid w:val="000252C7"/>
    <w:rsid w:val="000256FA"/>
    <w:rsid w:val="00025B63"/>
    <w:rsid w:val="000260E0"/>
    <w:rsid w:val="00026121"/>
    <w:rsid w:val="00027262"/>
    <w:rsid w:val="00027991"/>
    <w:rsid w:val="00030112"/>
    <w:rsid w:val="0003018A"/>
    <w:rsid w:val="00030D63"/>
    <w:rsid w:val="00030F7F"/>
    <w:rsid w:val="000310D0"/>
    <w:rsid w:val="00031E32"/>
    <w:rsid w:val="00032812"/>
    <w:rsid w:val="00032991"/>
    <w:rsid w:val="00032EB1"/>
    <w:rsid w:val="0003327D"/>
    <w:rsid w:val="000335BB"/>
    <w:rsid w:val="00033848"/>
    <w:rsid w:val="00033929"/>
    <w:rsid w:val="00033A37"/>
    <w:rsid w:val="00033C60"/>
    <w:rsid w:val="00034B9E"/>
    <w:rsid w:val="000357FA"/>
    <w:rsid w:val="000358CE"/>
    <w:rsid w:val="00035AE9"/>
    <w:rsid w:val="00035D83"/>
    <w:rsid w:val="000363C5"/>
    <w:rsid w:val="00036858"/>
    <w:rsid w:val="00036C15"/>
    <w:rsid w:val="000403F5"/>
    <w:rsid w:val="00040828"/>
    <w:rsid w:val="0004190A"/>
    <w:rsid w:val="00042820"/>
    <w:rsid w:val="00042AA8"/>
    <w:rsid w:val="00042E66"/>
    <w:rsid w:val="0004342E"/>
    <w:rsid w:val="000434EE"/>
    <w:rsid w:val="00043877"/>
    <w:rsid w:val="00043B16"/>
    <w:rsid w:val="000442D8"/>
    <w:rsid w:val="000450AB"/>
    <w:rsid w:val="0004639E"/>
    <w:rsid w:val="00046C42"/>
    <w:rsid w:val="00046C76"/>
    <w:rsid w:val="00050752"/>
    <w:rsid w:val="00050B82"/>
    <w:rsid w:val="00050C6F"/>
    <w:rsid w:val="0005167F"/>
    <w:rsid w:val="000518F9"/>
    <w:rsid w:val="00052425"/>
    <w:rsid w:val="0005301B"/>
    <w:rsid w:val="0005313F"/>
    <w:rsid w:val="00053147"/>
    <w:rsid w:val="000531C4"/>
    <w:rsid w:val="0005326A"/>
    <w:rsid w:val="0005344C"/>
    <w:rsid w:val="00054494"/>
    <w:rsid w:val="0005495A"/>
    <w:rsid w:val="00054ACD"/>
    <w:rsid w:val="00054F3C"/>
    <w:rsid w:val="00054FC8"/>
    <w:rsid w:val="0005647C"/>
    <w:rsid w:val="00056A76"/>
    <w:rsid w:val="00056AB7"/>
    <w:rsid w:val="000573B9"/>
    <w:rsid w:val="000575AC"/>
    <w:rsid w:val="00057600"/>
    <w:rsid w:val="0005771F"/>
    <w:rsid w:val="00057BFD"/>
    <w:rsid w:val="00057CE0"/>
    <w:rsid w:val="000606AE"/>
    <w:rsid w:val="00060898"/>
    <w:rsid w:val="00061063"/>
    <w:rsid w:val="000618ED"/>
    <w:rsid w:val="00061A62"/>
    <w:rsid w:val="00063595"/>
    <w:rsid w:val="000645B1"/>
    <w:rsid w:val="000654EE"/>
    <w:rsid w:val="00065906"/>
    <w:rsid w:val="00065C68"/>
    <w:rsid w:val="00065EB6"/>
    <w:rsid w:val="0006627F"/>
    <w:rsid w:val="000664A1"/>
    <w:rsid w:val="00067174"/>
    <w:rsid w:val="00067360"/>
    <w:rsid w:val="00067604"/>
    <w:rsid w:val="000677B5"/>
    <w:rsid w:val="00067CF9"/>
    <w:rsid w:val="00067F0C"/>
    <w:rsid w:val="000716E8"/>
    <w:rsid w:val="000721FC"/>
    <w:rsid w:val="00072856"/>
    <w:rsid w:val="00072946"/>
    <w:rsid w:val="00072CC7"/>
    <w:rsid w:val="0007305B"/>
    <w:rsid w:val="0007312B"/>
    <w:rsid w:val="00073257"/>
    <w:rsid w:val="00073B29"/>
    <w:rsid w:val="00074734"/>
    <w:rsid w:val="00074B84"/>
    <w:rsid w:val="00074F28"/>
    <w:rsid w:val="0007530D"/>
    <w:rsid w:val="000757B2"/>
    <w:rsid w:val="00077B45"/>
    <w:rsid w:val="00080332"/>
    <w:rsid w:val="0008034A"/>
    <w:rsid w:val="00081030"/>
    <w:rsid w:val="00082039"/>
    <w:rsid w:val="000827F3"/>
    <w:rsid w:val="00083F09"/>
    <w:rsid w:val="00087FEC"/>
    <w:rsid w:val="00090831"/>
    <w:rsid w:val="00090DDC"/>
    <w:rsid w:val="00090E24"/>
    <w:rsid w:val="000910F2"/>
    <w:rsid w:val="00091115"/>
    <w:rsid w:val="000928C6"/>
    <w:rsid w:val="000930F0"/>
    <w:rsid w:val="00093675"/>
    <w:rsid w:val="00093944"/>
    <w:rsid w:val="000949BF"/>
    <w:rsid w:val="00094AC1"/>
    <w:rsid w:val="00095601"/>
    <w:rsid w:val="000A036B"/>
    <w:rsid w:val="000A0AC1"/>
    <w:rsid w:val="000A0E0E"/>
    <w:rsid w:val="000A1801"/>
    <w:rsid w:val="000A2216"/>
    <w:rsid w:val="000A22B4"/>
    <w:rsid w:val="000A2B6F"/>
    <w:rsid w:val="000A2FCC"/>
    <w:rsid w:val="000A2FE9"/>
    <w:rsid w:val="000A366D"/>
    <w:rsid w:val="000A37C4"/>
    <w:rsid w:val="000A4D0A"/>
    <w:rsid w:val="000A4F7A"/>
    <w:rsid w:val="000A69BB"/>
    <w:rsid w:val="000A6F8B"/>
    <w:rsid w:val="000A6FC4"/>
    <w:rsid w:val="000A7830"/>
    <w:rsid w:val="000A7985"/>
    <w:rsid w:val="000A798F"/>
    <w:rsid w:val="000A7B7E"/>
    <w:rsid w:val="000A7BFC"/>
    <w:rsid w:val="000B01A8"/>
    <w:rsid w:val="000B0D6C"/>
    <w:rsid w:val="000B278C"/>
    <w:rsid w:val="000B32E3"/>
    <w:rsid w:val="000B3659"/>
    <w:rsid w:val="000B39CC"/>
    <w:rsid w:val="000B47FA"/>
    <w:rsid w:val="000B4D6C"/>
    <w:rsid w:val="000B5E45"/>
    <w:rsid w:val="000C072F"/>
    <w:rsid w:val="000C0F94"/>
    <w:rsid w:val="000C16EE"/>
    <w:rsid w:val="000C1FB9"/>
    <w:rsid w:val="000C23A7"/>
    <w:rsid w:val="000C2846"/>
    <w:rsid w:val="000C2984"/>
    <w:rsid w:val="000C2F57"/>
    <w:rsid w:val="000C3273"/>
    <w:rsid w:val="000C3B98"/>
    <w:rsid w:val="000C42DE"/>
    <w:rsid w:val="000C492C"/>
    <w:rsid w:val="000C49FB"/>
    <w:rsid w:val="000C5093"/>
    <w:rsid w:val="000C52E7"/>
    <w:rsid w:val="000C53E2"/>
    <w:rsid w:val="000C6493"/>
    <w:rsid w:val="000C649B"/>
    <w:rsid w:val="000C6F58"/>
    <w:rsid w:val="000C7058"/>
    <w:rsid w:val="000C707A"/>
    <w:rsid w:val="000C73A7"/>
    <w:rsid w:val="000C7866"/>
    <w:rsid w:val="000C7B61"/>
    <w:rsid w:val="000C7D64"/>
    <w:rsid w:val="000C7DAA"/>
    <w:rsid w:val="000D0E55"/>
    <w:rsid w:val="000D0FB7"/>
    <w:rsid w:val="000D13BD"/>
    <w:rsid w:val="000D179B"/>
    <w:rsid w:val="000D1D4F"/>
    <w:rsid w:val="000D1FC2"/>
    <w:rsid w:val="000D21BF"/>
    <w:rsid w:val="000D241A"/>
    <w:rsid w:val="000D3596"/>
    <w:rsid w:val="000D4167"/>
    <w:rsid w:val="000D4A8A"/>
    <w:rsid w:val="000D4F0E"/>
    <w:rsid w:val="000D536E"/>
    <w:rsid w:val="000D5DC4"/>
    <w:rsid w:val="000D6077"/>
    <w:rsid w:val="000D61B8"/>
    <w:rsid w:val="000D69B3"/>
    <w:rsid w:val="000D6B68"/>
    <w:rsid w:val="000D6BC0"/>
    <w:rsid w:val="000D7087"/>
    <w:rsid w:val="000D70FE"/>
    <w:rsid w:val="000D75DB"/>
    <w:rsid w:val="000E010A"/>
    <w:rsid w:val="000E073D"/>
    <w:rsid w:val="000E0B71"/>
    <w:rsid w:val="000E0F3E"/>
    <w:rsid w:val="000E1404"/>
    <w:rsid w:val="000E17C1"/>
    <w:rsid w:val="000E18E1"/>
    <w:rsid w:val="000E1CAE"/>
    <w:rsid w:val="000E2226"/>
    <w:rsid w:val="000E2355"/>
    <w:rsid w:val="000E27F5"/>
    <w:rsid w:val="000E2CFE"/>
    <w:rsid w:val="000E37B5"/>
    <w:rsid w:val="000E5916"/>
    <w:rsid w:val="000E5FF1"/>
    <w:rsid w:val="000E6DF0"/>
    <w:rsid w:val="000E7996"/>
    <w:rsid w:val="000F0222"/>
    <w:rsid w:val="000F0251"/>
    <w:rsid w:val="000F2F10"/>
    <w:rsid w:val="000F30BB"/>
    <w:rsid w:val="000F38FD"/>
    <w:rsid w:val="000F45F1"/>
    <w:rsid w:val="000F4FB2"/>
    <w:rsid w:val="000F5655"/>
    <w:rsid w:val="000F5B53"/>
    <w:rsid w:val="000F6954"/>
    <w:rsid w:val="000F7584"/>
    <w:rsid w:val="000F7614"/>
    <w:rsid w:val="000F7703"/>
    <w:rsid w:val="000F793F"/>
    <w:rsid w:val="00100564"/>
    <w:rsid w:val="00100E65"/>
    <w:rsid w:val="00103760"/>
    <w:rsid w:val="00104BC5"/>
    <w:rsid w:val="00104D5D"/>
    <w:rsid w:val="001052AC"/>
    <w:rsid w:val="001059DD"/>
    <w:rsid w:val="00105C01"/>
    <w:rsid w:val="00106E99"/>
    <w:rsid w:val="00106EA8"/>
    <w:rsid w:val="00111294"/>
    <w:rsid w:val="001116C8"/>
    <w:rsid w:val="00111CDC"/>
    <w:rsid w:val="001124C8"/>
    <w:rsid w:val="00113065"/>
    <w:rsid w:val="00114090"/>
    <w:rsid w:val="00114FD7"/>
    <w:rsid w:val="0011599E"/>
    <w:rsid w:val="00116458"/>
    <w:rsid w:val="00116530"/>
    <w:rsid w:val="001166C8"/>
    <w:rsid w:val="00116E27"/>
    <w:rsid w:val="00116EC3"/>
    <w:rsid w:val="00117022"/>
    <w:rsid w:val="00117E25"/>
    <w:rsid w:val="001202A3"/>
    <w:rsid w:val="001205A0"/>
    <w:rsid w:val="001213BB"/>
    <w:rsid w:val="001214BB"/>
    <w:rsid w:val="0012185D"/>
    <w:rsid w:val="001224A6"/>
    <w:rsid w:val="001231B4"/>
    <w:rsid w:val="00124168"/>
    <w:rsid w:val="0012430C"/>
    <w:rsid w:val="0012454F"/>
    <w:rsid w:val="00124BB4"/>
    <w:rsid w:val="00126332"/>
    <w:rsid w:val="00126370"/>
    <w:rsid w:val="001272EF"/>
    <w:rsid w:val="00127F77"/>
    <w:rsid w:val="00131915"/>
    <w:rsid w:val="001325EC"/>
    <w:rsid w:val="00132DC3"/>
    <w:rsid w:val="001333BD"/>
    <w:rsid w:val="0013368C"/>
    <w:rsid w:val="00134042"/>
    <w:rsid w:val="001358A1"/>
    <w:rsid w:val="00137A40"/>
    <w:rsid w:val="0014150D"/>
    <w:rsid w:val="001417A5"/>
    <w:rsid w:val="00141AE2"/>
    <w:rsid w:val="00141FCF"/>
    <w:rsid w:val="001423A0"/>
    <w:rsid w:val="001424D6"/>
    <w:rsid w:val="001428C2"/>
    <w:rsid w:val="00142B20"/>
    <w:rsid w:val="00143C31"/>
    <w:rsid w:val="00145347"/>
    <w:rsid w:val="00145685"/>
    <w:rsid w:val="00146309"/>
    <w:rsid w:val="001463F3"/>
    <w:rsid w:val="00146466"/>
    <w:rsid w:val="00146E32"/>
    <w:rsid w:val="00146EF7"/>
    <w:rsid w:val="00147328"/>
    <w:rsid w:val="001476AD"/>
    <w:rsid w:val="001478C8"/>
    <w:rsid w:val="00150EA9"/>
    <w:rsid w:val="00151104"/>
    <w:rsid w:val="001511F1"/>
    <w:rsid w:val="0015147B"/>
    <w:rsid w:val="001518B4"/>
    <w:rsid w:val="00151A33"/>
    <w:rsid w:val="00151FA0"/>
    <w:rsid w:val="00152594"/>
    <w:rsid w:val="00153831"/>
    <w:rsid w:val="001543AC"/>
    <w:rsid w:val="001543D3"/>
    <w:rsid w:val="00154486"/>
    <w:rsid w:val="00154F11"/>
    <w:rsid w:val="00155232"/>
    <w:rsid w:val="0015558F"/>
    <w:rsid w:val="001555D0"/>
    <w:rsid w:val="0015626D"/>
    <w:rsid w:val="001562B4"/>
    <w:rsid w:val="001563BF"/>
    <w:rsid w:val="00157B47"/>
    <w:rsid w:val="00157D88"/>
    <w:rsid w:val="00160894"/>
    <w:rsid w:val="00160D5C"/>
    <w:rsid w:val="00161833"/>
    <w:rsid w:val="001620C4"/>
    <w:rsid w:val="00163617"/>
    <w:rsid w:val="001640CA"/>
    <w:rsid w:val="0016436A"/>
    <w:rsid w:val="0016466E"/>
    <w:rsid w:val="00164975"/>
    <w:rsid w:val="00164B96"/>
    <w:rsid w:val="0016628F"/>
    <w:rsid w:val="00166ED7"/>
    <w:rsid w:val="001670C0"/>
    <w:rsid w:val="00167269"/>
    <w:rsid w:val="00167489"/>
    <w:rsid w:val="001676EE"/>
    <w:rsid w:val="00167C0D"/>
    <w:rsid w:val="00167F8B"/>
    <w:rsid w:val="00170265"/>
    <w:rsid w:val="00171350"/>
    <w:rsid w:val="00171881"/>
    <w:rsid w:val="00171A07"/>
    <w:rsid w:val="001722A5"/>
    <w:rsid w:val="00172C0E"/>
    <w:rsid w:val="00173AF0"/>
    <w:rsid w:val="00175236"/>
    <w:rsid w:val="0017524E"/>
    <w:rsid w:val="001756C1"/>
    <w:rsid w:val="0017587C"/>
    <w:rsid w:val="0017612B"/>
    <w:rsid w:val="001765EC"/>
    <w:rsid w:val="00177E7A"/>
    <w:rsid w:val="00180063"/>
    <w:rsid w:val="00180890"/>
    <w:rsid w:val="00180EA3"/>
    <w:rsid w:val="001813EC"/>
    <w:rsid w:val="0018237F"/>
    <w:rsid w:val="00182469"/>
    <w:rsid w:val="00182859"/>
    <w:rsid w:val="00182A0E"/>
    <w:rsid w:val="00182BC1"/>
    <w:rsid w:val="0018360D"/>
    <w:rsid w:val="00183666"/>
    <w:rsid w:val="001841F5"/>
    <w:rsid w:val="001858E3"/>
    <w:rsid w:val="00186629"/>
    <w:rsid w:val="00186974"/>
    <w:rsid w:val="001872F9"/>
    <w:rsid w:val="00187730"/>
    <w:rsid w:val="00190305"/>
    <w:rsid w:val="00190327"/>
    <w:rsid w:val="0019231C"/>
    <w:rsid w:val="0019297B"/>
    <w:rsid w:val="00192C9C"/>
    <w:rsid w:val="00193CE0"/>
    <w:rsid w:val="001942DB"/>
    <w:rsid w:val="001945B0"/>
    <w:rsid w:val="0019462F"/>
    <w:rsid w:val="00194BF8"/>
    <w:rsid w:val="00195C67"/>
    <w:rsid w:val="00195FF1"/>
    <w:rsid w:val="001966DD"/>
    <w:rsid w:val="00196B64"/>
    <w:rsid w:val="0019716B"/>
    <w:rsid w:val="00197A08"/>
    <w:rsid w:val="00197AF2"/>
    <w:rsid w:val="00197E11"/>
    <w:rsid w:val="001A25B0"/>
    <w:rsid w:val="001A3835"/>
    <w:rsid w:val="001A66ED"/>
    <w:rsid w:val="001A6B7A"/>
    <w:rsid w:val="001A70A0"/>
    <w:rsid w:val="001A71EE"/>
    <w:rsid w:val="001A730C"/>
    <w:rsid w:val="001A7391"/>
    <w:rsid w:val="001B0294"/>
    <w:rsid w:val="001B0E3A"/>
    <w:rsid w:val="001B0FA4"/>
    <w:rsid w:val="001B1DE9"/>
    <w:rsid w:val="001B210B"/>
    <w:rsid w:val="001B2DE1"/>
    <w:rsid w:val="001B33DC"/>
    <w:rsid w:val="001B3CE9"/>
    <w:rsid w:val="001B4A74"/>
    <w:rsid w:val="001B505D"/>
    <w:rsid w:val="001B541D"/>
    <w:rsid w:val="001B5D52"/>
    <w:rsid w:val="001B653E"/>
    <w:rsid w:val="001B6BAC"/>
    <w:rsid w:val="001B6C0D"/>
    <w:rsid w:val="001B6D83"/>
    <w:rsid w:val="001B7164"/>
    <w:rsid w:val="001B7C1E"/>
    <w:rsid w:val="001B7ED0"/>
    <w:rsid w:val="001C1703"/>
    <w:rsid w:val="001C1717"/>
    <w:rsid w:val="001C1899"/>
    <w:rsid w:val="001C31B1"/>
    <w:rsid w:val="001C3291"/>
    <w:rsid w:val="001C3C36"/>
    <w:rsid w:val="001C3CFF"/>
    <w:rsid w:val="001C3E17"/>
    <w:rsid w:val="001C484B"/>
    <w:rsid w:val="001C495B"/>
    <w:rsid w:val="001C4BC9"/>
    <w:rsid w:val="001C4D3E"/>
    <w:rsid w:val="001C5793"/>
    <w:rsid w:val="001C5D6B"/>
    <w:rsid w:val="001C62C0"/>
    <w:rsid w:val="001C690D"/>
    <w:rsid w:val="001C7481"/>
    <w:rsid w:val="001C7632"/>
    <w:rsid w:val="001D04DB"/>
    <w:rsid w:val="001D0AF4"/>
    <w:rsid w:val="001D14E8"/>
    <w:rsid w:val="001D2380"/>
    <w:rsid w:val="001D2384"/>
    <w:rsid w:val="001D23D1"/>
    <w:rsid w:val="001D241F"/>
    <w:rsid w:val="001D25F6"/>
    <w:rsid w:val="001D2DF4"/>
    <w:rsid w:val="001D335D"/>
    <w:rsid w:val="001D40A4"/>
    <w:rsid w:val="001D41E8"/>
    <w:rsid w:val="001D51D8"/>
    <w:rsid w:val="001D5510"/>
    <w:rsid w:val="001D630C"/>
    <w:rsid w:val="001D74F8"/>
    <w:rsid w:val="001D7888"/>
    <w:rsid w:val="001D799B"/>
    <w:rsid w:val="001D7D89"/>
    <w:rsid w:val="001E0666"/>
    <w:rsid w:val="001E069B"/>
    <w:rsid w:val="001E0C66"/>
    <w:rsid w:val="001E0C9F"/>
    <w:rsid w:val="001E18C4"/>
    <w:rsid w:val="001E1AC8"/>
    <w:rsid w:val="001E2B9C"/>
    <w:rsid w:val="001E2BEF"/>
    <w:rsid w:val="001E2F3E"/>
    <w:rsid w:val="001E3CBB"/>
    <w:rsid w:val="001E4E26"/>
    <w:rsid w:val="001E53A2"/>
    <w:rsid w:val="001E5763"/>
    <w:rsid w:val="001E5787"/>
    <w:rsid w:val="001E6792"/>
    <w:rsid w:val="001F0908"/>
    <w:rsid w:val="001F0A34"/>
    <w:rsid w:val="001F1193"/>
    <w:rsid w:val="001F140C"/>
    <w:rsid w:val="001F1850"/>
    <w:rsid w:val="001F190F"/>
    <w:rsid w:val="001F1E17"/>
    <w:rsid w:val="001F2D4C"/>
    <w:rsid w:val="001F40F7"/>
    <w:rsid w:val="001F4392"/>
    <w:rsid w:val="001F4A24"/>
    <w:rsid w:val="001F557B"/>
    <w:rsid w:val="001F5838"/>
    <w:rsid w:val="001F5F8F"/>
    <w:rsid w:val="001F5FA5"/>
    <w:rsid w:val="001F667F"/>
    <w:rsid w:val="0020071E"/>
    <w:rsid w:val="002008E6"/>
    <w:rsid w:val="00200DD6"/>
    <w:rsid w:val="00201876"/>
    <w:rsid w:val="00202185"/>
    <w:rsid w:val="00202748"/>
    <w:rsid w:val="00203086"/>
    <w:rsid w:val="00203935"/>
    <w:rsid w:val="00204D90"/>
    <w:rsid w:val="00204EEB"/>
    <w:rsid w:val="00205814"/>
    <w:rsid w:val="00205B32"/>
    <w:rsid w:val="00206602"/>
    <w:rsid w:val="00206B32"/>
    <w:rsid w:val="0020712F"/>
    <w:rsid w:val="00207540"/>
    <w:rsid w:val="00207B08"/>
    <w:rsid w:val="00210193"/>
    <w:rsid w:val="00210D6E"/>
    <w:rsid w:val="0021138A"/>
    <w:rsid w:val="00211861"/>
    <w:rsid w:val="002119D8"/>
    <w:rsid w:val="00211DDC"/>
    <w:rsid w:val="00211DE2"/>
    <w:rsid w:val="00212735"/>
    <w:rsid w:val="00212BA6"/>
    <w:rsid w:val="00214229"/>
    <w:rsid w:val="00214549"/>
    <w:rsid w:val="00214D62"/>
    <w:rsid w:val="00214F1B"/>
    <w:rsid w:val="00214FDA"/>
    <w:rsid w:val="00215144"/>
    <w:rsid w:val="002151B3"/>
    <w:rsid w:val="00216541"/>
    <w:rsid w:val="002165AF"/>
    <w:rsid w:val="0021675A"/>
    <w:rsid w:val="00216812"/>
    <w:rsid w:val="00216900"/>
    <w:rsid w:val="00216DDA"/>
    <w:rsid w:val="00216FED"/>
    <w:rsid w:val="0021757B"/>
    <w:rsid w:val="00220899"/>
    <w:rsid w:val="00220EE4"/>
    <w:rsid w:val="002218ED"/>
    <w:rsid w:val="00221FE7"/>
    <w:rsid w:val="0022289C"/>
    <w:rsid w:val="00222D2A"/>
    <w:rsid w:val="0022327F"/>
    <w:rsid w:val="00223CF5"/>
    <w:rsid w:val="00224289"/>
    <w:rsid w:val="00224E9E"/>
    <w:rsid w:val="0022523D"/>
    <w:rsid w:val="00225486"/>
    <w:rsid w:val="00225AC4"/>
    <w:rsid w:val="002269C1"/>
    <w:rsid w:val="00226AA9"/>
    <w:rsid w:val="00230438"/>
    <w:rsid w:val="00230A15"/>
    <w:rsid w:val="00230AFC"/>
    <w:rsid w:val="00231759"/>
    <w:rsid w:val="00231F14"/>
    <w:rsid w:val="00232DAD"/>
    <w:rsid w:val="0023309F"/>
    <w:rsid w:val="0023356A"/>
    <w:rsid w:val="002339A8"/>
    <w:rsid w:val="0023407D"/>
    <w:rsid w:val="002348F9"/>
    <w:rsid w:val="002353FE"/>
    <w:rsid w:val="0023553C"/>
    <w:rsid w:val="00235839"/>
    <w:rsid w:val="00236B2B"/>
    <w:rsid w:val="00236D04"/>
    <w:rsid w:val="002371A0"/>
    <w:rsid w:val="002379F3"/>
    <w:rsid w:val="00240039"/>
    <w:rsid w:val="002400CC"/>
    <w:rsid w:val="002403EE"/>
    <w:rsid w:val="00240CF3"/>
    <w:rsid w:val="00240FFC"/>
    <w:rsid w:val="002411C8"/>
    <w:rsid w:val="002418AE"/>
    <w:rsid w:val="00241B6A"/>
    <w:rsid w:val="002424F0"/>
    <w:rsid w:val="002444B3"/>
    <w:rsid w:val="002445B5"/>
    <w:rsid w:val="00244609"/>
    <w:rsid w:val="002449BD"/>
    <w:rsid w:val="00245874"/>
    <w:rsid w:val="00245C1A"/>
    <w:rsid w:val="002460D5"/>
    <w:rsid w:val="002461A0"/>
    <w:rsid w:val="00246905"/>
    <w:rsid w:val="00247246"/>
    <w:rsid w:val="00247C55"/>
    <w:rsid w:val="00247D72"/>
    <w:rsid w:val="00247F12"/>
    <w:rsid w:val="00247F78"/>
    <w:rsid w:val="002504A6"/>
    <w:rsid w:val="00250897"/>
    <w:rsid w:val="00250AE1"/>
    <w:rsid w:val="00250B17"/>
    <w:rsid w:val="00250C88"/>
    <w:rsid w:val="00251121"/>
    <w:rsid w:val="00251863"/>
    <w:rsid w:val="0025193F"/>
    <w:rsid w:val="0025206F"/>
    <w:rsid w:val="002524A2"/>
    <w:rsid w:val="002525CE"/>
    <w:rsid w:val="00252DBE"/>
    <w:rsid w:val="00253B2D"/>
    <w:rsid w:val="00254DBE"/>
    <w:rsid w:val="0025558A"/>
    <w:rsid w:val="00255855"/>
    <w:rsid w:val="002560AF"/>
    <w:rsid w:val="002563F3"/>
    <w:rsid w:val="00256E36"/>
    <w:rsid w:val="00257632"/>
    <w:rsid w:val="00257EF8"/>
    <w:rsid w:val="0026028D"/>
    <w:rsid w:val="00260840"/>
    <w:rsid w:val="00261D51"/>
    <w:rsid w:val="00261DE1"/>
    <w:rsid w:val="00262712"/>
    <w:rsid w:val="00262816"/>
    <w:rsid w:val="00262C56"/>
    <w:rsid w:val="00262D35"/>
    <w:rsid w:val="00263140"/>
    <w:rsid w:val="0026358A"/>
    <w:rsid w:val="00264336"/>
    <w:rsid w:val="00264661"/>
    <w:rsid w:val="002652D4"/>
    <w:rsid w:val="0026532D"/>
    <w:rsid w:val="00265878"/>
    <w:rsid w:val="00265AC8"/>
    <w:rsid w:val="00265FC9"/>
    <w:rsid w:val="002661AC"/>
    <w:rsid w:val="00266305"/>
    <w:rsid w:val="002665FD"/>
    <w:rsid w:val="00266A75"/>
    <w:rsid w:val="00266E9A"/>
    <w:rsid w:val="00267A01"/>
    <w:rsid w:val="00270105"/>
    <w:rsid w:val="002703A3"/>
    <w:rsid w:val="002706F9"/>
    <w:rsid w:val="00273196"/>
    <w:rsid w:val="00273C07"/>
    <w:rsid w:val="00273E2D"/>
    <w:rsid w:val="00274BDD"/>
    <w:rsid w:val="00274EBE"/>
    <w:rsid w:val="00275938"/>
    <w:rsid w:val="00275B15"/>
    <w:rsid w:val="00276362"/>
    <w:rsid w:val="002770D2"/>
    <w:rsid w:val="00280497"/>
    <w:rsid w:val="00280C64"/>
    <w:rsid w:val="00280EE0"/>
    <w:rsid w:val="00280F9A"/>
    <w:rsid w:val="0028105E"/>
    <w:rsid w:val="0028114B"/>
    <w:rsid w:val="00283124"/>
    <w:rsid w:val="0028442D"/>
    <w:rsid w:val="00284F77"/>
    <w:rsid w:val="0028519C"/>
    <w:rsid w:val="002861E2"/>
    <w:rsid w:val="00286383"/>
    <w:rsid w:val="002864B1"/>
    <w:rsid w:val="0028667E"/>
    <w:rsid w:val="002868B6"/>
    <w:rsid w:val="00286DE5"/>
    <w:rsid w:val="00286E25"/>
    <w:rsid w:val="00287763"/>
    <w:rsid w:val="00287AA2"/>
    <w:rsid w:val="00290DD4"/>
    <w:rsid w:val="0029177B"/>
    <w:rsid w:val="00291B4B"/>
    <w:rsid w:val="00291BE7"/>
    <w:rsid w:val="00292A23"/>
    <w:rsid w:val="00292F01"/>
    <w:rsid w:val="00293272"/>
    <w:rsid w:val="00293416"/>
    <w:rsid w:val="00293585"/>
    <w:rsid w:val="00293CF4"/>
    <w:rsid w:val="00293FE2"/>
    <w:rsid w:val="00294689"/>
    <w:rsid w:val="002946D2"/>
    <w:rsid w:val="00295ACA"/>
    <w:rsid w:val="002A0CF5"/>
    <w:rsid w:val="002A0D11"/>
    <w:rsid w:val="002A0DF4"/>
    <w:rsid w:val="002A0EA3"/>
    <w:rsid w:val="002A1E0A"/>
    <w:rsid w:val="002A2384"/>
    <w:rsid w:val="002A50F7"/>
    <w:rsid w:val="002A55E7"/>
    <w:rsid w:val="002A5649"/>
    <w:rsid w:val="002A572A"/>
    <w:rsid w:val="002A6390"/>
    <w:rsid w:val="002A77B1"/>
    <w:rsid w:val="002B0C19"/>
    <w:rsid w:val="002B0E1A"/>
    <w:rsid w:val="002B1A5E"/>
    <w:rsid w:val="002B1E92"/>
    <w:rsid w:val="002B2703"/>
    <w:rsid w:val="002B2A8D"/>
    <w:rsid w:val="002B30D3"/>
    <w:rsid w:val="002B32FB"/>
    <w:rsid w:val="002B34F2"/>
    <w:rsid w:val="002B35DF"/>
    <w:rsid w:val="002B365E"/>
    <w:rsid w:val="002B387F"/>
    <w:rsid w:val="002B40BE"/>
    <w:rsid w:val="002B418D"/>
    <w:rsid w:val="002B450C"/>
    <w:rsid w:val="002B4825"/>
    <w:rsid w:val="002B4C41"/>
    <w:rsid w:val="002B6187"/>
    <w:rsid w:val="002B6563"/>
    <w:rsid w:val="002B65CE"/>
    <w:rsid w:val="002B67DC"/>
    <w:rsid w:val="002C08BF"/>
    <w:rsid w:val="002C0B36"/>
    <w:rsid w:val="002C1998"/>
    <w:rsid w:val="002C27A7"/>
    <w:rsid w:val="002C2814"/>
    <w:rsid w:val="002C2A01"/>
    <w:rsid w:val="002C308C"/>
    <w:rsid w:val="002C32A1"/>
    <w:rsid w:val="002C35E5"/>
    <w:rsid w:val="002C39C8"/>
    <w:rsid w:val="002C3B25"/>
    <w:rsid w:val="002C43E3"/>
    <w:rsid w:val="002C50E0"/>
    <w:rsid w:val="002C65F9"/>
    <w:rsid w:val="002C690E"/>
    <w:rsid w:val="002C7097"/>
    <w:rsid w:val="002C78BE"/>
    <w:rsid w:val="002D014D"/>
    <w:rsid w:val="002D0426"/>
    <w:rsid w:val="002D064E"/>
    <w:rsid w:val="002D0792"/>
    <w:rsid w:val="002D111D"/>
    <w:rsid w:val="002D1A48"/>
    <w:rsid w:val="002D2612"/>
    <w:rsid w:val="002D36F5"/>
    <w:rsid w:val="002D3824"/>
    <w:rsid w:val="002D4045"/>
    <w:rsid w:val="002D4061"/>
    <w:rsid w:val="002D4105"/>
    <w:rsid w:val="002D42E7"/>
    <w:rsid w:val="002D45E2"/>
    <w:rsid w:val="002D4AB5"/>
    <w:rsid w:val="002D5912"/>
    <w:rsid w:val="002D593C"/>
    <w:rsid w:val="002D5B23"/>
    <w:rsid w:val="002D5F49"/>
    <w:rsid w:val="002D60D4"/>
    <w:rsid w:val="002D6755"/>
    <w:rsid w:val="002D675E"/>
    <w:rsid w:val="002D6E7F"/>
    <w:rsid w:val="002D7739"/>
    <w:rsid w:val="002D7ADF"/>
    <w:rsid w:val="002E01D8"/>
    <w:rsid w:val="002E042A"/>
    <w:rsid w:val="002E0F2C"/>
    <w:rsid w:val="002E18E5"/>
    <w:rsid w:val="002E1CE4"/>
    <w:rsid w:val="002E2405"/>
    <w:rsid w:val="002E25F0"/>
    <w:rsid w:val="002E2668"/>
    <w:rsid w:val="002E3FA8"/>
    <w:rsid w:val="002E4840"/>
    <w:rsid w:val="002E48AF"/>
    <w:rsid w:val="002E5E11"/>
    <w:rsid w:val="002E67D1"/>
    <w:rsid w:val="002E719B"/>
    <w:rsid w:val="002E71CA"/>
    <w:rsid w:val="002E7661"/>
    <w:rsid w:val="002E794A"/>
    <w:rsid w:val="002F01B7"/>
    <w:rsid w:val="002F031A"/>
    <w:rsid w:val="002F0797"/>
    <w:rsid w:val="002F18E0"/>
    <w:rsid w:val="002F1C32"/>
    <w:rsid w:val="002F2396"/>
    <w:rsid w:val="002F26E6"/>
    <w:rsid w:val="002F2F69"/>
    <w:rsid w:val="002F3370"/>
    <w:rsid w:val="002F34CF"/>
    <w:rsid w:val="002F3639"/>
    <w:rsid w:val="002F37C0"/>
    <w:rsid w:val="002F425A"/>
    <w:rsid w:val="002F46AB"/>
    <w:rsid w:val="002F5E7E"/>
    <w:rsid w:val="002F6740"/>
    <w:rsid w:val="002F67AC"/>
    <w:rsid w:val="002F6D2C"/>
    <w:rsid w:val="002F78E2"/>
    <w:rsid w:val="002F7A1E"/>
    <w:rsid w:val="003003D6"/>
    <w:rsid w:val="00300433"/>
    <w:rsid w:val="003008EE"/>
    <w:rsid w:val="00300A66"/>
    <w:rsid w:val="00301AE5"/>
    <w:rsid w:val="00303699"/>
    <w:rsid w:val="00303F5A"/>
    <w:rsid w:val="00305973"/>
    <w:rsid w:val="00306752"/>
    <w:rsid w:val="00306C36"/>
    <w:rsid w:val="00306F00"/>
    <w:rsid w:val="0031110B"/>
    <w:rsid w:val="00312B1A"/>
    <w:rsid w:val="00313680"/>
    <w:rsid w:val="003139CA"/>
    <w:rsid w:val="00315607"/>
    <w:rsid w:val="003158DC"/>
    <w:rsid w:val="00316368"/>
    <w:rsid w:val="00316963"/>
    <w:rsid w:val="00316AFA"/>
    <w:rsid w:val="00316E7D"/>
    <w:rsid w:val="0031733C"/>
    <w:rsid w:val="00317970"/>
    <w:rsid w:val="00317DA6"/>
    <w:rsid w:val="0032042A"/>
    <w:rsid w:val="0032060F"/>
    <w:rsid w:val="00320AB2"/>
    <w:rsid w:val="00320BCE"/>
    <w:rsid w:val="00320DE9"/>
    <w:rsid w:val="00320E0E"/>
    <w:rsid w:val="003215C9"/>
    <w:rsid w:val="003223C5"/>
    <w:rsid w:val="003225A6"/>
    <w:rsid w:val="003235A4"/>
    <w:rsid w:val="00323D7E"/>
    <w:rsid w:val="00323FCE"/>
    <w:rsid w:val="003245CD"/>
    <w:rsid w:val="003256AC"/>
    <w:rsid w:val="00326694"/>
    <w:rsid w:val="00326934"/>
    <w:rsid w:val="00326A0B"/>
    <w:rsid w:val="00327DC6"/>
    <w:rsid w:val="003309F5"/>
    <w:rsid w:val="00330A25"/>
    <w:rsid w:val="003322E1"/>
    <w:rsid w:val="003330FD"/>
    <w:rsid w:val="003339D9"/>
    <w:rsid w:val="00334B2E"/>
    <w:rsid w:val="00334D1F"/>
    <w:rsid w:val="00334D3E"/>
    <w:rsid w:val="00334DA6"/>
    <w:rsid w:val="00335247"/>
    <w:rsid w:val="003358E4"/>
    <w:rsid w:val="00335EFD"/>
    <w:rsid w:val="00336482"/>
    <w:rsid w:val="00336651"/>
    <w:rsid w:val="003369BE"/>
    <w:rsid w:val="00337A2E"/>
    <w:rsid w:val="00337CF8"/>
    <w:rsid w:val="00337E88"/>
    <w:rsid w:val="00337F1B"/>
    <w:rsid w:val="0034028D"/>
    <w:rsid w:val="003407E3"/>
    <w:rsid w:val="00341837"/>
    <w:rsid w:val="00341C76"/>
    <w:rsid w:val="00342015"/>
    <w:rsid w:val="003425E3"/>
    <w:rsid w:val="003433F0"/>
    <w:rsid w:val="00343464"/>
    <w:rsid w:val="0034369A"/>
    <w:rsid w:val="003455B9"/>
    <w:rsid w:val="00345A6F"/>
    <w:rsid w:val="00345B42"/>
    <w:rsid w:val="0034778B"/>
    <w:rsid w:val="003501E9"/>
    <w:rsid w:val="0035053A"/>
    <w:rsid w:val="00350CB0"/>
    <w:rsid w:val="00351EDE"/>
    <w:rsid w:val="003520A7"/>
    <w:rsid w:val="00352241"/>
    <w:rsid w:val="003524DC"/>
    <w:rsid w:val="00352C69"/>
    <w:rsid w:val="00353993"/>
    <w:rsid w:val="00353B06"/>
    <w:rsid w:val="00354162"/>
    <w:rsid w:val="00354C47"/>
    <w:rsid w:val="003554A5"/>
    <w:rsid w:val="00355D7A"/>
    <w:rsid w:val="0035689F"/>
    <w:rsid w:val="003569BC"/>
    <w:rsid w:val="00357139"/>
    <w:rsid w:val="0036012B"/>
    <w:rsid w:val="003603DC"/>
    <w:rsid w:val="00360611"/>
    <w:rsid w:val="003607B5"/>
    <w:rsid w:val="00361D51"/>
    <w:rsid w:val="003624F5"/>
    <w:rsid w:val="00362519"/>
    <w:rsid w:val="003632CF"/>
    <w:rsid w:val="003634FF"/>
    <w:rsid w:val="00363527"/>
    <w:rsid w:val="00363BDE"/>
    <w:rsid w:val="00364009"/>
    <w:rsid w:val="0036430D"/>
    <w:rsid w:val="00365B7E"/>
    <w:rsid w:val="0037281E"/>
    <w:rsid w:val="00373215"/>
    <w:rsid w:val="0037331C"/>
    <w:rsid w:val="003733CC"/>
    <w:rsid w:val="003737D2"/>
    <w:rsid w:val="003747D4"/>
    <w:rsid w:val="0037592E"/>
    <w:rsid w:val="00375A90"/>
    <w:rsid w:val="00376662"/>
    <w:rsid w:val="003767C9"/>
    <w:rsid w:val="00377042"/>
    <w:rsid w:val="0037788A"/>
    <w:rsid w:val="00380772"/>
    <w:rsid w:val="00380A59"/>
    <w:rsid w:val="00380CC4"/>
    <w:rsid w:val="003813A0"/>
    <w:rsid w:val="0038194D"/>
    <w:rsid w:val="00381D28"/>
    <w:rsid w:val="00381F66"/>
    <w:rsid w:val="0038236F"/>
    <w:rsid w:val="00382952"/>
    <w:rsid w:val="00382DCA"/>
    <w:rsid w:val="0038455A"/>
    <w:rsid w:val="00384763"/>
    <w:rsid w:val="003868BD"/>
    <w:rsid w:val="00386AD9"/>
    <w:rsid w:val="00387116"/>
    <w:rsid w:val="003871C2"/>
    <w:rsid w:val="00387468"/>
    <w:rsid w:val="00387788"/>
    <w:rsid w:val="003913B5"/>
    <w:rsid w:val="00391676"/>
    <w:rsid w:val="00391850"/>
    <w:rsid w:val="00391D4D"/>
    <w:rsid w:val="00392028"/>
    <w:rsid w:val="0039232A"/>
    <w:rsid w:val="003926AB"/>
    <w:rsid w:val="0039281D"/>
    <w:rsid w:val="0039317A"/>
    <w:rsid w:val="0039344E"/>
    <w:rsid w:val="00393472"/>
    <w:rsid w:val="00393AA3"/>
    <w:rsid w:val="00393E36"/>
    <w:rsid w:val="00394007"/>
    <w:rsid w:val="00394328"/>
    <w:rsid w:val="00394651"/>
    <w:rsid w:val="00394AFB"/>
    <w:rsid w:val="00394BB9"/>
    <w:rsid w:val="0039514B"/>
    <w:rsid w:val="00395540"/>
    <w:rsid w:val="003957DC"/>
    <w:rsid w:val="003960EC"/>
    <w:rsid w:val="00396275"/>
    <w:rsid w:val="0039628D"/>
    <w:rsid w:val="00396333"/>
    <w:rsid w:val="00396E24"/>
    <w:rsid w:val="00397D71"/>
    <w:rsid w:val="003A020C"/>
    <w:rsid w:val="003A053D"/>
    <w:rsid w:val="003A0929"/>
    <w:rsid w:val="003A0DEE"/>
    <w:rsid w:val="003A0E5A"/>
    <w:rsid w:val="003A1821"/>
    <w:rsid w:val="003A1908"/>
    <w:rsid w:val="003A190C"/>
    <w:rsid w:val="003A1E4F"/>
    <w:rsid w:val="003A2285"/>
    <w:rsid w:val="003A24EC"/>
    <w:rsid w:val="003A286B"/>
    <w:rsid w:val="003A28EA"/>
    <w:rsid w:val="003A35D5"/>
    <w:rsid w:val="003A42A9"/>
    <w:rsid w:val="003A46F2"/>
    <w:rsid w:val="003A4CE0"/>
    <w:rsid w:val="003A52D2"/>
    <w:rsid w:val="003A53C3"/>
    <w:rsid w:val="003A5733"/>
    <w:rsid w:val="003A5895"/>
    <w:rsid w:val="003A6E27"/>
    <w:rsid w:val="003B0721"/>
    <w:rsid w:val="003B111A"/>
    <w:rsid w:val="003B1F12"/>
    <w:rsid w:val="003B2001"/>
    <w:rsid w:val="003B222E"/>
    <w:rsid w:val="003B3A2A"/>
    <w:rsid w:val="003B3B87"/>
    <w:rsid w:val="003B41F9"/>
    <w:rsid w:val="003B4709"/>
    <w:rsid w:val="003B4809"/>
    <w:rsid w:val="003B55CC"/>
    <w:rsid w:val="003B6756"/>
    <w:rsid w:val="003B6B02"/>
    <w:rsid w:val="003B6B92"/>
    <w:rsid w:val="003B715A"/>
    <w:rsid w:val="003B7C5F"/>
    <w:rsid w:val="003C081F"/>
    <w:rsid w:val="003C13F6"/>
    <w:rsid w:val="003C162F"/>
    <w:rsid w:val="003C178B"/>
    <w:rsid w:val="003C1A23"/>
    <w:rsid w:val="003C21E8"/>
    <w:rsid w:val="003C308B"/>
    <w:rsid w:val="003C3E3B"/>
    <w:rsid w:val="003C53FE"/>
    <w:rsid w:val="003C5470"/>
    <w:rsid w:val="003C5841"/>
    <w:rsid w:val="003C586F"/>
    <w:rsid w:val="003C5BD3"/>
    <w:rsid w:val="003C5D80"/>
    <w:rsid w:val="003C60B9"/>
    <w:rsid w:val="003C6654"/>
    <w:rsid w:val="003C66A6"/>
    <w:rsid w:val="003C6B3B"/>
    <w:rsid w:val="003C6DE2"/>
    <w:rsid w:val="003C6F0B"/>
    <w:rsid w:val="003D08A4"/>
    <w:rsid w:val="003D0A2E"/>
    <w:rsid w:val="003D0B91"/>
    <w:rsid w:val="003D0DAB"/>
    <w:rsid w:val="003D378C"/>
    <w:rsid w:val="003D40B7"/>
    <w:rsid w:val="003D51FC"/>
    <w:rsid w:val="003D570E"/>
    <w:rsid w:val="003D57C9"/>
    <w:rsid w:val="003D5867"/>
    <w:rsid w:val="003D5FC6"/>
    <w:rsid w:val="003D6A38"/>
    <w:rsid w:val="003D6F07"/>
    <w:rsid w:val="003D7309"/>
    <w:rsid w:val="003D779D"/>
    <w:rsid w:val="003D7CF4"/>
    <w:rsid w:val="003E18AD"/>
    <w:rsid w:val="003E1D44"/>
    <w:rsid w:val="003E1DF8"/>
    <w:rsid w:val="003E22B2"/>
    <w:rsid w:val="003E23FB"/>
    <w:rsid w:val="003E3556"/>
    <w:rsid w:val="003E3815"/>
    <w:rsid w:val="003E3CAC"/>
    <w:rsid w:val="003E3F11"/>
    <w:rsid w:val="003E450B"/>
    <w:rsid w:val="003E4B1C"/>
    <w:rsid w:val="003E5C88"/>
    <w:rsid w:val="003E6325"/>
    <w:rsid w:val="003E7BD9"/>
    <w:rsid w:val="003F0F1E"/>
    <w:rsid w:val="003F1181"/>
    <w:rsid w:val="003F200A"/>
    <w:rsid w:val="003F2671"/>
    <w:rsid w:val="003F2BDA"/>
    <w:rsid w:val="003F3BA8"/>
    <w:rsid w:val="003F3D8A"/>
    <w:rsid w:val="003F4D0C"/>
    <w:rsid w:val="003F56E2"/>
    <w:rsid w:val="003F5A2D"/>
    <w:rsid w:val="003F5C17"/>
    <w:rsid w:val="003F6F16"/>
    <w:rsid w:val="003F7BCF"/>
    <w:rsid w:val="00400163"/>
    <w:rsid w:val="0040051F"/>
    <w:rsid w:val="0040053C"/>
    <w:rsid w:val="00400747"/>
    <w:rsid w:val="004007EE"/>
    <w:rsid w:val="00400A0B"/>
    <w:rsid w:val="00400EA4"/>
    <w:rsid w:val="00401049"/>
    <w:rsid w:val="0040126E"/>
    <w:rsid w:val="004015DC"/>
    <w:rsid w:val="00401E06"/>
    <w:rsid w:val="004023AE"/>
    <w:rsid w:val="004023E8"/>
    <w:rsid w:val="0040423C"/>
    <w:rsid w:val="00404932"/>
    <w:rsid w:val="00405332"/>
    <w:rsid w:val="00405967"/>
    <w:rsid w:val="00405A96"/>
    <w:rsid w:val="00405B8B"/>
    <w:rsid w:val="00406A14"/>
    <w:rsid w:val="00406BC2"/>
    <w:rsid w:val="00406C25"/>
    <w:rsid w:val="0041011E"/>
    <w:rsid w:val="00410601"/>
    <w:rsid w:val="00410986"/>
    <w:rsid w:val="00410ADE"/>
    <w:rsid w:val="00410B52"/>
    <w:rsid w:val="004111B0"/>
    <w:rsid w:val="004111FC"/>
    <w:rsid w:val="004114D9"/>
    <w:rsid w:val="004138F1"/>
    <w:rsid w:val="0041412B"/>
    <w:rsid w:val="0041448C"/>
    <w:rsid w:val="0041482A"/>
    <w:rsid w:val="00415F27"/>
    <w:rsid w:val="004164BC"/>
    <w:rsid w:val="00416B32"/>
    <w:rsid w:val="00416BC9"/>
    <w:rsid w:val="00416D05"/>
    <w:rsid w:val="00416F8A"/>
    <w:rsid w:val="00417A93"/>
    <w:rsid w:val="004208F4"/>
    <w:rsid w:val="00420EFF"/>
    <w:rsid w:val="0042109D"/>
    <w:rsid w:val="004217E7"/>
    <w:rsid w:val="00421B69"/>
    <w:rsid w:val="00422827"/>
    <w:rsid w:val="0042287A"/>
    <w:rsid w:val="00422F50"/>
    <w:rsid w:val="00423A24"/>
    <w:rsid w:val="00423B35"/>
    <w:rsid w:val="00424A7A"/>
    <w:rsid w:val="00424C78"/>
    <w:rsid w:val="00426719"/>
    <w:rsid w:val="0042673D"/>
    <w:rsid w:val="004273A0"/>
    <w:rsid w:val="004277A3"/>
    <w:rsid w:val="004301EA"/>
    <w:rsid w:val="00430A25"/>
    <w:rsid w:val="00430EF0"/>
    <w:rsid w:val="004310FD"/>
    <w:rsid w:val="00431964"/>
    <w:rsid w:val="00431C1E"/>
    <w:rsid w:val="00433997"/>
    <w:rsid w:val="00433A18"/>
    <w:rsid w:val="00433D75"/>
    <w:rsid w:val="004340BC"/>
    <w:rsid w:val="00434211"/>
    <w:rsid w:val="004350E8"/>
    <w:rsid w:val="00435856"/>
    <w:rsid w:val="004367C7"/>
    <w:rsid w:val="00436EE0"/>
    <w:rsid w:val="00437C2B"/>
    <w:rsid w:val="00437D44"/>
    <w:rsid w:val="00440429"/>
    <w:rsid w:val="004410C8"/>
    <w:rsid w:val="00441856"/>
    <w:rsid w:val="00441AA6"/>
    <w:rsid w:val="00441C30"/>
    <w:rsid w:val="00442457"/>
    <w:rsid w:val="00443D27"/>
    <w:rsid w:val="004442F9"/>
    <w:rsid w:val="004445E2"/>
    <w:rsid w:val="004445F1"/>
    <w:rsid w:val="004448E0"/>
    <w:rsid w:val="00444F77"/>
    <w:rsid w:val="00445775"/>
    <w:rsid w:val="00446876"/>
    <w:rsid w:val="00447E9F"/>
    <w:rsid w:val="004502C3"/>
    <w:rsid w:val="0045049D"/>
    <w:rsid w:val="004507B1"/>
    <w:rsid w:val="00450C06"/>
    <w:rsid w:val="0045117B"/>
    <w:rsid w:val="00451F16"/>
    <w:rsid w:val="004523DB"/>
    <w:rsid w:val="00452735"/>
    <w:rsid w:val="0045330F"/>
    <w:rsid w:val="00453785"/>
    <w:rsid w:val="004537E9"/>
    <w:rsid w:val="004558A4"/>
    <w:rsid w:val="004558F2"/>
    <w:rsid w:val="00455BD0"/>
    <w:rsid w:val="00456679"/>
    <w:rsid w:val="00456C47"/>
    <w:rsid w:val="00456F49"/>
    <w:rsid w:val="00457C65"/>
    <w:rsid w:val="00457E61"/>
    <w:rsid w:val="00457F61"/>
    <w:rsid w:val="004601C3"/>
    <w:rsid w:val="0046075F"/>
    <w:rsid w:val="00461305"/>
    <w:rsid w:val="004614E6"/>
    <w:rsid w:val="004616D8"/>
    <w:rsid w:val="0046181B"/>
    <w:rsid w:val="00461C45"/>
    <w:rsid w:val="00462116"/>
    <w:rsid w:val="004625D3"/>
    <w:rsid w:val="00462CD2"/>
    <w:rsid w:val="004634E7"/>
    <w:rsid w:val="00463A6B"/>
    <w:rsid w:val="00463F1B"/>
    <w:rsid w:val="004641FC"/>
    <w:rsid w:val="004648BF"/>
    <w:rsid w:val="00464E97"/>
    <w:rsid w:val="0046630C"/>
    <w:rsid w:val="00466613"/>
    <w:rsid w:val="0046690E"/>
    <w:rsid w:val="0046714E"/>
    <w:rsid w:val="00467831"/>
    <w:rsid w:val="00470842"/>
    <w:rsid w:val="004709A4"/>
    <w:rsid w:val="004719AF"/>
    <w:rsid w:val="00471FB6"/>
    <w:rsid w:val="004728EA"/>
    <w:rsid w:val="00473156"/>
    <w:rsid w:val="00473676"/>
    <w:rsid w:val="00473860"/>
    <w:rsid w:val="004747E4"/>
    <w:rsid w:val="004755D6"/>
    <w:rsid w:val="00475FAB"/>
    <w:rsid w:val="00476038"/>
    <w:rsid w:val="004766AB"/>
    <w:rsid w:val="00476F08"/>
    <w:rsid w:val="004772B1"/>
    <w:rsid w:val="004779F2"/>
    <w:rsid w:val="00477AA6"/>
    <w:rsid w:val="00477BF7"/>
    <w:rsid w:val="00477C00"/>
    <w:rsid w:val="0048007C"/>
    <w:rsid w:val="00480782"/>
    <w:rsid w:val="00480973"/>
    <w:rsid w:val="00480AA4"/>
    <w:rsid w:val="00481831"/>
    <w:rsid w:val="00481DDE"/>
    <w:rsid w:val="0048478B"/>
    <w:rsid w:val="00484BDA"/>
    <w:rsid w:val="0048741E"/>
    <w:rsid w:val="00487609"/>
    <w:rsid w:val="0049057B"/>
    <w:rsid w:val="00490B37"/>
    <w:rsid w:val="00490F7A"/>
    <w:rsid w:val="00491415"/>
    <w:rsid w:val="004915D7"/>
    <w:rsid w:val="00491C73"/>
    <w:rsid w:val="00491E4B"/>
    <w:rsid w:val="00491F99"/>
    <w:rsid w:val="0049226A"/>
    <w:rsid w:val="00493A0C"/>
    <w:rsid w:val="00493B18"/>
    <w:rsid w:val="00493FAC"/>
    <w:rsid w:val="00494180"/>
    <w:rsid w:val="00494D57"/>
    <w:rsid w:val="004953E3"/>
    <w:rsid w:val="00495DE3"/>
    <w:rsid w:val="00496B6C"/>
    <w:rsid w:val="00496D9C"/>
    <w:rsid w:val="0049750C"/>
    <w:rsid w:val="00497772"/>
    <w:rsid w:val="00497A39"/>
    <w:rsid w:val="004A02C3"/>
    <w:rsid w:val="004A05C9"/>
    <w:rsid w:val="004A0CD5"/>
    <w:rsid w:val="004A10A6"/>
    <w:rsid w:val="004A1466"/>
    <w:rsid w:val="004A1F1B"/>
    <w:rsid w:val="004A1FE7"/>
    <w:rsid w:val="004A23BE"/>
    <w:rsid w:val="004A2994"/>
    <w:rsid w:val="004A31BD"/>
    <w:rsid w:val="004A3EE4"/>
    <w:rsid w:val="004A3F3F"/>
    <w:rsid w:val="004A429F"/>
    <w:rsid w:val="004A4369"/>
    <w:rsid w:val="004A444C"/>
    <w:rsid w:val="004A505A"/>
    <w:rsid w:val="004A54CE"/>
    <w:rsid w:val="004A55ED"/>
    <w:rsid w:val="004A6001"/>
    <w:rsid w:val="004A6603"/>
    <w:rsid w:val="004A69A7"/>
    <w:rsid w:val="004A6BFA"/>
    <w:rsid w:val="004A6DF9"/>
    <w:rsid w:val="004A6EF8"/>
    <w:rsid w:val="004A7627"/>
    <w:rsid w:val="004A775D"/>
    <w:rsid w:val="004B013D"/>
    <w:rsid w:val="004B0912"/>
    <w:rsid w:val="004B0AF0"/>
    <w:rsid w:val="004B12AA"/>
    <w:rsid w:val="004B138A"/>
    <w:rsid w:val="004B1F61"/>
    <w:rsid w:val="004B259F"/>
    <w:rsid w:val="004B265B"/>
    <w:rsid w:val="004B265C"/>
    <w:rsid w:val="004B3581"/>
    <w:rsid w:val="004B3C7E"/>
    <w:rsid w:val="004B42E4"/>
    <w:rsid w:val="004B444F"/>
    <w:rsid w:val="004B4C37"/>
    <w:rsid w:val="004B503E"/>
    <w:rsid w:val="004B50A2"/>
    <w:rsid w:val="004B55A2"/>
    <w:rsid w:val="004B66DE"/>
    <w:rsid w:val="004B6F2D"/>
    <w:rsid w:val="004B7344"/>
    <w:rsid w:val="004C042C"/>
    <w:rsid w:val="004C17F1"/>
    <w:rsid w:val="004C22B0"/>
    <w:rsid w:val="004C2A1A"/>
    <w:rsid w:val="004C2D3F"/>
    <w:rsid w:val="004C2F59"/>
    <w:rsid w:val="004C3C78"/>
    <w:rsid w:val="004C42E2"/>
    <w:rsid w:val="004C450C"/>
    <w:rsid w:val="004C6245"/>
    <w:rsid w:val="004C6DAE"/>
    <w:rsid w:val="004D01FA"/>
    <w:rsid w:val="004D0599"/>
    <w:rsid w:val="004D05F8"/>
    <w:rsid w:val="004D0837"/>
    <w:rsid w:val="004D0DD5"/>
    <w:rsid w:val="004D164F"/>
    <w:rsid w:val="004D21FB"/>
    <w:rsid w:val="004D2814"/>
    <w:rsid w:val="004D313E"/>
    <w:rsid w:val="004D319E"/>
    <w:rsid w:val="004D3659"/>
    <w:rsid w:val="004D478A"/>
    <w:rsid w:val="004D64FF"/>
    <w:rsid w:val="004D6814"/>
    <w:rsid w:val="004D686B"/>
    <w:rsid w:val="004D6C5D"/>
    <w:rsid w:val="004D70F9"/>
    <w:rsid w:val="004D77CC"/>
    <w:rsid w:val="004D7B7D"/>
    <w:rsid w:val="004D7DAB"/>
    <w:rsid w:val="004E01EA"/>
    <w:rsid w:val="004E0D3B"/>
    <w:rsid w:val="004E138E"/>
    <w:rsid w:val="004E33EF"/>
    <w:rsid w:val="004E35AB"/>
    <w:rsid w:val="004E3EFD"/>
    <w:rsid w:val="004E43F9"/>
    <w:rsid w:val="004E45AC"/>
    <w:rsid w:val="004E6BFF"/>
    <w:rsid w:val="004E7044"/>
    <w:rsid w:val="004E78A8"/>
    <w:rsid w:val="004E7B8F"/>
    <w:rsid w:val="004F005E"/>
    <w:rsid w:val="004F0228"/>
    <w:rsid w:val="004F0738"/>
    <w:rsid w:val="004F07C0"/>
    <w:rsid w:val="004F1158"/>
    <w:rsid w:val="004F1334"/>
    <w:rsid w:val="004F1919"/>
    <w:rsid w:val="004F1D47"/>
    <w:rsid w:val="004F201E"/>
    <w:rsid w:val="004F22D3"/>
    <w:rsid w:val="004F23D9"/>
    <w:rsid w:val="004F2658"/>
    <w:rsid w:val="004F28D2"/>
    <w:rsid w:val="004F2E39"/>
    <w:rsid w:val="004F3460"/>
    <w:rsid w:val="004F3A46"/>
    <w:rsid w:val="004F4E61"/>
    <w:rsid w:val="004F52E7"/>
    <w:rsid w:val="004F5652"/>
    <w:rsid w:val="004F5FC1"/>
    <w:rsid w:val="004F61B8"/>
    <w:rsid w:val="004F627F"/>
    <w:rsid w:val="004F65B5"/>
    <w:rsid w:val="004F7947"/>
    <w:rsid w:val="00500A7B"/>
    <w:rsid w:val="00501F6E"/>
    <w:rsid w:val="005020A3"/>
    <w:rsid w:val="00502C6C"/>
    <w:rsid w:val="00503339"/>
    <w:rsid w:val="0050354E"/>
    <w:rsid w:val="00504530"/>
    <w:rsid w:val="00504E7F"/>
    <w:rsid w:val="00505792"/>
    <w:rsid w:val="0050638C"/>
    <w:rsid w:val="00506628"/>
    <w:rsid w:val="00506C4A"/>
    <w:rsid w:val="00507265"/>
    <w:rsid w:val="00507D9B"/>
    <w:rsid w:val="00510795"/>
    <w:rsid w:val="00510E78"/>
    <w:rsid w:val="00511752"/>
    <w:rsid w:val="005117BB"/>
    <w:rsid w:val="00511BBB"/>
    <w:rsid w:val="00513107"/>
    <w:rsid w:val="00513A90"/>
    <w:rsid w:val="00513C5C"/>
    <w:rsid w:val="00513F0A"/>
    <w:rsid w:val="00514B21"/>
    <w:rsid w:val="005158F0"/>
    <w:rsid w:val="00515A8E"/>
    <w:rsid w:val="00515E96"/>
    <w:rsid w:val="00516A2A"/>
    <w:rsid w:val="005176E1"/>
    <w:rsid w:val="005177FF"/>
    <w:rsid w:val="00517892"/>
    <w:rsid w:val="00517CFE"/>
    <w:rsid w:val="00517E7A"/>
    <w:rsid w:val="00517FB6"/>
    <w:rsid w:val="005201F7"/>
    <w:rsid w:val="0052066C"/>
    <w:rsid w:val="00520DD0"/>
    <w:rsid w:val="00520E40"/>
    <w:rsid w:val="00520E81"/>
    <w:rsid w:val="005217AE"/>
    <w:rsid w:val="00521A56"/>
    <w:rsid w:val="00521FBB"/>
    <w:rsid w:val="0052207C"/>
    <w:rsid w:val="00523EE9"/>
    <w:rsid w:val="00524B17"/>
    <w:rsid w:val="00524C7E"/>
    <w:rsid w:val="00525866"/>
    <w:rsid w:val="005259E6"/>
    <w:rsid w:val="005262A7"/>
    <w:rsid w:val="005262BF"/>
    <w:rsid w:val="00526B81"/>
    <w:rsid w:val="005271E5"/>
    <w:rsid w:val="005275FC"/>
    <w:rsid w:val="00527A93"/>
    <w:rsid w:val="00527F4F"/>
    <w:rsid w:val="005304B9"/>
    <w:rsid w:val="00530BD7"/>
    <w:rsid w:val="005325BE"/>
    <w:rsid w:val="00533043"/>
    <w:rsid w:val="00533542"/>
    <w:rsid w:val="005336C1"/>
    <w:rsid w:val="005337BC"/>
    <w:rsid w:val="0053512C"/>
    <w:rsid w:val="005352FC"/>
    <w:rsid w:val="00535415"/>
    <w:rsid w:val="00535416"/>
    <w:rsid w:val="00535DD3"/>
    <w:rsid w:val="00536593"/>
    <w:rsid w:val="0053750C"/>
    <w:rsid w:val="00540B32"/>
    <w:rsid w:val="005411C6"/>
    <w:rsid w:val="00541E6B"/>
    <w:rsid w:val="00542299"/>
    <w:rsid w:val="0054281A"/>
    <w:rsid w:val="00542F0E"/>
    <w:rsid w:val="0054380E"/>
    <w:rsid w:val="005445EC"/>
    <w:rsid w:val="005448D9"/>
    <w:rsid w:val="00544A79"/>
    <w:rsid w:val="005460D5"/>
    <w:rsid w:val="005466B3"/>
    <w:rsid w:val="00546A71"/>
    <w:rsid w:val="00550158"/>
    <w:rsid w:val="0055031D"/>
    <w:rsid w:val="005510BD"/>
    <w:rsid w:val="005512EF"/>
    <w:rsid w:val="00551423"/>
    <w:rsid w:val="005519BC"/>
    <w:rsid w:val="00552F8D"/>
    <w:rsid w:val="005535B7"/>
    <w:rsid w:val="0055363D"/>
    <w:rsid w:val="005541E9"/>
    <w:rsid w:val="0055439E"/>
    <w:rsid w:val="00554D67"/>
    <w:rsid w:val="00555A8E"/>
    <w:rsid w:val="00555D21"/>
    <w:rsid w:val="00556EBF"/>
    <w:rsid w:val="005577DD"/>
    <w:rsid w:val="00557AED"/>
    <w:rsid w:val="005609B1"/>
    <w:rsid w:val="00561511"/>
    <w:rsid w:val="00561539"/>
    <w:rsid w:val="005630CC"/>
    <w:rsid w:val="00563505"/>
    <w:rsid w:val="005644BC"/>
    <w:rsid w:val="005645A9"/>
    <w:rsid w:val="0056583E"/>
    <w:rsid w:val="00566876"/>
    <w:rsid w:val="00567A8B"/>
    <w:rsid w:val="00567DFF"/>
    <w:rsid w:val="00567FCE"/>
    <w:rsid w:val="005701C8"/>
    <w:rsid w:val="00570441"/>
    <w:rsid w:val="005712BE"/>
    <w:rsid w:val="0057195C"/>
    <w:rsid w:val="00572082"/>
    <w:rsid w:val="00572D8B"/>
    <w:rsid w:val="00573304"/>
    <w:rsid w:val="0057339B"/>
    <w:rsid w:val="005741DE"/>
    <w:rsid w:val="00574DF0"/>
    <w:rsid w:val="00574E23"/>
    <w:rsid w:val="0057504F"/>
    <w:rsid w:val="0057552D"/>
    <w:rsid w:val="00575D73"/>
    <w:rsid w:val="005764B0"/>
    <w:rsid w:val="00576B92"/>
    <w:rsid w:val="00576E19"/>
    <w:rsid w:val="00576EC2"/>
    <w:rsid w:val="0057717E"/>
    <w:rsid w:val="005777D8"/>
    <w:rsid w:val="00577C94"/>
    <w:rsid w:val="005801A2"/>
    <w:rsid w:val="005824E8"/>
    <w:rsid w:val="0058394A"/>
    <w:rsid w:val="00583D0C"/>
    <w:rsid w:val="00584386"/>
    <w:rsid w:val="005844AB"/>
    <w:rsid w:val="00584AB2"/>
    <w:rsid w:val="005859B0"/>
    <w:rsid w:val="00586875"/>
    <w:rsid w:val="00586B4F"/>
    <w:rsid w:val="00586EEA"/>
    <w:rsid w:val="00586F12"/>
    <w:rsid w:val="00587364"/>
    <w:rsid w:val="00587A62"/>
    <w:rsid w:val="00590360"/>
    <w:rsid w:val="005909B2"/>
    <w:rsid w:val="00590CAA"/>
    <w:rsid w:val="00591773"/>
    <w:rsid w:val="0059185C"/>
    <w:rsid w:val="005924AC"/>
    <w:rsid w:val="005929D1"/>
    <w:rsid w:val="00592E81"/>
    <w:rsid w:val="00593273"/>
    <w:rsid w:val="00593FDE"/>
    <w:rsid w:val="0059405B"/>
    <w:rsid w:val="0059430D"/>
    <w:rsid w:val="00594663"/>
    <w:rsid w:val="00597068"/>
    <w:rsid w:val="005A07B1"/>
    <w:rsid w:val="005A0EA2"/>
    <w:rsid w:val="005A1143"/>
    <w:rsid w:val="005A1326"/>
    <w:rsid w:val="005A1ACF"/>
    <w:rsid w:val="005A1E90"/>
    <w:rsid w:val="005A225D"/>
    <w:rsid w:val="005A2423"/>
    <w:rsid w:val="005A2638"/>
    <w:rsid w:val="005A3523"/>
    <w:rsid w:val="005A44A0"/>
    <w:rsid w:val="005A6212"/>
    <w:rsid w:val="005A6572"/>
    <w:rsid w:val="005A6D1E"/>
    <w:rsid w:val="005A76D2"/>
    <w:rsid w:val="005A7ECB"/>
    <w:rsid w:val="005B0ABE"/>
    <w:rsid w:val="005B12B9"/>
    <w:rsid w:val="005B21A4"/>
    <w:rsid w:val="005B262B"/>
    <w:rsid w:val="005B263A"/>
    <w:rsid w:val="005B2BD6"/>
    <w:rsid w:val="005B2D62"/>
    <w:rsid w:val="005B3999"/>
    <w:rsid w:val="005B409F"/>
    <w:rsid w:val="005B48C6"/>
    <w:rsid w:val="005B4CD0"/>
    <w:rsid w:val="005B5456"/>
    <w:rsid w:val="005B54A9"/>
    <w:rsid w:val="005B6138"/>
    <w:rsid w:val="005C15DE"/>
    <w:rsid w:val="005C21A4"/>
    <w:rsid w:val="005C2310"/>
    <w:rsid w:val="005C2368"/>
    <w:rsid w:val="005C2F2D"/>
    <w:rsid w:val="005C3503"/>
    <w:rsid w:val="005C3AA8"/>
    <w:rsid w:val="005C4B36"/>
    <w:rsid w:val="005C5200"/>
    <w:rsid w:val="005C5EC2"/>
    <w:rsid w:val="005C6325"/>
    <w:rsid w:val="005C7CBF"/>
    <w:rsid w:val="005C7D1A"/>
    <w:rsid w:val="005D0FDD"/>
    <w:rsid w:val="005D1230"/>
    <w:rsid w:val="005D247A"/>
    <w:rsid w:val="005D3B81"/>
    <w:rsid w:val="005D3DE9"/>
    <w:rsid w:val="005D4174"/>
    <w:rsid w:val="005D431A"/>
    <w:rsid w:val="005D43C6"/>
    <w:rsid w:val="005D7588"/>
    <w:rsid w:val="005D7E00"/>
    <w:rsid w:val="005E0281"/>
    <w:rsid w:val="005E0BFD"/>
    <w:rsid w:val="005E0EF2"/>
    <w:rsid w:val="005E2049"/>
    <w:rsid w:val="005E2564"/>
    <w:rsid w:val="005E2588"/>
    <w:rsid w:val="005E2A84"/>
    <w:rsid w:val="005E2DC8"/>
    <w:rsid w:val="005E2FD8"/>
    <w:rsid w:val="005E3783"/>
    <w:rsid w:val="005E3D54"/>
    <w:rsid w:val="005E508C"/>
    <w:rsid w:val="005E66E0"/>
    <w:rsid w:val="005E6E96"/>
    <w:rsid w:val="005E7247"/>
    <w:rsid w:val="005F0095"/>
    <w:rsid w:val="005F01B4"/>
    <w:rsid w:val="005F10FC"/>
    <w:rsid w:val="005F157D"/>
    <w:rsid w:val="005F18D4"/>
    <w:rsid w:val="005F2081"/>
    <w:rsid w:val="005F25CF"/>
    <w:rsid w:val="005F3DD9"/>
    <w:rsid w:val="005F42BA"/>
    <w:rsid w:val="005F4BFE"/>
    <w:rsid w:val="005F6959"/>
    <w:rsid w:val="005F7F0E"/>
    <w:rsid w:val="005F7FF1"/>
    <w:rsid w:val="00600281"/>
    <w:rsid w:val="00600B32"/>
    <w:rsid w:val="00601580"/>
    <w:rsid w:val="006024BC"/>
    <w:rsid w:val="00602931"/>
    <w:rsid w:val="006032AA"/>
    <w:rsid w:val="00604337"/>
    <w:rsid w:val="00604581"/>
    <w:rsid w:val="00604DF4"/>
    <w:rsid w:val="006053F0"/>
    <w:rsid w:val="00605805"/>
    <w:rsid w:val="00605FB1"/>
    <w:rsid w:val="00606A64"/>
    <w:rsid w:val="00606F19"/>
    <w:rsid w:val="00607354"/>
    <w:rsid w:val="00610273"/>
    <w:rsid w:val="00610345"/>
    <w:rsid w:val="00610796"/>
    <w:rsid w:val="00610F6F"/>
    <w:rsid w:val="006110AF"/>
    <w:rsid w:val="00611504"/>
    <w:rsid w:val="00611FC6"/>
    <w:rsid w:val="006121A1"/>
    <w:rsid w:val="0061284D"/>
    <w:rsid w:val="006133F5"/>
    <w:rsid w:val="00613467"/>
    <w:rsid w:val="006136BD"/>
    <w:rsid w:val="00613952"/>
    <w:rsid w:val="00613D9C"/>
    <w:rsid w:val="00613EBE"/>
    <w:rsid w:val="006147AF"/>
    <w:rsid w:val="0061484E"/>
    <w:rsid w:val="00614DDB"/>
    <w:rsid w:val="00615118"/>
    <w:rsid w:val="00615128"/>
    <w:rsid w:val="00615485"/>
    <w:rsid w:val="00615F23"/>
    <w:rsid w:val="006160DB"/>
    <w:rsid w:val="00616156"/>
    <w:rsid w:val="00617D28"/>
    <w:rsid w:val="006203FE"/>
    <w:rsid w:val="00620C63"/>
    <w:rsid w:val="00620C77"/>
    <w:rsid w:val="00621699"/>
    <w:rsid w:val="0062199B"/>
    <w:rsid w:val="00621A85"/>
    <w:rsid w:val="00621B17"/>
    <w:rsid w:val="006230F7"/>
    <w:rsid w:val="0062403D"/>
    <w:rsid w:val="00624058"/>
    <w:rsid w:val="00624119"/>
    <w:rsid w:val="00624542"/>
    <w:rsid w:val="00624C0B"/>
    <w:rsid w:val="0062562F"/>
    <w:rsid w:val="006257B2"/>
    <w:rsid w:val="0062597F"/>
    <w:rsid w:val="00625F8F"/>
    <w:rsid w:val="0062644C"/>
    <w:rsid w:val="006269BA"/>
    <w:rsid w:val="006305DD"/>
    <w:rsid w:val="006312D8"/>
    <w:rsid w:val="006324CF"/>
    <w:rsid w:val="00632F26"/>
    <w:rsid w:val="0063416C"/>
    <w:rsid w:val="00634530"/>
    <w:rsid w:val="00634D28"/>
    <w:rsid w:val="00635926"/>
    <w:rsid w:val="006362AF"/>
    <w:rsid w:val="006364A8"/>
    <w:rsid w:val="00637515"/>
    <w:rsid w:val="00637598"/>
    <w:rsid w:val="00637A49"/>
    <w:rsid w:val="00637CCC"/>
    <w:rsid w:val="00640658"/>
    <w:rsid w:val="00640789"/>
    <w:rsid w:val="0064098D"/>
    <w:rsid w:val="00641938"/>
    <w:rsid w:val="006423E6"/>
    <w:rsid w:val="00644703"/>
    <w:rsid w:val="0064486A"/>
    <w:rsid w:val="0064659D"/>
    <w:rsid w:val="0064727A"/>
    <w:rsid w:val="006503B6"/>
    <w:rsid w:val="0065058B"/>
    <w:rsid w:val="00650F8E"/>
    <w:rsid w:val="0065198B"/>
    <w:rsid w:val="00651CAF"/>
    <w:rsid w:val="00651D43"/>
    <w:rsid w:val="00652097"/>
    <w:rsid w:val="0065262C"/>
    <w:rsid w:val="00652A7A"/>
    <w:rsid w:val="00652FEF"/>
    <w:rsid w:val="00653420"/>
    <w:rsid w:val="006550BA"/>
    <w:rsid w:val="00656609"/>
    <w:rsid w:val="00656923"/>
    <w:rsid w:val="00657079"/>
    <w:rsid w:val="00657330"/>
    <w:rsid w:val="00657533"/>
    <w:rsid w:val="006604A1"/>
    <w:rsid w:val="0066069D"/>
    <w:rsid w:val="00660885"/>
    <w:rsid w:val="006619C2"/>
    <w:rsid w:val="00661AD2"/>
    <w:rsid w:val="00662873"/>
    <w:rsid w:val="006628FC"/>
    <w:rsid w:val="00662C53"/>
    <w:rsid w:val="0066417B"/>
    <w:rsid w:val="0066488F"/>
    <w:rsid w:val="0066633C"/>
    <w:rsid w:val="00666364"/>
    <w:rsid w:val="006665BF"/>
    <w:rsid w:val="00667D37"/>
    <w:rsid w:val="00671E80"/>
    <w:rsid w:val="00672301"/>
    <w:rsid w:val="00673509"/>
    <w:rsid w:val="0067449E"/>
    <w:rsid w:val="00674CAA"/>
    <w:rsid w:val="006750E0"/>
    <w:rsid w:val="00675494"/>
    <w:rsid w:val="006754D9"/>
    <w:rsid w:val="00675820"/>
    <w:rsid w:val="00675EDB"/>
    <w:rsid w:val="00675FB2"/>
    <w:rsid w:val="0067672C"/>
    <w:rsid w:val="0067693B"/>
    <w:rsid w:val="00676B8D"/>
    <w:rsid w:val="00676DC3"/>
    <w:rsid w:val="00677A16"/>
    <w:rsid w:val="00677EF9"/>
    <w:rsid w:val="006800AA"/>
    <w:rsid w:val="006801C4"/>
    <w:rsid w:val="00680248"/>
    <w:rsid w:val="006806C5"/>
    <w:rsid w:val="00680AD0"/>
    <w:rsid w:val="0068176E"/>
    <w:rsid w:val="00681ACE"/>
    <w:rsid w:val="00681BA6"/>
    <w:rsid w:val="00682798"/>
    <w:rsid w:val="00682831"/>
    <w:rsid w:val="00682B32"/>
    <w:rsid w:val="00684E12"/>
    <w:rsid w:val="00685445"/>
    <w:rsid w:val="00686BD6"/>
    <w:rsid w:val="00687490"/>
    <w:rsid w:val="006903FC"/>
    <w:rsid w:val="00691C82"/>
    <w:rsid w:val="006933A5"/>
    <w:rsid w:val="00694E58"/>
    <w:rsid w:val="00694EEE"/>
    <w:rsid w:val="00695BD9"/>
    <w:rsid w:val="00696503"/>
    <w:rsid w:val="006970BB"/>
    <w:rsid w:val="00697C52"/>
    <w:rsid w:val="006A0FDC"/>
    <w:rsid w:val="006A127D"/>
    <w:rsid w:val="006A1AE1"/>
    <w:rsid w:val="006A1FD7"/>
    <w:rsid w:val="006A2283"/>
    <w:rsid w:val="006A3270"/>
    <w:rsid w:val="006A40D1"/>
    <w:rsid w:val="006A46DF"/>
    <w:rsid w:val="006A5376"/>
    <w:rsid w:val="006A6907"/>
    <w:rsid w:val="006A7093"/>
    <w:rsid w:val="006A7B0A"/>
    <w:rsid w:val="006A7B60"/>
    <w:rsid w:val="006B00DD"/>
    <w:rsid w:val="006B05C2"/>
    <w:rsid w:val="006B0BA9"/>
    <w:rsid w:val="006B0F81"/>
    <w:rsid w:val="006B0F95"/>
    <w:rsid w:val="006B130C"/>
    <w:rsid w:val="006B15D2"/>
    <w:rsid w:val="006B1963"/>
    <w:rsid w:val="006B2798"/>
    <w:rsid w:val="006B2E37"/>
    <w:rsid w:val="006B46E4"/>
    <w:rsid w:val="006B5124"/>
    <w:rsid w:val="006B5FB1"/>
    <w:rsid w:val="006B66C3"/>
    <w:rsid w:val="006B6790"/>
    <w:rsid w:val="006B6C6F"/>
    <w:rsid w:val="006B7DAC"/>
    <w:rsid w:val="006C0289"/>
    <w:rsid w:val="006C058C"/>
    <w:rsid w:val="006C0CA3"/>
    <w:rsid w:val="006C0E21"/>
    <w:rsid w:val="006C0FA6"/>
    <w:rsid w:val="006C1852"/>
    <w:rsid w:val="006C1EF0"/>
    <w:rsid w:val="006C223A"/>
    <w:rsid w:val="006C3271"/>
    <w:rsid w:val="006C3E81"/>
    <w:rsid w:val="006C41A5"/>
    <w:rsid w:val="006C59B3"/>
    <w:rsid w:val="006C6050"/>
    <w:rsid w:val="006C659B"/>
    <w:rsid w:val="006C75E3"/>
    <w:rsid w:val="006C764D"/>
    <w:rsid w:val="006C7715"/>
    <w:rsid w:val="006C7A7E"/>
    <w:rsid w:val="006D01D8"/>
    <w:rsid w:val="006D034C"/>
    <w:rsid w:val="006D03F4"/>
    <w:rsid w:val="006D0FC8"/>
    <w:rsid w:val="006D1395"/>
    <w:rsid w:val="006D142D"/>
    <w:rsid w:val="006D1704"/>
    <w:rsid w:val="006D189D"/>
    <w:rsid w:val="006D2FB5"/>
    <w:rsid w:val="006D34E1"/>
    <w:rsid w:val="006D3555"/>
    <w:rsid w:val="006D420B"/>
    <w:rsid w:val="006D4252"/>
    <w:rsid w:val="006D4D42"/>
    <w:rsid w:val="006D4D8F"/>
    <w:rsid w:val="006D4DED"/>
    <w:rsid w:val="006D6245"/>
    <w:rsid w:val="006D7DD6"/>
    <w:rsid w:val="006E0334"/>
    <w:rsid w:val="006E047C"/>
    <w:rsid w:val="006E0DFA"/>
    <w:rsid w:val="006E1473"/>
    <w:rsid w:val="006E2348"/>
    <w:rsid w:val="006E29EA"/>
    <w:rsid w:val="006E301D"/>
    <w:rsid w:val="006E360F"/>
    <w:rsid w:val="006E3B52"/>
    <w:rsid w:val="006E3BEB"/>
    <w:rsid w:val="006E3FD1"/>
    <w:rsid w:val="006E41D2"/>
    <w:rsid w:val="006E53D8"/>
    <w:rsid w:val="006E5BB6"/>
    <w:rsid w:val="006E6951"/>
    <w:rsid w:val="006E6E78"/>
    <w:rsid w:val="006E7762"/>
    <w:rsid w:val="006F0338"/>
    <w:rsid w:val="006F1945"/>
    <w:rsid w:val="006F2537"/>
    <w:rsid w:val="006F4D27"/>
    <w:rsid w:val="006F575C"/>
    <w:rsid w:val="006F79EB"/>
    <w:rsid w:val="006F7B53"/>
    <w:rsid w:val="00700C42"/>
    <w:rsid w:val="00700E73"/>
    <w:rsid w:val="00701666"/>
    <w:rsid w:val="00701857"/>
    <w:rsid w:val="00702336"/>
    <w:rsid w:val="00702453"/>
    <w:rsid w:val="00703EFF"/>
    <w:rsid w:val="0070467A"/>
    <w:rsid w:val="007046DF"/>
    <w:rsid w:val="00705063"/>
    <w:rsid w:val="00705976"/>
    <w:rsid w:val="00705FB2"/>
    <w:rsid w:val="007063AA"/>
    <w:rsid w:val="00710D62"/>
    <w:rsid w:val="00711774"/>
    <w:rsid w:val="00711912"/>
    <w:rsid w:val="00712640"/>
    <w:rsid w:val="007139B1"/>
    <w:rsid w:val="00713DEB"/>
    <w:rsid w:val="00713F19"/>
    <w:rsid w:val="007158A2"/>
    <w:rsid w:val="00717361"/>
    <w:rsid w:val="00717651"/>
    <w:rsid w:val="0072026A"/>
    <w:rsid w:val="007210D6"/>
    <w:rsid w:val="00721AA0"/>
    <w:rsid w:val="00721CB6"/>
    <w:rsid w:val="007226AB"/>
    <w:rsid w:val="007236F8"/>
    <w:rsid w:val="00723AA0"/>
    <w:rsid w:val="00724018"/>
    <w:rsid w:val="00724828"/>
    <w:rsid w:val="00724845"/>
    <w:rsid w:val="0072490D"/>
    <w:rsid w:val="007250FB"/>
    <w:rsid w:val="007255AE"/>
    <w:rsid w:val="00725AAC"/>
    <w:rsid w:val="00725ADF"/>
    <w:rsid w:val="00726097"/>
    <w:rsid w:val="00726616"/>
    <w:rsid w:val="00726908"/>
    <w:rsid w:val="0072697D"/>
    <w:rsid w:val="00726AFF"/>
    <w:rsid w:val="0072712B"/>
    <w:rsid w:val="007271F8"/>
    <w:rsid w:val="007279D2"/>
    <w:rsid w:val="00727E56"/>
    <w:rsid w:val="0073006E"/>
    <w:rsid w:val="0073143D"/>
    <w:rsid w:val="007314A4"/>
    <w:rsid w:val="00732424"/>
    <w:rsid w:val="00732EDF"/>
    <w:rsid w:val="0073339B"/>
    <w:rsid w:val="007336E1"/>
    <w:rsid w:val="00733787"/>
    <w:rsid w:val="0073390B"/>
    <w:rsid w:val="00733AA2"/>
    <w:rsid w:val="00733FD3"/>
    <w:rsid w:val="0073413F"/>
    <w:rsid w:val="00734909"/>
    <w:rsid w:val="00734C41"/>
    <w:rsid w:val="00735F67"/>
    <w:rsid w:val="007362D8"/>
    <w:rsid w:val="00736481"/>
    <w:rsid w:val="00736950"/>
    <w:rsid w:val="00737039"/>
    <w:rsid w:val="007373B8"/>
    <w:rsid w:val="00737616"/>
    <w:rsid w:val="00737ACC"/>
    <w:rsid w:val="00741884"/>
    <w:rsid w:val="0074250A"/>
    <w:rsid w:val="007427CD"/>
    <w:rsid w:val="00744073"/>
    <w:rsid w:val="0074582F"/>
    <w:rsid w:val="007458FA"/>
    <w:rsid w:val="00745F04"/>
    <w:rsid w:val="00745F90"/>
    <w:rsid w:val="00746C03"/>
    <w:rsid w:val="00746C9B"/>
    <w:rsid w:val="007473C6"/>
    <w:rsid w:val="00747C9F"/>
    <w:rsid w:val="00750711"/>
    <w:rsid w:val="00751676"/>
    <w:rsid w:val="00751DCA"/>
    <w:rsid w:val="007523C3"/>
    <w:rsid w:val="00752427"/>
    <w:rsid w:val="007525CD"/>
    <w:rsid w:val="00753C93"/>
    <w:rsid w:val="00753D98"/>
    <w:rsid w:val="00754B4D"/>
    <w:rsid w:val="00756171"/>
    <w:rsid w:val="0075676F"/>
    <w:rsid w:val="00756E01"/>
    <w:rsid w:val="00756FBE"/>
    <w:rsid w:val="007570FE"/>
    <w:rsid w:val="00757257"/>
    <w:rsid w:val="007604AA"/>
    <w:rsid w:val="007607A0"/>
    <w:rsid w:val="00760B69"/>
    <w:rsid w:val="007611CF"/>
    <w:rsid w:val="007614AE"/>
    <w:rsid w:val="00762611"/>
    <w:rsid w:val="00763307"/>
    <w:rsid w:val="00763ADC"/>
    <w:rsid w:val="00763C77"/>
    <w:rsid w:val="00764D1F"/>
    <w:rsid w:val="00765005"/>
    <w:rsid w:val="007655E5"/>
    <w:rsid w:val="00766D01"/>
    <w:rsid w:val="00766F63"/>
    <w:rsid w:val="007677C9"/>
    <w:rsid w:val="00767AD9"/>
    <w:rsid w:val="00767C94"/>
    <w:rsid w:val="0077018D"/>
    <w:rsid w:val="0077075C"/>
    <w:rsid w:val="007710D2"/>
    <w:rsid w:val="00771D20"/>
    <w:rsid w:val="007724D1"/>
    <w:rsid w:val="00773080"/>
    <w:rsid w:val="0077320D"/>
    <w:rsid w:val="00774340"/>
    <w:rsid w:val="007746A1"/>
    <w:rsid w:val="00774A36"/>
    <w:rsid w:val="00774AC2"/>
    <w:rsid w:val="00775570"/>
    <w:rsid w:val="007766CD"/>
    <w:rsid w:val="007772A4"/>
    <w:rsid w:val="0077797B"/>
    <w:rsid w:val="00777FA5"/>
    <w:rsid w:val="0078151E"/>
    <w:rsid w:val="00781BB0"/>
    <w:rsid w:val="00781E16"/>
    <w:rsid w:val="0078229A"/>
    <w:rsid w:val="0078271E"/>
    <w:rsid w:val="00782D5D"/>
    <w:rsid w:val="00782E68"/>
    <w:rsid w:val="007836A0"/>
    <w:rsid w:val="007844E8"/>
    <w:rsid w:val="0078466A"/>
    <w:rsid w:val="007850C5"/>
    <w:rsid w:val="0078675F"/>
    <w:rsid w:val="00786D99"/>
    <w:rsid w:val="00787279"/>
    <w:rsid w:val="00787EE6"/>
    <w:rsid w:val="00787F37"/>
    <w:rsid w:val="00791F46"/>
    <w:rsid w:val="0079226C"/>
    <w:rsid w:val="00792671"/>
    <w:rsid w:val="00792728"/>
    <w:rsid w:val="0079312F"/>
    <w:rsid w:val="0079329B"/>
    <w:rsid w:val="007934E2"/>
    <w:rsid w:val="00794033"/>
    <w:rsid w:val="00794831"/>
    <w:rsid w:val="00795225"/>
    <w:rsid w:val="0079530D"/>
    <w:rsid w:val="00795A04"/>
    <w:rsid w:val="00795B17"/>
    <w:rsid w:val="00796193"/>
    <w:rsid w:val="007961DF"/>
    <w:rsid w:val="0079748F"/>
    <w:rsid w:val="00797680"/>
    <w:rsid w:val="0079768A"/>
    <w:rsid w:val="00797887"/>
    <w:rsid w:val="0079790C"/>
    <w:rsid w:val="00797D81"/>
    <w:rsid w:val="007A00E4"/>
    <w:rsid w:val="007A0208"/>
    <w:rsid w:val="007A0511"/>
    <w:rsid w:val="007A0A00"/>
    <w:rsid w:val="007A0FCB"/>
    <w:rsid w:val="007A1281"/>
    <w:rsid w:val="007A1CAC"/>
    <w:rsid w:val="007A236E"/>
    <w:rsid w:val="007A2F9F"/>
    <w:rsid w:val="007A33FD"/>
    <w:rsid w:val="007A3784"/>
    <w:rsid w:val="007A425D"/>
    <w:rsid w:val="007A4309"/>
    <w:rsid w:val="007A4DA0"/>
    <w:rsid w:val="007A574E"/>
    <w:rsid w:val="007A5C59"/>
    <w:rsid w:val="007A645F"/>
    <w:rsid w:val="007A6A22"/>
    <w:rsid w:val="007B01F0"/>
    <w:rsid w:val="007B131A"/>
    <w:rsid w:val="007B1731"/>
    <w:rsid w:val="007B1C48"/>
    <w:rsid w:val="007B1F11"/>
    <w:rsid w:val="007B2298"/>
    <w:rsid w:val="007B2C89"/>
    <w:rsid w:val="007B4051"/>
    <w:rsid w:val="007B40CD"/>
    <w:rsid w:val="007B40ED"/>
    <w:rsid w:val="007B46B4"/>
    <w:rsid w:val="007B4E49"/>
    <w:rsid w:val="007B510C"/>
    <w:rsid w:val="007B6A0A"/>
    <w:rsid w:val="007B6A22"/>
    <w:rsid w:val="007B74DF"/>
    <w:rsid w:val="007B76A9"/>
    <w:rsid w:val="007B7A92"/>
    <w:rsid w:val="007C0125"/>
    <w:rsid w:val="007C054A"/>
    <w:rsid w:val="007C05CF"/>
    <w:rsid w:val="007C0858"/>
    <w:rsid w:val="007C181E"/>
    <w:rsid w:val="007C2B0C"/>
    <w:rsid w:val="007C2F29"/>
    <w:rsid w:val="007C37A8"/>
    <w:rsid w:val="007C3898"/>
    <w:rsid w:val="007C4B43"/>
    <w:rsid w:val="007C4CEA"/>
    <w:rsid w:val="007C4DF6"/>
    <w:rsid w:val="007C5B98"/>
    <w:rsid w:val="007C72E6"/>
    <w:rsid w:val="007C799A"/>
    <w:rsid w:val="007D0354"/>
    <w:rsid w:val="007D0B35"/>
    <w:rsid w:val="007D0F8C"/>
    <w:rsid w:val="007D1CB6"/>
    <w:rsid w:val="007D1F35"/>
    <w:rsid w:val="007D34FE"/>
    <w:rsid w:val="007D391E"/>
    <w:rsid w:val="007D41DB"/>
    <w:rsid w:val="007D571B"/>
    <w:rsid w:val="007D5FA5"/>
    <w:rsid w:val="007D6724"/>
    <w:rsid w:val="007D6A58"/>
    <w:rsid w:val="007D6E32"/>
    <w:rsid w:val="007D76EA"/>
    <w:rsid w:val="007D79CA"/>
    <w:rsid w:val="007E031D"/>
    <w:rsid w:val="007E0953"/>
    <w:rsid w:val="007E1C1C"/>
    <w:rsid w:val="007E1EAB"/>
    <w:rsid w:val="007E21F8"/>
    <w:rsid w:val="007E2846"/>
    <w:rsid w:val="007E2EEF"/>
    <w:rsid w:val="007E32FC"/>
    <w:rsid w:val="007E4B57"/>
    <w:rsid w:val="007E4EE7"/>
    <w:rsid w:val="007E4F41"/>
    <w:rsid w:val="007E5170"/>
    <w:rsid w:val="007E538E"/>
    <w:rsid w:val="007E5DA9"/>
    <w:rsid w:val="007E627B"/>
    <w:rsid w:val="007E62F1"/>
    <w:rsid w:val="007E63F7"/>
    <w:rsid w:val="007E7BFD"/>
    <w:rsid w:val="007E7EA2"/>
    <w:rsid w:val="007F030C"/>
    <w:rsid w:val="007F04E8"/>
    <w:rsid w:val="007F0B06"/>
    <w:rsid w:val="007F0CC1"/>
    <w:rsid w:val="007F0F13"/>
    <w:rsid w:val="007F1B40"/>
    <w:rsid w:val="007F2C40"/>
    <w:rsid w:val="007F2E4E"/>
    <w:rsid w:val="007F311A"/>
    <w:rsid w:val="007F390A"/>
    <w:rsid w:val="007F3A6D"/>
    <w:rsid w:val="007F3B5A"/>
    <w:rsid w:val="007F53D4"/>
    <w:rsid w:val="007F61F5"/>
    <w:rsid w:val="007F740F"/>
    <w:rsid w:val="007F7621"/>
    <w:rsid w:val="007F7647"/>
    <w:rsid w:val="007F7D58"/>
    <w:rsid w:val="0080018F"/>
    <w:rsid w:val="008033B7"/>
    <w:rsid w:val="00803E2A"/>
    <w:rsid w:val="00803E71"/>
    <w:rsid w:val="008041F8"/>
    <w:rsid w:val="00804556"/>
    <w:rsid w:val="00805865"/>
    <w:rsid w:val="008058AD"/>
    <w:rsid w:val="00805C2E"/>
    <w:rsid w:val="00805E79"/>
    <w:rsid w:val="00807B2A"/>
    <w:rsid w:val="00810978"/>
    <w:rsid w:val="00810A3D"/>
    <w:rsid w:val="00810DEA"/>
    <w:rsid w:val="0081230C"/>
    <w:rsid w:val="00812982"/>
    <w:rsid w:val="0081328A"/>
    <w:rsid w:val="0081396C"/>
    <w:rsid w:val="00814003"/>
    <w:rsid w:val="008142C8"/>
    <w:rsid w:val="0081430A"/>
    <w:rsid w:val="00814A5A"/>
    <w:rsid w:val="00815405"/>
    <w:rsid w:val="00815911"/>
    <w:rsid w:val="00815E58"/>
    <w:rsid w:val="008175EA"/>
    <w:rsid w:val="00817B8A"/>
    <w:rsid w:val="0082003F"/>
    <w:rsid w:val="00820550"/>
    <w:rsid w:val="00820B34"/>
    <w:rsid w:val="00821527"/>
    <w:rsid w:val="00821881"/>
    <w:rsid w:val="00821AB9"/>
    <w:rsid w:val="008227A6"/>
    <w:rsid w:val="0082287C"/>
    <w:rsid w:val="00823359"/>
    <w:rsid w:val="008235D1"/>
    <w:rsid w:val="008242A5"/>
    <w:rsid w:val="0082484B"/>
    <w:rsid w:val="00824959"/>
    <w:rsid w:val="0082781F"/>
    <w:rsid w:val="0082788D"/>
    <w:rsid w:val="00827B58"/>
    <w:rsid w:val="00830834"/>
    <w:rsid w:val="00832807"/>
    <w:rsid w:val="00832E41"/>
    <w:rsid w:val="0083360C"/>
    <w:rsid w:val="00833AD8"/>
    <w:rsid w:val="00833F7D"/>
    <w:rsid w:val="00834128"/>
    <w:rsid w:val="0083454E"/>
    <w:rsid w:val="008353A5"/>
    <w:rsid w:val="008374FD"/>
    <w:rsid w:val="008378D8"/>
    <w:rsid w:val="0083793B"/>
    <w:rsid w:val="00837EEC"/>
    <w:rsid w:val="008400C8"/>
    <w:rsid w:val="008400E0"/>
    <w:rsid w:val="008403C9"/>
    <w:rsid w:val="008407EA"/>
    <w:rsid w:val="0084111D"/>
    <w:rsid w:val="00841C23"/>
    <w:rsid w:val="00842C97"/>
    <w:rsid w:val="0084336F"/>
    <w:rsid w:val="00843771"/>
    <w:rsid w:val="00843F60"/>
    <w:rsid w:val="00844858"/>
    <w:rsid w:val="0084486F"/>
    <w:rsid w:val="00844993"/>
    <w:rsid w:val="008453CD"/>
    <w:rsid w:val="008456F8"/>
    <w:rsid w:val="00845B2A"/>
    <w:rsid w:val="00846721"/>
    <w:rsid w:val="00847C9B"/>
    <w:rsid w:val="00847FE9"/>
    <w:rsid w:val="00850A9E"/>
    <w:rsid w:val="00850FAB"/>
    <w:rsid w:val="00851FF0"/>
    <w:rsid w:val="00852DC1"/>
    <w:rsid w:val="0085334E"/>
    <w:rsid w:val="00853922"/>
    <w:rsid w:val="00853CD2"/>
    <w:rsid w:val="008541AB"/>
    <w:rsid w:val="008544C3"/>
    <w:rsid w:val="00855130"/>
    <w:rsid w:val="00855395"/>
    <w:rsid w:val="008562B0"/>
    <w:rsid w:val="00856301"/>
    <w:rsid w:val="00856473"/>
    <w:rsid w:val="00856916"/>
    <w:rsid w:val="00856D5A"/>
    <w:rsid w:val="008571EB"/>
    <w:rsid w:val="00857248"/>
    <w:rsid w:val="008604F3"/>
    <w:rsid w:val="00860883"/>
    <w:rsid w:val="00861730"/>
    <w:rsid w:val="0086184C"/>
    <w:rsid w:val="00861BBC"/>
    <w:rsid w:val="00861CD2"/>
    <w:rsid w:val="00862372"/>
    <w:rsid w:val="00862878"/>
    <w:rsid w:val="00864500"/>
    <w:rsid w:val="00865805"/>
    <w:rsid w:val="0086600D"/>
    <w:rsid w:val="00867399"/>
    <w:rsid w:val="008674F8"/>
    <w:rsid w:val="008678BE"/>
    <w:rsid w:val="008705F7"/>
    <w:rsid w:val="008708FD"/>
    <w:rsid w:val="00870B0D"/>
    <w:rsid w:val="0087179A"/>
    <w:rsid w:val="00871F19"/>
    <w:rsid w:val="008723E3"/>
    <w:rsid w:val="00872E05"/>
    <w:rsid w:val="00874A58"/>
    <w:rsid w:val="0087546E"/>
    <w:rsid w:val="00875F0C"/>
    <w:rsid w:val="00876728"/>
    <w:rsid w:val="00876A54"/>
    <w:rsid w:val="0087716D"/>
    <w:rsid w:val="008777C4"/>
    <w:rsid w:val="00880750"/>
    <w:rsid w:val="00880B55"/>
    <w:rsid w:val="00880BC4"/>
    <w:rsid w:val="00881B35"/>
    <w:rsid w:val="00881BFF"/>
    <w:rsid w:val="00882E12"/>
    <w:rsid w:val="00882EAE"/>
    <w:rsid w:val="00883BC8"/>
    <w:rsid w:val="00884947"/>
    <w:rsid w:val="00884CD2"/>
    <w:rsid w:val="00884D1C"/>
    <w:rsid w:val="008858A0"/>
    <w:rsid w:val="00885CEB"/>
    <w:rsid w:val="00886C18"/>
    <w:rsid w:val="00887568"/>
    <w:rsid w:val="00887F91"/>
    <w:rsid w:val="008903ED"/>
    <w:rsid w:val="0089058C"/>
    <w:rsid w:val="00890E3C"/>
    <w:rsid w:val="008913F5"/>
    <w:rsid w:val="00891679"/>
    <w:rsid w:val="00892A10"/>
    <w:rsid w:val="00892D2C"/>
    <w:rsid w:val="00892D33"/>
    <w:rsid w:val="00892D41"/>
    <w:rsid w:val="00894407"/>
    <w:rsid w:val="00894BCE"/>
    <w:rsid w:val="00895309"/>
    <w:rsid w:val="00896081"/>
    <w:rsid w:val="0089622E"/>
    <w:rsid w:val="00896247"/>
    <w:rsid w:val="00896904"/>
    <w:rsid w:val="00896A71"/>
    <w:rsid w:val="00896AAA"/>
    <w:rsid w:val="00896DA7"/>
    <w:rsid w:val="008975C6"/>
    <w:rsid w:val="008979EA"/>
    <w:rsid w:val="00897AA9"/>
    <w:rsid w:val="00897FCC"/>
    <w:rsid w:val="008A0674"/>
    <w:rsid w:val="008A08C9"/>
    <w:rsid w:val="008A11A3"/>
    <w:rsid w:val="008A11FF"/>
    <w:rsid w:val="008A28CC"/>
    <w:rsid w:val="008A32DC"/>
    <w:rsid w:val="008A3A40"/>
    <w:rsid w:val="008A4179"/>
    <w:rsid w:val="008A525A"/>
    <w:rsid w:val="008A5785"/>
    <w:rsid w:val="008A57C3"/>
    <w:rsid w:val="008A5820"/>
    <w:rsid w:val="008A62DE"/>
    <w:rsid w:val="008A6802"/>
    <w:rsid w:val="008A69A8"/>
    <w:rsid w:val="008A6D7F"/>
    <w:rsid w:val="008A7993"/>
    <w:rsid w:val="008B07B6"/>
    <w:rsid w:val="008B0CF0"/>
    <w:rsid w:val="008B0F3B"/>
    <w:rsid w:val="008B12DF"/>
    <w:rsid w:val="008B13B5"/>
    <w:rsid w:val="008B1585"/>
    <w:rsid w:val="008B16B8"/>
    <w:rsid w:val="008B3F0B"/>
    <w:rsid w:val="008B4C51"/>
    <w:rsid w:val="008B5E6B"/>
    <w:rsid w:val="008B5F50"/>
    <w:rsid w:val="008B6097"/>
    <w:rsid w:val="008B6DC5"/>
    <w:rsid w:val="008B75FF"/>
    <w:rsid w:val="008C12ED"/>
    <w:rsid w:val="008C16E8"/>
    <w:rsid w:val="008C1751"/>
    <w:rsid w:val="008C199B"/>
    <w:rsid w:val="008C2134"/>
    <w:rsid w:val="008C288A"/>
    <w:rsid w:val="008C2909"/>
    <w:rsid w:val="008C3508"/>
    <w:rsid w:val="008C35D3"/>
    <w:rsid w:val="008C3A0F"/>
    <w:rsid w:val="008C3A3E"/>
    <w:rsid w:val="008C3CE1"/>
    <w:rsid w:val="008C40DD"/>
    <w:rsid w:val="008C4217"/>
    <w:rsid w:val="008C4A26"/>
    <w:rsid w:val="008C4AC0"/>
    <w:rsid w:val="008C54F8"/>
    <w:rsid w:val="008C592D"/>
    <w:rsid w:val="008C628A"/>
    <w:rsid w:val="008C62C1"/>
    <w:rsid w:val="008C6BE8"/>
    <w:rsid w:val="008C76CE"/>
    <w:rsid w:val="008C7AAA"/>
    <w:rsid w:val="008D075F"/>
    <w:rsid w:val="008D0E49"/>
    <w:rsid w:val="008D1297"/>
    <w:rsid w:val="008D1D9C"/>
    <w:rsid w:val="008D2310"/>
    <w:rsid w:val="008D2712"/>
    <w:rsid w:val="008D2A04"/>
    <w:rsid w:val="008D2AE1"/>
    <w:rsid w:val="008D3462"/>
    <w:rsid w:val="008D4F73"/>
    <w:rsid w:val="008D5D5A"/>
    <w:rsid w:val="008D6994"/>
    <w:rsid w:val="008D6A82"/>
    <w:rsid w:val="008D74D6"/>
    <w:rsid w:val="008D7563"/>
    <w:rsid w:val="008D7ABE"/>
    <w:rsid w:val="008D7B78"/>
    <w:rsid w:val="008E0B00"/>
    <w:rsid w:val="008E3ACE"/>
    <w:rsid w:val="008E400A"/>
    <w:rsid w:val="008E43D3"/>
    <w:rsid w:val="008E4BA2"/>
    <w:rsid w:val="008E5120"/>
    <w:rsid w:val="008E57F7"/>
    <w:rsid w:val="008E5923"/>
    <w:rsid w:val="008E5D17"/>
    <w:rsid w:val="008E6E36"/>
    <w:rsid w:val="008E7287"/>
    <w:rsid w:val="008E7301"/>
    <w:rsid w:val="008E736C"/>
    <w:rsid w:val="008E7C79"/>
    <w:rsid w:val="008E7EBE"/>
    <w:rsid w:val="008F0170"/>
    <w:rsid w:val="008F0739"/>
    <w:rsid w:val="008F082A"/>
    <w:rsid w:val="008F0B21"/>
    <w:rsid w:val="008F12C4"/>
    <w:rsid w:val="008F1EDB"/>
    <w:rsid w:val="008F21D0"/>
    <w:rsid w:val="008F2C42"/>
    <w:rsid w:val="008F34B0"/>
    <w:rsid w:val="008F3A9D"/>
    <w:rsid w:val="008F4A0B"/>
    <w:rsid w:val="008F4AA1"/>
    <w:rsid w:val="008F6318"/>
    <w:rsid w:val="008F6641"/>
    <w:rsid w:val="008F6796"/>
    <w:rsid w:val="008F6F5F"/>
    <w:rsid w:val="008F6FAE"/>
    <w:rsid w:val="008F7371"/>
    <w:rsid w:val="008F7929"/>
    <w:rsid w:val="008F79C3"/>
    <w:rsid w:val="009006E5"/>
    <w:rsid w:val="00900983"/>
    <w:rsid w:val="00900D83"/>
    <w:rsid w:val="009010A9"/>
    <w:rsid w:val="00901D30"/>
    <w:rsid w:val="009027D4"/>
    <w:rsid w:val="00902D56"/>
    <w:rsid w:val="00902DD4"/>
    <w:rsid w:val="00903884"/>
    <w:rsid w:val="009038B3"/>
    <w:rsid w:val="009039EE"/>
    <w:rsid w:val="00903E78"/>
    <w:rsid w:val="00905268"/>
    <w:rsid w:val="0090527F"/>
    <w:rsid w:val="00905524"/>
    <w:rsid w:val="0090554B"/>
    <w:rsid w:val="0090578D"/>
    <w:rsid w:val="009061B7"/>
    <w:rsid w:val="00906FB6"/>
    <w:rsid w:val="00907184"/>
    <w:rsid w:val="00907767"/>
    <w:rsid w:val="009103CD"/>
    <w:rsid w:val="009108EB"/>
    <w:rsid w:val="00910A0E"/>
    <w:rsid w:val="00910E45"/>
    <w:rsid w:val="0091206C"/>
    <w:rsid w:val="009121BC"/>
    <w:rsid w:val="00912B8E"/>
    <w:rsid w:val="009148E9"/>
    <w:rsid w:val="00914E36"/>
    <w:rsid w:val="00914F0A"/>
    <w:rsid w:val="00915154"/>
    <w:rsid w:val="00915314"/>
    <w:rsid w:val="009155CD"/>
    <w:rsid w:val="0091602C"/>
    <w:rsid w:val="009161A3"/>
    <w:rsid w:val="009168EF"/>
    <w:rsid w:val="00916CEE"/>
    <w:rsid w:val="009174E3"/>
    <w:rsid w:val="00917B57"/>
    <w:rsid w:val="00917FE4"/>
    <w:rsid w:val="009200E8"/>
    <w:rsid w:val="00920407"/>
    <w:rsid w:val="00921276"/>
    <w:rsid w:val="00921999"/>
    <w:rsid w:val="0092235F"/>
    <w:rsid w:val="00922872"/>
    <w:rsid w:val="00922AA7"/>
    <w:rsid w:val="00923448"/>
    <w:rsid w:val="009234EE"/>
    <w:rsid w:val="00923856"/>
    <w:rsid w:val="00923937"/>
    <w:rsid w:val="00923ABA"/>
    <w:rsid w:val="00923FDD"/>
    <w:rsid w:val="009240B5"/>
    <w:rsid w:val="009244F9"/>
    <w:rsid w:val="00924B8A"/>
    <w:rsid w:val="0092501D"/>
    <w:rsid w:val="0092530A"/>
    <w:rsid w:val="00925555"/>
    <w:rsid w:val="009262DD"/>
    <w:rsid w:val="00926EFA"/>
    <w:rsid w:val="00927338"/>
    <w:rsid w:val="009311FE"/>
    <w:rsid w:val="0093120F"/>
    <w:rsid w:val="0093173D"/>
    <w:rsid w:val="009319A4"/>
    <w:rsid w:val="0093237B"/>
    <w:rsid w:val="00932D9C"/>
    <w:rsid w:val="009336C7"/>
    <w:rsid w:val="009337AC"/>
    <w:rsid w:val="009339D2"/>
    <w:rsid w:val="00933C20"/>
    <w:rsid w:val="00935228"/>
    <w:rsid w:val="00935E69"/>
    <w:rsid w:val="009363FF"/>
    <w:rsid w:val="0093656C"/>
    <w:rsid w:val="009367C3"/>
    <w:rsid w:val="00937A3A"/>
    <w:rsid w:val="0094097B"/>
    <w:rsid w:val="00940B8C"/>
    <w:rsid w:val="00940D3C"/>
    <w:rsid w:val="00941147"/>
    <w:rsid w:val="0094120D"/>
    <w:rsid w:val="0094344B"/>
    <w:rsid w:val="00943651"/>
    <w:rsid w:val="00943E1D"/>
    <w:rsid w:val="00944D7A"/>
    <w:rsid w:val="009452E1"/>
    <w:rsid w:val="0094679C"/>
    <w:rsid w:val="00946BCC"/>
    <w:rsid w:val="00946E65"/>
    <w:rsid w:val="00946E7E"/>
    <w:rsid w:val="009501CA"/>
    <w:rsid w:val="0095067B"/>
    <w:rsid w:val="009507F6"/>
    <w:rsid w:val="009525D3"/>
    <w:rsid w:val="009528CC"/>
    <w:rsid w:val="0095408C"/>
    <w:rsid w:val="00954695"/>
    <w:rsid w:val="00955455"/>
    <w:rsid w:val="00955FE0"/>
    <w:rsid w:val="009563C6"/>
    <w:rsid w:val="00956CE8"/>
    <w:rsid w:val="009570CA"/>
    <w:rsid w:val="00957C3E"/>
    <w:rsid w:val="00961850"/>
    <w:rsid w:val="00961946"/>
    <w:rsid w:val="009623E6"/>
    <w:rsid w:val="00962908"/>
    <w:rsid w:val="00962A76"/>
    <w:rsid w:val="00963488"/>
    <w:rsid w:val="00964299"/>
    <w:rsid w:val="00964E1B"/>
    <w:rsid w:val="00965462"/>
    <w:rsid w:val="00965545"/>
    <w:rsid w:val="00965C64"/>
    <w:rsid w:val="00965C86"/>
    <w:rsid w:val="00965FFC"/>
    <w:rsid w:val="00966EDC"/>
    <w:rsid w:val="00967163"/>
    <w:rsid w:val="00967619"/>
    <w:rsid w:val="00967AD6"/>
    <w:rsid w:val="009701A3"/>
    <w:rsid w:val="00970788"/>
    <w:rsid w:val="00970BF8"/>
    <w:rsid w:val="0097175C"/>
    <w:rsid w:val="00971AE8"/>
    <w:rsid w:val="00972519"/>
    <w:rsid w:val="009726E5"/>
    <w:rsid w:val="009727B2"/>
    <w:rsid w:val="0097281A"/>
    <w:rsid w:val="00972A51"/>
    <w:rsid w:val="00974148"/>
    <w:rsid w:val="0097572F"/>
    <w:rsid w:val="00975E49"/>
    <w:rsid w:val="009766C9"/>
    <w:rsid w:val="00976C10"/>
    <w:rsid w:val="00976CAC"/>
    <w:rsid w:val="00977CC2"/>
    <w:rsid w:val="00977E8F"/>
    <w:rsid w:val="009801B1"/>
    <w:rsid w:val="00981DC8"/>
    <w:rsid w:val="00981F6D"/>
    <w:rsid w:val="00982C0A"/>
    <w:rsid w:val="009833EB"/>
    <w:rsid w:val="009836EC"/>
    <w:rsid w:val="00983731"/>
    <w:rsid w:val="009838C9"/>
    <w:rsid w:val="00984B2A"/>
    <w:rsid w:val="009862F1"/>
    <w:rsid w:val="00986C4D"/>
    <w:rsid w:val="00987527"/>
    <w:rsid w:val="009877C2"/>
    <w:rsid w:val="00987A2C"/>
    <w:rsid w:val="00987FC6"/>
    <w:rsid w:val="009907B1"/>
    <w:rsid w:val="00990A71"/>
    <w:rsid w:val="00991283"/>
    <w:rsid w:val="009917A6"/>
    <w:rsid w:val="00991831"/>
    <w:rsid w:val="009919D2"/>
    <w:rsid w:val="00991F8D"/>
    <w:rsid w:val="0099223A"/>
    <w:rsid w:val="009930AB"/>
    <w:rsid w:val="00993482"/>
    <w:rsid w:val="00993756"/>
    <w:rsid w:val="00993CC6"/>
    <w:rsid w:val="00994352"/>
    <w:rsid w:val="009944E3"/>
    <w:rsid w:val="00994CE9"/>
    <w:rsid w:val="00994F7F"/>
    <w:rsid w:val="00995444"/>
    <w:rsid w:val="00995B1F"/>
    <w:rsid w:val="0099629D"/>
    <w:rsid w:val="00996B4F"/>
    <w:rsid w:val="009A0200"/>
    <w:rsid w:val="009A022F"/>
    <w:rsid w:val="009A07DF"/>
    <w:rsid w:val="009A1678"/>
    <w:rsid w:val="009A1772"/>
    <w:rsid w:val="009A31B0"/>
    <w:rsid w:val="009A38B7"/>
    <w:rsid w:val="009A3B32"/>
    <w:rsid w:val="009A490B"/>
    <w:rsid w:val="009A4991"/>
    <w:rsid w:val="009A4C5C"/>
    <w:rsid w:val="009A6272"/>
    <w:rsid w:val="009A6FDF"/>
    <w:rsid w:val="009A7D09"/>
    <w:rsid w:val="009B1056"/>
    <w:rsid w:val="009B2152"/>
    <w:rsid w:val="009B254A"/>
    <w:rsid w:val="009B278E"/>
    <w:rsid w:val="009B2C69"/>
    <w:rsid w:val="009B3367"/>
    <w:rsid w:val="009B3469"/>
    <w:rsid w:val="009B34D4"/>
    <w:rsid w:val="009B4086"/>
    <w:rsid w:val="009B5369"/>
    <w:rsid w:val="009B5457"/>
    <w:rsid w:val="009B677E"/>
    <w:rsid w:val="009B6DB4"/>
    <w:rsid w:val="009B70F9"/>
    <w:rsid w:val="009B7462"/>
    <w:rsid w:val="009B7E29"/>
    <w:rsid w:val="009C0AA5"/>
    <w:rsid w:val="009C1BAA"/>
    <w:rsid w:val="009C1FBB"/>
    <w:rsid w:val="009C293F"/>
    <w:rsid w:val="009C2B51"/>
    <w:rsid w:val="009C2BD7"/>
    <w:rsid w:val="009C2CD8"/>
    <w:rsid w:val="009C2E6F"/>
    <w:rsid w:val="009C3A0C"/>
    <w:rsid w:val="009C3D29"/>
    <w:rsid w:val="009C488C"/>
    <w:rsid w:val="009C57DC"/>
    <w:rsid w:val="009C6089"/>
    <w:rsid w:val="009C6A4E"/>
    <w:rsid w:val="009C7607"/>
    <w:rsid w:val="009C763C"/>
    <w:rsid w:val="009C77A4"/>
    <w:rsid w:val="009D0A83"/>
    <w:rsid w:val="009D0AC1"/>
    <w:rsid w:val="009D0E76"/>
    <w:rsid w:val="009D19CA"/>
    <w:rsid w:val="009D1AFB"/>
    <w:rsid w:val="009D1CAB"/>
    <w:rsid w:val="009D1D6A"/>
    <w:rsid w:val="009D2C2B"/>
    <w:rsid w:val="009D3BB6"/>
    <w:rsid w:val="009D40E5"/>
    <w:rsid w:val="009D4A5E"/>
    <w:rsid w:val="009D5C43"/>
    <w:rsid w:val="009D5DC2"/>
    <w:rsid w:val="009D644F"/>
    <w:rsid w:val="009D6B3B"/>
    <w:rsid w:val="009D6D13"/>
    <w:rsid w:val="009D7F78"/>
    <w:rsid w:val="009E00F5"/>
    <w:rsid w:val="009E054B"/>
    <w:rsid w:val="009E0571"/>
    <w:rsid w:val="009E1ABF"/>
    <w:rsid w:val="009E1DE7"/>
    <w:rsid w:val="009E1FAC"/>
    <w:rsid w:val="009E36B9"/>
    <w:rsid w:val="009E3864"/>
    <w:rsid w:val="009E3A42"/>
    <w:rsid w:val="009E4986"/>
    <w:rsid w:val="009E4F01"/>
    <w:rsid w:val="009E4FE8"/>
    <w:rsid w:val="009E50EB"/>
    <w:rsid w:val="009E5A98"/>
    <w:rsid w:val="009E5CBB"/>
    <w:rsid w:val="009E609C"/>
    <w:rsid w:val="009E6497"/>
    <w:rsid w:val="009E6B65"/>
    <w:rsid w:val="009E7924"/>
    <w:rsid w:val="009E79DC"/>
    <w:rsid w:val="009F0003"/>
    <w:rsid w:val="009F0277"/>
    <w:rsid w:val="009F0444"/>
    <w:rsid w:val="009F07C7"/>
    <w:rsid w:val="009F0F69"/>
    <w:rsid w:val="009F0F92"/>
    <w:rsid w:val="009F100B"/>
    <w:rsid w:val="009F10DC"/>
    <w:rsid w:val="009F11AB"/>
    <w:rsid w:val="009F1630"/>
    <w:rsid w:val="009F1870"/>
    <w:rsid w:val="009F1AB2"/>
    <w:rsid w:val="009F1D35"/>
    <w:rsid w:val="009F227A"/>
    <w:rsid w:val="009F2EC6"/>
    <w:rsid w:val="009F3729"/>
    <w:rsid w:val="009F3908"/>
    <w:rsid w:val="009F51B4"/>
    <w:rsid w:val="009F56BB"/>
    <w:rsid w:val="009F56E4"/>
    <w:rsid w:val="009F6034"/>
    <w:rsid w:val="009F6AB6"/>
    <w:rsid w:val="00A018F0"/>
    <w:rsid w:val="00A01C75"/>
    <w:rsid w:val="00A02748"/>
    <w:rsid w:val="00A028B7"/>
    <w:rsid w:val="00A03019"/>
    <w:rsid w:val="00A04377"/>
    <w:rsid w:val="00A04551"/>
    <w:rsid w:val="00A058F1"/>
    <w:rsid w:val="00A05CFF"/>
    <w:rsid w:val="00A06307"/>
    <w:rsid w:val="00A063E6"/>
    <w:rsid w:val="00A0674A"/>
    <w:rsid w:val="00A06CAD"/>
    <w:rsid w:val="00A0780C"/>
    <w:rsid w:val="00A07DFF"/>
    <w:rsid w:val="00A1025C"/>
    <w:rsid w:val="00A10DB8"/>
    <w:rsid w:val="00A12125"/>
    <w:rsid w:val="00A12BA4"/>
    <w:rsid w:val="00A13A02"/>
    <w:rsid w:val="00A1479C"/>
    <w:rsid w:val="00A14DE2"/>
    <w:rsid w:val="00A15388"/>
    <w:rsid w:val="00A15C50"/>
    <w:rsid w:val="00A15F3E"/>
    <w:rsid w:val="00A16E75"/>
    <w:rsid w:val="00A170D4"/>
    <w:rsid w:val="00A1710F"/>
    <w:rsid w:val="00A17162"/>
    <w:rsid w:val="00A171A6"/>
    <w:rsid w:val="00A171BA"/>
    <w:rsid w:val="00A203F1"/>
    <w:rsid w:val="00A2055B"/>
    <w:rsid w:val="00A20607"/>
    <w:rsid w:val="00A20CAF"/>
    <w:rsid w:val="00A20EEE"/>
    <w:rsid w:val="00A21464"/>
    <w:rsid w:val="00A21760"/>
    <w:rsid w:val="00A22875"/>
    <w:rsid w:val="00A22919"/>
    <w:rsid w:val="00A2296D"/>
    <w:rsid w:val="00A2303E"/>
    <w:rsid w:val="00A23AD1"/>
    <w:rsid w:val="00A24760"/>
    <w:rsid w:val="00A2606D"/>
    <w:rsid w:val="00A270AC"/>
    <w:rsid w:val="00A27374"/>
    <w:rsid w:val="00A279FC"/>
    <w:rsid w:val="00A27BC0"/>
    <w:rsid w:val="00A304BF"/>
    <w:rsid w:val="00A311D7"/>
    <w:rsid w:val="00A31591"/>
    <w:rsid w:val="00A321D9"/>
    <w:rsid w:val="00A32502"/>
    <w:rsid w:val="00A32524"/>
    <w:rsid w:val="00A32634"/>
    <w:rsid w:val="00A33358"/>
    <w:rsid w:val="00A333BB"/>
    <w:rsid w:val="00A335D4"/>
    <w:rsid w:val="00A34325"/>
    <w:rsid w:val="00A34998"/>
    <w:rsid w:val="00A34F03"/>
    <w:rsid w:val="00A3555B"/>
    <w:rsid w:val="00A36091"/>
    <w:rsid w:val="00A36AEC"/>
    <w:rsid w:val="00A36B02"/>
    <w:rsid w:val="00A3745B"/>
    <w:rsid w:val="00A376E5"/>
    <w:rsid w:val="00A37B57"/>
    <w:rsid w:val="00A407E5"/>
    <w:rsid w:val="00A41031"/>
    <w:rsid w:val="00A410AA"/>
    <w:rsid w:val="00A41DF3"/>
    <w:rsid w:val="00A4235E"/>
    <w:rsid w:val="00A42845"/>
    <w:rsid w:val="00A42C40"/>
    <w:rsid w:val="00A43E26"/>
    <w:rsid w:val="00A44201"/>
    <w:rsid w:val="00A4428C"/>
    <w:rsid w:val="00A44AE9"/>
    <w:rsid w:val="00A45444"/>
    <w:rsid w:val="00A45549"/>
    <w:rsid w:val="00A45D19"/>
    <w:rsid w:val="00A46248"/>
    <w:rsid w:val="00A465D1"/>
    <w:rsid w:val="00A46C1B"/>
    <w:rsid w:val="00A46FB6"/>
    <w:rsid w:val="00A4716E"/>
    <w:rsid w:val="00A47489"/>
    <w:rsid w:val="00A47556"/>
    <w:rsid w:val="00A47D35"/>
    <w:rsid w:val="00A47FED"/>
    <w:rsid w:val="00A514E1"/>
    <w:rsid w:val="00A51DAD"/>
    <w:rsid w:val="00A521E2"/>
    <w:rsid w:val="00A522AE"/>
    <w:rsid w:val="00A52718"/>
    <w:rsid w:val="00A531B4"/>
    <w:rsid w:val="00A53395"/>
    <w:rsid w:val="00A537E9"/>
    <w:rsid w:val="00A53A56"/>
    <w:rsid w:val="00A53E58"/>
    <w:rsid w:val="00A54064"/>
    <w:rsid w:val="00A542BC"/>
    <w:rsid w:val="00A545A2"/>
    <w:rsid w:val="00A54CAD"/>
    <w:rsid w:val="00A552EC"/>
    <w:rsid w:val="00A5542A"/>
    <w:rsid w:val="00A558BC"/>
    <w:rsid w:val="00A55E12"/>
    <w:rsid w:val="00A56162"/>
    <w:rsid w:val="00A57134"/>
    <w:rsid w:val="00A5769C"/>
    <w:rsid w:val="00A60013"/>
    <w:rsid w:val="00A6069E"/>
    <w:rsid w:val="00A60D20"/>
    <w:rsid w:val="00A60E92"/>
    <w:rsid w:val="00A60FE9"/>
    <w:rsid w:val="00A6171B"/>
    <w:rsid w:val="00A6186E"/>
    <w:rsid w:val="00A62072"/>
    <w:rsid w:val="00A623B9"/>
    <w:rsid w:val="00A63099"/>
    <w:rsid w:val="00A63407"/>
    <w:rsid w:val="00A65217"/>
    <w:rsid w:val="00A65CEB"/>
    <w:rsid w:val="00A6680D"/>
    <w:rsid w:val="00A67DB4"/>
    <w:rsid w:val="00A704AC"/>
    <w:rsid w:val="00A71A56"/>
    <w:rsid w:val="00A71C83"/>
    <w:rsid w:val="00A71DB1"/>
    <w:rsid w:val="00A722EA"/>
    <w:rsid w:val="00A7262D"/>
    <w:rsid w:val="00A72E5D"/>
    <w:rsid w:val="00A7320F"/>
    <w:rsid w:val="00A74DFD"/>
    <w:rsid w:val="00A75705"/>
    <w:rsid w:val="00A7606F"/>
    <w:rsid w:val="00A7667A"/>
    <w:rsid w:val="00A7685E"/>
    <w:rsid w:val="00A768CE"/>
    <w:rsid w:val="00A76DCA"/>
    <w:rsid w:val="00A77781"/>
    <w:rsid w:val="00A77BAA"/>
    <w:rsid w:val="00A8015B"/>
    <w:rsid w:val="00A805C4"/>
    <w:rsid w:val="00A80E46"/>
    <w:rsid w:val="00A80E97"/>
    <w:rsid w:val="00A815F3"/>
    <w:rsid w:val="00A82262"/>
    <w:rsid w:val="00A82A87"/>
    <w:rsid w:val="00A8304D"/>
    <w:rsid w:val="00A8373F"/>
    <w:rsid w:val="00A838B5"/>
    <w:rsid w:val="00A838C4"/>
    <w:rsid w:val="00A83906"/>
    <w:rsid w:val="00A8448D"/>
    <w:rsid w:val="00A845E9"/>
    <w:rsid w:val="00A84CEE"/>
    <w:rsid w:val="00A85007"/>
    <w:rsid w:val="00A8575D"/>
    <w:rsid w:val="00A86469"/>
    <w:rsid w:val="00A8656B"/>
    <w:rsid w:val="00A869DB"/>
    <w:rsid w:val="00A87189"/>
    <w:rsid w:val="00A90825"/>
    <w:rsid w:val="00A90AE7"/>
    <w:rsid w:val="00A917C6"/>
    <w:rsid w:val="00A92313"/>
    <w:rsid w:val="00A92314"/>
    <w:rsid w:val="00A9415B"/>
    <w:rsid w:val="00A941BC"/>
    <w:rsid w:val="00A94492"/>
    <w:rsid w:val="00A95304"/>
    <w:rsid w:val="00A95334"/>
    <w:rsid w:val="00A95660"/>
    <w:rsid w:val="00A95910"/>
    <w:rsid w:val="00A96939"/>
    <w:rsid w:val="00A969FD"/>
    <w:rsid w:val="00A97339"/>
    <w:rsid w:val="00A9733B"/>
    <w:rsid w:val="00AA033F"/>
    <w:rsid w:val="00AA069D"/>
    <w:rsid w:val="00AA083E"/>
    <w:rsid w:val="00AA0E59"/>
    <w:rsid w:val="00AA297D"/>
    <w:rsid w:val="00AA31F3"/>
    <w:rsid w:val="00AA43C8"/>
    <w:rsid w:val="00AA6568"/>
    <w:rsid w:val="00AA66DC"/>
    <w:rsid w:val="00AA67ED"/>
    <w:rsid w:val="00AA6EAD"/>
    <w:rsid w:val="00AA7103"/>
    <w:rsid w:val="00AA712B"/>
    <w:rsid w:val="00AB0903"/>
    <w:rsid w:val="00AB2A76"/>
    <w:rsid w:val="00AB2BCD"/>
    <w:rsid w:val="00AB2F90"/>
    <w:rsid w:val="00AB30A3"/>
    <w:rsid w:val="00AB4C66"/>
    <w:rsid w:val="00AB54C1"/>
    <w:rsid w:val="00AB54ED"/>
    <w:rsid w:val="00AB6169"/>
    <w:rsid w:val="00AB66D2"/>
    <w:rsid w:val="00AB6E02"/>
    <w:rsid w:val="00AB7E6E"/>
    <w:rsid w:val="00AC00EC"/>
    <w:rsid w:val="00AC0A56"/>
    <w:rsid w:val="00AC140D"/>
    <w:rsid w:val="00AC1D5B"/>
    <w:rsid w:val="00AC20BB"/>
    <w:rsid w:val="00AC260E"/>
    <w:rsid w:val="00AC2B27"/>
    <w:rsid w:val="00AC2E5C"/>
    <w:rsid w:val="00AC38F6"/>
    <w:rsid w:val="00AC446C"/>
    <w:rsid w:val="00AC448C"/>
    <w:rsid w:val="00AC4909"/>
    <w:rsid w:val="00AC4973"/>
    <w:rsid w:val="00AC5BE3"/>
    <w:rsid w:val="00AD0618"/>
    <w:rsid w:val="00AD0B9A"/>
    <w:rsid w:val="00AD1049"/>
    <w:rsid w:val="00AD1F1B"/>
    <w:rsid w:val="00AD202F"/>
    <w:rsid w:val="00AD23F4"/>
    <w:rsid w:val="00AD2D74"/>
    <w:rsid w:val="00AD3152"/>
    <w:rsid w:val="00AD31AB"/>
    <w:rsid w:val="00AD3622"/>
    <w:rsid w:val="00AD388D"/>
    <w:rsid w:val="00AD3A1B"/>
    <w:rsid w:val="00AD4C45"/>
    <w:rsid w:val="00AD5543"/>
    <w:rsid w:val="00AD63A7"/>
    <w:rsid w:val="00AD69E0"/>
    <w:rsid w:val="00AD6B5B"/>
    <w:rsid w:val="00AD6C9F"/>
    <w:rsid w:val="00AD741A"/>
    <w:rsid w:val="00AE0803"/>
    <w:rsid w:val="00AE09ED"/>
    <w:rsid w:val="00AE109A"/>
    <w:rsid w:val="00AE15D2"/>
    <w:rsid w:val="00AE19DA"/>
    <w:rsid w:val="00AE1A92"/>
    <w:rsid w:val="00AE1CBC"/>
    <w:rsid w:val="00AE343C"/>
    <w:rsid w:val="00AE3A34"/>
    <w:rsid w:val="00AE3F26"/>
    <w:rsid w:val="00AE5823"/>
    <w:rsid w:val="00AE5BC1"/>
    <w:rsid w:val="00AE6F13"/>
    <w:rsid w:val="00AF17AE"/>
    <w:rsid w:val="00AF1EAE"/>
    <w:rsid w:val="00AF1F4C"/>
    <w:rsid w:val="00AF29F9"/>
    <w:rsid w:val="00AF3A6A"/>
    <w:rsid w:val="00AF3C40"/>
    <w:rsid w:val="00AF4CEA"/>
    <w:rsid w:val="00AF4F54"/>
    <w:rsid w:val="00AF554A"/>
    <w:rsid w:val="00AF582A"/>
    <w:rsid w:val="00AF5BC8"/>
    <w:rsid w:val="00AF678E"/>
    <w:rsid w:val="00AF7099"/>
    <w:rsid w:val="00AF7787"/>
    <w:rsid w:val="00AF7D06"/>
    <w:rsid w:val="00B006BF"/>
    <w:rsid w:val="00B00C5B"/>
    <w:rsid w:val="00B01534"/>
    <w:rsid w:val="00B01B72"/>
    <w:rsid w:val="00B01B9D"/>
    <w:rsid w:val="00B02170"/>
    <w:rsid w:val="00B02D25"/>
    <w:rsid w:val="00B02FD1"/>
    <w:rsid w:val="00B031A1"/>
    <w:rsid w:val="00B032CF"/>
    <w:rsid w:val="00B033C5"/>
    <w:rsid w:val="00B039AC"/>
    <w:rsid w:val="00B03A43"/>
    <w:rsid w:val="00B03E28"/>
    <w:rsid w:val="00B04069"/>
    <w:rsid w:val="00B0414B"/>
    <w:rsid w:val="00B0466B"/>
    <w:rsid w:val="00B055A0"/>
    <w:rsid w:val="00B05888"/>
    <w:rsid w:val="00B05985"/>
    <w:rsid w:val="00B05C28"/>
    <w:rsid w:val="00B06277"/>
    <w:rsid w:val="00B06366"/>
    <w:rsid w:val="00B06BD9"/>
    <w:rsid w:val="00B07912"/>
    <w:rsid w:val="00B10D5B"/>
    <w:rsid w:val="00B11121"/>
    <w:rsid w:val="00B11609"/>
    <w:rsid w:val="00B11B54"/>
    <w:rsid w:val="00B122EA"/>
    <w:rsid w:val="00B1260D"/>
    <w:rsid w:val="00B12A81"/>
    <w:rsid w:val="00B12FAB"/>
    <w:rsid w:val="00B131BF"/>
    <w:rsid w:val="00B131F4"/>
    <w:rsid w:val="00B13913"/>
    <w:rsid w:val="00B13A93"/>
    <w:rsid w:val="00B140C3"/>
    <w:rsid w:val="00B14474"/>
    <w:rsid w:val="00B14F19"/>
    <w:rsid w:val="00B1535E"/>
    <w:rsid w:val="00B16381"/>
    <w:rsid w:val="00B16B2D"/>
    <w:rsid w:val="00B16EFD"/>
    <w:rsid w:val="00B174E6"/>
    <w:rsid w:val="00B17FB4"/>
    <w:rsid w:val="00B21654"/>
    <w:rsid w:val="00B222C8"/>
    <w:rsid w:val="00B223B7"/>
    <w:rsid w:val="00B23744"/>
    <w:rsid w:val="00B2387D"/>
    <w:rsid w:val="00B24931"/>
    <w:rsid w:val="00B2532C"/>
    <w:rsid w:val="00B266FE"/>
    <w:rsid w:val="00B27256"/>
    <w:rsid w:val="00B2763A"/>
    <w:rsid w:val="00B27687"/>
    <w:rsid w:val="00B27AF9"/>
    <w:rsid w:val="00B30F9C"/>
    <w:rsid w:val="00B3112E"/>
    <w:rsid w:val="00B31D02"/>
    <w:rsid w:val="00B3204B"/>
    <w:rsid w:val="00B3229C"/>
    <w:rsid w:val="00B32989"/>
    <w:rsid w:val="00B32A93"/>
    <w:rsid w:val="00B334E5"/>
    <w:rsid w:val="00B34E8E"/>
    <w:rsid w:val="00B34FB4"/>
    <w:rsid w:val="00B3558A"/>
    <w:rsid w:val="00B36454"/>
    <w:rsid w:val="00B36519"/>
    <w:rsid w:val="00B36949"/>
    <w:rsid w:val="00B36C4A"/>
    <w:rsid w:val="00B37C5B"/>
    <w:rsid w:val="00B37CF9"/>
    <w:rsid w:val="00B40AD9"/>
    <w:rsid w:val="00B4106C"/>
    <w:rsid w:val="00B4111F"/>
    <w:rsid w:val="00B41EDD"/>
    <w:rsid w:val="00B428F2"/>
    <w:rsid w:val="00B4382D"/>
    <w:rsid w:val="00B439E1"/>
    <w:rsid w:val="00B43A1D"/>
    <w:rsid w:val="00B43B54"/>
    <w:rsid w:val="00B43DF9"/>
    <w:rsid w:val="00B4411D"/>
    <w:rsid w:val="00B4439C"/>
    <w:rsid w:val="00B44647"/>
    <w:rsid w:val="00B452AE"/>
    <w:rsid w:val="00B453CB"/>
    <w:rsid w:val="00B45601"/>
    <w:rsid w:val="00B45633"/>
    <w:rsid w:val="00B468CC"/>
    <w:rsid w:val="00B4691E"/>
    <w:rsid w:val="00B4747B"/>
    <w:rsid w:val="00B47B36"/>
    <w:rsid w:val="00B47C0A"/>
    <w:rsid w:val="00B51249"/>
    <w:rsid w:val="00B519CB"/>
    <w:rsid w:val="00B51F65"/>
    <w:rsid w:val="00B529BB"/>
    <w:rsid w:val="00B52B4C"/>
    <w:rsid w:val="00B52C98"/>
    <w:rsid w:val="00B54F9B"/>
    <w:rsid w:val="00B60101"/>
    <w:rsid w:val="00B60298"/>
    <w:rsid w:val="00B608D8"/>
    <w:rsid w:val="00B60FA9"/>
    <w:rsid w:val="00B61A7C"/>
    <w:rsid w:val="00B61C3C"/>
    <w:rsid w:val="00B61E7A"/>
    <w:rsid w:val="00B6264D"/>
    <w:rsid w:val="00B6267F"/>
    <w:rsid w:val="00B6316C"/>
    <w:rsid w:val="00B63757"/>
    <w:rsid w:val="00B64223"/>
    <w:rsid w:val="00B644B4"/>
    <w:rsid w:val="00B64B2C"/>
    <w:rsid w:val="00B650A6"/>
    <w:rsid w:val="00B653DF"/>
    <w:rsid w:val="00B65AC0"/>
    <w:rsid w:val="00B65DDA"/>
    <w:rsid w:val="00B66083"/>
    <w:rsid w:val="00B66996"/>
    <w:rsid w:val="00B66B59"/>
    <w:rsid w:val="00B6721D"/>
    <w:rsid w:val="00B708FD"/>
    <w:rsid w:val="00B70B47"/>
    <w:rsid w:val="00B70D45"/>
    <w:rsid w:val="00B71341"/>
    <w:rsid w:val="00B71BB6"/>
    <w:rsid w:val="00B72B55"/>
    <w:rsid w:val="00B73C89"/>
    <w:rsid w:val="00B743E1"/>
    <w:rsid w:val="00B74C0A"/>
    <w:rsid w:val="00B75062"/>
    <w:rsid w:val="00B75809"/>
    <w:rsid w:val="00B75943"/>
    <w:rsid w:val="00B762B2"/>
    <w:rsid w:val="00B7740A"/>
    <w:rsid w:val="00B7773F"/>
    <w:rsid w:val="00B77862"/>
    <w:rsid w:val="00B77A2E"/>
    <w:rsid w:val="00B77BBF"/>
    <w:rsid w:val="00B8046E"/>
    <w:rsid w:val="00B804EE"/>
    <w:rsid w:val="00B80A4B"/>
    <w:rsid w:val="00B81683"/>
    <w:rsid w:val="00B8265E"/>
    <w:rsid w:val="00B828B4"/>
    <w:rsid w:val="00B82B72"/>
    <w:rsid w:val="00B83667"/>
    <w:rsid w:val="00B84889"/>
    <w:rsid w:val="00B86E93"/>
    <w:rsid w:val="00B90A17"/>
    <w:rsid w:val="00B90BA4"/>
    <w:rsid w:val="00B90F1B"/>
    <w:rsid w:val="00B91B58"/>
    <w:rsid w:val="00B925E5"/>
    <w:rsid w:val="00B92736"/>
    <w:rsid w:val="00B93458"/>
    <w:rsid w:val="00B93C4A"/>
    <w:rsid w:val="00B944C9"/>
    <w:rsid w:val="00B94618"/>
    <w:rsid w:val="00B95145"/>
    <w:rsid w:val="00B95158"/>
    <w:rsid w:val="00B95DFA"/>
    <w:rsid w:val="00BA0222"/>
    <w:rsid w:val="00BA08AF"/>
    <w:rsid w:val="00BA0A6B"/>
    <w:rsid w:val="00BA1248"/>
    <w:rsid w:val="00BA143F"/>
    <w:rsid w:val="00BA192B"/>
    <w:rsid w:val="00BA1DAD"/>
    <w:rsid w:val="00BA1F2D"/>
    <w:rsid w:val="00BA26A8"/>
    <w:rsid w:val="00BA3C79"/>
    <w:rsid w:val="00BA45D9"/>
    <w:rsid w:val="00BA5975"/>
    <w:rsid w:val="00BA5DF5"/>
    <w:rsid w:val="00BA5F63"/>
    <w:rsid w:val="00BA73EE"/>
    <w:rsid w:val="00BA73FA"/>
    <w:rsid w:val="00BA7469"/>
    <w:rsid w:val="00BA78C4"/>
    <w:rsid w:val="00BA7CEB"/>
    <w:rsid w:val="00BA7F4B"/>
    <w:rsid w:val="00BB03C7"/>
    <w:rsid w:val="00BB07E3"/>
    <w:rsid w:val="00BB0BA5"/>
    <w:rsid w:val="00BB1286"/>
    <w:rsid w:val="00BB1596"/>
    <w:rsid w:val="00BB1625"/>
    <w:rsid w:val="00BB1CB6"/>
    <w:rsid w:val="00BB267F"/>
    <w:rsid w:val="00BB2823"/>
    <w:rsid w:val="00BB4CFE"/>
    <w:rsid w:val="00BB4E70"/>
    <w:rsid w:val="00BB5090"/>
    <w:rsid w:val="00BB574B"/>
    <w:rsid w:val="00BB5AA7"/>
    <w:rsid w:val="00BB5D0E"/>
    <w:rsid w:val="00BB5D87"/>
    <w:rsid w:val="00BB709F"/>
    <w:rsid w:val="00BB767A"/>
    <w:rsid w:val="00BC0599"/>
    <w:rsid w:val="00BC078D"/>
    <w:rsid w:val="00BC0916"/>
    <w:rsid w:val="00BC0D41"/>
    <w:rsid w:val="00BC14FD"/>
    <w:rsid w:val="00BC2FAB"/>
    <w:rsid w:val="00BC32EA"/>
    <w:rsid w:val="00BC4B51"/>
    <w:rsid w:val="00BC4FB4"/>
    <w:rsid w:val="00BC5513"/>
    <w:rsid w:val="00BC55B3"/>
    <w:rsid w:val="00BC65F9"/>
    <w:rsid w:val="00BC6C66"/>
    <w:rsid w:val="00BC7F48"/>
    <w:rsid w:val="00BD0056"/>
    <w:rsid w:val="00BD006C"/>
    <w:rsid w:val="00BD0498"/>
    <w:rsid w:val="00BD06E5"/>
    <w:rsid w:val="00BD09BF"/>
    <w:rsid w:val="00BD196C"/>
    <w:rsid w:val="00BD1972"/>
    <w:rsid w:val="00BD2504"/>
    <w:rsid w:val="00BD289A"/>
    <w:rsid w:val="00BD31CF"/>
    <w:rsid w:val="00BD45B7"/>
    <w:rsid w:val="00BD525B"/>
    <w:rsid w:val="00BD531D"/>
    <w:rsid w:val="00BD559A"/>
    <w:rsid w:val="00BD5679"/>
    <w:rsid w:val="00BD581B"/>
    <w:rsid w:val="00BD6039"/>
    <w:rsid w:val="00BD76A2"/>
    <w:rsid w:val="00BE0577"/>
    <w:rsid w:val="00BE0579"/>
    <w:rsid w:val="00BE0E4F"/>
    <w:rsid w:val="00BE11CE"/>
    <w:rsid w:val="00BE1693"/>
    <w:rsid w:val="00BE1DE1"/>
    <w:rsid w:val="00BE2409"/>
    <w:rsid w:val="00BE35E8"/>
    <w:rsid w:val="00BE4A4D"/>
    <w:rsid w:val="00BE4CA9"/>
    <w:rsid w:val="00BE4F0A"/>
    <w:rsid w:val="00BE5E07"/>
    <w:rsid w:val="00BE650B"/>
    <w:rsid w:val="00BE6C3C"/>
    <w:rsid w:val="00BE78D3"/>
    <w:rsid w:val="00BF0044"/>
    <w:rsid w:val="00BF105E"/>
    <w:rsid w:val="00BF1146"/>
    <w:rsid w:val="00BF147D"/>
    <w:rsid w:val="00BF1F7A"/>
    <w:rsid w:val="00BF1FC6"/>
    <w:rsid w:val="00BF2D7A"/>
    <w:rsid w:val="00BF31E6"/>
    <w:rsid w:val="00BF4493"/>
    <w:rsid w:val="00BF44E9"/>
    <w:rsid w:val="00BF49C2"/>
    <w:rsid w:val="00BF5943"/>
    <w:rsid w:val="00BF5F34"/>
    <w:rsid w:val="00BF662D"/>
    <w:rsid w:val="00BF686A"/>
    <w:rsid w:val="00BF754C"/>
    <w:rsid w:val="00BF7F19"/>
    <w:rsid w:val="00C01340"/>
    <w:rsid w:val="00C02757"/>
    <w:rsid w:val="00C03008"/>
    <w:rsid w:val="00C050FA"/>
    <w:rsid w:val="00C05443"/>
    <w:rsid w:val="00C06642"/>
    <w:rsid w:val="00C06A88"/>
    <w:rsid w:val="00C0728D"/>
    <w:rsid w:val="00C107EC"/>
    <w:rsid w:val="00C121DB"/>
    <w:rsid w:val="00C1227D"/>
    <w:rsid w:val="00C12A81"/>
    <w:rsid w:val="00C12C22"/>
    <w:rsid w:val="00C12F04"/>
    <w:rsid w:val="00C135AD"/>
    <w:rsid w:val="00C146D7"/>
    <w:rsid w:val="00C16B88"/>
    <w:rsid w:val="00C16BFC"/>
    <w:rsid w:val="00C16F13"/>
    <w:rsid w:val="00C20674"/>
    <w:rsid w:val="00C2070E"/>
    <w:rsid w:val="00C20A10"/>
    <w:rsid w:val="00C20D98"/>
    <w:rsid w:val="00C2162D"/>
    <w:rsid w:val="00C21D1D"/>
    <w:rsid w:val="00C22898"/>
    <w:rsid w:val="00C22EAA"/>
    <w:rsid w:val="00C23694"/>
    <w:rsid w:val="00C24345"/>
    <w:rsid w:val="00C24C96"/>
    <w:rsid w:val="00C253B1"/>
    <w:rsid w:val="00C258CA"/>
    <w:rsid w:val="00C2630C"/>
    <w:rsid w:val="00C27F13"/>
    <w:rsid w:val="00C309F8"/>
    <w:rsid w:val="00C316F2"/>
    <w:rsid w:val="00C32090"/>
    <w:rsid w:val="00C321F0"/>
    <w:rsid w:val="00C329EA"/>
    <w:rsid w:val="00C33290"/>
    <w:rsid w:val="00C3466A"/>
    <w:rsid w:val="00C34A76"/>
    <w:rsid w:val="00C34A93"/>
    <w:rsid w:val="00C34DC9"/>
    <w:rsid w:val="00C3517E"/>
    <w:rsid w:val="00C356E0"/>
    <w:rsid w:val="00C35AC5"/>
    <w:rsid w:val="00C3651F"/>
    <w:rsid w:val="00C367E4"/>
    <w:rsid w:val="00C3694D"/>
    <w:rsid w:val="00C40E67"/>
    <w:rsid w:val="00C41BD8"/>
    <w:rsid w:val="00C41F1A"/>
    <w:rsid w:val="00C430F6"/>
    <w:rsid w:val="00C43D2F"/>
    <w:rsid w:val="00C445C7"/>
    <w:rsid w:val="00C44767"/>
    <w:rsid w:val="00C44870"/>
    <w:rsid w:val="00C44912"/>
    <w:rsid w:val="00C4665B"/>
    <w:rsid w:val="00C4744E"/>
    <w:rsid w:val="00C51E8E"/>
    <w:rsid w:val="00C53A0F"/>
    <w:rsid w:val="00C53AB0"/>
    <w:rsid w:val="00C53B7B"/>
    <w:rsid w:val="00C53FFE"/>
    <w:rsid w:val="00C54BB3"/>
    <w:rsid w:val="00C5520A"/>
    <w:rsid w:val="00C55AB7"/>
    <w:rsid w:val="00C56842"/>
    <w:rsid w:val="00C57348"/>
    <w:rsid w:val="00C57698"/>
    <w:rsid w:val="00C579F5"/>
    <w:rsid w:val="00C57BDB"/>
    <w:rsid w:val="00C60662"/>
    <w:rsid w:val="00C608C1"/>
    <w:rsid w:val="00C6103A"/>
    <w:rsid w:val="00C616E3"/>
    <w:rsid w:val="00C6235A"/>
    <w:rsid w:val="00C63952"/>
    <w:rsid w:val="00C63CC5"/>
    <w:rsid w:val="00C6401E"/>
    <w:rsid w:val="00C65749"/>
    <w:rsid w:val="00C6665F"/>
    <w:rsid w:val="00C66ADB"/>
    <w:rsid w:val="00C67032"/>
    <w:rsid w:val="00C67071"/>
    <w:rsid w:val="00C67700"/>
    <w:rsid w:val="00C7009A"/>
    <w:rsid w:val="00C7089A"/>
    <w:rsid w:val="00C708D8"/>
    <w:rsid w:val="00C70C24"/>
    <w:rsid w:val="00C70C85"/>
    <w:rsid w:val="00C71AE3"/>
    <w:rsid w:val="00C73C7E"/>
    <w:rsid w:val="00C741A7"/>
    <w:rsid w:val="00C74388"/>
    <w:rsid w:val="00C75053"/>
    <w:rsid w:val="00C75115"/>
    <w:rsid w:val="00C75B2E"/>
    <w:rsid w:val="00C76732"/>
    <w:rsid w:val="00C76BD2"/>
    <w:rsid w:val="00C76EBE"/>
    <w:rsid w:val="00C776E6"/>
    <w:rsid w:val="00C77AF2"/>
    <w:rsid w:val="00C809B1"/>
    <w:rsid w:val="00C80D21"/>
    <w:rsid w:val="00C80E00"/>
    <w:rsid w:val="00C80FA8"/>
    <w:rsid w:val="00C8133D"/>
    <w:rsid w:val="00C81B4E"/>
    <w:rsid w:val="00C81F46"/>
    <w:rsid w:val="00C83F57"/>
    <w:rsid w:val="00C8478B"/>
    <w:rsid w:val="00C84A53"/>
    <w:rsid w:val="00C84D7F"/>
    <w:rsid w:val="00C85401"/>
    <w:rsid w:val="00C858FC"/>
    <w:rsid w:val="00C85A26"/>
    <w:rsid w:val="00C85A33"/>
    <w:rsid w:val="00C86015"/>
    <w:rsid w:val="00C87592"/>
    <w:rsid w:val="00C87B45"/>
    <w:rsid w:val="00C87E79"/>
    <w:rsid w:val="00C87E90"/>
    <w:rsid w:val="00C90188"/>
    <w:rsid w:val="00C90885"/>
    <w:rsid w:val="00C91634"/>
    <w:rsid w:val="00C92F32"/>
    <w:rsid w:val="00C939A3"/>
    <w:rsid w:val="00C9405F"/>
    <w:rsid w:val="00C94315"/>
    <w:rsid w:val="00C94DFB"/>
    <w:rsid w:val="00C955F0"/>
    <w:rsid w:val="00C95A9B"/>
    <w:rsid w:val="00C95C1A"/>
    <w:rsid w:val="00C95DC7"/>
    <w:rsid w:val="00C95E30"/>
    <w:rsid w:val="00C95E86"/>
    <w:rsid w:val="00C960B1"/>
    <w:rsid w:val="00C9655F"/>
    <w:rsid w:val="00C96BCD"/>
    <w:rsid w:val="00C96C29"/>
    <w:rsid w:val="00C96C3B"/>
    <w:rsid w:val="00C96F16"/>
    <w:rsid w:val="00C97007"/>
    <w:rsid w:val="00CA05E5"/>
    <w:rsid w:val="00CA05F9"/>
    <w:rsid w:val="00CA0B34"/>
    <w:rsid w:val="00CA0B9C"/>
    <w:rsid w:val="00CA193A"/>
    <w:rsid w:val="00CA1EF8"/>
    <w:rsid w:val="00CA2D2D"/>
    <w:rsid w:val="00CA3081"/>
    <w:rsid w:val="00CA40A0"/>
    <w:rsid w:val="00CA4EF6"/>
    <w:rsid w:val="00CA51A2"/>
    <w:rsid w:val="00CA527E"/>
    <w:rsid w:val="00CA67D7"/>
    <w:rsid w:val="00CA6FB2"/>
    <w:rsid w:val="00CA71B1"/>
    <w:rsid w:val="00CA79EB"/>
    <w:rsid w:val="00CB06FC"/>
    <w:rsid w:val="00CB21EE"/>
    <w:rsid w:val="00CB2DFD"/>
    <w:rsid w:val="00CB2EF9"/>
    <w:rsid w:val="00CB3073"/>
    <w:rsid w:val="00CB3549"/>
    <w:rsid w:val="00CB399A"/>
    <w:rsid w:val="00CB4BDA"/>
    <w:rsid w:val="00CB4EEE"/>
    <w:rsid w:val="00CB5F63"/>
    <w:rsid w:val="00CB6AF0"/>
    <w:rsid w:val="00CB6CEE"/>
    <w:rsid w:val="00CB6DC7"/>
    <w:rsid w:val="00CC0361"/>
    <w:rsid w:val="00CC0382"/>
    <w:rsid w:val="00CC0E5D"/>
    <w:rsid w:val="00CC0EF0"/>
    <w:rsid w:val="00CC14C2"/>
    <w:rsid w:val="00CC1A9C"/>
    <w:rsid w:val="00CC2E88"/>
    <w:rsid w:val="00CC333D"/>
    <w:rsid w:val="00CC3BFF"/>
    <w:rsid w:val="00CC3F8D"/>
    <w:rsid w:val="00CC49ED"/>
    <w:rsid w:val="00CC5058"/>
    <w:rsid w:val="00CC5956"/>
    <w:rsid w:val="00CC5BC3"/>
    <w:rsid w:val="00CC6130"/>
    <w:rsid w:val="00CC6184"/>
    <w:rsid w:val="00CC6C86"/>
    <w:rsid w:val="00CD0398"/>
    <w:rsid w:val="00CD0839"/>
    <w:rsid w:val="00CD1DEC"/>
    <w:rsid w:val="00CD21A8"/>
    <w:rsid w:val="00CD222D"/>
    <w:rsid w:val="00CD27BD"/>
    <w:rsid w:val="00CD2834"/>
    <w:rsid w:val="00CD2C46"/>
    <w:rsid w:val="00CD2CDB"/>
    <w:rsid w:val="00CD2D04"/>
    <w:rsid w:val="00CD32D0"/>
    <w:rsid w:val="00CD3BC0"/>
    <w:rsid w:val="00CD40AD"/>
    <w:rsid w:val="00CD50C1"/>
    <w:rsid w:val="00CD5BBF"/>
    <w:rsid w:val="00CD6ED8"/>
    <w:rsid w:val="00CD7956"/>
    <w:rsid w:val="00CD7B20"/>
    <w:rsid w:val="00CD7D23"/>
    <w:rsid w:val="00CE0266"/>
    <w:rsid w:val="00CE0AA8"/>
    <w:rsid w:val="00CE0DF2"/>
    <w:rsid w:val="00CE12CB"/>
    <w:rsid w:val="00CE1C11"/>
    <w:rsid w:val="00CE2173"/>
    <w:rsid w:val="00CE2DA3"/>
    <w:rsid w:val="00CE3970"/>
    <w:rsid w:val="00CE3A90"/>
    <w:rsid w:val="00CE3AA4"/>
    <w:rsid w:val="00CE4296"/>
    <w:rsid w:val="00CE441A"/>
    <w:rsid w:val="00CE44C4"/>
    <w:rsid w:val="00CE4BBE"/>
    <w:rsid w:val="00CE527E"/>
    <w:rsid w:val="00CE55D4"/>
    <w:rsid w:val="00CE5DBE"/>
    <w:rsid w:val="00CE6B1B"/>
    <w:rsid w:val="00CE7259"/>
    <w:rsid w:val="00CE7A29"/>
    <w:rsid w:val="00CE7AF5"/>
    <w:rsid w:val="00CF0960"/>
    <w:rsid w:val="00CF0A76"/>
    <w:rsid w:val="00CF109E"/>
    <w:rsid w:val="00CF12E6"/>
    <w:rsid w:val="00CF13AA"/>
    <w:rsid w:val="00CF1D99"/>
    <w:rsid w:val="00CF26F6"/>
    <w:rsid w:val="00CF2A15"/>
    <w:rsid w:val="00CF2A4C"/>
    <w:rsid w:val="00CF2D42"/>
    <w:rsid w:val="00CF3125"/>
    <w:rsid w:val="00CF366A"/>
    <w:rsid w:val="00CF36FD"/>
    <w:rsid w:val="00CF4E0A"/>
    <w:rsid w:val="00CF53B7"/>
    <w:rsid w:val="00CF5427"/>
    <w:rsid w:val="00CF5679"/>
    <w:rsid w:val="00CF56C2"/>
    <w:rsid w:val="00CF5BE4"/>
    <w:rsid w:val="00CF5D78"/>
    <w:rsid w:val="00CF5F52"/>
    <w:rsid w:val="00CF6C38"/>
    <w:rsid w:val="00CF6F73"/>
    <w:rsid w:val="00CF7874"/>
    <w:rsid w:val="00D00580"/>
    <w:rsid w:val="00D00F53"/>
    <w:rsid w:val="00D01AD0"/>
    <w:rsid w:val="00D01C84"/>
    <w:rsid w:val="00D02760"/>
    <w:rsid w:val="00D02CBA"/>
    <w:rsid w:val="00D032F2"/>
    <w:rsid w:val="00D0337F"/>
    <w:rsid w:val="00D038A8"/>
    <w:rsid w:val="00D038C4"/>
    <w:rsid w:val="00D04A6A"/>
    <w:rsid w:val="00D04E62"/>
    <w:rsid w:val="00D0531C"/>
    <w:rsid w:val="00D078CF"/>
    <w:rsid w:val="00D104EA"/>
    <w:rsid w:val="00D10A85"/>
    <w:rsid w:val="00D10C3A"/>
    <w:rsid w:val="00D10E4B"/>
    <w:rsid w:val="00D10F64"/>
    <w:rsid w:val="00D11787"/>
    <w:rsid w:val="00D11DE9"/>
    <w:rsid w:val="00D12898"/>
    <w:rsid w:val="00D12B40"/>
    <w:rsid w:val="00D130AD"/>
    <w:rsid w:val="00D130BB"/>
    <w:rsid w:val="00D130C2"/>
    <w:rsid w:val="00D137CC"/>
    <w:rsid w:val="00D1384B"/>
    <w:rsid w:val="00D142C5"/>
    <w:rsid w:val="00D1465A"/>
    <w:rsid w:val="00D1481D"/>
    <w:rsid w:val="00D15662"/>
    <w:rsid w:val="00D1639A"/>
    <w:rsid w:val="00D17852"/>
    <w:rsid w:val="00D178A4"/>
    <w:rsid w:val="00D17E27"/>
    <w:rsid w:val="00D17F86"/>
    <w:rsid w:val="00D17FF0"/>
    <w:rsid w:val="00D20868"/>
    <w:rsid w:val="00D20BDD"/>
    <w:rsid w:val="00D22496"/>
    <w:rsid w:val="00D22FD7"/>
    <w:rsid w:val="00D23265"/>
    <w:rsid w:val="00D23D6F"/>
    <w:rsid w:val="00D24098"/>
    <w:rsid w:val="00D243A3"/>
    <w:rsid w:val="00D2489F"/>
    <w:rsid w:val="00D25D2D"/>
    <w:rsid w:val="00D25E86"/>
    <w:rsid w:val="00D2607D"/>
    <w:rsid w:val="00D27AC8"/>
    <w:rsid w:val="00D27C68"/>
    <w:rsid w:val="00D30727"/>
    <w:rsid w:val="00D32269"/>
    <w:rsid w:val="00D329B6"/>
    <w:rsid w:val="00D32AA4"/>
    <w:rsid w:val="00D32E70"/>
    <w:rsid w:val="00D3378E"/>
    <w:rsid w:val="00D3381F"/>
    <w:rsid w:val="00D34670"/>
    <w:rsid w:val="00D34965"/>
    <w:rsid w:val="00D34991"/>
    <w:rsid w:val="00D357EE"/>
    <w:rsid w:val="00D35CEE"/>
    <w:rsid w:val="00D35D2D"/>
    <w:rsid w:val="00D36039"/>
    <w:rsid w:val="00D402BD"/>
    <w:rsid w:val="00D405AF"/>
    <w:rsid w:val="00D406AA"/>
    <w:rsid w:val="00D40EF9"/>
    <w:rsid w:val="00D41335"/>
    <w:rsid w:val="00D42605"/>
    <w:rsid w:val="00D42A29"/>
    <w:rsid w:val="00D431B4"/>
    <w:rsid w:val="00D43D38"/>
    <w:rsid w:val="00D43FA3"/>
    <w:rsid w:val="00D44FA0"/>
    <w:rsid w:val="00D45A7C"/>
    <w:rsid w:val="00D45CD8"/>
    <w:rsid w:val="00D465C9"/>
    <w:rsid w:val="00D46F68"/>
    <w:rsid w:val="00D4769B"/>
    <w:rsid w:val="00D500CC"/>
    <w:rsid w:val="00D51290"/>
    <w:rsid w:val="00D51AA9"/>
    <w:rsid w:val="00D51DD2"/>
    <w:rsid w:val="00D51FA3"/>
    <w:rsid w:val="00D523CA"/>
    <w:rsid w:val="00D53273"/>
    <w:rsid w:val="00D547DD"/>
    <w:rsid w:val="00D55033"/>
    <w:rsid w:val="00D557F1"/>
    <w:rsid w:val="00D558B4"/>
    <w:rsid w:val="00D56BD1"/>
    <w:rsid w:val="00D575EA"/>
    <w:rsid w:val="00D57671"/>
    <w:rsid w:val="00D6003A"/>
    <w:rsid w:val="00D613BC"/>
    <w:rsid w:val="00D61508"/>
    <w:rsid w:val="00D6253C"/>
    <w:rsid w:val="00D636B0"/>
    <w:rsid w:val="00D63C79"/>
    <w:rsid w:val="00D63CCD"/>
    <w:rsid w:val="00D63E5F"/>
    <w:rsid w:val="00D6456C"/>
    <w:rsid w:val="00D645DE"/>
    <w:rsid w:val="00D64D43"/>
    <w:rsid w:val="00D650FD"/>
    <w:rsid w:val="00D651DD"/>
    <w:rsid w:val="00D66C23"/>
    <w:rsid w:val="00D67416"/>
    <w:rsid w:val="00D70B47"/>
    <w:rsid w:val="00D70DC6"/>
    <w:rsid w:val="00D70E3B"/>
    <w:rsid w:val="00D70FE1"/>
    <w:rsid w:val="00D71208"/>
    <w:rsid w:val="00D71A14"/>
    <w:rsid w:val="00D726DD"/>
    <w:rsid w:val="00D72DC5"/>
    <w:rsid w:val="00D72E71"/>
    <w:rsid w:val="00D72EC3"/>
    <w:rsid w:val="00D73412"/>
    <w:rsid w:val="00D74236"/>
    <w:rsid w:val="00D755DF"/>
    <w:rsid w:val="00D76939"/>
    <w:rsid w:val="00D76FAD"/>
    <w:rsid w:val="00D76FCA"/>
    <w:rsid w:val="00D77146"/>
    <w:rsid w:val="00D77C0F"/>
    <w:rsid w:val="00D77E7F"/>
    <w:rsid w:val="00D801DF"/>
    <w:rsid w:val="00D80629"/>
    <w:rsid w:val="00D81E23"/>
    <w:rsid w:val="00D833AC"/>
    <w:rsid w:val="00D83579"/>
    <w:rsid w:val="00D83B75"/>
    <w:rsid w:val="00D84AF5"/>
    <w:rsid w:val="00D84F40"/>
    <w:rsid w:val="00D85030"/>
    <w:rsid w:val="00D860C0"/>
    <w:rsid w:val="00D86F72"/>
    <w:rsid w:val="00D874F4"/>
    <w:rsid w:val="00D87F2D"/>
    <w:rsid w:val="00D90E10"/>
    <w:rsid w:val="00D9188F"/>
    <w:rsid w:val="00D91FC6"/>
    <w:rsid w:val="00D9233C"/>
    <w:rsid w:val="00D9296F"/>
    <w:rsid w:val="00D92D47"/>
    <w:rsid w:val="00D933F5"/>
    <w:rsid w:val="00D94591"/>
    <w:rsid w:val="00D94776"/>
    <w:rsid w:val="00D947E8"/>
    <w:rsid w:val="00D94E04"/>
    <w:rsid w:val="00D966AE"/>
    <w:rsid w:val="00D96789"/>
    <w:rsid w:val="00D96F8A"/>
    <w:rsid w:val="00D970CA"/>
    <w:rsid w:val="00D97E11"/>
    <w:rsid w:val="00DA0424"/>
    <w:rsid w:val="00DA0844"/>
    <w:rsid w:val="00DA0B68"/>
    <w:rsid w:val="00DA133D"/>
    <w:rsid w:val="00DA3654"/>
    <w:rsid w:val="00DA3FA6"/>
    <w:rsid w:val="00DA4345"/>
    <w:rsid w:val="00DA4CBE"/>
    <w:rsid w:val="00DA61EB"/>
    <w:rsid w:val="00DA7194"/>
    <w:rsid w:val="00DA7719"/>
    <w:rsid w:val="00DA7A04"/>
    <w:rsid w:val="00DB0924"/>
    <w:rsid w:val="00DB13DD"/>
    <w:rsid w:val="00DB1644"/>
    <w:rsid w:val="00DB2D13"/>
    <w:rsid w:val="00DB3435"/>
    <w:rsid w:val="00DB4941"/>
    <w:rsid w:val="00DB4E67"/>
    <w:rsid w:val="00DB5494"/>
    <w:rsid w:val="00DB5B2A"/>
    <w:rsid w:val="00DB5C00"/>
    <w:rsid w:val="00DB5DD3"/>
    <w:rsid w:val="00DB60B6"/>
    <w:rsid w:val="00DB6B05"/>
    <w:rsid w:val="00DB6C5A"/>
    <w:rsid w:val="00DB7C7C"/>
    <w:rsid w:val="00DC06F1"/>
    <w:rsid w:val="00DC1052"/>
    <w:rsid w:val="00DC108E"/>
    <w:rsid w:val="00DC17A5"/>
    <w:rsid w:val="00DC23EC"/>
    <w:rsid w:val="00DC2DE4"/>
    <w:rsid w:val="00DC4C73"/>
    <w:rsid w:val="00DC555E"/>
    <w:rsid w:val="00DC59C6"/>
    <w:rsid w:val="00DC6819"/>
    <w:rsid w:val="00DC6969"/>
    <w:rsid w:val="00DD108D"/>
    <w:rsid w:val="00DD12B5"/>
    <w:rsid w:val="00DD1971"/>
    <w:rsid w:val="00DD1A32"/>
    <w:rsid w:val="00DD1EBE"/>
    <w:rsid w:val="00DD289C"/>
    <w:rsid w:val="00DD29CE"/>
    <w:rsid w:val="00DD33F0"/>
    <w:rsid w:val="00DD38B2"/>
    <w:rsid w:val="00DD4671"/>
    <w:rsid w:val="00DD46EA"/>
    <w:rsid w:val="00DD506E"/>
    <w:rsid w:val="00DD55D9"/>
    <w:rsid w:val="00DD5724"/>
    <w:rsid w:val="00DD5FE5"/>
    <w:rsid w:val="00DD6DC9"/>
    <w:rsid w:val="00DD7F46"/>
    <w:rsid w:val="00DE0146"/>
    <w:rsid w:val="00DE0161"/>
    <w:rsid w:val="00DE0371"/>
    <w:rsid w:val="00DE0464"/>
    <w:rsid w:val="00DE19DD"/>
    <w:rsid w:val="00DE2BFB"/>
    <w:rsid w:val="00DE2F7B"/>
    <w:rsid w:val="00DE36CC"/>
    <w:rsid w:val="00DE430A"/>
    <w:rsid w:val="00DE4E36"/>
    <w:rsid w:val="00DE4EB8"/>
    <w:rsid w:val="00DE5007"/>
    <w:rsid w:val="00DE598F"/>
    <w:rsid w:val="00DE5F82"/>
    <w:rsid w:val="00DE6038"/>
    <w:rsid w:val="00DE6D5E"/>
    <w:rsid w:val="00DE70E3"/>
    <w:rsid w:val="00DE7157"/>
    <w:rsid w:val="00DF05BF"/>
    <w:rsid w:val="00DF10E1"/>
    <w:rsid w:val="00DF133A"/>
    <w:rsid w:val="00DF1A19"/>
    <w:rsid w:val="00DF1EF8"/>
    <w:rsid w:val="00DF3527"/>
    <w:rsid w:val="00DF38D6"/>
    <w:rsid w:val="00DF4041"/>
    <w:rsid w:val="00DF4B75"/>
    <w:rsid w:val="00DF4B9E"/>
    <w:rsid w:val="00DF7032"/>
    <w:rsid w:val="00DF76A7"/>
    <w:rsid w:val="00DF7AB3"/>
    <w:rsid w:val="00E015A6"/>
    <w:rsid w:val="00E01855"/>
    <w:rsid w:val="00E02873"/>
    <w:rsid w:val="00E03090"/>
    <w:rsid w:val="00E03249"/>
    <w:rsid w:val="00E0412D"/>
    <w:rsid w:val="00E04BC9"/>
    <w:rsid w:val="00E04DD7"/>
    <w:rsid w:val="00E04E3C"/>
    <w:rsid w:val="00E04F76"/>
    <w:rsid w:val="00E05046"/>
    <w:rsid w:val="00E055E9"/>
    <w:rsid w:val="00E05914"/>
    <w:rsid w:val="00E06AC2"/>
    <w:rsid w:val="00E06D94"/>
    <w:rsid w:val="00E07E97"/>
    <w:rsid w:val="00E105BF"/>
    <w:rsid w:val="00E10801"/>
    <w:rsid w:val="00E109E7"/>
    <w:rsid w:val="00E10C03"/>
    <w:rsid w:val="00E10FE0"/>
    <w:rsid w:val="00E110B4"/>
    <w:rsid w:val="00E11ADF"/>
    <w:rsid w:val="00E11BB3"/>
    <w:rsid w:val="00E12010"/>
    <w:rsid w:val="00E13357"/>
    <w:rsid w:val="00E13778"/>
    <w:rsid w:val="00E140B7"/>
    <w:rsid w:val="00E14540"/>
    <w:rsid w:val="00E14BF6"/>
    <w:rsid w:val="00E151CF"/>
    <w:rsid w:val="00E15505"/>
    <w:rsid w:val="00E156E7"/>
    <w:rsid w:val="00E1586E"/>
    <w:rsid w:val="00E15D58"/>
    <w:rsid w:val="00E15FF6"/>
    <w:rsid w:val="00E1615D"/>
    <w:rsid w:val="00E16718"/>
    <w:rsid w:val="00E16A75"/>
    <w:rsid w:val="00E16DF8"/>
    <w:rsid w:val="00E17823"/>
    <w:rsid w:val="00E17A42"/>
    <w:rsid w:val="00E21266"/>
    <w:rsid w:val="00E21533"/>
    <w:rsid w:val="00E2226A"/>
    <w:rsid w:val="00E22B32"/>
    <w:rsid w:val="00E22EA8"/>
    <w:rsid w:val="00E23141"/>
    <w:rsid w:val="00E231C2"/>
    <w:rsid w:val="00E231D8"/>
    <w:rsid w:val="00E2407A"/>
    <w:rsid w:val="00E25343"/>
    <w:rsid w:val="00E256DB"/>
    <w:rsid w:val="00E25944"/>
    <w:rsid w:val="00E25B79"/>
    <w:rsid w:val="00E26487"/>
    <w:rsid w:val="00E266F7"/>
    <w:rsid w:val="00E279DF"/>
    <w:rsid w:val="00E27D69"/>
    <w:rsid w:val="00E300F1"/>
    <w:rsid w:val="00E30432"/>
    <w:rsid w:val="00E3061C"/>
    <w:rsid w:val="00E306B2"/>
    <w:rsid w:val="00E307BC"/>
    <w:rsid w:val="00E31719"/>
    <w:rsid w:val="00E31938"/>
    <w:rsid w:val="00E320AB"/>
    <w:rsid w:val="00E321B7"/>
    <w:rsid w:val="00E330CB"/>
    <w:rsid w:val="00E350E2"/>
    <w:rsid w:val="00E361B8"/>
    <w:rsid w:val="00E363F7"/>
    <w:rsid w:val="00E367E6"/>
    <w:rsid w:val="00E368D3"/>
    <w:rsid w:val="00E36D4C"/>
    <w:rsid w:val="00E375E0"/>
    <w:rsid w:val="00E37912"/>
    <w:rsid w:val="00E37D43"/>
    <w:rsid w:val="00E400F8"/>
    <w:rsid w:val="00E401D8"/>
    <w:rsid w:val="00E4029F"/>
    <w:rsid w:val="00E40C7A"/>
    <w:rsid w:val="00E41664"/>
    <w:rsid w:val="00E41C4D"/>
    <w:rsid w:val="00E42004"/>
    <w:rsid w:val="00E42138"/>
    <w:rsid w:val="00E42A2E"/>
    <w:rsid w:val="00E42F9B"/>
    <w:rsid w:val="00E4324B"/>
    <w:rsid w:val="00E43685"/>
    <w:rsid w:val="00E43F5D"/>
    <w:rsid w:val="00E43FCC"/>
    <w:rsid w:val="00E44EAD"/>
    <w:rsid w:val="00E4553E"/>
    <w:rsid w:val="00E45671"/>
    <w:rsid w:val="00E45809"/>
    <w:rsid w:val="00E45E67"/>
    <w:rsid w:val="00E45EEE"/>
    <w:rsid w:val="00E464FB"/>
    <w:rsid w:val="00E4662C"/>
    <w:rsid w:val="00E47358"/>
    <w:rsid w:val="00E47C98"/>
    <w:rsid w:val="00E50FF5"/>
    <w:rsid w:val="00E51764"/>
    <w:rsid w:val="00E51A7F"/>
    <w:rsid w:val="00E52082"/>
    <w:rsid w:val="00E521CE"/>
    <w:rsid w:val="00E52202"/>
    <w:rsid w:val="00E52370"/>
    <w:rsid w:val="00E52816"/>
    <w:rsid w:val="00E53A52"/>
    <w:rsid w:val="00E53E7A"/>
    <w:rsid w:val="00E541D6"/>
    <w:rsid w:val="00E545DA"/>
    <w:rsid w:val="00E548F5"/>
    <w:rsid w:val="00E5556F"/>
    <w:rsid w:val="00E56C25"/>
    <w:rsid w:val="00E57590"/>
    <w:rsid w:val="00E57F3E"/>
    <w:rsid w:val="00E60AF3"/>
    <w:rsid w:val="00E60E03"/>
    <w:rsid w:val="00E60F43"/>
    <w:rsid w:val="00E62E12"/>
    <w:rsid w:val="00E63AC2"/>
    <w:rsid w:val="00E63EBA"/>
    <w:rsid w:val="00E63FAE"/>
    <w:rsid w:val="00E641CC"/>
    <w:rsid w:val="00E654B9"/>
    <w:rsid w:val="00E66563"/>
    <w:rsid w:val="00E66677"/>
    <w:rsid w:val="00E66A15"/>
    <w:rsid w:val="00E67048"/>
    <w:rsid w:val="00E7086D"/>
    <w:rsid w:val="00E70DAB"/>
    <w:rsid w:val="00E71604"/>
    <w:rsid w:val="00E71F8E"/>
    <w:rsid w:val="00E7245A"/>
    <w:rsid w:val="00E72B40"/>
    <w:rsid w:val="00E7311E"/>
    <w:rsid w:val="00E7389D"/>
    <w:rsid w:val="00E73CB2"/>
    <w:rsid w:val="00E73FF6"/>
    <w:rsid w:val="00E74D08"/>
    <w:rsid w:val="00E74E19"/>
    <w:rsid w:val="00E75B86"/>
    <w:rsid w:val="00E75F03"/>
    <w:rsid w:val="00E76DEA"/>
    <w:rsid w:val="00E77296"/>
    <w:rsid w:val="00E8019A"/>
    <w:rsid w:val="00E807DD"/>
    <w:rsid w:val="00E82005"/>
    <w:rsid w:val="00E82716"/>
    <w:rsid w:val="00E83A51"/>
    <w:rsid w:val="00E841C9"/>
    <w:rsid w:val="00E841EF"/>
    <w:rsid w:val="00E84268"/>
    <w:rsid w:val="00E84B9C"/>
    <w:rsid w:val="00E85058"/>
    <w:rsid w:val="00E853A3"/>
    <w:rsid w:val="00E856BD"/>
    <w:rsid w:val="00E85E6B"/>
    <w:rsid w:val="00E85EA8"/>
    <w:rsid w:val="00E85FDD"/>
    <w:rsid w:val="00E86D95"/>
    <w:rsid w:val="00E86EBA"/>
    <w:rsid w:val="00E87AE6"/>
    <w:rsid w:val="00E90D08"/>
    <w:rsid w:val="00E91654"/>
    <w:rsid w:val="00E91D92"/>
    <w:rsid w:val="00E92F78"/>
    <w:rsid w:val="00E93312"/>
    <w:rsid w:val="00E93323"/>
    <w:rsid w:val="00E93816"/>
    <w:rsid w:val="00E93EB9"/>
    <w:rsid w:val="00E93FA8"/>
    <w:rsid w:val="00E949D5"/>
    <w:rsid w:val="00E94BA0"/>
    <w:rsid w:val="00E9559A"/>
    <w:rsid w:val="00E9592A"/>
    <w:rsid w:val="00E963C6"/>
    <w:rsid w:val="00E970BD"/>
    <w:rsid w:val="00E970CB"/>
    <w:rsid w:val="00E97651"/>
    <w:rsid w:val="00EA13BE"/>
    <w:rsid w:val="00EA2042"/>
    <w:rsid w:val="00EA3A61"/>
    <w:rsid w:val="00EA3E1E"/>
    <w:rsid w:val="00EA3E40"/>
    <w:rsid w:val="00EA4398"/>
    <w:rsid w:val="00EA44C1"/>
    <w:rsid w:val="00EA44FF"/>
    <w:rsid w:val="00EA48B4"/>
    <w:rsid w:val="00EA4C71"/>
    <w:rsid w:val="00EA53A0"/>
    <w:rsid w:val="00EA59C2"/>
    <w:rsid w:val="00EA7996"/>
    <w:rsid w:val="00EA7FB7"/>
    <w:rsid w:val="00EB0311"/>
    <w:rsid w:val="00EB10A4"/>
    <w:rsid w:val="00EB1DE6"/>
    <w:rsid w:val="00EB2D1C"/>
    <w:rsid w:val="00EB38D1"/>
    <w:rsid w:val="00EB459A"/>
    <w:rsid w:val="00EB4E53"/>
    <w:rsid w:val="00EB52B5"/>
    <w:rsid w:val="00EB5328"/>
    <w:rsid w:val="00EB57DF"/>
    <w:rsid w:val="00EB618E"/>
    <w:rsid w:val="00EB6AB2"/>
    <w:rsid w:val="00EB7BE6"/>
    <w:rsid w:val="00EC03DA"/>
    <w:rsid w:val="00EC04D6"/>
    <w:rsid w:val="00EC0844"/>
    <w:rsid w:val="00EC0E99"/>
    <w:rsid w:val="00EC160A"/>
    <w:rsid w:val="00EC2284"/>
    <w:rsid w:val="00EC34E3"/>
    <w:rsid w:val="00EC3B8A"/>
    <w:rsid w:val="00EC4859"/>
    <w:rsid w:val="00EC4E77"/>
    <w:rsid w:val="00EC505F"/>
    <w:rsid w:val="00EC522F"/>
    <w:rsid w:val="00EC5E9D"/>
    <w:rsid w:val="00EC61BF"/>
    <w:rsid w:val="00EC6374"/>
    <w:rsid w:val="00EC644C"/>
    <w:rsid w:val="00EC6A44"/>
    <w:rsid w:val="00EC74AA"/>
    <w:rsid w:val="00EC7B88"/>
    <w:rsid w:val="00ED0713"/>
    <w:rsid w:val="00ED0C10"/>
    <w:rsid w:val="00ED24EB"/>
    <w:rsid w:val="00ED3646"/>
    <w:rsid w:val="00ED3B46"/>
    <w:rsid w:val="00ED4DB6"/>
    <w:rsid w:val="00ED5375"/>
    <w:rsid w:val="00ED6896"/>
    <w:rsid w:val="00ED6A60"/>
    <w:rsid w:val="00ED76D2"/>
    <w:rsid w:val="00ED7D2A"/>
    <w:rsid w:val="00EE016D"/>
    <w:rsid w:val="00EE1741"/>
    <w:rsid w:val="00EE43F4"/>
    <w:rsid w:val="00EE4D2A"/>
    <w:rsid w:val="00EE5224"/>
    <w:rsid w:val="00EE5866"/>
    <w:rsid w:val="00EE63DC"/>
    <w:rsid w:val="00EE76E6"/>
    <w:rsid w:val="00EF03ED"/>
    <w:rsid w:val="00EF05B7"/>
    <w:rsid w:val="00EF0768"/>
    <w:rsid w:val="00EF0DDD"/>
    <w:rsid w:val="00EF3A9D"/>
    <w:rsid w:val="00EF530D"/>
    <w:rsid w:val="00EF5338"/>
    <w:rsid w:val="00EF55FB"/>
    <w:rsid w:val="00EF560C"/>
    <w:rsid w:val="00EF5E7B"/>
    <w:rsid w:val="00EF5EED"/>
    <w:rsid w:val="00EF696C"/>
    <w:rsid w:val="00EF7396"/>
    <w:rsid w:val="00EF7FDE"/>
    <w:rsid w:val="00F0035E"/>
    <w:rsid w:val="00F00D5C"/>
    <w:rsid w:val="00F00ECE"/>
    <w:rsid w:val="00F0144F"/>
    <w:rsid w:val="00F016D0"/>
    <w:rsid w:val="00F01816"/>
    <w:rsid w:val="00F01EA9"/>
    <w:rsid w:val="00F01F9B"/>
    <w:rsid w:val="00F02932"/>
    <w:rsid w:val="00F02B1A"/>
    <w:rsid w:val="00F031E2"/>
    <w:rsid w:val="00F0400C"/>
    <w:rsid w:val="00F041B7"/>
    <w:rsid w:val="00F05359"/>
    <w:rsid w:val="00F060DB"/>
    <w:rsid w:val="00F06FC4"/>
    <w:rsid w:val="00F0707A"/>
    <w:rsid w:val="00F07547"/>
    <w:rsid w:val="00F105CD"/>
    <w:rsid w:val="00F109AC"/>
    <w:rsid w:val="00F10F58"/>
    <w:rsid w:val="00F1149E"/>
    <w:rsid w:val="00F11FD7"/>
    <w:rsid w:val="00F128C3"/>
    <w:rsid w:val="00F12B71"/>
    <w:rsid w:val="00F12C6E"/>
    <w:rsid w:val="00F1332D"/>
    <w:rsid w:val="00F145CF"/>
    <w:rsid w:val="00F14A44"/>
    <w:rsid w:val="00F14AF0"/>
    <w:rsid w:val="00F14D69"/>
    <w:rsid w:val="00F15338"/>
    <w:rsid w:val="00F160A0"/>
    <w:rsid w:val="00F16180"/>
    <w:rsid w:val="00F1651A"/>
    <w:rsid w:val="00F165FA"/>
    <w:rsid w:val="00F16921"/>
    <w:rsid w:val="00F17CB6"/>
    <w:rsid w:val="00F20073"/>
    <w:rsid w:val="00F20EAC"/>
    <w:rsid w:val="00F21D88"/>
    <w:rsid w:val="00F221F5"/>
    <w:rsid w:val="00F2407F"/>
    <w:rsid w:val="00F241EA"/>
    <w:rsid w:val="00F2510E"/>
    <w:rsid w:val="00F251C5"/>
    <w:rsid w:val="00F25E03"/>
    <w:rsid w:val="00F26271"/>
    <w:rsid w:val="00F27A79"/>
    <w:rsid w:val="00F3143C"/>
    <w:rsid w:val="00F323C8"/>
    <w:rsid w:val="00F326EE"/>
    <w:rsid w:val="00F34688"/>
    <w:rsid w:val="00F3560C"/>
    <w:rsid w:val="00F357AD"/>
    <w:rsid w:val="00F36298"/>
    <w:rsid w:val="00F36C96"/>
    <w:rsid w:val="00F37CA5"/>
    <w:rsid w:val="00F40535"/>
    <w:rsid w:val="00F40AE1"/>
    <w:rsid w:val="00F413DC"/>
    <w:rsid w:val="00F413DF"/>
    <w:rsid w:val="00F4186C"/>
    <w:rsid w:val="00F4211C"/>
    <w:rsid w:val="00F42A82"/>
    <w:rsid w:val="00F42A98"/>
    <w:rsid w:val="00F4461F"/>
    <w:rsid w:val="00F44C67"/>
    <w:rsid w:val="00F45B45"/>
    <w:rsid w:val="00F47845"/>
    <w:rsid w:val="00F47CFB"/>
    <w:rsid w:val="00F50127"/>
    <w:rsid w:val="00F506A6"/>
    <w:rsid w:val="00F511FD"/>
    <w:rsid w:val="00F51937"/>
    <w:rsid w:val="00F520CB"/>
    <w:rsid w:val="00F52571"/>
    <w:rsid w:val="00F525A2"/>
    <w:rsid w:val="00F526CB"/>
    <w:rsid w:val="00F527DF"/>
    <w:rsid w:val="00F52D34"/>
    <w:rsid w:val="00F52D82"/>
    <w:rsid w:val="00F53457"/>
    <w:rsid w:val="00F55778"/>
    <w:rsid w:val="00F55FC3"/>
    <w:rsid w:val="00F5609E"/>
    <w:rsid w:val="00F57237"/>
    <w:rsid w:val="00F573BA"/>
    <w:rsid w:val="00F5769A"/>
    <w:rsid w:val="00F576AE"/>
    <w:rsid w:val="00F57A66"/>
    <w:rsid w:val="00F603C8"/>
    <w:rsid w:val="00F60A21"/>
    <w:rsid w:val="00F60EEA"/>
    <w:rsid w:val="00F6110E"/>
    <w:rsid w:val="00F611D1"/>
    <w:rsid w:val="00F61228"/>
    <w:rsid w:val="00F6132C"/>
    <w:rsid w:val="00F61981"/>
    <w:rsid w:val="00F61B0E"/>
    <w:rsid w:val="00F625F9"/>
    <w:rsid w:val="00F6284C"/>
    <w:rsid w:val="00F62D33"/>
    <w:rsid w:val="00F63BEC"/>
    <w:rsid w:val="00F63E22"/>
    <w:rsid w:val="00F6401B"/>
    <w:rsid w:val="00F64086"/>
    <w:rsid w:val="00F64E8F"/>
    <w:rsid w:val="00F65514"/>
    <w:rsid w:val="00F66A7E"/>
    <w:rsid w:val="00F67FBF"/>
    <w:rsid w:val="00F70E2C"/>
    <w:rsid w:val="00F71BBF"/>
    <w:rsid w:val="00F71C64"/>
    <w:rsid w:val="00F71D8C"/>
    <w:rsid w:val="00F72CAE"/>
    <w:rsid w:val="00F734AF"/>
    <w:rsid w:val="00F735FB"/>
    <w:rsid w:val="00F73D58"/>
    <w:rsid w:val="00F74017"/>
    <w:rsid w:val="00F74072"/>
    <w:rsid w:val="00F75731"/>
    <w:rsid w:val="00F75D0E"/>
    <w:rsid w:val="00F766E3"/>
    <w:rsid w:val="00F80C67"/>
    <w:rsid w:val="00F80D89"/>
    <w:rsid w:val="00F81086"/>
    <w:rsid w:val="00F813A9"/>
    <w:rsid w:val="00F81490"/>
    <w:rsid w:val="00F817F0"/>
    <w:rsid w:val="00F81DA2"/>
    <w:rsid w:val="00F8224E"/>
    <w:rsid w:val="00F8268F"/>
    <w:rsid w:val="00F8294A"/>
    <w:rsid w:val="00F83245"/>
    <w:rsid w:val="00F8329E"/>
    <w:rsid w:val="00F83B06"/>
    <w:rsid w:val="00F846A6"/>
    <w:rsid w:val="00F846D0"/>
    <w:rsid w:val="00F84730"/>
    <w:rsid w:val="00F8555F"/>
    <w:rsid w:val="00F86486"/>
    <w:rsid w:val="00F869FF"/>
    <w:rsid w:val="00F86D1F"/>
    <w:rsid w:val="00F875C5"/>
    <w:rsid w:val="00F87BAC"/>
    <w:rsid w:val="00F87E75"/>
    <w:rsid w:val="00F90203"/>
    <w:rsid w:val="00F90276"/>
    <w:rsid w:val="00F90DC4"/>
    <w:rsid w:val="00F92248"/>
    <w:rsid w:val="00F9337A"/>
    <w:rsid w:val="00F9342C"/>
    <w:rsid w:val="00F93739"/>
    <w:rsid w:val="00F942BF"/>
    <w:rsid w:val="00F943D7"/>
    <w:rsid w:val="00F943F3"/>
    <w:rsid w:val="00F9480A"/>
    <w:rsid w:val="00F95209"/>
    <w:rsid w:val="00F96D5D"/>
    <w:rsid w:val="00F9728D"/>
    <w:rsid w:val="00FA0886"/>
    <w:rsid w:val="00FA093B"/>
    <w:rsid w:val="00FA0A65"/>
    <w:rsid w:val="00FA1229"/>
    <w:rsid w:val="00FA1DD2"/>
    <w:rsid w:val="00FA2D24"/>
    <w:rsid w:val="00FA2D50"/>
    <w:rsid w:val="00FA2E70"/>
    <w:rsid w:val="00FA363F"/>
    <w:rsid w:val="00FA4E27"/>
    <w:rsid w:val="00FA533C"/>
    <w:rsid w:val="00FA59A4"/>
    <w:rsid w:val="00FA5A0D"/>
    <w:rsid w:val="00FA5E11"/>
    <w:rsid w:val="00FA5F5F"/>
    <w:rsid w:val="00FA5FE4"/>
    <w:rsid w:val="00FA66CF"/>
    <w:rsid w:val="00FA6718"/>
    <w:rsid w:val="00FA688A"/>
    <w:rsid w:val="00FA72C8"/>
    <w:rsid w:val="00FA785B"/>
    <w:rsid w:val="00FA7FDC"/>
    <w:rsid w:val="00FB0460"/>
    <w:rsid w:val="00FB29E7"/>
    <w:rsid w:val="00FB305A"/>
    <w:rsid w:val="00FB3751"/>
    <w:rsid w:val="00FB4F3B"/>
    <w:rsid w:val="00FB5AB5"/>
    <w:rsid w:val="00FB5B1B"/>
    <w:rsid w:val="00FB5DB7"/>
    <w:rsid w:val="00FB5FFC"/>
    <w:rsid w:val="00FB6CB0"/>
    <w:rsid w:val="00FC0226"/>
    <w:rsid w:val="00FC1DE7"/>
    <w:rsid w:val="00FC2B54"/>
    <w:rsid w:val="00FC3838"/>
    <w:rsid w:val="00FC48B5"/>
    <w:rsid w:val="00FC52AF"/>
    <w:rsid w:val="00FC5938"/>
    <w:rsid w:val="00FC5F98"/>
    <w:rsid w:val="00FC64DA"/>
    <w:rsid w:val="00FC69E4"/>
    <w:rsid w:val="00FC6B6A"/>
    <w:rsid w:val="00FC6C5F"/>
    <w:rsid w:val="00FD1BFE"/>
    <w:rsid w:val="00FD1D28"/>
    <w:rsid w:val="00FD2013"/>
    <w:rsid w:val="00FD24EF"/>
    <w:rsid w:val="00FD2C9A"/>
    <w:rsid w:val="00FD3495"/>
    <w:rsid w:val="00FD3986"/>
    <w:rsid w:val="00FD3EE6"/>
    <w:rsid w:val="00FD4B25"/>
    <w:rsid w:val="00FD5239"/>
    <w:rsid w:val="00FD5890"/>
    <w:rsid w:val="00FD5995"/>
    <w:rsid w:val="00FD5F3C"/>
    <w:rsid w:val="00FD67EF"/>
    <w:rsid w:val="00FD6817"/>
    <w:rsid w:val="00FD6FE1"/>
    <w:rsid w:val="00FD7161"/>
    <w:rsid w:val="00FD75A3"/>
    <w:rsid w:val="00FD7748"/>
    <w:rsid w:val="00FD7F39"/>
    <w:rsid w:val="00FE0440"/>
    <w:rsid w:val="00FE046D"/>
    <w:rsid w:val="00FE1643"/>
    <w:rsid w:val="00FE1EA4"/>
    <w:rsid w:val="00FE2497"/>
    <w:rsid w:val="00FE2E38"/>
    <w:rsid w:val="00FE30C9"/>
    <w:rsid w:val="00FE35DF"/>
    <w:rsid w:val="00FE3AE7"/>
    <w:rsid w:val="00FE3EC8"/>
    <w:rsid w:val="00FE401A"/>
    <w:rsid w:val="00FE41DA"/>
    <w:rsid w:val="00FE43E1"/>
    <w:rsid w:val="00FE45F4"/>
    <w:rsid w:val="00FE4740"/>
    <w:rsid w:val="00FE5C73"/>
    <w:rsid w:val="00FE64F6"/>
    <w:rsid w:val="00FE6BB3"/>
    <w:rsid w:val="00FF0B30"/>
    <w:rsid w:val="00FF11AD"/>
    <w:rsid w:val="00FF1D87"/>
    <w:rsid w:val="00FF1EF7"/>
    <w:rsid w:val="00FF2A12"/>
    <w:rsid w:val="00FF30FC"/>
    <w:rsid w:val="00FF36C1"/>
    <w:rsid w:val="00FF3B7A"/>
    <w:rsid w:val="00FF503B"/>
    <w:rsid w:val="00FF58A1"/>
    <w:rsid w:val="00FF65FA"/>
    <w:rsid w:val="00FF7D5B"/>
    <w:rsid w:val="00FF7E15"/>
    <w:rsid w:val="00FF7F35"/>
    <w:rsid w:val="01034D02"/>
    <w:rsid w:val="011A751F"/>
    <w:rsid w:val="01243CE6"/>
    <w:rsid w:val="012454B7"/>
    <w:rsid w:val="01245DB0"/>
    <w:rsid w:val="01442ECE"/>
    <w:rsid w:val="014F6A36"/>
    <w:rsid w:val="01546A41"/>
    <w:rsid w:val="016E23F7"/>
    <w:rsid w:val="0172429B"/>
    <w:rsid w:val="01810E9D"/>
    <w:rsid w:val="019554AA"/>
    <w:rsid w:val="019C0261"/>
    <w:rsid w:val="019C2BC4"/>
    <w:rsid w:val="01AC5443"/>
    <w:rsid w:val="01BC12A7"/>
    <w:rsid w:val="01C82BEB"/>
    <w:rsid w:val="01DF6306"/>
    <w:rsid w:val="021C0C5C"/>
    <w:rsid w:val="023D23C0"/>
    <w:rsid w:val="02477AA4"/>
    <w:rsid w:val="024E3459"/>
    <w:rsid w:val="02503D1B"/>
    <w:rsid w:val="025E00EA"/>
    <w:rsid w:val="02616143"/>
    <w:rsid w:val="02630D9D"/>
    <w:rsid w:val="02653282"/>
    <w:rsid w:val="02660711"/>
    <w:rsid w:val="028040F6"/>
    <w:rsid w:val="028E6E76"/>
    <w:rsid w:val="02916D93"/>
    <w:rsid w:val="0293784C"/>
    <w:rsid w:val="029B73F8"/>
    <w:rsid w:val="02A23F87"/>
    <w:rsid w:val="02E33F28"/>
    <w:rsid w:val="030148E5"/>
    <w:rsid w:val="03084869"/>
    <w:rsid w:val="032312D1"/>
    <w:rsid w:val="032562CB"/>
    <w:rsid w:val="035401D4"/>
    <w:rsid w:val="036E3A8E"/>
    <w:rsid w:val="038927F1"/>
    <w:rsid w:val="03A500D7"/>
    <w:rsid w:val="03D9437E"/>
    <w:rsid w:val="03DF0EF1"/>
    <w:rsid w:val="04003073"/>
    <w:rsid w:val="0403114C"/>
    <w:rsid w:val="040A192E"/>
    <w:rsid w:val="040C4DDD"/>
    <w:rsid w:val="040D099C"/>
    <w:rsid w:val="040D5816"/>
    <w:rsid w:val="044676A3"/>
    <w:rsid w:val="046861CE"/>
    <w:rsid w:val="04E64093"/>
    <w:rsid w:val="04E96993"/>
    <w:rsid w:val="04ED0C0F"/>
    <w:rsid w:val="04F55A3E"/>
    <w:rsid w:val="050815F3"/>
    <w:rsid w:val="05250D8E"/>
    <w:rsid w:val="0538218E"/>
    <w:rsid w:val="054D555E"/>
    <w:rsid w:val="05544647"/>
    <w:rsid w:val="05844A30"/>
    <w:rsid w:val="05943D02"/>
    <w:rsid w:val="05AC7961"/>
    <w:rsid w:val="05AF5F0F"/>
    <w:rsid w:val="05C73926"/>
    <w:rsid w:val="05CB653C"/>
    <w:rsid w:val="05D16461"/>
    <w:rsid w:val="05E31266"/>
    <w:rsid w:val="05E52AF9"/>
    <w:rsid w:val="060B719B"/>
    <w:rsid w:val="06501972"/>
    <w:rsid w:val="06B74660"/>
    <w:rsid w:val="06C5084A"/>
    <w:rsid w:val="06C9660C"/>
    <w:rsid w:val="06E35616"/>
    <w:rsid w:val="06FC047C"/>
    <w:rsid w:val="07001626"/>
    <w:rsid w:val="070B7138"/>
    <w:rsid w:val="0714340E"/>
    <w:rsid w:val="07432115"/>
    <w:rsid w:val="07442E54"/>
    <w:rsid w:val="075457AE"/>
    <w:rsid w:val="077C51B8"/>
    <w:rsid w:val="078E108D"/>
    <w:rsid w:val="07AB7EF4"/>
    <w:rsid w:val="07B21193"/>
    <w:rsid w:val="07BF4A22"/>
    <w:rsid w:val="07BF5173"/>
    <w:rsid w:val="07EC3429"/>
    <w:rsid w:val="081047ED"/>
    <w:rsid w:val="082D4C43"/>
    <w:rsid w:val="083F7339"/>
    <w:rsid w:val="08515102"/>
    <w:rsid w:val="08847C55"/>
    <w:rsid w:val="088D0DFF"/>
    <w:rsid w:val="08A62B8B"/>
    <w:rsid w:val="08CE6B58"/>
    <w:rsid w:val="08EB617F"/>
    <w:rsid w:val="08EF6B0E"/>
    <w:rsid w:val="08F56471"/>
    <w:rsid w:val="08FD701F"/>
    <w:rsid w:val="09031CB7"/>
    <w:rsid w:val="09043365"/>
    <w:rsid w:val="093857A2"/>
    <w:rsid w:val="095411FB"/>
    <w:rsid w:val="095B2AC3"/>
    <w:rsid w:val="0974192E"/>
    <w:rsid w:val="09B23E70"/>
    <w:rsid w:val="09BC5106"/>
    <w:rsid w:val="09BC5D3C"/>
    <w:rsid w:val="09D762CC"/>
    <w:rsid w:val="09DC652A"/>
    <w:rsid w:val="09DD45D1"/>
    <w:rsid w:val="09E9396A"/>
    <w:rsid w:val="09F16B16"/>
    <w:rsid w:val="0A060303"/>
    <w:rsid w:val="0A0E57A0"/>
    <w:rsid w:val="0A1003A6"/>
    <w:rsid w:val="0A1B5BD1"/>
    <w:rsid w:val="0A1D1D6F"/>
    <w:rsid w:val="0A1E5DAF"/>
    <w:rsid w:val="0A291562"/>
    <w:rsid w:val="0A4769F1"/>
    <w:rsid w:val="0A537636"/>
    <w:rsid w:val="0A90073E"/>
    <w:rsid w:val="0A901D37"/>
    <w:rsid w:val="0AB24E89"/>
    <w:rsid w:val="0AE13C08"/>
    <w:rsid w:val="0B0170DB"/>
    <w:rsid w:val="0B160C78"/>
    <w:rsid w:val="0B195DF0"/>
    <w:rsid w:val="0B1F4D0A"/>
    <w:rsid w:val="0B2E197D"/>
    <w:rsid w:val="0B2E1EE3"/>
    <w:rsid w:val="0B4A1261"/>
    <w:rsid w:val="0B4F5DE8"/>
    <w:rsid w:val="0B64481C"/>
    <w:rsid w:val="0B6C3391"/>
    <w:rsid w:val="0B6E4B10"/>
    <w:rsid w:val="0B7636CB"/>
    <w:rsid w:val="0B967853"/>
    <w:rsid w:val="0BD33B97"/>
    <w:rsid w:val="0BD527E3"/>
    <w:rsid w:val="0C0166A0"/>
    <w:rsid w:val="0C1026E0"/>
    <w:rsid w:val="0C271A03"/>
    <w:rsid w:val="0C2E107C"/>
    <w:rsid w:val="0C384071"/>
    <w:rsid w:val="0C592053"/>
    <w:rsid w:val="0C6B2F96"/>
    <w:rsid w:val="0C9320DF"/>
    <w:rsid w:val="0CA2124D"/>
    <w:rsid w:val="0CB40295"/>
    <w:rsid w:val="0CBC35E6"/>
    <w:rsid w:val="0CC24A83"/>
    <w:rsid w:val="0CC77CAA"/>
    <w:rsid w:val="0CCA023D"/>
    <w:rsid w:val="0D083153"/>
    <w:rsid w:val="0D1F715B"/>
    <w:rsid w:val="0D232B2B"/>
    <w:rsid w:val="0D2B12A4"/>
    <w:rsid w:val="0D455C40"/>
    <w:rsid w:val="0D4D2714"/>
    <w:rsid w:val="0D6276C5"/>
    <w:rsid w:val="0D686558"/>
    <w:rsid w:val="0D713C1D"/>
    <w:rsid w:val="0D7479FA"/>
    <w:rsid w:val="0D752F27"/>
    <w:rsid w:val="0D8D3A0B"/>
    <w:rsid w:val="0DA74C65"/>
    <w:rsid w:val="0DAA5139"/>
    <w:rsid w:val="0DB727BE"/>
    <w:rsid w:val="0DC14681"/>
    <w:rsid w:val="0DCC37EF"/>
    <w:rsid w:val="0DCF7E01"/>
    <w:rsid w:val="0DE0098A"/>
    <w:rsid w:val="0DE43687"/>
    <w:rsid w:val="0E1C5648"/>
    <w:rsid w:val="0E21719B"/>
    <w:rsid w:val="0E466C95"/>
    <w:rsid w:val="0E5475EB"/>
    <w:rsid w:val="0E641176"/>
    <w:rsid w:val="0E6640CB"/>
    <w:rsid w:val="0E6C7FE6"/>
    <w:rsid w:val="0E7718C0"/>
    <w:rsid w:val="0E7811DB"/>
    <w:rsid w:val="0E8F19C7"/>
    <w:rsid w:val="0E9754ED"/>
    <w:rsid w:val="0EAA5CBF"/>
    <w:rsid w:val="0EAC6846"/>
    <w:rsid w:val="0EB342E1"/>
    <w:rsid w:val="0EB54AC2"/>
    <w:rsid w:val="0EE07615"/>
    <w:rsid w:val="0EF86840"/>
    <w:rsid w:val="0F1822D3"/>
    <w:rsid w:val="0F2F206B"/>
    <w:rsid w:val="0F363E77"/>
    <w:rsid w:val="0F416DC2"/>
    <w:rsid w:val="0F553054"/>
    <w:rsid w:val="0F62773C"/>
    <w:rsid w:val="0F690307"/>
    <w:rsid w:val="0F7353B1"/>
    <w:rsid w:val="0F751DDA"/>
    <w:rsid w:val="0F7C6672"/>
    <w:rsid w:val="0F9C762D"/>
    <w:rsid w:val="0FC13517"/>
    <w:rsid w:val="0FC62081"/>
    <w:rsid w:val="10006362"/>
    <w:rsid w:val="101D7FDA"/>
    <w:rsid w:val="1048414D"/>
    <w:rsid w:val="10503C95"/>
    <w:rsid w:val="10530674"/>
    <w:rsid w:val="106A6E38"/>
    <w:rsid w:val="10821CFE"/>
    <w:rsid w:val="10855414"/>
    <w:rsid w:val="10905BCA"/>
    <w:rsid w:val="10993A3E"/>
    <w:rsid w:val="10A46DBC"/>
    <w:rsid w:val="10C322D0"/>
    <w:rsid w:val="10F03795"/>
    <w:rsid w:val="10F5177D"/>
    <w:rsid w:val="10F8272B"/>
    <w:rsid w:val="1103547C"/>
    <w:rsid w:val="110F5A7A"/>
    <w:rsid w:val="11192F04"/>
    <w:rsid w:val="11210C48"/>
    <w:rsid w:val="1142097D"/>
    <w:rsid w:val="11600E68"/>
    <w:rsid w:val="116C7675"/>
    <w:rsid w:val="118D3983"/>
    <w:rsid w:val="11A523DF"/>
    <w:rsid w:val="11B070D7"/>
    <w:rsid w:val="11BC5907"/>
    <w:rsid w:val="11BC6D48"/>
    <w:rsid w:val="11C16BCC"/>
    <w:rsid w:val="11C663D4"/>
    <w:rsid w:val="11CE1CD9"/>
    <w:rsid w:val="11E11259"/>
    <w:rsid w:val="1211316A"/>
    <w:rsid w:val="122A6386"/>
    <w:rsid w:val="12447096"/>
    <w:rsid w:val="124E072B"/>
    <w:rsid w:val="124F3A6B"/>
    <w:rsid w:val="127E6D12"/>
    <w:rsid w:val="1285325D"/>
    <w:rsid w:val="128E365F"/>
    <w:rsid w:val="129C2C19"/>
    <w:rsid w:val="12A636A6"/>
    <w:rsid w:val="12AD2D53"/>
    <w:rsid w:val="12AE29BA"/>
    <w:rsid w:val="12DA7079"/>
    <w:rsid w:val="12F148C1"/>
    <w:rsid w:val="12F7139C"/>
    <w:rsid w:val="12F84DE1"/>
    <w:rsid w:val="130A5565"/>
    <w:rsid w:val="130D53BF"/>
    <w:rsid w:val="132212B4"/>
    <w:rsid w:val="13254BB1"/>
    <w:rsid w:val="133A6830"/>
    <w:rsid w:val="133F09E8"/>
    <w:rsid w:val="134055AB"/>
    <w:rsid w:val="134455E2"/>
    <w:rsid w:val="134D7FF0"/>
    <w:rsid w:val="135D201C"/>
    <w:rsid w:val="135D5090"/>
    <w:rsid w:val="138172ED"/>
    <w:rsid w:val="13892F49"/>
    <w:rsid w:val="13AC6427"/>
    <w:rsid w:val="13BF40B0"/>
    <w:rsid w:val="13C64668"/>
    <w:rsid w:val="13D8123D"/>
    <w:rsid w:val="140F6EE1"/>
    <w:rsid w:val="1414687C"/>
    <w:rsid w:val="142A6E33"/>
    <w:rsid w:val="143B51C9"/>
    <w:rsid w:val="144A5B4A"/>
    <w:rsid w:val="145E245A"/>
    <w:rsid w:val="146A0781"/>
    <w:rsid w:val="14903607"/>
    <w:rsid w:val="149D071E"/>
    <w:rsid w:val="14A53CB5"/>
    <w:rsid w:val="14AB466B"/>
    <w:rsid w:val="14AE45F8"/>
    <w:rsid w:val="14B27A93"/>
    <w:rsid w:val="14BD00B4"/>
    <w:rsid w:val="14C8735E"/>
    <w:rsid w:val="14EE2F7A"/>
    <w:rsid w:val="14F40B6C"/>
    <w:rsid w:val="1501009B"/>
    <w:rsid w:val="15096E6F"/>
    <w:rsid w:val="151756EA"/>
    <w:rsid w:val="15295890"/>
    <w:rsid w:val="15405FD5"/>
    <w:rsid w:val="154C37A1"/>
    <w:rsid w:val="15553CB8"/>
    <w:rsid w:val="155B408D"/>
    <w:rsid w:val="155C0869"/>
    <w:rsid w:val="156B5BEE"/>
    <w:rsid w:val="15702F92"/>
    <w:rsid w:val="15757C2A"/>
    <w:rsid w:val="157E0445"/>
    <w:rsid w:val="159078EC"/>
    <w:rsid w:val="15A603FA"/>
    <w:rsid w:val="15B148D0"/>
    <w:rsid w:val="15B74F86"/>
    <w:rsid w:val="15C72973"/>
    <w:rsid w:val="15D82365"/>
    <w:rsid w:val="15EE6945"/>
    <w:rsid w:val="162301EB"/>
    <w:rsid w:val="162C4819"/>
    <w:rsid w:val="165C20EF"/>
    <w:rsid w:val="165C272F"/>
    <w:rsid w:val="166077FD"/>
    <w:rsid w:val="16780376"/>
    <w:rsid w:val="167A0878"/>
    <w:rsid w:val="16874D78"/>
    <w:rsid w:val="16A762C9"/>
    <w:rsid w:val="16AE545C"/>
    <w:rsid w:val="16E569AF"/>
    <w:rsid w:val="16FE0D35"/>
    <w:rsid w:val="17363A18"/>
    <w:rsid w:val="17571812"/>
    <w:rsid w:val="17656C3E"/>
    <w:rsid w:val="176A057F"/>
    <w:rsid w:val="17751E5F"/>
    <w:rsid w:val="17AC77F2"/>
    <w:rsid w:val="17BB7EE9"/>
    <w:rsid w:val="17C30A8E"/>
    <w:rsid w:val="17C556C9"/>
    <w:rsid w:val="17F3061C"/>
    <w:rsid w:val="18002519"/>
    <w:rsid w:val="18027E20"/>
    <w:rsid w:val="18277D51"/>
    <w:rsid w:val="18323C5E"/>
    <w:rsid w:val="18332270"/>
    <w:rsid w:val="18400665"/>
    <w:rsid w:val="18554C39"/>
    <w:rsid w:val="18643D10"/>
    <w:rsid w:val="18654358"/>
    <w:rsid w:val="186C70CD"/>
    <w:rsid w:val="187B46D5"/>
    <w:rsid w:val="187D07CD"/>
    <w:rsid w:val="189D540A"/>
    <w:rsid w:val="18A02605"/>
    <w:rsid w:val="18E23EA3"/>
    <w:rsid w:val="190A6FA4"/>
    <w:rsid w:val="19133767"/>
    <w:rsid w:val="193B6903"/>
    <w:rsid w:val="194425D2"/>
    <w:rsid w:val="196D0E74"/>
    <w:rsid w:val="198A561C"/>
    <w:rsid w:val="198B718E"/>
    <w:rsid w:val="19DF7A0D"/>
    <w:rsid w:val="19E4422E"/>
    <w:rsid w:val="19FF1FFB"/>
    <w:rsid w:val="1A022653"/>
    <w:rsid w:val="1A1651BD"/>
    <w:rsid w:val="1A281EF6"/>
    <w:rsid w:val="1A46692E"/>
    <w:rsid w:val="1A5B2751"/>
    <w:rsid w:val="1B1F149E"/>
    <w:rsid w:val="1B2143B9"/>
    <w:rsid w:val="1B2A67D9"/>
    <w:rsid w:val="1B3765A4"/>
    <w:rsid w:val="1B3870B8"/>
    <w:rsid w:val="1B724132"/>
    <w:rsid w:val="1B893BC2"/>
    <w:rsid w:val="1B8E27E0"/>
    <w:rsid w:val="1B987B65"/>
    <w:rsid w:val="1BAF4C56"/>
    <w:rsid w:val="1BC157A8"/>
    <w:rsid w:val="1BCB083A"/>
    <w:rsid w:val="1BDC109F"/>
    <w:rsid w:val="1BF063BB"/>
    <w:rsid w:val="1C1C7CF7"/>
    <w:rsid w:val="1C256D2C"/>
    <w:rsid w:val="1C376E3F"/>
    <w:rsid w:val="1C4F0EF2"/>
    <w:rsid w:val="1C5F0E77"/>
    <w:rsid w:val="1C6D1CE4"/>
    <w:rsid w:val="1C71379F"/>
    <w:rsid w:val="1C7A7EF3"/>
    <w:rsid w:val="1C842EDE"/>
    <w:rsid w:val="1C937308"/>
    <w:rsid w:val="1CB731AA"/>
    <w:rsid w:val="1CDD20C6"/>
    <w:rsid w:val="1CF300FA"/>
    <w:rsid w:val="1D2E2487"/>
    <w:rsid w:val="1D4F3A3D"/>
    <w:rsid w:val="1D532BBD"/>
    <w:rsid w:val="1D5A28F8"/>
    <w:rsid w:val="1D9E1CE4"/>
    <w:rsid w:val="1D9E5BCB"/>
    <w:rsid w:val="1DA87F98"/>
    <w:rsid w:val="1DAE3226"/>
    <w:rsid w:val="1DB92966"/>
    <w:rsid w:val="1DB95BAB"/>
    <w:rsid w:val="1DF34D81"/>
    <w:rsid w:val="1DF947BC"/>
    <w:rsid w:val="1E040DBD"/>
    <w:rsid w:val="1E041089"/>
    <w:rsid w:val="1E045F74"/>
    <w:rsid w:val="1E075230"/>
    <w:rsid w:val="1E09765C"/>
    <w:rsid w:val="1E0D7AE8"/>
    <w:rsid w:val="1E107460"/>
    <w:rsid w:val="1E2747DB"/>
    <w:rsid w:val="1E35400B"/>
    <w:rsid w:val="1E3A1A42"/>
    <w:rsid w:val="1E407891"/>
    <w:rsid w:val="1E5D2D07"/>
    <w:rsid w:val="1E7523B4"/>
    <w:rsid w:val="1ED042EB"/>
    <w:rsid w:val="1EF04F4B"/>
    <w:rsid w:val="1F0125D7"/>
    <w:rsid w:val="1F1267DE"/>
    <w:rsid w:val="1F1B5F1D"/>
    <w:rsid w:val="1F264F1D"/>
    <w:rsid w:val="1F33153A"/>
    <w:rsid w:val="1F3C1378"/>
    <w:rsid w:val="1F666D69"/>
    <w:rsid w:val="1F8515BC"/>
    <w:rsid w:val="1F9413E5"/>
    <w:rsid w:val="1F9853FD"/>
    <w:rsid w:val="1FB3383B"/>
    <w:rsid w:val="1FDA45E7"/>
    <w:rsid w:val="1FF709AC"/>
    <w:rsid w:val="1FFA7B94"/>
    <w:rsid w:val="201B5417"/>
    <w:rsid w:val="202F4181"/>
    <w:rsid w:val="20333C7B"/>
    <w:rsid w:val="203D396E"/>
    <w:rsid w:val="206B27A7"/>
    <w:rsid w:val="207D733C"/>
    <w:rsid w:val="208660F2"/>
    <w:rsid w:val="20A67478"/>
    <w:rsid w:val="20B20514"/>
    <w:rsid w:val="20F17364"/>
    <w:rsid w:val="21006088"/>
    <w:rsid w:val="21067B19"/>
    <w:rsid w:val="210D104C"/>
    <w:rsid w:val="21273743"/>
    <w:rsid w:val="212B70EF"/>
    <w:rsid w:val="216331C7"/>
    <w:rsid w:val="2167189C"/>
    <w:rsid w:val="2169767E"/>
    <w:rsid w:val="216B32FF"/>
    <w:rsid w:val="216D638C"/>
    <w:rsid w:val="218E797D"/>
    <w:rsid w:val="219F0363"/>
    <w:rsid w:val="21BC7911"/>
    <w:rsid w:val="21C200C7"/>
    <w:rsid w:val="21C75EE1"/>
    <w:rsid w:val="21CD323F"/>
    <w:rsid w:val="21D273A1"/>
    <w:rsid w:val="21E512AE"/>
    <w:rsid w:val="21F35C58"/>
    <w:rsid w:val="2208090C"/>
    <w:rsid w:val="220F2AA0"/>
    <w:rsid w:val="22571D7A"/>
    <w:rsid w:val="22593391"/>
    <w:rsid w:val="226736B3"/>
    <w:rsid w:val="22705B74"/>
    <w:rsid w:val="227B3186"/>
    <w:rsid w:val="227B69CC"/>
    <w:rsid w:val="2283594E"/>
    <w:rsid w:val="22921901"/>
    <w:rsid w:val="22D2781A"/>
    <w:rsid w:val="22E256F2"/>
    <w:rsid w:val="23295064"/>
    <w:rsid w:val="2349140E"/>
    <w:rsid w:val="237972C8"/>
    <w:rsid w:val="23891162"/>
    <w:rsid w:val="23982EF6"/>
    <w:rsid w:val="23DE5A00"/>
    <w:rsid w:val="240B61DE"/>
    <w:rsid w:val="24235B9D"/>
    <w:rsid w:val="24372082"/>
    <w:rsid w:val="243F5194"/>
    <w:rsid w:val="245E714F"/>
    <w:rsid w:val="246156BB"/>
    <w:rsid w:val="24726C31"/>
    <w:rsid w:val="24764CDB"/>
    <w:rsid w:val="247A5D4B"/>
    <w:rsid w:val="247B0A79"/>
    <w:rsid w:val="248A3E96"/>
    <w:rsid w:val="24940DF6"/>
    <w:rsid w:val="24A74D11"/>
    <w:rsid w:val="24B76E26"/>
    <w:rsid w:val="24F12B8D"/>
    <w:rsid w:val="24FC750C"/>
    <w:rsid w:val="25051822"/>
    <w:rsid w:val="251C7F06"/>
    <w:rsid w:val="25217061"/>
    <w:rsid w:val="254A30C8"/>
    <w:rsid w:val="2556128A"/>
    <w:rsid w:val="25610374"/>
    <w:rsid w:val="256D4C09"/>
    <w:rsid w:val="25785A31"/>
    <w:rsid w:val="25920515"/>
    <w:rsid w:val="25CD2F17"/>
    <w:rsid w:val="25DC6F60"/>
    <w:rsid w:val="260C3DF6"/>
    <w:rsid w:val="260D371E"/>
    <w:rsid w:val="26153106"/>
    <w:rsid w:val="263005E4"/>
    <w:rsid w:val="26334285"/>
    <w:rsid w:val="263A257C"/>
    <w:rsid w:val="263F1806"/>
    <w:rsid w:val="266E4B08"/>
    <w:rsid w:val="26863384"/>
    <w:rsid w:val="26982F96"/>
    <w:rsid w:val="26B66699"/>
    <w:rsid w:val="27227FF7"/>
    <w:rsid w:val="27334D9E"/>
    <w:rsid w:val="273E1DFC"/>
    <w:rsid w:val="276C103D"/>
    <w:rsid w:val="27911EF1"/>
    <w:rsid w:val="27BF32E5"/>
    <w:rsid w:val="27C74AE6"/>
    <w:rsid w:val="27C84F32"/>
    <w:rsid w:val="27CC3B49"/>
    <w:rsid w:val="27CE5587"/>
    <w:rsid w:val="27F57374"/>
    <w:rsid w:val="28295D71"/>
    <w:rsid w:val="28346A02"/>
    <w:rsid w:val="28491D52"/>
    <w:rsid w:val="285F3B6A"/>
    <w:rsid w:val="286F3456"/>
    <w:rsid w:val="287B1A5A"/>
    <w:rsid w:val="288E64BA"/>
    <w:rsid w:val="28981133"/>
    <w:rsid w:val="289C085B"/>
    <w:rsid w:val="28A044AB"/>
    <w:rsid w:val="28A14B7D"/>
    <w:rsid w:val="28A20CD9"/>
    <w:rsid w:val="28A35025"/>
    <w:rsid w:val="28A65C7D"/>
    <w:rsid w:val="28A8288F"/>
    <w:rsid w:val="28AF6CC9"/>
    <w:rsid w:val="28B616EB"/>
    <w:rsid w:val="28B619B6"/>
    <w:rsid w:val="28B77466"/>
    <w:rsid w:val="28CF36FE"/>
    <w:rsid w:val="28DA5F72"/>
    <w:rsid w:val="28E20E1B"/>
    <w:rsid w:val="29211AEB"/>
    <w:rsid w:val="29211BEC"/>
    <w:rsid w:val="2944627B"/>
    <w:rsid w:val="295255DB"/>
    <w:rsid w:val="29551EDA"/>
    <w:rsid w:val="296A6502"/>
    <w:rsid w:val="297138B0"/>
    <w:rsid w:val="297F7CE6"/>
    <w:rsid w:val="29924C10"/>
    <w:rsid w:val="29975ACF"/>
    <w:rsid w:val="29CF7680"/>
    <w:rsid w:val="29D8063D"/>
    <w:rsid w:val="29E962DA"/>
    <w:rsid w:val="2A0E7B18"/>
    <w:rsid w:val="2A1D076C"/>
    <w:rsid w:val="2A26736B"/>
    <w:rsid w:val="2A2C4435"/>
    <w:rsid w:val="2A2F78A6"/>
    <w:rsid w:val="2A303000"/>
    <w:rsid w:val="2A322D76"/>
    <w:rsid w:val="2A490E3F"/>
    <w:rsid w:val="2A5C5F63"/>
    <w:rsid w:val="2A6433E2"/>
    <w:rsid w:val="2A991308"/>
    <w:rsid w:val="2A9C266E"/>
    <w:rsid w:val="2AA7100E"/>
    <w:rsid w:val="2AC30CCF"/>
    <w:rsid w:val="2AC654ED"/>
    <w:rsid w:val="2AC72558"/>
    <w:rsid w:val="2AE20A4E"/>
    <w:rsid w:val="2AE62095"/>
    <w:rsid w:val="2B0457D5"/>
    <w:rsid w:val="2B0666B4"/>
    <w:rsid w:val="2B4415F5"/>
    <w:rsid w:val="2B593EE8"/>
    <w:rsid w:val="2B602D9D"/>
    <w:rsid w:val="2B647FCA"/>
    <w:rsid w:val="2B8B5783"/>
    <w:rsid w:val="2B954F1E"/>
    <w:rsid w:val="2BC77683"/>
    <w:rsid w:val="2BCE12EB"/>
    <w:rsid w:val="2BD94FE6"/>
    <w:rsid w:val="2C082C39"/>
    <w:rsid w:val="2C294E19"/>
    <w:rsid w:val="2C465CA8"/>
    <w:rsid w:val="2C606AD2"/>
    <w:rsid w:val="2C784FAD"/>
    <w:rsid w:val="2C853080"/>
    <w:rsid w:val="2CC80F9E"/>
    <w:rsid w:val="2CD30319"/>
    <w:rsid w:val="2CD71293"/>
    <w:rsid w:val="2CF4068F"/>
    <w:rsid w:val="2CFF5D22"/>
    <w:rsid w:val="2D0A31C2"/>
    <w:rsid w:val="2D105B73"/>
    <w:rsid w:val="2D1A6ADA"/>
    <w:rsid w:val="2D494E21"/>
    <w:rsid w:val="2D5F4229"/>
    <w:rsid w:val="2D786D21"/>
    <w:rsid w:val="2D9D5B55"/>
    <w:rsid w:val="2D9E61CF"/>
    <w:rsid w:val="2DA0081D"/>
    <w:rsid w:val="2DBC459C"/>
    <w:rsid w:val="2DC90772"/>
    <w:rsid w:val="2DD51900"/>
    <w:rsid w:val="2E1B7134"/>
    <w:rsid w:val="2E2C130E"/>
    <w:rsid w:val="2E324F29"/>
    <w:rsid w:val="2E35703E"/>
    <w:rsid w:val="2E4A07A6"/>
    <w:rsid w:val="2E4C2967"/>
    <w:rsid w:val="2E832E42"/>
    <w:rsid w:val="2E857CDF"/>
    <w:rsid w:val="2E8C4A69"/>
    <w:rsid w:val="2E8F13D7"/>
    <w:rsid w:val="2E9F2873"/>
    <w:rsid w:val="2EA338C8"/>
    <w:rsid w:val="2EE55263"/>
    <w:rsid w:val="2EF339C1"/>
    <w:rsid w:val="2EFA1020"/>
    <w:rsid w:val="2F165416"/>
    <w:rsid w:val="2F3229CD"/>
    <w:rsid w:val="2F424516"/>
    <w:rsid w:val="2F44013E"/>
    <w:rsid w:val="2F6C2D32"/>
    <w:rsid w:val="2F974607"/>
    <w:rsid w:val="2FAF6281"/>
    <w:rsid w:val="2FBD79AA"/>
    <w:rsid w:val="2FBF0F73"/>
    <w:rsid w:val="2FC61085"/>
    <w:rsid w:val="2FC85EB0"/>
    <w:rsid w:val="2FEC3DE9"/>
    <w:rsid w:val="2FF86874"/>
    <w:rsid w:val="30060374"/>
    <w:rsid w:val="302E484B"/>
    <w:rsid w:val="30337753"/>
    <w:rsid w:val="3038202C"/>
    <w:rsid w:val="304D6D21"/>
    <w:rsid w:val="30525CC9"/>
    <w:rsid w:val="30780FD7"/>
    <w:rsid w:val="30FB5C26"/>
    <w:rsid w:val="30FD5B61"/>
    <w:rsid w:val="310F3655"/>
    <w:rsid w:val="312C0E05"/>
    <w:rsid w:val="312D4E69"/>
    <w:rsid w:val="314B29C9"/>
    <w:rsid w:val="3162018E"/>
    <w:rsid w:val="31752B28"/>
    <w:rsid w:val="319F61D1"/>
    <w:rsid w:val="31BA6FFC"/>
    <w:rsid w:val="31BE56D3"/>
    <w:rsid w:val="31C3446B"/>
    <w:rsid w:val="31D438C4"/>
    <w:rsid w:val="31D51CDE"/>
    <w:rsid w:val="31F72672"/>
    <w:rsid w:val="32244C52"/>
    <w:rsid w:val="3228304D"/>
    <w:rsid w:val="32390D82"/>
    <w:rsid w:val="324C2E51"/>
    <w:rsid w:val="324F3C26"/>
    <w:rsid w:val="325E1399"/>
    <w:rsid w:val="3278180A"/>
    <w:rsid w:val="327D21B6"/>
    <w:rsid w:val="329B2F96"/>
    <w:rsid w:val="32C04E89"/>
    <w:rsid w:val="32E04AB3"/>
    <w:rsid w:val="32FB2653"/>
    <w:rsid w:val="331E6CDF"/>
    <w:rsid w:val="33342177"/>
    <w:rsid w:val="333642EE"/>
    <w:rsid w:val="33442A1F"/>
    <w:rsid w:val="334843CC"/>
    <w:rsid w:val="335429AE"/>
    <w:rsid w:val="33583BA1"/>
    <w:rsid w:val="335C3D77"/>
    <w:rsid w:val="33750B47"/>
    <w:rsid w:val="337817EB"/>
    <w:rsid w:val="33795913"/>
    <w:rsid w:val="33891FAE"/>
    <w:rsid w:val="33A629A3"/>
    <w:rsid w:val="33A630DF"/>
    <w:rsid w:val="33C17B32"/>
    <w:rsid w:val="33D067F5"/>
    <w:rsid w:val="33EC33A4"/>
    <w:rsid w:val="340550D6"/>
    <w:rsid w:val="34243371"/>
    <w:rsid w:val="34267879"/>
    <w:rsid w:val="34331903"/>
    <w:rsid w:val="343B65A8"/>
    <w:rsid w:val="343D082E"/>
    <w:rsid w:val="34413FAB"/>
    <w:rsid w:val="345D0D26"/>
    <w:rsid w:val="34645F80"/>
    <w:rsid w:val="3465440B"/>
    <w:rsid w:val="34697F21"/>
    <w:rsid w:val="348014DE"/>
    <w:rsid w:val="34820943"/>
    <w:rsid w:val="34B6336E"/>
    <w:rsid w:val="34BD542E"/>
    <w:rsid w:val="34C15E02"/>
    <w:rsid w:val="34DE4111"/>
    <w:rsid w:val="350450DF"/>
    <w:rsid w:val="350D6D41"/>
    <w:rsid w:val="351627AA"/>
    <w:rsid w:val="351C3790"/>
    <w:rsid w:val="35225CD6"/>
    <w:rsid w:val="352A76F1"/>
    <w:rsid w:val="35322D35"/>
    <w:rsid w:val="355B32F6"/>
    <w:rsid w:val="356544B4"/>
    <w:rsid w:val="35781CEA"/>
    <w:rsid w:val="35A33A8A"/>
    <w:rsid w:val="35B91580"/>
    <w:rsid w:val="360C243B"/>
    <w:rsid w:val="36214046"/>
    <w:rsid w:val="36241F2D"/>
    <w:rsid w:val="3674761B"/>
    <w:rsid w:val="3687716A"/>
    <w:rsid w:val="36967E99"/>
    <w:rsid w:val="36B10910"/>
    <w:rsid w:val="36B5092C"/>
    <w:rsid w:val="36CB2E7E"/>
    <w:rsid w:val="36CC6817"/>
    <w:rsid w:val="36D67DD7"/>
    <w:rsid w:val="36DE2DB5"/>
    <w:rsid w:val="36E07416"/>
    <w:rsid w:val="36E3349F"/>
    <w:rsid w:val="36F646F2"/>
    <w:rsid w:val="3707147C"/>
    <w:rsid w:val="37425EB3"/>
    <w:rsid w:val="375C7A54"/>
    <w:rsid w:val="375F1481"/>
    <w:rsid w:val="375F4AE7"/>
    <w:rsid w:val="37821C2E"/>
    <w:rsid w:val="37991FFC"/>
    <w:rsid w:val="37A6239F"/>
    <w:rsid w:val="37B91CA7"/>
    <w:rsid w:val="37D21655"/>
    <w:rsid w:val="37E1665C"/>
    <w:rsid w:val="37FE762A"/>
    <w:rsid w:val="380107CA"/>
    <w:rsid w:val="38035C76"/>
    <w:rsid w:val="384E128D"/>
    <w:rsid w:val="38613D6F"/>
    <w:rsid w:val="388A3943"/>
    <w:rsid w:val="38952072"/>
    <w:rsid w:val="38EB755C"/>
    <w:rsid w:val="390878B9"/>
    <w:rsid w:val="39134E9E"/>
    <w:rsid w:val="391A3B89"/>
    <w:rsid w:val="391B02C9"/>
    <w:rsid w:val="392969E1"/>
    <w:rsid w:val="392F0FDE"/>
    <w:rsid w:val="394329A9"/>
    <w:rsid w:val="394D6322"/>
    <w:rsid w:val="395E4B70"/>
    <w:rsid w:val="39890162"/>
    <w:rsid w:val="399F65A3"/>
    <w:rsid w:val="39A74334"/>
    <w:rsid w:val="39C62E82"/>
    <w:rsid w:val="39C7729B"/>
    <w:rsid w:val="39D900F8"/>
    <w:rsid w:val="39DF25C1"/>
    <w:rsid w:val="39E0674D"/>
    <w:rsid w:val="39F63B7A"/>
    <w:rsid w:val="3A167E07"/>
    <w:rsid w:val="3A1E008F"/>
    <w:rsid w:val="3A34069E"/>
    <w:rsid w:val="3A5A057C"/>
    <w:rsid w:val="3A611566"/>
    <w:rsid w:val="3A7032A3"/>
    <w:rsid w:val="3A8D05AF"/>
    <w:rsid w:val="3A9376B3"/>
    <w:rsid w:val="3A9B6632"/>
    <w:rsid w:val="3A9D76B3"/>
    <w:rsid w:val="3AA64F0C"/>
    <w:rsid w:val="3AB62735"/>
    <w:rsid w:val="3AC73699"/>
    <w:rsid w:val="3AD53BE1"/>
    <w:rsid w:val="3AD73220"/>
    <w:rsid w:val="3ADB71C6"/>
    <w:rsid w:val="3AED4D41"/>
    <w:rsid w:val="3AFE4118"/>
    <w:rsid w:val="3B233392"/>
    <w:rsid w:val="3B877640"/>
    <w:rsid w:val="3B8C4C5B"/>
    <w:rsid w:val="3B976F4A"/>
    <w:rsid w:val="3BBB1E7C"/>
    <w:rsid w:val="3BC0735E"/>
    <w:rsid w:val="3BD8240D"/>
    <w:rsid w:val="3C0B4595"/>
    <w:rsid w:val="3C167FA3"/>
    <w:rsid w:val="3C2618B0"/>
    <w:rsid w:val="3C31724C"/>
    <w:rsid w:val="3C5675DA"/>
    <w:rsid w:val="3C6315BA"/>
    <w:rsid w:val="3C7D25EF"/>
    <w:rsid w:val="3C854805"/>
    <w:rsid w:val="3C9153A4"/>
    <w:rsid w:val="3CC00CEB"/>
    <w:rsid w:val="3CE27FE6"/>
    <w:rsid w:val="3CE42394"/>
    <w:rsid w:val="3CE64C5E"/>
    <w:rsid w:val="3CEB3A6F"/>
    <w:rsid w:val="3CFB0455"/>
    <w:rsid w:val="3CFD140D"/>
    <w:rsid w:val="3CFE4B28"/>
    <w:rsid w:val="3D1E5871"/>
    <w:rsid w:val="3D35274B"/>
    <w:rsid w:val="3D586334"/>
    <w:rsid w:val="3D6A4B02"/>
    <w:rsid w:val="3DA82AEC"/>
    <w:rsid w:val="3DAF6919"/>
    <w:rsid w:val="3DCF7AC4"/>
    <w:rsid w:val="3DF1657B"/>
    <w:rsid w:val="3DF83727"/>
    <w:rsid w:val="3DFD1D87"/>
    <w:rsid w:val="3E044294"/>
    <w:rsid w:val="3E3D5E9A"/>
    <w:rsid w:val="3E4A7088"/>
    <w:rsid w:val="3E575668"/>
    <w:rsid w:val="3E7A4CE2"/>
    <w:rsid w:val="3EA6157F"/>
    <w:rsid w:val="3EB86B5E"/>
    <w:rsid w:val="3ED930FA"/>
    <w:rsid w:val="3EDF3750"/>
    <w:rsid w:val="3F017AD2"/>
    <w:rsid w:val="3F197D6E"/>
    <w:rsid w:val="3F2D12B9"/>
    <w:rsid w:val="3F325BEF"/>
    <w:rsid w:val="3F417D5B"/>
    <w:rsid w:val="3F422836"/>
    <w:rsid w:val="3F437BEF"/>
    <w:rsid w:val="3F574870"/>
    <w:rsid w:val="3F603BAD"/>
    <w:rsid w:val="3F84486E"/>
    <w:rsid w:val="3F9E22D6"/>
    <w:rsid w:val="3FA3327D"/>
    <w:rsid w:val="3FC917AB"/>
    <w:rsid w:val="3FE02069"/>
    <w:rsid w:val="3FE276BC"/>
    <w:rsid w:val="40396012"/>
    <w:rsid w:val="405728B6"/>
    <w:rsid w:val="405B613E"/>
    <w:rsid w:val="407C50C4"/>
    <w:rsid w:val="408300DD"/>
    <w:rsid w:val="408A48E9"/>
    <w:rsid w:val="408C30FD"/>
    <w:rsid w:val="40943D65"/>
    <w:rsid w:val="40A74B15"/>
    <w:rsid w:val="40AD11CC"/>
    <w:rsid w:val="40CD482E"/>
    <w:rsid w:val="40D8256A"/>
    <w:rsid w:val="40DA5D05"/>
    <w:rsid w:val="40DF1A19"/>
    <w:rsid w:val="40EC76A1"/>
    <w:rsid w:val="41371DF4"/>
    <w:rsid w:val="413E2D18"/>
    <w:rsid w:val="41490142"/>
    <w:rsid w:val="41696071"/>
    <w:rsid w:val="416F3B44"/>
    <w:rsid w:val="41937B8D"/>
    <w:rsid w:val="41A13856"/>
    <w:rsid w:val="41BF6794"/>
    <w:rsid w:val="422A352C"/>
    <w:rsid w:val="42441C7D"/>
    <w:rsid w:val="42521DB2"/>
    <w:rsid w:val="42767130"/>
    <w:rsid w:val="427B46F0"/>
    <w:rsid w:val="4281123B"/>
    <w:rsid w:val="42A87C80"/>
    <w:rsid w:val="42AE2311"/>
    <w:rsid w:val="42CA2435"/>
    <w:rsid w:val="42D179EC"/>
    <w:rsid w:val="42D952F1"/>
    <w:rsid w:val="42EE155A"/>
    <w:rsid w:val="431227B5"/>
    <w:rsid w:val="43424C24"/>
    <w:rsid w:val="435A2BC8"/>
    <w:rsid w:val="436328E4"/>
    <w:rsid w:val="437C144E"/>
    <w:rsid w:val="438373E6"/>
    <w:rsid w:val="4396247A"/>
    <w:rsid w:val="439C5327"/>
    <w:rsid w:val="43B72085"/>
    <w:rsid w:val="43BF3CBE"/>
    <w:rsid w:val="43E03869"/>
    <w:rsid w:val="43EF35C5"/>
    <w:rsid w:val="44341A17"/>
    <w:rsid w:val="443B1C64"/>
    <w:rsid w:val="443C70A6"/>
    <w:rsid w:val="443D2AA9"/>
    <w:rsid w:val="44754ED5"/>
    <w:rsid w:val="447965B0"/>
    <w:rsid w:val="448B6EF4"/>
    <w:rsid w:val="44B03CE6"/>
    <w:rsid w:val="44B23CED"/>
    <w:rsid w:val="44BA5427"/>
    <w:rsid w:val="44E06621"/>
    <w:rsid w:val="44E53805"/>
    <w:rsid w:val="44E93ECB"/>
    <w:rsid w:val="4507035E"/>
    <w:rsid w:val="4510672B"/>
    <w:rsid w:val="451A6518"/>
    <w:rsid w:val="453C4FA7"/>
    <w:rsid w:val="45444551"/>
    <w:rsid w:val="45455010"/>
    <w:rsid w:val="454D3F55"/>
    <w:rsid w:val="4558211F"/>
    <w:rsid w:val="45610D26"/>
    <w:rsid w:val="457464BC"/>
    <w:rsid w:val="45883936"/>
    <w:rsid w:val="459455FC"/>
    <w:rsid w:val="45965867"/>
    <w:rsid w:val="45AE3506"/>
    <w:rsid w:val="45AE61F9"/>
    <w:rsid w:val="45B708EF"/>
    <w:rsid w:val="45BC0424"/>
    <w:rsid w:val="45BF013A"/>
    <w:rsid w:val="45DC6099"/>
    <w:rsid w:val="45E4731A"/>
    <w:rsid w:val="45FD5941"/>
    <w:rsid w:val="461963F0"/>
    <w:rsid w:val="46257A71"/>
    <w:rsid w:val="465B4F86"/>
    <w:rsid w:val="46665652"/>
    <w:rsid w:val="46822CAB"/>
    <w:rsid w:val="46AD3F45"/>
    <w:rsid w:val="46BC1A8C"/>
    <w:rsid w:val="46CE3A30"/>
    <w:rsid w:val="46D212DD"/>
    <w:rsid w:val="46F65D35"/>
    <w:rsid w:val="47043D5B"/>
    <w:rsid w:val="47072F82"/>
    <w:rsid w:val="47117253"/>
    <w:rsid w:val="4727279E"/>
    <w:rsid w:val="472C447A"/>
    <w:rsid w:val="472E1D94"/>
    <w:rsid w:val="4745600B"/>
    <w:rsid w:val="47465BB2"/>
    <w:rsid w:val="475D4D16"/>
    <w:rsid w:val="475E4030"/>
    <w:rsid w:val="476423EF"/>
    <w:rsid w:val="47644445"/>
    <w:rsid w:val="477676E4"/>
    <w:rsid w:val="478B75CB"/>
    <w:rsid w:val="479A6CFA"/>
    <w:rsid w:val="47C82983"/>
    <w:rsid w:val="47EF6E11"/>
    <w:rsid w:val="47FA3F9B"/>
    <w:rsid w:val="48035083"/>
    <w:rsid w:val="480728DC"/>
    <w:rsid w:val="48122C5B"/>
    <w:rsid w:val="48210C5A"/>
    <w:rsid w:val="4869094F"/>
    <w:rsid w:val="48722462"/>
    <w:rsid w:val="4872603A"/>
    <w:rsid w:val="487A5797"/>
    <w:rsid w:val="48802933"/>
    <w:rsid w:val="489A420D"/>
    <w:rsid w:val="48AD15FA"/>
    <w:rsid w:val="48BE67C1"/>
    <w:rsid w:val="48FB379C"/>
    <w:rsid w:val="490D0A82"/>
    <w:rsid w:val="492814C0"/>
    <w:rsid w:val="49397BBB"/>
    <w:rsid w:val="495B57D5"/>
    <w:rsid w:val="495D64E1"/>
    <w:rsid w:val="4962664A"/>
    <w:rsid w:val="497C0A4A"/>
    <w:rsid w:val="49B2381E"/>
    <w:rsid w:val="49BF0544"/>
    <w:rsid w:val="49F063F6"/>
    <w:rsid w:val="49F23B77"/>
    <w:rsid w:val="4A151112"/>
    <w:rsid w:val="4A261E76"/>
    <w:rsid w:val="4A340062"/>
    <w:rsid w:val="4A470C00"/>
    <w:rsid w:val="4A6D061A"/>
    <w:rsid w:val="4A772C80"/>
    <w:rsid w:val="4A8C360B"/>
    <w:rsid w:val="4AB915E3"/>
    <w:rsid w:val="4AD9574C"/>
    <w:rsid w:val="4AF74904"/>
    <w:rsid w:val="4AFA5C8A"/>
    <w:rsid w:val="4B0E2190"/>
    <w:rsid w:val="4B2A6549"/>
    <w:rsid w:val="4B415ADA"/>
    <w:rsid w:val="4B542923"/>
    <w:rsid w:val="4B6D6E0A"/>
    <w:rsid w:val="4B702AA9"/>
    <w:rsid w:val="4BAA52EF"/>
    <w:rsid w:val="4BC45751"/>
    <w:rsid w:val="4BCC7544"/>
    <w:rsid w:val="4BDB0EC8"/>
    <w:rsid w:val="4BE56677"/>
    <w:rsid w:val="4C046C2F"/>
    <w:rsid w:val="4C4B11FC"/>
    <w:rsid w:val="4C4E5236"/>
    <w:rsid w:val="4C534F58"/>
    <w:rsid w:val="4C594FBF"/>
    <w:rsid w:val="4C625838"/>
    <w:rsid w:val="4C885A1D"/>
    <w:rsid w:val="4C911257"/>
    <w:rsid w:val="4C994483"/>
    <w:rsid w:val="4CB86E4D"/>
    <w:rsid w:val="4CC129A2"/>
    <w:rsid w:val="4CDC7CA4"/>
    <w:rsid w:val="4D0A1E72"/>
    <w:rsid w:val="4D123400"/>
    <w:rsid w:val="4D161528"/>
    <w:rsid w:val="4D3C68CA"/>
    <w:rsid w:val="4D3F2375"/>
    <w:rsid w:val="4D6B68AF"/>
    <w:rsid w:val="4D7224C8"/>
    <w:rsid w:val="4D8B39E6"/>
    <w:rsid w:val="4D943889"/>
    <w:rsid w:val="4DB52109"/>
    <w:rsid w:val="4DBC37AD"/>
    <w:rsid w:val="4DEC2E7B"/>
    <w:rsid w:val="4DF1739D"/>
    <w:rsid w:val="4E1D1F2F"/>
    <w:rsid w:val="4E2557EC"/>
    <w:rsid w:val="4E2C0134"/>
    <w:rsid w:val="4E3106B1"/>
    <w:rsid w:val="4E374CAE"/>
    <w:rsid w:val="4E4F2DAB"/>
    <w:rsid w:val="4E602AE0"/>
    <w:rsid w:val="4E685E8E"/>
    <w:rsid w:val="4E9829B6"/>
    <w:rsid w:val="4EA12486"/>
    <w:rsid w:val="4EB61307"/>
    <w:rsid w:val="4ECA0696"/>
    <w:rsid w:val="4EF56BB6"/>
    <w:rsid w:val="4F02074B"/>
    <w:rsid w:val="4F191A77"/>
    <w:rsid w:val="4F2019AF"/>
    <w:rsid w:val="4F4F26F9"/>
    <w:rsid w:val="4F651EF9"/>
    <w:rsid w:val="4F7109AF"/>
    <w:rsid w:val="4F800E76"/>
    <w:rsid w:val="4FB73E07"/>
    <w:rsid w:val="4FBE00C0"/>
    <w:rsid w:val="4FD8047B"/>
    <w:rsid w:val="4FDC4ED0"/>
    <w:rsid w:val="500270CF"/>
    <w:rsid w:val="500A38B8"/>
    <w:rsid w:val="5016135C"/>
    <w:rsid w:val="50164F38"/>
    <w:rsid w:val="503F0262"/>
    <w:rsid w:val="503F04D4"/>
    <w:rsid w:val="505C0F3F"/>
    <w:rsid w:val="50655EB7"/>
    <w:rsid w:val="509734F9"/>
    <w:rsid w:val="50B01A39"/>
    <w:rsid w:val="50BA0447"/>
    <w:rsid w:val="50C22B89"/>
    <w:rsid w:val="50C7628B"/>
    <w:rsid w:val="50F71357"/>
    <w:rsid w:val="50FD6E24"/>
    <w:rsid w:val="50FE1DF2"/>
    <w:rsid w:val="51141CFD"/>
    <w:rsid w:val="5120498E"/>
    <w:rsid w:val="51227A69"/>
    <w:rsid w:val="51304AD7"/>
    <w:rsid w:val="513351AB"/>
    <w:rsid w:val="51590478"/>
    <w:rsid w:val="515D2834"/>
    <w:rsid w:val="51963B01"/>
    <w:rsid w:val="51D05471"/>
    <w:rsid w:val="51DA3BEC"/>
    <w:rsid w:val="51E02C3F"/>
    <w:rsid w:val="51E710DB"/>
    <w:rsid w:val="520858EB"/>
    <w:rsid w:val="5216729D"/>
    <w:rsid w:val="521B22E3"/>
    <w:rsid w:val="522A4F3C"/>
    <w:rsid w:val="522E013F"/>
    <w:rsid w:val="523A759D"/>
    <w:rsid w:val="523F2CCC"/>
    <w:rsid w:val="5247008D"/>
    <w:rsid w:val="52642A79"/>
    <w:rsid w:val="526E21A4"/>
    <w:rsid w:val="527A7CD6"/>
    <w:rsid w:val="528B4D97"/>
    <w:rsid w:val="52971B14"/>
    <w:rsid w:val="52D26592"/>
    <w:rsid w:val="530622A7"/>
    <w:rsid w:val="537E2B14"/>
    <w:rsid w:val="539A1149"/>
    <w:rsid w:val="53AD5576"/>
    <w:rsid w:val="53B67AE5"/>
    <w:rsid w:val="53CF1435"/>
    <w:rsid w:val="53DC566E"/>
    <w:rsid w:val="53EB47A2"/>
    <w:rsid w:val="53F120A4"/>
    <w:rsid w:val="542F3CF7"/>
    <w:rsid w:val="54335634"/>
    <w:rsid w:val="54340194"/>
    <w:rsid w:val="543B5FB1"/>
    <w:rsid w:val="54431AF8"/>
    <w:rsid w:val="5447062A"/>
    <w:rsid w:val="544A2459"/>
    <w:rsid w:val="54571513"/>
    <w:rsid w:val="54627D86"/>
    <w:rsid w:val="54702AED"/>
    <w:rsid w:val="5496405C"/>
    <w:rsid w:val="54B517E1"/>
    <w:rsid w:val="54C93B77"/>
    <w:rsid w:val="54D831AD"/>
    <w:rsid w:val="54DF1F57"/>
    <w:rsid w:val="54E16333"/>
    <w:rsid w:val="55021FAD"/>
    <w:rsid w:val="551345C0"/>
    <w:rsid w:val="55152A2D"/>
    <w:rsid w:val="55174597"/>
    <w:rsid w:val="552F0923"/>
    <w:rsid w:val="55364B87"/>
    <w:rsid w:val="55384822"/>
    <w:rsid w:val="553C6460"/>
    <w:rsid w:val="55413998"/>
    <w:rsid w:val="554C7D9D"/>
    <w:rsid w:val="55564A0C"/>
    <w:rsid w:val="55571498"/>
    <w:rsid w:val="5574189F"/>
    <w:rsid w:val="55B67BE8"/>
    <w:rsid w:val="55BF3034"/>
    <w:rsid w:val="55D21A87"/>
    <w:rsid w:val="55D8015C"/>
    <w:rsid w:val="55E17D42"/>
    <w:rsid w:val="55EF5F48"/>
    <w:rsid w:val="56037A09"/>
    <w:rsid w:val="560978B4"/>
    <w:rsid w:val="563B5AD2"/>
    <w:rsid w:val="564C111E"/>
    <w:rsid w:val="567B6A38"/>
    <w:rsid w:val="568C63A3"/>
    <w:rsid w:val="569D11E5"/>
    <w:rsid w:val="56A130A1"/>
    <w:rsid w:val="56AF1705"/>
    <w:rsid w:val="56BE4DD7"/>
    <w:rsid w:val="56E70002"/>
    <w:rsid w:val="570912C2"/>
    <w:rsid w:val="571F7452"/>
    <w:rsid w:val="573E390C"/>
    <w:rsid w:val="574C0D0A"/>
    <w:rsid w:val="575B7E5F"/>
    <w:rsid w:val="575E2128"/>
    <w:rsid w:val="57792A82"/>
    <w:rsid w:val="57951C89"/>
    <w:rsid w:val="57BA548B"/>
    <w:rsid w:val="57D70F7B"/>
    <w:rsid w:val="57DB3DDC"/>
    <w:rsid w:val="57E50718"/>
    <w:rsid w:val="57F5109C"/>
    <w:rsid w:val="580562D6"/>
    <w:rsid w:val="580C557E"/>
    <w:rsid w:val="582D75CE"/>
    <w:rsid w:val="583075E4"/>
    <w:rsid w:val="5830777A"/>
    <w:rsid w:val="584F060C"/>
    <w:rsid w:val="58532A5F"/>
    <w:rsid w:val="5856017D"/>
    <w:rsid w:val="58653710"/>
    <w:rsid w:val="586C1E46"/>
    <w:rsid w:val="58A27C7C"/>
    <w:rsid w:val="58A51953"/>
    <w:rsid w:val="58AC37D2"/>
    <w:rsid w:val="58B634AA"/>
    <w:rsid w:val="58D772A9"/>
    <w:rsid w:val="58FD583C"/>
    <w:rsid w:val="59030315"/>
    <w:rsid w:val="59285B27"/>
    <w:rsid w:val="59852D08"/>
    <w:rsid w:val="59BE134D"/>
    <w:rsid w:val="59C140E4"/>
    <w:rsid w:val="59C66FFD"/>
    <w:rsid w:val="59CD2970"/>
    <w:rsid w:val="59D05C66"/>
    <w:rsid w:val="59DD094E"/>
    <w:rsid w:val="59ED0FEE"/>
    <w:rsid w:val="59FC5692"/>
    <w:rsid w:val="5A030406"/>
    <w:rsid w:val="5A0D5B21"/>
    <w:rsid w:val="5A335283"/>
    <w:rsid w:val="5A6B5EF3"/>
    <w:rsid w:val="5A7C5F8D"/>
    <w:rsid w:val="5A8024C4"/>
    <w:rsid w:val="5AA6092A"/>
    <w:rsid w:val="5AB04DC8"/>
    <w:rsid w:val="5AB30848"/>
    <w:rsid w:val="5AC713D8"/>
    <w:rsid w:val="5AC92756"/>
    <w:rsid w:val="5AD337FF"/>
    <w:rsid w:val="5AD74920"/>
    <w:rsid w:val="5B043EC3"/>
    <w:rsid w:val="5B1F3252"/>
    <w:rsid w:val="5B2174C2"/>
    <w:rsid w:val="5B2751F9"/>
    <w:rsid w:val="5B2C2A9E"/>
    <w:rsid w:val="5B3027FE"/>
    <w:rsid w:val="5B3108DD"/>
    <w:rsid w:val="5B375459"/>
    <w:rsid w:val="5B3B1117"/>
    <w:rsid w:val="5B40179F"/>
    <w:rsid w:val="5B573EC6"/>
    <w:rsid w:val="5B7A51B8"/>
    <w:rsid w:val="5B875631"/>
    <w:rsid w:val="5B8A5E8C"/>
    <w:rsid w:val="5B8F3555"/>
    <w:rsid w:val="5B98404B"/>
    <w:rsid w:val="5B994982"/>
    <w:rsid w:val="5B9D59B3"/>
    <w:rsid w:val="5BB74975"/>
    <w:rsid w:val="5BCB5F8F"/>
    <w:rsid w:val="5BEB0396"/>
    <w:rsid w:val="5BF12866"/>
    <w:rsid w:val="5BF346C7"/>
    <w:rsid w:val="5C025F13"/>
    <w:rsid w:val="5C271971"/>
    <w:rsid w:val="5C2A6FC5"/>
    <w:rsid w:val="5C2E7031"/>
    <w:rsid w:val="5C410251"/>
    <w:rsid w:val="5C416904"/>
    <w:rsid w:val="5C5D7D5E"/>
    <w:rsid w:val="5C8B5D86"/>
    <w:rsid w:val="5CA82F90"/>
    <w:rsid w:val="5CC55ED7"/>
    <w:rsid w:val="5CE25628"/>
    <w:rsid w:val="5CED7CEE"/>
    <w:rsid w:val="5D04108B"/>
    <w:rsid w:val="5D1D4219"/>
    <w:rsid w:val="5D411937"/>
    <w:rsid w:val="5D764C09"/>
    <w:rsid w:val="5D845D7A"/>
    <w:rsid w:val="5D9341CD"/>
    <w:rsid w:val="5DC361EE"/>
    <w:rsid w:val="5DC5171F"/>
    <w:rsid w:val="5DD237DA"/>
    <w:rsid w:val="5DD64147"/>
    <w:rsid w:val="5DE93544"/>
    <w:rsid w:val="5DF673FD"/>
    <w:rsid w:val="5DF77B75"/>
    <w:rsid w:val="5E110E90"/>
    <w:rsid w:val="5E222EDC"/>
    <w:rsid w:val="5E327DA3"/>
    <w:rsid w:val="5E496565"/>
    <w:rsid w:val="5E4D4564"/>
    <w:rsid w:val="5E51210E"/>
    <w:rsid w:val="5E6410B9"/>
    <w:rsid w:val="5E6A3B0D"/>
    <w:rsid w:val="5EA432F2"/>
    <w:rsid w:val="5ED27DBC"/>
    <w:rsid w:val="5EE26050"/>
    <w:rsid w:val="5EFF664D"/>
    <w:rsid w:val="5F0241BA"/>
    <w:rsid w:val="5F0A516D"/>
    <w:rsid w:val="5F0C344A"/>
    <w:rsid w:val="5F0E1516"/>
    <w:rsid w:val="5F1306F0"/>
    <w:rsid w:val="5F2A62F8"/>
    <w:rsid w:val="5F2B1730"/>
    <w:rsid w:val="5F362BDD"/>
    <w:rsid w:val="5F416DAD"/>
    <w:rsid w:val="5F4350A4"/>
    <w:rsid w:val="5F5330EF"/>
    <w:rsid w:val="5F6232EE"/>
    <w:rsid w:val="5F796366"/>
    <w:rsid w:val="5F8D79FC"/>
    <w:rsid w:val="5FA36E73"/>
    <w:rsid w:val="5FF072BB"/>
    <w:rsid w:val="600E5CAF"/>
    <w:rsid w:val="60434583"/>
    <w:rsid w:val="60714BAD"/>
    <w:rsid w:val="60A84CF9"/>
    <w:rsid w:val="60B12274"/>
    <w:rsid w:val="60D26671"/>
    <w:rsid w:val="60E15F3D"/>
    <w:rsid w:val="61084E72"/>
    <w:rsid w:val="612305AF"/>
    <w:rsid w:val="612C19A4"/>
    <w:rsid w:val="615532BC"/>
    <w:rsid w:val="615D4CA2"/>
    <w:rsid w:val="617F468F"/>
    <w:rsid w:val="619107F2"/>
    <w:rsid w:val="61A21072"/>
    <w:rsid w:val="61B42923"/>
    <w:rsid w:val="61CC5166"/>
    <w:rsid w:val="61D51EDD"/>
    <w:rsid w:val="61D60F0A"/>
    <w:rsid w:val="61E33411"/>
    <w:rsid w:val="61FA022D"/>
    <w:rsid w:val="620228F8"/>
    <w:rsid w:val="620F409C"/>
    <w:rsid w:val="621F0E84"/>
    <w:rsid w:val="62242AB2"/>
    <w:rsid w:val="622608ED"/>
    <w:rsid w:val="622C6E3E"/>
    <w:rsid w:val="623D0B20"/>
    <w:rsid w:val="62780239"/>
    <w:rsid w:val="627C48FC"/>
    <w:rsid w:val="629D1F8A"/>
    <w:rsid w:val="62AB3F06"/>
    <w:rsid w:val="62AF6FD0"/>
    <w:rsid w:val="62C01D9F"/>
    <w:rsid w:val="62DC1FDF"/>
    <w:rsid w:val="62FA46C3"/>
    <w:rsid w:val="6304797A"/>
    <w:rsid w:val="63086510"/>
    <w:rsid w:val="630A52E0"/>
    <w:rsid w:val="63161456"/>
    <w:rsid w:val="631964F9"/>
    <w:rsid w:val="63241888"/>
    <w:rsid w:val="632542B9"/>
    <w:rsid w:val="635605CB"/>
    <w:rsid w:val="635C5A96"/>
    <w:rsid w:val="63672FD7"/>
    <w:rsid w:val="6368505E"/>
    <w:rsid w:val="637A4F5F"/>
    <w:rsid w:val="63B27F66"/>
    <w:rsid w:val="63C3544A"/>
    <w:rsid w:val="63D6045E"/>
    <w:rsid w:val="63DB4958"/>
    <w:rsid w:val="64282D83"/>
    <w:rsid w:val="64354D2C"/>
    <w:rsid w:val="643F7E84"/>
    <w:rsid w:val="644720DC"/>
    <w:rsid w:val="644A0EC2"/>
    <w:rsid w:val="644B4EDE"/>
    <w:rsid w:val="644C1DE0"/>
    <w:rsid w:val="644F040E"/>
    <w:rsid w:val="646D51C7"/>
    <w:rsid w:val="646E5903"/>
    <w:rsid w:val="646F2709"/>
    <w:rsid w:val="64762E6D"/>
    <w:rsid w:val="648A117A"/>
    <w:rsid w:val="648D4AD7"/>
    <w:rsid w:val="64931FBD"/>
    <w:rsid w:val="64A8480D"/>
    <w:rsid w:val="64D747AF"/>
    <w:rsid w:val="64EB0D18"/>
    <w:rsid w:val="64EC4112"/>
    <w:rsid w:val="652D164F"/>
    <w:rsid w:val="65302255"/>
    <w:rsid w:val="654E2599"/>
    <w:rsid w:val="65597731"/>
    <w:rsid w:val="655D495E"/>
    <w:rsid w:val="65756D6D"/>
    <w:rsid w:val="658863AC"/>
    <w:rsid w:val="65891550"/>
    <w:rsid w:val="658A5662"/>
    <w:rsid w:val="659C3D5C"/>
    <w:rsid w:val="65A61DEF"/>
    <w:rsid w:val="65A7094F"/>
    <w:rsid w:val="65CF6860"/>
    <w:rsid w:val="65D80624"/>
    <w:rsid w:val="65DE5A57"/>
    <w:rsid w:val="65F673E4"/>
    <w:rsid w:val="660A5182"/>
    <w:rsid w:val="66327BE5"/>
    <w:rsid w:val="66546513"/>
    <w:rsid w:val="665B7D08"/>
    <w:rsid w:val="6667072B"/>
    <w:rsid w:val="66820704"/>
    <w:rsid w:val="669104CB"/>
    <w:rsid w:val="669A7548"/>
    <w:rsid w:val="669B6BEA"/>
    <w:rsid w:val="66BB205A"/>
    <w:rsid w:val="66BB2FBB"/>
    <w:rsid w:val="66BB66C3"/>
    <w:rsid w:val="66BD2DE6"/>
    <w:rsid w:val="66C43360"/>
    <w:rsid w:val="66CC69FC"/>
    <w:rsid w:val="66D6227C"/>
    <w:rsid w:val="66D813B2"/>
    <w:rsid w:val="66F17E72"/>
    <w:rsid w:val="671725D7"/>
    <w:rsid w:val="672F6E34"/>
    <w:rsid w:val="673E62B1"/>
    <w:rsid w:val="67636500"/>
    <w:rsid w:val="677C7510"/>
    <w:rsid w:val="678C01B8"/>
    <w:rsid w:val="678F5015"/>
    <w:rsid w:val="67972AF5"/>
    <w:rsid w:val="67B041B1"/>
    <w:rsid w:val="67DB2A48"/>
    <w:rsid w:val="67F13471"/>
    <w:rsid w:val="67F1599B"/>
    <w:rsid w:val="680D3FCF"/>
    <w:rsid w:val="68255434"/>
    <w:rsid w:val="68307930"/>
    <w:rsid w:val="6834715A"/>
    <w:rsid w:val="6837001D"/>
    <w:rsid w:val="68466A05"/>
    <w:rsid w:val="68631A6D"/>
    <w:rsid w:val="687D6A39"/>
    <w:rsid w:val="687E056F"/>
    <w:rsid w:val="688537A6"/>
    <w:rsid w:val="68913025"/>
    <w:rsid w:val="68A83AE7"/>
    <w:rsid w:val="68AC0B6F"/>
    <w:rsid w:val="68DB5F83"/>
    <w:rsid w:val="69282846"/>
    <w:rsid w:val="692922EF"/>
    <w:rsid w:val="692A639C"/>
    <w:rsid w:val="693A4097"/>
    <w:rsid w:val="693D1523"/>
    <w:rsid w:val="694A77E7"/>
    <w:rsid w:val="698A32CF"/>
    <w:rsid w:val="69923202"/>
    <w:rsid w:val="69CE5F0B"/>
    <w:rsid w:val="69E32DE1"/>
    <w:rsid w:val="6A077AA9"/>
    <w:rsid w:val="6A1F5F03"/>
    <w:rsid w:val="6A483239"/>
    <w:rsid w:val="6A552959"/>
    <w:rsid w:val="6A573B6C"/>
    <w:rsid w:val="6AC87847"/>
    <w:rsid w:val="6ADF0D39"/>
    <w:rsid w:val="6AEB527C"/>
    <w:rsid w:val="6AF62282"/>
    <w:rsid w:val="6AF96817"/>
    <w:rsid w:val="6B027C40"/>
    <w:rsid w:val="6B4C3FDF"/>
    <w:rsid w:val="6B4E34D1"/>
    <w:rsid w:val="6B5D1DE8"/>
    <w:rsid w:val="6B7211C0"/>
    <w:rsid w:val="6B892EEB"/>
    <w:rsid w:val="6B973CDD"/>
    <w:rsid w:val="6BB30B38"/>
    <w:rsid w:val="6BC36A99"/>
    <w:rsid w:val="6BDF30D2"/>
    <w:rsid w:val="6BE45B06"/>
    <w:rsid w:val="6BE91BC5"/>
    <w:rsid w:val="6BF123BD"/>
    <w:rsid w:val="6BFB2717"/>
    <w:rsid w:val="6C093658"/>
    <w:rsid w:val="6C0C1834"/>
    <w:rsid w:val="6C36746D"/>
    <w:rsid w:val="6C39448A"/>
    <w:rsid w:val="6C526B4F"/>
    <w:rsid w:val="6C7E7C44"/>
    <w:rsid w:val="6C8C3698"/>
    <w:rsid w:val="6C952A33"/>
    <w:rsid w:val="6CAB6329"/>
    <w:rsid w:val="6CB67D81"/>
    <w:rsid w:val="6CC54AC6"/>
    <w:rsid w:val="6CDC7FB2"/>
    <w:rsid w:val="6D034B52"/>
    <w:rsid w:val="6D34744F"/>
    <w:rsid w:val="6D3C3873"/>
    <w:rsid w:val="6D447688"/>
    <w:rsid w:val="6D894ED9"/>
    <w:rsid w:val="6D90756D"/>
    <w:rsid w:val="6DA61245"/>
    <w:rsid w:val="6DB05271"/>
    <w:rsid w:val="6DC25912"/>
    <w:rsid w:val="6DCD74EE"/>
    <w:rsid w:val="6DD04305"/>
    <w:rsid w:val="6DEE36A0"/>
    <w:rsid w:val="6E1E2D89"/>
    <w:rsid w:val="6E226A56"/>
    <w:rsid w:val="6E3E221A"/>
    <w:rsid w:val="6E6E15F8"/>
    <w:rsid w:val="6E787B44"/>
    <w:rsid w:val="6E94349F"/>
    <w:rsid w:val="6EB62EEC"/>
    <w:rsid w:val="6ECA612D"/>
    <w:rsid w:val="6ECC1482"/>
    <w:rsid w:val="6EE05E45"/>
    <w:rsid w:val="6EE50C4A"/>
    <w:rsid w:val="6FAF14A7"/>
    <w:rsid w:val="6FB85B63"/>
    <w:rsid w:val="6FD60D75"/>
    <w:rsid w:val="6FDC33A6"/>
    <w:rsid w:val="701646E2"/>
    <w:rsid w:val="701E53FE"/>
    <w:rsid w:val="70257421"/>
    <w:rsid w:val="703B4C4A"/>
    <w:rsid w:val="704853CD"/>
    <w:rsid w:val="70500CF5"/>
    <w:rsid w:val="707E390F"/>
    <w:rsid w:val="70834E83"/>
    <w:rsid w:val="7084254E"/>
    <w:rsid w:val="709E34B7"/>
    <w:rsid w:val="70A537C2"/>
    <w:rsid w:val="70AD0651"/>
    <w:rsid w:val="70B7547A"/>
    <w:rsid w:val="70E1623C"/>
    <w:rsid w:val="710B672E"/>
    <w:rsid w:val="711462FA"/>
    <w:rsid w:val="714027DB"/>
    <w:rsid w:val="71451D4A"/>
    <w:rsid w:val="715E23E5"/>
    <w:rsid w:val="716C1954"/>
    <w:rsid w:val="716D08C2"/>
    <w:rsid w:val="717D5E17"/>
    <w:rsid w:val="71862070"/>
    <w:rsid w:val="71C47CA3"/>
    <w:rsid w:val="71C73490"/>
    <w:rsid w:val="71CA3FFB"/>
    <w:rsid w:val="71D006EF"/>
    <w:rsid w:val="71DD6262"/>
    <w:rsid w:val="71E27866"/>
    <w:rsid w:val="71F00734"/>
    <w:rsid w:val="720F223E"/>
    <w:rsid w:val="72163BA8"/>
    <w:rsid w:val="72291053"/>
    <w:rsid w:val="722A6543"/>
    <w:rsid w:val="723D597C"/>
    <w:rsid w:val="7245332E"/>
    <w:rsid w:val="724E4542"/>
    <w:rsid w:val="72591475"/>
    <w:rsid w:val="726B127E"/>
    <w:rsid w:val="728F73BA"/>
    <w:rsid w:val="72A86F38"/>
    <w:rsid w:val="72AF3281"/>
    <w:rsid w:val="72AF4828"/>
    <w:rsid w:val="72B06AA1"/>
    <w:rsid w:val="72D340C6"/>
    <w:rsid w:val="72D54F1C"/>
    <w:rsid w:val="72DA15E4"/>
    <w:rsid w:val="72EE6AF7"/>
    <w:rsid w:val="7333416C"/>
    <w:rsid w:val="736D7253"/>
    <w:rsid w:val="738C1498"/>
    <w:rsid w:val="738D0DCC"/>
    <w:rsid w:val="73B149AE"/>
    <w:rsid w:val="73D241E8"/>
    <w:rsid w:val="73E55D05"/>
    <w:rsid w:val="73F54D0E"/>
    <w:rsid w:val="740228FE"/>
    <w:rsid w:val="7406676F"/>
    <w:rsid w:val="743E032D"/>
    <w:rsid w:val="743F6A62"/>
    <w:rsid w:val="744713AC"/>
    <w:rsid w:val="74480C7C"/>
    <w:rsid w:val="744F24CB"/>
    <w:rsid w:val="747667D9"/>
    <w:rsid w:val="749659C9"/>
    <w:rsid w:val="74BA3CB7"/>
    <w:rsid w:val="74C22208"/>
    <w:rsid w:val="74E320E7"/>
    <w:rsid w:val="7501592A"/>
    <w:rsid w:val="75204F3D"/>
    <w:rsid w:val="7520671C"/>
    <w:rsid w:val="75300C93"/>
    <w:rsid w:val="753A65BB"/>
    <w:rsid w:val="756F0E42"/>
    <w:rsid w:val="75701DD5"/>
    <w:rsid w:val="75733EA1"/>
    <w:rsid w:val="757E4C03"/>
    <w:rsid w:val="758D442E"/>
    <w:rsid w:val="75A14D0F"/>
    <w:rsid w:val="75AE1BCB"/>
    <w:rsid w:val="75C65657"/>
    <w:rsid w:val="75C66BDE"/>
    <w:rsid w:val="75DC07D1"/>
    <w:rsid w:val="75E74F07"/>
    <w:rsid w:val="75F74DD6"/>
    <w:rsid w:val="76095363"/>
    <w:rsid w:val="76117E7E"/>
    <w:rsid w:val="76234CF1"/>
    <w:rsid w:val="762C51B0"/>
    <w:rsid w:val="765D6AF1"/>
    <w:rsid w:val="765E614F"/>
    <w:rsid w:val="76B52BE7"/>
    <w:rsid w:val="76BB14B6"/>
    <w:rsid w:val="76C1612E"/>
    <w:rsid w:val="76C35E66"/>
    <w:rsid w:val="76DE411B"/>
    <w:rsid w:val="76F877CF"/>
    <w:rsid w:val="770B7F54"/>
    <w:rsid w:val="77227A2B"/>
    <w:rsid w:val="7729180B"/>
    <w:rsid w:val="772C100F"/>
    <w:rsid w:val="775748C5"/>
    <w:rsid w:val="775B28A2"/>
    <w:rsid w:val="77977D17"/>
    <w:rsid w:val="77AA4089"/>
    <w:rsid w:val="77BC049F"/>
    <w:rsid w:val="77C618ED"/>
    <w:rsid w:val="77DD3C79"/>
    <w:rsid w:val="77E0358F"/>
    <w:rsid w:val="77F33D28"/>
    <w:rsid w:val="7801397F"/>
    <w:rsid w:val="780A61BE"/>
    <w:rsid w:val="78191AF1"/>
    <w:rsid w:val="781F1C60"/>
    <w:rsid w:val="783005F1"/>
    <w:rsid w:val="78393102"/>
    <w:rsid w:val="784A3F9D"/>
    <w:rsid w:val="7863087C"/>
    <w:rsid w:val="786823DB"/>
    <w:rsid w:val="78694548"/>
    <w:rsid w:val="788039E3"/>
    <w:rsid w:val="78B66561"/>
    <w:rsid w:val="78C03E91"/>
    <w:rsid w:val="78CB753D"/>
    <w:rsid w:val="78E13D3C"/>
    <w:rsid w:val="78E959B3"/>
    <w:rsid w:val="78FA1F8D"/>
    <w:rsid w:val="791C1369"/>
    <w:rsid w:val="791E30F7"/>
    <w:rsid w:val="79281BA1"/>
    <w:rsid w:val="79462DFB"/>
    <w:rsid w:val="794851A3"/>
    <w:rsid w:val="794F0F14"/>
    <w:rsid w:val="7971279A"/>
    <w:rsid w:val="79730139"/>
    <w:rsid w:val="79732FEF"/>
    <w:rsid w:val="797479AB"/>
    <w:rsid w:val="7976610A"/>
    <w:rsid w:val="797D4AC5"/>
    <w:rsid w:val="797F0EA0"/>
    <w:rsid w:val="79A52D45"/>
    <w:rsid w:val="79BD0109"/>
    <w:rsid w:val="79E0490B"/>
    <w:rsid w:val="79EA1A15"/>
    <w:rsid w:val="7A567FE9"/>
    <w:rsid w:val="7A5A629F"/>
    <w:rsid w:val="7AA809CC"/>
    <w:rsid w:val="7ABE6DCF"/>
    <w:rsid w:val="7AC85286"/>
    <w:rsid w:val="7ACC68AD"/>
    <w:rsid w:val="7AED26B6"/>
    <w:rsid w:val="7AEE49F6"/>
    <w:rsid w:val="7B1A434D"/>
    <w:rsid w:val="7B3928D3"/>
    <w:rsid w:val="7B527837"/>
    <w:rsid w:val="7B562004"/>
    <w:rsid w:val="7B652083"/>
    <w:rsid w:val="7B6B2A30"/>
    <w:rsid w:val="7BB353CB"/>
    <w:rsid w:val="7BB62D03"/>
    <w:rsid w:val="7BD83BBB"/>
    <w:rsid w:val="7BEF22C9"/>
    <w:rsid w:val="7BF56C11"/>
    <w:rsid w:val="7C097E96"/>
    <w:rsid w:val="7C0A7D5E"/>
    <w:rsid w:val="7C2D052A"/>
    <w:rsid w:val="7C5636D1"/>
    <w:rsid w:val="7C5F1810"/>
    <w:rsid w:val="7C71115E"/>
    <w:rsid w:val="7C7157C0"/>
    <w:rsid w:val="7C8D7066"/>
    <w:rsid w:val="7C961B0B"/>
    <w:rsid w:val="7C96366D"/>
    <w:rsid w:val="7CAF5A49"/>
    <w:rsid w:val="7CBB6C20"/>
    <w:rsid w:val="7CC123D1"/>
    <w:rsid w:val="7CD43618"/>
    <w:rsid w:val="7CDB7D4E"/>
    <w:rsid w:val="7CFE0FFD"/>
    <w:rsid w:val="7D062F24"/>
    <w:rsid w:val="7D0778A3"/>
    <w:rsid w:val="7D1A463A"/>
    <w:rsid w:val="7D1C0723"/>
    <w:rsid w:val="7D2F29CF"/>
    <w:rsid w:val="7D69174A"/>
    <w:rsid w:val="7D6B084D"/>
    <w:rsid w:val="7D8025F2"/>
    <w:rsid w:val="7D932539"/>
    <w:rsid w:val="7D992B26"/>
    <w:rsid w:val="7DA761DF"/>
    <w:rsid w:val="7DAD6B77"/>
    <w:rsid w:val="7DBB6D67"/>
    <w:rsid w:val="7DE10F21"/>
    <w:rsid w:val="7DE15A4B"/>
    <w:rsid w:val="7DE20AB0"/>
    <w:rsid w:val="7DEC3E22"/>
    <w:rsid w:val="7DEE009F"/>
    <w:rsid w:val="7E097D8F"/>
    <w:rsid w:val="7E214385"/>
    <w:rsid w:val="7E2E6881"/>
    <w:rsid w:val="7E453B51"/>
    <w:rsid w:val="7E5576B9"/>
    <w:rsid w:val="7E62183B"/>
    <w:rsid w:val="7E704854"/>
    <w:rsid w:val="7EA77BCA"/>
    <w:rsid w:val="7EA854F3"/>
    <w:rsid w:val="7EC51181"/>
    <w:rsid w:val="7EEA2391"/>
    <w:rsid w:val="7EEA7921"/>
    <w:rsid w:val="7EED6972"/>
    <w:rsid w:val="7EF712DE"/>
    <w:rsid w:val="7F3A2189"/>
    <w:rsid w:val="7F447BB1"/>
    <w:rsid w:val="7F733E48"/>
    <w:rsid w:val="7F7D40A8"/>
    <w:rsid w:val="7F9D454E"/>
    <w:rsid w:val="7FC462BA"/>
    <w:rsid w:val="7FC74294"/>
    <w:rsid w:val="7FDC0F0F"/>
    <w:rsid w:val="7FEB7A17"/>
    <w:rsid w:val="7FED5832"/>
    <w:rsid w:val="7FEF7914"/>
    <w:rsid w:val="7FF17BB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11"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1"/>
    <w:qFormat/>
    <w:uiPriority w:val="0"/>
    <w:pPr>
      <w:keepNext/>
      <w:keepLines/>
      <w:widowControl w:val="0"/>
      <w:spacing w:before="340" w:after="330" w:line="578" w:lineRule="auto"/>
      <w:outlineLvl w:val="0"/>
    </w:pPr>
    <w:rPr>
      <w:b/>
      <w:bCs/>
      <w:kern w:val="44"/>
      <w:sz w:val="44"/>
      <w:szCs w:val="44"/>
    </w:rPr>
  </w:style>
  <w:style w:type="paragraph" w:styleId="4">
    <w:name w:val="heading 2"/>
    <w:basedOn w:val="1"/>
    <w:next w:val="1"/>
    <w:link w:val="62"/>
    <w:qFormat/>
    <w:uiPriority w:val="0"/>
    <w:pPr>
      <w:keepNext/>
      <w:keepLines/>
      <w:widowControl w:val="0"/>
      <w:spacing w:before="260" w:after="260" w:line="415" w:lineRule="auto"/>
      <w:outlineLvl w:val="1"/>
    </w:pPr>
    <w:rPr>
      <w:rFonts w:ascii="Arial" w:hAnsi="Arial" w:eastAsia="黑体"/>
      <w:b/>
      <w:bCs/>
      <w:sz w:val="32"/>
      <w:szCs w:val="32"/>
    </w:rPr>
  </w:style>
  <w:style w:type="paragraph" w:styleId="5">
    <w:name w:val="heading 3"/>
    <w:basedOn w:val="1"/>
    <w:next w:val="1"/>
    <w:link w:val="63"/>
    <w:qFormat/>
    <w:uiPriority w:val="0"/>
    <w:pPr>
      <w:keepNext/>
      <w:keepLines/>
      <w:widowControl w:val="0"/>
      <w:spacing w:before="260" w:after="260" w:line="415" w:lineRule="auto"/>
      <w:outlineLvl w:val="2"/>
    </w:pPr>
    <w:rPr>
      <w:b/>
      <w:bCs/>
      <w:sz w:val="32"/>
      <w:szCs w:val="32"/>
    </w:rPr>
  </w:style>
  <w:style w:type="paragraph" w:styleId="6">
    <w:name w:val="heading 4"/>
    <w:basedOn w:val="1"/>
    <w:next w:val="1"/>
    <w:link w:val="64"/>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65"/>
    <w:qFormat/>
    <w:uiPriority w:val="0"/>
    <w:pPr>
      <w:ind w:left="1680"/>
      <w:outlineLvl w:val="4"/>
    </w:pPr>
    <w:rPr>
      <w:rFonts w:ascii="宋体" w:hAnsi="宋体" w:cs="宋体"/>
      <w:b/>
      <w:bCs/>
      <w:sz w:val="24"/>
      <w:lang w:val="zh-CN" w:bidi="zh-CN"/>
    </w:rPr>
  </w:style>
  <w:style w:type="paragraph" w:styleId="8">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67"/>
    <w:qFormat/>
    <w:uiPriority w:val="0"/>
    <w:pPr>
      <w:keepNext/>
      <w:keepLines/>
      <w:spacing w:before="240" w:after="64" w:line="320" w:lineRule="auto"/>
      <w:outlineLvl w:val="6"/>
    </w:pPr>
    <w:rPr>
      <w:b/>
      <w:bCs/>
      <w:sz w:val="24"/>
    </w:rPr>
  </w:style>
  <w:style w:type="paragraph" w:styleId="10">
    <w:name w:val="heading 8"/>
    <w:basedOn w:val="1"/>
    <w:next w:val="1"/>
    <w:link w:val="68"/>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link w:val="69"/>
    <w:qFormat/>
    <w:uiPriority w:val="0"/>
    <w:pPr>
      <w:keepNext/>
      <w:keepLines/>
      <w:spacing w:before="240" w:after="64" w:line="320" w:lineRule="auto"/>
      <w:outlineLvl w:val="8"/>
    </w:pPr>
    <w:rPr>
      <w:rFonts w:ascii="Arial" w:hAnsi="Arial" w:eastAsia="黑体"/>
      <w:szCs w:val="21"/>
    </w:rPr>
  </w:style>
  <w:style w:type="character" w:default="1" w:styleId="51">
    <w:name w:val="Default Paragraph Font"/>
    <w:semiHidden/>
    <w:qFormat/>
    <w:uiPriority w:val="0"/>
  </w:style>
  <w:style w:type="table" w:default="1" w:styleId="49">
    <w:name w:val="Normal Table"/>
    <w:semiHidden/>
    <w:qFormat/>
    <w:uiPriority w:val="0"/>
    <w:tblPr>
      <w:tblCellMar>
        <w:top w:w="0" w:type="dxa"/>
        <w:left w:w="108" w:type="dxa"/>
        <w:bottom w:w="0" w:type="dxa"/>
        <w:right w:w="108" w:type="dxa"/>
      </w:tblCellMar>
    </w:tblPr>
  </w:style>
  <w:style w:type="paragraph" w:styleId="2">
    <w:name w:val="Body Text"/>
    <w:basedOn w:val="1"/>
    <w:next w:val="1"/>
    <w:link w:val="60"/>
    <w:qFormat/>
    <w:uiPriority w:val="0"/>
    <w:pPr>
      <w:spacing w:after="120"/>
    </w:pPr>
  </w:style>
  <w:style w:type="paragraph" w:styleId="12">
    <w:name w:val="toc 7"/>
    <w:basedOn w:val="13"/>
    <w:next w:val="1"/>
    <w:qFormat/>
    <w:uiPriority w:val="39"/>
    <w:pPr>
      <w:ind w:left="1260"/>
    </w:pPr>
  </w:style>
  <w:style w:type="paragraph" w:styleId="13">
    <w:name w:val="toc 6"/>
    <w:basedOn w:val="14"/>
    <w:next w:val="1"/>
    <w:qFormat/>
    <w:uiPriority w:val="39"/>
    <w:pPr>
      <w:ind w:left="1050"/>
    </w:pPr>
  </w:style>
  <w:style w:type="paragraph" w:styleId="14">
    <w:name w:val="toc 5"/>
    <w:basedOn w:val="15"/>
    <w:next w:val="1"/>
    <w:qFormat/>
    <w:uiPriority w:val="39"/>
    <w:pPr>
      <w:ind w:left="840"/>
    </w:pPr>
  </w:style>
  <w:style w:type="paragraph" w:styleId="15">
    <w:name w:val="toc 4"/>
    <w:basedOn w:val="16"/>
    <w:next w:val="1"/>
    <w:qFormat/>
    <w:uiPriority w:val="39"/>
    <w:pPr>
      <w:ind w:left="630" w:leftChars="0"/>
      <w:jc w:val="left"/>
    </w:pPr>
    <w:rPr>
      <w:rFonts w:eastAsia="华文仿宋"/>
      <w:sz w:val="18"/>
      <w:szCs w:val="18"/>
    </w:rPr>
  </w:style>
  <w:style w:type="paragraph" w:styleId="16">
    <w:name w:val="toc 3"/>
    <w:basedOn w:val="1"/>
    <w:next w:val="1"/>
    <w:qFormat/>
    <w:uiPriority w:val="39"/>
    <w:pPr>
      <w:ind w:left="840" w:leftChars="400"/>
    </w:pPr>
  </w:style>
  <w:style w:type="paragraph" w:styleId="17">
    <w:name w:val="index 8"/>
    <w:basedOn w:val="1"/>
    <w:next w:val="1"/>
    <w:qFormat/>
    <w:uiPriority w:val="0"/>
    <w:pPr>
      <w:spacing w:line="276" w:lineRule="auto"/>
      <w:jc w:val="left"/>
    </w:pPr>
    <w:rPr>
      <w:rFonts w:ascii="宋体" w:hAnsi="宋体"/>
      <w:color w:val="FF0000"/>
      <w:szCs w:val="21"/>
    </w:rPr>
  </w:style>
  <w:style w:type="paragraph" w:styleId="18">
    <w:name w:val="Normal Indent"/>
    <w:basedOn w:val="1"/>
    <w:link w:val="70"/>
    <w:qFormat/>
    <w:uiPriority w:val="0"/>
    <w:pPr>
      <w:ind w:firstLine="200" w:firstLineChars="200"/>
    </w:pPr>
  </w:style>
  <w:style w:type="paragraph" w:styleId="19">
    <w:name w:val="caption"/>
    <w:basedOn w:val="1"/>
    <w:next w:val="1"/>
    <w:qFormat/>
    <w:uiPriority w:val="0"/>
    <w:rPr>
      <w:rFonts w:ascii="Cambria" w:hAnsi="Cambria" w:eastAsia="黑体" w:cs="黑体"/>
      <w:kern w:val="2"/>
      <w:sz w:val="20"/>
      <w:szCs w:val="20"/>
    </w:rPr>
  </w:style>
  <w:style w:type="paragraph" w:styleId="20">
    <w:name w:val="Document Map"/>
    <w:basedOn w:val="1"/>
    <w:next w:val="1"/>
    <w:link w:val="71"/>
    <w:qFormat/>
    <w:uiPriority w:val="99"/>
    <w:rPr>
      <w:rFonts w:ascii="宋体"/>
      <w:sz w:val="18"/>
      <w:szCs w:val="18"/>
    </w:rPr>
  </w:style>
  <w:style w:type="paragraph" w:styleId="21">
    <w:name w:val="annotation text"/>
    <w:basedOn w:val="1"/>
    <w:link w:val="72"/>
    <w:qFormat/>
    <w:uiPriority w:val="0"/>
    <w:pPr>
      <w:jc w:val="left"/>
    </w:pPr>
  </w:style>
  <w:style w:type="paragraph" w:styleId="22">
    <w:name w:val="Body Text 3"/>
    <w:basedOn w:val="1"/>
    <w:link w:val="73"/>
    <w:qFormat/>
    <w:uiPriority w:val="0"/>
    <w:rPr>
      <w:szCs w:val="20"/>
    </w:rPr>
  </w:style>
  <w:style w:type="paragraph" w:styleId="23">
    <w:name w:val="Body Text Indent"/>
    <w:basedOn w:val="1"/>
    <w:link w:val="74"/>
    <w:qFormat/>
    <w:uiPriority w:val="0"/>
    <w:pPr>
      <w:ind w:firstLine="630"/>
    </w:pPr>
    <w:rPr>
      <w:sz w:val="32"/>
      <w:szCs w:val="20"/>
    </w:rPr>
  </w:style>
  <w:style w:type="paragraph" w:styleId="24">
    <w:name w:val="Block Text"/>
    <w:basedOn w:val="1"/>
    <w:unhideWhenUsed/>
    <w:qFormat/>
    <w:uiPriority w:val="0"/>
    <w:pPr>
      <w:ind w:left="-540" w:leftChars="-257" w:right="-334" w:rightChars="-159" w:firstLine="540" w:firstLineChars="180"/>
    </w:pPr>
    <w:rPr>
      <w:sz w:val="30"/>
    </w:rPr>
  </w:style>
  <w:style w:type="paragraph" w:styleId="25">
    <w:name w:val="List Bullet 2"/>
    <w:basedOn w:val="1"/>
    <w:qFormat/>
    <w:uiPriority w:val="0"/>
    <w:pPr>
      <w:numPr>
        <w:ilvl w:val="0"/>
        <w:numId w:val="2"/>
      </w:numPr>
    </w:pPr>
  </w:style>
  <w:style w:type="paragraph" w:styleId="26">
    <w:name w:val="Plain Text"/>
    <w:basedOn w:val="1"/>
    <w:link w:val="75"/>
    <w:qFormat/>
    <w:uiPriority w:val="0"/>
    <w:rPr>
      <w:rFonts w:ascii="宋体" w:hAnsi="Courier New"/>
      <w:szCs w:val="20"/>
    </w:rPr>
  </w:style>
  <w:style w:type="paragraph" w:styleId="27">
    <w:name w:val="toc 8"/>
    <w:basedOn w:val="12"/>
    <w:next w:val="1"/>
    <w:qFormat/>
    <w:uiPriority w:val="39"/>
    <w:pPr>
      <w:ind w:left="1470"/>
    </w:pPr>
  </w:style>
  <w:style w:type="paragraph" w:styleId="28">
    <w:name w:val="Date"/>
    <w:basedOn w:val="1"/>
    <w:next w:val="1"/>
    <w:link w:val="76"/>
    <w:qFormat/>
    <w:uiPriority w:val="99"/>
    <w:pPr>
      <w:ind w:left="100" w:leftChars="2500"/>
    </w:pPr>
    <w:rPr>
      <w:szCs w:val="22"/>
    </w:rPr>
  </w:style>
  <w:style w:type="paragraph" w:styleId="29">
    <w:name w:val="Body Text Indent 2"/>
    <w:basedOn w:val="1"/>
    <w:link w:val="77"/>
    <w:qFormat/>
    <w:uiPriority w:val="0"/>
    <w:pPr>
      <w:spacing w:after="120" w:line="480" w:lineRule="auto"/>
      <w:ind w:left="420" w:leftChars="200"/>
    </w:pPr>
  </w:style>
  <w:style w:type="paragraph" w:styleId="30">
    <w:name w:val="endnote text"/>
    <w:basedOn w:val="1"/>
    <w:link w:val="78"/>
    <w:qFormat/>
    <w:uiPriority w:val="0"/>
    <w:pPr>
      <w:snapToGrid w:val="0"/>
      <w:spacing w:line="360" w:lineRule="auto"/>
      <w:jc w:val="left"/>
    </w:pPr>
    <w:rPr>
      <w:sz w:val="24"/>
    </w:rPr>
  </w:style>
  <w:style w:type="paragraph" w:styleId="31">
    <w:name w:val="Balloon Text"/>
    <w:basedOn w:val="1"/>
    <w:link w:val="79"/>
    <w:qFormat/>
    <w:uiPriority w:val="99"/>
    <w:rPr>
      <w:kern w:val="0"/>
      <w:sz w:val="18"/>
      <w:szCs w:val="18"/>
    </w:rPr>
  </w:style>
  <w:style w:type="paragraph" w:styleId="32">
    <w:name w:val="footer"/>
    <w:basedOn w:val="1"/>
    <w:link w:val="80"/>
    <w:qFormat/>
    <w:uiPriority w:val="0"/>
    <w:pPr>
      <w:tabs>
        <w:tab w:val="center" w:pos="4153"/>
        <w:tab w:val="right" w:pos="8306"/>
      </w:tabs>
      <w:snapToGrid w:val="0"/>
      <w:jc w:val="left"/>
    </w:pPr>
    <w:rPr>
      <w:sz w:val="18"/>
      <w:szCs w:val="20"/>
    </w:rPr>
  </w:style>
  <w:style w:type="paragraph" w:styleId="33">
    <w:name w:val="header"/>
    <w:basedOn w:val="1"/>
    <w:link w:val="81"/>
    <w:qFormat/>
    <w:uiPriority w:val="99"/>
    <w:pPr>
      <w:pBdr>
        <w:bottom w:val="single" w:color="auto" w:sz="6" w:space="1"/>
      </w:pBdr>
      <w:tabs>
        <w:tab w:val="center" w:pos="4153"/>
        <w:tab w:val="right" w:pos="8306"/>
      </w:tabs>
      <w:snapToGrid w:val="0"/>
      <w:jc w:val="center"/>
    </w:pPr>
    <w:rPr>
      <w:sz w:val="18"/>
      <w:szCs w:val="20"/>
    </w:rPr>
  </w:style>
  <w:style w:type="paragraph" w:styleId="34">
    <w:name w:val="toc 1"/>
    <w:basedOn w:val="1"/>
    <w:next w:val="1"/>
    <w:qFormat/>
    <w:uiPriority w:val="39"/>
    <w:pPr>
      <w:spacing w:line="360" w:lineRule="auto"/>
    </w:pPr>
    <w:rPr>
      <w:sz w:val="24"/>
    </w:rPr>
  </w:style>
  <w:style w:type="paragraph" w:styleId="35">
    <w:name w:val="Subtitle"/>
    <w:basedOn w:val="1"/>
    <w:next w:val="1"/>
    <w:link w:val="82"/>
    <w:qFormat/>
    <w:uiPriority w:val="11"/>
    <w:pPr>
      <w:widowControl/>
      <w:spacing w:before="240" w:after="60" w:line="312" w:lineRule="auto"/>
      <w:jc w:val="center"/>
      <w:outlineLvl w:val="1"/>
    </w:pPr>
    <w:rPr>
      <w:rFonts w:ascii="Calibri Light" w:hAnsi="Calibri Light"/>
      <w:b/>
      <w:bCs/>
      <w:kern w:val="28"/>
      <w:sz w:val="32"/>
      <w:szCs w:val="32"/>
    </w:rPr>
  </w:style>
  <w:style w:type="paragraph" w:styleId="36">
    <w:name w:val="List"/>
    <w:basedOn w:val="1"/>
    <w:next w:val="1"/>
    <w:qFormat/>
    <w:uiPriority w:val="0"/>
    <w:pPr>
      <w:spacing w:line="320" w:lineRule="exact"/>
      <w:jc w:val="center"/>
    </w:pPr>
  </w:style>
  <w:style w:type="paragraph" w:styleId="37">
    <w:name w:val="footnote text"/>
    <w:basedOn w:val="1"/>
    <w:link w:val="83"/>
    <w:qFormat/>
    <w:uiPriority w:val="0"/>
    <w:pPr>
      <w:snapToGrid w:val="0"/>
      <w:jc w:val="left"/>
    </w:pPr>
    <w:rPr>
      <w:sz w:val="18"/>
    </w:rPr>
  </w:style>
  <w:style w:type="paragraph" w:styleId="38">
    <w:name w:val="Body Text Indent 3"/>
    <w:basedOn w:val="1"/>
    <w:link w:val="84"/>
    <w:qFormat/>
    <w:uiPriority w:val="0"/>
    <w:pPr>
      <w:spacing w:after="120"/>
      <w:ind w:left="420" w:leftChars="200"/>
    </w:pPr>
    <w:rPr>
      <w:sz w:val="16"/>
      <w:szCs w:val="16"/>
    </w:rPr>
  </w:style>
  <w:style w:type="paragraph" w:styleId="39">
    <w:name w:val="toc 2"/>
    <w:basedOn w:val="1"/>
    <w:next w:val="1"/>
    <w:qFormat/>
    <w:uiPriority w:val="39"/>
    <w:pPr>
      <w:ind w:left="420" w:leftChars="200"/>
    </w:pPr>
  </w:style>
  <w:style w:type="paragraph" w:styleId="40">
    <w:name w:val="toc 9"/>
    <w:basedOn w:val="27"/>
    <w:next w:val="1"/>
    <w:qFormat/>
    <w:uiPriority w:val="39"/>
    <w:pPr>
      <w:tabs>
        <w:tab w:val="left" w:pos="450"/>
      </w:tabs>
      <w:ind w:left="1680"/>
    </w:pPr>
  </w:style>
  <w:style w:type="paragraph" w:styleId="41">
    <w:name w:val="Message Header"/>
    <w:next w:val="42"/>
    <w:link w:val="85"/>
    <w:unhideWhenUsed/>
    <w:qFormat/>
    <w:uiPriority w:val="99"/>
    <w:pPr>
      <w:shd w:val="pct20" w:color="auto" w:fill="auto"/>
      <w:ind w:left="500" w:leftChars="500" w:hanging="1080" w:hangingChars="500"/>
    </w:pPr>
    <w:rPr>
      <w:rFonts w:ascii="Arial" w:hAnsi="Arial" w:eastAsia="宋体" w:cs="Times New Roman"/>
      <w:kern w:val="2"/>
      <w:sz w:val="24"/>
      <w:szCs w:val="24"/>
      <w:lang w:bidi="ar-SA"/>
    </w:rPr>
  </w:style>
  <w:style w:type="paragraph" w:customStyle="1" w:styleId="42">
    <w:name w:val="Bullet 2"/>
    <w:qFormat/>
    <w:uiPriority w:val="0"/>
    <w:pPr>
      <w:tabs>
        <w:tab w:val="left" w:pos="360"/>
      </w:tabs>
      <w:spacing w:after="120"/>
      <w:ind w:left="360" w:hanging="360"/>
      <w:jc w:val="both"/>
    </w:pPr>
    <w:rPr>
      <w:rFonts w:ascii="Times New Roman" w:hAnsi="Times New Roman" w:eastAsia="宋体" w:cs="Times New Roman"/>
      <w:color w:val="000000"/>
      <w:sz w:val="24"/>
      <w:lang w:val="en-US" w:eastAsia="en-US" w:bidi="ar-SA"/>
    </w:rPr>
  </w:style>
  <w:style w:type="paragraph" w:styleId="43">
    <w:name w:val="HTML Preformatted"/>
    <w:basedOn w:val="1"/>
    <w:link w:val="8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4">
    <w:name w:val="Normal (Web)"/>
    <w:basedOn w:val="1"/>
    <w:qFormat/>
    <w:uiPriority w:val="99"/>
    <w:pPr>
      <w:widowControl/>
      <w:spacing w:before="100" w:beforeAutospacing="1" w:after="100" w:afterAutospacing="1"/>
      <w:jc w:val="left"/>
    </w:pPr>
    <w:rPr>
      <w:rFonts w:ascii="宋体"/>
      <w:kern w:val="0"/>
      <w:sz w:val="18"/>
      <w:szCs w:val="18"/>
    </w:rPr>
  </w:style>
  <w:style w:type="paragraph" w:styleId="45">
    <w:name w:val="Title"/>
    <w:basedOn w:val="1"/>
    <w:link w:val="87"/>
    <w:qFormat/>
    <w:uiPriority w:val="10"/>
    <w:pPr>
      <w:spacing w:before="240" w:after="60"/>
      <w:jc w:val="center"/>
      <w:outlineLvl w:val="0"/>
    </w:pPr>
    <w:rPr>
      <w:rFonts w:ascii="Arial" w:hAnsi="Arial"/>
      <w:b/>
      <w:bCs/>
      <w:sz w:val="32"/>
      <w:szCs w:val="32"/>
    </w:rPr>
  </w:style>
  <w:style w:type="paragraph" w:styleId="46">
    <w:name w:val="annotation subject"/>
    <w:basedOn w:val="21"/>
    <w:next w:val="21"/>
    <w:link w:val="88"/>
    <w:qFormat/>
    <w:uiPriority w:val="99"/>
    <w:rPr>
      <w:b/>
      <w:bCs/>
      <w:szCs w:val="22"/>
    </w:rPr>
  </w:style>
  <w:style w:type="paragraph" w:styleId="47">
    <w:name w:val="Body Text First Indent"/>
    <w:basedOn w:val="2"/>
    <w:qFormat/>
    <w:uiPriority w:val="0"/>
    <w:pPr>
      <w:ind w:firstLine="420" w:firstLineChars="100"/>
    </w:pPr>
    <w:rPr>
      <w:rFonts w:cs="Angsana New"/>
      <w:sz w:val="20"/>
      <w:szCs w:val="24"/>
      <w:lang w:bidi="th-TH"/>
    </w:rPr>
  </w:style>
  <w:style w:type="paragraph" w:styleId="48">
    <w:name w:val="Body Text First Indent 2"/>
    <w:basedOn w:val="23"/>
    <w:qFormat/>
    <w:uiPriority w:val="0"/>
    <w:pPr>
      <w:tabs>
        <w:tab w:val="left" w:pos="2700"/>
      </w:tabs>
      <w:ind w:firstLine="420" w:firstLineChars="200"/>
    </w:pPr>
  </w:style>
  <w:style w:type="table" w:styleId="50">
    <w:name w:val="Table Grid"/>
    <w:basedOn w:val="4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22"/>
    <w:rPr>
      <w:b/>
      <w:bCs/>
    </w:rPr>
  </w:style>
  <w:style w:type="character" w:styleId="53">
    <w:name w:val="endnote reference"/>
    <w:qFormat/>
    <w:uiPriority w:val="0"/>
    <w:rPr>
      <w:vertAlign w:val="superscript"/>
    </w:rPr>
  </w:style>
  <w:style w:type="character" w:styleId="54">
    <w:name w:val="page number"/>
    <w:qFormat/>
    <w:uiPriority w:val="99"/>
  </w:style>
  <w:style w:type="character" w:styleId="55">
    <w:name w:val="FollowedHyperlink"/>
    <w:qFormat/>
    <w:uiPriority w:val="99"/>
    <w:rPr>
      <w:color w:val="3D3D3D"/>
      <w:u w:val="none"/>
    </w:rPr>
  </w:style>
  <w:style w:type="character" w:styleId="56">
    <w:name w:val="Emphasis"/>
    <w:qFormat/>
    <w:uiPriority w:val="0"/>
    <w:rPr>
      <w:i/>
      <w:iCs/>
    </w:rPr>
  </w:style>
  <w:style w:type="character" w:styleId="57">
    <w:name w:val="Hyperlink"/>
    <w:unhideWhenUsed/>
    <w:qFormat/>
    <w:uiPriority w:val="99"/>
    <w:rPr>
      <w:color w:val="3D3D3D"/>
      <w:u w:val="none"/>
    </w:rPr>
  </w:style>
  <w:style w:type="character" w:styleId="58">
    <w:name w:val="annotation reference"/>
    <w:qFormat/>
    <w:uiPriority w:val="99"/>
    <w:rPr>
      <w:sz w:val="21"/>
      <w:szCs w:val="21"/>
    </w:rPr>
  </w:style>
  <w:style w:type="character" w:styleId="59">
    <w:name w:val="footnote reference"/>
    <w:qFormat/>
    <w:uiPriority w:val="0"/>
    <w:rPr>
      <w:vertAlign w:val="superscript"/>
    </w:rPr>
  </w:style>
  <w:style w:type="character" w:customStyle="1" w:styleId="60">
    <w:name w:val="正文文本 Char"/>
    <w:link w:val="2"/>
    <w:qFormat/>
    <w:uiPriority w:val="0"/>
    <w:rPr>
      <w:kern w:val="2"/>
      <w:sz w:val="21"/>
      <w:szCs w:val="24"/>
    </w:rPr>
  </w:style>
  <w:style w:type="character" w:customStyle="1" w:styleId="61">
    <w:name w:val="标题 1 Char1"/>
    <w:link w:val="3"/>
    <w:qFormat/>
    <w:uiPriority w:val="0"/>
    <w:rPr>
      <w:b/>
      <w:bCs/>
      <w:kern w:val="44"/>
      <w:sz w:val="44"/>
      <w:szCs w:val="44"/>
    </w:rPr>
  </w:style>
  <w:style w:type="character" w:customStyle="1" w:styleId="62">
    <w:name w:val="标题 2 Char"/>
    <w:link w:val="4"/>
    <w:qFormat/>
    <w:locked/>
    <w:uiPriority w:val="0"/>
    <w:rPr>
      <w:rFonts w:ascii="Arial" w:hAnsi="Arial" w:eastAsia="黑体"/>
      <w:b/>
      <w:bCs/>
      <w:kern w:val="2"/>
      <w:sz w:val="32"/>
      <w:szCs w:val="32"/>
    </w:rPr>
  </w:style>
  <w:style w:type="character" w:customStyle="1" w:styleId="63">
    <w:name w:val="标题 3 Char"/>
    <w:link w:val="5"/>
    <w:qFormat/>
    <w:uiPriority w:val="0"/>
    <w:rPr>
      <w:b/>
      <w:bCs/>
      <w:kern w:val="2"/>
      <w:sz w:val="32"/>
      <w:szCs w:val="32"/>
    </w:rPr>
  </w:style>
  <w:style w:type="character" w:customStyle="1" w:styleId="64">
    <w:name w:val="标题 4 Char"/>
    <w:link w:val="6"/>
    <w:qFormat/>
    <w:uiPriority w:val="0"/>
    <w:rPr>
      <w:rFonts w:ascii="Arial" w:hAnsi="Arial"/>
      <w:b/>
      <w:bCs/>
      <w:sz w:val="28"/>
      <w:szCs w:val="28"/>
    </w:rPr>
  </w:style>
  <w:style w:type="character" w:customStyle="1" w:styleId="65">
    <w:name w:val="标题 5 Char"/>
    <w:link w:val="7"/>
    <w:qFormat/>
    <w:uiPriority w:val="0"/>
    <w:rPr>
      <w:rFonts w:ascii="宋体" w:hAnsi="宋体" w:cs="宋体"/>
      <w:b/>
      <w:bCs/>
      <w:kern w:val="2"/>
      <w:sz w:val="24"/>
      <w:szCs w:val="24"/>
      <w:lang w:val="zh-CN" w:bidi="zh-CN"/>
    </w:rPr>
  </w:style>
  <w:style w:type="character" w:customStyle="1" w:styleId="66">
    <w:name w:val="标题 6 Char"/>
    <w:link w:val="8"/>
    <w:qFormat/>
    <w:uiPriority w:val="0"/>
    <w:rPr>
      <w:rFonts w:ascii="Arial" w:hAnsi="Arial" w:eastAsia="黑体"/>
      <w:b/>
      <w:bCs/>
      <w:kern w:val="2"/>
      <w:sz w:val="24"/>
      <w:szCs w:val="24"/>
    </w:rPr>
  </w:style>
  <w:style w:type="character" w:customStyle="1" w:styleId="67">
    <w:name w:val="标题 7 Char"/>
    <w:link w:val="9"/>
    <w:qFormat/>
    <w:uiPriority w:val="0"/>
    <w:rPr>
      <w:b/>
      <w:bCs/>
      <w:kern w:val="2"/>
      <w:sz w:val="24"/>
      <w:szCs w:val="24"/>
    </w:rPr>
  </w:style>
  <w:style w:type="character" w:customStyle="1" w:styleId="68">
    <w:name w:val="标题 8 Char"/>
    <w:link w:val="10"/>
    <w:qFormat/>
    <w:uiPriority w:val="0"/>
    <w:rPr>
      <w:rFonts w:ascii="Arial" w:hAnsi="Arial" w:eastAsia="黑体"/>
      <w:kern w:val="2"/>
      <w:sz w:val="24"/>
      <w:szCs w:val="24"/>
    </w:rPr>
  </w:style>
  <w:style w:type="character" w:customStyle="1" w:styleId="69">
    <w:name w:val="标题 9 Char"/>
    <w:link w:val="11"/>
    <w:qFormat/>
    <w:uiPriority w:val="0"/>
    <w:rPr>
      <w:rFonts w:ascii="Arial" w:hAnsi="Arial" w:eastAsia="黑体"/>
      <w:kern w:val="2"/>
      <w:sz w:val="21"/>
      <w:szCs w:val="21"/>
    </w:rPr>
  </w:style>
  <w:style w:type="character" w:customStyle="1" w:styleId="70">
    <w:name w:val="正文缩进 Char"/>
    <w:link w:val="18"/>
    <w:qFormat/>
    <w:uiPriority w:val="0"/>
    <w:rPr>
      <w:kern w:val="2"/>
      <w:sz w:val="21"/>
      <w:szCs w:val="24"/>
    </w:rPr>
  </w:style>
  <w:style w:type="character" w:customStyle="1" w:styleId="71">
    <w:name w:val="文档结构图 Char"/>
    <w:link w:val="20"/>
    <w:qFormat/>
    <w:uiPriority w:val="99"/>
    <w:rPr>
      <w:rFonts w:ascii="宋体"/>
      <w:kern w:val="2"/>
      <w:sz w:val="18"/>
      <w:szCs w:val="18"/>
    </w:rPr>
  </w:style>
  <w:style w:type="character" w:customStyle="1" w:styleId="72">
    <w:name w:val="批注文字 Char"/>
    <w:link w:val="21"/>
    <w:qFormat/>
    <w:uiPriority w:val="0"/>
    <w:rPr>
      <w:kern w:val="2"/>
      <w:sz w:val="21"/>
      <w:szCs w:val="24"/>
    </w:rPr>
  </w:style>
  <w:style w:type="character" w:customStyle="1" w:styleId="73">
    <w:name w:val="正文文本 3 Char"/>
    <w:link w:val="22"/>
    <w:qFormat/>
    <w:uiPriority w:val="0"/>
    <w:rPr>
      <w:kern w:val="2"/>
      <w:sz w:val="21"/>
    </w:rPr>
  </w:style>
  <w:style w:type="character" w:customStyle="1" w:styleId="74">
    <w:name w:val="正文文本缩进 Char"/>
    <w:link w:val="23"/>
    <w:qFormat/>
    <w:locked/>
    <w:uiPriority w:val="0"/>
    <w:rPr>
      <w:kern w:val="2"/>
      <w:sz w:val="32"/>
    </w:rPr>
  </w:style>
  <w:style w:type="character" w:customStyle="1" w:styleId="75">
    <w:name w:val="纯文本 Char"/>
    <w:link w:val="26"/>
    <w:qFormat/>
    <w:uiPriority w:val="0"/>
    <w:rPr>
      <w:rFonts w:ascii="宋体" w:hAnsi="Courier New"/>
      <w:kern w:val="2"/>
      <w:sz w:val="21"/>
    </w:rPr>
  </w:style>
  <w:style w:type="character" w:customStyle="1" w:styleId="76">
    <w:name w:val="日期 Char"/>
    <w:link w:val="28"/>
    <w:qFormat/>
    <w:uiPriority w:val="99"/>
    <w:rPr>
      <w:kern w:val="2"/>
      <w:sz w:val="21"/>
      <w:szCs w:val="22"/>
    </w:rPr>
  </w:style>
  <w:style w:type="character" w:customStyle="1" w:styleId="77">
    <w:name w:val="正文文本缩进 2 Char"/>
    <w:link w:val="29"/>
    <w:qFormat/>
    <w:uiPriority w:val="0"/>
    <w:rPr>
      <w:kern w:val="2"/>
      <w:sz w:val="21"/>
      <w:szCs w:val="24"/>
    </w:rPr>
  </w:style>
  <w:style w:type="character" w:customStyle="1" w:styleId="78">
    <w:name w:val="尾注文本 Char1"/>
    <w:link w:val="30"/>
    <w:qFormat/>
    <w:uiPriority w:val="0"/>
    <w:rPr>
      <w:kern w:val="2"/>
      <w:sz w:val="24"/>
      <w:szCs w:val="24"/>
    </w:rPr>
  </w:style>
  <w:style w:type="character" w:customStyle="1" w:styleId="79">
    <w:name w:val="批注框文本 Char"/>
    <w:link w:val="31"/>
    <w:qFormat/>
    <w:uiPriority w:val="99"/>
    <w:rPr>
      <w:sz w:val="18"/>
      <w:szCs w:val="18"/>
    </w:rPr>
  </w:style>
  <w:style w:type="character" w:customStyle="1" w:styleId="80">
    <w:name w:val="页脚 Char"/>
    <w:link w:val="32"/>
    <w:qFormat/>
    <w:uiPriority w:val="0"/>
    <w:rPr>
      <w:kern w:val="2"/>
      <w:sz w:val="18"/>
    </w:rPr>
  </w:style>
  <w:style w:type="character" w:customStyle="1" w:styleId="81">
    <w:name w:val="页眉 Char"/>
    <w:link w:val="33"/>
    <w:qFormat/>
    <w:uiPriority w:val="99"/>
    <w:rPr>
      <w:kern w:val="2"/>
      <w:sz w:val="18"/>
    </w:rPr>
  </w:style>
  <w:style w:type="character" w:customStyle="1" w:styleId="82">
    <w:name w:val="副标题 Char1"/>
    <w:basedOn w:val="51"/>
    <w:link w:val="35"/>
    <w:qFormat/>
    <w:uiPriority w:val="0"/>
    <w:rPr>
      <w:rFonts w:ascii="Cambria" w:hAnsi="Cambria" w:cs="Times New Roman"/>
      <w:b/>
      <w:bCs/>
      <w:kern w:val="28"/>
      <w:sz w:val="32"/>
      <w:szCs w:val="32"/>
    </w:rPr>
  </w:style>
  <w:style w:type="character" w:customStyle="1" w:styleId="83">
    <w:name w:val="脚注文本 Char"/>
    <w:link w:val="37"/>
    <w:qFormat/>
    <w:uiPriority w:val="0"/>
    <w:rPr>
      <w:kern w:val="2"/>
      <w:sz w:val="18"/>
      <w:szCs w:val="24"/>
    </w:rPr>
  </w:style>
  <w:style w:type="character" w:customStyle="1" w:styleId="84">
    <w:name w:val="正文文本缩进 3 Char1"/>
    <w:basedOn w:val="51"/>
    <w:link w:val="38"/>
    <w:qFormat/>
    <w:uiPriority w:val="0"/>
    <w:rPr>
      <w:kern w:val="2"/>
      <w:sz w:val="16"/>
      <w:szCs w:val="16"/>
    </w:rPr>
  </w:style>
  <w:style w:type="character" w:customStyle="1" w:styleId="85">
    <w:name w:val="信息标题 Char"/>
    <w:link w:val="41"/>
    <w:qFormat/>
    <w:uiPriority w:val="99"/>
    <w:rPr>
      <w:rFonts w:ascii="Arial" w:hAnsi="Arial"/>
      <w:kern w:val="2"/>
      <w:sz w:val="24"/>
      <w:szCs w:val="24"/>
      <w:shd w:val="pct20" w:color="auto" w:fill="auto"/>
      <w:lang w:bidi="ar-SA"/>
    </w:rPr>
  </w:style>
  <w:style w:type="character" w:customStyle="1" w:styleId="86">
    <w:name w:val="HTML 预设格式 Char"/>
    <w:link w:val="43"/>
    <w:qFormat/>
    <w:uiPriority w:val="0"/>
    <w:rPr>
      <w:rFonts w:ascii="宋体" w:hAnsi="宋体" w:cs="宋体"/>
      <w:sz w:val="24"/>
      <w:szCs w:val="24"/>
    </w:rPr>
  </w:style>
  <w:style w:type="character" w:customStyle="1" w:styleId="87">
    <w:name w:val="标题 Char"/>
    <w:link w:val="45"/>
    <w:qFormat/>
    <w:uiPriority w:val="10"/>
    <w:rPr>
      <w:rFonts w:ascii="Arial" w:hAnsi="Arial" w:cs="Arial"/>
      <w:b/>
      <w:bCs/>
      <w:kern w:val="2"/>
      <w:sz w:val="32"/>
      <w:szCs w:val="32"/>
    </w:rPr>
  </w:style>
  <w:style w:type="character" w:customStyle="1" w:styleId="88">
    <w:name w:val="批注主题 Char"/>
    <w:link w:val="46"/>
    <w:qFormat/>
    <w:uiPriority w:val="99"/>
    <w:rPr>
      <w:b/>
      <w:bCs/>
      <w:kern w:val="2"/>
      <w:sz w:val="21"/>
      <w:szCs w:val="22"/>
    </w:rPr>
  </w:style>
  <w:style w:type="paragraph" w:customStyle="1" w:styleId="89">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90">
    <w:name w:val="Quote"/>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character" w:customStyle="1" w:styleId="91">
    <w:name w:val="副标题 Char"/>
    <w:qFormat/>
    <w:uiPriority w:val="11"/>
    <w:rPr>
      <w:rFonts w:ascii="Calibri Light" w:hAnsi="Calibri Light"/>
      <w:b/>
      <w:bCs/>
      <w:kern w:val="28"/>
      <w:sz w:val="32"/>
      <w:szCs w:val="32"/>
    </w:rPr>
  </w:style>
  <w:style w:type="character" w:customStyle="1" w:styleId="92">
    <w:name w:val="正文文本缩进 3 Char"/>
    <w:qFormat/>
    <w:uiPriority w:val="0"/>
    <w:rPr>
      <w:kern w:val="2"/>
      <w:sz w:val="16"/>
      <w:szCs w:val="16"/>
    </w:rPr>
  </w:style>
  <w:style w:type="character" w:customStyle="1" w:styleId="93">
    <w:name w:val="font241"/>
    <w:qFormat/>
    <w:uiPriority w:val="0"/>
    <w:rPr>
      <w:rFonts w:hint="eastAsia" w:ascii="宋体" w:hAnsi="宋体" w:eastAsia="宋体" w:cs="宋体"/>
      <w:color w:val="FF0000"/>
      <w:sz w:val="20"/>
      <w:szCs w:val="20"/>
      <w:u w:val="none"/>
    </w:rPr>
  </w:style>
  <w:style w:type="character" w:customStyle="1" w:styleId="94">
    <w:name w:val="日期 Char2"/>
    <w:semiHidden/>
    <w:qFormat/>
    <w:uiPriority w:val="0"/>
    <w:rPr>
      <w:rFonts w:ascii="Times New Roman" w:hAnsi="Times New Roman"/>
      <w:kern w:val="2"/>
      <w:sz w:val="24"/>
      <w:szCs w:val="24"/>
    </w:rPr>
  </w:style>
  <w:style w:type="character" w:customStyle="1" w:styleId="95">
    <w:name w:val="正文文本 (2) + Century Schoolbook"/>
    <w:qFormat/>
    <w:uiPriority w:val="99"/>
    <w:rPr>
      <w:rFonts w:ascii="Century Schoolbook" w:eastAsia="Century Schoolbook" w:cs="Century Schoolbook"/>
      <w:sz w:val="20"/>
      <w:szCs w:val="20"/>
      <w:shd w:val="clear" w:color="auto" w:fill="FFFFFF"/>
      <w:lang w:val="en-US" w:eastAsia="en-US"/>
    </w:rPr>
  </w:style>
  <w:style w:type="character" w:customStyle="1" w:styleId="96">
    <w:name w:val="附录公式 Char Char"/>
    <w:link w:val="97"/>
    <w:qFormat/>
    <w:uiPriority w:val="0"/>
    <w:rPr>
      <w:rFonts w:ascii="宋体"/>
      <w:sz w:val="21"/>
    </w:rPr>
  </w:style>
  <w:style w:type="paragraph" w:customStyle="1" w:styleId="97">
    <w:name w:val="附录公式"/>
    <w:basedOn w:val="98"/>
    <w:next w:val="98"/>
    <w:link w:val="96"/>
    <w:qFormat/>
    <w:uiPriority w:val="0"/>
    <w:pPr>
      <w:tabs>
        <w:tab w:val="center" w:pos="4201"/>
        <w:tab w:val="right" w:leader="dot" w:pos="9298"/>
      </w:tabs>
      <w:ind w:firstLine="420"/>
    </w:pPr>
    <w:rPr>
      <w:szCs w:val="20"/>
    </w:rPr>
  </w:style>
  <w:style w:type="paragraph" w:customStyle="1" w:styleId="98">
    <w:name w:val="段"/>
    <w:link w:val="99"/>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99">
    <w:name w:val="段 Char Char"/>
    <w:link w:val="98"/>
    <w:qFormat/>
    <w:uiPriority w:val="0"/>
    <w:rPr>
      <w:rFonts w:ascii="宋体"/>
      <w:sz w:val="21"/>
      <w:szCs w:val="22"/>
      <w:lang w:val="en-US" w:eastAsia="zh-CN" w:bidi="ar-SA"/>
    </w:rPr>
  </w:style>
  <w:style w:type="character" w:customStyle="1" w:styleId="100">
    <w:name w:val="批注引用3"/>
    <w:qFormat/>
    <w:uiPriority w:val="0"/>
    <w:rPr>
      <w:sz w:val="21"/>
      <w:szCs w:val="21"/>
    </w:rPr>
  </w:style>
  <w:style w:type="character" w:customStyle="1" w:styleId="101">
    <w:name w:val="尾注文本 Char"/>
    <w:qFormat/>
    <w:uiPriority w:val="0"/>
    <w:rPr>
      <w:kern w:val="2"/>
      <w:sz w:val="21"/>
      <w:szCs w:val="24"/>
    </w:rPr>
  </w:style>
  <w:style w:type="character" w:customStyle="1" w:styleId="102">
    <w:name w:val="批注引用5"/>
    <w:qFormat/>
    <w:uiPriority w:val="0"/>
    <w:rPr>
      <w:sz w:val="21"/>
      <w:szCs w:val="21"/>
    </w:rPr>
  </w:style>
  <w:style w:type="character" w:customStyle="1" w:styleId="103">
    <w:name w:val="正文文本 (2) + Century Schoolbook9"/>
    <w:qFormat/>
    <w:uiPriority w:val="99"/>
    <w:rPr>
      <w:rFonts w:ascii="Century Schoolbook" w:eastAsia="Century Schoolbook" w:cs="Century Schoolbook"/>
      <w:smallCaps/>
      <w:sz w:val="16"/>
      <w:szCs w:val="16"/>
      <w:u w:val="none"/>
      <w:shd w:val="clear" w:color="auto" w:fill="FFFFFF"/>
      <w:lang w:val="en-US" w:eastAsia="en-US"/>
    </w:rPr>
  </w:style>
  <w:style w:type="character" w:customStyle="1" w:styleId="104">
    <w:name w:val="正文首行缩进 Char1"/>
    <w:qFormat/>
    <w:uiPriority w:val="0"/>
    <w:rPr>
      <w:kern w:val="2"/>
      <w:sz w:val="21"/>
      <w:szCs w:val="24"/>
    </w:rPr>
  </w:style>
  <w:style w:type="character" w:customStyle="1" w:styleId="105">
    <w:name w:val="font41"/>
    <w:qFormat/>
    <w:uiPriority w:val="0"/>
    <w:rPr>
      <w:rFonts w:hint="eastAsia" w:ascii="宋体" w:hAnsi="宋体" w:eastAsia="宋体" w:cs="宋体"/>
      <w:b/>
      <w:color w:val="000000"/>
      <w:sz w:val="44"/>
      <w:szCs w:val="44"/>
      <w:u w:val="none"/>
    </w:rPr>
  </w:style>
  <w:style w:type="character" w:customStyle="1" w:styleId="106">
    <w:name w:val="正文文本 (2) + MS Mincho"/>
    <w:qFormat/>
    <w:uiPriority w:val="0"/>
    <w:rPr>
      <w:rFonts w:hint="eastAsia" w:ascii="MS Mincho" w:eastAsia="MS Mincho"/>
      <w:w w:val="150"/>
      <w:sz w:val="15"/>
      <w:shd w:val="clear" w:color="auto" w:fill="FFFFFF"/>
      <w:lang w:val="en-US" w:eastAsia="en-US"/>
    </w:rPr>
  </w:style>
  <w:style w:type="character" w:customStyle="1" w:styleId="107">
    <w:name w:val="发布"/>
    <w:qFormat/>
    <w:uiPriority w:val="0"/>
    <w:rPr>
      <w:rFonts w:ascii="黑体" w:eastAsia="黑体"/>
      <w:spacing w:val="22"/>
      <w:w w:val="100"/>
      <w:position w:val="3"/>
      <w:sz w:val="28"/>
    </w:rPr>
  </w:style>
  <w:style w:type="character" w:customStyle="1" w:styleId="108">
    <w:name w:val="表格文字 Char Char Char"/>
    <w:qFormat/>
    <w:uiPriority w:val="0"/>
    <w:rPr>
      <w:rFonts w:ascii="Calibri" w:hAnsi="Calibri"/>
      <w:sz w:val="22"/>
      <w:szCs w:val="22"/>
      <w:lang w:eastAsia="en-US" w:bidi="en-US"/>
    </w:rPr>
  </w:style>
  <w:style w:type="character" w:customStyle="1" w:styleId="109">
    <w:name w:val="正文文本 (2) + 10 pt6"/>
    <w:qFormat/>
    <w:uiPriority w:val="99"/>
    <w:rPr>
      <w:rFonts w:ascii="MingLiU" w:eastAsia="MingLiU" w:cs="MingLiU"/>
      <w:b/>
      <w:bCs/>
      <w:spacing w:val="-10"/>
      <w:sz w:val="20"/>
      <w:szCs w:val="20"/>
      <w:u w:val="none"/>
      <w:shd w:val="clear" w:color="auto" w:fill="FFFFFF"/>
      <w:lang w:val="en-US" w:eastAsia="en-US"/>
    </w:rPr>
  </w:style>
  <w:style w:type="character" w:customStyle="1" w:styleId="110">
    <w:name w:val="正文首行缩进 Char"/>
    <w:link w:val="111"/>
    <w:qFormat/>
    <w:uiPriority w:val="0"/>
    <w:rPr>
      <w:kern w:val="2"/>
      <w:sz w:val="21"/>
      <w:szCs w:val="24"/>
    </w:rPr>
  </w:style>
  <w:style w:type="paragraph" w:customStyle="1" w:styleId="111">
    <w:name w:val="正文首行缩进1"/>
    <w:basedOn w:val="2"/>
    <w:link w:val="110"/>
    <w:qFormat/>
    <w:uiPriority w:val="0"/>
    <w:pPr>
      <w:spacing w:after="0" w:line="312" w:lineRule="auto"/>
      <w:ind w:firstLine="425"/>
    </w:pPr>
  </w:style>
  <w:style w:type="character" w:customStyle="1" w:styleId="112">
    <w:name w:val="r-text"/>
    <w:qFormat/>
    <w:uiPriority w:val="0"/>
    <w:rPr>
      <w:color w:val="00349B"/>
    </w:rPr>
  </w:style>
  <w:style w:type="character" w:customStyle="1" w:styleId="113">
    <w:name w:val="正文文本 (2) + 7.5 pt8"/>
    <w:qFormat/>
    <w:uiPriority w:val="99"/>
    <w:rPr>
      <w:rFonts w:ascii="MingLiU" w:eastAsia="MingLiU" w:cs="MingLiU"/>
      <w:sz w:val="15"/>
      <w:szCs w:val="15"/>
      <w:u w:val="none"/>
      <w:shd w:val="clear" w:color="auto" w:fill="FFFFFF"/>
    </w:rPr>
  </w:style>
  <w:style w:type="character" w:customStyle="1" w:styleId="114">
    <w:name w:val="文档结构图 字符"/>
    <w:link w:val="115"/>
    <w:qFormat/>
    <w:uiPriority w:val="0"/>
    <w:rPr>
      <w:kern w:val="2"/>
      <w:sz w:val="21"/>
      <w:szCs w:val="24"/>
      <w:shd w:val="clear" w:color="auto" w:fill="000080"/>
    </w:rPr>
  </w:style>
  <w:style w:type="paragraph" w:customStyle="1" w:styleId="115">
    <w:name w:val="文档结构图2"/>
    <w:basedOn w:val="1"/>
    <w:link w:val="114"/>
    <w:qFormat/>
    <w:uiPriority w:val="0"/>
    <w:pPr>
      <w:shd w:val="clear" w:color="auto" w:fill="000080"/>
    </w:pPr>
    <w:rPr>
      <w:shd w:val="clear" w:color="auto" w:fill="000080"/>
    </w:rPr>
  </w:style>
  <w:style w:type="character" w:customStyle="1" w:styleId="116">
    <w:name w:val="font191"/>
    <w:qFormat/>
    <w:uiPriority w:val="0"/>
    <w:rPr>
      <w:rFonts w:hint="eastAsia" w:ascii="宋体" w:hAnsi="宋体" w:eastAsia="宋体" w:cs="宋体"/>
      <w:color w:val="000000"/>
      <w:sz w:val="32"/>
      <w:szCs w:val="32"/>
      <w:u w:val="none"/>
    </w:rPr>
  </w:style>
  <w:style w:type="character" w:customStyle="1" w:styleId="117">
    <w:name w:val="正文文本 (2) + 7.5 pt1"/>
    <w:qFormat/>
    <w:uiPriority w:val="0"/>
    <w:rPr>
      <w:rFonts w:hint="eastAsia" w:ascii="MingLiU" w:eastAsia="MingLiU"/>
      <w:sz w:val="15"/>
      <w:shd w:val="clear" w:color="auto" w:fill="FFFFFF"/>
    </w:rPr>
  </w:style>
  <w:style w:type="character" w:customStyle="1" w:styleId="118">
    <w:name w:val="文档正文 Char"/>
    <w:link w:val="119"/>
    <w:qFormat/>
    <w:locked/>
    <w:uiPriority w:val="0"/>
    <w:rPr>
      <w:rFonts w:ascii="长城仿宋"/>
      <w:sz w:val="24"/>
    </w:rPr>
  </w:style>
  <w:style w:type="paragraph" w:customStyle="1" w:styleId="119">
    <w:name w:val="文档正文"/>
    <w:basedOn w:val="1"/>
    <w:link w:val="118"/>
    <w:qFormat/>
    <w:uiPriority w:val="0"/>
    <w:pPr>
      <w:adjustRightInd w:val="0"/>
      <w:spacing w:line="480" w:lineRule="atLeast"/>
      <w:ind w:firstLine="567"/>
      <w:textAlignment w:val="baseline"/>
    </w:pPr>
    <w:rPr>
      <w:rFonts w:ascii="长城仿宋"/>
      <w:kern w:val="0"/>
      <w:sz w:val="24"/>
      <w:szCs w:val="20"/>
    </w:rPr>
  </w:style>
  <w:style w:type="character" w:customStyle="1" w:styleId="120">
    <w:name w:val="标题 2 Char1"/>
    <w:qFormat/>
    <w:uiPriority w:val="0"/>
    <w:rPr>
      <w:rFonts w:ascii="Arial" w:hAnsi="Arial" w:eastAsia="黑体"/>
      <w:b/>
      <w:bCs/>
      <w:kern w:val="2"/>
      <w:sz w:val="32"/>
      <w:szCs w:val="32"/>
    </w:rPr>
  </w:style>
  <w:style w:type="character" w:customStyle="1" w:styleId="121">
    <w:name w:val="font91"/>
    <w:qFormat/>
    <w:uiPriority w:val="0"/>
    <w:rPr>
      <w:rFonts w:hint="eastAsia" w:ascii="宋体" w:hAnsi="宋体" w:eastAsia="宋体" w:cs="宋体"/>
      <w:color w:val="FF0000"/>
      <w:sz w:val="21"/>
      <w:szCs w:val="21"/>
      <w:u w:val="single"/>
    </w:rPr>
  </w:style>
  <w:style w:type="character" w:customStyle="1" w:styleId="122">
    <w:name w:val="font171"/>
    <w:qFormat/>
    <w:uiPriority w:val="0"/>
    <w:rPr>
      <w:rFonts w:hint="eastAsia" w:ascii="宋体" w:hAnsi="宋体" w:eastAsia="宋体" w:cs="宋体"/>
      <w:color w:val="000000"/>
      <w:sz w:val="36"/>
      <w:szCs w:val="36"/>
      <w:u w:val="none"/>
    </w:rPr>
  </w:style>
  <w:style w:type="character" w:customStyle="1" w:styleId="123">
    <w:name w:val="font181"/>
    <w:qFormat/>
    <w:uiPriority w:val="0"/>
    <w:rPr>
      <w:rFonts w:hint="eastAsia" w:ascii="宋体" w:hAnsi="宋体" w:eastAsia="宋体" w:cs="宋体"/>
      <w:color w:val="000000"/>
      <w:sz w:val="28"/>
      <w:szCs w:val="28"/>
      <w:u w:val="none"/>
      <w:vertAlign w:val="superscript"/>
    </w:rPr>
  </w:style>
  <w:style w:type="character" w:customStyle="1" w:styleId="124">
    <w:name w:val="一级条标题 Char Char"/>
    <w:qFormat/>
    <w:uiPriority w:val="0"/>
    <w:rPr>
      <w:rFonts w:eastAsia="黑体"/>
      <w:kern w:val="2"/>
      <w:sz w:val="21"/>
      <w:szCs w:val="24"/>
      <w:lang w:val="en-US" w:eastAsia="zh-CN" w:bidi="ar-SA"/>
    </w:rPr>
  </w:style>
  <w:style w:type="character" w:customStyle="1" w:styleId="125">
    <w:name w:val="文档结构图 Char1"/>
    <w:qFormat/>
    <w:uiPriority w:val="0"/>
    <w:rPr>
      <w:rFonts w:ascii="宋体"/>
      <w:kern w:val="2"/>
      <w:sz w:val="18"/>
      <w:szCs w:val="18"/>
    </w:rPr>
  </w:style>
  <w:style w:type="character" w:customStyle="1" w:styleId="126">
    <w:name w:val="r-time"/>
    <w:qFormat/>
    <w:uiPriority w:val="0"/>
    <w:rPr>
      <w:color w:val="B30000"/>
    </w:rPr>
  </w:style>
  <w:style w:type="character" w:customStyle="1" w:styleId="127">
    <w:name w:val="正文文本 (2)_"/>
    <w:link w:val="128"/>
    <w:qFormat/>
    <w:uiPriority w:val="99"/>
    <w:rPr>
      <w:rFonts w:ascii="MingLiU" w:eastAsia="MingLiU" w:cs="MingLiU"/>
      <w:sz w:val="21"/>
      <w:szCs w:val="21"/>
      <w:shd w:val="clear" w:color="auto" w:fill="FFFFFF"/>
    </w:rPr>
  </w:style>
  <w:style w:type="paragraph" w:customStyle="1" w:styleId="128">
    <w:name w:val="正文文本 (2)1"/>
    <w:basedOn w:val="1"/>
    <w:link w:val="127"/>
    <w:qFormat/>
    <w:uiPriority w:val="99"/>
    <w:pPr>
      <w:shd w:val="clear" w:color="auto" w:fill="FFFFFF"/>
      <w:spacing w:before="300" w:line="310" w:lineRule="exact"/>
      <w:ind w:hanging="2140"/>
      <w:jc w:val="left"/>
    </w:pPr>
    <w:rPr>
      <w:rFonts w:ascii="MingLiU" w:eastAsia="MingLiU"/>
      <w:kern w:val="0"/>
      <w:szCs w:val="21"/>
      <w:shd w:val="clear" w:color="auto" w:fill="FFFFFF"/>
    </w:rPr>
  </w:style>
  <w:style w:type="character" w:customStyle="1" w:styleId="129">
    <w:name w:val="纯文本 Char1"/>
    <w:qFormat/>
    <w:uiPriority w:val="0"/>
    <w:rPr>
      <w:rFonts w:ascii="宋体" w:hAnsi="Courier New" w:eastAsia="宋体" w:cs="Courier New"/>
      <w:szCs w:val="21"/>
    </w:rPr>
  </w:style>
  <w:style w:type="character" w:customStyle="1" w:styleId="130">
    <w:name w:val="font101"/>
    <w:qFormat/>
    <w:uiPriority w:val="0"/>
    <w:rPr>
      <w:rFonts w:hint="eastAsia" w:ascii="宋体" w:hAnsi="宋体" w:eastAsia="宋体" w:cs="宋体"/>
      <w:color w:val="000000"/>
      <w:sz w:val="21"/>
      <w:szCs w:val="21"/>
      <w:u w:val="single"/>
    </w:rPr>
  </w:style>
  <w:style w:type="character" w:customStyle="1" w:styleId="131">
    <w:name w:val="纯文本 字符"/>
    <w:link w:val="132"/>
    <w:qFormat/>
    <w:uiPriority w:val="0"/>
    <w:rPr>
      <w:rFonts w:ascii="宋体" w:hAnsi="Courier New"/>
      <w:kern w:val="2"/>
      <w:sz w:val="21"/>
      <w:szCs w:val="24"/>
    </w:rPr>
  </w:style>
  <w:style w:type="paragraph" w:customStyle="1" w:styleId="132">
    <w:name w:val="纯文本21"/>
    <w:basedOn w:val="1"/>
    <w:link w:val="131"/>
    <w:qFormat/>
    <w:uiPriority w:val="0"/>
    <w:rPr>
      <w:rFonts w:ascii="宋体" w:hAnsi="Courier New"/>
    </w:rPr>
  </w:style>
  <w:style w:type="character" w:customStyle="1" w:styleId="133">
    <w:name w:val="表格标题 (4) + Century Schoolbook"/>
    <w:qFormat/>
    <w:uiPriority w:val="99"/>
    <w:rPr>
      <w:rFonts w:ascii="Century Schoolbook" w:eastAsia="Century Schoolbook" w:cs="Century Schoolbook"/>
      <w:sz w:val="16"/>
      <w:szCs w:val="16"/>
      <w:shd w:val="clear" w:color="auto" w:fill="FFFFFF"/>
      <w:lang w:val="en-US" w:eastAsia="en-US"/>
    </w:rPr>
  </w:style>
  <w:style w:type="character" w:customStyle="1" w:styleId="134">
    <w:name w:val="批注引用2"/>
    <w:qFormat/>
    <w:uiPriority w:val="0"/>
    <w:rPr>
      <w:sz w:val="21"/>
      <w:szCs w:val="21"/>
    </w:rPr>
  </w:style>
  <w:style w:type="character" w:customStyle="1" w:styleId="135">
    <w:name w:val="标题 #3 + 间距 1 pt"/>
    <w:qFormat/>
    <w:uiPriority w:val="99"/>
    <w:rPr>
      <w:rFonts w:ascii="MingLiU" w:eastAsia="MingLiU" w:cs="MingLiU"/>
      <w:b/>
      <w:bCs/>
      <w:spacing w:val="20"/>
      <w:shd w:val="clear" w:color="auto" w:fill="FFFFFF"/>
    </w:rPr>
  </w:style>
  <w:style w:type="character" w:customStyle="1" w:styleId="136">
    <w:name w:val="批注文字 Char1"/>
    <w:qFormat/>
    <w:uiPriority w:val="0"/>
    <w:rPr>
      <w:kern w:val="2"/>
      <w:sz w:val="21"/>
      <w:szCs w:val="24"/>
    </w:rPr>
  </w:style>
  <w:style w:type="character" w:customStyle="1" w:styleId="137">
    <w:name w:val="正文文本 (2) + 7.5 pt6"/>
    <w:qFormat/>
    <w:uiPriority w:val="0"/>
    <w:rPr>
      <w:rFonts w:hint="eastAsia" w:ascii="MingLiU" w:eastAsia="MingLiU"/>
      <w:sz w:val="15"/>
      <w:shd w:val="clear" w:color="auto" w:fill="FFFFFF"/>
    </w:rPr>
  </w:style>
  <w:style w:type="character" w:customStyle="1" w:styleId="138">
    <w:name w:val="HTML 预设格式 Char1"/>
    <w:qFormat/>
    <w:uiPriority w:val="0"/>
    <w:rPr>
      <w:rFonts w:ascii="Courier New" w:hAnsi="Courier New" w:cs="Courier New"/>
      <w:kern w:val="2"/>
    </w:rPr>
  </w:style>
  <w:style w:type="character" w:customStyle="1" w:styleId="139">
    <w:name w:val="正文文本缩进 字符1"/>
    <w:qFormat/>
    <w:uiPriority w:val="0"/>
    <w:rPr>
      <w:kern w:val="2"/>
      <w:sz w:val="21"/>
      <w:szCs w:val="24"/>
    </w:rPr>
  </w:style>
  <w:style w:type="character" w:customStyle="1" w:styleId="140">
    <w:name w:val="11 Char"/>
    <w:link w:val="141"/>
    <w:qFormat/>
    <w:uiPriority w:val="0"/>
    <w:rPr>
      <w:rFonts w:ascii="宋体" w:hAnsi="宋体"/>
      <w:b/>
      <w:bCs/>
      <w:kern w:val="2"/>
      <w:sz w:val="24"/>
      <w:szCs w:val="24"/>
    </w:rPr>
  </w:style>
  <w:style w:type="paragraph" w:customStyle="1" w:styleId="141">
    <w:name w:val="11"/>
    <w:basedOn w:val="1"/>
    <w:link w:val="140"/>
    <w:qFormat/>
    <w:uiPriority w:val="0"/>
    <w:pPr>
      <w:spacing w:before="312" w:beforeLines="100" w:line="360" w:lineRule="auto"/>
      <w:outlineLvl w:val="3"/>
    </w:pPr>
    <w:rPr>
      <w:rFonts w:ascii="宋体" w:hAnsi="宋体"/>
      <w:b/>
      <w:bCs/>
      <w:sz w:val="24"/>
    </w:rPr>
  </w:style>
  <w:style w:type="character" w:customStyle="1" w:styleId="142">
    <w:name w:val="纯文本 字符1"/>
    <w:qFormat/>
    <w:uiPriority w:val="0"/>
    <w:rPr>
      <w:rFonts w:ascii="宋体" w:hAnsi="Courier New" w:cs="Courier New"/>
      <w:kern w:val="2"/>
      <w:sz w:val="21"/>
      <w:szCs w:val="21"/>
    </w:rPr>
  </w:style>
  <w:style w:type="character" w:customStyle="1" w:styleId="143">
    <w:name w:val="二级条标题 Char Char"/>
    <w:qFormat/>
    <w:uiPriority w:val="0"/>
    <w:rPr>
      <w:rFonts w:eastAsia="黑体"/>
      <w:kern w:val="2"/>
      <w:sz w:val="21"/>
      <w:szCs w:val="24"/>
      <w:lang w:val="en-US" w:eastAsia="zh-CN" w:bidi="ar-SA"/>
    </w:rPr>
  </w:style>
  <w:style w:type="character" w:customStyle="1" w:styleId="144">
    <w:name w:val="font31"/>
    <w:qFormat/>
    <w:uiPriority w:val="0"/>
    <w:rPr>
      <w:rFonts w:hint="eastAsia" w:ascii="宋体" w:hAnsi="宋体" w:eastAsia="宋体" w:cs="宋体"/>
      <w:color w:val="000000"/>
      <w:sz w:val="21"/>
      <w:szCs w:val="21"/>
      <w:u w:val="none"/>
    </w:rPr>
  </w:style>
  <w:style w:type="character" w:customStyle="1" w:styleId="145">
    <w:name w:val="批注引用4"/>
    <w:qFormat/>
    <w:uiPriority w:val="0"/>
    <w:rPr>
      <w:sz w:val="21"/>
      <w:szCs w:val="21"/>
    </w:rPr>
  </w:style>
  <w:style w:type="character" w:customStyle="1" w:styleId="146">
    <w:name w:val="AA Char"/>
    <w:link w:val="147"/>
    <w:qFormat/>
    <w:uiPriority w:val="0"/>
    <w:rPr>
      <w:rFonts w:ascii="宋体" w:hAnsi="宋体" w:eastAsia="宋体"/>
      <w:kern w:val="2"/>
      <w:sz w:val="24"/>
      <w:szCs w:val="24"/>
    </w:rPr>
  </w:style>
  <w:style w:type="paragraph" w:customStyle="1" w:styleId="147">
    <w:name w:val="AA"/>
    <w:basedOn w:val="1"/>
    <w:link w:val="146"/>
    <w:qFormat/>
    <w:uiPriority w:val="0"/>
    <w:pPr>
      <w:spacing w:line="360" w:lineRule="auto"/>
      <w:ind w:firstLine="480" w:firstLineChars="200"/>
      <w:jc w:val="left"/>
    </w:pPr>
    <w:rPr>
      <w:rFonts w:ascii="宋体" w:hAnsi="宋体"/>
      <w:sz w:val="24"/>
    </w:rPr>
  </w:style>
  <w:style w:type="character" w:customStyle="1" w:styleId="148">
    <w:name w:val="正文文本首行缩进 字符"/>
    <w:link w:val="149"/>
    <w:qFormat/>
    <w:uiPriority w:val="0"/>
    <w:rPr>
      <w:kern w:val="2"/>
      <w:sz w:val="21"/>
      <w:szCs w:val="24"/>
    </w:rPr>
  </w:style>
  <w:style w:type="paragraph" w:customStyle="1" w:styleId="149">
    <w:name w:val="_Style 65"/>
    <w:basedOn w:val="2"/>
    <w:next w:val="47"/>
    <w:link w:val="148"/>
    <w:qFormat/>
    <w:uiPriority w:val="0"/>
    <w:pPr>
      <w:ind w:firstLine="420" w:firstLineChars="100"/>
    </w:pPr>
  </w:style>
  <w:style w:type="character" w:customStyle="1" w:styleId="150">
    <w:name w:val="HTML 变量1"/>
    <w:qFormat/>
    <w:uiPriority w:val="0"/>
    <w:rPr>
      <w:i/>
      <w:iCs/>
    </w:rPr>
  </w:style>
  <w:style w:type="character" w:customStyle="1" w:styleId="151">
    <w:name w:val="批注文字 Char2"/>
    <w:qFormat/>
    <w:uiPriority w:val="0"/>
    <w:rPr>
      <w:rFonts w:ascii="Times New Roman" w:hAnsi="Times New Roman"/>
      <w:kern w:val="2"/>
      <w:sz w:val="24"/>
      <w:szCs w:val="24"/>
    </w:rPr>
  </w:style>
  <w:style w:type="character" w:customStyle="1" w:styleId="152">
    <w:name w:val="正文首行缩进两字符 Char Char"/>
    <w:link w:val="153"/>
    <w:qFormat/>
    <w:locked/>
    <w:uiPriority w:val="0"/>
    <w:rPr>
      <w:kern w:val="2"/>
      <w:sz w:val="21"/>
      <w:szCs w:val="24"/>
    </w:rPr>
  </w:style>
  <w:style w:type="paragraph" w:customStyle="1" w:styleId="153">
    <w:name w:val="正文首行缩进两字符"/>
    <w:basedOn w:val="1"/>
    <w:link w:val="152"/>
    <w:qFormat/>
    <w:uiPriority w:val="0"/>
    <w:pPr>
      <w:spacing w:line="360" w:lineRule="auto"/>
      <w:ind w:firstLine="200" w:firstLineChars="200"/>
    </w:pPr>
  </w:style>
  <w:style w:type="character" w:customStyle="1" w:styleId="154">
    <w:name w:val="日期 Char1"/>
    <w:qFormat/>
    <w:uiPriority w:val="99"/>
  </w:style>
  <w:style w:type="character" w:customStyle="1" w:styleId="155">
    <w:name w:val="标题 #3_"/>
    <w:link w:val="156"/>
    <w:qFormat/>
    <w:locked/>
    <w:uiPriority w:val="99"/>
    <w:rPr>
      <w:rFonts w:ascii="MingLiU" w:eastAsia="MingLiU" w:cs="MingLiU"/>
      <w:b/>
      <w:bCs/>
      <w:shd w:val="clear" w:color="auto" w:fill="FFFFFF"/>
    </w:rPr>
  </w:style>
  <w:style w:type="paragraph" w:customStyle="1" w:styleId="156">
    <w:name w:val="标题 #3"/>
    <w:basedOn w:val="1"/>
    <w:link w:val="155"/>
    <w:qFormat/>
    <w:uiPriority w:val="99"/>
    <w:pPr>
      <w:shd w:val="clear" w:color="auto" w:fill="FFFFFF"/>
      <w:spacing w:before="300" w:after="60" w:line="240" w:lineRule="atLeast"/>
      <w:jc w:val="left"/>
      <w:outlineLvl w:val="2"/>
    </w:pPr>
    <w:rPr>
      <w:rFonts w:ascii="MingLiU" w:eastAsia="MingLiU"/>
      <w:b/>
      <w:bCs/>
      <w:kern w:val="0"/>
      <w:sz w:val="20"/>
      <w:szCs w:val="20"/>
    </w:rPr>
  </w:style>
  <w:style w:type="character" w:customStyle="1" w:styleId="157">
    <w:name w:val="表格文字 Char Char"/>
    <w:link w:val="158"/>
    <w:qFormat/>
    <w:uiPriority w:val="0"/>
    <w:rPr>
      <w:sz w:val="22"/>
      <w:szCs w:val="22"/>
      <w:lang w:eastAsia="en-US" w:bidi="en-US"/>
    </w:rPr>
  </w:style>
  <w:style w:type="paragraph" w:customStyle="1" w:styleId="158">
    <w:name w:val="表格文字"/>
    <w:basedOn w:val="1"/>
    <w:link w:val="157"/>
    <w:qFormat/>
    <w:uiPriority w:val="0"/>
    <w:pPr>
      <w:jc w:val="left"/>
    </w:pPr>
    <w:rPr>
      <w:kern w:val="0"/>
      <w:sz w:val="22"/>
      <w:szCs w:val="22"/>
      <w:lang w:eastAsia="en-US" w:bidi="en-US"/>
    </w:rPr>
  </w:style>
  <w:style w:type="character" w:customStyle="1" w:styleId="159">
    <w:name w:val="正文文本 Char1"/>
    <w:qFormat/>
    <w:uiPriority w:val="0"/>
    <w:rPr>
      <w:kern w:val="2"/>
      <w:sz w:val="21"/>
    </w:rPr>
  </w:style>
  <w:style w:type="character" w:customStyle="1" w:styleId="160">
    <w:name w:val="批注框文本 字符1"/>
    <w:link w:val="161"/>
    <w:qFormat/>
    <w:uiPriority w:val="0"/>
    <w:rPr>
      <w:kern w:val="2"/>
      <w:sz w:val="18"/>
      <w:szCs w:val="18"/>
    </w:rPr>
  </w:style>
  <w:style w:type="paragraph" w:customStyle="1" w:styleId="161">
    <w:name w:val="批注框文本 Char Char"/>
    <w:basedOn w:val="1"/>
    <w:link w:val="160"/>
    <w:qFormat/>
    <w:uiPriority w:val="0"/>
    <w:rPr>
      <w:sz w:val="18"/>
      <w:szCs w:val="18"/>
    </w:rPr>
  </w:style>
  <w:style w:type="character" w:customStyle="1" w:styleId="162">
    <w:name w:val="页码1"/>
    <w:qFormat/>
    <w:uiPriority w:val="0"/>
  </w:style>
  <w:style w:type="character" w:customStyle="1" w:styleId="163">
    <w:name w:val="正文文本 (2) + Century Schoolbook10"/>
    <w:qFormat/>
    <w:uiPriority w:val="99"/>
    <w:rPr>
      <w:rFonts w:ascii="Century Schoolbook" w:eastAsia="Century Schoolbook" w:cs="Century Schoolbook"/>
      <w:sz w:val="16"/>
      <w:szCs w:val="16"/>
      <w:u w:val="none"/>
      <w:shd w:val="clear" w:color="auto" w:fill="FFFFFF"/>
      <w:lang w:val="en-US" w:eastAsia="en-US"/>
    </w:rPr>
  </w:style>
  <w:style w:type="character" w:customStyle="1" w:styleId="164">
    <w:name w:val="表格标题 (4) + 间距 2 pt"/>
    <w:qFormat/>
    <w:uiPriority w:val="99"/>
    <w:rPr>
      <w:rFonts w:ascii="MingLiU" w:eastAsia="MingLiU" w:cs="MingLiU"/>
      <w:spacing w:val="40"/>
      <w:sz w:val="15"/>
      <w:szCs w:val="15"/>
      <w:shd w:val="clear" w:color="auto" w:fill="FFFFFF"/>
    </w:rPr>
  </w:style>
  <w:style w:type="character" w:customStyle="1" w:styleId="165">
    <w:name w:val="HTML 地址 Char1"/>
    <w:qFormat/>
    <w:uiPriority w:val="0"/>
    <w:rPr>
      <w:i/>
      <w:iCs/>
      <w:kern w:val="2"/>
      <w:sz w:val="21"/>
      <w:szCs w:val="24"/>
    </w:rPr>
  </w:style>
  <w:style w:type="character" w:customStyle="1" w:styleId="166">
    <w:name w:val="正文文本缩进 字符"/>
    <w:link w:val="167"/>
    <w:qFormat/>
    <w:uiPriority w:val="0"/>
    <w:rPr>
      <w:kern w:val="2"/>
      <w:sz w:val="21"/>
      <w:szCs w:val="24"/>
    </w:rPr>
  </w:style>
  <w:style w:type="paragraph" w:customStyle="1" w:styleId="167">
    <w:name w:val="正文文本缩进2"/>
    <w:basedOn w:val="1"/>
    <w:link w:val="166"/>
    <w:qFormat/>
    <w:uiPriority w:val="0"/>
    <w:pPr>
      <w:spacing w:after="120"/>
      <w:ind w:left="420" w:leftChars="200"/>
    </w:pPr>
  </w:style>
  <w:style w:type="character" w:customStyle="1" w:styleId="168">
    <w:name w:val="标题 1 Char"/>
    <w:link w:val="169"/>
    <w:qFormat/>
    <w:uiPriority w:val="9"/>
    <w:rPr>
      <w:b/>
      <w:bCs/>
      <w:kern w:val="44"/>
      <w:sz w:val="44"/>
      <w:szCs w:val="44"/>
    </w:rPr>
  </w:style>
  <w:style w:type="paragraph" w:customStyle="1" w:styleId="169">
    <w:name w:val="标题 11"/>
    <w:basedOn w:val="1"/>
    <w:next w:val="1"/>
    <w:link w:val="168"/>
    <w:qFormat/>
    <w:uiPriority w:val="9"/>
    <w:pPr>
      <w:keepNext/>
      <w:keepLines/>
      <w:spacing w:before="340" w:after="330" w:line="578" w:lineRule="auto"/>
      <w:outlineLvl w:val="0"/>
    </w:pPr>
    <w:rPr>
      <w:b/>
      <w:bCs/>
      <w:kern w:val="44"/>
      <w:sz w:val="44"/>
      <w:szCs w:val="44"/>
    </w:rPr>
  </w:style>
  <w:style w:type="character" w:styleId="170">
    <w:name w:val="Placeholder Text"/>
    <w:semiHidden/>
    <w:qFormat/>
    <w:uiPriority w:val="99"/>
    <w:rPr>
      <w:color w:val="808080"/>
    </w:rPr>
  </w:style>
  <w:style w:type="character" w:customStyle="1" w:styleId="171">
    <w:name w:val="font221"/>
    <w:qFormat/>
    <w:uiPriority w:val="0"/>
    <w:rPr>
      <w:rFonts w:hint="eastAsia" w:ascii="宋体" w:hAnsi="宋体" w:eastAsia="宋体" w:cs="宋体"/>
      <w:color w:val="FF0000"/>
      <w:sz w:val="28"/>
      <w:szCs w:val="28"/>
      <w:u w:val="none"/>
    </w:rPr>
  </w:style>
  <w:style w:type="character" w:customStyle="1" w:styleId="172">
    <w:name w:val="HTML 地址 Char"/>
    <w:link w:val="173"/>
    <w:qFormat/>
    <w:uiPriority w:val="0"/>
    <w:rPr>
      <w:i/>
      <w:iCs/>
      <w:kern w:val="2"/>
      <w:sz w:val="21"/>
      <w:szCs w:val="24"/>
    </w:rPr>
  </w:style>
  <w:style w:type="paragraph" w:customStyle="1" w:styleId="173">
    <w:name w:val="HTML 地址1"/>
    <w:basedOn w:val="1"/>
    <w:link w:val="172"/>
    <w:qFormat/>
    <w:uiPriority w:val="0"/>
    <w:pPr>
      <w:tabs>
        <w:tab w:val="left" w:pos="0"/>
      </w:tabs>
    </w:pPr>
    <w:rPr>
      <w:i/>
      <w:iCs/>
    </w:rPr>
  </w:style>
  <w:style w:type="character" w:customStyle="1" w:styleId="174">
    <w:name w:val="正文文本 (2) + 间距 3 pt"/>
    <w:qFormat/>
    <w:uiPriority w:val="99"/>
    <w:rPr>
      <w:rFonts w:ascii="MingLiU" w:eastAsia="MingLiU" w:cs="MingLiU"/>
      <w:spacing w:val="60"/>
      <w:sz w:val="21"/>
      <w:szCs w:val="21"/>
      <w:u w:val="none"/>
      <w:shd w:val="clear" w:color="auto" w:fill="FFFFFF"/>
    </w:rPr>
  </w:style>
  <w:style w:type="character" w:customStyle="1" w:styleId="175">
    <w:name w:val="HTML 键盘1"/>
    <w:qFormat/>
    <w:uiPriority w:val="0"/>
    <w:rPr>
      <w:rFonts w:ascii="Courier New" w:hAnsi="Courier New"/>
      <w:sz w:val="20"/>
      <w:szCs w:val="20"/>
    </w:rPr>
  </w:style>
  <w:style w:type="character" w:customStyle="1" w:styleId="176">
    <w:name w:val="Char Char3"/>
    <w:qFormat/>
    <w:uiPriority w:val="0"/>
    <w:rPr>
      <w:kern w:val="2"/>
      <w:sz w:val="21"/>
      <w:szCs w:val="24"/>
    </w:rPr>
  </w:style>
  <w:style w:type="character" w:customStyle="1" w:styleId="177">
    <w:name w:val="首示例 Char Char"/>
    <w:link w:val="178"/>
    <w:qFormat/>
    <w:uiPriority w:val="0"/>
    <w:rPr>
      <w:rFonts w:ascii="宋体" w:hAnsi="宋体"/>
      <w:kern w:val="2"/>
      <w:sz w:val="18"/>
      <w:szCs w:val="18"/>
      <w:lang w:val="en-US" w:eastAsia="zh-CN" w:bidi="ar-SA"/>
    </w:rPr>
  </w:style>
  <w:style w:type="paragraph" w:customStyle="1" w:styleId="178">
    <w:name w:val="首示例"/>
    <w:next w:val="98"/>
    <w:link w:val="177"/>
    <w:qFormat/>
    <w:uiPriority w:val="0"/>
    <w:pPr>
      <w:tabs>
        <w:tab w:val="left" w:pos="360"/>
      </w:tabs>
      <w:ind w:left="726"/>
    </w:pPr>
    <w:rPr>
      <w:rFonts w:ascii="宋体" w:hAnsi="宋体" w:eastAsia="宋体" w:cs="Times New Roman"/>
      <w:kern w:val="2"/>
      <w:sz w:val="18"/>
      <w:szCs w:val="18"/>
      <w:lang w:val="en-US" w:eastAsia="zh-CN" w:bidi="ar-SA"/>
    </w:rPr>
  </w:style>
  <w:style w:type="character" w:customStyle="1" w:styleId="179">
    <w:name w:val="表格标题 (4)_"/>
    <w:link w:val="180"/>
    <w:qFormat/>
    <w:uiPriority w:val="99"/>
    <w:rPr>
      <w:rFonts w:ascii="MingLiU" w:eastAsia="MingLiU" w:cs="MingLiU"/>
      <w:sz w:val="15"/>
      <w:szCs w:val="15"/>
      <w:shd w:val="clear" w:color="auto" w:fill="FFFFFF"/>
    </w:rPr>
  </w:style>
  <w:style w:type="paragraph" w:customStyle="1" w:styleId="180">
    <w:name w:val="表格标题 (4)"/>
    <w:basedOn w:val="1"/>
    <w:link w:val="179"/>
    <w:qFormat/>
    <w:uiPriority w:val="99"/>
    <w:pPr>
      <w:shd w:val="clear" w:color="auto" w:fill="FFFFFF"/>
      <w:spacing w:line="240" w:lineRule="atLeast"/>
      <w:jc w:val="left"/>
    </w:pPr>
    <w:rPr>
      <w:rFonts w:ascii="MingLiU" w:eastAsia="MingLiU"/>
      <w:kern w:val="0"/>
      <w:sz w:val="15"/>
      <w:szCs w:val="15"/>
      <w:shd w:val="clear" w:color="auto" w:fill="FFFFFF"/>
    </w:rPr>
  </w:style>
  <w:style w:type="character" w:customStyle="1" w:styleId="181">
    <w:name w:val="表格标题 (3)_"/>
    <w:link w:val="182"/>
    <w:qFormat/>
    <w:uiPriority w:val="99"/>
    <w:rPr>
      <w:rFonts w:ascii="MingLiU" w:eastAsia="MingLiU" w:cs="MingLiU"/>
      <w:spacing w:val="10"/>
      <w:sz w:val="18"/>
      <w:szCs w:val="18"/>
      <w:shd w:val="clear" w:color="auto" w:fill="FFFFFF"/>
    </w:rPr>
  </w:style>
  <w:style w:type="paragraph" w:customStyle="1" w:styleId="182">
    <w:name w:val="表格标题 (3)"/>
    <w:basedOn w:val="1"/>
    <w:link w:val="181"/>
    <w:qFormat/>
    <w:uiPriority w:val="99"/>
    <w:pPr>
      <w:shd w:val="clear" w:color="auto" w:fill="FFFFFF"/>
      <w:spacing w:line="240" w:lineRule="atLeast"/>
      <w:jc w:val="left"/>
    </w:pPr>
    <w:rPr>
      <w:rFonts w:ascii="MingLiU" w:eastAsia="MingLiU"/>
      <w:spacing w:val="10"/>
      <w:kern w:val="0"/>
      <w:sz w:val="18"/>
      <w:szCs w:val="18"/>
      <w:shd w:val="clear" w:color="auto" w:fill="FFFFFF"/>
    </w:rPr>
  </w:style>
  <w:style w:type="character" w:customStyle="1" w:styleId="183">
    <w:name w:val="HTML 定义1"/>
    <w:qFormat/>
    <w:uiPriority w:val="0"/>
    <w:rPr>
      <w:i/>
      <w:iCs/>
    </w:rPr>
  </w:style>
  <w:style w:type="character" w:customStyle="1" w:styleId="184">
    <w:name w:val="标题 Char1"/>
    <w:qFormat/>
    <w:uiPriority w:val="0"/>
    <w:rPr>
      <w:rFonts w:ascii="Cambria" w:hAnsi="Cambria" w:cs="Times New Roman"/>
      <w:b/>
      <w:bCs/>
      <w:kern w:val="2"/>
      <w:sz w:val="32"/>
      <w:szCs w:val="32"/>
    </w:rPr>
  </w:style>
  <w:style w:type="character" w:customStyle="1" w:styleId="185">
    <w:name w:val="表格标题 (3) + Century Schoolbook"/>
    <w:qFormat/>
    <w:uiPriority w:val="99"/>
    <w:rPr>
      <w:rFonts w:ascii="Century Schoolbook" w:eastAsia="Century Schoolbook" w:cs="Century Schoolbook"/>
      <w:b/>
      <w:bCs/>
      <w:spacing w:val="-10"/>
      <w:sz w:val="16"/>
      <w:szCs w:val="16"/>
      <w:u w:val="none"/>
      <w:shd w:val="clear" w:color="auto" w:fill="FFFFFF"/>
      <w:lang w:val="en-US" w:eastAsia="en-US"/>
    </w:rPr>
  </w:style>
  <w:style w:type="character" w:customStyle="1" w:styleId="186">
    <w:name w:val="批注引用1"/>
    <w:qFormat/>
    <w:uiPriority w:val="0"/>
    <w:rPr>
      <w:sz w:val="21"/>
      <w:szCs w:val="21"/>
    </w:rPr>
  </w:style>
  <w:style w:type="character" w:customStyle="1" w:styleId="187">
    <w:name w:val="font51"/>
    <w:qFormat/>
    <w:uiPriority w:val="0"/>
    <w:rPr>
      <w:rFonts w:hint="eastAsia" w:ascii="宋体" w:hAnsi="宋体" w:eastAsia="宋体" w:cs="宋体"/>
      <w:color w:val="000000"/>
      <w:sz w:val="20"/>
      <w:szCs w:val="20"/>
      <w:u w:val="none"/>
    </w:rPr>
  </w:style>
  <w:style w:type="character" w:customStyle="1" w:styleId="188">
    <w:name w:val="HTML 打字机1"/>
    <w:qFormat/>
    <w:uiPriority w:val="0"/>
    <w:rPr>
      <w:rFonts w:ascii="Courier New" w:hAnsi="Courier New"/>
      <w:sz w:val="20"/>
      <w:szCs w:val="20"/>
    </w:rPr>
  </w:style>
  <w:style w:type="character" w:customStyle="1" w:styleId="189">
    <w:name w:val="12 Char"/>
    <w:link w:val="190"/>
    <w:qFormat/>
    <w:uiPriority w:val="0"/>
  </w:style>
  <w:style w:type="paragraph" w:customStyle="1" w:styleId="190">
    <w:name w:val="12"/>
    <w:basedOn w:val="141"/>
    <w:link w:val="189"/>
    <w:qFormat/>
    <w:uiPriority w:val="0"/>
    <w:pPr>
      <w:spacing w:after="156" w:afterLines="50"/>
    </w:pPr>
  </w:style>
  <w:style w:type="character" w:customStyle="1" w:styleId="191">
    <w:name w:val="脚注文本 Char1"/>
    <w:qFormat/>
    <w:uiPriority w:val="0"/>
    <w:rPr>
      <w:kern w:val="2"/>
      <w:sz w:val="18"/>
      <w:szCs w:val="18"/>
    </w:rPr>
  </w:style>
  <w:style w:type="character" w:customStyle="1" w:styleId="192">
    <w:name w:val="个人答复风格"/>
    <w:qFormat/>
    <w:uiPriority w:val="0"/>
    <w:rPr>
      <w:rFonts w:ascii="Arial" w:hAnsi="Arial" w:eastAsia="宋体" w:cs="Arial"/>
      <w:color w:val="auto"/>
      <w:sz w:val="20"/>
    </w:rPr>
  </w:style>
  <w:style w:type="character" w:customStyle="1" w:styleId="193">
    <w:name w:val="正文文本 (22) + 间距 1 pt"/>
    <w:qFormat/>
    <w:uiPriority w:val="0"/>
    <w:rPr>
      <w:rFonts w:ascii="MingLiU" w:eastAsia="MingLiU" w:cs="MingLiU"/>
      <w:spacing w:val="20"/>
      <w:sz w:val="18"/>
      <w:szCs w:val="18"/>
      <w:u w:val="none"/>
    </w:rPr>
  </w:style>
  <w:style w:type="character" w:customStyle="1" w:styleId="194">
    <w:name w:val="批注主题 字符2"/>
    <w:link w:val="195"/>
    <w:qFormat/>
    <w:uiPriority w:val="0"/>
    <w:rPr>
      <w:b/>
      <w:bCs/>
      <w:kern w:val="2"/>
      <w:sz w:val="21"/>
      <w:szCs w:val="24"/>
    </w:rPr>
  </w:style>
  <w:style w:type="paragraph" w:customStyle="1" w:styleId="195">
    <w:name w:val="批注主题4"/>
    <w:basedOn w:val="21"/>
    <w:next w:val="21"/>
    <w:link w:val="194"/>
    <w:qFormat/>
    <w:uiPriority w:val="0"/>
    <w:rPr>
      <w:b/>
      <w:bCs/>
    </w:rPr>
  </w:style>
  <w:style w:type="character" w:customStyle="1" w:styleId="196">
    <w:name w:val="KT标题2 Char Char"/>
    <w:link w:val="197"/>
    <w:qFormat/>
    <w:uiPriority w:val="0"/>
    <w:rPr>
      <w:rFonts w:ascii="黑体" w:hAnsi="宋体" w:eastAsia="黑体"/>
      <w:b/>
      <w:bCs/>
      <w:kern w:val="2"/>
      <w:sz w:val="28"/>
      <w:szCs w:val="28"/>
    </w:rPr>
  </w:style>
  <w:style w:type="paragraph" w:customStyle="1" w:styleId="197">
    <w:name w:val="KT标题2"/>
    <w:basedOn w:val="4"/>
    <w:next w:val="1"/>
    <w:link w:val="196"/>
    <w:qFormat/>
    <w:uiPriority w:val="0"/>
    <w:pPr>
      <w:pageBreakBefore/>
      <w:spacing w:before="0" w:afterLines="50" w:line="360" w:lineRule="auto"/>
      <w:jc w:val="center"/>
    </w:pPr>
    <w:rPr>
      <w:rFonts w:ascii="黑体" w:hAnsi="宋体"/>
      <w:sz w:val="28"/>
      <w:szCs w:val="28"/>
    </w:rPr>
  </w:style>
  <w:style w:type="character" w:customStyle="1" w:styleId="198">
    <w:name w:val="批注主题 Char1"/>
    <w:qFormat/>
    <w:uiPriority w:val="0"/>
    <w:rPr>
      <w:b/>
      <w:bCs/>
      <w:kern w:val="2"/>
      <w:sz w:val="24"/>
      <w:szCs w:val="24"/>
    </w:rPr>
  </w:style>
  <w:style w:type="character" w:customStyle="1" w:styleId="199">
    <w:name w:val="纯文本 Char2"/>
    <w:qFormat/>
    <w:uiPriority w:val="0"/>
    <w:rPr>
      <w:rFonts w:ascii="宋体" w:hAnsi="Courier New" w:cs="Courier New"/>
      <w:kern w:val="2"/>
      <w:sz w:val="21"/>
      <w:szCs w:val="21"/>
    </w:rPr>
  </w:style>
  <w:style w:type="character" w:customStyle="1" w:styleId="200">
    <w:name w:val="HTML 代码1"/>
    <w:qFormat/>
    <w:uiPriority w:val="0"/>
    <w:rPr>
      <w:rFonts w:ascii="Courier New" w:hAnsi="Courier New"/>
      <w:sz w:val="20"/>
      <w:szCs w:val="20"/>
    </w:rPr>
  </w:style>
  <w:style w:type="character" w:customStyle="1" w:styleId="201">
    <w:name w:val="KT标题5 Char Char"/>
    <w:link w:val="202"/>
    <w:qFormat/>
    <w:uiPriority w:val="0"/>
    <w:rPr>
      <w:rFonts w:ascii="Arial" w:hAnsi="Arial" w:eastAsia="黑体"/>
      <w:b/>
      <w:bCs/>
      <w:kern w:val="2"/>
      <w:sz w:val="21"/>
      <w:szCs w:val="24"/>
    </w:rPr>
  </w:style>
  <w:style w:type="paragraph" w:customStyle="1" w:styleId="202">
    <w:name w:val="KT标题5"/>
    <w:basedOn w:val="7"/>
    <w:link w:val="201"/>
    <w:qFormat/>
    <w:uiPriority w:val="0"/>
    <w:pPr>
      <w:keepNext/>
      <w:keepLines/>
      <w:tabs>
        <w:tab w:val="left" w:pos="567"/>
        <w:tab w:val="left" w:pos="1296"/>
        <w:tab w:val="left" w:pos="2100"/>
      </w:tabs>
      <w:spacing w:before="80" w:after="40"/>
      <w:ind w:left="1008" w:hanging="432"/>
    </w:pPr>
    <w:rPr>
      <w:rFonts w:ascii="Arial" w:hAnsi="Arial" w:eastAsia="黑体" w:cs="Times New Roman"/>
      <w:sz w:val="21"/>
      <w:lang w:bidi="ar-SA"/>
    </w:rPr>
  </w:style>
  <w:style w:type="character" w:customStyle="1" w:styleId="203">
    <w:name w:val="正文文本缩进 Char1"/>
    <w:qFormat/>
    <w:uiPriority w:val="0"/>
    <w:rPr>
      <w:kern w:val="2"/>
      <w:sz w:val="21"/>
      <w:szCs w:val="24"/>
    </w:rPr>
  </w:style>
  <w:style w:type="character" w:customStyle="1" w:styleId="204">
    <w:name w:val="样式 KT标题5 + 宋体 Char Char"/>
    <w:link w:val="205"/>
    <w:qFormat/>
    <w:uiPriority w:val="0"/>
    <w:rPr>
      <w:rFonts w:ascii="宋体" w:hAnsi="宋体" w:eastAsia="黑体"/>
      <w:b/>
      <w:bCs/>
      <w:kern w:val="2"/>
      <w:sz w:val="21"/>
      <w:szCs w:val="24"/>
    </w:rPr>
  </w:style>
  <w:style w:type="paragraph" w:customStyle="1" w:styleId="205">
    <w:name w:val="样式 KT标题5 + 宋体"/>
    <w:basedOn w:val="202"/>
    <w:next w:val="202"/>
    <w:link w:val="204"/>
    <w:qFormat/>
    <w:uiPriority w:val="0"/>
    <w:pPr>
      <w:tabs>
        <w:tab w:val="clear" w:pos="567"/>
        <w:tab w:val="clear" w:pos="1296"/>
        <w:tab w:val="clear" w:pos="2100"/>
      </w:tabs>
    </w:pPr>
    <w:rPr>
      <w:rFonts w:ascii="宋体" w:hAnsi="宋体"/>
    </w:rPr>
  </w:style>
  <w:style w:type="character" w:customStyle="1" w:styleId="206">
    <w:name w:val="正文文本 (2) + 10 pt5"/>
    <w:qFormat/>
    <w:uiPriority w:val="99"/>
    <w:rPr>
      <w:rFonts w:ascii="MingLiU" w:eastAsia="MingLiU" w:cs="MingLiU"/>
      <w:b/>
      <w:bCs/>
      <w:sz w:val="20"/>
      <w:szCs w:val="20"/>
      <w:u w:val="none"/>
      <w:shd w:val="clear" w:color="auto" w:fill="FFFFFF"/>
    </w:rPr>
  </w:style>
  <w:style w:type="character" w:customStyle="1" w:styleId="207">
    <w:name w:val="批注框文本 Char1"/>
    <w:qFormat/>
    <w:uiPriority w:val="0"/>
    <w:rPr>
      <w:kern w:val="2"/>
      <w:sz w:val="18"/>
      <w:szCs w:val="18"/>
    </w:rPr>
  </w:style>
  <w:style w:type="character" w:customStyle="1" w:styleId="208">
    <w:name w:val="正文文本 (2) + MS Mincho1"/>
    <w:qFormat/>
    <w:uiPriority w:val="0"/>
    <w:rPr>
      <w:rFonts w:hint="eastAsia" w:ascii="MS Mincho" w:eastAsia="MS Mincho" w:cs="MS Mincho"/>
      <w:spacing w:val="0"/>
      <w:w w:val="150"/>
      <w:sz w:val="15"/>
      <w:szCs w:val="15"/>
      <w:u w:val="none"/>
      <w:shd w:val="clear" w:color="auto" w:fill="FFFFFF"/>
      <w:lang w:val="en-US" w:eastAsia="en-US"/>
    </w:rPr>
  </w:style>
  <w:style w:type="character" w:customStyle="1" w:styleId="209">
    <w:name w:val="正文文本 (2) + 7.5 pt2"/>
    <w:qFormat/>
    <w:uiPriority w:val="0"/>
    <w:rPr>
      <w:rFonts w:hint="eastAsia" w:ascii="MingLiU" w:eastAsia="MingLiU" w:cs="MingLiU"/>
      <w:i/>
      <w:iCs/>
      <w:sz w:val="15"/>
      <w:szCs w:val="15"/>
      <w:u w:val="none"/>
      <w:shd w:val="clear" w:color="auto" w:fill="FFFFFF"/>
      <w:lang w:val="en-US" w:eastAsia="en-US"/>
    </w:rPr>
  </w:style>
  <w:style w:type="character" w:customStyle="1" w:styleId="210">
    <w:name w:val="HTML 缩写1"/>
    <w:qFormat/>
    <w:uiPriority w:val="0"/>
  </w:style>
  <w:style w:type="character" w:customStyle="1" w:styleId="211">
    <w:name w:val="font151"/>
    <w:qFormat/>
    <w:uiPriority w:val="0"/>
    <w:rPr>
      <w:rFonts w:hint="eastAsia" w:ascii="宋体" w:hAnsi="宋体" w:eastAsia="宋体" w:cs="宋体"/>
      <w:color w:val="000000"/>
      <w:sz w:val="28"/>
      <w:szCs w:val="28"/>
      <w:u w:val="none"/>
    </w:rPr>
  </w:style>
  <w:style w:type="character" w:customStyle="1" w:styleId="212">
    <w:name w:val="font131"/>
    <w:qFormat/>
    <w:uiPriority w:val="0"/>
    <w:rPr>
      <w:rFonts w:hint="eastAsia" w:ascii="宋体" w:hAnsi="宋体" w:eastAsia="宋体" w:cs="宋体"/>
      <w:color w:val="000000"/>
      <w:sz w:val="32"/>
      <w:szCs w:val="32"/>
      <w:u w:val="none"/>
      <w:vertAlign w:val="superscript"/>
    </w:rPr>
  </w:style>
  <w:style w:type="character" w:customStyle="1" w:styleId="213">
    <w:name w:val="页码2"/>
    <w:qFormat/>
    <w:uiPriority w:val="0"/>
  </w:style>
  <w:style w:type="character" w:customStyle="1" w:styleId="214">
    <w:name w:val="正文文本 (2) + 间距 1 pt"/>
    <w:qFormat/>
    <w:uiPriority w:val="99"/>
    <w:rPr>
      <w:rFonts w:ascii="MingLiU" w:eastAsia="MingLiU" w:cs="MingLiU"/>
      <w:spacing w:val="30"/>
      <w:sz w:val="21"/>
      <w:szCs w:val="21"/>
      <w:u w:val="none"/>
      <w:shd w:val="clear" w:color="auto" w:fill="FFFFFF"/>
    </w:rPr>
  </w:style>
  <w:style w:type="character" w:customStyle="1" w:styleId="215">
    <w:name w:val="样式1 Char Char"/>
    <w:link w:val="216"/>
    <w:qFormat/>
    <w:uiPriority w:val="0"/>
    <w:rPr>
      <w:rFonts w:ascii="Arial" w:hAnsi="Arial" w:eastAsia="黑体"/>
      <w:b/>
      <w:bCs/>
      <w:kern w:val="2"/>
      <w:sz w:val="28"/>
      <w:szCs w:val="28"/>
    </w:rPr>
  </w:style>
  <w:style w:type="paragraph" w:customStyle="1" w:styleId="216">
    <w:name w:val="样式1"/>
    <w:basedOn w:val="45"/>
    <w:link w:val="215"/>
    <w:qFormat/>
    <w:uiPriority w:val="0"/>
    <w:pPr>
      <w:numPr>
        <w:ilvl w:val="0"/>
        <w:numId w:val="0"/>
      </w:numPr>
      <w:spacing w:before="280" w:after="290" w:line="376" w:lineRule="auto"/>
      <w:jc w:val="both"/>
    </w:pPr>
    <w:rPr>
      <w:rFonts w:eastAsia="黑体"/>
      <w:kern w:val="2"/>
    </w:rPr>
  </w:style>
  <w:style w:type="character" w:customStyle="1" w:styleId="217">
    <w:name w:val="HTML 样本1"/>
    <w:qFormat/>
    <w:uiPriority w:val="0"/>
    <w:rPr>
      <w:rFonts w:ascii="Courier New" w:hAnsi="Courier New"/>
    </w:rPr>
  </w:style>
  <w:style w:type="character" w:customStyle="1" w:styleId="218">
    <w:name w:val="批注主题 字符4"/>
    <w:link w:val="219"/>
    <w:qFormat/>
    <w:uiPriority w:val="0"/>
    <w:rPr>
      <w:b/>
      <w:bCs/>
      <w:kern w:val="2"/>
      <w:sz w:val="21"/>
      <w:szCs w:val="24"/>
    </w:rPr>
  </w:style>
  <w:style w:type="paragraph" w:customStyle="1" w:styleId="219">
    <w:name w:val="批注主题6"/>
    <w:basedOn w:val="21"/>
    <w:next w:val="21"/>
    <w:link w:val="218"/>
    <w:qFormat/>
    <w:uiPriority w:val="0"/>
    <w:rPr>
      <w:b/>
      <w:bCs/>
    </w:rPr>
  </w:style>
  <w:style w:type="character" w:customStyle="1" w:styleId="220">
    <w:name w:val="批注框文本 Char Char Char Char"/>
    <w:qFormat/>
    <w:uiPriority w:val="0"/>
    <w:rPr>
      <w:kern w:val="2"/>
      <w:sz w:val="18"/>
      <w:szCs w:val="18"/>
    </w:rPr>
  </w:style>
  <w:style w:type="character" w:customStyle="1" w:styleId="221">
    <w:name w:val="HTML 引文1"/>
    <w:qFormat/>
    <w:uiPriority w:val="0"/>
    <w:rPr>
      <w:i/>
      <w:iCs/>
    </w:rPr>
  </w:style>
  <w:style w:type="character" w:customStyle="1" w:styleId="222">
    <w:name w:val="15"/>
    <w:qFormat/>
    <w:uiPriority w:val="0"/>
    <w:rPr>
      <w:rFonts w:hint="default" w:ascii="Times New Roman" w:hAnsi="Times New Roman" w:cs="Times New Roman"/>
      <w:sz w:val="21"/>
      <w:szCs w:val="20"/>
    </w:rPr>
  </w:style>
  <w:style w:type="character" w:customStyle="1" w:styleId="223">
    <w:name w:val="font111"/>
    <w:qFormat/>
    <w:uiPriority w:val="0"/>
    <w:rPr>
      <w:rFonts w:hint="default" w:ascii="Eʩ" w:hAnsi="Eʩ" w:eastAsia="Eʩ" w:cs="Eʩ"/>
      <w:color w:val="000000"/>
      <w:sz w:val="21"/>
      <w:szCs w:val="21"/>
      <w:u w:val="single"/>
    </w:rPr>
  </w:style>
  <w:style w:type="character" w:customStyle="1" w:styleId="224">
    <w:name w:val="批注主题 字符3"/>
    <w:link w:val="225"/>
    <w:qFormat/>
    <w:uiPriority w:val="0"/>
    <w:rPr>
      <w:b/>
      <w:bCs/>
      <w:kern w:val="2"/>
      <w:sz w:val="21"/>
      <w:szCs w:val="24"/>
    </w:rPr>
  </w:style>
  <w:style w:type="paragraph" w:customStyle="1" w:styleId="225">
    <w:name w:val="批注主题5"/>
    <w:basedOn w:val="21"/>
    <w:next w:val="21"/>
    <w:link w:val="224"/>
    <w:qFormat/>
    <w:uiPriority w:val="0"/>
    <w:rPr>
      <w:b/>
      <w:bCs/>
    </w:rPr>
  </w:style>
  <w:style w:type="character" w:customStyle="1" w:styleId="226">
    <w:name w:val="批注主题 字符1"/>
    <w:link w:val="227"/>
    <w:qFormat/>
    <w:uiPriority w:val="0"/>
    <w:rPr>
      <w:b/>
      <w:bCs/>
      <w:kern w:val="2"/>
      <w:sz w:val="21"/>
      <w:szCs w:val="24"/>
    </w:rPr>
  </w:style>
  <w:style w:type="paragraph" w:customStyle="1" w:styleId="227">
    <w:name w:val="批注主题3"/>
    <w:basedOn w:val="21"/>
    <w:next w:val="21"/>
    <w:link w:val="226"/>
    <w:qFormat/>
    <w:uiPriority w:val="0"/>
    <w:rPr>
      <w:b/>
      <w:bCs/>
    </w:rPr>
  </w:style>
  <w:style w:type="character" w:customStyle="1" w:styleId="228">
    <w:name w:val="个人撰写风格"/>
    <w:qFormat/>
    <w:uiPriority w:val="0"/>
    <w:rPr>
      <w:rFonts w:ascii="Arial" w:hAnsi="Arial" w:eastAsia="宋体" w:cs="Arial"/>
      <w:color w:val="auto"/>
      <w:sz w:val="20"/>
    </w:rPr>
  </w:style>
  <w:style w:type="character" w:customStyle="1" w:styleId="229">
    <w:name w:val="font61"/>
    <w:qFormat/>
    <w:uiPriority w:val="0"/>
    <w:rPr>
      <w:rFonts w:hint="eastAsia" w:ascii="宋体" w:hAnsi="宋体" w:eastAsia="宋体" w:cs="宋体"/>
      <w:color w:val="000000"/>
      <w:sz w:val="28"/>
      <w:szCs w:val="28"/>
      <w:u w:val="none"/>
    </w:rPr>
  </w:style>
  <w:style w:type="character" w:customStyle="1" w:styleId="230">
    <w:name w:val="表格标题 (7)_"/>
    <w:link w:val="231"/>
    <w:qFormat/>
    <w:uiPriority w:val="99"/>
    <w:rPr>
      <w:rFonts w:ascii="MingLiU" w:eastAsia="MingLiU" w:cs="MingLiU"/>
      <w:spacing w:val="-10"/>
      <w:w w:val="90"/>
      <w:sz w:val="14"/>
      <w:szCs w:val="14"/>
      <w:shd w:val="clear" w:color="auto" w:fill="FFFFFF"/>
    </w:rPr>
  </w:style>
  <w:style w:type="paragraph" w:customStyle="1" w:styleId="231">
    <w:name w:val="表格标题 (7)"/>
    <w:basedOn w:val="1"/>
    <w:link w:val="230"/>
    <w:qFormat/>
    <w:uiPriority w:val="99"/>
    <w:pPr>
      <w:shd w:val="clear" w:color="auto" w:fill="FFFFFF"/>
      <w:spacing w:line="192" w:lineRule="exact"/>
      <w:jc w:val="left"/>
    </w:pPr>
    <w:rPr>
      <w:rFonts w:ascii="MingLiU" w:eastAsia="MingLiU"/>
      <w:spacing w:val="-10"/>
      <w:w w:val="90"/>
      <w:kern w:val="0"/>
      <w:sz w:val="14"/>
      <w:szCs w:val="14"/>
      <w:shd w:val="clear" w:color="auto" w:fill="FFFFFF"/>
    </w:rPr>
  </w:style>
  <w:style w:type="character" w:customStyle="1" w:styleId="232">
    <w:name w:val="已访问的超链接1"/>
    <w:qFormat/>
    <w:uiPriority w:val="0"/>
    <w:rPr>
      <w:color w:val="800080"/>
      <w:u w:val="single"/>
    </w:rPr>
  </w:style>
  <w:style w:type="paragraph" w:customStyle="1" w:styleId="233">
    <w:name w:val="终结线"/>
    <w:basedOn w:val="1"/>
    <w:qFormat/>
    <w:uiPriority w:val="0"/>
  </w:style>
  <w:style w:type="paragraph" w:customStyle="1" w:styleId="234">
    <w:name w:val="附录表标题"/>
    <w:next w:val="98"/>
    <w:qFormat/>
    <w:uiPriority w:val="0"/>
    <w:pPr>
      <w:tabs>
        <w:tab w:val="left" w:pos="840"/>
      </w:tabs>
      <w:ind w:left="3402"/>
      <w:jc w:val="center"/>
      <w:textAlignment w:val="baseline"/>
    </w:pPr>
    <w:rPr>
      <w:rFonts w:ascii="黑体" w:hAnsi="Times New Roman" w:eastAsia="黑体" w:cs="Times New Roman"/>
      <w:kern w:val="21"/>
      <w:sz w:val="21"/>
      <w:lang w:val="en-US" w:eastAsia="zh-CN" w:bidi="ar-SA"/>
    </w:rPr>
  </w:style>
  <w:style w:type="paragraph" w:customStyle="1" w:styleId="235">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236">
    <w:name w:val="Dist 正文"/>
    <w:basedOn w:val="1"/>
    <w:qFormat/>
    <w:uiPriority w:val="0"/>
    <w:pPr>
      <w:widowControl/>
      <w:spacing w:line="360" w:lineRule="auto"/>
      <w:jc w:val="left"/>
    </w:pPr>
    <w:rPr>
      <w:sz w:val="20"/>
      <w:szCs w:val="20"/>
    </w:rPr>
  </w:style>
  <w:style w:type="paragraph" w:customStyle="1" w:styleId="237">
    <w:name w:val="列项●（二级）"/>
    <w:qFormat/>
    <w:uiPriority w:val="0"/>
    <w:pPr>
      <w:tabs>
        <w:tab w:val="left" w:pos="760"/>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238">
    <w:name w:val="编号列项（三级）"/>
    <w:qFormat/>
    <w:uiPriority w:val="0"/>
    <w:pPr>
      <w:ind w:left="800" w:leftChars="600" w:hanging="200" w:hangingChars="200"/>
    </w:pPr>
    <w:rPr>
      <w:rFonts w:ascii="宋体" w:hAnsi="Times New Roman" w:eastAsia="宋体" w:cs="Times New Roman"/>
      <w:sz w:val="21"/>
      <w:lang w:val="en-US" w:eastAsia="zh-CN" w:bidi="ar-SA"/>
    </w:rPr>
  </w:style>
  <w:style w:type="paragraph" w:customStyle="1" w:styleId="239">
    <w:name w:val="1 Char Char Char Char"/>
    <w:basedOn w:val="1"/>
    <w:qFormat/>
    <w:uiPriority w:val="0"/>
    <w:rPr>
      <w:rFonts w:ascii="Tahoma" w:hAnsi="Tahoma"/>
      <w:sz w:val="24"/>
      <w:szCs w:val="20"/>
    </w:rPr>
  </w:style>
  <w:style w:type="paragraph" w:customStyle="1" w:styleId="240">
    <w:name w:val="封面标准英文名称2"/>
    <w:basedOn w:val="241"/>
    <w:qFormat/>
    <w:uiPriority w:val="0"/>
    <w:pPr>
      <w:ind w:left="0" w:firstLine="0"/>
      <w:textAlignment w:val="center"/>
    </w:pPr>
    <w:rPr>
      <w:rFonts w:eastAsia="黑体"/>
      <w:szCs w:val="28"/>
    </w:rPr>
  </w:style>
  <w:style w:type="paragraph" w:customStyle="1" w:styleId="241">
    <w:name w:val="封面标准英文名称"/>
    <w:qFormat/>
    <w:uiPriority w:val="0"/>
    <w:pPr>
      <w:widowControl w:val="0"/>
      <w:spacing w:before="370" w:line="400" w:lineRule="exact"/>
      <w:ind w:left="432" w:hanging="432"/>
      <w:jc w:val="center"/>
    </w:pPr>
    <w:rPr>
      <w:rFonts w:ascii="Times New Roman" w:hAnsi="Times New Roman" w:eastAsia="宋体" w:cs="Times New Roman"/>
      <w:sz w:val="28"/>
      <w:lang w:val="en-US" w:eastAsia="zh-CN" w:bidi="ar-SA"/>
    </w:rPr>
  </w:style>
  <w:style w:type="paragraph" w:customStyle="1" w:styleId="242">
    <w:name w:val="封面标准文稿编辑信息2"/>
    <w:basedOn w:val="243"/>
    <w:qFormat/>
    <w:uiPriority w:val="0"/>
    <w:pPr>
      <w:widowControl w:val="0"/>
      <w:tabs>
        <w:tab w:val="left" w:pos="1120"/>
        <w:tab w:val="left" w:pos="1680"/>
      </w:tabs>
      <w:spacing w:after="160"/>
      <w:ind w:left="0" w:firstLine="0"/>
      <w:textAlignment w:val="center"/>
    </w:pPr>
    <w:rPr>
      <w:szCs w:val="28"/>
    </w:rPr>
  </w:style>
  <w:style w:type="paragraph" w:customStyle="1" w:styleId="243">
    <w:name w:val="封面标准文稿编辑信息"/>
    <w:qFormat/>
    <w:uiPriority w:val="0"/>
    <w:pPr>
      <w:tabs>
        <w:tab w:val="left" w:pos="1120"/>
        <w:tab w:val="left" w:pos="1680"/>
      </w:tabs>
      <w:spacing w:before="180" w:line="180" w:lineRule="exact"/>
      <w:ind w:left="1680" w:hanging="420"/>
      <w:jc w:val="center"/>
    </w:pPr>
    <w:rPr>
      <w:rFonts w:ascii="宋体" w:hAnsi="Times New Roman" w:eastAsia="宋体" w:cs="Times New Roman"/>
      <w:sz w:val="21"/>
      <w:lang w:val="en-US" w:eastAsia="zh-CN" w:bidi="ar-SA"/>
    </w:rPr>
  </w:style>
  <w:style w:type="paragraph" w:customStyle="1" w:styleId="244">
    <w:name w:val="KT标题4"/>
    <w:basedOn w:val="6"/>
    <w:next w:val="1"/>
    <w:qFormat/>
    <w:uiPriority w:val="0"/>
    <w:pPr>
      <w:numPr>
        <w:ilvl w:val="0"/>
        <w:numId w:val="0"/>
      </w:numPr>
      <w:tabs>
        <w:tab w:val="left" w:pos="864"/>
      </w:tabs>
      <w:spacing w:before="240" w:after="240" w:line="240" w:lineRule="auto"/>
      <w:ind w:right="100" w:rightChars="100"/>
      <w:jc w:val="both"/>
    </w:pPr>
    <w:rPr>
      <w:rFonts w:eastAsia="黑体"/>
      <w:kern w:val="2"/>
      <w:sz w:val="21"/>
    </w:rPr>
  </w:style>
  <w:style w:type="paragraph" w:customStyle="1" w:styleId="245">
    <w:name w:val="样式 首行缩进:  2 字符"/>
    <w:basedOn w:val="1"/>
    <w:qFormat/>
    <w:uiPriority w:val="0"/>
    <w:pPr>
      <w:spacing w:line="400" w:lineRule="exact"/>
      <w:ind w:firstLine="200" w:firstLineChars="200"/>
    </w:pPr>
    <w:rPr>
      <w:rFonts w:cs="宋体"/>
      <w:sz w:val="24"/>
      <w:lang w:bidi="ar-SA"/>
    </w:rPr>
  </w:style>
  <w:style w:type="paragraph" w:customStyle="1" w:styleId="246">
    <w:name w:val="二级无"/>
    <w:basedOn w:val="247"/>
    <w:qFormat/>
    <w:uiPriority w:val="0"/>
    <w:pPr>
      <w:spacing w:before="50" w:after="50"/>
      <w:ind w:left="992" w:hanging="425"/>
      <w:outlineLvl w:val="3"/>
    </w:pPr>
    <w:rPr>
      <w:rFonts w:ascii="宋体" w:hAnsi="Times New Roman" w:eastAsia="宋体"/>
      <w:szCs w:val="21"/>
    </w:rPr>
  </w:style>
  <w:style w:type="paragraph" w:customStyle="1" w:styleId="247">
    <w:name w:val="二级条标题"/>
    <w:basedOn w:val="248"/>
    <w:next w:val="98"/>
    <w:qFormat/>
    <w:uiPriority w:val="0"/>
  </w:style>
  <w:style w:type="paragraph" w:customStyle="1" w:styleId="248">
    <w:name w:val="一级条标题"/>
    <w:next w:val="98"/>
    <w:qFormat/>
    <w:uiPriority w:val="0"/>
    <w:pPr>
      <w:ind w:left="709" w:hanging="709"/>
      <w:outlineLvl w:val="2"/>
    </w:pPr>
    <w:rPr>
      <w:rFonts w:ascii="Times New Roman" w:hAnsi="Times New Roman" w:eastAsia="黑体" w:cs="Times New Roman"/>
      <w:sz w:val="21"/>
      <w:szCs w:val="22"/>
      <w:lang w:val="en-US" w:eastAsia="zh-CN" w:bidi="ar-SA"/>
    </w:rPr>
  </w:style>
  <w:style w:type="paragraph" w:customStyle="1" w:styleId="249">
    <w:name w:val="列表1"/>
    <w:basedOn w:val="1"/>
    <w:next w:val="1"/>
    <w:qFormat/>
    <w:uiPriority w:val="0"/>
    <w:pPr>
      <w:spacing w:line="320" w:lineRule="exact"/>
      <w:jc w:val="center"/>
    </w:pPr>
    <w:rPr>
      <w:sz w:val="24"/>
    </w:rPr>
  </w:style>
  <w:style w:type="paragraph" w:customStyle="1" w:styleId="250">
    <w:name w:val="Char3"/>
    <w:basedOn w:val="1"/>
    <w:qFormat/>
    <w:uiPriority w:val="0"/>
    <w:pPr>
      <w:spacing w:line="360" w:lineRule="auto"/>
      <w:ind w:firstLine="551" w:firstLineChars="196"/>
    </w:pPr>
    <w:rPr>
      <w:szCs w:val="20"/>
    </w:rPr>
  </w:style>
  <w:style w:type="paragraph" w:customStyle="1" w:styleId="251">
    <w:name w:val="reader-word-layer"/>
    <w:basedOn w:val="1"/>
    <w:qFormat/>
    <w:uiPriority w:val="0"/>
    <w:pPr>
      <w:widowControl/>
      <w:spacing w:before="100" w:beforeAutospacing="1" w:after="100" w:afterAutospacing="1"/>
      <w:jc w:val="left"/>
    </w:pPr>
    <w:rPr>
      <w:rFonts w:hAnsi="宋体"/>
      <w:sz w:val="24"/>
    </w:rPr>
  </w:style>
  <w:style w:type="paragraph" w:customStyle="1" w:styleId="252">
    <w:name w:val="正文图标题"/>
    <w:next w:val="98"/>
    <w:qFormat/>
    <w:uiPriority w:val="0"/>
    <w:pPr>
      <w:tabs>
        <w:tab w:val="left" w:pos="760"/>
      </w:tabs>
      <w:ind w:left="717" w:hanging="317"/>
      <w:jc w:val="center"/>
    </w:pPr>
    <w:rPr>
      <w:rFonts w:ascii="黑体" w:hAnsi="Times New Roman" w:eastAsia="黑体" w:cs="Times New Roman"/>
      <w:sz w:val="21"/>
      <w:lang w:val="en-US" w:eastAsia="zh-CN" w:bidi="ar-SA"/>
    </w:rPr>
  </w:style>
  <w:style w:type="paragraph" w:customStyle="1" w:styleId="253">
    <w:name w:val="WW2"/>
    <w:basedOn w:val="4"/>
    <w:qFormat/>
    <w:uiPriority w:val="0"/>
    <w:pPr>
      <w:adjustRightInd w:val="0"/>
      <w:snapToGrid w:val="0"/>
      <w:spacing w:before="240" w:after="120" w:line="288" w:lineRule="auto"/>
      <w:jc w:val="center"/>
    </w:pPr>
    <w:rPr>
      <w:rFonts w:eastAsia="宋体"/>
      <w:bCs w:val="0"/>
      <w:sz w:val="24"/>
      <w:szCs w:val="20"/>
      <w:lang w:val="en-US" w:eastAsia="zh-CN"/>
    </w:rPr>
  </w:style>
  <w:style w:type="paragraph" w:customStyle="1" w:styleId="254">
    <w:name w:val="封面标准号2"/>
    <w:basedOn w:val="255"/>
    <w:qFormat/>
    <w:uiPriority w:val="0"/>
    <w:pPr>
      <w:tabs>
        <w:tab w:val="left" w:pos="360"/>
      </w:tabs>
      <w:adjustRightInd w:val="0"/>
      <w:spacing w:before="357" w:line="280" w:lineRule="exact"/>
    </w:pPr>
  </w:style>
  <w:style w:type="paragraph" w:customStyle="1" w:styleId="255">
    <w:name w:val="封面标准号1"/>
    <w:qFormat/>
    <w:uiPriority w:val="0"/>
    <w:pPr>
      <w:widowControl w:val="0"/>
      <w:tabs>
        <w:tab w:val="left" w:pos="360"/>
      </w:tabs>
      <w:kinsoku w:val="0"/>
      <w:overflowPunct w:val="0"/>
      <w:autoSpaceDE w:val="0"/>
      <w:autoSpaceDN w:val="0"/>
      <w:spacing w:before="308"/>
      <w:ind w:left="360" w:hanging="360"/>
      <w:jc w:val="right"/>
      <w:textAlignment w:val="center"/>
    </w:pPr>
    <w:rPr>
      <w:rFonts w:ascii="Times New Roman" w:hAnsi="Times New Roman" w:eastAsia="宋体" w:cs="Times New Roman"/>
      <w:sz w:val="28"/>
      <w:lang w:val="en-US" w:eastAsia="zh-CN" w:bidi="ar-SA"/>
    </w:rPr>
  </w:style>
  <w:style w:type="paragraph" w:customStyle="1" w:styleId="256">
    <w:name w:val="索引 81"/>
    <w:basedOn w:val="1"/>
    <w:next w:val="1"/>
    <w:qFormat/>
    <w:uiPriority w:val="0"/>
    <w:pPr>
      <w:ind w:left="1680" w:hanging="210"/>
      <w:jc w:val="left"/>
    </w:pPr>
    <w:rPr>
      <w:rFonts w:ascii="Calibri" w:hAnsi="Calibri"/>
      <w:sz w:val="20"/>
      <w:szCs w:val="20"/>
    </w:rPr>
  </w:style>
  <w:style w:type="paragraph" w:customStyle="1" w:styleId="257">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258">
    <w:name w:val="标题 5（有编号）（绿盟科技）"/>
    <w:basedOn w:val="1"/>
    <w:next w:val="259"/>
    <w:qFormat/>
    <w:uiPriority w:val="99"/>
    <w:pPr>
      <w:keepNext/>
      <w:keepLines/>
      <w:numPr>
        <w:ilvl w:val="4"/>
        <w:numId w:val="3"/>
      </w:numPr>
      <w:spacing w:before="280" w:after="156" w:line="377" w:lineRule="auto"/>
      <w:jc w:val="left"/>
      <w:outlineLvl w:val="4"/>
    </w:pPr>
    <w:rPr>
      <w:rFonts w:ascii="Arial" w:hAnsi="Arial" w:eastAsia="黑体" w:cs="Arial"/>
      <w:b/>
      <w:bCs/>
      <w:sz w:val="24"/>
      <w:szCs w:val="24"/>
    </w:rPr>
  </w:style>
  <w:style w:type="paragraph" w:customStyle="1" w:styleId="259">
    <w:name w:val="正文（绿盟科技）"/>
    <w:qFormat/>
    <w:uiPriority w:val="99"/>
    <w:pPr>
      <w:spacing w:line="300" w:lineRule="auto"/>
    </w:pPr>
    <w:rPr>
      <w:rFonts w:ascii="Arial" w:hAnsi="Arial" w:eastAsia="宋体" w:cs="Arial"/>
      <w:sz w:val="21"/>
      <w:szCs w:val="21"/>
      <w:lang w:val="en-US" w:eastAsia="zh-CN" w:bidi="ar-SA"/>
    </w:rPr>
  </w:style>
  <w:style w:type="paragraph" w:customStyle="1" w:styleId="260">
    <w:name w:val="示例后文字"/>
    <w:basedOn w:val="98"/>
    <w:next w:val="98"/>
    <w:qFormat/>
    <w:uiPriority w:val="0"/>
    <w:pPr>
      <w:tabs>
        <w:tab w:val="center" w:pos="4201"/>
        <w:tab w:val="right" w:leader="dot" w:pos="9298"/>
      </w:tabs>
      <w:ind w:firstLine="360"/>
    </w:pPr>
    <w:rPr>
      <w:sz w:val="18"/>
      <w:szCs w:val="20"/>
    </w:rPr>
  </w:style>
  <w:style w:type="paragraph" w:customStyle="1" w:styleId="261">
    <w:name w:val="WW1"/>
    <w:basedOn w:val="4"/>
    <w:qFormat/>
    <w:uiPriority w:val="0"/>
    <w:pPr>
      <w:adjustRightInd w:val="0"/>
      <w:snapToGrid w:val="0"/>
      <w:spacing w:before="240" w:after="120" w:line="288" w:lineRule="auto"/>
      <w:jc w:val="center"/>
    </w:pPr>
    <w:rPr>
      <w:rFonts w:eastAsia="宋体"/>
      <w:bCs w:val="0"/>
      <w:szCs w:val="20"/>
      <w:lang w:val="en-US" w:eastAsia="zh-CN"/>
    </w:rPr>
  </w:style>
  <w:style w:type="paragraph" w:customStyle="1" w:styleId="262">
    <w:name w:val="附录图标号"/>
    <w:basedOn w:val="1"/>
    <w:qFormat/>
    <w:uiPriority w:val="0"/>
    <w:pPr>
      <w:keepNext/>
      <w:pageBreakBefore/>
      <w:widowControl/>
      <w:spacing w:line="14" w:lineRule="exact"/>
      <w:ind w:firstLine="363"/>
      <w:jc w:val="center"/>
      <w:outlineLvl w:val="0"/>
    </w:pPr>
    <w:rPr>
      <w:color w:val="FFFFFF"/>
    </w:rPr>
  </w:style>
  <w:style w:type="paragraph" w:customStyle="1" w:styleId="263">
    <w:name w:val="附录标题"/>
    <w:basedOn w:val="98"/>
    <w:next w:val="98"/>
    <w:qFormat/>
    <w:uiPriority w:val="0"/>
    <w:pPr>
      <w:tabs>
        <w:tab w:val="center" w:pos="4201"/>
        <w:tab w:val="right" w:leader="dot" w:pos="9298"/>
      </w:tabs>
      <w:ind w:firstLine="0" w:firstLineChars="0"/>
      <w:jc w:val="center"/>
    </w:pPr>
    <w:rPr>
      <w:rFonts w:ascii="黑体" w:eastAsia="黑体"/>
      <w:szCs w:val="20"/>
    </w:rPr>
  </w:style>
  <w:style w:type="paragraph" w:customStyle="1" w:styleId="264">
    <w:name w:val="五级条标题"/>
    <w:basedOn w:val="265"/>
    <w:next w:val="98"/>
    <w:qFormat/>
    <w:uiPriority w:val="0"/>
    <w:pPr>
      <w:ind w:left="1276" w:hanging="1276"/>
      <w:outlineLvl w:val="6"/>
    </w:pPr>
  </w:style>
  <w:style w:type="paragraph" w:customStyle="1" w:styleId="265">
    <w:name w:val="四级条标题"/>
    <w:basedOn w:val="266"/>
    <w:next w:val="98"/>
    <w:qFormat/>
    <w:uiPriority w:val="0"/>
    <w:pPr>
      <w:ind w:left="0" w:firstLine="0"/>
      <w:outlineLvl w:val="5"/>
    </w:pPr>
  </w:style>
  <w:style w:type="paragraph" w:customStyle="1" w:styleId="266">
    <w:name w:val="三级条标题"/>
    <w:basedOn w:val="247"/>
    <w:next w:val="98"/>
    <w:qFormat/>
    <w:uiPriority w:val="0"/>
    <w:pPr>
      <w:ind w:left="992" w:hanging="992"/>
      <w:outlineLvl w:val="4"/>
    </w:pPr>
    <w:rPr>
      <w:rFonts w:ascii="Times New Roman" w:hAnsi="Times New Roman"/>
      <w:szCs w:val="20"/>
    </w:rPr>
  </w:style>
  <w:style w:type="paragraph" w:customStyle="1" w:styleId="267">
    <w:name w:val="纯文本2"/>
    <w:basedOn w:val="1"/>
    <w:qFormat/>
    <w:uiPriority w:val="0"/>
    <w:pPr>
      <w:widowControl/>
      <w:jc w:val="left"/>
    </w:pPr>
    <w:rPr>
      <w:rFonts w:ascii="宋体" w:hAnsi="Courier New"/>
      <w:kern w:val="0"/>
      <w:sz w:val="20"/>
      <w:szCs w:val="21"/>
    </w:rPr>
  </w:style>
  <w:style w:type="paragraph" w:customStyle="1" w:styleId="268">
    <w:name w:val="三级无"/>
    <w:basedOn w:val="266"/>
    <w:qFormat/>
    <w:uiPriority w:val="0"/>
    <w:pPr>
      <w:spacing w:before="50" w:after="50"/>
      <w:ind w:left="0" w:firstLine="0"/>
    </w:pPr>
    <w:rPr>
      <w:rFonts w:ascii="宋体" w:eastAsia="宋体"/>
      <w:szCs w:val="21"/>
    </w:rPr>
  </w:style>
  <w:style w:type="paragraph" w:customStyle="1" w:styleId="269">
    <w:name w:val="索引 31"/>
    <w:basedOn w:val="1"/>
    <w:next w:val="1"/>
    <w:qFormat/>
    <w:uiPriority w:val="0"/>
    <w:pPr>
      <w:ind w:left="630" w:hanging="210"/>
      <w:jc w:val="left"/>
    </w:pPr>
    <w:rPr>
      <w:rFonts w:ascii="Calibri" w:hAnsi="Calibri"/>
      <w:sz w:val="20"/>
      <w:szCs w:val="20"/>
    </w:rPr>
  </w:style>
  <w:style w:type="paragraph" w:customStyle="1" w:styleId="270">
    <w:name w:val="标准书眉一"/>
    <w:qFormat/>
    <w:uiPriority w:val="0"/>
    <w:pPr>
      <w:jc w:val="both"/>
    </w:pPr>
    <w:rPr>
      <w:rFonts w:ascii="Times New Roman" w:hAnsi="Times New Roman" w:eastAsia="宋体" w:cs="Times New Roman"/>
      <w:lang w:val="en-US" w:eastAsia="zh-CN" w:bidi="ar-SA"/>
    </w:rPr>
  </w:style>
  <w:style w:type="paragraph" w:customStyle="1" w:styleId="271">
    <w:name w:val="注："/>
    <w:next w:val="98"/>
    <w:qFormat/>
    <w:uiPriority w:val="0"/>
    <w:pPr>
      <w:widowControl w:val="0"/>
      <w:tabs>
        <w:tab w:val="left" w:pos="420"/>
        <w:tab w:val="left" w:pos="840"/>
      </w:tabs>
      <w:autoSpaceDE w:val="0"/>
      <w:autoSpaceDN w:val="0"/>
      <w:ind w:left="840" w:hanging="420"/>
      <w:jc w:val="both"/>
    </w:pPr>
    <w:rPr>
      <w:rFonts w:ascii="宋体" w:hAnsi="Times New Roman" w:eastAsia="宋体" w:cs="Times New Roman"/>
      <w:sz w:val="18"/>
      <w:lang w:val="en-US" w:eastAsia="zh-CN" w:bidi="ar-SA"/>
    </w:rPr>
  </w:style>
  <w:style w:type="paragraph" w:customStyle="1" w:styleId="272">
    <w:name w:val="日期1"/>
    <w:basedOn w:val="1"/>
    <w:next w:val="1"/>
    <w:qFormat/>
    <w:uiPriority w:val="0"/>
    <w:pPr>
      <w:ind w:left="100" w:leftChars="2500"/>
    </w:pPr>
    <w:rPr>
      <w:rFonts w:ascii="Calibri" w:hAnsi="Calibri"/>
    </w:rPr>
  </w:style>
  <w:style w:type="paragraph" w:customStyle="1" w:styleId="273">
    <w:name w:val="p0"/>
    <w:basedOn w:val="1"/>
    <w:qFormat/>
    <w:uiPriority w:val="0"/>
    <w:pPr>
      <w:widowControl/>
    </w:pPr>
    <w:rPr>
      <w:kern w:val="0"/>
    </w:rPr>
  </w:style>
  <w:style w:type="paragraph" w:customStyle="1" w:styleId="274">
    <w:name w:val="TOC 标题11"/>
    <w:basedOn w:val="169"/>
    <w:next w:val="1"/>
    <w:qFormat/>
    <w:uiPriority w:val="0"/>
    <w:pPr>
      <w:widowControl/>
      <w:spacing w:before="240" w:after="0" w:line="259" w:lineRule="auto"/>
      <w:jc w:val="left"/>
      <w:outlineLvl w:val="9"/>
    </w:pPr>
    <w:rPr>
      <w:rFonts w:ascii="Calibri Light" w:hAnsi="Calibri Light" w:cs="黑体"/>
      <w:b w:val="0"/>
      <w:bCs w:val="0"/>
      <w:color w:val="2D73B3"/>
      <w:kern w:val="0"/>
      <w:sz w:val="32"/>
      <w:szCs w:val="32"/>
    </w:rPr>
  </w:style>
  <w:style w:type="paragraph" w:customStyle="1" w:styleId="275">
    <w:name w:val="封面标准文稿类别"/>
    <w:qFormat/>
    <w:uiPriority w:val="0"/>
    <w:pPr>
      <w:tabs>
        <w:tab w:val="left" w:pos="1120"/>
        <w:tab w:val="left" w:pos="2100"/>
      </w:tabs>
      <w:spacing w:before="440" w:line="400" w:lineRule="exact"/>
      <w:ind w:left="2100" w:hanging="420"/>
      <w:jc w:val="center"/>
    </w:pPr>
    <w:rPr>
      <w:rFonts w:ascii="宋体" w:hAnsi="Times New Roman" w:eastAsia="宋体" w:cs="Times New Roman"/>
      <w:sz w:val="24"/>
      <w:lang w:val="en-US" w:eastAsia="zh-CN" w:bidi="ar-SA"/>
    </w:rPr>
  </w:style>
  <w:style w:type="paragraph" w:customStyle="1" w:styleId="276">
    <w:name w:val="表格居中"/>
    <w:basedOn w:val="1"/>
    <w:next w:val="1"/>
    <w:qFormat/>
    <w:uiPriority w:val="0"/>
    <w:pPr>
      <w:spacing w:line="320" w:lineRule="exact"/>
      <w:jc w:val="center"/>
    </w:pPr>
    <w:rPr>
      <w:rFonts w:ascii="宋体" w:hAnsi="宋体"/>
      <w:sz w:val="24"/>
    </w:rPr>
  </w:style>
  <w:style w:type="paragraph" w:customStyle="1" w:styleId="277">
    <w:name w:val="附录标识"/>
    <w:basedOn w:val="1"/>
    <w:qFormat/>
    <w:uiPriority w:val="0"/>
    <w:pPr>
      <w:widowControl/>
      <w:shd w:val="clear" w:color="FFFFFF" w:fill="FFFFFF"/>
      <w:tabs>
        <w:tab w:val="left" w:pos="6405"/>
      </w:tabs>
      <w:spacing w:before="640" w:after="200"/>
      <w:ind w:left="425" w:hanging="425"/>
      <w:jc w:val="center"/>
      <w:outlineLvl w:val="0"/>
    </w:pPr>
    <w:rPr>
      <w:rFonts w:ascii="黑体" w:eastAsia="黑体"/>
      <w:kern w:val="0"/>
      <w:szCs w:val="20"/>
    </w:rPr>
  </w:style>
  <w:style w:type="paragraph" w:customStyle="1" w:styleId="278">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279">
    <w:name w:val="列出段落4"/>
    <w:basedOn w:val="1"/>
    <w:qFormat/>
    <w:uiPriority w:val="0"/>
    <w:pPr>
      <w:ind w:firstLine="420" w:firstLineChars="200"/>
    </w:pPr>
  </w:style>
  <w:style w:type="paragraph" w:customStyle="1" w:styleId="280">
    <w:name w:val="其他发布部门"/>
    <w:basedOn w:val="281"/>
    <w:qFormat/>
    <w:uiPriority w:val="0"/>
    <w:pPr>
      <w:spacing w:line="0" w:lineRule="atLeast"/>
    </w:pPr>
    <w:rPr>
      <w:rFonts w:ascii="黑体" w:eastAsia="黑体"/>
      <w:b w:val="0"/>
    </w:rPr>
  </w:style>
  <w:style w:type="paragraph" w:customStyle="1" w:styleId="281">
    <w:name w:val="发布部门"/>
    <w:next w:val="98"/>
    <w:qFormat/>
    <w:uiPriority w:val="0"/>
    <w:pPr>
      <w:jc w:val="center"/>
    </w:pPr>
    <w:rPr>
      <w:rFonts w:ascii="宋体" w:hAnsi="Times New Roman" w:eastAsia="宋体" w:cs="Times New Roman"/>
      <w:b/>
      <w:spacing w:val="20"/>
      <w:w w:val="135"/>
      <w:sz w:val="36"/>
      <w:lang w:val="en-US" w:eastAsia="zh-CN" w:bidi="ar-SA"/>
    </w:rPr>
  </w:style>
  <w:style w:type="paragraph" w:customStyle="1" w:styleId="282">
    <w:name w:val="默认段落字体 Para Char Char Char1 Char"/>
    <w:basedOn w:val="1"/>
    <w:next w:val="1"/>
    <w:qFormat/>
    <w:uiPriority w:val="0"/>
    <w:pPr>
      <w:tabs>
        <w:tab w:val="left" w:pos="4227"/>
      </w:tabs>
      <w:spacing w:line="240" w:lineRule="atLeast"/>
      <w:ind w:left="420" w:firstLine="420" w:firstLineChars="100"/>
      <w:jc w:val="left"/>
    </w:pPr>
    <w:rPr>
      <w:sz w:val="24"/>
    </w:rPr>
  </w:style>
  <w:style w:type="paragraph" w:customStyle="1" w:styleId="283">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84">
    <w:name w:val="列表 21"/>
    <w:basedOn w:val="1"/>
    <w:qFormat/>
    <w:uiPriority w:val="0"/>
    <w:pPr>
      <w:ind w:left="100" w:leftChars="200" w:hanging="200" w:hangingChars="200"/>
      <w:contextualSpacing/>
    </w:pPr>
  </w:style>
  <w:style w:type="paragraph" w:customStyle="1" w:styleId="285">
    <w:name w:val="附录五级无"/>
    <w:basedOn w:val="286"/>
    <w:qFormat/>
    <w:uiPriority w:val="0"/>
    <w:pPr>
      <w:tabs>
        <w:tab w:val="left" w:pos="360"/>
        <w:tab w:val="left" w:pos="840"/>
      </w:tabs>
      <w:ind w:left="840" w:hanging="420"/>
    </w:pPr>
    <w:rPr>
      <w:rFonts w:ascii="宋体" w:eastAsia="宋体"/>
      <w:szCs w:val="21"/>
    </w:rPr>
  </w:style>
  <w:style w:type="paragraph" w:customStyle="1" w:styleId="286">
    <w:name w:val="附录五级条标题"/>
    <w:basedOn w:val="287"/>
    <w:next w:val="98"/>
    <w:qFormat/>
    <w:uiPriority w:val="0"/>
    <w:pPr>
      <w:tabs>
        <w:tab w:val="left" w:pos="840"/>
      </w:tabs>
      <w:ind w:left="3827" w:hanging="1276"/>
      <w:outlineLvl w:val="6"/>
    </w:pPr>
  </w:style>
  <w:style w:type="paragraph" w:customStyle="1" w:styleId="287">
    <w:name w:val="附录四级条标题"/>
    <w:basedOn w:val="288"/>
    <w:next w:val="98"/>
    <w:qFormat/>
    <w:uiPriority w:val="0"/>
    <w:pPr>
      <w:tabs>
        <w:tab w:val="left" w:pos="840"/>
      </w:tabs>
      <w:ind w:left="2415" w:firstLine="0"/>
      <w:outlineLvl w:val="5"/>
    </w:pPr>
  </w:style>
  <w:style w:type="paragraph" w:customStyle="1" w:styleId="288">
    <w:name w:val="附录三级条标题"/>
    <w:basedOn w:val="289"/>
    <w:next w:val="98"/>
    <w:qFormat/>
    <w:uiPriority w:val="0"/>
    <w:pPr>
      <w:tabs>
        <w:tab w:val="left" w:pos="840"/>
      </w:tabs>
      <w:ind w:left="1984" w:hanging="708"/>
      <w:outlineLvl w:val="4"/>
    </w:pPr>
  </w:style>
  <w:style w:type="paragraph" w:customStyle="1" w:styleId="289">
    <w:name w:val="附录二级条标题"/>
    <w:basedOn w:val="290"/>
    <w:next w:val="98"/>
    <w:qFormat/>
    <w:uiPriority w:val="0"/>
    <w:pPr>
      <w:tabs>
        <w:tab w:val="left" w:pos="840"/>
      </w:tabs>
      <w:ind w:left="2415" w:firstLine="0"/>
      <w:outlineLvl w:val="3"/>
    </w:pPr>
  </w:style>
  <w:style w:type="paragraph" w:customStyle="1" w:styleId="290">
    <w:name w:val="附录一级条标题"/>
    <w:basedOn w:val="291"/>
    <w:next w:val="98"/>
    <w:qFormat/>
    <w:uiPriority w:val="0"/>
    <w:pPr>
      <w:tabs>
        <w:tab w:val="left" w:pos="840"/>
      </w:tabs>
      <w:autoSpaceDN w:val="0"/>
      <w:ind w:left="425" w:hanging="425"/>
      <w:outlineLvl w:val="2"/>
    </w:pPr>
  </w:style>
  <w:style w:type="paragraph" w:customStyle="1" w:styleId="291">
    <w:name w:val="附录章标题"/>
    <w:next w:val="1"/>
    <w:qFormat/>
    <w:uiPriority w:val="0"/>
    <w:pPr>
      <w:tabs>
        <w:tab w:val="left" w:pos="840"/>
      </w:tabs>
      <w:wordWrap w:val="0"/>
      <w:overflowPunct w:val="0"/>
      <w:autoSpaceDE w:val="0"/>
      <w:spacing w:beforeLines="50" w:afterLines="50"/>
      <w:ind w:left="992" w:hanging="567"/>
      <w:jc w:val="both"/>
      <w:textAlignment w:val="baseline"/>
      <w:outlineLvl w:val="1"/>
    </w:pPr>
    <w:rPr>
      <w:rFonts w:ascii="黑体" w:hAnsi="Times New Roman" w:eastAsia="黑体" w:cs="Times New Roman"/>
      <w:kern w:val="21"/>
      <w:sz w:val="21"/>
      <w:lang w:val="en-US" w:eastAsia="zh-CN" w:bidi="ar-SA"/>
    </w:rPr>
  </w:style>
  <w:style w:type="paragraph" w:customStyle="1" w:styleId="292">
    <w:name w:val="附录二级无"/>
    <w:basedOn w:val="289"/>
    <w:qFormat/>
    <w:uiPriority w:val="0"/>
    <w:pPr>
      <w:tabs>
        <w:tab w:val="left" w:pos="1680"/>
      </w:tabs>
      <w:ind w:left="1680" w:hanging="420"/>
    </w:pPr>
    <w:rPr>
      <w:rFonts w:ascii="宋体" w:eastAsia="宋体"/>
      <w:szCs w:val="21"/>
    </w:rPr>
  </w:style>
  <w:style w:type="paragraph" w:customStyle="1" w:styleId="293">
    <w:name w:val="索引 11"/>
    <w:basedOn w:val="1"/>
    <w:next w:val="1"/>
    <w:qFormat/>
    <w:uiPriority w:val="0"/>
    <w:pPr>
      <w:ind w:left="391" w:hanging="391" w:hangingChars="186"/>
    </w:pPr>
    <w:rPr>
      <w:rFonts w:ascii="宋体" w:hAnsi="宋体"/>
      <w:szCs w:val="21"/>
    </w:rPr>
  </w:style>
  <w:style w:type="paragraph" w:customStyle="1" w:styleId="294">
    <w:name w:val="图表脚注"/>
    <w:next w:val="98"/>
    <w:qFormat/>
    <w:uiPriority w:val="0"/>
    <w:pPr>
      <w:ind w:left="2940" w:hanging="420"/>
      <w:jc w:val="both"/>
    </w:pPr>
    <w:rPr>
      <w:rFonts w:ascii="宋体" w:hAnsi="Times New Roman" w:eastAsia="宋体" w:cs="Times New Roman"/>
      <w:sz w:val="18"/>
      <w:lang w:val="en-US" w:eastAsia="zh-CN" w:bidi="ar-SA"/>
    </w:rPr>
  </w:style>
  <w:style w:type="paragraph" w:customStyle="1" w:styleId="295">
    <w:name w:val="无间隔1"/>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296">
    <w:name w:val="索引 21"/>
    <w:basedOn w:val="1"/>
    <w:next w:val="1"/>
    <w:qFormat/>
    <w:uiPriority w:val="0"/>
    <w:pPr>
      <w:ind w:left="420" w:hanging="210"/>
      <w:jc w:val="left"/>
    </w:pPr>
    <w:rPr>
      <w:rFonts w:ascii="Calibri" w:hAnsi="Calibri"/>
      <w:sz w:val="20"/>
      <w:szCs w:val="20"/>
    </w:rPr>
  </w:style>
  <w:style w:type="paragraph" w:customStyle="1" w:styleId="297">
    <w:name w:val="参考文献"/>
    <w:basedOn w:val="1"/>
    <w:next w:val="98"/>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298">
    <w:name w:val="封面标准名称2"/>
    <w:basedOn w:val="299"/>
    <w:qFormat/>
    <w:uiPriority w:val="0"/>
    <w:pPr>
      <w:tabs>
        <w:tab w:val="left" w:pos="1120"/>
        <w:tab w:val="left" w:pos="1260"/>
      </w:tabs>
      <w:spacing w:beforeLines="630"/>
      <w:ind w:left="0" w:firstLine="0"/>
    </w:pPr>
  </w:style>
  <w:style w:type="paragraph" w:customStyle="1" w:styleId="299">
    <w:name w:val="封面标准名称"/>
    <w:qFormat/>
    <w:uiPriority w:val="0"/>
    <w:pPr>
      <w:widowControl w:val="0"/>
      <w:tabs>
        <w:tab w:val="left" w:pos="1120"/>
        <w:tab w:val="left" w:pos="1260"/>
      </w:tabs>
      <w:spacing w:line="680" w:lineRule="exact"/>
      <w:ind w:left="1260" w:hanging="420"/>
      <w:jc w:val="center"/>
      <w:textAlignment w:val="center"/>
    </w:pPr>
    <w:rPr>
      <w:rFonts w:ascii="黑体" w:hAnsi="Times New Roman" w:eastAsia="黑体" w:cs="Times New Roman"/>
      <w:sz w:val="52"/>
      <w:lang w:val="en-US" w:eastAsia="zh-CN" w:bidi="ar-SA"/>
    </w:rPr>
  </w:style>
  <w:style w:type="paragraph" w:customStyle="1" w:styleId="300">
    <w:name w:val="封面正文"/>
    <w:qFormat/>
    <w:uiPriority w:val="0"/>
    <w:pPr>
      <w:jc w:val="both"/>
    </w:pPr>
    <w:rPr>
      <w:rFonts w:ascii="Times New Roman" w:hAnsi="Times New Roman" w:eastAsia="宋体" w:cs="Times New Roman"/>
      <w:lang w:val="en-US" w:eastAsia="zh-CN" w:bidi="ar-SA"/>
    </w:rPr>
  </w:style>
  <w:style w:type="paragraph" w:customStyle="1" w:styleId="301">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2">
    <w:name w:val="正文文本 31"/>
    <w:basedOn w:val="1"/>
    <w:qFormat/>
    <w:uiPriority w:val="0"/>
    <w:pPr>
      <w:spacing w:after="120"/>
    </w:pPr>
    <w:rPr>
      <w:sz w:val="16"/>
      <w:szCs w:val="16"/>
    </w:rPr>
  </w:style>
  <w:style w:type="paragraph" w:customStyle="1" w:styleId="303">
    <w:name w:val="_Style 30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_Style 18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5">
    <w:name w:val="样式 KT标题4 + 右侧:  1 字符"/>
    <w:basedOn w:val="244"/>
    <w:qFormat/>
    <w:uiPriority w:val="0"/>
    <w:pPr>
      <w:tabs>
        <w:tab w:val="clear" w:pos="864"/>
      </w:tabs>
      <w:ind w:right="210"/>
    </w:pPr>
    <w:rPr>
      <w:rFonts w:cs="宋体"/>
      <w:bCs w:val="0"/>
      <w:szCs w:val="20"/>
    </w:rPr>
  </w:style>
  <w:style w:type="paragraph" w:customStyle="1" w:styleId="30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307">
    <w:name w:val="标准书脚_奇数页"/>
    <w:qFormat/>
    <w:uiPriority w:val="0"/>
    <w:pPr>
      <w:spacing w:before="120"/>
      <w:jc w:val="right"/>
    </w:pPr>
    <w:rPr>
      <w:rFonts w:ascii="Times New Roman" w:hAnsi="Times New Roman" w:eastAsia="宋体" w:cs="Times New Roman"/>
      <w:sz w:val="18"/>
      <w:szCs w:val="22"/>
      <w:lang w:val="en-US" w:eastAsia="zh-CN" w:bidi="ar-SA"/>
    </w:rPr>
  </w:style>
  <w:style w:type="paragraph" w:customStyle="1" w:styleId="308">
    <w:name w:val="示例×："/>
    <w:basedOn w:val="1"/>
    <w:qFormat/>
    <w:uiPriority w:val="0"/>
    <w:pPr>
      <w:widowControl/>
      <w:spacing w:beforeLines="50" w:afterLines="50"/>
      <w:ind w:firstLine="363"/>
    </w:pPr>
    <w:rPr>
      <w:rFonts w:ascii="宋体"/>
      <w:kern w:val="0"/>
      <w:sz w:val="18"/>
      <w:szCs w:val="18"/>
    </w:rPr>
  </w:style>
  <w:style w:type="paragraph" w:customStyle="1" w:styleId="309">
    <w:name w:val="国家正文"/>
    <w:basedOn w:val="1"/>
    <w:qFormat/>
    <w:uiPriority w:val="0"/>
    <w:pPr>
      <w:spacing w:line="360" w:lineRule="auto"/>
      <w:ind w:firstLine="200" w:firstLineChars="200"/>
    </w:pPr>
    <w:rPr>
      <w:rFonts w:hAnsi="宋体" w:cs="Times New Roman"/>
      <w:kern w:val="2"/>
      <w:sz w:val="24"/>
      <w:szCs w:val="28"/>
    </w:rPr>
  </w:style>
  <w:style w:type="paragraph" w:customStyle="1" w:styleId="310">
    <w:name w:val="标准书眉_偶数页"/>
    <w:basedOn w:val="311"/>
    <w:next w:val="1"/>
    <w:qFormat/>
    <w:uiPriority w:val="0"/>
    <w:pPr>
      <w:tabs>
        <w:tab w:val="center" w:pos="4154"/>
        <w:tab w:val="right" w:pos="8306"/>
      </w:tabs>
      <w:jc w:val="left"/>
    </w:pPr>
    <w:rPr>
      <w:rFonts w:ascii="Times New Roman" w:hAnsi="Times New Roman"/>
      <w:szCs w:val="20"/>
    </w:rPr>
  </w:style>
  <w:style w:type="paragraph" w:customStyle="1" w:styleId="31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szCs w:val="22"/>
      <w:lang w:val="en-US" w:eastAsia="zh-CN" w:bidi="ar-SA"/>
    </w:rPr>
  </w:style>
  <w:style w:type="paragraph" w:customStyle="1" w:styleId="312">
    <w:name w:val="图内文字"/>
    <w:basedOn w:val="2"/>
    <w:qFormat/>
    <w:uiPriority w:val="0"/>
    <w:pPr>
      <w:adjustRightInd w:val="0"/>
      <w:snapToGrid w:val="0"/>
      <w:spacing w:before="60" w:after="60"/>
      <w:jc w:val="center"/>
    </w:pPr>
    <w:rPr>
      <w:szCs w:val="20"/>
      <w:lang w:val="en-US" w:eastAsia="zh-CN"/>
    </w:rPr>
  </w:style>
  <w:style w:type="paragraph" w:customStyle="1" w:styleId="313">
    <w:name w:val="批注框文本1"/>
    <w:basedOn w:val="1"/>
    <w:qFormat/>
    <w:uiPriority w:val="0"/>
    <w:rPr>
      <w:sz w:val="18"/>
      <w:szCs w:val="18"/>
    </w:rPr>
  </w:style>
  <w:style w:type="paragraph" w:customStyle="1" w:styleId="314">
    <w:name w:val="正文文本缩进1"/>
    <w:basedOn w:val="1"/>
    <w:qFormat/>
    <w:uiPriority w:val="0"/>
    <w:pPr>
      <w:ind w:left="40" w:firstLine="530"/>
    </w:pPr>
    <w:rPr>
      <w:rFonts w:ascii="宋体"/>
      <w:szCs w:val="20"/>
    </w:rPr>
  </w:style>
  <w:style w:type="paragraph" w:customStyle="1" w:styleId="315">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16">
    <w:name w:val="列出段落11"/>
    <w:basedOn w:val="1"/>
    <w:qFormat/>
    <w:uiPriority w:val="0"/>
    <w:pPr>
      <w:ind w:firstLine="420" w:firstLineChars="200"/>
    </w:pPr>
    <w:rPr>
      <w:rFonts w:ascii="Calibri" w:hAnsi="Calibri"/>
      <w:szCs w:val="22"/>
    </w:rPr>
  </w:style>
  <w:style w:type="paragraph" w:customStyle="1" w:styleId="317">
    <w:name w:val="附录数字编号列项（二级）"/>
    <w:qFormat/>
    <w:uiPriority w:val="0"/>
    <w:pPr>
      <w:tabs>
        <w:tab w:val="left" w:pos="839"/>
      </w:tabs>
    </w:pPr>
    <w:rPr>
      <w:rFonts w:ascii="宋体" w:hAnsi="Times New Roman" w:eastAsia="宋体" w:cs="Times New Roman"/>
      <w:sz w:val="21"/>
      <w:lang w:val="en-US" w:eastAsia="zh-CN" w:bidi="ar-SA"/>
    </w:rPr>
  </w:style>
  <w:style w:type="paragraph" w:customStyle="1" w:styleId="318">
    <w:name w:val="KT标题3"/>
    <w:basedOn w:val="5"/>
    <w:next w:val="1"/>
    <w:qFormat/>
    <w:uiPriority w:val="0"/>
    <w:pPr>
      <w:tabs>
        <w:tab w:val="left" w:pos="1368"/>
      </w:tabs>
      <w:spacing w:before="0" w:after="0" w:line="240" w:lineRule="auto"/>
    </w:pPr>
    <w:rPr>
      <w:rFonts w:ascii="Arial" w:hAnsi="Arial" w:eastAsia="黑体"/>
      <w:sz w:val="21"/>
      <w:szCs w:val="30"/>
    </w:rPr>
  </w:style>
  <w:style w:type="paragraph" w:customStyle="1" w:styleId="319">
    <w:name w:val="其他标准标志"/>
    <w:basedOn w:val="320"/>
    <w:qFormat/>
    <w:uiPriority w:val="0"/>
    <w:rPr>
      <w:szCs w:val="96"/>
    </w:rPr>
  </w:style>
  <w:style w:type="paragraph" w:customStyle="1" w:styleId="320">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321">
    <w:name w:val="示例"/>
    <w:next w:val="98"/>
    <w:qFormat/>
    <w:uiPriority w:val="0"/>
    <w:pPr>
      <w:tabs>
        <w:tab w:val="left" w:pos="816"/>
      </w:tabs>
      <w:ind w:left="425" w:firstLine="419" w:firstLineChars="233"/>
      <w:jc w:val="both"/>
    </w:pPr>
    <w:rPr>
      <w:rFonts w:ascii="宋体" w:hAnsi="Times New Roman" w:eastAsia="宋体" w:cs="Times New Roman"/>
      <w:sz w:val="18"/>
      <w:lang w:val="en-US" w:eastAsia="zh-CN" w:bidi="ar-SA"/>
    </w:rPr>
  </w:style>
  <w:style w:type="paragraph" w:customStyle="1" w:styleId="322">
    <w:name w:val="附录四级无"/>
    <w:basedOn w:val="287"/>
    <w:qFormat/>
    <w:uiPriority w:val="0"/>
    <w:pPr>
      <w:tabs>
        <w:tab w:val="left" w:pos="360"/>
        <w:tab w:val="left" w:pos="2520"/>
      </w:tabs>
      <w:ind w:left="2520" w:hanging="420"/>
    </w:pPr>
    <w:rPr>
      <w:rFonts w:ascii="宋体" w:eastAsia="宋体"/>
      <w:szCs w:val="21"/>
    </w:rPr>
  </w:style>
  <w:style w:type="paragraph" w:customStyle="1" w:styleId="323">
    <w:name w:val="注×：（正文）"/>
    <w:qFormat/>
    <w:uiPriority w:val="0"/>
    <w:pPr>
      <w:ind w:left="811" w:hanging="448"/>
      <w:jc w:val="both"/>
    </w:pPr>
    <w:rPr>
      <w:rFonts w:ascii="宋体" w:hAnsi="Times New Roman" w:eastAsia="宋体" w:cs="Times New Roman"/>
      <w:sz w:val="18"/>
      <w:szCs w:val="18"/>
      <w:lang w:val="en-US" w:eastAsia="zh-CN" w:bidi="ar-SA"/>
    </w:rPr>
  </w:style>
  <w:style w:type="paragraph" w:customStyle="1" w:styleId="324">
    <w:name w:val="表内文字"/>
    <w:basedOn w:val="1"/>
    <w:qFormat/>
    <w:uiPriority w:val="0"/>
    <w:pPr>
      <w:adjustRightInd w:val="0"/>
      <w:snapToGrid w:val="0"/>
      <w:spacing w:line="312" w:lineRule="auto"/>
      <w:jc w:val="center"/>
    </w:pPr>
    <w:rPr>
      <w:color w:val="000000"/>
      <w:szCs w:val="20"/>
    </w:rPr>
  </w:style>
  <w:style w:type="paragraph" w:customStyle="1" w:styleId="325">
    <w:name w:val="修订11"/>
    <w:qFormat/>
    <w:uiPriority w:val="0"/>
    <w:rPr>
      <w:rFonts w:ascii="Times New Roman" w:hAnsi="Times New Roman" w:eastAsia="宋体" w:cs="Times New Roman"/>
      <w:kern w:val="2"/>
      <w:sz w:val="21"/>
      <w:szCs w:val="24"/>
      <w:lang w:val="en-US" w:eastAsia="zh-CN" w:bidi="ar-SA"/>
    </w:rPr>
  </w:style>
  <w:style w:type="paragraph" w:customStyle="1" w:styleId="326">
    <w:name w:val="Normal"/>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27">
    <w:name w:val="表正文"/>
    <w:basedOn w:val="1"/>
    <w:next w:val="302"/>
    <w:qFormat/>
    <w:uiPriority w:val="0"/>
    <w:pPr>
      <w:spacing w:line="0" w:lineRule="atLeast"/>
      <w:jc w:val="center"/>
    </w:pPr>
    <w:rPr>
      <w:b/>
      <w:sz w:val="18"/>
    </w:rPr>
  </w:style>
  <w:style w:type="paragraph" w:customStyle="1" w:styleId="328">
    <w:name w:val="实施日期"/>
    <w:basedOn w:val="1"/>
    <w:qFormat/>
    <w:uiPriority w:val="0"/>
    <w:pPr>
      <w:widowControl/>
      <w:ind w:left="992" w:hanging="992"/>
      <w:jc w:val="right"/>
    </w:pPr>
    <w:rPr>
      <w:rFonts w:eastAsia="黑体"/>
      <w:kern w:val="0"/>
      <w:sz w:val="28"/>
      <w:szCs w:val="20"/>
    </w:rPr>
  </w:style>
  <w:style w:type="paragraph" w:customStyle="1" w:styleId="329">
    <w:name w:val="纯文本1 New New New New New"/>
    <w:basedOn w:val="1"/>
    <w:qFormat/>
    <w:uiPriority w:val="0"/>
    <w:pPr>
      <w:suppressAutoHyphens/>
      <w:topLinePunct/>
    </w:pPr>
    <w:rPr>
      <w:rFonts w:ascii="宋体" w:hAnsi="宋体"/>
      <w:kern w:val="1"/>
      <w:sz w:val="20"/>
      <w:szCs w:val="20"/>
      <w:lang w:eastAsia="ar-SA"/>
    </w:rPr>
  </w:style>
  <w:style w:type="paragraph" w:customStyle="1" w:styleId="330">
    <w:name w:val="索引 61"/>
    <w:basedOn w:val="1"/>
    <w:next w:val="1"/>
    <w:qFormat/>
    <w:uiPriority w:val="0"/>
    <w:pPr>
      <w:ind w:left="1260" w:hanging="210"/>
      <w:jc w:val="left"/>
    </w:pPr>
    <w:rPr>
      <w:rFonts w:ascii="Calibri" w:hAnsi="Calibri"/>
      <w:sz w:val="20"/>
      <w:szCs w:val="20"/>
    </w:rPr>
  </w:style>
  <w:style w:type="paragraph" w:customStyle="1" w:styleId="331">
    <w:name w:val="附录图标题"/>
    <w:next w:val="98"/>
    <w:qFormat/>
    <w:uiPriority w:val="0"/>
    <w:pPr>
      <w:tabs>
        <w:tab w:val="left" w:pos="360"/>
      </w:tabs>
      <w:jc w:val="center"/>
    </w:pPr>
    <w:rPr>
      <w:rFonts w:ascii="黑体" w:hAnsi="Times New Roman" w:eastAsia="黑体" w:cs="Times New Roman"/>
      <w:sz w:val="21"/>
      <w:lang w:val="en-US" w:eastAsia="zh-CN" w:bidi="ar-SA"/>
    </w:rPr>
  </w:style>
  <w:style w:type="paragraph" w:customStyle="1" w:styleId="332">
    <w:name w:val="发布日期"/>
    <w:qFormat/>
    <w:uiPriority w:val="0"/>
    <w:rPr>
      <w:rFonts w:ascii="Times New Roman" w:hAnsi="Times New Roman" w:eastAsia="黑体" w:cs="Times New Roman"/>
      <w:sz w:val="28"/>
      <w:lang w:val="en-US" w:eastAsia="zh-CN" w:bidi="ar-SA"/>
    </w:rPr>
  </w:style>
  <w:style w:type="paragraph" w:customStyle="1" w:styleId="333">
    <w:name w:val="索引 41"/>
    <w:basedOn w:val="1"/>
    <w:next w:val="1"/>
    <w:qFormat/>
    <w:uiPriority w:val="0"/>
    <w:pPr>
      <w:ind w:left="840" w:hanging="210"/>
      <w:jc w:val="left"/>
    </w:pPr>
    <w:rPr>
      <w:rFonts w:ascii="Calibri" w:hAnsi="Calibri"/>
      <w:sz w:val="20"/>
      <w:szCs w:val="20"/>
    </w:rPr>
  </w:style>
  <w:style w:type="paragraph" w:customStyle="1" w:styleId="334">
    <w:name w:val="TOC 标题2"/>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33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36">
    <w:name w:val="批注主题2"/>
    <w:basedOn w:val="21"/>
    <w:next w:val="21"/>
    <w:qFormat/>
    <w:uiPriority w:val="0"/>
    <w:rPr>
      <w:b/>
      <w:bCs/>
      <w:lang w:val="en-US" w:eastAsia="zh-CN"/>
    </w:rPr>
  </w:style>
  <w:style w:type="paragraph" w:customStyle="1" w:styleId="337">
    <w:name w:val="前言、引言标题"/>
    <w:next w:val="1"/>
    <w:qFormat/>
    <w:uiPriority w:val="0"/>
    <w:pPr>
      <w:shd w:val="clear" w:color="FFFFFF" w:fill="FFFFFF"/>
      <w:tabs>
        <w:tab w:val="left" w:pos="1120"/>
      </w:tabs>
      <w:spacing w:before="640" w:after="560"/>
      <w:ind w:firstLine="400"/>
      <w:jc w:val="center"/>
      <w:outlineLvl w:val="0"/>
    </w:pPr>
    <w:rPr>
      <w:rFonts w:ascii="黑体" w:hAnsi="Times New Roman" w:eastAsia="黑体" w:cs="Times New Roman"/>
      <w:sz w:val="32"/>
      <w:lang w:val="en-US" w:eastAsia="zh-CN" w:bidi="ar-SA"/>
    </w:rPr>
  </w:style>
  <w:style w:type="paragraph" w:customStyle="1" w:styleId="338">
    <w:name w:val="样式 首行缩进:  1.92 字符1"/>
    <w:basedOn w:val="1"/>
    <w:qFormat/>
    <w:uiPriority w:val="0"/>
    <w:pPr>
      <w:spacing w:line="360" w:lineRule="auto"/>
      <w:ind w:firstLine="192" w:firstLineChars="192"/>
    </w:pPr>
    <w:rPr>
      <w:rFonts w:cs="宋体"/>
      <w:sz w:val="24"/>
      <w:szCs w:val="20"/>
    </w:rPr>
  </w:style>
  <w:style w:type="paragraph" w:customStyle="1" w:styleId="339">
    <w:name w:val="图案标题"/>
    <w:basedOn w:val="1"/>
    <w:qFormat/>
    <w:uiPriority w:val="0"/>
    <w:pPr>
      <w:tabs>
        <w:tab w:val="left" w:pos="1200"/>
      </w:tabs>
      <w:adjustRightInd w:val="0"/>
      <w:snapToGrid w:val="0"/>
      <w:spacing w:line="312" w:lineRule="auto"/>
      <w:ind w:left="700" w:leftChars="200" w:hanging="500" w:hangingChars="500"/>
    </w:pPr>
    <w:rPr>
      <w:sz w:val="24"/>
      <w:szCs w:val="20"/>
    </w:rPr>
  </w:style>
  <w:style w:type="paragraph" w:customStyle="1" w:styleId="340">
    <w:name w:val="Table Paragraph"/>
    <w:basedOn w:val="1"/>
    <w:qFormat/>
    <w:uiPriority w:val="1"/>
    <w:rPr>
      <w:rFonts w:ascii="宋体" w:hAnsi="宋体" w:eastAsia="宋体" w:cs="宋体"/>
      <w:lang w:val="zh-CN" w:eastAsia="zh-CN" w:bidi="zh-CN"/>
    </w:rPr>
  </w:style>
  <w:style w:type="paragraph" w:customStyle="1" w:styleId="341">
    <w:name w:val="目次、标准名称标题"/>
    <w:basedOn w:val="337"/>
    <w:next w:val="98"/>
    <w:qFormat/>
    <w:uiPriority w:val="0"/>
    <w:pPr>
      <w:spacing w:line="460" w:lineRule="exact"/>
      <w:ind w:firstLine="0"/>
    </w:pPr>
  </w:style>
  <w:style w:type="paragraph" w:customStyle="1" w:styleId="342">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343">
    <w:name w:val="纯文本1"/>
    <w:basedOn w:val="1"/>
    <w:qFormat/>
    <w:uiPriority w:val="0"/>
    <w:rPr>
      <w:rFonts w:ascii="宋体" w:hAnsi="Courier New" w:eastAsia="仿宋_GB2312"/>
      <w:sz w:val="10"/>
      <w:szCs w:val="20"/>
    </w:rPr>
  </w:style>
  <w:style w:type="paragraph" w:customStyle="1" w:styleId="344">
    <w:name w:val="样式 标题 2 + 居中1"/>
    <w:basedOn w:val="4"/>
    <w:qFormat/>
    <w:uiPriority w:val="0"/>
    <w:pPr>
      <w:tabs>
        <w:tab w:val="left" w:pos="360"/>
        <w:tab w:val="left" w:pos="840"/>
        <w:tab w:val="left" w:pos="2040"/>
      </w:tabs>
      <w:spacing w:before="0" w:after="0" w:line="360" w:lineRule="auto"/>
      <w:ind w:left="840" w:hanging="420"/>
      <w:jc w:val="center"/>
    </w:pPr>
    <w:rPr>
      <w:rFonts w:cs="宋体"/>
      <w:b w:val="0"/>
      <w:sz w:val="28"/>
      <w:szCs w:val="20"/>
      <w:lang w:val="en-US" w:eastAsia="zh-CN"/>
    </w:rPr>
  </w:style>
  <w:style w:type="paragraph" w:customStyle="1" w:styleId="345">
    <w:name w:val="批注主题1"/>
    <w:basedOn w:val="21"/>
    <w:next w:val="21"/>
    <w:qFormat/>
    <w:uiPriority w:val="0"/>
    <w:rPr>
      <w:b/>
      <w:bCs/>
      <w:lang w:val="en-US" w:eastAsia="zh-CN"/>
    </w:rPr>
  </w:style>
  <w:style w:type="paragraph" w:customStyle="1" w:styleId="346">
    <w:name w:val="TOC 标题1"/>
    <w:basedOn w:val="169"/>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347">
    <w:name w:val="条文脚注"/>
    <w:basedOn w:val="37"/>
    <w:qFormat/>
    <w:uiPriority w:val="0"/>
    <w:pPr>
      <w:ind w:left="780" w:leftChars="200" w:hanging="360" w:hangingChars="200"/>
      <w:jc w:val="both"/>
    </w:pPr>
    <w:rPr>
      <w:rFonts w:ascii="宋体"/>
      <w:szCs w:val="18"/>
    </w:rPr>
  </w:style>
  <w:style w:type="paragraph" w:customStyle="1" w:styleId="348">
    <w:name w:val="日期2"/>
    <w:basedOn w:val="1"/>
    <w:next w:val="1"/>
    <w:qFormat/>
    <w:uiPriority w:val="0"/>
    <w:pPr>
      <w:ind w:left="100" w:leftChars="2500"/>
    </w:pPr>
  </w:style>
  <w:style w:type="paragraph" w:customStyle="1" w:styleId="349">
    <w:name w:val="修订2"/>
    <w:semiHidden/>
    <w:qFormat/>
    <w:uiPriority w:val="99"/>
    <w:rPr>
      <w:rFonts w:ascii="Times New Roman" w:hAnsi="Times New Roman" w:eastAsia="宋体" w:cs="Times New Roman"/>
      <w:kern w:val="2"/>
      <w:sz w:val="24"/>
      <w:szCs w:val="24"/>
      <w:lang w:val="en-US" w:eastAsia="zh-CN" w:bidi="ar-SA"/>
    </w:rPr>
  </w:style>
  <w:style w:type="paragraph" w:customStyle="1" w:styleId="350">
    <w:name w:val="注：（正文）"/>
    <w:basedOn w:val="271"/>
    <w:next w:val="98"/>
    <w:qFormat/>
    <w:uiPriority w:val="0"/>
    <w:pPr>
      <w:tabs>
        <w:tab w:val="clear" w:pos="420"/>
      </w:tabs>
      <w:ind w:left="726" w:hanging="363"/>
    </w:pPr>
    <w:rPr>
      <w:szCs w:val="18"/>
    </w:rPr>
  </w:style>
  <w:style w:type="paragraph" w:customStyle="1" w:styleId="351">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352">
    <w:name w:val="封面标准文稿类别2"/>
    <w:basedOn w:val="275"/>
    <w:qFormat/>
    <w:uiPriority w:val="0"/>
    <w:pPr>
      <w:widowControl w:val="0"/>
      <w:spacing w:after="160" w:line="240" w:lineRule="auto"/>
      <w:ind w:left="0" w:firstLine="0"/>
      <w:textAlignment w:val="center"/>
    </w:pPr>
    <w:rPr>
      <w:szCs w:val="28"/>
    </w:rPr>
  </w:style>
  <w:style w:type="paragraph" w:customStyle="1" w:styleId="353">
    <w:name w:val="列出段落111"/>
    <w:basedOn w:val="1"/>
    <w:qFormat/>
    <w:uiPriority w:val="0"/>
    <w:pPr>
      <w:spacing w:line="360" w:lineRule="auto"/>
      <w:ind w:firstLine="420" w:firstLineChars="200"/>
    </w:pPr>
    <w:rPr>
      <w:rFonts w:ascii="Calibri" w:hAnsi="Calibri"/>
      <w:sz w:val="24"/>
      <w:szCs w:val="22"/>
    </w:rPr>
  </w:style>
  <w:style w:type="paragraph" w:customStyle="1" w:styleId="354">
    <w:name w:val="封面标题"/>
    <w:basedOn w:val="1"/>
    <w:qFormat/>
    <w:uiPriority w:val="0"/>
    <w:pPr>
      <w:widowControl/>
      <w:spacing w:before="120" w:after="120" w:line="320" w:lineRule="atLeast"/>
      <w:jc w:val="center"/>
      <w:textAlignment w:val="baseline"/>
    </w:pPr>
    <w:rPr>
      <w:b/>
      <w:kern w:val="0"/>
      <w:sz w:val="52"/>
      <w:szCs w:val="21"/>
      <w:lang w:eastAsia="en-US" w:bidi="en-US"/>
    </w:rPr>
  </w:style>
  <w:style w:type="paragraph" w:customStyle="1" w:styleId="355">
    <w:name w:val="附录字母编号列项（一级）"/>
    <w:qFormat/>
    <w:uiPriority w:val="0"/>
    <w:pPr>
      <w:ind w:firstLine="363"/>
    </w:pPr>
    <w:rPr>
      <w:rFonts w:ascii="宋体" w:hAnsi="Times New Roman" w:eastAsia="宋体" w:cs="Times New Roman"/>
      <w:sz w:val="21"/>
      <w:lang w:val="en-US" w:eastAsia="zh-CN" w:bidi="ar-SA"/>
    </w:rPr>
  </w:style>
  <w:style w:type="paragraph" w:customStyle="1" w:styleId="356">
    <w:name w:val="HTML 预设格式1"/>
    <w:basedOn w:val="1"/>
    <w:qFormat/>
    <w:uiPriority w:val="0"/>
    <w:pPr>
      <w:tabs>
        <w:tab w:val="left" w:pos="840"/>
      </w:tabs>
    </w:pPr>
    <w:rPr>
      <w:rFonts w:ascii="Courier New" w:hAnsi="Courier New" w:cs="Courier New"/>
    </w:rPr>
  </w:style>
  <w:style w:type="paragraph" w:customStyle="1" w:styleId="357">
    <w:name w:val="附录表标号"/>
    <w:basedOn w:val="1"/>
    <w:next w:val="98"/>
    <w:qFormat/>
    <w:uiPriority w:val="0"/>
    <w:pPr>
      <w:tabs>
        <w:tab w:val="left" w:pos="0"/>
      </w:tabs>
      <w:spacing w:line="14" w:lineRule="exact"/>
      <w:ind w:left="811" w:hanging="448"/>
      <w:jc w:val="center"/>
      <w:outlineLvl w:val="0"/>
    </w:pPr>
    <w:rPr>
      <w:color w:val="FFFFFF"/>
    </w:rPr>
  </w:style>
  <w:style w:type="paragraph" w:customStyle="1" w:styleId="358">
    <w:name w:val="附录公式编号制表符"/>
    <w:basedOn w:val="1"/>
    <w:next w:val="98"/>
    <w:qFormat/>
    <w:uiPriority w:val="0"/>
    <w:pPr>
      <w:widowControl/>
      <w:tabs>
        <w:tab w:val="center" w:pos="4201"/>
        <w:tab w:val="right" w:leader="dot" w:pos="9298"/>
      </w:tabs>
      <w:autoSpaceDE w:val="0"/>
      <w:autoSpaceDN w:val="0"/>
    </w:pPr>
    <w:rPr>
      <w:rFonts w:ascii="宋体"/>
      <w:kern w:val="0"/>
      <w:szCs w:val="20"/>
    </w:rPr>
  </w:style>
  <w:style w:type="paragraph" w:customStyle="1" w:styleId="359">
    <w:name w:val="文档结构图1"/>
    <w:basedOn w:val="1"/>
    <w:qFormat/>
    <w:uiPriority w:val="0"/>
    <w:pPr>
      <w:shd w:val="clear" w:color="auto" w:fill="000080"/>
    </w:pPr>
    <w:rPr>
      <w:rFonts w:ascii="Calibri" w:hAnsi="Calibri"/>
      <w:shd w:val="clear" w:color="auto" w:fill="000080"/>
    </w:rPr>
  </w:style>
  <w:style w:type="paragraph" w:customStyle="1" w:styleId="360">
    <w:name w:val="KT正文"/>
    <w:basedOn w:val="1"/>
    <w:qFormat/>
    <w:uiPriority w:val="0"/>
    <w:pPr>
      <w:spacing w:afterLines="50" w:line="360" w:lineRule="auto"/>
      <w:ind w:firstLine="510"/>
    </w:pPr>
    <w:rPr>
      <w:rFonts w:ascii="Arial" w:hAnsi="Arial"/>
      <w:szCs w:val="21"/>
    </w:rPr>
  </w:style>
  <w:style w:type="paragraph" w:customStyle="1" w:styleId="361">
    <w:name w:val="索引标题1"/>
    <w:basedOn w:val="1"/>
    <w:next w:val="293"/>
    <w:qFormat/>
    <w:uiPriority w:val="0"/>
    <w:pPr>
      <w:spacing w:before="120" w:after="120"/>
      <w:jc w:val="center"/>
    </w:pPr>
    <w:rPr>
      <w:rFonts w:ascii="Calibri" w:hAnsi="Calibri"/>
      <w:b/>
      <w:bCs/>
      <w:iCs/>
      <w:szCs w:val="20"/>
    </w:rPr>
  </w:style>
  <w:style w:type="paragraph" w:customStyle="1" w:styleId="362">
    <w:name w:val="附录一级无"/>
    <w:basedOn w:val="290"/>
    <w:qFormat/>
    <w:uiPriority w:val="0"/>
    <w:pPr>
      <w:tabs>
        <w:tab w:val="left" w:pos="1260"/>
        <w:tab w:val="clear" w:pos="840"/>
      </w:tabs>
      <w:ind w:left="1260" w:hanging="420"/>
    </w:pPr>
    <w:rPr>
      <w:rFonts w:ascii="宋体" w:eastAsia="宋体"/>
      <w:szCs w:val="21"/>
    </w:rPr>
  </w:style>
  <w:style w:type="paragraph" w:customStyle="1" w:styleId="363">
    <w:name w:val="参考文献、索引标题"/>
    <w:basedOn w:val="337"/>
    <w:next w:val="1"/>
    <w:qFormat/>
    <w:uiPriority w:val="0"/>
    <w:pPr>
      <w:spacing w:after="200"/>
      <w:ind w:firstLine="0"/>
    </w:pPr>
    <w:rPr>
      <w:sz w:val="21"/>
    </w:rPr>
  </w:style>
  <w:style w:type="paragraph" w:customStyle="1" w:styleId="364">
    <w:name w:val="正文公式编号制表符"/>
    <w:basedOn w:val="98"/>
    <w:next w:val="98"/>
    <w:qFormat/>
    <w:uiPriority w:val="0"/>
    <w:pPr>
      <w:tabs>
        <w:tab w:val="center" w:pos="4201"/>
        <w:tab w:val="right" w:leader="dot" w:pos="9298"/>
      </w:tabs>
      <w:ind w:firstLine="0" w:firstLineChars="0"/>
    </w:pPr>
    <w:rPr>
      <w:szCs w:val="20"/>
    </w:rPr>
  </w:style>
  <w:style w:type="paragraph" w:customStyle="1" w:styleId="365">
    <w:name w:val="四级无"/>
    <w:basedOn w:val="265"/>
    <w:qFormat/>
    <w:uiPriority w:val="0"/>
    <w:pPr>
      <w:spacing w:before="50" w:after="50"/>
    </w:pPr>
    <w:rPr>
      <w:rFonts w:ascii="宋体" w:eastAsia="宋体"/>
      <w:szCs w:val="21"/>
    </w:rPr>
  </w:style>
  <w:style w:type="paragraph" w:customStyle="1" w:styleId="366">
    <w:name w:val="图下文字"/>
    <w:basedOn w:val="1"/>
    <w:qFormat/>
    <w:uiPriority w:val="0"/>
    <w:pPr>
      <w:adjustRightInd w:val="0"/>
      <w:snapToGrid w:val="0"/>
      <w:spacing w:line="312" w:lineRule="auto"/>
      <w:jc w:val="center"/>
    </w:pPr>
    <w:rPr>
      <w:sz w:val="18"/>
      <w:szCs w:val="20"/>
    </w:rPr>
  </w:style>
  <w:style w:type="paragraph" w:customStyle="1" w:styleId="367">
    <w:name w:val="正文1"/>
    <w:qFormat/>
    <w:uiPriority w:val="0"/>
    <w:pPr>
      <w:widowControl w:val="0"/>
      <w:adjustRightInd w:val="0"/>
      <w:spacing w:line="312" w:lineRule="atLeast"/>
      <w:jc w:val="both"/>
      <w:textAlignment w:val="baseline"/>
    </w:pPr>
    <w:rPr>
      <w:rFonts w:ascii="Marigold" w:hAnsi="Marigold" w:eastAsia="宋体" w:cs="Times New Roman"/>
      <w:sz w:val="34"/>
      <w:lang w:val="en-US" w:eastAsia="zh-CN" w:bidi="ar-SA"/>
    </w:rPr>
  </w:style>
  <w:style w:type="paragraph" w:customStyle="1" w:styleId="368">
    <w:name w:val="表格注"/>
    <w:basedOn w:val="369"/>
    <w:next w:val="369"/>
    <w:qFormat/>
    <w:uiPriority w:val="0"/>
    <w:pPr>
      <w:tabs>
        <w:tab w:val="left" w:pos="0"/>
      </w:tabs>
      <w:spacing w:line="240" w:lineRule="auto"/>
      <w:ind w:left="420" w:hanging="420" w:hangingChars="200"/>
    </w:pPr>
    <w:rPr>
      <w:rFonts w:ascii="宋体" w:hAnsi="宋体"/>
      <w:sz w:val="21"/>
      <w:szCs w:val="21"/>
    </w:rPr>
  </w:style>
  <w:style w:type="paragraph" w:customStyle="1" w:styleId="369">
    <w:name w:val="表格"/>
    <w:basedOn w:val="1"/>
    <w:qFormat/>
    <w:uiPriority w:val="0"/>
    <w:pPr>
      <w:spacing w:line="400" w:lineRule="exact"/>
    </w:pPr>
    <w:rPr>
      <w:rFonts w:ascii="Times New Roman" w:hAnsi="Times New Roman"/>
      <w:sz w:val="24"/>
    </w:rPr>
  </w:style>
  <w:style w:type="paragraph" w:customStyle="1" w:styleId="370">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371">
    <w:name w:val="索引 71"/>
    <w:basedOn w:val="1"/>
    <w:next w:val="1"/>
    <w:qFormat/>
    <w:uiPriority w:val="0"/>
    <w:pPr>
      <w:ind w:left="1470" w:hanging="210"/>
      <w:jc w:val="left"/>
    </w:pPr>
    <w:rPr>
      <w:rFonts w:ascii="Calibri" w:hAnsi="Calibri"/>
      <w:sz w:val="20"/>
      <w:szCs w:val="20"/>
    </w:rPr>
  </w:style>
  <w:style w:type="paragraph" w:customStyle="1" w:styleId="372">
    <w:name w:val="Char Char Char1 Char Char Char Char"/>
    <w:basedOn w:val="1"/>
    <w:qFormat/>
    <w:uiPriority w:val="0"/>
    <w:rPr>
      <w:b/>
      <w:sz w:val="28"/>
      <w:szCs w:val="28"/>
    </w:rPr>
  </w:style>
  <w:style w:type="paragraph" w:customStyle="1" w:styleId="373">
    <w:name w:val="GW-正文"/>
    <w:basedOn w:val="1"/>
    <w:qFormat/>
    <w:uiPriority w:val="0"/>
    <w:pPr>
      <w:spacing w:line="360" w:lineRule="auto"/>
      <w:ind w:firstLine="200" w:firstLineChars="200"/>
    </w:pPr>
    <w:rPr>
      <w:rFonts w:eastAsia="仿宋_GB2312"/>
      <w:sz w:val="24"/>
    </w:rPr>
  </w:style>
  <w:style w:type="paragraph" w:customStyle="1" w:styleId="374">
    <w:name w:val="修订1"/>
    <w:qFormat/>
    <w:uiPriority w:val="0"/>
    <w:rPr>
      <w:rFonts w:ascii="Times New Roman" w:hAnsi="Times New Roman" w:eastAsia="宋体" w:cs="Times New Roman"/>
      <w:kern w:val="2"/>
      <w:sz w:val="21"/>
      <w:szCs w:val="24"/>
      <w:lang w:val="en-US" w:eastAsia="zh-CN" w:bidi="ar-SA"/>
    </w:rPr>
  </w:style>
  <w:style w:type="paragraph" w:customStyle="1" w:styleId="375">
    <w:name w:val="正文缩进1"/>
    <w:basedOn w:val="1"/>
    <w:qFormat/>
    <w:uiPriority w:val="0"/>
    <w:pPr>
      <w:tabs>
        <w:tab w:val="left" w:pos="900"/>
      </w:tabs>
      <w:snapToGrid w:val="0"/>
      <w:spacing w:line="312" w:lineRule="auto"/>
      <w:ind w:left="900" w:hanging="500"/>
    </w:pPr>
    <w:rPr>
      <w:sz w:val="24"/>
    </w:rPr>
  </w:style>
  <w:style w:type="paragraph" w:customStyle="1" w:styleId="376">
    <w:name w:val="图标脚注说明"/>
    <w:basedOn w:val="98"/>
    <w:qFormat/>
    <w:uiPriority w:val="0"/>
    <w:pPr>
      <w:tabs>
        <w:tab w:val="center" w:pos="4201"/>
        <w:tab w:val="right" w:leader="dot" w:pos="9298"/>
      </w:tabs>
      <w:ind w:left="840" w:hanging="420" w:firstLineChars="0"/>
    </w:pPr>
    <w:rPr>
      <w:sz w:val="18"/>
      <w:szCs w:val="18"/>
    </w:rPr>
  </w:style>
  <w:style w:type="paragraph" w:customStyle="1" w:styleId="377">
    <w:name w:val="正文表标题"/>
    <w:next w:val="98"/>
    <w:qFormat/>
    <w:uiPriority w:val="0"/>
    <w:pPr>
      <w:jc w:val="center"/>
    </w:pPr>
    <w:rPr>
      <w:rFonts w:ascii="黑体" w:hAnsi="Times New Roman" w:eastAsia="黑体" w:cs="Times New Roman"/>
      <w:sz w:val="21"/>
      <w:szCs w:val="22"/>
      <w:lang w:val="en-US" w:eastAsia="zh-CN" w:bidi="ar-SA"/>
    </w:rPr>
  </w:style>
  <w:style w:type="paragraph" w:customStyle="1" w:styleId="378">
    <w:name w:val="表头文字"/>
    <w:basedOn w:val="1"/>
    <w:qFormat/>
    <w:uiPriority w:val="0"/>
    <w:pPr>
      <w:adjustRightInd w:val="0"/>
      <w:snapToGrid w:val="0"/>
      <w:jc w:val="center"/>
    </w:pPr>
    <w:rPr>
      <w:sz w:val="24"/>
      <w:szCs w:val="20"/>
    </w:rPr>
  </w:style>
  <w:style w:type="paragraph" w:customStyle="1" w:styleId="379">
    <w:name w:val="!正文"/>
    <w:basedOn w:val="1"/>
    <w:qFormat/>
    <w:uiPriority w:val="0"/>
    <w:pPr>
      <w:widowControl/>
      <w:spacing w:line="360" w:lineRule="auto"/>
      <w:ind w:firstLine="480" w:firstLineChars="200"/>
      <w:jc w:val="left"/>
    </w:pPr>
    <w:rPr>
      <w:rFonts w:ascii="Calibri" w:hAnsi="Calibri"/>
      <w:i/>
      <w:iCs/>
      <w:color w:val="000000"/>
      <w:sz w:val="24"/>
      <w:szCs w:val="21"/>
      <w:lang w:eastAsia="en-US" w:bidi="en-US"/>
    </w:rPr>
  </w:style>
  <w:style w:type="paragraph" w:customStyle="1" w:styleId="380">
    <w:name w:val="五级无"/>
    <w:basedOn w:val="264"/>
    <w:qFormat/>
    <w:uiPriority w:val="0"/>
    <w:pPr>
      <w:spacing w:before="50" w:after="50"/>
      <w:ind w:left="0" w:firstLine="0"/>
    </w:pPr>
    <w:rPr>
      <w:rFonts w:ascii="宋体" w:eastAsia="宋体"/>
      <w:szCs w:val="21"/>
    </w:rPr>
  </w:style>
  <w:style w:type="paragraph" w:customStyle="1" w:styleId="381">
    <w:name w:val="封面一致性程度标识2"/>
    <w:basedOn w:val="370"/>
    <w:qFormat/>
    <w:uiPriority w:val="0"/>
    <w:pPr>
      <w:widowControl w:val="0"/>
      <w:textAlignment w:val="center"/>
    </w:pPr>
    <w:rPr>
      <w:szCs w:val="28"/>
    </w:rPr>
  </w:style>
  <w:style w:type="paragraph" w:customStyle="1" w:styleId="382">
    <w:name w:val="Char1"/>
    <w:basedOn w:val="1"/>
    <w:qFormat/>
    <w:uiPriority w:val="0"/>
    <w:pPr>
      <w:spacing w:line="360" w:lineRule="auto"/>
      <w:ind w:firstLine="480" w:firstLineChars="200"/>
    </w:pPr>
    <w:rPr>
      <w:rFonts w:ascii="宋体" w:hAnsi="宋体"/>
      <w:bCs/>
      <w:sz w:val="24"/>
      <w:lang w:val="zh-CN"/>
    </w:rPr>
  </w:style>
  <w:style w:type="paragraph" w:customStyle="1" w:styleId="383">
    <w:name w:val="List Paragraph1"/>
    <w:basedOn w:val="1"/>
    <w:qFormat/>
    <w:uiPriority w:val="0"/>
    <w:pPr>
      <w:ind w:firstLine="420" w:firstLineChars="200"/>
    </w:pPr>
    <w:rPr>
      <w:szCs w:val="22"/>
    </w:rPr>
  </w:style>
  <w:style w:type="paragraph" w:customStyle="1" w:styleId="384">
    <w:name w:val="图中文字"/>
    <w:basedOn w:val="1"/>
    <w:qFormat/>
    <w:uiPriority w:val="0"/>
    <w:pPr>
      <w:adjustRightInd w:val="0"/>
      <w:snapToGrid w:val="0"/>
      <w:spacing w:line="312" w:lineRule="auto"/>
      <w:ind w:firstLine="200" w:firstLineChars="200"/>
      <w:jc w:val="center"/>
    </w:pPr>
    <w:rPr>
      <w:color w:val="000000"/>
      <w:sz w:val="24"/>
    </w:rPr>
  </w:style>
  <w:style w:type="paragraph" w:customStyle="1" w:styleId="385">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386">
    <w:name w:val="表格标题"/>
    <w:basedOn w:val="369"/>
    <w:next w:val="369"/>
    <w:qFormat/>
    <w:uiPriority w:val="0"/>
    <w:pPr>
      <w:tabs>
        <w:tab w:val="left" w:pos="720"/>
      </w:tabs>
      <w:spacing w:line="240" w:lineRule="auto"/>
      <w:jc w:val="center"/>
    </w:pPr>
    <w:rPr>
      <w:rFonts w:eastAsia="黑体"/>
      <w:szCs w:val="20"/>
    </w:rPr>
  </w:style>
  <w:style w:type="paragraph" w:customStyle="1" w:styleId="387">
    <w:name w:val="WW3"/>
    <w:basedOn w:val="1"/>
    <w:qFormat/>
    <w:uiPriority w:val="0"/>
    <w:pPr>
      <w:spacing w:after="120"/>
    </w:pPr>
    <w:rPr>
      <w:b/>
      <w:sz w:val="24"/>
      <w:szCs w:val="20"/>
    </w:rPr>
  </w:style>
  <w:style w:type="paragraph" w:customStyle="1" w:styleId="388">
    <w:name w:val="其他发布日期"/>
    <w:basedOn w:val="332"/>
    <w:qFormat/>
    <w:uiPriority w:val="0"/>
  </w:style>
  <w:style w:type="paragraph" w:customStyle="1" w:styleId="389">
    <w:name w:val="列出段落1"/>
    <w:basedOn w:val="1"/>
    <w:link w:val="390"/>
    <w:qFormat/>
    <w:uiPriority w:val="0"/>
    <w:pPr>
      <w:ind w:firstLine="420" w:firstLineChars="200"/>
    </w:pPr>
    <w:rPr>
      <w:szCs w:val="22"/>
    </w:rPr>
  </w:style>
  <w:style w:type="character" w:customStyle="1" w:styleId="390">
    <w:name w:val="List Paragraph Char"/>
    <w:link w:val="389"/>
    <w:qFormat/>
    <w:locked/>
    <w:uiPriority w:val="0"/>
    <w:rPr>
      <w:kern w:val="2"/>
      <w:sz w:val="21"/>
      <w:szCs w:val="22"/>
    </w:rPr>
  </w:style>
  <w:style w:type="paragraph" w:customStyle="1" w:styleId="391">
    <w:name w:val="列出段落2"/>
    <w:basedOn w:val="1"/>
    <w:qFormat/>
    <w:uiPriority w:val="0"/>
    <w:pPr>
      <w:widowControl/>
      <w:ind w:firstLine="420" w:firstLineChars="200"/>
      <w:jc w:val="left"/>
    </w:pPr>
    <w:rPr>
      <w:rFonts w:ascii="宋体" w:hAnsi="宋体" w:cs="宋体"/>
      <w:kern w:val="0"/>
      <w:sz w:val="24"/>
    </w:rPr>
  </w:style>
  <w:style w:type="paragraph" w:customStyle="1" w:styleId="392">
    <w:name w:val="注×："/>
    <w:qFormat/>
    <w:uiPriority w:val="0"/>
    <w:pPr>
      <w:widowControl w:val="0"/>
      <w:tabs>
        <w:tab w:val="left" w:pos="630"/>
      </w:tabs>
      <w:autoSpaceDE w:val="0"/>
      <w:autoSpaceDN w:val="0"/>
      <w:ind w:left="3402"/>
      <w:jc w:val="both"/>
    </w:pPr>
    <w:rPr>
      <w:rFonts w:ascii="宋体" w:hAnsi="Times New Roman" w:eastAsia="宋体" w:cs="Times New Roman"/>
      <w:sz w:val="18"/>
      <w:lang w:val="en-US" w:eastAsia="zh-CN" w:bidi="ar-SA"/>
    </w:rPr>
  </w:style>
  <w:style w:type="paragraph" w:customStyle="1" w:styleId="393">
    <w:name w:val="Date1"/>
    <w:basedOn w:val="1"/>
    <w:next w:val="1"/>
    <w:qFormat/>
    <w:uiPriority w:val="0"/>
    <w:pPr>
      <w:autoSpaceDE w:val="0"/>
      <w:autoSpaceDN w:val="0"/>
      <w:adjustRightInd w:val="0"/>
      <w:textAlignment w:val="baseline"/>
    </w:pPr>
    <w:rPr>
      <w:sz w:val="28"/>
      <w:szCs w:val="20"/>
    </w:rPr>
  </w:style>
  <w:style w:type="paragraph" w:customStyle="1" w:styleId="394">
    <w:name w:val="KT正文1"/>
    <w:basedOn w:val="1"/>
    <w:qFormat/>
    <w:uiPriority w:val="0"/>
    <w:rPr>
      <w:rFonts w:ascii="Arial" w:hAnsi="Arial"/>
      <w:sz w:val="24"/>
    </w:rPr>
  </w:style>
  <w:style w:type="paragraph" w:customStyle="1" w:styleId="395">
    <w:name w:val="章标题"/>
    <w:next w:val="98"/>
    <w:qFormat/>
    <w:uiPriority w:val="0"/>
    <w:pPr>
      <w:tabs>
        <w:tab w:val="left" w:pos="840"/>
      </w:tabs>
      <w:spacing w:beforeLines="50" w:afterLines="50"/>
      <w:ind w:hanging="420"/>
      <w:jc w:val="both"/>
      <w:outlineLvl w:val="1"/>
    </w:pPr>
    <w:rPr>
      <w:rFonts w:ascii="黑体" w:hAnsi="Times New Roman" w:eastAsia="黑体" w:cs="Times New Roman"/>
      <w:sz w:val="21"/>
      <w:lang w:val="en-US" w:eastAsia="zh-CN" w:bidi="ar-SA"/>
    </w:rPr>
  </w:style>
  <w:style w:type="paragraph" w:customStyle="1" w:styleId="396">
    <w:name w:val="列项◆（三级）"/>
    <w:qFormat/>
    <w:uiPriority w:val="0"/>
    <w:pPr>
      <w:tabs>
        <w:tab w:val="left" w:pos="420"/>
        <w:tab w:val="left" w:pos="840"/>
      </w:tabs>
      <w:ind w:left="800" w:leftChars="600" w:hanging="200" w:hangingChars="200"/>
    </w:pPr>
    <w:rPr>
      <w:rFonts w:ascii="宋体" w:hAnsi="Times New Roman" w:eastAsia="宋体" w:cs="Times New Roman"/>
      <w:sz w:val="21"/>
      <w:lang w:val="en-US" w:eastAsia="zh-CN" w:bidi="ar-SA"/>
    </w:rPr>
  </w:style>
  <w:style w:type="paragraph" w:customStyle="1" w:styleId="397">
    <w:name w:val="Char1 Char Char Char Char Char1 Char"/>
    <w:basedOn w:val="1"/>
    <w:qFormat/>
    <w:uiPriority w:val="0"/>
    <w:pPr>
      <w:spacing w:line="360" w:lineRule="auto"/>
      <w:jc w:val="left"/>
    </w:pPr>
    <w:rPr>
      <w:rFonts w:eastAsia="仿宋_GB2312"/>
      <w:b/>
      <w:sz w:val="32"/>
    </w:rPr>
  </w:style>
  <w:style w:type="paragraph" w:customStyle="1" w:styleId="398">
    <w:name w:val="表"/>
    <w:basedOn w:val="1"/>
    <w:qFormat/>
    <w:uiPriority w:val="0"/>
    <w:pPr>
      <w:spacing w:line="340" w:lineRule="exact"/>
    </w:pPr>
    <w:rPr>
      <w:rFonts w:ascii="宋体" w:hAnsi="宋体"/>
      <w:szCs w:val="21"/>
    </w:rPr>
  </w:style>
  <w:style w:type="paragraph" w:customStyle="1" w:styleId="399">
    <w:name w:val="b1"/>
    <w:basedOn w:val="1"/>
    <w:qFormat/>
    <w:uiPriority w:val="0"/>
    <w:pPr>
      <w:spacing w:line="360" w:lineRule="auto"/>
    </w:pPr>
    <w:rPr>
      <w:sz w:val="32"/>
      <w:szCs w:val="20"/>
    </w:rPr>
  </w:style>
  <w:style w:type="paragraph" w:customStyle="1" w:styleId="400">
    <w:name w:val="列表11"/>
    <w:basedOn w:val="1"/>
    <w:next w:val="1"/>
    <w:qFormat/>
    <w:uiPriority w:val="0"/>
    <w:pPr>
      <w:spacing w:line="320" w:lineRule="exact"/>
      <w:jc w:val="center"/>
    </w:pPr>
    <w:rPr>
      <w:sz w:val="24"/>
    </w:rPr>
  </w:style>
  <w:style w:type="paragraph" w:customStyle="1" w:styleId="401">
    <w:name w:val="Char2"/>
    <w:basedOn w:val="1"/>
    <w:qFormat/>
    <w:uiPriority w:val="0"/>
    <w:rPr>
      <w:rFonts w:ascii="Tahoma" w:hAnsi="Tahoma"/>
      <w:sz w:val="24"/>
      <w:szCs w:val="20"/>
    </w:rPr>
  </w:style>
  <w:style w:type="paragraph" w:customStyle="1" w:styleId="402">
    <w:name w:val="一级无"/>
    <w:basedOn w:val="248"/>
    <w:qFormat/>
    <w:uiPriority w:val="0"/>
    <w:pPr>
      <w:ind w:firstLine="0"/>
    </w:pPr>
    <w:rPr>
      <w:rFonts w:ascii="宋体" w:hAnsi="Times New Roman" w:eastAsia="宋体"/>
      <w:szCs w:val="21"/>
    </w:rPr>
  </w:style>
  <w:style w:type="paragraph" w:customStyle="1" w:styleId="403">
    <w:name w:val="封面标准代替信息"/>
    <w:basedOn w:val="254"/>
    <w:qFormat/>
    <w:uiPriority w:val="0"/>
    <w:pPr>
      <w:tabs>
        <w:tab w:val="left" w:pos="840"/>
        <w:tab w:val="left" w:pos="1120"/>
      </w:tabs>
      <w:spacing w:before="57"/>
      <w:ind w:left="840" w:hanging="420"/>
    </w:pPr>
    <w:rPr>
      <w:rFonts w:ascii="宋体"/>
      <w:sz w:val="21"/>
    </w:rPr>
  </w:style>
  <w:style w:type="paragraph" w:customStyle="1" w:styleId="404">
    <w:name w:val="字母编号列项（一级）"/>
    <w:qFormat/>
    <w:uiPriority w:val="0"/>
    <w:pPr>
      <w:tabs>
        <w:tab w:val="left" w:pos="425"/>
      </w:tabs>
      <w:ind w:left="840" w:leftChars="200" w:hanging="420" w:hangingChars="200"/>
      <w:jc w:val="both"/>
    </w:pPr>
    <w:rPr>
      <w:rFonts w:ascii="宋体" w:hAnsi="Times New Roman" w:eastAsia="宋体" w:cs="Times New Roman"/>
      <w:sz w:val="21"/>
      <w:lang w:val="en-US" w:eastAsia="zh-CN" w:bidi="ar-SA"/>
    </w:rPr>
  </w:style>
  <w:style w:type="paragraph" w:customStyle="1" w:styleId="405">
    <w:name w:val="图表脚注说明"/>
    <w:basedOn w:val="1"/>
    <w:qFormat/>
    <w:uiPriority w:val="0"/>
    <w:pPr>
      <w:ind w:left="811" w:hanging="448"/>
    </w:pPr>
    <w:rPr>
      <w:rFonts w:ascii="宋体"/>
      <w:sz w:val="18"/>
      <w:szCs w:val="18"/>
    </w:rPr>
  </w:style>
  <w:style w:type="paragraph" w:customStyle="1" w:styleId="406">
    <w:name w:val="附录三级无"/>
    <w:basedOn w:val="288"/>
    <w:qFormat/>
    <w:uiPriority w:val="0"/>
    <w:pPr>
      <w:tabs>
        <w:tab w:val="left" w:pos="839"/>
        <w:tab w:val="left" w:pos="2100"/>
        <w:tab w:val="clear" w:pos="840"/>
      </w:tabs>
      <w:ind w:left="2100" w:hanging="420"/>
    </w:pPr>
    <w:rPr>
      <w:rFonts w:ascii="宋体" w:eastAsia="宋体"/>
      <w:szCs w:val="21"/>
    </w:rPr>
  </w:style>
  <w:style w:type="paragraph" w:customStyle="1" w:styleId="407">
    <w:name w:val="索引 51"/>
    <w:basedOn w:val="1"/>
    <w:next w:val="1"/>
    <w:qFormat/>
    <w:uiPriority w:val="0"/>
    <w:pPr>
      <w:ind w:left="1050" w:hanging="210"/>
      <w:jc w:val="left"/>
    </w:pPr>
    <w:rPr>
      <w:rFonts w:ascii="Calibri" w:hAnsi="Calibri"/>
      <w:sz w:val="20"/>
      <w:szCs w:val="20"/>
    </w:rPr>
  </w:style>
  <w:style w:type="paragraph" w:styleId="408">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9">
    <w:name w:val="图的脚注"/>
    <w:next w:val="98"/>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410">
    <w:name w:val="二"/>
    <w:basedOn w:val="1"/>
    <w:next w:val="267"/>
    <w:qFormat/>
    <w:uiPriority w:val="0"/>
    <w:pPr>
      <w:spacing w:line="360" w:lineRule="auto"/>
      <w:ind w:firstLine="560" w:firstLineChars="200"/>
    </w:pPr>
    <w:rPr>
      <w:rFonts w:ascii="宋体" w:hAnsi="Courier New" w:eastAsia="仿宋_GB2312" w:cs="仿宋_GB2312"/>
      <w:sz w:val="28"/>
      <w:szCs w:val="20"/>
    </w:rPr>
  </w:style>
  <w:style w:type="paragraph" w:customStyle="1" w:styleId="411">
    <w:name w:val="列项——（一级）"/>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412">
    <w:name w:val="内容"/>
    <w:basedOn w:val="1"/>
    <w:qFormat/>
    <w:uiPriority w:val="0"/>
    <w:pPr>
      <w:spacing w:line="400" w:lineRule="exact"/>
      <w:ind w:firstLine="480" w:firstLineChars="200"/>
    </w:pPr>
    <w:rPr>
      <w:sz w:val="24"/>
    </w:rPr>
  </w:style>
  <w:style w:type="paragraph" w:customStyle="1" w:styleId="413">
    <w:name w:val="Char"/>
    <w:basedOn w:val="1"/>
    <w:qFormat/>
    <w:uiPriority w:val="0"/>
    <w:pPr>
      <w:spacing w:line="360" w:lineRule="auto"/>
      <w:ind w:firstLine="551" w:firstLineChars="196"/>
    </w:pPr>
    <w:rPr>
      <w:szCs w:val="20"/>
    </w:rPr>
  </w:style>
  <w:style w:type="paragraph" w:customStyle="1" w:styleId="414">
    <w:name w:val="其他实施日期"/>
    <w:basedOn w:val="328"/>
    <w:qFormat/>
    <w:uiPriority w:val="0"/>
    <w:pPr>
      <w:ind w:left="0" w:firstLine="0"/>
    </w:pPr>
  </w:style>
  <w:style w:type="paragraph" w:styleId="415">
    <w:name w:val="List Paragraph"/>
    <w:basedOn w:val="1"/>
    <w:qFormat/>
    <w:uiPriority w:val="1"/>
    <w:pPr>
      <w:ind w:firstLine="420" w:firstLineChars="200"/>
    </w:pPr>
    <w:rPr>
      <w:sz w:val="18"/>
      <w:szCs w:val="18"/>
    </w:rPr>
  </w:style>
  <w:style w:type="paragraph" w:customStyle="1" w:styleId="416">
    <w:name w:val="文献分类号"/>
    <w:qFormat/>
    <w:uiPriority w:val="0"/>
    <w:pPr>
      <w:widowControl w:val="0"/>
      <w:textAlignment w:val="center"/>
    </w:pPr>
    <w:rPr>
      <w:rFonts w:ascii="Times New Roman" w:hAnsi="Times New Roman" w:eastAsia="黑体" w:cs="Times New Roman"/>
      <w:sz w:val="21"/>
      <w:lang w:val="en-US" w:eastAsia="zh-CN" w:bidi="ar-SA"/>
    </w:rPr>
  </w:style>
  <w:style w:type="paragraph" w:customStyle="1" w:styleId="417">
    <w:name w:val="列出段落3"/>
    <w:basedOn w:val="1"/>
    <w:qFormat/>
    <w:uiPriority w:val="99"/>
    <w:pPr>
      <w:ind w:firstLine="420" w:firstLineChars="200"/>
    </w:pPr>
  </w:style>
  <w:style w:type="paragraph" w:customStyle="1" w:styleId="418">
    <w:name w:val="正文文本缩进 21"/>
    <w:basedOn w:val="1"/>
    <w:qFormat/>
    <w:uiPriority w:val="0"/>
    <w:pPr>
      <w:spacing w:after="120" w:line="480" w:lineRule="auto"/>
      <w:ind w:left="420" w:leftChars="200"/>
    </w:pPr>
  </w:style>
  <w:style w:type="paragraph" w:customStyle="1" w:styleId="419">
    <w:name w:val="KT标题1"/>
    <w:basedOn w:val="169"/>
    <w:qFormat/>
    <w:uiPriority w:val="0"/>
    <w:pPr>
      <w:pageBreakBefore/>
      <w:spacing w:before="240" w:after="200" w:line="360" w:lineRule="auto"/>
      <w:ind w:left="425" w:hanging="425"/>
      <w:jc w:val="left"/>
    </w:pPr>
    <w:rPr>
      <w:rFonts w:ascii="Arial" w:hAnsi="Arial" w:eastAsia="黑体"/>
      <w:b w:val="0"/>
      <w:sz w:val="24"/>
      <w:szCs w:val="24"/>
    </w:rPr>
  </w:style>
  <w:style w:type="paragraph" w:customStyle="1" w:styleId="420">
    <w:name w:val="索引 91"/>
    <w:basedOn w:val="1"/>
    <w:next w:val="1"/>
    <w:qFormat/>
    <w:uiPriority w:val="0"/>
    <w:pPr>
      <w:ind w:left="1890" w:hanging="210"/>
      <w:jc w:val="left"/>
    </w:pPr>
    <w:rPr>
      <w:rFonts w:ascii="Calibri" w:hAnsi="Calibri"/>
      <w:sz w:val="20"/>
      <w:szCs w:val="20"/>
    </w:rPr>
  </w:style>
  <w:style w:type="paragraph" w:customStyle="1" w:styleId="421">
    <w:name w:val="BZ_正文"/>
    <w:qFormat/>
    <w:uiPriority w:val="0"/>
    <w:pPr>
      <w:spacing w:line="360" w:lineRule="auto"/>
      <w:ind w:firstLine="200" w:firstLineChars="200"/>
    </w:pPr>
    <w:rPr>
      <w:rFonts w:ascii="Times New Roman" w:hAnsi="Times New Roman" w:eastAsia="宋体" w:cs="Times New Roman"/>
      <w:sz w:val="24"/>
      <w:szCs w:val="24"/>
      <w:lang w:val="en-US" w:eastAsia="zh-CN" w:bidi="ar-SA"/>
    </w:rPr>
  </w:style>
  <w:style w:type="character" w:customStyle="1" w:styleId="422">
    <w:name w:val="font21"/>
    <w:basedOn w:val="51"/>
    <w:qFormat/>
    <w:uiPriority w:val="0"/>
    <w:rPr>
      <w:rFonts w:hint="default" w:ascii="Times New Roman" w:hAnsi="Times New Roman" w:cs="Times New Roman"/>
      <w:color w:val="000000"/>
      <w:sz w:val="20"/>
      <w:szCs w:val="20"/>
      <w:u w:val="none"/>
    </w:rPr>
  </w:style>
  <w:style w:type="character" w:customStyle="1" w:styleId="423">
    <w:name w:val="font81"/>
    <w:basedOn w:val="51"/>
    <w:qFormat/>
    <w:uiPriority w:val="0"/>
    <w:rPr>
      <w:rFonts w:hint="default" w:ascii="Times New Roman" w:hAnsi="Times New Roman" w:cs="Times New Roman"/>
      <w:color w:val="000000"/>
      <w:sz w:val="20"/>
      <w:szCs w:val="20"/>
      <w:u w:val="none"/>
    </w:rPr>
  </w:style>
  <w:style w:type="character" w:customStyle="1" w:styleId="424">
    <w:name w:val="font11"/>
    <w:basedOn w:val="51"/>
    <w:qFormat/>
    <w:uiPriority w:val="0"/>
    <w:rPr>
      <w:rFonts w:hint="eastAsia" w:ascii="方正仿宋_GBK" w:hAnsi="方正仿宋_GBK" w:eastAsia="方正仿宋_GBK" w:cs="方正仿宋_GBK"/>
      <w:color w:val="000000"/>
      <w:sz w:val="20"/>
      <w:szCs w:val="20"/>
      <w:u w:val="none"/>
    </w:rPr>
  </w:style>
  <w:style w:type="character" w:customStyle="1" w:styleId="425">
    <w:name w:val="font71"/>
    <w:basedOn w:val="51"/>
    <w:qFormat/>
    <w:uiPriority w:val="0"/>
    <w:rPr>
      <w:rFonts w:hint="eastAsia" w:ascii="宋体" w:hAnsi="宋体" w:eastAsia="宋体" w:cs="宋体"/>
      <w:color w:val="000000"/>
      <w:sz w:val="20"/>
      <w:szCs w:val="20"/>
      <w:u w:val="none"/>
    </w:rPr>
  </w:style>
  <w:style w:type="paragraph" w:customStyle="1" w:styleId="426">
    <w:name w:val="样式2"/>
    <w:basedOn w:val="1"/>
    <w:qFormat/>
    <w:uiPriority w:val="0"/>
    <w:pPr>
      <w:spacing w:line="640" w:lineRule="exact"/>
      <w:jc w:val="center"/>
    </w:pPr>
    <w:rPr>
      <w:rFonts w:eastAsia="方正仿宋简体"/>
      <w:kern w:val="0"/>
      <w:sz w:val="32"/>
      <w:szCs w:val="36"/>
    </w:rPr>
  </w:style>
  <w:style w:type="character" w:customStyle="1" w:styleId="427">
    <w:name w:val="Char Char1"/>
    <w:qFormat/>
    <w:uiPriority w:val="0"/>
    <w:rPr>
      <w:rFonts w:ascii="宋体" w:hAnsi="Courier New" w:cs="Courier New"/>
      <w:kern w:val="2"/>
      <w:sz w:val="21"/>
      <w:szCs w:val="21"/>
    </w:rPr>
  </w:style>
  <w:style w:type="character" w:customStyle="1" w:styleId="428">
    <w:name w:val="param_td12"/>
    <w:basedOn w:val="51"/>
    <w:qFormat/>
    <w:uiPriority w:val="0"/>
  </w:style>
  <w:style w:type="character" w:customStyle="1" w:styleId="429">
    <w:name w:val="（符号）邀请函中一、"/>
    <w:qFormat/>
    <w:uiPriority w:val="0"/>
    <w:rPr>
      <w:rFonts w:ascii="黑体" w:hAnsi="黑体" w:eastAsia="黑体"/>
      <w:b/>
      <w:bCs/>
      <w:sz w:val="24"/>
    </w:rPr>
  </w:style>
  <w:style w:type="character" w:customStyle="1" w:styleId="430">
    <w:name w:val="bodytext"/>
    <w:basedOn w:val="51"/>
    <w:qFormat/>
    <w:uiPriority w:val="0"/>
  </w:style>
  <w:style w:type="character" w:customStyle="1" w:styleId="431">
    <w:name w:val="普通文字 Char Char Char"/>
    <w:qFormat/>
    <w:uiPriority w:val="0"/>
    <w:rPr>
      <w:rFonts w:ascii="宋体" w:hAnsi="Courier New" w:cs="Courier New"/>
      <w:kern w:val="2"/>
      <w:sz w:val="21"/>
      <w:szCs w:val="21"/>
    </w:rPr>
  </w:style>
  <w:style w:type="character" w:customStyle="1" w:styleId="432">
    <w:name w:val="font12-blue-bold1"/>
    <w:qFormat/>
    <w:uiPriority w:val="0"/>
    <w:rPr>
      <w:b/>
      <w:bCs/>
      <w:color w:val="0249A5"/>
      <w:sz w:val="18"/>
      <w:szCs w:val="18"/>
      <w:u w:val="none"/>
    </w:rPr>
  </w:style>
  <w:style w:type="character" w:customStyle="1" w:styleId="433">
    <w:name w:val="Char Char8"/>
    <w:qFormat/>
    <w:uiPriority w:val="0"/>
    <w:rPr>
      <w:rFonts w:ascii="Arial" w:hAnsi="Arial" w:eastAsia="黑体"/>
      <w:b/>
      <w:bCs/>
      <w:kern w:val="2"/>
      <w:sz w:val="32"/>
      <w:szCs w:val="32"/>
      <w:lang w:val="en-US" w:eastAsia="zh-CN" w:bidi="ar-SA"/>
    </w:rPr>
  </w:style>
  <w:style w:type="character" w:customStyle="1" w:styleId="434">
    <w:name w:val="text11"/>
    <w:qFormat/>
    <w:uiPriority w:val="0"/>
    <w:rPr>
      <w:rFonts w:hint="default" w:ascii="Verdana" w:hAnsi="Verdana"/>
      <w:color w:val="4E4E4E"/>
      <w:sz w:val="18"/>
      <w:szCs w:val="18"/>
    </w:rPr>
  </w:style>
  <w:style w:type="character" w:customStyle="1" w:styleId="435">
    <w:name w:val="style51"/>
    <w:qFormat/>
    <w:uiPriority w:val="0"/>
    <w:rPr>
      <w:rFonts w:hint="eastAsia" w:ascii="宋体" w:hAnsi="宋体" w:eastAsia="宋体"/>
      <w:b/>
      <w:bCs/>
      <w:color w:val="3399CC"/>
      <w:sz w:val="24"/>
      <w:szCs w:val="24"/>
    </w:rPr>
  </w:style>
  <w:style w:type="character" w:customStyle="1" w:styleId="436">
    <w:name w:val="Char Char2"/>
    <w:qFormat/>
    <w:uiPriority w:val="0"/>
    <w:rPr>
      <w:rFonts w:eastAsia="宋体"/>
      <w:kern w:val="2"/>
      <w:sz w:val="32"/>
      <w:lang w:val="en-US" w:eastAsia="zh-CN" w:bidi="ar-SA"/>
    </w:rPr>
  </w:style>
  <w:style w:type="character" w:customStyle="1" w:styleId="437">
    <w:name w:val="current_price5"/>
    <w:qFormat/>
    <w:uiPriority w:val="0"/>
    <w:rPr>
      <w:color w:val="000000"/>
      <w:sz w:val="18"/>
      <w:szCs w:val="18"/>
    </w:rPr>
  </w:style>
  <w:style w:type="character" w:customStyle="1" w:styleId="438">
    <w:name w:val="apple-style-span"/>
    <w:qFormat/>
    <w:uiPriority w:val="0"/>
  </w:style>
  <w:style w:type="character" w:customStyle="1" w:styleId="439">
    <w:name w:val="apple-converted-space"/>
    <w:basedOn w:val="51"/>
    <w:qFormat/>
    <w:uiPriority w:val="0"/>
  </w:style>
  <w:style w:type="character" w:customStyle="1" w:styleId="440">
    <w:name w:val="表正文 Char2"/>
    <w:qFormat/>
    <w:uiPriority w:val="0"/>
    <w:rPr>
      <w:rFonts w:eastAsia="宋体"/>
      <w:kern w:val="2"/>
      <w:sz w:val="21"/>
      <w:szCs w:val="24"/>
      <w:lang w:val="en-US" w:eastAsia="zh-CN" w:bidi="ar-SA"/>
    </w:rPr>
  </w:style>
  <w:style w:type="character" w:customStyle="1" w:styleId="441">
    <w:name w:val="Char Char5"/>
    <w:qFormat/>
    <w:uiPriority w:val="0"/>
    <w:rPr>
      <w:rFonts w:eastAsia="宋体"/>
      <w:kern w:val="2"/>
      <w:sz w:val="18"/>
      <w:lang w:val="en-US" w:eastAsia="zh-CN" w:bidi="ar-SA"/>
    </w:rPr>
  </w:style>
  <w:style w:type="character" w:customStyle="1" w:styleId="442">
    <w:name w:val="Char Char4"/>
    <w:qFormat/>
    <w:uiPriority w:val="0"/>
    <w:rPr>
      <w:rFonts w:eastAsia="宋体"/>
      <w:kern w:val="2"/>
      <w:sz w:val="18"/>
      <w:lang w:val="en-US" w:eastAsia="zh-CN" w:bidi="ar-SA"/>
    </w:rPr>
  </w:style>
  <w:style w:type="character" w:customStyle="1" w:styleId="443">
    <w:name w:val="Char Char7"/>
    <w:qFormat/>
    <w:uiPriority w:val="0"/>
    <w:rPr>
      <w:rFonts w:eastAsia="宋体"/>
      <w:b/>
      <w:bCs/>
      <w:kern w:val="2"/>
      <w:sz w:val="32"/>
      <w:szCs w:val="32"/>
      <w:lang w:val="en-US" w:eastAsia="zh-CN" w:bidi="ar-SA"/>
    </w:rPr>
  </w:style>
  <w:style w:type="character" w:customStyle="1" w:styleId="444">
    <w:name w:val="cubane_hilight"/>
    <w:basedOn w:val="51"/>
    <w:qFormat/>
    <w:uiPriority w:val="0"/>
  </w:style>
  <w:style w:type="paragraph" w:customStyle="1" w:styleId="44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46">
    <w:name w:val="正文2"/>
    <w:basedOn w:val="1"/>
    <w:qFormat/>
    <w:uiPriority w:val="0"/>
    <w:pPr>
      <w:spacing w:before="156" w:line="360" w:lineRule="auto"/>
      <w:ind w:firstLine="510" w:firstLineChars="200"/>
    </w:pPr>
    <w:rPr>
      <w:sz w:val="24"/>
      <w:szCs w:val="20"/>
    </w:rPr>
  </w:style>
  <w:style w:type="paragraph" w:customStyle="1" w:styleId="447">
    <w:name w:val="Char Char Char Char Char Char1 Char"/>
    <w:basedOn w:val="20"/>
    <w:qFormat/>
    <w:uiPriority w:val="0"/>
    <w:pPr>
      <w:shd w:val="clear" w:color="auto" w:fill="000080"/>
    </w:pPr>
    <w:rPr>
      <w:rFonts w:ascii="Tahoma" w:hAnsi="Tahoma"/>
      <w:sz w:val="24"/>
      <w:szCs w:val="24"/>
    </w:rPr>
  </w:style>
  <w:style w:type="paragraph" w:customStyle="1" w:styleId="448">
    <w:name w:val="C编号"/>
    <w:basedOn w:val="1"/>
    <w:qFormat/>
    <w:uiPriority w:val="0"/>
    <w:pPr>
      <w:tabs>
        <w:tab w:val="left" w:pos="900"/>
      </w:tabs>
      <w:spacing w:line="288" w:lineRule="auto"/>
      <w:ind w:left="900" w:hanging="420"/>
    </w:pPr>
    <w:rPr>
      <w:sz w:val="24"/>
    </w:rPr>
  </w:style>
  <w:style w:type="paragraph" w:customStyle="1" w:styleId="449">
    <w:name w:val="Kotei 正文"/>
    <w:basedOn w:val="1"/>
    <w:qFormat/>
    <w:uiPriority w:val="0"/>
    <w:pPr>
      <w:spacing w:line="312" w:lineRule="auto"/>
      <w:ind w:firstLine="420" w:firstLineChars="200"/>
    </w:pPr>
    <w:rPr>
      <w:rFonts w:cs="宋体"/>
      <w:sz w:val="24"/>
      <w:szCs w:val="20"/>
    </w:rPr>
  </w:style>
  <w:style w:type="paragraph" w:customStyle="1" w:styleId="450">
    <w:name w:val="Char Char"/>
    <w:basedOn w:val="1"/>
    <w:next w:val="1"/>
    <w:qFormat/>
    <w:uiPriority w:val="0"/>
    <w:pPr>
      <w:spacing w:line="240" w:lineRule="atLeast"/>
      <w:ind w:left="420" w:firstLine="420"/>
      <w:jc w:val="left"/>
    </w:pPr>
    <w:rPr>
      <w:szCs w:val="20"/>
    </w:rPr>
  </w:style>
  <w:style w:type="paragraph" w:customStyle="1" w:styleId="451">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table" w:customStyle="1" w:styleId="452">
    <w:name w:val="Table Normal"/>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paragraph" w:customStyle="1" w:styleId="453">
    <w:name w:val="Heading 1"/>
    <w:basedOn w:val="1"/>
    <w:qFormat/>
    <w:uiPriority w:val="1"/>
    <w:pPr>
      <w:jc w:val="left"/>
      <w:outlineLvl w:val="1"/>
    </w:pPr>
    <w:rPr>
      <w:rFonts w:ascii="宋体" w:hAnsi="宋体"/>
      <w:kern w:val="0"/>
      <w:sz w:val="44"/>
      <w:szCs w:val="44"/>
      <w:lang w:eastAsia="en-US"/>
    </w:rPr>
  </w:style>
  <w:style w:type="paragraph" w:customStyle="1" w:styleId="454">
    <w:name w:val="Heading 2"/>
    <w:basedOn w:val="1"/>
    <w:qFormat/>
    <w:uiPriority w:val="1"/>
    <w:pPr>
      <w:jc w:val="left"/>
      <w:outlineLvl w:val="2"/>
    </w:pPr>
    <w:rPr>
      <w:rFonts w:ascii="宋体" w:hAnsi="宋体"/>
      <w:kern w:val="0"/>
      <w:sz w:val="30"/>
      <w:szCs w:val="30"/>
      <w:lang w:eastAsia="en-US"/>
    </w:rPr>
  </w:style>
  <w:style w:type="paragraph" w:customStyle="1" w:styleId="455">
    <w:name w:val="标题 21"/>
    <w:basedOn w:val="1"/>
    <w:qFormat/>
    <w:uiPriority w:val="1"/>
    <w:pPr>
      <w:jc w:val="left"/>
      <w:outlineLvl w:val="2"/>
    </w:pPr>
    <w:rPr>
      <w:rFonts w:ascii="宋体" w:hAnsi="宋体"/>
      <w:kern w:val="0"/>
      <w:sz w:val="30"/>
      <w:szCs w:val="30"/>
      <w:lang w:eastAsia="en-US"/>
    </w:rPr>
  </w:style>
  <w:style w:type="paragraph" w:customStyle="1" w:styleId="456">
    <w:name w:val="_Style 455"/>
    <w:basedOn w:val="3"/>
    <w:next w:val="1"/>
    <w:qFormat/>
    <w:uiPriority w:val="0"/>
    <w:pPr>
      <w:outlineLvl w:val="9"/>
    </w:pPr>
    <w:rPr>
      <w:lang w:val="en-US" w:eastAsia="zh-CN"/>
    </w:rPr>
  </w:style>
  <w:style w:type="paragraph" w:customStyle="1" w:styleId="457">
    <w:name w:val="zhang"/>
    <w:basedOn w:val="1"/>
    <w:qFormat/>
    <w:uiPriority w:val="0"/>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458">
    <w:name w:val="_Style 1"/>
    <w:basedOn w:val="1"/>
    <w:qFormat/>
    <w:uiPriority w:val="34"/>
    <w:pPr>
      <w:ind w:firstLine="420" w:firstLineChars="200"/>
    </w:pPr>
  </w:style>
  <w:style w:type="character" w:customStyle="1" w:styleId="459">
    <w:name w:val="font01"/>
    <w:qFormat/>
    <w:uiPriority w:val="0"/>
    <w:rPr>
      <w:rFonts w:hint="eastAsia" w:ascii="宋体" w:hAnsi="宋体" w:eastAsia="宋体" w:cs="宋体"/>
      <w:b/>
      <w:color w:val="000000"/>
      <w:sz w:val="24"/>
      <w:szCs w:val="24"/>
      <w:u w:val="none"/>
    </w:rPr>
  </w:style>
  <w:style w:type="paragraph" w:customStyle="1" w:styleId="460">
    <w:name w:val="正文6"/>
    <w:qFormat/>
    <w:uiPriority w:val="0"/>
    <w:pPr>
      <w:widowControl w:val="0"/>
      <w:adjustRightInd w:val="0"/>
      <w:spacing w:line="312" w:lineRule="atLeast"/>
      <w:jc w:val="both"/>
      <w:textAlignment w:val="baseline"/>
    </w:pPr>
    <w:rPr>
      <w:rFonts w:ascii="宋体" w:hAnsi="Times New Roman" w:eastAsia="Times New Roman" w:cs="Times New Roman"/>
      <w:sz w:val="34"/>
      <w:szCs w:val="22"/>
      <w:lang w:val="en-US" w:eastAsia="zh-CN" w:bidi="ar-SA"/>
    </w:rPr>
  </w:style>
  <w:style w:type="paragraph" w:customStyle="1" w:styleId="461">
    <w:name w:val="CD正文"/>
    <w:basedOn w:val="1"/>
    <w:qFormat/>
    <w:uiPriority w:val="0"/>
    <w:pPr>
      <w:ind w:firstLine="420"/>
    </w:pPr>
    <w:rPr>
      <w:rFonts w:ascii="Calibr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6542</Words>
  <Characters>37295</Characters>
  <Lines>310</Lines>
  <Paragraphs>87</Paragraphs>
  <TotalTime>38</TotalTime>
  <ScaleCrop>false</ScaleCrop>
  <LinksUpToDate>false</LinksUpToDate>
  <CharactersWithSpaces>43750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2020-11-27T02:21:00Z</dcterms:created>
  <cp:lastPrinted>2021-09-14T06:38:00Z</cp:lastPrinted>
  <dcterms:modified xsi:type="dcterms:W3CDTF">2021-12-06T06:55:26Z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KSOSaveFontToCloudKey">
    <vt:lpwstr>0_embed</vt:lpwstr>
  </property>
  <property fmtid="{D5CDD505-2E9C-101B-9397-08002B2CF9AE}" pid="4" name="ICV">
    <vt:lpwstr>E7D04B69FEF14A08AB985BB24C030054</vt:lpwstr>
  </property>
</Properties>
</file>