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2345055</wp:posOffset>
            </wp:positionH>
            <wp:positionV relativeFrom="paragraph">
              <wp:posOffset>525780</wp:posOffset>
            </wp:positionV>
            <wp:extent cx="862330" cy="1228725"/>
            <wp:effectExtent l="19050" t="0" r="0" b="0"/>
            <wp:wrapNone/>
            <wp:docPr id="3" name="图片 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 -2"/>
                    <pic:cNvPicPr>
                      <a:picLocks noChangeAspect="1" noChangeArrowheads="1"/>
                    </pic:cNvPicPr>
                  </pic:nvPicPr>
                  <pic:blipFill>
                    <a:blip r:embed="rId15" cstate="print"/>
                    <a:srcRect/>
                    <a:stretch>
                      <a:fillRect/>
                    </a:stretch>
                  </pic:blipFill>
                  <pic:spPr>
                    <a:xfrm>
                      <a:off x="0" y="0"/>
                      <a:ext cx="862330" cy="1228725"/>
                    </a:xfrm>
                    <a:prstGeom prst="rect">
                      <a:avLst/>
                    </a:prstGeom>
                    <a:noFill/>
                    <a:ln w="9525">
                      <a:noFill/>
                      <a:miter lim="800000"/>
                      <a:headEnd/>
                      <a:tailEnd/>
                    </a:ln>
                  </pic:spPr>
                </pic:pic>
              </a:graphicData>
            </a:graphic>
          </wp:anchor>
        </w:drawing>
      </w: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pPr>
        <w:spacing w:line="360" w:lineRule="auto"/>
        <w:jc w:val="center"/>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采购项目编号：</w:t>
      </w:r>
      <w:r>
        <w:rPr>
          <w:rFonts w:hint="eastAsia" w:ascii="宋体" w:hAnsi="宋体" w:cs="宋体"/>
          <w:b/>
          <w:color w:val="000000" w:themeColor="text1"/>
          <w:sz w:val="30"/>
          <w:szCs w:val="30"/>
          <w:lang w:eastAsia="zh-CN"/>
          <w14:textFill>
            <w14:solidFill>
              <w14:schemeClr w14:val="tx1"/>
            </w14:solidFill>
          </w14:textFill>
        </w:rPr>
        <w:t>510112202100461</w:t>
      </w:r>
    </w:p>
    <w:p>
      <w:pPr>
        <w:tabs>
          <w:tab w:val="left" w:pos="2505"/>
          <w:tab w:val="center" w:pos="4204"/>
        </w:tabs>
        <w:spacing w:line="360" w:lineRule="auto"/>
        <w:jc w:val="center"/>
        <w:rPr>
          <w:rFonts w:hint="eastAsia" w:ascii="宋体" w:hAnsi="宋体" w:eastAsia="宋体" w:cs="宋体"/>
          <w:b/>
          <w:color w:val="000000" w:themeColor="text1"/>
          <w:sz w:val="52"/>
          <w:szCs w:val="84"/>
          <w14:textFill>
            <w14:solidFill>
              <w14:schemeClr w14:val="tx1"/>
            </w14:solidFill>
          </w14:textFill>
        </w:rPr>
      </w:pPr>
      <w:r>
        <w:rPr>
          <w:rFonts w:hint="eastAsia" w:ascii="宋体" w:hAnsi="宋体" w:eastAsia="宋体" w:cs="宋体"/>
          <w:b/>
          <w:color w:val="000000" w:themeColor="text1"/>
          <w:sz w:val="44"/>
          <w:szCs w:val="36"/>
          <w14:textFill>
            <w14:solidFill>
              <w14:schemeClr w14:val="tx1"/>
            </w14:solidFill>
          </w14:textFill>
        </w:rPr>
        <w:t>成都市龙泉驿区妇幼保健院医疗设备（第三批）采购项目</w:t>
      </w:r>
    </w:p>
    <w:p>
      <w:pPr>
        <w:pStyle w:val="2"/>
        <w:rPr>
          <w:rFonts w:hint="eastAsia" w:ascii="宋体" w:hAnsi="宋体" w:eastAsia="宋体" w:cs="宋体"/>
          <w:color w:val="000000" w:themeColor="text1"/>
          <w14:textFill>
            <w14:solidFill>
              <w14:schemeClr w14:val="tx1"/>
            </w14:solidFill>
          </w14:textFill>
        </w:rPr>
      </w:pPr>
    </w:p>
    <w:p>
      <w:pPr>
        <w:tabs>
          <w:tab w:val="left" w:pos="2505"/>
          <w:tab w:val="center" w:pos="4204"/>
        </w:tabs>
        <w:spacing w:line="360" w:lineRule="auto"/>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招标文件</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中国·四川</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成都市龙泉驿区妇幼保健院</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四川轩辕招标代理有限公司</w:t>
      </w: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共同编制</w:t>
      </w:r>
    </w:p>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sectPr>
          <w:headerReference r:id="rId3" w:type="first"/>
          <w:pgSz w:w="11907" w:h="16840"/>
          <w:pgMar w:top="1440" w:right="1474" w:bottom="1440" w:left="1474" w:header="851" w:footer="992" w:gutter="0"/>
          <w:pgNumType w:start="1"/>
          <w:cols w:space="720" w:num="1"/>
          <w:titlePg/>
          <w:docGrid w:linePitch="286" w:charSpace="0"/>
        </w:sectPr>
      </w:pPr>
      <w:r>
        <w:rPr>
          <w:rFonts w:hint="eastAsia" w:ascii="宋体" w:hAnsi="宋体" w:eastAsia="宋体" w:cs="宋体"/>
          <w:b/>
          <w:bCs/>
          <w:color w:val="000000" w:themeColor="text1"/>
          <w:sz w:val="32"/>
          <w:szCs w:val="32"/>
          <w14:textFill>
            <w14:solidFill>
              <w14:schemeClr w14:val="tx1"/>
            </w14:solidFill>
          </w14:textFill>
        </w:rPr>
        <w:t>2021</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lang w:val="en-US" w:eastAsia="zh-CN"/>
          <w14:textFill>
            <w14:solidFill>
              <w14:schemeClr w14:val="tx1"/>
            </w14:solidFill>
          </w14:textFill>
        </w:rPr>
        <w:t>12</w:t>
      </w:r>
      <w:r>
        <w:rPr>
          <w:rFonts w:hint="eastAsia" w:ascii="宋体" w:hAnsi="宋体" w:eastAsia="宋体" w:cs="宋体"/>
          <w:b/>
          <w:bCs/>
          <w:color w:val="000000" w:themeColor="text1"/>
          <w:sz w:val="32"/>
          <w:szCs w:val="32"/>
          <w14:textFill>
            <w14:solidFill>
              <w14:schemeClr w14:val="tx1"/>
            </w14:solidFill>
          </w14:textFill>
        </w:rPr>
        <w:t>月</w:t>
      </w:r>
    </w:p>
    <w:sdt>
      <w:sdtPr>
        <w:rPr>
          <w:rFonts w:hint="eastAsia" w:ascii="宋体" w:hAnsi="宋体" w:eastAsia="宋体" w:cs="宋体"/>
          <w:color w:val="000000" w:themeColor="text1"/>
          <w:kern w:val="0"/>
          <w:sz w:val="22"/>
          <w:szCs w:val="22"/>
          <w14:textFill>
            <w14:solidFill>
              <w14:schemeClr w14:val="tx1"/>
            </w14:solidFill>
          </w14:textFill>
        </w:rPr>
        <w:id w:val="147466953"/>
        <w:docPartObj>
          <w:docPartGallery w:val="Table of Contents"/>
          <w:docPartUnique/>
        </w:docPartObj>
      </w:sdtPr>
      <w:sdtEndPr>
        <w:rPr>
          <w:rFonts w:hint="eastAsia" w:ascii="宋体" w:hAnsi="宋体" w:eastAsia="宋体" w:cs="宋体"/>
          <w:bCs/>
          <w:color w:val="000000" w:themeColor="text1"/>
          <w:kern w:val="0"/>
          <w:sz w:val="22"/>
          <w:szCs w:val="22"/>
          <w14:textFill>
            <w14:solidFill>
              <w14:schemeClr w14:val="tx1"/>
            </w14:solidFill>
          </w14:textFill>
        </w:rPr>
      </w:sdtEndPr>
      <w:sdtContent>
        <w:p>
          <w:pPr>
            <w:jc w:val="center"/>
            <w:rPr>
              <w:rFonts w:hint="eastAsia" w:ascii="宋体" w:hAnsi="宋体" w:eastAsia="宋体" w:cs="宋体"/>
              <w:b/>
              <w:bCs/>
              <w:color w:val="000000" w:themeColor="text1"/>
              <w:sz w:val="44"/>
              <w:szCs w:val="44"/>
              <w14:textFill>
                <w14:solidFill>
                  <w14:schemeClr w14:val="tx1"/>
                </w14:solidFill>
              </w14:textFill>
            </w:rPr>
          </w:pPr>
          <w:bookmarkStart w:id="0" w:name="_Toc490290178"/>
          <w:r>
            <w:rPr>
              <w:rFonts w:hint="eastAsia" w:ascii="宋体" w:hAnsi="宋体" w:eastAsia="宋体" w:cs="宋体"/>
              <w:b/>
              <w:bCs/>
              <w:color w:val="000000" w:themeColor="text1"/>
              <w:sz w:val="44"/>
              <w:szCs w:val="44"/>
              <w14:textFill>
                <w14:solidFill>
                  <w14:schemeClr w14:val="tx1"/>
                </w14:solidFill>
              </w14:textFill>
            </w:rPr>
            <w:t>目录</w:t>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fldChar w:fldCharType="begin"/>
          </w:r>
          <w:r>
            <w:rPr>
              <w:rFonts w:hint="eastAsia" w:ascii="宋体" w:hAnsi="宋体" w:eastAsia="宋体" w:cs="宋体"/>
              <w:bCs/>
              <w:color w:val="000000" w:themeColor="text1"/>
              <w14:textFill>
                <w14:solidFill>
                  <w14:schemeClr w14:val="tx1"/>
                </w14:solidFill>
              </w14:textFill>
            </w:rPr>
            <w:instrText xml:space="preserve">TOC \o "1-1" \h \u </w:instrText>
          </w:r>
          <w:r>
            <w:rPr>
              <w:rFonts w:hint="eastAsia" w:ascii="宋体" w:hAnsi="宋体" w:eastAsia="宋体" w:cs="宋体"/>
              <w:bCs/>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"_Toc20522"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第一章  投标邀请</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_Toc20522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"_Toc16547"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第二章  投标人须知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_Toc16547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"_Toc30143"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一、投标人须知附表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_Toc30143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"_Toc32001"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二、总  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_Toc32001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"_Toc1259"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三、招标文件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_Toc1259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"_Toc8141"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四、投标文件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_Toc8141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"_Toc21553"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五、开标和中标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_Toc21553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"_Toc4381"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六、签订及履行合同和验收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_Toc4381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"_Toc20614"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七、投标纪律要求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_Toc20614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"_Toc25204"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八、回避</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_Toc25204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"_Toc25630"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九、询问、质疑和投诉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_Toc25630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十、其他</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_Toc241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"_Toc16728"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第三章 投标文件格式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_Toc16728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"_Toc5917"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第四章  投标人和投标产品的资格、资质性及其他类似效力要求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_Toc5917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"_Toc7835"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第五章  投标人应当提供的资格、资质性及其他类似效力要求的相关证明材料</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_Toc7835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"_Toc32366"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第六章 招标项目技术、服务、政府采购合同内容条款及其他商务要求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_Toc32366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49</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"_Toc2564"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第七章  评标办法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_Toc2564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55</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59"/>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"_Toc31809"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第八章  政府采购合同（参考）</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PAGEREF _Toc31809 \h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67</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23"/>
            <w:tabs>
              <w:tab w:val="right" w:leader="dot" w:pos="8949"/>
            </w:tabs>
            <w:spacing w:line="360" w:lineRule="auto"/>
            <w:rPr>
              <w:rFonts w:hint="eastAsia" w:ascii="宋体" w:hAnsi="宋体" w:eastAsia="宋体" w:cs="宋体"/>
              <w:bCs/>
              <w:color w:val="000000" w:themeColor="text1"/>
              <w14:textFill>
                <w14:solidFill>
                  <w14:schemeClr w14:val="tx1"/>
                </w14:solidFill>
              </w14:textFill>
            </w:rPr>
            <w:sectPr>
              <w:pgSz w:w="11907" w:h="16840"/>
              <w:pgMar w:top="1440" w:right="1474" w:bottom="1440" w:left="1474" w:header="851" w:footer="992" w:gutter="0"/>
              <w:pgNumType w:start="1"/>
              <w:cols w:space="720" w:num="1"/>
              <w:titlePg/>
              <w:docGrid w:linePitch="286" w:charSpace="0"/>
            </w:sectPr>
          </w:pPr>
          <w:r>
            <w:rPr>
              <w:rFonts w:hint="eastAsia" w:ascii="宋体" w:hAnsi="宋体" w:eastAsia="宋体" w:cs="宋体"/>
              <w:bCs/>
              <w:color w:val="000000" w:themeColor="text1"/>
              <w14:textFill>
                <w14:solidFill>
                  <w14:schemeClr w14:val="tx1"/>
                </w14:solidFill>
              </w14:textFill>
            </w:rPr>
            <w:fldChar w:fldCharType="end"/>
          </w:r>
        </w:p>
      </w:sdtContent>
    </w:sdt>
    <w:p>
      <w:pPr>
        <w:pStyle w:val="32"/>
        <w:spacing w:line="360" w:lineRule="auto"/>
        <w:rPr>
          <w:rFonts w:hint="eastAsia" w:ascii="宋体" w:hAnsi="宋体" w:eastAsia="宋体" w:cs="宋体"/>
          <w:color w:val="000000" w:themeColor="text1"/>
          <w14:textFill>
            <w14:solidFill>
              <w14:schemeClr w14:val="tx1"/>
            </w14:solidFill>
          </w14:textFill>
        </w:rPr>
      </w:pPr>
      <w:bookmarkStart w:id="1" w:name="_Toc20522"/>
      <w:bookmarkStart w:id="2" w:name="_Toc23699"/>
      <w:r>
        <w:rPr>
          <w:rFonts w:hint="eastAsia" w:ascii="宋体" w:hAnsi="宋体" w:eastAsia="宋体" w:cs="宋体"/>
          <w:color w:val="000000" w:themeColor="text1"/>
          <w14:textFill>
            <w14:solidFill>
              <w14:schemeClr w14:val="tx1"/>
            </w14:solidFill>
          </w14:textFill>
        </w:rPr>
        <w:t>第一章  投标邀请</w:t>
      </w:r>
      <w:bookmarkEnd w:id="0"/>
      <w:bookmarkEnd w:id="1"/>
      <w:bookmarkEnd w:id="2"/>
    </w:p>
    <w:p>
      <w:pPr>
        <w:spacing w:line="360" w:lineRule="auto"/>
        <w:ind w:firstLine="482" w:firstLineChars="200"/>
        <w:jc w:val="left"/>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u w:val="single"/>
          <w14:textFill>
            <w14:solidFill>
              <w14:schemeClr w14:val="tx1"/>
            </w14:solidFill>
          </w14:textFill>
        </w:rPr>
        <w:t>四川轩辕招标代理有限公司</w:t>
      </w:r>
      <w:r>
        <w:rPr>
          <w:rFonts w:hint="eastAsia" w:ascii="宋体" w:hAnsi="宋体" w:eastAsia="宋体" w:cs="宋体"/>
          <w:color w:val="000000" w:themeColor="text1"/>
          <w:sz w:val="24"/>
          <w14:textFill>
            <w14:solidFill>
              <w14:schemeClr w14:val="tx1"/>
            </w14:solidFill>
          </w14:textFill>
        </w:rPr>
        <w:t>受</w:t>
      </w:r>
      <w:r>
        <w:rPr>
          <w:rFonts w:hint="eastAsia" w:ascii="宋体" w:hAnsi="宋体" w:eastAsia="宋体" w:cs="宋体"/>
          <w:b/>
          <w:bCs/>
          <w:color w:val="000000" w:themeColor="text1"/>
          <w:sz w:val="24"/>
          <w:u w:val="single"/>
          <w14:textFill>
            <w14:solidFill>
              <w14:schemeClr w14:val="tx1"/>
            </w14:solidFill>
          </w14:textFill>
        </w:rPr>
        <w:t>成都市龙泉驿区妇幼保健院</w:t>
      </w:r>
      <w:r>
        <w:rPr>
          <w:rFonts w:hint="eastAsia" w:ascii="宋体" w:hAnsi="宋体" w:eastAsia="宋体" w:cs="宋体"/>
          <w:color w:val="000000" w:themeColor="text1"/>
          <w:sz w:val="24"/>
          <w14:textFill>
            <w14:solidFill>
              <w14:schemeClr w14:val="tx1"/>
            </w14:solidFill>
          </w14:textFill>
        </w:rPr>
        <w:t>委托，拟对</w:t>
      </w:r>
      <w:r>
        <w:rPr>
          <w:rFonts w:hint="eastAsia" w:ascii="宋体" w:hAnsi="宋体" w:eastAsia="宋体" w:cs="宋体"/>
          <w:b/>
          <w:bCs/>
          <w:color w:val="000000" w:themeColor="text1"/>
          <w:sz w:val="24"/>
          <w:u w:val="single"/>
          <w14:textFill>
            <w14:solidFill>
              <w14:schemeClr w14:val="tx1"/>
            </w14:solidFill>
          </w14:textFill>
        </w:rPr>
        <w:t>成都市龙泉驿区妇幼保健院医疗设备（第三批）采购项目</w:t>
      </w:r>
      <w:r>
        <w:rPr>
          <w:rFonts w:hint="eastAsia" w:ascii="宋体" w:hAnsi="宋体" w:eastAsia="宋体" w:cs="宋体"/>
          <w:color w:val="000000" w:themeColor="text1"/>
          <w:sz w:val="24"/>
          <w14:textFill>
            <w14:solidFill>
              <w14:schemeClr w14:val="tx1"/>
            </w14:solidFill>
          </w14:textFill>
        </w:rPr>
        <w:t>进行国内公开招标，</w:t>
      </w:r>
      <w:r>
        <w:rPr>
          <w:rFonts w:hint="eastAsia" w:ascii="宋体" w:hAnsi="宋体" w:eastAsia="宋体" w:cs="宋体"/>
          <w:color w:val="000000" w:themeColor="text1"/>
          <w:sz w:val="24"/>
          <w:szCs w:val="28"/>
          <w14:textFill>
            <w14:solidFill>
              <w14:schemeClr w14:val="tx1"/>
            </w14:solidFill>
          </w14:textFill>
        </w:rPr>
        <w:t>兹邀请符合本次招标要求的供应商参加</w:t>
      </w:r>
      <w:r>
        <w:rPr>
          <w:rFonts w:hint="eastAsia" w:ascii="宋体" w:hAnsi="宋体" w:eastAsia="宋体" w:cs="宋体"/>
          <w:color w:val="000000" w:themeColor="text1"/>
          <w:sz w:val="24"/>
          <w14:textFill>
            <w14:solidFill>
              <w14:schemeClr w14:val="tx1"/>
            </w14:solidFill>
          </w14:textFill>
        </w:rPr>
        <w:t>投标</w:t>
      </w:r>
      <w:r>
        <w:rPr>
          <w:rFonts w:hint="eastAsia" w:ascii="宋体" w:hAnsi="宋体" w:eastAsia="宋体" w:cs="宋体"/>
          <w:color w:val="000000" w:themeColor="text1"/>
          <w:sz w:val="24"/>
          <w:szCs w:val="28"/>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一、采购项目编号：</w:t>
      </w:r>
      <w:r>
        <w:rPr>
          <w:rFonts w:hint="eastAsia" w:ascii="宋体" w:hAnsi="宋体" w:cs="宋体"/>
          <w:color w:val="000000" w:themeColor="text1"/>
          <w:sz w:val="24"/>
          <w:lang w:eastAsia="zh-CN"/>
          <w14:textFill>
            <w14:solidFill>
              <w14:schemeClr w14:val="tx1"/>
            </w14:solidFill>
          </w14:textFill>
        </w:rPr>
        <w:t>510112202100461</w:t>
      </w:r>
    </w:p>
    <w:p>
      <w:pPr>
        <w:spacing w:line="360" w:lineRule="auto"/>
        <w:ind w:left="2166" w:leftChars="228" w:right="31" w:rightChars="15" w:hanging="1687" w:hangingChars="7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二、项目名称：</w:t>
      </w:r>
      <w:r>
        <w:rPr>
          <w:rFonts w:hint="eastAsia" w:ascii="宋体" w:hAnsi="宋体" w:eastAsia="宋体" w:cs="宋体"/>
          <w:b w:val="0"/>
          <w:bCs w:val="0"/>
          <w:color w:val="000000" w:themeColor="text1"/>
          <w:sz w:val="24"/>
          <w:u w:val="none"/>
          <w14:textFill>
            <w14:solidFill>
              <w14:schemeClr w14:val="tx1"/>
            </w14:solidFill>
          </w14:textFill>
        </w:rPr>
        <w:t>成都市龙泉驿区妇幼保健院医疗设备（第三批）采购项目</w:t>
      </w:r>
    </w:p>
    <w:p>
      <w:pPr>
        <w:spacing w:line="360" w:lineRule="auto"/>
        <w:ind w:right="31" w:rightChars="15" w:firstLine="482"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三、资金来源：</w:t>
      </w:r>
      <w:r>
        <w:rPr>
          <w:rFonts w:hint="eastAsia" w:ascii="宋体" w:hAnsi="宋体" w:eastAsia="宋体" w:cs="宋体"/>
          <w:bCs/>
          <w:color w:val="000000" w:themeColor="text1"/>
          <w:sz w:val="24"/>
          <w:szCs w:val="28"/>
          <w14:textFill>
            <w14:solidFill>
              <w14:schemeClr w14:val="tx1"/>
            </w14:solidFill>
          </w14:textFill>
        </w:rPr>
        <w:t>财政资金</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四、招标项目简介：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本项目共</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包，采购</w:t>
      </w:r>
      <w:r>
        <w:rPr>
          <w:rFonts w:hint="eastAsia" w:ascii="宋体" w:hAnsi="宋体" w:eastAsia="宋体" w:cs="宋体"/>
          <w:color w:val="000000" w:themeColor="text1"/>
          <w:sz w:val="24"/>
          <w:highlight w:val="none"/>
          <w:lang w:eastAsia="zh-CN"/>
          <w14:textFill>
            <w14:solidFill>
              <w14:schemeClr w14:val="tx1"/>
            </w14:solidFill>
          </w14:textFill>
        </w:rPr>
        <w:t>医疗设备</w:t>
      </w:r>
      <w:r>
        <w:rPr>
          <w:rFonts w:hint="eastAsia" w:ascii="宋体" w:hAnsi="宋体" w:eastAsia="宋体" w:cs="宋体"/>
          <w:color w:val="000000" w:themeColor="text1"/>
          <w:sz w:val="24"/>
          <w:highlight w:val="none"/>
          <w14:textFill>
            <w14:solidFill>
              <w14:schemeClr w14:val="tx1"/>
            </w14:solidFill>
          </w14:textFill>
        </w:rPr>
        <w:t>一批。</w:t>
      </w:r>
      <w:r>
        <w:rPr>
          <w:rFonts w:hint="eastAsia" w:ascii="宋体" w:hAnsi="宋体" w:eastAsia="宋体" w:cs="宋体"/>
          <w:color w:val="000000" w:themeColor="text1"/>
          <w:sz w:val="24"/>
          <w:szCs w:val="28"/>
          <w:highlight w:val="none"/>
          <w14:textFill>
            <w14:solidFill>
              <w14:schemeClr w14:val="tx1"/>
            </w14:solidFill>
          </w14:textFill>
        </w:rPr>
        <w:t>（具体详见招标文件第六章）</w:t>
      </w:r>
      <w:r>
        <w:rPr>
          <w:rFonts w:hint="eastAsia" w:ascii="宋体" w:hAnsi="宋体" w:eastAsia="宋体" w:cs="宋体"/>
          <w:color w:val="000000" w:themeColor="text1"/>
          <w:sz w:val="24"/>
          <w:highlight w:val="none"/>
          <w14:textFill>
            <w14:solidFill>
              <w14:schemeClr w14:val="tx1"/>
            </w14:solidFill>
          </w14:textFill>
        </w:rPr>
        <w:t>。</w:t>
      </w:r>
    </w:p>
    <w:p>
      <w:pPr>
        <w:numPr>
          <w:ilvl w:val="0"/>
          <w:numId w:val="4"/>
        </w:num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供应商参加本次政府采购活动，应当具备下列条件：</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（一）符合《中华人民共和国政府采购法》第二十二条规定的条件：</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5、参加本次政府采购活动前三年内，在经营活动中没有重大违法记录；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6、法律、行政法规规定的其他条件。</w:t>
      </w:r>
    </w:p>
    <w:p>
      <w:pPr>
        <w:pStyle w:val="87"/>
        <w:tabs>
          <w:tab w:val="left" w:pos="1260"/>
        </w:tabs>
        <w:ind w:left="0" w:leftChars="0"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（二）落实政府采购政策需满足的资格要求：本项目不是专门面向中小企业采购的项目。</w:t>
      </w:r>
    </w:p>
    <w:p>
      <w:pPr>
        <w:pStyle w:val="87"/>
        <w:tabs>
          <w:tab w:val="left" w:pos="1260"/>
        </w:tabs>
        <w:ind w:left="0" w:leftChars="0"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三</w:t>
      </w:r>
      <w:r>
        <w:rPr>
          <w:rFonts w:hint="eastAsia" w:ascii="宋体" w:hAnsi="宋体" w:eastAsia="宋体" w:cs="宋体"/>
          <w:color w:val="000000" w:themeColor="text1"/>
          <w:sz w:val="24"/>
          <w14:textFill>
            <w14:solidFill>
              <w14:schemeClr w14:val="tx1"/>
            </w14:solidFill>
          </w14:textFill>
        </w:rPr>
        <w:t>）本项目</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u w:val="single"/>
          <w14:textFill>
            <w14:solidFill>
              <w14:schemeClr w14:val="tx1"/>
            </w14:solidFill>
          </w14:textFill>
        </w:rPr>
        <w:t xml:space="preserve">不接受  </w:t>
      </w:r>
      <w:r>
        <w:rPr>
          <w:rFonts w:hint="eastAsia" w:ascii="宋体" w:hAnsi="宋体" w:eastAsia="宋体" w:cs="宋体"/>
          <w:color w:val="000000" w:themeColor="text1"/>
          <w:sz w:val="24"/>
          <w14:textFill>
            <w14:solidFill>
              <w14:schemeClr w14:val="tx1"/>
            </w14:solidFill>
          </w14:textFill>
        </w:rPr>
        <w:t>联合体投标。</w:t>
      </w:r>
    </w:p>
    <w:p>
      <w:pPr>
        <w:spacing w:line="360" w:lineRule="auto"/>
        <w:ind w:firstLine="240" w:firstLineChars="100"/>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）根据采购项目提出的特殊条件；</w:t>
      </w:r>
    </w:p>
    <w:p>
      <w:pPr>
        <w:pStyle w:val="87"/>
        <w:tabs>
          <w:tab w:val="left" w:pos="1260"/>
        </w:tabs>
        <w:ind w:firstLine="679" w:firstLineChars="2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医疗器械监督管理条例》《医疗器械经营监督管理办法》《医疗器械生产监督管理办法》等规定：投标产品若属于医疗器械，①投标人为生产厂商的提供医疗器械生产许可证/生产备案凭证、投标产品医疗器械注册证/备案凭证；②投标人为经销商的提供本单位的医疗器械经营许可证/经营备案凭证、生产厂商的医疗器械生产许可证/生产备案凭证、投标产品医疗器械注册证/备案凭证。</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2、本项目参加政府采购活动的投标人、法定代表人/主要负责人近3年内不得具有行贿犯罪记录。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numPr>
          <w:ilvl w:val="0"/>
          <w:numId w:val="5"/>
        </w:num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招标文件获取方式、时间、地点：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1、网络报名获取，凡有意投标企业</w:t>
      </w:r>
      <w:r>
        <w:rPr>
          <w:rFonts w:hint="eastAsia" w:ascii="宋体" w:hAnsi="宋体" w:eastAsia="宋体" w:cs="宋体"/>
          <w:color w:val="000000" w:themeColor="text1"/>
          <w:sz w:val="24"/>
          <w:highlight w:val="none"/>
          <w14:textFill>
            <w14:solidFill>
              <w14:schemeClr w14:val="tx1"/>
            </w14:solidFill>
          </w14:textFill>
        </w:rPr>
        <w:t>自2021年1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日至202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01</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06</w:t>
      </w:r>
      <w:r>
        <w:rPr>
          <w:rFonts w:hint="eastAsia" w:ascii="宋体" w:hAnsi="宋体" w:eastAsia="宋体" w:cs="宋体"/>
          <w:color w:val="000000" w:themeColor="text1"/>
          <w:sz w:val="24"/>
          <w:highlight w:val="none"/>
          <w14:textFill>
            <w14:solidFill>
              <w14:schemeClr w14:val="tx1"/>
            </w14:solidFill>
          </w14:textFill>
        </w:rPr>
        <w:t>日09:00-17:00（北京时间，法定节假日除外）。</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2、招标文件获取方式：供应商从“政府采购云平台”获取采购文件（网址：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"https://www.zcygov.cn）项目采购—获取采购文件—申请获取采购文件。_x0005_"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https://www.zcygov.cn）。登录政府采购云平台—项目采购—获取采购文件—申请获取采购文件</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（1）本项目招标文件免费获取。</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投标人只有在“政府采购云平台”完成获取招标文件申请并下载招标文件后才视作依法参与本项目。如未在“政府采购云平台”内完成相关流程，引起的投标无效责任自负。</w:t>
      </w:r>
    </w:p>
    <w:p>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lang w:eastAsia="zh-CN"/>
          <w14:textFill>
            <w14:solidFill>
              <w14:schemeClr w14:val="tx1"/>
            </w14:solidFill>
          </w14:textFill>
        </w:rPr>
        <w:t>）首次登录政府采购云平台的新用户应先点击“供应商入驻”，入驻成功后再登录。报名资格不能转让。</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本项目为电子招标投标项目，投标人参与本项目全过程中凡涉及系统操作请详见《供应商政府采购项目电子交易操作指南》。（操作指南以政府采购云平台网站发布为准，获取方式详见：附件-政府采购云平台使用介绍）</w:t>
      </w:r>
    </w:p>
    <w:p>
      <w:pPr>
        <w:spacing w:line="360" w:lineRule="auto"/>
        <w:ind w:firstLine="482" w:firstLineChars="20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w:t>
      </w:r>
      <w:r>
        <w:rPr>
          <w:rFonts w:hint="eastAsia" w:ascii="宋体" w:hAnsi="宋体" w:eastAsia="宋体" w:cs="宋体"/>
          <w:b w:val="0"/>
          <w:bCs/>
          <w:color w:val="000000" w:themeColor="text1"/>
          <w:sz w:val="24"/>
          <w:szCs w:val="28"/>
          <w:highlight w:val="none"/>
          <w:lang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投标文件递交截止时间和开</w:t>
      </w:r>
      <w:r>
        <w:rPr>
          <w:rFonts w:hint="eastAsia" w:ascii="宋体" w:hAnsi="宋体" w:eastAsia="宋体" w:cs="宋体"/>
          <w:b/>
          <w:bCs/>
          <w:color w:val="000000" w:themeColor="text1"/>
          <w:sz w:val="24"/>
          <w:highlight w:val="none"/>
          <w14:textFill>
            <w14:solidFill>
              <w14:schemeClr w14:val="tx1"/>
            </w14:solidFill>
          </w14:textFill>
        </w:rPr>
        <w:t>标时间</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202</w:t>
      </w: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年</w:t>
      </w:r>
      <w:r>
        <w:rPr>
          <w:rFonts w:hint="eastAsia" w:ascii="宋体" w:hAnsi="宋体" w:eastAsia="宋体" w:cs="宋体"/>
          <w:b/>
          <w:bCs/>
          <w:color w:val="000000" w:themeColor="text1"/>
          <w:sz w:val="24"/>
          <w:highlight w:val="none"/>
          <w:lang w:val="en-US" w:eastAsia="zh-CN"/>
          <w14:textFill>
            <w14:solidFill>
              <w14:schemeClr w14:val="tx1"/>
            </w14:solidFill>
          </w14:textFill>
        </w:rPr>
        <w:t>01</w:t>
      </w:r>
      <w:r>
        <w:rPr>
          <w:rFonts w:hint="eastAsia" w:ascii="宋体" w:hAnsi="宋体" w:eastAsia="宋体" w:cs="宋体"/>
          <w:b/>
          <w:bCs/>
          <w:color w:val="000000" w:themeColor="text1"/>
          <w:sz w:val="24"/>
          <w:highlight w:val="none"/>
          <w14:textFill>
            <w14:solidFill>
              <w14:schemeClr w14:val="tx1"/>
            </w14:solidFill>
          </w14:textFill>
        </w:rPr>
        <w:t>月</w:t>
      </w:r>
      <w:r>
        <w:rPr>
          <w:rFonts w:hint="eastAsia" w:ascii="宋体" w:hAnsi="宋体" w:eastAsia="宋体" w:cs="宋体"/>
          <w:b/>
          <w:bCs/>
          <w:color w:val="000000" w:themeColor="text1"/>
          <w:sz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highlight w:val="none"/>
          <w14:textFill>
            <w14:solidFill>
              <w14:schemeClr w14:val="tx1"/>
            </w14:solidFill>
          </w14:textFill>
        </w:rPr>
        <w:t>日</w:t>
      </w:r>
      <w:r>
        <w:rPr>
          <w:rFonts w:hint="eastAsia" w:ascii="宋体" w:hAnsi="宋体" w:eastAsia="宋体" w:cs="宋体"/>
          <w:b/>
          <w:bCs/>
          <w:color w:val="000000" w:themeColor="text1"/>
          <w:sz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8"/>
          <w:highlight w:val="none"/>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北京时间）</w:t>
      </w:r>
      <w:r>
        <w:rPr>
          <w:rFonts w:hint="eastAsia" w:ascii="宋体" w:hAnsi="宋体" w:eastAsia="宋体" w:cs="宋体"/>
          <w:bCs/>
          <w:color w:val="000000" w:themeColor="text1"/>
          <w:sz w:val="24"/>
          <w14:textFill>
            <w14:solidFill>
              <w14:schemeClr w14:val="tx1"/>
            </w14:solidFill>
          </w14:textFill>
        </w:rPr>
        <w:t>（自招标文件开始发放之日起至投标人提交投标文件截止之日止，不得少于20日）</w:t>
      </w:r>
      <w:r>
        <w:rPr>
          <w:rFonts w:hint="eastAsia" w:ascii="宋体" w:hAnsi="宋体" w:eastAsia="宋体" w:cs="宋体"/>
          <w:color w:val="000000" w:themeColor="text1"/>
          <w:sz w:val="24"/>
          <w:szCs w:val="28"/>
          <w14:textFill>
            <w14:solidFill>
              <w14:schemeClr w14:val="tx1"/>
            </w14:solidFill>
          </w14:textFill>
        </w:rPr>
        <w:t>。</w:t>
      </w:r>
    </w:p>
    <w:p>
      <w:pPr>
        <w:kinsoku/>
        <w:wordWrap w:val="0"/>
        <w:overflowPunct/>
        <w:bidi w:val="0"/>
        <w:adjustRightInd w:val="0"/>
        <w:snapToGrid w:val="0"/>
        <w:spacing w:after="0" w:line="360" w:lineRule="auto"/>
        <w:ind w:firstLine="218" w:firstLineChars="9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（二）</w:t>
      </w:r>
      <w:r>
        <w:rPr>
          <w:rFonts w:hint="eastAsia" w:ascii="宋体" w:hAnsi="宋体" w:eastAsia="宋体" w:cs="宋体"/>
          <w:b/>
          <w:bCs/>
          <w:color w:val="000000" w:themeColor="text1"/>
          <w:sz w:val="24"/>
          <w14:textFill>
            <w14:solidFill>
              <w14:schemeClr w14:val="tx1"/>
            </w14:solidFill>
          </w14:textFill>
        </w:rPr>
        <w:t>投标文件递交地点：</w:t>
      </w:r>
      <w:r>
        <w:rPr>
          <w:rFonts w:hint="eastAsia" w:ascii="宋体" w:hAnsi="宋体" w:eastAsia="宋体" w:cs="宋体"/>
          <w:color w:val="000000" w:themeColor="text1"/>
          <w:sz w:val="24"/>
          <w14:textFill>
            <w14:solidFill>
              <w14:schemeClr w14:val="tx1"/>
            </w14:solidFill>
          </w14:textFill>
        </w:rPr>
        <w:t>投标截止时间前，投标人应将加密的电子投标文件递交至“政府采购云平台”对应项目（包件）。</w:t>
      </w:r>
    </w:p>
    <w:p>
      <w:pPr>
        <w:kinsoku/>
        <w:wordWrap w:val="0"/>
        <w:overflowPunct/>
        <w:bidi w:val="0"/>
        <w:adjustRightInd w:val="0"/>
        <w:snapToGrid w:val="0"/>
        <w:spacing w:after="0" w:line="360" w:lineRule="auto"/>
        <w:ind w:firstLine="218" w:firstLineChars="91"/>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sz w:val="24"/>
          <w:lang w:eastAsia="zh-CN"/>
          <w14:textFill>
            <w14:solidFill>
              <w14:schemeClr w14:val="tx1"/>
            </w14:solidFill>
          </w14:textFill>
        </w:rPr>
        <w:t>（三）</w:t>
      </w:r>
      <w:r>
        <w:rPr>
          <w:rFonts w:hint="eastAsia" w:ascii="宋体" w:hAnsi="宋体" w:eastAsia="宋体" w:cs="宋体"/>
          <w:b/>
          <w:bCs/>
          <w:color w:val="000000" w:themeColor="text1"/>
          <w:sz w:val="24"/>
          <w:lang w:eastAsia="zh-CN"/>
          <w14:textFill>
            <w14:solidFill>
              <w14:schemeClr w14:val="tx1"/>
            </w14:solidFill>
          </w14:textFill>
        </w:rPr>
        <w:t>开标地点：</w:t>
      </w:r>
    </w:p>
    <w:p>
      <w:pPr>
        <w:kinsoku/>
        <w:wordWrap w:val="0"/>
        <w:overflowPunct/>
        <w:bidi w:val="0"/>
        <w:adjustRightInd w:val="0"/>
        <w:snapToGrid w:val="0"/>
        <w:spacing w:after="0" w:line="360" w:lineRule="auto"/>
        <w:ind w:firstLine="218" w:firstLineChars="91"/>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（1）本项目为不见面开标项目。</w:t>
      </w:r>
    </w:p>
    <w:p>
      <w:pPr>
        <w:kinsoku/>
        <w:wordWrap w:val="0"/>
        <w:overflowPunct/>
        <w:bidi w:val="0"/>
        <w:adjustRightInd w:val="0"/>
        <w:snapToGrid w:val="0"/>
        <w:spacing w:after="0" w:line="360" w:lineRule="auto"/>
        <w:ind w:firstLine="218" w:firstLineChars="91"/>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（2）开标地点：政府采购云平台(https://www.zcygov.cn)</w:t>
      </w:r>
    </w:p>
    <w:p>
      <w:pPr>
        <w:kinsoku/>
        <w:wordWrap w:val="0"/>
        <w:overflowPunct/>
        <w:bidi w:val="0"/>
        <w:adjustRightInd w:val="0"/>
        <w:snapToGrid w:val="0"/>
        <w:spacing w:after="0" w:line="360" w:lineRule="auto"/>
        <w:ind w:firstLine="218" w:firstLineChars="9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（3）本项目只接受投标人加密并递交至“政府采购云平台”的投标文件。</w:t>
      </w:r>
    </w:p>
    <w:p>
      <w:pPr>
        <w:pStyle w:val="87"/>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八</w:t>
      </w:r>
      <w:r>
        <w:rPr>
          <w:rFonts w:hint="eastAsia" w:ascii="宋体" w:hAnsi="宋体" w:eastAsia="宋体" w:cs="宋体"/>
          <w:b/>
          <w:color w:val="000000" w:themeColor="text1"/>
          <w:sz w:val="24"/>
          <w14:textFill>
            <w14:solidFill>
              <w14:schemeClr w14:val="tx1"/>
            </w14:solidFill>
          </w14:textFill>
        </w:rPr>
        <w:t>、本投标邀请在四川政府采购网（http://www.ccgp-sichuan.gov.cn/）上以公告形式发布。</w:t>
      </w:r>
    </w:p>
    <w:p>
      <w:pPr>
        <w:pStyle w:val="87"/>
        <w:spacing w:line="420" w:lineRule="exact"/>
        <w:ind w:firstLine="482"/>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lang w:eastAsia="zh-CN"/>
          <w14:textFill>
            <w14:solidFill>
              <w14:schemeClr w14:val="tx1"/>
            </w14:solidFill>
          </w14:textFill>
        </w:rPr>
        <w:t>九</w:t>
      </w:r>
      <w:r>
        <w:rPr>
          <w:rFonts w:hint="eastAsia" w:ascii="宋体" w:hAnsi="宋体" w:eastAsia="宋体" w:cs="宋体"/>
          <w:b/>
          <w:color w:val="000000" w:themeColor="text1"/>
          <w:sz w:val="24"/>
          <w:szCs w:val="28"/>
          <w14:textFill>
            <w14:solidFill>
              <w14:schemeClr w14:val="tx1"/>
            </w14:solidFill>
          </w14:textFill>
        </w:rPr>
        <w:t>、供应商信用融资：</w:t>
      </w:r>
    </w:p>
    <w:p>
      <w:pPr>
        <w:pStyle w:val="87"/>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供应商信用融资：根据《四川省财政厅关于推进四川省政府采购供应商信用融资工作的通知</w:t>
      </w:r>
      <w:r>
        <w:rPr>
          <w:rFonts w:hint="eastAsia" w:ascii="宋体" w:hAnsi="宋体" w:eastAsia="宋体" w:cs="宋体"/>
          <w:color w:val="000000" w:themeColor="text1"/>
          <w:sz w:val="24"/>
          <w14:textFill>
            <w14:solidFill>
              <w14:schemeClr w14:val="tx1"/>
            </w14:solidFill>
          </w14:textFill>
        </w:rPr>
        <w:t>》（川财采[2018]123号）</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《成</w:t>
      </w:r>
      <w:r>
        <w:rPr>
          <w:rFonts w:hint="eastAsia" w:ascii="宋体" w:hAnsi="宋体" w:eastAsia="宋体" w:cs="宋体"/>
          <w:color w:val="000000" w:themeColor="text1"/>
          <w:spacing w:val="-6"/>
          <w:sz w:val="24"/>
          <w:highlight w:val="none"/>
          <w14:textFill>
            <w14:solidFill>
              <w14:schemeClr w14:val="tx1"/>
            </w14:solidFill>
          </w14:textFill>
        </w:rPr>
        <w:t>都市中小企业政府采购信用融资暂行办法》（成财采〔2019〕17 号）</w:t>
      </w:r>
      <w:r>
        <w:rPr>
          <w:rFonts w:hint="eastAsia" w:ascii="宋体" w:hAnsi="宋体" w:eastAsia="宋体" w:cs="宋体"/>
          <w:color w:val="000000" w:themeColor="text1"/>
          <w:sz w:val="24"/>
          <w14:textFill>
            <w14:solidFill>
              <w14:schemeClr w14:val="tx1"/>
            </w14:solidFill>
          </w14:textFill>
        </w:rPr>
        <w:t>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87"/>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项目执行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关于开展政府采购信用担保试点工作的通知》等。</w:t>
      </w:r>
    </w:p>
    <w:p>
      <w:pPr>
        <w:pStyle w:val="87"/>
        <w:spacing w:line="420" w:lineRule="exact"/>
        <w:ind w:firstLine="482"/>
        <w:rPr>
          <w:rFonts w:hint="eastAsia" w:ascii="宋体" w:hAnsi="宋体" w:eastAsia="宋体" w:cs="宋体"/>
          <w:b/>
          <w:color w:val="000000" w:themeColor="text1"/>
          <w:sz w:val="24"/>
          <w:szCs w:val="28"/>
          <w14:textFill>
            <w14:solidFill>
              <w14:schemeClr w14:val="tx1"/>
            </w14:solidFill>
          </w14:textFill>
        </w:rPr>
      </w:pPr>
    </w:p>
    <w:p>
      <w:pPr>
        <w:pStyle w:val="87"/>
        <w:ind w:firstLine="482"/>
        <w:rPr>
          <w:rFonts w:hint="eastAsia" w:ascii="宋体" w:hAnsi="宋体" w:eastAsia="宋体" w:cs="宋体"/>
          <w:b/>
          <w:color w:val="000000" w:themeColor="text1"/>
          <w:sz w:val="24"/>
          <w:highlight w:val="yellow"/>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十、联系方式</w:t>
      </w:r>
    </w:p>
    <w:p>
      <w:pPr>
        <w:pStyle w:val="87"/>
        <w:ind w:firstLine="923" w:firstLineChars="383"/>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成都市龙泉驿区妇幼保健院</w:t>
      </w:r>
    </w:p>
    <w:p>
      <w:pPr>
        <w:pStyle w:val="87"/>
        <w:ind w:firstLine="919" w:firstLineChars="383"/>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eastAsia="zh-CN"/>
          <w14:textFill>
            <w14:solidFill>
              <w14:schemeClr w14:val="tx1"/>
            </w14:solidFill>
          </w14:textFill>
        </w:rPr>
        <w:t>成都市龙泉驿区玉杨路</w:t>
      </w:r>
      <w:r>
        <w:rPr>
          <w:rFonts w:hint="eastAsia" w:ascii="宋体" w:hAnsi="宋体" w:eastAsia="宋体" w:cs="宋体"/>
          <w:color w:val="000000" w:themeColor="text1"/>
          <w:sz w:val="24"/>
          <w:lang w:val="en-US" w:eastAsia="zh-CN"/>
          <w14:textFill>
            <w14:solidFill>
              <w14:schemeClr w14:val="tx1"/>
            </w14:solidFill>
          </w14:textFill>
        </w:rPr>
        <w:t>383号</w:t>
      </w:r>
    </w:p>
    <w:p>
      <w:pPr>
        <w:pStyle w:val="87"/>
        <w:ind w:firstLine="919" w:firstLineChars="383"/>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曹老师</w:t>
      </w:r>
    </w:p>
    <w:p>
      <w:pPr>
        <w:pStyle w:val="87"/>
        <w:ind w:firstLine="919" w:firstLineChars="383"/>
        <w:jc w:val="left"/>
        <w:rPr>
          <w:rFonts w:hint="eastAsia"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highlight w:val="none"/>
          <w:lang w:val="en-US" w:eastAsia="zh-CN"/>
          <w14:textFill>
            <w14:solidFill>
              <w14:schemeClr w14:val="tx1"/>
            </w14:solidFill>
          </w14:textFill>
        </w:rPr>
        <w:t>028-69330808</w:t>
      </w:r>
    </w:p>
    <w:p>
      <w:pPr>
        <w:pStyle w:val="87"/>
        <w:ind w:firstLine="894" w:firstLineChars="371"/>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四川轩辕招标代理有限公司</w:t>
      </w:r>
    </w:p>
    <w:p>
      <w:pPr>
        <w:pStyle w:val="87"/>
        <w:ind w:firstLine="919" w:firstLineChars="383"/>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bCs/>
          <w:color w:val="000000" w:themeColor="text1"/>
          <w:sz w:val="24"/>
          <w14:textFill>
            <w14:solidFill>
              <w14:schemeClr w14:val="tx1"/>
            </w14:solidFill>
          </w14:textFill>
        </w:rPr>
        <w:t>成都市锦江区墨香路87号8栋4楼</w:t>
      </w:r>
    </w:p>
    <w:p>
      <w:pPr>
        <w:pStyle w:val="87"/>
        <w:ind w:firstLine="919" w:firstLineChars="383"/>
        <w:jc w:val="left"/>
        <w:rPr>
          <w:rFonts w:hint="eastAsia" w:ascii="宋体" w:hAnsi="宋体" w:eastAsia="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highlight w:val="none"/>
          <w:lang w:eastAsia="zh-CN"/>
          <w14:textFill>
            <w14:solidFill>
              <w14:schemeClr w14:val="tx1"/>
            </w14:solidFill>
          </w14:textFill>
        </w:rPr>
        <w:t>袁</w:t>
      </w:r>
      <w:r>
        <w:rPr>
          <w:rFonts w:hint="eastAsia" w:ascii="宋体" w:hAnsi="宋体" w:eastAsia="宋体" w:cs="宋体"/>
          <w:color w:val="000000" w:themeColor="text1"/>
          <w:sz w:val="24"/>
          <w:highlight w:val="none"/>
          <w14:textFill>
            <w14:solidFill>
              <w14:schemeClr w14:val="tx1"/>
            </w14:solidFill>
          </w14:textFill>
        </w:rPr>
        <w:t>老师</w:t>
      </w:r>
    </w:p>
    <w:p>
      <w:pPr>
        <w:pStyle w:val="87"/>
        <w:ind w:firstLine="919" w:firstLineChars="3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bookmarkStart w:id="3" w:name="_Toc490290179"/>
      <w:bookmarkStart w:id="4" w:name="_Toc213396759"/>
      <w:bookmarkStart w:id="5" w:name="_Toc217446031"/>
      <w:bookmarkStart w:id="6" w:name="_Toc213397009"/>
      <w:bookmarkStart w:id="7" w:name="_Toc213496267"/>
      <w:bookmarkStart w:id="8" w:name="_Toc213396945"/>
      <w:r>
        <w:rPr>
          <w:rFonts w:hint="eastAsia" w:ascii="宋体" w:hAnsi="宋体" w:eastAsia="宋体" w:cs="宋体"/>
          <w:color w:val="000000" w:themeColor="text1"/>
          <w:sz w:val="24"/>
          <w14:textFill>
            <w14:solidFill>
              <w14:schemeClr w14:val="tx1"/>
            </w14:solidFill>
          </w14:textFill>
        </w:rPr>
        <w:t>028-65731881</w:t>
      </w:r>
    </w:p>
    <w:p>
      <w:pPr>
        <w:pStyle w:val="32"/>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9" w:name="_Toc12026"/>
      <w:bookmarkStart w:id="10" w:name="_Toc16547"/>
      <w:r>
        <w:rPr>
          <w:rFonts w:hint="eastAsia" w:ascii="宋体" w:hAnsi="宋体" w:eastAsia="宋体" w:cs="宋体"/>
          <w:color w:val="000000" w:themeColor="text1"/>
          <w14:textFill>
            <w14:solidFill>
              <w14:schemeClr w14:val="tx1"/>
            </w14:solidFill>
          </w14:textFill>
        </w:rPr>
        <w:t>第二章  投标人须知</w:t>
      </w:r>
      <w:bookmarkEnd w:id="3"/>
      <w:bookmarkEnd w:id="9"/>
      <w:bookmarkEnd w:id="10"/>
    </w:p>
    <w:p>
      <w:pPr>
        <w:pStyle w:val="4"/>
        <w:spacing w:line="360" w:lineRule="auto"/>
        <w:rPr>
          <w:rFonts w:hint="eastAsia" w:ascii="宋体" w:hAnsi="宋体" w:eastAsia="宋体" w:cs="宋体"/>
          <w:b/>
          <w:color w:val="000000" w:themeColor="text1"/>
          <w14:textFill>
            <w14:solidFill>
              <w14:schemeClr w14:val="tx1"/>
            </w14:solidFill>
          </w14:textFill>
        </w:rPr>
      </w:pPr>
      <w:bookmarkStart w:id="11" w:name="_Toc490290180"/>
      <w:bookmarkStart w:id="12" w:name="_Toc15053"/>
      <w:bookmarkStart w:id="13" w:name="_Toc30143"/>
      <w:r>
        <w:rPr>
          <w:rFonts w:hint="eastAsia" w:ascii="宋体" w:hAnsi="宋体" w:eastAsia="宋体" w:cs="宋体"/>
          <w:b/>
          <w:color w:val="000000" w:themeColor="text1"/>
          <w14:textFill>
            <w14:solidFill>
              <w14:schemeClr w14:val="tx1"/>
            </w14:solidFill>
          </w14:textFill>
        </w:rPr>
        <w:t>一、投标人须知附表</w:t>
      </w:r>
      <w:bookmarkEnd w:id="11"/>
      <w:bookmarkEnd w:id="12"/>
      <w:bookmarkEnd w:id="13"/>
    </w:p>
    <w:tbl>
      <w:tblPr>
        <w:tblStyle w:val="35"/>
        <w:tblW w:w="912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985"/>
        <w:gridCol w:w="658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ind w:left="9"/>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985" w:type="dxa"/>
            <w:vAlign w:val="center"/>
          </w:tcPr>
          <w:p>
            <w:pPr>
              <w:autoSpaceDE w:val="0"/>
              <w:autoSpaceDN w:val="0"/>
              <w:adjustRightInd w:val="0"/>
              <w:spacing w:line="360" w:lineRule="auto"/>
              <w:ind w:left="38"/>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588" w:type="dxa"/>
            <w:vAlign w:val="center"/>
          </w:tcPr>
          <w:p>
            <w:pPr>
              <w:autoSpaceDE w:val="0"/>
              <w:autoSpaceDN w:val="0"/>
              <w:adjustRightInd w:val="0"/>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vMerge w:val="restart"/>
            <w:vAlign w:val="center"/>
          </w:tcPr>
          <w:p>
            <w:pPr>
              <w:autoSpaceDE w:val="0"/>
              <w:autoSpaceDN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985" w:type="dxa"/>
            <w:tcBorders>
              <w:bottom w:val="single" w:color="auto" w:sz="4" w:space="0"/>
            </w:tcBorders>
            <w:vAlign w:val="center"/>
          </w:tcPr>
          <w:p>
            <w:pPr>
              <w:autoSpaceDE w:val="0"/>
              <w:autoSpaceDN w:val="0"/>
              <w:adjustRightInd w:val="0"/>
              <w:spacing w:before="156" w:beforeLines="50" w:line="360" w:lineRule="auto"/>
              <w:ind w:left="4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w:t>
            </w:r>
          </w:p>
          <w:p>
            <w:pPr>
              <w:autoSpaceDE w:val="0"/>
              <w:autoSpaceDN w:val="0"/>
              <w:adjustRightInd w:val="0"/>
              <w:spacing w:line="360" w:lineRule="auto"/>
              <w:ind w:left="38"/>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（实质性要求）</w:t>
            </w:r>
          </w:p>
        </w:tc>
        <w:tc>
          <w:tcPr>
            <w:tcW w:w="658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采购预算：</w:t>
            </w:r>
            <w:r>
              <w:rPr>
                <w:rFonts w:hint="eastAsia" w:ascii="宋体" w:hAnsi="宋体" w:eastAsia="宋体" w:cs="宋体"/>
                <w:color w:val="000000" w:themeColor="text1"/>
                <w:kern w:val="0"/>
                <w:szCs w:val="21"/>
                <w:lang w:val="en-US" w:eastAsia="zh-CN"/>
                <w14:textFill>
                  <w14:solidFill>
                    <w14:schemeClr w14:val="tx1"/>
                  </w14:solidFill>
                </w14:textFill>
              </w:rPr>
              <w:t>275.78</w:t>
            </w:r>
            <w:r>
              <w:rPr>
                <w:rFonts w:hint="eastAsia" w:ascii="宋体" w:hAnsi="宋体" w:eastAsia="宋体" w:cs="宋体"/>
                <w:color w:val="000000" w:themeColor="text1"/>
                <w:kern w:val="0"/>
                <w:szCs w:val="21"/>
                <w14:textFill>
                  <w14:solidFill>
                    <w14:schemeClr w14:val="tx1"/>
                  </w14:solidFill>
                </w14:textFill>
              </w:rPr>
              <w:t>万元。（其中第一包：</w:t>
            </w:r>
            <w:r>
              <w:rPr>
                <w:rFonts w:hint="eastAsia" w:ascii="宋体" w:hAnsi="宋体" w:eastAsia="宋体" w:cs="宋体"/>
                <w:color w:val="000000" w:themeColor="text1"/>
                <w:kern w:val="0"/>
                <w:szCs w:val="21"/>
                <w:lang w:val="en-US" w:eastAsia="zh-CN"/>
                <w14:textFill>
                  <w14:solidFill>
                    <w14:schemeClr w14:val="tx1"/>
                  </w14:solidFill>
                </w14:textFill>
              </w:rPr>
              <w:t>70</w:t>
            </w:r>
            <w:r>
              <w:rPr>
                <w:rFonts w:hint="eastAsia" w:ascii="宋体" w:hAnsi="宋体" w:eastAsia="宋体" w:cs="宋体"/>
                <w:color w:val="000000" w:themeColor="text1"/>
                <w:kern w:val="0"/>
                <w:szCs w:val="21"/>
                <w14:textFill>
                  <w14:solidFill>
                    <w14:schemeClr w14:val="tx1"/>
                  </w14:solidFill>
                </w14:textFill>
              </w:rPr>
              <w:t>万元，第二包：</w:t>
            </w:r>
            <w:r>
              <w:rPr>
                <w:rFonts w:hint="eastAsia" w:ascii="宋体" w:hAnsi="宋体" w:eastAsia="宋体" w:cs="宋体"/>
                <w:color w:val="000000" w:themeColor="text1"/>
                <w:kern w:val="0"/>
                <w:szCs w:val="21"/>
                <w:lang w:val="en-US" w:eastAsia="zh-CN"/>
                <w14:textFill>
                  <w14:solidFill>
                    <w14:schemeClr w14:val="tx1"/>
                  </w14:solidFill>
                </w14:textFill>
              </w:rPr>
              <w:t>85</w:t>
            </w:r>
            <w:r>
              <w:rPr>
                <w:rFonts w:hint="eastAsia" w:ascii="宋体" w:hAnsi="宋体" w:eastAsia="宋体" w:cs="宋体"/>
                <w:color w:val="000000" w:themeColor="text1"/>
                <w:kern w:val="0"/>
                <w:szCs w:val="21"/>
                <w14:textFill>
                  <w14:solidFill>
                    <w14:schemeClr w14:val="tx1"/>
                  </w14:solidFill>
                </w14:textFill>
              </w:rPr>
              <w:t>万元，第三包：</w:t>
            </w:r>
            <w:r>
              <w:rPr>
                <w:rFonts w:hint="eastAsia" w:ascii="宋体" w:hAnsi="宋体" w:eastAsia="宋体" w:cs="宋体"/>
                <w:color w:val="000000" w:themeColor="text1"/>
                <w:kern w:val="0"/>
                <w:szCs w:val="21"/>
                <w:lang w:val="en-US" w:eastAsia="zh-CN"/>
                <w14:textFill>
                  <w14:solidFill>
                    <w14:schemeClr w14:val="tx1"/>
                  </w14:solidFill>
                </w14:textFill>
              </w:rPr>
              <w:t>70</w:t>
            </w:r>
            <w:r>
              <w:rPr>
                <w:rFonts w:hint="eastAsia" w:ascii="宋体" w:hAnsi="宋体" w:eastAsia="宋体" w:cs="宋体"/>
                <w:color w:val="000000" w:themeColor="text1"/>
                <w:kern w:val="0"/>
                <w:szCs w:val="21"/>
                <w14:textFill>
                  <w14:solidFill>
                    <w14:schemeClr w14:val="tx1"/>
                  </w14:solidFill>
                </w14:textFill>
              </w:rPr>
              <w:t>元，第四包：</w:t>
            </w:r>
            <w:r>
              <w:rPr>
                <w:rFonts w:hint="eastAsia" w:ascii="宋体" w:hAnsi="宋体" w:eastAsia="宋体" w:cs="宋体"/>
                <w:color w:val="000000" w:themeColor="text1"/>
                <w:kern w:val="0"/>
                <w:szCs w:val="21"/>
                <w:lang w:val="en-US" w:eastAsia="zh-CN"/>
                <w14:textFill>
                  <w14:solidFill>
                    <w14:schemeClr w14:val="tx1"/>
                  </w14:solidFill>
                </w14:textFill>
              </w:rPr>
              <w:t>30.</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万元</w:t>
            </w:r>
            <w:r>
              <w:rPr>
                <w:rFonts w:hint="eastAsia" w:ascii="宋体" w:hAnsi="宋体" w:eastAsia="宋体" w:cs="宋体"/>
                <w:color w:val="000000" w:themeColor="text1"/>
                <w:kern w:val="0"/>
                <w:szCs w:val="21"/>
                <w:lang w:eastAsia="zh-CN"/>
                <w14:textFill>
                  <w14:solidFill>
                    <w14:schemeClr w14:val="tx1"/>
                  </w14:solidFill>
                </w14:textFill>
              </w:rPr>
              <w:t>，第五包：</w:t>
            </w:r>
            <w:r>
              <w:rPr>
                <w:rFonts w:hint="eastAsia" w:ascii="宋体" w:hAnsi="宋体" w:eastAsia="宋体" w:cs="宋体"/>
                <w:color w:val="000000" w:themeColor="text1"/>
                <w:kern w:val="0"/>
                <w:szCs w:val="21"/>
                <w:lang w:val="en-US" w:eastAsia="zh-CN"/>
                <w14:textFill>
                  <w14:solidFill>
                    <w14:schemeClr w14:val="tx1"/>
                  </w14:solidFill>
                </w14:textFill>
              </w:rPr>
              <w:t>20万元</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Merge w:val="continue"/>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1985" w:type="dxa"/>
            <w:tcBorders>
              <w:top w:val="single" w:color="auto" w:sz="4" w:space="0"/>
            </w:tcBorders>
            <w:vAlign w:val="center"/>
          </w:tcPr>
          <w:p>
            <w:pPr>
              <w:autoSpaceDE w:val="0"/>
              <w:autoSpaceDN w:val="0"/>
              <w:adjustRightInd w:val="0"/>
              <w:spacing w:before="156" w:beforeLines="50"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最高限价</w:t>
            </w:r>
          </w:p>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（实质性要求）</w:t>
            </w:r>
          </w:p>
        </w:tc>
        <w:tc>
          <w:tcPr>
            <w:tcW w:w="658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本项目最高限价为单价限价，（其中第一包：</w:t>
            </w:r>
            <w:r>
              <w:rPr>
                <w:rFonts w:hint="eastAsia" w:ascii="宋体" w:hAnsi="宋体" w:eastAsia="宋体" w:cs="宋体"/>
                <w:color w:val="000000" w:themeColor="text1"/>
                <w:kern w:val="0"/>
                <w:szCs w:val="21"/>
                <w:lang w:val="en-US" w:eastAsia="zh-CN"/>
                <w14:textFill>
                  <w14:solidFill>
                    <w14:schemeClr w14:val="tx1"/>
                  </w14:solidFill>
                </w14:textFill>
              </w:rPr>
              <w:t>35</w:t>
            </w:r>
            <w:r>
              <w:rPr>
                <w:rFonts w:hint="eastAsia" w:ascii="宋体" w:hAnsi="宋体" w:eastAsia="宋体" w:cs="宋体"/>
                <w:color w:val="000000" w:themeColor="text1"/>
                <w:kern w:val="0"/>
                <w:szCs w:val="21"/>
                <w14:textFill>
                  <w14:solidFill>
                    <w14:schemeClr w14:val="tx1"/>
                  </w14:solidFill>
                </w14:textFill>
              </w:rPr>
              <w:t>万元，第二包：</w:t>
            </w:r>
            <w:r>
              <w:rPr>
                <w:rFonts w:hint="eastAsia" w:ascii="宋体" w:hAnsi="宋体" w:eastAsia="宋体" w:cs="宋体"/>
                <w:color w:val="000000" w:themeColor="text1"/>
                <w:kern w:val="0"/>
                <w:szCs w:val="21"/>
                <w:lang w:val="en-US" w:eastAsia="zh-CN"/>
                <w14:textFill>
                  <w14:solidFill>
                    <w14:schemeClr w14:val="tx1"/>
                  </w14:solidFill>
                </w14:textFill>
              </w:rPr>
              <w:t>40</w:t>
            </w:r>
            <w:r>
              <w:rPr>
                <w:rFonts w:hint="eastAsia" w:ascii="宋体" w:hAnsi="宋体" w:eastAsia="宋体" w:cs="宋体"/>
                <w:color w:val="000000" w:themeColor="text1"/>
                <w:kern w:val="0"/>
                <w:szCs w:val="21"/>
                <w14:textFill>
                  <w14:solidFill>
                    <w14:schemeClr w14:val="tx1"/>
                  </w14:solidFill>
                </w14:textFill>
              </w:rPr>
              <w:t>万元，第三包：</w:t>
            </w:r>
            <w:r>
              <w:rPr>
                <w:rFonts w:hint="eastAsia" w:ascii="宋体" w:hAnsi="宋体" w:eastAsia="宋体" w:cs="宋体"/>
                <w:color w:val="000000" w:themeColor="text1"/>
                <w:kern w:val="0"/>
                <w:szCs w:val="21"/>
                <w:lang w:val="en-US" w:eastAsia="zh-CN"/>
                <w14:textFill>
                  <w14:solidFill>
                    <w14:schemeClr w14:val="tx1"/>
                  </w14:solidFill>
                </w14:textFill>
              </w:rPr>
              <w:t>36</w:t>
            </w:r>
            <w:r>
              <w:rPr>
                <w:rFonts w:hint="eastAsia" w:ascii="宋体" w:hAnsi="宋体" w:eastAsia="宋体" w:cs="宋体"/>
                <w:color w:val="000000" w:themeColor="text1"/>
                <w:kern w:val="0"/>
                <w:szCs w:val="21"/>
                <w14:textFill>
                  <w14:solidFill>
                    <w14:schemeClr w14:val="tx1"/>
                  </w14:solidFill>
                </w14:textFill>
              </w:rPr>
              <w:t>万元，第四包：</w:t>
            </w:r>
            <w:r>
              <w:rPr>
                <w:rFonts w:hint="eastAsia" w:ascii="宋体" w:hAnsi="宋体" w:eastAsia="宋体" w:cs="宋体"/>
                <w:color w:val="000000" w:themeColor="text1"/>
                <w:kern w:val="0"/>
                <w:szCs w:val="21"/>
                <w:lang w:val="en-US" w:eastAsia="zh-CN"/>
                <w14:textFill>
                  <w14:solidFill>
                    <w14:schemeClr w14:val="tx1"/>
                  </w14:solidFill>
                </w14:textFill>
              </w:rPr>
              <w:t>24.8</w:t>
            </w:r>
            <w:r>
              <w:rPr>
                <w:rFonts w:hint="eastAsia" w:ascii="宋体" w:hAnsi="宋体" w:eastAsia="宋体" w:cs="宋体"/>
                <w:color w:val="000000" w:themeColor="text1"/>
                <w:kern w:val="0"/>
                <w:szCs w:val="21"/>
                <w14:textFill>
                  <w14:solidFill>
                    <w14:schemeClr w14:val="tx1"/>
                  </w14:solidFill>
                </w14:textFill>
              </w:rPr>
              <w:t>万元</w:t>
            </w:r>
            <w:r>
              <w:rPr>
                <w:rFonts w:hint="eastAsia" w:ascii="宋体" w:hAnsi="宋体" w:eastAsia="宋体" w:cs="宋体"/>
                <w:color w:val="000000" w:themeColor="text1"/>
                <w:kern w:val="0"/>
                <w:szCs w:val="21"/>
                <w:lang w:eastAsia="zh-CN"/>
                <w14:textFill>
                  <w14:solidFill>
                    <w14:schemeClr w14:val="tx1"/>
                  </w14:solidFill>
                </w14:textFill>
              </w:rPr>
              <w:t>，第五包：</w:t>
            </w:r>
            <w:r>
              <w:rPr>
                <w:rFonts w:hint="eastAsia" w:ascii="宋体" w:hAnsi="宋体" w:eastAsia="宋体" w:cs="宋体"/>
                <w:color w:val="000000" w:themeColor="text1"/>
                <w:kern w:val="0"/>
                <w:szCs w:val="21"/>
                <w:lang w:val="en-US" w:eastAsia="zh-CN"/>
                <w14:textFill>
                  <w14:solidFill>
                    <w14:schemeClr w14:val="tx1"/>
                  </w14:solidFill>
                </w14:textFill>
              </w:rPr>
              <w:t>5万元</w:t>
            </w:r>
            <w:r>
              <w:rPr>
                <w:rFonts w:hint="eastAsia" w:ascii="宋体" w:hAnsi="宋体" w:eastAsia="宋体" w:cs="宋体"/>
                <w:color w:val="000000" w:themeColor="text1"/>
                <w:kern w:val="0"/>
                <w:szCs w:val="21"/>
                <w14:textFill>
                  <w14:solidFill>
                    <w14:schemeClr w14:val="tx1"/>
                  </w14:solidFill>
                </w14:textFill>
              </w:rPr>
              <w:t>）。各单价限价详见招标文件第六章采购清单，超过最高限价的报价为无效报价。（同时投标人报出总价，并以总价进行价格评审）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74" w:hRule="atLeast"/>
          <w:jc w:val="center"/>
        </w:trPr>
        <w:tc>
          <w:tcPr>
            <w:tcW w:w="547" w:type="dxa"/>
            <w:tcBorders>
              <w:bottom w:val="single" w:color="auto" w:sz="4" w:space="0"/>
            </w:tcBorders>
            <w:vAlign w:val="center"/>
          </w:tcPr>
          <w:p>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985" w:type="dxa"/>
            <w:tcBorders>
              <w:top w:val="single" w:color="auto" w:sz="4" w:space="0"/>
              <w:bottom w:val="single" w:color="auto" w:sz="4" w:space="0"/>
            </w:tcBorders>
            <w:vAlign w:val="center"/>
          </w:tcPr>
          <w:p>
            <w:pPr>
              <w:autoSpaceDE w:val="0"/>
              <w:autoSpaceDN w:val="0"/>
              <w:adjustRightInd w:val="0"/>
              <w:spacing w:before="156" w:beforeLines="50" w:line="360" w:lineRule="auto"/>
              <w:ind w:left="40"/>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不正当</w:t>
            </w:r>
          </w:p>
          <w:p>
            <w:pPr>
              <w:autoSpaceDE w:val="0"/>
              <w:autoSpaceDN w:val="0"/>
              <w:adjustRightInd w:val="0"/>
              <w:spacing w:before="156" w:beforeLines="50" w:line="360" w:lineRule="auto"/>
              <w:ind w:left="40"/>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竞争预防措施</w:t>
            </w:r>
          </w:p>
          <w:p>
            <w:pPr>
              <w:autoSpaceDE w:val="0"/>
              <w:autoSpaceDN w:val="0"/>
              <w:adjustRightInd w:val="0"/>
              <w:spacing w:before="156" w:beforeLines="50" w:line="360" w:lineRule="auto"/>
              <w:ind w:left="40"/>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（实质性要求）</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bookmarkStart w:id="14" w:name="PO_默认文件内容_1"/>
            <w:r>
              <w:rPr>
                <w:rFonts w:hint="eastAsia" w:ascii="宋体" w:hAnsi="宋体" w:eastAsia="宋体" w:cs="宋体"/>
                <w:color w:val="000000" w:themeColor="text1"/>
                <w:kern w:val="0"/>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
            <w:r>
              <w:rPr>
                <w:rFonts w:hint="eastAsia" w:ascii="宋体" w:hAnsi="宋体" w:eastAsia="宋体" w:cs="宋体"/>
                <w:color w:val="000000" w:themeColor="text1"/>
                <w:kern w:val="0"/>
                <w:szCs w:val="21"/>
                <w14:textFill>
                  <w14:solidFill>
                    <w14:schemeClr w14:val="tx1"/>
                  </w14:solidFill>
                </w14:textFill>
              </w:rPr>
              <w:t>注：</w:t>
            </w:r>
            <w:r>
              <w:rPr>
                <w:rFonts w:hint="eastAsia" w:ascii="宋体" w:hAnsi="宋体" w:eastAsia="宋体" w:cs="宋体"/>
                <w:color w:val="000000" w:themeColor="text1"/>
                <w:kern w:val="0"/>
                <w:szCs w:val="21"/>
                <w:lang w:val="zh-CN"/>
                <w14:textFill>
                  <w14:solidFill>
                    <w14:schemeClr w14:val="tx1"/>
                  </w14:solidFill>
                </w14:textFill>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宋体" w:hAnsi="宋体" w:eastAsia="宋体" w:cs="宋体"/>
                <w:color w:val="000000" w:themeColor="text1"/>
                <w:kern w:val="0"/>
                <w:szCs w:val="21"/>
                <w14:textFill>
                  <w14:solidFill>
                    <w14:schemeClr w14:val="tx1"/>
                  </w14:solidFill>
                </w14:textFill>
              </w:rPr>
              <w:t>30分钟，供应商已明确表示澄清、说明完毕的除外</w:t>
            </w:r>
            <w:r>
              <w:rPr>
                <w:rFonts w:hint="eastAsia" w:ascii="宋体" w:hAnsi="宋体" w:eastAsia="宋体" w:cs="宋体"/>
                <w:color w:val="000000" w:themeColor="text1"/>
                <w:kern w:val="0"/>
                <w:szCs w:val="21"/>
                <w:lang w:val="zh-CN"/>
                <w14:textFill>
                  <w14:solidFill>
                    <w14:schemeClr w14:val="tx1"/>
                  </w14:solidFill>
                </w14:textFill>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47" w:type="dxa"/>
            <w:tcBorders>
              <w:top w:val="single" w:color="auto" w:sz="4" w:space="0"/>
            </w:tcBorders>
            <w:vAlign w:val="center"/>
          </w:tcPr>
          <w:p>
            <w:pPr>
              <w:autoSpaceDE w:val="0"/>
              <w:autoSpaceDN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w:t>
            </w:r>
          </w:p>
        </w:tc>
        <w:tc>
          <w:tcPr>
            <w:tcW w:w="1985" w:type="dxa"/>
            <w:tcBorders>
              <w:top w:val="single" w:color="auto" w:sz="4" w:space="0"/>
            </w:tcBorders>
            <w:vAlign w:val="center"/>
          </w:tcPr>
          <w:p>
            <w:pPr>
              <w:pStyle w:val="82"/>
              <w:ind w:left="38"/>
              <w:jc w:val="center"/>
              <w:rPr>
                <w:rFonts w:hint="eastAsia" w:ascii="宋体" w:hAnsi="宋体" w:eastAsia="宋体" w:cs="宋体"/>
                <w:color w:val="000000" w:themeColor="text1"/>
                <w:kern w:val="2"/>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进口产品（实质性要求）</w:t>
            </w:r>
          </w:p>
        </w:tc>
        <w:tc>
          <w:tcPr>
            <w:tcW w:w="658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spacing w:line="360" w:lineRule="auto"/>
              <w:jc w:val="cente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1985" w:type="dxa"/>
            <w:vAlign w:val="center"/>
          </w:tcPr>
          <w:p>
            <w:pPr>
              <w:autoSpaceDE w:val="0"/>
              <w:autoSpaceDN w:val="0"/>
              <w:adjustRightInd w:val="0"/>
              <w:spacing w:before="156" w:beforeLines="50" w:line="360" w:lineRule="auto"/>
              <w:ind w:left="4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小微企业（监狱企业、残疾人福利性单位视同小微企业）价格扣除</w:t>
            </w:r>
          </w:p>
        </w:tc>
        <w:tc>
          <w:tcPr>
            <w:tcW w:w="6588"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1、根据《政府采购促进中小企业发展管理办法》（财库﹝2020﹞46 号）的规定，对小型和微型企业产品（监狱企业和残疾人福利性单位视同小微企业）的价格给予10%的价格扣除，用扣除后的价格参与评审。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2、参加政府采购活动的中小企业应当提供《中小企业声明函》原件；若提供虚假《中小企业声明函》的，以提供虚假材料谋取成交予以认定。 </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3、参加政府采购活动的监狱企业应当提供省级以上监狱管理局、戒毒管理局（含新疆生产建设兵团）出具的属于监狱企业的证明文件。监狱企业属于小型、微型企业的，不重复享受政策。</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4、符合《关于促进残疾人就业政府采购政策的通知》（财库〔2017〕141 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 </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985" w:type="dxa"/>
            <w:vAlign w:val="center"/>
          </w:tcPr>
          <w:p>
            <w:pPr>
              <w:spacing w:line="360" w:lineRule="auto"/>
              <w:ind w:left="105" w:leftChars="50" w:right="105" w:rightChars="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评标情况公告</w:t>
            </w:r>
          </w:p>
        </w:tc>
        <w:tc>
          <w:tcPr>
            <w:tcW w:w="6588" w:type="dxa"/>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1985" w:type="dxa"/>
            <w:vAlign w:val="center"/>
          </w:tcPr>
          <w:p>
            <w:pPr>
              <w:autoSpaceDE w:val="0"/>
              <w:autoSpaceDN w:val="0"/>
              <w:adjustRightInd w:val="0"/>
              <w:spacing w:line="360" w:lineRule="auto"/>
              <w:ind w:left="96"/>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投标保证金</w:t>
            </w:r>
          </w:p>
        </w:tc>
        <w:tc>
          <w:tcPr>
            <w:tcW w:w="6588" w:type="dxa"/>
            <w:vAlign w:val="center"/>
          </w:tcPr>
          <w:p>
            <w:pPr>
              <w:autoSpaceDE w:val="0"/>
              <w:autoSpaceDN w:val="0"/>
              <w:adjustRightInd w:val="0"/>
              <w:spacing w:line="360" w:lineRule="auto"/>
              <w:ind w:left="105" w:leftChars="50" w:right="105" w:rightChars="5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985" w:type="dxa"/>
            <w:vAlign w:val="center"/>
          </w:tcPr>
          <w:p>
            <w:pPr>
              <w:autoSpaceDE w:val="0"/>
              <w:autoSpaceDN w:val="0"/>
              <w:adjustRightInd w:val="0"/>
              <w:spacing w:line="360" w:lineRule="auto"/>
              <w:ind w:left="105" w:leftChars="50" w:right="105" w:rightChars="50"/>
              <w:jc w:val="center"/>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履约保证金</w:t>
            </w:r>
          </w:p>
        </w:tc>
        <w:tc>
          <w:tcPr>
            <w:tcW w:w="6588" w:type="dxa"/>
            <w:vAlign w:val="center"/>
          </w:tcPr>
          <w:p>
            <w:pPr>
              <w:autoSpaceDE w:val="0"/>
              <w:autoSpaceDN w:val="0"/>
              <w:adjustRightInd w:val="0"/>
              <w:spacing w:line="360" w:lineRule="auto"/>
              <w:ind w:left="105" w:leftChars="50" w:right="105" w:rightChars="50"/>
              <w:jc w:val="left"/>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w:t>
            </w:r>
            <w:r>
              <w:rPr>
                <w:rFonts w:hint="eastAsia" w:ascii="宋体" w:hAnsi="宋体" w:eastAsia="宋体" w:cs="宋体"/>
                <w:color w:val="000000" w:themeColor="text1"/>
                <w:kern w:val="0"/>
                <w:szCs w:val="21"/>
                <w:lang w:val="zh-CN"/>
                <w14:textFill>
                  <w14:solidFill>
                    <w14:schemeClr w14:val="tx1"/>
                  </w14:solidFill>
                </w14:textFill>
              </w:rPr>
              <w:t>不收取</w:t>
            </w: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1985" w:type="dxa"/>
            <w:vAlign w:val="center"/>
          </w:tcPr>
          <w:p>
            <w:pPr>
              <w:autoSpaceDE w:val="0"/>
              <w:autoSpaceDN w:val="0"/>
              <w:adjustRightInd w:val="0"/>
              <w:spacing w:line="360" w:lineRule="auto"/>
              <w:ind w:left="96"/>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投标有效期</w:t>
            </w:r>
          </w:p>
        </w:tc>
        <w:tc>
          <w:tcPr>
            <w:tcW w:w="6588" w:type="dxa"/>
            <w:vAlign w:val="center"/>
          </w:tcPr>
          <w:p>
            <w:pPr>
              <w:autoSpaceDE w:val="0"/>
              <w:autoSpaceDN w:val="0"/>
              <w:adjustRightInd w:val="0"/>
              <w:spacing w:line="360" w:lineRule="auto"/>
              <w:ind w:right="105" w:rightChars="50" w:firstLine="105" w:firstLineChars="5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本项目投标有效期从提交投标文件的截止之日起90天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w:t>
            </w:r>
          </w:p>
        </w:tc>
        <w:tc>
          <w:tcPr>
            <w:tcW w:w="1985" w:type="dxa"/>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采购文件咨询</w:t>
            </w:r>
          </w:p>
        </w:tc>
        <w:tc>
          <w:tcPr>
            <w:tcW w:w="6588" w:type="dxa"/>
            <w:vAlign w:val="center"/>
          </w:tcPr>
          <w:p>
            <w:pPr>
              <w:spacing w:line="360" w:lineRule="auto"/>
              <w:ind w:left="105" w:leftChars="50" w:right="105" w:rightChars="5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袁</w:t>
            </w:r>
            <w:r>
              <w:rPr>
                <w:rFonts w:hint="eastAsia" w:ascii="宋体" w:hAnsi="宋体" w:eastAsia="宋体" w:cs="宋体"/>
                <w:color w:val="000000" w:themeColor="text1"/>
                <w:szCs w:val="21"/>
                <w:highlight w:val="none"/>
                <w14:textFill>
                  <w14:solidFill>
                    <w14:schemeClr w14:val="tx1"/>
                  </w14:solidFill>
                </w14:textFill>
              </w:rPr>
              <w:t xml:space="preserve">老师    </w:t>
            </w:r>
            <w:r>
              <w:rPr>
                <w:rFonts w:hint="eastAsia" w:ascii="宋体" w:hAnsi="宋体" w:eastAsia="宋体" w:cs="宋体"/>
                <w:color w:val="000000" w:themeColor="text1"/>
                <w:szCs w:val="21"/>
                <w14:textFill>
                  <w14:solidFill>
                    <w14:schemeClr w14:val="tx1"/>
                  </w14:solidFill>
                </w14:textFill>
              </w:rPr>
              <w:t xml:space="preserve">  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0</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开标、评标工作咨询</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袁</w:t>
            </w:r>
            <w:r>
              <w:rPr>
                <w:rFonts w:hint="eastAsia" w:ascii="宋体" w:hAnsi="宋体" w:eastAsia="宋体" w:cs="宋体"/>
                <w:color w:val="000000" w:themeColor="text1"/>
                <w:szCs w:val="21"/>
                <w:highlight w:val="none"/>
                <w14:textFill>
                  <w14:solidFill>
                    <w14:schemeClr w14:val="tx1"/>
                  </w14:solidFill>
                </w14:textFill>
              </w:rPr>
              <w:t xml:space="preserve">老师    </w:t>
            </w:r>
            <w:r>
              <w:rPr>
                <w:rFonts w:hint="eastAsia" w:ascii="宋体" w:hAnsi="宋体" w:eastAsia="宋体" w:cs="宋体"/>
                <w:color w:val="000000" w:themeColor="text1"/>
                <w:szCs w:val="21"/>
                <w14:textFill>
                  <w14:solidFill>
                    <w14:schemeClr w14:val="tx1"/>
                  </w14:solidFill>
                </w14:textFill>
              </w:rPr>
              <w:t xml:space="preserve">  联系电话：028-65731881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供应商询问</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根据委托代理协议约定，关于采购需求方面的询问由采购人负责答复，其他方面的询问由四川轩辕招标代理有限公司负责接收和处理。</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w:t>
            </w:r>
            <w:r>
              <w:rPr>
                <w:rFonts w:hint="eastAsia" w:ascii="宋体" w:hAnsi="宋体" w:eastAsia="宋体" w:cs="宋体"/>
                <w:color w:val="000000" w:themeColor="text1"/>
                <w:kern w:val="0"/>
                <w:szCs w:val="21"/>
                <w:lang w:eastAsia="zh-CN"/>
                <w14:textFill>
                  <w14:solidFill>
                    <w14:schemeClr w14:val="tx1"/>
                  </w14:solidFill>
                </w14:textFill>
              </w:rPr>
              <w:t>袁</w:t>
            </w:r>
            <w:r>
              <w:rPr>
                <w:rFonts w:hint="eastAsia" w:ascii="宋体" w:hAnsi="宋体" w:eastAsia="宋体" w:cs="宋体"/>
                <w:color w:val="000000" w:themeColor="text1"/>
                <w:kern w:val="0"/>
                <w:szCs w:val="21"/>
                <w14:textFill>
                  <w14:solidFill>
                    <w14:schemeClr w14:val="tx1"/>
                  </w14:solidFill>
                </w14:textFill>
              </w:rPr>
              <w:t xml:space="preserve">老师。 </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联系电话：028-65731881</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地址：成都市锦江区墨香路87号8栋4楼。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供应商质疑</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根据委托代理协议约定，关于采购需求方面的质疑由采购人负责答复，对于采购文件其他方面的质疑、采购过程的质疑、采购结果的质疑均由四川轩辕招标代理有限公司负责答复。</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w:t>
            </w:r>
            <w:r>
              <w:rPr>
                <w:rFonts w:hint="eastAsia" w:ascii="宋体" w:hAnsi="宋体" w:eastAsia="宋体" w:cs="宋体"/>
                <w:color w:val="000000" w:themeColor="text1"/>
                <w:kern w:val="0"/>
                <w:szCs w:val="21"/>
                <w:lang w:eastAsia="zh-CN"/>
                <w14:textFill>
                  <w14:solidFill>
                    <w14:schemeClr w14:val="tx1"/>
                  </w14:solidFill>
                </w14:textFill>
              </w:rPr>
              <w:t>袁</w:t>
            </w:r>
            <w:r>
              <w:rPr>
                <w:rFonts w:hint="eastAsia" w:ascii="宋体" w:hAnsi="宋体" w:eastAsia="宋体" w:cs="宋体"/>
                <w:color w:val="000000" w:themeColor="text1"/>
                <w:kern w:val="0"/>
                <w:szCs w:val="21"/>
                <w14:textFill>
                  <w14:solidFill>
                    <w14:schemeClr w14:val="tx1"/>
                  </w14:solidFill>
                </w14:textFill>
              </w:rPr>
              <w:t xml:space="preserve">老师。 </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联系电话：028-65731881。</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地址：成都市锦江区墨香路87号8栋4楼。</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根据《中华人民共和国政府采购法》的规定，①供应商质疑不得超出采购文件、采购过程、采购结果的范围。②供应商提出的质疑应当提交质疑函和必要的证明材料。③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3</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供应商投诉</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投诉受理单位：</w:t>
            </w:r>
            <w:r>
              <w:rPr>
                <w:rFonts w:hint="eastAsia" w:ascii="宋体" w:hAnsi="宋体" w:eastAsia="宋体" w:cs="宋体"/>
                <w:color w:val="000000" w:themeColor="text1"/>
                <w:kern w:val="0"/>
                <w:szCs w:val="21"/>
                <w:lang w:eastAsia="zh-CN"/>
                <w14:textFill>
                  <w14:solidFill>
                    <w14:schemeClr w14:val="tx1"/>
                  </w14:solidFill>
                </w14:textFill>
              </w:rPr>
              <w:t>龙泉区</w:t>
            </w:r>
            <w:r>
              <w:rPr>
                <w:rFonts w:hint="eastAsia" w:ascii="宋体" w:hAnsi="宋体" w:eastAsia="宋体" w:cs="宋体"/>
                <w:color w:val="000000" w:themeColor="text1"/>
                <w:kern w:val="0"/>
                <w:szCs w:val="21"/>
                <w14:textFill>
                  <w14:solidFill>
                    <w14:schemeClr w14:val="tx1"/>
                  </w14:solidFill>
                </w14:textFill>
              </w:rPr>
              <w:t>财政局</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联系电话：028-84636986</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地址：龙泉驿区中街117号</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根据《中华人民共和国政府采购法实施条例》及中华人民共和国财政部令第94号《政府采购质疑和投诉》办法等的规定，①供应商投诉事项不得超出已质疑事项的范围。②投诉人投诉时，应当提交投诉书和必要的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政府采购合同</w:t>
            </w:r>
          </w:p>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公告备案</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政府采购合同签订之日起2个工作日内，采购人将政府采购合同在四川政府采购网公告；政府采购合同签订之日起七个工作日内，采购人将政府采购合同送同级财政部门备案。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节能、环保及无线局域网产品政府采购政策</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一、节能、环保产品政府采购政策：</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2、本项目采购的产品属于品目清单强制采购范围的，供应商应按上述要求提供产品认证证书</w:t>
            </w:r>
            <w:r>
              <w:rPr>
                <w:rFonts w:hint="eastAsia" w:ascii="宋体" w:hAnsi="宋体" w:cs="宋体"/>
                <w:color w:val="000000" w:themeColor="text1"/>
                <w:kern w:val="0"/>
                <w:sz w:val="21"/>
                <w:szCs w:val="21"/>
                <w:lang w:val="zh-CN" w:eastAsia="zh-CN" w:bidi="ar-SA"/>
                <w14:textFill>
                  <w14:solidFill>
                    <w14:schemeClr w14:val="tx1"/>
                  </w14:solidFill>
                </w14:textFill>
              </w:rPr>
              <w:t>复印件</w:t>
            </w:r>
            <w:r>
              <w:rPr>
                <w:rFonts w:hint="eastAsia" w:ascii="宋体" w:hAnsi="宋体" w:eastAsia="宋体" w:cs="宋体"/>
                <w:color w:val="000000" w:themeColor="text1"/>
                <w:kern w:val="0"/>
                <w:sz w:val="21"/>
                <w:szCs w:val="21"/>
                <w:lang w:val="zh-CN" w:eastAsia="zh-CN" w:bidi="ar-SA"/>
                <w14:textFill>
                  <w14:solidFill>
                    <w14:schemeClr w14:val="tx1"/>
                  </w14:solidFill>
                </w14:textFill>
              </w:rPr>
              <w:t>加盖投标人电子签章，否则投标无效。（实质性要求）</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3、本项目采购的产品属于品目清单优先采购范围的，按照第七章《综合评分明细表》的规则进行加分。</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二、无线局域网产品政府采购政策</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本项目采购的产品属于中国政府采购网公布的《无线局域网认证产品政府采购清单》的，将按照第七章《综合评分明细表》的规则进行加分。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6</w:t>
            </w:r>
          </w:p>
        </w:tc>
        <w:tc>
          <w:tcPr>
            <w:tcW w:w="1985" w:type="dxa"/>
            <w:tcBorders>
              <w:top w:val="single" w:color="auto" w:sz="4" w:space="0"/>
              <w:bottom w:val="single" w:color="auto" w:sz="4" w:space="0"/>
            </w:tcBorders>
            <w:vAlign w:val="center"/>
          </w:tcPr>
          <w:p>
            <w:pPr>
              <w:spacing w:line="360" w:lineRule="auto"/>
              <w:ind w:left="105" w:leftChars="50" w:right="105" w:rightChars="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中标通知书领取</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（1）结果公告在四川政府采购网上公告后，请中标单位凭有效身份证明证件到成都市锦江区墨香路87号8栋4楼领取中标通知书。</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联系人：刘女士</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联系电话：028-65731881</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lang w:val="zh-CN" w:eastAsia="zh-CN" w:bidi="ar-SA"/>
                <w14:textFill>
                  <w14:solidFill>
                    <w14:schemeClr w14:val="tx1"/>
                  </w14:solidFill>
                </w14:textFill>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7</w:t>
            </w:r>
          </w:p>
        </w:tc>
        <w:tc>
          <w:tcPr>
            <w:tcW w:w="1985" w:type="dxa"/>
            <w:tcBorders>
              <w:top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招标代理服务费</w:t>
            </w:r>
          </w:p>
        </w:tc>
        <w:tc>
          <w:tcPr>
            <w:tcW w:w="6588"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第一包按固定价</w:t>
            </w:r>
            <w:r>
              <w:rPr>
                <w:rFonts w:hint="eastAsia" w:ascii="宋体" w:hAnsi="宋体" w:eastAsia="宋体" w:cs="宋体"/>
                <w:color w:val="000000" w:themeColor="text1"/>
                <w:kern w:val="0"/>
                <w:sz w:val="21"/>
                <w:szCs w:val="21"/>
                <w:lang w:val="en-US" w:eastAsia="zh-CN" w:bidi="ar-SA"/>
                <w14:textFill>
                  <w14:solidFill>
                    <w14:schemeClr w14:val="tx1"/>
                  </w14:solidFill>
                </w14:textFill>
              </w:rPr>
              <w:t>10000收取，第二包按固定价10000收取，第三包按固定价10000收取，第四包按固定价10000元收取，第五包按固定价6000元收取。</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收款单位：四川轩辕招标代理有限公司</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开</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zh-CN" w:eastAsia="zh-CN" w:bidi="ar-SA"/>
                <w14:textFill>
                  <w14:solidFill>
                    <w14:schemeClr w14:val="tx1"/>
                  </w14:solidFill>
                </w14:textFill>
              </w:rPr>
              <w:t>户</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lang w:val="zh-CN" w:eastAsia="zh-CN" w:bidi="ar-SA"/>
                <w14:textFill>
                  <w14:solidFill>
                    <w14:schemeClr w14:val="tx1"/>
                  </w14:solidFill>
                </w14:textFill>
              </w:rPr>
              <w:t>行：中国民生银行成都分行</w:t>
            </w:r>
          </w:p>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银行账号：677 868 681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1985" w:type="dxa"/>
            <w:tcBorders>
              <w:top w:val="single" w:color="auto" w:sz="4" w:space="0"/>
              <w:bottom w:val="single" w:color="auto" w:sz="4" w:space="0"/>
            </w:tcBorders>
            <w:vAlign w:val="center"/>
          </w:tcPr>
          <w:p>
            <w:pPr>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1"/>
                <w:szCs w:val="21"/>
                <w:lang w:val="zh-CN"/>
                <w14:textFill>
                  <w14:solidFill>
                    <w14:schemeClr w14:val="tx1"/>
                  </w14:solidFill>
                </w14:textFill>
              </w:rPr>
              <w:t>承诺提醒</w:t>
            </w:r>
          </w:p>
        </w:tc>
        <w:tc>
          <w:tcPr>
            <w:tcW w:w="6588"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left"/>
              <w:textAlignment w:val="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19</w:t>
            </w:r>
          </w:p>
        </w:tc>
        <w:tc>
          <w:tcPr>
            <w:tcW w:w="1985" w:type="dxa"/>
            <w:tcBorders>
              <w:top w:val="single" w:color="auto" w:sz="4" w:space="0"/>
              <w:bottom w:val="single" w:color="auto" w:sz="4" w:space="0"/>
            </w:tcBorders>
            <w:vAlign w:val="center"/>
          </w:tcPr>
          <w:p>
            <w:pPr>
              <w:pStyle w:val="82"/>
              <w:ind w:left="96" w:leftChars="0"/>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温馨提示</w:t>
            </w:r>
          </w:p>
        </w:tc>
        <w:tc>
          <w:tcPr>
            <w:tcW w:w="6588" w:type="dxa"/>
            <w:tcBorders>
              <w:top w:val="single" w:color="auto" w:sz="4" w:space="0"/>
              <w:bottom w:val="single" w:color="auto" w:sz="4" w:space="0"/>
            </w:tcBorders>
            <w:vAlign w:val="center"/>
          </w:tcPr>
          <w:p>
            <w:pPr>
              <w:pStyle w:val="82"/>
              <w:numPr>
                <w:ilvl w:val="0"/>
                <w:numId w:val="0"/>
              </w:numPr>
              <w:spacing w:line="360" w:lineRule="auto"/>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lang w:val="zh-CN" w:eastAsia="zh-CN" w:bidi="ar-SA"/>
                <w14:textFill>
                  <w14:solidFill>
                    <w14:schemeClr w14:val="tx1"/>
                  </w14:solidFill>
                </w14:textFill>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82"/>
              <w:spacing w:line="360" w:lineRule="auto"/>
              <w:jc w:val="both"/>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lang w:val="zh-CN" w:eastAsia="zh-CN" w:bidi="ar-SA"/>
                <w14:textFill>
                  <w14:solidFill>
                    <w14:schemeClr w14:val="tx1"/>
                  </w14:solidFill>
                </w14:textFill>
              </w:rPr>
              <w:t>政府采购云平台供应商注册地址：</w:t>
            </w:r>
          </w:p>
          <w:p>
            <w:pPr>
              <w:pStyle w:val="82"/>
              <w:spacing w:line="360" w:lineRule="auto"/>
              <w:jc w:val="both"/>
              <w:rPr>
                <w:rFonts w:hint="eastAsia" w:ascii="宋体" w:hAnsi="宋体" w:eastAsia="宋体" w:cs="宋体"/>
                <w:color w:val="000000" w:themeColor="text1"/>
                <w:kern w:val="0"/>
                <w:sz w:val="21"/>
                <w:szCs w:val="21"/>
                <w:lang w:val="zh-CN" w:eastAsia="zh-CN" w:bidi="ar-SA"/>
                <w14:textFill>
                  <w14:solidFill>
                    <w14:schemeClr w14:val="tx1"/>
                  </w14:solidFill>
                </w14:textFill>
              </w:rPr>
            </w:pPr>
            <w:r>
              <w:rPr>
                <w:rFonts w:hint="eastAsia" w:ascii="宋体" w:hAnsi="宋体" w:eastAsia="宋体" w:cs="宋体"/>
                <w:color w:val="000000" w:themeColor="text1"/>
                <w:kern w:val="0"/>
                <w:sz w:val="21"/>
                <w:szCs w:val="21"/>
                <w:lang w:val="zh-CN" w:eastAsia="zh-CN" w:bidi="ar-SA"/>
                <w14:textFill>
                  <w14:solidFill>
                    <w14:schemeClr w14:val="tx1"/>
                  </w14:solidFill>
                </w14:textFill>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20</w:t>
            </w:r>
          </w:p>
        </w:tc>
        <w:tc>
          <w:tcPr>
            <w:tcW w:w="1985" w:type="dxa"/>
            <w:tcBorders>
              <w:top w:val="single" w:color="auto" w:sz="4" w:space="0"/>
              <w:bottom w:val="single" w:color="auto" w:sz="4" w:space="0"/>
            </w:tcBorders>
            <w:vAlign w:val="center"/>
          </w:tcPr>
          <w:p>
            <w:pPr>
              <w:pStyle w:val="82"/>
              <w:ind w:left="96" w:leftChars="0"/>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kern w:val="2"/>
                <w:sz w:val="21"/>
                <w:szCs w:val="21"/>
                <w:lang w:val="zh-CN" w:eastAsia="zh-CN" w:bidi="ar-SA"/>
                <w14:textFill>
                  <w14:solidFill>
                    <w14:schemeClr w14:val="tx1"/>
                  </w14:solidFill>
                </w14:textFill>
              </w:rPr>
              <w:t>采购计划文号</w:t>
            </w:r>
          </w:p>
        </w:tc>
        <w:tc>
          <w:tcPr>
            <w:tcW w:w="6588" w:type="dxa"/>
            <w:tcBorders>
              <w:top w:val="single" w:color="auto" w:sz="4" w:space="0"/>
              <w:bottom w:val="single" w:color="auto" w:sz="4" w:space="0"/>
            </w:tcBorders>
            <w:vAlign w:val="center"/>
          </w:tcPr>
          <w:p>
            <w:pPr>
              <w:pStyle w:val="82"/>
              <w:jc w:val="both"/>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instrText xml:space="preserve"> HYPERLINK "https://pay.zcygov.cn/purchaseplan_front/" \l "/plan/list/detail?id=1000000000006646042&amp;encrypt=c2ad25cc26d4532182979e6818fe6c5a" \t "https://www.zcygov.cn/bid-inviting/purchaseFileMake/_blank" </w:instrTex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(2021)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1522</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t>号</w:t>
            </w:r>
            <w: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fldChar w:fldCharType="end"/>
            </w: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注：本附表以外关于其他内容是对供应商须知的具体补充，如有矛盾，以本附表为准。</w:t>
      </w:r>
    </w:p>
    <w:bookmarkEnd w:id="4"/>
    <w:bookmarkEnd w:id="5"/>
    <w:bookmarkEnd w:id="6"/>
    <w:bookmarkEnd w:id="7"/>
    <w:bookmarkEnd w:id="8"/>
    <w:p>
      <w:pPr>
        <w:pStyle w:val="4"/>
        <w:spacing w:line="360" w:lineRule="auto"/>
        <w:rPr>
          <w:rFonts w:hint="eastAsia" w:ascii="宋体" w:hAnsi="宋体" w:eastAsia="宋体" w:cs="宋体"/>
          <w:b/>
          <w:color w:val="000000" w:themeColor="text1"/>
          <w14:textFill>
            <w14:solidFill>
              <w14:schemeClr w14:val="tx1"/>
            </w14:solidFill>
          </w14:textFill>
        </w:rPr>
        <w:sectPr>
          <w:headerReference r:id="rId4" w:type="default"/>
          <w:footerReference r:id="rId6" w:type="default"/>
          <w:headerReference r:id="rId5" w:type="even"/>
          <w:footerReference r:id="rId7" w:type="even"/>
          <w:pgSz w:w="11906" w:h="16838"/>
          <w:pgMar w:top="1440" w:right="1474" w:bottom="1440" w:left="1474" w:header="851" w:footer="850" w:gutter="0"/>
          <w:pgNumType w:start="1"/>
          <w:cols w:space="720" w:num="1"/>
          <w:docGrid w:type="lines" w:linePitch="312" w:charSpace="0"/>
        </w:sectPr>
      </w:pPr>
      <w:bookmarkStart w:id="15" w:name="_Toc490290181"/>
      <w:bookmarkStart w:id="16" w:name="_Toc23856"/>
      <w:bookmarkStart w:id="17" w:name="_Toc32001"/>
    </w:p>
    <w:p>
      <w:pPr>
        <w:pStyle w:val="4"/>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二、总  则</w:t>
      </w:r>
      <w:bookmarkEnd w:id="15"/>
      <w:bookmarkEnd w:id="16"/>
      <w:bookmarkEnd w:id="17"/>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8" w:name="_Toc183582205"/>
      <w:bookmarkStart w:id="19" w:name="_Toc183682342"/>
      <w:bookmarkStart w:id="20" w:name="_Toc217446034"/>
      <w:bookmarkStart w:id="21" w:name="_Toc490290182"/>
      <w:r>
        <w:rPr>
          <w:rFonts w:hint="eastAsia" w:ascii="宋体" w:hAnsi="宋体" w:eastAsia="宋体" w:cs="宋体"/>
          <w:color w:val="000000" w:themeColor="text1"/>
          <w:sz w:val="24"/>
          <w:szCs w:val="24"/>
          <w14:textFill>
            <w14:solidFill>
              <w14:schemeClr w14:val="tx1"/>
            </w14:solidFill>
          </w14:textFill>
        </w:rPr>
        <w:t>1.</w:t>
      </w:r>
      <w:bookmarkEnd w:id="18"/>
      <w:bookmarkEnd w:id="19"/>
      <w:r>
        <w:rPr>
          <w:rFonts w:hint="eastAsia" w:ascii="宋体" w:hAnsi="宋体" w:eastAsia="宋体" w:cs="宋体"/>
          <w:color w:val="000000" w:themeColor="text1"/>
          <w:sz w:val="24"/>
          <w:szCs w:val="24"/>
          <w14:textFill>
            <w14:solidFill>
              <w14:schemeClr w14:val="tx1"/>
            </w14:solidFill>
          </w14:textFill>
        </w:rPr>
        <w:t xml:space="preserve"> 适用范围</w:t>
      </w:r>
      <w:bookmarkEnd w:id="20"/>
      <w:bookmarkEnd w:id="21"/>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本招标文件仅适用于本次招标采购项目。</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2" w:name="_Toc183582206"/>
      <w:bookmarkStart w:id="23" w:name="_Toc183682343"/>
      <w:bookmarkStart w:id="24" w:name="_Toc490290183"/>
      <w:bookmarkStart w:id="25" w:name="_Toc217446035"/>
      <w:r>
        <w:rPr>
          <w:rFonts w:hint="eastAsia" w:ascii="宋体" w:hAnsi="宋体" w:eastAsia="宋体" w:cs="宋体"/>
          <w:color w:val="000000" w:themeColor="text1"/>
          <w:sz w:val="24"/>
          <w:szCs w:val="24"/>
          <w14:textFill>
            <w14:solidFill>
              <w14:schemeClr w14:val="tx1"/>
            </w14:solidFill>
          </w14:textFill>
        </w:rPr>
        <w:t xml:space="preserve">2. </w:t>
      </w:r>
      <w:bookmarkEnd w:id="22"/>
      <w:bookmarkEnd w:id="23"/>
      <w:r>
        <w:rPr>
          <w:rFonts w:hint="eastAsia" w:ascii="宋体" w:hAnsi="宋体" w:eastAsia="宋体" w:cs="宋体"/>
          <w:color w:val="000000" w:themeColor="text1"/>
          <w:sz w:val="24"/>
          <w:szCs w:val="24"/>
          <w14:textFill>
            <w14:solidFill>
              <w14:schemeClr w14:val="tx1"/>
            </w14:solidFill>
          </w14:textFill>
        </w:rPr>
        <w:t>有关定义</w:t>
      </w:r>
      <w:bookmarkEnd w:id="24"/>
      <w:bookmarkEnd w:id="25"/>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“采购人”系指依法进行政府采购的国家机关、事业单位、团体组织。本招标项目的采购人是</w:t>
      </w:r>
      <w:r>
        <w:rPr>
          <w:rFonts w:hint="eastAsia" w:ascii="宋体" w:hAnsi="宋体" w:eastAsia="宋体" w:cs="宋体"/>
          <w:b/>
          <w:bCs/>
          <w:color w:val="000000" w:themeColor="text1"/>
          <w:sz w:val="24"/>
          <w:u w:val="single"/>
          <w14:textFill>
            <w14:solidFill>
              <w14:schemeClr w14:val="tx1"/>
            </w14:solidFill>
          </w14:textFill>
        </w:rPr>
        <w:t xml:space="preserve"> 成都市</w:t>
      </w:r>
      <w:r>
        <w:rPr>
          <w:rFonts w:hint="eastAsia" w:ascii="宋体" w:hAnsi="宋体" w:eastAsia="宋体" w:cs="宋体"/>
          <w:b/>
          <w:bCs/>
          <w:color w:val="000000" w:themeColor="text1"/>
          <w:sz w:val="24"/>
          <w:u w:val="single"/>
          <w:lang w:eastAsia="zh-CN"/>
          <w14:textFill>
            <w14:solidFill>
              <w14:schemeClr w14:val="tx1"/>
            </w14:solidFill>
          </w14:textFill>
        </w:rPr>
        <w:t>龙泉</w:t>
      </w:r>
      <w:r>
        <w:rPr>
          <w:rFonts w:hint="eastAsia" w:ascii="宋体" w:hAnsi="宋体" w:eastAsia="宋体" w:cs="宋体"/>
          <w:b/>
          <w:bCs/>
          <w:color w:val="000000" w:themeColor="text1"/>
          <w:sz w:val="24"/>
          <w:u w:val="single"/>
          <w14:textFill>
            <w14:solidFill>
              <w14:schemeClr w14:val="tx1"/>
            </w14:solidFill>
          </w14:textFill>
        </w:rPr>
        <w:t>区妇幼保健院</w:t>
      </w:r>
      <w:r>
        <w:rPr>
          <w:rFonts w:hint="eastAsia" w:ascii="宋体" w:hAnsi="宋体" w:eastAsia="宋体" w:cs="宋体"/>
          <w:color w:val="000000" w:themeColor="text1"/>
          <w:sz w:val="24"/>
          <w14:textFill>
            <w14:solidFill>
              <w14:schemeClr w14:val="tx1"/>
            </w14:solidFill>
          </w14:textFill>
        </w:rPr>
        <w:t>。</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“采购代理机构”系指根据采购人的委托依法办理招标事宜的采购机构。本次招标项目的采购代理机构是</w:t>
      </w:r>
      <w:r>
        <w:rPr>
          <w:rFonts w:hint="eastAsia" w:ascii="宋体" w:hAnsi="宋体" w:eastAsia="宋体" w:cs="宋体"/>
          <w:b/>
          <w:color w:val="000000" w:themeColor="text1"/>
          <w:sz w:val="24"/>
          <w:u w:val="single"/>
          <w14:textFill>
            <w14:solidFill>
              <w14:schemeClr w14:val="tx1"/>
            </w14:solidFill>
          </w14:textFill>
        </w:rPr>
        <w:t>四川轩辕招标代理有限公司</w:t>
      </w:r>
      <w:r>
        <w:rPr>
          <w:rFonts w:hint="eastAsia" w:ascii="宋体" w:hAnsi="宋体" w:eastAsia="宋体" w:cs="宋体"/>
          <w:color w:val="000000" w:themeColor="text1"/>
          <w:sz w:val="24"/>
          <w14:textFill>
            <w14:solidFill>
              <w14:schemeClr w14:val="tx1"/>
            </w14:solidFill>
          </w14:textFill>
        </w:rPr>
        <w:t>。</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“招标采购单位”系指“采购人”和“采购代理机构”的统称。</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“投标人”系指向招标人报名成功拟参加投标和向采购人提供货物及相应服务的供应商。</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“在经营活动中的重大违法记录”系指供应商因违法经营受到刑事处罚或者责令停产停业、吊销许可证或者执照、较大数额罚款等行政处罚。</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6" w:name="_Toc217390843"/>
      <w:bookmarkStart w:id="27" w:name="_Toc183682344"/>
      <w:bookmarkStart w:id="28" w:name="_Toc217446036"/>
      <w:bookmarkStart w:id="29" w:name="_Toc183582207"/>
      <w:bookmarkStart w:id="30" w:name="_Toc490290184"/>
      <w:r>
        <w:rPr>
          <w:rFonts w:hint="eastAsia" w:ascii="宋体" w:hAnsi="宋体" w:eastAsia="宋体" w:cs="宋体"/>
          <w:color w:val="000000" w:themeColor="text1"/>
          <w:sz w:val="24"/>
          <w:szCs w:val="24"/>
          <w14:textFill>
            <w14:solidFill>
              <w14:schemeClr w14:val="tx1"/>
            </w14:solidFill>
          </w14:textFill>
        </w:rPr>
        <w:t>3. 合格的投标人</w:t>
      </w:r>
      <w:bookmarkEnd w:id="26"/>
      <w:bookmarkEnd w:id="27"/>
      <w:bookmarkEnd w:id="28"/>
      <w:bookmarkEnd w:id="29"/>
      <w:r>
        <w:rPr>
          <w:rFonts w:hint="eastAsia" w:ascii="宋体" w:hAnsi="宋体" w:eastAsia="宋体" w:cs="宋体"/>
          <w:color w:val="000000" w:themeColor="text1"/>
          <w:sz w:val="24"/>
          <w:szCs w:val="24"/>
          <w14:textFill>
            <w14:solidFill>
              <w14:schemeClr w14:val="tx1"/>
            </w14:solidFill>
          </w14:textFill>
        </w:rPr>
        <w:t>（实质性要求）</w:t>
      </w:r>
      <w:bookmarkEnd w:id="30"/>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31" w:name="_Toc183582208"/>
      <w:bookmarkStart w:id="32" w:name="_Toc217446037"/>
      <w:bookmarkStart w:id="33" w:name="_Toc183682345"/>
      <w:bookmarkStart w:id="34" w:name="_Toc490290185"/>
      <w:r>
        <w:rPr>
          <w:rFonts w:hint="eastAsia" w:ascii="宋体" w:hAnsi="宋体" w:eastAsia="宋体" w:cs="宋体"/>
          <w:color w:val="000000" w:themeColor="text1"/>
          <w:sz w:val="24"/>
          <w14:textFill>
            <w14:solidFill>
              <w14:schemeClr w14:val="tx1"/>
            </w14:solidFill>
          </w14:textFill>
        </w:rPr>
        <w:t>合格的投标人应具备以下条件：</w:t>
      </w:r>
    </w:p>
    <w:p>
      <w:pPr>
        <w:tabs>
          <w:tab w:val="left" w:pos="7665"/>
        </w:tabs>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（1）本招标文件规定的供应商资格条件；</w:t>
      </w:r>
    </w:p>
    <w:p>
      <w:pPr>
        <w:tabs>
          <w:tab w:val="left" w:pos="7665"/>
        </w:tabs>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（2）遵守国家有关的法律、法规、规章和其他政策制度；</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投标费用</w:t>
      </w:r>
      <w:bookmarkEnd w:id="31"/>
      <w:bookmarkEnd w:id="32"/>
      <w:bookmarkEnd w:id="33"/>
      <w:r>
        <w:rPr>
          <w:rFonts w:hint="eastAsia" w:ascii="宋体" w:hAnsi="宋体" w:eastAsia="宋体" w:cs="宋体"/>
          <w:color w:val="000000" w:themeColor="text1"/>
          <w:sz w:val="24"/>
          <w:szCs w:val="24"/>
          <w14:textFill>
            <w14:solidFill>
              <w14:schemeClr w14:val="tx1"/>
            </w14:solidFill>
          </w14:textFill>
        </w:rPr>
        <w:t>（实质性要求）</w:t>
      </w:r>
      <w:bookmarkEnd w:id="34"/>
    </w:p>
    <w:p>
      <w:pPr>
        <w:tabs>
          <w:tab w:val="left" w:pos="7665"/>
        </w:tabs>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投标人参加投标的有关费用由投标人自行承担。</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5" w:name="_Toc490290186"/>
      <w:r>
        <w:rPr>
          <w:rFonts w:hint="eastAsia" w:ascii="宋体" w:hAnsi="宋体" w:eastAsia="宋体" w:cs="宋体"/>
          <w:color w:val="000000" w:themeColor="text1"/>
          <w:sz w:val="24"/>
          <w:szCs w:val="24"/>
          <w14:textFill>
            <w14:solidFill>
              <w14:schemeClr w14:val="tx1"/>
            </w14:solidFill>
          </w14:textFill>
        </w:rPr>
        <w:t>5.充分、公平竞争保障措施（实质性要求）</w:t>
      </w:r>
      <w:bookmarkEnd w:id="35"/>
    </w:p>
    <w:p>
      <w:pPr>
        <w:pStyle w:val="54"/>
        <w:spacing w:line="360" w:lineRule="auto"/>
        <w:ind w:left="1"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5.1 提供相同品牌产品处理</w:t>
      </w:r>
      <w:r>
        <w:rPr>
          <w:rFonts w:hint="eastAsia" w:ascii="宋体" w:hAnsi="宋体" w:eastAsia="宋体" w:cs="宋体"/>
          <w:b/>
          <w:color w:val="000000" w:themeColor="text1"/>
          <w:sz w:val="24"/>
          <w:szCs w:val="24"/>
          <w14:textFill>
            <w14:solidFill>
              <w14:schemeClr w14:val="tx1"/>
            </w14:solidFill>
          </w14:textFill>
        </w:rPr>
        <w:t>。</w:t>
      </w:r>
    </w:p>
    <w:p>
      <w:pPr>
        <w:adjustRightInd w:val="0"/>
        <w:spacing w:line="460" w:lineRule="exact"/>
        <w:ind w:left="1"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采用最低评标价法的采购项目，提供相同品牌产品的不同投标人参加同一合同项下投标的，以其中通过资格审查、符合性审查且总价最低的投标人参加评审。投标人报价相同的，由采购人以公平、择优的方式确定一个投标人参加评审，其他投标作无效处理。</w:t>
      </w:r>
    </w:p>
    <w:p>
      <w:pPr>
        <w:adjustRightInd w:val="0"/>
        <w:spacing w:line="460" w:lineRule="exact"/>
        <w:ind w:left="1"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采用综合评分法的采购项目，提供相同品牌产品的不同投标人参加同一合同项下投标的，按一家投标人计算，评审后得分最高的同品牌投标人获得中标人推荐资格；评审得分相同的，评标委员会成员采取公平、择优的方式确定一个参加评标的投标人或以抽签方式确定一个参加评标的投标人，其他投标无效。其他同品牌投标人不作为中标候选人。</w:t>
      </w:r>
    </w:p>
    <w:p>
      <w:pPr>
        <w:adjustRightInd w:val="0"/>
        <w:spacing w:line="360" w:lineRule="auto"/>
        <w:ind w:firstLine="480"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b/>
          <w:bCs/>
          <w:color w:val="000000" w:themeColor="text1"/>
          <w:sz w:val="24"/>
          <w:szCs w:val="24"/>
          <w:highlight w:val="none"/>
          <w14:textFill>
            <w14:solidFill>
              <w14:schemeClr w14:val="tx1"/>
            </w14:solidFill>
          </w14:textFill>
        </w:rPr>
        <w:t>本项目核心产品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第三包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荧光定量PCR仪</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第四包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全自动血流变测试仪</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pStyle w:val="54"/>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5.2利害关系供应商处理。</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360" w:lineRule="auto"/>
        <w:ind w:left="1"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5.3前期参与供应商处理。</w:t>
      </w:r>
      <w:r>
        <w:rPr>
          <w:rFonts w:hint="eastAsia" w:ascii="宋体" w:hAnsi="宋体" w:eastAsia="宋体" w:cs="宋体"/>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spacing w:line="360" w:lineRule="auto"/>
        <w:ind w:left="1"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5.4 利害关系代理人处理。</w:t>
      </w:r>
      <w:r>
        <w:rPr>
          <w:rFonts w:hint="eastAsia" w:ascii="宋体" w:hAnsi="宋体" w:eastAsia="宋体" w:cs="宋体"/>
          <w:color w:val="000000" w:themeColor="text1"/>
          <w:sz w:val="24"/>
          <w:szCs w:val="24"/>
          <w14:textFill>
            <w14:solidFill>
              <w14:schemeClr w14:val="tx1"/>
            </w14:solidFill>
          </w14:textFill>
        </w:rPr>
        <w:t>2家以上的供应商不得在同一合同项下的采购项目中，同时委托同一个自然人、同一家庭的人员、同一单位的人员作为其代理人，否则，其投标文件作为无效处理。</w:t>
      </w:r>
    </w:p>
    <w:p>
      <w:pPr>
        <w:pStyle w:val="4"/>
        <w:spacing w:line="360" w:lineRule="auto"/>
        <w:rPr>
          <w:rFonts w:hint="eastAsia" w:ascii="宋体" w:hAnsi="宋体" w:eastAsia="宋体" w:cs="宋体"/>
          <w:color w:val="000000" w:themeColor="text1"/>
          <w:sz w:val="24"/>
          <w14:textFill>
            <w14:solidFill>
              <w14:schemeClr w14:val="tx1"/>
            </w14:solidFill>
          </w14:textFill>
        </w:rPr>
      </w:pPr>
      <w:bookmarkStart w:id="36" w:name="_Toc77400779"/>
      <w:bookmarkStart w:id="37" w:name="_Toc183582209"/>
      <w:bookmarkStart w:id="38" w:name="_Toc217446038"/>
      <w:bookmarkStart w:id="39" w:name="_Toc89075875"/>
      <w:bookmarkStart w:id="40" w:name="_Toc490290187"/>
      <w:bookmarkStart w:id="41" w:name="_Toc1259"/>
      <w:bookmarkStart w:id="42" w:name="_Toc30630"/>
      <w:bookmarkStart w:id="43" w:name="_Toc183682346"/>
      <w:r>
        <w:rPr>
          <w:rFonts w:hint="eastAsia" w:ascii="宋体" w:hAnsi="宋体" w:eastAsia="宋体" w:cs="宋体"/>
          <w:b/>
          <w:color w:val="000000" w:themeColor="text1"/>
          <w14:textFill>
            <w14:solidFill>
              <w14:schemeClr w14:val="tx1"/>
            </w14:solidFill>
          </w14:textFill>
        </w:rPr>
        <w:t>三、招标文件</w:t>
      </w:r>
      <w:bookmarkEnd w:id="36"/>
      <w:bookmarkEnd w:id="37"/>
      <w:bookmarkEnd w:id="38"/>
      <w:bookmarkEnd w:id="39"/>
      <w:bookmarkEnd w:id="40"/>
      <w:bookmarkEnd w:id="41"/>
      <w:bookmarkEnd w:id="42"/>
      <w:bookmarkEnd w:id="43"/>
    </w:p>
    <w:p>
      <w:pPr>
        <w:pStyle w:val="7"/>
        <w:keepNext w:val="0"/>
        <w:keepLines w:val="0"/>
        <w:kinsoku w:val="0"/>
        <w:overflowPunct w:val="0"/>
        <w:autoSpaceDE w:val="0"/>
        <w:autoSpaceDN w:val="0"/>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44" w:name="_Toc490290188"/>
      <w:bookmarkStart w:id="45" w:name="_Toc183682347"/>
      <w:bookmarkStart w:id="46" w:name="_Toc183582210"/>
      <w:bookmarkStart w:id="47" w:name="_Toc217446039"/>
      <w:r>
        <w:rPr>
          <w:rFonts w:hint="eastAsia" w:ascii="宋体" w:hAnsi="宋体" w:eastAsia="宋体" w:cs="宋体"/>
          <w:color w:val="000000" w:themeColor="text1"/>
          <w:sz w:val="24"/>
          <w:szCs w:val="24"/>
          <w14:textFill>
            <w14:solidFill>
              <w14:schemeClr w14:val="tx1"/>
            </w14:solidFill>
          </w14:textFill>
        </w:rPr>
        <w:t>6．招标文件的构成</w:t>
      </w:r>
      <w:bookmarkEnd w:id="44"/>
      <w:bookmarkEnd w:id="45"/>
      <w:bookmarkEnd w:id="46"/>
      <w:bookmarkEnd w:id="47"/>
    </w:p>
    <w:p>
      <w:pPr>
        <w:tabs>
          <w:tab w:val="left" w:pos="7665"/>
        </w:tabs>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（一）投标邀请；</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（二）投标人须知；</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（三）投标文件格式；</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（四）投标人和投标产品的资格、资质性及其他类似效力要求；</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（五）投标人应当提供的资格、资质性及其他类似效力要求的相关证明材料；</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（六）招标项目技术、商务及其他要求；</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（七）评标办法；</w:t>
      </w:r>
    </w:p>
    <w:p>
      <w:pPr>
        <w:tabs>
          <w:tab w:val="left" w:pos="720"/>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（八）政府采购合同（参考）。</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48" w:name="_Toc183582211"/>
      <w:bookmarkStart w:id="49" w:name="_Toc183682348"/>
      <w:bookmarkStart w:id="50" w:name="_Toc217446040"/>
      <w:bookmarkStart w:id="51" w:name="_Toc490290189"/>
      <w:r>
        <w:rPr>
          <w:rFonts w:hint="eastAsia" w:ascii="宋体" w:hAnsi="宋体" w:eastAsia="宋体" w:cs="宋体"/>
          <w:color w:val="000000" w:themeColor="text1"/>
          <w:sz w:val="24"/>
          <w:szCs w:val="24"/>
          <w14:textFill>
            <w14:solidFill>
              <w14:schemeClr w14:val="tx1"/>
            </w14:solidFill>
          </w14:textFill>
        </w:rPr>
        <w:t>7. 招标文件的澄清</w:t>
      </w:r>
      <w:bookmarkEnd w:id="48"/>
      <w:bookmarkEnd w:id="49"/>
      <w:r>
        <w:rPr>
          <w:rFonts w:hint="eastAsia" w:ascii="宋体" w:hAnsi="宋体" w:eastAsia="宋体" w:cs="宋体"/>
          <w:color w:val="000000" w:themeColor="text1"/>
          <w:sz w:val="24"/>
          <w:szCs w:val="24"/>
          <w14:textFill>
            <w14:solidFill>
              <w14:schemeClr w14:val="tx1"/>
            </w14:solidFill>
          </w14:textFill>
        </w:rPr>
        <w:t>和修改</w:t>
      </w:r>
      <w:bookmarkEnd w:id="50"/>
      <w:bookmarkEnd w:id="51"/>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招标采购单位可以依法对招标文件进行澄清或者修改。</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更正公告通过</w:t>
      </w:r>
      <w:r>
        <w:rPr>
          <w:rFonts w:hint="eastAsia" w:ascii="宋体" w:hAnsi="宋体" w:eastAsia="宋体" w:cs="宋体"/>
          <w:color w:val="000000" w:themeColor="text1"/>
          <w:sz w:val="24"/>
          <w:lang w:eastAsia="zh-CN"/>
          <w14:textFill>
            <w14:solidFill>
              <w14:schemeClr w14:val="tx1"/>
            </w14:solidFill>
          </w14:textFill>
        </w:rPr>
        <w:t>政采云平台</w:t>
      </w:r>
      <w:r>
        <w:rPr>
          <w:rFonts w:hint="eastAsia" w:ascii="宋体" w:hAnsi="宋体" w:eastAsia="宋体" w:cs="宋体"/>
          <w:color w:val="000000" w:themeColor="text1"/>
          <w:sz w:val="24"/>
          <w14:textFill>
            <w14:solidFill>
              <w14:schemeClr w14:val="tx1"/>
            </w14:solidFill>
          </w14:textFill>
        </w:rPr>
        <w:t>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投标人认为需要对招标文件进行澄清或者修改的，可以以书面形式向招标采购单位提出申请，但招标采购单位可以决定是否采纳投标人的申请事项。</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52" w:name="_Toc490290190"/>
      <w:bookmarkStart w:id="53" w:name="_Toc217446041"/>
      <w:bookmarkStart w:id="54" w:name="_Toc208848971"/>
      <w:r>
        <w:rPr>
          <w:rFonts w:hint="eastAsia" w:ascii="宋体" w:hAnsi="宋体" w:eastAsia="宋体" w:cs="宋体"/>
          <w:color w:val="000000" w:themeColor="text1"/>
          <w:sz w:val="24"/>
          <w:szCs w:val="24"/>
          <w14:textFill>
            <w14:solidFill>
              <w14:schemeClr w14:val="tx1"/>
            </w14:solidFill>
          </w14:textFill>
        </w:rPr>
        <w:t>8. 答疑会和现场考察</w:t>
      </w:r>
      <w:bookmarkEnd w:id="52"/>
      <w:bookmarkEnd w:id="53"/>
      <w:bookmarkEnd w:id="54"/>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现场考察或标前答疑会时间：本项目不组织</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现场考察或标前答疑会地点：本项目不组织</w:t>
      </w:r>
    </w:p>
    <w:p>
      <w:pPr>
        <w:tabs>
          <w:tab w:val="left" w:pos="7665"/>
        </w:tabs>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8.2 供应商考察现场所发生的一切费用由供应商自己承担。</w:t>
      </w:r>
    </w:p>
    <w:p>
      <w:pPr>
        <w:pStyle w:val="4"/>
        <w:spacing w:line="360" w:lineRule="auto"/>
        <w:rPr>
          <w:rFonts w:hint="eastAsia" w:ascii="宋体" w:hAnsi="宋体" w:eastAsia="宋体" w:cs="宋体"/>
          <w:b/>
          <w:color w:val="000000" w:themeColor="text1"/>
          <w:sz w:val="24"/>
          <w14:textFill>
            <w14:solidFill>
              <w14:schemeClr w14:val="tx1"/>
            </w14:solidFill>
          </w14:textFill>
        </w:rPr>
      </w:pPr>
      <w:bookmarkStart w:id="55" w:name="_Toc77400780"/>
      <w:bookmarkStart w:id="56" w:name="_Toc89075876"/>
      <w:bookmarkStart w:id="57" w:name="_Toc490290191"/>
      <w:bookmarkStart w:id="58" w:name="_Toc183582214"/>
      <w:bookmarkStart w:id="59" w:name="_Toc8141"/>
      <w:bookmarkStart w:id="60" w:name="_Toc217446042"/>
      <w:bookmarkStart w:id="61" w:name="_Toc27094"/>
      <w:bookmarkStart w:id="62" w:name="_Toc183682351"/>
      <w:r>
        <w:rPr>
          <w:rFonts w:hint="eastAsia" w:ascii="宋体" w:hAnsi="宋体" w:eastAsia="宋体" w:cs="宋体"/>
          <w:b/>
          <w:color w:val="000000" w:themeColor="text1"/>
          <w14:textFill>
            <w14:solidFill>
              <w14:schemeClr w14:val="tx1"/>
            </w14:solidFill>
          </w14:textFill>
        </w:rPr>
        <w:t>四、投标文件</w:t>
      </w:r>
      <w:bookmarkEnd w:id="55"/>
      <w:bookmarkEnd w:id="56"/>
      <w:bookmarkEnd w:id="57"/>
      <w:bookmarkEnd w:id="58"/>
      <w:bookmarkEnd w:id="59"/>
      <w:bookmarkEnd w:id="60"/>
      <w:bookmarkEnd w:id="61"/>
      <w:bookmarkEnd w:id="62"/>
    </w:p>
    <w:p>
      <w:pPr>
        <w:pStyle w:val="7"/>
        <w:spacing w:line="360" w:lineRule="auto"/>
        <w:ind w:firstLine="482" w:firstLineChars="200"/>
        <w:rPr>
          <w:rFonts w:hint="eastAsia" w:ascii="宋体" w:hAnsi="宋体" w:eastAsia="宋体" w:cs="宋体"/>
          <w:bCs w:val="0"/>
          <w:color w:val="000000" w:themeColor="text1"/>
          <w:sz w:val="24"/>
          <w:szCs w:val="24"/>
          <w14:textFill>
            <w14:solidFill>
              <w14:schemeClr w14:val="tx1"/>
            </w14:solidFill>
          </w14:textFill>
        </w:rPr>
      </w:pPr>
      <w:bookmarkStart w:id="63" w:name="_Toc183682352"/>
      <w:bookmarkStart w:id="64" w:name="_Toc217446043"/>
      <w:bookmarkStart w:id="65" w:name="_Toc183582215"/>
      <w:bookmarkStart w:id="66" w:name="_Toc490290192"/>
      <w:r>
        <w:rPr>
          <w:rFonts w:hint="eastAsia" w:ascii="宋体" w:hAnsi="宋体" w:eastAsia="宋体" w:cs="宋体"/>
          <w:bCs w:val="0"/>
          <w:color w:val="000000" w:themeColor="text1"/>
          <w:sz w:val="24"/>
          <w:szCs w:val="24"/>
          <w14:textFill>
            <w14:solidFill>
              <w14:schemeClr w14:val="tx1"/>
            </w14:solidFill>
          </w14:textFill>
        </w:rPr>
        <w:t>9．投标文件的语言</w:t>
      </w:r>
      <w:bookmarkEnd w:id="63"/>
      <w:bookmarkEnd w:id="64"/>
      <w:bookmarkEnd w:id="65"/>
      <w:r>
        <w:rPr>
          <w:rFonts w:hint="eastAsia" w:ascii="宋体" w:hAnsi="宋体" w:eastAsia="宋体" w:cs="宋体"/>
          <w:color w:val="000000" w:themeColor="text1"/>
          <w:sz w:val="24"/>
          <w:szCs w:val="24"/>
          <w14:textFill>
            <w14:solidFill>
              <w14:schemeClr w14:val="tx1"/>
            </w14:solidFill>
          </w14:textFill>
        </w:rPr>
        <w:t>（实质性要求）</w:t>
      </w:r>
      <w:bookmarkEnd w:id="66"/>
    </w:p>
    <w:p>
      <w:pPr>
        <w:tabs>
          <w:tab w:val="left" w:pos="1134"/>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bookmarkStart w:id="67" w:name="_Toc217446044"/>
      <w:bookmarkStart w:id="68" w:name="_Toc183682353"/>
      <w:bookmarkStart w:id="69" w:name="_Toc183582216"/>
      <w:r>
        <w:rPr>
          <w:rFonts w:hint="eastAsia" w:ascii="宋体" w:hAnsi="宋体" w:eastAsia="宋体" w:cs="宋体"/>
          <w:color w:val="000000" w:themeColor="text1"/>
          <w:sz w:val="24"/>
          <w14:textFill>
            <w14:solidFill>
              <w14:schemeClr w14:val="tx1"/>
            </w14:solidFill>
          </w14:textFill>
        </w:rPr>
        <w:t>9.1 投标人提交的投标文件以及投标人与招标采购单位就有关投标的所有来往书面文件均须使用中文。投标文件中如附有外文资料，必须逐一对应翻译成中文并加盖投标人电子签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翻译的中文资料与外文资料如果出现差异和矛盾时，以中文为准。涉嫌虚假响应的按照相关法律法规处理。</w:t>
      </w:r>
    </w:p>
    <w:p>
      <w:pPr>
        <w:tabs>
          <w:tab w:val="left" w:pos="1134"/>
        </w:tabs>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如因未翻译而造成的废标，由投标人承担。</w:t>
      </w:r>
    </w:p>
    <w:p>
      <w:pPr>
        <w:pStyle w:val="7"/>
        <w:spacing w:line="360" w:lineRule="auto"/>
        <w:ind w:firstLine="482" w:firstLineChars="200"/>
        <w:rPr>
          <w:rFonts w:hint="eastAsia" w:ascii="宋体" w:hAnsi="宋体" w:eastAsia="宋体" w:cs="宋体"/>
          <w:bCs w:val="0"/>
          <w:color w:val="000000" w:themeColor="text1"/>
          <w:sz w:val="24"/>
          <w:szCs w:val="24"/>
          <w14:textFill>
            <w14:solidFill>
              <w14:schemeClr w14:val="tx1"/>
            </w14:solidFill>
          </w14:textFill>
        </w:rPr>
      </w:pPr>
      <w:bookmarkStart w:id="70" w:name="_Toc490290193"/>
      <w:r>
        <w:rPr>
          <w:rFonts w:hint="eastAsia" w:ascii="宋体" w:hAnsi="宋体" w:eastAsia="宋体" w:cs="宋体"/>
          <w:bCs w:val="0"/>
          <w:color w:val="000000" w:themeColor="text1"/>
          <w:sz w:val="24"/>
          <w:szCs w:val="24"/>
          <w14:textFill>
            <w14:solidFill>
              <w14:schemeClr w14:val="tx1"/>
            </w14:solidFill>
          </w14:textFill>
        </w:rPr>
        <w:t>10．计量单位</w:t>
      </w:r>
      <w:bookmarkEnd w:id="67"/>
      <w:bookmarkEnd w:id="68"/>
      <w:bookmarkEnd w:id="69"/>
      <w:r>
        <w:rPr>
          <w:rFonts w:hint="eastAsia" w:ascii="宋体" w:hAnsi="宋体" w:eastAsia="宋体" w:cs="宋体"/>
          <w:bCs w:val="0"/>
          <w:color w:val="000000" w:themeColor="text1"/>
          <w:sz w:val="24"/>
          <w:szCs w:val="24"/>
          <w14:textFill>
            <w14:solidFill>
              <w14:schemeClr w14:val="tx1"/>
            </w14:solidFill>
          </w14:textFill>
        </w:rPr>
        <w:t>（实质性要求）</w:t>
      </w:r>
      <w:bookmarkEnd w:id="70"/>
    </w:p>
    <w:p>
      <w:pPr>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除招标文件中另有规定外，本次采购项目所有合同项下的投标均采用国家法定的计量单位。</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1" w:name="_Toc217446045"/>
      <w:bookmarkStart w:id="72" w:name="_Toc490290194"/>
      <w:r>
        <w:rPr>
          <w:rFonts w:hint="eastAsia" w:ascii="宋体" w:hAnsi="宋体" w:eastAsia="宋体" w:cs="宋体"/>
          <w:bCs w:val="0"/>
          <w:color w:val="000000" w:themeColor="text1"/>
          <w:sz w:val="24"/>
          <w:szCs w:val="24"/>
          <w14:textFill>
            <w14:solidFill>
              <w14:schemeClr w14:val="tx1"/>
            </w14:solidFill>
          </w14:textFill>
        </w:rPr>
        <w:t>11. 投标货币</w:t>
      </w:r>
      <w:bookmarkEnd w:id="71"/>
      <w:r>
        <w:rPr>
          <w:rFonts w:hint="eastAsia" w:ascii="宋体" w:hAnsi="宋体" w:eastAsia="宋体" w:cs="宋体"/>
          <w:bCs w:val="0"/>
          <w:color w:val="000000" w:themeColor="text1"/>
          <w:sz w:val="24"/>
          <w:szCs w:val="24"/>
          <w14:textFill>
            <w14:solidFill>
              <w14:schemeClr w14:val="tx1"/>
            </w14:solidFill>
          </w14:textFill>
        </w:rPr>
        <w:t>（实质性要求）</w:t>
      </w:r>
      <w:bookmarkEnd w:id="72"/>
    </w:p>
    <w:p>
      <w:pPr>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本次招标项目的投标均以人民币报价。</w:t>
      </w:r>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73" w:name="_Toc217446046"/>
      <w:bookmarkStart w:id="74" w:name="_Toc490290195"/>
      <w:r>
        <w:rPr>
          <w:rFonts w:hint="eastAsia" w:ascii="宋体" w:hAnsi="宋体" w:eastAsia="宋体" w:cs="宋体"/>
          <w:color w:val="000000" w:themeColor="text1"/>
          <w:sz w:val="24"/>
          <w:szCs w:val="24"/>
          <w14:textFill>
            <w14:solidFill>
              <w14:schemeClr w14:val="tx1"/>
            </w14:solidFill>
          </w14:textFill>
        </w:rPr>
        <w:t>12. 联合体投标</w:t>
      </w:r>
      <w:bookmarkEnd w:id="73"/>
      <w:r>
        <w:rPr>
          <w:rFonts w:hint="eastAsia" w:ascii="宋体" w:hAnsi="宋体" w:eastAsia="宋体" w:cs="宋体"/>
          <w:color w:val="000000" w:themeColor="text1"/>
          <w:sz w:val="24"/>
          <w:szCs w:val="24"/>
          <w14:textFill>
            <w14:solidFill>
              <w14:schemeClr w14:val="tx1"/>
            </w14:solidFill>
          </w14:textFill>
        </w:rPr>
        <w:t>（实质性要求）</w:t>
      </w:r>
      <w:bookmarkEnd w:id="74"/>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本采购项目不接受联合体投标。</w:t>
      </w:r>
    </w:p>
    <w:p>
      <w:pPr>
        <w:pStyle w:val="7"/>
        <w:spacing w:line="360" w:lineRule="auto"/>
        <w:ind w:firstLine="482" w:firstLineChars="200"/>
        <w:rPr>
          <w:rFonts w:hint="eastAsia" w:ascii="宋体" w:hAnsi="宋体" w:eastAsia="宋体" w:cs="宋体"/>
          <w:bCs w:val="0"/>
          <w:color w:val="000000" w:themeColor="text1"/>
          <w:sz w:val="24"/>
          <w:szCs w:val="24"/>
          <w14:textFill>
            <w14:solidFill>
              <w14:schemeClr w14:val="tx1"/>
            </w14:solidFill>
          </w14:textFill>
        </w:rPr>
      </w:pPr>
      <w:bookmarkStart w:id="75" w:name="_Toc217446047"/>
      <w:bookmarkStart w:id="76" w:name="_Toc308164797"/>
      <w:bookmarkStart w:id="77" w:name="_Toc490290196"/>
      <w:r>
        <w:rPr>
          <w:rFonts w:hint="eastAsia" w:ascii="宋体" w:hAnsi="宋体" w:eastAsia="宋体" w:cs="宋体"/>
          <w:bCs w:val="0"/>
          <w:color w:val="000000" w:themeColor="text1"/>
          <w:sz w:val="24"/>
          <w:szCs w:val="24"/>
          <w14:textFill>
            <w14:solidFill>
              <w14:schemeClr w14:val="tx1"/>
            </w14:solidFill>
          </w14:textFill>
        </w:rPr>
        <w:t>13. 知识产权</w:t>
      </w:r>
      <w:bookmarkEnd w:id="75"/>
      <w:bookmarkEnd w:id="76"/>
      <w:r>
        <w:rPr>
          <w:rFonts w:hint="eastAsia" w:ascii="宋体" w:hAnsi="宋体" w:eastAsia="宋体" w:cs="宋体"/>
          <w:bCs w:val="0"/>
          <w:color w:val="000000" w:themeColor="text1"/>
          <w:sz w:val="24"/>
          <w:szCs w:val="24"/>
          <w14:textFill>
            <w14:solidFill>
              <w14:schemeClr w14:val="tx1"/>
            </w14:solidFill>
          </w14:textFill>
        </w:rPr>
        <w:t>（实质性要求）</w:t>
      </w:r>
      <w:bookmarkEnd w:id="77"/>
    </w:p>
    <w:p>
      <w:pPr>
        <w:pStyle w:val="14"/>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13.4 如采用投标人所不拥有的知识产权，则在投标报价中必须包括合法获取该知识产权的相关费用。</w:t>
      </w:r>
    </w:p>
    <w:p>
      <w:pPr>
        <w:pStyle w:val="7"/>
        <w:spacing w:line="360" w:lineRule="auto"/>
        <w:ind w:firstLine="241" w:firstLineChars="100"/>
        <w:rPr>
          <w:rFonts w:hint="eastAsia" w:ascii="宋体" w:hAnsi="宋体" w:eastAsia="宋体" w:cs="宋体"/>
          <w:bCs w:val="0"/>
          <w:color w:val="000000" w:themeColor="text1"/>
          <w:sz w:val="24"/>
          <w:szCs w:val="24"/>
          <w14:textFill>
            <w14:solidFill>
              <w14:schemeClr w14:val="tx1"/>
            </w14:solidFill>
          </w14:textFill>
        </w:rPr>
      </w:pPr>
      <w:bookmarkStart w:id="78" w:name="_Toc183682354"/>
      <w:bookmarkStart w:id="79" w:name="_Toc217446048"/>
      <w:bookmarkStart w:id="80" w:name="_Toc308164798"/>
      <w:bookmarkStart w:id="81" w:name="_Toc490290197"/>
      <w:bookmarkStart w:id="82" w:name="_Toc183582217"/>
      <w:r>
        <w:rPr>
          <w:rFonts w:hint="eastAsia" w:ascii="宋体" w:hAnsi="宋体" w:eastAsia="宋体" w:cs="宋体"/>
          <w:bCs w:val="0"/>
          <w:color w:val="000000" w:themeColor="text1"/>
          <w:sz w:val="24"/>
          <w:szCs w:val="24"/>
          <w14:textFill>
            <w14:solidFill>
              <w14:schemeClr w14:val="tx1"/>
            </w14:solidFill>
          </w14:textFill>
        </w:rPr>
        <w:t>14．投标文件的组成</w:t>
      </w:r>
      <w:bookmarkEnd w:id="78"/>
      <w:bookmarkEnd w:id="79"/>
      <w:bookmarkEnd w:id="80"/>
      <w:bookmarkEnd w:id="81"/>
      <w:bookmarkEnd w:id="82"/>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83" w:name="_Toc183682355"/>
      <w:bookmarkStart w:id="84" w:name="_Toc217446049"/>
      <w:bookmarkStart w:id="85" w:name="_Toc183582218"/>
      <w:bookmarkStart w:id="86" w:name="_Toc490290202"/>
      <w:bookmarkStart w:id="87" w:name="_Toc308164799"/>
      <w:r>
        <w:rPr>
          <w:rFonts w:hint="eastAsia" w:ascii="宋体" w:hAnsi="宋体" w:eastAsia="宋体" w:cs="宋体"/>
          <w:color w:val="000000" w:themeColor="text1"/>
          <w:sz w:val="24"/>
          <w14:textFill>
            <w14:solidFill>
              <w14:schemeClr w14:val="tx1"/>
            </w14:solidFill>
          </w14:textFill>
        </w:rPr>
        <w:t>投标人应按照招标文件的规定和要求编制投标文件，投标人编写的投标文件应至少包括下列两部分文件：</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文件一：资格性投标文件（用于资格审查）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严格按照第四、五章要求提供相关资格、资质性及其他类似效力要求的相关证明材料。</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文件二：其它响应性投标文件（用于资格审查以外的评标）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严格按照招标文件要求提供以下五个方面的相关材料：</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（一）报价部分。</w:t>
      </w:r>
      <w:r>
        <w:rPr>
          <w:rFonts w:hint="eastAsia" w:ascii="宋体" w:hAnsi="宋体" w:eastAsia="宋体" w:cs="宋体"/>
          <w:bCs/>
          <w:color w:val="000000" w:themeColor="text1"/>
          <w:sz w:val="24"/>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按照招标文件要求填写的“开标一览表”及“报价明细表”，本次招标报价要求：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（1）投标人的报价是投标人响应招标项目要求的全部工作内容的价格体现，包括投标人完成本项目所需的一切费用</w:t>
      </w:r>
      <w:r>
        <w:rPr>
          <w:rFonts w:hint="eastAsia" w:ascii="宋体" w:hAnsi="宋体" w:eastAsia="宋体" w:cs="宋体"/>
          <w:b/>
          <w:color w:val="000000" w:themeColor="text1"/>
          <w:sz w:val="24"/>
          <w14:textFill>
            <w14:solidFill>
              <w14:schemeClr w14:val="tx1"/>
            </w14:solidFill>
          </w14:textFill>
        </w:rPr>
        <w:t>（实质性要求）。</w:t>
      </w:r>
    </w:p>
    <w:p>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（2）投标人每种货物只允许有一个报价，并且在合同履行过程中是固定不变的，任何有选择或可调整的报价将不予接受，并按无效投标处理</w:t>
      </w:r>
      <w:r>
        <w:rPr>
          <w:rFonts w:hint="eastAsia" w:ascii="宋体" w:hAnsi="宋体" w:eastAsia="宋体" w:cs="宋体"/>
          <w:b/>
          <w:color w:val="000000" w:themeColor="text1"/>
          <w:sz w:val="24"/>
          <w14:textFill>
            <w14:solidFill>
              <w14:schemeClr w14:val="tx1"/>
            </w14:solidFill>
          </w14:textFill>
        </w:rPr>
        <w:t>（实质性要求）。</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（二）技术部分。</w:t>
      </w:r>
      <w:r>
        <w:rPr>
          <w:rFonts w:hint="eastAsia" w:ascii="宋体" w:hAnsi="宋体" w:eastAsia="宋体" w:cs="宋体"/>
          <w:color w:val="000000" w:themeColor="text1"/>
          <w:sz w:val="24"/>
          <w14:textFill>
            <w14:solidFill>
              <w14:schemeClr w14:val="tx1"/>
            </w14:solidFill>
          </w14:textFill>
        </w:rPr>
        <w:t>投标人按照招标文件要求做出的技术应答，主要是针对招标项目的技术指标、参数和技术要求做出的实质性响应和满足，投标人的技术应答包括下列内容：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（1）投标产品的品牌、型号、配置；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（2）投标产品本身的详细的技术指标和参数（应当尽可能提供检测报告等材料予以佐证）；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（3）技术、项目实施方案；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（4）投标产品技术参数表；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（5）产品彩页资料（如适用）；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（6）产品工作环境条件（如适用）；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（7）产品验收标准和验收方法（如适用）；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（8）产品验收清单（注明各部件的品名、数量、价格、规格型号和生产厂家）。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（9）投标人认为需要提供的文件和资料。</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（三）商务部分。</w:t>
      </w:r>
      <w:r>
        <w:rPr>
          <w:rFonts w:hint="eastAsia" w:ascii="宋体" w:hAnsi="宋体" w:eastAsia="宋体" w:cs="宋体"/>
          <w:color w:val="000000" w:themeColor="text1"/>
          <w:sz w:val="24"/>
          <w14:textFill>
            <w14:solidFill>
              <w14:schemeClr w14:val="tx1"/>
            </w14:solidFill>
          </w14:textFill>
        </w:rPr>
        <w:t>投标人按照招标文件要求提供的有关文件及优惠承诺，包括以下内容：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（3）证明投标人业绩和荣誉的有关材料</w:t>
      </w:r>
      <w:r>
        <w:rPr>
          <w:rFonts w:hint="eastAsia" w:ascii="宋体" w:hAnsi="宋体" w:eastAsia="宋体" w:cs="宋体"/>
          <w:color w:val="000000" w:themeColor="text1"/>
          <w:sz w:val="24"/>
          <w:lang w:eastAsia="zh-CN"/>
          <w14:textFill>
            <w14:solidFill>
              <w14:schemeClr w14:val="tx1"/>
            </w14:solidFill>
          </w14:textFill>
        </w:rPr>
        <w:t>复印件</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（4）商务应答表；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（5）其他投标人认为需要提供的文件和资料。</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（四）售后服务。</w:t>
      </w:r>
      <w:r>
        <w:rPr>
          <w:rFonts w:hint="eastAsia" w:ascii="宋体" w:hAnsi="宋体" w:eastAsia="宋体" w:cs="宋体"/>
          <w:color w:val="000000" w:themeColor="text1"/>
          <w:sz w:val="24"/>
          <w14:textFill>
            <w14:solidFill>
              <w14:schemeClr w14:val="tx1"/>
            </w14:solidFill>
          </w14:textFill>
        </w:rPr>
        <w:t>投标人按照招标文件中售后服务要求作出的积极响应和承诺，包括以下内容（如涉及）：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（1）产品制造厂家或投标人设立的售后服务机构网点清单、服务电话和维修人员名单；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（2）说明投标产品的保修时间、保修期内的保修内容与范围、维修响应时间等。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（3）其他有利于用户的服务承诺。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投标人承诺的维护时间、维护内容与范围等需要投标产品制造厂家授权的，投标人必须保证其承诺的维护时间、维护内容与范围等得到了制造厂家授权，如其承诺的维护时间、维护内容与范围等与制造厂家授权不一致的，以投标人承诺的为准。</w:t>
      </w:r>
    </w:p>
    <w:p>
      <w:pPr>
        <w:adjustRightInd w:val="0"/>
        <w:snapToGrid w:val="0"/>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（五）其他部分。</w:t>
      </w:r>
      <w:r>
        <w:rPr>
          <w:rFonts w:hint="eastAsia" w:ascii="宋体" w:hAnsi="宋体" w:eastAsia="宋体" w:cs="宋体"/>
          <w:bCs/>
          <w:color w:val="000000" w:themeColor="text1"/>
          <w:sz w:val="24"/>
          <w14:textFill>
            <w14:solidFill>
              <w14:schemeClr w14:val="tx1"/>
            </w14:solidFill>
          </w14:textFill>
        </w:rPr>
        <w:t>投标人按照招标文件要求作出的其他应答和承诺。</w:t>
      </w:r>
    </w:p>
    <w:p>
      <w:pPr>
        <w:pStyle w:val="7"/>
        <w:tabs>
          <w:tab w:val="left" w:pos="3480"/>
        </w:tabs>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15．投标文件格式</w:t>
      </w:r>
      <w:bookmarkEnd w:id="83"/>
      <w:bookmarkEnd w:id="84"/>
      <w:bookmarkEnd w:id="85"/>
      <w:bookmarkEnd w:id="86"/>
      <w:bookmarkEnd w:id="87"/>
    </w:p>
    <w:p>
      <w:pPr>
        <w:tabs>
          <w:tab w:val="left" w:pos="7665"/>
        </w:tabs>
        <w:spacing w:line="360" w:lineRule="auto"/>
        <w:ind w:left="13" w:leftChars="6"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 投标人应执行招标文件第三章的规定要求。第三章格式中“注”的内容，投标人可自行决定是否保留在投标文件中，未保留的视为投标人默认接受“注”的内容。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 对于没有格式要求的投标文件由投标人自行编写。</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88" w:name="_Toc183682360"/>
      <w:bookmarkStart w:id="89" w:name="_Toc217446050"/>
      <w:bookmarkStart w:id="90" w:name="_Toc183582223"/>
      <w:bookmarkStart w:id="91" w:name="_Toc308164800"/>
      <w:bookmarkStart w:id="92" w:name="_Toc490290203"/>
      <w:r>
        <w:rPr>
          <w:rFonts w:hint="eastAsia" w:ascii="宋体" w:hAnsi="宋体" w:eastAsia="宋体" w:cs="宋体"/>
          <w:bCs w:val="0"/>
          <w:color w:val="000000" w:themeColor="text1"/>
          <w:sz w:val="24"/>
          <w14:textFill>
            <w14:solidFill>
              <w14:schemeClr w14:val="tx1"/>
            </w14:solidFill>
          </w14:textFill>
        </w:rPr>
        <w:t>16．投标保证金</w:t>
      </w:r>
      <w:bookmarkEnd w:id="88"/>
      <w:bookmarkEnd w:id="89"/>
      <w:bookmarkEnd w:id="90"/>
      <w:bookmarkEnd w:id="91"/>
      <w:r>
        <w:rPr>
          <w:rFonts w:hint="eastAsia" w:ascii="宋体" w:hAnsi="宋体" w:eastAsia="宋体" w:cs="宋体"/>
          <w:color w:val="000000" w:themeColor="text1"/>
          <w:sz w:val="24"/>
          <w:szCs w:val="24"/>
          <w14:textFill>
            <w14:solidFill>
              <w14:schemeClr w14:val="tx1"/>
            </w14:solidFill>
          </w14:textFill>
        </w:rPr>
        <w:t>（实质性要求）</w:t>
      </w:r>
      <w:bookmarkEnd w:id="92"/>
    </w:p>
    <w:p>
      <w:pPr>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本项目不收取。</w:t>
      </w:r>
    </w:p>
    <w:p>
      <w:pPr>
        <w:pStyle w:val="7"/>
        <w:spacing w:line="360" w:lineRule="auto"/>
        <w:ind w:firstLine="482" w:firstLineChars="200"/>
        <w:rPr>
          <w:rFonts w:hint="eastAsia" w:ascii="宋体" w:hAnsi="宋体" w:eastAsia="宋体" w:cs="宋体"/>
          <w:bCs w:val="0"/>
          <w:color w:val="000000" w:themeColor="text1"/>
          <w:sz w:val="24"/>
          <w14:textFill>
            <w14:solidFill>
              <w14:schemeClr w14:val="tx1"/>
            </w14:solidFill>
          </w14:textFill>
        </w:rPr>
      </w:pPr>
      <w:bookmarkStart w:id="93" w:name="_Toc183682361"/>
      <w:bookmarkStart w:id="94" w:name="_Toc308164801"/>
      <w:bookmarkStart w:id="95" w:name="_Toc183582224"/>
      <w:bookmarkStart w:id="96" w:name="_Toc217446051"/>
      <w:bookmarkStart w:id="97" w:name="_Toc490290204"/>
      <w:r>
        <w:rPr>
          <w:rFonts w:hint="eastAsia" w:ascii="宋体" w:hAnsi="宋体" w:eastAsia="宋体" w:cs="宋体"/>
          <w:bCs w:val="0"/>
          <w:color w:val="000000" w:themeColor="text1"/>
          <w:sz w:val="24"/>
          <w14:textFill>
            <w14:solidFill>
              <w14:schemeClr w14:val="tx1"/>
            </w14:solidFill>
          </w14:textFill>
        </w:rPr>
        <w:t>17．投标有效期</w:t>
      </w:r>
      <w:bookmarkEnd w:id="93"/>
      <w:bookmarkEnd w:id="94"/>
      <w:bookmarkEnd w:id="95"/>
      <w:bookmarkEnd w:id="96"/>
      <w:r>
        <w:rPr>
          <w:rFonts w:hint="eastAsia" w:ascii="宋体" w:hAnsi="宋体" w:eastAsia="宋体" w:cs="宋体"/>
          <w:color w:val="000000" w:themeColor="text1"/>
          <w:sz w:val="24"/>
          <w:szCs w:val="24"/>
          <w14:textFill>
            <w14:solidFill>
              <w14:schemeClr w14:val="tx1"/>
            </w14:solidFill>
          </w14:textFill>
        </w:rPr>
        <w:t>（实质性要求）</w:t>
      </w:r>
      <w:bookmarkEnd w:id="97"/>
    </w:p>
    <w:p>
      <w:pPr>
        <w:tabs>
          <w:tab w:val="left" w:pos="7665"/>
        </w:tabs>
        <w:spacing w:line="360" w:lineRule="auto"/>
        <w:ind w:left="13" w:leftChars="6"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 本项目投标有效期从提交投标文件的截止之日起</w:t>
      </w:r>
      <w:r>
        <w:rPr>
          <w:rFonts w:hint="eastAsia" w:ascii="宋体" w:hAnsi="宋体" w:eastAsia="宋体" w:cs="宋体"/>
          <w:b/>
          <w:color w:val="000000" w:themeColor="text1"/>
          <w:sz w:val="24"/>
          <w14:textFill>
            <w14:solidFill>
              <w14:schemeClr w14:val="tx1"/>
            </w14:solidFill>
          </w14:textFill>
        </w:rPr>
        <w:t>90天</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left="13" w:leftChars="6"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widowControl/>
        <w:kinsoku/>
        <w:wordWrap w:val="0"/>
        <w:overflowPunct/>
        <w:bidi w:val="0"/>
        <w:spacing w:after="0" w:line="360" w:lineRule="auto"/>
        <w:ind w:firstLine="422" w:firstLineChars="175"/>
        <w:jc w:val="left"/>
        <w:outlineLvl w:val="1"/>
        <w:rPr>
          <w:rFonts w:hint="eastAsia" w:ascii="宋体" w:hAnsi="宋体" w:eastAsia="宋体" w:cs="宋体"/>
          <w:b/>
          <w:bCs/>
          <w:color w:val="000000" w:themeColor="text1"/>
          <w:sz w:val="24"/>
          <w14:textFill>
            <w14:solidFill>
              <w14:schemeClr w14:val="tx1"/>
            </w14:solidFill>
          </w14:textFill>
        </w:rPr>
      </w:pPr>
      <w:bookmarkStart w:id="98" w:name="_Toc183682362"/>
      <w:bookmarkStart w:id="99" w:name="_Toc308164802"/>
      <w:bookmarkStart w:id="100" w:name="_Toc490290205"/>
      <w:bookmarkStart w:id="101" w:name="_Toc183582225"/>
      <w:bookmarkStart w:id="102" w:name="_Toc217446052"/>
      <w:r>
        <w:rPr>
          <w:rFonts w:hint="eastAsia" w:ascii="宋体" w:hAnsi="宋体" w:eastAsia="宋体" w:cs="宋体"/>
          <w:b/>
          <w:bCs/>
          <w:color w:val="000000" w:themeColor="text1"/>
          <w:sz w:val="24"/>
          <w14:textFill>
            <w14:solidFill>
              <w14:schemeClr w14:val="tx1"/>
            </w14:solidFill>
          </w14:textFill>
        </w:rPr>
        <w:t>18．</w:t>
      </w:r>
      <w:bookmarkEnd w:id="98"/>
      <w:bookmarkEnd w:id="99"/>
      <w:bookmarkEnd w:id="100"/>
      <w:bookmarkEnd w:id="101"/>
      <w:bookmarkEnd w:id="102"/>
      <w:bookmarkStart w:id="103" w:name="_Toc183682364"/>
      <w:bookmarkStart w:id="104" w:name="_Toc183582227"/>
      <w:bookmarkStart w:id="105" w:name="_Toc308164804"/>
      <w:bookmarkStart w:id="106" w:name="_Toc217446054"/>
      <w:bookmarkStart w:id="107" w:name="_Toc490290207"/>
      <w:r>
        <w:rPr>
          <w:rFonts w:hint="eastAsia" w:ascii="宋体" w:hAnsi="宋体" w:eastAsia="宋体" w:cs="宋体"/>
          <w:b/>
          <w:bCs/>
          <w:color w:val="000000" w:themeColor="text1"/>
          <w:sz w:val="24"/>
          <w14:textFill>
            <w14:solidFill>
              <w14:schemeClr w14:val="tx1"/>
            </w14:solidFill>
          </w14:textFill>
        </w:rPr>
        <w:t>投标文件的制作和签章、加密</w:t>
      </w:r>
    </w:p>
    <w:p>
      <w:pPr>
        <w:tabs>
          <w:tab w:val="left" w:pos="1080"/>
        </w:tabs>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kinsoku/>
        <w:wordWrap w:val="0"/>
        <w:overflowPunct/>
        <w:bidi w:val="0"/>
        <w:spacing w:after="0" w:line="360" w:lineRule="auto"/>
        <w:ind w:firstLine="422" w:firstLineChars="175"/>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2.</w:t>
      </w:r>
      <w:r>
        <w:rPr>
          <w:rFonts w:hint="eastAsia" w:ascii="宋体" w:hAnsi="宋体" w:eastAsia="宋体" w:cs="宋体"/>
          <w:b/>
          <w:bCs/>
          <w:color w:val="000000" w:themeColor="text1"/>
          <w:sz w:val="24"/>
          <w14:textFill>
            <w14:solidFill>
              <w14:schemeClr w14:val="tx1"/>
            </w14:solidFill>
          </w14:textFill>
        </w:rPr>
        <w:t>投标文件每页均应加盖投标人（法定名称）电子签章，不得使用投标人专用章（如经济合同章、投标专用章等）或下属单位印章代替。（实质性要求）</w:t>
      </w:r>
    </w:p>
    <w:p>
      <w:pPr>
        <w:tabs>
          <w:tab w:val="left" w:pos="1080"/>
        </w:tabs>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投标人应使用本企业CA数字证书对投标文件进行加密。（实质性要求）</w:t>
      </w:r>
    </w:p>
    <w:p>
      <w:pPr>
        <w:tabs>
          <w:tab w:val="left" w:pos="1080"/>
        </w:tabs>
        <w:kinsoku/>
        <w:wordWrap w:val="0"/>
        <w:overflowPunct/>
        <w:bidi w:val="0"/>
        <w:spacing w:after="0" w:line="360" w:lineRule="auto"/>
        <w:ind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招标文件若有修改，投标人根据修改后的招标文件制作或修改并递交投标</w:t>
      </w:r>
      <w:r>
        <w:rPr>
          <w:rFonts w:hint="eastAsia" w:ascii="宋体" w:hAnsi="宋体" w:eastAsia="宋体" w:cs="宋体"/>
          <w:color w:val="000000" w:themeColor="text1"/>
          <w:sz w:val="24"/>
          <w:lang w:val="en-US" w:eastAsia="zh-CN"/>
          <w14:textFill>
            <w14:solidFill>
              <w14:schemeClr w14:val="tx1"/>
            </w14:solidFill>
          </w14:textFill>
        </w:rPr>
        <w:t>文件。</w:t>
      </w:r>
    </w:p>
    <w:p>
      <w:pPr>
        <w:tabs>
          <w:tab w:val="left" w:pos="1080"/>
        </w:tabs>
        <w:kinsoku/>
        <w:wordWrap w:val="0"/>
        <w:overflowPunct/>
        <w:bidi w:val="0"/>
        <w:spacing w:after="0" w:line="360" w:lineRule="auto"/>
        <w:ind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7"/>
        <w:pageBreakBefore w:val="0"/>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19．投标文件的</w:t>
      </w:r>
      <w:bookmarkEnd w:id="103"/>
      <w:bookmarkEnd w:id="104"/>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递交</w:t>
      </w:r>
      <w:bookmarkEnd w:id="105"/>
      <w:bookmarkEnd w:id="106"/>
      <w:bookmarkEnd w:id="107"/>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bookmarkStart w:id="108" w:name="_Toc183682365"/>
      <w:bookmarkStart w:id="109" w:name="_Toc183582228"/>
      <w:bookmarkStart w:id="110" w:name="_Toc217446055"/>
      <w:bookmarkStart w:id="111" w:name="_Toc490290208"/>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1.投标人应当在投标文件递交截止时间前，将生成的已加密的电子投标文件成功递交至“政府采购云平台”。</w:t>
      </w:r>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2.投标人应充分考虑递交文件的不可预见因素，在投标截止时间后将无法递交。</w:t>
      </w:r>
    </w:p>
    <w:p>
      <w:pPr>
        <w:pStyle w:val="7"/>
        <w:pageBreakBefore w:val="0"/>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20．投标文件的修改和撤</w:t>
      </w:r>
      <w:bookmarkEnd w:id="108"/>
      <w:bookmarkEnd w:id="109"/>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回</w:t>
      </w:r>
      <w:bookmarkEnd w:id="110"/>
      <w:bookmarkEnd w:id="111"/>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bookmarkStart w:id="112" w:name="_Toc15165"/>
      <w:bookmarkStart w:id="113" w:name="_Toc490290209"/>
      <w:bookmarkStart w:id="114" w:name="_Toc77400782"/>
      <w:bookmarkStart w:id="115" w:name="_Toc217446056"/>
      <w:bookmarkStart w:id="116" w:name="_Toc21553"/>
      <w:bookmarkStart w:id="117" w:name="_Toc183582231"/>
      <w:bookmarkStart w:id="118" w:name="_Toc183682368"/>
      <w:bookmarkStart w:id="119" w:name="_Toc89075878"/>
      <w:bookmarkStart w:id="120" w:name="_Toc308164805"/>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widowControl/>
        <w:kinsoku/>
        <w:wordWrap w:val="0"/>
        <w:overflowPunct/>
        <w:topLinePunct w:val="0"/>
        <w:autoSpaceDE/>
        <w:autoSpaceDN/>
        <w:bidi w:val="0"/>
        <w:adjustRightInd/>
        <w:snapToGrid/>
        <w:spacing w:line="360" w:lineRule="auto"/>
        <w:ind w:firstLine="420" w:firstLineChars="175"/>
        <w:jc w:val="left"/>
        <w:textAlignment w:val="auto"/>
        <w:outlineLvl w:val="1"/>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2.投标截止时间后，投标人不得对其递交的投标文件做任何补充、修改。</w:t>
      </w:r>
    </w:p>
    <w:p>
      <w:pPr>
        <w:pageBreakBefore w:val="0"/>
        <w:widowControl/>
        <w:kinsoku/>
        <w:wordWrap w:val="0"/>
        <w:overflowPunct/>
        <w:topLinePunct w:val="0"/>
        <w:autoSpaceDE/>
        <w:autoSpaceDN/>
        <w:bidi w:val="0"/>
        <w:adjustRightInd/>
        <w:snapToGrid/>
        <w:spacing w:line="360" w:lineRule="auto"/>
        <w:ind w:firstLine="422" w:firstLineChars="175"/>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21.投标文件的解密</w:t>
      </w:r>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tabs>
          <w:tab w:val="left" w:pos="1080"/>
        </w:tabs>
        <w:kinsoku/>
        <w:wordWrap w:val="0"/>
        <w:overflowPunct/>
        <w:bidi w:val="0"/>
        <w:spacing w:after="0" w:line="360" w:lineRule="auto"/>
        <w:ind w:firstLine="420" w:firstLineChars="175"/>
        <w:rPr>
          <w:rFonts w:hint="eastAsia" w:ascii="宋体" w:hAnsi="宋体" w:eastAsia="宋体" w:cs="宋体"/>
          <w:color w:val="000000" w:themeColor="text1"/>
          <w:sz w:val="24"/>
          <w:lang w:val="en-US" w:eastAsia="zh-CN"/>
          <w14:textFill>
            <w14:solidFill>
              <w14:schemeClr w14:val="tx1"/>
            </w14:solidFill>
          </w14:textFill>
        </w:rPr>
      </w:pPr>
    </w:p>
    <w:p>
      <w:pPr>
        <w:pStyle w:val="4"/>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五、开标和中标</w:t>
      </w:r>
      <w:bookmarkEnd w:id="112"/>
      <w:bookmarkEnd w:id="113"/>
      <w:bookmarkEnd w:id="114"/>
      <w:bookmarkEnd w:id="115"/>
      <w:bookmarkEnd w:id="116"/>
      <w:bookmarkEnd w:id="117"/>
      <w:bookmarkEnd w:id="118"/>
      <w:bookmarkEnd w:id="119"/>
      <w:bookmarkEnd w:id="120"/>
    </w:p>
    <w:p>
      <w:pPr>
        <w:widowControl/>
        <w:kinsoku/>
        <w:wordWrap w:val="0"/>
        <w:overflowPunct/>
        <w:bidi w:val="0"/>
        <w:spacing w:after="0" w:line="360" w:lineRule="auto"/>
        <w:ind w:firstLine="422" w:firstLineChars="175"/>
        <w:jc w:val="left"/>
        <w:outlineLvl w:val="1"/>
        <w:rPr>
          <w:rFonts w:hint="eastAsia" w:ascii="宋体" w:hAnsi="宋体" w:eastAsia="宋体" w:cs="宋体"/>
          <w:b/>
          <w:color w:val="000000" w:themeColor="text1"/>
          <w:sz w:val="24"/>
          <w14:textFill>
            <w14:solidFill>
              <w14:schemeClr w14:val="tx1"/>
            </w14:solidFill>
          </w14:textFill>
        </w:rPr>
      </w:pPr>
      <w:bookmarkStart w:id="121" w:name="_Toc490290212"/>
      <w:bookmarkStart w:id="122" w:name="_Toc217446064"/>
      <w:bookmarkStart w:id="123" w:name="_Toc18711"/>
      <w:bookmarkStart w:id="124" w:name="_Toc4381"/>
      <w:bookmarkStart w:id="125" w:name="_Toc308164810"/>
      <w:bookmarkStart w:id="126" w:name="_Toc183582240"/>
      <w:bookmarkStart w:id="127" w:name="_Toc183682377"/>
      <w:r>
        <w:rPr>
          <w:rFonts w:hint="eastAsia" w:ascii="宋体" w:hAnsi="宋体" w:eastAsia="宋体" w:cs="宋体"/>
          <w:b/>
          <w:color w:val="000000" w:themeColor="text1"/>
          <w:sz w:val="24"/>
          <w:lang w:val="en-US" w:eastAsia="zh-CN"/>
          <w14:textFill>
            <w14:solidFill>
              <w14:schemeClr w14:val="tx1"/>
            </w14:solidFill>
          </w14:textFill>
        </w:rPr>
        <w:t>22.</w:t>
      </w:r>
      <w:r>
        <w:rPr>
          <w:rFonts w:hint="eastAsia" w:ascii="宋体" w:hAnsi="宋体" w:eastAsia="宋体" w:cs="宋体"/>
          <w:b/>
          <w:color w:val="000000" w:themeColor="text1"/>
          <w:sz w:val="24"/>
          <w14:textFill>
            <w14:solidFill>
              <w14:schemeClr w14:val="tx1"/>
            </w14:solidFill>
          </w14:textFill>
        </w:rPr>
        <w:t>开标及开标程序</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本项目为不见面开标项目。（递交电子投标文件的投标人不足3家的，不予开标。）</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开标准备工作。投标人需在开标当日、投标截止时间前登录“政府采购云平台”，通过本项目“开标大厅”参与不见面开标。登录政府采购云平台—项目采购—开标评标—开标大厅（确保进入本项目开标大厅）。</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提示：投标人未按时登录不见面开标系统，错过开标解密时间的，由投标人自行承担不利后果。</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因断电、断网、系统故障或其他不可抗力等因素导致不见面开标系统无法正常运行的，开标活动中止或延迟，待系统恢复正常后继续进行开标活动。</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不见面开标过程中，各方主体均应遵守互联网有关规定，不得发表与交易活动无关的言论。</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开评标过程存档</w:t>
      </w:r>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开标和评标过程进行全过程电子监控，并将电子监控资料存储介质留存归档。。</w:t>
      </w:r>
    </w:p>
    <w:p>
      <w:pPr>
        <w:kinsoku/>
        <w:wordWrap w:val="0"/>
        <w:overflowPunct/>
        <w:bidi w:val="0"/>
        <w:spacing w:after="0" w:line="360" w:lineRule="auto"/>
        <w:ind w:firstLine="422" w:firstLineChars="175"/>
        <w:outlineLvl w:val="1"/>
        <w:rPr>
          <w:rFonts w:hint="eastAsia" w:ascii="宋体" w:hAnsi="宋体" w:eastAsia="宋体" w:cs="宋体"/>
          <w:b/>
          <w:color w:val="000000" w:themeColor="text1"/>
          <w:sz w:val="24"/>
          <w14:textFill>
            <w14:solidFill>
              <w14:schemeClr w14:val="tx1"/>
            </w14:solidFill>
          </w14:textFill>
        </w:rPr>
      </w:pPr>
      <w:bookmarkStart w:id="128" w:name="_Toc2166"/>
      <w:bookmarkStart w:id="129" w:name="_Toc183682375"/>
      <w:bookmarkStart w:id="130" w:name="_Toc183582238"/>
      <w:bookmarkStart w:id="131" w:name="_Toc217446063"/>
      <w:bookmarkStart w:id="132" w:name="_Toc308164809"/>
      <w:r>
        <w:rPr>
          <w:rFonts w:hint="eastAsia" w:ascii="宋体" w:hAnsi="宋体" w:eastAsia="宋体" w:cs="宋体"/>
          <w:b/>
          <w:color w:val="000000" w:themeColor="text1"/>
          <w:sz w:val="24"/>
          <w:lang w:val="en-US" w:eastAsia="zh-CN"/>
          <w14:textFill>
            <w14:solidFill>
              <w14:schemeClr w14:val="tx1"/>
            </w14:solidFill>
          </w14:textFill>
        </w:rPr>
        <w:t>23.</w:t>
      </w:r>
      <w:r>
        <w:rPr>
          <w:rFonts w:hint="eastAsia" w:ascii="宋体" w:hAnsi="宋体" w:eastAsia="宋体" w:cs="宋体"/>
          <w:b/>
          <w:color w:val="000000" w:themeColor="text1"/>
          <w:sz w:val="24"/>
          <w14:textFill>
            <w14:solidFill>
              <w14:schemeClr w14:val="tx1"/>
            </w14:solidFill>
          </w14:textFill>
        </w:rPr>
        <w:t>中标结果</w:t>
      </w:r>
      <w:bookmarkEnd w:id="128"/>
    </w:p>
    <w:p>
      <w:pPr>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bookmarkStart w:id="133" w:name="_Toc26659"/>
      <w:bookmarkStart w:id="134" w:name="_Toc21750"/>
      <w:r>
        <w:rPr>
          <w:rFonts w:hint="eastAsia" w:ascii="宋体" w:hAnsi="宋体" w:eastAsia="宋体" w:cs="宋体"/>
          <w:bCs/>
          <w:color w:val="000000" w:themeColor="text1"/>
          <w:sz w:val="24"/>
          <w14:textFill>
            <w14:solidFill>
              <w14:schemeClr w14:val="tx1"/>
            </w14:solidFill>
          </w14:textFill>
        </w:rPr>
        <w:t>1.采购人确定中标</w:t>
      </w:r>
      <w:r>
        <w:rPr>
          <w:rFonts w:hint="eastAsia" w:ascii="宋体" w:hAnsi="宋体" w:eastAsia="宋体" w:cs="宋体"/>
          <w:bCs/>
          <w:color w:val="000000" w:themeColor="text1"/>
          <w:sz w:val="24"/>
          <w:lang w:eastAsia="zh-CN"/>
          <w14:textFill>
            <w14:solidFill>
              <w14:schemeClr w14:val="tx1"/>
            </w14:solidFill>
          </w14:textFill>
        </w:rPr>
        <w:t>人</w:t>
      </w:r>
      <w:r>
        <w:rPr>
          <w:rFonts w:hint="eastAsia" w:ascii="宋体" w:hAnsi="宋体" w:eastAsia="宋体" w:cs="宋体"/>
          <w:bCs/>
          <w:color w:val="000000" w:themeColor="text1"/>
          <w:sz w:val="24"/>
          <w14:textFill>
            <w14:solidFill>
              <w14:schemeClr w14:val="tx1"/>
            </w14:solidFill>
          </w14:textFill>
        </w:rPr>
        <w:t>后，将及时书面通知采购代理机构，采购代理机构在中标</w:t>
      </w:r>
      <w:r>
        <w:rPr>
          <w:rFonts w:hint="eastAsia" w:ascii="宋体" w:hAnsi="宋体" w:eastAsia="宋体" w:cs="宋体"/>
          <w:bCs/>
          <w:color w:val="000000" w:themeColor="text1"/>
          <w:sz w:val="24"/>
          <w:lang w:eastAsia="zh-CN"/>
          <w14:textFill>
            <w14:solidFill>
              <w14:schemeClr w14:val="tx1"/>
            </w14:solidFill>
          </w14:textFill>
        </w:rPr>
        <w:t>人</w:t>
      </w:r>
      <w:r>
        <w:rPr>
          <w:rFonts w:hint="eastAsia" w:ascii="宋体" w:hAnsi="宋体" w:eastAsia="宋体" w:cs="宋体"/>
          <w:bCs/>
          <w:color w:val="000000" w:themeColor="text1"/>
          <w:sz w:val="24"/>
          <w14:textFill>
            <w14:solidFill>
              <w14:schemeClr w14:val="tx1"/>
            </w14:solidFill>
          </w14:textFill>
        </w:rPr>
        <w:t>确定后2个工作日内，在“四川政府采购网”上公告中标结果，同时向中标</w:t>
      </w:r>
      <w:r>
        <w:rPr>
          <w:rFonts w:hint="eastAsia" w:ascii="宋体" w:hAnsi="宋体" w:eastAsia="宋体" w:cs="宋体"/>
          <w:bCs/>
          <w:color w:val="000000" w:themeColor="text1"/>
          <w:sz w:val="24"/>
          <w:lang w:eastAsia="zh-CN"/>
          <w14:textFill>
            <w14:solidFill>
              <w14:schemeClr w14:val="tx1"/>
            </w14:solidFill>
          </w14:textFill>
        </w:rPr>
        <w:t>人</w:t>
      </w:r>
      <w:r>
        <w:rPr>
          <w:rFonts w:hint="eastAsia" w:ascii="宋体" w:hAnsi="宋体" w:eastAsia="宋体" w:cs="宋体"/>
          <w:bCs/>
          <w:color w:val="000000" w:themeColor="text1"/>
          <w:sz w:val="24"/>
          <w14:textFill>
            <w14:solidFill>
              <w14:schemeClr w14:val="tx1"/>
            </w14:solidFill>
          </w14:textFill>
        </w:rPr>
        <w:t>发出中标通知书。</w:t>
      </w:r>
      <w:bookmarkEnd w:id="133"/>
      <w:bookmarkEnd w:id="134"/>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2.采购人确定中标人过程中，发现中标候选人有下列情形之一的，应当不予确定其为中标人：</w:t>
      </w:r>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（1）发现中标候选人存在禁止参加本项目采购活动的违法行为的；</w:t>
      </w:r>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（2）中标候选人因不可抗力，不能继续参加政府采购活动；</w:t>
      </w:r>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（3）中标候选人无偿赠与或者低于成本价竞争；</w:t>
      </w:r>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（4）中标候选人提供虚假材料；</w:t>
      </w:r>
    </w:p>
    <w:p>
      <w:pPr>
        <w:kinsoku/>
        <w:wordWrap w:val="0"/>
        <w:overflowPunct/>
        <w:bidi w:val="0"/>
        <w:spacing w:after="0" w:line="360" w:lineRule="auto"/>
        <w:ind w:firstLine="420"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（5）中标候选人恶意串通。</w:t>
      </w:r>
    </w:p>
    <w:p>
      <w:pPr>
        <w:widowControl/>
        <w:kinsoku/>
        <w:wordWrap w:val="0"/>
        <w:overflowPunct/>
        <w:bidi w:val="0"/>
        <w:spacing w:after="0" w:line="360" w:lineRule="auto"/>
        <w:ind w:firstLine="422" w:firstLineChars="175"/>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三</w:t>
      </w:r>
      <w:r>
        <w:rPr>
          <w:rFonts w:hint="eastAsia" w:ascii="宋体" w:hAnsi="宋体" w:eastAsia="宋体" w:cs="宋体"/>
          <w:b/>
          <w:color w:val="000000" w:themeColor="text1"/>
          <w:sz w:val="24"/>
          <w14:textFill>
            <w14:solidFill>
              <w14:schemeClr w14:val="tx1"/>
            </w14:solidFill>
          </w14:textFill>
        </w:rPr>
        <w:t>）中标通知</w:t>
      </w:r>
      <w:bookmarkEnd w:id="129"/>
      <w:bookmarkEnd w:id="130"/>
      <w:r>
        <w:rPr>
          <w:rFonts w:hint="eastAsia" w:ascii="宋体" w:hAnsi="宋体" w:eastAsia="宋体" w:cs="宋体"/>
          <w:b/>
          <w:color w:val="000000" w:themeColor="text1"/>
          <w:sz w:val="24"/>
          <w14:textFill>
            <w14:solidFill>
              <w14:schemeClr w14:val="tx1"/>
            </w14:solidFill>
          </w14:textFill>
        </w:rPr>
        <w:t>书</w:t>
      </w:r>
      <w:bookmarkEnd w:id="131"/>
      <w:bookmarkEnd w:id="132"/>
    </w:p>
    <w:p>
      <w:pPr>
        <w:tabs>
          <w:tab w:val="left" w:pos="7665"/>
        </w:tabs>
        <w:kinsoku/>
        <w:wordWrap w:val="0"/>
        <w:overflowPunct/>
        <w:bidi w:val="0"/>
        <w:spacing w:after="0"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代理机构在四川政府采购网公告中标结果时同时发出中标通知书，中标人自行登录政府采购云平台下载中标通知书。</w:t>
      </w:r>
    </w:p>
    <w:p>
      <w:pPr>
        <w:kinsoku/>
        <w:wordWrap w:val="0"/>
        <w:overflowPunct/>
        <w:bidi w:val="0"/>
        <w:spacing w:after="0" w:line="360" w:lineRule="auto"/>
        <w:ind w:firstLine="191" w:firstLineChars="91"/>
        <w:rPr>
          <w:rFonts w:hint="eastAsia" w:ascii="宋体" w:hAnsi="宋体" w:eastAsia="宋体" w:cs="宋体"/>
          <w:color w:val="000000" w:themeColor="text1"/>
          <w:szCs w:val="28"/>
          <w14:textFill>
            <w14:solidFill>
              <w14:schemeClr w14:val="tx1"/>
            </w14:solidFill>
          </w14:textFill>
        </w:rPr>
      </w:pP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六、签订及履行合同和验收</w:t>
      </w:r>
      <w:bookmarkEnd w:id="121"/>
      <w:bookmarkEnd w:id="122"/>
      <w:bookmarkEnd w:id="123"/>
      <w:bookmarkEnd w:id="124"/>
      <w:bookmarkEnd w:id="125"/>
    </w:p>
    <w:p>
      <w:pPr>
        <w:pStyle w:val="7"/>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bookmarkStart w:id="135" w:name="_Toc308164811"/>
      <w:bookmarkStart w:id="136" w:name="_Toc217446065"/>
      <w:bookmarkStart w:id="137" w:name="_Toc490290214"/>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24.签订合同</w:t>
      </w:r>
      <w:bookmarkEnd w:id="135"/>
      <w:bookmarkEnd w:id="136"/>
    </w:p>
    <w:p>
      <w:pPr>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中标人应在中标通知书发出之日起三十日内与采购人签订采购合同。由于中标人的原因逾期未与采购人签订采购合同的，将视为放弃中标，取消其中标资格并将按相关规定进行处理。</w:t>
      </w:r>
    </w:p>
    <w:p>
      <w:pPr>
        <w:pStyle w:val="7"/>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25.合同公告</w:t>
      </w:r>
    </w:p>
    <w:p>
      <w:pPr>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采购人应当自政府采购合同签订之日起2个工作日内，将政府采购合同在省级以上人民政府财政部门指定的媒体上公告（四川政府采购网），但政府采购合同中涉及国家秘密、商业秘密的内容除外。</w:t>
      </w:r>
    </w:p>
    <w:p>
      <w:pPr>
        <w:pStyle w:val="7"/>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26.合同备案</w:t>
      </w:r>
    </w:p>
    <w:p>
      <w:pPr>
        <w:spacing w:line="400" w:lineRule="exact"/>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采购人应当将政府采购合同副本自签订之日起七个工作日内通过政采云平台报同级财政部门备案。</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 合同分包（实质性要求）</w:t>
      </w:r>
      <w:bookmarkEnd w:id="137"/>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.1 经采购人同意，中标人可以依法采取分包方式履行合同。这种要求应当在合同签订之前征得采购人同意，并且分包供应商履行的分包项目的品牌、规格型号及技术要求等，必须与中标的一致。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.2 采购合同实行分包履行的，中标人就采购项目和分包项目向采购人负责，分包供应商就分包项目承担责任。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.3 中小企业依据《政府采购促进中小企业发展管理办法》（财库〔2020〕46号）规定的政策获取政府采购合同后，小型、微型企业不得分包或转包给大型、中型企业，中型企业不得分包或转包给大型企业。</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38" w:name="_Toc490290215"/>
      <w:r>
        <w:rPr>
          <w:rFonts w:hint="eastAsia" w:ascii="宋体" w:hAnsi="宋体" w:eastAsia="宋体" w:cs="宋体"/>
          <w:color w:val="000000" w:themeColor="text1"/>
          <w:sz w:val="24"/>
          <w:lang w:val="en-US" w:eastAsia="zh-CN"/>
          <w14:textFill>
            <w14:solidFill>
              <w14:schemeClr w14:val="tx1"/>
            </w14:solidFill>
          </w14:textFill>
        </w:rPr>
        <w:t>28</w:t>
      </w:r>
      <w:r>
        <w:rPr>
          <w:rFonts w:hint="eastAsia" w:ascii="宋体" w:hAnsi="宋体" w:eastAsia="宋体" w:cs="宋体"/>
          <w:color w:val="000000" w:themeColor="text1"/>
          <w:sz w:val="24"/>
          <w14:textFill>
            <w14:solidFill>
              <w14:schemeClr w14:val="tx1"/>
            </w14:solidFill>
          </w14:textFill>
        </w:rPr>
        <w:t>.合同转包（实质性要求）</w:t>
      </w:r>
      <w:bookmarkEnd w:id="138"/>
    </w:p>
    <w:p>
      <w:pPr>
        <w:spacing w:line="360" w:lineRule="auto"/>
        <w:ind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中标人转包的，视同拒绝履行政府采购合同义务，将依法追究法律责任。</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39" w:name="_Toc217446066"/>
      <w:bookmarkStart w:id="140" w:name="_Toc490290216"/>
      <w:r>
        <w:rPr>
          <w:rFonts w:hint="eastAsia" w:ascii="宋体" w:hAnsi="宋体" w:eastAsia="宋体" w:cs="宋体"/>
          <w:color w:val="000000" w:themeColor="text1"/>
          <w:sz w:val="24"/>
          <w:lang w:val="en-US" w:eastAsia="zh-CN"/>
          <w14:textFill>
            <w14:solidFill>
              <w14:schemeClr w14:val="tx1"/>
            </w14:solidFill>
          </w14:textFill>
        </w:rPr>
        <w:t>29</w:t>
      </w:r>
      <w:r>
        <w:rPr>
          <w:rFonts w:hint="eastAsia" w:ascii="宋体" w:hAnsi="宋体" w:eastAsia="宋体" w:cs="宋体"/>
          <w:color w:val="000000" w:themeColor="text1"/>
          <w:sz w:val="24"/>
          <w14:textFill>
            <w14:solidFill>
              <w14:schemeClr w14:val="tx1"/>
            </w14:solidFill>
          </w14:textFill>
        </w:rPr>
        <w:t>.</w:t>
      </w:r>
      <w:bookmarkEnd w:id="139"/>
      <w:r>
        <w:rPr>
          <w:rFonts w:hint="eastAsia" w:ascii="宋体" w:hAnsi="宋体" w:eastAsia="宋体" w:cs="宋体"/>
          <w:color w:val="000000" w:themeColor="text1"/>
          <w:sz w:val="24"/>
          <w14:textFill>
            <w14:solidFill>
              <w14:schemeClr w14:val="tx1"/>
            </w14:solidFill>
          </w14:textFill>
        </w:rPr>
        <w:t xml:space="preserve"> 补充合同</w:t>
      </w:r>
      <w:bookmarkEnd w:id="140"/>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41" w:name="_Toc217446068"/>
      <w:bookmarkStart w:id="142" w:name="_Toc490290217"/>
      <w:bookmarkStart w:id="143" w:name="_Toc308164812"/>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.履约保证金</w:t>
      </w:r>
      <w:bookmarkEnd w:id="141"/>
      <w:bookmarkEnd w:id="142"/>
      <w:bookmarkEnd w:id="143"/>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144" w:name="_Toc490290218"/>
      <w:bookmarkStart w:id="145" w:name="_Toc308164813"/>
      <w:bookmarkStart w:id="146" w:name="_Toc217446069"/>
      <w:r>
        <w:rPr>
          <w:rFonts w:hint="eastAsia" w:ascii="宋体" w:hAnsi="宋体" w:eastAsia="宋体" w:cs="宋体"/>
          <w:color w:val="000000" w:themeColor="text1"/>
          <w:sz w:val="24"/>
          <w14:textFill>
            <w14:solidFill>
              <w14:schemeClr w14:val="tx1"/>
            </w14:solidFill>
          </w14:textFill>
        </w:rPr>
        <w:t>本项目不收取。</w:t>
      </w:r>
    </w:p>
    <w:bookmarkEnd w:id="144"/>
    <w:p>
      <w:pPr>
        <w:pStyle w:val="7"/>
        <w:spacing w:line="360" w:lineRule="auto"/>
        <w:ind w:firstLine="482" w:firstLineChars="200"/>
        <w:rPr>
          <w:rFonts w:hint="eastAsia" w:ascii="宋体" w:hAnsi="宋体" w:eastAsia="宋体" w:cs="宋体"/>
          <w:b w:val="0"/>
          <w:color w:val="000000" w:themeColor="text1"/>
          <w:sz w:val="24"/>
          <w:szCs w:val="24"/>
          <w14:textFill>
            <w14:solidFill>
              <w14:schemeClr w14:val="tx1"/>
            </w14:solidFill>
          </w14:textFill>
        </w:rPr>
      </w:pPr>
      <w:bookmarkStart w:id="147" w:name="_Toc490290220"/>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履行合同</w:t>
      </w:r>
      <w:bookmarkEnd w:id="145"/>
      <w:bookmarkEnd w:id="146"/>
      <w:bookmarkEnd w:id="147"/>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.1 中标人与采购人签订合同后，合同双方应严格执行合同条款，履行合同规定的义务，保证合同的顺利完成。</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.2 在合同履行过程中，如发生合同纠纷，合同双方应按照《中华人民共和国民法典》的有关规定进行处理。</w:t>
      </w:r>
    </w:p>
    <w:p>
      <w:pPr>
        <w:pStyle w:val="7"/>
        <w:spacing w:line="360" w:lineRule="auto"/>
        <w:ind w:firstLine="482" w:firstLineChars="200"/>
        <w:rPr>
          <w:rFonts w:hint="eastAsia" w:ascii="宋体" w:hAnsi="宋体" w:eastAsia="宋体" w:cs="宋体"/>
          <w:b w:val="0"/>
          <w:color w:val="000000" w:themeColor="text1"/>
          <w:sz w:val="24"/>
          <w:szCs w:val="24"/>
          <w14:textFill>
            <w14:solidFill>
              <w14:schemeClr w14:val="tx1"/>
            </w14:solidFill>
          </w14:textFill>
        </w:rPr>
      </w:pPr>
      <w:bookmarkStart w:id="148" w:name="_Toc490290221"/>
      <w:bookmarkStart w:id="149" w:name="_Toc308164814"/>
      <w:bookmarkStart w:id="150" w:name="_Toc217446070"/>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验收</w:t>
      </w:r>
      <w:bookmarkEnd w:id="148"/>
      <w:bookmarkEnd w:id="149"/>
      <w:bookmarkEnd w:id="150"/>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.1本项目采购人将严格按照政府采购相关法律法规以及</w:t>
      </w:r>
      <w:r>
        <w:rPr>
          <w:rFonts w:hint="eastAsia" w:ascii="宋体" w:hAnsi="宋体" w:eastAsia="宋体" w:cs="宋体"/>
          <w:color w:val="000000" w:themeColor="text1"/>
          <w:kern w:val="1"/>
          <w:sz w:val="24"/>
          <w14:textFill>
            <w14:solidFill>
              <w14:schemeClr w14:val="tx1"/>
            </w14:solidFill>
          </w14:textFill>
        </w:rPr>
        <w:t>《财政部关于进一步加强政府采购需求和履约验收管理的指导意见》（财库〔2016〕205号）</w:t>
      </w:r>
      <w:r>
        <w:rPr>
          <w:rFonts w:hint="eastAsia" w:ascii="宋体" w:hAnsi="宋体" w:eastAsia="宋体" w:cs="宋体"/>
          <w:color w:val="000000" w:themeColor="text1"/>
          <w:sz w:val="24"/>
          <w14:textFill>
            <w14:solidFill>
              <w14:schemeClr w14:val="tx1"/>
            </w14:solidFill>
          </w14:textFill>
        </w:rPr>
        <w:t>的要求进行验收。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.2 验收结果合格的，采购人出具验收合格书，并无息退还中标人的履约保证金；验收结果不合格的，履约保证金将不予退还，也将不予支付采购资金，还可能会报告本项目同级财政部门按照政府采购法律法规有关规定给予行政处罚或者以失信行为记入诚信档案。</w:t>
      </w:r>
      <w:bookmarkStart w:id="151" w:name="_Toc217446071"/>
    </w:p>
    <w:p>
      <w:pPr>
        <w:pStyle w:val="7"/>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52" w:name="_Toc490290222"/>
      <w:bookmarkStart w:id="153" w:name="_Toc217446077"/>
      <w:bookmarkStart w:id="154" w:name="_Toc308164818"/>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.资金支付</w:t>
      </w:r>
      <w:bookmarkEnd w:id="152"/>
      <w:bookmarkEnd w:id="153"/>
      <w:bookmarkEnd w:id="154"/>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.1采购人按照政府采购合同规定，及时向中标供应商支付采购资金。</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.2付款方式：</w:t>
      </w:r>
      <w:r>
        <w:rPr>
          <w:rFonts w:hint="eastAsia" w:ascii="宋体" w:hAnsi="宋体" w:eastAsia="宋体" w:cs="宋体"/>
          <w:b/>
          <w:color w:val="000000" w:themeColor="text1"/>
          <w:sz w:val="24"/>
          <w14:textFill>
            <w14:solidFill>
              <w14:schemeClr w14:val="tx1"/>
            </w14:solidFill>
          </w14:textFill>
        </w:rPr>
        <w:t>详见第六章商务要求</w:t>
      </w:r>
      <w:r>
        <w:rPr>
          <w:rFonts w:hint="eastAsia" w:ascii="宋体" w:hAnsi="宋体" w:eastAsia="宋体" w:cs="宋体"/>
          <w:color w:val="000000" w:themeColor="text1"/>
          <w:sz w:val="24"/>
          <w14:textFill>
            <w14:solidFill>
              <w14:schemeClr w14:val="tx1"/>
            </w14:solidFill>
          </w14:textFill>
        </w:rPr>
        <w:t>。</w:t>
      </w:r>
    </w:p>
    <w:bookmarkEnd w:id="126"/>
    <w:bookmarkEnd w:id="127"/>
    <w:bookmarkEnd w:id="151"/>
    <w:p>
      <w:pPr>
        <w:pStyle w:val="4"/>
        <w:spacing w:line="360" w:lineRule="auto"/>
        <w:rPr>
          <w:rFonts w:hint="eastAsia" w:ascii="宋体" w:hAnsi="宋体" w:eastAsia="宋体" w:cs="宋体"/>
          <w:b/>
          <w:color w:val="000000" w:themeColor="text1"/>
          <w14:textFill>
            <w14:solidFill>
              <w14:schemeClr w14:val="tx1"/>
            </w14:solidFill>
          </w14:textFill>
        </w:rPr>
      </w:pPr>
      <w:bookmarkStart w:id="155" w:name="_Toc217446074"/>
      <w:bookmarkStart w:id="156" w:name="_Toc308164815"/>
      <w:bookmarkStart w:id="157" w:name="_Toc20614"/>
      <w:bookmarkStart w:id="158" w:name="_Toc490290223"/>
      <w:bookmarkStart w:id="159" w:name="_Toc27531"/>
      <w:bookmarkStart w:id="160" w:name="_Toc183682380"/>
      <w:bookmarkStart w:id="161" w:name="_Toc183582243"/>
      <w:r>
        <w:rPr>
          <w:rFonts w:hint="eastAsia" w:ascii="宋体" w:hAnsi="宋体" w:eastAsia="宋体" w:cs="宋体"/>
          <w:b/>
          <w:color w:val="000000" w:themeColor="text1"/>
          <w14:textFill>
            <w14:solidFill>
              <w14:schemeClr w14:val="tx1"/>
            </w14:solidFill>
          </w14:textFill>
        </w:rPr>
        <w:t>七、投标纪律要求</w:t>
      </w:r>
      <w:bookmarkEnd w:id="155"/>
      <w:bookmarkEnd w:id="156"/>
      <w:bookmarkEnd w:id="157"/>
      <w:bookmarkEnd w:id="158"/>
      <w:bookmarkEnd w:id="159"/>
    </w:p>
    <w:p>
      <w:pPr>
        <w:pStyle w:val="7"/>
        <w:spacing w:line="360" w:lineRule="auto"/>
        <w:ind w:firstLine="482" w:firstLineChars="200"/>
        <w:rPr>
          <w:rFonts w:hint="eastAsia" w:ascii="宋体" w:hAnsi="宋体" w:eastAsia="宋体" w:cs="宋体"/>
          <w:bCs w:val="0"/>
          <w:color w:val="000000" w:themeColor="text1"/>
          <w:sz w:val="24"/>
          <w:szCs w:val="24"/>
          <w14:textFill>
            <w14:solidFill>
              <w14:schemeClr w14:val="tx1"/>
            </w14:solidFill>
          </w14:textFill>
        </w:rPr>
      </w:pPr>
      <w:bookmarkStart w:id="162" w:name="_Toc217446075"/>
      <w:bookmarkStart w:id="163" w:name="_Toc308164816"/>
      <w:bookmarkStart w:id="164" w:name="_Toc490290224"/>
      <w:r>
        <w:rPr>
          <w:rFonts w:hint="eastAsia" w:ascii="宋体" w:hAnsi="宋体" w:eastAsia="宋体" w:cs="宋体"/>
          <w:color w:val="000000" w:themeColor="text1"/>
          <w:sz w:val="24"/>
          <w14:textFill>
            <w14:solidFill>
              <w14:schemeClr w14:val="tx1"/>
            </w14:solidFill>
          </w14:textFill>
        </w:rPr>
        <w:t xml:space="preserve">38. </w:t>
      </w:r>
      <w:r>
        <w:rPr>
          <w:rFonts w:hint="eastAsia" w:ascii="宋体" w:hAnsi="宋体" w:eastAsia="宋体" w:cs="宋体"/>
          <w:bCs w:val="0"/>
          <w:color w:val="000000" w:themeColor="text1"/>
          <w:sz w:val="24"/>
          <w:szCs w:val="24"/>
          <w14:textFill>
            <w14:solidFill>
              <w14:schemeClr w14:val="tx1"/>
            </w14:solidFill>
          </w14:textFill>
        </w:rPr>
        <w:t>投标人不得具有的情形</w:t>
      </w:r>
      <w:bookmarkEnd w:id="162"/>
      <w:bookmarkEnd w:id="163"/>
      <w:bookmarkEnd w:id="164"/>
    </w:p>
    <w:p>
      <w:pPr>
        <w:pStyle w:val="6"/>
        <w:spacing w:line="360" w:lineRule="auto"/>
        <w:ind w:firstLine="480"/>
        <w:rPr>
          <w:rFonts w:hint="eastAsia" w:ascii="宋体" w:hAnsi="宋体" w:eastAsia="宋体" w:cs="宋体"/>
          <w:color w:val="000000" w:themeColor="text1"/>
          <w:sz w:val="24"/>
          <w14:textFill>
            <w14:solidFill>
              <w14:schemeClr w14:val="tx1"/>
            </w14:solidFill>
          </w14:textFill>
        </w:rPr>
      </w:pPr>
      <w:bookmarkStart w:id="165" w:name="_Toc217446078"/>
      <w:bookmarkStart w:id="166" w:name="_Toc308164819"/>
      <w:bookmarkStart w:id="167" w:name="_Toc490290225"/>
      <w:r>
        <w:rPr>
          <w:rFonts w:hint="eastAsia" w:ascii="宋体" w:hAnsi="宋体" w:eastAsia="宋体" w:cs="宋体"/>
          <w:color w:val="000000" w:themeColor="text1"/>
          <w:sz w:val="24"/>
          <w14:textFill>
            <w14:solidFill>
              <w14:schemeClr w14:val="tx1"/>
            </w14:solidFill>
          </w14:textFill>
        </w:rPr>
        <w:t>投标人应当遵循公平竞争的原则，不得恶意串通，不得妨碍其他投标人的竞争行为，不得损害采购人或者其他投标人的合法权益。</w:t>
      </w:r>
    </w:p>
    <w:p>
      <w:pPr>
        <w:pStyle w:val="6"/>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在评标过程中发现投标人有上述情形的，评标委员会应当认定其投标无效，并书面报告本级财政部门。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38.1 投标人参加本项目投标不得有下列情形：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（1）提供虚假材料谋取中标；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（2）采取不正当手段诋毁、排挤其他投标人；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（3）与招标采购单位、其他投标人恶意串通；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（4）向招标采购单位、评标委员会成员行贿或者提供其他不正当利益；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（5）在招标过程中与招标采购单位进行协商谈判；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（6）中标或者成交后无正当理由拒不与采购人签订政府采购合同；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（7）未按照采购文件确定的事项签订政府采购合同；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（8）将政府采购合同转包或者违规分包；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（9）提供假冒伪劣产品；</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（10）擅自变更、中止或者终止政府采购合同；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（11）拒绝有关部门的监督检查或者向监督检查部门提供虚假情况；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（12）法律法规规定的其他情形。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投标人有上述情形的，按照规定追究法律责任，具备（1）-（10）条情形之一的，同时将取消中标资格或者认定中标无效。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38.2 投标人有下列情形之一的，视为投标人串通投标，其投标无效：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（1）不同投标人的投标文件由同一单位或者个人编制；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（2）不同投标人委托同一单位或者个人办理投标事宜；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（3）不同投标人的投标文件载明的项目管理成员或者联系人员为同一人；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（4）不同投标人的投标文件异常一致或者投标报价呈规律性差异；</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38.3 投标人存在下列情况之一的，投标无效: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（1）投标文件未按招标文件要求签署、盖章的；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）不具备招标文件中规定的资格要求的；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）报价超过招标文件中规定的预算金额或者最高限价的；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）投标文件含有采购人不能接受的附加条件的；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）法律、法规和招标文件规定的其他无效情形。</w:t>
      </w:r>
    </w:p>
    <w:p>
      <w:pPr>
        <w:pStyle w:val="4"/>
        <w:spacing w:line="360" w:lineRule="auto"/>
        <w:rPr>
          <w:rFonts w:hint="eastAsia" w:ascii="宋体" w:hAnsi="宋体" w:eastAsia="宋体" w:cs="宋体"/>
          <w:b/>
          <w:color w:val="000000" w:themeColor="text1"/>
          <w14:textFill>
            <w14:solidFill>
              <w14:schemeClr w14:val="tx1"/>
            </w14:solidFill>
          </w14:textFill>
        </w:rPr>
      </w:pPr>
      <w:bookmarkStart w:id="168" w:name="_Toc25204"/>
      <w:bookmarkStart w:id="169" w:name="_Toc27029"/>
      <w:r>
        <w:rPr>
          <w:rFonts w:hint="eastAsia" w:ascii="宋体" w:hAnsi="宋体" w:eastAsia="宋体" w:cs="宋体"/>
          <w:b/>
          <w:color w:val="000000" w:themeColor="text1"/>
          <w14:textFill>
            <w14:solidFill>
              <w14:schemeClr w14:val="tx1"/>
            </w14:solidFill>
          </w14:textFill>
        </w:rPr>
        <w:t>八、回避</w:t>
      </w:r>
      <w:bookmarkEnd w:id="168"/>
      <w:bookmarkEnd w:id="169"/>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39.回避</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widowControl/>
        <w:shd w:val="clear" w:color="auto" w:fill="FFFFFF"/>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（一）参加采购活动前3年内与供应商存在劳动关系；</w:t>
      </w:r>
    </w:p>
    <w:p>
      <w:pPr>
        <w:widowControl/>
        <w:shd w:val="clear" w:color="auto" w:fill="FFFFFF"/>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（二）参加采购活动前3年内担任供应商的董事、监事；</w:t>
      </w:r>
    </w:p>
    <w:p>
      <w:pPr>
        <w:widowControl/>
        <w:shd w:val="clear" w:color="auto" w:fill="FFFFFF"/>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（三）参加采购活动前3年内是供应商的控股股东或者实际控制人；</w:t>
      </w:r>
    </w:p>
    <w:p>
      <w:pPr>
        <w:widowControl/>
        <w:shd w:val="clear" w:color="auto" w:fill="FFFFFF"/>
        <w:spacing w:line="360" w:lineRule="auto"/>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（四）与供应商的法定代表人或者负责人有夫妻、直系血亲、三代以内旁系血亲或者近姻亲关系；</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（五）与供应商有其他可能影响政府采购活动公平、公正进行的关系。</w:t>
      </w:r>
    </w:p>
    <w:p>
      <w:pPr>
        <w:widowControl/>
        <w:shd w:val="clear" w:color="auto" w:fill="FFFFFF"/>
        <w:spacing w:line="360" w:lineRule="auto"/>
        <w:ind w:firstLine="57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360" w:lineRule="auto"/>
        <w:rPr>
          <w:rFonts w:hint="eastAsia" w:ascii="宋体" w:hAnsi="宋体" w:eastAsia="宋体" w:cs="宋体"/>
          <w:b/>
          <w:color w:val="000000" w:themeColor="text1"/>
          <w14:textFill>
            <w14:solidFill>
              <w14:schemeClr w14:val="tx1"/>
            </w14:solidFill>
          </w14:textFill>
        </w:rPr>
      </w:pPr>
      <w:bookmarkStart w:id="170" w:name="_Toc25630"/>
      <w:bookmarkStart w:id="171" w:name="_Toc8952"/>
      <w:r>
        <w:rPr>
          <w:rFonts w:hint="eastAsia" w:ascii="宋体" w:hAnsi="宋体" w:eastAsia="宋体" w:cs="宋体"/>
          <w:b/>
          <w:color w:val="000000" w:themeColor="text1"/>
          <w14:textFill>
            <w14:solidFill>
              <w14:schemeClr w14:val="tx1"/>
            </w14:solidFill>
          </w14:textFill>
        </w:rPr>
        <w:t>九、询问、质疑和投诉</w:t>
      </w:r>
      <w:bookmarkEnd w:id="165"/>
      <w:bookmarkEnd w:id="166"/>
      <w:bookmarkEnd w:id="167"/>
      <w:bookmarkEnd w:id="170"/>
      <w:bookmarkEnd w:id="171"/>
      <w:bookmarkStart w:id="172" w:name="_Toc217446079"/>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40. 询问、质疑和投诉</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询问、质疑、投诉的接收和处理严格按照《中华人民共和国政府采购法》、《中华人民共和国政府采购法实施条例》、《中华人民共和国财政部令第94号政府采购质疑和投诉办法》、《财政部关于加强政府采购供应商投诉受理审查工作的通知》以及四川省财政厅《关于贯彻落实&lt;中华人民共和国政府采购法实施条例&gt;的若干规定》、《四川省政府采购供应商投诉处理工作规程》的规定办理（详细规定请在四川政府采购网政策法规模块查询）。</w:t>
      </w:r>
      <w:bookmarkEnd w:id="160"/>
      <w:bookmarkEnd w:id="161"/>
      <w:bookmarkEnd w:id="172"/>
      <w:bookmarkStart w:id="173" w:name="_Toc490290227"/>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41.供应商询问、质疑的对象</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41.1根据委托代理协议约定，供应商对招标文件中供应商参加本次政府采购活动应当具备的条件、招标项目技术、商务及其他要求以及评标细则及标准提出询问或质疑的，</w:t>
      </w:r>
      <w:r>
        <w:rPr>
          <w:rFonts w:hint="eastAsia" w:ascii="宋体" w:hAnsi="宋体" w:eastAsia="宋体" w:cs="宋体"/>
          <w:color w:val="000000" w:themeColor="text1"/>
          <w:sz w:val="24"/>
          <w14:textFill>
            <w14:solidFill>
              <w14:schemeClr w14:val="tx1"/>
            </w14:solidFill>
          </w14:textFill>
        </w:rPr>
        <w:t>应于报名成功获取招标文件之日起7个工作日内按招标文件中的联系方式，以书面形式通知</w:t>
      </w:r>
      <w:r>
        <w:rPr>
          <w:rFonts w:hint="eastAsia" w:ascii="宋体" w:hAnsi="宋体" w:eastAsia="宋体" w:cs="宋体"/>
          <w:bCs/>
          <w:color w:val="000000" w:themeColor="text1"/>
          <w:sz w:val="24"/>
          <w14:textFill>
            <w14:solidFill>
              <w14:schemeClr w14:val="tx1"/>
            </w14:solidFill>
          </w14:textFill>
        </w:rPr>
        <w:t>采购人，由采购人按相关规定答复询问（质疑）人。</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41.2根据委托代理协议约定，供应商对除上述招标文件中的其他内容、采购过程及中标结果提出询问或质疑的，应向采购代理机构提出。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41.3供应商提出的询问，应当明确询问事项，如以书面形式提出的，应由供应商签字并加盖公章。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41.4供应商应在法定质疑期内一次性提出针对同一采购程序环节的质疑。</w:t>
      </w:r>
    </w:p>
    <w:p>
      <w:pPr>
        <w:pStyle w:val="7"/>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42.供应商提出质疑时应当准备的资料</w:t>
      </w:r>
    </w:p>
    <w:p>
      <w:pPr>
        <w:tabs>
          <w:tab w:val="left" w:pos="567"/>
          <w:tab w:val="left" w:pos="1134"/>
        </w:tabs>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（一）质疑书正本1份，副本2份（如果涉及更多的供应商须提供相应数量的副本）；</w:t>
      </w:r>
    </w:p>
    <w:p>
      <w:pPr>
        <w:tabs>
          <w:tab w:val="left" w:pos="567"/>
          <w:tab w:val="left" w:pos="1134"/>
        </w:tabs>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（二）法定代表人身份证复印件1份；</w:t>
      </w:r>
    </w:p>
    <w:p>
      <w:pPr>
        <w:widowControl/>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（三）法定代表人授权委托书1份（委托授权代表办理质疑事宜的需提供）；</w:t>
      </w:r>
    </w:p>
    <w:p>
      <w:pPr>
        <w:widowControl/>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（四）营业执照复印件1份（加盖公章）；</w:t>
      </w:r>
    </w:p>
    <w:p>
      <w:pPr>
        <w:widowControl/>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（五）委托授权代表身份证复印件1份（委托授权代表办理质疑事宜的需提供）；</w:t>
      </w:r>
    </w:p>
    <w:p>
      <w:pPr>
        <w:widowControl/>
        <w:spacing w:line="360" w:lineRule="auto"/>
        <w:ind w:firstLine="360"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（六）针对质疑事项必要的证明材料。</w:t>
      </w:r>
    </w:p>
    <w:p>
      <w:pPr>
        <w:widowControl/>
        <w:spacing w:line="360" w:lineRule="auto"/>
        <w:ind w:firstLine="361" w:firstLineChars="150"/>
        <w:jc w:val="left"/>
        <w:rPr>
          <w:rFonts w:hint="eastAsia" w:ascii="宋体" w:hAnsi="宋体" w:eastAsia="宋体" w:cs="宋体"/>
          <w:b/>
          <w:color w:val="000000" w:themeColor="text1"/>
          <w:szCs w:val="20"/>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w:t>
      </w:r>
      <w:r>
        <w:rPr>
          <w:rFonts w:hint="eastAsia" w:ascii="宋体" w:hAnsi="宋体" w:eastAsia="宋体" w:cs="宋体"/>
          <w:b/>
          <w:color w:val="000000" w:themeColor="text1"/>
          <w:szCs w:val="20"/>
          <w14:textFill>
            <w14:solidFill>
              <w14:schemeClr w14:val="tx1"/>
            </w14:solidFill>
          </w14:textFill>
        </w:rPr>
        <w:t>供应商如为邮寄的询问（质疑），应按投标人须知附表里的联系方式递交并在邮件封面注明“XX项目询问（质疑）”，收件人不能为项目负责人或个人，否则采购人或采购代理机构将视为无效送达。</w:t>
      </w:r>
    </w:p>
    <w:p>
      <w:pPr>
        <w:widowControl/>
        <w:spacing w:line="360" w:lineRule="auto"/>
        <w:ind w:firstLine="361" w:firstLineChars="1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供应商对采购人、采购代理机构的质疑答复不满意，或者采购人、采购代理机构未在规定期限内作出答复的，供应商可以在答复期满后15个工作日内向同级财政部门提起投诉。</w:t>
      </w:r>
    </w:p>
    <w:p>
      <w:pPr>
        <w:pStyle w:val="4"/>
        <w:spacing w:line="360" w:lineRule="auto"/>
        <w:rPr>
          <w:rFonts w:hint="eastAsia" w:ascii="宋体" w:hAnsi="宋体" w:eastAsia="宋体" w:cs="宋体"/>
          <w:color w:val="000000" w:themeColor="text1"/>
          <w14:textFill>
            <w14:solidFill>
              <w14:schemeClr w14:val="tx1"/>
            </w14:solidFill>
          </w14:textFill>
        </w:rPr>
      </w:pPr>
      <w:bookmarkStart w:id="174" w:name="_Toc28987"/>
      <w:bookmarkStart w:id="175" w:name="_Toc241"/>
      <w:r>
        <w:rPr>
          <w:rFonts w:hint="eastAsia" w:ascii="宋体" w:hAnsi="宋体" w:eastAsia="宋体" w:cs="宋体"/>
          <w:b/>
          <w:color w:val="000000" w:themeColor="text1"/>
          <w14:textFill>
            <w14:solidFill>
              <w14:schemeClr w14:val="tx1"/>
            </w14:solidFill>
          </w14:textFill>
        </w:rPr>
        <w:t>十、其他</w:t>
      </w:r>
      <w:bookmarkEnd w:id="173"/>
      <w:bookmarkEnd w:id="174"/>
      <w:bookmarkEnd w:id="175"/>
      <w:bookmarkStart w:id="176" w:name="_Toc490290228"/>
    </w:p>
    <w:p>
      <w:pPr>
        <w:widowControl/>
        <w:spacing w:line="360" w:lineRule="auto"/>
        <w:ind w:firstLine="360" w:firstLineChars="150"/>
        <w:jc w:val="left"/>
        <w:rPr>
          <w:rFonts w:hint="eastAsia" w:ascii="宋体" w:hAnsi="宋体" w:eastAsia="宋体" w:cs="宋体"/>
          <w:b/>
          <w:color w:val="000000" w:themeColor="text1"/>
          <w:szCs w:val="2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44.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76"/>
    </w:p>
    <w:p>
      <w:pPr>
        <w:pStyle w:val="32"/>
        <w:spacing w:before="0" w:after="0" w:line="360" w:lineRule="auto"/>
        <w:ind w:firstLine="480" w:firstLineChars="200"/>
        <w:jc w:val="left"/>
        <w:outlineLvl w:val="9"/>
        <w:rPr>
          <w:rFonts w:hint="eastAsia" w:ascii="宋体" w:hAnsi="宋体" w:eastAsia="宋体" w:cs="宋体"/>
          <w:b w:val="0"/>
          <w:bCs w:val="0"/>
          <w:color w:val="000000" w:themeColor="text1"/>
          <w:sz w:val="24"/>
          <w:szCs w:val="24"/>
          <w14:textFill>
            <w14:solidFill>
              <w14:schemeClr w14:val="tx1"/>
            </w14:solidFill>
          </w14:textFill>
        </w:rPr>
      </w:pPr>
      <w:bookmarkStart w:id="177" w:name="_Toc21571"/>
      <w:bookmarkStart w:id="178" w:name="_Toc1816"/>
      <w:bookmarkStart w:id="179" w:name="_Toc11375"/>
      <w:bookmarkStart w:id="180" w:name="_Toc16112"/>
      <w:bookmarkStart w:id="181" w:name="_Toc6231"/>
      <w:bookmarkStart w:id="182" w:name="_Toc490290229"/>
      <w:bookmarkStart w:id="183" w:name="_Toc217446083"/>
      <w:r>
        <w:rPr>
          <w:rFonts w:hint="eastAsia" w:ascii="宋体" w:hAnsi="宋体" w:eastAsia="宋体" w:cs="宋体"/>
          <w:b w:val="0"/>
          <w:bCs w:val="0"/>
          <w:color w:val="000000" w:themeColor="text1"/>
          <w:sz w:val="24"/>
          <w:szCs w:val="24"/>
          <w14:textFill>
            <w14:solidFill>
              <w14:schemeClr w14:val="tx1"/>
            </w14:solidFill>
          </w14:textFill>
        </w:rPr>
        <w:t>45、强制性要求（实质性要求）</w:t>
      </w:r>
      <w:bookmarkEnd w:id="177"/>
      <w:bookmarkEnd w:id="178"/>
      <w:bookmarkEnd w:id="179"/>
      <w:bookmarkEnd w:id="180"/>
      <w:bookmarkEnd w:id="181"/>
    </w:p>
    <w:p>
      <w:pPr>
        <w:pStyle w:val="32"/>
        <w:spacing w:before="0" w:after="0" w:line="360" w:lineRule="auto"/>
        <w:ind w:firstLine="480" w:firstLineChars="200"/>
        <w:outlineLvl w:val="9"/>
        <w:rPr>
          <w:rFonts w:hint="eastAsia" w:ascii="宋体" w:hAnsi="宋体" w:eastAsia="宋体" w:cs="宋体"/>
          <w:b w:val="0"/>
          <w:bCs w:val="0"/>
          <w:color w:val="000000" w:themeColor="text1"/>
          <w:sz w:val="24"/>
          <w:szCs w:val="24"/>
          <w14:textFill>
            <w14:solidFill>
              <w14:schemeClr w14:val="tx1"/>
            </w14:solidFill>
          </w14:textFill>
        </w:rPr>
      </w:pPr>
      <w:bookmarkStart w:id="184" w:name="_Toc22088"/>
      <w:bookmarkStart w:id="185" w:name="_Toc8188"/>
      <w:bookmarkStart w:id="186" w:name="_Toc10696"/>
      <w:bookmarkStart w:id="187" w:name="_Toc13618"/>
      <w:bookmarkStart w:id="188" w:name="_Toc11713"/>
      <w:bookmarkStart w:id="189" w:name="_Toc19663"/>
      <w:bookmarkStart w:id="190" w:name="_Toc9611"/>
      <w:bookmarkStart w:id="191" w:name="_Toc25319"/>
      <w:r>
        <w:rPr>
          <w:rFonts w:hint="eastAsia" w:ascii="宋体" w:hAnsi="宋体" w:eastAsia="宋体" w:cs="宋体"/>
          <w:b w:val="0"/>
          <w:bCs w:val="0"/>
          <w:color w:val="000000" w:themeColor="text1"/>
          <w:sz w:val="24"/>
          <w:szCs w:val="24"/>
          <w14:textFill>
            <w14:solidFill>
              <w14:schemeClr w14:val="tx1"/>
            </w14:solidFill>
          </w14:textFill>
        </w:rPr>
        <w:t>国家或行业主管部门对制造商、供应商和采购产品的技术标准、质量标准和资格资质条件等有强制性规定的，制造商、供应商或投标产品必须按规定符合相关要求。</w:t>
      </w:r>
      <w:bookmarkEnd w:id="184"/>
      <w:bookmarkEnd w:id="185"/>
      <w:bookmarkEnd w:id="186"/>
      <w:bookmarkEnd w:id="187"/>
      <w:bookmarkEnd w:id="188"/>
      <w:bookmarkEnd w:id="189"/>
      <w:bookmarkEnd w:id="190"/>
      <w:bookmarkEnd w:id="191"/>
    </w:p>
    <w:p>
      <w:pPr>
        <w:pStyle w:val="32"/>
        <w:spacing w:before="0" w:after="0" w:line="360" w:lineRule="auto"/>
        <w:ind w:firstLine="643"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192" w:name="_Toc27611"/>
      <w:bookmarkStart w:id="193" w:name="_Toc16728"/>
      <w:r>
        <w:rPr>
          <w:rFonts w:hint="eastAsia" w:ascii="宋体" w:hAnsi="宋体" w:eastAsia="宋体" w:cs="宋体"/>
          <w:color w:val="000000" w:themeColor="text1"/>
          <w14:textFill>
            <w14:solidFill>
              <w14:schemeClr w14:val="tx1"/>
            </w14:solidFill>
          </w14:textFill>
        </w:rPr>
        <w:t>第三章 投标文件格式</w:t>
      </w:r>
      <w:bookmarkEnd w:id="182"/>
      <w:bookmarkEnd w:id="192"/>
      <w:bookmarkEnd w:id="193"/>
      <w:bookmarkStart w:id="194" w:name="_Toc308164821"/>
      <w:bookmarkStart w:id="195" w:name="_Toc217446082"/>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bookmarkStart w:id="196" w:name="_Toc490290230"/>
      <w:r>
        <w:rPr>
          <w:rFonts w:hint="eastAsia" w:ascii="宋体" w:hAnsi="宋体" w:eastAsia="宋体" w:cs="宋体"/>
          <w:color w:val="000000" w:themeColor="text1"/>
          <w14:textFill>
            <w14:solidFill>
              <w14:schemeClr w14:val="tx1"/>
            </w14:solidFill>
          </w14:textFill>
        </w:rPr>
        <w:t>一、本章所制投标文件格式，投标人可根据需要自行加长加宽，除格式中明确将该格式作为实质性要求的，一律不具有强制性。</w:t>
      </w:r>
      <w:bookmarkEnd w:id="196"/>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bookmarkStart w:id="197" w:name="_Toc490290231"/>
      <w:r>
        <w:rPr>
          <w:rFonts w:hint="eastAsia" w:ascii="宋体" w:hAnsi="宋体" w:eastAsia="宋体" w:cs="宋体"/>
          <w:color w:val="000000" w:themeColor="text1"/>
          <w14:textFill>
            <w14:solidFill>
              <w14:schemeClr w14:val="tx1"/>
            </w14:solidFill>
          </w14:textFill>
        </w:rPr>
        <w:t>二、本章所制投标文件格式有关表格中的备注栏，由投标人根据自身投标情况作解释性说明，不作为必填项。</w:t>
      </w:r>
      <w:bookmarkEnd w:id="197"/>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bookmarkStart w:id="198" w:name="_Toc490290232"/>
      <w:r>
        <w:rPr>
          <w:rFonts w:hint="eastAsia" w:ascii="宋体" w:hAnsi="宋体" w:eastAsia="宋体" w:cs="宋体"/>
          <w:color w:val="000000" w:themeColor="text1"/>
          <w14:textFill>
            <w14:solidFill>
              <w14:schemeClr w14:val="tx1"/>
            </w14:solidFill>
          </w14:textFill>
        </w:rPr>
        <w:t>三、本章所制投标文件格式中需要填写的相关内容事项，可能会与本采购项目无关，在不改变投标文件原义、不影响本项目采购需求的情况下，投标人可以不予填写，但应当注明。</w:t>
      </w:r>
      <w:bookmarkEnd w:id="198"/>
    </w:p>
    <w:p>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四、本章所制投标文件格式中“注”为提醒供应商注意事项，供应商在制作投标文件时可不用将其写于投标文件中，但投标文件必须对招标文件的内容做实质性响应。</w:t>
      </w:r>
    </w:p>
    <w:p>
      <w:pPr>
        <w:pStyle w:val="5"/>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第一部分     “资格性投标文件”格式</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格式1-1</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封面：</w:t>
      </w:r>
    </w:p>
    <w:p>
      <w:pPr>
        <w:spacing w:line="360" w:lineRule="auto"/>
        <w:jc w:val="right"/>
        <w:rPr>
          <w:rFonts w:hint="eastAsia" w:ascii="宋体" w:hAnsi="宋体" w:eastAsia="宋体" w:cs="宋体"/>
          <w:b/>
          <w:color w:val="000000" w:themeColor="text1"/>
          <w:sz w:val="36"/>
          <w14:textFill>
            <w14:solidFill>
              <w14:schemeClr w14:val="tx1"/>
            </w14:solidFill>
          </w14:textFill>
        </w:rPr>
      </w:pPr>
    </w:p>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72"/>
          <w14:textFill>
            <w14:solidFill>
              <w14:schemeClr w14:val="tx1"/>
            </w14:solidFill>
          </w14:textFill>
        </w:rPr>
      </w:pPr>
      <w:r>
        <w:rPr>
          <w:rFonts w:hint="eastAsia" w:ascii="宋体" w:hAnsi="宋体" w:eastAsia="宋体" w:cs="宋体"/>
          <w:b/>
          <w:color w:val="000000" w:themeColor="text1"/>
          <w:sz w:val="40"/>
          <w:szCs w:val="48"/>
          <w14:textFill>
            <w14:solidFill>
              <w14:schemeClr w14:val="tx1"/>
            </w14:solidFill>
          </w14:textFill>
        </w:rPr>
        <w:t>项目</w:t>
      </w:r>
    </w:p>
    <w:p>
      <w:pPr>
        <w:spacing w:line="360" w:lineRule="auto"/>
        <w:rPr>
          <w:rFonts w:hint="eastAsia" w:ascii="宋体" w:hAnsi="宋体" w:eastAsia="宋体" w:cs="宋体"/>
          <w:b/>
          <w:color w:val="000000" w:themeColor="text1"/>
          <w:sz w:val="52"/>
          <w:szCs w:val="5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资格性投标文件</w:t>
      </w:r>
    </w:p>
    <w:p>
      <w:pPr>
        <w:spacing w:line="360" w:lineRule="auto"/>
        <w:rPr>
          <w:rFonts w:hint="eastAsia" w:ascii="宋体" w:hAnsi="宋体" w:eastAsia="宋体" w:cs="宋体"/>
          <w:b/>
          <w:color w:val="000000" w:themeColor="text1"/>
          <w:sz w:val="36"/>
          <w14:textFill>
            <w14:solidFill>
              <w14:schemeClr w14:val="tx1"/>
            </w14:solidFill>
          </w14:textFill>
        </w:rPr>
      </w:pPr>
    </w:p>
    <w:p>
      <w:pPr>
        <w:spacing w:line="360" w:lineRule="auto"/>
        <w:rPr>
          <w:rFonts w:hint="eastAsia" w:ascii="宋体" w:hAnsi="宋体" w:eastAsia="宋体" w:cs="宋体"/>
          <w:b/>
          <w:color w:val="000000" w:themeColor="text1"/>
          <w:sz w:val="36"/>
          <w14:textFill>
            <w14:solidFill>
              <w14:schemeClr w14:val="tx1"/>
            </w14:solidFill>
          </w14:textFill>
        </w:rPr>
      </w:pPr>
    </w:p>
    <w:p>
      <w:pPr>
        <w:spacing w:line="360" w:lineRule="auto"/>
        <w:jc w:val="left"/>
        <w:rPr>
          <w:rFonts w:hint="eastAsia" w:ascii="宋体" w:hAnsi="宋体" w:eastAsia="宋体" w:cs="宋体"/>
          <w:b/>
          <w:color w:val="000000" w:themeColor="text1"/>
          <w:sz w:val="32"/>
          <w:u w:val="single"/>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 标 人名称：</w:t>
      </w:r>
    </w:p>
    <w:p>
      <w:pPr>
        <w:spacing w:line="360" w:lineRule="auto"/>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采购项目编号：</w:t>
      </w:r>
    </w:p>
    <w:p>
      <w:pPr>
        <w:spacing w:line="360" w:lineRule="auto"/>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包号：</w:t>
      </w:r>
    </w:p>
    <w:p>
      <w:pPr>
        <w:spacing w:line="360" w:lineRule="auto"/>
        <w:ind w:firstLine="790" w:firstLineChars="246"/>
        <w:jc w:val="center"/>
        <w:rPr>
          <w:rFonts w:hint="eastAsia" w:ascii="宋体" w:hAnsi="宋体" w:eastAsia="宋体" w:cs="宋体"/>
          <w:b/>
          <w:color w:val="000000" w:themeColor="text1"/>
          <w:sz w:val="32"/>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投标日期</w:t>
      </w:r>
      <w:r>
        <w:rPr>
          <w:rFonts w:hint="eastAsia" w:ascii="宋体" w:hAnsi="宋体" w:eastAsia="宋体" w:cs="宋体"/>
          <w:b/>
          <w:color w:val="000000" w:themeColor="text1"/>
          <w:sz w:val="32"/>
          <w:highlight w:val="none"/>
          <w14:textFill>
            <w14:solidFill>
              <w14:schemeClr w14:val="tx1"/>
            </w14:solidFill>
          </w14:textFill>
        </w:rPr>
        <w:t>：202</w:t>
      </w:r>
      <w:r>
        <w:rPr>
          <w:rFonts w:hint="eastAsia" w:ascii="宋体" w:hAnsi="宋体" w:eastAsia="宋体" w:cs="宋体"/>
          <w:b/>
          <w:color w:val="000000" w:themeColor="text1"/>
          <w:sz w:val="32"/>
          <w:highlight w:val="none"/>
          <w:lang w:val="en-US" w:eastAsia="zh-CN"/>
          <w14:textFill>
            <w14:solidFill>
              <w14:schemeClr w14:val="tx1"/>
            </w14:solidFill>
          </w14:textFill>
        </w:rPr>
        <w:t>2</w:t>
      </w:r>
      <w:r>
        <w:rPr>
          <w:rFonts w:hint="eastAsia" w:ascii="宋体" w:hAnsi="宋体" w:eastAsia="宋体" w:cs="宋体"/>
          <w:b/>
          <w:color w:val="000000" w:themeColor="text1"/>
          <w:sz w:val="32"/>
          <w14:textFill>
            <w14:solidFill>
              <w14:schemeClr w14:val="tx1"/>
            </w14:solidFill>
          </w14:textFill>
        </w:rPr>
        <w:t>年  月  日</w:t>
      </w:r>
    </w:p>
    <w:p>
      <w:pPr>
        <w:spacing w:line="360" w:lineRule="auto"/>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格式1-2</w:t>
      </w:r>
    </w:p>
    <w:p>
      <w:pPr>
        <w:pStyle w:val="5"/>
        <w:keepNext w:val="0"/>
        <w:keepLines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w:t>
      </w:r>
      <w:r>
        <w:rPr>
          <w:rFonts w:hint="eastAsia" w:ascii="宋体" w:hAnsi="宋体" w:eastAsia="宋体" w:cs="宋体"/>
          <w:bCs w:val="0"/>
          <w:color w:val="000000" w:themeColor="text1"/>
          <w14:textFill>
            <w14:solidFill>
              <w14:schemeClr w14:val="tx1"/>
            </w14:solidFill>
          </w14:textFill>
        </w:rPr>
        <w:t>法定代表人/单位负责人身份证明书</w:t>
      </w:r>
    </w:p>
    <w:p>
      <w:pPr>
        <w:pStyle w:val="19"/>
        <w:spacing w:line="360" w:lineRule="auto"/>
        <w:ind w:left="0" w:left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四川轩辕招标代理有限公司：</w:t>
      </w:r>
    </w:p>
    <w:p>
      <w:pPr>
        <w:tabs>
          <w:tab w:val="left" w:pos="6300"/>
        </w:tabs>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u w:val="single"/>
          <w:lang w:val="zh-CN"/>
          <w14:textFill>
            <w14:solidFill>
              <w14:schemeClr w14:val="tx1"/>
            </w14:solidFill>
          </w14:textFill>
        </w:rPr>
        <w:t xml:space="preserve">（法定代表人姓名）         </w:t>
      </w:r>
      <w:r>
        <w:rPr>
          <w:rFonts w:hint="eastAsia" w:ascii="宋体" w:hAnsi="宋体" w:eastAsia="宋体" w:cs="宋体"/>
          <w:color w:val="000000" w:themeColor="text1"/>
          <w:sz w:val="24"/>
          <w:lang w:val="zh-CN"/>
          <w14:textFill>
            <w14:solidFill>
              <w14:schemeClr w14:val="tx1"/>
            </w14:solidFill>
          </w14:textFill>
        </w:rPr>
        <w:t>在（投标人名称） 处任</w:t>
      </w:r>
      <w:r>
        <w:rPr>
          <w:rFonts w:hint="eastAsia" w:ascii="宋体" w:hAnsi="宋体" w:eastAsia="宋体" w:cs="宋体"/>
          <w:color w:val="000000" w:themeColor="text1"/>
          <w:sz w:val="24"/>
          <w:u w:val="single"/>
          <w:lang w:val="zh-CN"/>
          <w14:textFill>
            <w14:solidFill>
              <w14:schemeClr w14:val="tx1"/>
            </w14:solidFill>
          </w14:textFill>
        </w:rPr>
        <w:t xml:space="preserve">         （职务名称）        </w:t>
      </w:r>
      <w:r>
        <w:rPr>
          <w:rFonts w:hint="eastAsia" w:ascii="宋体" w:hAnsi="宋体" w:eastAsia="宋体" w:cs="宋体"/>
          <w:color w:val="000000" w:themeColor="text1"/>
          <w:sz w:val="24"/>
          <w:lang w:val="zh-CN"/>
          <w14:textFill>
            <w14:solidFill>
              <w14:schemeClr w14:val="tx1"/>
            </w14:solidFill>
          </w14:textFill>
        </w:rPr>
        <w:t>职务，是</w:t>
      </w:r>
      <w:r>
        <w:rPr>
          <w:rFonts w:hint="eastAsia" w:ascii="宋体" w:hAnsi="宋体" w:eastAsia="宋体" w:cs="宋体"/>
          <w:color w:val="000000" w:themeColor="text1"/>
          <w:sz w:val="24"/>
          <w:u w:val="single"/>
          <w:lang w:val="zh-CN"/>
          <w14:textFill>
            <w14:solidFill>
              <w14:schemeClr w14:val="tx1"/>
            </w14:solidFill>
          </w14:textFill>
        </w:rPr>
        <w:t xml:space="preserve">      （投标人名称）    </w:t>
      </w:r>
      <w:r>
        <w:rPr>
          <w:rFonts w:hint="eastAsia" w:ascii="宋体" w:hAnsi="宋体" w:eastAsia="宋体" w:cs="宋体"/>
          <w:color w:val="000000" w:themeColor="text1"/>
          <w:sz w:val="24"/>
          <w:lang w:val="zh-CN"/>
          <w14:textFill>
            <w14:solidFill>
              <w14:schemeClr w14:val="tx1"/>
            </w14:solidFill>
          </w14:textFill>
        </w:rPr>
        <w:t>的法定代表人/单位负责人。</w:t>
      </w:r>
    </w:p>
    <w:p>
      <w:pPr>
        <w:tabs>
          <w:tab w:val="left" w:pos="6300"/>
        </w:tabs>
        <w:spacing w:line="360" w:lineRule="auto"/>
        <w:rPr>
          <w:rFonts w:hint="eastAsia" w:ascii="宋体" w:hAnsi="宋体" w:eastAsia="宋体" w:cs="宋体"/>
          <w:b/>
          <w:color w:val="000000" w:themeColor="text1"/>
          <w:sz w:val="24"/>
          <w:lang w:val="zh-CN"/>
          <w14:textFill>
            <w14:solidFill>
              <w14:schemeClr w14:val="tx1"/>
            </w14:solidFill>
          </w14:textFill>
        </w:rPr>
      </w:pPr>
    </w:p>
    <w:p>
      <w:pPr>
        <w:tabs>
          <w:tab w:val="left" w:pos="6300"/>
        </w:tabs>
        <w:spacing w:line="360" w:lineRule="auto"/>
        <w:rPr>
          <w:rFonts w:hint="eastAsia" w:ascii="宋体" w:hAnsi="宋体" w:eastAsia="宋体" w:cs="宋体"/>
          <w:b/>
          <w:color w:val="000000" w:themeColor="text1"/>
          <w:sz w:val="24"/>
          <w:lang w:val="zh-CN"/>
          <w14:textFill>
            <w14:solidFill>
              <w14:schemeClr w14:val="tx1"/>
            </w14:solidFill>
          </w14:textFill>
        </w:rPr>
      </w:pPr>
    </w:p>
    <w:p>
      <w:pPr>
        <w:tabs>
          <w:tab w:val="left" w:pos="6300"/>
        </w:tabs>
        <w:spacing w:line="360" w:lineRule="auto"/>
        <w:ind w:firstLine="573"/>
        <w:rPr>
          <w:rFonts w:hint="eastAsia" w:ascii="宋体" w:hAnsi="宋体" w:eastAsia="宋体" w:cs="宋体"/>
          <w:b/>
          <w:color w:val="000000" w:themeColor="text1"/>
          <w:sz w:val="24"/>
          <w:lang w:val="zh-CN"/>
          <w14:textFill>
            <w14:solidFill>
              <w14:schemeClr w14:val="tx1"/>
            </w14:solidFill>
          </w14:textFill>
        </w:rPr>
      </w:pPr>
    </w:p>
    <w:p>
      <w:pPr>
        <w:tabs>
          <w:tab w:val="left" w:pos="6300"/>
        </w:tabs>
        <w:spacing w:line="360" w:lineRule="auto"/>
        <w:ind w:firstLine="573"/>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特此证明。</w:t>
      </w:r>
    </w:p>
    <w:p>
      <w:pPr>
        <w:tabs>
          <w:tab w:val="left" w:pos="6300"/>
        </w:tabs>
        <w:spacing w:line="360" w:lineRule="auto"/>
        <w:rPr>
          <w:rFonts w:hint="eastAsia" w:ascii="宋体" w:hAnsi="宋体" w:eastAsia="宋体" w:cs="宋体"/>
          <w:b/>
          <w:color w:val="000000" w:themeColor="text1"/>
          <w:szCs w:val="21"/>
          <w:lang w:val="zh-CN"/>
          <w14:textFill>
            <w14:solidFill>
              <w14:schemeClr w14:val="tx1"/>
            </w14:solidFill>
          </w14:textFill>
        </w:rPr>
      </w:pPr>
    </w:p>
    <w:p>
      <w:pPr>
        <w:tabs>
          <w:tab w:val="left" w:pos="6300"/>
        </w:tabs>
        <w:spacing w:line="360" w:lineRule="auto"/>
        <w:rPr>
          <w:rFonts w:hint="eastAsia"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附件：法定代表人/单位负责人有效的身份证</w:t>
      </w:r>
      <w:r>
        <w:rPr>
          <w:rFonts w:hint="eastAsia" w:ascii="宋体" w:hAnsi="宋体" w:eastAsia="宋体" w:cs="宋体"/>
          <w:b/>
          <w:color w:val="000000" w:themeColor="text1"/>
          <w:szCs w:val="21"/>
          <w:lang w:val="zh-CN" w:eastAsia="zh-CN"/>
          <w14:textFill>
            <w14:solidFill>
              <w14:schemeClr w14:val="tx1"/>
            </w14:solidFill>
          </w14:textFill>
        </w:rPr>
        <w:t>复印件</w:t>
      </w:r>
      <w:r>
        <w:rPr>
          <w:rFonts w:hint="eastAsia" w:ascii="宋体" w:hAnsi="宋体" w:eastAsia="宋体" w:cs="宋体"/>
          <w:b/>
          <w:color w:val="000000" w:themeColor="text1"/>
          <w:szCs w:val="21"/>
          <w:lang w:val="zh-CN"/>
          <w14:textFill>
            <w14:solidFill>
              <w14:schemeClr w14:val="tx1"/>
            </w14:solidFill>
          </w14:textFill>
        </w:rPr>
        <w:t>（身份证两面均应提供）。投标人的法定代表人为外籍人士的，则需提供护照</w:t>
      </w:r>
      <w:r>
        <w:rPr>
          <w:rFonts w:hint="eastAsia" w:ascii="宋体" w:hAnsi="宋体" w:eastAsia="宋体" w:cs="宋体"/>
          <w:b/>
          <w:color w:val="000000" w:themeColor="text1"/>
          <w:szCs w:val="21"/>
          <w:lang w:val="zh-CN" w:eastAsia="zh-CN"/>
          <w14:textFill>
            <w14:solidFill>
              <w14:schemeClr w14:val="tx1"/>
            </w14:solidFill>
          </w14:textFill>
        </w:rPr>
        <w:t>复印件</w:t>
      </w:r>
      <w:r>
        <w:rPr>
          <w:rFonts w:hint="eastAsia" w:ascii="宋体" w:hAnsi="宋体" w:eastAsia="宋体" w:cs="宋体"/>
          <w:b/>
          <w:color w:val="000000" w:themeColor="text1"/>
          <w:szCs w:val="21"/>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r>
        <w:rPr>
          <w:rFonts w:hint="eastAsia" w:ascii="宋体" w:hAnsi="宋体" w:eastAsia="宋体" w:cs="宋体"/>
          <w:b/>
          <w:color w:val="000000" w:themeColor="text1"/>
          <w:sz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格式1-3</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二、法定代表人/单位负责人授权书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四川轩辕招标代理有限公司：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本授权声明：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（法定代表人/单位负责人姓名、职务）授权</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（被授权人姓名、职务）为我方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项目（采购项目编号：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）投标活动的合法代表，以我方名义全权处理该项目有关投标、签订合同以及执行合同等一切事宜。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tabs>
          <w:tab w:val="left" w:pos="6300"/>
        </w:tabs>
        <w:spacing w:line="360" w:lineRule="auto"/>
        <w:rPr>
          <w:rFonts w:hint="eastAsia" w:ascii="宋体" w:hAnsi="宋体" w:eastAsia="宋体" w:cs="宋体"/>
          <w:b/>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附件：授权代表有效的身份证</w:t>
      </w:r>
      <w:r>
        <w:rPr>
          <w:rFonts w:hint="eastAsia" w:ascii="宋体" w:hAnsi="宋体" w:eastAsia="宋体" w:cs="宋体"/>
          <w:b/>
          <w:color w:val="000000" w:themeColor="text1"/>
          <w:szCs w:val="21"/>
          <w:lang w:val="zh-CN" w:eastAsia="zh-CN"/>
          <w14:textFill>
            <w14:solidFill>
              <w14:schemeClr w14:val="tx1"/>
            </w14:solidFill>
          </w14:textFill>
        </w:rPr>
        <w:t>复印件</w:t>
      </w:r>
      <w:r>
        <w:rPr>
          <w:rFonts w:hint="eastAsia" w:ascii="宋体" w:hAnsi="宋体" w:eastAsia="宋体" w:cs="宋体"/>
          <w:b/>
          <w:color w:val="000000" w:themeColor="text1"/>
          <w:szCs w:val="21"/>
          <w:lang w:val="zh-CN"/>
          <w14:textFill>
            <w14:solidFill>
              <w14:schemeClr w14:val="tx1"/>
            </w14:solidFill>
          </w14:textFill>
        </w:rPr>
        <w:t>（身份证两面均应提供）。投标人的授权代表为外籍人士的，则需提供护照</w:t>
      </w:r>
      <w:r>
        <w:rPr>
          <w:rFonts w:hint="eastAsia" w:ascii="宋体" w:hAnsi="宋体" w:eastAsia="宋体" w:cs="宋体"/>
          <w:b/>
          <w:color w:val="000000" w:themeColor="text1"/>
          <w:szCs w:val="21"/>
          <w:lang w:val="zh-CN" w:eastAsia="zh-CN"/>
          <w14:textFill>
            <w14:solidFill>
              <w14:schemeClr w14:val="tx1"/>
            </w14:solidFill>
          </w14:textFill>
        </w:rPr>
        <w:t>复印件</w:t>
      </w:r>
      <w:r>
        <w:rPr>
          <w:rFonts w:hint="eastAsia" w:ascii="宋体" w:hAnsi="宋体" w:eastAsia="宋体" w:cs="宋体"/>
          <w:b/>
          <w:color w:val="000000" w:themeColor="text1"/>
          <w:szCs w:val="21"/>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法定代表人/单位负责人：（签字或者加盖个人名章 ） </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授权代表：（签字）</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ind w:firstLine="422" w:firstLineChars="200"/>
        <w:rPr>
          <w:rFonts w:hint="eastAsia" w:ascii="宋体" w:hAnsi="宋体" w:eastAsia="宋体" w:cs="宋体"/>
          <w:b/>
          <w:color w:val="000000" w:themeColor="text1"/>
          <w14:textFill>
            <w14:solidFill>
              <w14:schemeClr w14:val="tx1"/>
            </w14:solidFill>
          </w14:textFill>
        </w:rPr>
      </w:pPr>
    </w:p>
    <w:p>
      <w:pPr>
        <w:spacing w:line="360" w:lineRule="auto"/>
        <w:ind w:firstLine="422" w:firstLineChars="200"/>
        <w:rPr>
          <w:rFonts w:hint="eastAsia" w:ascii="宋体" w:hAnsi="宋体" w:eastAsia="宋体" w:cs="宋体"/>
          <w:b/>
          <w:color w:val="000000" w:themeColor="text1"/>
          <w14:textFill>
            <w14:solidFill>
              <w14:schemeClr w14:val="tx1"/>
            </w14:solidFill>
          </w14:textFill>
        </w:rPr>
      </w:pPr>
    </w:p>
    <w:p>
      <w:pPr>
        <w:spacing w:line="360" w:lineRule="auto"/>
        <w:ind w:firstLine="422" w:firstLineChars="200"/>
        <w:rPr>
          <w:rFonts w:hint="eastAsia" w:ascii="宋体" w:hAnsi="宋体" w:eastAsia="宋体" w:cs="宋体"/>
          <w:b/>
          <w:color w:val="000000" w:themeColor="text1"/>
          <w14:textFill>
            <w14:solidFill>
              <w14:schemeClr w14:val="tx1"/>
            </w14:solidFill>
          </w14:textFill>
        </w:rPr>
      </w:pP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2、身份证明材料包括居民身份证和其他法定有效证明。</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3、身份证明材料应同时提供其在有效期的材料，如居民身份证正、反面</w:t>
      </w:r>
      <w:r>
        <w:rPr>
          <w:rFonts w:hint="eastAsia" w:ascii="宋体" w:hAnsi="宋体" w:eastAsia="宋体" w:cs="宋体"/>
          <w:b/>
          <w:bCs/>
          <w:color w:val="000000" w:themeColor="text1"/>
          <w:lang w:val="zh-TW" w:eastAsia="zh-CN"/>
          <w14:textFill>
            <w14:solidFill>
              <w14:schemeClr w14:val="tx1"/>
            </w14:solidFill>
          </w14:textFill>
        </w:rPr>
        <w:t>复印件</w:t>
      </w:r>
      <w:r>
        <w:rPr>
          <w:rFonts w:hint="eastAsia" w:ascii="宋体" w:hAnsi="宋体" w:eastAsia="宋体" w:cs="宋体"/>
          <w:b/>
          <w:bCs/>
          <w:color w:val="000000" w:themeColor="text1"/>
          <w14:textFill>
            <w14:solidFill>
              <w14:schemeClr w14:val="tx1"/>
            </w14:solidFill>
          </w14:textFill>
        </w:rPr>
        <w:t>。</w:t>
      </w:r>
    </w:p>
    <w:p>
      <w:pPr>
        <w:spacing w:line="360" w:lineRule="auto"/>
        <w:ind w:firstLine="422"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4、投标文件均由投标人法定代表人/单位负责人签字的</w:t>
      </w:r>
      <w:r>
        <w:rPr>
          <w:rFonts w:hint="eastAsia" w:ascii="宋体" w:hAnsi="宋体" w:eastAsia="宋体" w:cs="宋体"/>
          <w:b/>
          <w:color w:val="000000" w:themeColor="text1"/>
          <w:kern w:val="0"/>
          <w:lang w:eastAsia="zh-CN"/>
          <w14:textFill>
            <w14:solidFill>
              <w14:schemeClr w14:val="tx1"/>
            </w14:solidFill>
          </w14:textFill>
        </w:rPr>
        <w:t>，</w:t>
      </w:r>
      <w:r>
        <w:rPr>
          <w:rFonts w:hint="eastAsia" w:ascii="宋体" w:hAnsi="宋体" w:eastAsia="宋体" w:cs="宋体"/>
          <w:b/>
          <w:color w:val="000000" w:themeColor="text1"/>
          <w:kern w:val="0"/>
          <w14:textFill>
            <w14:solidFill>
              <w14:schemeClr w14:val="tx1"/>
            </w14:solidFill>
          </w14:textFill>
        </w:rPr>
        <w:t>投标文件中可不提供该附件的内容。</w:t>
      </w: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格式1-4</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三、资格承诺函</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四川轩辕招标代理有限公司：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我单位作为本次采购项目的投标人，根据招标文件要求，现郑重承诺如下：</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（一）符合《中华人民共和国政府采购法》第二十二条规定的条件；</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5、参加本次政府采购活动前三年内，在经营活动中没有重大违法记录；</w:t>
      </w:r>
    </w:p>
    <w:p>
      <w:pPr>
        <w:pStyle w:val="87"/>
        <w:tabs>
          <w:tab w:val="left" w:pos="1260"/>
        </w:tabs>
        <w:ind w:firstLine="679" w:firstLineChars="283"/>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6、符合国家法律、行政法规规定的其他条件。</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（二）我公司作为本项目参加政府采购活动的投标人、法定代表人/主要负责人近3年内不具有行贿犯罪记录。</w:t>
      </w:r>
    </w:p>
    <w:p>
      <w:pPr>
        <w:pStyle w:val="87"/>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（三）我公司在截至投标截止日未被列入失信被执行人、重大税收违法案件当事人名单、政府采购严重违法失信行为记录名单。</w:t>
      </w:r>
    </w:p>
    <w:p>
      <w:pPr>
        <w:pStyle w:val="86"/>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本公司对上述承诺的内容事项真实性负责。如经查实上述承诺的内容事项存在虚假，我公司愿意接受以提供虚假材料谋取中标追究法律责任。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jc w:val="left"/>
        <w:rPr>
          <w:rFonts w:hint="eastAsia" w:ascii="宋体" w:hAnsi="宋体" w:eastAsia="宋体" w:cs="宋体"/>
          <w:color w:val="000000" w:themeColor="text1"/>
          <w:sz w:val="24"/>
          <w:u w:val="single"/>
          <w14:textFill>
            <w14:solidFill>
              <w14:schemeClr w14:val="tx1"/>
            </w14:solidFill>
          </w14:textFill>
        </w:rPr>
        <w:sectPr>
          <w:footerReference r:id="rId8" w:type="default"/>
          <w:pgSz w:w="11906" w:h="16838"/>
          <w:pgMar w:top="1440" w:right="1474" w:bottom="1440" w:left="1474" w:header="851" w:footer="850" w:gutter="0"/>
          <w:cols w:space="720" w:num="1"/>
          <w:docGrid w:type="lines" w:linePitch="312" w:charSpace="0"/>
        </w:sect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格式1-5</w:t>
      </w:r>
    </w:p>
    <w:p>
      <w:pPr>
        <w:spacing w:line="360" w:lineRule="auto"/>
        <w:ind w:firstLine="790" w:firstLineChars="246"/>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投标人和投标产品其他资格、资质性及其他类似效力要求的相关证明材料</w:t>
      </w:r>
    </w:p>
    <w:p>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注：投标人应按招标文件第五章相关要求提供佐证材料，有格式要求的从其要求，无格式要求的格式自拟。</w:t>
      </w:r>
    </w:p>
    <w:p>
      <w:pPr>
        <w:spacing w:line="360" w:lineRule="auto"/>
        <w:rPr>
          <w:rFonts w:hint="eastAsia" w:ascii="宋体" w:hAnsi="宋体" w:eastAsia="宋体" w:cs="宋体"/>
          <w:bCs/>
          <w:color w:val="000000" w:themeColor="text1"/>
          <w:sz w:val="24"/>
          <w14:textFill>
            <w14:solidFill>
              <w14:schemeClr w14:val="tx1"/>
            </w14:solidFill>
          </w14:textFill>
        </w:rPr>
      </w:pPr>
    </w:p>
    <w:p>
      <w:pPr>
        <w:pStyle w:val="5"/>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第二部分     “其他响应性投标文件”格式</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格式2-1</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封面：</w:t>
      </w:r>
    </w:p>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color w:val="000000" w:themeColor="text1"/>
          <w:sz w:val="72"/>
          <w14:textFill>
            <w14:solidFill>
              <w14:schemeClr w14:val="tx1"/>
            </w14:solidFill>
          </w14:textFill>
        </w:rPr>
      </w:pPr>
      <w:r>
        <w:rPr>
          <w:rFonts w:hint="eastAsia" w:ascii="宋体" w:hAnsi="宋体" w:eastAsia="宋体" w:cs="宋体"/>
          <w:b/>
          <w:color w:val="000000" w:themeColor="text1"/>
          <w:sz w:val="40"/>
          <w:szCs w:val="48"/>
          <w14:textFill>
            <w14:solidFill>
              <w14:schemeClr w14:val="tx1"/>
            </w14:solidFill>
          </w14:textFill>
        </w:rPr>
        <w:t>项目</w:t>
      </w:r>
    </w:p>
    <w:p>
      <w:pPr>
        <w:spacing w:line="360" w:lineRule="auto"/>
        <w:rPr>
          <w:rFonts w:hint="eastAsia" w:ascii="宋体" w:hAnsi="宋体" w:eastAsia="宋体" w:cs="宋体"/>
          <w:b/>
          <w:color w:val="000000" w:themeColor="text1"/>
          <w:sz w:val="52"/>
          <w:szCs w:val="52"/>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其他响应性投标文件</w:t>
      </w:r>
    </w:p>
    <w:p>
      <w:pPr>
        <w:spacing w:line="360" w:lineRule="auto"/>
        <w:rPr>
          <w:rFonts w:hint="eastAsia" w:ascii="宋体" w:hAnsi="宋体" w:eastAsia="宋体" w:cs="宋体"/>
          <w:b/>
          <w:color w:val="000000" w:themeColor="text1"/>
          <w:sz w:val="36"/>
          <w14:textFill>
            <w14:solidFill>
              <w14:schemeClr w14:val="tx1"/>
            </w14:solidFill>
          </w14:textFill>
        </w:rPr>
      </w:pPr>
    </w:p>
    <w:p>
      <w:pPr>
        <w:spacing w:line="360" w:lineRule="auto"/>
        <w:rPr>
          <w:rFonts w:hint="eastAsia" w:ascii="宋体" w:hAnsi="宋体" w:eastAsia="宋体" w:cs="宋体"/>
          <w:b/>
          <w:color w:val="000000" w:themeColor="text1"/>
          <w:sz w:val="36"/>
          <w14:textFill>
            <w14:solidFill>
              <w14:schemeClr w14:val="tx1"/>
            </w14:solidFill>
          </w14:textFill>
        </w:rPr>
      </w:pPr>
    </w:p>
    <w:p>
      <w:pPr>
        <w:spacing w:line="360" w:lineRule="auto"/>
        <w:jc w:val="left"/>
        <w:rPr>
          <w:rFonts w:hint="eastAsia" w:ascii="宋体" w:hAnsi="宋体" w:eastAsia="宋体" w:cs="宋体"/>
          <w:b/>
          <w:color w:val="000000" w:themeColor="text1"/>
          <w:sz w:val="32"/>
          <w:u w:val="single"/>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 标 人名称：</w:t>
      </w:r>
    </w:p>
    <w:p>
      <w:pPr>
        <w:spacing w:line="360" w:lineRule="auto"/>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采购项目编号：</w:t>
      </w:r>
    </w:p>
    <w:p>
      <w:pPr>
        <w:spacing w:line="360" w:lineRule="auto"/>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包号：</w:t>
      </w:r>
    </w:p>
    <w:p>
      <w:pPr>
        <w:spacing w:line="360" w:lineRule="auto"/>
        <w:jc w:val="left"/>
        <w:rPr>
          <w:rFonts w:hint="eastAsia" w:ascii="宋体" w:hAnsi="宋体" w:eastAsia="宋体" w:cs="宋体"/>
          <w:b/>
          <w:color w:val="000000" w:themeColor="text1"/>
          <w:sz w:val="32"/>
          <w:u w:val="single"/>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投标日期：</w:t>
      </w:r>
      <w:r>
        <w:rPr>
          <w:rFonts w:hint="eastAsia" w:ascii="宋体" w:hAnsi="宋体" w:eastAsia="宋体" w:cs="宋体"/>
          <w:b/>
          <w:color w:val="000000" w:themeColor="text1"/>
          <w:sz w:val="32"/>
          <w:highlight w:val="none"/>
          <w:lang w:val="en-US" w:eastAsia="zh-CN"/>
          <w14:textFill>
            <w14:solidFill>
              <w14:schemeClr w14:val="tx1"/>
            </w14:solidFill>
          </w14:textFill>
        </w:rPr>
        <w:t>2022</w:t>
      </w:r>
      <w:r>
        <w:rPr>
          <w:rFonts w:hint="eastAsia" w:ascii="宋体" w:hAnsi="宋体" w:eastAsia="宋体" w:cs="宋体"/>
          <w:b/>
          <w:color w:val="000000" w:themeColor="text1"/>
          <w:sz w:val="32"/>
          <w14:textFill>
            <w14:solidFill>
              <w14:schemeClr w14:val="tx1"/>
            </w14:solidFill>
          </w14:textFill>
        </w:rPr>
        <w:t>年  月  日</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格式2-2</w:t>
      </w:r>
    </w:p>
    <w:p>
      <w:pPr>
        <w:widowControl/>
        <w:numPr>
          <w:ilvl w:val="0"/>
          <w:numId w:val="6"/>
        </w:numPr>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 标 函</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四川轩辕招标代理有限公司：</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我方全面研究了 “</w:t>
      </w: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”项目招标文件（采购项目编号：　　），决定参加贵单位组织的本项目投标。我方授权</w:t>
      </w:r>
      <w:r>
        <w:rPr>
          <w:rFonts w:hint="eastAsia" w:ascii="宋体" w:hAnsi="宋体" w:eastAsia="宋体" w:cs="宋体"/>
          <w:color w:val="000000" w:themeColor="text1"/>
          <w:sz w:val="24"/>
          <w:u w:val="single"/>
          <w14:textFill>
            <w14:solidFill>
              <w14:schemeClr w14:val="tx1"/>
            </w14:solidFill>
          </w14:textFill>
        </w:rPr>
        <w:t xml:space="preserve">           （姓名、职务）</w:t>
      </w:r>
      <w:r>
        <w:rPr>
          <w:rFonts w:hint="eastAsia" w:ascii="宋体" w:hAnsi="宋体" w:eastAsia="宋体" w:cs="宋体"/>
          <w:color w:val="000000" w:themeColor="text1"/>
          <w:sz w:val="24"/>
          <w14:textFill>
            <w14:solidFill>
              <w14:schemeClr w14:val="tx1"/>
            </w14:solidFill>
          </w14:textFill>
        </w:rPr>
        <w:t>代表我方</w:t>
      </w:r>
      <w:r>
        <w:rPr>
          <w:rFonts w:hint="eastAsia" w:ascii="宋体" w:hAnsi="宋体" w:eastAsia="宋体" w:cs="宋体"/>
          <w:color w:val="000000" w:themeColor="text1"/>
          <w:sz w:val="24"/>
          <w:u w:val="single"/>
          <w14:textFill>
            <w14:solidFill>
              <w14:schemeClr w14:val="tx1"/>
            </w14:solidFill>
          </w14:textFill>
        </w:rPr>
        <w:t xml:space="preserve">            （投标人名称）</w:t>
      </w:r>
      <w:r>
        <w:rPr>
          <w:rFonts w:hint="eastAsia" w:ascii="宋体" w:hAnsi="宋体" w:eastAsia="宋体" w:cs="宋体"/>
          <w:color w:val="000000" w:themeColor="text1"/>
          <w:sz w:val="24"/>
          <w14:textFill>
            <w14:solidFill>
              <w14:schemeClr w14:val="tx1"/>
            </w14:solidFill>
          </w14:textFill>
        </w:rPr>
        <w:t>全权处理本项目投标的有关事宜。</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1、我方自愿按照招标文件规定的各项要求向采购人提供本项目所需货物及服务，</w:t>
      </w:r>
      <w:r>
        <w:rPr>
          <w:rFonts w:hint="eastAsia" w:ascii="宋体" w:hAnsi="宋体" w:eastAsia="宋体" w:cs="宋体"/>
          <w:b/>
          <w:color w:val="000000" w:themeColor="text1"/>
          <w:sz w:val="24"/>
          <w14:textFill>
            <w14:solidFill>
              <w14:schemeClr w14:val="tx1"/>
            </w14:solidFill>
          </w14:textFill>
        </w:rPr>
        <w:t>总投标报价以《开标一览表》为准。</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2、一旦我方中标，我方将严格履行政府采购合同规定的责任和义务，否则将承担由此产生的一切责任。</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、我方同意本次招标的投标有效期从提交投标文件的截止之日起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、我方愿意提供贵单位可能另外要求的，与投标有关的文件资料，并保证我方已提供和将要提供的文件资料是真实、准确的。</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、我单位联系方式：</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传真：                     </w:t>
      </w:r>
    </w:p>
    <w:p>
      <w:pPr>
        <w:spacing w:line="360" w:lineRule="auto"/>
        <w:ind w:firstLine="600" w:firstLineChars="2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邮政编码：</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格式2-3</w:t>
      </w:r>
    </w:p>
    <w:p>
      <w:pPr>
        <w:widowControl/>
        <w:numPr>
          <w:ilvl w:val="0"/>
          <w:numId w:val="6"/>
        </w:numPr>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承诺函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四川轩辕招标代理有限公司：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我单位作为本次采购项目的投标人，根据招标文件要求，现郑重承诺如下：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完全接受和满足本项目招标文件中规定的实质性要求（如合格的投标人、投标费用、充分、公平竞争保障措施、投标文件的语言、计量单位、投标货币、知识产权、招标文件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五、投标文件中提供的能够给予我单位带来优惠、好处的任何材料资料和技术、服务、商务、响应产品等响应承诺情况都是真实的、有效的、合法的。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本单位对上述承诺的内容事项真实性负责。如经查实上述承诺的内容事项存在虚假，我单位愿意接受以提供虚假材料谋取中标追究法律责任。</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格式2-4</w:t>
      </w:r>
    </w:p>
    <w:p>
      <w:pPr>
        <w:widowControl/>
        <w:numPr>
          <w:ilvl w:val="0"/>
          <w:numId w:val="7"/>
        </w:numPr>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开标一览表</w:t>
      </w:r>
    </w:p>
    <w:p>
      <w:pPr>
        <w:widowControl/>
        <w:spacing w:line="360" w:lineRule="auto"/>
        <w:ind w:firstLine="422"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项目名称：</w:t>
      </w:r>
    </w:p>
    <w:p>
      <w:pPr>
        <w:widowControl/>
        <w:spacing w:line="360" w:lineRule="auto"/>
        <w:ind w:firstLine="422"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采购项目编号：</w:t>
      </w:r>
    </w:p>
    <w:p>
      <w:pPr>
        <w:widowControl/>
        <w:spacing w:line="360" w:lineRule="auto"/>
        <w:ind w:firstLine="422" w:firstLineChars="200"/>
        <w:jc w:val="left"/>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包号</w:t>
      </w:r>
      <w:r>
        <w:rPr>
          <w:rFonts w:hint="eastAsia" w:ascii="宋体" w:hAnsi="宋体" w:eastAsia="宋体" w:cs="宋体"/>
          <w:b/>
          <w:bCs/>
          <w:color w:val="000000" w:themeColor="text1"/>
          <w:lang w:eastAsia="zh-CN"/>
          <w14:textFill>
            <w14:solidFill>
              <w14:schemeClr w14:val="tx1"/>
            </w14:solidFill>
          </w14:textFill>
        </w:rPr>
        <w:t>：</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37"/>
        <w:gridCol w:w="1400"/>
        <w:gridCol w:w="912"/>
        <w:gridCol w:w="1213"/>
        <w:gridCol w:w="1150"/>
        <w:gridCol w:w="850"/>
        <w:gridCol w:w="1325"/>
        <w:gridCol w:w="6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937"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400"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制造商家及</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w:t>
            </w:r>
          </w:p>
        </w:tc>
        <w:tc>
          <w:tcPr>
            <w:tcW w:w="912"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213"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投标单价</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（万元）</w:t>
            </w:r>
          </w:p>
        </w:tc>
        <w:tc>
          <w:tcPr>
            <w:tcW w:w="1150"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投标总价</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（万元）</w:t>
            </w:r>
          </w:p>
        </w:tc>
        <w:tc>
          <w:tcPr>
            <w:tcW w:w="850"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交货</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w:t>
            </w:r>
          </w:p>
        </w:tc>
        <w:tc>
          <w:tcPr>
            <w:tcW w:w="1325"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是否属于</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进口产品</w:t>
            </w:r>
          </w:p>
        </w:tc>
        <w:tc>
          <w:tcPr>
            <w:tcW w:w="691"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hint="eastAsia" w:ascii="宋体" w:hAnsi="宋体" w:eastAsia="宋体" w:cs="宋体"/>
                <w:color w:val="000000" w:themeColor="text1"/>
                <w14:textFill>
                  <w14:solidFill>
                    <w14:schemeClr w14:val="tx1"/>
                  </w14:solidFill>
                </w14:textFill>
              </w:rPr>
            </w:pPr>
          </w:p>
        </w:tc>
        <w:tc>
          <w:tcPr>
            <w:tcW w:w="937"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912"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1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1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25"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9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hint="eastAsia" w:ascii="宋体" w:hAnsi="宋体" w:eastAsia="宋体" w:cs="宋体"/>
                <w:color w:val="000000" w:themeColor="text1"/>
                <w14:textFill>
                  <w14:solidFill>
                    <w14:schemeClr w14:val="tx1"/>
                  </w14:solidFill>
                </w14:textFill>
              </w:rPr>
            </w:pPr>
          </w:p>
        </w:tc>
        <w:tc>
          <w:tcPr>
            <w:tcW w:w="937"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912"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1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1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25"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9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hint="eastAsia" w:ascii="宋体" w:hAnsi="宋体" w:eastAsia="宋体" w:cs="宋体"/>
                <w:color w:val="000000" w:themeColor="text1"/>
                <w14:textFill>
                  <w14:solidFill>
                    <w14:schemeClr w14:val="tx1"/>
                  </w14:solidFill>
                </w14:textFill>
              </w:rPr>
            </w:pPr>
          </w:p>
        </w:tc>
        <w:tc>
          <w:tcPr>
            <w:tcW w:w="937"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0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912"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21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1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325"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69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4" w:type="dxa"/>
          </w:tcPr>
          <w:p>
            <w:pPr>
              <w:spacing w:line="360" w:lineRule="auto"/>
              <w:rPr>
                <w:rFonts w:hint="eastAsia" w:ascii="宋体" w:hAnsi="宋体" w:eastAsia="宋体" w:cs="宋体"/>
                <w:color w:val="000000" w:themeColor="text1"/>
                <w14:textFill>
                  <w14:solidFill>
                    <w14:schemeClr w14:val="tx1"/>
                  </w14:solidFill>
                </w14:textFill>
              </w:rPr>
            </w:pPr>
          </w:p>
        </w:tc>
        <w:tc>
          <w:tcPr>
            <w:tcW w:w="8478" w:type="dxa"/>
            <w:gridSpan w:val="8"/>
            <w:vAlign w:val="center"/>
          </w:tcPr>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报价合计（万元）：          大写：</w:t>
            </w:r>
          </w:p>
        </w:tc>
      </w:tr>
    </w:tbl>
    <w:p>
      <w:pPr>
        <w:widowControl/>
        <w:spacing w:line="360" w:lineRule="auto"/>
        <w:jc w:val="left"/>
        <w:rPr>
          <w:rFonts w:hint="eastAsia" w:ascii="宋体" w:hAnsi="宋体" w:eastAsia="宋体" w:cs="宋体"/>
          <w:b/>
          <w:bCs/>
          <w:color w:val="000000" w:themeColor="text1"/>
          <w14:textFill>
            <w14:solidFill>
              <w14:schemeClr w14:val="tx1"/>
            </w14:solidFill>
          </w14:textFill>
        </w:rPr>
      </w:pPr>
    </w:p>
    <w:p>
      <w:pPr>
        <w:widowControl/>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注：1. 报价应是最终用户验收合格后的总价，包括设备运输、保险、代理、安装调试、培训、税费和招标文件规定的其它费用。</w:t>
      </w:r>
    </w:p>
    <w:p>
      <w:pPr>
        <w:widowControl/>
        <w:spacing w:line="360"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2.“开标一览表”为多页的，每页均须加盖投标人</w:t>
      </w:r>
      <w:r>
        <w:rPr>
          <w:rFonts w:hint="eastAsia" w:ascii="宋体" w:hAnsi="宋体" w:eastAsia="宋体" w:cs="宋体"/>
          <w:b/>
          <w:bCs/>
          <w:color w:val="000000" w:themeColor="text1"/>
          <w:lang w:val="en-US" w:eastAsia="zh-CN"/>
          <w14:textFill>
            <w14:solidFill>
              <w14:schemeClr w14:val="tx1"/>
            </w14:solidFill>
          </w14:textFill>
        </w:rPr>
        <w:t>电子签章</w:t>
      </w:r>
      <w:r>
        <w:rPr>
          <w:rFonts w:hint="eastAsia" w:ascii="宋体" w:hAnsi="宋体" w:eastAsia="宋体" w:cs="宋体"/>
          <w:b/>
          <w:bCs/>
          <w:color w:val="000000" w:themeColor="text1"/>
          <w14:textFill>
            <w14:solidFill>
              <w14:schemeClr w14:val="tx1"/>
            </w14:solidFill>
          </w14:textFill>
        </w:rPr>
        <w:t>。</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3、“开标一览表”以包为单位填写。</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4、如是进口设备，须在表格中标明“进口”。招标文件未明确“允许进口”的，供应商以进口产品进行投标时，将视为无效投标。</w:t>
      </w:r>
    </w:p>
    <w:p>
      <w:pPr>
        <w:spacing w:line="360" w:lineRule="auto"/>
        <w:rPr>
          <w:rFonts w:hint="eastAsia" w:ascii="宋体" w:hAnsi="宋体" w:eastAsia="宋体" w:cs="宋体"/>
          <w:b/>
          <w:bCs/>
          <w:color w:val="000000" w:themeColor="text1"/>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格式2-5</w:t>
      </w:r>
    </w:p>
    <w:p>
      <w:pPr>
        <w:widowControl/>
        <w:numPr>
          <w:ilvl w:val="0"/>
          <w:numId w:val="8"/>
        </w:numPr>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分项报价明细表</w:t>
      </w:r>
    </w:p>
    <w:tbl>
      <w:tblPr>
        <w:tblStyle w:val="3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275"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产品名称</w:t>
            </w:r>
          </w:p>
        </w:tc>
        <w:tc>
          <w:tcPr>
            <w:tcW w:w="1360"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规格型号</w:t>
            </w:r>
          </w:p>
        </w:tc>
        <w:tc>
          <w:tcPr>
            <w:tcW w:w="888"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品牌</w:t>
            </w:r>
          </w:p>
        </w:tc>
        <w:tc>
          <w:tcPr>
            <w:tcW w:w="1212"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840"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841"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单价</w:t>
            </w:r>
          </w:p>
        </w:tc>
        <w:tc>
          <w:tcPr>
            <w:tcW w:w="876" w:type="dxa"/>
            <w:vAlign w:val="center"/>
          </w:tcPr>
          <w:p>
            <w:pPr>
              <w:widowControl/>
              <w:spacing w:line="360" w:lineRule="atLeas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金额</w:t>
            </w:r>
          </w:p>
        </w:tc>
        <w:tc>
          <w:tcPr>
            <w:tcW w:w="843" w:type="dxa"/>
            <w:vAlign w:val="center"/>
          </w:tcPr>
          <w:p>
            <w:pPr>
              <w:widowControl/>
              <w:spacing w:line="360" w:lineRule="atLeas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75"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6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88"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12"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0"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1"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76"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color w:val="000000" w:themeColor="text1"/>
          <w:sz w:val="32"/>
          <w:szCs w:val="32"/>
          <w14:textFill>
            <w14:solidFill>
              <w14:schemeClr w14:val="tx1"/>
            </w14:solidFill>
          </w14:textFill>
        </w:rPr>
      </w:pPr>
    </w:p>
    <w:p>
      <w:pPr>
        <w:spacing w:line="360" w:lineRule="auto"/>
        <w:rPr>
          <w:rFonts w:hint="eastAsia" w:ascii="宋体" w:hAnsi="宋体" w:eastAsia="宋体" w:cs="宋体"/>
          <w:b/>
          <w:bCs/>
          <w:color w:val="000000" w:themeColor="text1"/>
          <w14:textFill>
            <w14:solidFill>
              <w14:schemeClr w14:val="tx1"/>
            </w14:solidFill>
          </w14:textFill>
        </w:rPr>
      </w:pP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注：1、投标人应按“分项报价明细表”的格式详细报出投标总价的各个组成部分的报价。</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2、“分项报价明细表”各分项报价合计应当与“开标一览表”报价合计相等。</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格式2-6</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五、投标产品技术参数表</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采购项目编号：</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1851"/>
        <w:gridCol w:w="2203"/>
        <w:gridCol w:w="22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050"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货物（设备）名称</w:t>
            </w:r>
          </w:p>
        </w:tc>
        <w:tc>
          <w:tcPr>
            <w:tcW w:w="1851"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招标文件要求</w:t>
            </w:r>
          </w:p>
        </w:tc>
        <w:tc>
          <w:tcPr>
            <w:tcW w:w="2203"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投标产品技术参数</w:t>
            </w:r>
          </w:p>
        </w:tc>
        <w:tc>
          <w:tcPr>
            <w:tcW w:w="2203"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050"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851"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2203" w:type="dxa"/>
          </w:tcPr>
          <w:p>
            <w:pPr>
              <w:spacing w:line="360" w:lineRule="auto"/>
              <w:rPr>
                <w:rFonts w:hint="eastAsia" w:ascii="宋体" w:hAnsi="宋体" w:eastAsia="宋体" w:cs="宋体"/>
                <w:color w:val="000000" w:themeColor="text1"/>
                <w14:textFill>
                  <w14:solidFill>
                    <w14:schemeClr w14:val="tx1"/>
                  </w14:solidFill>
                </w14:textFill>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注：1. 供应商必须把招标文件第六章</w:t>
      </w:r>
      <w:r>
        <w:rPr>
          <w:rFonts w:hint="eastAsia" w:ascii="宋体" w:hAnsi="宋体" w:eastAsia="宋体" w:cs="宋体"/>
          <w:b/>
          <w:bCs/>
          <w:color w:val="000000" w:themeColor="text1"/>
          <w:lang w:eastAsia="zh-CN"/>
          <w14:textFill>
            <w14:solidFill>
              <w14:schemeClr w14:val="tx1"/>
            </w14:solidFill>
          </w14:textFill>
        </w:rPr>
        <w:t>要求产品的全部技术参数要求列入词表</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2．按照招标项目技术要求的顺序逐条对应填写；</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3．供应商必须据实填写，不得虚假填写，否则将取消其投标或中标资格并追究相关责任；</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4.“响应/偏离”根据实际投标产品情况填写“正偏离、负偏离或完全响应”。</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格式2-7</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六、商务应答表</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采购项目编号：</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包号:</w:t>
      </w:r>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792"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招标要求</w:t>
            </w:r>
          </w:p>
        </w:tc>
        <w:tc>
          <w:tcPr>
            <w:tcW w:w="3015"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投标应答</w:t>
            </w:r>
          </w:p>
        </w:tc>
        <w:tc>
          <w:tcPr>
            <w:tcW w:w="1989"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hint="eastAsia" w:ascii="宋体" w:hAnsi="宋体" w:eastAsia="宋体" w:cs="宋体"/>
                <w:color w:val="000000" w:themeColor="text1"/>
                <w14:textFill>
                  <w14:solidFill>
                    <w14:schemeClr w14:val="tx1"/>
                  </w14:solidFill>
                </w14:textFill>
              </w:rPr>
            </w:pPr>
          </w:p>
        </w:tc>
        <w:tc>
          <w:tcPr>
            <w:tcW w:w="2792" w:type="dxa"/>
          </w:tcPr>
          <w:p>
            <w:pPr>
              <w:spacing w:line="360" w:lineRule="auto"/>
              <w:rPr>
                <w:rFonts w:hint="eastAsia" w:ascii="宋体" w:hAnsi="宋体" w:eastAsia="宋体" w:cs="宋体"/>
                <w:color w:val="000000" w:themeColor="text1"/>
                <w14:textFill>
                  <w14:solidFill>
                    <w14:schemeClr w14:val="tx1"/>
                  </w14:solidFill>
                </w14:textFill>
              </w:rPr>
            </w:pPr>
          </w:p>
        </w:tc>
        <w:tc>
          <w:tcPr>
            <w:tcW w:w="3015" w:type="dxa"/>
          </w:tcPr>
          <w:p>
            <w:pPr>
              <w:spacing w:line="360" w:lineRule="auto"/>
              <w:rPr>
                <w:rFonts w:hint="eastAsia" w:ascii="宋体" w:hAnsi="宋体" w:eastAsia="宋体" w:cs="宋体"/>
                <w:color w:val="000000" w:themeColor="text1"/>
                <w14:textFill>
                  <w14:solidFill>
                    <w14:schemeClr w14:val="tx1"/>
                  </w14:solidFill>
                </w14:textFill>
              </w:rPr>
            </w:pPr>
          </w:p>
        </w:tc>
        <w:tc>
          <w:tcPr>
            <w:tcW w:w="1989"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hint="eastAsia" w:ascii="宋体" w:hAnsi="宋体" w:eastAsia="宋体" w:cs="宋体"/>
                <w:color w:val="000000" w:themeColor="text1"/>
                <w14:textFill>
                  <w14:solidFill>
                    <w14:schemeClr w14:val="tx1"/>
                  </w14:solidFill>
                </w14:textFill>
              </w:rPr>
            </w:pPr>
          </w:p>
        </w:tc>
        <w:tc>
          <w:tcPr>
            <w:tcW w:w="2792" w:type="dxa"/>
          </w:tcPr>
          <w:p>
            <w:pPr>
              <w:spacing w:line="360" w:lineRule="auto"/>
              <w:rPr>
                <w:rFonts w:hint="eastAsia" w:ascii="宋体" w:hAnsi="宋体" w:eastAsia="宋体" w:cs="宋体"/>
                <w:color w:val="000000" w:themeColor="text1"/>
                <w14:textFill>
                  <w14:solidFill>
                    <w14:schemeClr w14:val="tx1"/>
                  </w14:solidFill>
                </w14:textFill>
              </w:rPr>
            </w:pPr>
          </w:p>
        </w:tc>
        <w:tc>
          <w:tcPr>
            <w:tcW w:w="3015" w:type="dxa"/>
          </w:tcPr>
          <w:p>
            <w:pPr>
              <w:spacing w:line="360" w:lineRule="auto"/>
              <w:rPr>
                <w:rFonts w:hint="eastAsia" w:ascii="宋体" w:hAnsi="宋体" w:eastAsia="宋体" w:cs="宋体"/>
                <w:color w:val="000000" w:themeColor="text1"/>
                <w14:textFill>
                  <w14:solidFill>
                    <w14:schemeClr w14:val="tx1"/>
                  </w14:solidFill>
                </w14:textFill>
              </w:rPr>
            </w:pPr>
          </w:p>
        </w:tc>
        <w:tc>
          <w:tcPr>
            <w:tcW w:w="1989"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hint="eastAsia" w:ascii="宋体" w:hAnsi="宋体" w:eastAsia="宋体" w:cs="宋体"/>
                <w:color w:val="000000" w:themeColor="text1"/>
                <w14:textFill>
                  <w14:solidFill>
                    <w14:schemeClr w14:val="tx1"/>
                  </w14:solidFill>
                </w14:textFill>
              </w:rPr>
            </w:pPr>
          </w:p>
        </w:tc>
        <w:tc>
          <w:tcPr>
            <w:tcW w:w="2792" w:type="dxa"/>
          </w:tcPr>
          <w:p>
            <w:pPr>
              <w:spacing w:line="360" w:lineRule="auto"/>
              <w:rPr>
                <w:rFonts w:hint="eastAsia" w:ascii="宋体" w:hAnsi="宋体" w:eastAsia="宋体" w:cs="宋体"/>
                <w:color w:val="000000" w:themeColor="text1"/>
                <w14:textFill>
                  <w14:solidFill>
                    <w14:schemeClr w14:val="tx1"/>
                  </w14:solidFill>
                </w14:textFill>
              </w:rPr>
            </w:pPr>
          </w:p>
        </w:tc>
        <w:tc>
          <w:tcPr>
            <w:tcW w:w="3015" w:type="dxa"/>
          </w:tcPr>
          <w:p>
            <w:pPr>
              <w:spacing w:line="360" w:lineRule="auto"/>
              <w:rPr>
                <w:rFonts w:hint="eastAsia" w:ascii="宋体" w:hAnsi="宋体" w:eastAsia="宋体" w:cs="宋体"/>
                <w:color w:val="000000" w:themeColor="text1"/>
                <w14:textFill>
                  <w14:solidFill>
                    <w14:schemeClr w14:val="tx1"/>
                  </w14:solidFill>
                </w14:textFill>
              </w:rPr>
            </w:pPr>
          </w:p>
        </w:tc>
        <w:tc>
          <w:tcPr>
            <w:tcW w:w="1989" w:type="dxa"/>
          </w:tcPr>
          <w:p>
            <w:pPr>
              <w:spacing w:line="360" w:lineRule="auto"/>
              <w:rPr>
                <w:rFonts w:hint="eastAsia" w:ascii="宋体" w:hAnsi="宋体" w:eastAsia="宋体" w:cs="宋体"/>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hint="eastAsia" w:ascii="宋体" w:hAnsi="宋体" w:eastAsia="宋体" w:cs="宋体"/>
                <w:color w:val="000000" w:themeColor="text1"/>
                <w14:textFill>
                  <w14:solidFill>
                    <w14:schemeClr w14:val="tx1"/>
                  </w14:solidFill>
                </w14:textFill>
              </w:rPr>
            </w:pPr>
          </w:p>
        </w:tc>
        <w:tc>
          <w:tcPr>
            <w:tcW w:w="2792" w:type="dxa"/>
          </w:tcPr>
          <w:p>
            <w:pPr>
              <w:spacing w:line="360" w:lineRule="auto"/>
              <w:rPr>
                <w:rFonts w:hint="eastAsia" w:ascii="宋体" w:hAnsi="宋体" w:eastAsia="宋体" w:cs="宋体"/>
                <w:color w:val="000000" w:themeColor="text1"/>
                <w14:textFill>
                  <w14:solidFill>
                    <w14:schemeClr w14:val="tx1"/>
                  </w14:solidFill>
                </w14:textFill>
              </w:rPr>
            </w:pPr>
          </w:p>
        </w:tc>
        <w:tc>
          <w:tcPr>
            <w:tcW w:w="3015" w:type="dxa"/>
          </w:tcPr>
          <w:p>
            <w:pPr>
              <w:spacing w:line="360" w:lineRule="auto"/>
              <w:rPr>
                <w:rFonts w:hint="eastAsia" w:ascii="宋体" w:hAnsi="宋体" w:eastAsia="宋体" w:cs="宋体"/>
                <w:color w:val="000000" w:themeColor="text1"/>
                <w14:textFill>
                  <w14:solidFill>
                    <w14:schemeClr w14:val="tx1"/>
                  </w14:solidFill>
                </w14:textFill>
              </w:rPr>
            </w:pPr>
          </w:p>
        </w:tc>
        <w:tc>
          <w:tcPr>
            <w:tcW w:w="1989" w:type="dxa"/>
          </w:tcPr>
          <w:p>
            <w:pPr>
              <w:spacing w:line="360" w:lineRule="auto"/>
              <w:rPr>
                <w:rFonts w:hint="eastAsia" w:ascii="宋体" w:hAnsi="宋体" w:eastAsia="宋体" w:cs="宋体"/>
                <w:color w:val="000000" w:themeColor="text1"/>
                <w14:textFill>
                  <w14:solidFill>
                    <w14:schemeClr w14:val="tx1"/>
                  </w14:solidFill>
                </w14:textFill>
              </w:rPr>
            </w:pPr>
          </w:p>
        </w:tc>
      </w:tr>
    </w:tbl>
    <w:p>
      <w:pPr>
        <w:spacing w:line="360" w:lineRule="auto"/>
        <w:rPr>
          <w:rFonts w:hint="eastAsia" w:ascii="宋体" w:hAnsi="宋体" w:eastAsia="宋体" w:cs="宋体"/>
          <w:b/>
          <w:bCs/>
          <w:color w:val="000000" w:themeColor="text1"/>
          <w14:textFill>
            <w14:solidFill>
              <w14:schemeClr w14:val="tx1"/>
            </w14:solidFill>
          </w14:textFill>
        </w:rPr>
      </w:pP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注：1. 供应商必须把招标文件第六章全部商务要求列入此表。</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2．按照招标项目商务要求的顺序逐条对应填写。</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3．供应商必须据实填写，不得虚假填写，否则将取消其投标或中标资格。</w:t>
      </w:r>
    </w:p>
    <w:p>
      <w:pPr>
        <w:spacing w:line="360" w:lineRule="auto"/>
        <w:ind w:firstLine="42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4.“响应/偏离”根据实际投标产品情况填写“正偏离、负偏离或完全响应”。</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格式2-8</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七、商务、技术、服务应答附表</w:t>
      </w:r>
    </w:p>
    <w:p>
      <w:pPr>
        <w:widowControl/>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（仅用于中标、成交结果公告，此表不作为评审内容）</w:t>
      </w:r>
    </w:p>
    <w:p>
      <w:pPr>
        <w:widowControl/>
        <w:spacing w:line="360" w:lineRule="auto"/>
        <w:ind w:firstLine="48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5"/>
        <w:tblW w:w="0" w:type="auto"/>
        <w:tblInd w:w="13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tcBorders>
              <w:top w:val="single" w:color="auto" w:sz="18" w:space="0"/>
              <w:left w:val="single" w:color="auto" w:sz="18" w:space="0"/>
              <w:bottom w:val="single" w:color="auto" w:sz="6" w:space="0"/>
              <w:right w:val="single" w:color="auto" w:sz="18"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注册地址</w:t>
            </w:r>
          </w:p>
        </w:tc>
        <w:tc>
          <w:tcPr>
            <w:tcW w:w="2985" w:type="dxa"/>
            <w:gridSpan w:val="3"/>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90" w:type="dxa"/>
            <w:gridSpan w:val="3"/>
            <w:tcBorders>
              <w:top w:val="single" w:color="auto" w:sz="6" w:space="0"/>
              <w:left w:val="single" w:color="auto" w:sz="4" w:space="0"/>
              <w:bottom w:val="single" w:color="auto" w:sz="6" w:space="0"/>
              <w:right w:val="single" w:color="auto" w:sz="4"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行政区域</w:t>
            </w:r>
          </w:p>
        </w:tc>
        <w:tc>
          <w:tcPr>
            <w:tcW w:w="1899" w:type="dxa"/>
            <w:tcBorders>
              <w:top w:val="single" w:color="auto" w:sz="6" w:space="0"/>
              <w:left w:val="single" w:color="auto" w:sz="4" w:space="0"/>
              <w:bottom w:val="single" w:color="auto" w:sz="6" w:space="0"/>
              <w:right w:val="single" w:color="auto" w:sz="18"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供应商规模</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单位联系方式</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单位联系人</w:t>
            </w:r>
          </w:p>
        </w:tc>
        <w:tc>
          <w:tcPr>
            <w:tcW w:w="138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c>
          <w:tcPr>
            <w:tcW w:w="152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单位电话</w:t>
            </w:r>
          </w:p>
        </w:tc>
        <w:tc>
          <w:tcPr>
            <w:tcW w:w="1930" w:type="dxa"/>
            <w:gridSpan w:val="2"/>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单位邮箱</w:t>
            </w:r>
          </w:p>
        </w:tc>
        <w:tc>
          <w:tcPr>
            <w:tcW w:w="4839" w:type="dxa"/>
            <w:gridSpan w:val="6"/>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outlineLvl w:val="1"/>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供应商应答“采购文件”的主要内容</w:t>
            </w: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主要中标或者成交标的的名称</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hint="eastAsia" w:ascii="宋体" w:hAnsi="宋体" w:eastAsia="宋体" w:cs="宋体"/>
                <w:b/>
                <w:bCs/>
                <w:color w:val="000000" w:themeColor="text1"/>
                <w:sz w:val="24"/>
                <w14:textFill>
                  <w14:solidFill>
                    <w14:schemeClr w14:val="tx1"/>
                  </w14:solidFill>
                </w14:textFill>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主要中标或者成交标的的规格型号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hint="eastAsia" w:ascii="宋体" w:hAnsi="宋体" w:eastAsia="宋体" w:cs="宋体"/>
                <w:b/>
                <w:bCs/>
                <w:color w:val="000000" w:themeColor="text1"/>
                <w:sz w:val="24"/>
                <w14:textFill>
                  <w14:solidFill>
                    <w14:schemeClr w14:val="tx1"/>
                  </w14:solidFill>
                </w14:textFill>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主要中标或者成交标的的数量</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hint="eastAsia" w:ascii="宋体" w:hAnsi="宋体" w:eastAsia="宋体" w:cs="宋体"/>
                <w:b/>
                <w:bCs/>
                <w:color w:val="000000" w:themeColor="text1"/>
                <w:sz w:val="24"/>
                <w14:textFill>
                  <w14:solidFill>
                    <w14:schemeClr w14:val="tx1"/>
                  </w14:solidFill>
                </w14:textFill>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主要中标或者成交标的的单价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hint="eastAsia" w:ascii="宋体" w:hAnsi="宋体" w:eastAsia="宋体" w:cs="宋体"/>
                <w:b/>
                <w:bCs/>
                <w:color w:val="000000" w:themeColor="text1"/>
                <w:sz w:val="24"/>
                <w14:textFill>
                  <w14:solidFill>
                    <w14:schemeClr w14:val="tx1"/>
                  </w14:solidFill>
                </w14:textFill>
              </w:rPr>
            </w:pPr>
          </w:p>
        </w:tc>
        <w:tc>
          <w:tcPr>
            <w:tcW w:w="2373" w:type="dxa"/>
            <w:gridSpan w:val="3"/>
            <w:tcBorders>
              <w:top w:val="single" w:color="auto" w:sz="6" w:space="0"/>
              <w:left w:val="single" w:color="auto" w:sz="4" w:space="0"/>
              <w:bottom w:val="single" w:color="auto" w:sz="18" w:space="0"/>
              <w:right w:val="single" w:color="auto" w:sz="4" w:space="0"/>
            </w:tcBorders>
            <w:vAlign w:val="center"/>
          </w:tcPr>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主要中标或者成交标的的服务要求（如：交货期、质保期、售后服务等等）</w:t>
            </w:r>
          </w:p>
        </w:tc>
        <w:tc>
          <w:tcPr>
            <w:tcW w:w="4564" w:type="dxa"/>
            <w:gridSpan w:val="5"/>
            <w:tcBorders>
              <w:top w:val="single" w:color="auto" w:sz="6" w:space="0"/>
              <w:left w:val="single" w:color="auto" w:sz="4" w:space="0"/>
              <w:bottom w:val="single" w:color="auto" w:sz="18" w:space="0"/>
              <w:right w:val="single" w:color="auto" w:sz="18" w:space="0"/>
            </w:tcBorders>
            <w:vAlign w:val="center"/>
          </w:tcPr>
          <w:p>
            <w:pPr>
              <w:numPr>
                <w:ilvl w:val="0"/>
                <w:numId w:val="9"/>
              </w:numPr>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p>
          <w:p>
            <w:pPr>
              <w:numPr>
                <w:ilvl w:val="0"/>
                <w:numId w:val="9"/>
              </w:numPr>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p>
          <w:p>
            <w:pPr>
              <w:numPr>
                <w:ilvl w:val="0"/>
                <w:numId w:val="9"/>
              </w:numPr>
              <w:spacing w:line="360" w:lineRule="auto"/>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p>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p>
        </w:tc>
      </w:tr>
    </w:tbl>
    <w:p>
      <w:pPr>
        <w:spacing w:line="360" w:lineRule="auto"/>
        <w:rPr>
          <w:rFonts w:hint="eastAsia" w:ascii="宋体" w:hAnsi="宋体" w:eastAsia="宋体" w:cs="宋体"/>
          <w:b/>
          <w:bCs/>
          <w:color w:val="000000" w:themeColor="text1"/>
          <w:szCs w:val="21"/>
          <w14:textFill>
            <w14:solidFill>
              <w14:schemeClr w14:val="tx1"/>
            </w14:solidFill>
          </w14:textFill>
        </w:rPr>
      </w:pPr>
    </w:p>
    <w:p>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注：1、供应商需如实完善表格内容。</w:t>
      </w:r>
    </w:p>
    <w:p>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2、供应商应答的主要内容应与投标文件一致，可以进行简要概括性表述。</w:t>
      </w:r>
    </w:p>
    <w:p>
      <w:pPr>
        <w:spacing w:line="360" w:lineRule="auto"/>
        <w:ind w:firstLine="42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3、供应商应答的主要内容仅用于结果公告，供应商自行完善的内容视为不涉及供应商商业秘密。若供应商没有填写或没有递交此表，视为允许采购代理机构将供应商投标文件中所有相关的应答内容进行公告</w:t>
      </w:r>
      <w:r>
        <w:rPr>
          <w:rFonts w:hint="eastAsia" w:ascii="宋体" w:hAnsi="宋体" w:eastAsia="宋体" w:cs="宋体"/>
          <w:color w:val="000000" w:themeColor="text1"/>
          <w:sz w:val="24"/>
          <w14:textFill>
            <w14:solidFill>
              <w14:schemeClr w14:val="tx1"/>
            </w14:solidFill>
          </w14:textFill>
        </w:rPr>
        <w:t>。</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格式2-9</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八、投标人基本情况表</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993"/>
        <w:gridCol w:w="1047"/>
        <w:gridCol w:w="1247"/>
        <w:gridCol w:w="1320"/>
        <w:gridCol w:w="355"/>
        <w:gridCol w:w="495"/>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p>
        </w:tc>
        <w:tc>
          <w:tcPr>
            <w:tcW w:w="6537" w:type="dxa"/>
            <w:gridSpan w:val="7"/>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注册地址</w:t>
            </w:r>
          </w:p>
        </w:tc>
        <w:tc>
          <w:tcPr>
            <w:tcW w:w="3287" w:type="dxa"/>
            <w:gridSpan w:val="3"/>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邮政编码</w:t>
            </w:r>
          </w:p>
        </w:tc>
        <w:tc>
          <w:tcPr>
            <w:tcW w:w="1930" w:type="dxa"/>
            <w:gridSpan w:val="3"/>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Merge w:val="restart"/>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c>
          <w:tcPr>
            <w:tcW w:w="993"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2294"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930" w:type="dxa"/>
            <w:gridSpan w:val="3"/>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8" w:type="dxa"/>
            <w:vMerge w:val="continue"/>
            <w:vAlign w:val="center"/>
          </w:tcPr>
          <w:p>
            <w:pPr>
              <w:widowControl/>
              <w:spacing w:line="360" w:lineRule="auto"/>
              <w:jc w:val="left"/>
              <w:rPr>
                <w:rFonts w:hint="eastAsia" w:ascii="宋体" w:hAnsi="宋体" w:eastAsia="宋体" w:cs="宋体"/>
                <w:color w:val="000000" w:themeColor="text1"/>
                <w:sz w:val="24"/>
                <w14:textFill>
                  <w14:solidFill>
                    <w14:schemeClr w14:val="tx1"/>
                  </w14:solidFill>
                </w14:textFill>
              </w:rPr>
            </w:pPr>
          </w:p>
        </w:tc>
        <w:tc>
          <w:tcPr>
            <w:tcW w:w="993"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tc>
        <w:tc>
          <w:tcPr>
            <w:tcW w:w="2294"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网址</w:t>
            </w:r>
          </w:p>
        </w:tc>
        <w:tc>
          <w:tcPr>
            <w:tcW w:w="1930" w:type="dxa"/>
            <w:gridSpan w:val="3"/>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组织结构</w:t>
            </w:r>
          </w:p>
        </w:tc>
        <w:tc>
          <w:tcPr>
            <w:tcW w:w="6537" w:type="dxa"/>
            <w:gridSpan w:val="7"/>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w:t>
            </w:r>
          </w:p>
        </w:tc>
        <w:tc>
          <w:tcPr>
            <w:tcW w:w="993"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047"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技术职称</w:t>
            </w:r>
          </w:p>
        </w:tc>
        <w:tc>
          <w:tcPr>
            <w:tcW w:w="1320"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50"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080"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技术负责人</w:t>
            </w:r>
          </w:p>
        </w:tc>
        <w:tc>
          <w:tcPr>
            <w:tcW w:w="993"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047"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技术职称</w:t>
            </w:r>
          </w:p>
        </w:tc>
        <w:tc>
          <w:tcPr>
            <w:tcW w:w="1320"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850"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p>
        </w:tc>
        <w:tc>
          <w:tcPr>
            <w:tcW w:w="1080" w:type="dxa"/>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成立时间</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4497" w:type="dxa"/>
            <w:gridSpan w:val="5"/>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企业资质等级</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Merge w:val="restart"/>
            <w:vAlign w:val="center"/>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w:t>
            </w:r>
          </w:p>
        </w:tc>
        <w:tc>
          <w:tcPr>
            <w:tcW w:w="1675"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项目经理</w:t>
            </w:r>
          </w:p>
        </w:tc>
        <w:tc>
          <w:tcPr>
            <w:tcW w:w="1575"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营业执照号</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Merge w:val="continue"/>
            <w:vAlign w:val="center"/>
          </w:tcPr>
          <w:p>
            <w:pPr>
              <w:widowControl/>
              <w:spacing w:line="360" w:lineRule="auto"/>
              <w:jc w:val="left"/>
              <w:rPr>
                <w:rFonts w:hint="eastAsia" w:ascii="宋体" w:hAnsi="宋体" w:eastAsia="宋体" w:cs="宋体"/>
                <w:color w:val="000000" w:themeColor="text1"/>
                <w:sz w:val="24"/>
                <w14:textFill>
                  <w14:solidFill>
                    <w14:schemeClr w14:val="tx1"/>
                  </w14:solidFill>
                </w14:textFill>
              </w:rPr>
            </w:pPr>
          </w:p>
        </w:tc>
        <w:tc>
          <w:tcPr>
            <w:tcW w:w="1675"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高级职称人员</w:t>
            </w:r>
          </w:p>
        </w:tc>
        <w:tc>
          <w:tcPr>
            <w:tcW w:w="1575"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注册资金</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Merge w:val="continue"/>
            <w:vAlign w:val="center"/>
          </w:tcPr>
          <w:p>
            <w:pPr>
              <w:widowControl/>
              <w:spacing w:line="360" w:lineRule="auto"/>
              <w:jc w:val="left"/>
              <w:rPr>
                <w:rFonts w:hint="eastAsia" w:ascii="宋体" w:hAnsi="宋体" w:eastAsia="宋体" w:cs="宋体"/>
                <w:color w:val="000000" w:themeColor="text1"/>
                <w:sz w:val="24"/>
                <w14:textFill>
                  <w14:solidFill>
                    <w14:schemeClr w14:val="tx1"/>
                  </w14:solidFill>
                </w14:textFill>
              </w:rPr>
            </w:pPr>
          </w:p>
        </w:tc>
        <w:tc>
          <w:tcPr>
            <w:tcW w:w="1675"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中级职称人员</w:t>
            </w:r>
          </w:p>
        </w:tc>
        <w:tc>
          <w:tcPr>
            <w:tcW w:w="1575"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Merge w:val="continue"/>
            <w:vAlign w:val="center"/>
          </w:tcPr>
          <w:p>
            <w:pPr>
              <w:widowControl/>
              <w:spacing w:line="360" w:lineRule="auto"/>
              <w:jc w:val="left"/>
              <w:rPr>
                <w:rFonts w:hint="eastAsia" w:ascii="宋体" w:hAnsi="宋体" w:eastAsia="宋体" w:cs="宋体"/>
                <w:color w:val="000000" w:themeColor="text1"/>
                <w:sz w:val="24"/>
                <w14:textFill>
                  <w14:solidFill>
                    <w14:schemeClr w14:val="tx1"/>
                  </w14:solidFill>
                </w14:textFill>
              </w:rPr>
            </w:pPr>
          </w:p>
        </w:tc>
        <w:tc>
          <w:tcPr>
            <w:tcW w:w="1675" w:type="dxa"/>
            <w:gridSpan w:val="2"/>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初级职称人员</w:t>
            </w:r>
          </w:p>
        </w:tc>
        <w:tc>
          <w:tcPr>
            <w:tcW w:w="1575"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p>
        </w:tc>
        <w:tc>
          <w:tcPr>
            <w:tcW w:w="2040"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47" w:type="dxa"/>
            <w:vMerge w:val="continue"/>
            <w:vAlign w:val="center"/>
          </w:tcPr>
          <w:p>
            <w:pPr>
              <w:widowControl/>
              <w:spacing w:line="360" w:lineRule="auto"/>
              <w:jc w:val="left"/>
              <w:rPr>
                <w:rFonts w:hint="eastAsia" w:ascii="宋体" w:hAnsi="宋体" w:eastAsia="宋体" w:cs="宋体"/>
                <w:color w:val="000000" w:themeColor="text1"/>
                <w:sz w:val="24"/>
                <w14:textFill>
                  <w14:solidFill>
                    <w14:schemeClr w14:val="tx1"/>
                  </w14:solidFill>
                </w14:textFill>
              </w:rPr>
            </w:pPr>
          </w:p>
        </w:tc>
        <w:tc>
          <w:tcPr>
            <w:tcW w:w="1675" w:type="dxa"/>
            <w:gridSpan w:val="2"/>
            <w:vAlign w:val="center"/>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技工</w:t>
            </w:r>
          </w:p>
        </w:tc>
        <w:tc>
          <w:tcPr>
            <w:tcW w:w="1575" w:type="dxa"/>
            <w:gridSpan w:val="2"/>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trPr>
        <w:tc>
          <w:tcPr>
            <w:tcW w:w="1678" w:type="dxa"/>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经营范围</w:t>
            </w:r>
          </w:p>
        </w:tc>
        <w:tc>
          <w:tcPr>
            <w:tcW w:w="6537" w:type="dxa"/>
            <w:gridSpan w:val="7"/>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678" w:type="dxa"/>
          </w:tcPr>
          <w:p>
            <w:pPr>
              <w:widowControl/>
              <w:spacing w:line="360" w:lineRule="auto"/>
              <w:ind w:firstLine="470" w:firstLineChars="196"/>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c>
          <w:tcPr>
            <w:tcW w:w="6537" w:type="dxa"/>
            <w:gridSpan w:val="7"/>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bl>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格式2-10</w:t>
      </w:r>
    </w:p>
    <w:p>
      <w:pPr>
        <w:widowControl/>
        <w:spacing w:line="360" w:lineRule="auto"/>
        <w:jc w:val="center"/>
        <w:outlineLvl w:val="1"/>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九、类似项目业绩一览表</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采购项目编号：</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46"/>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double" w:color="auto" w:sz="4" w:space="0"/>
              <w:left w:val="double" w:color="auto" w:sz="4" w:space="0"/>
              <w:bottom w:val="single" w:color="auto" w:sz="6" w:space="0"/>
              <w:right w:val="single" w:color="auto" w:sz="6"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年份</w:t>
            </w:r>
          </w:p>
        </w:tc>
        <w:tc>
          <w:tcPr>
            <w:tcW w:w="144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用户名称</w:t>
            </w:r>
          </w:p>
        </w:tc>
        <w:tc>
          <w:tcPr>
            <w:tcW w:w="132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1161"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完成时间</w:t>
            </w:r>
          </w:p>
        </w:tc>
        <w:tc>
          <w:tcPr>
            <w:tcW w:w="126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合同金额</w:t>
            </w:r>
          </w:p>
        </w:tc>
        <w:tc>
          <w:tcPr>
            <w:tcW w:w="1630" w:type="dxa"/>
            <w:gridSpan w:val="2"/>
            <w:tcBorders>
              <w:top w:val="double" w:color="auto" w:sz="4" w:space="0"/>
              <w:left w:val="single" w:color="auto" w:sz="6" w:space="0"/>
              <w:bottom w:val="single" w:color="auto" w:sz="6" w:space="0"/>
              <w:right w:val="single" w:color="auto" w:sz="4"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是否通过验收</w:t>
            </w:r>
          </w:p>
        </w:tc>
        <w:tc>
          <w:tcPr>
            <w:tcW w:w="992" w:type="dxa"/>
            <w:tcBorders>
              <w:top w:val="double" w:color="auto" w:sz="4" w:space="0"/>
              <w:left w:val="single" w:color="auto" w:sz="4" w:space="0"/>
              <w:bottom w:val="single" w:color="auto" w:sz="6" w:space="0"/>
              <w:right w:val="double" w:color="auto" w:sz="4" w:space="0"/>
            </w:tcBorders>
            <w:vAlign w:val="center"/>
          </w:tcPr>
          <w:p>
            <w:pPr>
              <w:widowControl/>
              <w:spacing w:line="360" w:lineRule="auto"/>
              <w:jc w:val="left"/>
              <w:outlineLvl w:val="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46" w:type="dxa"/>
            <w:tcBorders>
              <w:top w:val="single" w:color="auto" w:sz="6"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6"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6"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046" w:type="dxa"/>
            <w:tcBorders>
              <w:top w:val="single" w:color="auto" w:sz="4" w:space="0"/>
              <w:left w:val="double" w:color="auto" w:sz="4" w:space="0"/>
              <w:bottom w:val="doub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44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32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161"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269" w:type="dxa"/>
            <w:gridSpan w:val="2"/>
            <w:tcBorders>
              <w:top w:val="single" w:color="auto" w:sz="4" w:space="0"/>
              <w:left w:val="single" w:color="auto" w:sz="6" w:space="0"/>
              <w:bottom w:val="doub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1621" w:type="dxa"/>
            <w:tcBorders>
              <w:top w:val="single" w:color="auto" w:sz="4" w:space="0"/>
              <w:left w:val="single" w:color="auto" w:sz="4" w:space="0"/>
              <w:bottom w:val="double" w:color="auto" w:sz="4" w:space="0"/>
              <w:right w:val="sing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c>
          <w:tcPr>
            <w:tcW w:w="992" w:type="dxa"/>
            <w:tcBorders>
              <w:top w:val="single" w:color="auto" w:sz="4" w:space="0"/>
              <w:left w:val="single" w:color="auto" w:sz="4" w:space="0"/>
              <w:bottom w:val="double" w:color="auto" w:sz="4" w:space="0"/>
              <w:right w:val="double" w:color="auto" w:sz="4" w:space="0"/>
            </w:tcBorders>
            <w:vAlign w:val="center"/>
          </w:tcPr>
          <w:p>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bCs/>
          <w:color w:val="000000" w:themeColor="text1"/>
          <w14:textFill>
            <w14:solidFill>
              <w14:schemeClr w14:val="tx1"/>
            </w14:solidFill>
          </w14:textFill>
        </w:rPr>
      </w:pP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注：以上业绩需提供招标文件要求的有关书面证明材料。</w:t>
      </w:r>
    </w:p>
    <w:p>
      <w:pPr>
        <w:spacing w:line="360" w:lineRule="auto"/>
        <w:jc w:val="left"/>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格式2-11</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十、投标人本项目管理、技术、服务人员情况表</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采购项目编号：</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10"/>
        <w:gridCol w:w="811"/>
        <w:gridCol w:w="811"/>
        <w:gridCol w:w="1414"/>
        <w:gridCol w:w="1057"/>
        <w:gridCol w:w="743"/>
        <w:gridCol w:w="846"/>
        <w:gridCol w:w="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类别</w:t>
            </w:r>
          </w:p>
        </w:tc>
        <w:tc>
          <w:tcPr>
            <w:tcW w:w="810"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职务</w:t>
            </w:r>
          </w:p>
        </w:tc>
        <w:tc>
          <w:tcPr>
            <w:tcW w:w="811"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811"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职称</w:t>
            </w:r>
          </w:p>
        </w:tc>
        <w:tc>
          <w:tcPr>
            <w:tcW w:w="1414"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常住地</w:t>
            </w:r>
          </w:p>
        </w:tc>
        <w:tc>
          <w:tcPr>
            <w:tcW w:w="3389" w:type="dxa"/>
            <w:gridSpan w:val="4"/>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资格证明（附</w:t>
            </w:r>
            <w:r>
              <w:rPr>
                <w:rFonts w:hint="eastAsia" w:ascii="宋体" w:hAnsi="宋体" w:eastAsia="宋体" w:cs="宋体"/>
                <w:color w:val="000000" w:themeColor="text1"/>
                <w:lang w:eastAsia="zh-CN"/>
                <w14:textFill>
                  <w14:solidFill>
                    <w14:schemeClr w14:val="tx1"/>
                  </w14:solidFill>
                </w14:textFill>
              </w:rPr>
              <w:t>复印件</w:t>
            </w:r>
            <w:r>
              <w:rPr>
                <w:rFonts w:hint="eastAsia" w:ascii="宋体" w:hAnsi="宋体" w:eastAsia="宋体" w:cs="宋体"/>
                <w:color w:val="000000" w:themeColor="text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vMerge w:val="continue"/>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11" w:type="dxa"/>
            <w:vMerge w:val="continue"/>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811" w:type="dxa"/>
            <w:vMerge w:val="continue"/>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414" w:type="dxa"/>
            <w:vMerge w:val="continue"/>
            <w:vAlign w:val="center"/>
          </w:tcPr>
          <w:p>
            <w:pPr>
              <w:spacing w:line="360" w:lineRule="auto"/>
              <w:rPr>
                <w:rFonts w:hint="eastAsia" w:ascii="宋体" w:hAnsi="宋体" w:eastAsia="宋体" w:cs="宋体"/>
                <w:color w:val="000000" w:themeColor="text1"/>
                <w14:textFill>
                  <w14:solidFill>
                    <w14:schemeClr w14:val="tx1"/>
                  </w14:solidFill>
                </w14:textFill>
              </w:rPr>
            </w:pPr>
          </w:p>
        </w:tc>
        <w:tc>
          <w:tcPr>
            <w:tcW w:w="1057"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证书名称</w:t>
            </w:r>
          </w:p>
        </w:tc>
        <w:tc>
          <w:tcPr>
            <w:tcW w:w="743"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级别</w:t>
            </w:r>
          </w:p>
        </w:tc>
        <w:tc>
          <w:tcPr>
            <w:tcW w:w="846"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证号</w:t>
            </w:r>
          </w:p>
        </w:tc>
        <w:tc>
          <w:tcPr>
            <w:tcW w:w="743" w:type="dxa"/>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管</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理</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w:t>
            </w:r>
          </w:p>
          <w:p>
            <w:pPr>
              <w:spacing w:line="360" w:lineRule="auto"/>
              <w:jc w:val="cente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员</w:t>
            </w: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术</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员</w:t>
            </w: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31"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vAlign w:val="center"/>
          </w:tcPr>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售后</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w:t>
            </w:r>
          </w:p>
          <w:p>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人员</w:t>
            </w: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hint="eastAsia" w:ascii="宋体" w:hAnsi="宋体" w:eastAsia="宋体" w:cs="宋体"/>
                <w:color w:val="000000" w:themeColor="text1"/>
                <w14:textFill>
                  <w14:solidFill>
                    <w14:schemeClr w14:val="tx1"/>
                  </w14:solidFill>
                </w14:textFill>
              </w:rPr>
            </w:pPr>
          </w:p>
        </w:tc>
        <w:tc>
          <w:tcPr>
            <w:tcW w:w="810" w:type="dxa"/>
          </w:tcPr>
          <w:p>
            <w:pPr>
              <w:spacing w:line="360" w:lineRule="auto"/>
              <w:jc w:val="center"/>
              <w:rPr>
                <w:rFonts w:hint="eastAsia" w:ascii="宋体" w:hAnsi="宋体" w:eastAsia="宋体" w:cs="宋体"/>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811"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1414"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1057"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846"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c>
          <w:tcPr>
            <w:tcW w:w="743" w:type="dxa"/>
          </w:tcPr>
          <w:p>
            <w:pPr>
              <w:spacing w:line="360" w:lineRule="auto"/>
              <w:jc w:val="center"/>
              <w:rPr>
                <w:rFonts w:hint="eastAsia" w:ascii="宋体" w:hAnsi="宋体" w:eastAsia="宋体" w:cs="宋体"/>
                <w:b/>
                <w:bCs/>
                <w:color w:val="000000" w:themeColor="text1"/>
                <w:sz w:val="28"/>
                <w14:textFill>
                  <w14:solidFill>
                    <w14:schemeClr w14:val="tx1"/>
                  </w14:solidFill>
                </w14:textFill>
              </w:rPr>
            </w:pPr>
          </w:p>
        </w:tc>
      </w:tr>
    </w:tbl>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格式2-12</w:t>
      </w:r>
    </w:p>
    <w:bookmarkEnd w:id="183"/>
    <w:bookmarkEnd w:id="194"/>
    <w:bookmarkEnd w:id="195"/>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bookmarkStart w:id="199" w:name="_Toc490290406"/>
      <w:r>
        <w:rPr>
          <w:rFonts w:hint="eastAsia" w:ascii="宋体" w:hAnsi="宋体" w:eastAsia="宋体" w:cs="宋体"/>
          <w:b/>
          <w:color w:val="000000" w:themeColor="text1"/>
          <w:sz w:val="32"/>
          <w:szCs w:val="32"/>
          <w14:textFill>
            <w14:solidFill>
              <w14:schemeClr w14:val="tx1"/>
            </w14:solidFill>
          </w14:textFill>
        </w:rPr>
        <w:t>十一、知识产权声明函</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pacing w:val="6"/>
          <w:sz w:val="24"/>
          <w14:textFill>
            <w14:solidFill>
              <w14:schemeClr w14:val="tx1"/>
            </w14:solidFill>
          </w14:textFill>
        </w:rPr>
        <w:t>四川轩辕招标代理有限公司：</w:t>
      </w:r>
    </w:p>
    <w:p>
      <w:pPr>
        <w:pStyle w:val="2"/>
        <w:spacing w:after="0"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本单位（公司名称）参加（项目名称）的投标活动，现承诺声明：</w:t>
      </w:r>
    </w:p>
    <w:p>
      <w:pPr>
        <w:pStyle w:val="2"/>
        <w:spacing w:after="0"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2.采购人享有本项目实施过程中产生的知识成果及知识产权。</w:t>
      </w:r>
    </w:p>
    <w:p>
      <w:pPr>
        <w:pStyle w:val="2"/>
        <w:spacing w:after="0"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4.如采用本单位所不拥有的知识产权，本单位承诺在本项目投标报价中已经包括合法获取该知识产权的相关费用。 </w:t>
      </w:r>
    </w:p>
    <w:p>
      <w:pPr>
        <w:pStyle w:val="2"/>
        <w:spacing w:after="0"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本公司对上述承诺声明内容事项真实性负责。如经查实上述承诺声明的内容事项存在虚假或未履行，本单位愿意接受以提供虚假材料谋取中标追究法律责任。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法定代表人/单位负责人或授权代表：（签字或加盖个人名章）</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投标人名称：（单位盖章）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投标日期：</w:t>
      </w:r>
    </w:p>
    <w:p>
      <w:pPr>
        <w:spacing w:line="360" w:lineRule="auto"/>
        <w:rPr>
          <w:rFonts w:hint="eastAsia" w:ascii="宋体" w:hAnsi="宋体" w:eastAsia="宋体" w:cs="宋体"/>
          <w:b/>
          <w:color w:val="000000" w:themeColor="text1"/>
          <w:sz w:val="32"/>
          <w:szCs w:val="32"/>
          <w14:textFill>
            <w14:solidFill>
              <w14:schemeClr w14:val="tx1"/>
            </w14:solidFill>
          </w14:textFill>
        </w:rPr>
        <w:sectPr>
          <w:headerReference r:id="rId9" w:type="default"/>
          <w:footerReference r:id="rId10" w:type="default"/>
          <w:pgSz w:w="11906" w:h="16838"/>
          <w:pgMar w:top="1440" w:right="1474" w:bottom="1440" w:left="1474" w:header="851" w:footer="992" w:gutter="0"/>
          <w:cols w:space="720" w:num="1"/>
          <w:docGrid w:type="lines" w:linePitch="312" w:charSpace="0"/>
        </w:sectPr>
      </w:pPr>
    </w:p>
    <w:p>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格式2-13</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十二、中小企业声明函</w:t>
      </w:r>
    </w:p>
    <w:p>
      <w:pPr>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 号），本公司（联合体）参加</w:t>
      </w:r>
      <w:r>
        <w:rPr>
          <w:rFonts w:hint="eastAsia" w:ascii="宋体" w:hAnsi="宋体" w:eastAsia="宋体" w:cs="宋体"/>
          <w:color w:val="000000" w:themeColor="text1"/>
          <w:sz w:val="24"/>
          <w:u w:val="single"/>
          <w14:textFill>
            <w14:solidFill>
              <w14:schemeClr w14:val="tx1"/>
            </w14:solidFill>
          </w14:textFill>
        </w:rPr>
        <w:t xml:space="preserve"> （单位名称） </w:t>
      </w:r>
      <w:r>
        <w:rPr>
          <w:rFonts w:hint="eastAsia" w:ascii="宋体" w:hAnsi="宋体" w:eastAsia="宋体" w:cs="宋体"/>
          <w:color w:val="000000" w:themeColor="text1"/>
          <w:sz w:val="24"/>
          <w14:textFill>
            <w14:solidFill>
              <w14:schemeClr w14:val="tx1"/>
            </w14:solidFill>
          </w14:textFill>
        </w:rPr>
        <w:t xml:space="preserve">的 </w:t>
      </w:r>
      <w:r>
        <w:rPr>
          <w:rFonts w:hint="eastAsia" w:ascii="宋体" w:hAnsi="宋体" w:eastAsia="宋体" w:cs="宋体"/>
          <w:color w:val="000000" w:themeColor="text1"/>
          <w:sz w:val="24"/>
          <w:u w:val="single"/>
          <w14:textFill>
            <w14:solidFill>
              <w14:schemeClr w14:val="tx1"/>
            </w14:solidFill>
          </w14:textFill>
        </w:rPr>
        <w:t xml:space="preserve">（项目名称） </w:t>
      </w:r>
      <w:r>
        <w:rPr>
          <w:rFonts w:hint="eastAsia" w:ascii="宋体" w:hAnsi="宋体" w:eastAsia="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bookmarkStart w:id="200" w:name="_Toc413748654"/>
      <w:bookmarkStart w:id="201" w:name="_Toc387147344"/>
      <w:bookmarkStart w:id="202" w:name="_Toc419811733"/>
      <w:bookmarkStart w:id="203" w:name="_Toc387658050"/>
      <w:bookmarkStart w:id="204" w:name="_Toc417911732"/>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u w:val="single"/>
          <w14:textFill>
            <w14:solidFill>
              <w14:schemeClr w14:val="tx1"/>
            </w14:solidFill>
          </w14:textFill>
        </w:rPr>
        <w:t xml:space="preserve">（标的名称） </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4"/>
          <w14:textFill>
            <w14:solidFill>
              <w14:schemeClr w14:val="tx1"/>
            </w14:solidFill>
          </w14:textFill>
        </w:rPr>
        <w:t>；制造商为</w:t>
      </w:r>
      <w:r>
        <w:rPr>
          <w:rFonts w:hint="eastAsia" w:ascii="宋体" w:hAnsi="宋体" w:eastAsia="宋体" w:cs="宋体"/>
          <w:color w:val="000000" w:themeColor="text1"/>
          <w:sz w:val="24"/>
          <w:u w:val="single"/>
          <w14:textFill>
            <w14:solidFill>
              <w14:schemeClr w14:val="tx1"/>
            </w14:solidFill>
          </w14:textFill>
        </w:rPr>
        <w:t xml:space="preserve"> （企业名称） </w:t>
      </w:r>
      <w:r>
        <w:rPr>
          <w:rFonts w:hint="eastAsia" w:ascii="宋体" w:hAnsi="宋体" w:eastAsia="宋体" w:cs="宋体"/>
          <w:color w:val="000000" w:themeColor="text1"/>
          <w:sz w:val="24"/>
          <w14:textFill>
            <w14:solidFill>
              <w14:schemeClr w14:val="tx1"/>
            </w14:solidFill>
          </w14:textFill>
        </w:rPr>
        <w:t>，从业人员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u w:val="single"/>
          <w14:textFill>
            <w14:solidFill>
              <w14:schemeClr w14:val="tx1"/>
            </w14:solidFill>
          </w14:textFill>
        </w:rPr>
        <w:t xml:space="preserve">（标的名称） </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4"/>
          <w14:textFill>
            <w14:solidFill>
              <w14:schemeClr w14:val="tx1"/>
            </w14:solidFill>
          </w14:textFill>
        </w:rPr>
        <w:t>；制造商为</w:t>
      </w:r>
      <w:r>
        <w:rPr>
          <w:rFonts w:hint="eastAsia" w:ascii="宋体" w:hAnsi="宋体" w:eastAsia="宋体" w:cs="宋体"/>
          <w:color w:val="000000" w:themeColor="text1"/>
          <w:sz w:val="24"/>
          <w:u w:val="single"/>
          <w14:textFill>
            <w14:solidFill>
              <w14:schemeClr w14:val="tx1"/>
            </w14:solidFill>
          </w14:textFill>
        </w:rPr>
        <w:t xml:space="preserve"> （企业名称） </w:t>
      </w:r>
      <w:r>
        <w:rPr>
          <w:rFonts w:hint="eastAsia" w:ascii="宋体" w:hAnsi="宋体" w:eastAsia="宋体" w:cs="宋体"/>
          <w:color w:val="000000" w:themeColor="text1"/>
          <w:sz w:val="24"/>
          <w14:textFill>
            <w14:solidFill>
              <w14:schemeClr w14:val="tx1"/>
            </w14:solidFill>
          </w14:textFill>
        </w:rPr>
        <w:t>，从业人员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企业名称（盖章）：</w:t>
      </w:r>
    </w:p>
    <w:p>
      <w:pPr>
        <w:spacing w:line="360" w:lineRule="auto"/>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w:t>
      </w:r>
    </w:p>
    <w:bookmarkEnd w:id="200"/>
    <w:bookmarkEnd w:id="201"/>
    <w:bookmarkEnd w:id="202"/>
    <w:bookmarkEnd w:id="203"/>
    <w:bookmarkEnd w:id="204"/>
    <w:p>
      <w:pPr>
        <w:spacing w:line="360" w:lineRule="auto"/>
        <w:rPr>
          <w:rFonts w:hint="eastAsia" w:ascii="宋体" w:hAnsi="宋体" w:eastAsia="宋体" w:cs="宋体"/>
          <w:b/>
          <w:bCs/>
          <w:color w:val="000000" w:themeColor="text1"/>
          <w:szCs w:val="21"/>
          <w14:textFill>
            <w14:solidFill>
              <w14:schemeClr w14:val="tx1"/>
            </w14:solidFill>
          </w14:textFill>
        </w:rPr>
        <w:sectPr>
          <w:footerReference r:id="rId11" w:type="default"/>
          <w:pgSz w:w="11906" w:h="16838"/>
          <w:pgMar w:top="1440" w:right="1474" w:bottom="1440" w:left="1474" w:header="851" w:footer="992" w:gutter="0"/>
          <w:cols w:space="720" w:num="1"/>
          <w:docGrid w:type="lines" w:linePitch="312" w:charSpace="0"/>
        </w:sectPr>
      </w:pPr>
      <w:r>
        <w:rPr>
          <w:rFonts w:hint="eastAsia" w:ascii="宋体" w:hAnsi="宋体" w:eastAsia="宋体" w:cs="宋体"/>
          <w:b/>
          <w:bCs/>
          <w:color w:val="000000" w:themeColor="text1"/>
          <w:szCs w:val="21"/>
          <w14:textFill>
            <w14:solidFill>
              <w14:schemeClr w14:val="tx1"/>
            </w14:solidFill>
          </w14:textFill>
        </w:rPr>
        <w:t>1、从业人员、营业收入、资产总额填报上一年度数据，无上一年度数据的新成立企业可不填报。</w:t>
      </w:r>
    </w:p>
    <w:p>
      <w:pPr>
        <w:pStyle w:val="2"/>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格式1-14</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十三、</w:t>
      </w:r>
      <w:bookmarkStart w:id="205" w:name="OLE_LINK14"/>
      <w:bookmarkStart w:id="206" w:name="OLE_LINK13"/>
      <w:r>
        <w:rPr>
          <w:rFonts w:hint="eastAsia" w:ascii="宋体" w:hAnsi="宋体" w:eastAsia="宋体" w:cs="宋体"/>
          <w:b/>
          <w:color w:val="000000" w:themeColor="text1"/>
          <w:sz w:val="32"/>
          <w:szCs w:val="32"/>
          <w14:textFill>
            <w14:solidFill>
              <w14:schemeClr w14:val="tx1"/>
            </w14:solidFill>
          </w14:textFill>
        </w:rPr>
        <w:t>残疾人福利性单位声明函</w:t>
      </w:r>
    </w:p>
    <w:bookmarkEnd w:id="205"/>
    <w:bookmarkEnd w:id="206"/>
    <w:p>
      <w:pPr>
        <w:spacing w:line="360" w:lineRule="auto"/>
        <w:rPr>
          <w:rFonts w:hint="eastAsia" w:ascii="宋体" w:hAnsi="宋体" w:eastAsia="宋体" w:cs="宋体"/>
          <w:b/>
          <w:color w:val="000000" w:themeColor="text1"/>
          <w:spacing w:val="6"/>
          <w:sz w:val="24"/>
          <w14:textFill>
            <w14:solidFill>
              <w14:schemeClr w14:val="tx1"/>
            </w14:solidFill>
          </w14:textFill>
        </w:rPr>
      </w:pPr>
    </w:p>
    <w:p>
      <w:pPr>
        <w:spacing w:line="360" w:lineRule="auto"/>
        <w:ind w:firstLine="504"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14:textFill>
            <w14:solidFill>
              <w14:schemeClr w14:val="tx1"/>
            </w14:solidFill>
          </w14:textFill>
        </w:rPr>
        <w:t>〔2017〕 141</w:t>
      </w:r>
      <w:r>
        <w:rPr>
          <w:rFonts w:hint="eastAsia" w:ascii="宋体" w:hAnsi="宋体" w:eastAsia="宋体" w:cs="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本单位对上述声明的真实性负责。如有虚假，将依法承担相应责任。</w:t>
      </w:r>
    </w:p>
    <w:p>
      <w:pPr>
        <w:spacing w:line="360" w:lineRule="auto"/>
        <w:rPr>
          <w:rFonts w:hint="eastAsia" w:ascii="宋体" w:hAnsi="宋体" w:eastAsia="宋体" w:cs="宋体"/>
          <w:color w:val="000000" w:themeColor="text1"/>
          <w:spacing w:val="6"/>
          <w:sz w:val="24"/>
          <w14:textFill>
            <w14:solidFill>
              <w14:schemeClr w14:val="tx1"/>
            </w14:solidFill>
          </w14:textFill>
        </w:rPr>
      </w:pPr>
    </w:p>
    <w:p>
      <w:pPr>
        <w:spacing w:line="360" w:lineRule="auto"/>
        <w:rPr>
          <w:rFonts w:hint="eastAsia" w:ascii="宋体" w:hAnsi="宋体" w:eastAsia="宋体" w:cs="宋体"/>
          <w:color w:val="000000" w:themeColor="text1"/>
          <w:spacing w:val="6"/>
          <w:sz w:val="24"/>
          <w14:textFill>
            <w14:solidFill>
              <w14:schemeClr w14:val="tx1"/>
            </w14:solidFill>
          </w14:textFill>
        </w:rPr>
      </w:pPr>
    </w:p>
    <w:p>
      <w:pPr>
        <w:tabs>
          <w:tab w:val="left" w:pos="4860"/>
        </w:tabs>
        <w:spacing w:line="360" w:lineRule="auto"/>
        <w:ind w:right="1560"/>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单位名称：（盖章）</w:t>
      </w:r>
    </w:p>
    <w:p>
      <w:pPr>
        <w:spacing w:line="360" w:lineRule="auto"/>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日  期：</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w:t>
      </w:r>
    </w:p>
    <w:p>
      <w:pPr>
        <w:numPr>
          <w:ilvl w:val="0"/>
          <w:numId w:val="10"/>
        </w:num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残疾人福利性单位视同小型、微型企业，享受预留份额、评审中价格扣除等促进中小企业发展的政府采购政策。残疾人福利性单位属于小型、微型企业的，不重复享受政策。</w:t>
      </w:r>
    </w:p>
    <w:p>
      <w:pPr>
        <w:numPr>
          <w:ilvl w:val="0"/>
          <w:numId w:val="10"/>
        </w:num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投标人为非残疾人福利性单位的，可不提供此声明。</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b/>
          <w:color w:val="000000" w:themeColor="text1"/>
          <w:sz w:val="32"/>
          <w:szCs w:val="32"/>
          <w14:textFill>
            <w14:solidFill>
              <w14:schemeClr w14:val="tx1"/>
            </w14:solidFill>
          </w14:textFill>
        </w:rPr>
      </w:pPr>
      <w:r>
        <w:rPr>
          <w:rStyle w:val="76"/>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格式1-15</w:t>
      </w:r>
    </w:p>
    <w:p>
      <w:pPr>
        <w:widowControl/>
        <w:spacing w:line="360" w:lineRule="auto"/>
        <w:jc w:val="center"/>
        <w:outlineLvl w:val="1"/>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十四、监狱企业证明材料</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p>
    <w:p>
      <w:pPr>
        <w:spacing w:line="360" w:lineRule="auto"/>
        <w:ind w:firstLine="504"/>
        <w:jc w:val="left"/>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jc w:val="left"/>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注：</w:t>
      </w:r>
    </w:p>
    <w:p>
      <w:pPr>
        <w:spacing w:line="360" w:lineRule="auto"/>
        <w:ind w:firstLine="504"/>
        <w:jc w:val="left"/>
        <w:rPr>
          <w:rFonts w:hint="eastAsia"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1、投标人符合《政府采购支持监狱企业发展有关问题的通知》（财库〔2014〕68号）规定的划分标准为监狱企业适用。</w:t>
      </w:r>
    </w:p>
    <w:p>
      <w:pPr>
        <w:spacing w:line="360" w:lineRule="auto"/>
        <w:ind w:firstLine="504"/>
        <w:jc w:val="left"/>
        <w:rPr>
          <w:rFonts w:hint="eastAsia" w:ascii="宋体" w:hAnsi="宋体" w:eastAsia="宋体" w:cs="宋体"/>
          <w:color w:val="000000" w:themeColor="text1"/>
          <w:spacing w:val="6"/>
          <w:sz w:val="24"/>
          <w14:textFill>
            <w14:solidFill>
              <w14:schemeClr w14:val="tx1"/>
            </w14:solidFill>
          </w14:textFill>
        </w:rPr>
        <w:sectPr>
          <w:headerReference r:id="rId12" w:type="default"/>
          <w:footerReference r:id="rId13" w:type="default"/>
          <w:pgSz w:w="11906" w:h="16838"/>
          <w:pgMar w:top="1440" w:right="1474" w:bottom="1440" w:left="1474" w:header="851" w:footer="992" w:gutter="0"/>
          <w:cols w:space="720" w:num="1"/>
          <w:docGrid w:type="lines" w:linePitch="312" w:charSpace="0"/>
        </w:sectPr>
      </w:pPr>
      <w:r>
        <w:rPr>
          <w:rFonts w:hint="eastAsia" w:ascii="宋体" w:hAnsi="宋体" w:eastAsia="宋体" w:cs="宋体"/>
          <w:color w:val="000000" w:themeColor="text1"/>
          <w:spacing w:val="6"/>
          <w:sz w:val="24"/>
          <w14:textFill>
            <w14:solidFill>
              <w14:schemeClr w14:val="tx1"/>
            </w14:solidFill>
          </w14:textFill>
        </w:rPr>
        <w:t>2、在政府采购活动中，监狱企业视同小型、微型企业，享受预留份额、评审中价格扣除等政府采购促进中小企业发展的政府采购政策。</w:t>
      </w:r>
    </w:p>
    <w:p>
      <w:pPr>
        <w:pStyle w:val="32"/>
        <w:spacing w:before="0" w:after="0" w:line="360" w:lineRule="auto"/>
        <w:rPr>
          <w:rFonts w:hint="eastAsia" w:ascii="宋体" w:hAnsi="宋体" w:eastAsia="宋体" w:cs="宋体"/>
          <w:color w:val="000000" w:themeColor="text1"/>
          <w14:textFill>
            <w14:solidFill>
              <w14:schemeClr w14:val="tx1"/>
            </w14:solidFill>
          </w14:textFill>
        </w:rPr>
      </w:pPr>
      <w:bookmarkStart w:id="207" w:name="_Toc25182"/>
      <w:bookmarkStart w:id="208" w:name="_Toc5917"/>
      <w:r>
        <w:rPr>
          <w:rFonts w:hint="eastAsia" w:ascii="宋体" w:hAnsi="宋体" w:eastAsia="宋体" w:cs="宋体"/>
          <w:bCs w:val="0"/>
          <w:color w:val="000000" w:themeColor="text1"/>
          <w14:textFill>
            <w14:solidFill>
              <w14:schemeClr w14:val="tx1"/>
            </w14:solidFill>
          </w14:textFill>
        </w:rPr>
        <w:t>第四章  投标人和投标产品的资格、资质性及其他类似效力要求</w:t>
      </w:r>
      <w:bookmarkEnd w:id="199"/>
      <w:bookmarkEnd w:id="207"/>
      <w:bookmarkEnd w:id="208"/>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一、投标人资格、资质性及其他类似效力要求</w:t>
      </w:r>
    </w:p>
    <w:p>
      <w:pPr>
        <w:pStyle w:val="6"/>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资格要求：</w:t>
      </w:r>
    </w:p>
    <w:p>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（一）符合《中华人民共和国政府采购法》第二十二条规定的条件：</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5、参加本次政府采购活动前三年内，在经营活动中没有重大违法记录；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6、法律、行政法规规定的其他条件。</w:t>
      </w:r>
    </w:p>
    <w:p>
      <w:pPr>
        <w:pStyle w:val="87"/>
        <w:tabs>
          <w:tab w:val="left" w:pos="1260"/>
        </w:tabs>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（二）落实政府采购政策需满足的资格要求：本项目不是专门面向中小企业采购的项目。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三</w:t>
      </w:r>
      <w:r>
        <w:rPr>
          <w:rFonts w:hint="eastAsia" w:ascii="宋体" w:hAnsi="宋体" w:eastAsia="宋体" w:cs="宋体"/>
          <w:color w:val="000000" w:themeColor="text1"/>
          <w:sz w:val="24"/>
          <w14:textFill>
            <w14:solidFill>
              <w14:schemeClr w14:val="tx1"/>
            </w14:solidFill>
          </w14:textFill>
        </w:rPr>
        <w:t>）根据采购项目提出的特殊条件；</w:t>
      </w:r>
    </w:p>
    <w:p>
      <w:pPr>
        <w:pStyle w:val="87"/>
        <w:tabs>
          <w:tab w:val="left" w:pos="1260"/>
        </w:tabs>
        <w:ind w:firstLine="679" w:firstLineChars="28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按照《医疗器械监督管理条例》《医疗器械经营监督管理办法》《医疗器械生产监督管理办法》规定：投标产品若属于医疗器械，①投标人为生产厂商的提供医疗器械生产许可证/生产备案凭证、投标产品医疗器械注册证/备案凭证；②投标人为经销商的提供本单位的医疗器械经营许可证/经营备案凭证、生产厂商的医疗器械生产许可证/生产备案凭证、投标产品医疗器械注册证/备案凭证。</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2、本项目参加政府采购活动的投标人、法定代表人/主要负责人近3年内不得具有行贿犯罪记录。</w:t>
      </w:r>
    </w:p>
    <w:p>
      <w:pPr>
        <w:pStyle w:val="87"/>
        <w:tabs>
          <w:tab w:val="left" w:pos="1260"/>
        </w:tabs>
        <w:ind w:firstLine="679" w:firstLineChars="28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pStyle w:val="6"/>
        <w:spacing w:line="3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其他类似效力要求：</w:t>
      </w:r>
    </w:p>
    <w:p>
      <w:pPr>
        <w:pStyle w:val="87"/>
        <w:tabs>
          <w:tab w:val="left" w:pos="1260"/>
        </w:tabs>
        <w:ind w:firstLine="679" w:firstLineChars="283"/>
        <w:rPr>
          <w:rFonts w:hint="eastAsia"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1、本项目</w:t>
      </w:r>
      <w:r>
        <w:rPr>
          <w:rFonts w:hint="eastAsia" w:ascii="宋体" w:hAnsi="宋体" w:eastAsia="宋体" w:cs="宋体"/>
          <w:color w:val="000000" w:themeColor="text1"/>
          <w:sz w:val="24"/>
          <w:u w:val="single"/>
          <w14:textFill>
            <w14:solidFill>
              <w14:schemeClr w14:val="tx1"/>
            </w14:solidFill>
          </w14:textFill>
        </w:rPr>
        <w:t>不接受</w:t>
      </w:r>
      <w:r>
        <w:rPr>
          <w:rFonts w:hint="eastAsia" w:ascii="宋体" w:hAnsi="宋体" w:eastAsia="宋体" w:cs="宋体"/>
          <w:color w:val="000000" w:themeColor="text1"/>
          <w:sz w:val="24"/>
          <w14:textFill>
            <w14:solidFill>
              <w14:schemeClr w14:val="tx1"/>
            </w14:solidFill>
          </w14:textFill>
        </w:rPr>
        <w:t>联合体参与投标。</w:t>
      </w:r>
    </w:p>
    <w:p>
      <w:pPr>
        <w:pStyle w:val="87"/>
        <w:ind w:firstLine="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为准。</w:t>
      </w:r>
    </w:p>
    <w:p>
      <w:pPr>
        <w:pStyle w:val="87"/>
        <w:ind w:firstLine="420"/>
        <w:rPr>
          <w:rFonts w:hint="eastAsia" w:ascii="宋体" w:hAnsi="宋体" w:eastAsia="宋体" w:cs="宋体"/>
          <w:color w:val="000000" w:themeColor="text1"/>
          <w14:textFill>
            <w14:solidFill>
              <w14:schemeClr w14:val="tx1"/>
            </w14:solidFill>
          </w14:textFill>
        </w:rPr>
      </w:pPr>
      <w:bookmarkStart w:id="209" w:name="_Toc490290410"/>
    </w:p>
    <w:p>
      <w:pPr>
        <w:pStyle w:val="32"/>
        <w:spacing w:before="0" w:after="0"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color w:val="000000" w:themeColor="text1"/>
          <w:szCs w:val="21"/>
          <w14:textFill>
            <w14:solidFill>
              <w14:schemeClr w14:val="tx1"/>
            </w14:solidFill>
          </w14:textFill>
        </w:rPr>
        <w:br w:type="page"/>
      </w:r>
      <w:bookmarkStart w:id="210" w:name="_Toc10454"/>
      <w:bookmarkStart w:id="211" w:name="_Toc7835"/>
      <w:r>
        <w:rPr>
          <w:rFonts w:hint="eastAsia" w:ascii="宋体" w:hAnsi="宋体" w:eastAsia="宋体" w:cs="宋体"/>
          <w:bCs w:val="0"/>
          <w:color w:val="000000" w:themeColor="text1"/>
          <w14:textFill>
            <w14:solidFill>
              <w14:schemeClr w14:val="tx1"/>
            </w14:solidFill>
          </w14:textFill>
        </w:rPr>
        <w:t>第五章  投标人应当提供的资格、资质性及其他类似效力要求的相关证明材料</w:t>
      </w:r>
      <w:bookmarkEnd w:id="209"/>
      <w:bookmarkEnd w:id="210"/>
      <w:bookmarkEnd w:id="211"/>
    </w:p>
    <w:p>
      <w:pPr>
        <w:pStyle w:val="5"/>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212" w:name="_Toc490290411"/>
      <w:r>
        <w:rPr>
          <w:rFonts w:hint="eastAsia" w:ascii="宋体" w:hAnsi="宋体" w:eastAsia="宋体" w:cs="宋体"/>
          <w:color w:val="000000" w:themeColor="text1"/>
          <w:sz w:val="24"/>
          <w:szCs w:val="24"/>
          <w14:textFill>
            <w14:solidFill>
              <w14:schemeClr w14:val="tx1"/>
            </w14:solidFill>
          </w14:textFill>
        </w:rPr>
        <w:t>一、应当提供的投标人资格、资质性及其他类似效力要求的相关证明材料</w:t>
      </w:r>
    </w:p>
    <w:p>
      <w:pPr>
        <w:spacing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（一）资格要求相关证明材料：</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2、具有良好商业信誉的证明材料</w:t>
      </w:r>
      <w:bookmarkStart w:id="213" w:name="_Hlk495647337"/>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注：按第三章的格式1-4及要求提供书面承诺函原件</w:t>
      </w:r>
      <w:bookmarkEnd w:id="213"/>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3、具有健全的财务会计制度的证明材料</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注：①提供2019年度或2020年度经审计的财务报告</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bCs/>
          <w:color w:val="000000" w:themeColor="text1"/>
          <w:sz w:val="24"/>
          <w14:textFill>
            <w14:solidFill>
              <w14:schemeClr w14:val="tx1"/>
            </w14:solidFill>
          </w14:textFill>
        </w:rPr>
        <w:t>（包含审计报告和审计报告中所涉及的财务报表和报表附注）</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或提供2020年度供应商内部的财务报表</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color w:val="000000" w:themeColor="text1"/>
          <w:sz w:val="24"/>
          <w14:textFill>
            <w14:solidFill>
              <w14:schemeClr w14:val="tx1"/>
            </w14:solidFill>
          </w14:textFill>
        </w:rPr>
        <w:t>（至少包含资产负债表），也可提供距文件递交截止日一年内银行出具的资信证明（</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color w:val="000000" w:themeColor="text1"/>
          <w:sz w:val="24"/>
          <w14:textFill>
            <w14:solidFill>
              <w14:schemeClr w14:val="tx1"/>
            </w14:solidFill>
          </w14:textFill>
        </w:rPr>
        <w:t>）；②投标人注册时间至文件递交截止日不足一年的，可提供加盖</w:t>
      </w:r>
      <w:r>
        <w:rPr>
          <w:rFonts w:hint="eastAsia" w:ascii="宋体" w:hAnsi="宋体" w:eastAsia="宋体" w:cs="宋体"/>
          <w:b/>
          <w:bCs/>
          <w:color w:val="000000" w:themeColor="text1"/>
          <w:sz w:val="24"/>
          <w14:textFill>
            <w14:solidFill>
              <w14:schemeClr w14:val="tx1"/>
            </w14:solidFill>
          </w14:textFill>
        </w:rPr>
        <w:t>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color w:val="000000" w:themeColor="text1"/>
          <w:sz w:val="24"/>
          <w14:textFill>
            <w14:solidFill>
              <w14:schemeClr w14:val="tx1"/>
            </w14:solidFill>
          </w14:textFill>
        </w:rPr>
        <w:t>的验资报告或递交响应文件截止日一年内开户行出具的资信证明，或在工商备案的公司章程（</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4、具有依法缴纳税收和社会保障资金的良好记录</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注：</w:t>
      </w:r>
      <w:r>
        <w:rPr>
          <w:rFonts w:hint="eastAsia" w:ascii="宋体" w:hAnsi="宋体" w:eastAsia="宋体" w:cs="宋体"/>
          <w:b/>
          <w:bCs/>
          <w:color w:val="000000" w:themeColor="text1"/>
          <w:sz w:val="24"/>
          <w:szCs w:val="22"/>
          <w14:textFill>
            <w14:solidFill>
              <w14:schemeClr w14:val="tx1"/>
            </w14:solidFill>
          </w14:textFill>
        </w:rPr>
        <w:t>①提供投标人缴纳202</w:t>
      </w:r>
      <w:r>
        <w:rPr>
          <w:rFonts w:hint="eastAsia" w:ascii="宋体" w:hAnsi="宋体" w:eastAsia="宋体" w:cs="宋体"/>
          <w:b/>
          <w:bCs/>
          <w:color w:val="000000" w:themeColor="text1"/>
          <w:sz w:val="24"/>
          <w:szCs w:val="22"/>
          <w:lang w:val="en-US" w:eastAsia="zh-CN"/>
          <w14:textFill>
            <w14:solidFill>
              <w14:schemeClr w14:val="tx1"/>
            </w14:solidFill>
          </w14:textFill>
        </w:rPr>
        <w:t>1</w:t>
      </w:r>
      <w:r>
        <w:rPr>
          <w:rFonts w:hint="eastAsia" w:ascii="宋体" w:hAnsi="宋体" w:eastAsia="宋体" w:cs="宋体"/>
          <w:b/>
          <w:bCs/>
          <w:color w:val="000000" w:themeColor="text1"/>
          <w:sz w:val="24"/>
          <w:szCs w:val="22"/>
          <w14:textFill>
            <w14:solidFill>
              <w14:schemeClr w14:val="tx1"/>
            </w14:solidFill>
          </w14:textFill>
        </w:rPr>
        <w:t>年1月1日以来任意三个月缴纳税收的银行电子回单或者税务部门出具的纳税证明或完税证明材料的</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bCs/>
          <w:color w:val="000000" w:themeColor="text1"/>
          <w:sz w:val="24"/>
          <w:szCs w:val="22"/>
          <w14:textFill>
            <w14:solidFill>
              <w14:schemeClr w14:val="tx1"/>
            </w14:solidFill>
          </w14:textFill>
        </w:rPr>
        <w:t>，</w:t>
      </w:r>
      <w:r>
        <w:rPr>
          <w:rFonts w:hint="eastAsia" w:ascii="宋体" w:hAnsi="宋体" w:eastAsia="宋体" w:cs="宋体"/>
          <w:b/>
          <w:bCs/>
          <w:color w:val="000000" w:themeColor="text1"/>
          <w:sz w:val="24"/>
          <w:szCs w:val="22"/>
          <w:lang w:val="zh-CN"/>
          <w14:textFill>
            <w14:solidFill>
              <w14:schemeClr w14:val="tx1"/>
            </w14:solidFill>
          </w14:textFill>
        </w:rPr>
        <w:t>也可</w:t>
      </w:r>
      <w:r>
        <w:rPr>
          <w:rFonts w:hint="eastAsia" w:ascii="宋体" w:hAnsi="宋体" w:eastAsia="宋体" w:cs="宋体"/>
          <w:b/>
          <w:bCs/>
          <w:color w:val="000000" w:themeColor="text1"/>
          <w:sz w:val="24"/>
          <w:szCs w:val="22"/>
          <w14:textFill>
            <w14:solidFill>
              <w14:schemeClr w14:val="tx1"/>
            </w14:solidFill>
          </w14:textFill>
        </w:rPr>
        <w:t>提供承诺函，格式详见第三章 格式1-4。②提供投标人缴纳2020年1月1日以来任意三个月的缴纳社保的银行电子回单或社保部门出具的社保缴纳证明材料</w:t>
      </w:r>
      <w:r>
        <w:rPr>
          <w:rFonts w:hint="eastAsia" w:ascii="宋体" w:hAnsi="宋体" w:eastAsia="宋体" w:cs="宋体"/>
          <w:b/>
          <w:bCs/>
          <w:color w:val="000000" w:themeColor="text1"/>
          <w:sz w:val="24"/>
          <w:szCs w:val="22"/>
          <w:lang w:eastAsia="zh-CN"/>
          <w14:textFill>
            <w14:solidFill>
              <w14:schemeClr w14:val="tx1"/>
            </w14:solidFill>
          </w14:textFill>
        </w:rPr>
        <w:t>的</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b/>
          <w:bCs/>
          <w:color w:val="000000" w:themeColor="text1"/>
          <w:sz w:val="24"/>
          <w:szCs w:val="22"/>
          <w14:textFill>
            <w14:solidFill>
              <w14:schemeClr w14:val="tx1"/>
            </w14:solidFill>
          </w14:textFill>
        </w:rPr>
        <w:t>，</w:t>
      </w:r>
      <w:r>
        <w:rPr>
          <w:rFonts w:hint="eastAsia" w:ascii="宋体" w:hAnsi="宋体" w:eastAsia="宋体" w:cs="宋体"/>
          <w:b/>
          <w:bCs/>
          <w:color w:val="000000" w:themeColor="text1"/>
          <w:sz w:val="24"/>
          <w:szCs w:val="22"/>
          <w:lang w:val="zh-CN"/>
          <w14:textFill>
            <w14:solidFill>
              <w14:schemeClr w14:val="tx1"/>
            </w14:solidFill>
          </w14:textFill>
        </w:rPr>
        <w:t>也可</w:t>
      </w:r>
      <w:r>
        <w:rPr>
          <w:rFonts w:hint="eastAsia" w:ascii="宋体" w:hAnsi="宋体" w:eastAsia="宋体" w:cs="宋体"/>
          <w:b/>
          <w:bCs/>
          <w:color w:val="000000" w:themeColor="text1"/>
          <w:sz w:val="24"/>
          <w:szCs w:val="22"/>
          <w14:textFill>
            <w14:solidFill>
              <w14:schemeClr w14:val="tx1"/>
            </w14:solidFill>
          </w14:textFill>
        </w:rPr>
        <w:t>提供承诺函，格式详见第三章 格式1-4。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5、具备履行合同所必需的设备和专业技术能力的证明材料</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注：按第三章的格式1-4及要求提供书面承诺函原件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6、参加政府采购活动前3年内在经营活动中没有重大违法记录</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注：按第三章的格式1-4及要求提供书面承诺函原件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pStyle w:val="87"/>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7、符合法律、行政法规规定的其他条件的证明材料</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注：按第三章的格式1-4及要求提供书面承诺函原件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8、本项目参加政府采购活动的投标人、法定代表人/主要负责人近3年内不得具有行贿犯罪记录。</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注：按第三章的格式1-4及要求提供书面承诺函原件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按照《医疗器械监督管理条例》《医疗器械经营监督管理办法》《医疗器械生产监督管理办法》规定：投标产品若属于医疗器械，①投标人为生产厂商的提供医疗器械生产许可证/生产备案凭证、投标产品医疗器械注册证/备案凭证；②投标人为经销商的提供本单位的医疗器械经营许可证/经营备案凭证、生产厂商的医疗器械生产许可证/生产备案凭证、投标产品医疗器械注册证/备案凭证。【</w:t>
      </w:r>
      <w:r>
        <w:rPr>
          <w:rFonts w:hint="eastAsia" w:ascii="宋体" w:hAnsi="宋体" w:eastAsia="宋体" w:cs="宋体"/>
          <w:b/>
          <w:bCs/>
          <w:color w:val="000000" w:themeColor="text1"/>
          <w:sz w:val="24"/>
          <w:highlight w:val="none"/>
          <w14:textFill>
            <w14:solidFill>
              <w14:schemeClr w14:val="tx1"/>
            </w14:solidFill>
          </w14:textFill>
        </w:rPr>
        <w:t>提供相关证明材料</w:t>
      </w:r>
      <w:r>
        <w:rPr>
          <w:rFonts w:hint="eastAsia" w:ascii="宋体" w:hAnsi="宋体" w:eastAsia="宋体" w:cs="宋体"/>
          <w:b/>
          <w:bCs/>
          <w:color w:val="000000" w:themeColor="text1"/>
          <w:sz w:val="24"/>
          <w:highlight w:val="none"/>
          <w:lang w:eastAsia="zh-CN"/>
          <w14:textFill>
            <w14:solidFill>
              <w14:schemeClr w14:val="tx1"/>
            </w14:solidFill>
          </w14:textFill>
        </w:rPr>
        <w:t>复印件</w:t>
      </w:r>
      <w:r>
        <w:rPr>
          <w:rFonts w:hint="eastAsia" w:ascii="宋体" w:hAnsi="宋体" w:eastAsia="宋体" w:cs="宋体"/>
          <w:b/>
          <w:bCs/>
          <w:color w:val="000000" w:themeColor="text1"/>
          <w:sz w:val="24"/>
          <w:highlight w:val="none"/>
          <w14:textFill>
            <w14:solidFill>
              <w14:schemeClr w14:val="tx1"/>
            </w14:solidFill>
          </w14:textFill>
        </w:rPr>
        <w:t>加盖投标人</w:t>
      </w:r>
      <w:r>
        <w:rPr>
          <w:rFonts w:hint="eastAsia" w:ascii="宋体" w:hAnsi="宋体" w:eastAsia="宋体" w:cs="宋体"/>
          <w:b/>
          <w:bCs/>
          <w:color w:val="000000" w:themeColor="text1"/>
          <w:sz w:val="24"/>
          <w:highlight w:val="none"/>
          <w:lang w:eastAsia="zh-CN"/>
          <w14:textFill>
            <w14:solidFill>
              <w14:schemeClr w14:val="tx1"/>
            </w14:solidFill>
          </w14:textFill>
        </w:rPr>
        <w:t>电子签章</w:t>
      </w:r>
      <w:r>
        <w:rPr>
          <w:rFonts w:hint="eastAsia" w:ascii="宋体" w:hAnsi="宋体" w:eastAsia="宋体" w:cs="宋体"/>
          <w:color w:val="000000" w:themeColor="text1"/>
          <w:sz w:val="24"/>
          <w:highlight w:val="none"/>
          <w14:textFill>
            <w14:solidFill>
              <w14:schemeClr w14:val="tx1"/>
            </w14:solidFill>
          </w14:textFill>
        </w:rPr>
        <w:t>】</w:t>
      </w:r>
    </w:p>
    <w:p>
      <w:pPr>
        <w:pStyle w:val="87"/>
        <w:ind w:firstLine="0" w:firstLineChars="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（二）其他类似效力要求相关证明材料：</w:t>
      </w:r>
    </w:p>
    <w:p>
      <w:pPr>
        <w:spacing w:line="360" w:lineRule="auto"/>
        <w:ind w:firstLine="480"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1、法定代表人/单位负责人身份证明材料；</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提供相关证明材料</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2、投标人</w:t>
      </w:r>
      <w:r>
        <w:rPr>
          <w:rFonts w:hint="eastAsia" w:ascii="宋体" w:hAnsi="宋体" w:eastAsia="宋体" w:cs="宋体"/>
          <w:bCs/>
          <w:color w:val="000000" w:themeColor="text1"/>
          <w:sz w:val="24"/>
          <w:lang w:eastAsia="zh-CN"/>
          <w14:textFill>
            <w14:solidFill>
              <w14:schemeClr w14:val="tx1"/>
            </w14:solidFill>
          </w14:textFill>
        </w:rPr>
        <w:t>为</w:t>
      </w:r>
      <w:r>
        <w:rPr>
          <w:rFonts w:hint="eastAsia" w:ascii="宋体" w:hAnsi="宋体" w:eastAsia="宋体" w:cs="宋体"/>
          <w:bCs/>
          <w:color w:val="000000" w:themeColor="text1"/>
          <w:sz w:val="24"/>
          <w14:textFill>
            <w14:solidFill>
              <w14:schemeClr w14:val="tx1"/>
            </w14:solidFill>
          </w14:textFill>
        </w:rPr>
        <w:t>非法定代表人，需提供法定代表人授权书原件及法定代表人与被授权人身份证；</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提供相关证明材料</w:t>
      </w:r>
      <w:r>
        <w:rPr>
          <w:rFonts w:hint="eastAsia" w:ascii="宋体" w:hAnsi="宋体" w:eastAsia="宋体" w:cs="宋体"/>
          <w:b/>
          <w:bCs/>
          <w:color w:val="000000" w:themeColor="text1"/>
          <w:sz w:val="24"/>
          <w:lang w:eastAsia="zh-CN"/>
          <w14:textFill>
            <w14:solidFill>
              <w14:schemeClr w14:val="tx1"/>
            </w14:solidFill>
          </w14:textFill>
        </w:rPr>
        <w:t>复印件</w:t>
      </w:r>
      <w:r>
        <w:rPr>
          <w:rFonts w:hint="eastAsia" w:ascii="宋体" w:hAnsi="宋体" w:eastAsia="宋体" w:cs="宋体"/>
          <w:b/>
          <w:bCs/>
          <w:color w:val="000000" w:themeColor="text1"/>
          <w:sz w:val="24"/>
          <w14:textFill>
            <w14:solidFill>
              <w14:schemeClr w14:val="tx1"/>
            </w14:solidFill>
          </w14:textFill>
        </w:rPr>
        <w:t>加盖投标人</w:t>
      </w:r>
      <w:r>
        <w:rPr>
          <w:rFonts w:hint="eastAsia" w:ascii="宋体" w:hAnsi="宋体" w:eastAsia="宋体" w:cs="宋体"/>
          <w:b/>
          <w:bCs/>
          <w:color w:val="000000" w:themeColor="text1"/>
          <w:sz w:val="24"/>
          <w:lang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w:t>
      </w:r>
    </w:p>
    <w:p>
      <w:pPr>
        <w:pStyle w:val="87"/>
        <w:ind w:firstLine="480"/>
        <w:rPr>
          <w:rFonts w:hint="eastAsia" w:ascii="宋体" w:hAnsi="宋体" w:eastAsia="宋体" w:cs="宋体"/>
          <w:bCs/>
          <w:color w:val="000000" w:themeColor="text1"/>
          <w:sz w:val="24"/>
          <w14:textFill>
            <w14:solidFill>
              <w14:schemeClr w14:val="tx1"/>
            </w14:solidFill>
          </w14:textFill>
        </w:rPr>
      </w:pPr>
    </w:p>
    <w:bookmarkEnd w:id="212"/>
    <w:p>
      <w:pPr>
        <w:spacing w:line="360" w:lineRule="auto"/>
        <w:rPr>
          <w:rFonts w:hint="eastAsia" w:ascii="宋体" w:hAnsi="宋体" w:eastAsia="宋体" w:cs="宋体"/>
          <w:b/>
          <w:color w:val="000000" w:themeColor="text1"/>
          <w:szCs w:val="21"/>
          <w14:textFill>
            <w14:solidFill>
              <w14:schemeClr w14:val="tx1"/>
            </w14:solidFill>
          </w14:textFill>
        </w:rPr>
      </w:pPr>
      <w:bookmarkStart w:id="214" w:name="_Toc217446093"/>
      <w:r>
        <w:rPr>
          <w:rFonts w:hint="eastAsia" w:ascii="宋体" w:hAnsi="宋体" w:eastAsia="宋体" w:cs="宋体"/>
          <w:b/>
          <w:color w:val="000000" w:themeColor="text1"/>
          <w:szCs w:val="21"/>
          <w14:textFill>
            <w14:solidFill>
              <w14:schemeClr w14:val="tx1"/>
            </w14:solidFill>
          </w14:textFill>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numPr>
          <w:ilvl w:val="0"/>
          <w:numId w:val="11"/>
        </w:numPr>
        <w:spacing w:line="360" w:lineRule="auto"/>
        <w:ind w:firstLine="413"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本章要求提供的相关证明材料应当结合采购项目具体情况和投标人的组织机构性质确定，不得一概而论。</w:t>
      </w:r>
      <w:bookmarkStart w:id="215" w:name="_Toc490290413"/>
      <w:bookmarkStart w:id="216" w:name="_Hlk490467174"/>
    </w:p>
    <w:p>
      <w:pPr>
        <w:numPr>
          <w:ilvl w:val="0"/>
          <w:numId w:val="11"/>
        </w:numPr>
        <w:spacing w:line="360" w:lineRule="auto"/>
        <w:ind w:firstLine="413" w:firstLineChars="19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本章要求按第三章的格式1-4及要求提供书面承诺函原件的条款只需提供一份涵盖所有内容的承诺函，不需多份提供。</w:t>
      </w:r>
    </w:p>
    <w:p>
      <w:pPr>
        <w:pStyle w:val="32"/>
        <w:numPr>
          <w:ilvl w:val="0"/>
          <w:numId w:val="12"/>
        </w:num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17" w:name="_Toc30426"/>
      <w:bookmarkStart w:id="218" w:name="_Toc32366"/>
      <w:r>
        <w:rPr>
          <w:rFonts w:hint="eastAsia" w:ascii="宋体" w:hAnsi="宋体" w:eastAsia="宋体" w:cs="宋体"/>
          <w:color w:val="000000" w:themeColor="text1"/>
          <w14:textFill>
            <w14:solidFill>
              <w14:schemeClr w14:val="tx1"/>
            </w14:solidFill>
          </w14:textFill>
        </w:rPr>
        <w:t>招标项目技术、服务、政府采购合同内容条款及其他商务要求</w:t>
      </w:r>
      <w:bookmarkEnd w:id="214"/>
      <w:bookmarkEnd w:id="215"/>
      <w:bookmarkEnd w:id="217"/>
      <w:bookmarkEnd w:id="218"/>
    </w:p>
    <w:bookmarkEnd w:id="216"/>
    <w:p>
      <w:pPr>
        <w:pStyle w:val="2"/>
        <w:spacing w:after="0" w:line="360" w:lineRule="auto"/>
        <w:ind w:firstLine="422" w:firstLineChars="200"/>
        <w:rPr>
          <w:rFonts w:hint="eastAsia" w:ascii="宋体" w:hAnsi="宋体" w:eastAsia="宋体" w:cs="宋体"/>
          <w:b/>
          <w:bCs/>
          <w:color w:val="000000" w:themeColor="text1"/>
          <w:szCs w:val="24"/>
          <w14:textFill>
            <w14:solidFill>
              <w14:schemeClr w14:val="tx1"/>
            </w14:solidFill>
          </w14:textFill>
        </w:rPr>
      </w:pPr>
      <w:bookmarkStart w:id="219" w:name="_Toc490290414"/>
      <w:r>
        <w:rPr>
          <w:rFonts w:hint="eastAsia" w:ascii="宋体" w:hAnsi="宋体" w:eastAsia="宋体" w:cs="宋体"/>
          <w:b/>
          <w:bCs/>
          <w:color w:val="000000" w:themeColor="text1"/>
          <w:lang w:eastAsia="zh-CN"/>
          <w14:textFill>
            <w14:solidFill>
              <w14:schemeClr w14:val="tx1"/>
            </w14:solidFill>
          </w14:textFill>
        </w:rPr>
        <w:t>前提：</w:t>
      </w:r>
      <w:r>
        <w:rPr>
          <w:rFonts w:hint="eastAsia" w:ascii="宋体" w:hAnsi="宋体" w:eastAsia="宋体" w:cs="宋体"/>
          <w:b/>
          <w:bCs/>
          <w:color w:val="000000" w:themeColor="text1"/>
          <w14:textFill>
            <w14:solidFill>
              <w14:schemeClr w14:val="tx1"/>
            </w14:solidFill>
          </w14:textFill>
        </w:rPr>
        <w:t>本章中标注“</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”号的条款为本项目的实质性要求，供应商应全部满足，否则其投标文件作无效投标处理。</w:t>
      </w:r>
      <w:r>
        <w:rPr>
          <w:rFonts w:hint="eastAsia" w:ascii="宋体" w:hAnsi="宋体" w:eastAsia="宋体" w:cs="宋体"/>
          <w:b/>
          <w:bCs/>
          <w:color w:val="000000" w:themeColor="text1"/>
          <w:szCs w:val="24"/>
          <w14:textFill>
            <w14:solidFill>
              <w14:schemeClr w14:val="tx1"/>
            </w14:solidFill>
          </w14:textFill>
        </w:rPr>
        <w:t>“</w:t>
      </w:r>
      <w:r>
        <w:rPr>
          <w:rFonts w:hint="eastAsia" w:ascii="宋体" w:hAnsi="宋体" w:eastAsia="宋体" w:cs="宋体"/>
          <w:b/>
          <w:bCs/>
          <w:color w:val="000000" w:themeColor="text1"/>
          <w:szCs w:val="24"/>
          <w:lang w:eastAsia="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”符号的条款为本项目的重要参数条款，未标识符号的条款为一般参数条款。</w:t>
      </w:r>
    </w:p>
    <w:p>
      <w:pPr>
        <w:pStyle w:val="2"/>
        <w:spacing w:after="0"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一、项目概述</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1、项目概况：本项目共</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个包，采购</w:t>
      </w:r>
      <w:r>
        <w:rPr>
          <w:rFonts w:hint="eastAsia" w:ascii="宋体" w:hAnsi="宋体" w:eastAsia="宋体" w:cs="宋体"/>
          <w:color w:val="000000" w:themeColor="text1"/>
          <w:kern w:val="0"/>
          <w:sz w:val="24"/>
          <w:lang w:eastAsia="zh-CN"/>
          <w14:textFill>
            <w14:solidFill>
              <w14:schemeClr w14:val="tx1"/>
            </w14:solidFill>
          </w14:textFill>
        </w:rPr>
        <w:t>医疗</w:t>
      </w:r>
      <w:r>
        <w:rPr>
          <w:rFonts w:hint="eastAsia" w:ascii="宋体" w:hAnsi="宋体" w:eastAsia="宋体" w:cs="宋体"/>
          <w:color w:val="000000" w:themeColor="text1"/>
          <w:kern w:val="0"/>
          <w:sz w:val="24"/>
          <w:lang w:val="en-US" w:eastAsia="zh-CN"/>
          <w14:textFill>
            <w14:solidFill>
              <w14:schemeClr w14:val="tx1"/>
            </w14:solidFill>
          </w14:textFill>
        </w:rPr>
        <w:t>设备</w:t>
      </w:r>
      <w:r>
        <w:rPr>
          <w:rFonts w:hint="eastAsia" w:ascii="宋体" w:hAnsi="宋体" w:eastAsia="宋体" w:cs="宋体"/>
          <w:color w:val="000000" w:themeColor="text1"/>
          <w:kern w:val="0"/>
          <w:sz w:val="24"/>
          <w14:textFill>
            <w14:solidFill>
              <w14:schemeClr w14:val="tx1"/>
            </w14:solidFill>
          </w14:textFill>
        </w:rPr>
        <w:t>一批：</w:t>
      </w:r>
    </w:p>
    <w:p>
      <w:pPr>
        <w:widowControl/>
        <w:adjustRightInd w:val="0"/>
        <w:snapToGrid w:val="0"/>
        <w:spacing w:line="360" w:lineRule="auto"/>
        <w:jc w:val="left"/>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二、项目清单</w:t>
      </w:r>
    </w:p>
    <w:tbl>
      <w:tblPr>
        <w:tblStyle w:val="35"/>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991"/>
        <w:gridCol w:w="750"/>
        <w:gridCol w:w="800"/>
        <w:gridCol w:w="1424"/>
        <w:gridCol w:w="1420"/>
        <w:gridCol w:w="9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57"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包号</w:t>
            </w:r>
          </w:p>
        </w:tc>
        <w:tc>
          <w:tcPr>
            <w:tcW w:w="1991"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设备名称</w:t>
            </w:r>
          </w:p>
          <w:p>
            <w:pPr>
              <w:widowControl/>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（标的名称</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1424"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单价最高限价(万元)</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总价最高限价（万元）</w:t>
            </w:r>
          </w:p>
        </w:tc>
        <w:tc>
          <w:tcPr>
            <w:tcW w:w="924"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每包合计</w:t>
            </w:r>
          </w:p>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924"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991"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全自动粪便检测仪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35</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35</w:t>
            </w:r>
          </w:p>
        </w:tc>
        <w:tc>
          <w:tcPr>
            <w:tcW w:w="924" w:type="dxa"/>
            <w:tcBorders>
              <w:tl2br w:val="nil"/>
              <w:tr2bl w:val="nil"/>
            </w:tcBorders>
            <w:vAlign w:val="center"/>
          </w:tcPr>
          <w:p>
            <w:pPr>
              <w:widowControl/>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35</w:t>
            </w:r>
          </w:p>
        </w:tc>
        <w:tc>
          <w:tcPr>
            <w:tcW w:w="924" w:type="dxa"/>
            <w:tcBorders>
              <w:tl2br w:val="nil"/>
              <w:tr2bl w:val="nil"/>
            </w:tcBorders>
            <w:vAlign w:val="center"/>
          </w:tcPr>
          <w:p>
            <w:pPr>
              <w:widowControl/>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c>
          <w:tcPr>
            <w:tcW w:w="1991"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全自动微量元素分析仪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40</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40</w:t>
            </w: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40</w:t>
            </w:r>
          </w:p>
        </w:tc>
        <w:tc>
          <w:tcPr>
            <w:tcW w:w="924" w:type="dxa"/>
            <w:tcBorders>
              <w:tl2br w:val="nil"/>
              <w:tr2bl w:val="nil"/>
            </w:tcBorders>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vMerge w:val="restart"/>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c>
          <w:tcPr>
            <w:tcW w:w="1991"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荧光定量PCR仪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28</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28</w:t>
            </w:r>
          </w:p>
        </w:tc>
        <w:tc>
          <w:tcPr>
            <w:tcW w:w="924" w:type="dxa"/>
            <w:vMerge w:val="restart"/>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36</w:t>
            </w: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vMerge w:val="continue"/>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991"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核酸提取仪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8</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8</w:t>
            </w:r>
          </w:p>
        </w:tc>
        <w:tc>
          <w:tcPr>
            <w:tcW w:w="924" w:type="dxa"/>
            <w:vMerge w:val="continue"/>
            <w:tcBorders>
              <w:tl2br w:val="nil"/>
              <w:tr2bl w:val="nil"/>
            </w:tcBorders>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vMerge w:val="restart"/>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c>
          <w:tcPr>
            <w:tcW w:w="1991" w:type="dxa"/>
            <w:tcBorders>
              <w:tl2br w:val="nil"/>
              <w:tr2bl w:val="nil"/>
            </w:tcBorders>
            <w:vAlign w:val="center"/>
          </w:tcPr>
          <w:p>
            <w:pPr>
              <w:widowControl/>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全自动血流变测试仪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20</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20</w:t>
            </w:r>
          </w:p>
        </w:tc>
        <w:tc>
          <w:tcPr>
            <w:tcW w:w="924" w:type="dxa"/>
            <w:vMerge w:val="restart"/>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24.8</w:t>
            </w:r>
          </w:p>
        </w:tc>
        <w:tc>
          <w:tcPr>
            <w:tcW w:w="924" w:type="dxa"/>
            <w:tcBorders>
              <w:tl2br w:val="nil"/>
              <w:tr2bl w:val="nil"/>
            </w:tcBorders>
            <w:vAlign w:val="center"/>
          </w:tcPr>
          <w:p>
            <w:pPr>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7" w:type="dxa"/>
            <w:vMerge w:val="continue"/>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991" w:type="dxa"/>
            <w:tcBorders>
              <w:tl2br w:val="nil"/>
              <w:tr2bl w:val="nil"/>
            </w:tcBorders>
            <w:vAlign w:val="center"/>
          </w:tcPr>
          <w:p>
            <w:pPr>
              <w:widowControl/>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血栓弹力图</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4.8</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4.8</w:t>
            </w:r>
          </w:p>
        </w:tc>
        <w:tc>
          <w:tcPr>
            <w:tcW w:w="924" w:type="dxa"/>
            <w:vMerge w:val="continue"/>
            <w:tcBorders>
              <w:tl2br w:val="nil"/>
              <w:tr2bl w:val="nil"/>
            </w:tcBorders>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7"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1991" w:type="dxa"/>
            <w:tcBorders>
              <w:tl2br w:val="nil"/>
              <w:tr2bl w:val="nil"/>
            </w:tcBorders>
            <w:vAlign w:val="center"/>
          </w:tcPr>
          <w:p>
            <w:pPr>
              <w:widowControl/>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全自动数字远程病理细胞分析仪</w:t>
            </w:r>
          </w:p>
        </w:tc>
        <w:tc>
          <w:tcPr>
            <w:tcW w:w="75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台</w:t>
            </w:r>
          </w:p>
        </w:tc>
        <w:tc>
          <w:tcPr>
            <w:tcW w:w="80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1424" w:type="dxa"/>
            <w:tcBorders>
              <w:tl2br w:val="nil"/>
              <w:tr2bl w:val="nil"/>
            </w:tcBorders>
            <w:noWrap/>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1420" w:type="dxa"/>
            <w:tcBorders>
              <w:tl2br w:val="nil"/>
              <w:tr2bl w:val="nil"/>
            </w:tcBorders>
            <w:vAlign w:val="center"/>
          </w:tcPr>
          <w:p>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924" w:type="dxa"/>
            <w:tcBorders>
              <w:tl2br w:val="nil"/>
              <w:tr2bl w:val="nil"/>
            </w:tcBorders>
            <w:vAlign w:val="center"/>
          </w:tcPr>
          <w:p>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工业</w:t>
            </w:r>
          </w:p>
        </w:tc>
      </w:tr>
    </w:tbl>
    <w:p>
      <w:pPr>
        <w:pStyle w:val="2"/>
        <w:spacing w:before="312" w:beforeLines="100" w:after="0"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三</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eastAsia="zh-CN"/>
          <w14:textFill>
            <w14:solidFill>
              <w14:schemeClr w14:val="tx1"/>
            </w14:solidFill>
          </w14:textFill>
        </w:rPr>
        <w:t>项目要求</w:t>
      </w:r>
      <w:r>
        <w:rPr>
          <w:rFonts w:hint="eastAsia" w:ascii="宋体" w:hAnsi="宋体" w:eastAsia="宋体" w:cs="宋体"/>
          <w:b/>
          <w:bCs/>
          <w:color w:val="000000" w:themeColor="text1"/>
          <w:sz w:val="24"/>
          <w14:textFill>
            <w14:solidFill>
              <w14:schemeClr w14:val="tx1"/>
            </w14:solidFill>
          </w14:textFill>
        </w:rPr>
        <w:t>：</w:t>
      </w:r>
    </w:p>
    <w:p>
      <w:p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第一包：</w:t>
      </w:r>
    </w:p>
    <w:p>
      <w:pPr>
        <w:pStyle w:val="2"/>
        <w:numPr>
          <w:ilvl w:val="0"/>
          <w:numId w:val="13"/>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本项目进口产品不可以参与竞争</w:t>
      </w:r>
    </w:p>
    <w:p>
      <w:pPr>
        <w:numPr>
          <w:ilvl w:val="0"/>
          <w:numId w:val="13"/>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技术参数要求：</w:t>
      </w:r>
    </w:p>
    <w:tbl>
      <w:tblPr>
        <w:tblStyle w:val="35"/>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737"/>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134"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货物名称</w:t>
            </w:r>
          </w:p>
        </w:tc>
        <w:tc>
          <w:tcPr>
            <w:tcW w:w="6737" w:type="dxa"/>
            <w:vAlign w:val="center"/>
          </w:tcPr>
          <w:p>
            <w:pPr>
              <w:widowControl/>
              <w:spacing w:line="360" w:lineRule="auto"/>
              <w:ind w:firstLine="42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技术参数要求</w:t>
            </w:r>
          </w:p>
        </w:tc>
        <w:tc>
          <w:tcPr>
            <w:tcW w:w="828"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全自动粪便检测仪</w:t>
            </w:r>
          </w:p>
        </w:tc>
        <w:tc>
          <w:tcPr>
            <w:tcW w:w="6737" w:type="dxa"/>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1、系统功能要求：样本采集后运送、检测、回收全过程封闭。</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2、检测项目： 全自动实现样本颜色与性状拍照与结果自动判读；样本有形成分（包括细胞、食物残留、细菌、病毒、寄生虫虫体及虫卵、结晶与其它颗粒等）显微镜检拍照与结果自动判读；样本免疫学项目（包括粪便隐血、转铁蛋白与其它蛋白、幽门螺杆菌、腺病毒、轮状病毒等）免疫层析法（含金标法）检测与结果自动判读。</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检测速度：≥80标本/小时，配备不少于3通道计数。</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样本采集管要求：全封闭设计，具有内外定位装置，可进行两端穿刺加注或吸样，吸样针倒置上穿定量吸样；</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进样方式：样本架循环轨道式进样，急诊和常规标本随到随检，具备无限制样本处理能力，一次进样≥50个；</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样本性状摄像单元：配备高清摄像头，性状照片能储存与调用，并方便检验医生调阅判断；</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样本稀释混匀过滤单元：自动穿刺注入稀释液稀释，并可进行标本智能二次稀释。满足所有标本的检测要求，尤其是满足虫卵标本的集卵要求；</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高频往复式气动混匀，保证样本充分混匀而不破坏样本中有形成分；</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LED显微镜多视野断层扫描成像，自动进行低倍镜（≥x10）和高倍镜（≥x40）切换。低倍镜和高倍镜均能对同一视野进行多层多焦距采集高清晰图像，用于检测红细胞、白细胞、吞噬细胞、脓细胞、真菌孢子（霉菌）、夏科雷登结晶、脂肪球、寄生虫和/或寄生虫卵等；</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试剂卡仓数量≥6个，支持同时测试6～12个POCT(胶体金法)项目，每个卡盒装卡≥50张，一次性可装载试剂卡≥300张。具有自动送卡、卡量监测报警、不停机加卡功能；</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具备自动传输、检测、回收金标卡功能；</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试剂卡反应时间：≤4分钟，具有自动摄取金标卡反应结果图像和自动判读结果功能；</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配置自动图形识别软件，能对红细胞、白细胞、真菌孢子和菌丝、脂肪球、夏科雷登结晶、寄生虫和/或寄生虫卵等进行自动图形识别。全自动一体机和逐步完善强大的云数据库，完整初筛识别功能。</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LIS系统双向通讯功能，选配条码扫描。</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配备</w:t>
            </w:r>
            <w:r>
              <w:rPr>
                <w:rFonts w:hint="eastAsia" w:ascii="宋体" w:hAnsi="宋体" w:eastAsia="宋体" w:cs="宋体"/>
                <w:color w:val="000000" w:themeColor="text1"/>
                <w:sz w:val="21"/>
                <w:szCs w:val="21"/>
                <w:lang w:eastAsia="zh-CN"/>
                <w14:textFill>
                  <w14:solidFill>
                    <w14:schemeClr w14:val="tx1"/>
                  </w14:solidFill>
                </w14:textFill>
              </w:rPr>
              <w:t>备用电源</w:t>
            </w:r>
            <w:r>
              <w:rPr>
                <w:rFonts w:hint="eastAsia" w:ascii="宋体" w:hAnsi="宋体" w:eastAsia="宋体" w:cs="宋体"/>
                <w:color w:val="000000" w:themeColor="text1"/>
                <w:sz w:val="21"/>
                <w:szCs w:val="21"/>
                <w14:textFill>
                  <w14:solidFill>
                    <w14:schemeClr w14:val="tx1"/>
                  </w14:solidFill>
                </w14:textFill>
              </w:rPr>
              <w:t>、工作站及接入LIS系统，所需费用包含在本次报价中。</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质保期不</w:t>
            </w:r>
            <w:r>
              <w:rPr>
                <w:rFonts w:hint="eastAsia" w:ascii="宋体" w:hAnsi="宋体" w:eastAsia="宋体" w:cs="宋体"/>
                <w:color w:val="000000" w:themeColor="text1"/>
                <w:sz w:val="21"/>
                <w:szCs w:val="21"/>
                <w:lang w:eastAsia="zh-CN"/>
                <w14:textFill>
                  <w14:solidFill>
                    <w14:schemeClr w14:val="tx1"/>
                  </w14:solidFill>
                </w14:textFill>
              </w:rPr>
              <w:t>小</w:t>
            </w:r>
            <w:r>
              <w:rPr>
                <w:rFonts w:hint="eastAsia" w:ascii="宋体" w:hAnsi="宋体" w:eastAsia="宋体" w:cs="宋体"/>
                <w:color w:val="000000" w:themeColor="text1"/>
                <w:sz w:val="21"/>
                <w:szCs w:val="21"/>
                <w14:textFill>
                  <w14:solidFill>
                    <w14:schemeClr w14:val="tx1"/>
                  </w14:solidFill>
                </w14:textFill>
              </w:rPr>
              <w:t>于5年。</w:t>
            </w:r>
          </w:p>
        </w:tc>
        <w:tc>
          <w:tcPr>
            <w:tcW w:w="828"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bl>
    <w:p>
      <w:p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第二包：</w:t>
      </w:r>
    </w:p>
    <w:p>
      <w:pPr>
        <w:pStyle w:val="2"/>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（一）本项目进口产品不可以参与竞争</w:t>
      </w:r>
    </w:p>
    <w:p>
      <w:pPr>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（二）技术参数要求：</w:t>
      </w:r>
    </w:p>
    <w:tbl>
      <w:tblPr>
        <w:tblStyle w:val="3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71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1134"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货物名称</w:t>
            </w:r>
          </w:p>
        </w:tc>
        <w:tc>
          <w:tcPr>
            <w:tcW w:w="6710" w:type="dxa"/>
            <w:vAlign w:val="center"/>
          </w:tcPr>
          <w:p>
            <w:pPr>
              <w:widowControl/>
              <w:spacing w:line="360" w:lineRule="auto"/>
              <w:ind w:firstLine="42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技术参数要求</w:t>
            </w:r>
          </w:p>
        </w:tc>
        <w:tc>
          <w:tcPr>
            <w:tcW w:w="813"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全自动微量元素分析仪</w:t>
            </w:r>
          </w:p>
        </w:tc>
        <w:tc>
          <w:tcPr>
            <w:tcW w:w="6710" w:type="dxa"/>
            <w:vAlign w:val="center"/>
          </w:tcPr>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测量方法：采用微分电位溶出法和记谱法测量。检测项目包含但不限于锌、镉、铅、铜、铁、锰、钙、镁等8种微量元素。</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标本：全血（末梢血、静脉血等）。</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性能指标：</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★1、标配52个测试位（溶出、极谱各26个），每小时检测项数不小于200。</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2、溶出和极谱通道独立控制且可同时测量。</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3、测量钙镁或锌镉铅铜铁锰采血量≥20ul。</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★4、极谱电极系统无汞化，无污染，无毒害。</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★5、离子稳定释放技术：样品无需离心、无需放置，上机直接检测。</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6、自动加试剂、自动进样、混匀；自动定标和质控、自动检测及自动清洗取样针。</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7、网口通讯技术：解决计算机配置制约，避免外界干扰对通讯影响。</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8、全中文操作软件，检测过程工作状态信息全面动态显示，试剂信息、样本结果、系统各单元状态实时诊断。</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9、报告单格式符合相关法规，满足实验室管理要求，提供多种打印格式模板。</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10、试验场地要求：无需气体、火焰等辅助设施。</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工作条件：环境温度：10℃～30℃；相对湿度：≤80%；大气压力：70kPa～106 kPa；电源：AC220V 50Hz。</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11、配备</w:t>
            </w:r>
            <w:r>
              <w:rPr>
                <w:rFonts w:hint="eastAsia" w:ascii="宋体" w:hAnsi="宋体" w:eastAsia="宋体" w:cs="宋体"/>
                <w:color w:val="000000" w:themeColor="text1"/>
                <w:lang w:eastAsia="zh-CN"/>
                <w14:textFill>
                  <w14:solidFill>
                    <w14:schemeClr w14:val="tx1"/>
                  </w14:solidFill>
                </w14:textFill>
              </w:rPr>
              <w:t>备用电源</w:t>
            </w:r>
            <w:r>
              <w:rPr>
                <w:rFonts w:hint="eastAsia" w:ascii="宋体" w:hAnsi="宋体" w:eastAsia="宋体" w:cs="宋体"/>
                <w:color w:val="000000" w:themeColor="text1"/>
                <w14:textFill>
                  <w14:solidFill>
                    <w14:schemeClr w14:val="tx1"/>
                  </w14:solidFill>
                </w14:textFill>
              </w:rPr>
              <w:t>、工作站及接入LIS系统，所需费用包含在本次报价中。</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12、质保期不小于5年。</w:t>
            </w:r>
          </w:p>
        </w:tc>
        <w:tc>
          <w:tcPr>
            <w:tcW w:w="813"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bl>
    <w:p>
      <w:p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第三包：</w:t>
      </w:r>
    </w:p>
    <w:p>
      <w:pPr>
        <w:pStyle w:val="2"/>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（一）本项目进口产品不可以参与竞争</w:t>
      </w:r>
    </w:p>
    <w:p>
      <w:pPr>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（二）技术参数要求：</w:t>
      </w:r>
    </w:p>
    <w:tbl>
      <w:tblPr>
        <w:tblStyle w:val="3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65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1134"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货物名称</w:t>
            </w:r>
          </w:p>
        </w:tc>
        <w:tc>
          <w:tcPr>
            <w:tcW w:w="6659" w:type="dxa"/>
            <w:vAlign w:val="center"/>
          </w:tcPr>
          <w:p>
            <w:pPr>
              <w:widowControl/>
              <w:spacing w:line="360" w:lineRule="auto"/>
              <w:ind w:firstLine="42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技术参数要求</w:t>
            </w:r>
          </w:p>
        </w:tc>
        <w:tc>
          <w:tcPr>
            <w:tcW w:w="781"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荧光定量PCR仪</w:t>
            </w:r>
          </w:p>
        </w:tc>
        <w:tc>
          <w:tcPr>
            <w:tcW w:w="6659" w:type="dxa"/>
            <w:vAlign w:val="center"/>
          </w:tcPr>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1、激发光源： LED光源。</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2、检测器：高灵敏度光电传感器。</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3、★样本容量： ≥2*48孔，双模块。</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荧光检测波长：通道1：470nm-510nm</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通道2：530nm-565nm</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通道3：580nm-620nm</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通道4：630nm-665nm</w:t>
            </w:r>
          </w:p>
          <w:p>
            <w:pPr>
              <w:spacing w:line="360"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通道5：预留</w:t>
            </w:r>
          </w:p>
          <w:p>
            <w:pPr>
              <w:spacing w:line="360" w:lineRule="auto"/>
              <w:ind w:firstLine="1470" w:firstLineChars="70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通道6：预留</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4、可检测的荧光素及染料：FAM，SYBR，VIC，HEX，Joe，TET，TAMRA，CY3，ROX，Texas Red，CY5。</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5、模块功能：双模块可独立运行2个48孔实验。</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6、★激发、检测光的传输模式:每一反应孔独立的光纤传输。</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7、软件应用模式：定量/定性、熔解曲线、多管多项目分析、相对定量、等位基因、HRM。</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8、模块温度范围：4℃-99℃。</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9、检测线性范围：10^0-10^10。</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10、★检测灵敏度：最小分辨率一个拷贝。</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11、反应容积：15ul-100ul。</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12、控温模式：半导体热电模块。</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13、升降温速率（MAX）：4.0℃/S。</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14、★温控精度：±0.1℃。</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15、★样品间温度均匀性：±0.1℃。</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16、热盖：电子自动控制热盖。</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17、配备备用电源、工作站及接入LIS系统，所需费用包含在本次报价中。</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18、质保期不小于5年。</w:t>
            </w:r>
          </w:p>
        </w:tc>
        <w:tc>
          <w:tcPr>
            <w:tcW w:w="781"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核酸提取仪</w:t>
            </w:r>
          </w:p>
        </w:tc>
        <w:tc>
          <w:tcPr>
            <w:tcW w:w="6659" w:type="dxa"/>
            <w:vAlign w:val="center"/>
          </w:tcPr>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1、原理/工作模式：磁珠法、磁棒式/上下混合。</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2、样品通量：1~32个。</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3、处理体积：50μL~1000μL。</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4、样本类型：咽拭子、深咳痰液、血清、血浆、全血等。</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5、提纯孔间差：CV≤5%。</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6、磁珠回收率：＞95%。</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7、提纯灵敏度：100拷贝样品的阳性检出率＞95%。</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8、裂解/洗脱温度：室温~120℃。</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9、★震荡混合：10档速度可调，可编辑不同需求的混合方式。</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10、★软件安全设计：操作系统加密功能，可有效防止恶意篡改参数和程序。</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11、防污染设计：多个风扇对流设计，有效防止气溶胶污染。</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12、★照明系统：有。</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13、★进样方式：抽屉式进样。</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14、★提取时间：配套提取试剂最快12分钟可完成1-32个样本的核酸提取。</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15、杀菌消毒：紫外消毒。</w:t>
            </w:r>
          </w:p>
          <w:p>
            <w:pPr>
              <w:pStyle w:val="2"/>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r>
              <w:rPr>
                <w:rFonts w:hint="eastAsia" w:ascii="宋体" w:hAnsi="宋体" w:eastAsia="宋体" w:cs="宋体"/>
                <w:color w:val="000000" w:themeColor="text1"/>
                <w:lang w:eastAsia="zh-CN"/>
                <w14:textFill>
                  <w14:solidFill>
                    <w14:schemeClr w14:val="tx1"/>
                  </w14:solidFill>
                </w14:textFill>
              </w:rPr>
              <w:t>质保期不小于5年。</w:t>
            </w:r>
          </w:p>
        </w:tc>
        <w:tc>
          <w:tcPr>
            <w:tcW w:w="781"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bl>
    <w:p>
      <w:p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第四包：</w:t>
      </w:r>
    </w:p>
    <w:p>
      <w:pPr>
        <w:pStyle w:val="2"/>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（一）本项目进口产品不可以参与竞争</w:t>
      </w:r>
    </w:p>
    <w:p>
      <w:pPr>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（二）技术参数要求：</w:t>
      </w:r>
    </w:p>
    <w:tbl>
      <w:tblPr>
        <w:tblStyle w:val="3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61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1134"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货物名称</w:t>
            </w:r>
          </w:p>
        </w:tc>
        <w:tc>
          <w:tcPr>
            <w:tcW w:w="6612" w:type="dxa"/>
            <w:vAlign w:val="center"/>
          </w:tcPr>
          <w:p>
            <w:pPr>
              <w:widowControl/>
              <w:spacing w:line="360" w:lineRule="auto"/>
              <w:ind w:firstLine="42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技术参数要求</w:t>
            </w:r>
          </w:p>
        </w:tc>
        <w:tc>
          <w:tcPr>
            <w:tcW w:w="703"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全自动血流变测试仪</w:t>
            </w:r>
          </w:p>
        </w:tc>
        <w:tc>
          <w:tcPr>
            <w:tcW w:w="6612" w:type="dxa"/>
            <w:vAlign w:val="center"/>
          </w:tcPr>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切变率范围:1/S-200/S</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测量粘度范围：0mpa.s-60mpa.s</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重复稳定性：全血高切CV&lt;1.5%     全血低切CV&lt;2%      血浆CV&lt;1.5%</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★检测原理：全血粘度与血浆粘度均采用压力传感技术检测</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加样量：全血恒定加样量: &lt;1.5ml </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血浆恒定加样量: &lt;1 ml</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★仪器测试主体：压力传感检测技术实现仪器检测主体无机械磨损</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定量检测：样本恒定定量采集检测，避免样本个体化误差</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恒温控制：37℃±1℃</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★多通道功能:一台仪器通过压力传感检测技术同步完成≥2例全血或者血浆检测</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检测指标：全血粘度高切/中切/低切，血浆粘度等</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生物安全要求：避免交叉污染</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★测试时间要求：全血或血浆检测每分钟≥1例</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配备</w:t>
            </w:r>
            <w:r>
              <w:rPr>
                <w:rFonts w:hint="eastAsia" w:ascii="宋体" w:hAnsi="宋体" w:eastAsia="宋体" w:cs="宋体"/>
                <w:color w:val="000000" w:themeColor="text1"/>
                <w:lang w:eastAsia="zh-CN"/>
                <w14:textFill>
                  <w14:solidFill>
                    <w14:schemeClr w14:val="tx1"/>
                  </w14:solidFill>
                </w14:textFill>
              </w:rPr>
              <w:t>备用电源</w:t>
            </w:r>
            <w:r>
              <w:rPr>
                <w:rFonts w:hint="eastAsia" w:ascii="宋体" w:hAnsi="宋体" w:eastAsia="宋体" w:cs="宋体"/>
                <w:color w:val="000000" w:themeColor="text1"/>
                <w14:textFill>
                  <w14:solidFill>
                    <w14:schemeClr w14:val="tx1"/>
                  </w14:solidFill>
                </w14:textFill>
              </w:rPr>
              <w:t>、工作站及接入LIS系统，所需费用包含在本次报价中。</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质保期不小于5年。</w:t>
            </w:r>
          </w:p>
        </w:tc>
        <w:tc>
          <w:tcPr>
            <w:tcW w:w="703"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血栓弹力图</w:t>
            </w:r>
          </w:p>
        </w:tc>
        <w:tc>
          <w:tcPr>
            <w:tcW w:w="6612" w:type="dxa"/>
            <w:vAlign w:val="center"/>
          </w:tcPr>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、仪器检测保证结果的可溯源性，通道≥4。</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、仪器可以实现对测试杯的自动上杯、自动卸杯，无需手动进行上杯和卸杯动作。</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、仪器单台可以实现四通道检测，无需连接外部电脑，可以完全自主实现检测。</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、仪器可以直接实现连接LIS系统、报告单编辑和打印功能，无需外接电脑。</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、检测重复性好，配合弹力图仪检测重复性高：检测同份血样5次，主要指标如：R、Angle、MA值CV值均小于15%。</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、★检测方法：粘度测定法。</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eastAsia="zh-CN"/>
                <w14:textFill>
                  <w14:solidFill>
                    <w14:schemeClr w14:val="tx1"/>
                  </w14:solidFill>
                </w14:textFill>
              </w:rPr>
              <w:t>、★仪器可进行粘度测定法检测，能一次检测中完成对凝血因子功能、纤维蛋白原功能、血小板功能、纤维蛋白溶解功能的检测。</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、★具有原厂生产的仪器配套使用的两个水平的血栓弹力图专用质控品（质控品Ⅰ、质控品Ⅱ），有效期≥17个月。</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lang w:eastAsia="zh-CN"/>
                <w14:textFill>
                  <w14:solidFill>
                    <w14:schemeClr w14:val="tx1"/>
                  </w14:solidFill>
                </w14:textFill>
              </w:rPr>
              <w:t>、配备备用电源、工作站及接入LIS系统，所需费用包含在本次报价中。</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lang w:eastAsia="zh-CN"/>
                <w14:textFill>
                  <w14:solidFill>
                    <w14:schemeClr w14:val="tx1"/>
                  </w14:solidFill>
                </w14:textFill>
              </w:rPr>
              <w:t>、质保期不小于5年。</w:t>
            </w:r>
          </w:p>
        </w:tc>
        <w:tc>
          <w:tcPr>
            <w:tcW w:w="703" w:type="dxa"/>
            <w:shd w:val="clear" w:color="auto" w:fill="auto"/>
            <w:vAlign w:val="center"/>
          </w:tcPr>
          <w:p>
            <w:pPr>
              <w:widowControl/>
              <w:spacing w:line="360" w:lineRule="auto"/>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bl>
    <w:p>
      <w:p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第五包：</w:t>
      </w:r>
    </w:p>
    <w:p>
      <w:pPr>
        <w:pStyle w:val="2"/>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（一）本项目进口产品不可以参与竞争</w:t>
      </w:r>
    </w:p>
    <w:p>
      <w:pPr>
        <w:numPr>
          <w:ilvl w:val="0"/>
          <w:numId w:val="0"/>
        </w:numPr>
        <w:rPr>
          <w:rFonts w:hint="eastAsia" w:ascii="宋体" w:hAnsi="宋体" w:eastAsia="宋体" w:cs="宋体"/>
          <w:b/>
          <w:bCs/>
          <w:color w:val="000000" w:themeColor="text1"/>
          <w:sz w:val="24"/>
          <w:szCs w:val="32"/>
          <w:lang w:eastAsia="zh-CN"/>
          <w14:textFill>
            <w14:solidFill>
              <w14:schemeClr w14:val="tx1"/>
            </w14:solidFill>
          </w14:textFill>
        </w:rPr>
      </w:pPr>
      <w:r>
        <w:rPr>
          <w:rFonts w:hint="eastAsia" w:ascii="宋体" w:hAnsi="宋体" w:eastAsia="宋体" w:cs="宋体"/>
          <w:b/>
          <w:bCs/>
          <w:color w:val="000000" w:themeColor="text1"/>
          <w:sz w:val="24"/>
          <w:szCs w:val="32"/>
          <w:lang w:eastAsia="zh-CN"/>
          <w14:textFill>
            <w14:solidFill>
              <w14:schemeClr w14:val="tx1"/>
            </w14:solidFill>
          </w14:textFill>
        </w:rPr>
        <w:t>（二）技术参数要求：</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667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1134"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货物名称</w:t>
            </w:r>
          </w:p>
        </w:tc>
        <w:tc>
          <w:tcPr>
            <w:tcW w:w="6671" w:type="dxa"/>
            <w:vAlign w:val="center"/>
          </w:tcPr>
          <w:p>
            <w:pPr>
              <w:widowControl/>
              <w:spacing w:line="360" w:lineRule="auto"/>
              <w:ind w:firstLine="42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技术参数要求</w:t>
            </w:r>
          </w:p>
        </w:tc>
        <w:tc>
          <w:tcPr>
            <w:tcW w:w="74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134" w:type="dxa"/>
            <w:shd w:val="clear" w:color="auto" w:fill="auto"/>
            <w:vAlign w:val="center"/>
          </w:tcPr>
          <w:p>
            <w:pPr>
              <w:widowControl/>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全自动数字远程病理细胞分析仪</w:t>
            </w:r>
          </w:p>
        </w:tc>
        <w:tc>
          <w:tcPr>
            <w:tcW w:w="6671" w:type="dxa"/>
            <w:vAlign w:val="center"/>
          </w:tcPr>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适用范围：可支持多种细胞（如宫颈及其他体液）标本检测</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工作原理：可对细胞核的形态、纹理、密度等参数进行综合分析，将扫描记录到的所有细胞进行分类，并计算细胞核的DNA含量，得出细胞核DNA含量-细胞数量的直方图及DNA含量-细胞面积的分布图，并确定是否有病变细胞及其所占比例，可根据此发现早期癌或癌前病变，是反映病变及其恶性程度的特异性指征。</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★检测方式：可根据需要支持多种细胞标本的定性及定量检测，如涂片、甩片、滴片等；可用于宫颈样本、胸腹水样本、手术残端印片样本等的分析处理。</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显微扫描装置：UIS(万能无限远)光学系统；无限远平场消色差物镜；倍率≥10X，通量≥0.40</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扫描平台：精度X/Y≤10umZ；轴聚焦定位精度≤0.2um；双向3轴自动扫描平台</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★扫描功能：扫描过程自动化（自动控制、自动聚焦、自动生成图文一体报告等）；在一次扫描中，可对同一细胞样本同时进行DNA含量测定和细胞学形态分析</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扫描设置：可根据需要进行扫描参数设置（扫描区域、扫描细胞数量、扫描时间等）</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图像采集系统：双摄像头，彩色+黑白图像，分辨率≥200万，像数大小≤4.4um*4.4um；黑白图像用于细胞定量分析，彩色图像用于形态分析。</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★质量控制：可借助于互联网将扫描的原始数据远程传输由专家会诊。</w:t>
            </w:r>
          </w:p>
          <w:p>
            <w:pPr>
              <w:spacing w:line="360" w:lineRule="auto"/>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★报告系统：同时具备细胞形态分析（TCT）报告及细胞DNA定量测定报告</w:t>
            </w:r>
            <w:r>
              <w:rPr>
                <w:rFonts w:hint="eastAsia" w:ascii="宋体" w:hAnsi="宋体" w:eastAsia="宋体" w:cs="宋体"/>
                <w:color w:val="000000" w:themeColor="text1"/>
                <w:lang w:eastAsia="zh-CN"/>
                <w14:textFill>
                  <w14:solidFill>
                    <w14:schemeClr w14:val="tx1"/>
                  </w14:solidFill>
                </w14:textFill>
              </w:rPr>
              <w:t>。</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报告储存：所有的诊断报告将储存在数据库中并能接入PACS系统，便于查阅、复核和检索。</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配备</w:t>
            </w:r>
            <w:r>
              <w:rPr>
                <w:rFonts w:hint="eastAsia" w:ascii="宋体" w:hAnsi="宋体" w:eastAsia="宋体" w:cs="宋体"/>
                <w:color w:val="000000" w:themeColor="text1"/>
                <w:lang w:eastAsia="zh-CN"/>
                <w14:textFill>
                  <w14:solidFill>
                    <w14:schemeClr w14:val="tx1"/>
                  </w14:solidFill>
                </w14:textFill>
              </w:rPr>
              <w:t>备用电源</w:t>
            </w:r>
            <w:r>
              <w:rPr>
                <w:rFonts w:hint="eastAsia" w:ascii="宋体" w:hAnsi="宋体" w:eastAsia="宋体" w:cs="宋体"/>
                <w:color w:val="000000" w:themeColor="text1"/>
                <w14:textFill>
                  <w14:solidFill>
                    <w14:schemeClr w14:val="tx1"/>
                  </w14:solidFill>
                </w14:textFill>
              </w:rPr>
              <w:t>、工作站及接入PACS系统，所需费用包含在本次报价中。</w:t>
            </w:r>
          </w:p>
          <w:p>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、质保期不小于</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年。</w:t>
            </w:r>
          </w:p>
        </w:tc>
        <w:tc>
          <w:tcPr>
            <w:tcW w:w="742" w:type="dxa"/>
            <w:shd w:val="clear" w:color="auto" w:fill="auto"/>
            <w:vAlign w:val="center"/>
          </w:tcPr>
          <w:p>
            <w:pPr>
              <w:widowControl/>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bidi="ar"/>
                <w14:textFill>
                  <w14:solidFill>
                    <w14:schemeClr w14:val="tx1"/>
                  </w14:solidFill>
                </w14:textFill>
              </w:rPr>
              <w:t>台</w:t>
            </w:r>
          </w:p>
        </w:tc>
      </w:tr>
    </w:tbl>
    <w:p>
      <w:pPr>
        <w:pStyle w:val="2"/>
        <w:rPr>
          <w:rFonts w:hint="eastAsia" w:ascii="宋体" w:hAnsi="宋体" w:eastAsia="宋体" w:cs="宋体"/>
          <w:color w:val="000000" w:themeColor="text1"/>
          <w:lang w:eastAsia="zh-CN"/>
          <w14:textFill>
            <w14:solidFill>
              <w14:schemeClr w14:val="tx1"/>
            </w14:solidFill>
          </w14:textFill>
        </w:rPr>
      </w:pPr>
    </w:p>
    <w:p>
      <w:pPr>
        <w:pStyle w:val="86"/>
        <w:spacing w:line="360" w:lineRule="auto"/>
        <w:ind w:firstLine="0" w:firstLineChars="0"/>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三、商务要求</w:t>
      </w:r>
    </w:p>
    <w:p>
      <w:pPr>
        <w:spacing w:line="360" w:lineRule="auto"/>
        <w:ind w:firstLine="482" w:firstLineChars="200"/>
        <w:rPr>
          <w:rFonts w:hint="eastAsia" w:ascii="宋体" w:hAnsi="宋体" w:eastAsia="宋体" w:cs="宋体"/>
          <w:b/>
          <w:bCs/>
          <w:color w:val="000000" w:themeColor="text1"/>
          <w:sz w:val="24"/>
          <w:szCs w:val="22"/>
          <w14:textFill>
            <w14:solidFill>
              <w14:schemeClr w14:val="tx1"/>
            </w14:solidFill>
          </w14:textFill>
        </w:rPr>
      </w:pPr>
      <w:bookmarkStart w:id="220" w:name="_Toc2616"/>
      <w:bookmarkStart w:id="221" w:name="_Toc2564"/>
      <w:r>
        <w:rPr>
          <w:rFonts w:hint="eastAsia" w:ascii="宋体" w:hAnsi="宋体" w:eastAsia="宋体" w:cs="宋体"/>
          <w:b/>
          <w:bCs/>
          <w:color w:val="000000" w:themeColor="text1"/>
          <w:sz w:val="24"/>
          <w:szCs w:val="22"/>
          <w:lang w:val="en-US" w:eastAsia="zh-CN"/>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1.合同履行期限（交货期限）及地点</w:t>
      </w:r>
    </w:p>
    <w:p>
      <w:pPr>
        <w:spacing w:line="360" w:lineRule="auto"/>
        <w:ind w:firstLine="480" w:firstLineChars="200"/>
        <w:rPr>
          <w:rFonts w:hint="eastAsia" w:ascii="宋体" w:hAnsi="宋体" w:eastAsia="宋体" w:cs="宋体"/>
          <w:bCs/>
          <w:color w:val="000000" w:themeColor="text1"/>
          <w:sz w:val="24"/>
          <w:szCs w:val="22"/>
          <w14:textFill>
            <w14:solidFill>
              <w14:schemeClr w14:val="tx1"/>
            </w14:solidFill>
          </w14:textFill>
        </w:rPr>
      </w:pPr>
      <w:r>
        <w:rPr>
          <w:rFonts w:hint="eastAsia" w:ascii="宋体" w:hAnsi="宋体" w:eastAsia="宋体" w:cs="宋体"/>
          <w:bCs/>
          <w:color w:val="000000" w:themeColor="text1"/>
          <w:sz w:val="24"/>
          <w:szCs w:val="22"/>
          <w14:textFill>
            <w14:solidFill>
              <w14:schemeClr w14:val="tx1"/>
            </w14:solidFill>
          </w14:textFill>
        </w:rPr>
        <w:t>1.1合同履行期限（交货期限）：</w:t>
      </w:r>
      <w:r>
        <w:rPr>
          <w:rFonts w:hint="eastAsia" w:ascii="宋体" w:hAnsi="宋体" w:eastAsia="宋体" w:cs="宋体"/>
          <w:bCs/>
          <w:color w:val="000000" w:themeColor="text1"/>
          <w:sz w:val="24"/>
          <w14:textFill>
            <w14:solidFill>
              <w14:schemeClr w14:val="tx1"/>
            </w14:solidFill>
          </w14:textFill>
        </w:rPr>
        <w:t>合同签订生效后</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接到采购人订货通知</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30日内供货到采购人指定地点</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b/>
          <w:color w:val="000000" w:themeColor="text1"/>
          <w:sz w:val="24"/>
          <w:szCs w:val="22"/>
          <w:lang w:val="en-US" w:eastAsia="zh-CN"/>
          <w14:textFill>
            <w14:solidFill>
              <w14:schemeClr w14:val="tx1"/>
            </w14:solidFill>
          </w14:textFill>
        </w:rPr>
      </w:pPr>
      <w:r>
        <w:rPr>
          <w:rFonts w:hint="eastAsia" w:ascii="宋体" w:hAnsi="宋体" w:eastAsia="宋体" w:cs="宋体"/>
          <w:bCs/>
          <w:color w:val="000000" w:themeColor="text1"/>
          <w:sz w:val="24"/>
          <w:szCs w:val="22"/>
          <w14:textFill>
            <w14:solidFill>
              <w14:schemeClr w14:val="tx1"/>
            </w14:solidFill>
          </w14:textFill>
        </w:rPr>
        <w:t>1.2交货地点</w:t>
      </w:r>
      <w:r>
        <w:rPr>
          <w:rFonts w:hint="eastAsia" w:ascii="宋体" w:hAnsi="宋体" w:eastAsia="宋体" w:cs="宋体"/>
          <w:bCs/>
          <w:color w:val="000000" w:themeColor="text1"/>
          <w:sz w:val="24"/>
          <w:szCs w:val="22"/>
          <w:lang w:eastAsia="zh-CN"/>
          <w14:textFill>
            <w14:solidFill>
              <w14:schemeClr w14:val="tx1"/>
            </w14:solidFill>
          </w14:textFill>
        </w:rPr>
        <w:t>：</w:t>
      </w:r>
      <w:r>
        <w:rPr>
          <w:rFonts w:hint="eastAsia" w:ascii="宋体" w:hAnsi="宋体" w:eastAsia="宋体" w:cs="宋体"/>
          <w:bCs/>
          <w:color w:val="000000" w:themeColor="text1"/>
          <w:sz w:val="24"/>
          <w:szCs w:val="22"/>
          <w:lang w:val="en-US" w:eastAsia="zh-CN"/>
          <w14:textFill>
            <w14:solidFill>
              <w14:schemeClr w14:val="tx1"/>
            </w14:solidFill>
          </w14:textFill>
        </w:rPr>
        <w:t>成都龙泉驿区妇幼保健院。</w:t>
      </w:r>
    </w:p>
    <w:p>
      <w:pPr>
        <w:spacing w:line="360" w:lineRule="auto"/>
        <w:ind w:firstLine="482" w:firstLineChars="200"/>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bCs/>
          <w:color w:val="000000" w:themeColor="text1"/>
          <w:sz w:val="24"/>
          <w:szCs w:val="22"/>
          <w:lang w:val="en-US" w:eastAsia="zh-CN"/>
          <w14:textFill>
            <w14:solidFill>
              <w14:schemeClr w14:val="tx1"/>
            </w14:solidFill>
          </w14:textFill>
        </w:rPr>
        <w:t>*</w:t>
      </w:r>
      <w:r>
        <w:rPr>
          <w:rFonts w:hint="eastAsia" w:ascii="宋体" w:hAnsi="宋体" w:eastAsia="宋体" w:cs="宋体"/>
          <w:b/>
          <w:bCs/>
          <w:color w:val="000000" w:themeColor="text1"/>
          <w:sz w:val="24"/>
          <w:szCs w:val="22"/>
          <w14:textFill>
            <w14:solidFill>
              <w14:schemeClr w14:val="tx1"/>
            </w14:solidFill>
          </w14:textFill>
        </w:rPr>
        <w:t>2.付款方法和条件：</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2.1、合同签订后，采购人支付合同金的30%作为预付款，中标人完成全部货物的运输、安装、调试等工作，经采购人验收合格结束后 ，采购人支付合同金额的</w:t>
      </w:r>
      <w:r>
        <w:rPr>
          <w:rFonts w:hint="eastAsia" w:ascii="宋体" w:hAnsi="宋体" w:eastAsia="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14:textFill>
            <w14:solidFill>
              <w14:schemeClr w14:val="tx1"/>
            </w14:solidFill>
          </w14:textFill>
        </w:rPr>
        <w:t>0%。</w:t>
      </w:r>
    </w:p>
    <w:p>
      <w:pPr>
        <w:spacing w:line="360" w:lineRule="auto"/>
        <w:ind w:firstLine="480" w:firstLineChars="200"/>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2.2、货物验收合格满1年后采购人支付合同金额的10%。</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2.2、付款条件：每次款项的支付前提均为采购人在收到中标人出具的正规发票30日内予以办理款项的支付。</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2.3、逾期支付责任：采购人不得以机构变动、人员更替、政策调整等为由延迟付款，不得将采购文件和合同中未规定的义务作为向供应商付款的条件。采购人逾期付款的，依据相关规定承担相关责任。（此条款为采购人责任，供应商投标时无需应答）</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3.质量保证期</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详见第六章“</w:t>
      </w:r>
      <w:r>
        <w:rPr>
          <w:rFonts w:hint="eastAsia" w:ascii="宋体" w:hAnsi="宋体" w:eastAsia="宋体" w:cs="宋体"/>
          <w:bCs/>
          <w:color w:val="000000" w:themeColor="text1"/>
          <w:sz w:val="24"/>
          <w:lang w:val="en-US" w:eastAsia="zh-CN"/>
          <w14:textFill>
            <w14:solidFill>
              <w14:schemeClr w14:val="tx1"/>
            </w14:solidFill>
          </w14:textFill>
        </w:rPr>
        <w:t>技术参数要求</w:t>
      </w:r>
      <w:r>
        <w:rPr>
          <w:rFonts w:hint="eastAsia" w:ascii="宋体" w:hAnsi="宋体" w:eastAsia="宋体" w:cs="宋体"/>
          <w:bCs/>
          <w:color w:val="000000" w:themeColor="text1"/>
          <w:sz w:val="24"/>
          <w14:textFill>
            <w14:solidFill>
              <w14:schemeClr w14:val="tx1"/>
            </w14:solidFill>
          </w14:textFill>
        </w:rPr>
        <w:t>”，质保期从验收合格之日起计算</w:t>
      </w:r>
      <w:r>
        <w:rPr>
          <w:rFonts w:hint="eastAsia" w:ascii="宋体" w:hAnsi="宋体" w:eastAsia="宋体" w:cs="宋体"/>
          <w:bCs/>
          <w:color w:val="000000" w:themeColor="text1"/>
          <w:sz w:val="24"/>
          <w:lang w:eastAsia="zh-CN"/>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4.售后服务</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4.1设备发生故障时，中标人接到通知后30分钟内提供电话等服务响应，48小时内到达现场维修。</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4.2设备保修期内开机率不低于95%。</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4.3零配件供应：中标人应保证设备安装验收后备件供应不少于8年，备有所有必需的备件，保证需要时48小时内将配件送达采购方。</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4.4投标产品制造厂家在国内应有24小时电话维修系统，在供货时须提供工程师名单、联系电话、通讯地址及备件的目录，保证8小时响应采购方的服务要求，</w:t>
      </w:r>
      <w:r>
        <w:rPr>
          <w:rFonts w:hint="eastAsia" w:ascii="宋体" w:hAnsi="宋体" w:eastAsia="宋体" w:cs="宋体"/>
          <w:bCs/>
          <w:color w:val="000000" w:themeColor="text1"/>
          <w:sz w:val="24"/>
          <w:lang w:eastAsia="zh-CN"/>
          <w14:textFill>
            <w14:solidFill>
              <w14:schemeClr w14:val="tx1"/>
            </w14:solidFill>
          </w14:textFill>
        </w:rPr>
        <w:t>维修超时提供同品牌备用机</w:t>
      </w:r>
      <w:r>
        <w:rPr>
          <w:rFonts w:hint="eastAsia" w:ascii="宋体" w:hAnsi="宋体" w:eastAsia="宋体" w:cs="宋体"/>
          <w:bCs/>
          <w:color w:val="000000" w:themeColor="text1"/>
          <w:sz w:val="24"/>
          <w:szCs w:val="24"/>
          <w:lang w:val="en-US" w:eastAsia="zh-CN"/>
          <w14:textFill>
            <w14:solidFill>
              <w14:schemeClr w14:val="tx1"/>
            </w14:solidFill>
          </w14:textFill>
        </w:rPr>
        <w:t>。</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4.5中标人或投标产品生产厂家的售后服务机构在对设备进行保养、维修须向采购人管理科室提供经使用人员确认的纸质报告；中标人或投标产品生产厂家需提供每年不少于2次的日常巡查巡检设备，并提供纸质报告。</w:t>
      </w:r>
    </w:p>
    <w:p>
      <w:pPr>
        <w:pStyle w:val="6"/>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4.6设备专用的办公桌、椅由中标人提供。由多种设备组成的系统，需要由仪器台车组装使用的，仪器台车由中标人提供，不再额外收取费用。</w:t>
      </w:r>
    </w:p>
    <w:p>
      <w:pPr>
        <w:pStyle w:val="6"/>
        <w:spacing w:line="360" w:lineRule="auto"/>
        <w:ind w:firstLine="480" w:firstLineChars="200"/>
        <w:rPr>
          <w:rFonts w:hint="eastAsia" w:ascii="宋体" w:hAnsi="宋体" w:eastAsia="宋体" w:cs="宋体"/>
          <w:bCs/>
          <w:color w:val="000000" w:themeColor="text1"/>
          <w:sz w:val="24"/>
          <w:lang w:val="en-US" w:eastAsia="zh-CN"/>
          <w14:textFill>
            <w14:solidFill>
              <w14:schemeClr w14:val="tx1"/>
            </w14:solidFill>
          </w14:textFill>
        </w:rPr>
      </w:pPr>
      <w:bookmarkStart w:id="222" w:name="_Hlk533626959"/>
      <w:r>
        <w:rPr>
          <w:rFonts w:hint="eastAsia" w:ascii="宋体" w:hAnsi="宋体" w:eastAsia="宋体" w:cs="宋体"/>
          <w:bCs/>
          <w:color w:val="000000" w:themeColor="text1"/>
          <w:sz w:val="24"/>
          <w:szCs w:val="24"/>
          <w:lang w:val="en-US" w:eastAsia="zh-CN"/>
          <w14:textFill>
            <w14:solidFill>
              <w14:schemeClr w14:val="tx1"/>
            </w14:solidFill>
          </w14:textFill>
        </w:rPr>
        <w:t>4.7中标人应就设备的安装、调试、操作、维修、保养等对采购人技术人员进行培训，培训人员须为设备制造厂家的专业售后人员，</w:t>
      </w:r>
      <w:bookmarkEnd w:id="222"/>
      <w:r>
        <w:rPr>
          <w:rFonts w:hint="eastAsia" w:ascii="宋体" w:hAnsi="宋体" w:eastAsia="宋体" w:cs="宋体"/>
          <w:bCs/>
          <w:color w:val="000000" w:themeColor="text1"/>
          <w:sz w:val="24"/>
          <w:szCs w:val="24"/>
          <w:lang w:val="en-US" w:eastAsia="zh-CN"/>
          <w14:textFill>
            <w14:solidFill>
              <w14:schemeClr w14:val="tx1"/>
            </w14:solidFill>
          </w14:textFill>
        </w:rPr>
        <w:t>并对医生、物理师、技师等相关人员进行应用培训并协助完成临床前测试。</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5.履约验收要求</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5.1中标人与采购人应严格按照财政部关于印发《财政部关于进一步加强政府采购需求和履约验收管理的指导意见》的通知（财库〔2016〕205 号）要求进行验收，采购方有权邀请第三方机构或质检部门共同验收。</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5.2验收方法：验收时双方皆应派员参加，验收合格并安装完毕后需双方签署验收单；</w:t>
      </w:r>
    </w:p>
    <w:p>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5.3验收标准：符合国家相关规定的合格产品；保证所供的货物皆为原厂原装、全新、未使用过，并按照相关技术要求进行安装、调试，并完全满足</w:t>
      </w:r>
      <w:r>
        <w:rPr>
          <w:rFonts w:hint="eastAsia" w:ascii="宋体" w:hAnsi="宋体" w:eastAsia="宋体" w:cs="宋体"/>
          <w:bCs/>
          <w:color w:val="000000" w:themeColor="text1"/>
          <w:sz w:val="24"/>
          <w:lang w:val="en-US" w:eastAsia="zh-CN"/>
          <w14:textFill>
            <w14:solidFill>
              <w14:schemeClr w14:val="tx1"/>
            </w14:solidFill>
          </w14:textFill>
        </w:rPr>
        <w:t>采购人</w:t>
      </w:r>
      <w:r>
        <w:rPr>
          <w:rFonts w:hint="eastAsia" w:ascii="宋体" w:hAnsi="宋体" w:eastAsia="宋体" w:cs="宋体"/>
          <w:bCs/>
          <w:color w:val="000000" w:themeColor="text1"/>
          <w:sz w:val="24"/>
          <w14:textFill>
            <w14:solidFill>
              <w14:schemeClr w14:val="tx1"/>
            </w14:solidFill>
          </w14:textFill>
        </w:rPr>
        <w:t>采购提出的工作需要</w:t>
      </w:r>
      <w:r>
        <w:rPr>
          <w:rFonts w:hint="eastAsia" w:ascii="宋体" w:hAnsi="宋体" w:eastAsia="宋体" w:cs="宋体"/>
          <w:bCs/>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5.4</w:t>
      </w:r>
      <w:r>
        <w:rPr>
          <w:rFonts w:hint="eastAsia" w:ascii="宋体" w:hAnsi="宋体" w:eastAsia="宋体" w:cs="宋体"/>
          <w:bCs/>
          <w:color w:val="000000" w:themeColor="text1"/>
          <w:sz w:val="24"/>
          <w:szCs w:val="24"/>
          <w14:textFill>
            <w14:solidFill>
              <w14:schemeClr w14:val="tx1"/>
            </w14:solidFill>
          </w14:textFill>
        </w:rPr>
        <w:t>验收时须提供的</w:t>
      </w:r>
      <w:r>
        <w:rPr>
          <w:rFonts w:hint="eastAsia" w:ascii="宋体" w:hAnsi="宋体" w:eastAsia="宋体" w:cs="宋体"/>
          <w:bCs/>
          <w:color w:val="000000" w:themeColor="text1"/>
          <w:sz w:val="24"/>
          <w:szCs w:val="24"/>
          <w:lang w:eastAsia="zh-CN"/>
          <w14:textFill>
            <w14:solidFill>
              <w14:schemeClr w14:val="tx1"/>
            </w14:solidFill>
          </w14:textFill>
        </w:rPr>
        <w:t>产品</w:t>
      </w:r>
      <w:r>
        <w:rPr>
          <w:rFonts w:hint="eastAsia" w:ascii="宋体" w:hAnsi="宋体" w:eastAsia="宋体" w:cs="宋体"/>
          <w:bCs/>
          <w:color w:val="000000" w:themeColor="text1"/>
          <w:sz w:val="24"/>
          <w:szCs w:val="24"/>
          <w14:textFill>
            <w14:solidFill>
              <w14:schemeClr w14:val="tx1"/>
            </w14:solidFill>
          </w14:textFill>
        </w:rPr>
        <w:t>资料</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w:t>
      </w:r>
      <w:bookmarkStart w:id="267" w:name="_GoBack"/>
      <w:bookmarkEnd w:id="267"/>
      <w:r>
        <w:rPr>
          <w:rFonts w:hint="eastAsia" w:ascii="宋体" w:hAnsi="宋体" w:eastAsia="宋体" w:cs="宋体"/>
          <w:bCs/>
          <w:color w:val="000000" w:themeColor="text1"/>
          <w:sz w:val="24"/>
          <w:szCs w:val="24"/>
          <w14:textFill>
            <w14:solidFill>
              <w14:schemeClr w14:val="tx1"/>
            </w14:solidFill>
          </w14:textFill>
        </w:rPr>
        <w:t>合同复印件</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份、中标通知书复印件</w:t>
      </w:r>
      <w:r>
        <w:rPr>
          <w:rFonts w:hint="eastAsia" w:ascii="宋体" w:hAnsi="宋体" w:eastAsia="宋体" w:cs="宋体"/>
          <w:bCs/>
          <w:color w:val="000000" w:themeColor="text1"/>
          <w:sz w:val="24"/>
          <w:szCs w:val="24"/>
          <w:lang w:val="en-US" w:eastAsia="zh-CN"/>
          <w14:textFill>
            <w14:solidFill>
              <w14:schemeClr w14:val="tx1"/>
            </w14:solidFill>
          </w14:textFill>
        </w:rPr>
        <w:t>2份</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）中标人资质、产品制造厂家资质及产品资质纸质电子版各1套；（</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）设备安装培训工程师资质证件复印件；（</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）提供完整的投标产品制造厂家的授权文件原件；（</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）维修，保养，使用手册等；</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6）中文电子版、纸质版说明书各一套。</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验收时间要求：中标人按照合同要求完成全部货物运输、安装、调试等全部工作后，采购人在收到书面的验收申请材料后30日内组织履约验收工作。</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5.5其他要求：验收不合格时，采购人和中标人应协商一致，中标人应根据相关验收证明材料及时补足或更换设备，费用由中标人自行承担。</w:t>
      </w:r>
    </w:p>
    <w:p>
      <w:pPr>
        <w:pStyle w:val="2"/>
        <w:spacing w:after="0"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6.报价要求：</w:t>
      </w:r>
    </w:p>
    <w:p>
      <w:pPr>
        <w:pStyle w:val="6"/>
        <w:spacing w:line="360" w:lineRule="auto"/>
        <w:ind w:firstLine="48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本项目投标人所报价格包含货物运输、生产、利润、税费和完成本项目一系列费用，采购人不再另行支付费用。</w:t>
      </w:r>
    </w:p>
    <w:p>
      <w:pPr>
        <w:spacing w:line="360" w:lineRule="auto"/>
        <w:ind w:firstLine="482" w:firstLineChars="200"/>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lang w:val="en-US" w:eastAsia="zh-CN"/>
          <w14:textFill>
            <w14:solidFill>
              <w14:schemeClr w14:val="tx1"/>
            </w14:solidFill>
          </w14:textFill>
        </w:rPr>
        <w:t>7</w:t>
      </w:r>
      <w:r>
        <w:rPr>
          <w:rFonts w:hint="eastAsia" w:ascii="宋体" w:hAnsi="宋体" w:eastAsia="宋体" w:cs="宋体"/>
          <w:b/>
          <w:bCs w:val="0"/>
          <w:color w:val="000000" w:themeColor="text1"/>
          <w:sz w:val="24"/>
          <w14:textFill>
            <w14:solidFill>
              <w14:schemeClr w14:val="tx1"/>
            </w14:solidFill>
          </w14:textFill>
        </w:rPr>
        <w:t>、其他要求</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为满足采购人信息化建设的要求，中标人提供货物按照采购人信息化要求开放所有数据接口，配合完成设备连入采购人信息系统，投标总价中应包含此部分费用。</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br w:type="page"/>
      </w:r>
      <w:r>
        <w:rPr>
          <w:rFonts w:hint="eastAsia" w:ascii="宋体" w:hAnsi="宋体" w:eastAsia="宋体" w:cs="宋体"/>
          <w:color w:val="000000" w:themeColor="text1"/>
          <w:lang w:val="en-US" w:eastAsia="zh-CN"/>
          <w14:textFill>
            <w14:solidFill>
              <w14:schemeClr w14:val="tx1"/>
            </w14:solidFill>
          </w14:textFill>
        </w:rPr>
        <w:t xml:space="preserve">   </w:t>
      </w:r>
    </w:p>
    <w:p>
      <w:pPr>
        <w:pStyle w:val="32"/>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第七章  评标办法</w:t>
      </w:r>
      <w:bookmarkEnd w:id="219"/>
      <w:bookmarkEnd w:id="220"/>
      <w:bookmarkEnd w:id="221"/>
      <w:bookmarkStart w:id="223" w:name="_Hlt101846155"/>
      <w:bookmarkEnd w:id="223"/>
      <w:bookmarkStart w:id="224" w:name="_Toc183682415"/>
      <w:bookmarkStart w:id="225" w:name="_Toc183582280"/>
      <w:bookmarkStart w:id="226" w:name="_Toc208849007"/>
      <w:bookmarkStart w:id="227" w:name="_Toc217446097"/>
    </w:p>
    <w:bookmarkEnd w:id="224"/>
    <w:bookmarkEnd w:id="225"/>
    <w:bookmarkEnd w:id="226"/>
    <w:bookmarkEnd w:id="227"/>
    <w:p>
      <w:pPr>
        <w:pStyle w:val="5"/>
        <w:spacing w:line="360" w:lineRule="auto"/>
        <w:rPr>
          <w:rFonts w:hint="eastAsia" w:ascii="宋体" w:hAnsi="宋体" w:eastAsia="宋体" w:cs="宋体"/>
          <w:color w:val="000000" w:themeColor="text1"/>
          <w:sz w:val="24"/>
          <w:szCs w:val="24"/>
          <w14:textFill>
            <w14:solidFill>
              <w14:schemeClr w14:val="tx1"/>
            </w14:solidFill>
          </w14:textFill>
        </w:rPr>
      </w:pPr>
      <w:bookmarkStart w:id="228" w:name="_Toc217446103"/>
      <w:bookmarkStart w:id="229" w:name="_Toc217446099"/>
      <w:r>
        <w:rPr>
          <w:rFonts w:hint="eastAsia" w:ascii="宋体" w:hAnsi="宋体" w:eastAsia="宋体" w:cs="宋体"/>
          <w:color w:val="000000" w:themeColor="text1"/>
          <w:sz w:val="24"/>
          <w:szCs w:val="24"/>
          <w14:textFill>
            <w14:solidFill>
              <w14:schemeClr w14:val="tx1"/>
            </w14:solidFill>
          </w14:textFill>
        </w:rPr>
        <w:t>1. 总则</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合格投标人不足三家的，不得评标。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评标工作由采购代理机构负责组织，具体评标事务由采购代理机构依法组建的评标委员会负责。评标委员会由采购人代表和有关技术、经济、法律等方面的专家组成（专家组成员构成、数量根据具体项目确定）。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 评标工作应遵循公平、公正、科学及择优的原则，并以相同的评标程序和标准对待所有的投标人。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 评标委员会按照招标文件规定的评标方法和标准进行评标，并独立履行下列职责：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30" w:name="_Toc217446098"/>
      <w:r>
        <w:rPr>
          <w:rFonts w:hint="eastAsia" w:ascii="宋体" w:hAnsi="宋体" w:eastAsia="宋体" w:cs="宋体"/>
          <w:color w:val="000000" w:themeColor="text1"/>
          <w:sz w:val="24"/>
          <w14:textFill>
            <w14:solidFill>
              <w14:schemeClr w14:val="tx1"/>
            </w14:solidFill>
          </w14:textFill>
        </w:rPr>
        <w:t>（一）熟悉和理解招标文件；</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（二）审查供应商（已通过资格审查）的投标文件是否满足招标文件要求，并作出评价；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（三）根据需要要求招标采购单位对招标文件作出解释；根据需要要求供应商对投标文件有关事项作出澄清、说明或者更正；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（四）推荐中标候选供应商，或者受采购人委托确定中标供应商；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（五）起草评标报告并进行签署；</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（六）向招标采购单位、财政部门或者其他监督部门报告非法干预评标工作的行为；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（七）法律、法规和规章规定的其他职责。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 评标过程独立、保密。投标人非法干预评标过程的行为将导致其投标文件作为无效处理。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 评标委员会评价投标文件的响应性，对于投标人而言，除评标委员会要求其澄清、说明或者更正而提供的资料外，仅依据投标文件本身的内容，不寻求其他外部证据。</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评标</w:t>
      </w:r>
      <w:bookmarkEnd w:id="230"/>
      <w:r>
        <w:rPr>
          <w:rFonts w:hint="eastAsia" w:ascii="宋体" w:hAnsi="宋体" w:eastAsia="宋体" w:cs="宋体"/>
          <w:color w:val="000000" w:themeColor="text1"/>
          <w:sz w:val="24"/>
          <w:szCs w:val="24"/>
          <w14:textFill>
            <w14:solidFill>
              <w14:schemeClr w14:val="tx1"/>
            </w14:solidFill>
          </w14:textFill>
        </w:rPr>
        <w:t>方法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2.1本项目评标方法为：</w:t>
      </w:r>
      <w:r>
        <w:rPr>
          <w:rFonts w:hint="eastAsia" w:ascii="宋体" w:hAnsi="宋体" w:eastAsia="宋体" w:cs="宋体"/>
          <w:b/>
          <w:bCs/>
          <w:color w:val="000000" w:themeColor="text1"/>
          <w:sz w:val="24"/>
          <w14:textFill>
            <w14:solidFill>
              <w14:schemeClr w14:val="tx1"/>
            </w14:solidFill>
          </w14:textFill>
        </w:rPr>
        <w:t>综合评分法</w:t>
      </w:r>
      <w:r>
        <w:rPr>
          <w:rFonts w:hint="eastAsia" w:ascii="宋体" w:hAnsi="宋体" w:eastAsia="宋体" w:cs="宋体"/>
          <w:color w:val="000000" w:themeColor="text1"/>
          <w:sz w:val="24"/>
          <w14:textFill>
            <w14:solidFill>
              <w14:schemeClr w14:val="tx1"/>
            </w14:solidFill>
          </w14:textFill>
        </w:rPr>
        <w:t>。</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评标程序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3.1熟悉和理解招标文件和停止评标。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3.1.2评标委员会熟悉和理解招标文件以及评标过程中，发现本招标文件有下列情形之一的，评标委员会应当停止评标：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（1）招标文件的规定存在歧义、重大缺陷的；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（2）招标文件明显以不合理条件对供应商实行差别待遇或者歧视待遇的；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（3）采购项目属于国家规定的优先、强制采购范围，但是招标文件未依法体现优先、强制采购相关规定的；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（4）采购项目属于政府采购促进中小企业发展的范围，但是招标文件未依法体现促进中小企业发展相关规定的；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（6）招标文件将投标人的资格条件列为评分因素的；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（7）招标文件有违反国家其他有关强制性规定的情形。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3.2符合性检查。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3.2.2投标文件（包括单独递交的开标一览表）有下列情形的，本项目不作为实质性要求进行规定，即不作为符合性审查事项，不得作为无效投标处理：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（二）存在个别地方（不超过2个）没有法定代表人/单位负责人签字，但有法定代表人/单位负责人的私人印章或者有效授权代理人签字的；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（三）除招标文件明确要求加盖单位(法人)</w:t>
      </w:r>
      <w:r>
        <w:rPr>
          <w:rFonts w:hint="eastAsia" w:ascii="宋体" w:hAnsi="宋体" w:eastAsia="宋体" w:cs="宋体"/>
          <w:color w:val="000000" w:themeColor="text1"/>
          <w:sz w:val="24"/>
          <w:lang w:eastAsia="zh-CN"/>
          <w14:textFill>
            <w14:solidFill>
              <w14:schemeClr w14:val="tx1"/>
            </w14:solidFill>
          </w14:textFill>
        </w:rPr>
        <w:t>电子签章</w:t>
      </w:r>
      <w:r>
        <w:rPr>
          <w:rFonts w:hint="eastAsia" w:ascii="宋体" w:hAnsi="宋体" w:eastAsia="宋体" w:cs="宋体"/>
          <w:color w:val="000000" w:themeColor="text1"/>
          <w:sz w:val="24"/>
          <w14:textFill>
            <w14:solidFill>
              <w14:schemeClr w14:val="tx1"/>
            </w14:solidFill>
          </w14:textFill>
        </w:rPr>
        <w:t>的以外，其他地方以相关专用章加盖的；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（四）以骑缝章的形式代替投标文件内容逐页盖章的（但是骑缝章模糊不清，印章名称无法辨认的除外）；</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（五）其他不影响采购项目实质性要求的情形。</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3.2.3除政府采购法律制度规定的情形外，本项目投标人或者其投标文件有下列情形之一的，作为无效投标处理：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）投标文件组成明显不符合招标文件的规定要求，影响评标委员会评判的；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）投标文件的格式、语言、计量单位、报价货币、知识产权、投标有效期等不符合招标文件的规定，影响评标委员会评判的；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三</w:t>
      </w:r>
      <w:r>
        <w:rPr>
          <w:rFonts w:hint="eastAsia" w:ascii="宋体" w:hAnsi="宋体" w:eastAsia="宋体" w:cs="宋体"/>
          <w:color w:val="000000" w:themeColor="text1"/>
          <w:sz w:val="24"/>
          <w14:textFill>
            <w14:solidFill>
              <w14:schemeClr w14:val="tx1"/>
            </w14:solidFill>
          </w14:textFill>
        </w:rPr>
        <w:t>）投标报价不符合招标文件规定的采购预算或限价或其他报价规定的；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五</w:t>
      </w:r>
      <w:r>
        <w:rPr>
          <w:rFonts w:hint="eastAsia" w:ascii="宋体" w:hAnsi="宋体" w:eastAsia="宋体" w:cs="宋体"/>
          <w:color w:val="000000" w:themeColor="text1"/>
          <w:sz w:val="24"/>
          <w14:textFill>
            <w14:solidFill>
              <w14:schemeClr w14:val="tx1"/>
            </w14:solidFill>
          </w14:textFill>
        </w:rPr>
        <w:t>）技术、服务内容如有实质性要求，投标文件没有完全响应招标文件的实质性要求或属于招标文件中投标无效情形的；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六</w:t>
      </w:r>
      <w:r>
        <w:rPr>
          <w:rFonts w:hint="eastAsia" w:ascii="宋体" w:hAnsi="宋体" w:eastAsia="宋体" w:cs="宋体"/>
          <w:color w:val="000000" w:themeColor="text1"/>
          <w:sz w:val="24"/>
          <w14:textFill>
            <w14:solidFill>
              <w14:schemeClr w14:val="tx1"/>
            </w14:solidFill>
          </w14:textFill>
        </w:rPr>
        <w:t>）招标文件有明确要求，但投标文件未载明或者载明的招标项目履约时间、方式、数量及其他政府采购合同实质性内容与招标文件要求不一致的。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3.3比较与评价。按招标文件中规定的评标方法和标准，对未作无效投标处理的投标文件进行技术、服务、商务等方面评估，综合比较与评价。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3.4复核。评分汇总结束后，评标委员会应当进行复核，特别要对拟推荐为中标候选供应商的、报价最低的、投标文件被认定为无效的进行重点复核。</w:t>
      </w:r>
    </w:p>
    <w:p>
      <w:pPr>
        <w:widowControl/>
        <w:spacing w:line="360" w:lineRule="auto"/>
        <w:ind w:firstLine="480"/>
        <w:jc w:val="left"/>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3.5推荐中标候选人。评标委员会</w:t>
      </w:r>
      <w:r>
        <w:rPr>
          <w:rFonts w:hint="eastAsia" w:ascii="宋体" w:hAnsi="宋体" w:eastAsia="宋体" w:cs="宋体"/>
          <w:color w:val="000000" w:themeColor="text1"/>
          <w:kern w:val="1"/>
          <w:sz w:val="24"/>
          <w14:textFill>
            <w14:solidFill>
              <w14:schemeClr w14:val="tx1"/>
            </w14:solidFill>
          </w14:textFill>
        </w:rPr>
        <w:t>根据综合评分情况，按照评审得分由高到低顺序推荐</w:t>
      </w:r>
      <w:r>
        <w:rPr>
          <w:rFonts w:hint="eastAsia" w:ascii="宋体" w:hAnsi="宋体" w:eastAsia="宋体" w:cs="宋体"/>
          <w:color w:val="000000" w:themeColor="text1"/>
          <w:sz w:val="24"/>
          <w14:textFill>
            <w14:solidFill>
              <w14:schemeClr w14:val="tx1"/>
            </w14:solidFill>
          </w14:textFill>
        </w:rPr>
        <w:t>中标候选人。</w:t>
      </w:r>
      <w:r>
        <w:rPr>
          <w:rFonts w:hint="eastAsia" w:ascii="宋体" w:hAnsi="宋体" w:eastAsia="宋体" w:cs="宋体"/>
          <w:color w:val="000000" w:themeColor="text1"/>
          <w:kern w:val="1"/>
          <w:sz w:val="24"/>
          <w14:textFill>
            <w14:solidFill>
              <w14:schemeClr w14:val="tx1"/>
            </w14:solidFill>
          </w14:textFill>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评标委员会可推荐的中标候选人数量不能满足招标文件规定的数量的，只有在获得采购人书面同意后，可以根据实际情况推荐中标候选人。未获得采购人的书面同意</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评标委员会不得在招标文件规定之外推荐中标候选人，否则，采购人可以不予认可。</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3.6出具评标报告。评标委员会推荐中标候选供应商后，应当向招标采购单位出具评标报告。评标报告应当包括下列内容：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（一）招标公告刊登的媒体名称、开标日期和地点；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（二）获取招标文件的投标人名单和评标委员会成员名单；</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（三）评标方法和标准；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（四）开标记录和评标情况及说明，包括无效投标人名单及原因；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（五）评标结果和中标候选供应商排序表；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（六）评标委员会授标建议；</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（七）报价最高的投标人为中标候选人的，评标委员会应当对其报价的合理性予以特别说明。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3.8供应商应当书面澄清、说明或者更正。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3.8.2供应商应当书面澄清、说明或者更正，并加盖投标人电子签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（一）按财政部规定应当在评标时不予承认的投标文件内容事项；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（二）投标文件中已经明确的内容事项；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3.8.4 本项目采购过程中，投标文件报价出现前后不一致的，按照下列规定修正：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（二）大写金额和小写金额不一致的，以大写金额为准；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（三）单价金额小数点或者百分比有明显错位的，以开标一览表的总价为准，并修改单价；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（四）总价金额与按单价汇总金额不一致的，以单价金额计算结果为准。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同时出现两种以上不一致的，按照前款规定的顺序修正。修正后的报价按照本章3.8.1-3.8.3的规定经投标人确认后产生约束力，投标人不确认的，其投标无效。</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注：评标委员会当积极履行澄清、说明或者更正的职责，不得滥用权力。供应商的投标文件应当要求澄清、说明或者更正的，不得未经澄清、说明或者更正而直接作无效投标处理。</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3.10招标采购单位现场复核评标结果。</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（一）分值汇总计算错误的；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（二）分项评分超出评分标准范围的；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（三）客观评分不一致的；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（四）经评标委员会认定评分畸高畸低的。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3.10.2有下列情形之一的，不得修改评标结果或者重新评审：</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（一）招标采购单位现场复核时，复核工作人员数量不足的；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（二）招标采购单位现场复核时，没有采购监督人员现场监督的；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（三）招标采购单位现场复核内容超出规定范围的；</w:t>
      </w:r>
    </w:p>
    <w:p>
      <w:pPr>
        <w:pStyle w:val="82"/>
        <w:spacing w:line="360" w:lineRule="auto"/>
        <w:ind w:firstLine="480" w:firstLineChars="20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（四）招标采购单位未提供书面建议的。</w:t>
      </w:r>
    </w:p>
    <w:p>
      <w:pPr>
        <w:pStyle w:val="5"/>
        <w:spacing w:before="0"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评标细则及标准</w:t>
      </w:r>
      <w:bookmarkEnd w:id="228"/>
    </w:p>
    <w:p>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4.1本次综合评分的因素是：</w:t>
      </w:r>
      <w:r>
        <w:rPr>
          <w:rFonts w:hint="eastAsia" w:ascii="宋体" w:hAnsi="宋体" w:eastAsia="宋体" w:cs="宋体"/>
          <w:color w:val="000000" w:themeColor="text1"/>
          <w:sz w:val="24"/>
          <w:u w:val="single"/>
          <w14:textFill>
            <w14:solidFill>
              <w14:schemeClr w14:val="tx1"/>
            </w14:solidFill>
          </w14:textFill>
        </w:rPr>
        <w:t>详见综合评分明细表</w:t>
      </w:r>
      <w:r>
        <w:rPr>
          <w:rFonts w:hint="eastAsia" w:ascii="宋体" w:hAnsi="宋体" w:eastAsia="宋体" w:cs="宋体"/>
          <w:color w:val="000000" w:themeColor="text1"/>
          <w:sz w:val="24"/>
          <w14:textFill>
            <w14:solidFill>
              <w14:schemeClr w14:val="tx1"/>
            </w14:solidFill>
          </w14:textFill>
        </w:rPr>
        <w:t>。</w:t>
      </w:r>
    </w:p>
    <w:p>
      <w:pPr>
        <w:pStyle w:val="82"/>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4"/>
        <w:tabs>
          <w:tab w:val="left" w:pos="600"/>
        </w:tabs>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4.3综合评分明细表</w:t>
      </w:r>
    </w:p>
    <w:tbl>
      <w:tblPr>
        <w:tblStyle w:val="3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69"/>
        <w:gridCol w:w="916"/>
        <w:gridCol w:w="559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06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w:t>
            </w:r>
          </w:p>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因素</w:t>
            </w:r>
          </w:p>
        </w:tc>
        <w:tc>
          <w:tcPr>
            <w:tcW w:w="91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w:t>
            </w:r>
          </w:p>
        </w:tc>
        <w:tc>
          <w:tcPr>
            <w:tcW w:w="559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评分标准</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6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w:t>
            </w:r>
          </w:p>
        </w:tc>
        <w:tc>
          <w:tcPr>
            <w:tcW w:w="91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30分</w:t>
            </w:r>
          </w:p>
        </w:tc>
        <w:tc>
          <w:tcPr>
            <w:tcW w:w="55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1.满足招标文件要求且投标报价最低的有效投标报价为评标基准价，其投标人的报价分为30分。其他投标人的报价分按以下公式计算：报价得分=(评标基准价／投标报价)×30。</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2.小微企业（残疾人福利性单位、监狱企业视同小微企业）价格扣除按照须知附表规定执行。</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06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技术参数要求</w:t>
            </w:r>
          </w:p>
        </w:tc>
        <w:tc>
          <w:tcPr>
            <w:tcW w:w="916"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54</w:t>
            </w:r>
            <w:r>
              <w:rPr>
                <w:rFonts w:hint="eastAsia" w:ascii="宋体" w:hAnsi="宋体" w:eastAsia="宋体" w:cs="宋体"/>
                <w:color w:val="000000" w:themeColor="text1"/>
                <w:sz w:val="21"/>
                <w:szCs w:val="21"/>
                <w14:textFill>
                  <w14:solidFill>
                    <w14:schemeClr w14:val="tx1"/>
                  </w14:solidFill>
                </w14:textFill>
              </w:rPr>
              <w:t>分</w:t>
            </w:r>
          </w:p>
        </w:tc>
        <w:tc>
          <w:tcPr>
            <w:tcW w:w="5599"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完全符合招标文件技术</w:t>
            </w:r>
            <w:r>
              <w:rPr>
                <w:rFonts w:hint="eastAsia" w:ascii="宋体" w:hAnsi="宋体" w:eastAsia="宋体" w:cs="宋体"/>
                <w:color w:val="000000" w:themeColor="text1"/>
                <w:sz w:val="21"/>
                <w:szCs w:val="21"/>
                <w:lang w:eastAsia="zh-CN"/>
                <w14:textFill>
                  <w14:solidFill>
                    <w14:schemeClr w14:val="tx1"/>
                  </w14:solidFill>
                </w14:textFill>
              </w:rPr>
              <w:t>参数</w:t>
            </w:r>
            <w:r>
              <w:rPr>
                <w:rFonts w:hint="eastAsia" w:ascii="宋体" w:hAnsi="宋体" w:eastAsia="宋体" w:cs="宋体"/>
                <w:color w:val="000000" w:themeColor="text1"/>
                <w:sz w:val="21"/>
                <w:szCs w:val="21"/>
                <w14:textFill>
                  <w14:solidFill>
                    <w14:schemeClr w14:val="tx1"/>
                  </w14:solidFill>
                </w14:textFill>
              </w:rPr>
              <w:t>要求没有负偏离得</w:t>
            </w:r>
            <w:r>
              <w:rPr>
                <w:rFonts w:hint="eastAsia" w:ascii="宋体" w:hAnsi="宋体" w:eastAsia="宋体" w:cs="宋体"/>
                <w:color w:val="000000" w:themeColor="text1"/>
                <w:sz w:val="21"/>
                <w:szCs w:val="21"/>
                <w:lang w:val="en-US" w:eastAsia="zh-CN"/>
                <w14:textFill>
                  <w14:solidFill>
                    <w14:schemeClr w14:val="tx1"/>
                  </w14:solidFill>
                </w14:textFill>
              </w:rPr>
              <w:t>54</w:t>
            </w:r>
            <w:r>
              <w:rPr>
                <w:rFonts w:hint="eastAsia" w:ascii="宋体" w:hAnsi="宋体" w:eastAsia="宋体" w:cs="宋体"/>
                <w:color w:val="000000" w:themeColor="text1"/>
                <w:sz w:val="21"/>
                <w:szCs w:val="21"/>
                <w14:textFill>
                  <w14:solidFill>
                    <w14:schemeClr w14:val="tx1"/>
                  </w14:solidFill>
                </w14:textFill>
              </w:rPr>
              <w:t>分。</w:t>
            </w:r>
          </w:p>
          <w:p>
            <w:pPr>
              <w:numPr>
                <w:ilvl w:val="0"/>
                <w:numId w:val="0"/>
              </w:numPr>
              <w:snapToGrid/>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”的条款为重要参数条款，重要参数响应得分=（投标人完全满足重要参数条款数量÷重要参数总条款数量）×</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w:t>
            </w:r>
          </w:p>
          <w:p>
            <w:pPr>
              <w:numPr>
                <w:ilvl w:val="0"/>
                <w:numId w:val="0"/>
              </w:numPr>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带★技术参数条款：1包：4条，2包：3条，3包：10条，4包：7条，5包：4条。</w:t>
            </w:r>
          </w:p>
          <w:p>
            <w:pPr>
              <w:numPr>
                <w:ilvl w:val="0"/>
                <w:numId w:val="0"/>
              </w:numPr>
              <w:snapToGrid/>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未标识符号的参数为一般参数，一般参数响应得分=（投标人完全满足一般参数条款数量÷一般参数总条款数量）×</w:t>
            </w: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分。</w:t>
            </w:r>
          </w:p>
          <w:p>
            <w:pPr>
              <w:numPr>
                <w:ilvl w:val="0"/>
                <w:numId w:val="0"/>
              </w:numPr>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一般技术参数条款：</w:t>
            </w:r>
            <w:r>
              <w:rPr>
                <w:rFonts w:hint="eastAsia" w:ascii="宋体" w:hAnsi="宋体" w:eastAsia="宋体" w:cs="宋体"/>
                <w:color w:val="000000" w:themeColor="text1"/>
                <w:sz w:val="21"/>
                <w:szCs w:val="21"/>
                <w:lang w:val="en-US" w:eastAsia="zh-CN"/>
                <w14:textFill>
                  <w14:solidFill>
                    <w14:schemeClr w14:val="tx1"/>
                  </w14:solidFill>
                </w14:textFill>
              </w:rPr>
              <w:t>1包：12条，2包：11条，3包：24条，4包：17条，5包：9条。</w:t>
            </w:r>
          </w:p>
          <w:p>
            <w:pPr>
              <w:numPr>
                <w:ilvl w:val="0"/>
                <w:numId w:val="0"/>
              </w:numPr>
              <w:snapToGrid/>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注：①带“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”的条款需提供证明文件（按招标文件要求提供资料</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”的条款招标文件未要求提供证明材料的提供生产厂家的彩页资料或技术白皮书或有资质的检测机构出具的检测报告或功能截图或其他有效证明材料加盖投标人</w:t>
            </w:r>
            <w:r>
              <w:rPr>
                <w:rFonts w:hint="eastAsia" w:ascii="宋体" w:hAnsi="宋体" w:eastAsia="宋体" w:cs="宋体"/>
                <w:color w:val="000000" w:themeColor="text1"/>
                <w:sz w:val="21"/>
                <w:szCs w:val="21"/>
                <w:lang w:eastAsia="zh-CN"/>
                <w14:textFill>
                  <w14:solidFill>
                    <w14:schemeClr w14:val="tx1"/>
                  </w14:solidFill>
                </w14:textFill>
              </w:rPr>
              <w:t>电子签章</w:t>
            </w:r>
            <w:r>
              <w:rPr>
                <w:rFonts w:hint="eastAsia" w:ascii="宋体" w:hAnsi="宋体" w:eastAsia="宋体" w:cs="宋体"/>
                <w:color w:val="000000" w:themeColor="text1"/>
                <w:sz w:val="21"/>
                <w:szCs w:val="21"/>
                <w14:textFill>
                  <w14:solidFill>
                    <w14:schemeClr w14:val="tx1"/>
                  </w14:solidFill>
                </w14:textFill>
              </w:rPr>
              <w:t>）。</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技术</w:t>
            </w:r>
            <w:r>
              <w:rPr>
                <w:rFonts w:hint="eastAsia" w:ascii="宋体" w:hAnsi="宋体" w:eastAsia="宋体" w:cs="宋体"/>
                <w:color w:val="000000" w:themeColor="text1"/>
                <w:sz w:val="21"/>
                <w:szCs w:val="21"/>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6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商务要求</w:t>
            </w:r>
          </w:p>
        </w:tc>
        <w:tc>
          <w:tcPr>
            <w:tcW w:w="91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分</w:t>
            </w:r>
          </w:p>
        </w:tc>
        <w:tc>
          <w:tcPr>
            <w:tcW w:w="55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1.完全符合招标文件第六章商务要求没有负偏离得</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分；带“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”的条款为实质性参数，不允许负偏离，凡有一项不满足的作无效投标处理。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2.未标识符号的参数为一般参数</w:t>
            </w:r>
            <w:r>
              <w:rPr>
                <w:rFonts w:hint="eastAsia" w:ascii="宋体" w:hAnsi="宋体" w:eastAsia="宋体" w:cs="宋体"/>
                <w:color w:val="000000" w:themeColor="text1"/>
                <w:sz w:val="21"/>
                <w:szCs w:val="21"/>
                <w:lang w:eastAsia="zh-CN"/>
                <w14:textFill>
                  <w14:solidFill>
                    <w14:schemeClr w14:val="tx1"/>
                  </w14:solidFill>
                </w14:textFill>
              </w:rPr>
              <w:t>（共</w:t>
            </w:r>
            <w:r>
              <w:rPr>
                <w:rFonts w:hint="eastAsia" w:ascii="宋体" w:hAnsi="宋体" w:eastAsia="宋体" w:cs="宋体"/>
                <w:color w:val="000000" w:themeColor="text1"/>
                <w:sz w:val="21"/>
                <w:szCs w:val="21"/>
                <w:lang w:val="en-US" w:eastAsia="zh-CN"/>
                <w14:textFill>
                  <w14:solidFill>
                    <w14:schemeClr w14:val="tx1"/>
                  </w14:solidFill>
                </w14:textFill>
              </w:rPr>
              <w:t>17条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，一般参数响应得分=（投标人完全满足一般参数条款数量÷一般参数总条款数量）×</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分。</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共同</w:t>
            </w:r>
            <w:r>
              <w:rPr>
                <w:rFonts w:hint="eastAsia" w:ascii="宋体" w:hAnsi="宋体" w:eastAsia="宋体" w:cs="宋体"/>
                <w:color w:val="000000" w:themeColor="text1"/>
                <w:sz w:val="21"/>
                <w:szCs w:val="21"/>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售后服务</w:t>
            </w:r>
          </w:p>
        </w:tc>
        <w:tc>
          <w:tcPr>
            <w:tcW w:w="9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tc>
        <w:tc>
          <w:tcPr>
            <w:tcW w:w="55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供应商针对本项目提供的售后服务方案，包括但不限于①售后服务流程、②应急预案、③质量保障方案、④培训方案等</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个方面，以上</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个方面提供完整且每个方面均描述详细，符合本项目实际情况、有利于项目实施的得</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分，每缺少一个方案或提供的方案与本项目无关的扣</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分；每有一个方案存在缺陷或不足或不利于本项目实施的扣</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分，扣完为止。</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w:t>
            </w:r>
            <w:r>
              <w:rPr>
                <w:rFonts w:hint="eastAsia" w:ascii="宋体" w:hAnsi="宋体" w:eastAsia="宋体" w:cs="宋体"/>
                <w:color w:val="000000" w:themeColor="text1"/>
                <w:sz w:val="21"/>
                <w:szCs w:val="21"/>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06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节能、环境标志、无线局域网产品</w:t>
            </w:r>
          </w:p>
        </w:tc>
        <w:tc>
          <w:tcPr>
            <w:tcW w:w="91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p>
        </w:tc>
        <w:tc>
          <w:tcPr>
            <w:tcW w:w="559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供应商所响应的产品中每有一项属于节能产品政府采购品目清单中优先采购范围的得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分；每有一项属于环境标志产品政府采购品目清单中优先采购范围的得0.</w:t>
            </w:r>
            <w:r>
              <w:rPr>
                <w:rFonts w:hint="eastAsia" w:ascii="宋体" w:hAnsi="宋体" w:eastAsia="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分；每有一项为无线局域网产品政府采购清单中的产品的得0.</w:t>
            </w:r>
            <w:r>
              <w:rPr>
                <w:rFonts w:hint="eastAsia" w:ascii="宋体" w:hAnsi="宋体" w:eastAsia="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分。本项共1分。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1、可重复计分；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2、本项目采购的产品中属于节能产品或环境标志产品政府采购品目清单中强制采购范围的，不属于本项评分范围。</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w:t>
            </w:r>
            <w:r>
              <w:rPr>
                <w:rFonts w:hint="eastAsia" w:ascii="宋体" w:hAnsi="宋体" w:eastAsia="宋体" w:cs="宋体"/>
                <w:color w:val="000000" w:themeColor="text1"/>
                <w:sz w:val="21"/>
                <w:szCs w:val="21"/>
                <w:lang w:eastAsia="zh-CN"/>
                <w14:textFill>
                  <w14:solidFill>
                    <w14:schemeClr w14:val="tx1"/>
                  </w14:solidFill>
                </w14:textFill>
              </w:rPr>
              <w:t>电子签章</w:t>
            </w:r>
            <w:r>
              <w:rPr>
                <w:rFonts w:hint="eastAsia" w:ascii="宋体" w:hAnsi="宋体" w:eastAsia="宋体" w:cs="宋体"/>
                <w:color w:val="000000" w:themeColor="text1"/>
                <w:sz w:val="21"/>
                <w:szCs w:val="21"/>
                <w14:textFill>
                  <w14:solidFill>
                    <w14:schemeClr w14:val="tx1"/>
                  </w14:solidFill>
                </w14:textFill>
              </w:rPr>
              <w:t>，否则不予给分。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4、供应商所投产品属于优先采购范围内的无线局域网产品的，需提供《中国政府采购网》公布的无线局域网产品政府采购清单封面及对应页且在有效期内并加盖供应商</w:t>
            </w:r>
            <w:r>
              <w:rPr>
                <w:rFonts w:hint="eastAsia" w:ascii="宋体" w:hAnsi="宋体" w:eastAsia="宋体" w:cs="宋体"/>
                <w:color w:val="000000" w:themeColor="text1"/>
                <w:sz w:val="21"/>
                <w:szCs w:val="21"/>
                <w:lang w:eastAsia="zh-CN"/>
                <w14:textFill>
                  <w14:solidFill>
                    <w14:schemeClr w14:val="tx1"/>
                  </w14:solidFill>
                </w14:textFill>
              </w:rPr>
              <w:t>电子签章</w:t>
            </w:r>
            <w:r>
              <w:rPr>
                <w:rFonts w:hint="eastAsia" w:ascii="宋体" w:hAnsi="宋体" w:eastAsia="宋体" w:cs="宋体"/>
                <w:color w:val="000000" w:themeColor="text1"/>
                <w:sz w:val="21"/>
                <w:szCs w:val="21"/>
                <w14:textFill>
                  <w14:solidFill>
                    <w14:schemeClr w14:val="tx1"/>
                  </w14:solidFill>
                </w14:textFill>
              </w:rPr>
              <w:t>。</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79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共同评分因素</w:t>
            </w:r>
          </w:p>
        </w:tc>
      </w:tr>
    </w:tbl>
    <w:p>
      <w:pPr>
        <w:pStyle w:val="14"/>
        <w:tabs>
          <w:tab w:val="left" w:pos="600"/>
        </w:tabs>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bookmarkStart w:id="231" w:name="_Toc490290416"/>
      <w:bookmarkStart w:id="232" w:name="_Toc217446060"/>
      <w:r>
        <w:rPr>
          <w:rFonts w:hint="eastAsia" w:ascii="宋体" w:hAnsi="宋体" w:eastAsia="宋体" w:cs="宋体"/>
          <w:color w:val="000000" w:themeColor="text1"/>
          <w:sz w:val="24"/>
          <w14:textFill>
            <w14:solidFill>
              <w14:schemeClr w14:val="tx1"/>
            </w14:solidFill>
          </w14:textFill>
        </w:rPr>
        <w:t>注：1）评分的取值按四舍五入法，保留小数点后两位。</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废 标</w:t>
      </w:r>
      <w:bookmarkEnd w:id="231"/>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5.1本次政府采购活动中，出现下列情形之一的，予以废标：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（1）符合专业条件的供应商或者对招标文件作实质响应的供应商不足三家的；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（3）投标人的报价均超过了采购预算，采购人不能支付的；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（4）因重大变故，采购任务取消的。</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5.2对于评标过程中废标的采购项目，评标委员会应当对招标文件是否存在倾向性和歧视性、是否存在不合理条款进行论证，并出具书面论证意见。</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bookmarkStart w:id="233" w:name="_Toc490290417"/>
      <w:r>
        <w:rPr>
          <w:rFonts w:hint="eastAsia" w:ascii="宋体" w:hAnsi="宋体" w:eastAsia="宋体" w:cs="宋体"/>
          <w:color w:val="000000" w:themeColor="text1"/>
          <w:sz w:val="24"/>
          <w:szCs w:val="24"/>
          <w14:textFill>
            <w14:solidFill>
              <w14:schemeClr w14:val="tx1"/>
            </w14:solidFill>
          </w14:textFill>
        </w:rPr>
        <w:t>6.定标</w:t>
      </w:r>
      <w:bookmarkEnd w:id="232"/>
      <w:bookmarkEnd w:id="233"/>
      <w:bookmarkStart w:id="234" w:name="_Toc217446061"/>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 定标原则</w:t>
      </w:r>
      <w:bookmarkEnd w:id="234"/>
      <w:r>
        <w:rPr>
          <w:rFonts w:hint="eastAsia" w:ascii="宋体" w:hAnsi="宋体" w:eastAsia="宋体" w:cs="宋体"/>
          <w:color w:val="000000" w:themeColor="text1"/>
          <w:sz w:val="24"/>
          <w14:textFill>
            <w14:solidFill>
              <w14:schemeClr w14:val="tx1"/>
            </w14:solidFill>
          </w14:textFill>
        </w:rPr>
        <w:t>：本项目根据评标委员会推荐的中标候选人名单，按顺序确定中标供应商。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35" w:name="_Toc217446062"/>
      <w:r>
        <w:rPr>
          <w:rFonts w:hint="eastAsia" w:ascii="宋体" w:hAnsi="宋体" w:eastAsia="宋体" w:cs="宋体"/>
          <w:color w:val="000000" w:themeColor="text1"/>
          <w:sz w:val="24"/>
          <w14:textFill>
            <w14:solidFill>
              <w14:schemeClr w14:val="tx1"/>
            </w14:solidFill>
          </w14:textFill>
        </w:rPr>
        <w:t>6.2. 定标程序</w:t>
      </w:r>
      <w:bookmarkEnd w:id="235"/>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6.2.1 评标委员会将评标情况写出书面报告，推荐中标候选人。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6.2.2 采购代理机构在评标结束后5个工作日内将评标报告送采购人。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6.2.3 采购人在收到评标报告后5个工作日内，按照评标报告中推荐的中标候选人顺序确定中标候选人。</w:t>
      </w:r>
      <w:r>
        <w:rPr>
          <w:rFonts w:hint="eastAsia" w:ascii="宋体" w:hAnsi="宋体" w:eastAsia="宋体" w:cs="宋体"/>
          <w:color w:val="000000" w:themeColor="text1"/>
          <w:kern w:val="1"/>
          <w:sz w:val="24"/>
          <w14:textFill>
            <w14:solidFill>
              <w14:schemeClr w14:val="tx1"/>
            </w14:solidFill>
          </w14:textFill>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注意，采购人按照推荐的中标候选人顺序确定中标人，不能认为采购人只能确定第一中标候选人为中标人，采购人有充分合理理由的，可以确定后一顺序中标候选人为中标人，依次类推。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6.2.5 招标单位不退回投标人投标文件和其他投标资料。</w:t>
      </w:r>
      <w:bookmarkEnd w:id="229"/>
      <w:bookmarkStart w:id="236" w:name="_Toc183582297"/>
      <w:bookmarkStart w:id="237" w:name="_Toc217446105"/>
      <w:bookmarkStart w:id="238" w:name="_Toc208849022"/>
      <w:bookmarkStart w:id="239" w:name="_Toc183682432"/>
      <w:bookmarkStart w:id="240" w:name="_Toc490290418"/>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 </w:t>
      </w:r>
      <w:bookmarkEnd w:id="236"/>
      <w:bookmarkEnd w:id="237"/>
      <w:bookmarkEnd w:id="238"/>
      <w:bookmarkEnd w:id="239"/>
      <w:r>
        <w:rPr>
          <w:rFonts w:hint="eastAsia" w:ascii="宋体" w:hAnsi="宋体" w:eastAsia="宋体" w:cs="宋体"/>
          <w:color w:val="000000" w:themeColor="text1"/>
          <w:sz w:val="24"/>
          <w:szCs w:val="24"/>
          <w14:textFill>
            <w14:solidFill>
              <w14:schemeClr w14:val="tx1"/>
            </w14:solidFill>
          </w14:textFill>
        </w:rPr>
        <w:t>评标专家在政府采购活动中承担以下义务</w:t>
      </w:r>
      <w:bookmarkEnd w:id="240"/>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（一）遵守评审工作纪律；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（二）按照客观、公正、审慎的原则，根据采购文件规定的评审程序、评审方法和评审标准进行独立评审；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（三）不得泄露评审文件、评审情况和在评审过程中获悉的商业秘密；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（六）配合答复处理供应商的询问、质疑和投诉等事项；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（七）法律、法规和规章规定的其他义务。</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bookmarkStart w:id="241" w:name="_Toc490290419"/>
      <w:r>
        <w:rPr>
          <w:rFonts w:hint="eastAsia" w:ascii="宋体" w:hAnsi="宋体" w:eastAsia="宋体" w:cs="宋体"/>
          <w:color w:val="000000" w:themeColor="text1"/>
          <w:sz w:val="24"/>
          <w:szCs w:val="24"/>
          <w14:textFill>
            <w14:solidFill>
              <w14:schemeClr w14:val="tx1"/>
            </w14:solidFill>
          </w14:textFill>
        </w:rPr>
        <w:t>8.评标专家在政府采购活动中应当遵守以下工作纪律</w:t>
      </w:r>
      <w:bookmarkEnd w:id="241"/>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42" w:name="_Toc490290420"/>
      <w:r>
        <w:rPr>
          <w:rFonts w:hint="eastAsia" w:ascii="宋体" w:hAnsi="宋体" w:eastAsia="宋体" w:cs="宋体"/>
          <w:color w:val="000000" w:themeColor="text1"/>
          <w:sz w:val="24"/>
          <w14:textFill>
            <w14:solidFill>
              <w14:schemeClr w14:val="tx1"/>
            </w14:solidFill>
          </w14:textFill>
        </w:rPr>
        <w:t>（一）遵行《中华人民共和国政府采购法》第十二条和《中华人民共和国政府采购法实施条例》第九条及财政部关于回避的规定。</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（二）评标前，应当将通讯工具或者相关电子设备交由招标采购单位统一保管。</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（三）评标过程中，不得与外界联系，因发生不可预见情况，确实需要与外界联系的，应当在监督人员监督之下办理。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（五）在评标过程中和评标结束后，不得记录、复制或带走任何评标资料，除因规定的义务外，不得向外界透露评标内容。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（六）服从评标现场招标采购单位的现场秩序管理，接受评标现场监督人员的合法监督。</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（七）遵守有关廉洁自律规定，不得私下接触供应商，不得收受供应商及有关业务单位和个人的财物或好处，不得接受采购组织单位的请托。</w:t>
      </w:r>
    </w:p>
    <w:p>
      <w:pPr>
        <w:rPr>
          <w:rFonts w:hint="eastAsia" w:ascii="宋体" w:hAnsi="宋体" w:eastAsia="宋体" w:cs="宋体"/>
          <w:color w:val="000000" w:themeColor="text1"/>
          <w14:textFill>
            <w14:solidFill>
              <w14:schemeClr w14:val="tx1"/>
            </w14:solidFill>
          </w14:textFill>
        </w:rPr>
      </w:pPr>
      <w:bookmarkStart w:id="243" w:name="_Toc29392"/>
      <w:r>
        <w:rPr>
          <w:rFonts w:hint="eastAsia" w:ascii="宋体" w:hAnsi="宋体" w:eastAsia="宋体" w:cs="宋体"/>
          <w:color w:val="000000" w:themeColor="text1"/>
          <w14:textFill>
            <w14:solidFill>
              <w14:schemeClr w14:val="tx1"/>
            </w14:solidFill>
          </w14:textFill>
        </w:rPr>
        <w:br w:type="page"/>
      </w:r>
    </w:p>
    <w:p>
      <w:pPr>
        <w:pStyle w:val="32"/>
        <w:spacing w:line="360" w:lineRule="auto"/>
        <w:rPr>
          <w:rFonts w:hint="eastAsia" w:ascii="宋体" w:hAnsi="宋体" w:eastAsia="宋体" w:cs="宋体"/>
          <w:color w:val="000000" w:themeColor="text1"/>
          <w14:textFill>
            <w14:solidFill>
              <w14:schemeClr w14:val="tx1"/>
            </w14:solidFill>
          </w14:textFill>
        </w:rPr>
      </w:pPr>
      <w:bookmarkStart w:id="244" w:name="_Toc31809"/>
      <w:r>
        <w:rPr>
          <w:rFonts w:hint="eastAsia" w:ascii="宋体" w:hAnsi="宋体" w:eastAsia="宋体" w:cs="宋体"/>
          <w:color w:val="000000" w:themeColor="text1"/>
          <w14:textFill>
            <w14:solidFill>
              <w14:schemeClr w14:val="tx1"/>
            </w14:solidFill>
          </w14:textFill>
        </w:rPr>
        <w:t>第八章  政府采购合同</w:t>
      </w:r>
      <w:bookmarkEnd w:id="242"/>
      <w:r>
        <w:rPr>
          <w:rFonts w:hint="eastAsia" w:ascii="宋体" w:hAnsi="宋体" w:eastAsia="宋体" w:cs="宋体"/>
          <w:color w:val="000000" w:themeColor="text1"/>
          <w14:textFill>
            <w14:solidFill>
              <w14:schemeClr w14:val="tx1"/>
            </w14:solidFill>
          </w14:textFill>
        </w:rPr>
        <w:t>（参考）</w:t>
      </w:r>
      <w:bookmarkEnd w:id="243"/>
      <w:bookmarkEnd w:id="244"/>
    </w:p>
    <w:p>
      <w:pPr>
        <w:spacing w:line="560" w:lineRule="exact"/>
        <w:ind w:firstLine="5520" w:firstLineChars="2300"/>
        <w:rPr>
          <w:rFonts w:hint="eastAsia" w:ascii="宋体" w:hAnsi="宋体" w:eastAsia="宋体" w:cs="宋体"/>
          <w:color w:val="000000" w:themeColor="text1"/>
          <w:sz w:val="24"/>
          <w:u w:val="single"/>
          <w14:textFill>
            <w14:solidFill>
              <w14:schemeClr w14:val="tx1"/>
            </w14:solidFill>
          </w14:textFill>
        </w:rPr>
      </w:pPr>
      <w:bookmarkStart w:id="245" w:name="PO_默认文件内容_36"/>
      <w:r>
        <w:rPr>
          <w:rFonts w:hint="eastAsia" w:ascii="宋体" w:hAnsi="宋体" w:eastAsia="宋体" w:cs="宋体"/>
          <w:color w:val="000000" w:themeColor="text1"/>
          <w:sz w:val="24"/>
          <w:u w:val="single"/>
          <w14:textFill>
            <w14:solidFill>
              <w14:schemeClr w14:val="tx1"/>
            </w14:solidFill>
          </w14:textFill>
        </w:rPr>
        <w:t xml:space="preserve">                </w:t>
      </w:r>
    </w:p>
    <w:bookmarkEnd w:id="245"/>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46" w:name="_Toc30589"/>
      <w:bookmarkStart w:id="247" w:name="_Toc15803"/>
      <w:r>
        <w:rPr>
          <w:rFonts w:hint="eastAsia" w:ascii="宋体" w:hAnsi="宋体" w:eastAsia="宋体" w:cs="宋体"/>
          <w:color w:val="000000" w:themeColor="text1"/>
          <w:sz w:val="24"/>
          <w14:textFill>
            <w14:solidFill>
              <w14:schemeClr w14:val="tx1"/>
            </w14:solidFill>
          </w14:textFill>
        </w:rPr>
        <w:t>合同编号：</w:t>
      </w:r>
      <w:r>
        <w:rPr>
          <w:rFonts w:hint="eastAsia" w:ascii="宋体" w:hAnsi="宋体" w:eastAsia="宋体" w:cs="宋体"/>
          <w:color w:val="000000" w:themeColor="text1"/>
          <w:szCs w:val="21"/>
          <w14:textFill>
            <w14:solidFill>
              <w14:schemeClr w14:val="tx1"/>
            </w14:solidFill>
          </w14:textFill>
        </w:rPr>
        <w:t>XXXX。</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签订地点：</w:t>
      </w:r>
      <w:r>
        <w:rPr>
          <w:rFonts w:hint="eastAsia" w:ascii="宋体" w:hAnsi="宋体" w:eastAsia="宋体" w:cs="宋体"/>
          <w:color w:val="000000" w:themeColor="text1"/>
          <w:szCs w:val="21"/>
          <w14:textFill>
            <w14:solidFill>
              <w14:schemeClr w14:val="tx1"/>
            </w14:solidFill>
          </w14:textFill>
        </w:rPr>
        <w:t>XXXX。</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Cs w:val="21"/>
          <w14:textFill>
            <w14:solidFill>
              <w14:schemeClr w14:val="tx1"/>
            </w14:solidFill>
          </w14:textFill>
        </w:rPr>
        <w:t>XXXX</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sz w:val="24"/>
          <w14:textFill>
            <w14:solidFill>
              <w14:schemeClr w14:val="tx1"/>
            </w14:solidFill>
          </w14:textFill>
        </w:rPr>
        <w:t>日。</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采购人（甲方）：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供应商（乙方）：                              </w:t>
      </w:r>
      <w:r>
        <w:rPr>
          <w:rFonts w:hint="eastAsia" w:ascii="宋体" w:hAnsi="宋体" w:eastAsia="宋体" w:cs="宋体"/>
          <w:color w:val="000000" w:themeColor="text1"/>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根据《中华人民共和国政府采购法》、《中华人民共和国</w:t>
      </w:r>
      <w:r>
        <w:rPr>
          <w:rFonts w:hint="eastAsia" w:ascii="宋体" w:hAnsi="宋体" w:eastAsia="宋体" w:cs="宋体"/>
          <w:color w:val="000000" w:themeColor="text1"/>
          <w:lang w:eastAsia="zh-CN"/>
          <w14:textFill>
            <w14:solidFill>
              <w14:schemeClr w14:val="tx1"/>
            </w14:solidFill>
          </w14:textFill>
        </w:rPr>
        <w:t>民法典</w:t>
      </w:r>
      <w:r>
        <w:rPr>
          <w:rFonts w:hint="eastAsia" w:ascii="宋体" w:hAnsi="宋体" w:eastAsia="宋体" w:cs="宋体"/>
          <w:color w:val="000000" w:themeColor="text1"/>
          <w14:textFill>
            <w14:solidFill>
              <w14:schemeClr w14:val="tx1"/>
            </w14:solidFill>
          </w14:textFill>
        </w:rPr>
        <w:t>》及</w:t>
      </w:r>
      <w:r>
        <w:rPr>
          <w:rFonts w:hint="eastAsia" w:ascii="宋体" w:hAnsi="宋体" w:eastAsia="宋体" w:cs="宋体"/>
          <w:color w:val="000000" w:themeColor="text1"/>
          <w:szCs w:val="21"/>
          <w14:textFill>
            <w14:solidFill>
              <w14:schemeClr w14:val="tx1"/>
            </w14:solidFill>
          </w14:textFill>
        </w:rPr>
        <w:t>XXXX</w:t>
      </w:r>
      <w:r>
        <w:rPr>
          <w:rFonts w:hint="eastAsia" w:ascii="宋体" w:hAnsi="宋体" w:eastAsia="宋体" w:cs="宋体"/>
          <w:color w:val="000000" w:themeColor="text1"/>
          <w14:textFill>
            <w14:solidFill>
              <w14:schemeClr w14:val="tx1"/>
            </w14:solidFill>
          </w14:textFill>
        </w:rPr>
        <w:t>采购项目（</w:t>
      </w:r>
      <w:r>
        <w:rPr>
          <w:rFonts w:hint="eastAsia" w:ascii="宋体" w:hAnsi="宋体" w:eastAsia="宋体" w:cs="宋体"/>
          <w:color w:val="000000" w:themeColor="text1"/>
          <w:lang w:val="en-US" w:eastAsia="zh-CN"/>
          <w14:textFill>
            <w14:solidFill>
              <w14:schemeClr w14:val="tx1"/>
            </w14:solidFill>
          </w14:textFill>
        </w:rPr>
        <w:t>采购</w:t>
      </w: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48" w:name="_Toc217446107"/>
      <w:bookmarkStart w:id="249" w:name="_Toc490290421"/>
      <w:r>
        <w:rPr>
          <w:rFonts w:hint="eastAsia" w:ascii="宋体" w:hAnsi="宋体" w:eastAsia="宋体" w:cs="宋体"/>
          <w:color w:val="000000" w:themeColor="text1"/>
          <w:sz w:val="24"/>
          <w:szCs w:val="24"/>
          <w14:textFill>
            <w14:solidFill>
              <w14:schemeClr w14:val="tx1"/>
            </w14:solidFill>
          </w14:textFill>
        </w:rPr>
        <w:t>一、合同货物</w:t>
      </w:r>
      <w:bookmarkEnd w:id="248"/>
      <w:bookmarkEnd w:id="249"/>
    </w:p>
    <w:tbl>
      <w:tblPr>
        <w:tblStyle w:val="35"/>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随机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14:textFill>
                  <w14:solidFill>
                    <w14:schemeClr w14:val="tx1"/>
                  </w14:solidFill>
                </w14:textFill>
              </w:rPr>
            </w:pPr>
          </w:p>
        </w:tc>
      </w:tr>
    </w:tbl>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50" w:name="_Toc490290422"/>
      <w:bookmarkStart w:id="251" w:name="_Toc217446108"/>
      <w:r>
        <w:rPr>
          <w:rFonts w:hint="eastAsia" w:ascii="宋体" w:hAnsi="宋体" w:eastAsia="宋体" w:cs="宋体"/>
          <w:color w:val="000000" w:themeColor="text1"/>
          <w:sz w:val="24"/>
          <w:szCs w:val="24"/>
          <w14:textFill>
            <w14:solidFill>
              <w14:schemeClr w14:val="tx1"/>
            </w14:solidFill>
          </w14:textFill>
        </w:rPr>
        <w:t>二、合同总价</w:t>
      </w:r>
      <w:bookmarkEnd w:id="250"/>
      <w:bookmarkEnd w:id="251"/>
    </w:p>
    <w:p>
      <w:pPr>
        <w:pStyle w:val="6"/>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合同总价为人民币大写：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元，即人民币￥</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line="360" w:lineRule="auto"/>
        <w:ind w:firstLine="480" w:firstLineChars="200"/>
        <w:rPr>
          <w:rStyle w:val="104"/>
          <w:rFonts w:hint="eastAsia" w:ascii="宋体" w:hAnsi="宋体" w:eastAsia="宋体" w:cs="宋体"/>
          <w:b w:val="0"/>
          <w:bCs w:val="0"/>
          <w:color w:val="000000" w:themeColor="text1"/>
          <w:sz w:val="24"/>
          <w:szCs w:val="24"/>
          <w14:textFill>
            <w14:solidFill>
              <w14:schemeClr w14:val="tx1"/>
            </w14:solidFill>
          </w14:textFill>
        </w:rPr>
      </w:pPr>
      <w:bookmarkStart w:id="252" w:name="_Toc490290423"/>
      <w:bookmarkStart w:id="253" w:name="_Toc217446109"/>
      <w:r>
        <w:rPr>
          <w:rStyle w:val="104"/>
          <w:rFonts w:hint="eastAsia" w:ascii="宋体" w:hAnsi="宋体" w:eastAsia="宋体" w:cs="宋体"/>
          <w:b w:val="0"/>
          <w:bCs w:val="0"/>
          <w:color w:val="000000" w:themeColor="text1"/>
          <w:sz w:val="24"/>
          <w:szCs w:val="24"/>
          <w14:textFill>
            <w14:solidFill>
              <w14:schemeClr w14:val="tx1"/>
            </w14:solidFill>
          </w14:textFill>
        </w:rPr>
        <w:t>三、质量要求</w:t>
      </w:r>
      <w:bookmarkEnd w:id="252"/>
      <w:bookmarkEnd w:id="253"/>
      <w:bookmarkStart w:id="254" w:name="_Toc217446110"/>
      <w:bookmarkStart w:id="255" w:name="_Toc490290424"/>
    </w:p>
    <w:p>
      <w:pPr>
        <w:pStyle w:val="106"/>
        <w:spacing w:after="0" w:line="360" w:lineRule="auto"/>
        <w:ind w:firstLine="480"/>
        <w:jc w:val="left"/>
        <w:rPr>
          <w:rStyle w:val="104"/>
          <w:rFonts w:hint="eastAsia" w:ascii="宋体" w:hAnsi="宋体" w:eastAsia="宋体" w:cs="宋体"/>
          <w:b w:val="0"/>
          <w:bCs w:val="0"/>
          <w:color w:val="000000" w:themeColor="text1"/>
          <w:sz w:val="24"/>
          <w:szCs w:val="24"/>
          <w14:textFill>
            <w14:solidFill>
              <w14:schemeClr w14:val="tx1"/>
            </w14:solidFill>
          </w14:textFill>
        </w:rPr>
      </w:pPr>
      <w:r>
        <w:rPr>
          <w:rStyle w:val="104"/>
          <w:rFonts w:hint="eastAsia" w:ascii="宋体" w:hAnsi="宋体" w:eastAsia="宋体" w:cs="宋体"/>
          <w:b w:val="0"/>
          <w:bCs w:val="0"/>
          <w:color w:val="000000" w:themeColor="text1"/>
          <w:sz w:val="24"/>
          <w:szCs w:val="24"/>
          <w14:textFill>
            <w14:solidFill>
              <w14:schemeClr w14:val="tx1"/>
            </w14:solidFill>
          </w14:textFill>
        </w:rPr>
        <w:t>1、中标人保证所提供的设备的质量标准应当符合国家标准和行业标准，没有国家标准和行业标准的，按照通常标准或者符合合同目的的特定标准确定。</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b w:val="0"/>
          <w:bCs w:val="0"/>
          <w:color w:val="000000" w:themeColor="text1"/>
          <w:sz w:val="24"/>
          <w:szCs w:val="24"/>
          <w14:textFill>
            <w14:solidFill>
              <w14:schemeClr w14:val="tx1"/>
            </w14:solidFill>
          </w14:textFill>
        </w:rPr>
        <w:t>2、 中标人应保证</w:t>
      </w:r>
      <w:r>
        <w:rPr>
          <w:rStyle w:val="104"/>
          <w:rFonts w:hint="eastAsia" w:ascii="宋体" w:hAnsi="宋体" w:eastAsia="宋体" w:cs="宋体"/>
          <w:color w:val="000000" w:themeColor="text1"/>
          <w:sz w:val="24"/>
          <w:szCs w:val="24"/>
          <w14:textFill>
            <w14:solidFill>
              <w14:schemeClr w14:val="tx1"/>
            </w14:solidFill>
          </w14:textFill>
        </w:rPr>
        <w:t>所提供的设备（含零部件、配件等）是全新的、完整的，技术水平是先进的、成熟的，且符合本合同的要求的，质量是优良的，并符合安全可靠、经济运行和易于维护的要求。</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14:textFill>
            <w14:solidFill>
              <w14:schemeClr w14:val="tx1"/>
            </w14:solidFill>
          </w14:textFill>
        </w:rPr>
        <w:t>3、 中标人应保证所提供设备的数量、质量、型号及技术性能等完全满足合同文件的约定。</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lang w:val="en-US"/>
          <w14:textFill>
            <w14:solidFill>
              <w14:schemeClr w14:val="tx1"/>
            </w14:solidFill>
          </w14:textFill>
        </w:rPr>
        <w:t>4</w:t>
      </w:r>
      <w:r>
        <w:rPr>
          <w:rStyle w:val="104"/>
          <w:rFonts w:hint="eastAsia" w:ascii="宋体" w:hAnsi="宋体" w:eastAsia="宋体" w:cs="宋体"/>
          <w:color w:val="000000" w:themeColor="text1"/>
          <w:sz w:val="24"/>
          <w:szCs w:val="24"/>
          <w14:textFill>
            <w14:solidFill>
              <w14:schemeClr w14:val="tx1"/>
            </w14:solidFill>
          </w14:textFill>
        </w:rPr>
        <w:t>、质量瑕疵、知识产权瑕疵的补救措施和索赔</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lang w:val="en-US"/>
          <w14:textFill>
            <w14:solidFill>
              <w14:schemeClr w14:val="tx1"/>
            </w14:solidFill>
          </w14:textFill>
        </w:rPr>
        <w:t>4</w:t>
      </w:r>
      <w:r>
        <w:rPr>
          <w:rStyle w:val="104"/>
          <w:rFonts w:hint="eastAsia" w:ascii="宋体" w:hAnsi="宋体" w:eastAsia="宋体" w:cs="宋体"/>
          <w:color w:val="000000" w:themeColor="text1"/>
          <w:sz w:val="24"/>
          <w:szCs w:val="24"/>
          <w14:textFill>
            <w14:solidFill>
              <w14:schemeClr w14:val="tx1"/>
            </w14:solidFill>
          </w14:textFill>
        </w:rPr>
        <w:t>.1 采购人保留将到货设备送至具备检测资质的第三方检测机构进行抽检的权利。必要时，采购人将到货设备送至具备检测资质的第三方检测机构进行抽检。如抽检结果全部合格，则由采购人承担相关送检费用。如抽检不合格的，则由中标人承担相关送检费用并负责免费退换不合格设备，同时采购人将有权向中标人收取与不合格设备同等金额的违约金。如因使用中标人提供的不符合质量标准或者存在产品质量缺陷的设备造成损失的，采购人有权向中标人提出索赔。</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lang w:val="en-US"/>
          <w14:textFill>
            <w14:solidFill>
              <w14:schemeClr w14:val="tx1"/>
            </w14:solidFill>
          </w14:textFill>
        </w:rPr>
        <w:t>4</w:t>
      </w:r>
      <w:r>
        <w:rPr>
          <w:rStyle w:val="104"/>
          <w:rFonts w:hint="eastAsia" w:ascii="宋体" w:hAnsi="宋体" w:eastAsia="宋体" w:cs="宋体"/>
          <w:color w:val="000000" w:themeColor="text1"/>
          <w:sz w:val="24"/>
          <w:szCs w:val="24"/>
          <w14:textFill>
            <w14:solidFill>
              <w14:schemeClr w14:val="tx1"/>
            </w14:solidFill>
          </w14:textFill>
        </w:rPr>
        <w:t>.2.因供应设备品牌、规格型号、技术参数不满足本合同要求或者质量不合格时，中标人应负责免费换货或退货，同时采购人将有权向中标人收取与不满足要求或（和）不合格设备同等金额的违约金。</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lang w:val="en-US"/>
          <w14:textFill>
            <w14:solidFill>
              <w14:schemeClr w14:val="tx1"/>
            </w14:solidFill>
          </w14:textFill>
        </w:rPr>
        <w:t>4</w:t>
      </w:r>
      <w:r>
        <w:rPr>
          <w:rStyle w:val="104"/>
          <w:rFonts w:hint="eastAsia" w:ascii="宋体" w:hAnsi="宋体" w:eastAsia="宋体" w:cs="宋体"/>
          <w:color w:val="000000" w:themeColor="text1"/>
          <w:sz w:val="24"/>
          <w:szCs w:val="24"/>
          <w14:textFill>
            <w14:solidFill>
              <w14:schemeClr w14:val="tx1"/>
            </w14:solidFill>
          </w14:textFill>
        </w:rPr>
        <w:t>.3.中标人保证采购人在使用了其产品、服务及其任何部分而不受到第三方关于侵犯专利权、商标权、代理销售权或其他工业产权和知识产权的指控。任何第三方如果提出侵权指控时，中标人须与第三方交涉并承担可能发生的一切法律上和经济上的责任。采购人因处理该等纠纷发生的费用（包括对但不限于诉讼费、律师费、差旅费等）和遭受的损失（包括但不限于向权利人支付的赔偿费用、产品无法使用造成的损失等），均由中标人承担。</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四、交货及验收</w:t>
      </w:r>
      <w:bookmarkEnd w:id="254"/>
      <w:bookmarkEnd w:id="255"/>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1、乙方交货期限为合同签订生效后的</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日内，在合同签订生效之日起</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天内交货到甲方指定地点，随即在</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日内全部完成安装调试验收合格交付使用，并且最迟应在</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日前全部完成安装调试验收合格交付使用(如由于采购人的原因造成合同延迟签订或验收的，时间顺延)。交货验收时须提供产品质检部门从同类产品中抽样检查合格的检测报告。</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2、验收由甲方组织，乙方配合进行：</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货物在乙方通知安装调试完毕后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日内初步验收。初步验收合格后，进入</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试用期；试用期间发生重大质量问题，修复后试用相应顺延；试用期结束后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日内完成最终验收；</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如质量验收合格，双方签署质量验收报告。</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3、货物安装完成后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日内，甲方无故不进行验收工作并已使用货物的，视同已安装调试完成并验收合格。</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5、如货物经乙方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次维修仍不能达到合同约定的质量标准，甲方有权退货，并视作乙方不能交付货物而须支付违约赔偿金给甲方，甲方还可依法追究乙方的违约责任。 </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6、其他未尽事宜应严格按照</w:t>
      </w:r>
      <w:r>
        <w:rPr>
          <w:rStyle w:val="104"/>
          <w:rFonts w:hint="eastAsia" w:ascii="宋体" w:hAnsi="宋体" w:eastAsia="宋体" w:cs="宋体"/>
          <w:color w:val="000000" w:themeColor="text1"/>
          <w:sz w:val="24"/>
          <w:szCs w:val="24"/>
          <w14:textFill>
            <w14:solidFill>
              <w14:schemeClr w14:val="tx1"/>
            </w14:solidFill>
          </w14:textFill>
        </w:rPr>
        <w:t>《财政部关于进一步加强政府采购需求和履约验收管理的指导意见》（财库〔2016〕205号）</w:t>
      </w:r>
      <w:r>
        <w:rPr>
          <w:rFonts w:hint="eastAsia" w:ascii="宋体" w:hAnsi="宋体" w:eastAsia="宋体" w:cs="宋体"/>
          <w:color w:val="000000" w:themeColor="text1"/>
          <w14:textFill>
            <w14:solidFill>
              <w14:schemeClr w14:val="tx1"/>
            </w14:solidFill>
          </w14:textFill>
        </w:rPr>
        <w:t>的要求进行。</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56" w:name="_Toc490290425"/>
      <w:bookmarkStart w:id="257" w:name="_Toc217446111"/>
      <w:r>
        <w:rPr>
          <w:rFonts w:hint="eastAsia" w:ascii="宋体" w:hAnsi="宋体" w:eastAsia="宋体" w:cs="宋体"/>
          <w:color w:val="000000" w:themeColor="text1"/>
          <w:sz w:val="24"/>
          <w:szCs w:val="24"/>
          <w14:textFill>
            <w14:solidFill>
              <w14:schemeClr w14:val="tx1"/>
            </w14:solidFill>
          </w14:textFill>
        </w:rPr>
        <w:t>五、付款方式</w:t>
      </w:r>
      <w:bookmarkEnd w:id="256"/>
      <w:bookmarkEnd w:id="257"/>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1、甲方在本合同签订生效之日起接到乙方通知和票据凭证资料以及乙方交给甲方的合同履约保证金（按合同总价的百分之</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计算款额￥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元，人民币大写：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元整）后的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日内支付合同金额百分之</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的价款；</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2、全部货物安装调试完毕并验收合格之日起，甲方接到乙方通知与票据凭证资料以后的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日内，提交支付凭证资料给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财政国库支付执行机构办理财政国库支付手续，并由其向乙方核拨合同总价的百分之</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款项：￥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元，人民币大写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元整；</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3、履约保证金退还：在货物验收合格满</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后，甲方接到乙方通知和支付凭证资料文件，以及由甲方确认本合同货物质量与服务等约定事项已经履行完毕的正式书面文件后的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日内，递交结算凭证资料给银行并由其向乙方支付价款￥</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 人民币大写：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元整；乙方履约不合格的，履约保证金不予退还。</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4、乙方须向甲方出具合法有效完整的完税发票及凭证资料进行支付结算。</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58" w:name="_Toc490290426"/>
      <w:bookmarkStart w:id="259" w:name="_Toc217446112"/>
      <w:r>
        <w:rPr>
          <w:rFonts w:hint="eastAsia" w:ascii="宋体" w:hAnsi="宋体" w:eastAsia="宋体" w:cs="宋体"/>
          <w:color w:val="000000" w:themeColor="text1"/>
          <w:sz w:val="24"/>
          <w:szCs w:val="24"/>
          <w14:textFill>
            <w14:solidFill>
              <w14:schemeClr w14:val="tx1"/>
            </w14:solidFill>
          </w14:textFill>
        </w:rPr>
        <w:t>六、售后服务</w:t>
      </w:r>
      <w:bookmarkEnd w:id="258"/>
      <w:bookmarkEnd w:id="259"/>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1、质保期为验收合格后</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年，质保期内出现质量问题，乙方在接到通知后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小时内响应到场，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小时内完成维修或更换，并承担修理调换的费用；如货物经乙方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次维修仍不能达到本合同约定的质量标准，视作乙方未能按时交货，甲方有权退货并追究乙方的违约责任。货到现场后由于甲方保管不当造成的问题，乙方亦应负责修复，但费用由甲方负担。</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2、乙方须指派专人负责与甲方联系售后服务事宜。 </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60" w:name="_Toc217446113"/>
      <w:bookmarkStart w:id="261" w:name="_Toc490290427"/>
      <w:r>
        <w:rPr>
          <w:rFonts w:hint="eastAsia" w:ascii="宋体" w:hAnsi="宋体" w:eastAsia="宋体" w:cs="宋体"/>
          <w:color w:val="000000" w:themeColor="text1"/>
          <w:sz w:val="24"/>
          <w:szCs w:val="24"/>
          <w14:textFill>
            <w14:solidFill>
              <w14:schemeClr w14:val="tx1"/>
            </w14:solidFill>
          </w14:textFill>
        </w:rPr>
        <w:t>七、违约责任</w:t>
      </w:r>
      <w:bookmarkEnd w:id="260"/>
      <w:bookmarkEnd w:id="261"/>
    </w:p>
    <w:p>
      <w:pPr>
        <w:pStyle w:val="106"/>
        <w:spacing w:after="0" w:line="336" w:lineRule="auto"/>
        <w:ind w:firstLine="482"/>
        <w:rPr>
          <w:rStyle w:val="104"/>
          <w:rFonts w:hint="eastAsia" w:ascii="宋体" w:hAnsi="宋体" w:eastAsia="宋体" w:cs="宋体"/>
          <w:b w:val="0"/>
          <w:bCs w:val="0"/>
          <w:color w:val="000000" w:themeColor="text1"/>
          <w:sz w:val="24"/>
          <w:szCs w:val="24"/>
          <w14:textFill>
            <w14:solidFill>
              <w14:schemeClr w14:val="tx1"/>
            </w14:solidFill>
          </w14:textFill>
        </w:rPr>
      </w:pPr>
      <w:bookmarkStart w:id="262" w:name="_Toc490290428"/>
      <w:bookmarkStart w:id="263" w:name="_Toc217446114"/>
      <w:r>
        <w:rPr>
          <w:rStyle w:val="104"/>
          <w:rFonts w:hint="eastAsia" w:ascii="宋体" w:hAnsi="宋体" w:eastAsia="宋体" w:cs="宋体"/>
          <w:b w:val="0"/>
          <w:bCs w:val="0"/>
          <w:color w:val="000000" w:themeColor="text1"/>
          <w:sz w:val="24"/>
          <w:szCs w:val="24"/>
          <w:lang w:val="en-US"/>
          <w14:textFill>
            <w14:solidFill>
              <w14:schemeClr w14:val="tx1"/>
            </w14:solidFill>
          </w14:textFill>
        </w:rPr>
        <w:t>1、</w:t>
      </w:r>
      <w:r>
        <w:rPr>
          <w:rStyle w:val="104"/>
          <w:rFonts w:hint="eastAsia" w:ascii="宋体" w:hAnsi="宋体" w:eastAsia="宋体" w:cs="宋体"/>
          <w:b w:val="0"/>
          <w:bCs w:val="0"/>
          <w:color w:val="000000" w:themeColor="text1"/>
          <w:sz w:val="24"/>
          <w:szCs w:val="24"/>
          <w14:textFill>
            <w14:solidFill>
              <w14:schemeClr w14:val="tx1"/>
            </w14:solidFill>
          </w14:textFill>
        </w:rPr>
        <w:t>违约责任</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14:textFill>
            <w14:solidFill>
              <w14:schemeClr w14:val="tx1"/>
            </w14:solidFill>
          </w14:textFill>
        </w:rPr>
        <w:t xml:space="preserve"> 如非因中标人原因导致采购人逾期支付货款的，每逾期一日，中标人有权要求采购人以逾期未付款项为基数，按照中国人民银行活期存款利率（单利）的标准支付逾期付款损失。如非因中标人原因导致采购人逾期支付预付款超过90日的，中标人有权解除本合同，并要求采购人按照预付款总额的20%支付违约金。</w:t>
      </w:r>
    </w:p>
    <w:p>
      <w:pPr>
        <w:pStyle w:val="106"/>
        <w:spacing w:after="0" w:line="336" w:lineRule="auto"/>
        <w:ind w:firstLine="482"/>
        <w:rPr>
          <w:rStyle w:val="104"/>
          <w:rFonts w:hint="eastAsia" w:ascii="宋体" w:hAnsi="宋体" w:eastAsia="宋体" w:cs="宋体"/>
          <w:b w:val="0"/>
          <w:bCs w:val="0"/>
          <w:color w:val="000000" w:themeColor="text1"/>
          <w:sz w:val="24"/>
          <w:szCs w:val="24"/>
          <w14:textFill>
            <w14:solidFill>
              <w14:schemeClr w14:val="tx1"/>
            </w14:solidFill>
          </w14:textFill>
        </w:rPr>
      </w:pPr>
      <w:r>
        <w:rPr>
          <w:rStyle w:val="104"/>
          <w:rFonts w:hint="eastAsia" w:ascii="宋体" w:hAnsi="宋体" w:eastAsia="宋体" w:cs="宋体"/>
          <w:b w:val="0"/>
          <w:bCs w:val="0"/>
          <w:color w:val="000000" w:themeColor="text1"/>
          <w:sz w:val="24"/>
          <w:szCs w:val="24"/>
          <w14:textFill>
            <w14:solidFill>
              <w14:schemeClr w14:val="tx1"/>
            </w14:solidFill>
          </w14:textFill>
        </w:rPr>
        <w:t>2、解决争议的方法</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14:textFill>
            <w14:solidFill>
              <w14:schemeClr w14:val="tx1"/>
            </w14:solidFill>
          </w14:textFill>
        </w:rPr>
        <w:t>2.1 因采购设备的质量问题发生争议，由质量技术监督部门或其指定的质量鉴定机构进行质量鉴定，鉴定费先由中标人垫付。采购设备符合标准的，鉴定费采购人承担；采购设备不符合质量标准的，鉴定费由中标人承担。</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14:textFill>
            <w14:solidFill>
              <w14:schemeClr w14:val="tx1"/>
            </w14:solidFill>
          </w14:textFill>
        </w:rPr>
        <w:t>2.2 合同履行期间，若双方发生争议，可协商或由有关部门调解解决，协商或调解不成的，任何一方均可向采购人住所地有管辖权的人民法院提起诉讼。败诉方应当承担胜诉方为维护权利产生的诉讼费、保全费、公告费、律师费等。</w:t>
      </w:r>
    </w:p>
    <w:p>
      <w:pPr>
        <w:pStyle w:val="106"/>
        <w:spacing w:after="0" w:line="360" w:lineRule="auto"/>
        <w:ind w:firstLine="480"/>
        <w:jc w:val="left"/>
        <w:rPr>
          <w:rStyle w:val="104"/>
          <w:rFonts w:hint="eastAsia" w:ascii="宋体" w:hAnsi="宋体" w:eastAsia="宋体" w:cs="宋体"/>
          <w:color w:val="000000" w:themeColor="text1"/>
          <w:sz w:val="24"/>
          <w:szCs w:val="24"/>
          <w14:textFill>
            <w14:solidFill>
              <w14:schemeClr w14:val="tx1"/>
            </w14:solidFill>
          </w14:textFill>
        </w:rPr>
      </w:pPr>
      <w:r>
        <w:rPr>
          <w:rStyle w:val="104"/>
          <w:rFonts w:hint="eastAsia" w:ascii="宋体" w:hAnsi="宋体" w:eastAsia="宋体" w:cs="宋体"/>
          <w:color w:val="000000" w:themeColor="text1"/>
          <w:sz w:val="24"/>
          <w:szCs w:val="24"/>
          <w14:textFill>
            <w14:solidFill>
              <w14:schemeClr w14:val="tx1"/>
            </w14:solidFill>
          </w14:textFill>
        </w:rPr>
        <w:t>2.3 如因采购人根据本合同的约定向中标人行使追偿权的，中标人同意采购人可向采购人住所地有管辖权的人民法院提起诉讼，并愿意承担采购人为实现债权产生的诉讼费、保全费、公告费、律师费、保全担保保险费等。</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八、争议解决办法</w:t>
      </w:r>
      <w:bookmarkEnd w:id="262"/>
      <w:bookmarkEnd w:id="263"/>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2、合同履行期间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若双方发生争议，可协商或由有关部门调解解决，协商或调解不成的，由当事人依法维护其合法权益。</w:t>
      </w:r>
    </w:p>
    <w:p>
      <w:pPr>
        <w:pStyle w:val="5"/>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264" w:name="_Toc490290429"/>
      <w:bookmarkStart w:id="265" w:name="_Toc217446115"/>
      <w:r>
        <w:rPr>
          <w:rFonts w:hint="eastAsia" w:ascii="宋体" w:hAnsi="宋体" w:eastAsia="宋体" w:cs="宋体"/>
          <w:color w:val="000000" w:themeColor="text1"/>
          <w:sz w:val="24"/>
          <w:szCs w:val="24"/>
          <w14:textFill>
            <w14:solidFill>
              <w14:schemeClr w14:val="tx1"/>
            </w14:solidFill>
          </w14:textFill>
        </w:rPr>
        <w:t>九、其他</w:t>
      </w:r>
      <w:bookmarkEnd w:id="264"/>
      <w:bookmarkEnd w:id="265"/>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1、如有未尽事宜，由双方依法订立补充合同。</w:t>
      </w:r>
    </w:p>
    <w:p>
      <w:pPr>
        <w:pStyle w:val="81"/>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2、本合同一式四份，自双方签章之日起生效。甲方、乙方、同级县财政部门、采购代理机构各一份。</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甲方：   （盖章）   </w:t>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乙方：   （盖章）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法定代表人（授权代表）：           法定代表人（授权代表）：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                         地    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                         开户银行：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                             账号：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                         电    话：</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传    真：</w:t>
      </w:r>
    </w:p>
    <w:p>
      <w:pPr>
        <w:spacing w:line="360" w:lineRule="auto"/>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签约日期：</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 xml:space="preserve">日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签约日期：</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szCs w:val="21"/>
          <w14:textFill>
            <w14:solidFill>
              <w14:schemeClr w14:val="tx1"/>
            </w14:solidFill>
          </w14:textFill>
        </w:rPr>
        <w:t>XX</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szCs w:val="21"/>
          <w14:textFill>
            <w14:solidFill>
              <w14:schemeClr w14:val="tx1"/>
            </w14:solidFill>
          </w14:textFill>
        </w:rPr>
        <w:t>XX日</w:t>
      </w:r>
    </w:p>
    <w:p>
      <w:pPr>
        <w:widowControl/>
        <w:spacing w:line="360" w:lineRule="auto"/>
        <w:jc w:val="left"/>
        <w:rPr>
          <w:rFonts w:hint="eastAsia" w:ascii="宋体" w:hAnsi="宋体" w:eastAsia="宋体" w:cs="宋体"/>
          <w:b/>
          <w:color w:val="000000" w:themeColor="text1"/>
          <w:sz w:val="28"/>
          <w:szCs w:val="28"/>
          <w14:textFill>
            <w14:solidFill>
              <w14:schemeClr w14:val="tx1"/>
            </w14:solidFill>
          </w14:textFill>
        </w:rPr>
        <w:sectPr>
          <w:pgSz w:w="11907" w:h="16840"/>
          <w:pgMar w:top="1134" w:right="1134" w:bottom="1134" w:left="1418" w:header="567" w:footer="567" w:gutter="0"/>
          <w:cols w:space="720" w:num="1"/>
          <w:docGrid w:linePitch="326" w:charSpace="0"/>
        </w:sectPr>
      </w:pPr>
    </w:p>
    <w:p>
      <w:pPr>
        <w:widowControl/>
        <w:spacing w:line="360" w:lineRule="auto"/>
        <w:jc w:val="left"/>
        <w:rPr>
          <w:rFonts w:hint="eastAsia" w:ascii="宋体" w:hAnsi="宋体" w:eastAsia="宋体" w:cs="宋体"/>
          <w:color w:val="000000" w:themeColor="text1"/>
          <w:sz w:val="30"/>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附件一：</w:t>
      </w:r>
      <w:bookmarkEnd w:id="246"/>
      <w:bookmarkEnd w:id="247"/>
      <w:bookmarkStart w:id="266" w:name="_Toc508800738"/>
      <w:r>
        <w:rPr>
          <w:rFonts w:hint="eastAsia" w:ascii="宋体" w:hAnsi="宋体" w:eastAsia="宋体" w:cs="宋体"/>
          <w:b/>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45720</wp:posOffset>
            </wp:positionH>
            <wp:positionV relativeFrom="paragraph">
              <wp:posOffset>495300</wp:posOffset>
            </wp:positionV>
            <wp:extent cx="1304925" cy="1304925"/>
            <wp:effectExtent l="19050" t="0" r="9525" b="0"/>
            <wp:wrapSquare wrapText="bothSides"/>
            <wp:docPr id="4" name="图片 1" descr="C:\Users\Administrator\Desktop\QQ图片2018012511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QQ图片20180125112943.jpg"/>
                    <pic:cNvPicPr>
                      <a:picLocks noChangeAspect="1" noChangeArrowheads="1"/>
                    </pic:cNvPicPr>
                  </pic:nvPicPr>
                  <pic:blipFill>
                    <a:blip r:embed="rId16" cstate="print"/>
                    <a:srcRect/>
                    <a:stretch>
                      <a:fillRect/>
                    </a:stretch>
                  </pic:blipFill>
                  <pic:spPr>
                    <a:xfrm>
                      <a:off x="0" y="0"/>
                      <a:ext cx="1304925" cy="1304925"/>
                    </a:xfrm>
                    <a:prstGeom prst="rect">
                      <a:avLst/>
                    </a:prstGeom>
                    <a:noFill/>
                    <a:ln w="9525">
                      <a:noFill/>
                      <a:miter lim="800000"/>
                      <a:headEnd/>
                      <a:tailEnd/>
                    </a:ln>
                  </pic:spPr>
                </pic:pic>
              </a:graphicData>
            </a:graphic>
          </wp:anchor>
        </w:drawing>
      </w:r>
      <w:r>
        <w:rPr>
          <w:rFonts w:hint="eastAsia" w:ascii="宋体" w:hAnsi="宋体" w:eastAsia="宋体" w:cs="宋体"/>
          <w:b/>
          <w:color w:val="000000" w:themeColor="text1"/>
          <w:sz w:val="28"/>
          <w:szCs w:val="28"/>
          <w14:textFill>
            <w14:solidFill>
              <w14:schemeClr w14:val="tx1"/>
            </w14:solidFill>
          </w14:textFill>
        </w:rPr>
        <w:t>联系方式</w:t>
      </w:r>
      <w:bookmarkEnd w:id="266"/>
    </w:p>
    <w:p>
      <w:pPr>
        <w:rPr>
          <w:rFonts w:hint="eastAsia" w:ascii="宋体" w:hAnsi="宋体" w:eastAsia="宋体" w:cs="宋体"/>
          <w:b/>
          <w:bCs/>
          <w:color w:val="000000" w:themeColor="text1"/>
          <w:sz w:val="30"/>
          <w:szCs w:val="32"/>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电话：028-65731881</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地址：成都市锦江区墨香路87号8栋4楼</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网址：</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"http://www.scbidding.com"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www.scbidding.com</w:t>
      </w:r>
      <w:r>
        <w:rPr>
          <w:rFonts w:hint="eastAsia" w:ascii="宋体" w:hAnsi="宋体" w:eastAsia="宋体" w:cs="宋体"/>
          <w:color w:val="000000" w:themeColor="text1"/>
          <w:sz w:val="28"/>
          <w:szCs w:val="28"/>
          <w14:textFill>
            <w14:solidFill>
              <w14:schemeClr w14:val="tx1"/>
            </w14:solidFill>
          </w14:textFill>
        </w:rPr>
        <w:fldChar w:fldCharType="end"/>
      </w:r>
    </w:p>
    <w:p>
      <w:pPr>
        <w:spacing w:line="360" w:lineRule="auto"/>
        <w:rPr>
          <w:rFonts w:hint="eastAsia" w:ascii="宋体" w:hAnsi="宋体" w:eastAsia="宋体" w:cs="宋体"/>
          <w:color w:val="000000" w:themeColor="text1"/>
          <w:sz w:val="28"/>
          <w:szCs w:val="28"/>
          <w14:textFill>
            <w14:solidFill>
              <w14:schemeClr w14:val="tx1"/>
            </w14:solidFill>
          </w14:textFill>
        </w:rPr>
        <w:sectPr>
          <w:pgSz w:w="11907" w:h="16840"/>
          <w:pgMar w:top="1134" w:right="1134" w:bottom="1134" w:left="1418" w:header="567" w:footer="567" w:gutter="0"/>
          <w:cols w:space="720" w:num="1"/>
          <w:docGrid w:linePitch="326" w:charSpace="0"/>
        </w:sectPr>
      </w:pPr>
    </w:p>
    <w:p>
      <w:pPr>
        <w:shd w:val="clear"/>
        <w:spacing w:line="360" w:lineRule="auto"/>
        <w:outlineLvl w:val="1"/>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附件</w:t>
      </w:r>
      <w:r>
        <w:rPr>
          <w:rFonts w:hint="eastAsia" w:ascii="宋体" w:hAnsi="宋体" w:eastAsia="宋体" w:cs="宋体"/>
          <w:b/>
          <w:bCs/>
          <w:color w:val="000000" w:themeColor="text1"/>
          <w:sz w:val="24"/>
          <w:szCs w:val="32"/>
          <w:highlight w:val="none"/>
          <w:lang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：政府采购云平台使用介绍</w:t>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1.输入网址：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46"/>
          <w:rFonts w:hint="eastAsia" w:ascii="宋体" w:hAnsi="宋体" w:eastAsia="宋体" w:cs="宋体"/>
          <w:b/>
          <w:bCs/>
          <w:color w:val="000000" w:themeColor="text1"/>
          <w:sz w:val="24"/>
          <w:szCs w:val="32"/>
          <w:highlight w:val="none"/>
          <w14:textFill>
            <w14:solidFill>
              <w14:schemeClr w14:val="tx1"/>
            </w14:solidFill>
          </w14:textFill>
        </w:rPr>
        <w:t>https://www.zcygov.cn</w:t>
      </w:r>
      <w:r>
        <w:rPr>
          <w:rStyle w:val="46"/>
          <w:rFonts w:hint="eastAsia" w:ascii="宋体" w:hAnsi="宋体" w:eastAsia="宋体" w:cs="宋体"/>
          <w:b/>
          <w:bCs/>
          <w:color w:val="000000" w:themeColor="text1"/>
          <w:sz w:val="24"/>
          <w:szCs w:val="32"/>
          <w:highlight w:val="none"/>
          <w14:textFill>
            <w14:solidFill>
              <w14:schemeClr w14:val="tx1"/>
            </w14:solidFill>
          </w14:textFill>
        </w:rPr>
        <w:fldChar w:fldCharType="end"/>
      </w:r>
    </w:p>
    <w:p>
      <w:pPr>
        <w:shd w:val="clear"/>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2.选择与项目对应的行政区域如：四川省-成都市-成都市本级</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6691630" cy="4184650"/>
            <wp:effectExtent l="0" t="0" r="13970" b="635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7"/>
                    <a:stretch>
                      <a:fillRect/>
                    </a:stretch>
                  </pic:blipFill>
                  <pic:spPr>
                    <a:xfrm>
                      <a:off x="0" y="0"/>
                      <a:ext cx="6691630" cy="4184650"/>
                    </a:xfrm>
                    <a:prstGeom prst="rect">
                      <a:avLst/>
                    </a:prstGeom>
                    <a:noFill/>
                    <a:ln>
                      <a:noFill/>
                    </a:ln>
                  </pic:spPr>
                </pic:pic>
              </a:graphicData>
            </a:graphic>
          </wp:inline>
        </w:drawing>
      </w:r>
    </w:p>
    <w:p>
      <w:pPr>
        <w:numPr>
          <w:ilvl w:val="0"/>
          <w:numId w:val="14"/>
        </w:numPr>
        <w:shd w:val="clea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点击操作指南-供应商</w:t>
      </w:r>
    </w:p>
    <w:p>
      <w:pPr>
        <w:shd w:val="clea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854440" cy="4585335"/>
            <wp:effectExtent l="0" t="0" r="3810" b="571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stretch>
                      <a:fillRect/>
                    </a:stretch>
                  </pic:blipFill>
                  <pic:spPr>
                    <a:xfrm>
                      <a:off x="0" y="0"/>
                      <a:ext cx="8854440" cy="4585335"/>
                    </a:xfrm>
                    <a:prstGeom prst="rect">
                      <a:avLst/>
                    </a:prstGeom>
                    <a:noFill/>
                    <a:ln>
                      <a:noFill/>
                    </a:ln>
                  </pic:spPr>
                </pic:pic>
              </a:graphicData>
            </a:graphic>
          </wp:inline>
        </w:drawing>
      </w: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4.进入政采云供应商学习专题页面</w:t>
      </w:r>
      <w:r>
        <w:rPr>
          <w:rFonts w:hint="eastAsia" w:ascii="宋体" w:hAnsi="宋体" w:eastAsia="宋体" w:cs="宋体"/>
          <w:b/>
          <w:bCs/>
          <w:color w:val="000000" w:themeColor="text1"/>
          <w:highlight w:val="none"/>
          <w14:textFill>
            <w14:solidFill>
              <w14:schemeClr w14:val="tx1"/>
            </w14:solidFill>
          </w14:textFill>
        </w:rPr>
        <w:t>（https://edu.zcygov.cn/luban/xxzt-chengdu-gys?utm=a0017.b1347.cl50.5.0917bc90b7bb11eb807c353645758db6）</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9255760" cy="4606290"/>
            <wp:effectExtent l="0" t="0" r="2540" b="381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stretch>
                      <a:fillRect/>
                    </a:stretch>
                  </pic:blipFill>
                  <pic:spPr>
                    <a:xfrm>
                      <a:off x="0" y="0"/>
                      <a:ext cx="9255760" cy="4606290"/>
                    </a:xfrm>
                    <a:prstGeom prst="rect">
                      <a:avLst/>
                    </a:prstGeom>
                    <a:noFill/>
                    <a:ln>
                      <a:noFill/>
                    </a:ln>
                  </pic:spPr>
                </pic:pic>
              </a:graphicData>
            </a:graphic>
          </wp:inline>
        </w:drawing>
      </w:r>
    </w:p>
    <w:p>
      <w:pPr>
        <w:shd w:val="clea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5.供应商资讯服务渠道</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9380855" cy="3362960"/>
            <wp:effectExtent l="0" t="0" r="10795" b="889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0"/>
                    <a:stretch>
                      <a:fillRect/>
                    </a:stretch>
                  </pic:blipFill>
                  <pic:spPr>
                    <a:xfrm>
                      <a:off x="0" y="0"/>
                      <a:ext cx="9380855" cy="3362960"/>
                    </a:xfrm>
                    <a:prstGeom prst="rect">
                      <a:avLst/>
                    </a:prstGeom>
                    <a:noFill/>
                    <a:ln>
                      <a:noFill/>
                    </a:ln>
                  </pic:spPr>
                </pic:pic>
              </a:graphicData>
            </a:graphic>
          </wp:inline>
        </w:drawing>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6.入驻政府采购云平台（注册）</w:t>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853805" cy="3604895"/>
            <wp:effectExtent l="0" t="0" r="4445" b="1460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1"/>
                    <a:stretch>
                      <a:fillRect/>
                    </a:stretch>
                  </pic:blipFill>
                  <pic:spPr>
                    <a:xfrm>
                      <a:off x="0" y="0"/>
                      <a:ext cx="8853805" cy="3604895"/>
                    </a:xfrm>
                    <a:prstGeom prst="rect">
                      <a:avLst/>
                    </a:prstGeom>
                    <a:noFill/>
                    <a:ln>
                      <a:noFill/>
                    </a:ln>
                  </pic:spPr>
                </pic:pic>
              </a:graphicData>
            </a:graphic>
          </wp:inline>
        </w:drawing>
      </w:r>
    </w:p>
    <w:p>
      <w:pPr>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24"/>
          <w:szCs w:val="32"/>
          <w:highlight w:val="none"/>
          <w14:textFill>
            <w14:solidFill>
              <w14:schemeClr w14:val="tx1"/>
            </w14:solidFill>
          </w14:textFill>
        </w:rPr>
        <w:t>7.下载《供应商政府采购项目电子交易操作指南》</w:t>
      </w:r>
    </w:p>
    <w:p>
      <w:pPr>
        <w:pStyle w:val="5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inline distT="0" distB="0" distL="114300" distR="114300">
            <wp:extent cx="8860155" cy="4909185"/>
            <wp:effectExtent l="0" t="0" r="1714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2"/>
                    <a:stretch>
                      <a:fillRect/>
                    </a:stretch>
                  </pic:blipFill>
                  <pic:spPr>
                    <a:xfrm>
                      <a:off x="0" y="0"/>
                      <a:ext cx="8860155" cy="4909185"/>
                    </a:xfrm>
                    <a:prstGeom prst="rect">
                      <a:avLst/>
                    </a:prstGeom>
                    <a:noFill/>
                    <a:ln>
                      <a:noFill/>
                    </a:ln>
                  </pic:spPr>
                </pic:pic>
              </a:graphicData>
            </a:graphic>
          </wp:inline>
        </w:drawing>
      </w:r>
    </w:p>
    <w:sectPr>
      <w:pgSz w:w="16840" w:h="11907" w:orient="landscape"/>
      <w:pgMar w:top="1418"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29</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w:t>
    </w:r>
    <w:r>
      <w:rPr>
        <w:rFonts w:hint="eastAsia" w:eastAsia="宋体"/>
      </w:rPr>
      <w:t>：</w:t>
    </w:r>
    <w:r>
      <w:rPr>
        <w:rFonts w:hint="eastAsia"/>
      </w:rPr>
      <w:t xml:space="preserve">028-65731881 </w: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ragraph">
                <wp:posOffset>-15875</wp:posOffset>
              </wp:positionV>
              <wp:extent cx="5705475"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wps:spPr>
                    <wps:txbx>
                      <w:txbxContent>
                        <w:p>
                          <w:pPr>
                            <w:pStyle w:val="21"/>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44</w:t>
                          </w:r>
                          <w:r>
                            <w:rPr>
                              <w:lang w:val="zh-CN"/>
                            </w:rP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left:-0.15pt;margin-top:-1.25pt;height:144pt;width:449.25pt;mso-position-horizontal-relative:margin;z-index:251665408;mso-width-relative:page;mso-height-relative:page;" filled="f" stroked="f" coordsize="21600,21600" o:gfxdata="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8bFxXWAAAACAEAAA8AAAAAAAAAAQAgAAAAIgAAAGRycy9kb3du&#10;cmV2LnhtbFBLAQIUABQAAAAIAIdO4kAB5cKlyAEAAI0DAAAOAAAAAAAAAAEAIAAAACUBAABkcnMv&#10;ZTJvRG9jLnhtbFBLBQYAAAAABgAGAFkBAABfBQAAAAA=&#10;">
              <v:fill on="f" focussize="0,0"/>
              <v:stroke on="f"/>
              <v:imagedata o:title=""/>
              <o:lock v:ext="edit" aspectratio="f"/>
              <v:textbox inset="0mm,0mm,0mm,0mm" style="mso-fit-shape-to-text:t;">
                <w:txbxContent>
                  <w:p>
                    <w:pPr>
                      <w:pStyle w:val="21"/>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44</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-209550</wp:posOffset>
          </wp:positionV>
          <wp:extent cx="257175" cy="392430"/>
          <wp:effectExtent l="19050" t="0" r="9525" b="0"/>
          <wp:wrapNone/>
          <wp:docPr id="1"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2"/>
                  <pic:cNvPicPr>
                    <a:picLocks noChangeAspect="1" noChangeArrowheads="1"/>
                  </pic:cNvPicPr>
                </pic:nvPicPr>
                <pic:blipFill>
                  <a:blip r:embed="rId1"/>
                  <a:srcRect/>
                  <a:stretch>
                    <a:fillRect/>
                  </a:stretch>
                </pic:blipFill>
                <pic:spPr>
                  <a:xfrm>
                    <a:off x="0" y="0"/>
                    <a:ext cx="257175" cy="392430"/>
                  </a:xfrm>
                  <a:prstGeom prst="rect">
                    <a:avLst/>
                  </a:prstGeom>
                  <a:noFill/>
                  <a:ln w="9525">
                    <a:noFill/>
                    <a:miter lim="800000"/>
                    <a:headEnd/>
                    <a:tailEnd/>
                  </a:ln>
                </pic:spPr>
              </pic:pic>
            </a:graphicData>
          </a:graphic>
        </wp:anchor>
      </w:drawing>
    </w:r>
    <w:r>
      <w:rPr>
        <w:rFonts w:hint="eastAsia"/>
        <w:sz w:val="22"/>
        <w:szCs w:val="22"/>
      </w:rPr>
      <w:t>四川轩辕招标代理有限公司                        公开  公平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r>
      <w:rPr>
        <w:rFonts w:hint="eastAsia"/>
      </w:rPr>
      <w:t>四川省工商行政管理局数据中心建设项目政府采购—招标文件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1312"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2"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3360"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5"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CE46F"/>
    <w:multiLevelType w:val="singleLevel"/>
    <w:tmpl w:val="9B6CE46F"/>
    <w:lvl w:ilvl="0" w:tentative="0">
      <w:start w:val="1"/>
      <w:numFmt w:val="decimal"/>
      <w:pStyle w:val="10"/>
      <w:lvlText w:val="%1."/>
      <w:lvlJc w:val="left"/>
      <w:pPr>
        <w:tabs>
          <w:tab w:val="left" w:pos="360"/>
        </w:tabs>
        <w:ind w:left="360" w:hanging="360"/>
      </w:pPr>
    </w:lvl>
  </w:abstractNum>
  <w:abstractNum w:abstractNumId="1">
    <w:nsid w:val="00000005"/>
    <w:multiLevelType w:val="singleLevel"/>
    <w:tmpl w:val="00000005"/>
    <w:lvl w:ilvl="0" w:tentative="0">
      <w:start w:val="3"/>
      <w:numFmt w:val="chineseCounting"/>
      <w:suff w:val="nothing"/>
      <w:lvlText w:val="%1、"/>
      <w:lvlJc w:val="left"/>
    </w:lvl>
  </w:abstractNum>
  <w:abstractNum w:abstractNumId="2">
    <w:nsid w:val="00000007"/>
    <w:multiLevelType w:val="singleLevel"/>
    <w:tmpl w:val="00000007"/>
    <w:lvl w:ilvl="0" w:tentative="0">
      <w:start w:val="4"/>
      <w:numFmt w:val="chineseCounting"/>
      <w:suff w:val="nothing"/>
      <w:lvlText w:val="%1、"/>
      <w:lvlJc w:val="left"/>
    </w:lvl>
  </w:abstractNum>
  <w:abstractNum w:abstractNumId="3">
    <w:nsid w:val="00000008"/>
    <w:multiLevelType w:val="singleLevel"/>
    <w:tmpl w:val="00000008"/>
    <w:lvl w:ilvl="0" w:tentative="0">
      <w:start w:val="1"/>
      <w:numFmt w:val="chineseCounting"/>
      <w:suff w:val="nothing"/>
      <w:lvlText w:val="%1、"/>
      <w:lvlJc w:val="left"/>
    </w:lvl>
  </w:abstractNum>
  <w:abstractNum w:abstractNumId="4">
    <w:nsid w:val="0000000A"/>
    <w:multiLevelType w:val="singleLevel"/>
    <w:tmpl w:val="0000000A"/>
    <w:lvl w:ilvl="0" w:tentative="0">
      <w:start w:val="2"/>
      <w:numFmt w:val="decimal"/>
      <w:suff w:val="nothing"/>
      <w:lvlText w:val="%1."/>
      <w:lvlJc w:val="left"/>
    </w:lvl>
  </w:abstractNum>
  <w:abstractNum w:abstractNumId="5">
    <w:nsid w:val="0000000C"/>
    <w:multiLevelType w:val="multilevel"/>
    <w:tmpl w:val="0000000C"/>
    <w:lvl w:ilvl="0" w:tentative="0">
      <w:start w:val="1"/>
      <w:numFmt w:val="decimal"/>
      <w:suff w:val="nothing"/>
      <w:lvlText w:val="%1、"/>
      <w:lvlJc w:val="left"/>
      <w:pPr>
        <w:ind w:left="0" w:firstLine="0"/>
      </w:pPr>
    </w:lvl>
    <w:lvl w:ilvl="1" w:tentative="0">
      <w:start w:val="1"/>
      <w:numFmt w:val="decimal"/>
      <w:pStyle w:val="8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E"/>
    <w:multiLevelType w:val="singleLevel"/>
    <w:tmpl w:val="0000000E"/>
    <w:lvl w:ilvl="0" w:tentative="0">
      <w:start w:val="1"/>
      <w:numFmt w:val="decimal"/>
      <w:suff w:val="nothing"/>
      <w:lvlText w:val="%1、"/>
      <w:lvlJc w:val="left"/>
      <w:pPr>
        <w:ind w:left="0" w:firstLine="0"/>
      </w:pPr>
    </w:lvl>
  </w:abstractNum>
  <w:abstractNum w:abstractNumId="7">
    <w:nsid w:val="00000010"/>
    <w:multiLevelType w:val="singleLevel"/>
    <w:tmpl w:val="00000010"/>
    <w:lvl w:ilvl="0" w:tentative="0">
      <w:start w:val="5"/>
      <w:numFmt w:val="chineseCounting"/>
      <w:suff w:val="nothing"/>
      <w:lvlText w:val="%1、"/>
      <w:lvlJc w:val="left"/>
    </w:lvl>
  </w:abstractNum>
  <w:abstractNum w:abstractNumId="8">
    <w:nsid w:val="00000013"/>
    <w:multiLevelType w:val="singleLevel"/>
    <w:tmpl w:val="00000013"/>
    <w:lvl w:ilvl="0" w:tentative="0">
      <w:start w:val="6"/>
      <w:numFmt w:val="chineseCounting"/>
      <w:suff w:val="nothing"/>
      <w:lvlText w:val="%1、"/>
      <w:lvlJc w:val="left"/>
    </w:lvl>
  </w:abstractNum>
  <w:abstractNum w:abstractNumId="9">
    <w:nsid w:val="1517B247"/>
    <w:multiLevelType w:val="singleLevel"/>
    <w:tmpl w:val="1517B247"/>
    <w:lvl w:ilvl="0" w:tentative="0">
      <w:start w:val="3"/>
      <w:numFmt w:val="decimal"/>
      <w:lvlText w:val="%1."/>
      <w:lvlJc w:val="left"/>
      <w:pPr>
        <w:tabs>
          <w:tab w:val="left" w:pos="312"/>
        </w:tabs>
      </w:pPr>
    </w:lvl>
  </w:abstractNum>
  <w:abstractNum w:abstractNumId="10">
    <w:nsid w:val="3D182FC2"/>
    <w:multiLevelType w:val="singleLevel"/>
    <w:tmpl w:val="3D182FC2"/>
    <w:lvl w:ilvl="0" w:tentative="0">
      <w:start w:val="1"/>
      <w:numFmt w:val="chineseCounting"/>
      <w:suff w:val="nothing"/>
      <w:lvlText w:val="（%1）"/>
      <w:lvlJc w:val="left"/>
      <w:rPr>
        <w:rFonts w:hint="eastAsia"/>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63D27C78"/>
    <w:multiLevelType w:val="singleLevel"/>
    <w:tmpl w:val="63D27C78"/>
    <w:lvl w:ilvl="0" w:tentative="0">
      <w:start w:val="6"/>
      <w:numFmt w:val="chineseCounting"/>
      <w:suff w:val="space"/>
      <w:lvlText w:val="第%1章"/>
      <w:lvlJc w:val="left"/>
      <w:rPr>
        <w:rFonts w:hint="eastAsia"/>
      </w:rPr>
    </w:lvl>
  </w:abstractNum>
  <w:num w:numId="1">
    <w:abstractNumId w:val="0"/>
  </w:num>
  <w:num w:numId="2">
    <w:abstractNumId w:val="11"/>
  </w:num>
  <w:num w:numId="3">
    <w:abstractNumId w:val="5"/>
  </w:num>
  <w:num w:numId="4">
    <w:abstractNumId w:val="7"/>
  </w:num>
  <w:num w:numId="5">
    <w:abstractNumId w:val="8"/>
  </w:num>
  <w:num w:numId="6">
    <w:abstractNumId w:val="3"/>
  </w:num>
  <w:num w:numId="7">
    <w:abstractNumId w:val="1"/>
  </w:num>
  <w:num w:numId="8">
    <w:abstractNumId w:val="2"/>
  </w:num>
  <w:num w:numId="9">
    <w:abstractNumId w:val="6"/>
    <w:lvlOverride w:ilvl="0">
      <w:startOverride w:val="1"/>
    </w:lvlOverride>
  </w:num>
  <w:num w:numId="10">
    <w:abstractNumId w:val="5"/>
    <w:lvlOverride w:ilvl="0">
      <w:startOverride w:val="1"/>
    </w:lvlOverride>
  </w:num>
  <w:num w:numId="11">
    <w:abstractNumId w:val="4"/>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4"/>
    <w:rsid w:val="00002E34"/>
    <w:rsid w:val="000078E6"/>
    <w:rsid w:val="00011E62"/>
    <w:rsid w:val="00014B26"/>
    <w:rsid w:val="00014C44"/>
    <w:rsid w:val="00014D15"/>
    <w:rsid w:val="00026E6A"/>
    <w:rsid w:val="0003184F"/>
    <w:rsid w:val="00032C4A"/>
    <w:rsid w:val="00037047"/>
    <w:rsid w:val="000511C6"/>
    <w:rsid w:val="000525C8"/>
    <w:rsid w:val="000531C2"/>
    <w:rsid w:val="000546DF"/>
    <w:rsid w:val="00055327"/>
    <w:rsid w:val="000572EA"/>
    <w:rsid w:val="0005745D"/>
    <w:rsid w:val="00073575"/>
    <w:rsid w:val="00092514"/>
    <w:rsid w:val="00097EAA"/>
    <w:rsid w:val="000B04C0"/>
    <w:rsid w:val="000B3AEA"/>
    <w:rsid w:val="000B45F9"/>
    <w:rsid w:val="000C2E0E"/>
    <w:rsid w:val="000D2B40"/>
    <w:rsid w:val="000D48D0"/>
    <w:rsid w:val="000E11EA"/>
    <w:rsid w:val="000E1779"/>
    <w:rsid w:val="000E1C9C"/>
    <w:rsid w:val="000E7035"/>
    <w:rsid w:val="000F11D4"/>
    <w:rsid w:val="000F4A31"/>
    <w:rsid w:val="00100E92"/>
    <w:rsid w:val="0010208F"/>
    <w:rsid w:val="001051A5"/>
    <w:rsid w:val="00110629"/>
    <w:rsid w:val="001136A7"/>
    <w:rsid w:val="0012029A"/>
    <w:rsid w:val="00124204"/>
    <w:rsid w:val="00124F2F"/>
    <w:rsid w:val="001263E9"/>
    <w:rsid w:val="00130432"/>
    <w:rsid w:val="00130ED7"/>
    <w:rsid w:val="00132066"/>
    <w:rsid w:val="00147011"/>
    <w:rsid w:val="0015058A"/>
    <w:rsid w:val="001533EE"/>
    <w:rsid w:val="00153DE9"/>
    <w:rsid w:val="00163CC0"/>
    <w:rsid w:val="00172829"/>
    <w:rsid w:val="00172A27"/>
    <w:rsid w:val="0017313E"/>
    <w:rsid w:val="00175B77"/>
    <w:rsid w:val="00175CC7"/>
    <w:rsid w:val="001819EC"/>
    <w:rsid w:val="001857EB"/>
    <w:rsid w:val="001A7944"/>
    <w:rsid w:val="001C2342"/>
    <w:rsid w:val="001C307D"/>
    <w:rsid w:val="001C475B"/>
    <w:rsid w:val="001D6F41"/>
    <w:rsid w:val="001E32BF"/>
    <w:rsid w:val="001F6A91"/>
    <w:rsid w:val="002136A8"/>
    <w:rsid w:val="00214C74"/>
    <w:rsid w:val="002201C8"/>
    <w:rsid w:val="00220BA3"/>
    <w:rsid w:val="00225CC5"/>
    <w:rsid w:val="002334D0"/>
    <w:rsid w:val="00234E0D"/>
    <w:rsid w:val="002360A0"/>
    <w:rsid w:val="00245E3D"/>
    <w:rsid w:val="0025066E"/>
    <w:rsid w:val="002538E4"/>
    <w:rsid w:val="00255DCF"/>
    <w:rsid w:val="00257C47"/>
    <w:rsid w:val="002611E4"/>
    <w:rsid w:val="00263FCE"/>
    <w:rsid w:val="00264971"/>
    <w:rsid w:val="00274492"/>
    <w:rsid w:val="0028441E"/>
    <w:rsid w:val="002905F8"/>
    <w:rsid w:val="00292E8B"/>
    <w:rsid w:val="002962D5"/>
    <w:rsid w:val="00296CB0"/>
    <w:rsid w:val="002A7B47"/>
    <w:rsid w:val="002B09A6"/>
    <w:rsid w:val="002B0A4E"/>
    <w:rsid w:val="002B1466"/>
    <w:rsid w:val="002C2BEB"/>
    <w:rsid w:val="002C6CD0"/>
    <w:rsid w:val="002D4623"/>
    <w:rsid w:val="002D56E0"/>
    <w:rsid w:val="002E3FA8"/>
    <w:rsid w:val="002F631C"/>
    <w:rsid w:val="00304C7E"/>
    <w:rsid w:val="0030748E"/>
    <w:rsid w:val="00314A0E"/>
    <w:rsid w:val="003161F8"/>
    <w:rsid w:val="00320026"/>
    <w:rsid w:val="00320226"/>
    <w:rsid w:val="00332AAA"/>
    <w:rsid w:val="00336828"/>
    <w:rsid w:val="0034391E"/>
    <w:rsid w:val="003517C5"/>
    <w:rsid w:val="003542D1"/>
    <w:rsid w:val="003544F6"/>
    <w:rsid w:val="00362CEE"/>
    <w:rsid w:val="00367FCC"/>
    <w:rsid w:val="0037578B"/>
    <w:rsid w:val="00376872"/>
    <w:rsid w:val="00382219"/>
    <w:rsid w:val="003905CE"/>
    <w:rsid w:val="003957BE"/>
    <w:rsid w:val="003960CD"/>
    <w:rsid w:val="003A44D8"/>
    <w:rsid w:val="003A4C64"/>
    <w:rsid w:val="003C3A52"/>
    <w:rsid w:val="003C6979"/>
    <w:rsid w:val="003C7D9D"/>
    <w:rsid w:val="003E10B5"/>
    <w:rsid w:val="003E391E"/>
    <w:rsid w:val="003E5399"/>
    <w:rsid w:val="003E7670"/>
    <w:rsid w:val="003F0641"/>
    <w:rsid w:val="003F090A"/>
    <w:rsid w:val="003F2EEB"/>
    <w:rsid w:val="003F3BBC"/>
    <w:rsid w:val="003F5541"/>
    <w:rsid w:val="003F5F07"/>
    <w:rsid w:val="004010FB"/>
    <w:rsid w:val="00403177"/>
    <w:rsid w:val="00403531"/>
    <w:rsid w:val="00404348"/>
    <w:rsid w:val="00414144"/>
    <w:rsid w:val="00415020"/>
    <w:rsid w:val="004263D3"/>
    <w:rsid w:val="00434458"/>
    <w:rsid w:val="00441A23"/>
    <w:rsid w:val="00447F70"/>
    <w:rsid w:val="00453851"/>
    <w:rsid w:val="00461FDA"/>
    <w:rsid w:val="00462734"/>
    <w:rsid w:val="00466286"/>
    <w:rsid w:val="004814A1"/>
    <w:rsid w:val="004905BB"/>
    <w:rsid w:val="00491736"/>
    <w:rsid w:val="00492C3C"/>
    <w:rsid w:val="00492DD6"/>
    <w:rsid w:val="00492FD7"/>
    <w:rsid w:val="004A34F4"/>
    <w:rsid w:val="004C0D0D"/>
    <w:rsid w:val="004C487D"/>
    <w:rsid w:val="004D0514"/>
    <w:rsid w:val="004E5BC0"/>
    <w:rsid w:val="004E7D81"/>
    <w:rsid w:val="004F3126"/>
    <w:rsid w:val="004F47BE"/>
    <w:rsid w:val="005030C6"/>
    <w:rsid w:val="00507FE5"/>
    <w:rsid w:val="005124D7"/>
    <w:rsid w:val="00521BC9"/>
    <w:rsid w:val="00523A01"/>
    <w:rsid w:val="00523F1E"/>
    <w:rsid w:val="005261B7"/>
    <w:rsid w:val="0052648B"/>
    <w:rsid w:val="005370B2"/>
    <w:rsid w:val="00537FA4"/>
    <w:rsid w:val="00547A04"/>
    <w:rsid w:val="00550342"/>
    <w:rsid w:val="00556AE5"/>
    <w:rsid w:val="00557383"/>
    <w:rsid w:val="005617AF"/>
    <w:rsid w:val="00564C97"/>
    <w:rsid w:val="0057055D"/>
    <w:rsid w:val="00581E38"/>
    <w:rsid w:val="005844F4"/>
    <w:rsid w:val="005970E7"/>
    <w:rsid w:val="005A1C27"/>
    <w:rsid w:val="005A3C7F"/>
    <w:rsid w:val="005B1D93"/>
    <w:rsid w:val="005B4F32"/>
    <w:rsid w:val="005C09F2"/>
    <w:rsid w:val="005C3393"/>
    <w:rsid w:val="005C6266"/>
    <w:rsid w:val="005C63A6"/>
    <w:rsid w:val="005D490D"/>
    <w:rsid w:val="005E606D"/>
    <w:rsid w:val="005F22F8"/>
    <w:rsid w:val="0061247F"/>
    <w:rsid w:val="006214F9"/>
    <w:rsid w:val="00631ED0"/>
    <w:rsid w:val="00634593"/>
    <w:rsid w:val="00634A7F"/>
    <w:rsid w:val="006436EC"/>
    <w:rsid w:val="00645AA7"/>
    <w:rsid w:val="00647C11"/>
    <w:rsid w:val="00650623"/>
    <w:rsid w:val="006525CB"/>
    <w:rsid w:val="006554E2"/>
    <w:rsid w:val="00660E04"/>
    <w:rsid w:val="00663A2E"/>
    <w:rsid w:val="00667B1C"/>
    <w:rsid w:val="00672242"/>
    <w:rsid w:val="006766AD"/>
    <w:rsid w:val="00680873"/>
    <w:rsid w:val="00692C76"/>
    <w:rsid w:val="00693BF6"/>
    <w:rsid w:val="006A40CC"/>
    <w:rsid w:val="006A6E64"/>
    <w:rsid w:val="006B40E1"/>
    <w:rsid w:val="006B4C48"/>
    <w:rsid w:val="006B787F"/>
    <w:rsid w:val="006B7DA2"/>
    <w:rsid w:val="006C4CD1"/>
    <w:rsid w:val="006C695C"/>
    <w:rsid w:val="006C7097"/>
    <w:rsid w:val="006E000D"/>
    <w:rsid w:val="006E044E"/>
    <w:rsid w:val="006E1BBC"/>
    <w:rsid w:val="006F0A35"/>
    <w:rsid w:val="006F67B0"/>
    <w:rsid w:val="00703B36"/>
    <w:rsid w:val="007125A4"/>
    <w:rsid w:val="007236AE"/>
    <w:rsid w:val="00726C41"/>
    <w:rsid w:val="00731F21"/>
    <w:rsid w:val="00740B4A"/>
    <w:rsid w:val="00743535"/>
    <w:rsid w:val="00743740"/>
    <w:rsid w:val="007451BC"/>
    <w:rsid w:val="00747A27"/>
    <w:rsid w:val="00750330"/>
    <w:rsid w:val="007503D7"/>
    <w:rsid w:val="00753383"/>
    <w:rsid w:val="00755244"/>
    <w:rsid w:val="00756517"/>
    <w:rsid w:val="00765E2A"/>
    <w:rsid w:val="007668A1"/>
    <w:rsid w:val="00766F33"/>
    <w:rsid w:val="00774534"/>
    <w:rsid w:val="00776AA1"/>
    <w:rsid w:val="00794182"/>
    <w:rsid w:val="007A2DFE"/>
    <w:rsid w:val="007A76EC"/>
    <w:rsid w:val="007B1CC4"/>
    <w:rsid w:val="007B334C"/>
    <w:rsid w:val="007C2363"/>
    <w:rsid w:val="007C60A1"/>
    <w:rsid w:val="007D3430"/>
    <w:rsid w:val="007D774E"/>
    <w:rsid w:val="007E250B"/>
    <w:rsid w:val="007E4038"/>
    <w:rsid w:val="007E6320"/>
    <w:rsid w:val="007F2906"/>
    <w:rsid w:val="007F572C"/>
    <w:rsid w:val="00801A1F"/>
    <w:rsid w:val="00801CC2"/>
    <w:rsid w:val="008069EF"/>
    <w:rsid w:val="008126CE"/>
    <w:rsid w:val="00816D5D"/>
    <w:rsid w:val="00824642"/>
    <w:rsid w:val="008338C5"/>
    <w:rsid w:val="00834135"/>
    <w:rsid w:val="008423D0"/>
    <w:rsid w:val="0085458D"/>
    <w:rsid w:val="00856724"/>
    <w:rsid w:val="00857AFA"/>
    <w:rsid w:val="00860048"/>
    <w:rsid w:val="00862AE6"/>
    <w:rsid w:val="00865172"/>
    <w:rsid w:val="00874E60"/>
    <w:rsid w:val="00874E7A"/>
    <w:rsid w:val="00875557"/>
    <w:rsid w:val="0087765C"/>
    <w:rsid w:val="008806FE"/>
    <w:rsid w:val="00884419"/>
    <w:rsid w:val="00887AA1"/>
    <w:rsid w:val="00892791"/>
    <w:rsid w:val="0089405A"/>
    <w:rsid w:val="008A1E5B"/>
    <w:rsid w:val="008A23BD"/>
    <w:rsid w:val="008B0675"/>
    <w:rsid w:val="008C27D4"/>
    <w:rsid w:val="008C4FF7"/>
    <w:rsid w:val="008C5229"/>
    <w:rsid w:val="008D02C7"/>
    <w:rsid w:val="008D195A"/>
    <w:rsid w:val="008E2B18"/>
    <w:rsid w:val="008E33A3"/>
    <w:rsid w:val="008E46F0"/>
    <w:rsid w:val="008E6CA4"/>
    <w:rsid w:val="008F0F6C"/>
    <w:rsid w:val="008F32D4"/>
    <w:rsid w:val="008F3553"/>
    <w:rsid w:val="008F480A"/>
    <w:rsid w:val="008F6859"/>
    <w:rsid w:val="00914BFA"/>
    <w:rsid w:val="009162C3"/>
    <w:rsid w:val="00920422"/>
    <w:rsid w:val="009223F8"/>
    <w:rsid w:val="009247D0"/>
    <w:rsid w:val="00930B1A"/>
    <w:rsid w:val="00932DCB"/>
    <w:rsid w:val="00940D68"/>
    <w:rsid w:val="00944CEB"/>
    <w:rsid w:val="00955E7D"/>
    <w:rsid w:val="009600F5"/>
    <w:rsid w:val="00961338"/>
    <w:rsid w:val="009676C7"/>
    <w:rsid w:val="00971F1E"/>
    <w:rsid w:val="009810B6"/>
    <w:rsid w:val="00984486"/>
    <w:rsid w:val="00991DB0"/>
    <w:rsid w:val="00995BEF"/>
    <w:rsid w:val="00997670"/>
    <w:rsid w:val="009A0335"/>
    <w:rsid w:val="009A4801"/>
    <w:rsid w:val="009B1520"/>
    <w:rsid w:val="009B15BE"/>
    <w:rsid w:val="009B2AF3"/>
    <w:rsid w:val="009B7EE4"/>
    <w:rsid w:val="009C5AA3"/>
    <w:rsid w:val="009D42A3"/>
    <w:rsid w:val="009D7523"/>
    <w:rsid w:val="009E3551"/>
    <w:rsid w:val="009F28B1"/>
    <w:rsid w:val="009F6E83"/>
    <w:rsid w:val="009F72CB"/>
    <w:rsid w:val="009F7B57"/>
    <w:rsid w:val="00A06F4F"/>
    <w:rsid w:val="00A1014C"/>
    <w:rsid w:val="00A13D5E"/>
    <w:rsid w:val="00A15237"/>
    <w:rsid w:val="00A16553"/>
    <w:rsid w:val="00A23FE2"/>
    <w:rsid w:val="00A35C58"/>
    <w:rsid w:val="00A37004"/>
    <w:rsid w:val="00A40524"/>
    <w:rsid w:val="00A46143"/>
    <w:rsid w:val="00A537BE"/>
    <w:rsid w:val="00A541C8"/>
    <w:rsid w:val="00A56675"/>
    <w:rsid w:val="00A72D91"/>
    <w:rsid w:val="00A72F4E"/>
    <w:rsid w:val="00A76C96"/>
    <w:rsid w:val="00A81144"/>
    <w:rsid w:val="00A850F7"/>
    <w:rsid w:val="00A95499"/>
    <w:rsid w:val="00AA6A7D"/>
    <w:rsid w:val="00AB06DE"/>
    <w:rsid w:val="00AB383B"/>
    <w:rsid w:val="00AB3D60"/>
    <w:rsid w:val="00AB5AEB"/>
    <w:rsid w:val="00AC53F8"/>
    <w:rsid w:val="00AD3405"/>
    <w:rsid w:val="00AE3BF0"/>
    <w:rsid w:val="00AE5A84"/>
    <w:rsid w:val="00B0653E"/>
    <w:rsid w:val="00B1269D"/>
    <w:rsid w:val="00B14F52"/>
    <w:rsid w:val="00B204EA"/>
    <w:rsid w:val="00B2241A"/>
    <w:rsid w:val="00B24E6B"/>
    <w:rsid w:val="00B34ECE"/>
    <w:rsid w:val="00B44EFF"/>
    <w:rsid w:val="00B50103"/>
    <w:rsid w:val="00B60F80"/>
    <w:rsid w:val="00B6509C"/>
    <w:rsid w:val="00B706FF"/>
    <w:rsid w:val="00B73242"/>
    <w:rsid w:val="00B763E9"/>
    <w:rsid w:val="00B834D5"/>
    <w:rsid w:val="00B853EA"/>
    <w:rsid w:val="00BA17FF"/>
    <w:rsid w:val="00BA20B1"/>
    <w:rsid w:val="00BA3242"/>
    <w:rsid w:val="00BA7E11"/>
    <w:rsid w:val="00BD455E"/>
    <w:rsid w:val="00BE24BB"/>
    <w:rsid w:val="00BE6C4F"/>
    <w:rsid w:val="00BF2E9F"/>
    <w:rsid w:val="00C1333E"/>
    <w:rsid w:val="00C17731"/>
    <w:rsid w:val="00C30A84"/>
    <w:rsid w:val="00C36B8F"/>
    <w:rsid w:val="00C4363C"/>
    <w:rsid w:val="00C55DD9"/>
    <w:rsid w:val="00C62883"/>
    <w:rsid w:val="00C71CA8"/>
    <w:rsid w:val="00C744F4"/>
    <w:rsid w:val="00C81EEE"/>
    <w:rsid w:val="00C8394C"/>
    <w:rsid w:val="00C83B29"/>
    <w:rsid w:val="00C85356"/>
    <w:rsid w:val="00C95DE4"/>
    <w:rsid w:val="00C976F8"/>
    <w:rsid w:val="00C97F71"/>
    <w:rsid w:val="00CA2125"/>
    <w:rsid w:val="00CA4E03"/>
    <w:rsid w:val="00CB3812"/>
    <w:rsid w:val="00CB6019"/>
    <w:rsid w:val="00CB734B"/>
    <w:rsid w:val="00CC77B1"/>
    <w:rsid w:val="00CD119E"/>
    <w:rsid w:val="00CD2C5E"/>
    <w:rsid w:val="00CE12FC"/>
    <w:rsid w:val="00CE328F"/>
    <w:rsid w:val="00CE595E"/>
    <w:rsid w:val="00CE7504"/>
    <w:rsid w:val="00CF46C1"/>
    <w:rsid w:val="00CF4B10"/>
    <w:rsid w:val="00D0259D"/>
    <w:rsid w:val="00D063D8"/>
    <w:rsid w:val="00D1395B"/>
    <w:rsid w:val="00D20394"/>
    <w:rsid w:val="00D20B9F"/>
    <w:rsid w:val="00D23205"/>
    <w:rsid w:val="00D35073"/>
    <w:rsid w:val="00D45E74"/>
    <w:rsid w:val="00D47AB4"/>
    <w:rsid w:val="00D51727"/>
    <w:rsid w:val="00D51B33"/>
    <w:rsid w:val="00D53A22"/>
    <w:rsid w:val="00D600FF"/>
    <w:rsid w:val="00D635C5"/>
    <w:rsid w:val="00D83393"/>
    <w:rsid w:val="00DA1771"/>
    <w:rsid w:val="00DA2981"/>
    <w:rsid w:val="00DA3643"/>
    <w:rsid w:val="00DA7638"/>
    <w:rsid w:val="00DB6AE2"/>
    <w:rsid w:val="00DC0A9A"/>
    <w:rsid w:val="00DC32FE"/>
    <w:rsid w:val="00DC4A78"/>
    <w:rsid w:val="00DD083B"/>
    <w:rsid w:val="00DD11E1"/>
    <w:rsid w:val="00DD6BF9"/>
    <w:rsid w:val="00DE01BA"/>
    <w:rsid w:val="00DE77B3"/>
    <w:rsid w:val="00DF1FFF"/>
    <w:rsid w:val="00DF4117"/>
    <w:rsid w:val="00E07028"/>
    <w:rsid w:val="00E20AE9"/>
    <w:rsid w:val="00E2569B"/>
    <w:rsid w:val="00E31C37"/>
    <w:rsid w:val="00E334F4"/>
    <w:rsid w:val="00E463DE"/>
    <w:rsid w:val="00E46DB4"/>
    <w:rsid w:val="00E512A0"/>
    <w:rsid w:val="00E53641"/>
    <w:rsid w:val="00E60399"/>
    <w:rsid w:val="00E6603E"/>
    <w:rsid w:val="00E95067"/>
    <w:rsid w:val="00EA1A0B"/>
    <w:rsid w:val="00EA2CEF"/>
    <w:rsid w:val="00EA570E"/>
    <w:rsid w:val="00EA5766"/>
    <w:rsid w:val="00EB0E86"/>
    <w:rsid w:val="00EB4B63"/>
    <w:rsid w:val="00EB6911"/>
    <w:rsid w:val="00EB6BBC"/>
    <w:rsid w:val="00EC05FE"/>
    <w:rsid w:val="00EC0867"/>
    <w:rsid w:val="00EC5A90"/>
    <w:rsid w:val="00ED0B91"/>
    <w:rsid w:val="00ED46F7"/>
    <w:rsid w:val="00ED760A"/>
    <w:rsid w:val="00EF450F"/>
    <w:rsid w:val="00EF6F98"/>
    <w:rsid w:val="00F11BCC"/>
    <w:rsid w:val="00F11ED5"/>
    <w:rsid w:val="00F14150"/>
    <w:rsid w:val="00F142D9"/>
    <w:rsid w:val="00F14A60"/>
    <w:rsid w:val="00F22F93"/>
    <w:rsid w:val="00F25C6D"/>
    <w:rsid w:val="00F300A3"/>
    <w:rsid w:val="00F45925"/>
    <w:rsid w:val="00F50FEF"/>
    <w:rsid w:val="00F52C13"/>
    <w:rsid w:val="00F642F3"/>
    <w:rsid w:val="00F774E8"/>
    <w:rsid w:val="00F828C7"/>
    <w:rsid w:val="00F83702"/>
    <w:rsid w:val="00F852AD"/>
    <w:rsid w:val="00F85D92"/>
    <w:rsid w:val="00F87AF8"/>
    <w:rsid w:val="00FA2F57"/>
    <w:rsid w:val="00FA489A"/>
    <w:rsid w:val="00FB148B"/>
    <w:rsid w:val="00FB360D"/>
    <w:rsid w:val="00FB6E86"/>
    <w:rsid w:val="00FC1C01"/>
    <w:rsid w:val="00FC33DA"/>
    <w:rsid w:val="00FD3854"/>
    <w:rsid w:val="00FE2FDD"/>
    <w:rsid w:val="00FE4BF3"/>
    <w:rsid w:val="00FE4F8B"/>
    <w:rsid w:val="00FF7E7C"/>
    <w:rsid w:val="011D4D76"/>
    <w:rsid w:val="015E089A"/>
    <w:rsid w:val="0247397C"/>
    <w:rsid w:val="029943B3"/>
    <w:rsid w:val="02B730EF"/>
    <w:rsid w:val="02C65784"/>
    <w:rsid w:val="039307A9"/>
    <w:rsid w:val="0402283D"/>
    <w:rsid w:val="054A39AE"/>
    <w:rsid w:val="05FD0068"/>
    <w:rsid w:val="06A03F0F"/>
    <w:rsid w:val="06D25879"/>
    <w:rsid w:val="07D12326"/>
    <w:rsid w:val="07E06D3A"/>
    <w:rsid w:val="07FE5422"/>
    <w:rsid w:val="0838694C"/>
    <w:rsid w:val="08660EA9"/>
    <w:rsid w:val="088D3C72"/>
    <w:rsid w:val="08E60F9B"/>
    <w:rsid w:val="0927441F"/>
    <w:rsid w:val="09AB2B3C"/>
    <w:rsid w:val="0A051F93"/>
    <w:rsid w:val="0A7F5CAF"/>
    <w:rsid w:val="0AAC0AEA"/>
    <w:rsid w:val="0AFB6F13"/>
    <w:rsid w:val="0B496351"/>
    <w:rsid w:val="0BCC35FC"/>
    <w:rsid w:val="0BE5495B"/>
    <w:rsid w:val="0BEE74DC"/>
    <w:rsid w:val="0CE3193B"/>
    <w:rsid w:val="0CF605A7"/>
    <w:rsid w:val="0D396095"/>
    <w:rsid w:val="0E29393C"/>
    <w:rsid w:val="0F15624B"/>
    <w:rsid w:val="0F81794F"/>
    <w:rsid w:val="0FA8084D"/>
    <w:rsid w:val="10157281"/>
    <w:rsid w:val="116921D5"/>
    <w:rsid w:val="11B87DB0"/>
    <w:rsid w:val="13D838BD"/>
    <w:rsid w:val="142769A4"/>
    <w:rsid w:val="149D53AA"/>
    <w:rsid w:val="14C44886"/>
    <w:rsid w:val="15080CCE"/>
    <w:rsid w:val="15EF19AE"/>
    <w:rsid w:val="161A4468"/>
    <w:rsid w:val="16D551B4"/>
    <w:rsid w:val="175C5CCF"/>
    <w:rsid w:val="18300E60"/>
    <w:rsid w:val="1832226D"/>
    <w:rsid w:val="18513279"/>
    <w:rsid w:val="18AD27F7"/>
    <w:rsid w:val="18E213BD"/>
    <w:rsid w:val="18E72FD9"/>
    <w:rsid w:val="19126287"/>
    <w:rsid w:val="19220F71"/>
    <w:rsid w:val="19514154"/>
    <w:rsid w:val="19AD1A74"/>
    <w:rsid w:val="19D166E6"/>
    <w:rsid w:val="1A0A5351"/>
    <w:rsid w:val="1A172AED"/>
    <w:rsid w:val="1A6140C7"/>
    <w:rsid w:val="1A713596"/>
    <w:rsid w:val="1B0024A0"/>
    <w:rsid w:val="1B8B692C"/>
    <w:rsid w:val="1BED2F93"/>
    <w:rsid w:val="1BEF12D0"/>
    <w:rsid w:val="1C355D6C"/>
    <w:rsid w:val="1C5C19E8"/>
    <w:rsid w:val="1CC63836"/>
    <w:rsid w:val="1D335BD5"/>
    <w:rsid w:val="1D577A63"/>
    <w:rsid w:val="1EF5655A"/>
    <w:rsid w:val="20F004B1"/>
    <w:rsid w:val="21472871"/>
    <w:rsid w:val="21B16760"/>
    <w:rsid w:val="22693159"/>
    <w:rsid w:val="23467EBF"/>
    <w:rsid w:val="23B46BFE"/>
    <w:rsid w:val="23DB0D59"/>
    <w:rsid w:val="24011190"/>
    <w:rsid w:val="248F7706"/>
    <w:rsid w:val="251A163C"/>
    <w:rsid w:val="252A5217"/>
    <w:rsid w:val="25636A6F"/>
    <w:rsid w:val="26931C0C"/>
    <w:rsid w:val="26BC356F"/>
    <w:rsid w:val="27944BEF"/>
    <w:rsid w:val="27FA387D"/>
    <w:rsid w:val="283B351B"/>
    <w:rsid w:val="288D6614"/>
    <w:rsid w:val="289346BC"/>
    <w:rsid w:val="28EB2932"/>
    <w:rsid w:val="28FF5E4F"/>
    <w:rsid w:val="29981948"/>
    <w:rsid w:val="2A964392"/>
    <w:rsid w:val="2AD81B11"/>
    <w:rsid w:val="2BDF25D1"/>
    <w:rsid w:val="2C480DDE"/>
    <w:rsid w:val="2CCE45C1"/>
    <w:rsid w:val="2CD074E9"/>
    <w:rsid w:val="2CE92EBA"/>
    <w:rsid w:val="2F752007"/>
    <w:rsid w:val="30523617"/>
    <w:rsid w:val="30DC3B6E"/>
    <w:rsid w:val="31725842"/>
    <w:rsid w:val="3173190E"/>
    <w:rsid w:val="31FD1E43"/>
    <w:rsid w:val="323479FE"/>
    <w:rsid w:val="326358F5"/>
    <w:rsid w:val="326D0C4D"/>
    <w:rsid w:val="32D10ED5"/>
    <w:rsid w:val="32E47A2F"/>
    <w:rsid w:val="34170E79"/>
    <w:rsid w:val="34D47272"/>
    <w:rsid w:val="34F00946"/>
    <w:rsid w:val="35535968"/>
    <w:rsid w:val="35B91D2F"/>
    <w:rsid w:val="35F85C88"/>
    <w:rsid w:val="3674752A"/>
    <w:rsid w:val="37EE38BF"/>
    <w:rsid w:val="389572B3"/>
    <w:rsid w:val="38FB37E8"/>
    <w:rsid w:val="39B703CE"/>
    <w:rsid w:val="3ACB101E"/>
    <w:rsid w:val="3ACF25AF"/>
    <w:rsid w:val="3B833E6C"/>
    <w:rsid w:val="3BF236B2"/>
    <w:rsid w:val="3C3C51E5"/>
    <w:rsid w:val="3CEC2367"/>
    <w:rsid w:val="3E991E3D"/>
    <w:rsid w:val="3EA23CF6"/>
    <w:rsid w:val="3F0326B3"/>
    <w:rsid w:val="3F2428D5"/>
    <w:rsid w:val="3FAA3AB0"/>
    <w:rsid w:val="3FFF1BCC"/>
    <w:rsid w:val="402C0CC1"/>
    <w:rsid w:val="403A24D3"/>
    <w:rsid w:val="40B87151"/>
    <w:rsid w:val="40FD524D"/>
    <w:rsid w:val="41232E41"/>
    <w:rsid w:val="417F2E14"/>
    <w:rsid w:val="418F4DB6"/>
    <w:rsid w:val="41986E28"/>
    <w:rsid w:val="42AA5678"/>
    <w:rsid w:val="42DC3C20"/>
    <w:rsid w:val="43D92DF6"/>
    <w:rsid w:val="44695B78"/>
    <w:rsid w:val="450832E5"/>
    <w:rsid w:val="45D42391"/>
    <w:rsid w:val="46360A73"/>
    <w:rsid w:val="46715CDF"/>
    <w:rsid w:val="46777163"/>
    <w:rsid w:val="46C62F55"/>
    <w:rsid w:val="47084399"/>
    <w:rsid w:val="474836B6"/>
    <w:rsid w:val="475D4DCE"/>
    <w:rsid w:val="479109C3"/>
    <w:rsid w:val="482A1551"/>
    <w:rsid w:val="483A6447"/>
    <w:rsid w:val="490D12B6"/>
    <w:rsid w:val="4A761E85"/>
    <w:rsid w:val="4BDD26DC"/>
    <w:rsid w:val="4C683A5C"/>
    <w:rsid w:val="4C762948"/>
    <w:rsid w:val="4D0A6C5E"/>
    <w:rsid w:val="4DD26C86"/>
    <w:rsid w:val="4DD4481A"/>
    <w:rsid w:val="4DDA68E0"/>
    <w:rsid w:val="4E3D33D4"/>
    <w:rsid w:val="4E54216E"/>
    <w:rsid w:val="50923CDC"/>
    <w:rsid w:val="51E10F3F"/>
    <w:rsid w:val="5238261D"/>
    <w:rsid w:val="538C7F26"/>
    <w:rsid w:val="55141A63"/>
    <w:rsid w:val="55222650"/>
    <w:rsid w:val="55C537BC"/>
    <w:rsid w:val="561A091D"/>
    <w:rsid w:val="56D91960"/>
    <w:rsid w:val="56DE6742"/>
    <w:rsid w:val="56EE0385"/>
    <w:rsid w:val="58441098"/>
    <w:rsid w:val="58DA25C1"/>
    <w:rsid w:val="58FD13E1"/>
    <w:rsid w:val="59901067"/>
    <w:rsid w:val="5A15343D"/>
    <w:rsid w:val="5A5218D9"/>
    <w:rsid w:val="5A7A1105"/>
    <w:rsid w:val="5AA46049"/>
    <w:rsid w:val="5AA52473"/>
    <w:rsid w:val="5AB22A57"/>
    <w:rsid w:val="5AB84D76"/>
    <w:rsid w:val="5AD37643"/>
    <w:rsid w:val="5BA2330D"/>
    <w:rsid w:val="5BB644E2"/>
    <w:rsid w:val="5C161618"/>
    <w:rsid w:val="5C312E5A"/>
    <w:rsid w:val="5D8E3A94"/>
    <w:rsid w:val="5EDC14A6"/>
    <w:rsid w:val="5F236A6B"/>
    <w:rsid w:val="600375CE"/>
    <w:rsid w:val="61340DD3"/>
    <w:rsid w:val="61C367E0"/>
    <w:rsid w:val="62002119"/>
    <w:rsid w:val="62093CEC"/>
    <w:rsid w:val="626E5388"/>
    <w:rsid w:val="63B234D7"/>
    <w:rsid w:val="63FD7C0D"/>
    <w:rsid w:val="64064285"/>
    <w:rsid w:val="64385A9F"/>
    <w:rsid w:val="65606FE1"/>
    <w:rsid w:val="65E07C81"/>
    <w:rsid w:val="668F5558"/>
    <w:rsid w:val="6724326F"/>
    <w:rsid w:val="67706A08"/>
    <w:rsid w:val="67F13ED3"/>
    <w:rsid w:val="682820F0"/>
    <w:rsid w:val="69540AED"/>
    <w:rsid w:val="697C4CD8"/>
    <w:rsid w:val="69C97ADD"/>
    <w:rsid w:val="69F65916"/>
    <w:rsid w:val="69FF541E"/>
    <w:rsid w:val="6A097639"/>
    <w:rsid w:val="6A5B5D16"/>
    <w:rsid w:val="6A7C3AD5"/>
    <w:rsid w:val="6A81216E"/>
    <w:rsid w:val="6B5E15DB"/>
    <w:rsid w:val="6C343005"/>
    <w:rsid w:val="6CA1076E"/>
    <w:rsid w:val="6D2E1458"/>
    <w:rsid w:val="6E704E86"/>
    <w:rsid w:val="6EC7781B"/>
    <w:rsid w:val="6F526FA1"/>
    <w:rsid w:val="705214E1"/>
    <w:rsid w:val="70990506"/>
    <w:rsid w:val="7113498D"/>
    <w:rsid w:val="71497848"/>
    <w:rsid w:val="71AD2EE2"/>
    <w:rsid w:val="723317E5"/>
    <w:rsid w:val="72462175"/>
    <w:rsid w:val="72AE5B04"/>
    <w:rsid w:val="72BC3BE2"/>
    <w:rsid w:val="731515C6"/>
    <w:rsid w:val="740E5DBC"/>
    <w:rsid w:val="7482675C"/>
    <w:rsid w:val="7639772F"/>
    <w:rsid w:val="76C87BF7"/>
    <w:rsid w:val="77746A5D"/>
    <w:rsid w:val="777F12D8"/>
    <w:rsid w:val="78A66A88"/>
    <w:rsid w:val="79012788"/>
    <w:rsid w:val="79684F99"/>
    <w:rsid w:val="797231A6"/>
    <w:rsid w:val="7A1B370D"/>
    <w:rsid w:val="7A574AC2"/>
    <w:rsid w:val="7AB67217"/>
    <w:rsid w:val="7B485AA0"/>
    <w:rsid w:val="7C5A3D61"/>
    <w:rsid w:val="7CDA53D0"/>
    <w:rsid w:val="7D301B2C"/>
    <w:rsid w:val="7D413935"/>
    <w:rsid w:val="7E2D324C"/>
    <w:rsid w:val="7E4663DE"/>
    <w:rsid w:val="7EFC0B65"/>
    <w:rsid w:val="7F4376B2"/>
    <w:rsid w:val="7F6C609A"/>
    <w:rsid w:val="7FD5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240" w:lineRule="atLeast"/>
      <w:jc w:val="center"/>
      <w:outlineLvl w:val="0"/>
    </w:pPr>
  </w:style>
  <w:style w:type="paragraph" w:styleId="5">
    <w:name w:val="heading 2"/>
    <w:basedOn w:val="1"/>
    <w:next w:val="6"/>
    <w:link w:val="75"/>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paragraph" w:styleId="8">
    <w:name w:val="heading 4"/>
    <w:basedOn w:val="1"/>
    <w:next w:val="1"/>
    <w:link w:val="74"/>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pPr>
      <w:spacing w:after="120"/>
    </w:pPr>
  </w:style>
  <w:style w:type="paragraph" w:styleId="3">
    <w:name w:val="Date"/>
    <w:basedOn w:val="1"/>
    <w:next w:val="1"/>
    <w:qFormat/>
    <w:uiPriority w:val="0"/>
    <w:pPr>
      <w:ind w:left="100" w:leftChars="2500"/>
    </w:pPr>
  </w:style>
  <w:style w:type="paragraph" w:styleId="6">
    <w:name w:val="Normal Indent"/>
    <w:basedOn w:val="1"/>
    <w:link w:val="92"/>
    <w:qFormat/>
    <w:uiPriority w:val="0"/>
    <w:pPr>
      <w:ind w:firstLine="200" w:firstLineChars="200"/>
    </w:pPr>
  </w:style>
  <w:style w:type="paragraph" w:styleId="9">
    <w:name w:val="toc 7"/>
    <w:basedOn w:val="1"/>
    <w:next w:val="1"/>
    <w:qFormat/>
    <w:uiPriority w:val="0"/>
    <w:pPr>
      <w:ind w:left="2520" w:leftChars="1200"/>
    </w:pPr>
    <w:rPr>
      <w:rFonts w:ascii="等线" w:hAnsi="等线" w:eastAsia="等线"/>
      <w:szCs w:val="22"/>
    </w:rPr>
  </w:style>
  <w:style w:type="paragraph" w:styleId="10">
    <w:name w:val="List Number"/>
    <w:basedOn w:val="1"/>
    <w:semiHidden/>
    <w:unhideWhenUsed/>
    <w:qFormat/>
    <w:uiPriority w:val="99"/>
    <w:pPr>
      <w:numPr>
        <w:ilvl w:val="0"/>
        <w:numId w:val="1"/>
      </w:numPr>
    </w:pPr>
  </w:style>
  <w:style w:type="paragraph" w:styleId="11">
    <w:name w:val="Document Map"/>
    <w:basedOn w:val="1"/>
    <w:qFormat/>
    <w:uiPriority w:val="0"/>
    <w:pPr>
      <w:shd w:val="clear" w:color="auto" w:fill="000080"/>
    </w:pPr>
  </w:style>
  <w:style w:type="paragraph" w:styleId="12">
    <w:name w:val="annotation text"/>
    <w:basedOn w:val="1"/>
    <w:link w:val="64"/>
    <w:qFormat/>
    <w:uiPriority w:val="0"/>
    <w:pPr>
      <w:jc w:val="left"/>
    </w:pPr>
  </w:style>
  <w:style w:type="paragraph" w:styleId="13">
    <w:name w:val="Salutation"/>
    <w:basedOn w:val="1"/>
    <w:next w:val="1"/>
    <w:link w:val="69"/>
    <w:qFormat/>
    <w:uiPriority w:val="0"/>
    <w:rPr>
      <w:bCs/>
      <w:sz w:val="28"/>
      <w:szCs w:val="20"/>
    </w:rPr>
  </w:style>
  <w:style w:type="paragraph" w:styleId="14">
    <w:name w:val="Body Text Indent"/>
    <w:basedOn w:val="1"/>
    <w:link w:val="60"/>
    <w:qFormat/>
    <w:uiPriority w:val="0"/>
    <w:pPr>
      <w:ind w:firstLine="630"/>
    </w:pPr>
    <w:rPr>
      <w:sz w:val="32"/>
      <w:szCs w:val="20"/>
    </w:rPr>
  </w:style>
  <w:style w:type="paragraph" w:styleId="15">
    <w:name w:val="toc 5"/>
    <w:basedOn w:val="1"/>
    <w:next w:val="1"/>
    <w:qFormat/>
    <w:uiPriority w:val="0"/>
    <w:pPr>
      <w:ind w:left="1680" w:leftChars="800"/>
    </w:pPr>
    <w:rPr>
      <w:rFonts w:ascii="等线" w:hAnsi="等线" w:eastAsia="等线"/>
      <w:szCs w:val="22"/>
    </w:rPr>
  </w:style>
  <w:style w:type="paragraph" w:styleId="16">
    <w:name w:val="toc 3"/>
    <w:basedOn w:val="1"/>
    <w:next w:val="1"/>
    <w:qFormat/>
    <w:uiPriority w:val="0"/>
    <w:pPr>
      <w:widowControl/>
      <w:spacing w:after="100" w:line="259" w:lineRule="auto"/>
      <w:ind w:left="440"/>
      <w:jc w:val="left"/>
    </w:pPr>
    <w:rPr>
      <w:rFonts w:ascii="等线" w:hAnsi="等线" w:eastAsia="等线"/>
      <w:kern w:val="0"/>
      <w:sz w:val="22"/>
      <w:szCs w:val="22"/>
    </w:rPr>
  </w:style>
  <w:style w:type="paragraph" w:styleId="17">
    <w:name w:val="Plain Text"/>
    <w:basedOn w:val="1"/>
    <w:link w:val="101"/>
    <w:qFormat/>
    <w:uiPriority w:val="99"/>
    <w:pPr>
      <w:spacing w:beforeLines="50" w:afterLines="50" w:line="400" w:lineRule="exact"/>
    </w:pPr>
    <w:rPr>
      <w:rFonts w:ascii="宋体" w:hAnsi="Courier New"/>
      <w:kern w:val="0"/>
      <w:sz w:val="20"/>
      <w:szCs w:val="21"/>
    </w:rPr>
  </w:style>
  <w:style w:type="paragraph" w:styleId="18">
    <w:name w:val="toc 8"/>
    <w:basedOn w:val="1"/>
    <w:next w:val="1"/>
    <w:qFormat/>
    <w:uiPriority w:val="0"/>
    <w:pPr>
      <w:ind w:left="2940" w:leftChars="1400"/>
    </w:pPr>
    <w:rPr>
      <w:rFonts w:ascii="等线" w:hAnsi="等线" w:eastAsia="等线"/>
      <w:szCs w:val="22"/>
    </w:rPr>
  </w:style>
  <w:style w:type="paragraph" w:styleId="19">
    <w:name w:val="Body Text Indent 2"/>
    <w:basedOn w:val="1"/>
    <w:qFormat/>
    <w:uiPriority w:val="0"/>
    <w:pPr>
      <w:spacing w:after="120" w:line="480" w:lineRule="auto"/>
      <w:ind w:left="200" w:leftChars="200"/>
    </w:pPr>
  </w:style>
  <w:style w:type="paragraph" w:styleId="20">
    <w:name w:val="Balloon Text"/>
    <w:basedOn w:val="1"/>
    <w:link w:val="58"/>
    <w:qFormat/>
    <w:uiPriority w:val="0"/>
    <w:rPr>
      <w:sz w:val="18"/>
      <w:szCs w:val="18"/>
    </w:rPr>
  </w:style>
  <w:style w:type="paragraph" w:styleId="21">
    <w:name w:val="footer"/>
    <w:basedOn w:val="1"/>
    <w:link w:val="73"/>
    <w:qFormat/>
    <w:uiPriority w:val="0"/>
    <w:pPr>
      <w:tabs>
        <w:tab w:val="center" w:pos="4153"/>
        <w:tab w:val="right" w:pos="8306"/>
      </w:tabs>
      <w:snapToGrid w:val="0"/>
      <w:jc w:val="left"/>
    </w:pPr>
    <w:rPr>
      <w:rFonts w:eastAsia="Calibri"/>
      <w:kern w:val="0"/>
      <w:szCs w:val="20"/>
    </w:rPr>
  </w:style>
  <w:style w:type="paragraph" w:styleId="22">
    <w:name w:val="header"/>
    <w:basedOn w:val="1"/>
    <w:link w:val="61"/>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widowControl/>
      <w:spacing w:after="100" w:line="259" w:lineRule="auto"/>
      <w:jc w:val="left"/>
    </w:pPr>
    <w:rPr>
      <w:rFonts w:ascii="等线" w:hAnsi="等线" w:eastAsia="等线"/>
      <w:kern w:val="0"/>
      <w:sz w:val="22"/>
      <w:szCs w:val="22"/>
    </w:rPr>
  </w:style>
  <w:style w:type="paragraph" w:styleId="24">
    <w:name w:val="toc 4"/>
    <w:basedOn w:val="1"/>
    <w:next w:val="1"/>
    <w:qFormat/>
    <w:uiPriority w:val="0"/>
    <w:pPr>
      <w:ind w:left="1260" w:leftChars="600"/>
    </w:pPr>
    <w:rPr>
      <w:rFonts w:ascii="等线" w:hAnsi="等线" w:eastAsia="等线"/>
      <w:szCs w:val="22"/>
    </w:rPr>
  </w:style>
  <w:style w:type="paragraph" w:styleId="25">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6">
    <w:name w:val="toc 6"/>
    <w:basedOn w:val="1"/>
    <w:next w:val="1"/>
    <w:qFormat/>
    <w:uiPriority w:val="0"/>
    <w:pPr>
      <w:ind w:left="2100" w:leftChars="1000"/>
    </w:pPr>
    <w:rPr>
      <w:rFonts w:ascii="等线" w:hAnsi="等线" w:eastAsia="等线"/>
      <w:szCs w:val="22"/>
    </w:rPr>
  </w:style>
  <w:style w:type="paragraph" w:styleId="27">
    <w:name w:val="Body Text Indent 3"/>
    <w:basedOn w:val="1"/>
    <w:link w:val="72"/>
    <w:qFormat/>
    <w:uiPriority w:val="0"/>
    <w:pPr>
      <w:spacing w:after="120"/>
      <w:ind w:left="200" w:leftChars="200"/>
    </w:pPr>
    <w:rPr>
      <w:kern w:val="0"/>
      <w:sz w:val="16"/>
      <w:szCs w:val="16"/>
    </w:rPr>
  </w:style>
  <w:style w:type="paragraph" w:styleId="28">
    <w:name w:val="toc 2"/>
    <w:basedOn w:val="1"/>
    <w:next w:val="1"/>
    <w:qFormat/>
    <w:uiPriority w:val="0"/>
    <w:pPr>
      <w:widowControl/>
      <w:spacing w:after="100" w:line="259" w:lineRule="auto"/>
      <w:ind w:left="220"/>
      <w:jc w:val="left"/>
    </w:pPr>
    <w:rPr>
      <w:rFonts w:ascii="等线" w:hAnsi="等线" w:eastAsia="等线"/>
      <w:kern w:val="0"/>
      <w:sz w:val="22"/>
      <w:szCs w:val="22"/>
    </w:rPr>
  </w:style>
  <w:style w:type="paragraph" w:styleId="29">
    <w:name w:val="toc 9"/>
    <w:basedOn w:val="1"/>
    <w:next w:val="1"/>
    <w:qFormat/>
    <w:uiPriority w:val="0"/>
    <w:pPr>
      <w:ind w:left="3360" w:leftChars="1600"/>
    </w:pPr>
    <w:rPr>
      <w:rFonts w:ascii="等线" w:hAnsi="等线" w:eastAsia="等线"/>
      <w:szCs w:val="22"/>
    </w:rPr>
  </w:style>
  <w:style w:type="paragraph" w:styleId="30">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1">
    <w:name w:val="Normal (Web)"/>
    <w:basedOn w:val="1"/>
    <w:qFormat/>
    <w:uiPriority w:val="99"/>
    <w:pPr>
      <w:widowControl/>
      <w:spacing w:before="100" w:beforeAutospacing="1" w:after="100" w:afterAutospacing="1"/>
      <w:jc w:val="left"/>
    </w:pPr>
    <w:rPr>
      <w:rFonts w:ascii="宋体"/>
      <w:kern w:val="0"/>
      <w:sz w:val="18"/>
      <w:szCs w:val="18"/>
    </w:rPr>
  </w:style>
  <w:style w:type="paragraph" w:styleId="32">
    <w:name w:val="Title"/>
    <w:basedOn w:val="1"/>
    <w:next w:val="1"/>
    <w:link w:val="76"/>
    <w:qFormat/>
    <w:uiPriority w:val="0"/>
    <w:pPr>
      <w:spacing w:before="240" w:after="60"/>
      <w:jc w:val="center"/>
      <w:outlineLvl w:val="0"/>
    </w:pPr>
    <w:rPr>
      <w:rFonts w:ascii="等线 Light" w:hAnsi="等线 Light"/>
      <w:b/>
      <w:bCs/>
      <w:sz w:val="32"/>
      <w:szCs w:val="32"/>
    </w:rPr>
  </w:style>
  <w:style w:type="paragraph" w:styleId="33">
    <w:name w:val="annotation subject"/>
    <w:basedOn w:val="12"/>
    <w:next w:val="12"/>
    <w:link w:val="71"/>
    <w:qFormat/>
    <w:uiPriority w:val="0"/>
    <w:rPr>
      <w:b/>
      <w:bCs/>
    </w:rPr>
  </w:style>
  <w:style w:type="paragraph" w:styleId="34">
    <w:name w:val="Body Text First Indent"/>
    <w:basedOn w:val="2"/>
    <w:qFormat/>
    <w:uiPriority w:val="0"/>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qFormat/>
    <w:uiPriority w:val="0"/>
    <w:rPr>
      <w:color w:val="800080"/>
      <w:u w:val="none"/>
    </w:rPr>
  </w:style>
  <w:style w:type="character" w:styleId="41">
    <w:name w:val="Emphasis"/>
    <w:qFormat/>
    <w:uiPriority w:val="0"/>
  </w:style>
  <w:style w:type="character" w:styleId="42">
    <w:name w:val="HTML Definition"/>
    <w:qFormat/>
    <w:uiPriority w:val="0"/>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qFormat/>
    <w:uiPriority w:val="0"/>
  </w:style>
  <w:style w:type="character" w:styleId="46">
    <w:name w:val="Hyperlink"/>
    <w:basedOn w:val="37"/>
    <w:qFormat/>
    <w:uiPriority w:val="99"/>
    <w:rPr>
      <w:color w:val="0563C1"/>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basedOn w:val="37"/>
    <w:semiHidden/>
    <w:unhideWhenUsed/>
    <w:qFormat/>
    <w:uiPriority w:val="99"/>
    <w:rPr>
      <w:rFonts w:hint="default" w:ascii="monospace" w:hAnsi="monospace" w:eastAsia="monospace" w:cs="monospace"/>
      <w:sz w:val="20"/>
    </w:rPr>
  </w:style>
  <w:style w:type="character" w:styleId="51">
    <w:name w:val="HTML Sample"/>
    <w:basedOn w:val="37"/>
    <w:semiHidden/>
    <w:unhideWhenUsed/>
    <w:qFormat/>
    <w:uiPriority w:val="99"/>
    <w:rPr>
      <w:rFonts w:ascii="monospace" w:hAnsi="monospace" w:eastAsia="monospace" w:cs="monospace"/>
    </w:rPr>
  </w:style>
  <w:style w:type="paragraph" w:customStyle="1" w:styleId="52">
    <w:name w:val="标题 5（有编号）（绿盟科技）"/>
    <w:basedOn w:val="1"/>
    <w:next w:val="5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
    <w:name w:val="访问过的超链接1"/>
    <w:qFormat/>
    <w:uiPriority w:val="0"/>
    <w:rPr>
      <w:color w:val="333333"/>
      <w:u w:val="none"/>
    </w:rPr>
  </w:style>
  <w:style w:type="character" w:customStyle="1" w:styleId="56">
    <w:name w:val="HTML 预设格式 字符1"/>
    <w:qFormat/>
    <w:uiPriority w:val="0"/>
    <w:rPr>
      <w:rFonts w:ascii="Courier New" w:hAnsi="Courier New" w:cs="Courier New"/>
      <w:kern w:val="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框文本 Char"/>
    <w:link w:val="20"/>
    <w:qFormat/>
    <w:uiPriority w:val="0"/>
    <w:rPr>
      <w:kern w:val="2"/>
      <w:sz w:val="18"/>
      <w:szCs w:val="18"/>
    </w:rPr>
  </w:style>
  <w:style w:type="character" w:customStyle="1" w:styleId="59">
    <w:name w:val="正文文本 Char1"/>
    <w:link w:val="2"/>
    <w:qFormat/>
    <w:uiPriority w:val="0"/>
    <w:rPr>
      <w:kern w:val="2"/>
      <w:sz w:val="21"/>
      <w:szCs w:val="24"/>
    </w:rPr>
  </w:style>
  <w:style w:type="character" w:customStyle="1" w:styleId="60">
    <w:name w:val="正文文本缩进 Char"/>
    <w:link w:val="14"/>
    <w:qFormat/>
    <w:uiPriority w:val="0"/>
    <w:rPr>
      <w:kern w:val="2"/>
      <w:sz w:val="32"/>
    </w:rPr>
  </w:style>
  <w:style w:type="character" w:customStyle="1" w:styleId="61">
    <w:name w:val="页眉 Char"/>
    <w:link w:val="22"/>
    <w:qFormat/>
    <w:uiPriority w:val="0"/>
    <w:rPr>
      <w:kern w:val="2"/>
      <w:sz w:val="18"/>
    </w:rPr>
  </w:style>
  <w:style w:type="character" w:customStyle="1" w:styleId="62">
    <w:name w:val="正文文本 Char"/>
    <w:qFormat/>
    <w:uiPriority w:val="0"/>
    <w:rPr>
      <w:kern w:val="2"/>
      <w:sz w:val="21"/>
      <w:szCs w:val="24"/>
    </w:rPr>
  </w:style>
  <w:style w:type="character" w:customStyle="1" w:styleId="63">
    <w:name w:val="font111"/>
    <w:qFormat/>
    <w:uiPriority w:val="0"/>
    <w:rPr>
      <w:rFonts w:hint="default" w:ascii="Eʩ" w:hAnsi="Eʩ" w:eastAsia="Eʩ" w:cs="Eʩ"/>
      <w:color w:val="000000"/>
      <w:sz w:val="21"/>
      <w:szCs w:val="21"/>
      <w:u w:val="single"/>
    </w:rPr>
  </w:style>
  <w:style w:type="character" w:customStyle="1" w:styleId="64">
    <w:name w:val="批注文字 Char"/>
    <w:link w:val="12"/>
    <w:qFormat/>
    <w:uiPriority w:val="99"/>
    <w:rPr>
      <w:kern w:val="2"/>
      <w:sz w:val="21"/>
      <w:szCs w:val="24"/>
    </w:rPr>
  </w:style>
  <w:style w:type="character" w:customStyle="1" w:styleId="65">
    <w:name w:val="无间隔 Char"/>
    <w:link w:val="66"/>
    <w:qFormat/>
    <w:uiPriority w:val="1"/>
    <w:rPr>
      <w:rFonts w:ascii="等线" w:hAnsi="等线" w:eastAsia="等线"/>
      <w:sz w:val="22"/>
      <w:szCs w:val="22"/>
      <w:lang w:val="en-US" w:eastAsia="zh-CN" w:bidi="ar-SA"/>
    </w:rPr>
  </w:style>
  <w:style w:type="paragraph" w:styleId="66">
    <w:name w:val="No Spacing"/>
    <w:link w:val="65"/>
    <w:qFormat/>
    <w:uiPriority w:val="1"/>
    <w:rPr>
      <w:rFonts w:ascii="等线" w:hAnsi="等线" w:eastAsia="等线" w:cs="Times New Roman"/>
      <w:sz w:val="22"/>
      <w:szCs w:val="22"/>
      <w:lang w:val="en-US" w:eastAsia="zh-CN" w:bidi="ar-SA"/>
    </w:rPr>
  </w:style>
  <w:style w:type="character" w:customStyle="1" w:styleId="67">
    <w:name w:val="label"/>
    <w:qFormat/>
    <w:uiPriority w:val="0"/>
    <w:rPr>
      <w:color w:val="555555"/>
    </w:rPr>
  </w:style>
  <w:style w:type="character" w:customStyle="1" w:styleId="68">
    <w:name w:val="（符号）邀请函中一、"/>
    <w:qFormat/>
    <w:uiPriority w:val="0"/>
    <w:rPr>
      <w:rFonts w:ascii="黑体" w:eastAsia="黑体"/>
      <w:b/>
      <w:bCs/>
      <w:sz w:val="24"/>
    </w:rPr>
  </w:style>
  <w:style w:type="character" w:customStyle="1" w:styleId="69">
    <w:name w:val="称呼 Char"/>
    <w:link w:val="13"/>
    <w:qFormat/>
    <w:uiPriority w:val="0"/>
    <w:rPr>
      <w:bCs/>
      <w:kern w:val="2"/>
      <w:sz w:val="28"/>
    </w:rPr>
  </w:style>
  <w:style w:type="character" w:customStyle="1" w:styleId="70">
    <w:name w:val="未处理的提及"/>
    <w:qFormat/>
    <w:uiPriority w:val="0"/>
    <w:rPr>
      <w:color w:val="808080"/>
      <w:shd w:val="clear" w:color="auto" w:fill="E6E6E6"/>
    </w:rPr>
  </w:style>
  <w:style w:type="character" w:customStyle="1" w:styleId="71">
    <w:name w:val="批注主题 Char"/>
    <w:link w:val="33"/>
    <w:qFormat/>
    <w:uiPriority w:val="0"/>
    <w:rPr>
      <w:b/>
      <w:bCs/>
      <w:kern w:val="2"/>
      <w:sz w:val="21"/>
      <w:szCs w:val="24"/>
    </w:rPr>
  </w:style>
  <w:style w:type="character" w:customStyle="1" w:styleId="72">
    <w:name w:val="正文文本缩进 3 Char"/>
    <w:link w:val="27"/>
    <w:qFormat/>
    <w:uiPriority w:val="0"/>
    <w:rPr>
      <w:sz w:val="16"/>
      <w:szCs w:val="16"/>
    </w:rPr>
  </w:style>
  <w:style w:type="character" w:customStyle="1" w:styleId="73">
    <w:name w:val="页脚 Char"/>
    <w:link w:val="21"/>
    <w:qFormat/>
    <w:uiPriority w:val="0"/>
    <w:rPr>
      <w:rFonts w:eastAsia="Calibri"/>
      <w:sz w:val="21"/>
    </w:rPr>
  </w:style>
  <w:style w:type="character" w:customStyle="1" w:styleId="74">
    <w:name w:val="标题 4 Char"/>
    <w:link w:val="8"/>
    <w:qFormat/>
    <w:uiPriority w:val="0"/>
    <w:rPr>
      <w:rFonts w:ascii="Arial" w:hAnsi="Arial" w:eastAsia="黑体"/>
      <w:b/>
      <w:kern w:val="2"/>
      <w:sz w:val="24"/>
      <w:szCs w:val="24"/>
    </w:rPr>
  </w:style>
  <w:style w:type="character" w:customStyle="1" w:styleId="75">
    <w:name w:val="标题 2 Char"/>
    <w:link w:val="5"/>
    <w:qFormat/>
    <w:uiPriority w:val="0"/>
    <w:rPr>
      <w:rFonts w:ascii="Arial" w:hAnsi="Arial" w:eastAsia="黑体"/>
      <w:b/>
      <w:bCs/>
      <w:kern w:val="2"/>
      <w:sz w:val="32"/>
      <w:szCs w:val="32"/>
    </w:rPr>
  </w:style>
  <w:style w:type="character" w:customStyle="1" w:styleId="76">
    <w:name w:val="标题 Char"/>
    <w:link w:val="32"/>
    <w:qFormat/>
    <w:uiPriority w:val="0"/>
    <w:rPr>
      <w:rFonts w:ascii="等线 Light" w:hAnsi="等线 Light" w:cs="Times New Roman"/>
      <w:b/>
      <w:bCs/>
      <w:kern w:val="2"/>
      <w:sz w:val="32"/>
      <w:szCs w:val="32"/>
    </w:rPr>
  </w:style>
  <w:style w:type="character" w:customStyle="1" w:styleId="77">
    <w:name w:val="HTML 预设格式 Char"/>
    <w:link w:val="30"/>
    <w:qFormat/>
    <w:uiPriority w:val="0"/>
    <w:rPr>
      <w:rFonts w:ascii="Arial" w:hAnsi="Arial"/>
    </w:rPr>
  </w:style>
  <w:style w:type="character" w:customStyle="1" w:styleId="78">
    <w:name w:val="modifier"/>
    <w:qFormat/>
    <w:uiPriority w:val="0"/>
    <w:rPr>
      <w:color w:val="FF0000"/>
    </w:rPr>
  </w:style>
  <w:style w:type="paragraph" w:customStyle="1" w:styleId="79">
    <w:name w:val="Table Paragraph"/>
    <w:basedOn w:val="1"/>
    <w:qFormat/>
    <w:uiPriority w:val="0"/>
    <w:pPr>
      <w:jc w:val="left"/>
    </w:pPr>
    <w:rPr>
      <w:rFonts w:ascii="Calibri" w:hAnsi="Calibri"/>
      <w:kern w:val="0"/>
      <w:sz w:val="22"/>
      <w:szCs w:val="22"/>
      <w:lang w:eastAsia="en-US"/>
    </w:rPr>
  </w:style>
  <w:style w:type="paragraph" w:customStyle="1" w:styleId="80">
    <w:name w:val="（符号）三标题1.1"/>
    <w:basedOn w:val="1"/>
    <w:qFormat/>
    <w:uiPriority w:val="0"/>
    <w:pPr>
      <w:numPr>
        <w:ilvl w:val="1"/>
        <w:numId w:val="3"/>
      </w:numPr>
      <w:spacing w:line="500" w:lineRule="exact"/>
    </w:pPr>
    <w:rPr>
      <w:rFonts w:ascii="宋体" w:hAnsi="宋体"/>
      <w:sz w:val="24"/>
    </w:r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 Char Char Char Char Char Char Char1 Char Char Char Char"/>
    <w:basedOn w:val="1"/>
    <w:qFormat/>
    <w:uiPriority w:val="0"/>
    <w:rPr>
      <w:szCs w:val="21"/>
    </w:rPr>
  </w:style>
  <w:style w:type="paragraph" w:styleId="84">
    <w:name w:val="List Paragraph"/>
    <w:basedOn w:val="1"/>
    <w:qFormat/>
    <w:uiPriority w:val="0"/>
    <w:pPr>
      <w:ind w:firstLine="420" w:firstLineChars="200"/>
    </w:pPr>
  </w:style>
  <w:style w:type="paragraph" w:customStyle="1" w:styleId="85">
    <w:name w:val="表格"/>
    <w:basedOn w:val="1"/>
    <w:qFormat/>
    <w:uiPriority w:val="0"/>
    <w:pPr>
      <w:spacing w:line="400" w:lineRule="exact"/>
    </w:pPr>
    <w:rPr>
      <w:sz w:val="24"/>
    </w:rPr>
  </w:style>
  <w:style w:type="paragraph" w:customStyle="1" w:styleId="86">
    <w:name w:val="GW-正文"/>
    <w:basedOn w:val="1"/>
    <w:qFormat/>
    <w:uiPriority w:val="0"/>
    <w:pPr>
      <w:spacing w:line="360" w:lineRule="auto"/>
      <w:ind w:firstLine="200" w:firstLineChars="200"/>
    </w:pPr>
    <w:rPr>
      <w:rFonts w:eastAsia="仿宋_GB2312"/>
      <w:sz w:val="24"/>
    </w:r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89">
    <w:name w:val="_Style 10"/>
    <w:basedOn w:val="11"/>
    <w:qFormat/>
    <w:uiPriority w:val="0"/>
    <w:pPr>
      <w:adjustRightInd w:val="0"/>
      <w:snapToGrid w:val="0"/>
      <w:spacing w:line="360" w:lineRule="auto"/>
    </w:pPr>
    <w:rPr>
      <w:rFonts w:ascii="仿宋_GB2312" w:eastAsia="仿宋_GB2312"/>
      <w:sz w:val="24"/>
    </w:rPr>
  </w:style>
  <w:style w:type="paragraph" w:customStyle="1" w:styleId="90">
    <w:name w:val="TOC 标题1"/>
    <w:basedOn w:val="4"/>
    <w:next w:val="1"/>
    <w:qFormat/>
    <w:uiPriority w:val="0"/>
    <w:pPr>
      <w:widowControl/>
      <w:spacing w:before="240" w:line="259" w:lineRule="auto"/>
      <w:jc w:val="left"/>
      <w:outlineLvl w:val="9"/>
    </w:pPr>
    <w:rPr>
      <w:rFonts w:ascii="等线 Light" w:hAnsi="等线 Light" w:eastAsia="等线 Light"/>
      <w:b/>
      <w:color w:val="2F5496"/>
      <w:kern w:val="0"/>
    </w:rPr>
  </w:style>
  <w:style w:type="table" w:customStyle="1" w:styleId="91">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缩进 Char"/>
    <w:link w:val="6"/>
    <w:qFormat/>
    <w:uiPriority w:val="0"/>
    <w:rPr>
      <w:kern w:val="2"/>
      <w:sz w:val="21"/>
      <w:szCs w:val="24"/>
    </w:rPr>
  </w:style>
  <w:style w:type="paragraph" w:styleId="93">
    <w:name w:val="Quote"/>
    <w:basedOn w:val="1"/>
    <w:next w:val="1"/>
    <w:qFormat/>
    <w:uiPriority w:val="0"/>
    <w:rPr>
      <w:rFonts w:ascii="Calibri" w:hAnsi="Calibri"/>
      <w:i/>
      <w:iCs/>
      <w:color w:val="000000"/>
    </w:rPr>
  </w:style>
  <w:style w:type="paragraph" w:customStyle="1" w:styleId="9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5">
    <w:name w:val="hover"/>
    <w:basedOn w:val="37"/>
    <w:qFormat/>
    <w:uiPriority w:val="0"/>
    <w:rPr>
      <w:color w:val="2590EB"/>
    </w:rPr>
  </w:style>
  <w:style w:type="character" w:customStyle="1" w:styleId="96">
    <w:name w:val="hover1"/>
    <w:basedOn w:val="37"/>
    <w:qFormat/>
    <w:uiPriority w:val="0"/>
    <w:rPr>
      <w:color w:val="2590EB"/>
    </w:rPr>
  </w:style>
  <w:style w:type="character" w:customStyle="1" w:styleId="97">
    <w:name w:val="hover2"/>
    <w:basedOn w:val="37"/>
    <w:qFormat/>
    <w:uiPriority w:val="0"/>
  </w:style>
  <w:style w:type="character" w:customStyle="1" w:styleId="98">
    <w:name w:val="mini-outputtext1"/>
    <w:basedOn w:val="37"/>
    <w:qFormat/>
    <w:uiPriority w:val="0"/>
  </w:style>
  <w:style w:type="character" w:customStyle="1" w:styleId="99">
    <w:name w:val="hover3"/>
    <w:basedOn w:val="37"/>
    <w:qFormat/>
    <w:uiPriority w:val="0"/>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纯文本 Char"/>
    <w:basedOn w:val="37"/>
    <w:link w:val="17"/>
    <w:qFormat/>
    <w:uiPriority w:val="99"/>
    <w:rPr>
      <w:rFonts w:ascii="宋体" w:hAnsi="Courier New"/>
      <w:szCs w:val="21"/>
    </w:rPr>
  </w:style>
  <w:style w:type="character" w:customStyle="1" w:styleId="102">
    <w:name w:val="img"/>
    <w:basedOn w:val="37"/>
    <w:qFormat/>
    <w:uiPriority w:val="0"/>
  </w:style>
  <w:style w:type="character" w:customStyle="1" w:styleId="103">
    <w:name w:val="img1"/>
    <w:basedOn w:val="37"/>
    <w:qFormat/>
    <w:uiPriority w:val="0"/>
  </w:style>
  <w:style w:type="character" w:customStyle="1" w:styleId="104">
    <w:name w:val="NormalCharacter"/>
    <w:qFormat/>
    <w:uiPriority w:val="0"/>
    <w:rPr>
      <w:kern w:val="2"/>
      <w:sz w:val="21"/>
      <w:szCs w:val="22"/>
      <w:lang w:val="en-US" w:eastAsia="zh-CN" w:bidi="ar-SA"/>
    </w:rPr>
  </w:style>
  <w:style w:type="paragraph" w:customStyle="1" w:styleId="105">
    <w:name w:val="BodyText"/>
    <w:basedOn w:val="1"/>
    <w:next w:val="1"/>
    <w:qFormat/>
    <w:uiPriority w:val="0"/>
    <w:pPr>
      <w:widowControl/>
      <w:spacing w:after="120" w:line="259" w:lineRule="auto"/>
      <w:textAlignment w:val="baseline"/>
    </w:pPr>
    <w:rPr>
      <w:rFonts w:ascii="Calibri" w:hAnsi="Calibri"/>
    </w:rPr>
  </w:style>
  <w:style w:type="paragraph" w:customStyle="1" w:styleId="106">
    <w:name w:val="NormalIndent"/>
    <w:basedOn w:val="1"/>
    <w:qFormat/>
    <w:uiPriority w:val="0"/>
    <w:pPr>
      <w:widowControl/>
      <w:spacing w:after="160" w:line="259" w:lineRule="auto"/>
      <w:ind w:firstLine="200" w:firstLineChars="200"/>
      <w:textAlignment w:val="baseline"/>
    </w:pPr>
    <w:rPr>
      <w:rFonts w:ascii="Calibri" w:hAnsi="Calibri"/>
    </w:rPr>
  </w:style>
  <w:style w:type="paragraph" w:customStyle="1" w:styleId="107">
    <w:name w:val="AnnotationText"/>
    <w:basedOn w:val="1"/>
    <w:qFormat/>
    <w:uiPriority w:val="0"/>
    <w:pPr>
      <w:widowControl/>
      <w:spacing w:after="160" w:line="259" w:lineRule="auto"/>
      <w:jc w:val="left"/>
      <w:textAlignment w:val="baseline"/>
    </w:pPr>
    <w:rPr>
      <w:rFonts w:ascii="Calibri" w:hAnsi="Calibri"/>
    </w:rPr>
  </w:style>
  <w:style w:type="paragraph" w:customStyle="1" w:styleId="108">
    <w:name w:val="UserStyle_5"/>
    <w:basedOn w:val="1"/>
    <w:qFormat/>
    <w:uiPriority w:val="0"/>
    <w:pPr>
      <w:widowControl/>
      <w:spacing w:after="160" w:line="400" w:lineRule="exact"/>
      <w:ind w:firstLine="200" w:firstLineChars="200"/>
      <w:textAlignment w:val="baseline"/>
    </w:pPr>
    <w:rPr>
      <w:rFonts w:ascii="Calibri" w:hAnsi="Calibri"/>
      <w:sz w:val="24"/>
    </w:rPr>
  </w:style>
  <w:style w:type="paragraph" w:customStyle="1" w:styleId="109">
    <w:name w:val="正文首行缩进1"/>
    <w:basedOn w:val="2"/>
    <w:semiHidden/>
    <w:qFormat/>
    <w:uiPriority w:val="0"/>
    <w:pPr>
      <w:spacing w:before="100" w:beforeAutospacing="1"/>
      <w:ind w:firstLine="420" w:firstLineChars="1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ACEF7-B6AE-4573-B6C8-7EB000452F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80</Pages>
  <Words>39437</Words>
  <Characters>41183</Characters>
  <Lines>436</Lines>
  <Paragraphs>122</Paragraphs>
  <TotalTime>1</TotalTime>
  <ScaleCrop>false</ScaleCrop>
  <LinksUpToDate>false</LinksUpToDate>
  <CharactersWithSpaces>42489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2021-09-07T10:01:00Z</dcterms:created>
  <dc:creator>雨林木风</dc:creator>
  <cp:lastModifiedBy>HXQ</cp:lastModifiedBy>
  <cp:lastPrinted>2019-03-29T04:43:00Z</cp:lastPrinted>
  <dcterms:modified xsi:type="dcterms:W3CDTF">2021-12-29T07:52:13Z</dcterms:modified>
  <dc:title>招标编号：xx政采招[xxxx] 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D9AF274EE15B4B0C80A710974B3E7434</vt:lpwstr>
  </property>
</Properties>
</file>