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36"/>
          <w:szCs w:val="36"/>
        </w:rPr>
      </w:pPr>
      <w:r>
        <w:rPr>
          <w:rFonts w:hint="eastAsia" w:ascii="宋体" w:hAnsi="宋体" w:cs="宋体"/>
          <w:sz w:val="36"/>
          <w:szCs w:val="36"/>
        </w:rPr>
        <w:drawing>
          <wp:anchor distT="0" distB="0" distL="114300" distR="114300" simplePos="0" relativeHeight="251659264" behindDoc="0" locked="0" layoutInCell="1" allowOverlap="1">
            <wp:simplePos x="0" y="0"/>
            <wp:positionH relativeFrom="column">
              <wp:posOffset>2345055</wp:posOffset>
            </wp:positionH>
            <wp:positionV relativeFrom="paragraph">
              <wp:posOffset>525780</wp:posOffset>
            </wp:positionV>
            <wp:extent cx="862330" cy="1228725"/>
            <wp:effectExtent l="19050" t="0" r="0" b="0"/>
            <wp:wrapNone/>
            <wp:docPr id="3" name="图片 1"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命名 -2"/>
                    <pic:cNvPicPr>
                      <a:picLocks noChangeAspect="1" noChangeArrowheads="1"/>
                    </pic:cNvPicPr>
                  </pic:nvPicPr>
                  <pic:blipFill>
                    <a:blip r:embed="rId15" cstate="print"/>
                    <a:srcRect/>
                    <a:stretch>
                      <a:fillRect/>
                    </a:stretch>
                  </pic:blipFill>
                  <pic:spPr>
                    <a:xfrm>
                      <a:off x="0" y="0"/>
                      <a:ext cx="862330" cy="1228725"/>
                    </a:xfrm>
                    <a:prstGeom prst="rect">
                      <a:avLst/>
                    </a:prstGeom>
                    <a:noFill/>
                    <a:ln w="9525">
                      <a:noFill/>
                      <a:miter lim="800000"/>
                      <a:headEnd/>
                      <a:tailEnd/>
                    </a:ln>
                  </pic:spPr>
                </pic:pic>
              </a:graphicData>
            </a:graphic>
          </wp:anchor>
        </w:drawing>
      </w: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pPr>
    </w:p>
    <w:p>
      <w:pPr>
        <w:spacing w:line="360" w:lineRule="auto"/>
        <w:jc w:val="center"/>
        <w:rPr>
          <w:rFonts w:hint="eastAsia" w:ascii="宋体" w:hAnsi="宋体" w:eastAsia="宋体" w:cs="宋体"/>
          <w:b/>
          <w:color w:val="000000"/>
          <w:sz w:val="30"/>
          <w:szCs w:val="30"/>
          <w:lang w:eastAsia="zh-CN"/>
        </w:rPr>
      </w:pPr>
      <w:r>
        <w:rPr>
          <w:rFonts w:hint="eastAsia" w:ascii="宋体" w:hAnsi="宋体" w:cs="宋体"/>
          <w:b/>
          <w:color w:val="000000"/>
          <w:sz w:val="30"/>
          <w:szCs w:val="30"/>
        </w:rPr>
        <w:t>采购项目编号：</w:t>
      </w:r>
      <w:r>
        <w:rPr>
          <w:rFonts w:hint="eastAsia" w:ascii="宋体" w:hAnsi="宋体" w:cs="宋体"/>
          <w:b/>
          <w:color w:val="000000"/>
          <w:sz w:val="30"/>
          <w:szCs w:val="30"/>
          <w:lang w:eastAsia="zh-CN"/>
        </w:rPr>
        <w:t>510122202100620</w:t>
      </w:r>
    </w:p>
    <w:p>
      <w:pPr>
        <w:tabs>
          <w:tab w:val="left" w:pos="2505"/>
          <w:tab w:val="center" w:pos="4204"/>
        </w:tabs>
        <w:spacing w:line="360" w:lineRule="auto"/>
        <w:jc w:val="center"/>
        <w:rPr>
          <w:rFonts w:ascii="宋体" w:hAnsi="宋体" w:cs="宋体"/>
          <w:b/>
          <w:color w:val="000000"/>
          <w:sz w:val="44"/>
          <w:szCs w:val="36"/>
        </w:rPr>
      </w:pPr>
      <w:r>
        <w:rPr>
          <w:rFonts w:hint="eastAsia" w:ascii="宋体" w:hAnsi="宋体" w:cs="宋体"/>
          <w:b/>
          <w:color w:val="000000"/>
          <w:sz w:val="44"/>
          <w:szCs w:val="36"/>
        </w:rPr>
        <w:t>成都市双流区妇幼保健院2021年医疗设备第五批采购项目</w:t>
      </w:r>
    </w:p>
    <w:p>
      <w:pPr>
        <w:tabs>
          <w:tab w:val="left" w:pos="2505"/>
          <w:tab w:val="center" w:pos="4204"/>
        </w:tabs>
        <w:spacing w:line="360" w:lineRule="auto"/>
        <w:jc w:val="center"/>
        <w:rPr>
          <w:rFonts w:ascii="宋体" w:hAnsi="宋体" w:cs="宋体"/>
          <w:b/>
          <w:color w:val="000000"/>
          <w:sz w:val="52"/>
          <w:szCs w:val="84"/>
        </w:rPr>
      </w:pPr>
    </w:p>
    <w:p>
      <w:pPr>
        <w:pStyle w:val="2"/>
      </w:pPr>
    </w:p>
    <w:p>
      <w:pPr>
        <w:tabs>
          <w:tab w:val="left" w:pos="2505"/>
          <w:tab w:val="center" w:pos="4204"/>
        </w:tabs>
        <w:spacing w:line="360" w:lineRule="auto"/>
        <w:jc w:val="center"/>
        <w:rPr>
          <w:rFonts w:ascii="宋体" w:hAnsi="宋体" w:cs="宋体"/>
          <w:b/>
          <w:color w:val="000000"/>
          <w:sz w:val="84"/>
          <w:szCs w:val="84"/>
        </w:rPr>
      </w:pPr>
      <w:r>
        <w:rPr>
          <w:rFonts w:hint="eastAsia" w:ascii="宋体" w:hAnsi="宋体" w:cs="宋体"/>
          <w:b/>
          <w:color w:val="000000"/>
          <w:sz w:val="84"/>
          <w:szCs w:val="84"/>
        </w:rPr>
        <w:t>招标文件</w:t>
      </w: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中国·四川</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成都市双流区妇幼保健院</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四川轩辕招标代理有限公司</w:t>
      </w: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共同编制</w:t>
      </w:r>
    </w:p>
    <w:p>
      <w:pPr>
        <w:spacing w:line="360" w:lineRule="auto"/>
        <w:jc w:val="center"/>
        <w:rPr>
          <w:rFonts w:ascii="宋体" w:hAnsi="宋体" w:cs="宋体"/>
          <w:b/>
          <w:bCs/>
          <w:sz w:val="32"/>
          <w:szCs w:val="32"/>
        </w:rPr>
        <w:sectPr>
          <w:headerReference r:id="rId3" w:type="first"/>
          <w:pgSz w:w="11907" w:h="16840"/>
          <w:pgMar w:top="1440" w:right="1474" w:bottom="1440" w:left="1474" w:header="851" w:footer="992" w:gutter="0"/>
          <w:pgNumType w:start="1"/>
          <w:cols w:space="720" w:num="1"/>
          <w:titlePg/>
          <w:docGrid w:linePitch="286" w:charSpace="0"/>
        </w:sectPr>
      </w:pPr>
      <w:r>
        <w:rPr>
          <w:rFonts w:hint="eastAsia" w:ascii="宋体" w:hAnsi="宋体" w:cs="宋体"/>
          <w:b/>
          <w:bCs/>
          <w:color w:val="000000"/>
          <w:sz w:val="32"/>
          <w:szCs w:val="32"/>
        </w:rPr>
        <w:t>2021</w:t>
      </w:r>
      <w:r>
        <w:rPr>
          <w:rFonts w:hint="eastAsia" w:ascii="宋体" w:hAnsi="宋体" w:cs="宋体"/>
          <w:b/>
          <w:bCs/>
          <w:sz w:val="32"/>
          <w:szCs w:val="32"/>
        </w:rPr>
        <w:t>年12月</w:t>
      </w:r>
    </w:p>
    <w:sdt>
      <w:sdtPr>
        <w:rPr>
          <w:rFonts w:ascii="宋体" w:hAnsi="宋体" w:eastAsia="等线"/>
          <w:kern w:val="0"/>
          <w:sz w:val="22"/>
          <w:szCs w:val="22"/>
        </w:rPr>
        <w:id w:val="147466953"/>
        <w:docPartObj>
          <w:docPartGallery w:val="Table of Contents"/>
          <w:docPartUnique/>
        </w:docPartObj>
      </w:sdtPr>
      <w:sdtEndPr>
        <w:rPr>
          <w:rFonts w:ascii="宋体" w:hAnsi="宋体" w:eastAsia="等线" w:cs="宋体"/>
          <w:bCs/>
          <w:kern w:val="0"/>
          <w:sz w:val="22"/>
          <w:szCs w:val="22"/>
        </w:rPr>
      </w:sdtEndPr>
      <w:sdtContent>
        <w:p>
          <w:pPr>
            <w:jc w:val="center"/>
            <w:rPr>
              <w:b/>
              <w:bCs/>
              <w:sz w:val="44"/>
              <w:szCs w:val="44"/>
            </w:rPr>
          </w:pPr>
          <w:bookmarkStart w:id="0" w:name="_Toc490290178"/>
          <w:r>
            <w:rPr>
              <w:rFonts w:ascii="宋体" w:hAnsi="宋体"/>
              <w:b/>
              <w:bCs/>
              <w:sz w:val="44"/>
              <w:szCs w:val="44"/>
            </w:rPr>
            <w:t>目录</w:t>
          </w:r>
        </w:p>
        <w:p>
          <w:pPr>
            <w:pStyle w:val="24"/>
            <w:tabs>
              <w:tab w:val="right" w:leader="dot" w:pos="8959"/>
            </w:tabs>
          </w:pPr>
          <w:r>
            <w:rPr>
              <w:rFonts w:ascii="宋体" w:hAnsi="宋体" w:eastAsia="宋体" w:cs="宋体"/>
              <w:bCs/>
            </w:rPr>
            <w:fldChar w:fldCharType="begin"/>
          </w:r>
          <w:r>
            <w:rPr>
              <w:rFonts w:ascii="宋体" w:hAnsi="宋体" w:eastAsia="宋体" w:cs="宋体"/>
              <w:bCs/>
            </w:rPr>
            <w:instrText xml:space="preserve">TOC \o "1-1" \h \u </w:instrText>
          </w:r>
          <w:r>
            <w:rPr>
              <w:rFonts w:ascii="宋体" w:hAnsi="宋体" w:eastAsia="宋体" w:cs="宋体"/>
              <w:bCs/>
            </w:rPr>
            <w:fldChar w:fldCharType="separate"/>
          </w:r>
          <w:r>
            <w:fldChar w:fldCharType="begin"/>
          </w:r>
          <w:r>
            <w:instrText xml:space="preserve"> HYPERLINK \l "_Toc20522" </w:instrText>
          </w:r>
          <w:r>
            <w:fldChar w:fldCharType="separate"/>
          </w:r>
          <w:r>
            <w:rPr>
              <w:rFonts w:hint="eastAsia" w:ascii="宋体" w:hAnsi="宋体" w:cs="宋体"/>
            </w:rPr>
            <w:t>第一章  投标邀请</w:t>
          </w:r>
          <w:r>
            <w:tab/>
          </w:r>
          <w:r>
            <w:fldChar w:fldCharType="begin"/>
          </w:r>
          <w:r>
            <w:instrText xml:space="preserve"> PAGEREF _Toc20522 \h </w:instrText>
          </w:r>
          <w:r>
            <w:fldChar w:fldCharType="separate"/>
          </w:r>
          <w:r>
            <w:t>1</w:t>
          </w:r>
          <w:r>
            <w:fldChar w:fldCharType="end"/>
          </w:r>
          <w:r>
            <w:fldChar w:fldCharType="end"/>
          </w:r>
        </w:p>
        <w:p>
          <w:pPr>
            <w:pStyle w:val="24"/>
            <w:tabs>
              <w:tab w:val="right" w:leader="dot" w:pos="8959"/>
            </w:tabs>
          </w:pPr>
          <w:r>
            <w:fldChar w:fldCharType="begin"/>
          </w:r>
          <w:r>
            <w:instrText xml:space="preserve"> HYPERLINK \l "_Toc16547" </w:instrText>
          </w:r>
          <w:r>
            <w:fldChar w:fldCharType="separate"/>
          </w:r>
          <w:r>
            <w:rPr>
              <w:rFonts w:hint="eastAsia" w:ascii="宋体" w:hAnsi="宋体" w:cs="宋体"/>
            </w:rPr>
            <w:t>第二章  投标人须知</w:t>
          </w:r>
          <w:r>
            <w:tab/>
          </w:r>
          <w:r>
            <w:fldChar w:fldCharType="begin"/>
          </w:r>
          <w:r>
            <w:instrText xml:space="preserve"> PAGEREF _Toc16547 \h </w:instrText>
          </w:r>
          <w:r>
            <w:fldChar w:fldCharType="separate"/>
          </w:r>
          <w:r>
            <w:t>4</w:t>
          </w:r>
          <w:r>
            <w:fldChar w:fldCharType="end"/>
          </w:r>
          <w:r>
            <w:fldChar w:fldCharType="end"/>
          </w:r>
        </w:p>
        <w:p>
          <w:pPr>
            <w:pStyle w:val="24"/>
            <w:tabs>
              <w:tab w:val="right" w:leader="dot" w:pos="8959"/>
            </w:tabs>
          </w:pPr>
          <w:r>
            <w:fldChar w:fldCharType="begin"/>
          </w:r>
          <w:r>
            <w:instrText xml:space="preserve"> HYPERLINK \l "_Toc30143" </w:instrText>
          </w:r>
          <w:r>
            <w:fldChar w:fldCharType="separate"/>
          </w:r>
          <w:r>
            <w:rPr>
              <w:rFonts w:hint="eastAsia" w:ascii="宋体" w:hAnsi="宋体" w:cs="宋体"/>
            </w:rPr>
            <w:t>一、投标人须知附表</w:t>
          </w:r>
          <w:r>
            <w:tab/>
          </w:r>
          <w:r>
            <w:fldChar w:fldCharType="begin"/>
          </w:r>
          <w:r>
            <w:instrText xml:space="preserve"> PAGEREF _Toc30143 \h </w:instrText>
          </w:r>
          <w:r>
            <w:fldChar w:fldCharType="separate"/>
          </w:r>
          <w:r>
            <w:t>4</w:t>
          </w:r>
          <w:r>
            <w:fldChar w:fldCharType="end"/>
          </w:r>
          <w:r>
            <w:fldChar w:fldCharType="end"/>
          </w:r>
        </w:p>
        <w:p>
          <w:pPr>
            <w:pStyle w:val="24"/>
            <w:tabs>
              <w:tab w:val="right" w:leader="dot" w:pos="8959"/>
            </w:tabs>
          </w:pPr>
          <w:r>
            <w:fldChar w:fldCharType="begin"/>
          </w:r>
          <w:r>
            <w:instrText xml:space="preserve"> HYPERLINK \l "_Toc32001" </w:instrText>
          </w:r>
          <w:r>
            <w:fldChar w:fldCharType="separate"/>
          </w:r>
          <w:r>
            <w:rPr>
              <w:rFonts w:hint="eastAsia" w:ascii="宋体" w:hAnsi="宋体" w:cs="宋体"/>
            </w:rPr>
            <w:t>二、总  则</w:t>
          </w:r>
          <w:r>
            <w:tab/>
          </w:r>
          <w:r>
            <w:fldChar w:fldCharType="begin"/>
          </w:r>
          <w:r>
            <w:instrText xml:space="preserve"> PAGEREF _Toc32001 \h </w:instrText>
          </w:r>
          <w:r>
            <w:fldChar w:fldCharType="separate"/>
          </w:r>
          <w:r>
            <w:t>9</w:t>
          </w:r>
          <w:r>
            <w:fldChar w:fldCharType="end"/>
          </w:r>
          <w:r>
            <w:fldChar w:fldCharType="end"/>
          </w:r>
        </w:p>
        <w:p>
          <w:pPr>
            <w:pStyle w:val="24"/>
            <w:tabs>
              <w:tab w:val="right" w:leader="dot" w:pos="8959"/>
            </w:tabs>
          </w:pPr>
          <w:r>
            <w:fldChar w:fldCharType="begin"/>
          </w:r>
          <w:r>
            <w:instrText xml:space="preserve"> HYPERLINK \l "_Toc1259" </w:instrText>
          </w:r>
          <w:r>
            <w:fldChar w:fldCharType="separate"/>
          </w:r>
          <w:r>
            <w:rPr>
              <w:rFonts w:hint="eastAsia" w:ascii="宋体" w:hAnsi="宋体" w:cs="宋体"/>
            </w:rPr>
            <w:t>三、招标文件</w:t>
          </w:r>
          <w:r>
            <w:tab/>
          </w:r>
          <w:r>
            <w:fldChar w:fldCharType="begin"/>
          </w:r>
          <w:r>
            <w:instrText xml:space="preserve"> PAGEREF _Toc1259 \h </w:instrText>
          </w:r>
          <w:r>
            <w:fldChar w:fldCharType="separate"/>
          </w:r>
          <w:r>
            <w:t>10</w:t>
          </w:r>
          <w:r>
            <w:fldChar w:fldCharType="end"/>
          </w:r>
          <w:r>
            <w:fldChar w:fldCharType="end"/>
          </w:r>
        </w:p>
        <w:p>
          <w:pPr>
            <w:pStyle w:val="24"/>
            <w:tabs>
              <w:tab w:val="right" w:leader="dot" w:pos="8959"/>
            </w:tabs>
          </w:pPr>
          <w:r>
            <w:fldChar w:fldCharType="begin"/>
          </w:r>
          <w:r>
            <w:instrText xml:space="preserve"> HYPERLINK \l "_Toc8141" </w:instrText>
          </w:r>
          <w:r>
            <w:fldChar w:fldCharType="separate"/>
          </w:r>
          <w:r>
            <w:rPr>
              <w:rFonts w:hint="eastAsia" w:ascii="宋体" w:hAnsi="宋体" w:cs="宋体"/>
            </w:rPr>
            <w:t>四、投标文件</w:t>
          </w:r>
          <w:r>
            <w:tab/>
          </w:r>
          <w:r>
            <w:fldChar w:fldCharType="begin"/>
          </w:r>
          <w:r>
            <w:instrText xml:space="preserve"> PAGEREF _Toc8141 \h </w:instrText>
          </w:r>
          <w:r>
            <w:fldChar w:fldCharType="separate"/>
          </w:r>
          <w:r>
            <w:t>12</w:t>
          </w:r>
          <w:r>
            <w:fldChar w:fldCharType="end"/>
          </w:r>
          <w:r>
            <w:fldChar w:fldCharType="end"/>
          </w:r>
        </w:p>
        <w:p>
          <w:pPr>
            <w:pStyle w:val="24"/>
            <w:tabs>
              <w:tab w:val="right" w:leader="dot" w:pos="8959"/>
            </w:tabs>
          </w:pPr>
          <w:r>
            <w:fldChar w:fldCharType="begin"/>
          </w:r>
          <w:r>
            <w:instrText xml:space="preserve"> HYPERLINK \l "_Toc21553" </w:instrText>
          </w:r>
          <w:r>
            <w:fldChar w:fldCharType="separate"/>
          </w:r>
          <w:r>
            <w:rPr>
              <w:rFonts w:hint="eastAsia" w:ascii="宋体" w:hAnsi="宋体" w:cs="宋体"/>
            </w:rPr>
            <w:t>五、开标和中标</w:t>
          </w:r>
          <w:r>
            <w:tab/>
          </w:r>
          <w:r>
            <w:fldChar w:fldCharType="begin"/>
          </w:r>
          <w:r>
            <w:instrText xml:space="preserve"> PAGEREF _Toc21553 \h </w:instrText>
          </w:r>
          <w:r>
            <w:fldChar w:fldCharType="separate"/>
          </w:r>
          <w:r>
            <w:t>16</w:t>
          </w:r>
          <w:r>
            <w:fldChar w:fldCharType="end"/>
          </w:r>
          <w:r>
            <w:fldChar w:fldCharType="end"/>
          </w:r>
        </w:p>
        <w:p>
          <w:pPr>
            <w:pStyle w:val="24"/>
            <w:tabs>
              <w:tab w:val="right" w:leader="dot" w:pos="8959"/>
            </w:tabs>
          </w:pPr>
          <w:r>
            <w:fldChar w:fldCharType="begin"/>
          </w:r>
          <w:r>
            <w:instrText xml:space="preserve"> HYPERLINK \l "_Toc4381" </w:instrText>
          </w:r>
          <w:r>
            <w:fldChar w:fldCharType="separate"/>
          </w:r>
          <w:r>
            <w:rPr>
              <w:rFonts w:hint="eastAsia" w:ascii="宋体" w:hAnsi="宋体" w:cs="宋体"/>
            </w:rPr>
            <w:t>六、签订及履行合同和验收</w:t>
          </w:r>
          <w:r>
            <w:tab/>
          </w:r>
          <w:r>
            <w:fldChar w:fldCharType="begin"/>
          </w:r>
          <w:r>
            <w:instrText xml:space="preserve"> PAGEREF _Toc4381 \h </w:instrText>
          </w:r>
          <w:r>
            <w:fldChar w:fldCharType="separate"/>
          </w:r>
          <w:r>
            <w:t>16</w:t>
          </w:r>
          <w:r>
            <w:fldChar w:fldCharType="end"/>
          </w:r>
          <w:r>
            <w:fldChar w:fldCharType="end"/>
          </w:r>
        </w:p>
        <w:p>
          <w:pPr>
            <w:pStyle w:val="24"/>
            <w:tabs>
              <w:tab w:val="right" w:leader="dot" w:pos="8959"/>
            </w:tabs>
          </w:pPr>
          <w:r>
            <w:fldChar w:fldCharType="begin"/>
          </w:r>
          <w:r>
            <w:instrText xml:space="preserve"> HYPERLINK \l "_Toc20614" </w:instrText>
          </w:r>
          <w:r>
            <w:fldChar w:fldCharType="separate"/>
          </w:r>
          <w:r>
            <w:rPr>
              <w:rFonts w:hint="eastAsia" w:ascii="宋体" w:hAnsi="宋体" w:cs="宋体"/>
            </w:rPr>
            <w:t>七、投标纪律要求</w:t>
          </w:r>
          <w:r>
            <w:tab/>
          </w:r>
          <w:r>
            <w:fldChar w:fldCharType="begin"/>
          </w:r>
          <w:r>
            <w:instrText xml:space="preserve"> PAGEREF _Toc20614 \h </w:instrText>
          </w:r>
          <w:r>
            <w:fldChar w:fldCharType="separate"/>
          </w:r>
          <w:r>
            <w:t>20</w:t>
          </w:r>
          <w:r>
            <w:fldChar w:fldCharType="end"/>
          </w:r>
          <w:r>
            <w:fldChar w:fldCharType="end"/>
          </w:r>
        </w:p>
        <w:p>
          <w:pPr>
            <w:pStyle w:val="24"/>
            <w:tabs>
              <w:tab w:val="right" w:leader="dot" w:pos="8959"/>
            </w:tabs>
          </w:pPr>
          <w:r>
            <w:fldChar w:fldCharType="begin"/>
          </w:r>
          <w:r>
            <w:instrText xml:space="preserve"> HYPERLINK \l "_Toc25204" </w:instrText>
          </w:r>
          <w:r>
            <w:fldChar w:fldCharType="separate"/>
          </w:r>
          <w:r>
            <w:rPr>
              <w:rFonts w:hint="eastAsia" w:ascii="宋体" w:hAnsi="宋体" w:cs="宋体"/>
            </w:rPr>
            <w:t>八、回避</w:t>
          </w:r>
          <w:r>
            <w:tab/>
          </w:r>
          <w:r>
            <w:fldChar w:fldCharType="begin"/>
          </w:r>
          <w:r>
            <w:instrText xml:space="preserve"> PAGEREF _Toc25204 \h </w:instrText>
          </w:r>
          <w:r>
            <w:fldChar w:fldCharType="separate"/>
          </w:r>
          <w:r>
            <w:t>20</w:t>
          </w:r>
          <w:r>
            <w:fldChar w:fldCharType="end"/>
          </w:r>
          <w:r>
            <w:fldChar w:fldCharType="end"/>
          </w:r>
        </w:p>
        <w:p>
          <w:pPr>
            <w:pStyle w:val="24"/>
            <w:tabs>
              <w:tab w:val="right" w:leader="dot" w:pos="8959"/>
            </w:tabs>
          </w:pPr>
          <w:r>
            <w:fldChar w:fldCharType="begin"/>
          </w:r>
          <w:r>
            <w:instrText xml:space="preserve"> HYPERLINK \l "_Toc25630" </w:instrText>
          </w:r>
          <w:r>
            <w:fldChar w:fldCharType="separate"/>
          </w:r>
          <w:r>
            <w:rPr>
              <w:rFonts w:hint="eastAsia" w:ascii="宋体" w:hAnsi="宋体" w:cs="宋体"/>
            </w:rPr>
            <w:t>九、询问、质疑和投诉</w:t>
          </w:r>
          <w:r>
            <w:tab/>
          </w:r>
          <w:r>
            <w:fldChar w:fldCharType="begin"/>
          </w:r>
          <w:r>
            <w:instrText xml:space="preserve"> PAGEREF _Toc25630 \h </w:instrText>
          </w:r>
          <w:r>
            <w:fldChar w:fldCharType="separate"/>
          </w:r>
          <w:r>
            <w:t>21</w:t>
          </w:r>
          <w:r>
            <w:fldChar w:fldCharType="end"/>
          </w:r>
          <w:r>
            <w:fldChar w:fldCharType="end"/>
          </w:r>
        </w:p>
        <w:p>
          <w:pPr>
            <w:pStyle w:val="24"/>
            <w:tabs>
              <w:tab w:val="right" w:leader="dot" w:pos="8959"/>
            </w:tabs>
          </w:pPr>
          <w:r>
            <w:fldChar w:fldCharType="begin"/>
          </w:r>
          <w:r>
            <w:instrText xml:space="preserve"> HYPERLINK \l "_Toc241" </w:instrText>
          </w:r>
          <w:r>
            <w:fldChar w:fldCharType="separate"/>
          </w:r>
          <w:r>
            <w:rPr>
              <w:rFonts w:hint="eastAsia" w:ascii="宋体" w:hAnsi="宋体" w:cs="宋体"/>
            </w:rPr>
            <w:t>十、其他</w:t>
          </w:r>
          <w:r>
            <w:tab/>
          </w:r>
          <w:r>
            <w:fldChar w:fldCharType="begin"/>
          </w:r>
          <w:r>
            <w:instrText xml:space="preserve"> PAGEREF _Toc241 \h </w:instrText>
          </w:r>
          <w:r>
            <w:fldChar w:fldCharType="separate"/>
          </w:r>
          <w:r>
            <w:t>22</w:t>
          </w:r>
          <w:r>
            <w:fldChar w:fldCharType="end"/>
          </w:r>
          <w:r>
            <w:fldChar w:fldCharType="end"/>
          </w:r>
        </w:p>
        <w:p>
          <w:pPr>
            <w:pStyle w:val="24"/>
            <w:tabs>
              <w:tab w:val="right" w:leader="dot" w:pos="8959"/>
            </w:tabs>
          </w:pPr>
          <w:r>
            <w:fldChar w:fldCharType="begin"/>
          </w:r>
          <w:r>
            <w:instrText xml:space="preserve"> HYPERLINK \l "_Toc16728" </w:instrText>
          </w:r>
          <w:r>
            <w:fldChar w:fldCharType="separate"/>
          </w:r>
          <w:r>
            <w:rPr>
              <w:rFonts w:hint="eastAsia" w:ascii="宋体" w:hAnsi="宋体" w:cs="宋体"/>
            </w:rPr>
            <w:t>第三章 投标文件格式</w:t>
          </w:r>
          <w:r>
            <w:tab/>
          </w:r>
          <w:r>
            <w:fldChar w:fldCharType="begin"/>
          </w:r>
          <w:r>
            <w:instrText xml:space="preserve"> PAGEREF _Toc16728 \h </w:instrText>
          </w:r>
          <w:r>
            <w:fldChar w:fldCharType="separate"/>
          </w:r>
          <w:r>
            <w:t>23</w:t>
          </w:r>
          <w:r>
            <w:fldChar w:fldCharType="end"/>
          </w:r>
          <w:r>
            <w:fldChar w:fldCharType="end"/>
          </w:r>
        </w:p>
        <w:p>
          <w:pPr>
            <w:pStyle w:val="24"/>
            <w:tabs>
              <w:tab w:val="right" w:leader="dot" w:pos="8959"/>
            </w:tabs>
          </w:pPr>
          <w:r>
            <w:fldChar w:fldCharType="begin"/>
          </w:r>
          <w:r>
            <w:instrText xml:space="preserve"> HYPERLINK \l "_Toc5917" </w:instrText>
          </w:r>
          <w:r>
            <w:fldChar w:fldCharType="separate"/>
          </w:r>
          <w:r>
            <w:rPr>
              <w:rFonts w:hint="eastAsia" w:ascii="宋体" w:hAnsi="宋体" w:cs="宋体"/>
            </w:rPr>
            <w:t>第四章  投标人和投标产品的资格、资质性及其他类似效力要求</w:t>
          </w:r>
          <w:r>
            <w:tab/>
          </w:r>
          <w:r>
            <w:fldChar w:fldCharType="begin"/>
          </w:r>
          <w:r>
            <w:instrText xml:space="preserve"> PAGEREF _Toc5917 \h </w:instrText>
          </w:r>
          <w:r>
            <w:fldChar w:fldCharType="separate"/>
          </w:r>
          <w:r>
            <w:t>45</w:t>
          </w:r>
          <w:r>
            <w:fldChar w:fldCharType="end"/>
          </w:r>
          <w:r>
            <w:fldChar w:fldCharType="end"/>
          </w:r>
        </w:p>
        <w:p>
          <w:pPr>
            <w:pStyle w:val="24"/>
            <w:tabs>
              <w:tab w:val="right" w:leader="dot" w:pos="8959"/>
            </w:tabs>
          </w:pPr>
          <w:r>
            <w:fldChar w:fldCharType="begin"/>
          </w:r>
          <w:r>
            <w:instrText xml:space="preserve"> HYPERLINK \l "_Toc7835" </w:instrText>
          </w:r>
          <w:r>
            <w:fldChar w:fldCharType="separate"/>
          </w:r>
          <w:r>
            <w:rPr>
              <w:rFonts w:hint="eastAsia" w:ascii="宋体" w:hAnsi="宋体" w:cs="宋体"/>
            </w:rPr>
            <w:t>第五章  投标人应当提供的资格、资质性及其他类似效力要求的相关证明材料</w:t>
          </w:r>
          <w:r>
            <w:tab/>
          </w:r>
          <w:r>
            <w:fldChar w:fldCharType="begin"/>
          </w:r>
          <w:r>
            <w:instrText xml:space="preserve"> PAGEREF _Toc7835 \h </w:instrText>
          </w:r>
          <w:r>
            <w:fldChar w:fldCharType="separate"/>
          </w:r>
          <w:r>
            <w:t>47</w:t>
          </w:r>
          <w:r>
            <w:fldChar w:fldCharType="end"/>
          </w:r>
          <w:r>
            <w:fldChar w:fldCharType="end"/>
          </w:r>
        </w:p>
        <w:p>
          <w:pPr>
            <w:pStyle w:val="24"/>
            <w:tabs>
              <w:tab w:val="right" w:leader="dot" w:pos="8959"/>
            </w:tabs>
          </w:pPr>
          <w:r>
            <w:fldChar w:fldCharType="begin"/>
          </w:r>
          <w:r>
            <w:instrText xml:space="preserve"> HYPERLINK \l "_Toc32366" </w:instrText>
          </w:r>
          <w:r>
            <w:fldChar w:fldCharType="separate"/>
          </w:r>
          <w:r>
            <w:rPr>
              <w:rFonts w:hint="eastAsia" w:ascii="宋体" w:hAnsi="宋体" w:cs="宋体"/>
            </w:rPr>
            <w:t>第六章 招标项目技术、服务、政府采购合同内容条款及其他商务要求</w:t>
          </w:r>
          <w:r>
            <w:tab/>
          </w:r>
          <w:r>
            <w:fldChar w:fldCharType="begin"/>
          </w:r>
          <w:r>
            <w:instrText xml:space="preserve"> PAGEREF _Toc32366 \h </w:instrText>
          </w:r>
          <w:r>
            <w:fldChar w:fldCharType="separate"/>
          </w:r>
          <w:r>
            <w:t>49</w:t>
          </w:r>
          <w:r>
            <w:fldChar w:fldCharType="end"/>
          </w:r>
          <w:r>
            <w:fldChar w:fldCharType="end"/>
          </w:r>
        </w:p>
        <w:p>
          <w:pPr>
            <w:pStyle w:val="24"/>
            <w:tabs>
              <w:tab w:val="right" w:leader="dot" w:pos="8959"/>
            </w:tabs>
          </w:pPr>
          <w:r>
            <w:fldChar w:fldCharType="begin"/>
          </w:r>
          <w:r>
            <w:instrText xml:space="preserve"> HYPERLINK \l "_Toc2564" </w:instrText>
          </w:r>
          <w:r>
            <w:fldChar w:fldCharType="separate"/>
          </w:r>
          <w:r>
            <w:rPr>
              <w:rFonts w:hint="eastAsia" w:ascii="宋体" w:hAnsi="宋体" w:cs="宋体"/>
            </w:rPr>
            <w:t>第七章  评标办法</w:t>
          </w:r>
          <w:r>
            <w:tab/>
          </w:r>
          <w:r>
            <w:fldChar w:fldCharType="begin"/>
          </w:r>
          <w:r>
            <w:instrText xml:space="preserve"> PAGEREF _Toc2564 \h </w:instrText>
          </w:r>
          <w:r>
            <w:fldChar w:fldCharType="separate"/>
          </w:r>
          <w:r>
            <w:t>58</w:t>
          </w:r>
          <w:r>
            <w:fldChar w:fldCharType="end"/>
          </w:r>
          <w:r>
            <w:fldChar w:fldCharType="end"/>
          </w:r>
        </w:p>
        <w:p>
          <w:pPr>
            <w:pStyle w:val="24"/>
            <w:tabs>
              <w:tab w:val="right" w:leader="dot" w:pos="8959"/>
            </w:tabs>
          </w:pPr>
          <w:r>
            <w:fldChar w:fldCharType="begin"/>
          </w:r>
          <w:r>
            <w:instrText xml:space="preserve"> HYPERLINK \l "_Toc31809" </w:instrText>
          </w:r>
          <w:r>
            <w:fldChar w:fldCharType="separate"/>
          </w:r>
          <w:r>
            <w:rPr>
              <w:rFonts w:hint="eastAsia" w:ascii="宋体" w:hAnsi="宋体" w:cs="宋体"/>
            </w:rPr>
            <w:t>第八章  政府采购合同（参考）</w:t>
          </w:r>
          <w:r>
            <w:tab/>
          </w:r>
          <w:r>
            <w:fldChar w:fldCharType="begin"/>
          </w:r>
          <w:r>
            <w:instrText xml:space="preserve"> PAGEREF _Toc31809 \h </w:instrText>
          </w:r>
          <w:r>
            <w:fldChar w:fldCharType="separate"/>
          </w:r>
          <w:r>
            <w:t>70</w:t>
          </w:r>
          <w:r>
            <w:fldChar w:fldCharType="end"/>
          </w:r>
          <w:r>
            <w:fldChar w:fldCharType="end"/>
          </w:r>
        </w:p>
        <w:p>
          <w:pPr>
            <w:pStyle w:val="24"/>
            <w:tabs>
              <w:tab w:val="right" w:leader="dot" w:pos="8949"/>
            </w:tabs>
            <w:spacing w:line="360" w:lineRule="auto"/>
            <w:rPr>
              <w:rFonts w:ascii="宋体" w:hAnsi="宋体" w:eastAsia="宋体" w:cs="宋体"/>
              <w:bCs/>
            </w:rPr>
            <w:sectPr>
              <w:pgSz w:w="11907" w:h="16840"/>
              <w:pgMar w:top="1440" w:right="1474" w:bottom="1440" w:left="1474" w:header="851" w:footer="992" w:gutter="0"/>
              <w:pgNumType w:start="1"/>
              <w:cols w:space="720" w:num="1"/>
              <w:titlePg/>
              <w:docGrid w:linePitch="286" w:charSpace="0"/>
            </w:sectPr>
          </w:pPr>
          <w:r>
            <w:rPr>
              <w:rFonts w:ascii="宋体" w:hAnsi="宋体" w:eastAsia="宋体" w:cs="宋体"/>
              <w:bCs/>
            </w:rPr>
            <w:fldChar w:fldCharType="end"/>
          </w:r>
        </w:p>
      </w:sdtContent>
    </w:sdt>
    <w:p>
      <w:pPr>
        <w:pStyle w:val="33"/>
        <w:spacing w:line="360" w:lineRule="auto"/>
        <w:rPr>
          <w:rFonts w:ascii="宋体" w:hAnsi="宋体" w:cs="宋体"/>
        </w:rPr>
      </w:pPr>
      <w:bookmarkStart w:id="1" w:name="_Toc23699"/>
      <w:bookmarkStart w:id="2" w:name="_Toc20522"/>
      <w:r>
        <w:rPr>
          <w:rFonts w:hint="eastAsia" w:ascii="宋体" w:hAnsi="宋体" w:cs="宋体"/>
        </w:rPr>
        <w:t>第一章  投标邀请</w:t>
      </w:r>
      <w:bookmarkEnd w:id="0"/>
      <w:bookmarkEnd w:id="1"/>
      <w:bookmarkEnd w:id="2"/>
    </w:p>
    <w:p>
      <w:pPr>
        <w:spacing w:line="360" w:lineRule="auto"/>
        <w:ind w:firstLine="482" w:firstLineChars="200"/>
        <w:jc w:val="left"/>
        <w:rPr>
          <w:rFonts w:ascii="宋体" w:hAnsi="宋体" w:cs="宋体"/>
          <w:sz w:val="24"/>
          <w:szCs w:val="28"/>
        </w:rPr>
      </w:pPr>
      <w:r>
        <w:rPr>
          <w:rFonts w:hint="eastAsia" w:ascii="宋体" w:hAnsi="宋体" w:cs="宋体"/>
          <w:b/>
          <w:bCs/>
          <w:sz w:val="24"/>
          <w:u w:val="single"/>
        </w:rPr>
        <w:t>四川轩辕招标代理有限公司</w:t>
      </w:r>
      <w:r>
        <w:rPr>
          <w:rFonts w:hint="eastAsia" w:ascii="宋体" w:hAnsi="宋体" w:cs="宋体"/>
          <w:sz w:val="24"/>
        </w:rPr>
        <w:t>受</w:t>
      </w:r>
      <w:r>
        <w:rPr>
          <w:rFonts w:hint="eastAsia" w:ascii="宋体" w:hAnsi="宋体" w:cs="宋体"/>
          <w:b/>
          <w:bCs/>
          <w:sz w:val="24"/>
          <w:u w:val="single"/>
        </w:rPr>
        <w:t>成都市双流区妇幼保健院</w:t>
      </w:r>
      <w:r>
        <w:rPr>
          <w:rFonts w:hint="eastAsia" w:ascii="宋体" w:hAnsi="宋体" w:cs="宋体"/>
          <w:sz w:val="24"/>
        </w:rPr>
        <w:t>委托，拟对</w:t>
      </w:r>
      <w:r>
        <w:rPr>
          <w:rFonts w:hint="eastAsia" w:ascii="宋体" w:hAnsi="宋体" w:cs="宋体"/>
          <w:b/>
          <w:bCs/>
          <w:sz w:val="24"/>
          <w:u w:val="single"/>
        </w:rPr>
        <w:t>成都市双流区妇幼保健院2021年医疗设备第五批采购项目</w:t>
      </w:r>
      <w:r>
        <w:rPr>
          <w:rFonts w:hint="eastAsia" w:ascii="宋体" w:hAnsi="宋体" w:cs="宋体"/>
          <w:sz w:val="24"/>
        </w:rPr>
        <w:t>进行国内公开招标，</w:t>
      </w:r>
      <w:r>
        <w:rPr>
          <w:rFonts w:hint="eastAsia" w:ascii="宋体" w:hAnsi="宋体" w:cs="宋体"/>
          <w:sz w:val="24"/>
          <w:szCs w:val="28"/>
        </w:rPr>
        <w:t>兹邀请符合本次招标要求的供应商参加</w:t>
      </w:r>
      <w:r>
        <w:rPr>
          <w:rFonts w:hint="eastAsia" w:ascii="宋体" w:hAnsi="宋体" w:cs="宋体"/>
          <w:sz w:val="24"/>
        </w:rPr>
        <w:t>投标</w:t>
      </w:r>
      <w:r>
        <w:rPr>
          <w:rFonts w:hint="eastAsia" w:ascii="宋体" w:hAnsi="宋体" w:cs="宋体"/>
          <w:sz w:val="24"/>
          <w:szCs w:val="28"/>
        </w:rPr>
        <w:t>。</w:t>
      </w:r>
    </w:p>
    <w:p>
      <w:pPr>
        <w:spacing w:line="360" w:lineRule="auto"/>
        <w:ind w:firstLine="482" w:firstLineChars="200"/>
        <w:rPr>
          <w:rFonts w:hint="eastAsia" w:ascii="宋体" w:hAnsi="宋体" w:eastAsia="宋体" w:cs="宋体"/>
          <w:sz w:val="24"/>
          <w:u w:val="single"/>
          <w:lang w:eastAsia="zh-CN"/>
        </w:rPr>
      </w:pPr>
      <w:r>
        <w:rPr>
          <w:rFonts w:hint="eastAsia" w:ascii="宋体" w:hAnsi="宋体" w:cs="宋体"/>
          <w:b/>
          <w:bCs/>
          <w:sz w:val="24"/>
        </w:rPr>
        <w:t>一、采购项目编号：</w:t>
      </w:r>
      <w:r>
        <w:rPr>
          <w:rFonts w:hint="eastAsia" w:ascii="宋体" w:hAnsi="宋体" w:cs="宋体"/>
          <w:sz w:val="24"/>
          <w:lang w:eastAsia="zh-CN"/>
        </w:rPr>
        <w:t>510122202100620</w:t>
      </w:r>
    </w:p>
    <w:p>
      <w:pPr>
        <w:spacing w:line="360" w:lineRule="auto"/>
        <w:ind w:left="2166" w:leftChars="228" w:right="31" w:rightChars="15" w:hanging="1687" w:hangingChars="700"/>
        <w:rPr>
          <w:rFonts w:ascii="宋体" w:hAnsi="宋体" w:cs="宋体"/>
          <w:b/>
          <w:szCs w:val="21"/>
        </w:rPr>
      </w:pPr>
      <w:r>
        <w:rPr>
          <w:rFonts w:hint="eastAsia" w:ascii="宋体" w:hAnsi="宋体" w:cs="宋体"/>
          <w:b/>
          <w:sz w:val="24"/>
        </w:rPr>
        <w:t>二、项目名称：</w:t>
      </w:r>
      <w:r>
        <w:rPr>
          <w:rFonts w:hint="eastAsia" w:ascii="宋体" w:hAnsi="宋体" w:cs="宋体"/>
          <w:sz w:val="24"/>
        </w:rPr>
        <w:t>成都市双流区妇幼保健院2021年医疗设备第五批采购项目</w:t>
      </w:r>
    </w:p>
    <w:p>
      <w:pPr>
        <w:spacing w:line="360" w:lineRule="auto"/>
        <w:ind w:right="31" w:rightChars="15" w:firstLine="482" w:firstLineChars="200"/>
        <w:rPr>
          <w:rFonts w:ascii="宋体" w:hAnsi="宋体" w:cs="宋体"/>
          <w:bCs/>
          <w:sz w:val="24"/>
        </w:rPr>
      </w:pPr>
      <w:r>
        <w:rPr>
          <w:rFonts w:hint="eastAsia" w:ascii="宋体" w:hAnsi="宋体" w:cs="宋体"/>
          <w:b/>
          <w:bCs/>
          <w:sz w:val="24"/>
          <w:szCs w:val="28"/>
        </w:rPr>
        <w:t>三、资金来源：</w:t>
      </w:r>
      <w:r>
        <w:rPr>
          <w:rFonts w:hint="eastAsia" w:ascii="宋体" w:hAnsi="宋体" w:cs="宋体"/>
          <w:bCs/>
          <w:sz w:val="24"/>
          <w:szCs w:val="28"/>
        </w:rPr>
        <w:t>财政资金</w:t>
      </w:r>
    </w:p>
    <w:p>
      <w:pPr>
        <w:spacing w:line="360" w:lineRule="auto"/>
        <w:ind w:firstLine="482" w:firstLineChars="200"/>
        <w:rPr>
          <w:rFonts w:ascii="宋体" w:hAnsi="宋体" w:cs="宋体"/>
          <w:sz w:val="24"/>
        </w:rPr>
      </w:pPr>
      <w:r>
        <w:rPr>
          <w:rFonts w:hint="eastAsia" w:ascii="宋体" w:hAnsi="宋体" w:cs="宋体"/>
          <w:b/>
          <w:bCs/>
          <w:sz w:val="24"/>
        </w:rPr>
        <w:t>四、招标项目简介：</w:t>
      </w:r>
    </w:p>
    <w:p>
      <w:pPr>
        <w:spacing w:line="360" w:lineRule="auto"/>
        <w:ind w:firstLine="480" w:firstLineChars="200"/>
        <w:rPr>
          <w:rFonts w:ascii="宋体" w:hAnsi="宋体" w:cs="宋体"/>
          <w:sz w:val="24"/>
        </w:rPr>
      </w:pPr>
      <w:r>
        <w:rPr>
          <w:rFonts w:hint="eastAsia" w:ascii="宋体" w:hAnsi="宋体" w:cs="宋体"/>
          <w:sz w:val="24"/>
        </w:rPr>
        <w:t>本项目共3包，采购医疗设备一批。（具体详见招标文件第六章）。</w:t>
      </w:r>
    </w:p>
    <w:p>
      <w:pPr>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供应商参加本次政府采购活动，应当具备下列条件：</w:t>
      </w:r>
    </w:p>
    <w:p>
      <w:pPr>
        <w:spacing w:line="360" w:lineRule="auto"/>
        <w:ind w:firstLine="360" w:firstLineChars="150"/>
        <w:rPr>
          <w:rFonts w:ascii="宋体" w:hAnsi="宋体" w:cs="宋体"/>
          <w:sz w:val="24"/>
        </w:rPr>
      </w:pPr>
      <w:r>
        <w:rPr>
          <w:rFonts w:hint="eastAsia" w:ascii="宋体" w:hAnsi="宋体" w:cs="宋体"/>
          <w:sz w:val="24"/>
        </w:rPr>
        <w:t>（一）符合《中华人民共和国政府采购法》第二十二条规定的条件：</w:t>
      </w:r>
    </w:p>
    <w:p>
      <w:pPr>
        <w:pStyle w:val="87"/>
        <w:tabs>
          <w:tab w:val="left" w:pos="1260"/>
        </w:tabs>
        <w:ind w:firstLine="679" w:firstLineChars="283"/>
        <w:rPr>
          <w:rFonts w:ascii="宋体" w:hAnsi="宋体" w:cs="宋体"/>
          <w:sz w:val="24"/>
        </w:rPr>
      </w:pPr>
      <w:r>
        <w:rPr>
          <w:rFonts w:hint="eastAsia" w:ascii="宋体" w:hAnsi="宋体" w:cs="宋体"/>
          <w:sz w:val="24"/>
        </w:rPr>
        <w:t>1、具有独立承担民事责任的能力；</w:t>
      </w:r>
    </w:p>
    <w:p>
      <w:pPr>
        <w:pStyle w:val="87"/>
        <w:tabs>
          <w:tab w:val="left" w:pos="1260"/>
        </w:tabs>
        <w:ind w:firstLine="679" w:firstLineChars="283"/>
        <w:rPr>
          <w:rFonts w:ascii="宋体" w:hAnsi="宋体" w:cs="宋体"/>
          <w:sz w:val="24"/>
        </w:rPr>
      </w:pPr>
      <w:r>
        <w:rPr>
          <w:rFonts w:hint="eastAsia" w:ascii="宋体" w:hAnsi="宋体" w:cs="宋体"/>
          <w:sz w:val="24"/>
        </w:rPr>
        <w:t>2、具有良好的商业信誉和健全的财务会计制度；</w:t>
      </w:r>
    </w:p>
    <w:p>
      <w:pPr>
        <w:pStyle w:val="87"/>
        <w:tabs>
          <w:tab w:val="left" w:pos="1260"/>
        </w:tabs>
        <w:ind w:firstLine="679" w:firstLineChars="283"/>
        <w:rPr>
          <w:rFonts w:ascii="宋体" w:hAnsi="宋体" w:cs="宋体"/>
          <w:sz w:val="24"/>
        </w:rPr>
      </w:pPr>
      <w:r>
        <w:rPr>
          <w:rFonts w:hint="eastAsia" w:ascii="宋体" w:hAnsi="宋体" w:cs="宋体"/>
          <w:sz w:val="24"/>
        </w:rPr>
        <w:t>3、具有履行合同所必需的设备和专业技术能力；</w:t>
      </w:r>
    </w:p>
    <w:p>
      <w:pPr>
        <w:pStyle w:val="87"/>
        <w:tabs>
          <w:tab w:val="left" w:pos="1260"/>
        </w:tabs>
        <w:ind w:firstLine="679" w:firstLineChars="283"/>
        <w:rPr>
          <w:rFonts w:ascii="宋体" w:hAnsi="宋体" w:cs="宋体"/>
          <w:sz w:val="24"/>
        </w:rPr>
      </w:pPr>
      <w:r>
        <w:rPr>
          <w:rFonts w:hint="eastAsia" w:ascii="宋体" w:hAnsi="宋体" w:cs="宋体"/>
          <w:sz w:val="24"/>
        </w:rPr>
        <w:t>4、有依法缴纳税收和社会保障资金的良好记录；</w:t>
      </w:r>
    </w:p>
    <w:p>
      <w:pPr>
        <w:pStyle w:val="87"/>
        <w:tabs>
          <w:tab w:val="left" w:pos="1260"/>
        </w:tabs>
        <w:ind w:firstLine="679" w:firstLineChars="283"/>
        <w:rPr>
          <w:rFonts w:ascii="宋体" w:hAnsi="宋体" w:cs="宋体"/>
          <w:sz w:val="24"/>
        </w:rPr>
      </w:pPr>
      <w:r>
        <w:rPr>
          <w:rFonts w:hint="eastAsia" w:ascii="宋体" w:hAnsi="宋体" w:cs="宋体"/>
          <w:sz w:val="24"/>
        </w:rPr>
        <w:t>5、参加本次政府采购活动前三年内，在经营活动中没有重大违法记录；</w:t>
      </w:r>
    </w:p>
    <w:p>
      <w:pPr>
        <w:pStyle w:val="87"/>
        <w:tabs>
          <w:tab w:val="left" w:pos="1260"/>
        </w:tabs>
        <w:ind w:firstLine="679" w:firstLineChars="283"/>
        <w:rPr>
          <w:rFonts w:ascii="宋体" w:hAnsi="宋体" w:cs="宋体"/>
          <w:sz w:val="24"/>
        </w:rPr>
      </w:pPr>
      <w:r>
        <w:rPr>
          <w:rFonts w:hint="eastAsia" w:ascii="宋体" w:hAnsi="宋体" w:cs="宋体"/>
          <w:sz w:val="24"/>
        </w:rPr>
        <w:t>6、法律、行政法规规定的其他条件。</w:t>
      </w:r>
    </w:p>
    <w:p>
      <w:pPr>
        <w:pStyle w:val="87"/>
        <w:tabs>
          <w:tab w:val="left" w:pos="1260"/>
        </w:tabs>
        <w:ind w:firstLine="319" w:firstLineChars="133"/>
        <w:rPr>
          <w:rFonts w:ascii="宋体" w:hAnsi="宋体" w:cs="宋体"/>
          <w:sz w:val="24"/>
        </w:rPr>
      </w:pPr>
      <w:r>
        <w:rPr>
          <w:rFonts w:hint="eastAsia" w:ascii="宋体" w:hAnsi="宋体" w:cs="宋体"/>
          <w:sz w:val="24"/>
        </w:rPr>
        <w:t>（二）本项目</w:t>
      </w:r>
      <w:r>
        <w:rPr>
          <w:rFonts w:hint="eastAsia" w:ascii="宋体" w:hAnsi="宋体" w:cs="宋体"/>
          <w:b/>
          <w:sz w:val="24"/>
          <w:u w:val="single"/>
        </w:rPr>
        <w:t xml:space="preserve">不接受  </w:t>
      </w:r>
      <w:r>
        <w:rPr>
          <w:rFonts w:hint="eastAsia" w:ascii="宋体" w:hAnsi="宋体" w:cs="宋体"/>
          <w:sz w:val="24"/>
        </w:rPr>
        <w:t>联合体投标。</w:t>
      </w:r>
    </w:p>
    <w:p>
      <w:pPr>
        <w:spacing w:line="360" w:lineRule="auto"/>
        <w:ind w:firstLine="360" w:firstLineChars="150"/>
        <w:rPr>
          <w:rFonts w:ascii="宋体" w:hAnsi="宋体" w:cs="宋体"/>
          <w:sz w:val="24"/>
        </w:rPr>
      </w:pPr>
      <w:r>
        <w:rPr>
          <w:rFonts w:hint="eastAsia" w:ascii="宋体" w:hAnsi="宋体" w:cs="宋体"/>
          <w:sz w:val="24"/>
        </w:rPr>
        <w:t>（三）根据采购项目提出的特殊条件；</w:t>
      </w:r>
    </w:p>
    <w:p>
      <w:pPr>
        <w:pStyle w:val="87"/>
        <w:tabs>
          <w:tab w:val="left" w:pos="1260"/>
        </w:tabs>
        <w:ind w:firstLine="679" w:firstLineChars="283"/>
        <w:rPr>
          <w:rFonts w:ascii="宋体" w:hAnsi="宋体" w:cs="宋体"/>
          <w:sz w:val="24"/>
        </w:rPr>
      </w:pPr>
      <w:r>
        <w:rPr>
          <w:rFonts w:hint="eastAsia" w:ascii="宋体" w:hAnsi="宋体" w:cs="宋体"/>
          <w:sz w:val="24"/>
        </w:rPr>
        <w:t>1、若采购产品为医疗器械的，投标人须符合《医疗器械监督管理条例》要求并提供投标人经营该产品的经营许可/经营备案证明材料；投标产品须符合《医疗器械注册管理办法》要求并提供产品的注册/备案证明材料。</w:t>
      </w:r>
    </w:p>
    <w:p>
      <w:pPr>
        <w:pStyle w:val="87"/>
        <w:tabs>
          <w:tab w:val="left" w:pos="1260"/>
        </w:tabs>
        <w:ind w:firstLine="679" w:firstLineChars="283"/>
        <w:rPr>
          <w:rFonts w:ascii="宋体" w:hAnsi="宋体" w:cs="宋体"/>
          <w:sz w:val="24"/>
        </w:rPr>
      </w:pPr>
      <w:r>
        <w:rPr>
          <w:rFonts w:hint="eastAsia" w:ascii="宋体" w:hAnsi="宋体" w:cs="宋体"/>
          <w:sz w:val="24"/>
        </w:rPr>
        <w:t>2、本项目参加政府采购活动的投标人、法定代表人/主要负责人近3年内不得具有行贿犯罪记录。</w:t>
      </w:r>
    </w:p>
    <w:p>
      <w:pPr>
        <w:pStyle w:val="87"/>
        <w:tabs>
          <w:tab w:val="left" w:pos="1260"/>
        </w:tabs>
        <w:ind w:firstLine="679" w:firstLineChars="283"/>
        <w:rPr>
          <w:rFonts w:ascii="宋体" w:hAnsi="宋体" w:cs="宋体"/>
          <w:sz w:val="24"/>
        </w:rPr>
      </w:pPr>
      <w:r>
        <w:rPr>
          <w:rFonts w:hint="eastAsia" w:ascii="宋体" w:hAnsi="宋体" w:cs="宋体"/>
          <w:sz w:val="24"/>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numPr>
          <w:ilvl w:val="0"/>
          <w:numId w:val="5"/>
        </w:numPr>
        <w:spacing w:line="360" w:lineRule="auto"/>
        <w:ind w:firstLine="482" w:firstLineChars="200"/>
        <w:rPr>
          <w:rFonts w:ascii="宋体" w:hAnsi="宋体" w:cs="宋体"/>
          <w:b/>
          <w:color w:val="000000"/>
          <w:sz w:val="24"/>
        </w:rPr>
      </w:pPr>
      <w:r>
        <w:rPr>
          <w:rFonts w:hint="eastAsia" w:ascii="宋体" w:hAnsi="宋体" w:cs="宋体"/>
          <w:b/>
          <w:sz w:val="24"/>
        </w:rPr>
        <w:t>招标文件获取方式、时间、地点：</w:t>
      </w:r>
    </w:p>
    <w:p>
      <w:pPr>
        <w:spacing w:line="360" w:lineRule="auto"/>
        <w:ind w:firstLine="480" w:firstLineChars="200"/>
        <w:rPr>
          <w:rFonts w:ascii="宋体" w:hAnsi="宋体" w:cs="宋体"/>
          <w:color w:val="000000"/>
          <w:sz w:val="24"/>
        </w:rPr>
      </w:pPr>
      <w:r>
        <w:rPr>
          <w:rFonts w:hint="eastAsia" w:ascii="宋体" w:hAnsi="宋体" w:cs="宋体"/>
          <w:color w:val="000000"/>
          <w:sz w:val="24"/>
        </w:rPr>
        <w:t>1、网络报名获取，凡有意投标企业自</w:t>
      </w:r>
      <w:r>
        <w:rPr>
          <w:rFonts w:hint="eastAsia" w:ascii="宋体" w:hAnsi="宋体" w:cs="宋体"/>
          <w:color w:val="000000"/>
          <w:sz w:val="24"/>
          <w:highlight w:val="none"/>
        </w:rPr>
        <w:t>2021年12月2</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日至2021年12月</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日</w:t>
      </w:r>
      <w:r>
        <w:rPr>
          <w:rFonts w:hint="eastAsia" w:ascii="宋体" w:hAnsi="宋体" w:cs="宋体"/>
          <w:color w:val="000000"/>
          <w:sz w:val="24"/>
        </w:rPr>
        <w:t>09:00-17:00（北京时间，法定节假日除外）。</w:t>
      </w:r>
    </w:p>
    <w:p>
      <w:pPr>
        <w:spacing w:line="360" w:lineRule="auto"/>
        <w:ind w:firstLine="480" w:firstLineChars="200"/>
        <w:rPr>
          <w:rFonts w:ascii="宋体" w:hAnsi="宋体" w:cs="宋体"/>
          <w:color w:val="000000"/>
          <w:sz w:val="24"/>
        </w:rPr>
      </w:pPr>
      <w:r>
        <w:rPr>
          <w:rFonts w:hint="eastAsia" w:ascii="宋体" w:hAnsi="宋体" w:cs="宋体"/>
          <w:color w:val="000000"/>
          <w:sz w:val="24"/>
        </w:rPr>
        <w:t>2、招标文件获取方式：供应商从“政府采购云平台”获取采购文件（网址：</w:t>
      </w:r>
      <w:r>
        <w:fldChar w:fldCharType="begin"/>
      </w:r>
      <w:r>
        <w:instrText xml:space="preserve"> HYPERLINK "https://www.zcygov.cn）项目采购—获取采购文件—申请获取采购文件。_x0005_" </w:instrText>
      </w:r>
      <w:r>
        <w:fldChar w:fldCharType="separate"/>
      </w:r>
      <w:r>
        <w:rPr>
          <w:rFonts w:hint="eastAsia" w:ascii="宋体" w:hAnsi="宋体" w:cs="宋体"/>
          <w:color w:val="000000"/>
          <w:sz w:val="24"/>
        </w:rPr>
        <w:t>https://www.zcygov.cn）。登录政府采购云平台—项目采购—获取采购文件—申请获取采购文件</w:t>
      </w:r>
      <w:r>
        <w:rPr>
          <w:rFonts w:hint="eastAsia" w:ascii="宋体" w:hAnsi="宋体" w:cs="宋体"/>
          <w:color w:val="000000"/>
          <w:sz w:val="24"/>
        </w:rPr>
        <w:fldChar w:fldCharType="end"/>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提示：</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（1）本项目招标文件免费获取。</w:t>
      </w:r>
    </w:p>
    <w:p>
      <w:pPr>
        <w:spacing w:line="360" w:lineRule="auto"/>
        <w:ind w:firstLine="480" w:firstLineChars="200"/>
        <w:rPr>
          <w:rFonts w:ascii="宋体" w:hAnsi="宋体"/>
          <w:bCs/>
          <w:sz w:val="24"/>
        </w:rPr>
      </w:pPr>
      <w:r>
        <w:rPr>
          <w:rFonts w:hint="eastAsia" w:ascii="宋体" w:hAnsi="宋体" w:cs="宋体"/>
          <w:color w:val="000000"/>
          <w:sz w:val="24"/>
        </w:rPr>
        <w:t>（2）</w:t>
      </w:r>
      <w:r>
        <w:rPr>
          <w:rFonts w:hint="eastAsia" w:ascii="宋体" w:hAnsi="宋体"/>
          <w:bCs/>
          <w:sz w:val="24"/>
        </w:rPr>
        <w:t>投标人只有在“政府采购云平台”完成获取招标文件申请并下载招标文件后才视作依法参与本项目。如未在“政府采购云平台”内完成相关流程，引起的投标无效责任自负。</w:t>
      </w:r>
    </w:p>
    <w:p>
      <w:pPr>
        <w:spacing w:line="360" w:lineRule="auto"/>
        <w:ind w:firstLine="480" w:firstLineChars="200"/>
        <w:rPr>
          <w:rFonts w:ascii="宋体" w:hAnsi="宋体"/>
          <w:bCs/>
          <w:sz w:val="24"/>
        </w:rPr>
      </w:pPr>
      <w:r>
        <w:rPr>
          <w:rFonts w:hint="eastAsia" w:ascii="宋体" w:hAnsi="宋体"/>
          <w:bCs/>
          <w:sz w:val="24"/>
        </w:rPr>
        <w:t>（3）首次登录政府采购云平台的新用户应先点击“供应商入驻”，入驻成功后再登录。报名资格不能转让。</w:t>
      </w:r>
    </w:p>
    <w:p>
      <w:pPr>
        <w:spacing w:line="360" w:lineRule="auto"/>
        <w:ind w:firstLine="480" w:firstLineChars="200"/>
        <w:rPr>
          <w:rFonts w:ascii="宋体" w:hAnsi="宋体"/>
          <w:bCs/>
          <w:sz w:val="24"/>
        </w:rPr>
      </w:pPr>
      <w:r>
        <w:rPr>
          <w:rFonts w:hint="eastAsia" w:ascii="宋体" w:hAnsi="宋体"/>
          <w:bCs/>
          <w:sz w:val="24"/>
        </w:rPr>
        <w:t>（4）本项目为电子招标投标项目，投标人参与本项目全过程中凡涉及系统操作请详见《供应商政府采购项目电子交易操作指南》。（操作指南以政府采购云平台网站发布为准，获取方式详见：附件-政府采购云平台使用介绍）</w:t>
      </w:r>
    </w:p>
    <w:p>
      <w:pPr>
        <w:spacing w:line="360" w:lineRule="auto"/>
        <w:ind w:firstLine="482" w:firstLineChars="200"/>
        <w:rPr>
          <w:rFonts w:ascii="宋体" w:hAnsi="宋体" w:cs="宋体"/>
          <w:color w:val="000000"/>
          <w:sz w:val="24"/>
          <w:szCs w:val="28"/>
        </w:rPr>
      </w:pPr>
      <w:r>
        <w:rPr>
          <w:rFonts w:hint="eastAsia" w:ascii="宋体" w:hAnsi="宋体" w:cs="宋体"/>
          <w:b/>
          <w:color w:val="000000"/>
          <w:sz w:val="24"/>
          <w:szCs w:val="28"/>
        </w:rPr>
        <w:t>七、</w:t>
      </w:r>
      <w:r>
        <w:rPr>
          <w:rFonts w:hint="eastAsia" w:ascii="宋体" w:hAnsi="宋体" w:cs="宋体"/>
          <w:bCs/>
          <w:color w:val="000000"/>
          <w:sz w:val="24"/>
          <w:szCs w:val="28"/>
        </w:rPr>
        <w:t>（一）</w:t>
      </w:r>
      <w:r>
        <w:rPr>
          <w:rFonts w:hint="eastAsia" w:ascii="宋体" w:hAnsi="宋体"/>
          <w:b/>
          <w:bCs/>
          <w:sz w:val="24"/>
        </w:rPr>
        <w:t>投标文件递交截止时间和开标时间</w:t>
      </w:r>
      <w:r>
        <w:rPr>
          <w:rFonts w:hint="eastAsia" w:ascii="宋体" w:hAnsi="宋体" w:cs="宋体"/>
          <w:b/>
          <w:color w:val="000000"/>
          <w:sz w:val="24"/>
        </w:rPr>
        <w:t>：</w:t>
      </w:r>
      <w:r>
        <w:rPr>
          <w:rFonts w:hint="eastAsia" w:ascii="宋体" w:hAnsi="宋体" w:cs="宋体"/>
          <w:b/>
          <w:bCs/>
          <w:color w:val="000000"/>
          <w:sz w:val="24"/>
          <w:highlight w:val="none"/>
        </w:rPr>
        <w:t>2022年1月1</w:t>
      </w:r>
      <w:r>
        <w:rPr>
          <w:rFonts w:hint="eastAsia" w:ascii="宋体" w:hAnsi="宋体" w:cs="宋体"/>
          <w:b/>
          <w:bCs/>
          <w:color w:val="000000"/>
          <w:sz w:val="24"/>
          <w:highlight w:val="none"/>
          <w:lang w:val="en-US" w:eastAsia="zh-CN"/>
        </w:rPr>
        <w:t>8</w:t>
      </w:r>
      <w:r>
        <w:rPr>
          <w:rFonts w:hint="eastAsia" w:ascii="宋体" w:hAnsi="宋体" w:cs="宋体"/>
          <w:b/>
          <w:bCs/>
          <w:color w:val="000000"/>
          <w:sz w:val="24"/>
          <w:highlight w:val="none"/>
        </w:rPr>
        <w:t>日10:30</w:t>
      </w:r>
      <w:r>
        <w:rPr>
          <w:rFonts w:hint="eastAsia" w:ascii="宋体" w:hAnsi="宋体" w:cs="宋体"/>
          <w:color w:val="000000"/>
          <w:sz w:val="24"/>
          <w:szCs w:val="28"/>
        </w:rPr>
        <w:t>（北京时间）</w:t>
      </w:r>
      <w:r>
        <w:rPr>
          <w:rFonts w:hint="eastAsia" w:ascii="宋体" w:hAnsi="宋体"/>
          <w:bCs/>
          <w:sz w:val="24"/>
        </w:rPr>
        <w:t>（自招标文件开始发放之日起至投标人提交投标文件截止之日止，不得少于20日）</w:t>
      </w:r>
      <w:r>
        <w:rPr>
          <w:rFonts w:hint="eastAsia" w:ascii="宋体" w:hAnsi="宋体" w:cs="宋体"/>
          <w:color w:val="000000"/>
          <w:sz w:val="24"/>
          <w:szCs w:val="28"/>
        </w:rPr>
        <w:t>。</w:t>
      </w:r>
    </w:p>
    <w:p>
      <w:pPr>
        <w:wordWrap w:val="0"/>
        <w:adjustRightInd w:val="0"/>
        <w:snapToGrid w:val="0"/>
        <w:spacing w:line="360" w:lineRule="auto"/>
        <w:ind w:firstLine="218" w:firstLineChars="91"/>
        <w:rPr>
          <w:rFonts w:ascii="宋体" w:hAnsi="宋体" w:cs="宋体"/>
          <w:color w:val="000000"/>
          <w:sz w:val="24"/>
        </w:rPr>
      </w:pPr>
      <w:r>
        <w:rPr>
          <w:rFonts w:hint="eastAsia" w:ascii="宋体" w:hAnsi="宋体" w:cs="宋体"/>
          <w:color w:val="000000"/>
          <w:sz w:val="24"/>
        </w:rPr>
        <w:t>（二）</w:t>
      </w:r>
      <w:r>
        <w:rPr>
          <w:rFonts w:hint="eastAsia" w:ascii="宋体" w:hAnsi="宋体"/>
          <w:b/>
          <w:bCs/>
          <w:sz w:val="24"/>
        </w:rPr>
        <w:t>投标文件递交地点：</w:t>
      </w:r>
      <w:r>
        <w:rPr>
          <w:rFonts w:hint="eastAsia" w:ascii="宋体" w:hAnsi="宋体" w:cs="宋体"/>
          <w:color w:val="000000"/>
          <w:sz w:val="24"/>
        </w:rPr>
        <w:t>投标截止时间前，投标人应将加密的电子投标文件递交至“政府采购云平台”对应项目（包件）。</w:t>
      </w:r>
    </w:p>
    <w:p>
      <w:pPr>
        <w:wordWrap w:val="0"/>
        <w:adjustRightInd w:val="0"/>
        <w:snapToGrid w:val="0"/>
        <w:spacing w:line="360" w:lineRule="auto"/>
        <w:ind w:firstLine="218" w:firstLineChars="91"/>
        <w:rPr>
          <w:rFonts w:ascii="宋体" w:hAnsi="宋体"/>
          <w:b/>
          <w:bCs/>
          <w:sz w:val="24"/>
        </w:rPr>
      </w:pPr>
      <w:r>
        <w:rPr>
          <w:rFonts w:hint="eastAsia" w:ascii="宋体" w:hAnsi="宋体"/>
          <w:sz w:val="24"/>
        </w:rPr>
        <w:t>（三）</w:t>
      </w:r>
      <w:r>
        <w:rPr>
          <w:rFonts w:hint="eastAsia" w:ascii="宋体" w:hAnsi="宋体"/>
          <w:b/>
          <w:bCs/>
          <w:sz w:val="24"/>
        </w:rPr>
        <w:t>开标地点：</w:t>
      </w:r>
    </w:p>
    <w:p>
      <w:pPr>
        <w:wordWrap w:val="0"/>
        <w:adjustRightInd w:val="0"/>
        <w:snapToGrid w:val="0"/>
        <w:spacing w:line="360" w:lineRule="auto"/>
        <w:ind w:firstLine="218" w:firstLineChars="91"/>
        <w:rPr>
          <w:rFonts w:ascii="宋体" w:hAnsi="宋体"/>
          <w:sz w:val="24"/>
        </w:rPr>
      </w:pPr>
      <w:r>
        <w:rPr>
          <w:rFonts w:hint="eastAsia" w:ascii="宋体" w:hAnsi="宋体"/>
          <w:sz w:val="24"/>
        </w:rPr>
        <w:t>（1）本项目为不见面开标项目。</w:t>
      </w:r>
    </w:p>
    <w:p>
      <w:pPr>
        <w:wordWrap w:val="0"/>
        <w:adjustRightInd w:val="0"/>
        <w:snapToGrid w:val="0"/>
        <w:spacing w:line="360" w:lineRule="auto"/>
        <w:ind w:firstLine="218" w:firstLineChars="91"/>
        <w:rPr>
          <w:rFonts w:ascii="宋体" w:hAnsi="宋体"/>
          <w:sz w:val="24"/>
        </w:rPr>
      </w:pPr>
      <w:r>
        <w:rPr>
          <w:rFonts w:hint="eastAsia" w:ascii="宋体" w:hAnsi="宋体"/>
          <w:sz w:val="24"/>
        </w:rPr>
        <w:t>（2）开标地点：政府采购云平台(https://www.zcygov.cn)</w:t>
      </w:r>
    </w:p>
    <w:p>
      <w:pPr>
        <w:wordWrap w:val="0"/>
        <w:adjustRightInd w:val="0"/>
        <w:snapToGrid w:val="0"/>
        <w:spacing w:line="360" w:lineRule="auto"/>
        <w:ind w:firstLine="218" w:firstLineChars="91"/>
        <w:rPr>
          <w:rFonts w:ascii="宋体" w:hAnsi="宋体" w:cs="宋体"/>
          <w:color w:val="000000"/>
          <w:sz w:val="24"/>
        </w:rPr>
      </w:pPr>
      <w:r>
        <w:rPr>
          <w:rFonts w:hint="eastAsia" w:ascii="宋体" w:hAnsi="宋体"/>
          <w:sz w:val="24"/>
        </w:rPr>
        <w:t>（3）本项目只接受投标人加密并递交至“政府采购云平台”的投标文件。</w:t>
      </w:r>
    </w:p>
    <w:p>
      <w:pPr>
        <w:pStyle w:val="87"/>
        <w:ind w:firstLine="482"/>
        <w:rPr>
          <w:rFonts w:ascii="宋体" w:hAnsi="宋体" w:cs="宋体"/>
          <w:sz w:val="24"/>
        </w:rPr>
      </w:pPr>
      <w:r>
        <w:rPr>
          <w:rFonts w:hint="eastAsia" w:ascii="宋体" w:hAnsi="宋体" w:cs="宋体"/>
          <w:b/>
          <w:sz w:val="24"/>
        </w:rPr>
        <w:t>八、本投标邀请在四川政府采购网（http://www.ccgp-sichuan.gov.cn/）上以公告形式发布。</w:t>
      </w:r>
    </w:p>
    <w:p>
      <w:pPr>
        <w:pStyle w:val="87"/>
        <w:spacing w:line="420" w:lineRule="exact"/>
        <w:ind w:firstLine="482"/>
        <w:rPr>
          <w:rFonts w:ascii="宋体" w:hAnsi="宋体" w:cs="宋体"/>
          <w:b/>
          <w:color w:val="000000"/>
          <w:sz w:val="24"/>
          <w:szCs w:val="28"/>
        </w:rPr>
      </w:pPr>
      <w:r>
        <w:rPr>
          <w:rFonts w:hint="eastAsia" w:ascii="宋体" w:hAnsi="宋体" w:cs="宋体"/>
          <w:b/>
          <w:color w:val="000000"/>
          <w:sz w:val="24"/>
          <w:szCs w:val="28"/>
        </w:rPr>
        <w:t>九、供应商信用融资：</w:t>
      </w:r>
    </w:p>
    <w:p>
      <w:pPr>
        <w:pStyle w:val="87"/>
        <w:tabs>
          <w:tab w:val="left" w:pos="1260"/>
        </w:tabs>
        <w:ind w:firstLine="679" w:firstLineChars="283"/>
        <w:rPr>
          <w:rFonts w:ascii="宋体" w:hAnsi="宋体" w:cs="宋体"/>
          <w:sz w:val="24"/>
        </w:rPr>
      </w:pPr>
      <w:r>
        <w:rPr>
          <w:rFonts w:hint="eastAsia" w:ascii="宋体" w:hAnsi="宋体" w:cs="宋体"/>
          <w:sz w:val="24"/>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pStyle w:val="87"/>
        <w:tabs>
          <w:tab w:val="left" w:pos="1260"/>
        </w:tabs>
        <w:ind w:firstLine="679" w:firstLineChars="283"/>
        <w:rPr>
          <w:rFonts w:ascii="宋体" w:hAnsi="宋体" w:cs="宋体"/>
          <w:sz w:val="24"/>
        </w:rPr>
      </w:pPr>
      <w:r>
        <w:rPr>
          <w:rFonts w:hint="eastAsia" w:ascii="宋体" w:hAnsi="宋体" w:cs="宋体"/>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w:t>
      </w:r>
    </w:p>
    <w:p>
      <w:pPr>
        <w:pStyle w:val="87"/>
        <w:tabs>
          <w:tab w:val="left" w:pos="1260"/>
        </w:tabs>
        <w:ind w:firstLine="679" w:firstLineChars="283"/>
        <w:rPr>
          <w:rFonts w:ascii="宋体" w:hAnsi="宋体" w:cs="宋体"/>
          <w:sz w:val="24"/>
        </w:rPr>
      </w:pPr>
      <w:r>
        <w:rPr>
          <w:rFonts w:hint="eastAsia" w:ascii="宋体" w:hAnsi="宋体" w:cs="宋体"/>
          <w:sz w:val="24"/>
        </w:rPr>
        <w:t>3、在四川省、成都市确定的首期开展“政采贷”业务银行的基础上，双流区另有10家银行机构自愿开展政府采购信用融资业务，双流区银行机构名单如下：</w:t>
      </w:r>
    </w:p>
    <w:p>
      <w:pPr>
        <w:pStyle w:val="87"/>
        <w:tabs>
          <w:tab w:val="left" w:pos="1260"/>
        </w:tabs>
        <w:ind w:firstLine="679" w:firstLineChars="283"/>
        <w:rPr>
          <w:rFonts w:ascii="宋体" w:hAnsi="宋体" w:cs="宋体"/>
          <w:sz w:val="24"/>
        </w:rPr>
      </w:pPr>
      <w:r>
        <w:rPr>
          <w:rFonts w:hint="eastAsia" w:ascii="宋体" w:hAnsi="宋体" w:cs="宋体"/>
          <w:sz w:val="24"/>
        </w:rPr>
        <w:t xml:space="preserve">1.成都银行双流支行  </w:t>
      </w:r>
    </w:p>
    <w:p>
      <w:pPr>
        <w:pStyle w:val="87"/>
        <w:tabs>
          <w:tab w:val="left" w:pos="1260"/>
        </w:tabs>
        <w:ind w:firstLine="679" w:firstLineChars="283"/>
        <w:rPr>
          <w:rFonts w:ascii="宋体" w:hAnsi="宋体" w:cs="宋体"/>
          <w:sz w:val="24"/>
        </w:rPr>
      </w:pPr>
      <w:r>
        <w:rPr>
          <w:rFonts w:hint="eastAsia" w:ascii="宋体" w:hAnsi="宋体" w:cs="宋体"/>
          <w:sz w:val="24"/>
        </w:rPr>
        <w:t xml:space="preserve">2.中国建设银行双流分行 </w:t>
      </w:r>
    </w:p>
    <w:p>
      <w:pPr>
        <w:pStyle w:val="87"/>
        <w:tabs>
          <w:tab w:val="left" w:pos="1260"/>
        </w:tabs>
        <w:ind w:firstLine="679" w:firstLineChars="283"/>
        <w:rPr>
          <w:rFonts w:ascii="宋体" w:hAnsi="宋体" w:cs="宋体"/>
          <w:sz w:val="24"/>
        </w:rPr>
      </w:pPr>
      <w:r>
        <w:rPr>
          <w:rFonts w:hint="eastAsia" w:ascii="宋体" w:hAnsi="宋体" w:cs="宋体"/>
          <w:sz w:val="24"/>
        </w:rPr>
        <w:t>3.交通银行双流分行</w:t>
      </w:r>
    </w:p>
    <w:p>
      <w:pPr>
        <w:pStyle w:val="87"/>
        <w:tabs>
          <w:tab w:val="left" w:pos="1260"/>
        </w:tabs>
        <w:ind w:firstLine="679" w:firstLineChars="283"/>
        <w:rPr>
          <w:rFonts w:ascii="宋体" w:hAnsi="宋体" w:cs="宋体"/>
          <w:sz w:val="24"/>
        </w:rPr>
      </w:pPr>
      <w:r>
        <w:rPr>
          <w:rFonts w:hint="eastAsia" w:ascii="宋体" w:hAnsi="宋体" w:cs="宋体"/>
          <w:sz w:val="24"/>
        </w:rPr>
        <w:t>4.中国农业银行双流支行</w:t>
      </w:r>
    </w:p>
    <w:p>
      <w:pPr>
        <w:pStyle w:val="87"/>
        <w:tabs>
          <w:tab w:val="left" w:pos="1260"/>
        </w:tabs>
        <w:ind w:firstLine="679" w:firstLineChars="283"/>
        <w:rPr>
          <w:rFonts w:ascii="宋体" w:hAnsi="宋体" w:cs="宋体"/>
          <w:sz w:val="24"/>
        </w:rPr>
      </w:pPr>
      <w:r>
        <w:rPr>
          <w:rFonts w:hint="eastAsia" w:ascii="宋体" w:hAnsi="宋体" w:cs="宋体"/>
          <w:sz w:val="24"/>
        </w:rPr>
        <w:t>5.成都农商银行双流支行</w:t>
      </w:r>
    </w:p>
    <w:p>
      <w:pPr>
        <w:pStyle w:val="87"/>
        <w:tabs>
          <w:tab w:val="left" w:pos="1260"/>
        </w:tabs>
        <w:ind w:firstLine="679" w:firstLineChars="283"/>
        <w:rPr>
          <w:rFonts w:ascii="宋体" w:hAnsi="宋体" w:cs="宋体"/>
          <w:sz w:val="24"/>
        </w:rPr>
      </w:pPr>
      <w:r>
        <w:rPr>
          <w:rFonts w:hint="eastAsia" w:ascii="宋体" w:hAnsi="宋体" w:cs="宋体"/>
          <w:sz w:val="24"/>
        </w:rPr>
        <w:t>6.中国银行双流分行</w:t>
      </w:r>
    </w:p>
    <w:p>
      <w:pPr>
        <w:pStyle w:val="87"/>
        <w:tabs>
          <w:tab w:val="left" w:pos="1260"/>
        </w:tabs>
        <w:ind w:firstLine="679" w:firstLineChars="283"/>
        <w:rPr>
          <w:rFonts w:ascii="宋体" w:hAnsi="宋体" w:cs="宋体"/>
          <w:sz w:val="24"/>
        </w:rPr>
      </w:pPr>
      <w:r>
        <w:rPr>
          <w:rFonts w:hint="eastAsia" w:ascii="宋体" w:hAnsi="宋体" w:cs="宋体"/>
          <w:sz w:val="24"/>
        </w:rPr>
        <w:t>7.上海银行成都双流支行</w:t>
      </w:r>
    </w:p>
    <w:p>
      <w:pPr>
        <w:pStyle w:val="87"/>
        <w:tabs>
          <w:tab w:val="left" w:pos="1260"/>
        </w:tabs>
        <w:ind w:firstLine="679" w:firstLineChars="283"/>
        <w:rPr>
          <w:rFonts w:ascii="宋体" w:hAnsi="宋体" w:cs="宋体"/>
          <w:sz w:val="24"/>
        </w:rPr>
      </w:pPr>
      <w:r>
        <w:rPr>
          <w:rFonts w:hint="eastAsia" w:ascii="宋体" w:hAnsi="宋体" w:cs="宋体"/>
          <w:sz w:val="24"/>
        </w:rPr>
        <w:t>8.浙商银行成都双流支行</w:t>
      </w:r>
    </w:p>
    <w:p>
      <w:pPr>
        <w:pStyle w:val="87"/>
        <w:tabs>
          <w:tab w:val="left" w:pos="1260"/>
        </w:tabs>
        <w:ind w:firstLine="679" w:firstLineChars="283"/>
        <w:rPr>
          <w:rFonts w:ascii="宋体" w:hAnsi="宋体" w:cs="宋体"/>
          <w:sz w:val="24"/>
        </w:rPr>
      </w:pPr>
      <w:r>
        <w:rPr>
          <w:rFonts w:hint="eastAsia" w:ascii="宋体" w:hAnsi="宋体" w:cs="宋体"/>
          <w:sz w:val="24"/>
        </w:rPr>
        <w:t>9.中国工商银行成都双流支行</w:t>
      </w:r>
    </w:p>
    <w:p>
      <w:pPr>
        <w:pStyle w:val="87"/>
        <w:tabs>
          <w:tab w:val="left" w:pos="1260"/>
        </w:tabs>
        <w:ind w:firstLine="679" w:firstLineChars="283"/>
        <w:rPr>
          <w:rFonts w:ascii="宋体" w:hAnsi="宋体" w:cs="宋体"/>
          <w:sz w:val="24"/>
        </w:rPr>
      </w:pPr>
      <w:r>
        <w:rPr>
          <w:rFonts w:hint="eastAsia" w:ascii="宋体" w:hAnsi="宋体" w:cs="宋体"/>
          <w:sz w:val="24"/>
        </w:rPr>
        <w:t>10.中国邮政储蓄银行成都双流支行</w:t>
      </w:r>
    </w:p>
    <w:p>
      <w:pPr>
        <w:pStyle w:val="87"/>
        <w:ind w:firstLine="482"/>
        <w:rPr>
          <w:rFonts w:ascii="宋体" w:hAnsi="宋体" w:cs="宋体"/>
          <w:b/>
          <w:sz w:val="24"/>
        </w:rPr>
      </w:pPr>
      <w:r>
        <w:rPr>
          <w:rFonts w:hint="eastAsia" w:ascii="宋体" w:hAnsi="宋体" w:cs="宋体"/>
          <w:b/>
          <w:sz w:val="24"/>
        </w:rPr>
        <w:t>十、联系方式</w:t>
      </w:r>
    </w:p>
    <w:p>
      <w:pPr>
        <w:pStyle w:val="87"/>
        <w:ind w:firstLine="923" w:firstLineChars="383"/>
        <w:jc w:val="left"/>
        <w:rPr>
          <w:rFonts w:ascii="宋体" w:hAnsi="宋体" w:cs="宋体"/>
          <w:b/>
          <w:bCs/>
          <w:sz w:val="24"/>
        </w:rPr>
      </w:pPr>
      <w:r>
        <w:rPr>
          <w:rFonts w:hint="eastAsia" w:ascii="宋体" w:hAnsi="宋体" w:cs="宋体"/>
          <w:b/>
          <w:sz w:val="24"/>
        </w:rPr>
        <w:t>采购人：</w:t>
      </w:r>
      <w:r>
        <w:rPr>
          <w:rFonts w:hint="eastAsia" w:ascii="宋体" w:hAnsi="宋体" w:cs="宋体"/>
          <w:sz w:val="24"/>
        </w:rPr>
        <w:t>成都市双流区妇幼保健院</w:t>
      </w:r>
    </w:p>
    <w:p>
      <w:pPr>
        <w:pStyle w:val="87"/>
        <w:ind w:firstLine="919" w:firstLineChars="383"/>
        <w:jc w:val="left"/>
        <w:rPr>
          <w:rFonts w:ascii="宋体" w:hAnsi="宋体" w:cs="宋体"/>
          <w:sz w:val="24"/>
        </w:rPr>
      </w:pPr>
      <w:r>
        <w:rPr>
          <w:rFonts w:hint="eastAsia" w:ascii="宋体" w:hAnsi="宋体" w:cs="宋体"/>
          <w:sz w:val="24"/>
        </w:rPr>
        <w:t>地址：成都市双流区东升街道涧槽中街396号</w:t>
      </w:r>
    </w:p>
    <w:p>
      <w:pPr>
        <w:pStyle w:val="87"/>
        <w:ind w:firstLine="919" w:firstLineChars="383"/>
        <w:jc w:val="left"/>
        <w:rPr>
          <w:rFonts w:ascii="宋体" w:hAnsi="宋体" w:cs="宋体"/>
          <w:sz w:val="24"/>
        </w:rPr>
      </w:pPr>
      <w:r>
        <w:rPr>
          <w:rFonts w:hint="eastAsia" w:ascii="宋体" w:hAnsi="宋体" w:cs="宋体"/>
          <w:sz w:val="24"/>
        </w:rPr>
        <w:t>联系人：</w:t>
      </w:r>
      <w:r>
        <w:rPr>
          <w:rFonts w:hint="eastAsia" w:ascii="宋体" w:hAnsi="宋体"/>
          <w:color w:val="000000"/>
          <w:sz w:val="24"/>
        </w:rPr>
        <w:t>郭老师</w:t>
      </w:r>
    </w:p>
    <w:p>
      <w:pPr>
        <w:pStyle w:val="87"/>
        <w:ind w:firstLine="919" w:firstLineChars="383"/>
        <w:jc w:val="left"/>
        <w:rPr>
          <w:rFonts w:ascii="宋体" w:hAnsi="宋体" w:cs="宋体"/>
          <w:sz w:val="24"/>
        </w:rPr>
      </w:pPr>
      <w:r>
        <w:rPr>
          <w:rFonts w:hint="eastAsia" w:ascii="宋体" w:hAnsi="宋体" w:cs="宋体"/>
          <w:sz w:val="24"/>
        </w:rPr>
        <w:t>联系电话：028-85813145</w:t>
      </w:r>
    </w:p>
    <w:p>
      <w:pPr>
        <w:pStyle w:val="87"/>
        <w:ind w:firstLine="894" w:firstLineChars="371"/>
        <w:jc w:val="left"/>
        <w:rPr>
          <w:rFonts w:ascii="宋体" w:hAnsi="宋体" w:cs="宋体"/>
          <w:b/>
          <w:sz w:val="24"/>
        </w:rPr>
      </w:pPr>
      <w:r>
        <w:rPr>
          <w:rFonts w:hint="eastAsia" w:ascii="宋体" w:hAnsi="宋体" w:cs="宋体"/>
          <w:b/>
          <w:sz w:val="24"/>
        </w:rPr>
        <w:t>采购代理机构：</w:t>
      </w:r>
      <w:r>
        <w:rPr>
          <w:rFonts w:hint="eastAsia" w:ascii="宋体" w:hAnsi="宋体" w:cs="宋体"/>
          <w:sz w:val="24"/>
        </w:rPr>
        <w:t>四川轩辕招标代理有限公司</w:t>
      </w:r>
    </w:p>
    <w:p>
      <w:pPr>
        <w:pStyle w:val="87"/>
        <w:ind w:firstLine="919" w:firstLineChars="383"/>
        <w:jc w:val="left"/>
        <w:rPr>
          <w:rFonts w:ascii="宋体" w:hAnsi="宋体" w:cs="宋体"/>
          <w:bCs/>
          <w:sz w:val="24"/>
        </w:rPr>
      </w:pPr>
      <w:r>
        <w:rPr>
          <w:rFonts w:hint="eastAsia" w:ascii="宋体" w:hAnsi="宋体" w:cs="宋体"/>
          <w:sz w:val="24"/>
        </w:rPr>
        <w:t>地址：</w:t>
      </w:r>
      <w:r>
        <w:rPr>
          <w:rFonts w:hint="eastAsia" w:ascii="宋体" w:hAnsi="宋体" w:cs="宋体"/>
          <w:bCs/>
          <w:sz w:val="24"/>
        </w:rPr>
        <w:t>成都市锦江区墨香路87号8栋4楼</w:t>
      </w:r>
    </w:p>
    <w:p>
      <w:pPr>
        <w:pStyle w:val="87"/>
        <w:ind w:firstLine="919" w:firstLineChars="383"/>
        <w:jc w:val="left"/>
        <w:rPr>
          <w:rFonts w:ascii="宋体" w:hAnsi="宋体" w:cs="宋体"/>
          <w:sz w:val="24"/>
        </w:rPr>
      </w:pPr>
      <w:r>
        <w:rPr>
          <w:rFonts w:hint="eastAsia" w:ascii="宋体" w:hAnsi="宋体" w:cs="宋体"/>
          <w:sz w:val="24"/>
        </w:rPr>
        <w:t>联系人：李老师</w:t>
      </w:r>
    </w:p>
    <w:p>
      <w:pPr>
        <w:pStyle w:val="87"/>
        <w:ind w:firstLine="919" w:firstLineChars="383"/>
        <w:jc w:val="left"/>
        <w:rPr>
          <w:rFonts w:ascii="宋体" w:hAnsi="宋体" w:cs="宋体"/>
          <w:sz w:val="24"/>
        </w:rPr>
      </w:pPr>
      <w:r>
        <w:rPr>
          <w:rFonts w:hint="eastAsia" w:ascii="宋体" w:hAnsi="宋体" w:cs="宋体"/>
          <w:sz w:val="24"/>
        </w:rPr>
        <w:t>联系电话：</w:t>
      </w:r>
      <w:bookmarkStart w:id="3" w:name="_Toc490290179"/>
      <w:bookmarkStart w:id="4" w:name="_Toc213496267"/>
      <w:bookmarkStart w:id="5" w:name="_Toc213396759"/>
      <w:bookmarkStart w:id="6" w:name="_Toc213396945"/>
      <w:bookmarkStart w:id="7" w:name="_Toc217446031"/>
      <w:bookmarkStart w:id="8" w:name="_Toc213397009"/>
      <w:r>
        <w:rPr>
          <w:rFonts w:hint="eastAsia" w:ascii="宋体" w:hAnsi="宋体" w:cs="宋体"/>
          <w:sz w:val="24"/>
        </w:rPr>
        <w:t>028-65731881</w:t>
      </w:r>
    </w:p>
    <w:p>
      <w:pPr>
        <w:pStyle w:val="33"/>
        <w:spacing w:line="360" w:lineRule="auto"/>
        <w:rPr>
          <w:rFonts w:ascii="宋体" w:hAnsi="宋体" w:cs="宋体"/>
        </w:rPr>
      </w:pPr>
      <w:r>
        <w:rPr>
          <w:rFonts w:hint="eastAsia" w:ascii="宋体" w:hAnsi="宋体" w:cs="宋体"/>
        </w:rPr>
        <w:br w:type="page"/>
      </w:r>
      <w:bookmarkStart w:id="9" w:name="_Toc12026"/>
      <w:bookmarkStart w:id="10" w:name="_Toc16547"/>
      <w:r>
        <w:rPr>
          <w:rFonts w:hint="eastAsia" w:ascii="宋体" w:hAnsi="宋体" w:cs="宋体"/>
        </w:rPr>
        <w:t>第二章  投标人须知</w:t>
      </w:r>
      <w:bookmarkEnd w:id="3"/>
      <w:bookmarkEnd w:id="9"/>
      <w:bookmarkEnd w:id="10"/>
    </w:p>
    <w:p>
      <w:pPr>
        <w:pStyle w:val="4"/>
        <w:spacing w:line="360" w:lineRule="auto"/>
        <w:rPr>
          <w:rFonts w:ascii="宋体" w:hAnsi="宋体" w:cs="宋体"/>
          <w:b/>
        </w:rPr>
      </w:pPr>
      <w:bookmarkStart w:id="11" w:name="_Toc490290180"/>
      <w:bookmarkStart w:id="12" w:name="_Toc30143"/>
      <w:bookmarkStart w:id="13" w:name="_Toc15053"/>
      <w:r>
        <w:rPr>
          <w:rFonts w:hint="eastAsia" w:ascii="宋体" w:hAnsi="宋体" w:cs="宋体"/>
          <w:b/>
        </w:rPr>
        <w:t>一、投标人须知附表</w:t>
      </w:r>
      <w:bookmarkEnd w:id="11"/>
      <w:bookmarkEnd w:id="12"/>
      <w:bookmarkEnd w:id="13"/>
    </w:p>
    <w:tbl>
      <w:tblPr>
        <w:tblStyle w:val="35"/>
        <w:tblW w:w="912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7"/>
        <w:gridCol w:w="1985"/>
        <w:gridCol w:w="658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ind w:left="9"/>
              <w:jc w:val="center"/>
              <w:rPr>
                <w:rFonts w:ascii="宋体" w:hAnsi="宋体" w:cs="宋体"/>
                <w:b/>
                <w:color w:val="000000"/>
                <w:szCs w:val="21"/>
              </w:rPr>
            </w:pPr>
            <w:r>
              <w:rPr>
                <w:rFonts w:hint="eastAsia" w:ascii="宋体" w:hAnsi="宋体" w:cs="宋体"/>
                <w:b/>
                <w:color w:val="000000"/>
                <w:szCs w:val="21"/>
              </w:rPr>
              <w:t>序号</w:t>
            </w:r>
          </w:p>
        </w:tc>
        <w:tc>
          <w:tcPr>
            <w:tcW w:w="1985" w:type="dxa"/>
            <w:vAlign w:val="center"/>
          </w:tcPr>
          <w:p>
            <w:pPr>
              <w:autoSpaceDE w:val="0"/>
              <w:autoSpaceDN w:val="0"/>
              <w:adjustRightInd w:val="0"/>
              <w:spacing w:line="360" w:lineRule="auto"/>
              <w:ind w:left="38"/>
              <w:jc w:val="center"/>
              <w:rPr>
                <w:rFonts w:ascii="宋体" w:hAnsi="宋体" w:cs="宋体"/>
                <w:b/>
                <w:color w:val="000000"/>
                <w:szCs w:val="21"/>
              </w:rPr>
            </w:pPr>
            <w:r>
              <w:rPr>
                <w:rFonts w:hint="eastAsia" w:ascii="宋体" w:hAnsi="宋体" w:cs="宋体"/>
                <w:b/>
                <w:color w:val="000000"/>
                <w:szCs w:val="21"/>
              </w:rPr>
              <w:t>条款名称</w:t>
            </w:r>
          </w:p>
        </w:tc>
        <w:tc>
          <w:tcPr>
            <w:tcW w:w="6588" w:type="dxa"/>
            <w:vAlign w:val="center"/>
          </w:tcPr>
          <w:p>
            <w:pPr>
              <w:autoSpaceDE w:val="0"/>
              <w:autoSpaceDN w:val="0"/>
              <w:adjustRightInd w:val="0"/>
              <w:spacing w:line="360" w:lineRule="auto"/>
              <w:jc w:val="center"/>
              <w:rPr>
                <w:rFonts w:ascii="宋体" w:hAnsi="宋体" w:cs="宋体"/>
                <w:b/>
                <w:color w:val="000000"/>
                <w:szCs w:val="21"/>
              </w:rPr>
            </w:pPr>
            <w:r>
              <w:rPr>
                <w:rFonts w:hint="eastAsia" w:ascii="宋体" w:hAnsi="宋体" w:cs="宋体"/>
                <w:b/>
                <w:color w:val="000000"/>
                <w:szCs w:val="21"/>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7" w:type="dxa"/>
            <w:vMerge w:val="restart"/>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rPr>
              <w:t>1</w:t>
            </w:r>
          </w:p>
        </w:tc>
        <w:tc>
          <w:tcPr>
            <w:tcW w:w="1985" w:type="dxa"/>
            <w:tcBorders>
              <w:bottom w:val="single" w:color="auto" w:sz="4" w:space="0"/>
            </w:tcBorders>
            <w:vAlign w:val="center"/>
          </w:tcPr>
          <w:p>
            <w:pPr>
              <w:autoSpaceDE w:val="0"/>
              <w:autoSpaceDN w:val="0"/>
              <w:adjustRightInd w:val="0"/>
              <w:spacing w:before="156" w:beforeLines="50" w:line="360" w:lineRule="auto"/>
              <w:ind w:left="40"/>
              <w:jc w:val="center"/>
              <w:rPr>
                <w:rFonts w:ascii="宋体" w:hAnsi="宋体" w:cs="宋体"/>
                <w:color w:val="000000"/>
                <w:szCs w:val="21"/>
              </w:rPr>
            </w:pPr>
            <w:r>
              <w:rPr>
                <w:rFonts w:hint="eastAsia" w:ascii="宋体" w:hAnsi="宋体" w:cs="宋体"/>
                <w:color w:val="000000"/>
                <w:szCs w:val="21"/>
              </w:rPr>
              <w:t>采购预算</w:t>
            </w:r>
          </w:p>
          <w:p>
            <w:pPr>
              <w:autoSpaceDE w:val="0"/>
              <w:autoSpaceDN w:val="0"/>
              <w:adjustRightInd w:val="0"/>
              <w:spacing w:line="360" w:lineRule="auto"/>
              <w:ind w:left="38"/>
              <w:jc w:val="center"/>
              <w:rPr>
                <w:rFonts w:ascii="宋体" w:hAnsi="宋体" w:cs="宋体"/>
                <w:color w:val="000000"/>
                <w:szCs w:val="21"/>
              </w:rPr>
            </w:pPr>
            <w:r>
              <w:rPr>
                <w:rFonts w:hint="eastAsia" w:ascii="宋体" w:hAnsi="宋体" w:cs="宋体"/>
                <w:color w:val="000000"/>
                <w:kern w:val="0"/>
                <w:szCs w:val="21"/>
              </w:rPr>
              <w:t>（实质性要求）</w:t>
            </w:r>
          </w:p>
        </w:tc>
        <w:tc>
          <w:tcPr>
            <w:tcW w:w="6588" w:type="dxa"/>
            <w:tcBorders>
              <w:bottom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000000"/>
                <w:kern w:val="0"/>
                <w:szCs w:val="21"/>
              </w:rPr>
            </w:pPr>
            <w:r>
              <w:rPr>
                <w:rFonts w:hint="eastAsia" w:ascii="宋体" w:hAnsi="宋体" w:cs="宋体"/>
                <w:color w:val="000000"/>
                <w:kern w:val="0"/>
                <w:szCs w:val="21"/>
              </w:rPr>
              <w:t>采购预算：1000万元（其中第一包：500万元，第二包：350万元，第三包：150万元）。</w:t>
            </w:r>
          </w:p>
          <w:p>
            <w:pPr>
              <w:autoSpaceDE w:val="0"/>
              <w:autoSpaceDN w:val="0"/>
              <w:adjustRightInd w:val="0"/>
              <w:spacing w:line="360" w:lineRule="auto"/>
              <w:ind w:left="105" w:leftChars="50" w:right="105" w:rightChars="50"/>
              <w:rPr>
                <w:rFonts w:ascii="宋体" w:hAnsi="宋体" w:cs="宋体"/>
                <w:color w:val="000000"/>
                <w:kern w:val="0"/>
                <w:szCs w:val="21"/>
              </w:rPr>
            </w:pPr>
            <w:r>
              <w:rPr>
                <w:rFonts w:hint="eastAsia" w:ascii="宋体" w:hAnsi="宋体" w:cs="宋体"/>
                <w:color w:val="000000"/>
                <w:kern w:val="0"/>
                <w:szCs w:val="21"/>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Merge w:val="continue"/>
            <w:vAlign w:val="center"/>
          </w:tcPr>
          <w:p>
            <w:pPr>
              <w:spacing w:line="360" w:lineRule="auto"/>
              <w:jc w:val="center"/>
              <w:rPr>
                <w:rFonts w:ascii="宋体" w:hAnsi="宋体" w:cs="宋体"/>
                <w:color w:val="000000"/>
                <w:szCs w:val="21"/>
              </w:rPr>
            </w:pPr>
          </w:p>
        </w:tc>
        <w:tc>
          <w:tcPr>
            <w:tcW w:w="1985" w:type="dxa"/>
            <w:tcBorders>
              <w:top w:val="single" w:color="auto" w:sz="4" w:space="0"/>
            </w:tcBorders>
            <w:vAlign w:val="center"/>
          </w:tcPr>
          <w:p>
            <w:pPr>
              <w:autoSpaceDE w:val="0"/>
              <w:autoSpaceDN w:val="0"/>
              <w:adjustRightInd w:val="0"/>
              <w:spacing w:before="156" w:beforeLines="50" w:line="360" w:lineRule="auto"/>
              <w:jc w:val="center"/>
              <w:rPr>
                <w:rFonts w:ascii="宋体" w:hAnsi="宋体" w:cs="宋体"/>
                <w:color w:val="000000"/>
                <w:szCs w:val="21"/>
              </w:rPr>
            </w:pPr>
            <w:r>
              <w:rPr>
                <w:rFonts w:hint="eastAsia" w:ascii="宋体" w:hAnsi="宋体" w:cs="宋体"/>
                <w:color w:val="000000"/>
                <w:szCs w:val="21"/>
              </w:rPr>
              <w:t>最高限价</w:t>
            </w:r>
          </w:p>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kern w:val="0"/>
                <w:szCs w:val="21"/>
              </w:rPr>
              <w:t>（实质性要求）</w:t>
            </w:r>
          </w:p>
        </w:tc>
        <w:tc>
          <w:tcPr>
            <w:tcW w:w="6588" w:type="dxa"/>
            <w:tcBorders>
              <w:top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000000"/>
                <w:kern w:val="0"/>
                <w:szCs w:val="21"/>
              </w:rPr>
            </w:pPr>
            <w:r>
              <w:rPr>
                <w:rFonts w:hint="eastAsia" w:ascii="宋体" w:hAnsi="宋体" w:cs="宋体"/>
                <w:color w:val="000000"/>
                <w:kern w:val="0"/>
                <w:szCs w:val="21"/>
              </w:rPr>
              <w:t>本项目最高限价为单价限价，各单价限价详见招标文件第六章采购清单，超过最高限价的报价为无效报价。（同时投标人报出总价，并以总价进行价格评审）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74" w:hRule="atLeast"/>
          <w:jc w:val="center"/>
        </w:trPr>
        <w:tc>
          <w:tcPr>
            <w:tcW w:w="547" w:type="dxa"/>
            <w:tcBorders>
              <w:bottom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1985" w:type="dxa"/>
            <w:tcBorders>
              <w:top w:val="single" w:color="auto" w:sz="4" w:space="0"/>
              <w:bottom w:val="single" w:color="auto" w:sz="4" w:space="0"/>
            </w:tcBorders>
            <w:vAlign w:val="center"/>
          </w:tcPr>
          <w:p>
            <w:pPr>
              <w:autoSpaceDE w:val="0"/>
              <w:autoSpaceDN w:val="0"/>
              <w:adjustRightInd w:val="0"/>
              <w:spacing w:before="156" w:beforeLines="50" w:line="360" w:lineRule="auto"/>
              <w:ind w:left="40"/>
              <w:jc w:val="center"/>
              <w:rPr>
                <w:rFonts w:ascii="宋体" w:hAnsi="宋体" w:cs="宋体"/>
                <w:color w:val="000000"/>
                <w:szCs w:val="21"/>
                <w:lang w:val="zh-CN"/>
              </w:rPr>
            </w:pPr>
            <w:r>
              <w:rPr>
                <w:rFonts w:hint="eastAsia" w:ascii="宋体" w:hAnsi="宋体" w:cs="宋体"/>
                <w:color w:val="000000"/>
                <w:szCs w:val="21"/>
                <w:lang w:val="zh-CN"/>
              </w:rPr>
              <w:t>不正当</w:t>
            </w:r>
          </w:p>
          <w:p>
            <w:pPr>
              <w:autoSpaceDE w:val="0"/>
              <w:autoSpaceDN w:val="0"/>
              <w:adjustRightInd w:val="0"/>
              <w:spacing w:before="156" w:beforeLines="50" w:line="360" w:lineRule="auto"/>
              <w:ind w:left="40"/>
              <w:jc w:val="center"/>
              <w:rPr>
                <w:rFonts w:ascii="宋体" w:hAnsi="宋体" w:cs="宋体"/>
                <w:color w:val="000000"/>
                <w:szCs w:val="21"/>
                <w:lang w:val="zh-CN"/>
              </w:rPr>
            </w:pPr>
            <w:r>
              <w:rPr>
                <w:rFonts w:hint="eastAsia" w:ascii="宋体" w:hAnsi="宋体" w:cs="宋体"/>
                <w:color w:val="000000"/>
                <w:szCs w:val="21"/>
                <w:lang w:val="zh-CN"/>
              </w:rPr>
              <w:t>竞争预防措施</w:t>
            </w:r>
          </w:p>
          <w:p>
            <w:pPr>
              <w:autoSpaceDE w:val="0"/>
              <w:autoSpaceDN w:val="0"/>
              <w:adjustRightInd w:val="0"/>
              <w:spacing w:before="156" w:beforeLines="50" w:line="360" w:lineRule="auto"/>
              <w:ind w:left="40"/>
              <w:jc w:val="center"/>
              <w:rPr>
                <w:rFonts w:ascii="宋体" w:hAnsi="宋体" w:cs="宋体"/>
                <w:color w:val="000000"/>
                <w:szCs w:val="21"/>
                <w:lang w:val="zh-CN"/>
              </w:rPr>
            </w:pPr>
            <w:r>
              <w:rPr>
                <w:rFonts w:hint="eastAsia" w:ascii="宋体" w:hAnsi="宋体" w:cs="宋体"/>
                <w:color w:val="000000"/>
                <w:szCs w:val="21"/>
                <w:lang w:val="zh-CN"/>
              </w:rPr>
              <w:t>（实质性要求）</w:t>
            </w:r>
          </w:p>
        </w:tc>
        <w:tc>
          <w:tcPr>
            <w:tcW w:w="6588" w:type="dxa"/>
            <w:tcBorders>
              <w:top w:val="single" w:color="auto" w:sz="4" w:space="0"/>
              <w:bottom w:val="single" w:color="auto" w:sz="4" w:space="0"/>
            </w:tcBorders>
            <w:vAlign w:val="center"/>
          </w:tcPr>
          <w:p>
            <w:pPr>
              <w:autoSpaceDE w:val="0"/>
              <w:autoSpaceDN w:val="0"/>
              <w:adjustRightInd w:val="0"/>
              <w:spacing w:line="360" w:lineRule="auto"/>
              <w:ind w:left="105" w:leftChars="50" w:right="105" w:rightChars="50"/>
              <w:rPr>
                <w:rFonts w:ascii="宋体" w:hAnsi="宋体" w:cs="宋体"/>
                <w:color w:val="000000"/>
                <w:kern w:val="0"/>
                <w:szCs w:val="21"/>
              </w:rPr>
            </w:pPr>
            <w:bookmarkStart w:id="14" w:name="PO_默认文件内容_1"/>
            <w:r>
              <w:rPr>
                <w:rFonts w:hint="eastAsia" w:ascii="宋体" w:hAnsi="宋体" w:cs="宋体"/>
                <w:color w:val="000000"/>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14"/>
            <w:r>
              <w:rPr>
                <w:rFonts w:hint="eastAsia" w:ascii="宋体" w:hAnsi="宋体" w:cs="宋体"/>
                <w:color w:val="000000"/>
                <w:kern w:val="0"/>
                <w:szCs w:val="21"/>
              </w:rPr>
              <w:t>注：</w:t>
            </w:r>
            <w:r>
              <w:rPr>
                <w:rFonts w:hint="eastAsia" w:ascii="宋体" w:hAnsi="宋体" w:cs="宋体"/>
                <w:color w:val="000000"/>
                <w:kern w:val="0"/>
                <w:szCs w:val="21"/>
                <w:lang w:val="zh-CN"/>
              </w:rPr>
              <w:t>投标人提交的书面说明、相关证明材料（如涉及），应当加盖投标人（法定名称）电子签章，在评标委员会要求的时间内通过政府采购云平台进行递交，否则无效（给予供应商澄清、说明的时间不得少于</w:t>
            </w:r>
            <w:r>
              <w:rPr>
                <w:rFonts w:hint="eastAsia" w:ascii="宋体" w:hAnsi="宋体" w:cs="宋体"/>
                <w:color w:val="000000"/>
                <w:kern w:val="0"/>
                <w:szCs w:val="21"/>
              </w:rPr>
              <w:t>30分钟，供应商已明确表示澄清、说明完毕的除外</w:t>
            </w:r>
            <w:r>
              <w:rPr>
                <w:rFonts w:hint="eastAsia" w:ascii="宋体" w:hAnsi="宋体" w:cs="宋体"/>
                <w:color w:val="000000"/>
                <w:kern w:val="0"/>
                <w:szCs w:val="21"/>
                <w:lang w:val="zh-CN"/>
              </w:rPr>
              <w:t>）。如因断电、断网、系统故障或其他不可抗力等因素，导致系统无法使用的，由投标人按评标委员会的要求进行澄清或者说明。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8" w:hRule="atLeast"/>
          <w:jc w:val="center"/>
        </w:trPr>
        <w:tc>
          <w:tcPr>
            <w:tcW w:w="547" w:type="dxa"/>
            <w:tcBorders>
              <w:top w:val="single" w:color="auto" w:sz="4" w:space="0"/>
            </w:tcBorders>
            <w:vAlign w:val="center"/>
          </w:tcPr>
          <w:p>
            <w:pPr>
              <w:autoSpaceDE w:val="0"/>
              <w:autoSpaceDN w:val="0"/>
              <w:spacing w:line="360" w:lineRule="auto"/>
              <w:jc w:val="center"/>
              <w:rPr>
                <w:rFonts w:ascii="宋体" w:hAnsi="宋体" w:cs="宋体"/>
                <w:color w:val="000000"/>
                <w:szCs w:val="21"/>
              </w:rPr>
            </w:pPr>
            <w:r>
              <w:rPr>
                <w:rFonts w:hint="eastAsia" w:ascii="宋体" w:hAnsi="宋体" w:cs="宋体"/>
                <w:color w:val="000000"/>
                <w:szCs w:val="21"/>
                <w:lang w:val="zh-CN"/>
              </w:rPr>
              <w:t>3</w:t>
            </w:r>
          </w:p>
        </w:tc>
        <w:tc>
          <w:tcPr>
            <w:tcW w:w="1985" w:type="dxa"/>
            <w:tcBorders>
              <w:top w:val="single" w:color="auto" w:sz="4" w:space="0"/>
            </w:tcBorders>
            <w:vAlign w:val="center"/>
          </w:tcPr>
          <w:p>
            <w:pPr>
              <w:pStyle w:val="82"/>
              <w:ind w:left="38"/>
              <w:jc w:val="center"/>
              <w:rPr>
                <w:color w:val="000000"/>
                <w:kern w:val="2"/>
                <w:sz w:val="21"/>
                <w:szCs w:val="21"/>
                <w:lang w:val="zh-CN"/>
              </w:rPr>
            </w:pPr>
            <w:r>
              <w:rPr>
                <w:rFonts w:hint="eastAsia"/>
                <w:color w:val="000000"/>
                <w:kern w:val="2"/>
                <w:sz w:val="21"/>
                <w:szCs w:val="21"/>
                <w:lang w:val="zh-CN"/>
              </w:rPr>
              <w:t>进口产品（实质性要求）</w:t>
            </w:r>
          </w:p>
        </w:tc>
        <w:tc>
          <w:tcPr>
            <w:tcW w:w="6588" w:type="dxa"/>
            <w:tcBorders>
              <w:top w:val="single" w:color="auto" w:sz="4" w:space="0"/>
            </w:tcBorders>
            <w:vAlign w:val="center"/>
          </w:tcPr>
          <w:p>
            <w:pPr>
              <w:autoSpaceDE w:val="0"/>
              <w:autoSpaceDN w:val="0"/>
              <w:adjustRightInd w:val="0"/>
              <w:spacing w:line="360" w:lineRule="auto"/>
              <w:ind w:left="105" w:leftChars="50" w:right="105" w:rightChars="50"/>
              <w:jc w:val="left"/>
              <w:rPr>
                <w:rFonts w:ascii="宋体" w:hAnsi="宋体" w:cs="宋体"/>
                <w:color w:val="000000"/>
                <w:kern w:val="0"/>
                <w:szCs w:val="21"/>
              </w:rPr>
            </w:pPr>
            <w:r>
              <w:rPr>
                <w:rFonts w:hint="eastAsia" w:ascii="宋体" w:hAnsi="宋体" w:cs="宋体"/>
                <w:color w:val="000000"/>
                <w:kern w:val="0"/>
                <w:szCs w:val="21"/>
              </w:rPr>
              <w:t>本项目招标文件中未载明“允许采购进口产品”的产品，视为拒绝进口产品参与竞争，供应商以进口产品投标时，将按无效投标处理。载明“允许采购进口产品”的产品，不限制国产产品参与竞争。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spacing w:line="360" w:lineRule="auto"/>
              <w:jc w:val="center"/>
              <w:rPr>
                <w:rFonts w:ascii="宋体" w:hAnsi="宋体" w:cs="宋体"/>
                <w:color w:val="000000"/>
                <w:szCs w:val="21"/>
                <w:lang w:val="zh-CN"/>
              </w:rPr>
            </w:pPr>
            <w:r>
              <w:rPr>
                <w:rFonts w:hint="eastAsia" w:ascii="宋体" w:hAnsi="宋体" w:cs="宋体"/>
                <w:color w:val="000000"/>
                <w:szCs w:val="21"/>
              </w:rPr>
              <w:t>4</w:t>
            </w:r>
          </w:p>
        </w:tc>
        <w:tc>
          <w:tcPr>
            <w:tcW w:w="1985" w:type="dxa"/>
            <w:vAlign w:val="center"/>
          </w:tcPr>
          <w:p>
            <w:pPr>
              <w:autoSpaceDE w:val="0"/>
              <w:autoSpaceDN w:val="0"/>
              <w:adjustRightInd w:val="0"/>
              <w:spacing w:before="156" w:beforeLines="50" w:line="360" w:lineRule="auto"/>
              <w:ind w:left="40"/>
              <w:jc w:val="center"/>
              <w:rPr>
                <w:rFonts w:ascii="宋体" w:hAnsi="宋体" w:cs="宋体"/>
                <w:color w:val="000000"/>
                <w:szCs w:val="21"/>
              </w:rPr>
            </w:pPr>
            <w:r>
              <w:rPr>
                <w:rFonts w:hint="eastAsia" w:ascii="宋体" w:hAnsi="宋体" w:cs="宋体"/>
                <w:color w:val="000000"/>
                <w:szCs w:val="21"/>
                <w:lang w:val="zh-CN"/>
              </w:rPr>
              <w:t>小微企业（监狱企业、残疾人福利性单位视同小微企业）价格扣除</w:t>
            </w:r>
          </w:p>
        </w:tc>
        <w:tc>
          <w:tcPr>
            <w:tcW w:w="6588" w:type="dxa"/>
            <w:vAlign w:val="center"/>
          </w:tcPr>
          <w:p>
            <w:pPr>
              <w:spacing w:line="360" w:lineRule="auto"/>
              <w:ind w:right="105" w:rightChars="50"/>
              <w:rPr>
                <w:rFonts w:ascii="宋体" w:hAnsi="宋体" w:cs="宋体"/>
                <w:szCs w:val="21"/>
              </w:rPr>
            </w:pPr>
            <w:r>
              <w:rPr>
                <w:rFonts w:hint="eastAsia" w:ascii="宋体" w:hAnsi="宋体" w:cs="宋体"/>
                <w:szCs w:val="21"/>
              </w:rPr>
              <w:t>1、根据《政府采购促进中小企业发展管理办法》（财库﹝2020﹞46 号）的规定，对小型和微型企业产品（监狱企业和残疾人福利性单位视同小微企业）的价格给予10%的价格扣除，用扣除后的价格参与评审。</w:t>
            </w:r>
          </w:p>
          <w:p>
            <w:pPr>
              <w:spacing w:line="360" w:lineRule="auto"/>
              <w:ind w:right="105" w:rightChars="50"/>
              <w:rPr>
                <w:rFonts w:ascii="宋体" w:hAnsi="宋体" w:cs="宋体"/>
                <w:szCs w:val="21"/>
              </w:rPr>
            </w:pPr>
            <w:r>
              <w:rPr>
                <w:rFonts w:hint="eastAsia" w:ascii="宋体" w:hAnsi="宋体" w:cs="宋体"/>
                <w:szCs w:val="21"/>
              </w:rPr>
              <w:t xml:space="preserve">2、参加政府采购活动的中小企业应当提供《中小企业声明函》原件；若提供虚假《中小企业声明函》的，以提供虚假材料谋取成交予以认定。 </w:t>
            </w:r>
          </w:p>
          <w:p>
            <w:pPr>
              <w:spacing w:line="360" w:lineRule="auto"/>
              <w:ind w:right="105" w:rightChars="50"/>
              <w:rPr>
                <w:rFonts w:ascii="宋体" w:hAnsi="宋体" w:cs="宋体"/>
                <w:szCs w:val="21"/>
              </w:rPr>
            </w:pPr>
            <w:r>
              <w:rPr>
                <w:rFonts w:hint="eastAsia" w:ascii="宋体" w:hAnsi="宋体" w:cs="宋体"/>
                <w:szCs w:val="21"/>
              </w:rPr>
              <w:t>3、参加政府采购活动的监狱企业应当提供省级以上监狱管理局、戒毒管理局（含新疆生产建设兵团）出具的属于监狱企业的证明文件。监狱企业属于小型、微型企业的，不重复享受政策。</w:t>
            </w:r>
          </w:p>
          <w:p>
            <w:pPr>
              <w:spacing w:line="360" w:lineRule="auto"/>
              <w:ind w:right="105" w:rightChars="50"/>
              <w:rPr>
                <w:rFonts w:ascii="宋体" w:hAnsi="宋体" w:cs="宋体"/>
                <w:szCs w:val="21"/>
              </w:rPr>
            </w:pPr>
            <w:r>
              <w:rPr>
                <w:rFonts w:hint="eastAsia" w:ascii="宋体" w:hAnsi="宋体" w:cs="宋体"/>
                <w:szCs w:val="21"/>
              </w:rPr>
              <w:t xml:space="preserve">4、符合《关于促进残疾人就业政府采购政策的通知》（财库〔2017〕141 号）规定条件的残疾人福利性单位在参加政府采购活动时，应当提供《残疾人福利性单位声明函》，并对声明的真实性负责；若提供虚假《残疾人福利性单位声明函》的，以提供虚假材料谋取成交予以认定。残疾人福利性单位属于小型、微型企业的，不重复享受政策。 </w:t>
            </w:r>
          </w:p>
          <w:p>
            <w:pPr>
              <w:autoSpaceDE w:val="0"/>
              <w:autoSpaceDN w:val="0"/>
              <w:adjustRightInd w:val="0"/>
              <w:spacing w:line="360" w:lineRule="auto"/>
              <w:ind w:right="105" w:rightChars="50"/>
              <w:jc w:val="left"/>
              <w:rPr>
                <w:rFonts w:ascii="宋体" w:hAnsi="宋体" w:cs="宋体"/>
                <w:color w:val="000000"/>
                <w:kern w:val="0"/>
                <w:szCs w:val="21"/>
              </w:rPr>
            </w:pPr>
            <w:r>
              <w:rPr>
                <w:rFonts w:hint="eastAsia" w:ascii="宋体" w:hAnsi="宋体" w:cs="宋体"/>
                <w:szCs w:val="21"/>
              </w:rPr>
              <w:t>5、符合中小企业划型标准的个体工商户，在采购活动中视同中小企业。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985" w:type="dxa"/>
            <w:vAlign w:val="center"/>
          </w:tcPr>
          <w:p>
            <w:pPr>
              <w:spacing w:line="360" w:lineRule="auto"/>
              <w:ind w:left="105" w:leftChars="50" w:right="105" w:rightChars="50"/>
              <w:jc w:val="center"/>
              <w:rPr>
                <w:rFonts w:ascii="宋体" w:hAnsi="宋体" w:cs="宋体"/>
                <w:color w:val="000000"/>
                <w:szCs w:val="21"/>
              </w:rPr>
            </w:pPr>
            <w:r>
              <w:rPr>
                <w:rFonts w:hint="eastAsia" w:ascii="宋体" w:hAnsi="宋体" w:cs="宋体"/>
                <w:color w:val="000000"/>
                <w:kern w:val="0"/>
                <w:szCs w:val="21"/>
              </w:rPr>
              <w:t>评标情况公告</w:t>
            </w:r>
          </w:p>
        </w:tc>
        <w:tc>
          <w:tcPr>
            <w:tcW w:w="6588" w:type="dxa"/>
            <w:vAlign w:val="center"/>
          </w:tcPr>
          <w:p>
            <w:pPr>
              <w:widowControl/>
              <w:spacing w:before="156" w:beforeLines="50" w:line="360" w:lineRule="auto"/>
              <w:ind w:left="105" w:leftChars="50" w:right="105" w:rightChars="50"/>
              <w:jc w:val="left"/>
              <w:rPr>
                <w:rFonts w:ascii="宋体" w:hAnsi="宋体" w:cs="宋体"/>
                <w:color w:val="000000"/>
                <w:szCs w:val="21"/>
              </w:rPr>
            </w:pPr>
            <w:r>
              <w:rPr>
                <w:rFonts w:hint="eastAsia" w:ascii="宋体" w:hAnsi="宋体" w:cs="宋体"/>
                <w:color w:val="000000"/>
                <w:kern w:val="0"/>
                <w:szCs w:val="21"/>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1985" w:type="dxa"/>
            <w:vAlign w:val="center"/>
          </w:tcPr>
          <w:p>
            <w:pPr>
              <w:autoSpaceDE w:val="0"/>
              <w:autoSpaceDN w:val="0"/>
              <w:adjustRightInd w:val="0"/>
              <w:spacing w:line="360" w:lineRule="auto"/>
              <w:ind w:left="96"/>
              <w:jc w:val="center"/>
              <w:rPr>
                <w:rFonts w:ascii="宋体" w:hAnsi="宋体" w:cs="宋体"/>
                <w:color w:val="000000"/>
                <w:kern w:val="0"/>
                <w:szCs w:val="21"/>
                <w:lang w:val="zh-CN"/>
              </w:rPr>
            </w:pPr>
            <w:r>
              <w:rPr>
                <w:rFonts w:hint="eastAsia" w:ascii="宋体" w:hAnsi="宋体" w:cs="宋体"/>
                <w:color w:val="000000"/>
                <w:kern w:val="0"/>
                <w:szCs w:val="21"/>
                <w:lang w:val="zh-CN"/>
              </w:rPr>
              <w:t>投标保证金</w:t>
            </w:r>
          </w:p>
        </w:tc>
        <w:tc>
          <w:tcPr>
            <w:tcW w:w="6588" w:type="dxa"/>
            <w:vAlign w:val="center"/>
          </w:tcPr>
          <w:p>
            <w:pPr>
              <w:autoSpaceDE w:val="0"/>
              <w:autoSpaceDN w:val="0"/>
              <w:adjustRightInd w:val="0"/>
              <w:spacing w:line="360" w:lineRule="auto"/>
              <w:ind w:left="105" w:leftChars="50" w:right="105" w:rightChars="50"/>
              <w:jc w:val="left"/>
              <w:rPr>
                <w:rFonts w:ascii="宋体" w:hAnsi="宋体" w:cs="宋体"/>
                <w:color w:val="000000"/>
                <w:kern w:val="0"/>
                <w:szCs w:val="21"/>
                <w:lang w:val="zh-CN"/>
              </w:rPr>
            </w:pPr>
            <w:r>
              <w:rPr>
                <w:rFonts w:hint="eastAsia" w:ascii="宋体" w:hAnsi="宋体" w:cs="宋体"/>
                <w:color w:val="000000"/>
                <w:kern w:val="0"/>
                <w:szCs w:val="21"/>
                <w:lang w:val="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9" w:hRule="atLeast"/>
          <w:jc w:val="center"/>
        </w:trPr>
        <w:tc>
          <w:tcPr>
            <w:tcW w:w="547" w:type="dxa"/>
            <w:tcBorders>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7</w:t>
            </w:r>
          </w:p>
        </w:tc>
        <w:tc>
          <w:tcPr>
            <w:tcW w:w="1985" w:type="dxa"/>
            <w:tcBorders>
              <w:bottom w:val="single" w:color="auto" w:sz="4" w:space="0"/>
            </w:tcBorders>
            <w:vAlign w:val="center"/>
          </w:tcPr>
          <w:p>
            <w:pPr>
              <w:autoSpaceDE w:val="0"/>
              <w:autoSpaceDN w:val="0"/>
              <w:adjustRightInd w:val="0"/>
              <w:spacing w:line="360" w:lineRule="auto"/>
              <w:ind w:left="105" w:leftChars="50" w:right="105" w:rightChars="50"/>
              <w:jc w:val="center"/>
              <w:rPr>
                <w:rFonts w:ascii="宋体" w:hAnsi="宋体" w:cs="宋体"/>
                <w:color w:val="000000"/>
                <w:kern w:val="0"/>
                <w:szCs w:val="21"/>
                <w:lang w:val="zh-CN"/>
              </w:rPr>
            </w:pPr>
            <w:r>
              <w:rPr>
                <w:rFonts w:hint="eastAsia" w:ascii="宋体" w:hAnsi="宋体" w:cs="宋体"/>
                <w:color w:val="000000"/>
                <w:kern w:val="0"/>
                <w:szCs w:val="21"/>
              </w:rPr>
              <w:t>履约保证金</w:t>
            </w:r>
          </w:p>
        </w:tc>
        <w:tc>
          <w:tcPr>
            <w:tcW w:w="6588" w:type="dxa"/>
            <w:tcBorders>
              <w:bottom w:val="single" w:color="auto" w:sz="4" w:space="0"/>
            </w:tcBorders>
            <w:vAlign w:val="center"/>
          </w:tcPr>
          <w:p>
            <w:pPr>
              <w:autoSpaceDE w:val="0"/>
              <w:autoSpaceDN w:val="0"/>
              <w:adjustRightInd w:val="0"/>
              <w:spacing w:line="360" w:lineRule="auto"/>
              <w:ind w:left="105" w:leftChars="50" w:right="105" w:rightChars="50"/>
              <w:jc w:val="left"/>
              <w:rPr>
                <w:rFonts w:ascii="宋体" w:hAnsi="宋体" w:cs="宋体"/>
                <w:color w:val="000000"/>
                <w:kern w:val="0"/>
                <w:szCs w:val="21"/>
                <w:lang w:val="zh-CN"/>
              </w:rPr>
            </w:pPr>
            <w:r>
              <w:rPr>
                <w:rFonts w:hint="eastAsia" w:ascii="宋体" w:hAnsi="宋体" w:cs="宋体"/>
                <w:color w:val="000000"/>
                <w:kern w:val="0"/>
                <w:szCs w:val="21"/>
              </w:rPr>
              <w:t>本项目</w:t>
            </w:r>
            <w:r>
              <w:rPr>
                <w:rFonts w:hint="eastAsia" w:ascii="宋体" w:hAnsi="宋体" w:cs="宋体"/>
                <w:color w:val="000000"/>
                <w:kern w:val="0"/>
                <w:szCs w:val="21"/>
                <w:lang w:val="zh-CN"/>
              </w:rPr>
              <w:t>不收取</w:t>
            </w:r>
            <w:r>
              <w:rPr>
                <w:rFonts w:hint="eastAsia" w:ascii="宋体" w:hAnsi="宋体" w:cs="宋体"/>
                <w:color w:val="000000"/>
                <w:kern w:val="0"/>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 w:hRule="atLeast"/>
          <w:jc w:val="center"/>
        </w:trPr>
        <w:tc>
          <w:tcPr>
            <w:tcW w:w="547" w:type="dxa"/>
            <w:tcBorders>
              <w:top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8</w:t>
            </w:r>
          </w:p>
        </w:tc>
        <w:tc>
          <w:tcPr>
            <w:tcW w:w="1985" w:type="dxa"/>
            <w:tcBorders>
              <w:top w:val="single" w:color="auto" w:sz="4" w:space="0"/>
            </w:tcBorders>
            <w:vAlign w:val="center"/>
          </w:tcPr>
          <w:p>
            <w:pPr>
              <w:autoSpaceDE w:val="0"/>
              <w:autoSpaceDN w:val="0"/>
              <w:adjustRightInd w:val="0"/>
              <w:spacing w:line="360" w:lineRule="auto"/>
              <w:ind w:left="96"/>
              <w:jc w:val="center"/>
              <w:rPr>
                <w:rFonts w:ascii="宋体" w:hAnsi="宋体" w:cs="宋体"/>
                <w:color w:val="000000"/>
                <w:kern w:val="0"/>
                <w:szCs w:val="21"/>
                <w:lang w:val="zh-CN"/>
              </w:rPr>
            </w:pPr>
            <w:r>
              <w:rPr>
                <w:rFonts w:hint="eastAsia" w:ascii="宋体" w:hAnsi="宋体" w:cs="宋体"/>
                <w:color w:val="000000"/>
                <w:kern w:val="0"/>
                <w:szCs w:val="21"/>
                <w:lang w:val="zh-CN"/>
              </w:rPr>
              <w:t>合同分包</w:t>
            </w:r>
          </w:p>
          <w:p>
            <w:pPr>
              <w:autoSpaceDE w:val="0"/>
              <w:autoSpaceDN w:val="0"/>
              <w:adjustRightInd w:val="0"/>
              <w:spacing w:line="360" w:lineRule="auto"/>
              <w:ind w:left="96"/>
              <w:jc w:val="center"/>
              <w:rPr>
                <w:rFonts w:ascii="宋体" w:hAnsi="宋体" w:cs="宋体"/>
                <w:color w:val="000000"/>
                <w:kern w:val="0"/>
                <w:szCs w:val="21"/>
              </w:rPr>
            </w:pPr>
            <w:r>
              <w:rPr>
                <w:rFonts w:hint="eastAsia" w:ascii="宋体" w:hAnsi="宋体" w:cs="宋体"/>
                <w:color w:val="000000"/>
                <w:kern w:val="0"/>
                <w:szCs w:val="21"/>
                <w:lang w:val="zh-CN"/>
              </w:rPr>
              <w:t>（实质性要求）</w:t>
            </w:r>
          </w:p>
        </w:tc>
        <w:tc>
          <w:tcPr>
            <w:tcW w:w="6588" w:type="dxa"/>
            <w:tcBorders>
              <w:top w:val="single" w:color="auto" w:sz="4" w:space="0"/>
            </w:tcBorders>
            <w:vAlign w:val="center"/>
          </w:tcPr>
          <w:p>
            <w:pPr>
              <w:pStyle w:val="82"/>
              <w:ind w:firstLine="211" w:firstLineChars="100"/>
              <w:jc w:val="both"/>
              <w:rPr>
                <w:b/>
                <w:bCs/>
                <w:color w:val="000000"/>
                <w:sz w:val="21"/>
                <w:szCs w:val="21"/>
              </w:rPr>
            </w:pPr>
            <w:r>
              <w:rPr>
                <w:rFonts w:hint="eastAsia"/>
                <w:b/>
                <w:bCs/>
                <w:color w:val="000000"/>
                <w:sz w:val="21"/>
                <w:szCs w:val="21"/>
              </w:rPr>
              <w:t>☑本项目不接受合同分包。</w:t>
            </w:r>
          </w:p>
          <w:p>
            <w:pPr>
              <w:pStyle w:val="82"/>
              <w:ind w:firstLine="211" w:firstLineChars="100"/>
              <w:jc w:val="both"/>
              <w:rPr>
                <w:b/>
                <w:bCs/>
                <w:color w:val="000000"/>
                <w:sz w:val="21"/>
                <w:szCs w:val="21"/>
              </w:rPr>
            </w:pPr>
            <w:r>
              <w:rPr>
                <w:rFonts w:hint="eastAsia"/>
                <w:b/>
                <w:bCs/>
                <w:color w:val="000000"/>
                <w:sz w:val="21"/>
                <w:szCs w:val="21"/>
              </w:rPr>
              <w:t>□本项目接受合同分包，具体要求如下：</w:t>
            </w:r>
          </w:p>
          <w:p>
            <w:pPr>
              <w:autoSpaceDE w:val="0"/>
              <w:autoSpaceDN w:val="0"/>
              <w:adjustRightInd w:val="0"/>
              <w:spacing w:line="360" w:lineRule="auto"/>
              <w:ind w:right="105" w:rightChars="50"/>
              <w:jc w:val="left"/>
              <w:rPr>
                <w:rFonts w:ascii="宋体" w:hAnsi="宋体" w:cs="宋体"/>
                <w:color w:val="000000"/>
                <w:kern w:val="0"/>
                <w:szCs w:val="21"/>
              </w:rPr>
            </w:pPr>
            <w:r>
              <w:rPr>
                <w:rFonts w:hint="eastAsia" w:ascii="宋体" w:hAnsi="宋体" w:cs="宋体"/>
                <w:color w:val="000000"/>
                <w:kern w:val="0"/>
                <w:szCs w:val="21"/>
              </w:rPr>
              <w:t>1、投标人根据招标文件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pPr>
              <w:autoSpaceDE w:val="0"/>
              <w:autoSpaceDN w:val="0"/>
              <w:adjustRightInd w:val="0"/>
              <w:spacing w:line="360" w:lineRule="auto"/>
              <w:ind w:right="105" w:rightChars="50"/>
              <w:jc w:val="left"/>
              <w:rPr>
                <w:rFonts w:ascii="宋体" w:hAnsi="宋体" w:cs="宋体"/>
                <w:color w:val="000000"/>
                <w:kern w:val="0"/>
                <w:szCs w:val="21"/>
              </w:rPr>
            </w:pPr>
            <w:r>
              <w:rPr>
                <w:rFonts w:hint="eastAsia" w:ascii="宋体" w:hAnsi="宋体" w:cs="宋体"/>
                <w:color w:val="000000"/>
                <w:kern w:val="0"/>
                <w:szCs w:val="21"/>
              </w:rPr>
              <w:t>2、分包履行合同的部分应当为采购项目的非主体、非关键性工作，不属于中标人的主要合同义务。本项目可以分包履行的具体内容、金额或者比例：/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1985" w:type="dxa"/>
            <w:vAlign w:val="center"/>
          </w:tcPr>
          <w:p>
            <w:pPr>
              <w:autoSpaceDE w:val="0"/>
              <w:autoSpaceDN w:val="0"/>
              <w:adjustRightInd w:val="0"/>
              <w:spacing w:line="360" w:lineRule="auto"/>
              <w:ind w:left="96"/>
              <w:jc w:val="center"/>
              <w:rPr>
                <w:rFonts w:ascii="宋体" w:hAnsi="宋体" w:cs="宋体"/>
                <w:color w:val="000000"/>
                <w:kern w:val="0"/>
                <w:szCs w:val="21"/>
              </w:rPr>
            </w:pPr>
            <w:r>
              <w:rPr>
                <w:rFonts w:hint="eastAsia" w:ascii="宋体" w:hAnsi="宋体" w:cs="宋体"/>
                <w:color w:val="000000"/>
                <w:kern w:val="0"/>
                <w:szCs w:val="21"/>
              </w:rPr>
              <w:t>投标有效期</w:t>
            </w:r>
          </w:p>
        </w:tc>
        <w:tc>
          <w:tcPr>
            <w:tcW w:w="6588" w:type="dxa"/>
            <w:vAlign w:val="center"/>
          </w:tcPr>
          <w:p>
            <w:pPr>
              <w:autoSpaceDE w:val="0"/>
              <w:autoSpaceDN w:val="0"/>
              <w:adjustRightInd w:val="0"/>
              <w:spacing w:line="360" w:lineRule="auto"/>
              <w:ind w:right="105" w:rightChars="50" w:firstLine="105" w:firstLineChars="50"/>
              <w:jc w:val="left"/>
              <w:rPr>
                <w:rFonts w:ascii="宋体" w:hAnsi="宋体" w:cs="宋体"/>
                <w:color w:val="000000"/>
                <w:kern w:val="0"/>
                <w:szCs w:val="21"/>
              </w:rPr>
            </w:pPr>
            <w:r>
              <w:rPr>
                <w:rFonts w:hint="eastAsia" w:ascii="宋体" w:hAnsi="宋体" w:cs="宋体"/>
                <w:color w:val="000000"/>
                <w:kern w:val="0"/>
                <w:szCs w:val="21"/>
              </w:rPr>
              <w:t>本项目投标有效期从提交投标文件的截止之日起90天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1985" w:type="dxa"/>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采购文件咨询</w:t>
            </w:r>
          </w:p>
        </w:tc>
        <w:tc>
          <w:tcPr>
            <w:tcW w:w="6588" w:type="dxa"/>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联系人：李老师      联系电话：028-65731881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11</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开标、评标工作咨询</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 xml:space="preserve">联系人：李老师      联系电话：028-65731881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kern w:val="0"/>
                <w:szCs w:val="21"/>
              </w:rPr>
              <w:t>供应商询问</w:t>
            </w:r>
          </w:p>
        </w:tc>
        <w:tc>
          <w:tcPr>
            <w:tcW w:w="6588" w:type="dxa"/>
            <w:tcBorders>
              <w:top w:val="single" w:color="auto" w:sz="4" w:space="0"/>
              <w:bottom w:val="single" w:color="auto" w:sz="4" w:space="0"/>
            </w:tcBorders>
            <w:vAlign w:val="center"/>
          </w:tcPr>
          <w:p>
            <w:pPr>
              <w:spacing w:before="156" w:beforeLines="50" w:line="360" w:lineRule="auto"/>
              <w:ind w:left="105" w:leftChars="50" w:right="-11"/>
              <w:rPr>
                <w:rFonts w:ascii="宋体" w:hAnsi="宋体" w:cs="宋体"/>
                <w:color w:val="000000"/>
                <w:kern w:val="0"/>
                <w:szCs w:val="21"/>
              </w:rPr>
            </w:pPr>
            <w:r>
              <w:rPr>
                <w:rFonts w:hint="eastAsia" w:ascii="宋体" w:hAnsi="宋体" w:cs="宋体"/>
                <w:color w:val="000000"/>
                <w:kern w:val="0"/>
                <w:szCs w:val="21"/>
              </w:rPr>
              <w:t>根据委托代理协议约定，关于采购需求方面的询问由采购人负责答复，其他方面的询问由四川轩辕招标代理有限公司负责接收和处理。</w:t>
            </w:r>
          </w:p>
          <w:p>
            <w:pPr>
              <w:spacing w:line="360" w:lineRule="auto"/>
              <w:ind w:right="3280" w:firstLine="105" w:firstLineChars="50"/>
              <w:jc w:val="left"/>
              <w:rPr>
                <w:rFonts w:ascii="宋体" w:hAnsi="宋体" w:cs="宋体"/>
                <w:color w:val="000000"/>
                <w:kern w:val="0"/>
                <w:szCs w:val="21"/>
              </w:rPr>
            </w:pPr>
            <w:r>
              <w:rPr>
                <w:rFonts w:hint="eastAsia" w:ascii="宋体" w:hAnsi="宋体" w:cs="宋体"/>
                <w:color w:val="000000"/>
                <w:kern w:val="0"/>
                <w:szCs w:val="21"/>
              </w:rPr>
              <w:t xml:space="preserve">联系人：李老师。 </w:t>
            </w:r>
          </w:p>
          <w:p>
            <w:pPr>
              <w:spacing w:line="360" w:lineRule="auto"/>
              <w:ind w:right="3280" w:firstLine="105" w:firstLineChars="50"/>
              <w:jc w:val="left"/>
              <w:rPr>
                <w:rFonts w:ascii="宋体" w:hAnsi="宋体" w:cs="宋体"/>
                <w:color w:val="000000"/>
                <w:kern w:val="0"/>
                <w:szCs w:val="21"/>
              </w:rPr>
            </w:pPr>
            <w:r>
              <w:rPr>
                <w:rFonts w:hint="eastAsia" w:ascii="宋体" w:hAnsi="宋体" w:cs="宋体"/>
                <w:color w:val="000000"/>
                <w:kern w:val="0"/>
                <w:szCs w:val="21"/>
              </w:rPr>
              <w:t>联系电话：028-65731881</w:t>
            </w:r>
          </w:p>
          <w:p>
            <w:pPr>
              <w:spacing w:line="360" w:lineRule="auto"/>
              <w:ind w:left="1" w:right="-11" w:firstLine="105" w:firstLineChars="50"/>
              <w:jc w:val="left"/>
              <w:rPr>
                <w:rFonts w:ascii="宋体" w:hAnsi="宋体" w:cs="宋体"/>
                <w:color w:val="000000"/>
                <w:kern w:val="0"/>
                <w:szCs w:val="21"/>
              </w:rPr>
            </w:pPr>
            <w:r>
              <w:rPr>
                <w:rFonts w:hint="eastAsia" w:ascii="宋体" w:hAnsi="宋体" w:cs="宋体"/>
                <w:color w:val="000000"/>
                <w:kern w:val="0"/>
                <w:szCs w:val="21"/>
              </w:rPr>
              <w:t>地址：</w:t>
            </w:r>
            <w:r>
              <w:rPr>
                <w:rFonts w:hint="eastAsia" w:ascii="宋体" w:hAnsi="宋体" w:cs="宋体"/>
                <w:bCs/>
                <w:color w:val="000000"/>
                <w:kern w:val="0"/>
                <w:szCs w:val="21"/>
              </w:rPr>
              <w:t>成都市锦江区墨香路87号8栋4楼</w:t>
            </w:r>
            <w:r>
              <w:rPr>
                <w:rFonts w:hint="eastAsia" w:ascii="宋体" w:hAnsi="宋体" w:cs="宋体"/>
                <w:color w:val="000000"/>
                <w:kern w:val="0"/>
                <w:szCs w:val="21"/>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13</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供应商质疑</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根据委托代理协议约定，关于采购需求方面的质疑由采购人负责答复，对于采购文件其他方面的质疑、采购过程的质疑、采购结果的质疑均由四川轩辕招标代理有限公司负责答复。</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 xml:space="preserve">联系人：谭老师。 </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联系电话：028-65731881。</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地址：成都市锦江区墨香路87号8栋4楼。</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注：根据《中华人民共和国政府采购法》的规定，①供应商质疑不得超出采购文件、采购过程、采购结果的范围。②供应商提出的质疑应当提交质疑函和必要的证明材料。③供应商应当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供应商投诉</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投诉受理单位：双流区财政局</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联系电话：028-85804726</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地址：双流区电视塔路2段36号</w:t>
            </w:r>
          </w:p>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注：根据《中华人民共和国政府采购法实施条例》及中华人民共和国财政部令第94号《政府采购质疑和投诉》办法等的规定，①供应商投诉事项不得超出已质疑事项的范围。②投诉人投诉时，应当提交投诉书和必要的证明材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15</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政府采购合同</w:t>
            </w:r>
          </w:p>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公告备案</w:t>
            </w:r>
          </w:p>
        </w:tc>
        <w:tc>
          <w:tcPr>
            <w:tcW w:w="6588" w:type="dxa"/>
            <w:tcBorders>
              <w:top w:val="single" w:color="auto" w:sz="4" w:space="0"/>
              <w:bottom w:val="single" w:color="auto" w:sz="4" w:space="0"/>
            </w:tcBorders>
            <w:vAlign w:val="center"/>
          </w:tcPr>
          <w:p>
            <w:pPr>
              <w:spacing w:line="360" w:lineRule="auto"/>
              <w:ind w:left="105" w:leftChars="50" w:right="105" w:rightChars="50"/>
              <w:jc w:val="left"/>
              <w:rPr>
                <w:rFonts w:ascii="宋体" w:hAnsi="宋体" w:cs="宋体"/>
                <w:color w:val="000000"/>
                <w:szCs w:val="21"/>
              </w:rPr>
            </w:pPr>
            <w:r>
              <w:rPr>
                <w:rFonts w:hint="eastAsia" w:ascii="宋体" w:hAnsi="宋体" w:cs="宋体"/>
                <w:color w:val="000000"/>
                <w:szCs w:val="21"/>
              </w:rPr>
              <w:t>政府采购合同签订之日起2个工作日内，采购人将政府采购合同在四川政府采购网公告；政府采购合同签订之日起七个工作日内，采购人将政府采购合同送同级财政部门备案。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1985"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szCs w:val="21"/>
              </w:rPr>
            </w:pPr>
            <w:r>
              <w:rPr>
                <w:rFonts w:hint="eastAsia" w:ascii="宋体" w:hAnsi="宋体" w:cs="宋体"/>
                <w:color w:val="000000"/>
                <w:szCs w:val="21"/>
              </w:rPr>
              <w:t>节能、环保及无线局域网产品政府采购政策</w:t>
            </w:r>
          </w:p>
        </w:tc>
        <w:tc>
          <w:tcPr>
            <w:tcW w:w="6588" w:type="dxa"/>
            <w:tcBorders>
              <w:top w:val="single" w:color="auto" w:sz="4" w:space="0"/>
              <w:bottom w:val="single" w:color="auto" w:sz="4" w:space="0"/>
            </w:tcBorders>
            <w:vAlign w:val="center"/>
          </w:tcPr>
          <w:p>
            <w:pPr>
              <w:spacing w:line="360" w:lineRule="auto"/>
              <w:jc w:val="left"/>
              <w:rPr>
                <w:rFonts w:ascii="宋体" w:hAnsi="宋体" w:cs="宋体"/>
                <w:color w:val="000000"/>
                <w:szCs w:val="21"/>
                <w:lang w:val="zh-CN"/>
              </w:rPr>
            </w:pPr>
            <w:r>
              <w:rPr>
                <w:rFonts w:hint="eastAsia" w:ascii="宋体" w:hAnsi="宋体" w:cs="宋体"/>
                <w:color w:val="000000"/>
                <w:szCs w:val="21"/>
                <w:lang w:val="zh-CN"/>
              </w:rPr>
              <w:t>一、节能、环保产品政府采购政策：</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2、本项目采购的产品属于品目清单强制采购范围的，供应商应按上述要求提供产品认证证书原件原色电子件加盖投标人电子签章，否则投标无效。（实质性要求）</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3、本项目采购的产品属于品目清单优先采购范围的，按照第七章《综合评分明细表》的规则进行加分。</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二、无线局域网产品政府采购政策</w:t>
            </w:r>
          </w:p>
          <w:p>
            <w:pPr>
              <w:spacing w:line="360" w:lineRule="auto"/>
              <w:jc w:val="left"/>
              <w:rPr>
                <w:rFonts w:ascii="宋体" w:hAnsi="宋体" w:cs="宋体"/>
                <w:color w:val="000000"/>
                <w:szCs w:val="21"/>
              </w:rPr>
            </w:pPr>
            <w:r>
              <w:rPr>
                <w:rFonts w:hint="eastAsia" w:ascii="宋体" w:hAnsi="宋体" w:cs="宋体"/>
                <w:color w:val="000000"/>
                <w:szCs w:val="21"/>
                <w:lang w:val="zh-CN"/>
              </w:rPr>
              <w:t>本项目采购的产品属于中国政府采购网公布的《无线局域网认证产品政府采购清单》的，将按照第七章《综合评分明细表》的规则进行加分。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17</w:t>
            </w:r>
          </w:p>
        </w:tc>
        <w:tc>
          <w:tcPr>
            <w:tcW w:w="1985" w:type="dxa"/>
            <w:tcBorders>
              <w:top w:val="single" w:color="auto" w:sz="4" w:space="0"/>
              <w:bottom w:val="single" w:color="auto" w:sz="4" w:space="0"/>
            </w:tcBorders>
            <w:vAlign w:val="center"/>
          </w:tcPr>
          <w:p>
            <w:pPr>
              <w:spacing w:line="360" w:lineRule="auto"/>
              <w:ind w:left="105" w:leftChars="50" w:right="105" w:rightChars="50"/>
              <w:jc w:val="center"/>
              <w:rPr>
                <w:rFonts w:ascii="宋体" w:hAnsi="宋体" w:cs="宋体"/>
                <w:color w:val="000000"/>
                <w:szCs w:val="21"/>
              </w:rPr>
            </w:pPr>
            <w:r>
              <w:rPr>
                <w:rFonts w:hint="eastAsia" w:ascii="宋体" w:hAnsi="宋体" w:cs="宋体"/>
                <w:color w:val="000000"/>
                <w:szCs w:val="21"/>
              </w:rPr>
              <w:t>中标通知书领取</w:t>
            </w:r>
          </w:p>
        </w:tc>
        <w:tc>
          <w:tcPr>
            <w:tcW w:w="6588" w:type="dxa"/>
            <w:tcBorders>
              <w:top w:val="single" w:color="auto" w:sz="4" w:space="0"/>
              <w:bottom w:val="single" w:color="auto" w:sz="4" w:space="0"/>
            </w:tcBorders>
            <w:vAlign w:val="center"/>
          </w:tcPr>
          <w:p>
            <w:pPr>
              <w:spacing w:line="360" w:lineRule="auto"/>
              <w:jc w:val="left"/>
            </w:pPr>
            <w:r>
              <w:rPr>
                <w:rFonts w:hint="eastAsia"/>
              </w:rPr>
              <w:t>结果公告在四川政府采购网上公告后，请中标单位凭有效身份证明证件到成都市锦江区墨香路87号8栋4楼领取中标通知书。</w:t>
            </w:r>
          </w:p>
          <w:p>
            <w:pPr>
              <w:spacing w:line="360" w:lineRule="auto"/>
              <w:jc w:val="left"/>
            </w:pPr>
            <w:r>
              <w:rPr>
                <w:rFonts w:hint="eastAsia"/>
              </w:rPr>
              <w:t>联系人：刘女士</w:t>
            </w:r>
          </w:p>
          <w:p>
            <w:pPr>
              <w:spacing w:line="360" w:lineRule="auto"/>
              <w:jc w:val="left"/>
              <w:rPr>
                <w:lang w:val="zh-CN"/>
              </w:rPr>
            </w:pPr>
            <w:r>
              <w:rPr>
                <w:rFonts w:hint="eastAsia"/>
              </w:rPr>
              <w:t>联系电话：028-65731881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18</w:t>
            </w:r>
          </w:p>
        </w:tc>
        <w:tc>
          <w:tcPr>
            <w:tcW w:w="1985" w:type="dxa"/>
            <w:tcBorders>
              <w:top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招标代理服务费</w:t>
            </w:r>
          </w:p>
        </w:tc>
        <w:tc>
          <w:tcPr>
            <w:tcW w:w="6588" w:type="dxa"/>
            <w:tcBorders>
              <w:top w:val="single" w:color="auto" w:sz="4" w:space="0"/>
            </w:tcBorders>
            <w:vAlign w:val="center"/>
          </w:tcPr>
          <w:p>
            <w:pPr>
              <w:spacing w:line="360" w:lineRule="auto"/>
              <w:jc w:val="left"/>
              <w:rPr>
                <w:rFonts w:ascii="宋体" w:hAnsi="宋体" w:cs="宋体"/>
                <w:color w:val="000000"/>
                <w:szCs w:val="21"/>
                <w:lang w:val="zh-CN"/>
              </w:rPr>
            </w:pPr>
            <w:r>
              <w:rPr>
                <w:rFonts w:hint="eastAsia" w:ascii="宋体" w:hAnsi="宋体" w:cs="宋体"/>
                <w:color w:val="000000"/>
                <w:szCs w:val="21"/>
                <w:lang w:val="zh-CN"/>
              </w:rPr>
              <w:t>以中标金额为计费基数，按照原国家计委《关于印发招标代理服务收费管理暂行办法的通知》（计价格[2002]1980号）和国家发展改革委办公厅《关于招标代理服务费收费有关问题的通知》（发改办价格[2003]857号）文件规定的招标收费费率下浮</w:t>
            </w:r>
            <w:r>
              <w:rPr>
                <w:rFonts w:hint="eastAsia" w:ascii="宋体" w:hAnsi="宋体" w:cs="宋体"/>
                <w:color w:val="000000"/>
                <w:szCs w:val="21"/>
              </w:rPr>
              <w:t>20%执行</w:t>
            </w:r>
            <w:r>
              <w:rPr>
                <w:rFonts w:hint="eastAsia" w:ascii="宋体" w:hAnsi="宋体" w:cs="宋体"/>
                <w:color w:val="000000"/>
                <w:szCs w:val="21"/>
                <w:lang w:val="zh-CN"/>
              </w:rPr>
              <w:t>，各包</w:t>
            </w:r>
            <w:r>
              <w:rPr>
                <w:rFonts w:hint="eastAsia" w:ascii="宋体" w:hAnsi="宋体" w:cs="宋体"/>
                <w:color w:val="000000"/>
                <w:kern w:val="0"/>
                <w:szCs w:val="21"/>
              </w:rPr>
              <w:t>招标代理服务费</w:t>
            </w:r>
            <w:r>
              <w:rPr>
                <w:rFonts w:hint="eastAsia" w:ascii="宋体" w:hAnsi="宋体" w:cs="宋体"/>
                <w:color w:val="000000"/>
                <w:szCs w:val="21"/>
                <w:lang w:val="zh-CN"/>
              </w:rPr>
              <w:t>不足</w:t>
            </w:r>
            <w:r>
              <w:rPr>
                <w:rFonts w:hint="eastAsia" w:ascii="宋体" w:hAnsi="宋体" w:cs="宋体"/>
                <w:color w:val="000000"/>
                <w:szCs w:val="21"/>
              </w:rPr>
              <w:t>6000元的，按6000元收取。</w:t>
            </w:r>
            <w:r>
              <w:rPr>
                <w:rFonts w:hint="eastAsia" w:ascii="宋体" w:hAnsi="宋体" w:cs="宋体"/>
                <w:szCs w:val="21"/>
              </w:rPr>
              <w:t>由各包中标人在领取中标通知书前向代理机构缴纳招标代理服务费。</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收款单位：四川轩辕招标代理有限公司</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开</w:t>
            </w:r>
            <w:r>
              <w:rPr>
                <w:rFonts w:hint="eastAsia" w:ascii="宋体" w:hAnsi="宋体" w:cs="宋体"/>
                <w:color w:val="000000"/>
                <w:szCs w:val="21"/>
              </w:rPr>
              <w:t xml:space="preserve"> </w:t>
            </w:r>
            <w:r>
              <w:rPr>
                <w:rFonts w:hint="eastAsia" w:ascii="宋体" w:hAnsi="宋体" w:cs="宋体"/>
                <w:color w:val="000000"/>
                <w:szCs w:val="21"/>
                <w:lang w:val="zh-CN"/>
              </w:rPr>
              <w:t>户</w:t>
            </w:r>
            <w:r>
              <w:rPr>
                <w:rFonts w:hint="eastAsia" w:ascii="宋体" w:hAnsi="宋体" w:cs="宋体"/>
                <w:color w:val="000000"/>
                <w:szCs w:val="21"/>
              </w:rPr>
              <w:t xml:space="preserve"> </w:t>
            </w:r>
            <w:r>
              <w:rPr>
                <w:rFonts w:hint="eastAsia" w:ascii="宋体" w:hAnsi="宋体" w:cs="宋体"/>
                <w:color w:val="000000"/>
                <w:szCs w:val="21"/>
                <w:lang w:val="zh-CN"/>
              </w:rPr>
              <w:t>行：中国民生银行成都分行</w:t>
            </w:r>
          </w:p>
          <w:p>
            <w:pPr>
              <w:spacing w:line="360" w:lineRule="auto"/>
              <w:jc w:val="left"/>
              <w:rPr>
                <w:rFonts w:ascii="宋体" w:hAnsi="宋体" w:cs="宋体"/>
                <w:color w:val="000000"/>
                <w:szCs w:val="21"/>
                <w:lang w:val="zh-CN"/>
              </w:rPr>
            </w:pPr>
            <w:r>
              <w:rPr>
                <w:rFonts w:hint="eastAsia" w:ascii="宋体" w:hAnsi="宋体" w:cs="宋体"/>
                <w:color w:val="000000"/>
                <w:szCs w:val="21"/>
                <w:lang w:val="zh-CN"/>
              </w:rPr>
              <w:t>银行账号：677 868 681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19</w:t>
            </w:r>
          </w:p>
        </w:tc>
        <w:tc>
          <w:tcPr>
            <w:tcW w:w="1985" w:type="dxa"/>
            <w:tcBorders>
              <w:top w:val="single" w:color="auto" w:sz="4" w:space="0"/>
              <w:bottom w:val="single" w:color="auto" w:sz="4" w:space="0"/>
            </w:tcBorders>
            <w:vAlign w:val="center"/>
          </w:tcPr>
          <w:p>
            <w:pPr>
              <w:spacing w:line="360" w:lineRule="auto"/>
              <w:jc w:val="center"/>
              <w:rPr>
                <w:rFonts w:ascii="宋体" w:hAnsi="宋体" w:cs="宋体"/>
                <w:color w:val="000000"/>
                <w:kern w:val="0"/>
                <w:szCs w:val="21"/>
              </w:rPr>
            </w:pPr>
            <w:r>
              <w:rPr>
                <w:rFonts w:hint="eastAsia" w:ascii="宋体" w:hAnsi="宋体" w:cs="宋体"/>
                <w:kern w:val="1"/>
                <w:szCs w:val="21"/>
                <w:lang w:val="zh-CN"/>
              </w:rPr>
              <w:t>承诺提醒</w:t>
            </w:r>
          </w:p>
        </w:tc>
        <w:tc>
          <w:tcPr>
            <w:tcW w:w="6588" w:type="dxa"/>
            <w:tcBorders>
              <w:top w:val="single" w:color="auto" w:sz="4" w:space="0"/>
              <w:bottom w:val="single" w:color="auto" w:sz="4" w:space="0"/>
            </w:tcBorders>
            <w:vAlign w:val="center"/>
          </w:tcPr>
          <w:p>
            <w:pPr>
              <w:spacing w:line="360" w:lineRule="auto"/>
              <w:jc w:val="left"/>
              <w:rPr>
                <w:rFonts w:ascii="宋体" w:hAnsi="宋体" w:cs="宋体"/>
                <w:color w:val="000000"/>
                <w:szCs w:val="21"/>
                <w:lang w:val="zh-CN"/>
              </w:rPr>
            </w:pPr>
            <w:r>
              <w:rPr>
                <w:rFonts w:hint="eastAsia" w:ascii="宋体" w:hAnsi="宋体" w:cs="宋体"/>
                <w:color w:val="000000"/>
                <w:szCs w:val="21"/>
                <w:lang w:val="zh-CN"/>
              </w:rPr>
              <w:t>关于供应商依法缴纳税收和社会保障资金的相关承诺，项目采购活动结束后，采购人或采购代理机构如有必要将核实供应商所作承诺真实性，如提供虚假承诺将报告监管部门严肃追究法律责任。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rPr>
            </w:pPr>
            <w:r>
              <w:rPr>
                <w:rFonts w:hint="eastAsia" w:ascii="宋体" w:hAnsi="宋体" w:cs="宋体"/>
                <w:color w:val="000000"/>
                <w:kern w:val="0"/>
                <w:szCs w:val="21"/>
              </w:rPr>
              <w:t>20</w:t>
            </w:r>
          </w:p>
        </w:tc>
        <w:tc>
          <w:tcPr>
            <w:tcW w:w="1985" w:type="dxa"/>
            <w:tcBorders>
              <w:top w:val="single" w:color="auto" w:sz="4" w:space="0"/>
              <w:bottom w:val="single" w:color="auto" w:sz="4" w:space="0"/>
            </w:tcBorders>
            <w:vAlign w:val="center"/>
          </w:tcPr>
          <w:p>
            <w:pPr>
              <w:pStyle w:val="82"/>
              <w:ind w:left="96"/>
              <w:jc w:val="center"/>
              <w:rPr>
                <w:color w:val="000000"/>
                <w:kern w:val="2"/>
                <w:sz w:val="21"/>
                <w:szCs w:val="21"/>
                <w:lang w:val="zh-CN"/>
              </w:rPr>
            </w:pPr>
            <w:r>
              <w:rPr>
                <w:rFonts w:hint="eastAsia"/>
                <w:color w:val="000000"/>
                <w:kern w:val="2"/>
                <w:sz w:val="21"/>
                <w:szCs w:val="21"/>
                <w:lang w:val="zh-CN"/>
              </w:rPr>
              <w:t>温馨提示</w:t>
            </w:r>
          </w:p>
        </w:tc>
        <w:tc>
          <w:tcPr>
            <w:tcW w:w="6588" w:type="dxa"/>
            <w:tcBorders>
              <w:top w:val="single" w:color="auto" w:sz="4" w:space="0"/>
              <w:bottom w:val="single" w:color="auto" w:sz="4" w:space="0"/>
            </w:tcBorders>
            <w:vAlign w:val="center"/>
          </w:tcPr>
          <w:p>
            <w:pPr>
              <w:pStyle w:val="82"/>
              <w:numPr>
                <w:ilvl w:val="0"/>
                <w:numId w:val="6"/>
              </w:numPr>
              <w:rPr>
                <w:color w:val="000000"/>
                <w:kern w:val="2"/>
                <w:sz w:val="21"/>
                <w:szCs w:val="21"/>
                <w:lang w:val="zh-CN"/>
              </w:rPr>
            </w:pPr>
            <w:r>
              <w:rPr>
                <w:rFonts w:hint="eastAsia"/>
                <w:color w:val="000000"/>
                <w:kern w:val="2"/>
                <w:sz w:val="21"/>
                <w:szCs w:val="21"/>
                <w:lang w:val="zh-CN"/>
              </w:rPr>
              <w:t>供应商需准备全流程所必需的硬件设备包括电脑（版本 win7 64位及以上）、麦克风、摄像头、CA证书等。建议使用同一台电脑完成投标、评标相关事宜，推荐安装 chrome 浏览器，且解密CA必须和加密CA为同一把。</w:t>
            </w:r>
          </w:p>
          <w:p>
            <w:pPr>
              <w:pStyle w:val="82"/>
              <w:jc w:val="both"/>
              <w:rPr>
                <w:color w:val="000000"/>
                <w:kern w:val="2"/>
                <w:sz w:val="21"/>
                <w:szCs w:val="21"/>
                <w:lang w:val="zh-CN"/>
              </w:rPr>
            </w:pPr>
            <w:r>
              <w:rPr>
                <w:rFonts w:hint="eastAsia"/>
                <w:color w:val="000000"/>
                <w:kern w:val="2"/>
                <w:sz w:val="21"/>
                <w:szCs w:val="21"/>
                <w:lang w:val="zh-CN"/>
              </w:rPr>
              <w:t>2.政府采购云平台供应商注册地址：</w:t>
            </w:r>
          </w:p>
          <w:p>
            <w:pPr>
              <w:pStyle w:val="82"/>
              <w:jc w:val="both"/>
              <w:rPr>
                <w:color w:val="000000"/>
                <w:kern w:val="2"/>
                <w:sz w:val="21"/>
                <w:szCs w:val="21"/>
                <w:lang w:val="zh-CN"/>
              </w:rPr>
            </w:pPr>
            <w:r>
              <w:rPr>
                <w:rFonts w:hint="eastAsia"/>
                <w:color w:val="000000"/>
                <w:kern w:val="2"/>
                <w:sz w:val="21"/>
                <w:szCs w:val="21"/>
                <w:lang w:val="zh-CN"/>
              </w:rPr>
              <w:t>https://middle.zcygov.cn/v-settle-front/registry?settleCategory=1&amp;entranceType=119&amp;utm=a0017.b1347.cl50.3.c0de9400b91b11eb870ad7da87d69c97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47"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cs="宋体"/>
                <w:color w:val="000000"/>
                <w:kern w:val="0"/>
                <w:szCs w:val="21"/>
                <w:highlight w:val="none"/>
              </w:rPr>
            </w:pPr>
            <w:r>
              <w:rPr>
                <w:rFonts w:hint="eastAsia" w:ascii="宋体" w:hAnsi="宋体" w:cs="宋体"/>
                <w:color w:val="000000"/>
                <w:kern w:val="0"/>
                <w:szCs w:val="21"/>
                <w:highlight w:val="none"/>
              </w:rPr>
              <w:t>21</w:t>
            </w:r>
          </w:p>
        </w:tc>
        <w:tc>
          <w:tcPr>
            <w:tcW w:w="1985" w:type="dxa"/>
            <w:tcBorders>
              <w:top w:val="single" w:color="auto" w:sz="4" w:space="0"/>
              <w:bottom w:val="single" w:color="auto" w:sz="4" w:space="0"/>
            </w:tcBorders>
            <w:vAlign w:val="center"/>
          </w:tcPr>
          <w:p>
            <w:pPr>
              <w:pStyle w:val="82"/>
              <w:ind w:left="96"/>
              <w:jc w:val="center"/>
              <w:rPr>
                <w:color w:val="000000"/>
                <w:kern w:val="2"/>
                <w:sz w:val="21"/>
                <w:szCs w:val="21"/>
                <w:highlight w:val="none"/>
                <w:lang w:val="zh-CN"/>
              </w:rPr>
            </w:pPr>
            <w:r>
              <w:rPr>
                <w:rFonts w:hint="eastAsia"/>
                <w:color w:val="000000"/>
                <w:kern w:val="2"/>
                <w:sz w:val="21"/>
                <w:szCs w:val="21"/>
                <w:highlight w:val="none"/>
                <w:lang w:val="zh-CN"/>
              </w:rPr>
              <w:t>采购计划文号</w:t>
            </w:r>
          </w:p>
        </w:tc>
        <w:tc>
          <w:tcPr>
            <w:tcW w:w="6588" w:type="dxa"/>
            <w:tcBorders>
              <w:top w:val="single" w:color="auto" w:sz="4" w:space="0"/>
              <w:bottom w:val="single" w:color="auto" w:sz="4" w:space="0"/>
            </w:tcBorders>
            <w:vAlign w:val="center"/>
          </w:tcPr>
          <w:p>
            <w:pPr>
              <w:pStyle w:val="82"/>
              <w:jc w:val="both"/>
              <w:rPr>
                <w:color w:val="000000"/>
                <w:kern w:val="2"/>
                <w:sz w:val="21"/>
                <w:szCs w:val="21"/>
                <w:highlight w:val="none"/>
                <w:lang w:val="zh-CN"/>
              </w:rPr>
            </w:pPr>
            <w:r>
              <w:rPr>
                <w:color w:val="000000"/>
                <w:kern w:val="2"/>
                <w:sz w:val="21"/>
                <w:szCs w:val="21"/>
                <w:highlight w:val="none"/>
                <w:lang w:val="zh-CN"/>
              </w:rPr>
              <w:fldChar w:fldCharType="begin"/>
            </w:r>
            <w:r>
              <w:rPr>
                <w:color w:val="000000"/>
                <w:kern w:val="2"/>
                <w:sz w:val="21"/>
                <w:szCs w:val="21"/>
                <w:highlight w:val="none"/>
                <w:lang w:val="zh-CN"/>
              </w:rPr>
              <w:instrText xml:space="preserve"> HYPERLINK "https://pay.zcygov.cn/purchaseplan_front/" \l "/plan/list/detail?id=1000000000006762464&amp;encrypt=16d1a31e073eacc058a965bcdbd5c521" \t "https://www.zcygov.cn/delegation-order/order/_blank" </w:instrText>
            </w:r>
            <w:r>
              <w:rPr>
                <w:color w:val="000000"/>
                <w:kern w:val="2"/>
                <w:sz w:val="21"/>
                <w:szCs w:val="21"/>
                <w:highlight w:val="none"/>
                <w:lang w:val="zh-CN"/>
              </w:rPr>
              <w:fldChar w:fldCharType="separate"/>
            </w:r>
            <w:r>
              <w:rPr>
                <w:color w:val="000000"/>
                <w:kern w:val="2"/>
                <w:sz w:val="21"/>
                <w:szCs w:val="21"/>
                <w:highlight w:val="none"/>
                <w:lang w:val="zh-CN"/>
              </w:rPr>
              <w:t>(2021)1380号</w:t>
            </w:r>
            <w:r>
              <w:rPr>
                <w:color w:val="000000"/>
                <w:kern w:val="2"/>
                <w:sz w:val="21"/>
                <w:szCs w:val="21"/>
                <w:highlight w:val="none"/>
                <w:lang w:val="zh-CN"/>
              </w:rPr>
              <w:fldChar w:fldCharType="end"/>
            </w:r>
          </w:p>
        </w:tc>
      </w:tr>
    </w:tbl>
    <w:p>
      <w:pPr>
        <w:rPr>
          <w:rFonts w:ascii="宋体" w:hAnsi="宋体" w:cs="宋体"/>
        </w:rPr>
      </w:pPr>
      <w:r>
        <w:rPr>
          <w:rFonts w:hint="eastAsia" w:ascii="宋体" w:hAnsi="宋体" w:cs="宋体"/>
        </w:rPr>
        <w:t>注：本附表以外关于其他内容是对供应商须知的具体补充，如有矛盾，以本附表为准。</w:t>
      </w:r>
    </w:p>
    <w:bookmarkEnd w:id="4"/>
    <w:bookmarkEnd w:id="5"/>
    <w:bookmarkEnd w:id="6"/>
    <w:bookmarkEnd w:id="7"/>
    <w:bookmarkEnd w:id="8"/>
    <w:p>
      <w:pPr>
        <w:pStyle w:val="4"/>
        <w:spacing w:line="360" w:lineRule="auto"/>
        <w:rPr>
          <w:rFonts w:ascii="宋体" w:hAnsi="宋体" w:cs="宋体"/>
          <w:b/>
        </w:rPr>
        <w:sectPr>
          <w:headerReference r:id="rId4" w:type="default"/>
          <w:footerReference r:id="rId6" w:type="default"/>
          <w:headerReference r:id="rId5" w:type="even"/>
          <w:footerReference r:id="rId7" w:type="even"/>
          <w:pgSz w:w="11906" w:h="16838"/>
          <w:pgMar w:top="1440" w:right="1474" w:bottom="1440" w:left="1474" w:header="851" w:footer="850" w:gutter="0"/>
          <w:pgNumType w:start="1"/>
          <w:cols w:space="720" w:num="1"/>
          <w:docGrid w:type="lines" w:linePitch="312" w:charSpace="0"/>
        </w:sectPr>
      </w:pPr>
      <w:bookmarkStart w:id="15" w:name="_Toc490290181"/>
      <w:bookmarkStart w:id="16" w:name="_Toc23856"/>
      <w:bookmarkStart w:id="17" w:name="_Toc32001"/>
    </w:p>
    <w:p>
      <w:pPr>
        <w:pStyle w:val="4"/>
        <w:spacing w:line="360" w:lineRule="auto"/>
        <w:rPr>
          <w:rFonts w:ascii="宋体" w:hAnsi="宋体" w:cs="宋体"/>
          <w:b/>
          <w:sz w:val="24"/>
        </w:rPr>
      </w:pPr>
      <w:r>
        <w:rPr>
          <w:rFonts w:hint="eastAsia" w:ascii="宋体" w:hAnsi="宋体" w:cs="宋体"/>
          <w:b/>
        </w:rPr>
        <w:t>二、总  则</w:t>
      </w:r>
      <w:bookmarkEnd w:id="15"/>
      <w:bookmarkEnd w:id="16"/>
      <w:bookmarkEnd w:id="17"/>
    </w:p>
    <w:p>
      <w:pPr>
        <w:pStyle w:val="7"/>
        <w:spacing w:line="360" w:lineRule="auto"/>
        <w:ind w:firstLine="482" w:firstLineChars="200"/>
        <w:rPr>
          <w:rFonts w:ascii="宋体" w:hAnsi="宋体" w:cs="宋体"/>
          <w:sz w:val="24"/>
          <w:szCs w:val="24"/>
        </w:rPr>
      </w:pPr>
      <w:bookmarkStart w:id="18" w:name="_Toc183682342"/>
      <w:bookmarkStart w:id="19" w:name="_Toc183582205"/>
      <w:bookmarkStart w:id="20" w:name="_Toc490290182"/>
      <w:bookmarkStart w:id="21" w:name="_Toc217446034"/>
      <w:r>
        <w:rPr>
          <w:rFonts w:hint="eastAsia" w:ascii="宋体" w:hAnsi="宋体" w:cs="宋体"/>
          <w:sz w:val="24"/>
          <w:szCs w:val="24"/>
        </w:rPr>
        <w:t>1.</w:t>
      </w:r>
      <w:bookmarkEnd w:id="18"/>
      <w:bookmarkEnd w:id="19"/>
      <w:r>
        <w:rPr>
          <w:rFonts w:hint="eastAsia" w:ascii="宋体" w:hAnsi="宋体" w:cs="宋体"/>
          <w:sz w:val="24"/>
          <w:szCs w:val="24"/>
        </w:rPr>
        <w:t xml:space="preserve"> 适用范围</w:t>
      </w:r>
      <w:bookmarkEnd w:id="20"/>
      <w:bookmarkEnd w:id="21"/>
    </w:p>
    <w:p>
      <w:pPr>
        <w:tabs>
          <w:tab w:val="left" w:pos="7665"/>
        </w:tabs>
        <w:spacing w:line="360" w:lineRule="auto"/>
        <w:ind w:firstLine="480" w:firstLineChars="200"/>
        <w:rPr>
          <w:rFonts w:ascii="宋体" w:hAnsi="宋体" w:cs="宋体"/>
          <w:sz w:val="24"/>
        </w:rPr>
      </w:pPr>
      <w:r>
        <w:rPr>
          <w:rFonts w:hint="eastAsia" w:ascii="宋体" w:hAnsi="宋体" w:cs="宋体"/>
          <w:sz w:val="24"/>
        </w:rPr>
        <w:t>1.1 本招标文件仅适用于本次招标采购项目。</w:t>
      </w:r>
    </w:p>
    <w:p>
      <w:pPr>
        <w:pStyle w:val="7"/>
        <w:spacing w:line="360" w:lineRule="auto"/>
        <w:ind w:firstLine="482" w:firstLineChars="200"/>
        <w:rPr>
          <w:rFonts w:ascii="宋体" w:hAnsi="宋体" w:cs="宋体"/>
          <w:sz w:val="24"/>
          <w:szCs w:val="24"/>
        </w:rPr>
      </w:pPr>
      <w:bookmarkStart w:id="22" w:name="_Toc183682343"/>
      <w:bookmarkStart w:id="23" w:name="_Toc183582206"/>
      <w:bookmarkStart w:id="24" w:name="_Toc217446035"/>
      <w:bookmarkStart w:id="25" w:name="_Toc490290183"/>
      <w:r>
        <w:rPr>
          <w:rFonts w:hint="eastAsia" w:ascii="宋体" w:hAnsi="宋体" w:cs="宋体"/>
          <w:sz w:val="24"/>
          <w:szCs w:val="24"/>
        </w:rPr>
        <w:t xml:space="preserve">2. </w:t>
      </w:r>
      <w:bookmarkEnd w:id="22"/>
      <w:bookmarkEnd w:id="23"/>
      <w:r>
        <w:rPr>
          <w:rFonts w:hint="eastAsia" w:ascii="宋体" w:hAnsi="宋体" w:cs="宋体"/>
          <w:sz w:val="24"/>
          <w:szCs w:val="24"/>
        </w:rPr>
        <w:t>有关定义</w:t>
      </w:r>
      <w:bookmarkEnd w:id="24"/>
      <w:bookmarkEnd w:id="25"/>
    </w:p>
    <w:p>
      <w:pPr>
        <w:tabs>
          <w:tab w:val="left" w:pos="7665"/>
        </w:tabs>
        <w:spacing w:line="360" w:lineRule="auto"/>
        <w:ind w:firstLine="480" w:firstLineChars="200"/>
        <w:rPr>
          <w:rFonts w:ascii="宋体" w:hAnsi="宋体" w:cs="宋体"/>
          <w:sz w:val="24"/>
        </w:rPr>
      </w:pPr>
      <w:r>
        <w:rPr>
          <w:rFonts w:hint="eastAsia" w:ascii="宋体" w:hAnsi="宋体" w:cs="宋体"/>
          <w:sz w:val="24"/>
        </w:rPr>
        <w:t>2.1 “采购人”系指依法进行政府采购的国家机关、事业单位、团体组织。本招标项目的采购人是</w:t>
      </w:r>
      <w:r>
        <w:rPr>
          <w:rFonts w:hint="eastAsia" w:ascii="宋体" w:hAnsi="宋体" w:cs="宋体"/>
          <w:b/>
          <w:bCs/>
          <w:sz w:val="24"/>
          <w:u w:val="single"/>
        </w:rPr>
        <w:t xml:space="preserve"> 成都市双流区妇幼保健院</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r>
        <w:rPr>
          <w:rFonts w:hint="eastAsia" w:ascii="宋体" w:hAnsi="宋体" w:cs="宋体"/>
          <w:sz w:val="24"/>
        </w:rPr>
        <w:t>2.2 “采购代理机构”系指根据采购人的委托依法办理招标事宜的采购机构。本次招标项目的采购代理机构是</w:t>
      </w:r>
      <w:r>
        <w:rPr>
          <w:rFonts w:hint="eastAsia" w:ascii="宋体" w:hAnsi="宋体" w:cs="宋体"/>
          <w:b/>
          <w:sz w:val="24"/>
          <w:u w:val="single"/>
        </w:rPr>
        <w:t>四川轩辕招标代理有限公司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r>
        <w:rPr>
          <w:rFonts w:hint="eastAsia" w:ascii="宋体" w:hAnsi="宋体" w:cs="宋体"/>
          <w:sz w:val="24"/>
        </w:rPr>
        <w:t>2.3 “招标采购单位”系指“采购人”和“采购代理机构”的统称。</w:t>
      </w:r>
    </w:p>
    <w:p>
      <w:pPr>
        <w:tabs>
          <w:tab w:val="left" w:pos="7665"/>
        </w:tabs>
        <w:spacing w:line="360" w:lineRule="auto"/>
        <w:ind w:firstLine="480" w:firstLineChars="200"/>
        <w:rPr>
          <w:rFonts w:ascii="宋体" w:hAnsi="宋体" w:cs="宋体"/>
          <w:sz w:val="24"/>
        </w:rPr>
      </w:pPr>
      <w:r>
        <w:rPr>
          <w:rFonts w:hint="eastAsia" w:ascii="宋体" w:hAnsi="宋体" w:cs="宋体"/>
          <w:sz w:val="24"/>
        </w:rPr>
        <w:t>2.4 “投标人”系指向招标人报名成功拟参加投标和向采购人提供货物及相应服务的供应商。</w:t>
      </w:r>
    </w:p>
    <w:p>
      <w:pPr>
        <w:tabs>
          <w:tab w:val="left" w:pos="7665"/>
        </w:tabs>
        <w:spacing w:line="360" w:lineRule="auto"/>
        <w:ind w:firstLine="480" w:firstLineChars="200"/>
        <w:rPr>
          <w:rFonts w:ascii="宋体" w:hAnsi="宋体" w:cs="宋体"/>
          <w:sz w:val="24"/>
        </w:rPr>
      </w:pPr>
      <w:r>
        <w:rPr>
          <w:rFonts w:hint="eastAsia" w:ascii="宋体" w:hAnsi="宋体" w:cs="宋体"/>
          <w:sz w:val="24"/>
        </w:rPr>
        <w:t>2.5 “在经营活动中的重大违法记录”系指供应商因违法经营受到刑事处罚或者责令停产停业、吊销许可证或者执照、较大数额罚款等行政处罚。</w:t>
      </w:r>
    </w:p>
    <w:p>
      <w:pPr>
        <w:pStyle w:val="7"/>
        <w:spacing w:line="360" w:lineRule="auto"/>
        <w:ind w:firstLine="482" w:firstLineChars="200"/>
        <w:rPr>
          <w:rFonts w:ascii="宋体" w:hAnsi="宋体" w:cs="宋体"/>
          <w:sz w:val="24"/>
          <w:szCs w:val="24"/>
        </w:rPr>
      </w:pPr>
      <w:bookmarkStart w:id="26" w:name="_Toc217446036"/>
      <w:bookmarkStart w:id="27" w:name="_Toc217390843"/>
      <w:bookmarkStart w:id="28" w:name="_Toc183582207"/>
      <w:bookmarkStart w:id="29" w:name="_Toc183682344"/>
      <w:bookmarkStart w:id="30" w:name="_Toc490290184"/>
      <w:r>
        <w:rPr>
          <w:rFonts w:hint="eastAsia" w:ascii="宋体" w:hAnsi="宋体" w:cs="宋体"/>
          <w:sz w:val="24"/>
          <w:szCs w:val="24"/>
        </w:rPr>
        <w:t>3. 合格的投标人</w:t>
      </w:r>
      <w:bookmarkEnd w:id="26"/>
      <w:bookmarkEnd w:id="27"/>
      <w:bookmarkEnd w:id="28"/>
      <w:bookmarkEnd w:id="29"/>
      <w:r>
        <w:rPr>
          <w:rFonts w:hint="eastAsia" w:ascii="宋体" w:hAnsi="宋体" w:cs="宋体"/>
          <w:sz w:val="24"/>
          <w:szCs w:val="24"/>
        </w:rPr>
        <w:t>（实质性要求）</w:t>
      </w:r>
      <w:bookmarkEnd w:id="30"/>
    </w:p>
    <w:p>
      <w:pPr>
        <w:tabs>
          <w:tab w:val="left" w:pos="7665"/>
        </w:tabs>
        <w:spacing w:line="360" w:lineRule="auto"/>
        <w:ind w:firstLine="480" w:firstLineChars="200"/>
        <w:rPr>
          <w:rFonts w:ascii="宋体" w:hAnsi="宋体" w:cs="宋体"/>
          <w:sz w:val="24"/>
        </w:rPr>
      </w:pPr>
      <w:bookmarkStart w:id="31" w:name="_Toc183582208"/>
      <w:bookmarkStart w:id="32" w:name="_Toc217446037"/>
      <w:bookmarkStart w:id="33" w:name="_Toc183682345"/>
      <w:bookmarkStart w:id="34" w:name="_Toc490290185"/>
      <w:r>
        <w:rPr>
          <w:rFonts w:hint="eastAsia" w:ascii="宋体" w:hAnsi="宋体" w:cs="宋体"/>
          <w:sz w:val="24"/>
        </w:rPr>
        <w:t>合格的投标人应具备以下条件：</w:t>
      </w:r>
    </w:p>
    <w:p>
      <w:pPr>
        <w:tabs>
          <w:tab w:val="left" w:pos="7665"/>
        </w:tabs>
        <w:spacing w:line="360" w:lineRule="auto"/>
        <w:ind w:firstLine="360" w:firstLineChars="150"/>
        <w:jc w:val="left"/>
        <w:rPr>
          <w:rFonts w:ascii="宋体" w:hAnsi="宋体" w:cs="宋体"/>
          <w:sz w:val="24"/>
        </w:rPr>
      </w:pPr>
      <w:r>
        <w:rPr>
          <w:rFonts w:hint="eastAsia" w:ascii="宋体" w:hAnsi="宋体" w:cs="宋体"/>
          <w:sz w:val="24"/>
        </w:rPr>
        <w:t>（1）本招标文件规定的供应商资格条件；</w:t>
      </w:r>
    </w:p>
    <w:p>
      <w:pPr>
        <w:tabs>
          <w:tab w:val="left" w:pos="7665"/>
        </w:tabs>
        <w:spacing w:line="360" w:lineRule="auto"/>
        <w:ind w:firstLine="360" w:firstLineChars="150"/>
        <w:jc w:val="left"/>
        <w:rPr>
          <w:rFonts w:ascii="宋体" w:hAnsi="宋体" w:cs="宋体"/>
          <w:sz w:val="24"/>
        </w:rPr>
      </w:pPr>
      <w:r>
        <w:rPr>
          <w:rFonts w:hint="eastAsia" w:ascii="宋体" w:hAnsi="宋体" w:cs="宋体"/>
          <w:sz w:val="24"/>
        </w:rPr>
        <w:t>（2）遵守国家有关的法律、法规、规章和其他政策制度；</w:t>
      </w:r>
    </w:p>
    <w:p>
      <w:pPr>
        <w:pStyle w:val="7"/>
        <w:spacing w:line="360" w:lineRule="auto"/>
        <w:ind w:firstLine="482" w:firstLineChars="200"/>
        <w:rPr>
          <w:rFonts w:ascii="宋体" w:hAnsi="宋体" w:cs="宋体"/>
          <w:sz w:val="24"/>
          <w:szCs w:val="24"/>
        </w:rPr>
      </w:pPr>
      <w:r>
        <w:rPr>
          <w:rFonts w:hint="eastAsia" w:ascii="宋体" w:hAnsi="宋体" w:cs="宋体"/>
          <w:sz w:val="24"/>
          <w:szCs w:val="24"/>
        </w:rPr>
        <w:t>4. 投标费用</w:t>
      </w:r>
      <w:bookmarkEnd w:id="31"/>
      <w:bookmarkEnd w:id="32"/>
      <w:bookmarkEnd w:id="33"/>
      <w:r>
        <w:rPr>
          <w:rFonts w:hint="eastAsia" w:ascii="宋体" w:hAnsi="宋体" w:cs="宋体"/>
          <w:sz w:val="24"/>
          <w:szCs w:val="24"/>
        </w:rPr>
        <w:t>（实质性要求）</w:t>
      </w:r>
      <w:bookmarkEnd w:id="34"/>
    </w:p>
    <w:p>
      <w:pPr>
        <w:tabs>
          <w:tab w:val="left" w:pos="7665"/>
        </w:tabs>
        <w:spacing w:line="360" w:lineRule="auto"/>
        <w:ind w:firstLine="480"/>
        <w:rPr>
          <w:rFonts w:ascii="宋体" w:hAnsi="宋体" w:cs="宋体"/>
          <w:sz w:val="24"/>
        </w:rPr>
      </w:pPr>
      <w:r>
        <w:rPr>
          <w:rFonts w:hint="eastAsia" w:ascii="宋体" w:hAnsi="宋体" w:cs="宋体"/>
          <w:sz w:val="24"/>
        </w:rPr>
        <w:t>投标人参加投标的有关费用由投标人自行承担。</w:t>
      </w:r>
    </w:p>
    <w:p>
      <w:pPr>
        <w:pStyle w:val="7"/>
        <w:spacing w:line="360" w:lineRule="auto"/>
        <w:ind w:firstLine="482" w:firstLineChars="200"/>
        <w:rPr>
          <w:rFonts w:ascii="宋体" w:hAnsi="宋体" w:cs="宋体"/>
          <w:sz w:val="24"/>
          <w:szCs w:val="24"/>
        </w:rPr>
      </w:pPr>
      <w:bookmarkStart w:id="35" w:name="_Toc490290186"/>
      <w:r>
        <w:rPr>
          <w:rFonts w:hint="eastAsia" w:ascii="宋体" w:hAnsi="宋体" w:cs="宋体"/>
          <w:sz w:val="24"/>
          <w:szCs w:val="24"/>
        </w:rPr>
        <w:t>5.充分、公平竞争保障措施（实质性要求）</w:t>
      </w:r>
      <w:bookmarkEnd w:id="35"/>
    </w:p>
    <w:p>
      <w:pPr>
        <w:pStyle w:val="54"/>
        <w:spacing w:line="360" w:lineRule="auto"/>
        <w:ind w:left="1" w:firstLine="482" w:firstLineChars="200"/>
        <w:rPr>
          <w:rFonts w:hAnsi="宋体" w:cs="宋体"/>
          <w:b/>
          <w:sz w:val="24"/>
          <w:szCs w:val="24"/>
        </w:rPr>
      </w:pPr>
      <w:r>
        <w:rPr>
          <w:rFonts w:hint="eastAsia" w:hAnsi="宋体" w:cs="宋体"/>
          <w:b/>
          <w:sz w:val="24"/>
        </w:rPr>
        <w:t>5.1 提供相同品牌产品处理</w:t>
      </w:r>
      <w:r>
        <w:rPr>
          <w:rFonts w:hint="eastAsia" w:hAnsi="宋体" w:cs="宋体"/>
          <w:b/>
          <w:sz w:val="24"/>
          <w:szCs w:val="24"/>
        </w:rPr>
        <w:t>。</w:t>
      </w:r>
    </w:p>
    <w:p>
      <w:pPr>
        <w:adjustRightInd w:val="0"/>
        <w:spacing w:line="460" w:lineRule="exact"/>
        <w:ind w:left="1" w:firstLine="480" w:firstLineChars="200"/>
        <w:rPr>
          <w:rFonts w:ascii="宋体" w:hAnsi="宋体" w:cs="宋体"/>
          <w:kern w:val="0"/>
          <w:sz w:val="24"/>
          <w:szCs w:val="22"/>
        </w:rPr>
      </w:pPr>
      <w:r>
        <w:rPr>
          <w:rFonts w:hint="eastAsia" w:ascii="宋体" w:hAnsi="宋体" w:cs="宋体"/>
          <w:kern w:val="0"/>
          <w:sz w:val="24"/>
          <w:szCs w:val="22"/>
        </w:rPr>
        <w:t>采用最低评标价法的采购项目，提供相同品牌产品的不同投标人参加同一合同项下投标的，以其中通过资格审查、符合性审查且总价最低的投标人参加评审。投标人报价相同的，由采购人以公平、择优的方式确定一个投标人参加评审，其他投标作无效处理。</w:t>
      </w:r>
    </w:p>
    <w:p>
      <w:pPr>
        <w:adjustRightInd w:val="0"/>
        <w:spacing w:line="460" w:lineRule="exact"/>
        <w:ind w:left="1" w:firstLine="480" w:firstLineChars="200"/>
        <w:rPr>
          <w:rFonts w:ascii="宋体" w:hAnsi="宋体" w:cs="宋体"/>
          <w:kern w:val="0"/>
          <w:sz w:val="24"/>
          <w:szCs w:val="22"/>
        </w:rPr>
      </w:pPr>
      <w:r>
        <w:rPr>
          <w:rFonts w:hint="eastAsia" w:ascii="宋体" w:hAnsi="宋体" w:cs="宋体"/>
          <w:kern w:val="0"/>
          <w:sz w:val="24"/>
          <w:szCs w:val="22"/>
        </w:rPr>
        <w:t>采用综合评分法的采购项目，提供相同品牌产品的不同投标人参加同一合同项下投标的，按一家投标人计算，评审后得分最高的同品牌投标人获得中标人推荐资格；评审得分相同的，评标委员会成员采取公平、择优的方式确定一个参加评标的投标人或以抽签方式确定一个参加评标的投标人，其他投标无效。其他同品牌投标人不作为中标候选人。</w:t>
      </w:r>
    </w:p>
    <w:p>
      <w:pPr>
        <w:adjustRightInd w:val="0"/>
        <w:spacing w:line="360" w:lineRule="auto"/>
        <w:ind w:firstLine="480" w:firstLineChars="200"/>
        <w:rPr>
          <w:rFonts w:ascii="宋体" w:hAnsi="宋体" w:cs="宋体"/>
          <w:b/>
          <w:kern w:val="0"/>
          <w:sz w:val="24"/>
          <w:szCs w:val="22"/>
        </w:rPr>
      </w:pPr>
      <w:r>
        <w:rPr>
          <w:rFonts w:hint="eastAsia" w:ascii="宋体" w:hAnsi="宋体" w:cs="宋体"/>
          <w:kern w:val="0"/>
          <w:sz w:val="24"/>
          <w:szCs w:val="22"/>
        </w:rPr>
        <w:t>非单一产品采购项目，采购人应当根据采购项目技术构成、产品价格比重等合理确定核心产品，并在招标文件中载明。多家投标人提供的核心产品品牌相同的，按前两款规定处理。</w:t>
      </w:r>
      <w:r>
        <w:rPr>
          <w:rFonts w:hint="eastAsia" w:ascii="宋体" w:hAnsi="宋体" w:cs="宋体"/>
          <w:b/>
          <w:kern w:val="0"/>
          <w:sz w:val="24"/>
          <w:szCs w:val="22"/>
        </w:rPr>
        <w:t>本项目核心产品为：第一包：全自动生化分析仪；第三包：五分类血细胞分析仪。</w:t>
      </w:r>
    </w:p>
    <w:p>
      <w:pPr>
        <w:pStyle w:val="54"/>
        <w:spacing w:line="360" w:lineRule="auto"/>
        <w:ind w:firstLine="482" w:firstLineChars="200"/>
        <w:rPr>
          <w:rFonts w:hAnsi="宋体" w:cs="宋体"/>
          <w:sz w:val="24"/>
          <w:szCs w:val="24"/>
        </w:rPr>
      </w:pPr>
      <w:r>
        <w:rPr>
          <w:rFonts w:hint="eastAsia" w:hAnsi="宋体" w:cs="宋体"/>
          <w:b/>
          <w:sz w:val="24"/>
          <w:szCs w:val="24"/>
        </w:rPr>
        <w:t xml:space="preserve"> 5.2利害关系供应商处理。</w:t>
      </w:r>
      <w:r>
        <w:rPr>
          <w:rFonts w:hint="eastAsia" w:hAnsi="宋体" w:cs="宋体"/>
          <w:sz w:val="24"/>
          <w:szCs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54"/>
        <w:spacing w:line="360" w:lineRule="auto"/>
        <w:ind w:left="1" w:firstLine="482" w:firstLineChars="200"/>
        <w:rPr>
          <w:rFonts w:hAnsi="宋体" w:cs="宋体"/>
          <w:sz w:val="24"/>
          <w:szCs w:val="24"/>
        </w:rPr>
      </w:pPr>
      <w:r>
        <w:rPr>
          <w:rFonts w:hint="eastAsia" w:hAnsi="宋体" w:cs="宋体"/>
          <w:b/>
          <w:sz w:val="24"/>
          <w:szCs w:val="24"/>
        </w:rPr>
        <w:t>5.3前期参与供应商处理。</w:t>
      </w:r>
      <w:r>
        <w:rPr>
          <w:rFonts w:hint="eastAsia" w:hAnsi="宋体" w:cs="宋体"/>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54"/>
        <w:spacing w:line="360" w:lineRule="auto"/>
        <w:ind w:left="1" w:firstLine="482" w:firstLineChars="200"/>
        <w:rPr>
          <w:rFonts w:hAnsi="宋体" w:cs="宋体"/>
          <w:sz w:val="24"/>
          <w:szCs w:val="24"/>
        </w:rPr>
      </w:pPr>
      <w:r>
        <w:rPr>
          <w:rFonts w:hint="eastAsia" w:hAnsi="宋体" w:cs="宋体"/>
          <w:b/>
          <w:sz w:val="24"/>
          <w:szCs w:val="24"/>
        </w:rPr>
        <w:t>5.4 利害关系代理人处理。</w:t>
      </w:r>
      <w:r>
        <w:rPr>
          <w:rFonts w:hint="eastAsia" w:hAnsi="宋体" w:cs="宋体"/>
          <w:sz w:val="24"/>
          <w:szCs w:val="24"/>
        </w:rPr>
        <w:t>2家以上的供应商不得在同一合同项下的采购项目中，同时委托同一个自然人、同一家庭的人员、同一单位的人员作为其代理人，否则，其投标文件作为无效处理。</w:t>
      </w:r>
    </w:p>
    <w:p>
      <w:pPr>
        <w:pStyle w:val="4"/>
        <w:spacing w:line="360" w:lineRule="auto"/>
        <w:rPr>
          <w:rFonts w:ascii="宋体" w:hAnsi="宋体" w:cs="宋体"/>
          <w:sz w:val="24"/>
        </w:rPr>
      </w:pPr>
      <w:bookmarkStart w:id="36" w:name="_Toc89075875"/>
      <w:bookmarkStart w:id="37" w:name="_Toc30630"/>
      <w:bookmarkStart w:id="38" w:name="_Toc183682346"/>
      <w:bookmarkStart w:id="39" w:name="_Toc490290187"/>
      <w:bookmarkStart w:id="40" w:name="_Toc183582209"/>
      <w:bookmarkStart w:id="41" w:name="_Toc77400779"/>
      <w:bookmarkStart w:id="42" w:name="_Toc1259"/>
      <w:bookmarkStart w:id="43" w:name="_Toc217446038"/>
      <w:r>
        <w:rPr>
          <w:rFonts w:hint="eastAsia" w:ascii="宋体" w:hAnsi="宋体" w:cs="宋体"/>
          <w:b/>
        </w:rPr>
        <w:t>三、招标文件</w:t>
      </w:r>
      <w:bookmarkEnd w:id="36"/>
      <w:bookmarkEnd w:id="37"/>
      <w:bookmarkEnd w:id="38"/>
      <w:bookmarkEnd w:id="39"/>
      <w:bookmarkEnd w:id="40"/>
      <w:bookmarkEnd w:id="41"/>
      <w:bookmarkEnd w:id="42"/>
      <w:bookmarkEnd w:id="43"/>
    </w:p>
    <w:p>
      <w:pPr>
        <w:pStyle w:val="7"/>
        <w:keepNext w:val="0"/>
        <w:keepLines w:val="0"/>
        <w:kinsoku w:val="0"/>
        <w:overflowPunct w:val="0"/>
        <w:autoSpaceDE w:val="0"/>
        <w:autoSpaceDN w:val="0"/>
        <w:spacing w:line="360" w:lineRule="auto"/>
        <w:ind w:firstLine="482" w:firstLineChars="200"/>
        <w:rPr>
          <w:rFonts w:ascii="宋体" w:hAnsi="宋体" w:cs="宋体"/>
          <w:sz w:val="24"/>
          <w:szCs w:val="24"/>
        </w:rPr>
      </w:pPr>
      <w:bookmarkStart w:id="44" w:name="_Toc183682347"/>
      <w:bookmarkStart w:id="45" w:name="_Toc217446039"/>
      <w:bookmarkStart w:id="46" w:name="_Toc183582210"/>
      <w:bookmarkStart w:id="47" w:name="_Toc490290188"/>
      <w:r>
        <w:rPr>
          <w:rFonts w:hint="eastAsia" w:ascii="宋体" w:hAnsi="宋体" w:cs="宋体"/>
          <w:sz w:val="24"/>
          <w:szCs w:val="24"/>
        </w:rPr>
        <w:t>6．招标文件的构成</w:t>
      </w:r>
      <w:bookmarkEnd w:id="44"/>
      <w:bookmarkEnd w:id="45"/>
      <w:bookmarkEnd w:id="46"/>
      <w:bookmarkEnd w:id="47"/>
    </w:p>
    <w:p>
      <w:pPr>
        <w:tabs>
          <w:tab w:val="left" w:pos="7665"/>
        </w:tabs>
        <w:spacing w:line="360" w:lineRule="auto"/>
        <w:rPr>
          <w:rFonts w:ascii="宋体" w:hAnsi="宋体" w:cs="宋体"/>
          <w:sz w:val="24"/>
        </w:rPr>
      </w:pPr>
      <w:r>
        <w:rPr>
          <w:rFonts w:hint="eastAsia" w:ascii="宋体" w:hAnsi="宋体" w:cs="宋体"/>
          <w:sz w:val="24"/>
        </w:rPr>
        <w:t xml:space="preserve">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（一）投标邀请；</w:t>
      </w:r>
    </w:p>
    <w:p>
      <w:pPr>
        <w:tabs>
          <w:tab w:val="left" w:pos="720"/>
        </w:tabs>
        <w:spacing w:line="360" w:lineRule="auto"/>
        <w:ind w:firstLine="480" w:firstLineChars="200"/>
        <w:rPr>
          <w:rFonts w:ascii="宋体" w:hAnsi="宋体" w:cs="宋体"/>
          <w:sz w:val="24"/>
        </w:rPr>
      </w:pPr>
      <w:r>
        <w:rPr>
          <w:rFonts w:hint="eastAsia" w:ascii="宋体" w:hAnsi="宋体" w:cs="宋体"/>
          <w:sz w:val="24"/>
        </w:rPr>
        <w:t>（二）投标人须知；</w:t>
      </w:r>
    </w:p>
    <w:p>
      <w:pPr>
        <w:tabs>
          <w:tab w:val="left" w:pos="720"/>
        </w:tabs>
        <w:spacing w:line="360" w:lineRule="auto"/>
        <w:ind w:firstLine="480" w:firstLineChars="200"/>
        <w:rPr>
          <w:rFonts w:ascii="宋体" w:hAnsi="宋体" w:cs="宋体"/>
          <w:sz w:val="24"/>
        </w:rPr>
      </w:pPr>
      <w:r>
        <w:rPr>
          <w:rFonts w:hint="eastAsia" w:ascii="宋体" w:hAnsi="宋体" w:cs="宋体"/>
          <w:sz w:val="24"/>
        </w:rPr>
        <w:t>（三）投标文件格式；</w:t>
      </w:r>
    </w:p>
    <w:p>
      <w:pPr>
        <w:tabs>
          <w:tab w:val="left" w:pos="720"/>
        </w:tabs>
        <w:spacing w:line="360" w:lineRule="auto"/>
        <w:ind w:firstLine="480" w:firstLineChars="200"/>
        <w:rPr>
          <w:rFonts w:ascii="宋体" w:hAnsi="宋体" w:cs="宋体"/>
          <w:sz w:val="24"/>
        </w:rPr>
      </w:pPr>
      <w:r>
        <w:rPr>
          <w:rFonts w:hint="eastAsia" w:ascii="宋体" w:hAnsi="宋体" w:cs="宋体"/>
          <w:sz w:val="24"/>
        </w:rPr>
        <w:t>（四）投标人和投标产品的资格、资质性及其他类似效力要求；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（五）投标人应当提供的资格、资质性及其他类似效力要求的相关证明材料；</w:t>
      </w:r>
    </w:p>
    <w:p>
      <w:pPr>
        <w:tabs>
          <w:tab w:val="left" w:pos="720"/>
        </w:tabs>
        <w:spacing w:line="360" w:lineRule="auto"/>
        <w:ind w:firstLine="480" w:firstLineChars="200"/>
        <w:rPr>
          <w:rFonts w:ascii="宋体" w:hAnsi="宋体" w:cs="宋体"/>
          <w:sz w:val="24"/>
        </w:rPr>
      </w:pPr>
      <w:r>
        <w:rPr>
          <w:rFonts w:hint="eastAsia" w:ascii="宋体" w:hAnsi="宋体" w:cs="宋体"/>
          <w:sz w:val="24"/>
        </w:rPr>
        <w:t>（六）招标项目技术、商务及其他要求；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（七）评标办法；</w:t>
      </w:r>
    </w:p>
    <w:p>
      <w:pPr>
        <w:tabs>
          <w:tab w:val="left" w:pos="720"/>
        </w:tabs>
        <w:spacing w:line="360" w:lineRule="auto"/>
        <w:ind w:firstLine="480" w:firstLineChars="200"/>
        <w:rPr>
          <w:rFonts w:ascii="宋体" w:hAnsi="宋体" w:cs="宋体"/>
          <w:sz w:val="24"/>
        </w:rPr>
      </w:pPr>
      <w:r>
        <w:rPr>
          <w:rFonts w:hint="eastAsia" w:ascii="宋体" w:hAnsi="宋体" w:cs="宋体"/>
          <w:sz w:val="24"/>
        </w:rPr>
        <w:t>（八）政府采购合同（参考）。</w:t>
      </w:r>
    </w:p>
    <w:p>
      <w:pPr>
        <w:pStyle w:val="7"/>
        <w:spacing w:line="360" w:lineRule="auto"/>
        <w:ind w:firstLine="482" w:firstLineChars="200"/>
        <w:rPr>
          <w:rFonts w:ascii="宋体" w:hAnsi="宋体" w:cs="宋体"/>
          <w:sz w:val="24"/>
          <w:szCs w:val="24"/>
        </w:rPr>
      </w:pPr>
      <w:bookmarkStart w:id="48" w:name="_Toc183582211"/>
      <w:bookmarkStart w:id="49" w:name="_Toc183682348"/>
      <w:bookmarkStart w:id="50" w:name="_Toc490290189"/>
      <w:bookmarkStart w:id="51" w:name="_Toc217446040"/>
      <w:r>
        <w:rPr>
          <w:rFonts w:hint="eastAsia" w:ascii="宋体" w:hAnsi="宋体" w:cs="宋体"/>
          <w:sz w:val="24"/>
          <w:szCs w:val="24"/>
        </w:rPr>
        <w:t>7. 招标文件的澄清</w:t>
      </w:r>
      <w:bookmarkEnd w:id="48"/>
      <w:bookmarkEnd w:id="49"/>
      <w:r>
        <w:rPr>
          <w:rFonts w:hint="eastAsia" w:ascii="宋体" w:hAnsi="宋体" w:cs="宋体"/>
          <w:sz w:val="24"/>
          <w:szCs w:val="24"/>
        </w:rPr>
        <w:t>和修改</w:t>
      </w:r>
      <w:bookmarkEnd w:id="50"/>
      <w:bookmarkEnd w:id="51"/>
    </w:p>
    <w:p>
      <w:pPr>
        <w:tabs>
          <w:tab w:val="left" w:pos="7665"/>
        </w:tabs>
        <w:spacing w:line="360" w:lineRule="auto"/>
        <w:ind w:firstLine="480" w:firstLineChars="200"/>
        <w:rPr>
          <w:rFonts w:ascii="宋体" w:hAnsi="宋体" w:cs="宋体"/>
          <w:sz w:val="24"/>
        </w:rPr>
      </w:pPr>
      <w:r>
        <w:rPr>
          <w:rFonts w:hint="eastAsia" w:ascii="宋体" w:hAnsi="宋体" w:cs="宋体"/>
          <w:sz w:val="24"/>
        </w:rPr>
        <w:t>7.1 招标采购单位可以依法对招标文件进行澄清或者修改。</w:t>
      </w:r>
    </w:p>
    <w:p>
      <w:pPr>
        <w:tabs>
          <w:tab w:val="left" w:pos="7665"/>
        </w:tabs>
        <w:spacing w:line="360" w:lineRule="auto"/>
        <w:ind w:firstLine="480" w:firstLineChars="200"/>
        <w:rPr>
          <w:rFonts w:ascii="宋体" w:hAnsi="宋体" w:cs="宋体"/>
          <w:sz w:val="24"/>
        </w:rPr>
      </w:pPr>
      <w:r>
        <w:rPr>
          <w:rFonts w:hint="eastAsia" w:ascii="宋体" w:hAnsi="宋体" w:cs="宋体"/>
          <w:sz w:val="24"/>
        </w:rPr>
        <w:t>7.2 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7.3 供应商应于投标文件递交截止时间之前在《四川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sz w:val="24"/>
        </w:rPr>
      </w:pPr>
      <w:r>
        <w:rPr>
          <w:rFonts w:hint="eastAsia" w:ascii="宋体" w:hAnsi="宋体" w:cs="宋体"/>
          <w:sz w:val="24"/>
        </w:rPr>
        <w:t>更正公告通过政采云平台发送至所有</w:t>
      </w:r>
      <w:r>
        <w:rPr>
          <w:rFonts w:hint="eastAsia" w:ascii="宋体" w:hAnsi="宋体" w:cs="宋体"/>
          <w:sz w:val="24"/>
          <w:lang w:eastAsia="zh-CN"/>
        </w:rPr>
        <w:t>获取</w:t>
      </w:r>
      <w:r>
        <w:rPr>
          <w:rFonts w:hint="eastAsia" w:ascii="宋体" w:hAnsi="宋体" w:cs="宋体"/>
          <w:sz w:val="24"/>
        </w:rPr>
        <w:t>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7.4 投标人认为需要对招标文件进行澄清或者修改的，可以以书面形式向招标采购单位提出申请，但招标采购单位可以决定是否采纳投标人的申请事项。</w:t>
      </w:r>
    </w:p>
    <w:p>
      <w:pPr>
        <w:pStyle w:val="7"/>
        <w:spacing w:line="360" w:lineRule="auto"/>
        <w:ind w:firstLine="482" w:firstLineChars="200"/>
        <w:rPr>
          <w:rFonts w:ascii="宋体" w:hAnsi="宋体" w:cs="宋体"/>
          <w:sz w:val="24"/>
          <w:szCs w:val="24"/>
        </w:rPr>
      </w:pPr>
      <w:bookmarkStart w:id="52" w:name="_Toc208848971"/>
      <w:bookmarkStart w:id="53" w:name="_Toc490290190"/>
      <w:bookmarkStart w:id="54" w:name="_Toc217446041"/>
      <w:r>
        <w:rPr>
          <w:rFonts w:hint="eastAsia" w:ascii="宋体" w:hAnsi="宋体" w:cs="宋体"/>
          <w:sz w:val="24"/>
          <w:szCs w:val="24"/>
        </w:rPr>
        <w:t>8. 答疑会和现场考察</w:t>
      </w:r>
      <w:bookmarkEnd w:id="52"/>
      <w:bookmarkEnd w:id="53"/>
      <w:bookmarkEnd w:id="54"/>
    </w:p>
    <w:p>
      <w:pPr>
        <w:tabs>
          <w:tab w:val="left" w:pos="7665"/>
        </w:tabs>
        <w:spacing w:line="360" w:lineRule="auto"/>
        <w:ind w:firstLine="480" w:firstLineChars="200"/>
        <w:rPr>
          <w:rFonts w:ascii="宋体" w:hAnsi="宋体" w:cs="宋体"/>
          <w:sz w:val="24"/>
        </w:rPr>
      </w:pPr>
      <w:r>
        <w:rPr>
          <w:rFonts w:hint="eastAsia" w:ascii="宋体" w:hAnsi="宋体" w:cs="宋体"/>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tabs>
          <w:tab w:val="left" w:pos="7665"/>
        </w:tabs>
        <w:spacing w:line="360" w:lineRule="auto"/>
        <w:ind w:firstLine="480" w:firstLineChars="200"/>
        <w:rPr>
          <w:rFonts w:ascii="宋体" w:hAnsi="宋体" w:cs="宋体"/>
          <w:sz w:val="24"/>
        </w:rPr>
      </w:pPr>
      <w:r>
        <w:rPr>
          <w:rFonts w:hint="eastAsia" w:ascii="宋体" w:hAnsi="宋体" w:cs="宋体"/>
          <w:sz w:val="24"/>
        </w:rPr>
        <w:t>现场考察或标前答疑会时间：本项目不组织</w:t>
      </w:r>
    </w:p>
    <w:p>
      <w:pPr>
        <w:tabs>
          <w:tab w:val="left" w:pos="7665"/>
        </w:tabs>
        <w:spacing w:line="360" w:lineRule="auto"/>
        <w:ind w:firstLine="480" w:firstLineChars="200"/>
        <w:rPr>
          <w:rFonts w:ascii="宋体" w:hAnsi="宋体" w:cs="宋体"/>
          <w:sz w:val="24"/>
        </w:rPr>
      </w:pPr>
      <w:r>
        <w:rPr>
          <w:rFonts w:hint="eastAsia" w:ascii="宋体" w:hAnsi="宋体" w:cs="宋体"/>
          <w:sz w:val="24"/>
        </w:rPr>
        <w:t>现场考察或标前答疑会地点：本项目不组织</w:t>
      </w:r>
    </w:p>
    <w:p>
      <w:pPr>
        <w:tabs>
          <w:tab w:val="left" w:pos="7665"/>
        </w:tabs>
        <w:spacing w:line="360" w:lineRule="auto"/>
        <w:ind w:firstLine="480" w:firstLineChars="200"/>
        <w:rPr>
          <w:rFonts w:ascii="宋体" w:hAnsi="宋体" w:cs="宋体"/>
          <w:sz w:val="24"/>
        </w:rPr>
      </w:pPr>
      <w:r>
        <w:rPr>
          <w:rFonts w:hint="eastAsia" w:ascii="宋体" w:hAnsi="宋体" w:cs="宋体"/>
          <w:sz w:val="24"/>
        </w:rPr>
        <w:t>8.2 供应商考察现场所发生的一切费用由供应商自己承担。</w:t>
      </w:r>
    </w:p>
    <w:p>
      <w:pPr>
        <w:pStyle w:val="4"/>
        <w:spacing w:line="360" w:lineRule="auto"/>
        <w:rPr>
          <w:rFonts w:ascii="宋体" w:hAnsi="宋体" w:cs="宋体"/>
          <w:b/>
          <w:sz w:val="24"/>
        </w:rPr>
      </w:pPr>
      <w:bookmarkStart w:id="55" w:name="_Toc27094"/>
      <w:bookmarkStart w:id="56" w:name="_Toc183582214"/>
      <w:bookmarkStart w:id="57" w:name="_Toc8141"/>
      <w:bookmarkStart w:id="58" w:name="_Toc217446042"/>
      <w:bookmarkStart w:id="59" w:name="_Toc490290191"/>
      <w:bookmarkStart w:id="60" w:name="_Toc89075876"/>
      <w:bookmarkStart w:id="61" w:name="_Toc183682351"/>
      <w:bookmarkStart w:id="62" w:name="_Toc77400780"/>
      <w:r>
        <w:rPr>
          <w:rFonts w:hint="eastAsia" w:ascii="宋体" w:hAnsi="宋体" w:cs="宋体"/>
          <w:b/>
        </w:rPr>
        <w:t>四、投标文件</w:t>
      </w:r>
      <w:bookmarkEnd w:id="55"/>
      <w:bookmarkEnd w:id="56"/>
      <w:bookmarkEnd w:id="57"/>
      <w:bookmarkEnd w:id="58"/>
      <w:bookmarkEnd w:id="59"/>
      <w:bookmarkEnd w:id="60"/>
      <w:bookmarkEnd w:id="61"/>
      <w:bookmarkEnd w:id="62"/>
    </w:p>
    <w:p>
      <w:pPr>
        <w:pStyle w:val="7"/>
        <w:spacing w:line="360" w:lineRule="auto"/>
        <w:ind w:firstLine="482" w:firstLineChars="200"/>
        <w:rPr>
          <w:rFonts w:ascii="宋体" w:hAnsi="宋体" w:cs="宋体"/>
          <w:bCs w:val="0"/>
          <w:sz w:val="24"/>
          <w:szCs w:val="24"/>
        </w:rPr>
      </w:pPr>
      <w:bookmarkStart w:id="63" w:name="_Toc183682352"/>
      <w:bookmarkStart w:id="64" w:name="_Toc183582215"/>
      <w:bookmarkStart w:id="65" w:name="_Toc217446043"/>
      <w:bookmarkStart w:id="66" w:name="_Toc490290192"/>
      <w:r>
        <w:rPr>
          <w:rFonts w:hint="eastAsia" w:ascii="宋体" w:hAnsi="宋体" w:cs="宋体"/>
          <w:bCs w:val="0"/>
          <w:sz w:val="24"/>
          <w:szCs w:val="24"/>
        </w:rPr>
        <w:t>9．投标文件的语言</w:t>
      </w:r>
      <w:bookmarkEnd w:id="63"/>
      <w:bookmarkEnd w:id="64"/>
      <w:bookmarkEnd w:id="65"/>
      <w:r>
        <w:rPr>
          <w:rFonts w:hint="eastAsia" w:ascii="宋体" w:hAnsi="宋体" w:cs="宋体"/>
          <w:sz w:val="24"/>
          <w:szCs w:val="24"/>
        </w:rPr>
        <w:t>（实质性要求）</w:t>
      </w:r>
      <w:bookmarkEnd w:id="66"/>
    </w:p>
    <w:p>
      <w:pPr>
        <w:tabs>
          <w:tab w:val="left" w:pos="1134"/>
        </w:tabs>
        <w:spacing w:line="360" w:lineRule="auto"/>
        <w:ind w:firstLine="480" w:firstLineChars="200"/>
        <w:jc w:val="left"/>
        <w:rPr>
          <w:rFonts w:ascii="宋体" w:hAnsi="宋体" w:cs="宋体"/>
          <w:sz w:val="24"/>
        </w:rPr>
      </w:pPr>
      <w:bookmarkStart w:id="67" w:name="_Toc217446044"/>
      <w:bookmarkStart w:id="68" w:name="_Toc183582216"/>
      <w:bookmarkStart w:id="69" w:name="_Toc183682353"/>
      <w:r>
        <w:rPr>
          <w:rFonts w:hint="eastAsia" w:ascii="宋体" w:hAnsi="宋体" w:cs="宋体"/>
          <w:sz w:val="24"/>
        </w:rPr>
        <w:t>9.1 投标人提交的投标文件以及投标人与招标采购单位就有关投标的所有来往书面文件均须使用中文。投标文件中如附有外文资料，必须逐一对应翻译成中文并加盖投标人电子签章后附在相关外文资料后面，否则，所提供的外文资料将可能被视为无效材料。（说明：供应商的法定代表人为外籍人士的，法定代表人的签字和护照除外。）</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9.2 翻译的中文资料与外文资料如果出现差异和矛盾时，以中文为准。涉嫌虚假响应的按照相关法律法规处理。</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9.3 如因未翻译而造成的废标，由投标人承担。</w:t>
      </w:r>
    </w:p>
    <w:p>
      <w:pPr>
        <w:pStyle w:val="7"/>
        <w:spacing w:line="360" w:lineRule="auto"/>
        <w:ind w:firstLine="482" w:firstLineChars="200"/>
        <w:rPr>
          <w:rFonts w:ascii="宋体" w:hAnsi="宋体" w:cs="宋体"/>
          <w:bCs w:val="0"/>
          <w:sz w:val="24"/>
          <w:szCs w:val="24"/>
        </w:rPr>
      </w:pPr>
      <w:bookmarkStart w:id="70" w:name="_Toc490290193"/>
      <w:r>
        <w:rPr>
          <w:rFonts w:hint="eastAsia" w:ascii="宋体" w:hAnsi="宋体" w:cs="宋体"/>
          <w:bCs w:val="0"/>
          <w:sz w:val="24"/>
          <w:szCs w:val="24"/>
        </w:rPr>
        <w:t>10．计量单位</w:t>
      </w:r>
      <w:bookmarkEnd w:id="67"/>
      <w:bookmarkEnd w:id="68"/>
      <w:bookmarkEnd w:id="69"/>
      <w:r>
        <w:rPr>
          <w:rFonts w:hint="eastAsia" w:ascii="宋体" w:hAnsi="宋体" w:cs="宋体"/>
          <w:bCs w:val="0"/>
          <w:sz w:val="24"/>
          <w:szCs w:val="24"/>
        </w:rPr>
        <w:t>（实质性要求）</w:t>
      </w:r>
      <w:bookmarkEnd w:id="70"/>
    </w:p>
    <w:p>
      <w:pPr>
        <w:spacing w:line="360" w:lineRule="auto"/>
        <w:ind w:firstLine="470" w:firstLineChars="196"/>
        <w:rPr>
          <w:rFonts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7"/>
        <w:spacing w:line="360" w:lineRule="auto"/>
        <w:ind w:firstLine="482" w:firstLineChars="200"/>
        <w:rPr>
          <w:rFonts w:ascii="宋体" w:hAnsi="宋体" w:cs="宋体"/>
          <w:sz w:val="24"/>
          <w:szCs w:val="24"/>
        </w:rPr>
      </w:pPr>
      <w:bookmarkStart w:id="71" w:name="_Toc217446045"/>
      <w:bookmarkStart w:id="72" w:name="_Toc490290194"/>
      <w:r>
        <w:rPr>
          <w:rFonts w:hint="eastAsia" w:ascii="宋体" w:hAnsi="宋体" w:cs="宋体"/>
          <w:bCs w:val="0"/>
          <w:sz w:val="24"/>
          <w:szCs w:val="24"/>
        </w:rPr>
        <w:t>11. 投标货币</w:t>
      </w:r>
      <w:bookmarkEnd w:id="71"/>
      <w:r>
        <w:rPr>
          <w:rFonts w:hint="eastAsia" w:ascii="宋体" w:hAnsi="宋体" w:cs="宋体"/>
          <w:bCs w:val="0"/>
          <w:sz w:val="24"/>
          <w:szCs w:val="24"/>
        </w:rPr>
        <w:t>（实质性要求）</w:t>
      </w:r>
      <w:bookmarkEnd w:id="72"/>
    </w:p>
    <w:p>
      <w:pPr>
        <w:spacing w:line="360" w:lineRule="auto"/>
        <w:ind w:firstLine="470" w:firstLineChars="196"/>
        <w:rPr>
          <w:rFonts w:ascii="宋体" w:hAnsi="宋体" w:cs="宋体"/>
          <w:sz w:val="24"/>
        </w:rPr>
      </w:pPr>
      <w:r>
        <w:rPr>
          <w:rFonts w:hint="eastAsia" w:ascii="宋体" w:hAnsi="宋体" w:cs="宋体"/>
          <w:sz w:val="24"/>
        </w:rPr>
        <w:t>本次招标项目的投标均以人民币报价。</w:t>
      </w:r>
    </w:p>
    <w:p>
      <w:pPr>
        <w:pStyle w:val="7"/>
        <w:spacing w:line="360" w:lineRule="auto"/>
        <w:ind w:firstLine="482" w:firstLineChars="200"/>
        <w:rPr>
          <w:rFonts w:ascii="宋体" w:hAnsi="宋体" w:cs="宋体"/>
          <w:sz w:val="24"/>
          <w:szCs w:val="24"/>
        </w:rPr>
      </w:pPr>
      <w:bookmarkStart w:id="73" w:name="_Toc217446046"/>
      <w:bookmarkStart w:id="74" w:name="_Toc490290195"/>
      <w:r>
        <w:rPr>
          <w:rFonts w:hint="eastAsia" w:ascii="宋体" w:hAnsi="宋体" w:cs="宋体"/>
          <w:sz w:val="24"/>
          <w:szCs w:val="24"/>
        </w:rPr>
        <w:t>12. 联合体投标</w:t>
      </w:r>
      <w:bookmarkEnd w:id="73"/>
      <w:r>
        <w:rPr>
          <w:rFonts w:hint="eastAsia" w:ascii="宋体" w:hAnsi="宋体" w:cs="宋体"/>
          <w:sz w:val="24"/>
          <w:szCs w:val="24"/>
        </w:rPr>
        <w:t>（实质性要求）</w:t>
      </w:r>
      <w:bookmarkEnd w:id="74"/>
    </w:p>
    <w:p>
      <w:pPr>
        <w:spacing w:line="360" w:lineRule="auto"/>
        <w:ind w:firstLine="600" w:firstLineChars="250"/>
        <w:rPr>
          <w:rFonts w:ascii="宋体" w:hAnsi="宋体" w:cs="宋体"/>
          <w:sz w:val="24"/>
        </w:rPr>
      </w:pPr>
      <w:r>
        <w:rPr>
          <w:rFonts w:hint="eastAsia" w:ascii="宋体" w:hAnsi="宋体" w:cs="宋体"/>
          <w:sz w:val="24"/>
        </w:rPr>
        <w:t>本采购项目不接受联合体投标。</w:t>
      </w:r>
    </w:p>
    <w:p>
      <w:pPr>
        <w:pStyle w:val="7"/>
        <w:spacing w:line="360" w:lineRule="auto"/>
        <w:ind w:firstLine="482" w:firstLineChars="200"/>
        <w:rPr>
          <w:rFonts w:ascii="宋体" w:hAnsi="宋体" w:cs="宋体"/>
          <w:bCs w:val="0"/>
          <w:sz w:val="24"/>
          <w:szCs w:val="24"/>
        </w:rPr>
      </w:pPr>
      <w:bookmarkStart w:id="75" w:name="_Toc217446047"/>
      <w:bookmarkStart w:id="76" w:name="_Toc308164797"/>
      <w:bookmarkStart w:id="77" w:name="_Toc490290196"/>
      <w:r>
        <w:rPr>
          <w:rFonts w:hint="eastAsia" w:ascii="宋体" w:hAnsi="宋体" w:cs="宋体"/>
          <w:bCs w:val="0"/>
          <w:sz w:val="24"/>
          <w:szCs w:val="24"/>
        </w:rPr>
        <w:t>13. 知识产权</w:t>
      </w:r>
      <w:bookmarkEnd w:id="75"/>
      <w:bookmarkEnd w:id="76"/>
      <w:r>
        <w:rPr>
          <w:rFonts w:hint="eastAsia" w:ascii="宋体" w:hAnsi="宋体" w:cs="宋体"/>
          <w:bCs w:val="0"/>
          <w:sz w:val="24"/>
          <w:szCs w:val="24"/>
        </w:rPr>
        <w:t>（实质性要求）</w:t>
      </w:r>
      <w:bookmarkEnd w:id="77"/>
    </w:p>
    <w:p>
      <w:pPr>
        <w:pStyle w:val="14"/>
        <w:spacing w:line="360" w:lineRule="auto"/>
        <w:ind w:firstLine="480" w:firstLineChars="200"/>
        <w:rPr>
          <w:rFonts w:ascii="宋体" w:hAnsi="宋体" w:cs="宋体"/>
          <w:sz w:val="24"/>
        </w:rPr>
      </w:pPr>
      <w:r>
        <w:rPr>
          <w:rFonts w:hint="eastAsia" w:ascii="宋体" w:hAnsi="宋体" w:cs="宋体"/>
          <w:sz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4"/>
        <w:spacing w:line="360" w:lineRule="auto"/>
        <w:ind w:firstLine="480" w:firstLineChars="200"/>
        <w:rPr>
          <w:rFonts w:ascii="宋体" w:hAnsi="宋体" w:cs="宋体"/>
          <w:sz w:val="24"/>
        </w:rPr>
      </w:pPr>
      <w:r>
        <w:rPr>
          <w:rFonts w:hint="eastAsia" w:ascii="宋体" w:hAnsi="宋体" w:cs="宋体"/>
          <w:sz w:val="24"/>
        </w:rPr>
        <w:t>13.2 采购人享有本项目实施过程中产生的知识成果及知识产权。</w:t>
      </w:r>
    </w:p>
    <w:p>
      <w:pPr>
        <w:spacing w:line="360" w:lineRule="auto"/>
        <w:ind w:firstLine="480" w:firstLineChars="200"/>
        <w:rPr>
          <w:rFonts w:ascii="宋体" w:hAnsi="宋体" w:cs="宋体"/>
          <w:sz w:val="24"/>
        </w:rPr>
      </w:pPr>
      <w:r>
        <w:rPr>
          <w:rFonts w:hint="eastAsia" w:ascii="宋体" w:hAnsi="宋体" w:cs="宋体"/>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宋体" w:hAnsi="宋体" w:cs="宋体"/>
          <w:sz w:val="24"/>
        </w:rPr>
      </w:pPr>
      <w:r>
        <w:rPr>
          <w:rFonts w:hint="eastAsia" w:ascii="宋体" w:hAnsi="宋体" w:cs="宋体"/>
          <w:sz w:val="24"/>
        </w:rPr>
        <w:t>13.4 如采用投标人所不拥有的知识产权，则在投标报价中必须包括合法获取该知识产权的相关费用。</w:t>
      </w:r>
    </w:p>
    <w:p>
      <w:pPr>
        <w:pStyle w:val="7"/>
        <w:spacing w:line="360" w:lineRule="auto"/>
        <w:ind w:firstLine="241" w:firstLineChars="100"/>
        <w:rPr>
          <w:rFonts w:ascii="宋体" w:hAnsi="宋体" w:cs="宋体"/>
          <w:bCs w:val="0"/>
          <w:sz w:val="24"/>
          <w:szCs w:val="24"/>
        </w:rPr>
      </w:pPr>
      <w:bookmarkStart w:id="78" w:name="_Toc217446048"/>
      <w:bookmarkStart w:id="79" w:name="_Toc183682354"/>
      <w:bookmarkStart w:id="80" w:name="_Toc490290197"/>
      <w:bookmarkStart w:id="81" w:name="_Toc308164798"/>
      <w:bookmarkStart w:id="82" w:name="_Toc183582217"/>
      <w:r>
        <w:rPr>
          <w:rFonts w:hint="eastAsia" w:ascii="宋体" w:hAnsi="宋体" w:cs="宋体"/>
          <w:bCs w:val="0"/>
          <w:sz w:val="24"/>
          <w:szCs w:val="24"/>
        </w:rPr>
        <w:t>14．投标文件的组成</w:t>
      </w:r>
      <w:bookmarkEnd w:id="78"/>
      <w:bookmarkEnd w:id="79"/>
      <w:bookmarkEnd w:id="80"/>
      <w:bookmarkEnd w:id="81"/>
      <w:bookmarkEnd w:id="82"/>
    </w:p>
    <w:p>
      <w:pPr>
        <w:spacing w:line="360" w:lineRule="auto"/>
        <w:ind w:firstLine="480" w:firstLineChars="200"/>
        <w:rPr>
          <w:rFonts w:ascii="宋体" w:hAnsi="宋体" w:cs="宋体"/>
          <w:sz w:val="24"/>
        </w:rPr>
      </w:pPr>
      <w:bookmarkStart w:id="83" w:name="_Toc217446049"/>
      <w:bookmarkStart w:id="84" w:name="_Toc308164799"/>
      <w:bookmarkStart w:id="85" w:name="_Toc490290202"/>
      <w:bookmarkStart w:id="86" w:name="_Toc183582218"/>
      <w:bookmarkStart w:id="87" w:name="_Toc183682355"/>
      <w:r>
        <w:rPr>
          <w:rFonts w:hint="eastAsia" w:ascii="宋体" w:hAnsi="宋体" w:cs="宋体"/>
          <w:sz w:val="24"/>
        </w:rPr>
        <w:t>投标人应按照招标文件的规定和要求编制投标文件，投标人编写的投标文件应至少包括下列两部分文件：</w:t>
      </w:r>
    </w:p>
    <w:p>
      <w:pPr>
        <w:spacing w:line="360" w:lineRule="auto"/>
        <w:ind w:firstLine="482" w:firstLineChars="200"/>
        <w:rPr>
          <w:rFonts w:ascii="宋体" w:hAnsi="宋体" w:cs="宋体"/>
          <w:b/>
          <w:sz w:val="24"/>
        </w:rPr>
      </w:pPr>
      <w:r>
        <w:rPr>
          <w:rFonts w:hint="eastAsia" w:ascii="宋体" w:hAnsi="宋体" w:cs="宋体"/>
          <w:b/>
          <w:sz w:val="24"/>
        </w:rPr>
        <w:t>文件一：资格性投标文件（用于资格审查）</w:t>
      </w:r>
    </w:p>
    <w:p>
      <w:pPr>
        <w:spacing w:line="360" w:lineRule="auto"/>
        <w:ind w:firstLine="480" w:firstLineChars="200"/>
        <w:rPr>
          <w:rFonts w:ascii="宋体" w:hAnsi="宋体" w:cs="宋体"/>
          <w:sz w:val="24"/>
        </w:rPr>
      </w:pPr>
      <w:r>
        <w:rPr>
          <w:rFonts w:hint="eastAsia" w:ascii="宋体" w:hAnsi="宋体" w:cs="宋体"/>
          <w:sz w:val="24"/>
        </w:rPr>
        <w:t>严格按照第四、五章要求提供相关资格、资质性及其他类似效力要求的相关证明材料。</w:t>
      </w:r>
    </w:p>
    <w:p>
      <w:pPr>
        <w:spacing w:line="360" w:lineRule="auto"/>
        <w:ind w:firstLine="482" w:firstLineChars="200"/>
        <w:rPr>
          <w:rFonts w:ascii="宋体" w:hAnsi="宋体" w:cs="宋体"/>
          <w:b/>
          <w:sz w:val="24"/>
        </w:rPr>
      </w:pPr>
      <w:r>
        <w:rPr>
          <w:rFonts w:hint="eastAsia" w:ascii="宋体" w:hAnsi="宋体" w:cs="宋体"/>
          <w:b/>
          <w:sz w:val="24"/>
        </w:rPr>
        <w:t>文件二：其它响应性投标文件（用于资格审查以外的评标）</w:t>
      </w:r>
    </w:p>
    <w:p>
      <w:pPr>
        <w:spacing w:line="360" w:lineRule="auto"/>
        <w:ind w:firstLine="480" w:firstLineChars="200"/>
        <w:rPr>
          <w:rFonts w:ascii="宋体" w:hAnsi="宋体" w:cs="宋体"/>
          <w:sz w:val="24"/>
        </w:rPr>
      </w:pPr>
      <w:r>
        <w:rPr>
          <w:rFonts w:hint="eastAsia" w:ascii="宋体" w:hAnsi="宋体" w:cs="宋体"/>
          <w:sz w:val="24"/>
        </w:rPr>
        <w:t>严格按照招标文件要求提供以下五个方面的相关材料：</w:t>
      </w:r>
    </w:p>
    <w:p>
      <w:pPr>
        <w:spacing w:line="360" w:lineRule="auto"/>
        <w:ind w:firstLine="482" w:firstLineChars="200"/>
        <w:rPr>
          <w:rFonts w:ascii="宋体" w:hAnsi="宋体" w:cs="宋体"/>
          <w:sz w:val="24"/>
        </w:rPr>
      </w:pPr>
      <w:r>
        <w:rPr>
          <w:rFonts w:hint="eastAsia" w:ascii="宋体" w:hAnsi="宋体" w:cs="宋体"/>
          <w:b/>
          <w:sz w:val="24"/>
        </w:rPr>
        <w:t>（一）报价部分。</w:t>
      </w:r>
      <w:r>
        <w:rPr>
          <w:rFonts w:hint="eastAsia" w:ascii="宋体" w:hAnsi="宋体" w:cs="宋体"/>
          <w:bCs/>
          <w:sz w:val="24"/>
        </w:rPr>
        <w:t>投标人</w:t>
      </w:r>
      <w:r>
        <w:rPr>
          <w:rFonts w:hint="eastAsia" w:ascii="宋体" w:hAnsi="宋体" w:cs="宋体"/>
          <w:sz w:val="24"/>
        </w:rPr>
        <w:t>按照招标文件要求填写的“开标一览表”及“报价明细表”，本次招标报价要求：</w:t>
      </w:r>
    </w:p>
    <w:p>
      <w:pPr>
        <w:spacing w:line="360" w:lineRule="auto"/>
        <w:ind w:firstLine="480" w:firstLineChars="200"/>
        <w:rPr>
          <w:rFonts w:ascii="宋体" w:hAnsi="宋体" w:cs="宋体"/>
          <w:sz w:val="24"/>
        </w:rPr>
      </w:pPr>
      <w:r>
        <w:rPr>
          <w:rFonts w:hint="eastAsia" w:ascii="宋体" w:hAnsi="宋体" w:cs="宋体"/>
          <w:sz w:val="24"/>
        </w:rPr>
        <w:t>（1）投标人的报价是投标人响应招标项目要求的全部工作内容的价格体现，包括投标人完成本项目所需的一切费用</w:t>
      </w:r>
      <w:r>
        <w:rPr>
          <w:rFonts w:hint="eastAsia" w:ascii="宋体" w:hAnsi="宋体" w:cs="宋体"/>
          <w:b/>
          <w:sz w:val="24"/>
        </w:rPr>
        <w:t>（实质性要求）。</w:t>
      </w:r>
    </w:p>
    <w:p>
      <w:pPr>
        <w:spacing w:line="360" w:lineRule="auto"/>
        <w:ind w:left="2" w:firstLine="480" w:firstLineChars="200"/>
        <w:rPr>
          <w:rFonts w:ascii="宋体" w:hAnsi="宋体" w:cs="宋体"/>
          <w:sz w:val="24"/>
        </w:rPr>
      </w:pPr>
      <w:r>
        <w:rPr>
          <w:rFonts w:hint="eastAsia" w:ascii="宋体" w:hAnsi="宋体" w:cs="宋体"/>
          <w:sz w:val="24"/>
        </w:rPr>
        <w:t>（2）投标人每种货物只允许有一个报价，并且在合同履行过程中是固定不变的，任何有选择或可调整的报价将不予接受，并按无效投标处理</w:t>
      </w:r>
      <w:r>
        <w:rPr>
          <w:rFonts w:hint="eastAsia" w:ascii="宋体" w:hAnsi="宋体" w:cs="宋体"/>
          <w:b/>
          <w:sz w:val="24"/>
        </w:rPr>
        <w:t>（实质性要求）。</w:t>
      </w:r>
    </w:p>
    <w:p>
      <w:pPr>
        <w:spacing w:line="360" w:lineRule="auto"/>
        <w:ind w:firstLine="482" w:firstLineChars="200"/>
        <w:rPr>
          <w:rFonts w:ascii="宋体" w:hAnsi="宋体" w:cs="宋体"/>
          <w:b/>
          <w:bCs/>
          <w:sz w:val="24"/>
        </w:rPr>
      </w:pPr>
      <w:r>
        <w:rPr>
          <w:rFonts w:hint="eastAsia" w:ascii="宋体" w:hAnsi="宋体" w:cs="宋体"/>
          <w:b/>
          <w:sz w:val="24"/>
        </w:rPr>
        <w:t>（二）技术部分。</w:t>
      </w:r>
      <w:r>
        <w:rPr>
          <w:rFonts w:hint="eastAsia" w:ascii="宋体" w:hAnsi="宋体" w:cs="宋体"/>
          <w:sz w:val="24"/>
        </w:rPr>
        <w:t>投标人按照招标文件要求做出的技术应答，主要是针对招标项目的技术指标、参数和技术要求做出的实质性响应和满足，投标人的技术应答包括下列内容：</w:t>
      </w:r>
    </w:p>
    <w:p>
      <w:pPr>
        <w:spacing w:line="360" w:lineRule="auto"/>
        <w:ind w:firstLine="480" w:firstLineChars="200"/>
        <w:rPr>
          <w:rFonts w:ascii="宋体" w:hAnsi="宋体" w:cs="宋体"/>
          <w:sz w:val="24"/>
        </w:rPr>
      </w:pPr>
      <w:r>
        <w:rPr>
          <w:rFonts w:hint="eastAsia" w:ascii="宋体" w:hAnsi="宋体" w:cs="宋体"/>
          <w:sz w:val="24"/>
        </w:rPr>
        <w:t>（1）投标产品的品牌、型号、配置；</w:t>
      </w:r>
    </w:p>
    <w:p>
      <w:pPr>
        <w:spacing w:line="360" w:lineRule="auto"/>
        <w:ind w:firstLine="480" w:firstLineChars="200"/>
        <w:rPr>
          <w:rFonts w:ascii="宋体" w:hAnsi="宋体" w:cs="宋体"/>
          <w:sz w:val="24"/>
        </w:rPr>
      </w:pPr>
      <w:r>
        <w:rPr>
          <w:rFonts w:hint="eastAsia" w:ascii="宋体" w:hAnsi="宋体" w:cs="宋体"/>
          <w:sz w:val="24"/>
        </w:rPr>
        <w:t>（2）投标产品本身的详细的技术指标和参数（应当尽可能提供检测报告、产品使用说明书、用户手册等材料予以佐证）；</w:t>
      </w:r>
    </w:p>
    <w:p>
      <w:pPr>
        <w:spacing w:line="360" w:lineRule="auto"/>
        <w:ind w:firstLine="480" w:firstLineChars="200"/>
        <w:rPr>
          <w:rFonts w:ascii="宋体" w:hAnsi="宋体" w:cs="宋体"/>
          <w:sz w:val="24"/>
        </w:rPr>
      </w:pPr>
      <w:r>
        <w:rPr>
          <w:rFonts w:hint="eastAsia" w:ascii="宋体" w:hAnsi="宋体" w:cs="宋体"/>
          <w:sz w:val="24"/>
        </w:rPr>
        <w:t>（3）技术、项目实施方案；</w:t>
      </w:r>
    </w:p>
    <w:p>
      <w:pPr>
        <w:spacing w:line="360" w:lineRule="auto"/>
        <w:ind w:firstLine="480" w:firstLineChars="200"/>
        <w:rPr>
          <w:rFonts w:ascii="宋体" w:hAnsi="宋体" w:cs="宋体"/>
          <w:sz w:val="24"/>
        </w:rPr>
      </w:pPr>
      <w:r>
        <w:rPr>
          <w:rFonts w:hint="eastAsia" w:ascii="宋体" w:hAnsi="宋体" w:cs="宋体"/>
          <w:sz w:val="24"/>
        </w:rPr>
        <w:t>（4）投标产品技术参数表；</w:t>
      </w:r>
    </w:p>
    <w:p>
      <w:pPr>
        <w:spacing w:line="360" w:lineRule="auto"/>
        <w:ind w:firstLine="480" w:firstLineChars="200"/>
        <w:rPr>
          <w:rFonts w:ascii="宋体" w:hAnsi="宋体" w:cs="宋体"/>
          <w:sz w:val="24"/>
        </w:rPr>
      </w:pPr>
      <w:r>
        <w:rPr>
          <w:rFonts w:hint="eastAsia" w:ascii="宋体" w:hAnsi="宋体" w:cs="宋体"/>
          <w:sz w:val="24"/>
        </w:rPr>
        <w:t>（5）产品彩页资料（如适用）；</w:t>
      </w:r>
    </w:p>
    <w:p>
      <w:pPr>
        <w:spacing w:line="360" w:lineRule="auto"/>
        <w:ind w:firstLine="480" w:firstLineChars="200"/>
        <w:rPr>
          <w:rFonts w:ascii="宋体" w:hAnsi="宋体" w:cs="宋体"/>
          <w:sz w:val="24"/>
        </w:rPr>
      </w:pPr>
      <w:r>
        <w:rPr>
          <w:rFonts w:hint="eastAsia" w:ascii="宋体" w:hAnsi="宋体" w:cs="宋体"/>
          <w:sz w:val="24"/>
        </w:rPr>
        <w:t>（6）产品工作环境条件（如适用）；</w:t>
      </w:r>
    </w:p>
    <w:p>
      <w:pPr>
        <w:spacing w:line="360" w:lineRule="auto"/>
        <w:ind w:firstLine="480" w:firstLineChars="200"/>
        <w:rPr>
          <w:rFonts w:ascii="宋体" w:hAnsi="宋体" w:cs="宋体"/>
          <w:sz w:val="24"/>
        </w:rPr>
      </w:pPr>
      <w:r>
        <w:rPr>
          <w:rFonts w:hint="eastAsia" w:ascii="宋体" w:hAnsi="宋体" w:cs="宋体"/>
          <w:sz w:val="24"/>
        </w:rPr>
        <w:t>（7）产品验收标准和验收方法（如适用）；</w:t>
      </w:r>
    </w:p>
    <w:p>
      <w:pPr>
        <w:spacing w:line="360" w:lineRule="auto"/>
        <w:ind w:firstLine="480" w:firstLineChars="200"/>
        <w:rPr>
          <w:rFonts w:ascii="宋体" w:hAnsi="宋体" w:cs="宋体"/>
          <w:sz w:val="24"/>
        </w:rPr>
      </w:pPr>
      <w:r>
        <w:rPr>
          <w:rFonts w:hint="eastAsia" w:ascii="宋体" w:hAnsi="宋体" w:cs="宋体"/>
          <w:sz w:val="24"/>
        </w:rPr>
        <w:t>（8）产品验收清单（注明各部件的品名、数量、价格、规格型号和生产厂家）。</w:t>
      </w:r>
    </w:p>
    <w:p>
      <w:pPr>
        <w:spacing w:line="360" w:lineRule="auto"/>
        <w:ind w:firstLine="480" w:firstLineChars="200"/>
        <w:rPr>
          <w:rFonts w:ascii="宋体" w:hAnsi="宋体" w:cs="宋体"/>
          <w:sz w:val="24"/>
        </w:rPr>
      </w:pPr>
      <w:r>
        <w:rPr>
          <w:rFonts w:hint="eastAsia" w:ascii="宋体" w:hAnsi="宋体" w:cs="宋体"/>
          <w:sz w:val="24"/>
        </w:rPr>
        <w:t>（9）投标人认为需要提供的文件和资料。</w:t>
      </w:r>
    </w:p>
    <w:p>
      <w:pPr>
        <w:spacing w:line="360" w:lineRule="auto"/>
        <w:ind w:firstLine="482" w:firstLineChars="200"/>
        <w:rPr>
          <w:rFonts w:ascii="宋体" w:hAnsi="宋体" w:cs="宋体"/>
          <w:sz w:val="24"/>
        </w:rPr>
      </w:pPr>
      <w:r>
        <w:rPr>
          <w:rFonts w:hint="eastAsia" w:ascii="宋体" w:hAnsi="宋体" w:cs="宋体"/>
          <w:b/>
          <w:sz w:val="24"/>
        </w:rPr>
        <w:t>（三）商务部分。</w:t>
      </w:r>
      <w:r>
        <w:rPr>
          <w:rFonts w:hint="eastAsia" w:ascii="宋体" w:hAnsi="宋体" w:cs="宋体"/>
          <w:sz w:val="24"/>
        </w:rPr>
        <w:t>投标人按照招标文件要求提供的有关文件及优惠承诺，包括以下内容（如涉及）：</w:t>
      </w:r>
    </w:p>
    <w:p>
      <w:pPr>
        <w:spacing w:line="360" w:lineRule="auto"/>
        <w:ind w:firstLine="480" w:firstLineChars="200"/>
        <w:rPr>
          <w:rFonts w:ascii="宋体" w:hAnsi="宋体" w:cs="宋体"/>
          <w:sz w:val="24"/>
        </w:rPr>
      </w:pPr>
      <w:r>
        <w:rPr>
          <w:rFonts w:hint="eastAsia" w:ascii="宋体" w:hAnsi="宋体" w:cs="宋体"/>
          <w:sz w:val="24"/>
        </w:rPr>
        <w:t>（1）投标函；</w:t>
      </w:r>
    </w:p>
    <w:p>
      <w:pPr>
        <w:spacing w:line="360" w:lineRule="auto"/>
        <w:ind w:firstLine="480" w:firstLineChars="200"/>
        <w:rPr>
          <w:rFonts w:ascii="宋体" w:hAnsi="宋体" w:cs="宋体"/>
          <w:sz w:val="24"/>
        </w:rPr>
      </w:pPr>
      <w:r>
        <w:rPr>
          <w:rFonts w:hint="eastAsia" w:ascii="宋体" w:hAnsi="宋体" w:cs="宋体"/>
          <w:sz w:val="24"/>
        </w:rPr>
        <w:t>（2）证明投标人业绩和荣誉的有关材料原件原色电子件；</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）商务应答表；</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）其他投标人认为需要提供的文件和资料。</w:t>
      </w:r>
    </w:p>
    <w:p>
      <w:pPr>
        <w:spacing w:line="360" w:lineRule="auto"/>
        <w:ind w:firstLine="482" w:firstLineChars="200"/>
        <w:rPr>
          <w:rFonts w:ascii="宋体" w:hAnsi="宋体" w:cs="宋体"/>
          <w:b/>
          <w:bCs/>
          <w:sz w:val="24"/>
        </w:rPr>
      </w:pPr>
      <w:r>
        <w:rPr>
          <w:rFonts w:hint="eastAsia" w:ascii="宋体" w:hAnsi="宋体" w:cs="宋体"/>
          <w:b/>
          <w:sz w:val="24"/>
        </w:rPr>
        <w:t>（四）售后服务。</w:t>
      </w:r>
      <w:r>
        <w:rPr>
          <w:rFonts w:hint="eastAsia" w:ascii="宋体" w:hAnsi="宋体" w:cs="宋体"/>
          <w:sz w:val="24"/>
        </w:rPr>
        <w:t>投标人按照招标文件中售后服务要求作出的积极响应和承诺，包括以下内容（如涉及）：</w:t>
      </w:r>
    </w:p>
    <w:p>
      <w:pPr>
        <w:spacing w:line="360" w:lineRule="auto"/>
        <w:ind w:firstLine="480" w:firstLineChars="200"/>
        <w:rPr>
          <w:rFonts w:hint="eastAsia" w:ascii="宋体" w:hAnsi="宋体" w:cs="宋体"/>
          <w:sz w:val="24"/>
        </w:rPr>
      </w:pPr>
      <w:r>
        <w:rPr>
          <w:rFonts w:hint="eastAsia" w:ascii="宋体" w:hAnsi="宋体" w:cs="宋体"/>
          <w:sz w:val="24"/>
        </w:rPr>
        <w:t>（1）产品制造厂家或投标人设立的售后服务机构网点清单、服务电话和维修人员名单；</w:t>
      </w:r>
    </w:p>
    <w:p>
      <w:pPr>
        <w:spacing w:line="360" w:lineRule="auto"/>
        <w:ind w:firstLine="480" w:firstLineChars="200"/>
        <w:rPr>
          <w:rFonts w:hint="eastAsia" w:ascii="宋体" w:hAnsi="宋体" w:cs="宋体"/>
          <w:sz w:val="24"/>
        </w:rPr>
      </w:pPr>
      <w:r>
        <w:rPr>
          <w:rFonts w:hint="eastAsia" w:ascii="宋体" w:hAnsi="宋体" w:cs="宋体"/>
          <w:sz w:val="24"/>
        </w:rPr>
        <w:t>（2）说明投标产品的保修时间、保修期内的保修内容与范围、维修响应时间等。分别提供产品制造厂家和投标人的服务承诺和保障措施；</w:t>
      </w:r>
    </w:p>
    <w:p>
      <w:pPr>
        <w:spacing w:line="360" w:lineRule="auto"/>
        <w:ind w:firstLine="480" w:firstLineChars="200"/>
        <w:rPr>
          <w:rFonts w:hint="eastAsia" w:ascii="宋体" w:hAnsi="宋体" w:cs="宋体"/>
          <w:sz w:val="24"/>
        </w:rPr>
      </w:pPr>
      <w:r>
        <w:rPr>
          <w:rFonts w:hint="eastAsia" w:ascii="宋体" w:hAnsi="宋体" w:cs="宋体"/>
          <w:sz w:val="24"/>
        </w:rPr>
        <w:t>（3）培训措施：说明培训内容及培训的时间、地点、目标、培训人数、收费标准和办法；</w:t>
      </w:r>
    </w:p>
    <w:p>
      <w:pPr>
        <w:spacing w:line="360" w:lineRule="auto"/>
        <w:ind w:firstLine="480" w:firstLineChars="200"/>
        <w:rPr>
          <w:rFonts w:hint="eastAsia" w:ascii="宋体" w:hAnsi="宋体" w:cs="宋体"/>
          <w:sz w:val="24"/>
        </w:rPr>
      </w:pPr>
      <w:r>
        <w:rPr>
          <w:rFonts w:hint="eastAsia" w:ascii="宋体" w:hAnsi="宋体" w:cs="宋体"/>
          <w:sz w:val="24"/>
        </w:rPr>
        <w:t>（4）其他有利于用户的服务承诺。</w:t>
      </w:r>
    </w:p>
    <w:p>
      <w:pPr>
        <w:spacing w:line="360" w:lineRule="auto"/>
        <w:ind w:firstLine="482" w:firstLineChars="200"/>
        <w:rPr>
          <w:rFonts w:hint="eastAsia" w:ascii="宋体" w:hAnsi="宋体" w:cs="宋体"/>
          <w:sz w:val="24"/>
        </w:rPr>
      </w:pPr>
      <w:r>
        <w:rPr>
          <w:rFonts w:hint="eastAsia" w:ascii="宋体" w:hAnsi="宋体" w:cs="宋体"/>
          <w:b/>
          <w:bCs/>
          <w:sz w:val="24"/>
        </w:rPr>
        <w:t>（五）其他部分。</w:t>
      </w:r>
      <w:r>
        <w:rPr>
          <w:rFonts w:hint="eastAsia" w:ascii="宋体" w:hAnsi="宋体" w:cs="宋体"/>
          <w:sz w:val="24"/>
        </w:rPr>
        <w:t>投标人按照招标文件要求作出的其他应答和承诺。</w:t>
      </w:r>
    </w:p>
    <w:p>
      <w:pPr>
        <w:pStyle w:val="7"/>
        <w:tabs>
          <w:tab w:val="left" w:pos="3480"/>
        </w:tabs>
        <w:spacing w:line="360" w:lineRule="auto"/>
        <w:ind w:firstLine="482" w:firstLineChars="200"/>
        <w:rPr>
          <w:rFonts w:ascii="宋体" w:hAnsi="宋体" w:cs="宋体"/>
          <w:sz w:val="24"/>
        </w:rPr>
      </w:pPr>
      <w:r>
        <w:rPr>
          <w:rFonts w:hint="eastAsia" w:ascii="宋体" w:hAnsi="宋体" w:cs="宋体"/>
          <w:sz w:val="24"/>
        </w:rPr>
        <w:t>15．投标文件格式</w:t>
      </w:r>
      <w:bookmarkEnd w:id="83"/>
      <w:bookmarkEnd w:id="84"/>
      <w:bookmarkEnd w:id="85"/>
      <w:bookmarkEnd w:id="86"/>
      <w:bookmarkEnd w:id="87"/>
    </w:p>
    <w:p>
      <w:pPr>
        <w:tabs>
          <w:tab w:val="left" w:pos="7665"/>
        </w:tabs>
        <w:spacing w:line="360" w:lineRule="auto"/>
        <w:ind w:left="13" w:leftChars="6" w:firstLine="480" w:firstLineChars="200"/>
        <w:rPr>
          <w:rFonts w:ascii="宋体" w:hAnsi="宋体" w:cs="宋体"/>
          <w:sz w:val="24"/>
        </w:rPr>
      </w:pPr>
      <w:r>
        <w:rPr>
          <w:rFonts w:hint="eastAsia" w:ascii="宋体" w:hAnsi="宋体" w:cs="宋体"/>
          <w:sz w:val="24"/>
        </w:rPr>
        <w:t>15.1 投标人应执行招标文件第三章的规定要求。第三章格式中“注”的内容，投标人可自行决定是否保留在投标文件中，未保留的视为投标人默认接受“注”的内容。</w:t>
      </w:r>
    </w:p>
    <w:p>
      <w:pPr>
        <w:tabs>
          <w:tab w:val="left" w:pos="7665"/>
        </w:tabs>
        <w:spacing w:line="360" w:lineRule="auto"/>
        <w:ind w:left="13" w:leftChars="6" w:firstLine="480" w:firstLineChars="200"/>
        <w:rPr>
          <w:rFonts w:ascii="宋体" w:hAnsi="宋体" w:cs="宋体"/>
          <w:sz w:val="24"/>
        </w:rPr>
      </w:pPr>
      <w:r>
        <w:rPr>
          <w:rFonts w:hint="eastAsia" w:ascii="宋体" w:hAnsi="宋体" w:cs="宋体"/>
          <w:sz w:val="24"/>
        </w:rPr>
        <w:t>15.2 对于没有格式要求的投标文件由投标人自行编写。</w:t>
      </w:r>
    </w:p>
    <w:p>
      <w:pPr>
        <w:pStyle w:val="7"/>
        <w:spacing w:line="360" w:lineRule="auto"/>
        <w:ind w:firstLine="482" w:firstLineChars="200"/>
        <w:rPr>
          <w:rFonts w:ascii="宋体" w:hAnsi="宋体" w:cs="宋体"/>
          <w:sz w:val="24"/>
        </w:rPr>
      </w:pPr>
      <w:bookmarkStart w:id="88" w:name="_Toc183582223"/>
      <w:bookmarkStart w:id="89" w:name="_Toc217446050"/>
      <w:bookmarkStart w:id="90" w:name="_Toc183682360"/>
      <w:bookmarkStart w:id="91" w:name="_Toc308164800"/>
      <w:bookmarkStart w:id="92" w:name="_Toc490290203"/>
      <w:r>
        <w:rPr>
          <w:rFonts w:hint="eastAsia" w:ascii="宋体" w:hAnsi="宋体" w:cs="宋体"/>
          <w:bCs w:val="0"/>
          <w:sz w:val="24"/>
        </w:rPr>
        <w:t>16．投标保证金</w:t>
      </w:r>
      <w:bookmarkEnd w:id="88"/>
      <w:bookmarkEnd w:id="89"/>
      <w:bookmarkEnd w:id="90"/>
      <w:bookmarkEnd w:id="91"/>
      <w:r>
        <w:rPr>
          <w:rFonts w:hint="eastAsia" w:ascii="宋体" w:hAnsi="宋体" w:cs="宋体"/>
          <w:sz w:val="24"/>
          <w:szCs w:val="24"/>
        </w:rPr>
        <w:t>（实质性要求）</w:t>
      </w:r>
      <w:bookmarkEnd w:id="92"/>
    </w:p>
    <w:p>
      <w:pPr>
        <w:spacing w:line="360" w:lineRule="auto"/>
        <w:ind w:firstLine="470" w:firstLineChars="196"/>
        <w:rPr>
          <w:rFonts w:ascii="宋体" w:hAnsi="宋体" w:cs="宋体"/>
          <w:sz w:val="24"/>
        </w:rPr>
      </w:pPr>
      <w:r>
        <w:rPr>
          <w:rFonts w:hint="eastAsia" w:ascii="宋体" w:hAnsi="宋体" w:cs="宋体"/>
          <w:sz w:val="24"/>
        </w:rPr>
        <w:t>本项目不收取。</w:t>
      </w:r>
    </w:p>
    <w:p>
      <w:pPr>
        <w:pStyle w:val="7"/>
        <w:spacing w:line="360" w:lineRule="auto"/>
        <w:ind w:firstLine="482" w:firstLineChars="200"/>
        <w:rPr>
          <w:rFonts w:ascii="宋体" w:hAnsi="宋体" w:cs="宋体"/>
          <w:bCs w:val="0"/>
          <w:sz w:val="24"/>
        </w:rPr>
      </w:pPr>
      <w:bookmarkStart w:id="93" w:name="_Toc217446051"/>
      <w:bookmarkStart w:id="94" w:name="_Toc183582224"/>
      <w:bookmarkStart w:id="95" w:name="_Toc308164801"/>
      <w:bookmarkStart w:id="96" w:name="_Toc183682361"/>
      <w:bookmarkStart w:id="97" w:name="_Toc490290204"/>
      <w:r>
        <w:rPr>
          <w:rFonts w:hint="eastAsia" w:ascii="宋体" w:hAnsi="宋体" w:cs="宋体"/>
          <w:bCs w:val="0"/>
          <w:sz w:val="24"/>
        </w:rPr>
        <w:t>17．投标有效期</w:t>
      </w:r>
      <w:bookmarkEnd w:id="93"/>
      <w:bookmarkEnd w:id="94"/>
      <w:bookmarkEnd w:id="95"/>
      <w:bookmarkEnd w:id="96"/>
      <w:r>
        <w:rPr>
          <w:rFonts w:hint="eastAsia" w:ascii="宋体" w:hAnsi="宋体" w:cs="宋体"/>
          <w:sz w:val="24"/>
          <w:szCs w:val="24"/>
        </w:rPr>
        <w:t>（实质性要求）</w:t>
      </w:r>
      <w:bookmarkEnd w:id="97"/>
    </w:p>
    <w:p>
      <w:pPr>
        <w:tabs>
          <w:tab w:val="left" w:pos="7665"/>
        </w:tabs>
        <w:spacing w:line="360" w:lineRule="auto"/>
        <w:ind w:left="13" w:leftChars="6" w:firstLine="480" w:firstLineChars="200"/>
        <w:rPr>
          <w:rFonts w:ascii="宋体" w:hAnsi="宋体" w:cs="宋体"/>
          <w:sz w:val="24"/>
        </w:rPr>
      </w:pPr>
      <w:r>
        <w:rPr>
          <w:rFonts w:hint="eastAsia" w:ascii="宋体" w:hAnsi="宋体" w:cs="宋体"/>
          <w:sz w:val="24"/>
        </w:rPr>
        <w:t>17.1 本项目投标有效期从提交投标文件的截止之日起</w:t>
      </w:r>
      <w:r>
        <w:rPr>
          <w:rFonts w:hint="eastAsia" w:ascii="宋体" w:hAnsi="宋体" w:cs="宋体"/>
          <w:b/>
          <w:color w:val="000000"/>
          <w:sz w:val="24"/>
        </w:rPr>
        <w:t>90天</w:t>
      </w:r>
      <w:r>
        <w:rPr>
          <w:rFonts w:hint="eastAsia" w:ascii="宋体" w:hAnsi="宋体" w:cs="宋体"/>
          <w:color w:val="000000"/>
          <w:sz w:val="24"/>
        </w:rPr>
        <w:t>。</w:t>
      </w:r>
      <w:r>
        <w:rPr>
          <w:rFonts w:hint="eastAsia" w:ascii="宋体" w:hAnsi="宋体" w:cs="宋体"/>
          <w:sz w:val="24"/>
        </w:rPr>
        <w:t>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left="13" w:leftChars="6" w:firstLine="360" w:firstLineChars="150"/>
        <w:rPr>
          <w:rFonts w:ascii="宋体" w:hAnsi="宋体" w:cs="宋体"/>
          <w:sz w:val="24"/>
        </w:rPr>
      </w:pPr>
      <w:r>
        <w:rPr>
          <w:rFonts w:hint="eastAsia" w:ascii="宋体" w:hAnsi="宋体" w:cs="宋体"/>
          <w:sz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left="13" w:leftChars="6" w:firstLine="360" w:firstLineChars="150"/>
        <w:rPr>
          <w:rFonts w:ascii="宋体" w:hAnsi="宋体" w:cs="宋体"/>
          <w:sz w:val="24"/>
        </w:rPr>
      </w:pPr>
      <w:r>
        <w:rPr>
          <w:rFonts w:hint="eastAsia" w:ascii="宋体" w:hAnsi="宋体" w:cs="宋体"/>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widowControl/>
        <w:wordWrap w:val="0"/>
        <w:spacing w:line="360" w:lineRule="auto"/>
        <w:ind w:firstLine="422" w:firstLineChars="175"/>
        <w:jc w:val="left"/>
        <w:outlineLvl w:val="2"/>
        <w:rPr>
          <w:rFonts w:ascii="宋体" w:hAnsi="宋体"/>
          <w:b/>
          <w:bCs/>
          <w:sz w:val="24"/>
        </w:rPr>
      </w:pPr>
      <w:bookmarkStart w:id="98" w:name="_Toc490290205"/>
      <w:bookmarkStart w:id="99" w:name="_Toc308164802"/>
      <w:bookmarkStart w:id="100" w:name="_Toc217446052"/>
      <w:bookmarkStart w:id="101" w:name="_Toc183582225"/>
      <w:bookmarkStart w:id="102" w:name="_Toc183682362"/>
      <w:r>
        <w:rPr>
          <w:rFonts w:hint="eastAsia" w:ascii="宋体" w:hAnsi="宋体" w:cs="宋体"/>
          <w:b/>
          <w:bCs/>
          <w:sz w:val="24"/>
        </w:rPr>
        <w:t>18．</w:t>
      </w:r>
      <w:bookmarkEnd w:id="98"/>
      <w:bookmarkEnd w:id="99"/>
      <w:bookmarkEnd w:id="100"/>
      <w:bookmarkEnd w:id="101"/>
      <w:bookmarkEnd w:id="102"/>
      <w:bookmarkStart w:id="103" w:name="_Toc183582227"/>
      <w:bookmarkStart w:id="104" w:name="_Toc183682364"/>
      <w:bookmarkStart w:id="105" w:name="_Toc217446054"/>
      <w:bookmarkStart w:id="106" w:name="_Toc308164804"/>
      <w:bookmarkStart w:id="107" w:name="_Toc490290207"/>
      <w:r>
        <w:rPr>
          <w:rFonts w:hint="eastAsia" w:ascii="宋体" w:hAnsi="宋体"/>
          <w:b/>
          <w:bCs/>
          <w:sz w:val="24"/>
        </w:rPr>
        <w:t>投标文件的制作和签章、加密</w:t>
      </w:r>
    </w:p>
    <w:p>
      <w:pPr>
        <w:tabs>
          <w:tab w:val="left" w:pos="1080"/>
        </w:tabs>
        <w:wordWrap w:val="0"/>
        <w:spacing w:line="360" w:lineRule="auto"/>
        <w:ind w:firstLine="420" w:firstLineChars="175"/>
        <w:rPr>
          <w:rFonts w:ascii="宋体" w:hAnsi="宋体"/>
          <w:sz w:val="24"/>
        </w:rPr>
      </w:pPr>
      <w:r>
        <w:rPr>
          <w:rFonts w:hint="eastAsia" w:ascii="宋体" w:hAnsi="宋体"/>
          <w:sz w:val="24"/>
          <w:lang w:val="en-US" w:eastAsia="zh-CN"/>
        </w:rPr>
        <w:t>18.</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本项目实行电子投标。投标人应先安装“政采云投标客户端”。（政府采购云平台—CA管理—绑定CA—下载驱动—“政采云投标客户端”立即下载）。投标人应按招标文件要求，通过“政采云投标客户端”制作、加密并提交投标文件。（实质性要求）</w:t>
      </w:r>
    </w:p>
    <w:p>
      <w:pPr>
        <w:tabs>
          <w:tab w:val="left" w:pos="1080"/>
        </w:tabs>
        <w:wordWrap w:val="0"/>
        <w:spacing w:line="360" w:lineRule="auto"/>
        <w:ind w:firstLine="422" w:firstLineChars="175"/>
        <w:rPr>
          <w:rFonts w:ascii="宋体" w:hAnsi="宋体"/>
          <w:b/>
          <w:bCs/>
          <w:sz w:val="24"/>
        </w:rPr>
      </w:pPr>
      <w:r>
        <w:rPr>
          <w:rFonts w:hint="eastAsia" w:ascii="宋体" w:hAnsi="宋体"/>
          <w:b/>
          <w:bCs/>
          <w:sz w:val="24"/>
          <w:lang w:val="en-US" w:eastAsia="zh-CN"/>
        </w:rPr>
        <w:t>18.</w:t>
      </w:r>
      <w:r>
        <w:rPr>
          <w:rFonts w:hint="eastAsia" w:ascii="宋体" w:hAnsi="宋体"/>
          <w:b/>
          <w:bCs/>
          <w:sz w:val="24"/>
        </w:rPr>
        <w:t>2</w:t>
      </w:r>
      <w:r>
        <w:rPr>
          <w:rFonts w:hint="eastAsia" w:ascii="宋体" w:hAnsi="宋体"/>
          <w:b/>
          <w:bCs/>
          <w:sz w:val="24"/>
          <w:lang w:val="en-US" w:eastAsia="zh-CN"/>
        </w:rPr>
        <w:t xml:space="preserve"> </w:t>
      </w:r>
      <w:r>
        <w:rPr>
          <w:rFonts w:hint="eastAsia" w:ascii="宋体" w:hAnsi="宋体"/>
          <w:b/>
          <w:bCs/>
          <w:sz w:val="24"/>
        </w:rPr>
        <w:t>投标文件每页均应加盖投标人（法定名称）电子签章，不得使用投标人专用章（如经济合同章、投标专用章等）或下属单位印章代替。（实质性要求）</w:t>
      </w:r>
    </w:p>
    <w:p>
      <w:pPr>
        <w:tabs>
          <w:tab w:val="left" w:pos="1080"/>
        </w:tabs>
        <w:wordWrap w:val="0"/>
        <w:spacing w:line="360" w:lineRule="auto"/>
        <w:ind w:firstLine="420" w:firstLineChars="175"/>
        <w:rPr>
          <w:rFonts w:ascii="宋体" w:hAnsi="宋体"/>
          <w:sz w:val="24"/>
        </w:rPr>
      </w:pPr>
      <w:r>
        <w:rPr>
          <w:rFonts w:hint="eastAsia" w:ascii="宋体" w:hAnsi="宋体"/>
          <w:sz w:val="24"/>
          <w:lang w:val="en-US" w:eastAsia="zh-CN"/>
        </w:rPr>
        <w:t>18.</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投标人应使用本企业CA数字证书对投标文件进行加密。（实质性要求）</w:t>
      </w:r>
    </w:p>
    <w:p>
      <w:pPr>
        <w:tabs>
          <w:tab w:val="left" w:pos="1080"/>
        </w:tabs>
        <w:wordWrap w:val="0"/>
        <w:spacing w:line="360" w:lineRule="auto"/>
        <w:ind w:firstLine="420" w:firstLineChars="175"/>
        <w:rPr>
          <w:rFonts w:ascii="宋体" w:hAnsi="宋体"/>
          <w:sz w:val="24"/>
        </w:rPr>
      </w:pPr>
      <w:r>
        <w:rPr>
          <w:rFonts w:hint="eastAsia" w:ascii="宋体" w:hAnsi="宋体"/>
          <w:sz w:val="24"/>
          <w:lang w:val="en-US" w:eastAsia="zh-CN"/>
        </w:rPr>
        <w:t>18.</w:t>
      </w:r>
      <w:r>
        <w:rPr>
          <w:rFonts w:hint="eastAsia" w:ascii="宋体" w:hAnsi="宋体"/>
          <w:sz w:val="24"/>
        </w:rPr>
        <w:t>4</w:t>
      </w:r>
      <w:r>
        <w:rPr>
          <w:rFonts w:hint="eastAsia" w:ascii="宋体" w:hAnsi="宋体"/>
          <w:sz w:val="24"/>
          <w:lang w:val="en-US" w:eastAsia="zh-CN"/>
        </w:rPr>
        <w:t xml:space="preserve"> </w:t>
      </w:r>
      <w:r>
        <w:rPr>
          <w:rFonts w:hint="eastAsia" w:ascii="宋体" w:hAnsi="宋体"/>
          <w:sz w:val="24"/>
        </w:rPr>
        <w:t>招标文件若有修改，投标人根据修改后的招标文件制作或修改并递交投标文件。</w:t>
      </w:r>
    </w:p>
    <w:p>
      <w:pPr>
        <w:tabs>
          <w:tab w:val="left" w:pos="1080"/>
        </w:tabs>
        <w:wordWrap w:val="0"/>
        <w:spacing w:line="360" w:lineRule="auto"/>
        <w:ind w:firstLine="420" w:firstLineChars="175"/>
        <w:rPr>
          <w:rFonts w:ascii="宋体" w:hAnsi="宋体"/>
          <w:sz w:val="24"/>
        </w:rPr>
      </w:pPr>
      <w:r>
        <w:rPr>
          <w:rFonts w:hint="eastAsia" w:ascii="宋体" w:hAnsi="宋体"/>
          <w:sz w:val="24"/>
          <w:lang w:val="en-US" w:eastAsia="zh-CN"/>
        </w:rPr>
        <w:t>18.</w:t>
      </w: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使用“政府采购云平台”需要提前申领CA数字证书及电子签章，请自行前往四川CA、CFCA、天威CA、北京CA、重庆CA、山西CA、浙江汇信CA、天谷CA、国信CA、山东CA、新疆CA、乌海CA等统一认证服务点办理，只需办理其中一家CA数字证书及签章（提示：办理时请说明参与成都市政府采购项目）。投标人应及时完成在“政府采购云平台”的注册及CA账号绑定，确保顺利参与电子投标。（实质性要求）</w:t>
      </w:r>
    </w:p>
    <w:p>
      <w:pPr>
        <w:pStyle w:val="7"/>
        <w:spacing w:before="0" w:after="0" w:line="360" w:lineRule="auto"/>
        <w:ind w:firstLine="482" w:firstLineChars="200"/>
        <w:rPr>
          <w:rFonts w:ascii="宋体" w:hAnsi="宋体"/>
          <w:sz w:val="24"/>
          <w:szCs w:val="24"/>
        </w:rPr>
      </w:pPr>
      <w:r>
        <w:rPr>
          <w:rFonts w:hint="eastAsia" w:ascii="宋体" w:hAnsi="宋体"/>
          <w:sz w:val="24"/>
          <w:szCs w:val="24"/>
        </w:rPr>
        <w:t>19．投标文件的</w:t>
      </w:r>
      <w:bookmarkEnd w:id="103"/>
      <w:bookmarkEnd w:id="104"/>
      <w:r>
        <w:rPr>
          <w:rFonts w:hint="eastAsia" w:ascii="宋体" w:hAnsi="宋体"/>
          <w:sz w:val="24"/>
          <w:szCs w:val="24"/>
        </w:rPr>
        <w:t>递交</w:t>
      </w:r>
      <w:bookmarkEnd w:id="105"/>
      <w:bookmarkEnd w:id="106"/>
      <w:bookmarkEnd w:id="107"/>
    </w:p>
    <w:p>
      <w:pPr>
        <w:tabs>
          <w:tab w:val="left" w:pos="1080"/>
        </w:tabs>
        <w:wordWrap w:val="0"/>
        <w:spacing w:line="360" w:lineRule="auto"/>
        <w:ind w:firstLine="420" w:firstLineChars="175"/>
        <w:rPr>
          <w:rFonts w:ascii="宋体" w:hAnsi="宋体"/>
          <w:sz w:val="24"/>
        </w:rPr>
      </w:pPr>
      <w:bookmarkStart w:id="108" w:name="_Toc183682365"/>
      <w:bookmarkStart w:id="109" w:name="_Toc183582228"/>
      <w:bookmarkStart w:id="110" w:name="_Toc490290208"/>
      <w:bookmarkStart w:id="111" w:name="_Toc217446055"/>
      <w:r>
        <w:rPr>
          <w:rFonts w:hint="eastAsia" w:ascii="宋体" w:hAnsi="宋体"/>
          <w:sz w:val="24"/>
          <w:lang w:val="en-US" w:eastAsia="zh-CN"/>
        </w:rPr>
        <w:t>19.</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投标人应当在投标文件递交截止时间前，将生成的已加密的电子投标文件成功递交至“政府采购云平台”。</w:t>
      </w:r>
    </w:p>
    <w:p>
      <w:pPr>
        <w:tabs>
          <w:tab w:val="left" w:pos="1080"/>
        </w:tabs>
        <w:wordWrap w:val="0"/>
        <w:spacing w:line="360" w:lineRule="auto"/>
        <w:ind w:firstLine="420" w:firstLineChars="175"/>
        <w:rPr>
          <w:rFonts w:ascii="宋体" w:hAnsi="宋体"/>
          <w:sz w:val="24"/>
        </w:rPr>
      </w:pPr>
      <w:r>
        <w:rPr>
          <w:rFonts w:hint="eastAsia" w:ascii="宋体" w:hAnsi="宋体"/>
          <w:sz w:val="24"/>
          <w:lang w:val="en-US" w:eastAsia="zh-CN"/>
        </w:rPr>
        <w:t>19.</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投标人应充分考虑递交文件的不可预见因素，在投标截止时间后将无法递交。</w:t>
      </w:r>
    </w:p>
    <w:p>
      <w:pPr>
        <w:pStyle w:val="7"/>
        <w:spacing w:before="0" w:after="0" w:line="360" w:lineRule="auto"/>
        <w:ind w:firstLine="482" w:firstLineChars="200"/>
        <w:rPr>
          <w:rFonts w:ascii="宋体" w:hAnsi="宋体"/>
          <w:sz w:val="24"/>
          <w:szCs w:val="24"/>
        </w:rPr>
      </w:pPr>
      <w:r>
        <w:rPr>
          <w:rFonts w:hint="eastAsia" w:ascii="宋体" w:hAnsi="宋体"/>
          <w:sz w:val="24"/>
          <w:szCs w:val="24"/>
        </w:rPr>
        <w:t>20．投标文件的修改和撤</w:t>
      </w:r>
      <w:bookmarkEnd w:id="108"/>
      <w:bookmarkEnd w:id="109"/>
      <w:r>
        <w:rPr>
          <w:rFonts w:hint="eastAsia" w:ascii="宋体" w:hAnsi="宋体"/>
          <w:sz w:val="24"/>
          <w:szCs w:val="24"/>
        </w:rPr>
        <w:t>回</w:t>
      </w:r>
      <w:bookmarkEnd w:id="110"/>
      <w:bookmarkEnd w:id="111"/>
    </w:p>
    <w:p>
      <w:pPr>
        <w:tabs>
          <w:tab w:val="left" w:pos="1080"/>
        </w:tabs>
        <w:wordWrap w:val="0"/>
        <w:spacing w:line="360" w:lineRule="auto"/>
        <w:ind w:firstLine="420" w:firstLineChars="175"/>
        <w:rPr>
          <w:rFonts w:ascii="宋体" w:hAnsi="宋体"/>
          <w:sz w:val="24"/>
        </w:rPr>
      </w:pPr>
      <w:bookmarkStart w:id="112" w:name="_Toc77400782"/>
      <w:bookmarkStart w:id="113" w:name="_Toc183682368"/>
      <w:bookmarkStart w:id="114" w:name="_Toc15165"/>
      <w:bookmarkStart w:id="115" w:name="_Toc89075878"/>
      <w:bookmarkStart w:id="116" w:name="_Toc21553"/>
      <w:bookmarkStart w:id="117" w:name="_Toc308164805"/>
      <w:bookmarkStart w:id="118" w:name="_Toc490290209"/>
      <w:bookmarkStart w:id="119" w:name="_Toc217446056"/>
      <w:bookmarkStart w:id="120" w:name="_Toc183582231"/>
      <w:r>
        <w:rPr>
          <w:rFonts w:hint="eastAsia" w:ascii="宋体" w:hAnsi="宋体"/>
          <w:sz w:val="24"/>
          <w:lang w:val="en-US" w:eastAsia="zh-CN"/>
        </w:rPr>
        <w:t>20.</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投标截止时间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widowControl/>
        <w:wordWrap w:val="0"/>
        <w:spacing w:line="360" w:lineRule="auto"/>
        <w:ind w:firstLine="420" w:firstLineChars="175"/>
        <w:jc w:val="left"/>
        <w:outlineLvl w:val="9"/>
        <w:rPr>
          <w:rFonts w:ascii="宋体" w:hAnsi="宋体"/>
          <w:sz w:val="24"/>
        </w:rPr>
      </w:pPr>
      <w:r>
        <w:rPr>
          <w:rFonts w:hint="eastAsia" w:ascii="宋体" w:hAnsi="宋体"/>
          <w:sz w:val="24"/>
          <w:lang w:val="en-US" w:eastAsia="zh-CN"/>
        </w:rPr>
        <w:t>20.</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投标截止时间后，投标人不得对其递交的投标文件做任何补充、修改。</w:t>
      </w:r>
    </w:p>
    <w:p>
      <w:pPr>
        <w:widowControl/>
        <w:wordWrap w:val="0"/>
        <w:spacing w:line="360" w:lineRule="auto"/>
        <w:ind w:firstLine="422" w:firstLineChars="175"/>
        <w:jc w:val="left"/>
        <w:outlineLvl w:val="2"/>
        <w:rPr>
          <w:rFonts w:ascii="宋体" w:hAnsi="宋体"/>
          <w:b/>
          <w:bCs/>
          <w:sz w:val="24"/>
        </w:rPr>
      </w:pPr>
      <w:r>
        <w:rPr>
          <w:rFonts w:hint="eastAsia" w:ascii="宋体" w:hAnsi="宋体"/>
          <w:b/>
          <w:bCs/>
          <w:sz w:val="24"/>
        </w:rPr>
        <w:t>21.投标文件的解密</w:t>
      </w:r>
    </w:p>
    <w:p>
      <w:pPr>
        <w:tabs>
          <w:tab w:val="left" w:pos="1080"/>
        </w:tabs>
        <w:wordWrap w:val="0"/>
        <w:spacing w:line="360" w:lineRule="auto"/>
        <w:ind w:firstLine="420" w:firstLineChars="175"/>
        <w:rPr>
          <w:rFonts w:ascii="宋体" w:hAnsi="宋体"/>
          <w:sz w:val="24"/>
        </w:rPr>
      </w:pPr>
      <w:r>
        <w:rPr>
          <w:rFonts w:hint="eastAsia" w:ascii="宋体" w:hAnsi="宋体"/>
          <w:sz w:val="24"/>
        </w:rPr>
        <w:t>投标人登录政府采购云平台，点击“项目采购—开标评标”模块，进入本项目“开标大厅”，等待代理机构开启解密后，进行线上解密。除因断电、断网、系统故障或其他不可抗力等因素，导致系统无法使用外，投标人在规定的解密时间内，未成功解密的投标文件将视为无效投标文件。</w:t>
      </w:r>
    </w:p>
    <w:p>
      <w:pPr>
        <w:tabs>
          <w:tab w:val="left" w:pos="1080"/>
        </w:tabs>
        <w:wordWrap w:val="0"/>
        <w:spacing w:line="360" w:lineRule="auto"/>
        <w:ind w:firstLine="420" w:firstLineChars="175"/>
        <w:rPr>
          <w:rFonts w:ascii="宋体" w:hAnsi="宋体"/>
          <w:sz w:val="24"/>
        </w:rPr>
      </w:pPr>
    </w:p>
    <w:p>
      <w:pPr>
        <w:pStyle w:val="4"/>
        <w:spacing w:line="360" w:lineRule="auto"/>
        <w:rPr>
          <w:rFonts w:ascii="宋体" w:hAnsi="宋体" w:cs="宋体"/>
          <w:b/>
          <w:sz w:val="24"/>
        </w:rPr>
      </w:pPr>
      <w:r>
        <w:rPr>
          <w:rFonts w:hint="eastAsia" w:ascii="宋体" w:hAnsi="宋体" w:cs="宋体"/>
          <w:b/>
          <w:sz w:val="24"/>
        </w:rPr>
        <w:t>五、开标和中标</w:t>
      </w:r>
      <w:bookmarkEnd w:id="112"/>
      <w:bookmarkEnd w:id="113"/>
      <w:bookmarkEnd w:id="114"/>
      <w:bookmarkEnd w:id="115"/>
      <w:bookmarkEnd w:id="116"/>
      <w:bookmarkEnd w:id="117"/>
      <w:bookmarkEnd w:id="118"/>
      <w:bookmarkEnd w:id="119"/>
      <w:bookmarkEnd w:id="120"/>
    </w:p>
    <w:p>
      <w:pPr>
        <w:widowControl/>
        <w:wordWrap w:val="0"/>
        <w:spacing w:line="360" w:lineRule="auto"/>
        <w:ind w:firstLine="422" w:firstLineChars="175"/>
        <w:jc w:val="left"/>
        <w:outlineLvl w:val="2"/>
        <w:rPr>
          <w:rFonts w:ascii="宋体" w:hAnsi="宋体"/>
          <w:b/>
          <w:sz w:val="24"/>
        </w:rPr>
      </w:pPr>
      <w:bookmarkStart w:id="121" w:name="_Toc4381"/>
      <w:bookmarkStart w:id="122" w:name="_Toc217446064"/>
      <w:bookmarkStart w:id="123" w:name="_Toc18711"/>
      <w:bookmarkStart w:id="124" w:name="_Toc308164810"/>
      <w:bookmarkStart w:id="125" w:name="_Toc490290212"/>
      <w:bookmarkStart w:id="126" w:name="_Toc183682377"/>
      <w:bookmarkStart w:id="127" w:name="_Toc183582240"/>
      <w:r>
        <w:rPr>
          <w:rFonts w:hint="eastAsia" w:ascii="宋体" w:hAnsi="宋体"/>
          <w:b/>
          <w:sz w:val="24"/>
        </w:rPr>
        <w:t>22.开标及开标程序</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本项目为不见面开标项目。（递交电子投标文件的投标人不足3家的，不予开标。）</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开标准备工作。投标人需在开标当日、投标截止时间前登录“政府采购云平台”，通过本项目“开标大厅”参与不见面开标。登录政府采购云平台—项目采购—开标评标—开标大厅（确保进入本项目开标大厅）。</w:t>
      </w:r>
    </w:p>
    <w:p>
      <w:pPr>
        <w:wordWrap w:val="0"/>
        <w:spacing w:line="360" w:lineRule="auto"/>
        <w:ind w:firstLine="420" w:firstLineChars="175"/>
        <w:rPr>
          <w:rFonts w:ascii="宋体" w:hAnsi="宋体"/>
          <w:sz w:val="24"/>
        </w:rPr>
      </w:pPr>
      <w:r>
        <w:rPr>
          <w:rFonts w:hint="eastAsia" w:ascii="宋体" w:hAnsi="宋体"/>
          <w:sz w:val="24"/>
        </w:rPr>
        <w:t>提示：投标人未按时登录不见面开标系统，错过开标解密时间的，由投标人自行承担不利后果。</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解密投标文件。等待代理机构开启解密后，投标人进行线上解密。开启解密后，投标人应在60分钟内，使用加密该投标文件的CA数字证书在线完成投标文件的解密。除因断电、断网、系统故障或其他不可抗力等因素，导致系统无法使用外，投标人在规定的解密时间内，未成功解密的投标文件将视为无效投标文件。</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4</w:t>
      </w:r>
      <w:r>
        <w:rPr>
          <w:rFonts w:hint="eastAsia" w:ascii="宋体" w:hAnsi="宋体"/>
          <w:sz w:val="24"/>
          <w:lang w:val="en-US" w:eastAsia="zh-CN"/>
        </w:rPr>
        <w:t xml:space="preserve"> </w:t>
      </w:r>
      <w:r>
        <w:rPr>
          <w:rFonts w:hint="eastAsia" w:ascii="宋体" w:hAnsi="宋体"/>
          <w:sz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5</w:t>
      </w:r>
      <w:r>
        <w:rPr>
          <w:rFonts w:hint="eastAsia" w:ascii="宋体" w:hAnsi="宋体"/>
          <w:sz w:val="24"/>
          <w:lang w:val="en-US" w:eastAsia="zh-CN"/>
        </w:rPr>
        <w:t xml:space="preserve"> </w:t>
      </w:r>
      <w:r>
        <w:rPr>
          <w:rFonts w:hint="eastAsia" w:ascii="宋体" w:hAnsi="宋体"/>
          <w:sz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6</w:t>
      </w:r>
      <w:r>
        <w:rPr>
          <w:rFonts w:hint="eastAsia" w:ascii="宋体" w:hAnsi="宋体"/>
          <w:sz w:val="24"/>
          <w:lang w:val="en-US" w:eastAsia="zh-CN"/>
        </w:rPr>
        <w:t xml:space="preserve"> </w:t>
      </w:r>
      <w:r>
        <w:rPr>
          <w:rFonts w:hint="eastAsia" w:ascii="宋体" w:hAnsi="宋体"/>
          <w:sz w:val="24"/>
        </w:rPr>
        <w:t>因断电、断网、系统故障或其他不可抗力等因素导致不见面开标系统无法正常运行的，开标活动中止或延迟，待系统恢复正常后继续进行开标活动。</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7</w:t>
      </w:r>
      <w:r>
        <w:rPr>
          <w:rFonts w:hint="eastAsia" w:ascii="宋体" w:hAnsi="宋体"/>
          <w:sz w:val="24"/>
          <w:lang w:val="en-US" w:eastAsia="zh-CN"/>
        </w:rPr>
        <w:t xml:space="preserve"> </w:t>
      </w:r>
      <w:r>
        <w:rPr>
          <w:rFonts w:hint="eastAsia" w:ascii="宋体" w:hAnsi="宋体"/>
          <w:sz w:val="24"/>
        </w:rPr>
        <w:t>不见面开标过程中，各方主体均应遵守互联网有关规定，不得发表与交易活动无关的言论。</w:t>
      </w:r>
    </w:p>
    <w:p>
      <w:pPr>
        <w:wordWrap w:val="0"/>
        <w:spacing w:line="360" w:lineRule="auto"/>
        <w:ind w:firstLine="420" w:firstLineChars="175"/>
        <w:rPr>
          <w:rFonts w:ascii="宋体" w:hAnsi="宋体"/>
          <w:sz w:val="24"/>
        </w:rPr>
      </w:pPr>
      <w:r>
        <w:rPr>
          <w:rFonts w:hint="eastAsia" w:ascii="宋体" w:hAnsi="宋体"/>
          <w:sz w:val="24"/>
          <w:lang w:val="en-US" w:eastAsia="zh-CN"/>
        </w:rPr>
        <w:t>22.</w:t>
      </w:r>
      <w:r>
        <w:rPr>
          <w:rFonts w:hint="eastAsia" w:ascii="宋体" w:hAnsi="宋体"/>
          <w:sz w:val="24"/>
        </w:rPr>
        <w:t>8</w:t>
      </w:r>
      <w:r>
        <w:rPr>
          <w:rFonts w:hint="eastAsia" w:ascii="宋体" w:hAnsi="宋体"/>
          <w:sz w:val="24"/>
          <w:lang w:val="en-US" w:eastAsia="zh-CN"/>
        </w:rPr>
        <w:t xml:space="preserve"> </w:t>
      </w:r>
      <w:r>
        <w:rPr>
          <w:rFonts w:hint="eastAsia" w:ascii="宋体" w:hAnsi="宋体"/>
          <w:sz w:val="24"/>
        </w:rPr>
        <w:t>开评标过程存档</w:t>
      </w:r>
    </w:p>
    <w:p>
      <w:pPr>
        <w:wordWrap w:val="0"/>
        <w:spacing w:line="360" w:lineRule="auto"/>
        <w:ind w:firstLine="420" w:firstLineChars="175"/>
        <w:rPr>
          <w:rFonts w:ascii="宋体" w:hAnsi="宋体"/>
          <w:sz w:val="24"/>
        </w:rPr>
      </w:pPr>
      <w:r>
        <w:rPr>
          <w:rFonts w:hint="eastAsia" w:ascii="宋体" w:hAnsi="宋体"/>
          <w:sz w:val="24"/>
        </w:rPr>
        <w:t>开标和评标过程进行全过程电子监控，并将电子监控资料存储介质留存归档。</w:t>
      </w:r>
    </w:p>
    <w:p>
      <w:pPr>
        <w:wordWrap w:val="0"/>
        <w:spacing w:line="360" w:lineRule="auto"/>
        <w:ind w:firstLine="422" w:firstLineChars="175"/>
        <w:outlineLvl w:val="2"/>
        <w:rPr>
          <w:rFonts w:ascii="宋体" w:hAnsi="宋体"/>
          <w:b/>
          <w:sz w:val="24"/>
        </w:rPr>
      </w:pPr>
      <w:bookmarkStart w:id="128" w:name="_Toc2166"/>
      <w:bookmarkStart w:id="129" w:name="_Toc183682375"/>
      <w:bookmarkStart w:id="130" w:name="_Toc183582238"/>
      <w:bookmarkStart w:id="131" w:name="_Toc217446063"/>
      <w:bookmarkStart w:id="132" w:name="_Toc308164809"/>
      <w:r>
        <w:rPr>
          <w:rFonts w:hint="eastAsia" w:ascii="宋体" w:hAnsi="宋体"/>
          <w:b/>
          <w:sz w:val="24"/>
        </w:rPr>
        <w:t>23.中标结果</w:t>
      </w:r>
      <w:bookmarkEnd w:id="128"/>
    </w:p>
    <w:p>
      <w:pPr>
        <w:wordWrap w:val="0"/>
        <w:spacing w:line="360" w:lineRule="auto"/>
        <w:ind w:firstLine="420" w:firstLineChars="175"/>
        <w:rPr>
          <w:rFonts w:ascii="宋体" w:hAnsi="宋体"/>
          <w:sz w:val="24"/>
        </w:rPr>
      </w:pPr>
      <w:bookmarkStart w:id="133" w:name="_Toc26659"/>
      <w:bookmarkStart w:id="134" w:name="_Toc21750"/>
      <w:r>
        <w:rPr>
          <w:rFonts w:hint="eastAsia" w:ascii="宋体" w:hAnsi="宋体"/>
          <w:bCs/>
          <w:sz w:val="24"/>
          <w:lang w:val="en-US" w:eastAsia="zh-CN"/>
        </w:rPr>
        <w:t>23.</w:t>
      </w:r>
      <w:r>
        <w:rPr>
          <w:rFonts w:hint="eastAsia" w:ascii="宋体" w:hAnsi="宋体"/>
          <w:bCs/>
          <w:sz w:val="24"/>
        </w:rPr>
        <w:t>1</w:t>
      </w:r>
      <w:r>
        <w:rPr>
          <w:rFonts w:hint="eastAsia" w:ascii="宋体" w:hAnsi="宋体"/>
          <w:bCs/>
          <w:sz w:val="24"/>
          <w:lang w:val="en-US" w:eastAsia="zh-CN"/>
        </w:rPr>
        <w:t xml:space="preserve"> </w:t>
      </w:r>
      <w:r>
        <w:rPr>
          <w:rFonts w:hint="eastAsia" w:ascii="宋体" w:hAnsi="宋体"/>
          <w:bCs/>
          <w:sz w:val="24"/>
        </w:rPr>
        <w:t>采购人确定中标人后，将及时书面通知采购代理机构，采购代理机构在中标人确定后2个工作日内，在“四川政府采购网”上公告中标结果，同时向中标人发出中标通知书。</w:t>
      </w:r>
      <w:bookmarkEnd w:id="133"/>
      <w:bookmarkEnd w:id="134"/>
    </w:p>
    <w:p>
      <w:pPr>
        <w:wordWrap w:val="0"/>
        <w:spacing w:line="360" w:lineRule="auto"/>
        <w:ind w:firstLine="420" w:firstLineChars="175"/>
        <w:rPr>
          <w:rFonts w:ascii="宋体" w:hAnsi="宋体"/>
          <w:bCs/>
          <w:sz w:val="24"/>
        </w:rPr>
      </w:pPr>
      <w:r>
        <w:rPr>
          <w:rFonts w:hint="eastAsia" w:ascii="宋体" w:hAnsi="宋体"/>
          <w:bCs/>
          <w:sz w:val="24"/>
          <w:lang w:val="en-US" w:eastAsia="zh-CN"/>
        </w:rPr>
        <w:t>23.</w:t>
      </w:r>
      <w:r>
        <w:rPr>
          <w:rFonts w:hint="eastAsia" w:ascii="宋体" w:hAnsi="宋体"/>
          <w:bCs/>
          <w:sz w:val="24"/>
        </w:rPr>
        <w:t>2</w:t>
      </w:r>
      <w:r>
        <w:rPr>
          <w:rFonts w:hint="eastAsia" w:ascii="宋体" w:hAnsi="宋体"/>
          <w:bCs/>
          <w:sz w:val="24"/>
          <w:lang w:val="en-US" w:eastAsia="zh-CN"/>
        </w:rPr>
        <w:t xml:space="preserve"> </w:t>
      </w:r>
      <w:r>
        <w:rPr>
          <w:rFonts w:hint="eastAsia" w:ascii="宋体" w:hAnsi="宋体"/>
          <w:bCs/>
          <w:sz w:val="24"/>
        </w:rPr>
        <w:t>采购人确定中标人过程中，发现中标候选人有下列情形之一的，应当不予确定其为中标人：</w:t>
      </w:r>
    </w:p>
    <w:p>
      <w:pPr>
        <w:wordWrap w:val="0"/>
        <w:spacing w:line="360" w:lineRule="auto"/>
        <w:ind w:firstLine="420" w:firstLineChars="175"/>
        <w:rPr>
          <w:rFonts w:ascii="宋体" w:hAnsi="宋体"/>
          <w:bCs/>
          <w:sz w:val="24"/>
        </w:rPr>
      </w:pPr>
      <w:r>
        <w:rPr>
          <w:rFonts w:hint="eastAsia" w:ascii="宋体" w:hAnsi="宋体"/>
          <w:bCs/>
          <w:sz w:val="24"/>
        </w:rPr>
        <w:t>（1）发现中标候选人存在禁止参加本项目采购活动的违法行为的；</w:t>
      </w:r>
    </w:p>
    <w:p>
      <w:pPr>
        <w:wordWrap w:val="0"/>
        <w:spacing w:line="360" w:lineRule="auto"/>
        <w:ind w:firstLine="420" w:firstLineChars="175"/>
        <w:rPr>
          <w:rFonts w:ascii="宋体" w:hAnsi="宋体"/>
          <w:bCs/>
          <w:sz w:val="24"/>
        </w:rPr>
      </w:pPr>
      <w:r>
        <w:rPr>
          <w:rFonts w:hint="eastAsia" w:ascii="宋体" w:hAnsi="宋体"/>
          <w:bCs/>
          <w:sz w:val="24"/>
        </w:rPr>
        <w:t>（2）中标候选人因不可抗力，不能继续参加政府采购活动；</w:t>
      </w:r>
    </w:p>
    <w:p>
      <w:pPr>
        <w:wordWrap w:val="0"/>
        <w:spacing w:line="360" w:lineRule="auto"/>
        <w:ind w:firstLine="420" w:firstLineChars="175"/>
        <w:rPr>
          <w:rFonts w:ascii="宋体" w:hAnsi="宋体"/>
          <w:bCs/>
          <w:sz w:val="24"/>
        </w:rPr>
      </w:pPr>
      <w:r>
        <w:rPr>
          <w:rFonts w:hint="eastAsia" w:ascii="宋体" w:hAnsi="宋体"/>
          <w:bCs/>
          <w:sz w:val="24"/>
        </w:rPr>
        <w:t>（3）中标候选人无偿赠与或者低于成本价竞争；</w:t>
      </w:r>
    </w:p>
    <w:p>
      <w:pPr>
        <w:wordWrap w:val="0"/>
        <w:spacing w:line="360" w:lineRule="auto"/>
        <w:ind w:firstLine="420" w:firstLineChars="175"/>
        <w:rPr>
          <w:rFonts w:ascii="宋体" w:hAnsi="宋体"/>
          <w:bCs/>
          <w:sz w:val="24"/>
        </w:rPr>
      </w:pPr>
      <w:r>
        <w:rPr>
          <w:rFonts w:hint="eastAsia" w:ascii="宋体" w:hAnsi="宋体"/>
          <w:bCs/>
          <w:sz w:val="24"/>
        </w:rPr>
        <w:t>（4）中标候选人提供虚假材料；</w:t>
      </w:r>
    </w:p>
    <w:p>
      <w:pPr>
        <w:wordWrap w:val="0"/>
        <w:spacing w:line="360" w:lineRule="auto"/>
        <w:ind w:firstLine="420" w:firstLineChars="175"/>
        <w:rPr>
          <w:rFonts w:hint="eastAsia" w:ascii="宋体" w:hAnsi="宋体"/>
          <w:bCs/>
          <w:sz w:val="24"/>
        </w:rPr>
      </w:pPr>
      <w:r>
        <w:rPr>
          <w:rFonts w:hint="eastAsia" w:ascii="宋体" w:hAnsi="宋体"/>
          <w:bCs/>
          <w:sz w:val="24"/>
        </w:rPr>
        <w:t>（5）中标候选人恶意串通。</w:t>
      </w:r>
    </w:p>
    <w:p>
      <w:pPr>
        <w:wordWrap w:val="0"/>
        <w:spacing w:line="360" w:lineRule="auto"/>
        <w:ind w:firstLine="420" w:firstLineChars="175"/>
        <w:rPr>
          <w:rFonts w:hint="eastAsia" w:ascii="宋体" w:hAnsi="宋体"/>
          <w:bCs/>
          <w:sz w:val="24"/>
        </w:rPr>
      </w:pPr>
      <w:r>
        <w:rPr>
          <w:rFonts w:hint="eastAsia" w:ascii="宋体" w:hAnsi="宋体"/>
          <w:bCs/>
          <w:sz w:val="24"/>
          <w:lang w:val="en-US" w:eastAsia="zh-CN"/>
        </w:rPr>
        <w:t xml:space="preserve">23.3 </w:t>
      </w:r>
      <w:r>
        <w:rPr>
          <w:rFonts w:hint="eastAsia" w:ascii="宋体" w:hAnsi="宋体"/>
          <w:bCs/>
          <w:sz w:val="24"/>
        </w:rPr>
        <w:t>中标通知</w:t>
      </w:r>
      <w:bookmarkEnd w:id="129"/>
      <w:bookmarkEnd w:id="130"/>
      <w:r>
        <w:rPr>
          <w:rFonts w:hint="eastAsia" w:ascii="宋体" w:hAnsi="宋体"/>
          <w:bCs/>
          <w:sz w:val="24"/>
        </w:rPr>
        <w:t>书</w:t>
      </w:r>
      <w:bookmarkEnd w:id="131"/>
      <w:bookmarkEnd w:id="132"/>
    </w:p>
    <w:p>
      <w:pPr>
        <w:wordWrap w:val="0"/>
        <w:spacing w:line="360" w:lineRule="auto"/>
        <w:ind w:firstLine="420" w:firstLineChars="175"/>
        <w:rPr>
          <w:rFonts w:ascii="宋体" w:hAnsi="宋体"/>
          <w:sz w:val="24"/>
        </w:rPr>
      </w:pPr>
      <w:r>
        <w:rPr>
          <w:rFonts w:hint="eastAsia" w:ascii="宋体" w:hAnsi="宋体"/>
          <w:bCs/>
          <w:sz w:val="24"/>
          <w:lang w:val="zh-CN"/>
        </w:rPr>
        <w:t>代理机构在四川政府采购网公告中标结果时同时发出中标通知书</w:t>
      </w:r>
      <w:r>
        <w:rPr>
          <w:rFonts w:hint="eastAsia" w:ascii="宋体" w:hAnsi="宋体"/>
          <w:sz w:val="24"/>
          <w:lang w:val="zh-CN"/>
        </w:rPr>
        <w:t>。</w:t>
      </w:r>
    </w:p>
    <w:p>
      <w:pPr>
        <w:wordWrap w:val="0"/>
        <w:spacing w:line="360" w:lineRule="auto"/>
        <w:ind w:firstLine="191" w:firstLineChars="91"/>
        <w:rPr>
          <w:rFonts w:ascii="宋体" w:hAnsi="宋体"/>
          <w:szCs w:val="28"/>
        </w:rPr>
      </w:pPr>
    </w:p>
    <w:p>
      <w:pPr>
        <w:pStyle w:val="4"/>
        <w:spacing w:line="360" w:lineRule="auto"/>
        <w:rPr>
          <w:rFonts w:ascii="宋体" w:hAnsi="宋体" w:cs="宋体"/>
          <w:sz w:val="24"/>
        </w:rPr>
      </w:pPr>
      <w:r>
        <w:rPr>
          <w:rFonts w:hint="eastAsia" w:ascii="宋体" w:hAnsi="宋体" w:cs="宋体"/>
          <w:b/>
          <w:sz w:val="24"/>
        </w:rPr>
        <w:t>六、签订及履行合同和验收</w:t>
      </w:r>
      <w:bookmarkEnd w:id="121"/>
      <w:bookmarkEnd w:id="122"/>
      <w:bookmarkEnd w:id="123"/>
      <w:bookmarkEnd w:id="124"/>
      <w:bookmarkEnd w:id="125"/>
    </w:p>
    <w:p>
      <w:pPr>
        <w:pStyle w:val="7"/>
        <w:spacing w:line="400" w:lineRule="exact"/>
        <w:ind w:firstLine="482" w:firstLineChars="200"/>
        <w:rPr>
          <w:rFonts w:ascii="宋体" w:hAnsi="宋体" w:cs="宋体"/>
          <w:b/>
          <w:bCs/>
          <w:sz w:val="24"/>
          <w:szCs w:val="24"/>
        </w:rPr>
      </w:pPr>
      <w:bookmarkStart w:id="135" w:name="_Toc308164811"/>
      <w:bookmarkStart w:id="136" w:name="_Toc217446065"/>
      <w:bookmarkStart w:id="137" w:name="_Toc490290214"/>
      <w:r>
        <w:rPr>
          <w:rFonts w:hint="eastAsia" w:ascii="宋体" w:hAnsi="宋体" w:cs="宋体"/>
          <w:b/>
          <w:bCs/>
          <w:sz w:val="24"/>
          <w:szCs w:val="24"/>
        </w:rPr>
        <w:t>24.签订合同</w:t>
      </w:r>
      <w:bookmarkEnd w:id="135"/>
      <w:bookmarkEnd w:id="136"/>
    </w:p>
    <w:p>
      <w:pPr>
        <w:spacing w:line="400" w:lineRule="exact"/>
        <w:ind w:firstLine="480" w:firstLineChars="200"/>
        <w:rPr>
          <w:rFonts w:ascii="宋体" w:hAnsi="宋体" w:cs="宋体"/>
          <w:sz w:val="24"/>
        </w:rPr>
      </w:pPr>
      <w:r>
        <w:rPr>
          <w:rFonts w:hint="eastAsia" w:ascii="宋体" w:hAnsi="宋体" w:cs="宋体"/>
          <w:sz w:val="24"/>
        </w:rPr>
        <w:t>中标人应在中标通知书发出之日起三十日内与采购人签订采购合同。由于中标人的原因逾期未与采购人签订采购合同的，将视为放弃中标，取消其中标资格并将按相关规定进行处理。</w:t>
      </w:r>
    </w:p>
    <w:p>
      <w:pPr>
        <w:pStyle w:val="7"/>
        <w:spacing w:line="400" w:lineRule="exact"/>
        <w:ind w:firstLine="482" w:firstLineChars="200"/>
        <w:rPr>
          <w:rFonts w:ascii="宋体" w:hAnsi="宋体" w:cs="宋体"/>
          <w:b/>
          <w:bCs/>
          <w:sz w:val="24"/>
          <w:szCs w:val="24"/>
        </w:rPr>
      </w:pPr>
      <w:r>
        <w:rPr>
          <w:rFonts w:hint="eastAsia" w:ascii="宋体" w:hAnsi="宋体" w:cs="宋体"/>
          <w:b/>
          <w:bCs/>
          <w:sz w:val="24"/>
          <w:szCs w:val="24"/>
        </w:rPr>
        <w:t>25.合同公告</w:t>
      </w:r>
    </w:p>
    <w:p>
      <w:pPr>
        <w:spacing w:line="400" w:lineRule="exact"/>
        <w:ind w:firstLine="480" w:firstLineChars="200"/>
        <w:rPr>
          <w:rFonts w:ascii="宋体" w:hAnsi="宋体" w:cs="宋体"/>
          <w:sz w:val="24"/>
        </w:rPr>
      </w:pPr>
      <w:r>
        <w:rPr>
          <w:rFonts w:hint="eastAsia" w:ascii="宋体" w:hAnsi="宋体" w:cs="宋体"/>
          <w:sz w:val="24"/>
        </w:rPr>
        <w:t>采购人应当自政府采购合同签订之日起2个工作日内，将政府采购合同在省级以上人民政府财政部门指定的媒体上公告（四川政府采购网），但政府采购合同中涉及国家秘密、商业秘密的内容除外。</w:t>
      </w:r>
    </w:p>
    <w:p>
      <w:pPr>
        <w:pStyle w:val="7"/>
        <w:spacing w:line="400" w:lineRule="exact"/>
        <w:ind w:firstLine="482" w:firstLineChars="200"/>
        <w:rPr>
          <w:rFonts w:ascii="宋体" w:hAnsi="宋体" w:cs="宋体"/>
          <w:b/>
          <w:bCs/>
          <w:sz w:val="24"/>
          <w:szCs w:val="24"/>
        </w:rPr>
      </w:pPr>
      <w:r>
        <w:rPr>
          <w:rFonts w:hint="eastAsia" w:ascii="宋体" w:hAnsi="宋体" w:cs="宋体"/>
          <w:b/>
          <w:bCs/>
          <w:sz w:val="24"/>
          <w:szCs w:val="24"/>
        </w:rPr>
        <w:t>26.合同备案</w:t>
      </w:r>
    </w:p>
    <w:p>
      <w:pPr>
        <w:spacing w:line="400" w:lineRule="exact"/>
        <w:ind w:firstLine="480" w:firstLineChars="200"/>
        <w:rPr>
          <w:rFonts w:ascii="宋体" w:hAnsi="宋体" w:cs="宋体"/>
          <w:sz w:val="24"/>
        </w:rPr>
      </w:pPr>
      <w:r>
        <w:rPr>
          <w:rFonts w:hint="eastAsia" w:ascii="宋体" w:hAnsi="宋体" w:cs="宋体"/>
          <w:sz w:val="24"/>
        </w:rPr>
        <w:t>采购人应当将政府采购合同副本自签订之日起七个工作日内通过政采云平台报同级财政部门备案。</w:t>
      </w:r>
    </w:p>
    <w:p>
      <w:pPr>
        <w:pStyle w:val="7"/>
        <w:spacing w:line="360" w:lineRule="auto"/>
        <w:ind w:firstLine="482" w:firstLineChars="200"/>
        <w:rPr>
          <w:rFonts w:ascii="宋体" w:hAnsi="宋体" w:cs="宋体"/>
          <w:sz w:val="24"/>
        </w:rPr>
      </w:pPr>
      <w:r>
        <w:rPr>
          <w:rFonts w:hint="eastAsia" w:ascii="宋体" w:hAnsi="宋体" w:cs="宋体"/>
          <w:sz w:val="24"/>
        </w:rPr>
        <w:t>27. 合同分包（实质性要求）</w:t>
      </w:r>
      <w:bookmarkEnd w:id="137"/>
    </w:p>
    <w:p>
      <w:pPr>
        <w:spacing w:line="360" w:lineRule="auto"/>
        <w:ind w:firstLine="480" w:firstLineChars="200"/>
        <w:rPr>
          <w:rFonts w:ascii="宋体" w:hAnsi="宋体" w:cs="宋体"/>
          <w:sz w:val="24"/>
        </w:rPr>
      </w:pPr>
      <w:r>
        <w:rPr>
          <w:rFonts w:hint="eastAsia" w:ascii="宋体" w:hAnsi="宋体" w:cs="宋体"/>
          <w:sz w:val="24"/>
        </w:rPr>
        <w:t>27.1本项目合同接受分包与否，以“投标人须知附表”勾选项为准。</w:t>
      </w:r>
    </w:p>
    <w:p>
      <w:pPr>
        <w:spacing w:line="360" w:lineRule="auto"/>
        <w:ind w:firstLine="480" w:firstLineChars="200"/>
        <w:rPr>
          <w:rFonts w:ascii="宋体" w:hAnsi="宋体" w:cs="宋体"/>
          <w:sz w:val="24"/>
        </w:rPr>
      </w:pPr>
      <w:r>
        <w:rPr>
          <w:rFonts w:hint="eastAsia" w:ascii="宋体" w:hAnsi="宋体" w:cs="宋体"/>
          <w:sz w:val="24"/>
        </w:rPr>
        <w:t>27.2 中小企业依据《政府采购促进中小企业发展管理办法》（财库〔2020〕46号）规定的政策获取政府采购合同后，小型、微型企业不得分包或转包给大型、中型企业，中型企业不得分包或转包给大型企业。</w:t>
      </w:r>
    </w:p>
    <w:p>
      <w:pPr>
        <w:pStyle w:val="7"/>
        <w:spacing w:line="360" w:lineRule="auto"/>
        <w:ind w:firstLine="482" w:firstLineChars="200"/>
        <w:rPr>
          <w:rFonts w:ascii="宋体" w:hAnsi="宋体" w:cs="宋体"/>
          <w:sz w:val="24"/>
        </w:rPr>
      </w:pPr>
      <w:bookmarkStart w:id="138" w:name="_Toc490290215"/>
      <w:r>
        <w:rPr>
          <w:rFonts w:hint="eastAsia" w:ascii="宋体" w:hAnsi="宋体" w:cs="宋体"/>
          <w:sz w:val="24"/>
        </w:rPr>
        <w:t>28.合同转包（实质性要求）</w:t>
      </w:r>
      <w:bookmarkEnd w:id="138"/>
    </w:p>
    <w:p>
      <w:pPr>
        <w:spacing w:line="360" w:lineRule="auto"/>
        <w:ind w:firstLine="540" w:firstLineChars="225"/>
        <w:rPr>
          <w:rFonts w:ascii="宋体" w:hAnsi="宋体" w:cs="宋体"/>
          <w:sz w:val="24"/>
        </w:rPr>
      </w:pPr>
      <w:r>
        <w:rPr>
          <w:rFonts w:hint="eastAsia" w:ascii="宋体" w:hAnsi="宋体" w:cs="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360" w:lineRule="auto"/>
        <w:ind w:firstLine="540" w:firstLineChars="225"/>
        <w:rPr>
          <w:rFonts w:ascii="宋体" w:hAnsi="宋体" w:cs="宋体"/>
          <w:sz w:val="24"/>
        </w:rPr>
      </w:pPr>
      <w:r>
        <w:rPr>
          <w:rFonts w:hint="eastAsia" w:ascii="宋体" w:hAnsi="宋体" w:cs="宋体"/>
          <w:sz w:val="24"/>
        </w:rPr>
        <w:t>中标人转包的，视同拒绝履行政府采购合同义务，将依法追究法律责任。</w:t>
      </w:r>
    </w:p>
    <w:p>
      <w:pPr>
        <w:pStyle w:val="7"/>
        <w:spacing w:line="360" w:lineRule="auto"/>
        <w:ind w:firstLine="482" w:firstLineChars="200"/>
        <w:rPr>
          <w:rFonts w:ascii="宋体" w:hAnsi="宋体" w:cs="宋体"/>
          <w:sz w:val="24"/>
        </w:rPr>
      </w:pPr>
      <w:bookmarkStart w:id="139" w:name="_Toc217446066"/>
      <w:bookmarkStart w:id="140" w:name="_Toc490290216"/>
      <w:r>
        <w:rPr>
          <w:rFonts w:hint="eastAsia" w:ascii="宋体" w:hAnsi="宋体" w:cs="宋体"/>
          <w:sz w:val="24"/>
        </w:rPr>
        <w:t>29.</w:t>
      </w:r>
      <w:bookmarkEnd w:id="139"/>
      <w:r>
        <w:rPr>
          <w:rFonts w:hint="eastAsia" w:ascii="宋体" w:hAnsi="宋体" w:cs="宋体"/>
          <w:sz w:val="24"/>
        </w:rPr>
        <w:t xml:space="preserve"> 补充合同</w:t>
      </w:r>
      <w:bookmarkEnd w:id="140"/>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pStyle w:val="7"/>
        <w:spacing w:line="360" w:lineRule="auto"/>
        <w:ind w:firstLine="482" w:firstLineChars="200"/>
        <w:rPr>
          <w:rFonts w:ascii="宋体" w:hAnsi="宋体" w:cs="宋体"/>
          <w:sz w:val="24"/>
        </w:rPr>
      </w:pPr>
      <w:bookmarkStart w:id="141" w:name="_Toc217446068"/>
      <w:bookmarkStart w:id="142" w:name="_Toc308164812"/>
      <w:bookmarkStart w:id="143" w:name="_Toc490290217"/>
      <w:r>
        <w:rPr>
          <w:rFonts w:hint="eastAsia" w:ascii="宋体" w:hAnsi="宋体" w:cs="宋体"/>
          <w:sz w:val="24"/>
        </w:rPr>
        <w:t>30.履约保证金</w:t>
      </w:r>
      <w:bookmarkEnd w:id="141"/>
      <w:bookmarkEnd w:id="142"/>
      <w:bookmarkEnd w:id="143"/>
    </w:p>
    <w:p>
      <w:pPr>
        <w:spacing w:line="360" w:lineRule="auto"/>
        <w:ind w:firstLine="480" w:firstLineChars="200"/>
        <w:rPr>
          <w:rFonts w:ascii="宋体" w:hAnsi="宋体" w:cs="宋体"/>
          <w:sz w:val="24"/>
        </w:rPr>
      </w:pPr>
      <w:bookmarkStart w:id="144" w:name="_Toc490290218"/>
      <w:bookmarkStart w:id="145" w:name="_Toc217446069"/>
      <w:bookmarkStart w:id="146" w:name="_Toc308164813"/>
      <w:r>
        <w:rPr>
          <w:rFonts w:hint="eastAsia" w:ascii="宋体" w:hAnsi="宋体" w:cs="宋体"/>
          <w:sz w:val="24"/>
        </w:rPr>
        <w:t>本项目不收取。</w:t>
      </w:r>
    </w:p>
    <w:bookmarkEnd w:id="144"/>
    <w:p>
      <w:pPr>
        <w:pStyle w:val="7"/>
        <w:spacing w:line="360" w:lineRule="auto"/>
        <w:ind w:firstLine="482" w:firstLineChars="200"/>
        <w:rPr>
          <w:rFonts w:ascii="宋体" w:hAnsi="宋体" w:cs="宋体"/>
          <w:b w:val="0"/>
          <w:sz w:val="24"/>
          <w:szCs w:val="24"/>
        </w:rPr>
      </w:pPr>
      <w:bookmarkStart w:id="147" w:name="_Toc490290220"/>
      <w:r>
        <w:rPr>
          <w:rFonts w:hint="eastAsia" w:ascii="宋体" w:hAnsi="宋体" w:cs="宋体"/>
          <w:sz w:val="24"/>
          <w:szCs w:val="24"/>
        </w:rPr>
        <w:t>31. 履行合同</w:t>
      </w:r>
      <w:bookmarkEnd w:id="145"/>
      <w:bookmarkEnd w:id="146"/>
      <w:bookmarkEnd w:id="147"/>
    </w:p>
    <w:p>
      <w:pPr>
        <w:spacing w:line="360" w:lineRule="auto"/>
        <w:rPr>
          <w:rFonts w:ascii="宋体" w:hAnsi="宋体" w:cs="宋体"/>
          <w:sz w:val="24"/>
        </w:rPr>
      </w:pPr>
      <w:r>
        <w:rPr>
          <w:rFonts w:hint="eastAsia" w:ascii="宋体" w:hAnsi="宋体" w:cs="宋体"/>
          <w:sz w:val="24"/>
        </w:rPr>
        <w:t xml:space="preserve">   31.1 中标人与采购人签订合同后，合同双方应严格执行合同条款，履行合同规定的义务，保证合同的顺利完成。</w:t>
      </w:r>
    </w:p>
    <w:p>
      <w:pPr>
        <w:spacing w:line="360" w:lineRule="auto"/>
        <w:rPr>
          <w:rFonts w:ascii="宋体" w:hAnsi="宋体" w:cs="宋体"/>
          <w:sz w:val="24"/>
        </w:rPr>
      </w:pPr>
      <w:r>
        <w:rPr>
          <w:rFonts w:hint="eastAsia" w:ascii="宋体" w:hAnsi="宋体" w:cs="宋体"/>
          <w:sz w:val="24"/>
        </w:rPr>
        <w:t xml:space="preserve">   31.2 在合同履行过程中，如发生合同纠纷，合同双方应按照《中华人民共和国民法典》的有关规定进行处理。</w:t>
      </w:r>
    </w:p>
    <w:p>
      <w:pPr>
        <w:pStyle w:val="7"/>
        <w:spacing w:line="360" w:lineRule="auto"/>
        <w:ind w:firstLine="482" w:firstLineChars="200"/>
        <w:rPr>
          <w:rFonts w:ascii="宋体" w:hAnsi="宋体" w:cs="宋体"/>
          <w:b w:val="0"/>
          <w:sz w:val="24"/>
          <w:szCs w:val="24"/>
        </w:rPr>
      </w:pPr>
      <w:bookmarkStart w:id="148" w:name="_Toc308164814"/>
      <w:bookmarkStart w:id="149" w:name="_Toc217446070"/>
      <w:bookmarkStart w:id="150" w:name="_Toc490290221"/>
      <w:r>
        <w:rPr>
          <w:rFonts w:hint="eastAsia" w:ascii="宋体" w:hAnsi="宋体" w:cs="宋体"/>
          <w:sz w:val="24"/>
          <w:szCs w:val="24"/>
        </w:rPr>
        <w:t>32. 验收</w:t>
      </w:r>
      <w:bookmarkEnd w:id="148"/>
      <w:bookmarkEnd w:id="149"/>
      <w:bookmarkEnd w:id="150"/>
    </w:p>
    <w:p>
      <w:pPr>
        <w:spacing w:line="360" w:lineRule="auto"/>
        <w:ind w:firstLine="480" w:firstLineChars="200"/>
        <w:rPr>
          <w:rFonts w:ascii="宋体" w:hAnsi="宋体" w:cs="宋体"/>
          <w:sz w:val="24"/>
        </w:rPr>
      </w:pPr>
      <w:r>
        <w:rPr>
          <w:rFonts w:hint="eastAsia" w:ascii="宋体" w:hAnsi="宋体" w:cs="宋体"/>
          <w:sz w:val="24"/>
        </w:rPr>
        <w:t>32.1本项目采购人将严格按照政府采购相关法律法规以及</w:t>
      </w:r>
      <w:r>
        <w:rPr>
          <w:rFonts w:hint="eastAsia" w:ascii="宋体" w:hAnsi="宋体" w:cs="宋体"/>
          <w:kern w:val="1"/>
          <w:sz w:val="24"/>
        </w:rPr>
        <w:t>《财政部关于进一步加强政府采购需求和履约验收管理的指导意见》（财库〔2016〕205号）</w:t>
      </w:r>
      <w:r>
        <w:rPr>
          <w:rFonts w:hint="eastAsia" w:ascii="宋体" w:hAnsi="宋体" w:cs="宋体"/>
          <w:sz w:val="24"/>
        </w:rPr>
        <w:t>的要求进行验收。</w:t>
      </w:r>
    </w:p>
    <w:p>
      <w:pPr>
        <w:spacing w:line="360" w:lineRule="auto"/>
        <w:ind w:firstLine="480" w:firstLineChars="200"/>
        <w:rPr>
          <w:rFonts w:ascii="宋体" w:hAnsi="宋体" w:cs="宋体"/>
          <w:sz w:val="24"/>
        </w:rPr>
      </w:pPr>
      <w:r>
        <w:rPr>
          <w:rFonts w:hint="eastAsia" w:ascii="宋体" w:hAnsi="宋体" w:cs="宋体"/>
          <w:sz w:val="24"/>
        </w:rPr>
        <w:t>32.2 验收结果合格的，采购人出具验收合格书，并无息退还中标人的履约保证金；验收结果不合格的，履约保证金将不予退还，也将不予支付采购资金，还可能会报告本项目同级财政部门按照政府采购法律法规有关规定给予行政处罚或者以失信行为记入诚信档案。</w:t>
      </w:r>
      <w:bookmarkStart w:id="151" w:name="_Toc217446071"/>
    </w:p>
    <w:p>
      <w:pPr>
        <w:pStyle w:val="7"/>
        <w:spacing w:line="360" w:lineRule="auto"/>
        <w:ind w:firstLine="482" w:firstLineChars="200"/>
        <w:rPr>
          <w:rFonts w:ascii="宋体" w:hAnsi="宋体" w:cs="宋体"/>
          <w:sz w:val="24"/>
          <w:szCs w:val="24"/>
        </w:rPr>
      </w:pPr>
      <w:bookmarkStart w:id="152" w:name="_Toc217446077"/>
      <w:bookmarkStart w:id="153" w:name="_Toc490290222"/>
      <w:bookmarkStart w:id="154" w:name="_Toc308164818"/>
      <w:r>
        <w:rPr>
          <w:rFonts w:hint="eastAsia" w:ascii="宋体" w:hAnsi="宋体" w:cs="宋体"/>
          <w:sz w:val="24"/>
          <w:szCs w:val="24"/>
        </w:rPr>
        <w:t>33.资金支付</w:t>
      </w:r>
      <w:bookmarkEnd w:id="152"/>
      <w:bookmarkEnd w:id="153"/>
      <w:bookmarkEnd w:id="154"/>
    </w:p>
    <w:p>
      <w:pPr>
        <w:spacing w:line="360" w:lineRule="auto"/>
        <w:ind w:firstLine="480" w:firstLineChars="200"/>
        <w:rPr>
          <w:rFonts w:ascii="宋体" w:hAnsi="宋体" w:cs="宋体"/>
          <w:sz w:val="24"/>
        </w:rPr>
      </w:pPr>
      <w:r>
        <w:rPr>
          <w:rFonts w:hint="eastAsia" w:ascii="宋体" w:hAnsi="宋体" w:cs="宋体"/>
          <w:sz w:val="24"/>
        </w:rPr>
        <w:t>33.1采购人按照政府采购合同规定，及时向中标供应商支付采购资金。</w:t>
      </w:r>
    </w:p>
    <w:p>
      <w:pPr>
        <w:spacing w:line="360" w:lineRule="auto"/>
        <w:ind w:firstLine="480" w:firstLineChars="200"/>
        <w:rPr>
          <w:rFonts w:ascii="宋体" w:hAnsi="宋体" w:cs="宋体"/>
          <w:sz w:val="24"/>
        </w:rPr>
      </w:pPr>
      <w:r>
        <w:rPr>
          <w:rFonts w:hint="eastAsia" w:ascii="宋体" w:hAnsi="宋体" w:cs="宋体"/>
          <w:sz w:val="24"/>
        </w:rPr>
        <w:t>33.2付款方式：</w:t>
      </w:r>
      <w:r>
        <w:rPr>
          <w:rFonts w:hint="eastAsia" w:ascii="宋体" w:hAnsi="宋体" w:cs="宋体"/>
          <w:b/>
          <w:sz w:val="24"/>
        </w:rPr>
        <w:t>详见第六章商务要求</w:t>
      </w:r>
      <w:r>
        <w:rPr>
          <w:rFonts w:hint="eastAsia" w:ascii="宋体" w:hAnsi="宋体" w:cs="宋体"/>
          <w:sz w:val="24"/>
        </w:rPr>
        <w:t>。</w:t>
      </w:r>
    </w:p>
    <w:bookmarkEnd w:id="126"/>
    <w:bookmarkEnd w:id="127"/>
    <w:bookmarkEnd w:id="151"/>
    <w:p>
      <w:pPr>
        <w:pStyle w:val="4"/>
        <w:spacing w:line="360" w:lineRule="auto"/>
        <w:rPr>
          <w:rFonts w:ascii="宋体" w:hAnsi="宋体" w:cs="宋体"/>
          <w:b/>
        </w:rPr>
      </w:pPr>
      <w:bookmarkStart w:id="155" w:name="_Toc20614"/>
      <w:bookmarkStart w:id="156" w:name="_Toc490290223"/>
      <w:bookmarkStart w:id="157" w:name="_Toc27531"/>
      <w:bookmarkStart w:id="158" w:name="_Toc308164815"/>
      <w:bookmarkStart w:id="159" w:name="_Toc217446074"/>
      <w:bookmarkStart w:id="160" w:name="_Toc183582243"/>
      <w:bookmarkStart w:id="161" w:name="_Toc183682380"/>
      <w:r>
        <w:rPr>
          <w:rFonts w:hint="eastAsia" w:ascii="宋体" w:hAnsi="宋体" w:cs="宋体"/>
          <w:b/>
        </w:rPr>
        <w:t>七、投标纪律要求</w:t>
      </w:r>
      <w:bookmarkEnd w:id="155"/>
      <w:bookmarkEnd w:id="156"/>
      <w:bookmarkEnd w:id="157"/>
      <w:bookmarkEnd w:id="158"/>
      <w:bookmarkEnd w:id="159"/>
    </w:p>
    <w:p>
      <w:pPr>
        <w:pStyle w:val="7"/>
        <w:spacing w:line="360" w:lineRule="auto"/>
        <w:ind w:firstLine="482" w:firstLineChars="200"/>
        <w:rPr>
          <w:rFonts w:ascii="宋体" w:hAnsi="宋体" w:cs="宋体"/>
          <w:bCs w:val="0"/>
          <w:sz w:val="24"/>
          <w:szCs w:val="24"/>
        </w:rPr>
      </w:pPr>
      <w:bookmarkStart w:id="162" w:name="_Toc490290224"/>
      <w:bookmarkStart w:id="163" w:name="_Toc217446075"/>
      <w:bookmarkStart w:id="164" w:name="_Toc308164816"/>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 xml:space="preserve">. </w:t>
      </w:r>
      <w:r>
        <w:rPr>
          <w:rFonts w:hint="eastAsia" w:ascii="宋体" w:hAnsi="宋体" w:cs="宋体"/>
          <w:bCs w:val="0"/>
          <w:sz w:val="24"/>
          <w:szCs w:val="24"/>
        </w:rPr>
        <w:t>投标人不得具有的情形</w:t>
      </w:r>
      <w:bookmarkEnd w:id="162"/>
      <w:bookmarkEnd w:id="163"/>
      <w:bookmarkEnd w:id="164"/>
    </w:p>
    <w:p>
      <w:pPr>
        <w:pStyle w:val="6"/>
        <w:spacing w:line="360" w:lineRule="auto"/>
        <w:ind w:firstLine="480"/>
        <w:rPr>
          <w:rFonts w:ascii="宋体" w:hAnsi="宋体" w:cs="宋体"/>
          <w:sz w:val="24"/>
        </w:rPr>
      </w:pPr>
      <w:bookmarkStart w:id="165" w:name="_Toc490290225"/>
      <w:bookmarkStart w:id="166" w:name="_Toc217446078"/>
      <w:bookmarkStart w:id="167" w:name="_Toc308164819"/>
      <w:r>
        <w:rPr>
          <w:rFonts w:hint="eastAsia" w:ascii="宋体" w:hAnsi="宋体" w:cs="宋体"/>
          <w:sz w:val="24"/>
        </w:rPr>
        <w:t>投标人应当遵循公平竞争的原则，不得恶意串通，不得妨碍其他投标人的竞争行为，不得损害采购人或者其他投标人的合法权益。</w:t>
      </w:r>
    </w:p>
    <w:p>
      <w:pPr>
        <w:pStyle w:val="6"/>
        <w:spacing w:line="360" w:lineRule="auto"/>
        <w:ind w:firstLine="480"/>
        <w:rPr>
          <w:rFonts w:ascii="宋体" w:hAnsi="宋体" w:cs="宋体"/>
          <w:sz w:val="24"/>
        </w:rPr>
      </w:pPr>
      <w:r>
        <w:rPr>
          <w:rFonts w:hint="eastAsia" w:ascii="宋体" w:hAnsi="宋体" w:cs="宋体"/>
          <w:sz w:val="24"/>
        </w:rPr>
        <w:t>在评标过程中发现投标人有上述情形的，评标委员会应当认定其投标无效，并书面报告本级财政部门。</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.1 投标人参加本项目投标不得有下列情形：</w:t>
      </w:r>
    </w:p>
    <w:p>
      <w:pPr>
        <w:spacing w:line="360" w:lineRule="auto"/>
        <w:ind w:firstLine="480" w:firstLineChars="200"/>
        <w:rPr>
          <w:rFonts w:ascii="宋体" w:hAnsi="宋体" w:cs="宋体"/>
          <w:sz w:val="24"/>
        </w:rPr>
      </w:pPr>
      <w:r>
        <w:rPr>
          <w:rFonts w:hint="eastAsia" w:ascii="宋体" w:hAnsi="宋体" w:cs="宋体"/>
          <w:sz w:val="24"/>
        </w:rPr>
        <w:t>（1）提供虚假材料谋取中标；</w:t>
      </w:r>
    </w:p>
    <w:p>
      <w:pPr>
        <w:spacing w:line="360" w:lineRule="auto"/>
        <w:ind w:firstLine="480" w:firstLineChars="200"/>
        <w:rPr>
          <w:rFonts w:ascii="宋体" w:hAnsi="宋体" w:cs="宋体"/>
          <w:sz w:val="24"/>
        </w:rPr>
      </w:pPr>
      <w:r>
        <w:rPr>
          <w:rFonts w:hint="eastAsia" w:ascii="宋体" w:hAnsi="宋体" w:cs="宋体"/>
          <w:sz w:val="24"/>
        </w:rPr>
        <w:t>（2）采取不正当手段诋毁、排挤其他投标人；</w:t>
      </w:r>
    </w:p>
    <w:p>
      <w:pPr>
        <w:spacing w:line="360" w:lineRule="auto"/>
        <w:ind w:firstLine="480" w:firstLineChars="200"/>
        <w:rPr>
          <w:rFonts w:ascii="宋体" w:hAnsi="宋体" w:cs="宋体"/>
          <w:sz w:val="24"/>
        </w:rPr>
      </w:pPr>
      <w:r>
        <w:rPr>
          <w:rFonts w:hint="eastAsia" w:ascii="宋体" w:hAnsi="宋体" w:cs="宋体"/>
          <w:sz w:val="24"/>
        </w:rPr>
        <w:t>（3）与招标采购单位、其他投标人恶意串通；</w:t>
      </w:r>
    </w:p>
    <w:p>
      <w:pPr>
        <w:spacing w:line="360" w:lineRule="auto"/>
        <w:ind w:firstLine="480" w:firstLineChars="200"/>
        <w:rPr>
          <w:rFonts w:ascii="宋体" w:hAnsi="宋体" w:cs="宋体"/>
          <w:sz w:val="24"/>
        </w:rPr>
      </w:pPr>
      <w:r>
        <w:rPr>
          <w:rFonts w:hint="eastAsia" w:ascii="宋体" w:hAnsi="宋体" w:cs="宋体"/>
          <w:sz w:val="24"/>
        </w:rPr>
        <w:t>（4）向招标采购单位、评标委员会成员行贿或者提供其他不正当利益；</w:t>
      </w:r>
    </w:p>
    <w:p>
      <w:pPr>
        <w:spacing w:line="360" w:lineRule="auto"/>
        <w:ind w:firstLine="480" w:firstLineChars="200"/>
        <w:rPr>
          <w:rFonts w:ascii="宋体" w:hAnsi="宋体" w:cs="宋体"/>
          <w:sz w:val="24"/>
        </w:rPr>
      </w:pPr>
      <w:r>
        <w:rPr>
          <w:rFonts w:hint="eastAsia" w:ascii="宋体" w:hAnsi="宋体" w:cs="宋体"/>
          <w:sz w:val="24"/>
        </w:rPr>
        <w:t>（5）在招标过程中与招标采购单位进行协商谈判；</w:t>
      </w:r>
    </w:p>
    <w:p>
      <w:pPr>
        <w:spacing w:line="360" w:lineRule="auto"/>
        <w:ind w:firstLine="480" w:firstLineChars="200"/>
        <w:rPr>
          <w:rFonts w:ascii="宋体" w:hAnsi="宋体" w:cs="宋体"/>
          <w:sz w:val="24"/>
        </w:rPr>
      </w:pPr>
      <w:r>
        <w:rPr>
          <w:rFonts w:hint="eastAsia" w:ascii="宋体" w:hAnsi="宋体" w:cs="宋体"/>
          <w:sz w:val="24"/>
        </w:rPr>
        <w:t>（6）中标或者成交后无正当理由拒不与采购人签订政府采购合同；</w:t>
      </w:r>
    </w:p>
    <w:p>
      <w:pPr>
        <w:spacing w:line="360" w:lineRule="auto"/>
        <w:ind w:firstLine="480" w:firstLineChars="200"/>
        <w:rPr>
          <w:rFonts w:ascii="宋体" w:hAnsi="宋体" w:cs="宋体"/>
          <w:sz w:val="24"/>
        </w:rPr>
      </w:pPr>
      <w:r>
        <w:rPr>
          <w:rFonts w:hint="eastAsia" w:ascii="宋体" w:hAnsi="宋体" w:cs="宋体"/>
          <w:sz w:val="24"/>
        </w:rPr>
        <w:t>（7）未按照采购文件确定的事项签订政府采购合同；</w:t>
      </w:r>
    </w:p>
    <w:p>
      <w:pPr>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spacing w:line="360" w:lineRule="auto"/>
        <w:ind w:firstLine="480" w:firstLineChars="200"/>
        <w:rPr>
          <w:rFonts w:ascii="宋体" w:hAnsi="宋体" w:cs="宋体"/>
          <w:sz w:val="24"/>
        </w:rPr>
      </w:pPr>
      <w:r>
        <w:rPr>
          <w:rFonts w:hint="eastAsia" w:ascii="宋体" w:hAnsi="宋体" w:cs="宋体"/>
          <w:sz w:val="24"/>
        </w:rPr>
        <w:t>（9）提供假冒伪劣产品；</w:t>
      </w:r>
    </w:p>
    <w:p>
      <w:pPr>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spacing w:line="360" w:lineRule="auto"/>
        <w:ind w:firstLine="480" w:firstLineChars="200"/>
        <w:rPr>
          <w:rFonts w:ascii="宋体" w:hAnsi="宋体" w:cs="宋体"/>
          <w:sz w:val="24"/>
        </w:rPr>
      </w:pPr>
      <w:r>
        <w:rPr>
          <w:rFonts w:hint="eastAsia" w:ascii="宋体" w:hAnsi="宋体" w:cs="宋体"/>
          <w:sz w:val="24"/>
        </w:rPr>
        <w:t>（12）法律法规规定的其他情形。</w:t>
      </w:r>
    </w:p>
    <w:p>
      <w:pPr>
        <w:spacing w:line="360" w:lineRule="auto"/>
        <w:ind w:firstLine="480" w:firstLineChars="200"/>
        <w:rPr>
          <w:rFonts w:ascii="宋体" w:hAnsi="宋体" w:cs="宋体"/>
          <w:sz w:val="24"/>
        </w:rPr>
      </w:pPr>
      <w:r>
        <w:rPr>
          <w:rFonts w:hint="eastAsia" w:ascii="宋体" w:hAnsi="宋体" w:cs="宋体"/>
          <w:sz w:val="24"/>
        </w:rPr>
        <w:t>投标人有上述情形的，按照规定追究法律责任，具备（1）-（10）条情形之一的，同时将取消中标资格或者认定中标无效。</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.2 投标人有下列情形之一的，视为投标人串通投标，其投标无效：</w:t>
      </w:r>
    </w:p>
    <w:p>
      <w:pPr>
        <w:spacing w:line="360" w:lineRule="auto"/>
        <w:ind w:firstLine="480" w:firstLineChars="200"/>
        <w:rPr>
          <w:rFonts w:ascii="宋体" w:hAnsi="宋体" w:cs="宋体"/>
          <w:sz w:val="24"/>
        </w:rPr>
      </w:pPr>
      <w:r>
        <w:rPr>
          <w:rFonts w:hint="eastAsia" w:ascii="宋体" w:hAnsi="宋体" w:cs="宋体"/>
          <w:sz w:val="24"/>
        </w:rPr>
        <w:t>（1）不同投标人的投标文件由同一单位或者个人编制；</w:t>
      </w:r>
    </w:p>
    <w:p>
      <w:pPr>
        <w:spacing w:line="360" w:lineRule="auto"/>
        <w:ind w:firstLine="480" w:firstLineChars="200"/>
        <w:rPr>
          <w:rFonts w:ascii="宋体" w:hAnsi="宋体" w:cs="宋体"/>
          <w:sz w:val="24"/>
        </w:rPr>
      </w:pPr>
      <w:r>
        <w:rPr>
          <w:rFonts w:hint="eastAsia" w:ascii="宋体" w:hAnsi="宋体" w:cs="宋体"/>
          <w:sz w:val="24"/>
        </w:rPr>
        <w:t>（2）不同投标人委托同一单位或者个人办理投标事宜；</w:t>
      </w:r>
    </w:p>
    <w:p>
      <w:pPr>
        <w:spacing w:line="360" w:lineRule="auto"/>
        <w:ind w:firstLine="480" w:firstLineChars="200"/>
        <w:rPr>
          <w:rFonts w:ascii="宋体" w:hAnsi="宋体" w:cs="宋体"/>
          <w:sz w:val="24"/>
        </w:rPr>
      </w:pPr>
      <w:r>
        <w:rPr>
          <w:rFonts w:hint="eastAsia" w:ascii="宋体" w:hAnsi="宋体" w:cs="宋体"/>
          <w:sz w:val="24"/>
        </w:rPr>
        <w:t>（3）不同投标人的投标文件载明的项目管理成员或者联系人员为同一人；</w:t>
      </w:r>
    </w:p>
    <w:p>
      <w:pPr>
        <w:spacing w:line="360" w:lineRule="auto"/>
        <w:ind w:firstLine="480" w:firstLineChars="200"/>
        <w:rPr>
          <w:rFonts w:ascii="宋体" w:hAnsi="宋体" w:cs="宋体"/>
          <w:sz w:val="24"/>
        </w:rPr>
      </w:pPr>
      <w:r>
        <w:rPr>
          <w:rFonts w:hint="eastAsia" w:ascii="宋体" w:hAnsi="宋体" w:cs="宋体"/>
          <w:sz w:val="24"/>
        </w:rPr>
        <w:t>（4）不同投标人的投标文件异常一致或者投标报价呈规律性差异；</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（5）不同投标人的投标文件相互混装</w:t>
      </w:r>
      <w:r>
        <w:rPr>
          <w:rFonts w:hint="eastAsia" w:ascii="宋体" w:hAnsi="宋体" w:cs="宋体"/>
          <w:sz w:val="24"/>
          <w:lang w:eastAsia="zh-CN"/>
        </w:rPr>
        <w:t>。</w:t>
      </w:r>
    </w:p>
    <w:p>
      <w:pPr>
        <w:pStyle w:val="4"/>
        <w:spacing w:line="360" w:lineRule="auto"/>
        <w:rPr>
          <w:rFonts w:ascii="宋体" w:hAnsi="宋体" w:cs="宋体"/>
          <w:b/>
        </w:rPr>
      </w:pPr>
      <w:bookmarkStart w:id="168" w:name="_Toc25204"/>
      <w:bookmarkStart w:id="169" w:name="_Toc27029"/>
      <w:r>
        <w:rPr>
          <w:rFonts w:hint="eastAsia" w:ascii="宋体" w:hAnsi="宋体" w:cs="宋体"/>
          <w:b/>
        </w:rPr>
        <w:t>八、回避</w:t>
      </w:r>
      <w:bookmarkEnd w:id="168"/>
      <w:bookmarkEnd w:id="169"/>
    </w:p>
    <w:p>
      <w:pPr>
        <w:pStyle w:val="7"/>
        <w:spacing w:line="360" w:lineRule="auto"/>
        <w:ind w:firstLine="482"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.回避</w:t>
      </w:r>
    </w:p>
    <w:p>
      <w:pPr>
        <w:spacing w:line="360" w:lineRule="auto"/>
        <w:ind w:firstLine="480" w:firstLineChars="200"/>
        <w:rPr>
          <w:rFonts w:ascii="宋体" w:hAnsi="宋体" w:cs="宋体"/>
          <w:sz w:val="24"/>
        </w:rPr>
      </w:pPr>
      <w:r>
        <w:rPr>
          <w:rFonts w:hint="eastAsia" w:ascii="宋体" w:hAnsi="宋体" w:cs="宋体"/>
          <w:sz w:val="24"/>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（一）参加采购活动前3年内与供应商存在劳动关系；</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（二）参加采购活动前3年内担任供应商的董事、监事；</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（三）参加采购活动前3年内是供应商的控股股东或者实际控制人；</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（四）与供应商的法定代表人或者负责人有夫妻、直系血亲、三代以内旁系血亲或者近姻亲关系；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（五）与供应商有其他可能影响政府采购活动公平、公正进行的关系。</w:t>
      </w:r>
    </w:p>
    <w:p>
      <w:pPr>
        <w:widowControl/>
        <w:shd w:val="clear" w:color="auto" w:fill="FFFFFF"/>
        <w:spacing w:line="360" w:lineRule="auto"/>
        <w:ind w:firstLine="570"/>
        <w:jc w:val="left"/>
        <w:rPr>
          <w:rFonts w:ascii="宋体" w:hAnsi="宋体" w:cs="宋体"/>
          <w:kern w:val="0"/>
          <w:sz w:val="24"/>
        </w:rPr>
      </w:pPr>
      <w:r>
        <w:rPr>
          <w:rFonts w:hint="eastAsia" w:ascii="宋体" w:hAnsi="宋体" w:cs="宋体"/>
          <w:kern w:val="0"/>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spacing w:line="360" w:lineRule="auto"/>
        <w:rPr>
          <w:rFonts w:ascii="宋体" w:hAnsi="宋体" w:cs="宋体"/>
          <w:b/>
        </w:rPr>
      </w:pPr>
      <w:bookmarkStart w:id="170" w:name="_Toc25630"/>
      <w:bookmarkStart w:id="171" w:name="_Toc8952"/>
      <w:r>
        <w:rPr>
          <w:rFonts w:hint="eastAsia" w:ascii="宋体" w:hAnsi="宋体" w:cs="宋体"/>
          <w:b/>
        </w:rPr>
        <w:t>九、询问、质疑和投诉</w:t>
      </w:r>
      <w:bookmarkEnd w:id="165"/>
      <w:bookmarkEnd w:id="166"/>
      <w:bookmarkEnd w:id="167"/>
      <w:bookmarkEnd w:id="170"/>
      <w:bookmarkEnd w:id="171"/>
      <w:bookmarkStart w:id="172" w:name="_Toc217446079"/>
    </w:p>
    <w:p>
      <w:pPr>
        <w:pStyle w:val="7"/>
        <w:spacing w:line="360" w:lineRule="auto"/>
        <w:ind w:firstLine="482" w:firstLineChars="200"/>
        <w:rPr>
          <w:rFonts w:ascii="宋体" w:hAnsi="宋体" w:cs="宋体"/>
          <w:sz w:val="24"/>
        </w:rPr>
      </w:pPr>
      <w:r>
        <w:rPr>
          <w:rFonts w:hint="eastAsia" w:ascii="宋体" w:hAnsi="宋体" w:cs="宋体"/>
          <w:sz w:val="24"/>
          <w:lang w:val="en-US" w:eastAsia="zh-CN"/>
        </w:rPr>
        <w:t>36</w:t>
      </w:r>
      <w:r>
        <w:rPr>
          <w:rFonts w:hint="eastAsia" w:ascii="宋体" w:hAnsi="宋体" w:cs="宋体"/>
          <w:sz w:val="24"/>
        </w:rPr>
        <w:t>. 询问、质疑和投诉</w:t>
      </w:r>
    </w:p>
    <w:p>
      <w:pPr>
        <w:spacing w:line="360" w:lineRule="auto"/>
        <w:ind w:firstLine="480" w:firstLineChars="200"/>
        <w:rPr>
          <w:rFonts w:ascii="宋体" w:hAnsi="宋体" w:cs="宋体"/>
          <w:kern w:val="0"/>
          <w:sz w:val="24"/>
        </w:rPr>
      </w:pPr>
      <w:r>
        <w:rPr>
          <w:rFonts w:hint="eastAsia" w:ascii="宋体" w:hAnsi="宋体" w:cs="宋体"/>
          <w:kern w:val="0"/>
          <w:sz w:val="24"/>
        </w:rPr>
        <w:t>询问、质疑、投诉的接收和处理严格按照《中华人民共和国政府采购法》、《中华人民共和国政府采购法实施条例》、《中华人民共和国财政部令第94号政府采购质疑和投诉办法》、《财政部关于加强政府采购供应商投诉受理审查工作的通知》以及《四川省政府采购供应商投诉处理工作规程》的规定办理（详细规定请在四川政府采购网政策法规模块查询）。</w:t>
      </w:r>
      <w:bookmarkEnd w:id="160"/>
      <w:bookmarkEnd w:id="161"/>
      <w:bookmarkEnd w:id="172"/>
      <w:bookmarkStart w:id="173" w:name="_Toc490290227"/>
    </w:p>
    <w:p>
      <w:pPr>
        <w:pStyle w:val="7"/>
        <w:spacing w:line="360" w:lineRule="auto"/>
        <w:ind w:firstLine="482" w:firstLineChars="200"/>
        <w:rPr>
          <w:rFonts w:ascii="宋体" w:hAnsi="宋体" w:cs="宋体"/>
          <w:sz w:val="24"/>
        </w:rPr>
      </w:pPr>
      <w:r>
        <w:rPr>
          <w:rFonts w:hint="eastAsia" w:ascii="宋体" w:hAnsi="宋体" w:cs="宋体"/>
          <w:sz w:val="24"/>
          <w:lang w:val="en-US" w:eastAsia="zh-CN"/>
        </w:rPr>
        <w:t>37</w:t>
      </w:r>
      <w:r>
        <w:rPr>
          <w:rFonts w:hint="eastAsia" w:ascii="宋体" w:hAnsi="宋体" w:cs="宋体"/>
          <w:sz w:val="24"/>
        </w:rPr>
        <w:t>.供应商询问、质疑的对象</w:t>
      </w:r>
    </w:p>
    <w:p>
      <w:pPr>
        <w:spacing w:line="360" w:lineRule="auto"/>
        <w:ind w:firstLine="480" w:firstLineChars="200"/>
        <w:rPr>
          <w:rFonts w:ascii="宋体" w:hAnsi="宋体" w:cs="宋体"/>
          <w:kern w:val="0"/>
          <w:sz w:val="24"/>
        </w:rPr>
      </w:pPr>
      <w:r>
        <w:rPr>
          <w:rFonts w:hint="eastAsia" w:ascii="宋体" w:hAnsi="宋体" w:cs="宋体"/>
          <w:sz w:val="24"/>
          <w:lang w:val="en-US" w:eastAsia="zh-CN"/>
        </w:rPr>
        <w:t>37</w:t>
      </w:r>
      <w:r>
        <w:rPr>
          <w:rFonts w:hint="eastAsia" w:ascii="宋体" w:hAnsi="宋体" w:cs="宋体"/>
          <w:sz w:val="24"/>
        </w:rPr>
        <w:t>.1根据委托代理协议约定，供应商对招标文件中供应商参加本次政府采购活动应当具备的条件、招标项目技术、商务及其他要求以及评标细则及标准提出询问或质疑的，</w:t>
      </w:r>
      <w:r>
        <w:rPr>
          <w:rFonts w:hint="eastAsia" w:ascii="宋体" w:hAnsi="宋体" w:cs="宋体"/>
          <w:color w:val="000000"/>
          <w:sz w:val="24"/>
        </w:rPr>
        <w:t>应于报名成功获取招标文件之日起7个工作日内按招标文件中的联系方式，以书面形式通知</w:t>
      </w:r>
      <w:r>
        <w:rPr>
          <w:rFonts w:hint="eastAsia" w:ascii="宋体" w:hAnsi="宋体" w:cs="宋体"/>
          <w:bCs/>
          <w:color w:val="000000"/>
          <w:sz w:val="24"/>
        </w:rPr>
        <w:t>采购人，由采购人按相关规定答复询问（质疑）人。</w:t>
      </w:r>
    </w:p>
    <w:p>
      <w:pPr>
        <w:spacing w:line="360" w:lineRule="auto"/>
        <w:ind w:firstLine="480" w:firstLineChars="200"/>
        <w:rPr>
          <w:rFonts w:ascii="宋体" w:hAnsi="宋体" w:cs="宋体"/>
          <w:kern w:val="0"/>
          <w:sz w:val="24"/>
        </w:rPr>
      </w:pPr>
      <w:r>
        <w:rPr>
          <w:rFonts w:hint="eastAsia" w:ascii="宋体" w:hAnsi="宋体" w:cs="宋体"/>
          <w:sz w:val="24"/>
          <w:lang w:val="en-US" w:eastAsia="zh-CN"/>
        </w:rPr>
        <w:t>37</w:t>
      </w:r>
      <w:r>
        <w:rPr>
          <w:rFonts w:hint="eastAsia" w:ascii="宋体" w:hAnsi="宋体" w:cs="宋体"/>
          <w:sz w:val="24"/>
        </w:rPr>
        <w:t>.2根据委托代理协议约定，供应商对除上述招标文件中的其他内容、采购过程及中标结果提出询问或质疑的，应向采购代理机构提出。</w:t>
      </w:r>
    </w:p>
    <w:p>
      <w:pPr>
        <w:spacing w:line="360" w:lineRule="auto"/>
        <w:ind w:firstLine="480" w:firstLineChars="200"/>
        <w:rPr>
          <w:rFonts w:ascii="宋体" w:hAnsi="宋体" w:cs="宋体"/>
          <w:sz w:val="24"/>
        </w:rPr>
      </w:pPr>
      <w:r>
        <w:rPr>
          <w:rFonts w:hint="eastAsia" w:ascii="宋体" w:hAnsi="宋体" w:cs="宋体"/>
          <w:sz w:val="24"/>
          <w:lang w:val="en-US" w:eastAsia="zh-CN"/>
        </w:rPr>
        <w:t>37</w:t>
      </w:r>
      <w:r>
        <w:rPr>
          <w:rFonts w:hint="eastAsia" w:ascii="宋体" w:hAnsi="宋体" w:cs="宋体"/>
          <w:sz w:val="24"/>
        </w:rPr>
        <w:t>.3供应商提出的询问，应当明确询问事项，如以书面形式提出的，应由供应商签字并加盖公章。</w:t>
      </w:r>
    </w:p>
    <w:p>
      <w:pPr>
        <w:spacing w:line="360" w:lineRule="auto"/>
        <w:ind w:firstLine="480" w:firstLineChars="200"/>
        <w:rPr>
          <w:rFonts w:ascii="宋体" w:hAnsi="宋体" w:cs="宋体"/>
          <w:sz w:val="24"/>
        </w:rPr>
      </w:pPr>
      <w:r>
        <w:rPr>
          <w:rFonts w:hint="eastAsia" w:ascii="宋体" w:hAnsi="宋体" w:cs="宋体"/>
          <w:sz w:val="24"/>
          <w:lang w:val="en-US" w:eastAsia="zh-CN"/>
        </w:rPr>
        <w:t>37</w:t>
      </w:r>
      <w:r>
        <w:rPr>
          <w:rFonts w:hint="eastAsia" w:ascii="宋体" w:hAnsi="宋体" w:cs="宋体"/>
          <w:sz w:val="24"/>
        </w:rPr>
        <w:t>.4</w:t>
      </w:r>
      <w:r>
        <w:rPr>
          <w:rFonts w:hint="eastAsia" w:ascii="宋体"/>
          <w:sz w:val="24"/>
        </w:rPr>
        <w:t>供应商应在法定质疑期内一次性提出针对同一采购程序环节的质疑。</w:t>
      </w:r>
    </w:p>
    <w:p>
      <w:pPr>
        <w:pStyle w:val="7"/>
        <w:spacing w:line="360" w:lineRule="auto"/>
        <w:ind w:firstLine="482" w:firstLineChars="200"/>
        <w:rPr>
          <w:rFonts w:ascii="宋体" w:hAnsi="宋体" w:cs="宋体"/>
          <w:sz w:val="24"/>
        </w:rPr>
      </w:pPr>
      <w:r>
        <w:rPr>
          <w:rFonts w:hint="eastAsia" w:ascii="宋体" w:hAnsi="宋体" w:cs="宋体"/>
          <w:sz w:val="24"/>
          <w:lang w:val="en-US" w:eastAsia="zh-CN"/>
        </w:rPr>
        <w:t>38</w:t>
      </w:r>
      <w:r>
        <w:rPr>
          <w:rFonts w:hint="eastAsia" w:ascii="宋体" w:hAnsi="宋体" w:cs="宋体"/>
          <w:sz w:val="24"/>
        </w:rPr>
        <w:t>.供应商提出质疑时应当准备的资料</w:t>
      </w:r>
    </w:p>
    <w:p>
      <w:pPr>
        <w:tabs>
          <w:tab w:val="left" w:pos="567"/>
          <w:tab w:val="left" w:pos="1134"/>
        </w:tabs>
        <w:spacing w:line="360" w:lineRule="auto"/>
        <w:ind w:firstLine="360" w:firstLineChars="150"/>
        <w:rPr>
          <w:rFonts w:ascii="宋体" w:hAnsi="宋体" w:cs="宋体"/>
          <w:sz w:val="24"/>
        </w:rPr>
      </w:pPr>
      <w:r>
        <w:rPr>
          <w:rFonts w:hint="eastAsia" w:ascii="宋体" w:hAnsi="宋体" w:cs="宋体"/>
          <w:sz w:val="24"/>
        </w:rPr>
        <w:t>（一）质疑书正本1份，副本2份（如果涉及更多的供应商须提供相应数量的副本）；</w:t>
      </w:r>
    </w:p>
    <w:p>
      <w:pPr>
        <w:tabs>
          <w:tab w:val="left" w:pos="567"/>
          <w:tab w:val="left" w:pos="1134"/>
        </w:tabs>
        <w:spacing w:line="360" w:lineRule="auto"/>
        <w:ind w:firstLine="360" w:firstLineChars="150"/>
        <w:rPr>
          <w:rFonts w:ascii="宋体" w:hAnsi="宋体" w:cs="宋体"/>
          <w:sz w:val="24"/>
        </w:rPr>
      </w:pPr>
      <w:r>
        <w:rPr>
          <w:rFonts w:hint="eastAsia" w:ascii="宋体" w:hAnsi="宋体" w:cs="宋体"/>
          <w:sz w:val="24"/>
        </w:rPr>
        <w:t>（二）法定代表人身份证复印件1份；</w:t>
      </w:r>
    </w:p>
    <w:p>
      <w:pPr>
        <w:widowControl/>
        <w:spacing w:line="360" w:lineRule="auto"/>
        <w:ind w:firstLine="360" w:firstLineChars="150"/>
        <w:jc w:val="left"/>
        <w:rPr>
          <w:rFonts w:ascii="宋体" w:hAnsi="宋体" w:cs="宋体"/>
          <w:sz w:val="24"/>
        </w:rPr>
      </w:pPr>
      <w:r>
        <w:rPr>
          <w:rFonts w:hint="eastAsia" w:ascii="宋体" w:hAnsi="宋体" w:cs="宋体"/>
          <w:sz w:val="24"/>
        </w:rPr>
        <w:t>（三）法定代表人授权委托书1份（委托授权代表办理质疑事宜的需提供）；</w:t>
      </w:r>
    </w:p>
    <w:p>
      <w:pPr>
        <w:widowControl/>
        <w:spacing w:line="360" w:lineRule="auto"/>
        <w:ind w:firstLine="360" w:firstLineChars="150"/>
        <w:jc w:val="left"/>
        <w:rPr>
          <w:rFonts w:ascii="宋体" w:hAnsi="宋体" w:cs="宋体"/>
          <w:sz w:val="24"/>
        </w:rPr>
      </w:pPr>
      <w:r>
        <w:rPr>
          <w:rFonts w:hint="eastAsia" w:ascii="宋体" w:hAnsi="宋体" w:cs="宋体"/>
          <w:sz w:val="24"/>
        </w:rPr>
        <w:t>（四）营业执照复印件1份（加盖公章）；</w:t>
      </w:r>
    </w:p>
    <w:p>
      <w:pPr>
        <w:widowControl/>
        <w:spacing w:line="360" w:lineRule="auto"/>
        <w:ind w:firstLine="360" w:firstLineChars="150"/>
        <w:jc w:val="left"/>
        <w:rPr>
          <w:rFonts w:ascii="宋体" w:hAnsi="宋体" w:cs="宋体"/>
          <w:sz w:val="24"/>
        </w:rPr>
      </w:pPr>
      <w:r>
        <w:rPr>
          <w:rFonts w:hint="eastAsia" w:ascii="宋体" w:hAnsi="宋体" w:cs="宋体"/>
          <w:sz w:val="24"/>
        </w:rPr>
        <w:t>（五）委托授权代表身份证复印件1份（委托授权代表办理质疑事宜的需提供）；</w:t>
      </w:r>
    </w:p>
    <w:p>
      <w:pPr>
        <w:widowControl/>
        <w:spacing w:line="360" w:lineRule="auto"/>
        <w:ind w:firstLine="360" w:firstLineChars="150"/>
        <w:jc w:val="left"/>
        <w:rPr>
          <w:rFonts w:ascii="宋体" w:hAnsi="宋体" w:cs="宋体"/>
          <w:sz w:val="24"/>
        </w:rPr>
      </w:pPr>
      <w:r>
        <w:rPr>
          <w:rFonts w:hint="eastAsia" w:ascii="宋体" w:hAnsi="宋体" w:cs="宋体"/>
          <w:sz w:val="24"/>
        </w:rPr>
        <w:t>（六）针对质疑事项必要的证明材料。</w:t>
      </w:r>
    </w:p>
    <w:p>
      <w:pPr>
        <w:widowControl/>
        <w:spacing w:line="360" w:lineRule="auto"/>
        <w:ind w:firstLine="361" w:firstLineChars="150"/>
        <w:jc w:val="left"/>
        <w:rPr>
          <w:rFonts w:ascii="宋体" w:hAnsi="宋体" w:cs="宋体"/>
          <w:b/>
          <w:szCs w:val="20"/>
        </w:rPr>
      </w:pPr>
      <w:r>
        <w:rPr>
          <w:rFonts w:hint="eastAsia" w:ascii="宋体" w:hAnsi="宋体" w:cs="宋体"/>
          <w:b/>
          <w:sz w:val="24"/>
        </w:rPr>
        <w:t>说明：</w:t>
      </w:r>
      <w:r>
        <w:rPr>
          <w:rFonts w:hint="eastAsia" w:ascii="宋体" w:hAnsi="宋体" w:cs="宋体"/>
          <w:b/>
          <w:szCs w:val="20"/>
        </w:rPr>
        <w:t>供应商如为邮寄的询问（质疑），应按投标人须知附表里的联系方式递交并在邮件封面注明“XX项目询问（质疑）”，收件人不能为项目负责人或个人，否则采购人或采购代理机构将视为无效送达。</w:t>
      </w:r>
    </w:p>
    <w:p>
      <w:pPr>
        <w:widowControl/>
        <w:spacing w:line="360" w:lineRule="auto"/>
        <w:ind w:firstLine="360" w:firstLineChars="150"/>
        <w:jc w:val="left"/>
        <w:rPr>
          <w:rFonts w:ascii="宋体" w:hAnsi="宋体" w:cs="宋体"/>
          <w:sz w:val="24"/>
        </w:rPr>
      </w:pPr>
      <w:r>
        <w:rPr>
          <w:rFonts w:hint="eastAsia" w:ascii="宋体" w:hAnsi="宋体" w:cs="宋体"/>
          <w:b w:val="0"/>
          <w:bCs w:val="0"/>
          <w:sz w:val="24"/>
          <w:szCs w:val="32"/>
          <w:lang w:val="en-US" w:eastAsia="zh-CN"/>
        </w:rPr>
        <w:t>39</w:t>
      </w:r>
      <w:r>
        <w:rPr>
          <w:rFonts w:hint="eastAsia" w:ascii="宋体" w:hAnsi="宋体" w:cs="宋体"/>
          <w:b w:val="0"/>
          <w:bCs w:val="0"/>
          <w:sz w:val="24"/>
          <w:szCs w:val="32"/>
        </w:rPr>
        <w:t>.</w:t>
      </w:r>
      <w:r>
        <w:rPr>
          <w:rFonts w:hint="eastAsia" w:ascii="宋体" w:hAnsi="宋体" w:cs="宋体"/>
          <w:sz w:val="24"/>
        </w:rPr>
        <w:t>供应商对采购人、采购代理机构的质疑答复不满意，或者采购人、采购代理机构未在规定期限内作出答复的，供应商可以在答复期满后15个工作日内向同级财政部门提起投诉。</w:t>
      </w:r>
    </w:p>
    <w:p>
      <w:pPr>
        <w:pStyle w:val="4"/>
        <w:spacing w:line="360" w:lineRule="auto"/>
        <w:rPr>
          <w:rFonts w:ascii="宋体" w:hAnsi="宋体" w:cs="宋体"/>
        </w:rPr>
      </w:pPr>
      <w:bookmarkStart w:id="174" w:name="_Toc241"/>
      <w:bookmarkStart w:id="175" w:name="_Toc28987"/>
      <w:r>
        <w:rPr>
          <w:rFonts w:hint="eastAsia" w:ascii="宋体" w:hAnsi="宋体" w:cs="宋体"/>
          <w:b/>
        </w:rPr>
        <w:t>十、其他</w:t>
      </w:r>
      <w:bookmarkEnd w:id="173"/>
      <w:bookmarkEnd w:id="174"/>
      <w:bookmarkEnd w:id="175"/>
      <w:bookmarkStart w:id="176" w:name="_Toc490290228"/>
    </w:p>
    <w:p>
      <w:pPr>
        <w:widowControl/>
        <w:spacing w:line="360" w:lineRule="auto"/>
        <w:ind w:firstLine="360" w:firstLineChars="150"/>
        <w:jc w:val="left"/>
        <w:rPr>
          <w:rFonts w:ascii="宋体" w:hAnsi="宋体" w:cs="宋体"/>
          <w:b/>
          <w:szCs w:val="20"/>
        </w:rPr>
      </w:pPr>
      <w:r>
        <w:rPr>
          <w:rFonts w:hint="eastAsia" w:ascii="宋体" w:hAnsi="宋体" w:cs="宋体"/>
          <w:sz w:val="24"/>
          <w:lang w:val="en-US" w:eastAsia="zh-CN"/>
        </w:rPr>
        <w:t>40</w:t>
      </w:r>
      <w:r>
        <w:rPr>
          <w:rFonts w:hint="eastAsia" w:ascii="宋体" w:hAnsi="宋体" w:cs="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bookmarkEnd w:id="176"/>
    </w:p>
    <w:p>
      <w:pPr>
        <w:pStyle w:val="33"/>
        <w:spacing w:before="0" w:after="0" w:line="360" w:lineRule="auto"/>
        <w:ind w:firstLine="480" w:firstLineChars="200"/>
        <w:jc w:val="left"/>
        <w:outlineLvl w:val="9"/>
        <w:rPr>
          <w:rFonts w:ascii="宋体" w:hAnsi="宋体" w:cs="宋体"/>
          <w:b w:val="0"/>
          <w:bCs w:val="0"/>
          <w:sz w:val="24"/>
          <w:szCs w:val="24"/>
        </w:rPr>
      </w:pPr>
      <w:bookmarkStart w:id="177" w:name="_Toc6231"/>
      <w:bookmarkStart w:id="178" w:name="_Toc1816"/>
      <w:bookmarkStart w:id="179" w:name="_Toc21571"/>
      <w:bookmarkStart w:id="180" w:name="_Toc11375"/>
      <w:bookmarkStart w:id="181" w:name="_Toc16112"/>
      <w:bookmarkStart w:id="182" w:name="_Toc490290229"/>
      <w:bookmarkStart w:id="183" w:name="_Toc217446083"/>
      <w:r>
        <w:rPr>
          <w:rFonts w:hint="eastAsia" w:ascii="宋体" w:hAnsi="宋体" w:cs="宋体"/>
          <w:b w:val="0"/>
          <w:bCs w:val="0"/>
          <w:sz w:val="24"/>
          <w:szCs w:val="24"/>
          <w:lang w:val="en-US" w:eastAsia="zh-CN"/>
        </w:rPr>
        <w:t>41</w:t>
      </w:r>
      <w:r>
        <w:rPr>
          <w:rFonts w:hint="eastAsia" w:ascii="宋体" w:hAnsi="宋体" w:cs="宋体"/>
          <w:b w:val="0"/>
          <w:bCs w:val="0"/>
          <w:sz w:val="24"/>
          <w:szCs w:val="24"/>
        </w:rPr>
        <w:t>、强制性要求（实质性要求）</w:t>
      </w:r>
      <w:bookmarkEnd w:id="177"/>
      <w:bookmarkEnd w:id="178"/>
      <w:bookmarkEnd w:id="179"/>
      <w:bookmarkEnd w:id="180"/>
      <w:bookmarkEnd w:id="181"/>
    </w:p>
    <w:p>
      <w:pPr>
        <w:pStyle w:val="33"/>
        <w:spacing w:before="0" w:after="0" w:line="360" w:lineRule="auto"/>
        <w:ind w:firstLine="480" w:firstLineChars="200"/>
        <w:outlineLvl w:val="9"/>
        <w:rPr>
          <w:rFonts w:ascii="宋体" w:hAnsi="宋体" w:cs="宋体"/>
          <w:b w:val="0"/>
          <w:bCs w:val="0"/>
          <w:sz w:val="24"/>
          <w:szCs w:val="24"/>
        </w:rPr>
      </w:pPr>
      <w:bookmarkStart w:id="184" w:name="_Toc25319"/>
      <w:bookmarkStart w:id="185" w:name="_Toc13618"/>
      <w:bookmarkStart w:id="186" w:name="_Toc9611"/>
      <w:bookmarkStart w:id="187" w:name="_Toc11713"/>
      <w:bookmarkStart w:id="188" w:name="_Toc10696"/>
      <w:bookmarkStart w:id="189" w:name="_Toc22088"/>
      <w:bookmarkStart w:id="190" w:name="_Toc19663"/>
      <w:bookmarkStart w:id="191" w:name="_Toc8188"/>
      <w:r>
        <w:rPr>
          <w:rFonts w:hint="eastAsia" w:ascii="宋体" w:hAnsi="宋体" w:cs="宋体"/>
          <w:b w:val="0"/>
          <w:bCs w:val="0"/>
          <w:sz w:val="24"/>
          <w:szCs w:val="24"/>
        </w:rPr>
        <w:t>国家或行业主管部门对制造商、供应商和采购产品的技术标准、质量标准和资格资质条件等有强制性规定的，制造商、供应商或投标产品必须按规定符合相关要求。</w:t>
      </w:r>
      <w:bookmarkEnd w:id="184"/>
      <w:bookmarkEnd w:id="185"/>
      <w:bookmarkEnd w:id="186"/>
      <w:bookmarkEnd w:id="187"/>
      <w:bookmarkEnd w:id="188"/>
      <w:bookmarkEnd w:id="189"/>
      <w:bookmarkEnd w:id="190"/>
      <w:bookmarkEnd w:id="191"/>
    </w:p>
    <w:p>
      <w:pPr>
        <w:pStyle w:val="33"/>
        <w:spacing w:before="0" w:after="0" w:line="360" w:lineRule="auto"/>
        <w:ind w:firstLine="643" w:firstLineChars="200"/>
        <w:rPr>
          <w:rFonts w:ascii="宋体" w:hAnsi="宋体" w:cs="宋体"/>
        </w:rPr>
      </w:pPr>
      <w:r>
        <w:rPr>
          <w:rFonts w:hint="eastAsia"/>
        </w:rPr>
        <w:br w:type="page"/>
      </w:r>
      <w:bookmarkStart w:id="192" w:name="_Toc16728"/>
      <w:bookmarkStart w:id="193" w:name="_Toc27611"/>
      <w:r>
        <w:rPr>
          <w:rFonts w:hint="eastAsia" w:ascii="宋体" w:hAnsi="宋体" w:cs="宋体"/>
        </w:rPr>
        <w:t>第三章 投标文件格式</w:t>
      </w:r>
      <w:bookmarkEnd w:id="182"/>
      <w:bookmarkEnd w:id="192"/>
      <w:bookmarkEnd w:id="193"/>
      <w:bookmarkStart w:id="194" w:name="_Toc308164821"/>
      <w:bookmarkStart w:id="195" w:name="_Toc217446082"/>
    </w:p>
    <w:p>
      <w:pPr>
        <w:spacing w:line="360" w:lineRule="auto"/>
        <w:rPr>
          <w:rFonts w:ascii="宋体" w:hAnsi="宋体" w:cs="宋体"/>
        </w:rPr>
      </w:pPr>
    </w:p>
    <w:p>
      <w:pPr>
        <w:spacing w:line="360" w:lineRule="auto"/>
        <w:ind w:firstLine="420" w:firstLineChars="200"/>
        <w:rPr>
          <w:rFonts w:ascii="宋体" w:hAnsi="宋体" w:cs="宋体"/>
        </w:rPr>
      </w:pPr>
      <w:bookmarkStart w:id="196" w:name="_Toc490290230"/>
      <w:r>
        <w:rPr>
          <w:rFonts w:hint="eastAsia" w:ascii="宋体" w:hAnsi="宋体" w:cs="宋体"/>
        </w:rPr>
        <w:t>一、本章所制投标文件格式，投标人可根据需要自行加长加宽，除格式中明确将该格式作为实质性要求的，一律不具有强制性。</w:t>
      </w:r>
      <w:bookmarkEnd w:id="196"/>
    </w:p>
    <w:p>
      <w:pPr>
        <w:spacing w:line="360" w:lineRule="auto"/>
        <w:ind w:firstLine="420" w:firstLineChars="200"/>
        <w:rPr>
          <w:rFonts w:ascii="宋体" w:hAnsi="宋体" w:cs="宋体"/>
        </w:rPr>
      </w:pPr>
      <w:bookmarkStart w:id="197" w:name="_Toc490290231"/>
      <w:r>
        <w:rPr>
          <w:rFonts w:hint="eastAsia" w:ascii="宋体" w:hAnsi="宋体" w:cs="宋体"/>
        </w:rPr>
        <w:t>二、本章所制投标文件格式有关表格中的备注栏，由投标人根据自身投标情况作解释性说明，不作为必填项。</w:t>
      </w:r>
      <w:bookmarkEnd w:id="197"/>
    </w:p>
    <w:p>
      <w:pPr>
        <w:spacing w:line="360" w:lineRule="auto"/>
        <w:ind w:firstLine="420" w:firstLineChars="200"/>
        <w:rPr>
          <w:rFonts w:ascii="宋体" w:hAnsi="宋体" w:cs="宋体"/>
        </w:rPr>
      </w:pPr>
      <w:bookmarkStart w:id="198" w:name="_Toc490290232"/>
      <w:r>
        <w:rPr>
          <w:rFonts w:hint="eastAsia" w:ascii="宋体" w:hAnsi="宋体" w:cs="宋体"/>
        </w:rPr>
        <w:t>三、本章所制投标文件格式中需要填写的相关内容事项，可能会与本采购项目无关，在不改变投标文件原义、不影响本项目采购需求的情况下，投标人可以不予填写，但应当注明。</w:t>
      </w:r>
      <w:bookmarkEnd w:id="198"/>
    </w:p>
    <w:p>
      <w:pPr>
        <w:spacing w:line="360" w:lineRule="auto"/>
        <w:ind w:firstLine="420" w:firstLineChars="200"/>
        <w:rPr>
          <w:rFonts w:ascii="宋体" w:hAnsi="宋体" w:cs="宋体"/>
        </w:rPr>
      </w:pPr>
      <w:r>
        <w:rPr>
          <w:rFonts w:hint="eastAsia" w:ascii="宋体" w:hAnsi="宋体" w:cs="宋体"/>
        </w:rPr>
        <w:t>四、本章所制投标文件格式中“注”为提醒供应商注意事项，供应商在制作投标文件时可不用将其写于投标文件中，但投标文件必须对招标文件的内容做实质性响应。</w:t>
      </w:r>
    </w:p>
    <w:p>
      <w:pPr>
        <w:pStyle w:val="5"/>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第一部分     “资格性投标文件”格式</w:t>
      </w:r>
    </w:p>
    <w:p>
      <w:pPr>
        <w:spacing w:line="360" w:lineRule="auto"/>
        <w:rPr>
          <w:rFonts w:ascii="宋体" w:hAnsi="宋体" w:cs="宋体"/>
          <w:b/>
          <w:sz w:val="32"/>
          <w:szCs w:val="32"/>
        </w:rPr>
      </w:pPr>
      <w:r>
        <w:rPr>
          <w:rFonts w:hint="eastAsia" w:ascii="宋体" w:hAnsi="宋体" w:cs="宋体"/>
          <w:b/>
          <w:sz w:val="32"/>
          <w:szCs w:val="32"/>
        </w:rPr>
        <w:t>格式1-1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资格性投标文件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jc w:val="left"/>
        <w:rPr>
          <w:rFonts w:ascii="宋体" w:hAnsi="宋体" w:cs="宋体"/>
          <w:b/>
          <w:sz w:val="32"/>
          <w:u w:val="single"/>
        </w:rPr>
      </w:pPr>
      <w:r>
        <w:rPr>
          <w:rFonts w:hint="eastAsia" w:ascii="宋体" w:hAnsi="宋体" w:cs="宋体"/>
          <w:b/>
          <w:sz w:val="32"/>
        </w:rPr>
        <w:t>投 标 人名称：</w:t>
      </w:r>
    </w:p>
    <w:p>
      <w:pPr>
        <w:spacing w:line="360" w:lineRule="auto"/>
        <w:jc w:val="left"/>
        <w:rPr>
          <w:rFonts w:ascii="宋体" w:hAnsi="宋体" w:cs="宋体"/>
          <w:b/>
          <w:sz w:val="32"/>
        </w:rPr>
      </w:pPr>
      <w:r>
        <w:rPr>
          <w:rFonts w:hint="eastAsia" w:ascii="宋体" w:hAnsi="宋体" w:cs="宋体"/>
          <w:b/>
          <w:sz w:val="32"/>
        </w:rPr>
        <w:t>采购项目编号：</w:t>
      </w:r>
    </w:p>
    <w:p>
      <w:pPr>
        <w:spacing w:line="360" w:lineRule="auto"/>
        <w:jc w:val="left"/>
        <w:rPr>
          <w:rFonts w:ascii="宋体" w:hAnsi="宋体" w:cs="宋体"/>
          <w:b/>
          <w:sz w:val="32"/>
        </w:rPr>
      </w:pPr>
      <w:r>
        <w:rPr>
          <w:rFonts w:hint="eastAsia" w:ascii="宋体" w:hAnsi="宋体" w:cs="宋体"/>
          <w:b/>
          <w:sz w:val="32"/>
        </w:rPr>
        <w:t>包号：</w:t>
      </w: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投标日期： 年  月  日</w:t>
      </w:r>
    </w:p>
    <w:p>
      <w:pPr>
        <w:spacing w:line="360" w:lineRule="auto"/>
        <w:jc w:val="left"/>
        <w:rPr>
          <w:rFonts w:ascii="宋体" w:hAnsi="宋体" w:cs="宋体"/>
          <w:b/>
          <w:sz w:val="32"/>
        </w:rPr>
      </w:pPr>
      <w:r>
        <w:rPr>
          <w:rFonts w:hint="eastAsia" w:ascii="宋体" w:hAnsi="宋体" w:cs="宋体"/>
          <w:b/>
          <w:sz w:val="32"/>
        </w:rPr>
        <w:br w:type="page"/>
      </w:r>
      <w:r>
        <w:rPr>
          <w:rFonts w:hint="eastAsia" w:ascii="宋体" w:hAnsi="宋体" w:cs="宋体"/>
          <w:b/>
          <w:sz w:val="32"/>
          <w:szCs w:val="32"/>
        </w:rPr>
        <w:t>格式1-2</w:t>
      </w:r>
    </w:p>
    <w:p>
      <w:pPr>
        <w:pStyle w:val="5"/>
        <w:keepNext w:val="0"/>
        <w:keepLines w:val="0"/>
        <w:spacing w:line="360" w:lineRule="auto"/>
        <w:jc w:val="center"/>
        <w:rPr>
          <w:rFonts w:ascii="宋体" w:hAnsi="宋体" w:eastAsia="宋体" w:cs="宋体"/>
        </w:rPr>
      </w:pPr>
      <w:r>
        <w:rPr>
          <w:rFonts w:hint="eastAsia" w:ascii="宋体" w:hAnsi="宋体" w:eastAsia="宋体" w:cs="宋体"/>
        </w:rPr>
        <w:t>一、</w:t>
      </w:r>
      <w:r>
        <w:rPr>
          <w:rFonts w:hint="eastAsia" w:ascii="宋体" w:hAnsi="宋体" w:eastAsia="宋体" w:cs="宋体"/>
          <w:bCs w:val="0"/>
        </w:rPr>
        <w:t>法定代表人/单位负责人身份证明书</w:t>
      </w:r>
    </w:p>
    <w:p>
      <w:pPr>
        <w:pStyle w:val="20"/>
        <w:spacing w:line="360" w:lineRule="auto"/>
        <w:ind w:left="0" w:leftChars="0"/>
        <w:rPr>
          <w:rFonts w:ascii="宋体" w:hAnsi="宋体" w:cs="宋体"/>
          <w:sz w:val="24"/>
          <w:lang w:val="zh-CN"/>
        </w:rPr>
      </w:pPr>
      <w:r>
        <w:rPr>
          <w:rFonts w:hint="eastAsia" w:ascii="宋体" w:hAnsi="宋体" w:cs="宋体"/>
          <w:sz w:val="24"/>
          <w:lang w:val="zh-CN"/>
        </w:rPr>
        <w:t>四川轩辕招标代理有限公司：</w:t>
      </w:r>
    </w:p>
    <w:p>
      <w:pPr>
        <w:tabs>
          <w:tab w:val="left" w:pos="6300"/>
        </w:tabs>
        <w:spacing w:line="360" w:lineRule="auto"/>
        <w:ind w:firstLine="480" w:firstLineChars="200"/>
        <w:rPr>
          <w:rFonts w:ascii="宋体" w:hAnsi="宋体" w:cs="宋体"/>
          <w:sz w:val="24"/>
          <w:lang w:val="zh-CN"/>
        </w:rPr>
      </w:pPr>
      <w:r>
        <w:rPr>
          <w:rFonts w:hint="eastAsia" w:ascii="宋体" w:hAnsi="宋体" w:cs="宋体"/>
          <w:sz w:val="24"/>
          <w:u w:val="single"/>
          <w:lang w:val="zh-CN"/>
        </w:rPr>
        <w:t xml:space="preserve">（法定代表人姓名）         </w:t>
      </w:r>
      <w:r>
        <w:rPr>
          <w:rFonts w:hint="eastAsia" w:ascii="宋体" w:hAnsi="宋体" w:cs="宋体"/>
          <w:sz w:val="24"/>
          <w:lang w:val="zh-CN"/>
        </w:rPr>
        <w:t>在（投标人名称） 处任</w:t>
      </w:r>
      <w:r>
        <w:rPr>
          <w:rFonts w:hint="eastAsia" w:ascii="宋体" w:hAnsi="宋体" w:cs="宋体"/>
          <w:sz w:val="24"/>
          <w:u w:val="single"/>
          <w:lang w:val="zh-CN"/>
        </w:rPr>
        <w:t xml:space="preserve">         （职务名称）        </w:t>
      </w:r>
      <w:r>
        <w:rPr>
          <w:rFonts w:hint="eastAsia" w:ascii="宋体" w:hAnsi="宋体" w:cs="宋体"/>
          <w:sz w:val="24"/>
          <w:lang w:val="zh-CN"/>
        </w:rPr>
        <w:t>职务，是</w:t>
      </w:r>
      <w:r>
        <w:rPr>
          <w:rFonts w:hint="eastAsia" w:ascii="宋体" w:hAnsi="宋体" w:cs="宋体"/>
          <w:sz w:val="24"/>
          <w:u w:val="single"/>
          <w:lang w:val="zh-CN"/>
        </w:rPr>
        <w:t xml:space="preserve">      （投标人名称）    </w:t>
      </w:r>
      <w:r>
        <w:rPr>
          <w:rFonts w:hint="eastAsia" w:ascii="宋体" w:hAnsi="宋体" w:cs="宋体"/>
          <w:sz w:val="24"/>
          <w:lang w:val="zh-CN"/>
        </w:rPr>
        <w:t>的法定代表人/单位负责人。</w:t>
      </w:r>
    </w:p>
    <w:p>
      <w:pPr>
        <w:tabs>
          <w:tab w:val="left" w:pos="6300"/>
        </w:tabs>
        <w:spacing w:line="360" w:lineRule="auto"/>
        <w:rPr>
          <w:rFonts w:ascii="宋体" w:hAnsi="宋体" w:cs="宋体"/>
          <w:b/>
          <w:sz w:val="24"/>
          <w:lang w:val="zh-CN"/>
        </w:rPr>
      </w:pPr>
    </w:p>
    <w:p>
      <w:pPr>
        <w:tabs>
          <w:tab w:val="left" w:pos="6300"/>
        </w:tabs>
        <w:spacing w:line="360" w:lineRule="auto"/>
        <w:rPr>
          <w:rFonts w:ascii="宋体" w:hAnsi="宋体" w:cs="宋体"/>
          <w:b/>
          <w:sz w:val="24"/>
          <w:lang w:val="zh-CN"/>
        </w:rPr>
      </w:pPr>
    </w:p>
    <w:p>
      <w:pPr>
        <w:tabs>
          <w:tab w:val="left" w:pos="6300"/>
        </w:tabs>
        <w:spacing w:line="360" w:lineRule="auto"/>
        <w:ind w:firstLine="573"/>
        <w:rPr>
          <w:rFonts w:ascii="宋体" w:hAnsi="宋体" w:cs="宋体"/>
          <w:b/>
          <w:sz w:val="24"/>
          <w:lang w:val="zh-CN"/>
        </w:rPr>
      </w:pPr>
    </w:p>
    <w:p>
      <w:pPr>
        <w:tabs>
          <w:tab w:val="left" w:pos="6300"/>
        </w:tabs>
        <w:spacing w:line="360" w:lineRule="auto"/>
        <w:ind w:firstLine="573"/>
        <w:rPr>
          <w:rFonts w:ascii="宋体" w:hAnsi="宋体" w:cs="宋体"/>
          <w:b/>
          <w:sz w:val="24"/>
          <w:lang w:val="zh-CN"/>
        </w:rPr>
      </w:pPr>
      <w:r>
        <w:rPr>
          <w:rFonts w:hint="eastAsia" w:ascii="宋体" w:hAnsi="宋体" w:cs="宋体"/>
          <w:b/>
          <w:sz w:val="24"/>
          <w:lang w:val="zh-CN"/>
        </w:rPr>
        <w:t>特此证明。</w:t>
      </w:r>
    </w:p>
    <w:p>
      <w:pPr>
        <w:tabs>
          <w:tab w:val="left" w:pos="6300"/>
        </w:tabs>
        <w:spacing w:line="360" w:lineRule="auto"/>
        <w:rPr>
          <w:rFonts w:ascii="宋体" w:hAnsi="宋体" w:cs="宋体"/>
          <w:b/>
          <w:szCs w:val="21"/>
          <w:lang w:val="zh-CN"/>
        </w:rPr>
      </w:pPr>
    </w:p>
    <w:p>
      <w:pPr>
        <w:tabs>
          <w:tab w:val="left" w:pos="6300"/>
        </w:tabs>
        <w:spacing w:line="360" w:lineRule="auto"/>
        <w:rPr>
          <w:rFonts w:ascii="宋体" w:hAnsi="宋体" w:cs="宋体"/>
          <w:b/>
          <w:szCs w:val="21"/>
          <w:lang w:val="zh-CN"/>
        </w:rPr>
      </w:pPr>
      <w:r>
        <w:rPr>
          <w:rFonts w:hint="eastAsia" w:ascii="宋体" w:hAnsi="宋体" w:cs="宋体"/>
          <w:b/>
          <w:szCs w:val="21"/>
          <w:lang w:val="zh-CN"/>
        </w:rPr>
        <w:t>附件：法定代表人/单位负责人有效的身份证原件原色电子件（身份证两面均应提供）。投标人的法定代表人为外籍人士的，则需提供护照原件原色电子件。</w:t>
      </w:r>
    </w:p>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投标人名称：（单位盖章）</w:t>
      </w:r>
    </w:p>
    <w:p>
      <w:pPr>
        <w:spacing w:line="360" w:lineRule="auto"/>
        <w:rPr>
          <w:rFonts w:ascii="宋体" w:hAnsi="宋体" w:cs="宋体"/>
          <w:b/>
          <w:sz w:val="32"/>
          <w:szCs w:val="32"/>
        </w:rPr>
      </w:pPr>
      <w:r>
        <w:rPr>
          <w:rFonts w:hint="eastAsia" w:ascii="宋体" w:hAnsi="宋体" w:cs="宋体"/>
          <w:sz w:val="24"/>
        </w:rPr>
        <w:t>投标日期：</w:t>
      </w:r>
      <w:r>
        <w:rPr>
          <w:rFonts w:hint="eastAsia" w:ascii="宋体" w:hAnsi="宋体" w:cs="宋体"/>
          <w:b/>
          <w:sz w:val="32"/>
        </w:rPr>
        <w:br w:type="page"/>
      </w:r>
      <w:r>
        <w:rPr>
          <w:rFonts w:hint="eastAsia" w:ascii="宋体" w:hAnsi="宋体" w:cs="宋体"/>
          <w:b/>
          <w:sz w:val="32"/>
          <w:szCs w:val="32"/>
        </w:rPr>
        <w:t>格式1-3</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二、法定代表人/单位负责人授权书</w:t>
      </w:r>
    </w:p>
    <w:p>
      <w:pPr>
        <w:spacing w:line="360" w:lineRule="auto"/>
        <w:rPr>
          <w:rFonts w:ascii="宋体" w:hAnsi="宋体" w:cs="宋体"/>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rPr>
          <w:rFonts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（法定代表人/单位负责人姓名、职务）授权</w:t>
      </w:r>
      <w:r>
        <w:rPr>
          <w:rFonts w:hint="eastAsia" w:ascii="宋体" w:hAnsi="宋体" w:cs="宋体"/>
          <w:sz w:val="24"/>
          <w:u w:val="single"/>
        </w:rPr>
        <w:t xml:space="preserve">        </w:t>
      </w:r>
      <w:r>
        <w:rPr>
          <w:rFonts w:hint="eastAsia" w:ascii="宋体" w:hAnsi="宋体" w:cs="宋体"/>
          <w:sz w:val="24"/>
        </w:rPr>
        <w:t>（被授权人姓名、职务）为我方 “</w:t>
      </w:r>
      <w:r>
        <w:rPr>
          <w:rFonts w:hint="eastAsia" w:ascii="宋体" w:hAnsi="宋体" w:cs="宋体"/>
          <w:sz w:val="24"/>
          <w:u w:val="single"/>
        </w:rPr>
        <w:t xml:space="preserve">        </w:t>
      </w:r>
      <w:r>
        <w:rPr>
          <w:rFonts w:hint="eastAsia" w:ascii="宋体" w:hAnsi="宋体" w:cs="宋体"/>
          <w:sz w:val="24"/>
        </w:rPr>
        <w:t>” 项目（采购项目编号：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r>
        <w:rPr>
          <w:rFonts w:hint="eastAsia" w:ascii="宋体" w:hAnsi="宋体" w:cs="宋体"/>
          <w:sz w:val="24"/>
        </w:rPr>
        <w:t>）投标活动的合法代表，以我方名义全权处理该项目有关投标、签订合同以及执行合同等一切事宜。</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line="360" w:lineRule="auto"/>
        <w:ind w:firstLine="480" w:firstLineChars="200"/>
        <w:rPr>
          <w:rFonts w:ascii="宋体" w:hAnsi="宋体" w:cs="宋体"/>
          <w:sz w:val="24"/>
        </w:rPr>
      </w:pPr>
    </w:p>
    <w:p>
      <w:pPr>
        <w:tabs>
          <w:tab w:val="left" w:pos="6300"/>
        </w:tabs>
        <w:spacing w:line="360" w:lineRule="auto"/>
        <w:rPr>
          <w:rFonts w:ascii="宋体" w:hAnsi="宋体" w:cs="宋体"/>
          <w:b/>
          <w:szCs w:val="21"/>
          <w:lang w:val="zh-CN"/>
        </w:rPr>
      </w:pPr>
      <w:r>
        <w:rPr>
          <w:rFonts w:hint="eastAsia" w:ascii="宋体" w:hAnsi="宋体" w:cs="宋体"/>
          <w:b/>
          <w:szCs w:val="21"/>
          <w:lang w:val="zh-CN"/>
        </w:rPr>
        <w:t>附件：授权代表有效的身份证原件原色电子件（身份证两面均应提供）。投标人的授权代表为外籍人士的，则需提供护照原件原色电子件。</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 xml:space="preserve">法定代表人/单位负责人：（签字或者加盖个人名章 ） </w:t>
      </w:r>
    </w:p>
    <w:p>
      <w:pPr>
        <w:spacing w:line="360" w:lineRule="auto"/>
        <w:jc w:val="left"/>
        <w:rPr>
          <w:rFonts w:ascii="宋体" w:hAnsi="宋体" w:cs="宋体"/>
          <w:sz w:val="24"/>
        </w:rPr>
      </w:pPr>
      <w:r>
        <w:rPr>
          <w:rFonts w:hint="eastAsia" w:ascii="宋体" w:hAnsi="宋体" w:cs="宋体"/>
          <w:sz w:val="24"/>
        </w:rPr>
        <w:t>授权代表：（签字）</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jc w:val="left"/>
        <w:rPr>
          <w:rFonts w:ascii="宋体" w:hAnsi="宋体" w:cs="宋体"/>
          <w:sz w:val="24"/>
        </w:rPr>
      </w:pPr>
      <w:r>
        <w:rPr>
          <w:rFonts w:hint="eastAsia" w:ascii="宋体" w:hAnsi="宋体" w:cs="宋体"/>
          <w:sz w:val="24"/>
        </w:rPr>
        <w:t>投标日期：</w:t>
      </w:r>
    </w:p>
    <w:p>
      <w:pPr>
        <w:spacing w:line="360" w:lineRule="auto"/>
        <w:ind w:firstLine="422" w:firstLineChars="200"/>
        <w:rPr>
          <w:rFonts w:ascii="宋体" w:hAnsi="宋体" w:cs="宋体"/>
          <w:b/>
        </w:rPr>
      </w:pPr>
    </w:p>
    <w:p>
      <w:pPr>
        <w:spacing w:line="360" w:lineRule="auto"/>
        <w:ind w:firstLine="422" w:firstLineChars="200"/>
        <w:rPr>
          <w:rFonts w:ascii="宋体" w:hAnsi="宋体" w:cs="宋体"/>
          <w:b/>
        </w:rPr>
      </w:pPr>
    </w:p>
    <w:p>
      <w:pPr>
        <w:spacing w:line="360" w:lineRule="auto"/>
        <w:ind w:firstLine="422" w:firstLineChars="200"/>
        <w:rPr>
          <w:rFonts w:ascii="宋体" w:hAnsi="宋体" w:cs="宋体"/>
          <w:b/>
        </w:rPr>
      </w:pPr>
    </w:p>
    <w:p>
      <w:pPr>
        <w:spacing w:line="360" w:lineRule="auto"/>
        <w:ind w:firstLine="422" w:firstLineChars="200"/>
        <w:rPr>
          <w:rFonts w:ascii="宋体" w:hAnsi="宋体" w:cs="宋体"/>
          <w:b/>
          <w:bCs/>
        </w:rPr>
      </w:pPr>
      <w:r>
        <w:rPr>
          <w:rFonts w:hint="eastAsia" w:ascii="宋体" w:hAnsi="宋体" w:cs="宋体"/>
          <w:b/>
          <w:bCs/>
        </w:rPr>
        <w:t>注：</w:t>
      </w:r>
    </w:p>
    <w:p>
      <w:pPr>
        <w:spacing w:line="360" w:lineRule="auto"/>
        <w:ind w:firstLine="422" w:firstLineChars="200"/>
        <w:rPr>
          <w:rFonts w:ascii="宋体" w:hAnsi="宋体" w:cs="宋体"/>
          <w:b/>
          <w:bCs/>
        </w:rPr>
      </w:pPr>
      <w:r>
        <w:rPr>
          <w:rFonts w:hint="eastAsia" w:ascii="宋体" w:hAnsi="宋体" w:cs="宋体"/>
          <w:b/>
          <w:bCs/>
        </w:rPr>
        <w:t>1、供应商为法人单位时提供“法定代表人授权书”，供应商为其他组织时提供“单位负责人授权书”，供应商为自然人时提供“自然人身份证明材料”。</w:t>
      </w:r>
    </w:p>
    <w:p>
      <w:pPr>
        <w:spacing w:line="360" w:lineRule="auto"/>
        <w:ind w:firstLine="422" w:firstLineChars="200"/>
        <w:rPr>
          <w:rFonts w:ascii="宋体" w:hAnsi="宋体" w:cs="宋体"/>
          <w:b/>
          <w:bCs/>
        </w:rPr>
      </w:pPr>
      <w:r>
        <w:rPr>
          <w:rFonts w:hint="eastAsia" w:ascii="宋体" w:hAnsi="宋体" w:cs="宋体"/>
          <w:b/>
          <w:bCs/>
        </w:rPr>
        <w:t>2、身份证明材料包括居民身份证和其他法定有效证明。</w:t>
      </w:r>
    </w:p>
    <w:p>
      <w:pPr>
        <w:spacing w:line="360" w:lineRule="auto"/>
        <w:ind w:firstLine="422" w:firstLineChars="200"/>
        <w:rPr>
          <w:rFonts w:ascii="宋体" w:hAnsi="宋体" w:cs="宋体"/>
          <w:b/>
          <w:bCs/>
        </w:rPr>
      </w:pPr>
      <w:r>
        <w:rPr>
          <w:rFonts w:hint="eastAsia" w:ascii="宋体" w:hAnsi="宋体" w:cs="宋体"/>
          <w:b/>
          <w:bCs/>
        </w:rPr>
        <w:t>3、身份证明材料应同时提供其在有效期的材料，如居民身份证正、反面</w:t>
      </w:r>
      <w:r>
        <w:rPr>
          <w:rFonts w:hint="eastAsia" w:ascii="宋体" w:hAnsi="宋体" w:cs="宋体"/>
          <w:b/>
          <w:bCs/>
          <w:lang w:val="zh-TW"/>
        </w:rPr>
        <w:t>原件原色电子件</w:t>
      </w:r>
      <w:r>
        <w:rPr>
          <w:rFonts w:hint="eastAsia" w:ascii="宋体" w:hAnsi="宋体" w:cs="宋体"/>
          <w:b/>
          <w:bCs/>
        </w:rPr>
        <w:t>。</w:t>
      </w:r>
    </w:p>
    <w:p>
      <w:pPr>
        <w:spacing w:line="360" w:lineRule="auto"/>
        <w:ind w:firstLine="422" w:firstLineChars="200"/>
        <w:rPr>
          <w:rFonts w:ascii="宋体" w:hAnsi="宋体" w:cs="宋体"/>
          <w:b/>
          <w:sz w:val="32"/>
          <w:szCs w:val="32"/>
        </w:rPr>
      </w:pPr>
      <w:r>
        <w:rPr>
          <w:rFonts w:hint="eastAsia" w:ascii="宋体" w:hAnsi="宋体" w:cs="宋体"/>
          <w:b/>
          <w:kern w:val="0"/>
        </w:rPr>
        <w:t>4、投标文件均由投标人法定代表人/单位负责人签字的,投标文件中可不提供该附件的内容。</w:t>
      </w:r>
      <w:r>
        <w:rPr>
          <w:rFonts w:hint="eastAsia" w:ascii="宋体" w:hAnsi="宋体" w:cs="宋体"/>
          <w:b/>
          <w:sz w:val="32"/>
          <w:szCs w:val="32"/>
        </w:rPr>
        <w:br w:type="page"/>
      </w:r>
      <w:r>
        <w:rPr>
          <w:rFonts w:hint="eastAsia" w:ascii="宋体" w:hAnsi="宋体" w:cs="宋体"/>
          <w:b/>
          <w:sz w:val="32"/>
          <w:szCs w:val="32"/>
        </w:rPr>
        <w:t>格式1-4</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三、资格承诺函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rPr>
          <w:rFonts w:ascii="宋体" w:hAnsi="宋体" w:cs="宋体"/>
          <w:sz w:val="24"/>
        </w:rPr>
      </w:pPr>
      <w:r>
        <w:rPr>
          <w:rFonts w:hint="eastAsia" w:ascii="宋体" w:hAnsi="宋体" w:cs="宋体"/>
          <w:sz w:val="24"/>
        </w:rPr>
        <w:t>我单位作为本次采购项目的投标人，根据招标文件要求，现郑重承诺如下：</w:t>
      </w:r>
    </w:p>
    <w:p>
      <w:pPr>
        <w:spacing w:line="360" w:lineRule="auto"/>
        <w:ind w:firstLine="360" w:firstLineChars="150"/>
        <w:rPr>
          <w:rFonts w:ascii="宋体" w:hAnsi="宋体" w:cs="宋体"/>
          <w:sz w:val="24"/>
        </w:rPr>
      </w:pPr>
      <w:r>
        <w:rPr>
          <w:rFonts w:hint="eastAsia" w:ascii="宋体" w:hAnsi="宋体" w:cs="宋体"/>
          <w:sz w:val="24"/>
        </w:rPr>
        <w:t>（一）符合《中华人民共和国政府采购法》第二十二条规定的条件；</w:t>
      </w:r>
    </w:p>
    <w:p>
      <w:pPr>
        <w:pStyle w:val="87"/>
        <w:tabs>
          <w:tab w:val="left" w:pos="1260"/>
        </w:tabs>
        <w:ind w:firstLine="679" w:firstLineChars="283"/>
        <w:jc w:val="left"/>
        <w:rPr>
          <w:rFonts w:ascii="宋体" w:hAnsi="宋体" w:cs="宋体"/>
          <w:sz w:val="24"/>
        </w:rPr>
      </w:pPr>
      <w:r>
        <w:rPr>
          <w:rFonts w:hint="eastAsia" w:ascii="宋体" w:hAnsi="宋体" w:cs="宋体"/>
          <w:sz w:val="24"/>
        </w:rPr>
        <w:t>1、具有独立承担民事责任的能力；</w:t>
      </w:r>
    </w:p>
    <w:p>
      <w:pPr>
        <w:pStyle w:val="87"/>
        <w:tabs>
          <w:tab w:val="left" w:pos="1260"/>
        </w:tabs>
        <w:ind w:firstLine="679" w:firstLineChars="283"/>
        <w:jc w:val="left"/>
        <w:rPr>
          <w:rFonts w:ascii="宋体" w:hAnsi="宋体" w:cs="宋体"/>
          <w:sz w:val="24"/>
        </w:rPr>
      </w:pPr>
      <w:r>
        <w:rPr>
          <w:rFonts w:hint="eastAsia" w:ascii="宋体" w:hAnsi="宋体" w:cs="宋体"/>
          <w:sz w:val="24"/>
        </w:rPr>
        <w:t>2、具有良好的商业信誉和健全的财务会计制度；</w:t>
      </w:r>
    </w:p>
    <w:p>
      <w:pPr>
        <w:pStyle w:val="87"/>
        <w:tabs>
          <w:tab w:val="left" w:pos="1260"/>
        </w:tabs>
        <w:ind w:firstLine="679" w:firstLineChars="283"/>
        <w:jc w:val="left"/>
        <w:rPr>
          <w:rFonts w:ascii="宋体" w:hAnsi="宋体" w:cs="宋体"/>
          <w:sz w:val="24"/>
        </w:rPr>
      </w:pPr>
      <w:r>
        <w:rPr>
          <w:rFonts w:hint="eastAsia" w:ascii="宋体" w:hAnsi="宋体" w:cs="宋体"/>
          <w:sz w:val="24"/>
        </w:rPr>
        <w:t>3、具有履行合同所必需的设备和专业技术能力；</w:t>
      </w:r>
    </w:p>
    <w:p>
      <w:pPr>
        <w:pStyle w:val="87"/>
        <w:tabs>
          <w:tab w:val="left" w:pos="1260"/>
        </w:tabs>
        <w:ind w:firstLine="679" w:firstLineChars="283"/>
        <w:jc w:val="left"/>
        <w:rPr>
          <w:rFonts w:ascii="宋体" w:hAnsi="宋体" w:cs="宋体"/>
          <w:sz w:val="24"/>
        </w:rPr>
      </w:pPr>
      <w:r>
        <w:rPr>
          <w:rFonts w:hint="eastAsia" w:ascii="宋体" w:hAnsi="宋体" w:cs="宋体"/>
          <w:sz w:val="24"/>
        </w:rPr>
        <w:t>4、有依法缴纳税收和社会保障资金的良好记录；</w:t>
      </w:r>
    </w:p>
    <w:p>
      <w:pPr>
        <w:pStyle w:val="87"/>
        <w:tabs>
          <w:tab w:val="left" w:pos="1260"/>
        </w:tabs>
        <w:ind w:firstLine="679" w:firstLineChars="283"/>
        <w:jc w:val="left"/>
        <w:rPr>
          <w:rFonts w:ascii="宋体" w:hAnsi="宋体" w:cs="宋体"/>
          <w:sz w:val="24"/>
        </w:rPr>
      </w:pPr>
      <w:r>
        <w:rPr>
          <w:rFonts w:hint="eastAsia" w:ascii="宋体" w:hAnsi="宋体" w:cs="宋体"/>
          <w:sz w:val="24"/>
        </w:rPr>
        <w:t>5、参加本次政府采购活动前三年内，在经营活动中没有重大违法记录；</w:t>
      </w:r>
    </w:p>
    <w:p>
      <w:pPr>
        <w:pStyle w:val="87"/>
        <w:tabs>
          <w:tab w:val="left" w:pos="1260"/>
        </w:tabs>
        <w:ind w:firstLine="679" w:firstLineChars="283"/>
        <w:jc w:val="left"/>
        <w:rPr>
          <w:rFonts w:ascii="宋体" w:hAnsi="宋体" w:cs="宋体"/>
          <w:sz w:val="24"/>
        </w:rPr>
      </w:pPr>
      <w:r>
        <w:rPr>
          <w:rFonts w:hint="eastAsia" w:ascii="宋体" w:hAnsi="宋体" w:cs="宋体"/>
          <w:sz w:val="24"/>
        </w:rPr>
        <w:t>6、符合国家法律、行政法规规定的其他条件。</w:t>
      </w:r>
    </w:p>
    <w:p>
      <w:pPr>
        <w:spacing w:line="360" w:lineRule="auto"/>
        <w:ind w:firstLine="360" w:firstLineChars="150"/>
        <w:rPr>
          <w:rFonts w:ascii="宋体" w:hAnsi="宋体" w:cs="宋体"/>
          <w:sz w:val="24"/>
        </w:rPr>
      </w:pPr>
      <w:r>
        <w:rPr>
          <w:rFonts w:hint="eastAsia" w:ascii="宋体" w:hAnsi="宋体" w:cs="宋体"/>
          <w:sz w:val="24"/>
        </w:rPr>
        <w:t>（二）我公司作为本项目参加政府采购活动的投标人、法定代表人/主要负责人近3年内不具有行贿犯罪记录。</w:t>
      </w:r>
    </w:p>
    <w:p>
      <w:pPr>
        <w:pStyle w:val="87"/>
        <w:ind w:firstLine="360" w:firstLineChars="150"/>
        <w:rPr>
          <w:rFonts w:ascii="宋体" w:hAnsi="宋体" w:cs="宋体"/>
          <w:sz w:val="24"/>
        </w:rPr>
      </w:pPr>
      <w:r>
        <w:rPr>
          <w:rFonts w:hint="eastAsia" w:ascii="宋体" w:hAnsi="宋体" w:cs="宋体"/>
          <w:sz w:val="24"/>
        </w:rPr>
        <w:t>（三）我公司在截至投标截止日未被列入失信被执行人、重大税收违法案件当事人名单、政府采购严重违法失信行为记录名单。</w:t>
      </w:r>
    </w:p>
    <w:p>
      <w:pPr>
        <w:pStyle w:val="86"/>
        <w:ind w:firstLine="480"/>
        <w:rPr>
          <w:rFonts w:ascii="宋体" w:hAnsi="宋体" w:eastAsia="宋体" w:cs="宋体"/>
        </w:rPr>
      </w:pPr>
      <w:r>
        <w:rPr>
          <w:rFonts w:hint="eastAsia" w:ascii="宋体" w:hAnsi="宋体" w:eastAsia="宋体" w:cs="宋体"/>
        </w:rPr>
        <w:t>本公司对上述承诺的内容事项真实性负责。如经查实上述承诺的内容事项存在虚假，我公司愿意接受以提供虚假材料谋取中标追究法律责任。</w:t>
      </w:r>
    </w:p>
    <w:p>
      <w:pPr>
        <w:spacing w:line="360" w:lineRule="auto"/>
        <w:ind w:firstLine="560" w:firstLineChars="200"/>
        <w:rPr>
          <w:rFonts w:ascii="宋体" w:hAnsi="宋体" w:cs="宋体"/>
          <w:sz w:val="28"/>
          <w:szCs w:val="28"/>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jc w:val="left"/>
        <w:rPr>
          <w:rFonts w:ascii="宋体" w:hAnsi="宋体" w:cs="宋体"/>
          <w:sz w:val="24"/>
          <w:u w:val="single"/>
        </w:rPr>
        <w:sectPr>
          <w:footerReference r:id="rId8" w:type="default"/>
          <w:pgSz w:w="11906" w:h="16838"/>
          <w:pgMar w:top="1440" w:right="1474" w:bottom="1440" w:left="1474" w:header="851" w:footer="567" w:gutter="0"/>
          <w:cols w:space="720" w:num="1"/>
          <w:docGrid w:type="lines" w:linePitch="312" w:charSpace="0"/>
        </w:sect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2"/>
          <w:szCs w:val="32"/>
        </w:rPr>
        <w:t>格式1-5</w:t>
      </w:r>
    </w:p>
    <w:p>
      <w:pPr>
        <w:spacing w:line="360" w:lineRule="auto"/>
        <w:ind w:firstLine="790" w:firstLineChars="246"/>
        <w:jc w:val="center"/>
        <w:rPr>
          <w:rFonts w:ascii="宋体" w:hAnsi="宋体" w:cs="宋体"/>
          <w:b/>
          <w:sz w:val="32"/>
          <w:szCs w:val="32"/>
        </w:rPr>
      </w:pPr>
      <w:r>
        <w:rPr>
          <w:rFonts w:hint="eastAsia" w:ascii="宋体" w:hAnsi="宋体" w:cs="宋体"/>
          <w:b/>
          <w:sz w:val="32"/>
          <w:szCs w:val="32"/>
        </w:rPr>
        <w:t>投标人和投标产品其他资格、资质性及其他类似效力要求的相关证明材料</w:t>
      </w:r>
    </w:p>
    <w:p>
      <w:pPr>
        <w:spacing w:line="360" w:lineRule="auto"/>
        <w:rPr>
          <w:rFonts w:ascii="宋体" w:hAnsi="宋体" w:cs="宋体"/>
          <w:b/>
          <w:szCs w:val="21"/>
        </w:rPr>
      </w:pPr>
      <w:r>
        <w:rPr>
          <w:rFonts w:hint="eastAsia" w:ascii="宋体" w:hAnsi="宋体" w:cs="宋体"/>
          <w:b/>
          <w:szCs w:val="21"/>
        </w:rPr>
        <w:t>注：投标人应按招标文件第五章相关要求提供佐证材料，有格式要求的从其要求，无格式要求的格式自拟。</w:t>
      </w:r>
    </w:p>
    <w:p>
      <w:pPr>
        <w:spacing w:line="360" w:lineRule="auto"/>
        <w:rPr>
          <w:rFonts w:ascii="宋体" w:hAnsi="宋体" w:cs="宋体"/>
          <w:bCs/>
          <w:sz w:val="24"/>
        </w:rPr>
      </w:pPr>
    </w:p>
    <w:p>
      <w:pPr>
        <w:pStyle w:val="5"/>
        <w:spacing w:line="360" w:lineRule="auto"/>
        <w:jc w:val="center"/>
        <w:rPr>
          <w:rFonts w:ascii="宋体" w:hAnsi="宋体" w:eastAsia="宋体" w:cs="宋体"/>
        </w:rPr>
      </w:pPr>
      <w:r>
        <w:rPr>
          <w:rFonts w:hint="eastAsia" w:ascii="宋体" w:hAnsi="宋体" w:eastAsia="宋体" w:cs="宋体"/>
        </w:rPr>
        <w:br w:type="page"/>
      </w:r>
      <w:r>
        <w:rPr>
          <w:rFonts w:hint="eastAsia" w:ascii="宋体" w:hAnsi="宋体" w:eastAsia="宋体" w:cs="宋体"/>
        </w:rPr>
        <w:t>第二部分     “其他响应性投标文件”格式</w:t>
      </w:r>
    </w:p>
    <w:p>
      <w:pPr>
        <w:spacing w:line="360" w:lineRule="auto"/>
        <w:rPr>
          <w:rFonts w:ascii="宋体" w:hAnsi="宋体" w:cs="宋体"/>
          <w:b/>
          <w:sz w:val="32"/>
          <w:szCs w:val="32"/>
        </w:rPr>
      </w:pPr>
      <w:r>
        <w:rPr>
          <w:rFonts w:hint="eastAsia" w:ascii="宋体" w:hAnsi="宋体" w:cs="宋体"/>
          <w:b/>
          <w:sz w:val="32"/>
          <w:szCs w:val="32"/>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其他响应性投标文件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jc w:val="left"/>
        <w:rPr>
          <w:rFonts w:ascii="宋体" w:hAnsi="宋体" w:cs="宋体"/>
          <w:b/>
          <w:sz w:val="32"/>
          <w:u w:val="single"/>
        </w:rPr>
      </w:pPr>
      <w:r>
        <w:rPr>
          <w:rFonts w:hint="eastAsia" w:ascii="宋体" w:hAnsi="宋体" w:cs="宋体"/>
          <w:b/>
          <w:sz w:val="32"/>
        </w:rPr>
        <w:t>投 标 人名称：</w:t>
      </w:r>
    </w:p>
    <w:p>
      <w:pPr>
        <w:spacing w:line="360" w:lineRule="auto"/>
        <w:jc w:val="left"/>
        <w:rPr>
          <w:rFonts w:ascii="宋体" w:hAnsi="宋体" w:cs="宋体"/>
          <w:b/>
          <w:sz w:val="32"/>
        </w:rPr>
      </w:pPr>
      <w:r>
        <w:rPr>
          <w:rFonts w:hint="eastAsia" w:ascii="宋体" w:hAnsi="宋体" w:cs="宋体"/>
          <w:b/>
          <w:sz w:val="32"/>
        </w:rPr>
        <w:t>采购项目编号：</w:t>
      </w:r>
    </w:p>
    <w:p>
      <w:pPr>
        <w:spacing w:line="360" w:lineRule="auto"/>
        <w:jc w:val="left"/>
        <w:rPr>
          <w:rFonts w:ascii="宋体" w:hAnsi="宋体" w:cs="宋体"/>
          <w:b/>
          <w:sz w:val="32"/>
        </w:rPr>
      </w:pPr>
      <w:r>
        <w:rPr>
          <w:rFonts w:hint="eastAsia" w:ascii="宋体" w:hAnsi="宋体" w:cs="宋体"/>
          <w:b/>
          <w:sz w:val="32"/>
        </w:rPr>
        <w:t>包号：</w:t>
      </w:r>
    </w:p>
    <w:p>
      <w:pPr>
        <w:spacing w:line="360" w:lineRule="auto"/>
        <w:jc w:val="left"/>
        <w:rPr>
          <w:rFonts w:ascii="宋体" w:hAnsi="宋体" w:cs="宋体"/>
          <w:b/>
          <w:sz w:val="32"/>
          <w:u w:val="single"/>
        </w:rPr>
      </w:pP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投标日期： 年  月  日</w:t>
      </w:r>
    </w:p>
    <w:p>
      <w:pPr>
        <w:spacing w:line="360" w:lineRule="auto"/>
        <w:rPr>
          <w:rFonts w:ascii="宋体" w:hAnsi="宋体" w:cs="宋体"/>
          <w:b/>
          <w:sz w:val="32"/>
          <w:szCs w:val="32"/>
        </w:rPr>
      </w:pPr>
      <w:r>
        <w:rPr>
          <w:rFonts w:hint="eastAsia" w:ascii="宋体" w:hAnsi="宋体" w:cs="宋体"/>
          <w:b/>
          <w:sz w:val="32"/>
        </w:rPr>
        <w:br w:type="page"/>
      </w:r>
      <w:r>
        <w:rPr>
          <w:rFonts w:hint="eastAsia" w:ascii="宋体" w:hAnsi="宋体" w:cs="宋体"/>
          <w:b/>
          <w:sz w:val="32"/>
          <w:szCs w:val="32"/>
        </w:rPr>
        <w:t>格式2-2</w:t>
      </w:r>
    </w:p>
    <w:p>
      <w:pPr>
        <w:widowControl/>
        <w:numPr>
          <w:ilvl w:val="0"/>
          <w:numId w:val="7"/>
        </w:numPr>
        <w:spacing w:line="360" w:lineRule="auto"/>
        <w:jc w:val="center"/>
        <w:outlineLvl w:val="1"/>
        <w:rPr>
          <w:rFonts w:ascii="宋体" w:hAnsi="宋体" w:cs="宋体"/>
          <w:b/>
          <w:sz w:val="32"/>
          <w:szCs w:val="32"/>
        </w:rPr>
      </w:pPr>
      <w:r>
        <w:rPr>
          <w:rFonts w:hint="eastAsia" w:ascii="宋体" w:hAnsi="宋体" w:cs="宋体"/>
          <w:b/>
          <w:sz w:val="32"/>
          <w:szCs w:val="32"/>
        </w:rPr>
        <w:t>投 标 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jc w:val="left"/>
        <w:rPr>
          <w:rFonts w:ascii="宋体" w:hAnsi="宋体" w:cs="宋体"/>
          <w:sz w:val="24"/>
        </w:rPr>
      </w:pPr>
      <w:r>
        <w:rPr>
          <w:rFonts w:hint="eastAsia" w:ascii="宋体" w:hAnsi="宋体" w:cs="宋体"/>
          <w:sz w:val="24"/>
        </w:rPr>
        <w:t>我方全面研究了 “</w:t>
      </w:r>
      <w:r>
        <w:rPr>
          <w:rFonts w:hint="eastAsia" w:ascii="宋体" w:hAnsi="宋体" w:cs="宋体"/>
          <w:sz w:val="24"/>
          <w:u w:val="single"/>
        </w:rPr>
        <w:t>　　　　　　　　　　　　　　　</w:t>
      </w:r>
      <w:r>
        <w:rPr>
          <w:rFonts w:hint="eastAsia" w:ascii="宋体" w:hAnsi="宋体" w:cs="宋体"/>
          <w:sz w:val="24"/>
        </w:rPr>
        <w:t>”项目招标文件（采购项目编号：　　），决定参加贵单位组织的本项目投标。我方授权</w:t>
      </w:r>
      <w:r>
        <w:rPr>
          <w:rFonts w:hint="eastAsia" w:ascii="宋体" w:hAnsi="宋体" w:cs="宋体"/>
          <w:sz w:val="24"/>
          <w:u w:val="single"/>
        </w:rPr>
        <w:t xml:space="preserve">           （姓名、职务）</w:t>
      </w:r>
      <w:r>
        <w:rPr>
          <w:rFonts w:hint="eastAsia" w:ascii="宋体" w:hAnsi="宋体" w:cs="宋体"/>
          <w:sz w:val="24"/>
        </w:rPr>
        <w:t>代表我方</w:t>
      </w:r>
      <w:r>
        <w:rPr>
          <w:rFonts w:hint="eastAsia" w:ascii="宋体" w:hAnsi="宋体" w:cs="宋体"/>
          <w:sz w:val="24"/>
          <w:u w:val="single"/>
        </w:rPr>
        <w:t xml:space="preserve">            （投标人名称）</w:t>
      </w:r>
      <w:r>
        <w:rPr>
          <w:rFonts w:hint="eastAsia" w:ascii="宋体" w:hAnsi="宋体" w:cs="宋体"/>
          <w:sz w:val="24"/>
        </w:rPr>
        <w:t>全权处理本项目投标的有关事宜。</w:t>
      </w:r>
    </w:p>
    <w:p>
      <w:pPr>
        <w:spacing w:line="360" w:lineRule="auto"/>
        <w:ind w:firstLine="600" w:firstLineChars="250"/>
        <w:rPr>
          <w:rFonts w:ascii="宋体" w:hAnsi="宋体" w:cs="宋体"/>
          <w:sz w:val="24"/>
        </w:rPr>
      </w:pPr>
      <w:r>
        <w:rPr>
          <w:rFonts w:hint="eastAsia" w:ascii="宋体" w:hAnsi="宋体" w:cs="宋体"/>
          <w:sz w:val="24"/>
        </w:rPr>
        <w:t>1、我方自愿按照招标文件规定的各项要求向采购人提供本项目所需货物及服务，</w:t>
      </w:r>
      <w:r>
        <w:rPr>
          <w:rFonts w:hint="eastAsia" w:ascii="宋体" w:hAnsi="宋体" w:cs="宋体"/>
          <w:b/>
          <w:sz w:val="24"/>
        </w:rPr>
        <w:t>总投标报价以《开标一览表》为准。</w:t>
      </w:r>
    </w:p>
    <w:p>
      <w:pPr>
        <w:spacing w:line="360" w:lineRule="auto"/>
        <w:ind w:firstLine="600" w:firstLineChars="250"/>
        <w:rPr>
          <w:rFonts w:ascii="宋体" w:hAnsi="宋体" w:cs="宋体"/>
          <w:sz w:val="24"/>
        </w:rPr>
      </w:pPr>
      <w:r>
        <w:rPr>
          <w:rFonts w:hint="eastAsia" w:ascii="宋体" w:hAnsi="宋体" w:cs="宋体"/>
          <w:sz w:val="24"/>
        </w:rPr>
        <w:t>2、一旦我方中标，我方将严格履行政府采购合同规定的责任和义务，否则将承担由此产生的一切责任。</w:t>
      </w:r>
    </w:p>
    <w:p>
      <w:pPr>
        <w:spacing w:line="360" w:lineRule="auto"/>
        <w:ind w:firstLine="600" w:firstLineChars="250"/>
        <w:rPr>
          <w:rFonts w:ascii="宋体" w:hAnsi="宋体" w:cs="宋体"/>
          <w:sz w:val="24"/>
        </w:rPr>
      </w:pPr>
      <w:r>
        <w:rPr>
          <w:rFonts w:hint="eastAsia" w:ascii="宋体" w:hAnsi="宋体" w:cs="宋体"/>
          <w:sz w:val="24"/>
        </w:rPr>
        <w:t>3、我方同意本次招标的投标有效期从提交投标文件的截止之日起</w:t>
      </w:r>
      <w:r>
        <w:rPr>
          <w:rFonts w:hint="eastAsia" w:ascii="宋体" w:hAnsi="宋体" w:cs="宋体"/>
          <w:sz w:val="24"/>
          <w:u w:val="single"/>
        </w:rPr>
        <w:t xml:space="preserve">  </w:t>
      </w:r>
      <w:r>
        <w:rPr>
          <w:rFonts w:hint="eastAsia" w:ascii="宋体" w:hAnsi="宋体" w:cs="宋体"/>
          <w:sz w:val="24"/>
        </w:rPr>
        <w:t>天。</w:t>
      </w:r>
    </w:p>
    <w:p>
      <w:pPr>
        <w:spacing w:line="360" w:lineRule="auto"/>
        <w:ind w:firstLine="600" w:firstLineChars="250"/>
        <w:rPr>
          <w:rFonts w:ascii="宋体" w:hAnsi="宋体" w:cs="宋体"/>
          <w:sz w:val="24"/>
        </w:rPr>
      </w:pPr>
      <w:r>
        <w:rPr>
          <w:rFonts w:hint="eastAsia" w:ascii="宋体" w:hAnsi="宋体" w:cs="宋体"/>
          <w:sz w:val="24"/>
        </w:rPr>
        <w:t>4、我方愿意提供贵单位可能另外要求的，与投标有关的文件资料，并保证我方已提供和将要提供的文件资料是真实、准确的。</w:t>
      </w:r>
    </w:p>
    <w:p>
      <w:pPr>
        <w:spacing w:line="360" w:lineRule="auto"/>
        <w:ind w:firstLine="600" w:firstLineChars="250"/>
        <w:rPr>
          <w:rFonts w:ascii="宋体" w:hAnsi="宋体" w:cs="宋体"/>
          <w:sz w:val="24"/>
        </w:rPr>
      </w:pPr>
      <w:r>
        <w:rPr>
          <w:rFonts w:hint="eastAsia" w:ascii="宋体" w:hAnsi="宋体" w:cs="宋体"/>
          <w:sz w:val="24"/>
        </w:rPr>
        <w:t>5、我单位联系方式：</w:t>
      </w:r>
    </w:p>
    <w:p>
      <w:pPr>
        <w:spacing w:line="360" w:lineRule="auto"/>
        <w:ind w:firstLine="600" w:firstLineChars="250"/>
        <w:rPr>
          <w:rFonts w:ascii="宋体" w:hAnsi="宋体" w:cs="宋体"/>
          <w:sz w:val="24"/>
        </w:rPr>
      </w:pPr>
      <w:r>
        <w:rPr>
          <w:rFonts w:hint="eastAsia" w:ascii="宋体" w:hAnsi="宋体" w:cs="宋体"/>
          <w:sz w:val="24"/>
        </w:rPr>
        <w:t xml:space="preserve">地址：                                </w:t>
      </w:r>
    </w:p>
    <w:p>
      <w:pPr>
        <w:spacing w:line="360" w:lineRule="auto"/>
        <w:ind w:firstLine="600" w:firstLineChars="250"/>
        <w:rPr>
          <w:rFonts w:ascii="宋体" w:hAnsi="宋体" w:cs="宋体"/>
          <w:sz w:val="24"/>
        </w:rPr>
      </w:pPr>
      <w:r>
        <w:rPr>
          <w:rFonts w:hint="eastAsia" w:ascii="宋体" w:hAnsi="宋体" w:cs="宋体"/>
          <w:sz w:val="24"/>
        </w:rPr>
        <w:t>联系人：</w:t>
      </w:r>
    </w:p>
    <w:p>
      <w:pPr>
        <w:spacing w:line="360" w:lineRule="auto"/>
        <w:ind w:firstLine="600" w:firstLineChars="250"/>
        <w:rPr>
          <w:rFonts w:ascii="宋体" w:hAnsi="宋体" w:cs="宋体"/>
          <w:sz w:val="24"/>
        </w:rPr>
      </w:pPr>
      <w:r>
        <w:rPr>
          <w:rFonts w:hint="eastAsia" w:ascii="宋体" w:hAnsi="宋体" w:cs="宋体"/>
          <w:sz w:val="24"/>
        </w:rPr>
        <w:t>联系电话：</w:t>
      </w:r>
    </w:p>
    <w:p>
      <w:pPr>
        <w:spacing w:line="360" w:lineRule="auto"/>
        <w:ind w:firstLine="600" w:firstLineChars="250"/>
        <w:rPr>
          <w:rFonts w:ascii="宋体" w:hAnsi="宋体" w:cs="宋体"/>
          <w:sz w:val="24"/>
        </w:rPr>
      </w:pPr>
      <w:r>
        <w:rPr>
          <w:rFonts w:hint="eastAsia" w:ascii="宋体" w:hAnsi="宋体" w:cs="宋体"/>
          <w:sz w:val="24"/>
        </w:rPr>
        <w:t xml:space="preserve">传真：                     </w:t>
      </w:r>
    </w:p>
    <w:p>
      <w:pPr>
        <w:spacing w:line="360" w:lineRule="auto"/>
        <w:ind w:firstLine="600" w:firstLineChars="250"/>
        <w:rPr>
          <w:rFonts w:ascii="宋体" w:hAnsi="宋体" w:cs="宋体"/>
          <w:sz w:val="24"/>
        </w:rPr>
      </w:pPr>
      <w:r>
        <w:rPr>
          <w:rFonts w:hint="eastAsia" w:ascii="宋体" w:hAnsi="宋体" w:cs="宋体"/>
          <w:sz w:val="24"/>
        </w:rPr>
        <w:t>邮政编码：</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b/>
          <w:sz w:val="32"/>
          <w:szCs w:val="32"/>
        </w:rPr>
      </w:pPr>
      <w:r>
        <w:rPr>
          <w:rFonts w:hint="eastAsia" w:ascii="宋体" w:hAnsi="宋体" w:cs="宋体"/>
          <w:sz w:val="24"/>
        </w:rPr>
        <w:t>投标日期：</w:t>
      </w:r>
      <w:r>
        <w:rPr>
          <w:rFonts w:hint="eastAsia" w:ascii="宋体" w:hAnsi="宋体" w:cs="宋体"/>
          <w:b/>
          <w:sz w:val="32"/>
          <w:szCs w:val="32"/>
        </w:rPr>
        <w:br w:type="page"/>
      </w:r>
      <w:r>
        <w:rPr>
          <w:rFonts w:hint="eastAsia" w:ascii="宋体" w:hAnsi="宋体" w:cs="宋体"/>
          <w:b/>
          <w:sz w:val="32"/>
          <w:szCs w:val="32"/>
        </w:rPr>
        <w:t>格式2-3</w:t>
      </w:r>
    </w:p>
    <w:p>
      <w:pPr>
        <w:widowControl/>
        <w:numPr>
          <w:ilvl w:val="0"/>
          <w:numId w:val="7"/>
        </w:numPr>
        <w:spacing w:line="360" w:lineRule="auto"/>
        <w:jc w:val="center"/>
        <w:outlineLvl w:val="1"/>
        <w:rPr>
          <w:rFonts w:ascii="宋体" w:hAnsi="宋体" w:cs="宋体"/>
          <w:b/>
          <w:sz w:val="32"/>
          <w:szCs w:val="32"/>
        </w:rPr>
      </w:pPr>
      <w:r>
        <w:rPr>
          <w:rFonts w:hint="eastAsia" w:ascii="宋体" w:hAnsi="宋体" w:cs="宋体"/>
          <w:b/>
          <w:sz w:val="32"/>
          <w:szCs w:val="32"/>
        </w:rPr>
        <w:t>承诺函</w:t>
      </w:r>
    </w:p>
    <w:p>
      <w:pPr>
        <w:spacing w:line="360" w:lineRule="auto"/>
        <w:rPr>
          <w:rFonts w:ascii="宋体" w:hAnsi="宋体" w:cs="宋体"/>
          <w:sz w:val="24"/>
        </w:rPr>
      </w:pPr>
      <w:r>
        <w:rPr>
          <w:rFonts w:hint="eastAsia" w:ascii="宋体" w:hAnsi="宋体" w:cs="宋体"/>
          <w:sz w:val="24"/>
        </w:rPr>
        <w:t>四川轩辕招标代理有限公司：</w:t>
      </w:r>
    </w:p>
    <w:p>
      <w:pPr>
        <w:spacing w:line="360" w:lineRule="auto"/>
        <w:ind w:firstLine="480" w:firstLineChars="200"/>
        <w:rPr>
          <w:rFonts w:ascii="宋体" w:hAnsi="宋体" w:cs="宋体"/>
          <w:sz w:val="24"/>
        </w:rPr>
      </w:pPr>
      <w:r>
        <w:rPr>
          <w:rFonts w:hint="eastAsia" w:ascii="宋体" w:hAnsi="宋体" w:cs="宋体"/>
          <w:sz w:val="24"/>
        </w:rPr>
        <w:t>我单位作为本次采购项目的投标人，根据招标文件要求，现郑重承诺如下：</w:t>
      </w:r>
    </w:p>
    <w:p>
      <w:pPr>
        <w:spacing w:line="360" w:lineRule="auto"/>
        <w:ind w:firstLine="480" w:firstLineChars="200"/>
        <w:rPr>
          <w:rFonts w:ascii="宋体" w:hAnsi="宋体" w:cs="宋体"/>
          <w:sz w:val="24"/>
        </w:rPr>
      </w:pPr>
      <w:r>
        <w:rPr>
          <w:rFonts w:hint="eastAsia" w:ascii="宋体" w:hAnsi="宋体" w:cs="宋体"/>
          <w:sz w:val="24"/>
        </w:rPr>
        <w:t>一、完全接受和满足本项目招标文件中规定的实质性要求（如合格的投标人、投标费用、充分、公平竞争保障措施、投标文件的语言、计量单位、投标货币、知识产权、招标文件报价要求（报价部分）、投标保证金、投标有效期、合同分包、合同转包等实质性要求），如对招标文件有异议，已依法进行维权救济，不存在对招标文件有异议的同时又参加投标以求侥幸中标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uto"/>
        <w:ind w:firstLine="480" w:firstLineChars="200"/>
        <w:rPr>
          <w:rFonts w:ascii="宋体" w:hAnsi="宋体" w:cs="宋体"/>
          <w:sz w:val="24"/>
        </w:rPr>
      </w:pPr>
      <w:r>
        <w:rPr>
          <w:rFonts w:hint="eastAsia" w:ascii="宋体" w:hAnsi="宋体" w:cs="宋体"/>
          <w:sz w:val="24"/>
        </w:rPr>
        <w:t>三、参加本次招标采购活动，不存在和其他供应商在同一合同项下的采购项目中，同时委托同一个自然人、同一家庭的人员、同一单位的人员作为代理人的行为。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四、为采购项目提供整体设计、规范编制或者项目管理、监理、检测等服务的供应商，不得再参加该采购项目的其他采购活动，我单位承诺不属于此类禁止参加本项目的供应商。</w:t>
      </w:r>
    </w:p>
    <w:p>
      <w:pPr>
        <w:spacing w:line="360" w:lineRule="auto"/>
        <w:ind w:firstLine="480" w:firstLineChars="200"/>
        <w:rPr>
          <w:rFonts w:ascii="宋体" w:hAnsi="宋体" w:cs="宋体"/>
          <w:sz w:val="24"/>
        </w:rPr>
      </w:pPr>
      <w:r>
        <w:rPr>
          <w:rFonts w:hint="eastAsia" w:ascii="宋体" w:hAnsi="宋体" w:cs="宋体"/>
          <w:sz w:val="24"/>
        </w:rPr>
        <w:t>五、投标文件中提供的能够给予我单位带来优惠、好处的任何材料资料和技术、服务、商务、响应产品等响应承诺情况都是真实的、有效的、合法的。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uto"/>
        <w:ind w:firstLine="480" w:firstLineChars="200"/>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本单位对上述承诺的内容事项真实性负责。如经查实上述承诺的内容事项存在虚假，我单位愿意接受以提供虚假材料谋取中标追究法律责任。</w:t>
      </w:r>
    </w:p>
    <w:p>
      <w:pPr>
        <w:spacing w:line="360" w:lineRule="auto"/>
        <w:rPr>
          <w:rFonts w:ascii="宋体" w:hAnsi="宋体" w:cs="宋体"/>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b/>
          <w:sz w:val="32"/>
          <w:szCs w:val="32"/>
        </w:rPr>
      </w:pPr>
      <w:r>
        <w:rPr>
          <w:rFonts w:hint="eastAsia" w:ascii="宋体" w:hAnsi="宋体" w:cs="宋体"/>
          <w:sz w:val="24"/>
        </w:rPr>
        <w:t>投标日期：</w:t>
      </w:r>
      <w:r>
        <w:rPr>
          <w:rFonts w:hint="eastAsia" w:ascii="宋体" w:hAnsi="宋体" w:cs="宋体"/>
          <w:b/>
          <w:sz w:val="32"/>
          <w:szCs w:val="32"/>
        </w:rPr>
        <w:br w:type="page"/>
      </w:r>
      <w:r>
        <w:rPr>
          <w:rFonts w:hint="eastAsia" w:ascii="宋体" w:hAnsi="宋体" w:cs="宋体"/>
          <w:b/>
          <w:sz w:val="32"/>
          <w:szCs w:val="32"/>
        </w:rPr>
        <w:t>格式2-4</w:t>
      </w:r>
    </w:p>
    <w:p>
      <w:pPr>
        <w:widowControl/>
        <w:numPr>
          <w:ilvl w:val="0"/>
          <w:numId w:val="8"/>
        </w:numPr>
        <w:spacing w:line="360" w:lineRule="auto"/>
        <w:jc w:val="center"/>
        <w:outlineLvl w:val="1"/>
        <w:rPr>
          <w:rFonts w:ascii="宋体" w:hAnsi="宋体" w:cs="宋体"/>
          <w:b/>
          <w:sz w:val="32"/>
          <w:szCs w:val="32"/>
        </w:rPr>
      </w:pPr>
      <w:r>
        <w:rPr>
          <w:rFonts w:hint="eastAsia" w:ascii="宋体" w:hAnsi="宋体" w:cs="宋体"/>
          <w:b/>
          <w:sz w:val="32"/>
          <w:szCs w:val="32"/>
        </w:rPr>
        <w:t>开标一览表</w:t>
      </w:r>
    </w:p>
    <w:p>
      <w:pPr>
        <w:widowControl/>
        <w:spacing w:line="360" w:lineRule="auto"/>
        <w:ind w:firstLine="422" w:firstLineChars="200"/>
        <w:jc w:val="left"/>
        <w:rPr>
          <w:rFonts w:ascii="宋体" w:hAnsi="宋体" w:cs="宋体"/>
          <w:b/>
          <w:bCs/>
        </w:rPr>
      </w:pPr>
      <w:r>
        <w:rPr>
          <w:rFonts w:hint="eastAsia" w:ascii="宋体" w:hAnsi="宋体" w:cs="宋体"/>
          <w:b/>
          <w:bCs/>
        </w:rPr>
        <w:t>项目名称：</w:t>
      </w:r>
    </w:p>
    <w:p>
      <w:pPr>
        <w:widowControl/>
        <w:spacing w:line="360" w:lineRule="auto"/>
        <w:ind w:firstLine="422" w:firstLineChars="200"/>
        <w:jc w:val="left"/>
        <w:rPr>
          <w:rFonts w:ascii="宋体" w:hAnsi="宋体" w:cs="宋体"/>
          <w:b/>
          <w:bCs/>
        </w:rPr>
      </w:pPr>
      <w:r>
        <w:rPr>
          <w:rFonts w:hint="eastAsia" w:ascii="宋体" w:hAnsi="宋体" w:cs="宋体"/>
          <w:b/>
          <w:bCs/>
        </w:rPr>
        <w:t>采购项目编号：</w:t>
      </w:r>
    </w:p>
    <w:p>
      <w:pPr>
        <w:widowControl/>
        <w:spacing w:line="360" w:lineRule="auto"/>
        <w:ind w:firstLine="422" w:firstLineChars="200"/>
        <w:jc w:val="left"/>
        <w:rPr>
          <w:rFonts w:ascii="宋体" w:hAnsi="宋体" w:cs="宋体"/>
          <w:b/>
          <w:bCs/>
        </w:rPr>
      </w:pPr>
      <w:r>
        <w:rPr>
          <w:rFonts w:hint="eastAsia" w:ascii="宋体" w:hAnsi="宋体" w:cs="宋体"/>
          <w:b/>
          <w:bCs/>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37"/>
        <w:gridCol w:w="1400"/>
        <w:gridCol w:w="912"/>
        <w:gridCol w:w="1213"/>
        <w:gridCol w:w="1150"/>
        <w:gridCol w:w="850"/>
        <w:gridCol w:w="1325"/>
        <w:gridCol w:w="6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vAlign w:val="center"/>
          </w:tcPr>
          <w:p>
            <w:pPr>
              <w:spacing w:line="360" w:lineRule="auto"/>
              <w:jc w:val="center"/>
              <w:rPr>
                <w:rFonts w:ascii="宋体" w:hAnsi="宋体" w:cs="宋体"/>
              </w:rPr>
            </w:pPr>
            <w:r>
              <w:rPr>
                <w:rFonts w:hint="eastAsia" w:ascii="宋体" w:hAnsi="宋体" w:cs="宋体"/>
              </w:rPr>
              <w:t>序号</w:t>
            </w:r>
          </w:p>
        </w:tc>
        <w:tc>
          <w:tcPr>
            <w:tcW w:w="937" w:type="dxa"/>
            <w:vAlign w:val="center"/>
          </w:tcPr>
          <w:p>
            <w:pPr>
              <w:spacing w:line="360" w:lineRule="auto"/>
              <w:jc w:val="center"/>
              <w:rPr>
                <w:rFonts w:ascii="宋体" w:hAnsi="宋体" w:cs="宋体"/>
              </w:rPr>
            </w:pPr>
            <w:r>
              <w:rPr>
                <w:rFonts w:hint="eastAsia" w:ascii="宋体" w:hAnsi="宋体" w:cs="宋体"/>
              </w:rPr>
              <w:t>名称</w:t>
            </w:r>
          </w:p>
        </w:tc>
        <w:tc>
          <w:tcPr>
            <w:tcW w:w="1400" w:type="dxa"/>
            <w:vAlign w:val="center"/>
          </w:tcPr>
          <w:p>
            <w:pPr>
              <w:spacing w:line="360" w:lineRule="auto"/>
              <w:jc w:val="center"/>
              <w:rPr>
                <w:rFonts w:ascii="宋体" w:hAnsi="宋体" w:cs="宋体"/>
              </w:rPr>
            </w:pPr>
            <w:r>
              <w:rPr>
                <w:rFonts w:hint="eastAsia" w:ascii="宋体" w:hAnsi="宋体" w:cs="宋体"/>
              </w:rPr>
              <w:t>制造商家及</w:t>
            </w:r>
          </w:p>
          <w:p>
            <w:pPr>
              <w:spacing w:line="360" w:lineRule="auto"/>
              <w:jc w:val="center"/>
              <w:rPr>
                <w:rFonts w:ascii="宋体" w:hAnsi="宋体" w:cs="宋体"/>
              </w:rPr>
            </w:pPr>
            <w:r>
              <w:rPr>
                <w:rFonts w:hint="eastAsia" w:ascii="宋体" w:hAnsi="宋体" w:cs="宋体"/>
              </w:rPr>
              <w:t>规格型号</w:t>
            </w:r>
          </w:p>
        </w:tc>
        <w:tc>
          <w:tcPr>
            <w:tcW w:w="912" w:type="dxa"/>
            <w:vAlign w:val="center"/>
          </w:tcPr>
          <w:p>
            <w:pPr>
              <w:spacing w:line="360" w:lineRule="auto"/>
              <w:jc w:val="center"/>
              <w:rPr>
                <w:rFonts w:ascii="宋体" w:hAnsi="宋体" w:cs="宋体"/>
              </w:rPr>
            </w:pPr>
            <w:r>
              <w:rPr>
                <w:rFonts w:hint="eastAsia" w:ascii="宋体" w:hAnsi="宋体" w:cs="宋体"/>
              </w:rPr>
              <w:t>数量</w:t>
            </w:r>
          </w:p>
        </w:tc>
        <w:tc>
          <w:tcPr>
            <w:tcW w:w="1213" w:type="dxa"/>
            <w:vAlign w:val="center"/>
          </w:tcPr>
          <w:p>
            <w:pPr>
              <w:spacing w:line="360" w:lineRule="auto"/>
              <w:jc w:val="center"/>
              <w:rPr>
                <w:rFonts w:ascii="宋体" w:hAnsi="宋体" w:cs="宋体"/>
              </w:rPr>
            </w:pPr>
            <w:r>
              <w:rPr>
                <w:rFonts w:hint="eastAsia" w:ascii="宋体" w:hAnsi="宋体" w:cs="宋体"/>
              </w:rPr>
              <w:t>投标单价</w:t>
            </w:r>
          </w:p>
          <w:p>
            <w:pPr>
              <w:spacing w:line="360" w:lineRule="auto"/>
              <w:jc w:val="center"/>
              <w:rPr>
                <w:rFonts w:ascii="宋体" w:hAnsi="宋体" w:cs="宋体"/>
              </w:rPr>
            </w:pPr>
            <w:r>
              <w:rPr>
                <w:rFonts w:hint="eastAsia" w:ascii="宋体" w:hAnsi="宋体" w:cs="宋体"/>
              </w:rPr>
              <w:t>（万元）</w:t>
            </w:r>
          </w:p>
        </w:tc>
        <w:tc>
          <w:tcPr>
            <w:tcW w:w="1150" w:type="dxa"/>
            <w:vAlign w:val="center"/>
          </w:tcPr>
          <w:p>
            <w:pPr>
              <w:spacing w:line="360" w:lineRule="auto"/>
              <w:jc w:val="center"/>
              <w:rPr>
                <w:rFonts w:ascii="宋体" w:hAnsi="宋体" w:cs="宋体"/>
              </w:rPr>
            </w:pPr>
            <w:r>
              <w:rPr>
                <w:rFonts w:hint="eastAsia" w:ascii="宋体" w:hAnsi="宋体" w:cs="宋体"/>
              </w:rPr>
              <w:t>投标总价</w:t>
            </w:r>
          </w:p>
          <w:p>
            <w:pPr>
              <w:spacing w:line="360" w:lineRule="auto"/>
              <w:jc w:val="center"/>
              <w:rPr>
                <w:rFonts w:ascii="宋体" w:hAnsi="宋体" w:cs="宋体"/>
              </w:rPr>
            </w:pPr>
            <w:r>
              <w:rPr>
                <w:rFonts w:hint="eastAsia" w:ascii="宋体" w:hAnsi="宋体" w:cs="宋体"/>
              </w:rPr>
              <w:t>（万元）</w:t>
            </w:r>
          </w:p>
        </w:tc>
        <w:tc>
          <w:tcPr>
            <w:tcW w:w="850" w:type="dxa"/>
            <w:vAlign w:val="center"/>
          </w:tcPr>
          <w:p>
            <w:pPr>
              <w:spacing w:line="360" w:lineRule="auto"/>
              <w:jc w:val="center"/>
              <w:rPr>
                <w:rFonts w:ascii="宋体" w:hAnsi="宋体" w:cs="宋体"/>
              </w:rPr>
            </w:pPr>
            <w:r>
              <w:rPr>
                <w:rFonts w:hint="eastAsia" w:ascii="宋体" w:hAnsi="宋体" w:cs="宋体"/>
              </w:rPr>
              <w:t>交货</w:t>
            </w:r>
          </w:p>
          <w:p>
            <w:pPr>
              <w:spacing w:line="360" w:lineRule="auto"/>
              <w:jc w:val="center"/>
              <w:rPr>
                <w:rFonts w:ascii="宋体" w:hAnsi="宋体" w:cs="宋体"/>
              </w:rPr>
            </w:pPr>
            <w:r>
              <w:rPr>
                <w:rFonts w:hint="eastAsia" w:ascii="宋体" w:hAnsi="宋体" w:cs="宋体"/>
              </w:rPr>
              <w:t>时间</w:t>
            </w:r>
          </w:p>
        </w:tc>
        <w:tc>
          <w:tcPr>
            <w:tcW w:w="1325" w:type="dxa"/>
            <w:vAlign w:val="center"/>
          </w:tcPr>
          <w:p>
            <w:pPr>
              <w:spacing w:line="360" w:lineRule="auto"/>
              <w:jc w:val="center"/>
              <w:rPr>
                <w:rFonts w:ascii="宋体" w:hAnsi="宋体" w:cs="宋体"/>
              </w:rPr>
            </w:pPr>
            <w:r>
              <w:rPr>
                <w:rFonts w:hint="eastAsia" w:ascii="宋体" w:hAnsi="宋体" w:cs="宋体"/>
              </w:rPr>
              <w:t>是否属于</w:t>
            </w:r>
          </w:p>
          <w:p>
            <w:pPr>
              <w:spacing w:line="360" w:lineRule="auto"/>
              <w:jc w:val="center"/>
              <w:rPr>
                <w:rFonts w:ascii="宋体" w:hAnsi="宋体" w:cs="宋体"/>
              </w:rPr>
            </w:pPr>
            <w:r>
              <w:rPr>
                <w:rFonts w:hint="eastAsia" w:ascii="宋体" w:hAnsi="宋体" w:cs="宋体"/>
              </w:rPr>
              <w:t>进口产品</w:t>
            </w:r>
          </w:p>
        </w:tc>
        <w:tc>
          <w:tcPr>
            <w:tcW w:w="691" w:type="dxa"/>
            <w:vAlign w:val="center"/>
          </w:tcPr>
          <w:p>
            <w:pPr>
              <w:spacing w:line="360" w:lineRule="auto"/>
              <w:jc w:val="center"/>
              <w:rPr>
                <w:rFonts w:ascii="宋体" w:hAnsi="宋体" w:cs="宋体"/>
              </w:rPr>
            </w:pPr>
            <w:r>
              <w:rPr>
                <w:rFonts w:hint="eastAsia" w:ascii="宋体" w:hAnsi="宋体" w:cs="宋体"/>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rPr>
            </w:pPr>
          </w:p>
        </w:tc>
        <w:tc>
          <w:tcPr>
            <w:tcW w:w="937" w:type="dxa"/>
            <w:vAlign w:val="center"/>
          </w:tcPr>
          <w:p>
            <w:pPr>
              <w:spacing w:line="360" w:lineRule="auto"/>
              <w:rPr>
                <w:rFonts w:ascii="宋体" w:hAnsi="宋体" w:cs="宋体"/>
              </w:rPr>
            </w:pPr>
          </w:p>
        </w:tc>
        <w:tc>
          <w:tcPr>
            <w:tcW w:w="1400" w:type="dxa"/>
            <w:vAlign w:val="center"/>
          </w:tcPr>
          <w:p>
            <w:pPr>
              <w:spacing w:line="360" w:lineRule="auto"/>
              <w:rPr>
                <w:rFonts w:ascii="宋体" w:hAnsi="宋体" w:cs="宋体"/>
              </w:rPr>
            </w:pPr>
          </w:p>
        </w:tc>
        <w:tc>
          <w:tcPr>
            <w:tcW w:w="912" w:type="dxa"/>
            <w:vAlign w:val="center"/>
          </w:tcPr>
          <w:p>
            <w:pPr>
              <w:spacing w:line="360" w:lineRule="auto"/>
              <w:rPr>
                <w:rFonts w:ascii="宋体" w:hAnsi="宋体" w:cs="宋体"/>
              </w:rPr>
            </w:pPr>
          </w:p>
        </w:tc>
        <w:tc>
          <w:tcPr>
            <w:tcW w:w="1213" w:type="dxa"/>
            <w:vAlign w:val="center"/>
          </w:tcPr>
          <w:p>
            <w:pPr>
              <w:spacing w:line="360" w:lineRule="auto"/>
              <w:rPr>
                <w:rFonts w:ascii="宋体" w:hAnsi="宋体" w:cs="宋体"/>
              </w:rPr>
            </w:pPr>
          </w:p>
        </w:tc>
        <w:tc>
          <w:tcPr>
            <w:tcW w:w="1150" w:type="dxa"/>
            <w:vAlign w:val="center"/>
          </w:tcPr>
          <w:p>
            <w:pPr>
              <w:spacing w:line="360" w:lineRule="auto"/>
              <w:rPr>
                <w:rFonts w:ascii="宋体" w:hAnsi="宋体" w:cs="宋体"/>
              </w:rPr>
            </w:pPr>
          </w:p>
        </w:tc>
        <w:tc>
          <w:tcPr>
            <w:tcW w:w="850" w:type="dxa"/>
            <w:vAlign w:val="center"/>
          </w:tcPr>
          <w:p>
            <w:pPr>
              <w:spacing w:line="360" w:lineRule="auto"/>
              <w:rPr>
                <w:rFonts w:ascii="宋体" w:hAnsi="宋体" w:cs="宋体"/>
              </w:rPr>
            </w:pPr>
          </w:p>
        </w:tc>
        <w:tc>
          <w:tcPr>
            <w:tcW w:w="1325" w:type="dxa"/>
            <w:vAlign w:val="center"/>
          </w:tcPr>
          <w:p>
            <w:pPr>
              <w:spacing w:line="360" w:lineRule="auto"/>
              <w:rPr>
                <w:rFonts w:ascii="宋体" w:hAnsi="宋体" w:cs="宋体"/>
              </w:rPr>
            </w:pPr>
          </w:p>
        </w:tc>
        <w:tc>
          <w:tcPr>
            <w:tcW w:w="691" w:type="dxa"/>
            <w:vAlign w:val="center"/>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rPr>
            </w:pPr>
          </w:p>
        </w:tc>
        <w:tc>
          <w:tcPr>
            <w:tcW w:w="937" w:type="dxa"/>
            <w:vAlign w:val="center"/>
          </w:tcPr>
          <w:p>
            <w:pPr>
              <w:spacing w:line="360" w:lineRule="auto"/>
              <w:rPr>
                <w:rFonts w:ascii="宋体" w:hAnsi="宋体" w:cs="宋体"/>
              </w:rPr>
            </w:pPr>
          </w:p>
        </w:tc>
        <w:tc>
          <w:tcPr>
            <w:tcW w:w="1400" w:type="dxa"/>
            <w:vAlign w:val="center"/>
          </w:tcPr>
          <w:p>
            <w:pPr>
              <w:spacing w:line="360" w:lineRule="auto"/>
              <w:rPr>
                <w:rFonts w:ascii="宋体" w:hAnsi="宋体" w:cs="宋体"/>
              </w:rPr>
            </w:pPr>
          </w:p>
        </w:tc>
        <w:tc>
          <w:tcPr>
            <w:tcW w:w="912" w:type="dxa"/>
            <w:vAlign w:val="center"/>
          </w:tcPr>
          <w:p>
            <w:pPr>
              <w:spacing w:line="360" w:lineRule="auto"/>
              <w:rPr>
                <w:rFonts w:ascii="宋体" w:hAnsi="宋体" w:cs="宋体"/>
              </w:rPr>
            </w:pPr>
          </w:p>
        </w:tc>
        <w:tc>
          <w:tcPr>
            <w:tcW w:w="1213" w:type="dxa"/>
            <w:vAlign w:val="center"/>
          </w:tcPr>
          <w:p>
            <w:pPr>
              <w:spacing w:line="360" w:lineRule="auto"/>
              <w:rPr>
                <w:rFonts w:ascii="宋体" w:hAnsi="宋体" w:cs="宋体"/>
              </w:rPr>
            </w:pPr>
          </w:p>
        </w:tc>
        <w:tc>
          <w:tcPr>
            <w:tcW w:w="1150" w:type="dxa"/>
            <w:vAlign w:val="center"/>
          </w:tcPr>
          <w:p>
            <w:pPr>
              <w:spacing w:line="360" w:lineRule="auto"/>
              <w:rPr>
                <w:rFonts w:ascii="宋体" w:hAnsi="宋体" w:cs="宋体"/>
              </w:rPr>
            </w:pPr>
          </w:p>
        </w:tc>
        <w:tc>
          <w:tcPr>
            <w:tcW w:w="850" w:type="dxa"/>
            <w:vAlign w:val="center"/>
          </w:tcPr>
          <w:p>
            <w:pPr>
              <w:spacing w:line="360" w:lineRule="auto"/>
              <w:rPr>
                <w:rFonts w:ascii="宋体" w:hAnsi="宋体" w:cs="宋体"/>
              </w:rPr>
            </w:pPr>
          </w:p>
        </w:tc>
        <w:tc>
          <w:tcPr>
            <w:tcW w:w="1325" w:type="dxa"/>
            <w:vAlign w:val="center"/>
          </w:tcPr>
          <w:p>
            <w:pPr>
              <w:spacing w:line="360" w:lineRule="auto"/>
              <w:rPr>
                <w:rFonts w:ascii="宋体" w:hAnsi="宋体" w:cs="宋体"/>
              </w:rPr>
            </w:pPr>
          </w:p>
        </w:tc>
        <w:tc>
          <w:tcPr>
            <w:tcW w:w="691" w:type="dxa"/>
            <w:vAlign w:val="center"/>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54" w:type="dxa"/>
          </w:tcPr>
          <w:p>
            <w:pPr>
              <w:spacing w:line="360" w:lineRule="auto"/>
              <w:rPr>
                <w:rFonts w:ascii="宋体" w:hAnsi="宋体" w:cs="宋体"/>
              </w:rPr>
            </w:pPr>
          </w:p>
        </w:tc>
        <w:tc>
          <w:tcPr>
            <w:tcW w:w="937" w:type="dxa"/>
            <w:vAlign w:val="center"/>
          </w:tcPr>
          <w:p>
            <w:pPr>
              <w:spacing w:line="360" w:lineRule="auto"/>
              <w:rPr>
                <w:rFonts w:ascii="宋体" w:hAnsi="宋体" w:cs="宋体"/>
              </w:rPr>
            </w:pPr>
          </w:p>
        </w:tc>
        <w:tc>
          <w:tcPr>
            <w:tcW w:w="1400" w:type="dxa"/>
            <w:vAlign w:val="center"/>
          </w:tcPr>
          <w:p>
            <w:pPr>
              <w:spacing w:line="360" w:lineRule="auto"/>
              <w:rPr>
                <w:rFonts w:ascii="宋体" w:hAnsi="宋体" w:cs="宋体"/>
              </w:rPr>
            </w:pPr>
          </w:p>
        </w:tc>
        <w:tc>
          <w:tcPr>
            <w:tcW w:w="912" w:type="dxa"/>
            <w:vAlign w:val="center"/>
          </w:tcPr>
          <w:p>
            <w:pPr>
              <w:spacing w:line="360" w:lineRule="auto"/>
              <w:rPr>
                <w:rFonts w:ascii="宋体" w:hAnsi="宋体" w:cs="宋体"/>
              </w:rPr>
            </w:pPr>
          </w:p>
        </w:tc>
        <w:tc>
          <w:tcPr>
            <w:tcW w:w="1213" w:type="dxa"/>
            <w:vAlign w:val="center"/>
          </w:tcPr>
          <w:p>
            <w:pPr>
              <w:spacing w:line="360" w:lineRule="auto"/>
              <w:rPr>
                <w:rFonts w:ascii="宋体" w:hAnsi="宋体" w:cs="宋体"/>
              </w:rPr>
            </w:pPr>
          </w:p>
        </w:tc>
        <w:tc>
          <w:tcPr>
            <w:tcW w:w="1150" w:type="dxa"/>
            <w:vAlign w:val="center"/>
          </w:tcPr>
          <w:p>
            <w:pPr>
              <w:spacing w:line="360" w:lineRule="auto"/>
              <w:rPr>
                <w:rFonts w:ascii="宋体" w:hAnsi="宋体" w:cs="宋体"/>
              </w:rPr>
            </w:pPr>
          </w:p>
        </w:tc>
        <w:tc>
          <w:tcPr>
            <w:tcW w:w="850" w:type="dxa"/>
            <w:vAlign w:val="center"/>
          </w:tcPr>
          <w:p>
            <w:pPr>
              <w:spacing w:line="360" w:lineRule="auto"/>
              <w:rPr>
                <w:rFonts w:ascii="宋体" w:hAnsi="宋体" w:cs="宋体"/>
              </w:rPr>
            </w:pPr>
          </w:p>
        </w:tc>
        <w:tc>
          <w:tcPr>
            <w:tcW w:w="1325" w:type="dxa"/>
            <w:vAlign w:val="center"/>
          </w:tcPr>
          <w:p>
            <w:pPr>
              <w:spacing w:line="360" w:lineRule="auto"/>
              <w:rPr>
                <w:rFonts w:ascii="宋体" w:hAnsi="宋体" w:cs="宋体"/>
              </w:rPr>
            </w:pPr>
          </w:p>
        </w:tc>
        <w:tc>
          <w:tcPr>
            <w:tcW w:w="691" w:type="dxa"/>
            <w:vAlign w:val="center"/>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54" w:type="dxa"/>
          </w:tcPr>
          <w:p>
            <w:pPr>
              <w:spacing w:line="360" w:lineRule="auto"/>
              <w:rPr>
                <w:rFonts w:ascii="宋体" w:hAnsi="宋体" w:cs="宋体"/>
              </w:rPr>
            </w:pPr>
          </w:p>
        </w:tc>
        <w:tc>
          <w:tcPr>
            <w:tcW w:w="8478" w:type="dxa"/>
            <w:gridSpan w:val="8"/>
            <w:vAlign w:val="center"/>
          </w:tcPr>
          <w:p>
            <w:pPr>
              <w:spacing w:line="360" w:lineRule="auto"/>
              <w:rPr>
                <w:rFonts w:ascii="宋体" w:hAnsi="宋体" w:cs="宋体"/>
              </w:rPr>
            </w:pPr>
            <w:r>
              <w:rPr>
                <w:rFonts w:hint="eastAsia" w:ascii="宋体" w:hAnsi="宋体" w:cs="宋体"/>
              </w:rPr>
              <w:t>报价合计（万元）：          大写：</w:t>
            </w:r>
          </w:p>
        </w:tc>
      </w:tr>
    </w:tbl>
    <w:p>
      <w:pPr>
        <w:widowControl/>
        <w:spacing w:line="360" w:lineRule="auto"/>
        <w:jc w:val="left"/>
        <w:rPr>
          <w:rFonts w:ascii="宋体" w:hAnsi="宋体" w:cs="宋体"/>
          <w:b/>
          <w:bCs/>
        </w:rPr>
      </w:pPr>
    </w:p>
    <w:p>
      <w:pPr>
        <w:widowControl/>
        <w:spacing w:line="360" w:lineRule="auto"/>
        <w:jc w:val="left"/>
        <w:rPr>
          <w:rFonts w:ascii="宋体" w:hAnsi="宋体" w:cs="宋体"/>
          <w:b/>
          <w:bCs/>
        </w:rPr>
      </w:pPr>
      <w:r>
        <w:rPr>
          <w:rFonts w:hint="eastAsia" w:ascii="宋体" w:hAnsi="宋体" w:cs="宋体"/>
          <w:b/>
          <w:bCs/>
        </w:rPr>
        <w:t>注：1. 报价应是最终用户验收合格后的总价，包括设备运输、保险、代理、安装调试、培训、税费和招标文件规定的其它费用。</w:t>
      </w:r>
    </w:p>
    <w:p>
      <w:pPr>
        <w:widowControl/>
        <w:spacing w:line="360" w:lineRule="auto"/>
        <w:jc w:val="left"/>
        <w:rPr>
          <w:rFonts w:ascii="宋体" w:hAnsi="宋体" w:cs="宋体"/>
          <w:b/>
          <w:bCs/>
        </w:rPr>
      </w:pPr>
      <w:r>
        <w:rPr>
          <w:rFonts w:hint="eastAsia" w:ascii="宋体" w:hAnsi="宋体" w:cs="宋体"/>
          <w:b/>
          <w:bCs/>
        </w:rPr>
        <w:t>2.“开标一览表”为多页的，每页均须加盖投标人电子签章。</w:t>
      </w:r>
    </w:p>
    <w:p>
      <w:pPr>
        <w:spacing w:line="360" w:lineRule="auto"/>
        <w:rPr>
          <w:rFonts w:ascii="宋体" w:hAnsi="宋体" w:cs="宋体"/>
          <w:b/>
          <w:bCs/>
        </w:rPr>
      </w:pPr>
      <w:r>
        <w:rPr>
          <w:rFonts w:hint="eastAsia" w:ascii="宋体" w:hAnsi="宋体" w:cs="宋体"/>
          <w:b/>
          <w:bCs/>
        </w:rPr>
        <w:t>3、“开标一览表”以包为单位填写。</w:t>
      </w:r>
    </w:p>
    <w:p>
      <w:pPr>
        <w:spacing w:line="360" w:lineRule="auto"/>
        <w:rPr>
          <w:rFonts w:ascii="宋体" w:hAnsi="宋体" w:cs="宋体"/>
          <w:b/>
          <w:bCs/>
        </w:rPr>
      </w:pPr>
      <w:r>
        <w:rPr>
          <w:rFonts w:ascii="宋体" w:hAnsi="宋体" w:cs="宋体"/>
          <w:b/>
          <w:bCs/>
        </w:rPr>
        <w:t>4</w:t>
      </w:r>
      <w:r>
        <w:rPr>
          <w:rFonts w:hint="eastAsia" w:ascii="宋体" w:hAnsi="宋体" w:cs="宋体"/>
          <w:b/>
          <w:bCs/>
        </w:rPr>
        <w:t>、如是进口设备，须在表格中标明“进口”。招标文件未明确“允许进口”的，供应商以进口产品进行投标时，将视为无效投标。</w:t>
      </w:r>
    </w:p>
    <w:p>
      <w:pPr>
        <w:spacing w:line="360" w:lineRule="auto"/>
        <w:rPr>
          <w:rFonts w:ascii="宋体" w:hAnsi="宋体" w:cs="宋体"/>
          <w:b/>
          <w:bCs/>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bCs/>
        </w:rPr>
        <w:br w:type="page"/>
      </w:r>
      <w:r>
        <w:rPr>
          <w:rFonts w:hint="eastAsia" w:ascii="宋体" w:hAnsi="宋体" w:cs="宋体"/>
          <w:b/>
          <w:sz w:val="32"/>
          <w:szCs w:val="32"/>
        </w:rPr>
        <w:t>格式2-5</w:t>
      </w:r>
    </w:p>
    <w:p>
      <w:pPr>
        <w:widowControl/>
        <w:numPr>
          <w:ilvl w:val="0"/>
          <w:numId w:val="9"/>
        </w:numPr>
        <w:spacing w:line="360" w:lineRule="auto"/>
        <w:jc w:val="center"/>
        <w:outlineLvl w:val="1"/>
        <w:rPr>
          <w:rFonts w:ascii="宋体" w:hAnsi="宋体" w:cs="宋体"/>
          <w:b/>
          <w:sz w:val="32"/>
          <w:szCs w:val="32"/>
        </w:rPr>
      </w:pPr>
      <w:r>
        <w:rPr>
          <w:rFonts w:hint="eastAsia" w:ascii="宋体" w:hAnsi="宋体" w:cs="宋体"/>
          <w:b/>
          <w:sz w:val="32"/>
          <w:szCs w:val="32"/>
        </w:rPr>
        <w:t>分项报价明细表</w:t>
      </w:r>
    </w:p>
    <w:tbl>
      <w:tblPr>
        <w:tblStyle w:val="35"/>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1360"/>
        <w:gridCol w:w="888"/>
        <w:gridCol w:w="1212"/>
        <w:gridCol w:w="840"/>
        <w:gridCol w:w="841"/>
        <w:gridCol w:w="87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77" w:type="dxa"/>
            <w:vAlign w:val="center"/>
          </w:tcPr>
          <w:p>
            <w:pPr>
              <w:widowControl/>
              <w:spacing w:line="360" w:lineRule="atLeast"/>
              <w:jc w:val="center"/>
              <w:rPr>
                <w:rFonts w:ascii="宋体" w:hAnsi="宋体" w:cs="宋体"/>
                <w:sz w:val="24"/>
              </w:rPr>
            </w:pPr>
            <w:r>
              <w:rPr>
                <w:rFonts w:hint="eastAsia" w:ascii="宋体" w:hAnsi="宋体" w:cs="宋体"/>
                <w:sz w:val="24"/>
              </w:rPr>
              <w:t>序号</w:t>
            </w:r>
          </w:p>
        </w:tc>
        <w:tc>
          <w:tcPr>
            <w:tcW w:w="1275" w:type="dxa"/>
            <w:vAlign w:val="center"/>
          </w:tcPr>
          <w:p>
            <w:pPr>
              <w:widowControl/>
              <w:spacing w:line="360" w:lineRule="atLeast"/>
              <w:jc w:val="center"/>
              <w:rPr>
                <w:rFonts w:ascii="宋体" w:hAnsi="宋体" w:cs="宋体"/>
                <w:sz w:val="24"/>
              </w:rPr>
            </w:pPr>
            <w:r>
              <w:rPr>
                <w:rFonts w:hint="eastAsia" w:ascii="宋体" w:hAnsi="宋体" w:cs="宋体"/>
                <w:sz w:val="24"/>
              </w:rPr>
              <w:t>产品名称</w:t>
            </w:r>
          </w:p>
        </w:tc>
        <w:tc>
          <w:tcPr>
            <w:tcW w:w="1360" w:type="dxa"/>
            <w:vAlign w:val="center"/>
          </w:tcPr>
          <w:p>
            <w:pPr>
              <w:widowControl/>
              <w:spacing w:line="360" w:lineRule="atLeast"/>
              <w:jc w:val="center"/>
              <w:rPr>
                <w:rFonts w:ascii="宋体" w:hAnsi="宋体" w:cs="宋体"/>
                <w:sz w:val="24"/>
              </w:rPr>
            </w:pPr>
            <w:r>
              <w:rPr>
                <w:rFonts w:hint="eastAsia" w:ascii="宋体" w:hAnsi="宋体" w:cs="宋体"/>
                <w:sz w:val="24"/>
              </w:rPr>
              <w:t>规格型号</w:t>
            </w:r>
          </w:p>
        </w:tc>
        <w:tc>
          <w:tcPr>
            <w:tcW w:w="888" w:type="dxa"/>
            <w:vAlign w:val="center"/>
          </w:tcPr>
          <w:p>
            <w:pPr>
              <w:widowControl/>
              <w:spacing w:line="360" w:lineRule="atLeast"/>
              <w:jc w:val="center"/>
              <w:rPr>
                <w:rFonts w:ascii="宋体" w:hAnsi="宋体" w:cs="宋体"/>
                <w:sz w:val="24"/>
              </w:rPr>
            </w:pPr>
            <w:r>
              <w:rPr>
                <w:rFonts w:hint="eastAsia" w:ascii="宋体" w:hAnsi="宋体" w:cs="宋体"/>
                <w:sz w:val="24"/>
              </w:rPr>
              <w:t>品牌</w:t>
            </w:r>
          </w:p>
        </w:tc>
        <w:tc>
          <w:tcPr>
            <w:tcW w:w="1212" w:type="dxa"/>
            <w:vAlign w:val="center"/>
          </w:tcPr>
          <w:p>
            <w:pPr>
              <w:widowControl/>
              <w:spacing w:line="360" w:lineRule="atLeast"/>
              <w:jc w:val="center"/>
              <w:rPr>
                <w:rFonts w:ascii="宋体" w:hAnsi="宋体" w:cs="宋体"/>
                <w:sz w:val="24"/>
              </w:rPr>
            </w:pPr>
            <w:r>
              <w:rPr>
                <w:rFonts w:hint="eastAsia" w:ascii="宋体" w:hAnsi="宋体" w:cs="宋体"/>
                <w:sz w:val="24"/>
              </w:rPr>
              <w:t>单位</w:t>
            </w:r>
          </w:p>
        </w:tc>
        <w:tc>
          <w:tcPr>
            <w:tcW w:w="840" w:type="dxa"/>
            <w:vAlign w:val="center"/>
          </w:tcPr>
          <w:p>
            <w:pPr>
              <w:widowControl/>
              <w:spacing w:line="360" w:lineRule="atLeast"/>
              <w:jc w:val="center"/>
              <w:rPr>
                <w:rFonts w:ascii="宋体" w:hAnsi="宋体" w:cs="宋体"/>
                <w:sz w:val="24"/>
              </w:rPr>
            </w:pPr>
            <w:r>
              <w:rPr>
                <w:rFonts w:hint="eastAsia" w:ascii="宋体" w:hAnsi="宋体" w:cs="宋体"/>
                <w:sz w:val="24"/>
              </w:rPr>
              <w:t>数量</w:t>
            </w:r>
          </w:p>
        </w:tc>
        <w:tc>
          <w:tcPr>
            <w:tcW w:w="841" w:type="dxa"/>
            <w:vAlign w:val="center"/>
          </w:tcPr>
          <w:p>
            <w:pPr>
              <w:widowControl/>
              <w:spacing w:line="360" w:lineRule="atLeast"/>
              <w:jc w:val="center"/>
              <w:rPr>
                <w:rFonts w:ascii="宋体" w:hAnsi="宋体" w:cs="宋体"/>
                <w:sz w:val="24"/>
              </w:rPr>
            </w:pPr>
            <w:r>
              <w:rPr>
                <w:rFonts w:hint="eastAsia" w:ascii="宋体" w:hAnsi="宋体" w:cs="宋体"/>
                <w:sz w:val="24"/>
              </w:rPr>
              <w:t>单价</w:t>
            </w:r>
          </w:p>
        </w:tc>
        <w:tc>
          <w:tcPr>
            <w:tcW w:w="876" w:type="dxa"/>
            <w:vAlign w:val="center"/>
          </w:tcPr>
          <w:p>
            <w:pPr>
              <w:widowControl/>
              <w:spacing w:line="360" w:lineRule="atLeast"/>
              <w:jc w:val="center"/>
              <w:rPr>
                <w:rFonts w:ascii="宋体" w:hAnsi="宋体" w:cs="宋体"/>
                <w:sz w:val="24"/>
              </w:rPr>
            </w:pPr>
            <w:r>
              <w:rPr>
                <w:rFonts w:hint="eastAsia" w:ascii="宋体" w:hAnsi="宋体" w:cs="宋体"/>
                <w:sz w:val="24"/>
              </w:rPr>
              <w:t>金额</w:t>
            </w:r>
          </w:p>
        </w:tc>
        <w:tc>
          <w:tcPr>
            <w:tcW w:w="843" w:type="dxa"/>
            <w:vAlign w:val="center"/>
          </w:tcPr>
          <w:p>
            <w:pPr>
              <w:widowControl/>
              <w:spacing w:line="360" w:lineRule="atLeast"/>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tcBorders>
              <w:left w:val="single" w:color="auto" w:sz="4" w:space="0"/>
            </w:tcBorders>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77" w:type="dxa"/>
            <w:vAlign w:val="center"/>
          </w:tcPr>
          <w:p>
            <w:pPr>
              <w:widowControl/>
              <w:spacing w:line="360" w:lineRule="atLeast"/>
              <w:ind w:firstLine="470" w:firstLineChars="196"/>
              <w:jc w:val="left"/>
              <w:rPr>
                <w:rFonts w:ascii="宋体" w:hAnsi="宋体" w:cs="宋体"/>
                <w:sz w:val="24"/>
              </w:rPr>
            </w:pPr>
          </w:p>
        </w:tc>
        <w:tc>
          <w:tcPr>
            <w:tcW w:w="1275" w:type="dxa"/>
            <w:vAlign w:val="center"/>
          </w:tcPr>
          <w:p>
            <w:pPr>
              <w:widowControl/>
              <w:spacing w:line="360" w:lineRule="atLeast"/>
              <w:ind w:firstLine="470" w:firstLineChars="196"/>
              <w:jc w:val="left"/>
              <w:rPr>
                <w:rFonts w:ascii="宋体" w:hAnsi="宋体" w:cs="宋体"/>
                <w:sz w:val="24"/>
              </w:rPr>
            </w:pPr>
          </w:p>
        </w:tc>
        <w:tc>
          <w:tcPr>
            <w:tcW w:w="1360" w:type="dxa"/>
            <w:vAlign w:val="center"/>
          </w:tcPr>
          <w:p>
            <w:pPr>
              <w:widowControl/>
              <w:spacing w:line="360" w:lineRule="atLeast"/>
              <w:ind w:firstLine="470" w:firstLineChars="196"/>
              <w:jc w:val="left"/>
              <w:rPr>
                <w:rFonts w:ascii="宋体" w:hAnsi="宋体" w:cs="宋体"/>
                <w:sz w:val="24"/>
              </w:rPr>
            </w:pPr>
          </w:p>
        </w:tc>
        <w:tc>
          <w:tcPr>
            <w:tcW w:w="888" w:type="dxa"/>
            <w:vAlign w:val="center"/>
          </w:tcPr>
          <w:p>
            <w:pPr>
              <w:widowControl/>
              <w:spacing w:line="360" w:lineRule="atLeast"/>
              <w:ind w:firstLine="470" w:firstLineChars="196"/>
              <w:jc w:val="left"/>
              <w:rPr>
                <w:rFonts w:ascii="宋体" w:hAnsi="宋体" w:cs="宋体"/>
                <w:sz w:val="24"/>
              </w:rPr>
            </w:pPr>
          </w:p>
        </w:tc>
        <w:tc>
          <w:tcPr>
            <w:tcW w:w="1212" w:type="dxa"/>
            <w:vAlign w:val="center"/>
          </w:tcPr>
          <w:p>
            <w:pPr>
              <w:widowControl/>
              <w:spacing w:line="360" w:lineRule="atLeast"/>
              <w:ind w:firstLine="470" w:firstLineChars="196"/>
              <w:jc w:val="left"/>
              <w:rPr>
                <w:rFonts w:ascii="宋体" w:hAnsi="宋体" w:cs="宋体"/>
                <w:sz w:val="24"/>
              </w:rPr>
            </w:pPr>
          </w:p>
        </w:tc>
        <w:tc>
          <w:tcPr>
            <w:tcW w:w="840" w:type="dxa"/>
            <w:vAlign w:val="center"/>
          </w:tcPr>
          <w:p>
            <w:pPr>
              <w:widowControl/>
              <w:spacing w:line="360" w:lineRule="atLeast"/>
              <w:ind w:firstLine="470" w:firstLineChars="196"/>
              <w:jc w:val="left"/>
              <w:rPr>
                <w:rFonts w:ascii="宋体" w:hAnsi="宋体" w:cs="宋体"/>
                <w:sz w:val="24"/>
              </w:rPr>
            </w:pPr>
          </w:p>
        </w:tc>
        <w:tc>
          <w:tcPr>
            <w:tcW w:w="841" w:type="dxa"/>
            <w:vAlign w:val="center"/>
          </w:tcPr>
          <w:p>
            <w:pPr>
              <w:widowControl/>
              <w:spacing w:line="360" w:lineRule="atLeast"/>
              <w:ind w:firstLine="470" w:firstLineChars="196"/>
              <w:jc w:val="left"/>
              <w:rPr>
                <w:rFonts w:ascii="宋体" w:hAnsi="宋体" w:cs="宋体"/>
                <w:sz w:val="24"/>
              </w:rPr>
            </w:pPr>
          </w:p>
        </w:tc>
        <w:tc>
          <w:tcPr>
            <w:tcW w:w="876" w:type="dxa"/>
            <w:vAlign w:val="center"/>
          </w:tcPr>
          <w:p>
            <w:pPr>
              <w:widowControl/>
              <w:spacing w:line="360" w:lineRule="atLeast"/>
              <w:ind w:firstLine="470" w:firstLineChars="196"/>
              <w:jc w:val="left"/>
              <w:rPr>
                <w:rFonts w:ascii="宋体" w:hAnsi="宋体" w:cs="宋体"/>
                <w:sz w:val="24"/>
              </w:rPr>
            </w:pPr>
          </w:p>
        </w:tc>
        <w:tc>
          <w:tcPr>
            <w:tcW w:w="843" w:type="dxa"/>
            <w:vAlign w:val="center"/>
          </w:tcPr>
          <w:p>
            <w:pPr>
              <w:widowControl/>
              <w:spacing w:line="360" w:lineRule="atLeast"/>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p>
        </w:tc>
        <w:tc>
          <w:tcPr>
            <w:tcW w:w="6416" w:type="dxa"/>
            <w:gridSpan w:val="6"/>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r>
              <w:rPr>
                <w:rFonts w:hint="eastAsia" w:ascii="宋体" w:hAnsi="宋体" w:cs="宋体"/>
                <w:sz w:val="24"/>
              </w:rPr>
              <w:t>分项报价合计（万元）：   大写：</w:t>
            </w:r>
          </w:p>
        </w:tc>
        <w:tc>
          <w:tcPr>
            <w:tcW w:w="876"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p>
        </w:tc>
        <w:tc>
          <w:tcPr>
            <w:tcW w:w="843" w:type="dxa"/>
            <w:tcBorders>
              <w:top w:val="single" w:color="auto" w:sz="4" w:space="0"/>
              <w:bottom w:val="single" w:color="auto" w:sz="4" w:space="0"/>
            </w:tcBorders>
            <w:vAlign w:val="center"/>
          </w:tcPr>
          <w:p>
            <w:pPr>
              <w:widowControl/>
              <w:spacing w:line="360" w:lineRule="atLeast"/>
              <w:ind w:firstLine="470" w:firstLineChars="196"/>
              <w:jc w:val="left"/>
              <w:rPr>
                <w:rFonts w:ascii="宋体" w:hAnsi="宋体" w:cs="宋体"/>
                <w:sz w:val="24"/>
              </w:rPr>
            </w:pPr>
          </w:p>
        </w:tc>
      </w:tr>
    </w:tbl>
    <w:p>
      <w:pPr>
        <w:spacing w:line="360" w:lineRule="auto"/>
        <w:rPr>
          <w:rFonts w:ascii="宋体" w:hAnsi="宋体" w:cs="宋体"/>
          <w:b/>
          <w:sz w:val="32"/>
          <w:szCs w:val="32"/>
        </w:rPr>
      </w:pPr>
    </w:p>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注：1、投标人应按“分项报价明细表”的格式详细报出投标总价的各个组成部分的报价。</w:t>
      </w:r>
    </w:p>
    <w:p>
      <w:pPr>
        <w:spacing w:line="360" w:lineRule="auto"/>
        <w:rPr>
          <w:rFonts w:ascii="宋体" w:hAnsi="宋体" w:cs="宋体"/>
          <w:b/>
          <w:bCs/>
        </w:rPr>
      </w:pPr>
      <w:r>
        <w:rPr>
          <w:rFonts w:hint="eastAsia" w:ascii="宋体" w:hAnsi="宋体" w:cs="宋体"/>
          <w:b/>
          <w:bCs/>
        </w:rPr>
        <w:t xml:space="preserve">    2、“分项报价明细表”各分项报价合计应当与“开标一览表”报价合计相等。</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jc w:val="left"/>
        <w:rPr>
          <w:rFonts w:ascii="宋体" w:hAnsi="宋体" w:cs="宋体"/>
          <w:b/>
          <w:sz w:val="32"/>
          <w:szCs w:val="32"/>
        </w:rPr>
      </w:pPr>
      <w:r>
        <w:rPr>
          <w:rFonts w:hint="eastAsia" w:ascii="宋体" w:hAnsi="宋体" w:cs="宋体"/>
          <w:sz w:val="24"/>
        </w:rPr>
        <w:t>投标日期：</w:t>
      </w:r>
      <w:r>
        <w:rPr>
          <w:rFonts w:hint="eastAsia" w:ascii="宋体" w:hAnsi="宋体" w:cs="宋体"/>
        </w:rPr>
        <w:br w:type="page"/>
      </w:r>
      <w:r>
        <w:rPr>
          <w:rFonts w:hint="eastAsia" w:ascii="宋体" w:hAnsi="宋体" w:cs="宋体"/>
          <w:b/>
          <w:sz w:val="32"/>
          <w:szCs w:val="32"/>
        </w:rPr>
        <w:t>格式2-6</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五、投标产品技术参数表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50"/>
        <w:gridCol w:w="1851"/>
        <w:gridCol w:w="2203"/>
        <w:gridCol w:w="22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jc w:val="center"/>
              <w:rPr>
                <w:rFonts w:ascii="宋体" w:hAnsi="宋体" w:cs="宋体"/>
              </w:rPr>
            </w:pPr>
            <w:r>
              <w:rPr>
                <w:rFonts w:hint="eastAsia" w:ascii="宋体" w:hAnsi="宋体" w:cs="宋体"/>
              </w:rPr>
              <w:t>序号</w:t>
            </w:r>
          </w:p>
        </w:tc>
        <w:tc>
          <w:tcPr>
            <w:tcW w:w="2050" w:type="dxa"/>
            <w:vAlign w:val="center"/>
          </w:tcPr>
          <w:p>
            <w:pPr>
              <w:spacing w:line="360" w:lineRule="auto"/>
              <w:jc w:val="center"/>
              <w:rPr>
                <w:rFonts w:ascii="宋体" w:hAnsi="宋体" w:cs="宋体"/>
              </w:rPr>
            </w:pPr>
            <w:r>
              <w:rPr>
                <w:rFonts w:hint="eastAsia" w:ascii="宋体" w:hAnsi="宋体" w:cs="宋体"/>
              </w:rPr>
              <w:t>货物（设备）名称</w:t>
            </w:r>
          </w:p>
        </w:tc>
        <w:tc>
          <w:tcPr>
            <w:tcW w:w="1851" w:type="dxa"/>
            <w:vAlign w:val="center"/>
          </w:tcPr>
          <w:p>
            <w:pPr>
              <w:spacing w:line="360" w:lineRule="auto"/>
              <w:jc w:val="center"/>
              <w:rPr>
                <w:rFonts w:ascii="宋体" w:hAnsi="宋体" w:cs="宋体"/>
              </w:rPr>
            </w:pPr>
            <w:r>
              <w:rPr>
                <w:rFonts w:hint="eastAsia" w:ascii="宋体" w:hAnsi="宋体" w:cs="宋体"/>
              </w:rPr>
              <w:t>招标文件要求</w:t>
            </w:r>
          </w:p>
        </w:tc>
        <w:tc>
          <w:tcPr>
            <w:tcW w:w="2203" w:type="dxa"/>
            <w:vAlign w:val="center"/>
          </w:tcPr>
          <w:p>
            <w:pPr>
              <w:spacing w:line="360" w:lineRule="auto"/>
              <w:jc w:val="center"/>
              <w:rPr>
                <w:rFonts w:ascii="宋体" w:hAnsi="宋体" w:cs="宋体"/>
              </w:rPr>
            </w:pPr>
            <w:r>
              <w:rPr>
                <w:rFonts w:hint="eastAsia" w:ascii="宋体" w:hAnsi="宋体" w:cs="宋体"/>
              </w:rPr>
              <w:t>投标产品技术参数</w:t>
            </w:r>
          </w:p>
        </w:tc>
        <w:tc>
          <w:tcPr>
            <w:tcW w:w="2203" w:type="dxa"/>
            <w:vAlign w:val="center"/>
          </w:tcPr>
          <w:p>
            <w:pPr>
              <w:spacing w:line="360" w:lineRule="auto"/>
              <w:jc w:val="center"/>
              <w:rPr>
                <w:rFonts w:ascii="宋体" w:hAnsi="宋体" w:cs="宋体"/>
              </w:rPr>
            </w:pPr>
            <w:r>
              <w:rPr>
                <w:rFonts w:hint="eastAsia" w:ascii="宋体" w:hAnsi="宋体" w:cs="宋体"/>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6" w:type="dxa"/>
            <w:vAlign w:val="center"/>
          </w:tcPr>
          <w:p>
            <w:pPr>
              <w:spacing w:line="360" w:lineRule="auto"/>
              <w:rPr>
                <w:rFonts w:ascii="宋体" w:hAnsi="宋体" w:cs="宋体"/>
              </w:rPr>
            </w:pPr>
          </w:p>
        </w:tc>
        <w:tc>
          <w:tcPr>
            <w:tcW w:w="2050" w:type="dxa"/>
            <w:vAlign w:val="center"/>
          </w:tcPr>
          <w:p>
            <w:pPr>
              <w:spacing w:line="360" w:lineRule="auto"/>
              <w:rPr>
                <w:rFonts w:ascii="宋体" w:hAnsi="宋体" w:cs="宋体"/>
              </w:rPr>
            </w:pPr>
          </w:p>
        </w:tc>
        <w:tc>
          <w:tcPr>
            <w:tcW w:w="1851" w:type="dxa"/>
            <w:vAlign w:val="center"/>
          </w:tcPr>
          <w:p>
            <w:pPr>
              <w:spacing w:line="360" w:lineRule="auto"/>
              <w:rPr>
                <w:rFonts w:ascii="宋体" w:hAnsi="宋体" w:cs="宋体"/>
              </w:rPr>
            </w:pPr>
          </w:p>
        </w:tc>
        <w:tc>
          <w:tcPr>
            <w:tcW w:w="2203" w:type="dxa"/>
            <w:vAlign w:val="center"/>
          </w:tcPr>
          <w:p>
            <w:pPr>
              <w:spacing w:line="360" w:lineRule="auto"/>
              <w:rPr>
                <w:rFonts w:ascii="宋体" w:hAnsi="宋体" w:cs="宋体"/>
              </w:rPr>
            </w:pPr>
          </w:p>
        </w:tc>
        <w:tc>
          <w:tcPr>
            <w:tcW w:w="2203" w:type="dxa"/>
          </w:tcPr>
          <w:p>
            <w:pPr>
              <w:spacing w:line="360" w:lineRule="auto"/>
              <w:rPr>
                <w:rFonts w:ascii="宋体" w:hAnsi="宋体" w:cs="宋体"/>
              </w:rPr>
            </w:pPr>
          </w:p>
        </w:tc>
      </w:tr>
    </w:tbl>
    <w:p>
      <w:pPr>
        <w:spacing w:line="360" w:lineRule="auto"/>
        <w:rPr>
          <w:rFonts w:ascii="宋体" w:hAnsi="宋体" w:cs="宋体"/>
        </w:rPr>
      </w:pPr>
    </w:p>
    <w:p>
      <w:pPr>
        <w:spacing w:line="360" w:lineRule="auto"/>
        <w:rPr>
          <w:rFonts w:ascii="宋体" w:hAnsi="宋体" w:cs="宋体"/>
          <w:b/>
          <w:bCs/>
        </w:rPr>
      </w:pPr>
      <w:r>
        <w:rPr>
          <w:rFonts w:hint="eastAsia" w:ascii="宋体" w:hAnsi="宋体" w:cs="宋体"/>
          <w:b/>
          <w:bCs/>
        </w:rPr>
        <w:t>注：1. 供应商必须把招标文件第六章技术要求全部列入此表；</w:t>
      </w:r>
    </w:p>
    <w:p>
      <w:pPr>
        <w:spacing w:line="360" w:lineRule="auto"/>
        <w:ind w:firstLine="422" w:firstLineChars="200"/>
        <w:rPr>
          <w:rFonts w:ascii="宋体" w:hAnsi="宋体" w:cs="宋体"/>
          <w:b/>
          <w:bCs/>
        </w:rPr>
      </w:pPr>
      <w:r>
        <w:rPr>
          <w:rFonts w:hint="eastAsia" w:ascii="宋体" w:hAnsi="宋体" w:cs="宋体"/>
          <w:b/>
          <w:bCs/>
        </w:rPr>
        <w:t>2．按照招标项目技术要求的顺序逐条对应填写；</w:t>
      </w:r>
    </w:p>
    <w:p>
      <w:pPr>
        <w:spacing w:line="360" w:lineRule="auto"/>
        <w:ind w:firstLine="422" w:firstLineChars="200"/>
        <w:rPr>
          <w:rFonts w:ascii="宋体" w:hAnsi="宋体" w:cs="宋体"/>
          <w:b/>
          <w:bCs/>
        </w:rPr>
      </w:pPr>
      <w:r>
        <w:rPr>
          <w:rFonts w:hint="eastAsia" w:ascii="宋体" w:hAnsi="宋体" w:cs="宋体"/>
          <w:b/>
          <w:bCs/>
        </w:rPr>
        <w:t>3．供应商必须据实填写，不得虚假填写，否则将取消其投标或中标资格并追究相关责任；</w:t>
      </w:r>
    </w:p>
    <w:p>
      <w:pPr>
        <w:spacing w:line="360" w:lineRule="auto"/>
        <w:rPr>
          <w:rFonts w:ascii="宋体" w:hAnsi="宋体" w:cs="宋体"/>
          <w:b/>
          <w:bCs/>
        </w:rPr>
      </w:pPr>
      <w:r>
        <w:rPr>
          <w:rFonts w:hint="eastAsia" w:ascii="宋体" w:hAnsi="宋体" w:cs="宋体"/>
          <w:b/>
          <w:bCs/>
        </w:rPr>
        <w:t xml:space="preserve">    4.“响应/偏离”根据实际投标产品情况填写“正偏离、负偏离或完全响应”。</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rPr>
      </w:pPr>
      <w:r>
        <w:rPr>
          <w:rFonts w:hint="eastAsia" w:ascii="宋体" w:hAnsi="宋体" w:cs="宋体"/>
        </w:rPr>
        <w:br w:type="page"/>
      </w:r>
      <w:r>
        <w:rPr>
          <w:rFonts w:hint="eastAsia" w:ascii="宋体" w:hAnsi="宋体" w:cs="宋体"/>
          <w:b/>
          <w:sz w:val="32"/>
          <w:szCs w:val="32"/>
        </w:rPr>
        <w:t>格式2-7</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六、商务应答表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92"/>
        <w:gridCol w:w="3015"/>
        <w:gridCol w:w="19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vAlign w:val="center"/>
          </w:tcPr>
          <w:p>
            <w:pPr>
              <w:spacing w:line="360" w:lineRule="auto"/>
              <w:jc w:val="center"/>
              <w:rPr>
                <w:rFonts w:ascii="宋体" w:hAnsi="宋体" w:cs="宋体"/>
              </w:rPr>
            </w:pPr>
            <w:r>
              <w:rPr>
                <w:rFonts w:hint="eastAsia" w:ascii="宋体" w:hAnsi="宋体" w:cs="宋体"/>
              </w:rPr>
              <w:t>序号</w:t>
            </w:r>
          </w:p>
        </w:tc>
        <w:tc>
          <w:tcPr>
            <w:tcW w:w="2792" w:type="dxa"/>
            <w:vAlign w:val="center"/>
          </w:tcPr>
          <w:p>
            <w:pPr>
              <w:spacing w:line="360" w:lineRule="auto"/>
              <w:jc w:val="center"/>
              <w:rPr>
                <w:rFonts w:ascii="宋体" w:hAnsi="宋体" w:cs="宋体"/>
              </w:rPr>
            </w:pPr>
            <w:r>
              <w:rPr>
                <w:rFonts w:hint="eastAsia" w:ascii="宋体" w:hAnsi="宋体" w:cs="宋体"/>
              </w:rPr>
              <w:t>招标要求</w:t>
            </w:r>
          </w:p>
        </w:tc>
        <w:tc>
          <w:tcPr>
            <w:tcW w:w="3015" w:type="dxa"/>
            <w:vAlign w:val="center"/>
          </w:tcPr>
          <w:p>
            <w:pPr>
              <w:spacing w:line="360" w:lineRule="auto"/>
              <w:jc w:val="center"/>
              <w:rPr>
                <w:rFonts w:ascii="宋体" w:hAnsi="宋体" w:cs="宋体"/>
              </w:rPr>
            </w:pPr>
            <w:r>
              <w:rPr>
                <w:rFonts w:hint="eastAsia" w:ascii="宋体" w:hAnsi="宋体" w:cs="宋体"/>
              </w:rPr>
              <w:t>投标应答</w:t>
            </w:r>
          </w:p>
        </w:tc>
        <w:tc>
          <w:tcPr>
            <w:tcW w:w="1989" w:type="dxa"/>
            <w:vAlign w:val="center"/>
          </w:tcPr>
          <w:p>
            <w:pPr>
              <w:spacing w:line="360" w:lineRule="auto"/>
              <w:jc w:val="center"/>
              <w:rPr>
                <w:rFonts w:ascii="宋体" w:hAnsi="宋体" w:cs="宋体"/>
              </w:rPr>
            </w:pPr>
            <w:r>
              <w:rPr>
                <w:rFonts w:hint="eastAsia" w:ascii="宋体" w:hAnsi="宋体" w:cs="宋体"/>
              </w:rPr>
              <w:t>响应/偏离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1" w:type="dxa"/>
          </w:tcPr>
          <w:p>
            <w:pPr>
              <w:spacing w:line="360" w:lineRule="auto"/>
              <w:rPr>
                <w:rFonts w:ascii="宋体" w:hAnsi="宋体" w:cs="宋体"/>
              </w:rPr>
            </w:pPr>
          </w:p>
        </w:tc>
        <w:tc>
          <w:tcPr>
            <w:tcW w:w="2792" w:type="dxa"/>
          </w:tcPr>
          <w:p>
            <w:pPr>
              <w:spacing w:line="360" w:lineRule="auto"/>
              <w:rPr>
                <w:rFonts w:ascii="宋体" w:hAnsi="宋体" w:cs="宋体"/>
              </w:rPr>
            </w:pPr>
          </w:p>
        </w:tc>
        <w:tc>
          <w:tcPr>
            <w:tcW w:w="3015" w:type="dxa"/>
          </w:tcPr>
          <w:p>
            <w:pPr>
              <w:spacing w:line="360" w:lineRule="auto"/>
              <w:rPr>
                <w:rFonts w:ascii="宋体" w:hAnsi="宋体" w:cs="宋体"/>
              </w:rPr>
            </w:pPr>
          </w:p>
        </w:tc>
        <w:tc>
          <w:tcPr>
            <w:tcW w:w="1989" w:type="dxa"/>
          </w:tcPr>
          <w:p>
            <w:pPr>
              <w:spacing w:line="360" w:lineRule="auto"/>
              <w:rPr>
                <w:rFonts w:ascii="宋体" w:hAnsi="宋体" w:cs="宋体"/>
              </w:rPr>
            </w:pPr>
          </w:p>
        </w:tc>
      </w:tr>
    </w:tbl>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注：1. 供应商必须把招标文件第六章全部商务要求列入此表。</w:t>
      </w:r>
    </w:p>
    <w:p>
      <w:pPr>
        <w:spacing w:line="360" w:lineRule="auto"/>
        <w:ind w:firstLine="422" w:firstLineChars="200"/>
        <w:rPr>
          <w:rFonts w:ascii="宋体" w:hAnsi="宋体" w:cs="宋体"/>
          <w:b/>
          <w:bCs/>
        </w:rPr>
      </w:pPr>
      <w:r>
        <w:rPr>
          <w:rFonts w:hint="eastAsia" w:ascii="宋体" w:hAnsi="宋体" w:cs="宋体"/>
          <w:b/>
          <w:bCs/>
        </w:rPr>
        <w:t>2．按照招标项目商务要求的顺序逐条对应填写。</w:t>
      </w:r>
    </w:p>
    <w:p>
      <w:pPr>
        <w:spacing w:line="360" w:lineRule="auto"/>
        <w:ind w:firstLine="422" w:firstLineChars="200"/>
        <w:rPr>
          <w:rFonts w:ascii="宋体" w:hAnsi="宋体" w:cs="宋体"/>
          <w:b/>
          <w:bCs/>
        </w:rPr>
      </w:pPr>
      <w:r>
        <w:rPr>
          <w:rFonts w:hint="eastAsia" w:ascii="宋体" w:hAnsi="宋体" w:cs="宋体"/>
          <w:b/>
          <w:bCs/>
        </w:rPr>
        <w:t>3．供应商必须据实填写，不得虚假填写，否则将取消其投标或中标资格。</w:t>
      </w:r>
    </w:p>
    <w:p>
      <w:pPr>
        <w:spacing w:line="360" w:lineRule="auto"/>
        <w:ind w:firstLine="422" w:firstLineChars="200"/>
        <w:rPr>
          <w:rFonts w:ascii="宋体" w:hAnsi="宋体" w:cs="宋体"/>
          <w:b/>
          <w:bCs/>
        </w:rPr>
      </w:pPr>
      <w:r>
        <w:rPr>
          <w:rFonts w:hint="eastAsia" w:ascii="宋体" w:hAnsi="宋体" w:cs="宋体"/>
          <w:b/>
          <w:bCs/>
        </w:rPr>
        <w:t>4.“响应/偏离”根据实际投标产品情况填写“正偏离、负偏离或完全响应”。</w:t>
      </w:r>
    </w:p>
    <w:p>
      <w:pPr>
        <w:spacing w:line="360" w:lineRule="auto"/>
        <w:rPr>
          <w:rFonts w:ascii="宋体" w:hAnsi="宋体" w:cs="宋体"/>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格式2-8</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七、商务、技术、服务应答附表</w:t>
      </w:r>
    </w:p>
    <w:p>
      <w:pPr>
        <w:widowControl/>
        <w:spacing w:line="360" w:lineRule="auto"/>
        <w:jc w:val="center"/>
        <w:rPr>
          <w:rFonts w:ascii="宋体" w:hAnsi="宋体" w:cs="宋体"/>
          <w:b/>
          <w:sz w:val="32"/>
          <w:szCs w:val="32"/>
        </w:rPr>
      </w:pPr>
      <w:r>
        <w:rPr>
          <w:rFonts w:hint="eastAsia" w:ascii="宋体" w:hAnsi="宋体" w:cs="宋体"/>
          <w:b/>
          <w:sz w:val="32"/>
          <w:szCs w:val="32"/>
        </w:rPr>
        <w:t>（仅用于中标、成交结果公告，此表不作为评审内容）</w:t>
      </w:r>
    </w:p>
    <w:p>
      <w:pPr>
        <w:widowControl/>
        <w:spacing w:line="360" w:lineRule="auto"/>
        <w:ind w:firstLine="480"/>
        <w:jc w:val="left"/>
        <w:rPr>
          <w:rFonts w:ascii="宋体" w:hAnsi="宋体" w:cs="宋体"/>
          <w:bCs/>
          <w:sz w:val="24"/>
        </w:rPr>
      </w:pPr>
      <w:r>
        <w:rPr>
          <w:rFonts w:hint="eastAsia" w:ascii="宋体" w:hAnsi="宋体" w:cs="宋体"/>
          <w:bCs/>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Style w:val="35"/>
        <w:tblW w:w="0" w:type="auto"/>
        <w:tblInd w:w="131"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463"/>
        <w:gridCol w:w="1635"/>
        <w:gridCol w:w="275"/>
        <w:gridCol w:w="1075"/>
        <w:gridCol w:w="30"/>
        <w:gridCol w:w="1529"/>
        <w:gridCol w:w="31"/>
        <w:gridCol w:w="257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887" w:type="dxa"/>
            <w:gridSpan w:val="9"/>
            <w:tcBorders>
              <w:top w:val="single" w:color="auto" w:sz="18" w:space="0"/>
              <w:left w:val="single" w:color="auto" w:sz="18" w:space="0"/>
              <w:bottom w:val="single" w:color="auto" w:sz="6" w:space="0"/>
              <w:right w:val="single" w:color="auto" w:sz="18" w:space="0"/>
            </w:tcBorders>
            <w:vAlign w:val="center"/>
          </w:tcPr>
          <w:p>
            <w:pPr>
              <w:widowControl/>
              <w:spacing w:line="360" w:lineRule="auto"/>
              <w:jc w:val="center"/>
              <w:outlineLvl w:val="1"/>
              <w:rPr>
                <w:rFonts w:ascii="宋体" w:hAnsi="宋体" w:cs="宋体"/>
                <w:sz w:val="24"/>
              </w:rPr>
            </w:pPr>
            <w:r>
              <w:rPr>
                <w:rFonts w:hint="eastAsia" w:ascii="宋体" w:hAnsi="宋体" w:cs="宋体"/>
                <w:b/>
                <w:kern w:val="0"/>
                <w:sz w:val="24"/>
              </w:rPr>
              <w:t>中标（成交）供应商的相关信息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项目名称</w:t>
            </w:r>
          </w:p>
        </w:tc>
        <w:tc>
          <w:tcPr>
            <w:tcW w:w="7146"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投标人名称</w:t>
            </w:r>
          </w:p>
        </w:tc>
        <w:tc>
          <w:tcPr>
            <w:tcW w:w="7146"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注册地址</w:t>
            </w:r>
          </w:p>
        </w:tc>
        <w:tc>
          <w:tcPr>
            <w:tcW w:w="2985" w:type="dxa"/>
            <w:gridSpan w:val="3"/>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sz w:val="24"/>
              </w:rPr>
            </w:pPr>
          </w:p>
        </w:tc>
        <w:tc>
          <w:tcPr>
            <w:tcW w:w="1590" w:type="dxa"/>
            <w:gridSpan w:val="3"/>
            <w:tcBorders>
              <w:top w:val="single" w:color="auto" w:sz="6" w:space="0"/>
              <w:left w:val="single" w:color="auto" w:sz="4" w:space="0"/>
              <w:bottom w:val="single" w:color="auto" w:sz="6" w:space="0"/>
              <w:right w:val="single" w:color="auto" w:sz="4"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行政区域</w:t>
            </w:r>
          </w:p>
        </w:tc>
        <w:tc>
          <w:tcPr>
            <w:tcW w:w="2571" w:type="dxa"/>
            <w:tcBorders>
              <w:top w:val="single" w:color="auto" w:sz="6" w:space="0"/>
              <w:left w:val="single" w:color="auto" w:sz="4"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741" w:type="dxa"/>
            <w:gridSpan w:val="2"/>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供应商规模</w:t>
            </w:r>
          </w:p>
        </w:tc>
        <w:tc>
          <w:tcPr>
            <w:tcW w:w="7146" w:type="dxa"/>
            <w:gridSpan w:val="7"/>
            <w:tcBorders>
              <w:top w:val="single" w:color="auto" w:sz="6" w:space="0"/>
              <w:left w:val="single" w:color="auto" w:sz="6" w:space="0"/>
              <w:bottom w:val="single" w:color="auto" w:sz="6" w:space="0"/>
              <w:right w:val="single" w:color="auto" w:sz="18" w:space="0"/>
            </w:tcBorders>
            <w:vAlign w:val="center"/>
          </w:tcPr>
          <w:p>
            <w:pPr>
              <w:widowControl/>
              <w:spacing w:line="360" w:lineRule="auto"/>
              <w:jc w:val="center"/>
              <w:outlineLvl w:val="1"/>
              <w:rPr>
                <w:rFonts w:ascii="宋体" w:hAnsi="宋体" w:cs="宋体"/>
                <w:sz w:val="24"/>
              </w:rPr>
            </w:pPr>
            <w:r>
              <w:rPr>
                <w:rFonts w:hint="eastAsia" w:ascii="宋体" w:hAnsi="宋体" w:cs="宋体"/>
                <w:szCs w:val="21"/>
              </w:rPr>
              <w:t>□大型企业   □中型企业   □小微型企业（对应处打“√”）</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741" w:type="dxa"/>
            <w:gridSpan w:val="2"/>
            <w:vMerge w:val="restart"/>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单位联系方式</w:t>
            </w: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单位联系人</w:t>
            </w:r>
          </w:p>
        </w:tc>
        <w:tc>
          <w:tcPr>
            <w:tcW w:w="1380" w:type="dxa"/>
            <w:gridSpan w:val="3"/>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center"/>
              <w:rPr>
                <w:rFonts w:ascii="宋体" w:hAnsi="宋体" w:cs="宋体"/>
                <w:sz w:val="24"/>
              </w:rPr>
            </w:pPr>
          </w:p>
        </w:tc>
        <w:tc>
          <w:tcPr>
            <w:tcW w:w="1529"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单位电话</w:t>
            </w:r>
          </w:p>
        </w:tc>
        <w:tc>
          <w:tcPr>
            <w:tcW w:w="2602" w:type="dxa"/>
            <w:gridSpan w:val="2"/>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741" w:type="dxa"/>
            <w:gridSpan w:val="2"/>
            <w:vMerge w:val="continue"/>
            <w:tcBorders>
              <w:top w:val="single" w:color="auto" w:sz="6" w:space="0"/>
              <w:left w:val="single" w:color="auto" w:sz="18" w:space="0"/>
              <w:bottom w:val="single" w:color="auto" w:sz="6" w:space="0"/>
              <w:right w:val="single" w:color="auto" w:sz="6" w:space="0"/>
            </w:tcBorders>
            <w:vAlign w:val="center"/>
          </w:tcPr>
          <w:p>
            <w:pPr>
              <w:widowControl/>
              <w:spacing w:line="360" w:lineRule="auto"/>
              <w:jc w:val="center"/>
              <w:rPr>
                <w:rFonts w:ascii="宋体" w:hAnsi="宋体" w:cs="宋体"/>
                <w:sz w:val="24"/>
              </w:rPr>
            </w:pPr>
          </w:p>
        </w:tc>
        <w:tc>
          <w:tcPr>
            <w:tcW w:w="1635" w:type="dxa"/>
            <w:tcBorders>
              <w:top w:val="single" w:color="auto" w:sz="6" w:space="0"/>
              <w:left w:val="single" w:color="auto" w:sz="6" w:space="0"/>
              <w:bottom w:val="single" w:color="auto" w:sz="6" w:space="0"/>
              <w:right w:val="single" w:color="auto" w:sz="6" w:space="0"/>
            </w:tcBorders>
            <w:vAlign w:val="center"/>
          </w:tcPr>
          <w:p>
            <w:pPr>
              <w:widowControl/>
              <w:spacing w:line="360" w:lineRule="auto"/>
              <w:jc w:val="center"/>
              <w:outlineLvl w:val="1"/>
              <w:rPr>
                <w:rFonts w:ascii="宋体" w:hAnsi="宋体" w:cs="宋体"/>
                <w:sz w:val="24"/>
              </w:rPr>
            </w:pPr>
            <w:r>
              <w:rPr>
                <w:rFonts w:hint="eastAsia" w:ascii="宋体" w:hAnsi="宋体" w:cs="宋体"/>
                <w:sz w:val="24"/>
              </w:rPr>
              <w:t>单位邮箱</w:t>
            </w:r>
          </w:p>
        </w:tc>
        <w:tc>
          <w:tcPr>
            <w:tcW w:w="5511" w:type="dxa"/>
            <w:gridSpan w:val="6"/>
            <w:tcBorders>
              <w:top w:val="single" w:color="auto" w:sz="6" w:space="0"/>
              <w:left w:val="single" w:color="auto" w:sz="6" w:space="0"/>
              <w:bottom w:val="single" w:color="auto" w:sz="6" w:space="0"/>
              <w:right w:val="single" w:color="auto" w:sz="18" w:space="0"/>
            </w:tcBorders>
            <w:vAlign w:val="center"/>
          </w:tcPr>
          <w:p>
            <w:pPr>
              <w:widowControl/>
              <w:spacing w:line="360" w:lineRule="auto"/>
              <w:ind w:firstLine="470" w:firstLineChars="196"/>
              <w:jc w:val="center"/>
              <w:rPr>
                <w:rFonts w:ascii="宋体" w:hAnsi="宋体" w:cs="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restart"/>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outlineLvl w:val="1"/>
              <w:rPr>
                <w:rFonts w:ascii="宋体" w:hAnsi="宋体" w:cs="宋体"/>
                <w:b/>
                <w:bCs/>
                <w:sz w:val="24"/>
              </w:rPr>
            </w:pPr>
            <w:r>
              <w:rPr>
                <w:rFonts w:hint="eastAsia" w:ascii="宋体" w:hAnsi="宋体" w:cs="宋体"/>
                <w:b/>
                <w:bCs/>
                <w:sz w:val="24"/>
              </w:rPr>
              <w:t>供应商应答“采购文件”的主要内容</w:t>
            </w: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主要中标或者成交标的的名称</w:t>
            </w:r>
          </w:p>
        </w:tc>
        <w:tc>
          <w:tcPr>
            <w:tcW w:w="5236"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主要中标或者成交标的的规格型号</w:t>
            </w:r>
          </w:p>
        </w:tc>
        <w:tc>
          <w:tcPr>
            <w:tcW w:w="5236"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主要中标或者成交标的的数量</w:t>
            </w:r>
          </w:p>
        </w:tc>
        <w:tc>
          <w:tcPr>
            <w:tcW w:w="5236"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6"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主要中标或者成交标的的单价</w:t>
            </w:r>
          </w:p>
        </w:tc>
        <w:tc>
          <w:tcPr>
            <w:tcW w:w="5236" w:type="dxa"/>
            <w:gridSpan w:val="5"/>
            <w:tcBorders>
              <w:top w:val="single" w:color="auto" w:sz="6" w:space="0"/>
              <w:left w:val="single" w:color="auto" w:sz="4" w:space="0"/>
              <w:bottom w:val="single" w:color="auto" w:sz="6" w:space="0"/>
              <w:right w:val="single" w:color="auto" w:sz="18" w:space="0"/>
            </w:tcBorders>
            <w:vAlign w:val="center"/>
          </w:tcPr>
          <w:p>
            <w:pPr>
              <w:spacing w:line="360" w:lineRule="auto"/>
              <w:jc w:val="left"/>
              <w:rPr>
                <w:rFonts w:ascii="宋体" w:hAnsi="宋体" w:cs="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278" w:type="dxa"/>
            <w:vMerge w:val="continue"/>
            <w:tcBorders>
              <w:top w:val="single" w:color="auto" w:sz="6" w:space="0"/>
              <w:left w:val="single" w:color="auto" w:sz="18" w:space="0"/>
              <w:bottom w:val="single" w:color="auto" w:sz="18" w:space="0"/>
              <w:right w:val="single" w:color="auto" w:sz="4" w:space="0"/>
            </w:tcBorders>
            <w:vAlign w:val="center"/>
          </w:tcPr>
          <w:p>
            <w:pPr>
              <w:widowControl/>
              <w:spacing w:line="360" w:lineRule="auto"/>
              <w:jc w:val="left"/>
              <w:rPr>
                <w:rFonts w:ascii="宋体" w:hAnsi="宋体" w:cs="宋体"/>
                <w:b/>
                <w:bCs/>
                <w:sz w:val="24"/>
              </w:rPr>
            </w:pPr>
          </w:p>
        </w:tc>
        <w:tc>
          <w:tcPr>
            <w:tcW w:w="2373" w:type="dxa"/>
            <w:gridSpan w:val="3"/>
            <w:tcBorders>
              <w:top w:val="single" w:color="auto" w:sz="6" w:space="0"/>
              <w:left w:val="single" w:color="auto" w:sz="4" w:space="0"/>
              <w:bottom w:val="single" w:color="auto" w:sz="18" w:space="0"/>
              <w:right w:val="single" w:color="auto" w:sz="4" w:space="0"/>
            </w:tcBorders>
            <w:vAlign w:val="center"/>
          </w:tcPr>
          <w:p>
            <w:pPr>
              <w:spacing w:line="360" w:lineRule="auto"/>
              <w:jc w:val="left"/>
              <w:rPr>
                <w:rFonts w:ascii="宋体" w:hAnsi="宋体" w:cs="宋体"/>
                <w:b/>
                <w:bCs/>
                <w:sz w:val="24"/>
              </w:rPr>
            </w:pPr>
            <w:r>
              <w:rPr>
                <w:rFonts w:hint="eastAsia" w:ascii="宋体" w:hAnsi="宋体" w:cs="宋体"/>
                <w:bCs/>
                <w:kern w:val="0"/>
                <w:sz w:val="24"/>
              </w:rPr>
              <w:t>主要中标或者成交标的的服务要求（如：交货期、质保期、售后服务等等）</w:t>
            </w:r>
          </w:p>
        </w:tc>
        <w:tc>
          <w:tcPr>
            <w:tcW w:w="5236" w:type="dxa"/>
            <w:gridSpan w:val="5"/>
            <w:tcBorders>
              <w:top w:val="single" w:color="auto" w:sz="6" w:space="0"/>
              <w:left w:val="single" w:color="auto" w:sz="4" w:space="0"/>
              <w:bottom w:val="single" w:color="auto" w:sz="18" w:space="0"/>
              <w:right w:val="single" w:color="auto" w:sz="18" w:space="0"/>
            </w:tcBorders>
            <w:vAlign w:val="center"/>
          </w:tcPr>
          <w:p>
            <w:pPr>
              <w:numPr>
                <w:ilvl w:val="0"/>
                <w:numId w:val="10"/>
              </w:numPr>
              <w:spacing w:line="360" w:lineRule="auto"/>
              <w:jc w:val="left"/>
              <w:rPr>
                <w:rFonts w:ascii="宋体" w:hAnsi="宋体" w:cs="宋体"/>
                <w:bCs/>
                <w:sz w:val="24"/>
              </w:rPr>
            </w:pPr>
            <w:r>
              <w:rPr>
                <w:rFonts w:hint="eastAsia" w:ascii="宋体" w:hAnsi="宋体" w:cs="宋体"/>
                <w:bCs/>
                <w:sz w:val="24"/>
              </w:rPr>
              <w:t>....</w:t>
            </w:r>
          </w:p>
          <w:p>
            <w:pPr>
              <w:numPr>
                <w:ilvl w:val="0"/>
                <w:numId w:val="10"/>
              </w:numPr>
              <w:spacing w:line="360" w:lineRule="auto"/>
              <w:jc w:val="left"/>
              <w:rPr>
                <w:rFonts w:ascii="宋体" w:hAnsi="宋体" w:cs="宋体"/>
                <w:bCs/>
                <w:sz w:val="24"/>
              </w:rPr>
            </w:pPr>
            <w:r>
              <w:rPr>
                <w:rFonts w:hint="eastAsia" w:ascii="宋体" w:hAnsi="宋体" w:cs="宋体"/>
                <w:bCs/>
                <w:sz w:val="24"/>
              </w:rPr>
              <w:t>....</w:t>
            </w:r>
          </w:p>
          <w:p>
            <w:pPr>
              <w:numPr>
                <w:ilvl w:val="0"/>
                <w:numId w:val="10"/>
              </w:numPr>
              <w:spacing w:line="360" w:lineRule="auto"/>
              <w:jc w:val="left"/>
              <w:rPr>
                <w:rFonts w:ascii="宋体" w:hAnsi="宋体" w:cs="宋体"/>
                <w:bCs/>
                <w:sz w:val="24"/>
              </w:rPr>
            </w:pPr>
            <w:r>
              <w:rPr>
                <w:rFonts w:hint="eastAsia" w:ascii="宋体" w:hAnsi="宋体" w:cs="宋体"/>
                <w:bCs/>
                <w:sz w:val="24"/>
              </w:rPr>
              <w:t>....</w:t>
            </w:r>
          </w:p>
          <w:p>
            <w:pPr>
              <w:spacing w:line="360" w:lineRule="auto"/>
              <w:jc w:val="left"/>
              <w:rPr>
                <w:rFonts w:ascii="宋体" w:hAnsi="宋体" w:cs="宋体"/>
                <w:b/>
                <w:bCs/>
                <w:sz w:val="24"/>
              </w:rPr>
            </w:pPr>
            <w:r>
              <w:rPr>
                <w:rFonts w:hint="eastAsia" w:ascii="宋体" w:hAnsi="宋体" w:cs="宋体"/>
                <w:bCs/>
                <w:sz w:val="24"/>
              </w:rPr>
              <w:t>......</w:t>
            </w:r>
          </w:p>
        </w:tc>
      </w:tr>
    </w:tbl>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注：1、供应商需如实完善表格内容。</w:t>
      </w:r>
    </w:p>
    <w:p>
      <w:pPr>
        <w:spacing w:line="360" w:lineRule="auto"/>
        <w:ind w:firstLine="422" w:firstLineChars="200"/>
        <w:rPr>
          <w:rFonts w:ascii="宋体" w:hAnsi="宋体" w:cs="宋体"/>
          <w:b/>
          <w:bCs/>
          <w:szCs w:val="21"/>
        </w:rPr>
      </w:pPr>
      <w:r>
        <w:rPr>
          <w:rFonts w:hint="eastAsia" w:ascii="宋体" w:hAnsi="宋体" w:cs="宋体"/>
          <w:b/>
          <w:bCs/>
          <w:szCs w:val="21"/>
        </w:rPr>
        <w:t>2、供应商应答的主要内容应与投标文件一致，可以进行简要概括性表述。</w:t>
      </w:r>
    </w:p>
    <w:p>
      <w:pPr>
        <w:spacing w:line="360" w:lineRule="auto"/>
        <w:ind w:firstLine="422" w:firstLineChars="200"/>
        <w:rPr>
          <w:rFonts w:ascii="宋体" w:hAnsi="宋体" w:cs="宋体"/>
          <w:sz w:val="24"/>
        </w:rPr>
      </w:pPr>
      <w:r>
        <w:rPr>
          <w:rFonts w:hint="eastAsia" w:ascii="宋体" w:hAnsi="宋体" w:cs="宋体"/>
          <w:b/>
          <w:bCs/>
          <w:szCs w:val="21"/>
        </w:rPr>
        <w:t>3、供应商应答的主要内容仅用于结果公告，供应商自行完善的内容视为不涉及供应商商业秘密。若供应商没有填写或没有递交此表，视为允许采购代理机构将供应商投标文件中所有相关的应答内容进行公告</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6"/>
          <w:szCs w:val="36"/>
        </w:rPr>
        <w:br w:type="page"/>
      </w:r>
      <w:r>
        <w:rPr>
          <w:rFonts w:hint="eastAsia" w:ascii="宋体" w:hAnsi="宋体" w:cs="宋体"/>
          <w:b/>
          <w:sz w:val="32"/>
          <w:szCs w:val="32"/>
        </w:rPr>
        <w:t>格式2-9</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八、投标人基本情况表</w:t>
      </w:r>
    </w:p>
    <w:tbl>
      <w:tblPr>
        <w:tblStyle w:val="35"/>
        <w:tblW w:w="0" w:type="auto"/>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8"/>
        <w:gridCol w:w="993"/>
        <w:gridCol w:w="1047"/>
        <w:gridCol w:w="1247"/>
        <w:gridCol w:w="1320"/>
        <w:gridCol w:w="355"/>
        <w:gridCol w:w="495"/>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投标人名称</w:t>
            </w:r>
          </w:p>
        </w:tc>
        <w:tc>
          <w:tcPr>
            <w:tcW w:w="6537" w:type="dxa"/>
            <w:gridSpan w:val="7"/>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注册地址</w:t>
            </w:r>
          </w:p>
        </w:tc>
        <w:tc>
          <w:tcPr>
            <w:tcW w:w="3287" w:type="dxa"/>
            <w:gridSpan w:val="3"/>
            <w:vAlign w:val="center"/>
          </w:tcPr>
          <w:p>
            <w:pPr>
              <w:widowControl/>
              <w:spacing w:line="360" w:lineRule="auto"/>
              <w:ind w:firstLine="470" w:firstLineChars="196"/>
              <w:jc w:val="left"/>
              <w:rPr>
                <w:rFonts w:ascii="宋体" w:hAnsi="宋体" w:cs="宋体"/>
                <w:sz w:val="24"/>
              </w:rPr>
            </w:pPr>
          </w:p>
        </w:tc>
        <w:tc>
          <w:tcPr>
            <w:tcW w:w="1320" w:type="dxa"/>
            <w:vAlign w:val="center"/>
          </w:tcPr>
          <w:p>
            <w:pPr>
              <w:widowControl/>
              <w:spacing w:line="360" w:lineRule="auto"/>
              <w:jc w:val="left"/>
              <w:outlineLvl w:val="1"/>
              <w:rPr>
                <w:rFonts w:ascii="宋体" w:hAnsi="宋体" w:cs="宋体"/>
                <w:sz w:val="24"/>
              </w:rPr>
            </w:pPr>
            <w:r>
              <w:rPr>
                <w:rFonts w:hint="eastAsia" w:ascii="宋体" w:hAnsi="宋体" w:cs="宋体"/>
                <w:sz w:val="24"/>
              </w:rPr>
              <w:t>邮政编码</w:t>
            </w:r>
          </w:p>
        </w:tc>
        <w:tc>
          <w:tcPr>
            <w:tcW w:w="1930" w:type="dxa"/>
            <w:gridSpan w:val="3"/>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Merge w:val="restart"/>
            <w:vAlign w:val="center"/>
          </w:tcPr>
          <w:p>
            <w:pPr>
              <w:widowControl/>
              <w:spacing w:line="360" w:lineRule="auto"/>
              <w:jc w:val="left"/>
              <w:outlineLvl w:val="1"/>
              <w:rPr>
                <w:rFonts w:ascii="宋体" w:hAnsi="宋体" w:cs="宋体"/>
                <w:sz w:val="24"/>
              </w:rPr>
            </w:pPr>
            <w:r>
              <w:rPr>
                <w:rFonts w:hint="eastAsia" w:ascii="宋体" w:hAnsi="宋体" w:cs="宋体"/>
                <w:sz w:val="24"/>
              </w:rPr>
              <w:t>联系方式</w:t>
            </w: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联系人</w:t>
            </w:r>
          </w:p>
        </w:tc>
        <w:tc>
          <w:tcPr>
            <w:tcW w:w="2294" w:type="dxa"/>
            <w:gridSpan w:val="2"/>
            <w:vAlign w:val="center"/>
          </w:tcPr>
          <w:p>
            <w:pPr>
              <w:widowControl/>
              <w:spacing w:line="360" w:lineRule="auto"/>
              <w:ind w:firstLine="470" w:firstLineChars="196"/>
              <w:jc w:val="left"/>
              <w:rPr>
                <w:rFonts w:ascii="宋体" w:hAnsi="宋体" w:cs="宋体"/>
                <w:sz w:val="24"/>
              </w:rPr>
            </w:pPr>
          </w:p>
        </w:tc>
        <w:tc>
          <w:tcPr>
            <w:tcW w:w="1320" w:type="dxa"/>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电话</w:t>
            </w:r>
          </w:p>
        </w:tc>
        <w:tc>
          <w:tcPr>
            <w:tcW w:w="1930" w:type="dxa"/>
            <w:gridSpan w:val="3"/>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78" w:type="dxa"/>
            <w:vMerge w:val="continue"/>
            <w:vAlign w:val="center"/>
          </w:tcPr>
          <w:p>
            <w:pPr>
              <w:widowControl/>
              <w:spacing w:line="360" w:lineRule="auto"/>
              <w:jc w:val="left"/>
              <w:rPr>
                <w:rFonts w:ascii="宋体" w:hAnsi="宋体" w:cs="宋体"/>
                <w:sz w:val="24"/>
              </w:rPr>
            </w:pP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传真</w:t>
            </w:r>
          </w:p>
        </w:tc>
        <w:tc>
          <w:tcPr>
            <w:tcW w:w="2294" w:type="dxa"/>
            <w:gridSpan w:val="2"/>
            <w:vAlign w:val="center"/>
          </w:tcPr>
          <w:p>
            <w:pPr>
              <w:widowControl/>
              <w:spacing w:line="360" w:lineRule="auto"/>
              <w:ind w:firstLine="470" w:firstLineChars="196"/>
              <w:jc w:val="left"/>
              <w:rPr>
                <w:rFonts w:ascii="宋体" w:hAnsi="宋体" w:cs="宋体"/>
                <w:sz w:val="24"/>
              </w:rPr>
            </w:pPr>
          </w:p>
        </w:tc>
        <w:tc>
          <w:tcPr>
            <w:tcW w:w="1320" w:type="dxa"/>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网址</w:t>
            </w:r>
          </w:p>
        </w:tc>
        <w:tc>
          <w:tcPr>
            <w:tcW w:w="1930" w:type="dxa"/>
            <w:gridSpan w:val="3"/>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组织结构</w:t>
            </w:r>
          </w:p>
        </w:tc>
        <w:tc>
          <w:tcPr>
            <w:tcW w:w="6537" w:type="dxa"/>
            <w:gridSpan w:val="7"/>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法定代表人/单位负责人</w:t>
            </w: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姓名</w:t>
            </w:r>
          </w:p>
        </w:tc>
        <w:tc>
          <w:tcPr>
            <w:tcW w:w="1047" w:type="dxa"/>
            <w:vAlign w:val="center"/>
          </w:tcPr>
          <w:p>
            <w:pPr>
              <w:widowControl/>
              <w:spacing w:line="360" w:lineRule="auto"/>
              <w:ind w:firstLine="470" w:firstLineChars="196"/>
              <w:jc w:val="left"/>
              <w:rPr>
                <w:rFonts w:ascii="宋体" w:hAnsi="宋体" w:cs="宋体"/>
                <w:sz w:val="24"/>
              </w:rPr>
            </w:pPr>
          </w:p>
        </w:tc>
        <w:tc>
          <w:tcPr>
            <w:tcW w:w="1247" w:type="dxa"/>
            <w:vAlign w:val="center"/>
          </w:tcPr>
          <w:p>
            <w:pPr>
              <w:widowControl/>
              <w:spacing w:line="360" w:lineRule="auto"/>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uto"/>
              <w:ind w:firstLine="470" w:firstLineChars="196"/>
              <w:jc w:val="left"/>
              <w:rPr>
                <w:rFonts w:ascii="宋体" w:hAnsi="宋体" w:cs="宋体"/>
                <w:sz w:val="24"/>
              </w:rPr>
            </w:pPr>
          </w:p>
        </w:tc>
        <w:tc>
          <w:tcPr>
            <w:tcW w:w="850"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技术负责人</w:t>
            </w:r>
          </w:p>
        </w:tc>
        <w:tc>
          <w:tcPr>
            <w:tcW w:w="993" w:type="dxa"/>
            <w:vAlign w:val="center"/>
          </w:tcPr>
          <w:p>
            <w:pPr>
              <w:widowControl/>
              <w:spacing w:line="360" w:lineRule="auto"/>
              <w:jc w:val="left"/>
              <w:outlineLvl w:val="1"/>
              <w:rPr>
                <w:rFonts w:ascii="宋体" w:hAnsi="宋体" w:cs="宋体"/>
                <w:sz w:val="24"/>
              </w:rPr>
            </w:pPr>
            <w:r>
              <w:rPr>
                <w:rFonts w:hint="eastAsia" w:ascii="宋体" w:hAnsi="宋体" w:cs="宋体"/>
                <w:sz w:val="24"/>
              </w:rPr>
              <w:t>姓名</w:t>
            </w:r>
          </w:p>
        </w:tc>
        <w:tc>
          <w:tcPr>
            <w:tcW w:w="1047" w:type="dxa"/>
            <w:vAlign w:val="center"/>
          </w:tcPr>
          <w:p>
            <w:pPr>
              <w:widowControl/>
              <w:spacing w:line="360" w:lineRule="auto"/>
              <w:ind w:firstLine="470" w:firstLineChars="196"/>
              <w:jc w:val="left"/>
              <w:rPr>
                <w:rFonts w:ascii="宋体" w:hAnsi="宋体" w:cs="宋体"/>
                <w:sz w:val="24"/>
              </w:rPr>
            </w:pPr>
          </w:p>
        </w:tc>
        <w:tc>
          <w:tcPr>
            <w:tcW w:w="1247" w:type="dxa"/>
            <w:vAlign w:val="center"/>
          </w:tcPr>
          <w:p>
            <w:pPr>
              <w:widowControl/>
              <w:spacing w:line="360" w:lineRule="auto"/>
              <w:jc w:val="left"/>
              <w:outlineLvl w:val="1"/>
              <w:rPr>
                <w:rFonts w:ascii="宋体" w:hAnsi="宋体" w:cs="宋体"/>
                <w:sz w:val="24"/>
              </w:rPr>
            </w:pPr>
            <w:r>
              <w:rPr>
                <w:rFonts w:hint="eastAsia" w:ascii="宋体" w:hAnsi="宋体" w:cs="宋体"/>
                <w:sz w:val="24"/>
              </w:rPr>
              <w:t>技术职称</w:t>
            </w:r>
          </w:p>
        </w:tc>
        <w:tc>
          <w:tcPr>
            <w:tcW w:w="1320" w:type="dxa"/>
            <w:vAlign w:val="center"/>
          </w:tcPr>
          <w:p>
            <w:pPr>
              <w:widowControl/>
              <w:spacing w:line="360" w:lineRule="auto"/>
              <w:ind w:firstLine="470" w:firstLineChars="196"/>
              <w:jc w:val="left"/>
              <w:rPr>
                <w:rFonts w:ascii="宋体" w:hAnsi="宋体" w:cs="宋体"/>
                <w:sz w:val="24"/>
              </w:rPr>
            </w:pPr>
          </w:p>
        </w:tc>
        <w:tc>
          <w:tcPr>
            <w:tcW w:w="850"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电话</w:t>
            </w:r>
          </w:p>
        </w:tc>
        <w:tc>
          <w:tcPr>
            <w:tcW w:w="1080" w:type="dxa"/>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成立时间</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4497" w:type="dxa"/>
            <w:gridSpan w:val="5"/>
            <w:vAlign w:val="center"/>
          </w:tcPr>
          <w:p>
            <w:pPr>
              <w:widowControl/>
              <w:spacing w:line="360" w:lineRule="auto"/>
              <w:jc w:val="left"/>
              <w:outlineLvl w:val="1"/>
              <w:rPr>
                <w:rFonts w:ascii="宋体" w:hAnsi="宋体" w:cs="宋体"/>
                <w:sz w:val="24"/>
              </w:rPr>
            </w:pPr>
            <w:r>
              <w:rPr>
                <w:rFonts w:hint="eastAsia" w:ascii="宋体" w:hAnsi="宋体" w:cs="宋体"/>
                <w:sz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企业资质等级</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restart"/>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其中</w:t>
            </w: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项目经理</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营业执照号</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高级职称人员</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注册资金</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中级职称人员</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开户银行</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jc w:val="left"/>
              <w:outlineLvl w:val="1"/>
              <w:rPr>
                <w:rFonts w:ascii="宋体" w:hAnsi="宋体" w:cs="宋体"/>
                <w:sz w:val="24"/>
              </w:rPr>
            </w:pPr>
            <w:r>
              <w:rPr>
                <w:rFonts w:hint="eastAsia" w:ascii="宋体" w:hAnsi="宋体" w:cs="宋体"/>
                <w:sz w:val="24"/>
              </w:rPr>
              <w:t>初级职称人员</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78" w:type="dxa"/>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账号</w:t>
            </w:r>
          </w:p>
        </w:tc>
        <w:tc>
          <w:tcPr>
            <w:tcW w:w="2040" w:type="dxa"/>
            <w:gridSpan w:val="2"/>
            <w:vAlign w:val="center"/>
          </w:tcPr>
          <w:p>
            <w:pPr>
              <w:widowControl/>
              <w:spacing w:line="360" w:lineRule="auto"/>
              <w:ind w:firstLine="470" w:firstLineChars="196"/>
              <w:jc w:val="left"/>
              <w:rPr>
                <w:rFonts w:ascii="宋体" w:hAnsi="宋体" w:cs="宋体"/>
                <w:sz w:val="24"/>
              </w:rPr>
            </w:pPr>
          </w:p>
        </w:tc>
        <w:tc>
          <w:tcPr>
            <w:tcW w:w="1247" w:type="dxa"/>
            <w:vMerge w:val="continue"/>
            <w:vAlign w:val="center"/>
          </w:tcPr>
          <w:p>
            <w:pPr>
              <w:widowControl/>
              <w:spacing w:line="360" w:lineRule="auto"/>
              <w:jc w:val="left"/>
              <w:rPr>
                <w:rFonts w:ascii="宋体" w:hAnsi="宋体" w:cs="宋体"/>
                <w:sz w:val="24"/>
              </w:rPr>
            </w:pPr>
          </w:p>
        </w:tc>
        <w:tc>
          <w:tcPr>
            <w:tcW w:w="1675" w:type="dxa"/>
            <w:gridSpan w:val="2"/>
            <w:vAlign w:val="center"/>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技工</w:t>
            </w:r>
          </w:p>
        </w:tc>
        <w:tc>
          <w:tcPr>
            <w:tcW w:w="1575" w:type="dxa"/>
            <w:gridSpan w:val="2"/>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trPr>
        <w:tc>
          <w:tcPr>
            <w:tcW w:w="1678" w:type="dxa"/>
            <w:vAlign w:val="center"/>
          </w:tcPr>
          <w:p>
            <w:pPr>
              <w:widowControl/>
              <w:spacing w:line="360" w:lineRule="auto"/>
              <w:jc w:val="left"/>
              <w:outlineLvl w:val="1"/>
              <w:rPr>
                <w:rFonts w:ascii="宋体" w:hAnsi="宋体" w:cs="宋体"/>
                <w:sz w:val="24"/>
              </w:rPr>
            </w:pPr>
            <w:r>
              <w:rPr>
                <w:rFonts w:hint="eastAsia" w:ascii="宋体" w:hAnsi="宋体" w:cs="宋体"/>
                <w:sz w:val="24"/>
              </w:rPr>
              <w:t>经营范围</w:t>
            </w:r>
          </w:p>
        </w:tc>
        <w:tc>
          <w:tcPr>
            <w:tcW w:w="6537" w:type="dxa"/>
            <w:gridSpan w:val="7"/>
            <w:vAlign w:val="center"/>
          </w:tcPr>
          <w:p>
            <w:pPr>
              <w:widowControl/>
              <w:spacing w:line="360" w:lineRule="auto"/>
              <w:ind w:firstLine="470" w:firstLineChars="196"/>
              <w:jc w:val="left"/>
              <w:rPr>
                <w:rFonts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1678" w:type="dxa"/>
          </w:tcPr>
          <w:p>
            <w:pPr>
              <w:widowControl/>
              <w:spacing w:line="360" w:lineRule="auto"/>
              <w:ind w:firstLine="470" w:firstLineChars="196"/>
              <w:jc w:val="left"/>
              <w:outlineLvl w:val="1"/>
              <w:rPr>
                <w:rFonts w:ascii="宋体" w:hAnsi="宋体" w:cs="宋体"/>
                <w:sz w:val="24"/>
              </w:rPr>
            </w:pPr>
            <w:r>
              <w:rPr>
                <w:rFonts w:hint="eastAsia" w:ascii="宋体" w:hAnsi="宋体" w:cs="宋体"/>
                <w:sz w:val="24"/>
              </w:rPr>
              <w:t>备注</w:t>
            </w:r>
          </w:p>
        </w:tc>
        <w:tc>
          <w:tcPr>
            <w:tcW w:w="6537" w:type="dxa"/>
            <w:gridSpan w:val="7"/>
          </w:tcPr>
          <w:p>
            <w:pPr>
              <w:widowControl/>
              <w:spacing w:line="360" w:lineRule="auto"/>
              <w:ind w:firstLine="470" w:firstLineChars="196"/>
              <w:jc w:val="left"/>
              <w:rPr>
                <w:rFonts w:ascii="宋体" w:hAnsi="宋体" w:cs="宋体"/>
                <w:sz w:val="24"/>
              </w:rPr>
            </w:pPr>
          </w:p>
        </w:tc>
      </w:tr>
    </w:tbl>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格式2-10</w:t>
      </w:r>
    </w:p>
    <w:p>
      <w:pPr>
        <w:widowControl/>
        <w:spacing w:line="360" w:lineRule="auto"/>
        <w:jc w:val="center"/>
        <w:outlineLvl w:val="1"/>
        <w:rPr>
          <w:rFonts w:ascii="宋体" w:hAnsi="宋体" w:cs="宋体"/>
          <w:b/>
          <w:sz w:val="36"/>
          <w:szCs w:val="36"/>
        </w:rPr>
      </w:pPr>
      <w:r>
        <w:rPr>
          <w:rFonts w:hint="eastAsia" w:ascii="宋体" w:hAnsi="宋体" w:cs="宋体"/>
          <w:b/>
          <w:sz w:val="36"/>
          <w:szCs w:val="36"/>
        </w:rPr>
        <w:t>九、类似项目业绩一览表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46"/>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double" w:color="auto" w:sz="4" w:space="0"/>
              <w:left w:val="double" w:color="auto" w:sz="4"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年份</w:t>
            </w:r>
          </w:p>
        </w:tc>
        <w:tc>
          <w:tcPr>
            <w:tcW w:w="144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用户名称</w:t>
            </w:r>
          </w:p>
        </w:tc>
        <w:tc>
          <w:tcPr>
            <w:tcW w:w="132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项目名称</w:t>
            </w:r>
          </w:p>
        </w:tc>
        <w:tc>
          <w:tcPr>
            <w:tcW w:w="1161"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完成时间</w:t>
            </w:r>
          </w:p>
        </w:tc>
        <w:tc>
          <w:tcPr>
            <w:tcW w:w="1260" w:type="dxa"/>
            <w:tcBorders>
              <w:top w:val="double" w:color="auto" w:sz="4" w:space="0"/>
              <w:left w:val="single" w:color="auto" w:sz="6" w:space="0"/>
              <w:bottom w:val="single" w:color="auto" w:sz="6" w:space="0"/>
              <w:right w:val="single" w:color="auto" w:sz="6"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合同金额</w:t>
            </w:r>
          </w:p>
        </w:tc>
        <w:tc>
          <w:tcPr>
            <w:tcW w:w="1630" w:type="dxa"/>
            <w:gridSpan w:val="2"/>
            <w:tcBorders>
              <w:top w:val="double" w:color="auto" w:sz="4" w:space="0"/>
              <w:left w:val="single" w:color="auto" w:sz="6" w:space="0"/>
              <w:bottom w:val="single" w:color="auto" w:sz="6" w:space="0"/>
              <w:right w:val="single" w:color="auto" w:sz="4"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是否通过验收</w:t>
            </w:r>
          </w:p>
        </w:tc>
        <w:tc>
          <w:tcPr>
            <w:tcW w:w="992" w:type="dxa"/>
            <w:tcBorders>
              <w:top w:val="double" w:color="auto" w:sz="4" w:space="0"/>
              <w:left w:val="single" w:color="auto" w:sz="4" w:space="0"/>
              <w:bottom w:val="single" w:color="auto" w:sz="6" w:space="0"/>
              <w:right w:val="double" w:color="auto" w:sz="4" w:space="0"/>
            </w:tcBorders>
            <w:vAlign w:val="center"/>
          </w:tcPr>
          <w:p>
            <w:pPr>
              <w:widowControl/>
              <w:spacing w:line="360" w:lineRule="auto"/>
              <w:jc w:val="left"/>
              <w:outlineLvl w:val="1"/>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630"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46" w:type="dxa"/>
            <w:tcBorders>
              <w:top w:val="single" w:color="auto" w:sz="6" w:space="0"/>
              <w:left w:val="double" w:color="auto" w:sz="4"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6"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6"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6"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046" w:type="dxa"/>
            <w:tcBorders>
              <w:top w:val="single" w:color="auto" w:sz="6"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6"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6"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6"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6"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046" w:type="dxa"/>
            <w:tcBorders>
              <w:top w:val="single" w:color="auto" w:sz="4" w:space="0"/>
              <w:left w:val="double" w:color="auto" w:sz="4"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sing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sing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046" w:type="dxa"/>
            <w:tcBorders>
              <w:top w:val="single" w:color="auto" w:sz="4" w:space="0"/>
              <w:left w:val="double" w:color="auto" w:sz="4"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44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320"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161" w:type="dxa"/>
            <w:tcBorders>
              <w:top w:val="single" w:color="auto" w:sz="4" w:space="0"/>
              <w:left w:val="single" w:color="auto" w:sz="6" w:space="0"/>
              <w:bottom w:val="double" w:color="auto" w:sz="4" w:space="0"/>
              <w:right w:val="single" w:color="auto" w:sz="6" w:space="0"/>
            </w:tcBorders>
            <w:vAlign w:val="center"/>
          </w:tcPr>
          <w:p>
            <w:pPr>
              <w:widowControl/>
              <w:spacing w:line="360" w:lineRule="auto"/>
              <w:ind w:firstLine="470" w:firstLineChars="196"/>
              <w:jc w:val="left"/>
              <w:rPr>
                <w:rFonts w:ascii="宋体" w:hAnsi="宋体" w:cs="宋体"/>
                <w:sz w:val="24"/>
              </w:rPr>
            </w:pPr>
          </w:p>
        </w:tc>
        <w:tc>
          <w:tcPr>
            <w:tcW w:w="1269" w:type="dxa"/>
            <w:gridSpan w:val="2"/>
            <w:tcBorders>
              <w:top w:val="single" w:color="auto" w:sz="4" w:space="0"/>
              <w:left w:val="single" w:color="auto" w:sz="6" w:space="0"/>
              <w:bottom w:val="doub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1621" w:type="dxa"/>
            <w:tcBorders>
              <w:top w:val="single" w:color="auto" w:sz="4" w:space="0"/>
              <w:left w:val="single" w:color="auto" w:sz="4" w:space="0"/>
              <w:bottom w:val="double" w:color="auto" w:sz="4" w:space="0"/>
              <w:right w:val="single" w:color="auto" w:sz="4" w:space="0"/>
            </w:tcBorders>
            <w:vAlign w:val="center"/>
          </w:tcPr>
          <w:p>
            <w:pPr>
              <w:widowControl/>
              <w:spacing w:line="360" w:lineRule="auto"/>
              <w:ind w:firstLine="470" w:firstLineChars="196"/>
              <w:jc w:val="left"/>
              <w:rPr>
                <w:rFonts w:ascii="宋体" w:hAnsi="宋体" w:cs="宋体"/>
                <w:sz w:val="24"/>
              </w:rPr>
            </w:pPr>
          </w:p>
        </w:tc>
        <w:tc>
          <w:tcPr>
            <w:tcW w:w="992" w:type="dxa"/>
            <w:tcBorders>
              <w:top w:val="single" w:color="auto" w:sz="4" w:space="0"/>
              <w:left w:val="single" w:color="auto" w:sz="4" w:space="0"/>
              <w:bottom w:val="double" w:color="auto" w:sz="4" w:space="0"/>
              <w:right w:val="double" w:color="auto" w:sz="4" w:space="0"/>
            </w:tcBorders>
            <w:vAlign w:val="center"/>
          </w:tcPr>
          <w:p>
            <w:pPr>
              <w:widowControl/>
              <w:spacing w:line="360" w:lineRule="auto"/>
              <w:ind w:firstLine="470" w:firstLineChars="196"/>
              <w:jc w:val="left"/>
              <w:rPr>
                <w:rFonts w:ascii="宋体" w:hAnsi="宋体" w:cs="宋体"/>
                <w:sz w:val="24"/>
              </w:rPr>
            </w:pPr>
          </w:p>
        </w:tc>
      </w:tr>
    </w:tbl>
    <w:p>
      <w:pPr>
        <w:spacing w:line="360" w:lineRule="auto"/>
        <w:rPr>
          <w:rFonts w:ascii="宋体" w:hAnsi="宋体" w:cs="宋体"/>
          <w:b/>
          <w:bCs/>
        </w:rPr>
      </w:pPr>
    </w:p>
    <w:p>
      <w:pPr>
        <w:spacing w:line="360" w:lineRule="auto"/>
        <w:rPr>
          <w:rFonts w:ascii="宋体" w:hAnsi="宋体" w:cs="宋体"/>
          <w:b/>
          <w:bCs/>
        </w:rPr>
      </w:pPr>
      <w:r>
        <w:rPr>
          <w:rFonts w:hint="eastAsia" w:ascii="宋体" w:hAnsi="宋体" w:cs="宋体"/>
          <w:b/>
          <w:bCs/>
        </w:rPr>
        <w:t>注：以上业绩需提供招标文件要求的有关书面证明材料。</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32"/>
          <w:szCs w:val="32"/>
        </w:rPr>
        <w:t>格式2-11</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十、投标人本项目管理、技术、服务人员情况表</w:t>
      </w:r>
    </w:p>
    <w:p>
      <w:pPr>
        <w:spacing w:line="360" w:lineRule="auto"/>
        <w:rPr>
          <w:rFonts w:ascii="宋体" w:hAnsi="宋体" w:cs="宋体"/>
          <w:b/>
          <w:color w:val="000000"/>
          <w:sz w:val="24"/>
        </w:rPr>
      </w:pPr>
      <w:r>
        <w:rPr>
          <w:rFonts w:hint="eastAsia" w:ascii="宋体" w:hAnsi="宋体" w:cs="宋体"/>
          <w:b/>
          <w:color w:val="000000"/>
          <w:sz w:val="24"/>
        </w:rPr>
        <w:t>项目名称：</w:t>
      </w:r>
    </w:p>
    <w:p>
      <w:pPr>
        <w:spacing w:line="360" w:lineRule="auto"/>
        <w:rPr>
          <w:rFonts w:ascii="宋体" w:hAnsi="宋体" w:cs="宋体"/>
          <w:b/>
          <w:color w:val="000000"/>
          <w:sz w:val="24"/>
        </w:rPr>
      </w:pPr>
      <w:r>
        <w:rPr>
          <w:rFonts w:hint="eastAsia" w:ascii="宋体" w:hAnsi="宋体" w:cs="宋体"/>
          <w:b/>
          <w:color w:val="000000"/>
          <w:sz w:val="24"/>
        </w:rPr>
        <w:t>采购项目编号：</w:t>
      </w:r>
    </w:p>
    <w:p>
      <w:pPr>
        <w:spacing w:line="360" w:lineRule="auto"/>
        <w:rPr>
          <w:rFonts w:ascii="宋体" w:hAnsi="宋体" w:cs="宋体"/>
          <w:b/>
          <w:color w:val="000000"/>
          <w:sz w:val="24"/>
        </w:rPr>
      </w:pPr>
      <w:r>
        <w:rPr>
          <w:rFonts w:hint="eastAsia" w:ascii="宋体" w:hAnsi="宋体" w:cs="宋体"/>
          <w:b/>
          <w:color w:val="000000"/>
          <w:sz w:val="24"/>
        </w:rPr>
        <w:t>包号:</w:t>
      </w:r>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810"/>
        <w:gridCol w:w="811"/>
        <w:gridCol w:w="811"/>
        <w:gridCol w:w="1414"/>
        <w:gridCol w:w="1057"/>
        <w:gridCol w:w="743"/>
        <w:gridCol w:w="846"/>
        <w:gridCol w:w="7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vAlign w:val="center"/>
          </w:tcPr>
          <w:p>
            <w:pPr>
              <w:spacing w:line="360" w:lineRule="auto"/>
              <w:jc w:val="center"/>
              <w:rPr>
                <w:rFonts w:ascii="宋体" w:hAnsi="宋体" w:cs="宋体"/>
                <w:color w:val="000000"/>
              </w:rPr>
            </w:pPr>
            <w:r>
              <w:rPr>
                <w:rFonts w:hint="eastAsia" w:ascii="宋体" w:hAnsi="宋体" w:cs="宋体"/>
                <w:color w:val="000000"/>
              </w:rPr>
              <w:t>类别</w:t>
            </w:r>
          </w:p>
        </w:tc>
        <w:tc>
          <w:tcPr>
            <w:tcW w:w="810" w:type="dxa"/>
            <w:vMerge w:val="restart"/>
            <w:vAlign w:val="center"/>
          </w:tcPr>
          <w:p>
            <w:pPr>
              <w:spacing w:line="360" w:lineRule="auto"/>
              <w:jc w:val="center"/>
              <w:rPr>
                <w:rFonts w:ascii="宋体" w:hAnsi="宋体" w:cs="宋体"/>
                <w:color w:val="000000"/>
              </w:rPr>
            </w:pPr>
            <w:r>
              <w:rPr>
                <w:rFonts w:hint="eastAsia" w:ascii="宋体" w:hAnsi="宋体" w:cs="宋体"/>
                <w:color w:val="000000"/>
              </w:rPr>
              <w:t>职务</w:t>
            </w:r>
          </w:p>
        </w:tc>
        <w:tc>
          <w:tcPr>
            <w:tcW w:w="811" w:type="dxa"/>
            <w:vMerge w:val="restart"/>
            <w:vAlign w:val="center"/>
          </w:tcPr>
          <w:p>
            <w:pPr>
              <w:spacing w:line="360" w:lineRule="auto"/>
              <w:jc w:val="center"/>
              <w:rPr>
                <w:rFonts w:ascii="宋体" w:hAnsi="宋体" w:cs="宋体"/>
                <w:color w:val="000000"/>
              </w:rPr>
            </w:pPr>
            <w:r>
              <w:rPr>
                <w:rFonts w:hint="eastAsia" w:ascii="宋体" w:hAnsi="宋体" w:cs="宋体"/>
                <w:color w:val="000000"/>
              </w:rPr>
              <w:t>姓名</w:t>
            </w:r>
          </w:p>
        </w:tc>
        <w:tc>
          <w:tcPr>
            <w:tcW w:w="811" w:type="dxa"/>
            <w:vMerge w:val="restart"/>
            <w:vAlign w:val="center"/>
          </w:tcPr>
          <w:p>
            <w:pPr>
              <w:spacing w:line="360" w:lineRule="auto"/>
              <w:jc w:val="center"/>
              <w:rPr>
                <w:rFonts w:ascii="宋体" w:hAnsi="宋体" w:cs="宋体"/>
                <w:color w:val="000000"/>
              </w:rPr>
            </w:pPr>
            <w:r>
              <w:rPr>
                <w:rFonts w:hint="eastAsia" w:ascii="宋体" w:hAnsi="宋体" w:cs="宋体"/>
                <w:color w:val="000000"/>
              </w:rPr>
              <w:t>职称</w:t>
            </w:r>
          </w:p>
        </w:tc>
        <w:tc>
          <w:tcPr>
            <w:tcW w:w="1414" w:type="dxa"/>
            <w:vMerge w:val="restart"/>
            <w:vAlign w:val="center"/>
          </w:tcPr>
          <w:p>
            <w:pPr>
              <w:spacing w:line="360" w:lineRule="auto"/>
              <w:jc w:val="center"/>
              <w:rPr>
                <w:rFonts w:ascii="宋体" w:hAnsi="宋体" w:cs="宋体"/>
                <w:color w:val="000000"/>
              </w:rPr>
            </w:pPr>
            <w:r>
              <w:rPr>
                <w:rFonts w:hint="eastAsia" w:ascii="宋体" w:hAnsi="宋体" w:cs="宋体"/>
                <w:color w:val="000000"/>
              </w:rPr>
              <w:t>常住地</w:t>
            </w:r>
          </w:p>
        </w:tc>
        <w:tc>
          <w:tcPr>
            <w:tcW w:w="3389" w:type="dxa"/>
            <w:gridSpan w:val="4"/>
            <w:vAlign w:val="center"/>
          </w:tcPr>
          <w:p>
            <w:pPr>
              <w:spacing w:line="360" w:lineRule="auto"/>
              <w:jc w:val="center"/>
              <w:rPr>
                <w:rFonts w:ascii="宋体" w:hAnsi="宋体" w:cs="宋体"/>
                <w:color w:val="000000"/>
              </w:rPr>
            </w:pPr>
            <w:r>
              <w:rPr>
                <w:rFonts w:hint="eastAsia" w:ascii="宋体" w:hAnsi="宋体" w:cs="宋体"/>
                <w:color w:val="000000"/>
              </w:rPr>
              <w:t>资格证明（附原件原色电子件）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vAlign w:val="center"/>
          </w:tcPr>
          <w:p>
            <w:pPr>
              <w:spacing w:line="360" w:lineRule="auto"/>
              <w:rPr>
                <w:rFonts w:ascii="宋体" w:hAnsi="宋体" w:cs="宋体"/>
              </w:rPr>
            </w:pPr>
          </w:p>
        </w:tc>
        <w:tc>
          <w:tcPr>
            <w:tcW w:w="810" w:type="dxa"/>
            <w:vMerge w:val="continue"/>
            <w:vAlign w:val="center"/>
          </w:tcPr>
          <w:p>
            <w:pPr>
              <w:spacing w:line="360" w:lineRule="auto"/>
              <w:rPr>
                <w:rFonts w:ascii="宋体" w:hAnsi="宋体" w:cs="宋体"/>
              </w:rPr>
            </w:pPr>
          </w:p>
        </w:tc>
        <w:tc>
          <w:tcPr>
            <w:tcW w:w="811" w:type="dxa"/>
            <w:vMerge w:val="continue"/>
            <w:vAlign w:val="center"/>
          </w:tcPr>
          <w:p>
            <w:pPr>
              <w:spacing w:line="360" w:lineRule="auto"/>
              <w:rPr>
                <w:rFonts w:ascii="宋体" w:hAnsi="宋体" w:cs="宋体"/>
              </w:rPr>
            </w:pPr>
          </w:p>
        </w:tc>
        <w:tc>
          <w:tcPr>
            <w:tcW w:w="811" w:type="dxa"/>
            <w:vMerge w:val="continue"/>
            <w:vAlign w:val="center"/>
          </w:tcPr>
          <w:p>
            <w:pPr>
              <w:spacing w:line="360" w:lineRule="auto"/>
              <w:rPr>
                <w:rFonts w:ascii="宋体" w:hAnsi="宋体" w:cs="宋体"/>
              </w:rPr>
            </w:pPr>
          </w:p>
        </w:tc>
        <w:tc>
          <w:tcPr>
            <w:tcW w:w="1414" w:type="dxa"/>
            <w:vMerge w:val="continue"/>
            <w:vAlign w:val="center"/>
          </w:tcPr>
          <w:p>
            <w:pPr>
              <w:spacing w:line="360" w:lineRule="auto"/>
              <w:rPr>
                <w:rFonts w:ascii="宋体" w:hAnsi="宋体" w:cs="宋体"/>
              </w:rPr>
            </w:pPr>
          </w:p>
        </w:tc>
        <w:tc>
          <w:tcPr>
            <w:tcW w:w="1057" w:type="dxa"/>
            <w:vAlign w:val="center"/>
          </w:tcPr>
          <w:p>
            <w:pPr>
              <w:spacing w:line="360" w:lineRule="auto"/>
              <w:jc w:val="center"/>
              <w:rPr>
                <w:rFonts w:ascii="宋体" w:hAnsi="宋体" w:cs="宋体"/>
                <w:color w:val="000000"/>
              </w:rPr>
            </w:pPr>
            <w:r>
              <w:rPr>
                <w:rFonts w:hint="eastAsia" w:ascii="宋体" w:hAnsi="宋体" w:cs="宋体"/>
                <w:color w:val="000000"/>
              </w:rPr>
              <w:t>证书名称</w:t>
            </w:r>
          </w:p>
        </w:tc>
        <w:tc>
          <w:tcPr>
            <w:tcW w:w="743" w:type="dxa"/>
            <w:vAlign w:val="center"/>
          </w:tcPr>
          <w:p>
            <w:pPr>
              <w:spacing w:line="360" w:lineRule="auto"/>
              <w:jc w:val="center"/>
              <w:rPr>
                <w:rFonts w:ascii="宋体" w:hAnsi="宋体" w:cs="宋体"/>
                <w:color w:val="000000"/>
              </w:rPr>
            </w:pPr>
            <w:r>
              <w:rPr>
                <w:rFonts w:hint="eastAsia" w:ascii="宋体" w:hAnsi="宋体" w:cs="宋体"/>
                <w:color w:val="000000"/>
              </w:rPr>
              <w:t>级别</w:t>
            </w:r>
          </w:p>
        </w:tc>
        <w:tc>
          <w:tcPr>
            <w:tcW w:w="846" w:type="dxa"/>
            <w:vAlign w:val="center"/>
          </w:tcPr>
          <w:p>
            <w:pPr>
              <w:spacing w:line="360" w:lineRule="auto"/>
              <w:jc w:val="center"/>
              <w:rPr>
                <w:rFonts w:ascii="宋体" w:hAnsi="宋体" w:cs="宋体"/>
                <w:color w:val="000000"/>
              </w:rPr>
            </w:pPr>
            <w:r>
              <w:rPr>
                <w:rFonts w:hint="eastAsia" w:ascii="宋体" w:hAnsi="宋体" w:cs="宋体"/>
                <w:color w:val="000000"/>
              </w:rPr>
              <w:t>证号</w:t>
            </w:r>
          </w:p>
        </w:tc>
        <w:tc>
          <w:tcPr>
            <w:tcW w:w="743" w:type="dxa"/>
            <w:vAlign w:val="center"/>
          </w:tcPr>
          <w:p>
            <w:pPr>
              <w:spacing w:line="360" w:lineRule="auto"/>
              <w:jc w:val="center"/>
              <w:rPr>
                <w:rFonts w:ascii="宋体" w:hAnsi="宋体" w:cs="宋体"/>
                <w:color w:val="000000"/>
              </w:rPr>
            </w:pPr>
            <w:r>
              <w:rPr>
                <w:rFonts w:hint="eastAsia" w:ascii="宋体" w:hAnsi="宋体" w:cs="宋体"/>
                <w:color w:val="000000"/>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tcPr>
          <w:p>
            <w:pPr>
              <w:spacing w:line="360" w:lineRule="auto"/>
              <w:jc w:val="center"/>
              <w:rPr>
                <w:rFonts w:ascii="宋体" w:hAnsi="宋体" w:cs="宋体"/>
                <w:color w:val="000000"/>
              </w:rPr>
            </w:pPr>
            <w:r>
              <w:rPr>
                <w:rFonts w:hint="eastAsia" w:ascii="宋体" w:hAnsi="宋体" w:cs="宋体"/>
                <w:color w:val="000000"/>
              </w:rPr>
              <w:t>管</w:t>
            </w:r>
          </w:p>
          <w:p>
            <w:pPr>
              <w:spacing w:line="360" w:lineRule="auto"/>
              <w:jc w:val="center"/>
              <w:rPr>
                <w:rFonts w:ascii="宋体" w:hAnsi="宋体" w:cs="宋体"/>
                <w:color w:val="000000"/>
              </w:rPr>
            </w:pPr>
            <w:r>
              <w:rPr>
                <w:rFonts w:hint="eastAsia" w:ascii="宋体" w:hAnsi="宋体" w:cs="宋体"/>
                <w:color w:val="000000"/>
              </w:rPr>
              <w:t>理</w:t>
            </w:r>
          </w:p>
          <w:p>
            <w:pPr>
              <w:spacing w:line="360" w:lineRule="auto"/>
              <w:jc w:val="center"/>
              <w:rPr>
                <w:rFonts w:ascii="宋体" w:hAnsi="宋体" w:cs="宋体"/>
                <w:color w:val="000000"/>
              </w:rPr>
            </w:pPr>
            <w:r>
              <w:rPr>
                <w:rFonts w:hint="eastAsia" w:ascii="宋体" w:hAnsi="宋体" w:cs="宋体"/>
                <w:color w:val="000000"/>
              </w:rPr>
              <w:t>人</w:t>
            </w:r>
          </w:p>
          <w:p>
            <w:pPr>
              <w:spacing w:line="360" w:lineRule="auto"/>
              <w:jc w:val="center"/>
              <w:rPr>
                <w:rFonts w:ascii="宋体" w:hAnsi="宋体" w:cs="宋体"/>
                <w:color w:val="000000"/>
                <w:sz w:val="28"/>
              </w:rPr>
            </w:pPr>
            <w:r>
              <w:rPr>
                <w:rFonts w:hint="eastAsia" w:ascii="宋体" w:hAnsi="宋体" w:cs="宋体"/>
                <w:color w:val="000000"/>
              </w:rPr>
              <w:t>员</w:t>
            </w: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restart"/>
          </w:tcPr>
          <w:p>
            <w:pPr>
              <w:spacing w:line="360" w:lineRule="auto"/>
              <w:jc w:val="center"/>
              <w:rPr>
                <w:rFonts w:ascii="宋体" w:hAnsi="宋体" w:cs="宋体"/>
                <w:color w:val="000000"/>
              </w:rPr>
            </w:pPr>
            <w:r>
              <w:rPr>
                <w:rFonts w:hint="eastAsia" w:ascii="宋体" w:hAnsi="宋体" w:cs="宋体"/>
                <w:color w:val="000000"/>
              </w:rPr>
              <w:t>技</w:t>
            </w:r>
          </w:p>
          <w:p>
            <w:pPr>
              <w:spacing w:line="360" w:lineRule="auto"/>
              <w:jc w:val="center"/>
              <w:rPr>
                <w:rFonts w:ascii="宋体" w:hAnsi="宋体" w:cs="宋体"/>
                <w:color w:val="000000"/>
              </w:rPr>
            </w:pPr>
            <w:r>
              <w:rPr>
                <w:rFonts w:hint="eastAsia" w:ascii="宋体" w:hAnsi="宋体" w:cs="宋体"/>
                <w:color w:val="000000"/>
              </w:rPr>
              <w:t>术</w:t>
            </w:r>
          </w:p>
          <w:p>
            <w:pPr>
              <w:spacing w:line="360" w:lineRule="auto"/>
              <w:jc w:val="center"/>
              <w:rPr>
                <w:rFonts w:ascii="宋体" w:hAnsi="宋体" w:cs="宋体"/>
                <w:color w:val="000000"/>
              </w:rPr>
            </w:pPr>
            <w:r>
              <w:rPr>
                <w:rFonts w:hint="eastAsia" w:ascii="宋体" w:hAnsi="宋体" w:cs="宋体"/>
                <w:color w:val="000000"/>
              </w:rPr>
              <w:t>人</w:t>
            </w:r>
          </w:p>
          <w:p>
            <w:pPr>
              <w:spacing w:line="360" w:lineRule="auto"/>
              <w:jc w:val="center"/>
              <w:rPr>
                <w:rFonts w:ascii="宋体" w:hAnsi="宋体" w:cs="宋体"/>
                <w:color w:val="000000"/>
              </w:rPr>
            </w:pPr>
            <w:r>
              <w:rPr>
                <w:rFonts w:hint="eastAsia" w:ascii="宋体" w:hAnsi="宋体" w:cs="宋体"/>
                <w:color w:val="000000"/>
              </w:rPr>
              <w:t>员</w:t>
            </w: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restart"/>
            <w:vAlign w:val="center"/>
          </w:tcPr>
          <w:p>
            <w:pPr>
              <w:spacing w:line="360" w:lineRule="auto"/>
              <w:jc w:val="center"/>
              <w:rPr>
                <w:rFonts w:ascii="宋体" w:hAnsi="宋体" w:cs="宋体"/>
                <w:color w:val="000000"/>
              </w:rPr>
            </w:pPr>
            <w:r>
              <w:rPr>
                <w:rFonts w:hint="eastAsia" w:ascii="宋体" w:hAnsi="宋体" w:cs="宋体"/>
                <w:color w:val="000000"/>
              </w:rPr>
              <w:t>售后</w:t>
            </w:r>
          </w:p>
          <w:p>
            <w:pPr>
              <w:spacing w:line="360" w:lineRule="auto"/>
              <w:jc w:val="center"/>
              <w:rPr>
                <w:rFonts w:ascii="宋体" w:hAnsi="宋体" w:cs="宋体"/>
                <w:color w:val="000000"/>
              </w:rPr>
            </w:pPr>
            <w:r>
              <w:rPr>
                <w:rFonts w:hint="eastAsia" w:ascii="宋体" w:hAnsi="宋体" w:cs="宋体"/>
                <w:color w:val="000000"/>
              </w:rPr>
              <w:t>服务</w:t>
            </w:r>
          </w:p>
          <w:p>
            <w:pPr>
              <w:spacing w:line="360" w:lineRule="auto"/>
              <w:jc w:val="center"/>
              <w:rPr>
                <w:rFonts w:ascii="宋体" w:hAnsi="宋体" w:cs="宋体"/>
                <w:color w:val="000000"/>
              </w:rPr>
            </w:pPr>
            <w:r>
              <w:rPr>
                <w:rFonts w:hint="eastAsia" w:ascii="宋体" w:hAnsi="宋体" w:cs="宋体"/>
                <w:color w:val="000000"/>
              </w:rPr>
              <w:t>人员</w:t>
            </w: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color w:val="000000"/>
                <w:sz w:val="28"/>
              </w:rPr>
            </w:pPr>
          </w:p>
        </w:tc>
        <w:tc>
          <w:tcPr>
            <w:tcW w:w="1414" w:type="dxa"/>
          </w:tcPr>
          <w:p>
            <w:pPr>
              <w:spacing w:line="360" w:lineRule="auto"/>
              <w:jc w:val="center"/>
              <w:rPr>
                <w:rFonts w:ascii="宋体" w:hAnsi="宋体" w:cs="宋体"/>
                <w:color w:val="000000"/>
                <w:sz w:val="28"/>
              </w:rPr>
            </w:pPr>
          </w:p>
        </w:tc>
        <w:tc>
          <w:tcPr>
            <w:tcW w:w="1057"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c>
          <w:tcPr>
            <w:tcW w:w="846" w:type="dxa"/>
          </w:tcPr>
          <w:p>
            <w:pPr>
              <w:spacing w:line="360" w:lineRule="auto"/>
              <w:jc w:val="center"/>
              <w:rPr>
                <w:rFonts w:ascii="宋体" w:hAnsi="宋体" w:cs="宋体"/>
                <w:color w:val="000000"/>
                <w:sz w:val="28"/>
              </w:rPr>
            </w:pPr>
          </w:p>
        </w:tc>
        <w:tc>
          <w:tcPr>
            <w:tcW w:w="743" w:type="dxa"/>
          </w:tcPr>
          <w:p>
            <w:pPr>
              <w:spacing w:line="360" w:lineRule="auto"/>
              <w:jc w:val="center"/>
              <w:rPr>
                <w:rFonts w:ascii="宋体" w:hAnsi="宋体" w:cs="宋体"/>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b/>
                <w:bCs/>
                <w:color w:val="000000"/>
                <w:sz w:val="28"/>
              </w:rPr>
            </w:pPr>
          </w:p>
        </w:tc>
        <w:tc>
          <w:tcPr>
            <w:tcW w:w="811" w:type="dxa"/>
          </w:tcPr>
          <w:p>
            <w:pPr>
              <w:spacing w:line="360" w:lineRule="auto"/>
              <w:jc w:val="center"/>
              <w:rPr>
                <w:rFonts w:ascii="宋体" w:hAnsi="宋体" w:cs="宋体"/>
                <w:b/>
                <w:bCs/>
                <w:color w:val="000000"/>
                <w:sz w:val="28"/>
              </w:rPr>
            </w:pPr>
          </w:p>
        </w:tc>
        <w:tc>
          <w:tcPr>
            <w:tcW w:w="1414" w:type="dxa"/>
          </w:tcPr>
          <w:p>
            <w:pPr>
              <w:spacing w:line="360" w:lineRule="auto"/>
              <w:jc w:val="center"/>
              <w:rPr>
                <w:rFonts w:ascii="宋体" w:hAnsi="宋体" w:cs="宋体"/>
                <w:b/>
                <w:bCs/>
                <w:color w:val="000000"/>
                <w:sz w:val="28"/>
              </w:rPr>
            </w:pPr>
          </w:p>
        </w:tc>
        <w:tc>
          <w:tcPr>
            <w:tcW w:w="1057"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c>
          <w:tcPr>
            <w:tcW w:w="846"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434" w:type="dxa"/>
            <w:vMerge w:val="continue"/>
          </w:tcPr>
          <w:p>
            <w:pPr>
              <w:spacing w:line="360" w:lineRule="auto"/>
              <w:rPr>
                <w:rFonts w:ascii="宋体" w:hAnsi="宋体" w:cs="宋体"/>
              </w:rPr>
            </w:pPr>
          </w:p>
        </w:tc>
        <w:tc>
          <w:tcPr>
            <w:tcW w:w="810" w:type="dxa"/>
          </w:tcPr>
          <w:p>
            <w:pPr>
              <w:spacing w:line="360" w:lineRule="auto"/>
              <w:jc w:val="center"/>
              <w:rPr>
                <w:rFonts w:ascii="宋体" w:hAnsi="宋体" w:cs="宋体"/>
                <w:color w:val="000000"/>
                <w:sz w:val="28"/>
              </w:rPr>
            </w:pPr>
          </w:p>
        </w:tc>
        <w:tc>
          <w:tcPr>
            <w:tcW w:w="811" w:type="dxa"/>
          </w:tcPr>
          <w:p>
            <w:pPr>
              <w:spacing w:line="360" w:lineRule="auto"/>
              <w:jc w:val="center"/>
              <w:rPr>
                <w:rFonts w:ascii="宋体" w:hAnsi="宋体" w:cs="宋体"/>
                <w:b/>
                <w:bCs/>
                <w:color w:val="000000"/>
                <w:sz w:val="28"/>
              </w:rPr>
            </w:pPr>
          </w:p>
        </w:tc>
        <w:tc>
          <w:tcPr>
            <w:tcW w:w="811" w:type="dxa"/>
          </w:tcPr>
          <w:p>
            <w:pPr>
              <w:spacing w:line="360" w:lineRule="auto"/>
              <w:jc w:val="center"/>
              <w:rPr>
                <w:rFonts w:ascii="宋体" w:hAnsi="宋体" w:cs="宋体"/>
                <w:b/>
                <w:bCs/>
                <w:color w:val="000000"/>
                <w:sz w:val="28"/>
              </w:rPr>
            </w:pPr>
          </w:p>
        </w:tc>
        <w:tc>
          <w:tcPr>
            <w:tcW w:w="1414" w:type="dxa"/>
          </w:tcPr>
          <w:p>
            <w:pPr>
              <w:spacing w:line="360" w:lineRule="auto"/>
              <w:jc w:val="center"/>
              <w:rPr>
                <w:rFonts w:ascii="宋体" w:hAnsi="宋体" w:cs="宋体"/>
                <w:b/>
                <w:bCs/>
                <w:color w:val="000000"/>
                <w:sz w:val="28"/>
              </w:rPr>
            </w:pPr>
          </w:p>
        </w:tc>
        <w:tc>
          <w:tcPr>
            <w:tcW w:w="1057"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c>
          <w:tcPr>
            <w:tcW w:w="846" w:type="dxa"/>
          </w:tcPr>
          <w:p>
            <w:pPr>
              <w:spacing w:line="360" w:lineRule="auto"/>
              <w:jc w:val="center"/>
              <w:rPr>
                <w:rFonts w:ascii="宋体" w:hAnsi="宋体" w:cs="宋体"/>
                <w:b/>
                <w:bCs/>
                <w:color w:val="000000"/>
                <w:sz w:val="28"/>
              </w:rPr>
            </w:pPr>
          </w:p>
        </w:tc>
        <w:tc>
          <w:tcPr>
            <w:tcW w:w="743" w:type="dxa"/>
          </w:tcPr>
          <w:p>
            <w:pPr>
              <w:spacing w:line="360" w:lineRule="auto"/>
              <w:jc w:val="center"/>
              <w:rPr>
                <w:rFonts w:ascii="宋体" w:hAnsi="宋体" w:cs="宋体"/>
                <w:b/>
                <w:bCs/>
                <w:color w:val="000000"/>
                <w:sz w:val="28"/>
              </w:rPr>
            </w:pPr>
          </w:p>
        </w:tc>
      </w:tr>
    </w:tbl>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cs="宋体"/>
          <w:sz w:val="24"/>
        </w:rPr>
      </w:pPr>
      <w:r>
        <w:rPr>
          <w:rFonts w:hint="eastAsia" w:ascii="宋体" w:hAnsi="宋体" w:cs="宋体"/>
          <w:sz w:val="24"/>
        </w:rPr>
        <w:t>投标日期：</w:t>
      </w: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32"/>
          <w:szCs w:val="32"/>
        </w:rPr>
        <w:t>格式2-12</w:t>
      </w:r>
    </w:p>
    <w:bookmarkEnd w:id="183"/>
    <w:bookmarkEnd w:id="194"/>
    <w:bookmarkEnd w:id="195"/>
    <w:p>
      <w:pPr>
        <w:widowControl/>
        <w:spacing w:line="360" w:lineRule="auto"/>
        <w:jc w:val="center"/>
        <w:outlineLvl w:val="1"/>
        <w:rPr>
          <w:rFonts w:ascii="宋体" w:hAnsi="宋体"/>
          <w:b/>
          <w:sz w:val="32"/>
          <w:szCs w:val="32"/>
        </w:rPr>
      </w:pPr>
      <w:bookmarkStart w:id="199" w:name="_Toc490290406"/>
      <w:r>
        <w:rPr>
          <w:rFonts w:hint="eastAsia" w:ascii="宋体" w:hAnsi="宋体"/>
          <w:b/>
          <w:sz w:val="32"/>
          <w:szCs w:val="32"/>
        </w:rPr>
        <w:t>十一、知识产权声明函</w:t>
      </w:r>
    </w:p>
    <w:p>
      <w:pPr>
        <w:spacing w:line="360" w:lineRule="auto"/>
        <w:rPr>
          <w:rFonts w:hAnsi="宋体" w:cs="宋体"/>
          <w:sz w:val="24"/>
        </w:rPr>
      </w:pPr>
      <w:r>
        <w:rPr>
          <w:rFonts w:hint="eastAsia" w:hAnsi="宋体" w:cs="宋体"/>
          <w:sz w:val="24"/>
        </w:rPr>
        <w:t>致</w:t>
      </w:r>
      <w:r>
        <w:rPr>
          <w:rFonts w:hint="eastAsia" w:ascii="宋体" w:hAnsi="宋体" w:cs="宋体"/>
          <w:spacing w:val="6"/>
          <w:sz w:val="24"/>
        </w:rPr>
        <w:t>四川轩辕招标代理有限公司：</w:t>
      </w:r>
    </w:p>
    <w:p>
      <w:pPr>
        <w:pStyle w:val="2"/>
        <w:spacing w:after="0" w:line="360" w:lineRule="auto"/>
        <w:ind w:firstLine="480" w:firstLineChars="200"/>
        <w:rPr>
          <w:rFonts w:hAnsi="宋体" w:cs="宋体"/>
          <w:bCs/>
          <w:sz w:val="24"/>
        </w:rPr>
      </w:pPr>
      <w:r>
        <w:rPr>
          <w:rFonts w:hint="eastAsia" w:hAnsi="宋体" w:cs="宋体"/>
          <w:bCs/>
          <w:sz w:val="24"/>
        </w:rPr>
        <w:t>本单位（公司名称）参加（项目名称）的投标活动，现承诺声明：</w:t>
      </w:r>
    </w:p>
    <w:p>
      <w:pPr>
        <w:pStyle w:val="2"/>
        <w:spacing w:after="0" w:line="360" w:lineRule="auto"/>
        <w:ind w:firstLine="480" w:firstLineChars="200"/>
        <w:rPr>
          <w:rFonts w:hAnsi="宋体" w:cs="宋体"/>
          <w:bCs/>
          <w:sz w:val="24"/>
        </w:rPr>
      </w:pPr>
      <w:r>
        <w:rPr>
          <w:rFonts w:hint="eastAsia" w:hAnsi="宋体" w:cs="宋体"/>
          <w:bCs/>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480" w:firstLineChars="200"/>
        <w:rPr>
          <w:rFonts w:hAnsi="宋体" w:cs="宋体"/>
          <w:bCs/>
          <w:sz w:val="24"/>
        </w:rPr>
      </w:pPr>
      <w:r>
        <w:rPr>
          <w:rFonts w:hint="eastAsia" w:hAnsi="宋体" w:cs="宋体"/>
          <w:bCs/>
          <w:sz w:val="24"/>
        </w:rPr>
        <w:t>2.采购人享有本项目实施过程中产生的知识成果及知识产权。</w:t>
      </w:r>
    </w:p>
    <w:p>
      <w:pPr>
        <w:pStyle w:val="2"/>
        <w:spacing w:after="0" w:line="360" w:lineRule="auto"/>
        <w:ind w:firstLine="480" w:firstLineChars="200"/>
        <w:rPr>
          <w:rFonts w:hAnsi="宋体" w:cs="宋体"/>
          <w:bCs/>
          <w:sz w:val="24"/>
        </w:rPr>
      </w:pPr>
      <w:r>
        <w:rPr>
          <w:rFonts w:hint="eastAsia" w:hAnsi="宋体" w:cs="宋体"/>
          <w:bCs/>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480" w:firstLineChars="200"/>
      </w:pPr>
      <w:r>
        <w:rPr>
          <w:rFonts w:hint="eastAsia" w:hAnsi="宋体" w:cs="宋体"/>
          <w:bCs/>
          <w:sz w:val="24"/>
        </w:rPr>
        <w:t xml:space="preserve">4.如采用本单位所不拥有的知识产权，本单位承诺在本项目投标报价中已经包括合法获取该知识产权的相关费用。 </w:t>
      </w:r>
    </w:p>
    <w:p>
      <w:pPr>
        <w:pStyle w:val="2"/>
        <w:spacing w:after="0" w:line="360" w:lineRule="auto"/>
        <w:ind w:firstLine="480" w:firstLineChars="200"/>
        <w:rPr>
          <w:rFonts w:hAnsi="宋体" w:cs="宋体"/>
          <w:bCs/>
          <w:sz w:val="24"/>
        </w:rPr>
      </w:pPr>
      <w:r>
        <w:rPr>
          <w:rFonts w:hint="eastAsia" w:hAnsi="宋体" w:cs="宋体"/>
          <w:bCs/>
          <w:sz w:val="24"/>
        </w:rPr>
        <w:t>本公司对上述承诺声明内容事项真实性负责。如经查实上述承诺声明的内容事项存在虚假或未履行，本单位愿意接受以提供虚假材料谋取中标追究法律责任。</w:t>
      </w:r>
    </w:p>
    <w:p>
      <w:pPr>
        <w:spacing w:line="360" w:lineRule="auto"/>
        <w:ind w:firstLine="480" w:firstLineChars="200"/>
        <w:rPr>
          <w:rFonts w:ascii="宋体" w:hAnsi="宋体"/>
          <w:sz w:val="24"/>
        </w:rPr>
      </w:pPr>
    </w:p>
    <w:p>
      <w:pPr>
        <w:spacing w:line="360" w:lineRule="auto"/>
        <w:jc w:val="left"/>
        <w:rPr>
          <w:rFonts w:ascii="宋体" w:hAnsi="宋体" w:cs="宋体"/>
          <w:sz w:val="24"/>
        </w:rPr>
      </w:pPr>
      <w:r>
        <w:rPr>
          <w:rFonts w:hint="eastAsia" w:ascii="宋体" w:hAnsi="宋体" w:cs="宋体"/>
          <w:sz w:val="24"/>
        </w:rPr>
        <w:t>法定代表人/单位负责人或授权代表：（签字或加盖个人名章）</w:t>
      </w:r>
    </w:p>
    <w:p>
      <w:pPr>
        <w:spacing w:line="360" w:lineRule="auto"/>
        <w:jc w:val="left"/>
        <w:rPr>
          <w:rFonts w:ascii="宋体" w:hAnsi="宋体" w:cs="宋体"/>
          <w:sz w:val="24"/>
        </w:rPr>
      </w:pPr>
      <w:r>
        <w:rPr>
          <w:rFonts w:hint="eastAsia" w:ascii="宋体" w:hAnsi="宋体" w:cs="宋体"/>
          <w:sz w:val="24"/>
        </w:rPr>
        <w:t>投标人名称：（单位盖章）</w:t>
      </w:r>
    </w:p>
    <w:p>
      <w:pPr>
        <w:spacing w:line="360" w:lineRule="auto"/>
        <w:rPr>
          <w:rFonts w:ascii="宋体" w:hAnsi="宋体"/>
          <w:sz w:val="24"/>
        </w:rPr>
      </w:pPr>
      <w:r>
        <w:rPr>
          <w:rFonts w:hint="eastAsia" w:ascii="宋体" w:hAnsi="宋体" w:cs="宋体"/>
          <w:sz w:val="24"/>
        </w:rPr>
        <w:t>投标日期：</w:t>
      </w:r>
    </w:p>
    <w:p>
      <w:pPr>
        <w:spacing w:line="360" w:lineRule="auto"/>
        <w:rPr>
          <w:rFonts w:ascii="宋体" w:hAnsi="宋体" w:cs="宋体"/>
          <w:b/>
          <w:sz w:val="32"/>
          <w:szCs w:val="32"/>
        </w:rPr>
        <w:sectPr>
          <w:headerReference r:id="rId9" w:type="default"/>
          <w:footerReference r:id="rId10" w:type="default"/>
          <w:pgSz w:w="11906" w:h="16838"/>
          <w:pgMar w:top="1440" w:right="1474" w:bottom="1440" w:left="1474" w:header="851" w:footer="992" w:gutter="0"/>
          <w:cols w:space="720" w:num="1"/>
          <w:docGrid w:type="lines" w:linePitch="312" w:charSpace="0"/>
        </w:sectPr>
      </w:pPr>
    </w:p>
    <w:p>
      <w:pPr>
        <w:spacing w:line="360" w:lineRule="auto"/>
        <w:rPr>
          <w:rFonts w:ascii="宋体" w:hAnsi="宋体" w:cs="宋体"/>
          <w:b/>
          <w:sz w:val="32"/>
          <w:szCs w:val="32"/>
        </w:rPr>
      </w:pPr>
      <w:r>
        <w:rPr>
          <w:rFonts w:hint="eastAsia" w:ascii="宋体" w:hAnsi="宋体" w:cs="宋体"/>
          <w:b/>
          <w:sz w:val="32"/>
          <w:szCs w:val="32"/>
        </w:rPr>
        <w:t>格式2-13</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十二、中小企业声明函</w:t>
      </w:r>
    </w:p>
    <w:p/>
    <w:p>
      <w:pPr>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 号），本公司（联合体）参加</w:t>
      </w:r>
      <w:r>
        <w:rPr>
          <w:rFonts w:hint="eastAsia" w:ascii="宋体" w:hAnsi="宋体" w:cs="宋体"/>
          <w:sz w:val="24"/>
          <w:u w:val="single"/>
        </w:rPr>
        <w:t xml:space="preserve"> （单位名称） </w:t>
      </w:r>
      <w:r>
        <w:rPr>
          <w:rFonts w:hint="eastAsia" w:ascii="宋体" w:hAnsi="宋体" w:cs="宋体"/>
          <w:sz w:val="24"/>
        </w:rPr>
        <w:t xml:space="preserve">的 </w:t>
      </w:r>
      <w:r>
        <w:rPr>
          <w:rFonts w:hint="eastAsia" w:ascii="宋体" w:hAnsi="宋体" w:cs="宋体"/>
          <w:sz w:val="24"/>
          <w:u w:val="single"/>
        </w:rPr>
        <w:t xml:space="preserve">（项目名称） </w:t>
      </w:r>
      <w:r>
        <w:rPr>
          <w:rFonts w:hint="eastAsia" w:ascii="宋体" w:hAnsi="宋体" w:cs="宋体"/>
          <w:sz w:val="24"/>
        </w:rPr>
        <w:t>采购活动，提供的货物全部由符合政策要求的中小企业制造。相关企业（含联合体中的中小企业、签订分包意向协议的中小企业）的具体情况如下：</w:t>
      </w:r>
      <w:bookmarkStart w:id="200" w:name="_Toc417911732"/>
      <w:bookmarkStart w:id="201" w:name="_Toc387147344"/>
      <w:bookmarkStart w:id="202" w:name="_Toc419811733"/>
      <w:bookmarkStart w:id="203" w:name="_Toc413748654"/>
      <w:bookmarkStart w:id="204" w:name="_Toc387658050"/>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；制造商为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b/>
          <w:bCs/>
          <w:sz w:val="24"/>
        </w:rPr>
      </w:pPr>
      <w:r>
        <w:rPr>
          <w:rFonts w:hint="eastAsia" w:ascii="宋体" w:hAnsi="宋体" w:cs="宋体"/>
          <w:sz w:val="24"/>
        </w:rPr>
        <w:t>2.</w:t>
      </w: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 xml:space="preserve"> （采购文件中明确的所属行业） </w:t>
      </w:r>
      <w:r>
        <w:rPr>
          <w:rFonts w:hint="eastAsia" w:ascii="宋体" w:hAnsi="宋体" w:cs="宋体"/>
          <w:sz w:val="24"/>
        </w:rPr>
        <w:t>；制造商为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jc w:val="center"/>
        <w:rPr>
          <w:rFonts w:ascii="宋体" w:hAnsi="宋体" w:cs="宋体"/>
          <w:sz w:val="24"/>
        </w:rPr>
      </w:pPr>
      <w:r>
        <w:rPr>
          <w:rFonts w:hint="eastAsia" w:ascii="宋体" w:hAnsi="宋体" w:cs="宋体"/>
          <w:sz w:val="24"/>
        </w:rPr>
        <w:t xml:space="preserve">                                 企业名称（盖章）：</w:t>
      </w:r>
    </w:p>
    <w:p>
      <w:pPr>
        <w:spacing w:line="360" w:lineRule="auto"/>
        <w:ind w:firstLine="480" w:firstLineChars="200"/>
        <w:jc w:val="center"/>
        <w:rPr>
          <w:rFonts w:ascii="仿宋" w:hAnsi="仿宋" w:eastAsia="仿宋"/>
          <w:sz w:val="24"/>
        </w:rPr>
      </w:pPr>
      <w:r>
        <w:rPr>
          <w:rFonts w:hint="eastAsia" w:ascii="宋体" w:hAnsi="宋体" w:cs="宋体"/>
          <w:sz w:val="24"/>
        </w:rPr>
        <w:t xml:space="preserve">                        日 期：</w:t>
      </w:r>
    </w:p>
    <w:p>
      <w:pPr>
        <w:spacing w:line="360" w:lineRule="auto"/>
        <w:rPr>
          <w:rFonts w:ascii="宋体" w:hAnsi="宋体" w:cs="宋体"/>
          <w:b/>
          <w:bCs/>
          <w:szCs w:val="21"/>
        </w:rPr>
      </w:pPr>
      <w:r>
        <w:rPr>
          <w:rFonts w:hint="eastAsia" w:ascii="宋体" w:hAnsi="宋体" w:cs="宋体"/>
          <w:b/>
          <w:bCs/>
          <w:szCs w:val="21"/>
        </w:rPr>
        <w:t>注：</w:t>
      </w:r>
    </w:p>
    <w:bookmarkEnd w:id="200"/>
    <w:bookmarkEnd w:id="201"/>
    <w:bookmarkEnd w:id="202"/>
    <w:bookmarkEnd w:id="203"/>
    <w:bookmarkEnd w:id="204"/>
    <w:p>
      <w:pPr>
        <w:spacing w:line="360" w:lineRule="auto"/>
        <w:rPr>
          <w:rFonts w:ascii="宋体" w:hAnsi="宋体" w:cs="宋体"/>
          <w:b/>
          <w:bCs/>
          <w:szCs w:val="21"/>
        </w:rPr>
        <w:sectPr>
          <w:footerReference r:id="rId11" w:type="default"/>
          <w:pgSz w:w="11906" w:h="16838"/>
          <w:pgMar w:top="1440" w:right="1474" w:bottom="1440" w:left="1474" w:header="851" w:footer="992" w:gutter="0"/>
          <w:cols w:space="720" w:num="1"/>
          <w:docGrid w:type="lines" w:linePitch="312" w:charSpace="0"/>
        </w:sectPr>
      </w:pPr>
      <w:r>
        <w:rPr>
          <w:rFonts w:hint="eastAsia" w:ascii="宋体" w:hAnsi="宋体" w:cs="宋体"/>
          <w:b/>
          <w:bCs/>
          <w:szCs w:val="21"/>
        </w:rPr>
        <w:t>1、从业人员、营业收入、资产总额填报上一年度数据，无上一年度数据的新成立企业可不填报。</w:t>
      </w:r>
    </w:p>
    <w:p>
      <w:pPr>
        <w:pStyle w:val="2"/>
        <w:rPr>
          <w:rFonts w:ascii="宋体" w:hAnsi="宋体" w:cs="宋体"/>
          <w:b/>
          <w:sz w:val="32"/>
          <w:szCs w:val="32"/>
        </w:rPr>
      </w:pPr>
      <w:r>
        <w:rPr>
          <w:rFonts w:hint="eastAsia" w:ascii="宋体" w:hAnsi="宋体" w:cs="宋体"/>
          <w:b/>
          <w:sz w:val="32"/>
          <w:szCs w:val="32"/>
        </w:rPr>
        <w:t>格式1-14</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十三、</w:t>
      </w:r>
      <w:bookmarkStart w:id="205" w:name="OLE_LINK13"/>
      <w:bookmarkStart w:id="206" w:name="OLE_LINK14"/>
      <w:r>
        <w:rPr>
          <w:rFonts w:hint="eastAsia" w:ascii="宋体" w:hAnsi="宋体" w:cs="宋体"/>
          <w:b/>
          <w:sz w:val="32"/>
          <w:szCs w:val="32"/>
        </w:rPr>
        <w:t>残疾人福利性单位声明函</w:t>
      </w:r>
    </w:p>
    <w:bookmarkEnd w:id="205"/>
    <w:bookmarkEnd w:id="206"/>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tabs>
          <w:tab w:val="left" w:pos="4860"/>
        </w:tabs>
        <w:spacing w:line="360" w:lineRule="auto"/>
        <w:ind w:right="1560"/>
        <w:rPr>
          <w:rFonts w:ascii="宋体" w:hAnsi="宋体" w:cs="宋体"/>
          <w:spacing w:val="6"/>
          <w:sz w:val="24"/>
        </w:rPr>
      </w:pPr>
      <w:r>
        <w:rPr>
          <w:rFonts w:hint="eastAsia" w:ascii="宋体" w:hAnsi="宋体" w:cs="宋体"/>
          <w:spacing w:val="6"/>
          <w:sz w:val="24"/>
        </w:rPr>
        <w:t>单位名称：（盖章）</w:t>
      </w:r>
    </w:p>
    <w:p>
      <w:pPr>
        <w:spacing w:line="360" w:lineRule="auto"/>
        <w:rPr>
          <w:rFonts w:ascii="宋体" w:hAnsi="宋体" w:cs="宋体"/>
          <w:spacing w:val="6"/>
          <w:sz w:val="24"/>
        </w:rPr>
      </w:pPr>
      <w:r>
        <w:rPr>
          <w:rFonts w:hint="eastAsia" w:ascii="宋体" w:hAnsi="宋体" w:cs="宋体"/>
          <w:spacing w:val="6"/>
          <w:sz w:val="24"/>
        </w:rPr>
        <w:t>日  期：</w:t>
      </w:r>
    </w:p>
    <w:p>
      <w:pPr>
        <w:spacing w:line="360" w:lineRule="auto"/>
        <w:rPr>
          <w:rFonts w:ascii="宋体" w:hAnsi="宋体" w:cs="宋体"/>
          <w:sz w:val="24"/>
        </w:rPr>
      </w:pPr>
    </w:p>
    <w:p>
      <w:pPr>
        <w:spacing w:line="360" w:lineRule="auto"/>
        <w:rPr>
          <w:rFonts w:ascii="宋体" w:hAnsi="宋体" w:cs="宋体"/>
          <w:b/>
          <w:bCs/>
          <w:szCs w:val="21"/>
        </w:rPr>
      </w:pPr>
      <w:r>
        <w:rPr>
          <w:rFonts w:hint="eastAsia" w:ascii="宋体" w:hAnsi="宋体" w:cs="宋体"/>
          <w:b/>
          <w:bCs/>
          <w:szCs w:val="21"/>
        </w:rPr>
        <w:t>注：</w:t>
      </w:r>
    </w:p>
    <w:p>
      <w:pPr>
        <w:numPr>
          <w:ilvl w:val="0"/>
          <w:numId w:val="11"/>
        </w:numPr>
        <w:spacing w:line="360" w:lineRule="auto"/>
        <w:rPr>
          <w:rFonts w:ascii="宋体" w:hAnsi="宋体" w:cs="宋体"/>
          <w:b/>
          <w:bCs/>
          <w:szCs w:val="21"/>
        </w:rPr>
      </w:pPr>
      <w:r>
        <w:rPr>
          <w:rFonts w:hint="eastAsia" w:ascii="宋体" w:hAnsi="宋体" w:cs="宋体"/>
          <w:b/>
          <w:bCs/>
          <w:szCs w:val="21"/>
        </w:rPr>
        <w:t>残疾人福利性单位视同小型、微型企业，享受预留份额、评审中价格扣除等促进中小企业发展的政府采购政策。残疾人福利性单位属于小型、微型企业的，不重复享受政策。</w:t>
      </w:r>
    </w:p>
    <w:p>
      <w:pPr>
        <w:numPr>
          <w:ilvl w:val="0"/>
          <w:numId w:val="11"/>
        </w:numPr>
        <w:spacing w:line="360" w:lineRule="auto"/>
        <w:rPr>
          <w:rFonts w:ascii="宋体" w:hAnsi="宋体" w:cs="宋体"/>
          <w:b/>
          <w:bCs/>
          <w:szCs w:val="21"/>
        </w:rPr>
      </w:pPr>
      <w:r>
        <w:rPr>
          <w:rFonts w:hint="eastAsia" w:ascii="宋体" w:hAnsi="宋体" w:cs="宋体"/>
          <w:b/>
          <w:bCs/>
          <w:szCs w:val="21"/>
        </w:rPr>
        <w:t>投标人为非残疾人福利性单位的，可不提供此声明。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rPr>
      </w:pPr>
    </w:p>
    <w:p>
      <w:pPr>
        <w:pStyle w:val="2"/>
        <w:rPr>
          <w:rFonts w:ascii="宋体" w:hAnsi="宋体" w:cs="宋体"/>
          <w:b/>
          <w:sz w:val="32"/>
          <w:szCs w:val="32"/>
        </w:rPr>
      </w:pPr>
      <w:r>
        <w:rPr>
          <w:rStyle w:val="76"/>
          <w:rFonts w:hint="eastAsia" w:ascii="宋体" w:hAnsi="宋体" w:cs="宋体"/>
        </w:rPr>
        <w:br w:type="page"/>
      </w:r>
      <w:r>
        <w:rPr>
          <w:rFonts w:hint="eastAsia" w:ascii="宋体" w:hAnsi="宋体" w:cs="宋体"/>
          <w:b/>
          <w:sz w:val="32"/>
          <w:szCs w:val="32"/>
        </w:rPr>
        <w:t>格式1-15</w:t>
      </w:r>
    </w:p>
    <w:p>
      <w:pPr>
        <w:widowControl/>
        <w:spacing w:line="360" w:lineRule="auto"/>
        <w:jc w:val="center"/>
        <w:outlineLvl w:val="1"/>
        <w:rPr>
          <w:rFonts w:ascii="宋体" w:hAnsi="宋体" w:cs="宋体"/>
          <w:b/>
          <w:sz w:val="32"/>
          <w:szCs w:val="32"/>
        </w:rPr>
      </w:pPr>
      <w:r>
        <w:rPr>
          <w:rFonts w:hint="eastAsia" w:ascii="宋体" w:hAnsi="宋体" w:cs="宋体"/>
          <w:b/>
          <w:sz w:val="32"/>
          <w:szCs w:val="32"/>
        </w:rPr>
        <w:t>十四、监狱企业证明材料</w:t>
      </w:r>
    </w:p>
    <w:p>
      <w:pPr>
        <w:spacing w:line="360" w:lineRule="auto"/>
        <w:ind w:firstLine="480" w:firstLineChars="200"/>
        <w:jc w:val="left"/>
        <w:rPr>
          <w:rFonts w:ascii="宋体" w:hAnsi="宋体" w:cs="宋体"/>
          <w:sz w:val="24"/>
        </w:rPr>
      </w:pPr>
    </w:p>
    <w:p>
      <w:pPr>
        <w:spacing w:line="360" w:lineRule="auto"/>
        <w:ind w:firstLine="504"/>
        <w:jc w:val="left"/>
        <w:rPr>
          <w:rFonts w:ascii="宋体" w:hAnsi="宋体" w:cs="宋体"/>
          <w:spacing w:val="6"/>
          <w:sz w:val="24"/>
        </w:rPr>
      </w:pPr>
      <w:r>
        <w:rPr>
          <w:rFonts w:hint="eastAsia" w:ascii="宋体" w:hAnsi="宋体" w:cs="宋体"/>
          <w:spacing w:val="6"/>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ind w:firstLine="504"/>
        <w:jc w:val="left"/>
        <w:rPr>
          <w:rFonts w:ascii="宋体" w:hAnsi="宋体" w:cs="宋体"/>
          <w:spacing w:val="6"/>
          <w:sz w:val="24"/>
        </w:rPr>
      </w:pPr>
      <w:r>
        <w:rPr>
          <w:rFonts w:hint="eastAsia" w:ascii="宋体" w:hAnsi="宋体" w:cs="宋体"/>
          <w:spacing w:val="6"/>
          <w:sz w:val="24"/>
        </w:rPr>
        <w:t>注：</w:t>
      </w:r>
    </w:p>
    <w:p>
      <w:pPr>
        <w:spacing w:line="360" w:lineRule="auto"/>
        <w:ind w:firstLine="504"/>
        <w:jc w:val="left"/>
        <w:rPr>
          <w:rFonts w:ascii="宋体" w:hAnsi="宋体" w:cs="宋体"/>
          <w:spacing w:val="6"/>
          <w:sz w:val="24"/>
        </w:rPr>
      </w:pPr>
      <w:r>
        <w:rPr>
          <w:rFonts w:hint="eastAsia" w:ascii="宋体" w:hAnsi="宋体" w:cs="宋体"/>
          <w:spacing w:val="6"/>
          <w:sz w:val="24"/>
        </w:rPr>
        <w:t>1、投标人符合《政府采购支持监狱企业发展有关问题的通知》（财库〔2014〕68号）规定的划分标准为监狱企业适用。</w:t>
      </w:r>
    </w:p>
    <w:p>
      <w:pPr>
        <w:spacing w:line="360" w:lineRule="auto"/>
        <w:ind w:firstLine="504"/>
        <w:jc w:val="left"/>
        <w:rPr>
          <w:rFonts w:ascii="宋体" w:hAnsi="宋体" w:cs="宋体"/>
          <w:spacing w:val="6"/>
          <w:sz w:val="24"/>
        </w:rPr>
        <w:sectPr>
          <w:headerReference r:id="rId12" w:type="default"/>
          <w:footerReference r:id="rId13" w:type="default"/>
          <w:pgSz w:w="11906" w:h="16838"/>
          <w:pgMar w:top="1440" w:right="1474" w:bottom="1440" w:left="1474" w:header="851" w:footer="992" w:gutter="0"/>
          <w:cols w:space="720" w:num="1"/>
          <w:docGrid w:type="lines" w:linePitch="312" w:charSpace="0"/>
        </w:sectPr>
      </w:pPr>
      <w:r>
        <w:rPr>
          <w:rFonts w:hint="eastAsia" w:ascii="宋体" w:hAnsi="宋体" w:cs="宋体"/>
          <w:spacing w:val="6"/>
          <w:sz w:val="24"/>
        </w:rPr>
        <w:t>2、在政府采购活动中，监狱企业视同小型、微型企业，享受预留份额、评审中价格扣除等政府采购促进中小企业发展的政府采购政策。</w:t>
      </w:r>
    </w:p>
    <w:p>
      <w:pPr>
        <w:pStyle w:val="33"/>
        <w:spacing w:before="0" w:after="0" w:line="360" w:lineRule="auto"/>
        <w:rPr>
          <w:rFonts w:ascii="宋体" w:hAnsi="宋体" w:cs="宋体"/>
        </w:rPr>
      </w:pPr>
      <w:bookmarkStart w:id="207" w:name="_Toc25182"/>
      <w:bookmarkStart w:id="208" w:name="_Toc5917"/>
      <w:r>
        <w:rPr>
          <w:rFonts w:hint="eastAsia" w:ascii="宋体" w:hAnsi="宋体" w:cs="宋体"/>
          <w:bCs w:val="0"/>
        </w:rPr>
        <w:t>第四章  投标人和投标产品的资格、资质性及其他类似效力要求</w:t>
      </w:r>
      <w:bookmarkEnd w:id="199"/>
      <w:bookmarkEnd w:id="207"/>
      <w:bookmarkEnd w:id="208"/>
    </w:p>
    <w:p>
      <w:pPr>
        <w:pStyle w:val="5"/>
        <w:spacing w:line="360" w:lineRule="auto"/>
        <w:rPr>
          <w:rFonts w:ascii="宋体" w:hAnsi="宋体" w:eastAsia="宋体" w:cs="宋体"/>
          <w:sz w:val="24"/>
          <w:szCs w:val="24"/>
        </w:rPr>
      </w:pPr>
      <w:r>
        <w:rPr>
          <w:rFonts w:hint="eastAsia" w:ascii="宋体" w:hAnsi="宋体" w:eastAsia="宋体" w:cs="宋体"/>
          <w:sz w:val="24"/>
          <w:szCs w:val="24"/>
        </w:rPr>
        <w:t>一、投标人资格、资质性及其他类似效力要求</w:t>
      </w:r>
    </w:p>
    <w:p>
      <w:pPr>
        <w:pStyle w:val="6"/>
        <w:ind w:firstLine="482"/>
        <w:rPr>
          <w:rFonts w:ascii="宋体" w:hAnsi="宋体" w:cs="宋体"/>
          <w:b/>
          <w:sz w:val="24"/>
        </w:rPr>
      </w:pPr>
      <w:r>
        <w:rPr>
          <w:rFonts w:hint="eastAsia" w:ascii="宋体" w:hAnsi="宋体" w:cs="宋体"/>
          <w:b/>
          <w:sz w:val="24"/>
        </w:rPr>
        <w:t>资格要求：</w:t>
      </w:r>
    </w:p>
    <w:p>
      <w:pPr>
        <w:spacing w:line="360" w:lineRule="auto"/>
        <w:ind w:firstLine="360" w:firstLineChars="150"/>
        <w:rPr>
          <w:rFonts w:ascii="宋体" w:hAnsi="宋体" w:cs="宋体"/>
          <w:sz w:val="24"/>
        </w:rPr>
      </w:pPr>
      <w:r>
        <w:rPr>
          <w:rFonts w:hint="eastAsia" w:ascii="宋体" w:hAnsi="宋体" w:cs="宋体"/>
          <w:sz w:val="24"/>
        </w:rPr>
        <w:t>（一）符合《中华人民共和国政府采购法》第二十二条规定的条件：</w:t>
      </w:r>
    </w:p>
    <w:p>
      <w:pPr>
        <w:pStyle w:val="87"/>
        <w:tabs>
          <w:tab w:val="left" w:pos="1260"/>
        </w:tabs>
        <w:ind w:firstLine="679" w:firstLineChars="283"/>
        <w:rPr>
          <w:rFonts w:ascii="宋体" w:hAnsi="宋体" w:cs="宋体"/>
          <w:sz w:val="24"/>
        </w:rPr>
      </w:pPr>
      <w:r>
        <w:rPr>
          <w:rFonts w:hint="eastAsia" w:ascii="宋体" w:hAnsi="宋体" w:cs="宋体"/>
          <w:sz w:val="24"/>
        </w:rPr>
        <w:t>1、具有独立承担民事责任的能力；</w:t>
      </w:r>
    </w:p>
    <w:p>
      <w:pPr>
        <w:pStyle w:val="87"/>
        <w:tabs>
          <w:tab w:val="left" w:pos="1260"/>
        </w:tabs>
        <w:ind w:firstLine="679" w:firstLineChars="283"/>
        <w:rPr>
          <w:rFonts w:ascii="宋体" w:hAnsi="宋体" w:cs="宋体"/>
          <w:sz w:val="24"/>
        </w:rPr>
      </w:pPr>
      <w:r>
        <w:rPr>
          <w:rFonts w:hint="eastAsia" w:ascii="宋体" w:hAnsi="宋体" w:cs="宋体"/>
          <w:sz w:val="24"/>
        </w:rPr>
        <w:t>2、具有良好的商业信誉和健全的财务会计制度；</w:t>
      </w:r>
    </w:p>
    <w:p>
      <w:pPr>
        <w:pStyle w:val="87"/>
        <w:tabs>
          <w:tab w:val="left" w:pos="1260"/>
        </w:tabs>
        <w:ind w:firstLine="679" w:firstLineChars="283"/>
        <w:rPr>
          <w:rFonts w:ascii="宋体" w:hAnsi="宋体" w:cs="宋体"/>
          <w:sz w:val="24"/>
        </w:rPr>
      </w:pPr>
      <w:r>
        <w:rPr>
          <w:rFonts w:hint="eastAsia" w:ascii="宋体" w:hAnsi="宋体" w:cs="宋体"/>
          <w:sz w:val="24"/>
        </w:rPr>
        <w:t>3、具有履行合同所必需的设备和专业技术能力；</w:t>
      </w:r>
    </w:p>
    <w:p>
      <w:pPr>
        <w:pStyle w:val="87"/>
        <w:tabs>
          <w:tab w:val="left" w:pos="1260"/>
        </w:tabs>
        <w:ind w:firstLine="679" w:firstLineChars="283"/>
        <w:rPr>
          <w:rFonts w:ascii="宋体" w:hAnsi="宋体" w:cs="宋体"/>
          <w:sz w:val="24"/>
        </w:rPr>
      </w:pPr>
      <w:r>
        <w:rPr>
          <w:rFonts w:hint="eastAsia" w:ascii="宋体" w:hAnsi="宋体" w:cs="宋体"/>
          <w:sz w:val="24"/>
        </w:rPr>
        <w:t>4、有依法缴纳税收和社会保障资金的良好记录；</w:t>
      </w:r>
    </w:p>
    <w:p>
      <w:pPr>
        <w:pStyle w:val="87"/>
        <w:tabs>
          <w:tab w:val="left" w:pos="1260"/>
        </w:tabs>
        <w:ind w:firstLine="679" w:firstLineChars="283"/>
        <w:rPr>
          <w:rFonts w:ascii="宋体" w:hAnsi="宋体" w:cs="宋体"/>
          <w:sz w:val="24"/>
        </w:rPr>
      </w:pPr>
      <w:r>
        <w:rPr>
          <w:rFonts w:hint="eastAsia" w:ascii="宋体" w:hAnsi="宋体" w:cs="宋体"/>
          <w:sz w:val="24"/>
        </w:rPr>
        <w:t>5、参加本次政府采购活动前三年内，在经营活动中没有重大违法记录；</w:t>
      </w:r>
    </w:p>
    <w:p>
      <w:pPr>
        <w:pStyle w:val="87"/>
        <w:tabs>
          <w:tab w:val="left" w:pos="1260"/>
        </w:tabs>
        <w:ind w:firstLine="679" w:firstLineChars="283"/>
        <w:rPr>
          <w:rFonts w:ascii="宋体" w:hAnsi="宋体" w:cs="宋体"/>
          <w:sz w:val="24"/>
        </w:rPr>
      </w:pPr>
      <w:r>
        <w:rPr>
          <w:rFonts w:hint="eastAsia" w:ascii="宋体" w:hAnsi="宋体" w:cs="宋体"/>
          <w:sz w:val="24"/>
        </w:rPr>
        <w:t>6、法律、行政法规规定的其他条件。</w:t>
      </w:r>
    </w:p>
    <w:p>
      <w:pPr>
        <w:spacing w:line="360" w:lineRule="auto"/>
        <w:ind w:firstLine="360" w:firstLineChars="150"/>
        <w:rPr>
          <w:rFonts w:ascii="宋体" w:hAnsi="宋体" w:cs="宋体"/>
          <w:sz w:val="24"/>
        </w:rPr>
      </w:pPr>
      <w:r>
        <w:rPr>
          <w:rFonts w:hint="eastAsia" w:ascii="宋体" w:hAnsi="宋体" w:cs="宋体"/>
          <w:sz w:val="24"/>
        </w:rPr>
        <w:t>（二）根据采购项目提出的特殊条件；</w:t>
      </w:r>
    </w:p>
    <w:p>
      <w:pPr>
        <w:pStyle w:val="87"/>
        <w:tabs>
          <w:tab w:val="left" w:pos="1260"/>
        </w:tabs>
        <w:ind w:firstLine="679" w:firstLineChars="283"/>
        <w:rPr>
          <w:rFonts w:ascii="宋体" w:hAnsi="宋体" w:cs="宋体"/>
          <w:sz w:val="24"/>
        </w:rPr>
      </w:pPr>
      <w:r>
        <w:rPr>
          <w:rFonts w:hint="eastAsia" w:ascii="宋体" w:hAnsi="宋体" w:cs="宋体"/>
          <w:sz w:val="24"/>
        </w:rPr>
        <w:t>1、若采购产品为医疗器械的，投标人须符合《医疗器械监督管理条例》要求并提供投标人经营该产品的经营许可/经营备案证明材料。</w:t>
      </w:r>
    </w:p>
    <w:p>
      <w:pPr>
        <w:pStyle w:val="87"/>
        <w:tabs>
          <w:tab w:val="left" w:pos="1260"/>
        </w:tabs>
        <w:ind w:firstLine="679" w:firstLineChars="283"/>
        <w:rPr>
          <w:rFonts w:ascii="宋体" w:hAnsi="宋体" w:cs="宋体"/>
          <w:sz w:val="24"/>
        </w:rPr>
      </w:pPr>
      <w:r>
        <w:rPr>
          <w:rFonts w:hint="eastAsia" w:ascii="宋体" w:hAnsi="宋体" w:cs="宋体"/>
          <w:sz w:val="24"/>
        </w:rPr>
        <w:t>2、本项目参加政府采购活动的投标人、法定代表人/主要负责人近3年内不得具有行贿犯罪记录。</w:t>
      </w:r>
    </w:p>
    <w:p>
      <w:pPr>
        <w:pStyle w:val="87"/>
        <w:tabs>
          <w:tab w:val="left" w:pos="1260"/>
        </w:tabs>
        <w:ind w:firstLine="679" w:firstLineChars="283"/>
        <w:rPr>
          <w:rFonts w:ascii="宋体" w:hAnsi="宋体" w:cs="宋体"/>
          <w:sz w:val="24"/>
        </w:rPr>
      </w:pPr>
      <w:r>
        <w:rPr>
          <w:rFonts w:hint="eastAsia" w:ascii="宋体" w:hAnsi="宋体" w:cs="宋体"/>
          <w:sz w:val="24"/>
        </w:rPr>
        <w:t>3、根据《财政部关于在政府采购活动中查询及使用信用记录的通知》（财库[2016]125号）的要求，截止至投标截止时间当日，采购代理机构将通过“信用中国”网站（www.creditchina.gov.cn）、“中国政府采购网”网站（www.ccgp.gov.cn）等渠道查询供应商的信用记录并保存信用记录结果网页截图，拒绝列入失信被执行人、重大税收违法案件当事人名单、政府采购严重违法失信行为记录名单中的供应商参加本项目的政府采购活动。</w:t>
      </w:r>
    </w:p>
    <w:p>
      <w:pPr>
        <w:pStyle w:val="6"/>
        <w:spacing w:line="360" w:lineRule="auto"/>
        <w:ind w:firstLine="482"/>
        <w:rPr>
          <w:rFonts w:ascii="宋体" w:hAnsi="宋体" w:cs="宋体"/>
          <w:b/>
          <w:sz w:val="24"/>
        </w:rPr>
      </w:pPr>
      <w:r>
        <w:rPr>
          <w:rFonts w:hint="eastAsia" w:ascii="宋体" w:hAnsi="宋体" w:cs="宋体"/>
          <w:b/>
          <w:sz w:val="24"/>
        </w:rPr>
        <w:t>其他类似效力要求：</w:t>
      </w:r>
    </w:p>
    <w:p>
      <w:pPr>
        <w:pStyle w:val="87"/>
        <w:tabs>
          <w:tab w:val="left" w:pos="1260"/>
        </w:tabs>
        <w:ind w:firstLine="679" w:firstLineChars="283"/>
        <w:rPr>
          <w:rFonts w:ascii="宋体" w:hAnsi="宋体" w:cs="宋体"/>
          <w:sz w:val="24"/>
        </w:rPr>
      </w:pPr>
      <w:r>
        <w:rPr>
          <w:rFonts w:hint="eastAsia" w:ascii="宋体" w:hAnsi="宋体" w:cs="宋体"/>
          <w:sz w:val="24"/>
        </w:rPr>
        <w:t>1、本项目</w:t>
      </w:r>
      <w:r>
        <w:rPr>
          <w:rFonts w:hint="eastAsia" w:ascii="宋体" w:hAnsi="宋体" w:cs="宋体"/>
          <w:sz w:val="24"/>
          <w:u w:val="single"/>
        </w:rPr>
        <w:t>不接受</w:t>
      </w:r>
      <w:r>
        <w:rPr>
          <w:rFonts w:hint="eastAsia" w:ascii="宋体" w:hAnsi="宋体" w:cs="宋体"/>
          <w:sz w:val="24"/>
        </w:rPr>
        <w:t>联合体参与投标。</w:t>
      </w:r>
    </w:p>
    <w:p>
      <w:pPr>
        <w:pStyle w:val="5"/>
        <w:spacing w:before="0" w:after="0" w:line="360" w:lineRule="auto"/>
        <w:rPr>
          <w:rFonts w:ascii="宋体" w:hAnsi="宋体" w:eastAsia="宋体" w:cs="宋体"/>
          <w:color w:val="000000"/>
          <w:sz w:val="24"/>
          <w:szCs w:val="24"/>
        </w:rPr>
      </w:pPr>
      <w:r>
        <w:rPr>
          <w:rFonts w:hint="eastAsia" w:ascii="宋体" w:hAnsi="宋体" w:eastAsia="宋体" w:cs="宋体"/>
          <w:b w:val="0"/>
          <w:bCs w:val="0"/>
          <w:color w:val="000000"/>
          <w:sz w:val="24"/>
          <w:szCs w:val="24"/>
        </w:rPr>
        <w:t>二、</w:t>
      </w:r>
      <w:r>
        <w:rPr>
          <w:rFonts w:hint="eastAsia" w:ascii="宋体" w:hAnsi="宋体" w:eastAsia="宋体" w:cs="宋体"/>
          <w:color w:val="000000"/>
          <w:sz w:val="24"/>
          <w:szCs w:val="24"/>
        </w:rPr>
        <w:t>投标产品的资格、资质性及其他类似效力要求</w:t>
      </w:r>
    </w:p>
    <w:p>
      <w:pPr>
        <w:spacing w:line="360" w:lineRule="auto"/>
        <w:rPr>
          <w:rFonts w:ascii="宋体" w:hAnsi="宋体" w:cs="宋体"/>
          <w:b/>
          <w:szCs w:val="21"/>
        </w:rPr>
      </w:pPr>
      <w:r>
        <w:rPr>
          <w:rFonts w:hint="eastAsia" w:ascii="宋体" w:hAnsi="宋体" w:cs="宋体"/>
          <w:sz w:val="24"/>
        </w:rPr>
        <w:t xml:space="preserve">    若采购产品为医疗器械的，投标产品须符合《医疗器械注册管理办法》要求并提供产品的注册/备案证明材料。</w:t>
      </w:r>
    </w:p>
    <w:p>
      <w:pPr>
        <w:pStyle w:val="87"/>
        <w:ind w:firstLine="0" w:firstLineChars="0"/>
        <w:rPr>
          <w:rFonts w:ascii="宋体" w:hAnsi="宋体" w:cs="宋体"/>
          <w:b/>
          <w:szCs w:val="21"/>
        </w:rPr>
      </w:pPr>
    </w:p>
    <w:p>
      <w:pPr>
        <w:pStyle w:val="87"/>
        <w:ind w:firstLine="0" w:firstLineChars="0"/>
        <w:rPr>
          <w:rFonts w:ascii="宋体" w:hAnsi="宋体" w:cs="宋体"/>
          <w:b/>
          <w:szCs w:val="21"/>
        </w:rPr>
      </w:pPr>
      <w:r>
        <w:rPr>
          <w:rFonts w:hint="eastAsia" w:ascii="宋体" w:hAnsi="宋体" w:cs="宋体"/>
          <w:b/>
          <w:szCs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款听证标准金额为准。</w:t>
      </w:r>
    </w:p>
    <w:p>
      <w:pPr>
        <w:pStyle w:val="87"/>
        <w:ind w:firstLine="420"/>
        <w:rPr>
          <w:rFonts w:ascii="宋体" w:hAnsi="宋体" w:cs="宋体"/>
        </w:rPr>
      </w:pPr>
      <w:bookmarkStart w:id="209" w:name="_Toc490290410"/>
    </w:p>
    <w:p>
      <w:pPr>
        <w:pStyle w:val="33"/>
        <w:spacing w:before="0" w:after="0" w:line="360" w:lineRule="auto"/>
        <w:rPr>
          <w:rFonts w:ascii="宋体" w:hAnsi="宋体" w:cs="宋体"/>
        </w:rPr>
      </w:pPr>
      <w:r>
        <w:rPr>
          <w:rFonts w:hint="eastAsia" w:ascii="宋体" w:hAnsi="宋体" w:cs="宋体"/>
          <w:b w:val="0"/>
          <w:szCs w:val="21"/>
        </w:rPr>
        <w:br w:type="page"/>
      </w:r>
      <w:bookmarkStart w:id="210" w:name="_Toc10454"/>
      <w:bookmarkStart w:id="211" w:name="_Toc7835"/>
      <w:r>
        <w:rPr>
          <w:rFonts w:hint="eastAsia" w:ascii="宋体" w:hAnsi="宋体" w:cs="宋体"/>
          <w:bCs w:val="0"/>
        </w:rPr>
        <w:t>第五章  投标人应当提供的资格、资质性及其他类似效力要求的相关证明材料</w:t>
      </w:r>
      <w:bookmarkEnd w:id="209"/>
      <w:bookmarkEnd w:id="210"/>
      <w:bookmarkEnd w:id="211"/>
    </w:p>
    <w:p>
      <w:pPr>
        <w:pStyle w:val="5"/>
        <w:spacing w:line="360" w:lineRule="auto"/>
        <w:jc w:val="left"/>
        <w:rPr>
          <w:rFonts w:ascii="宋体" w:hAnsi="宋体" w:eastAsia="宋体" w:cs="宋体"/>
          <w:sz w:val="24"/>
          <w:szCs w:val="24"/>
        </w:rPr>
      </w:pPr>
      <w:bookmarkStart w:id="212" w:name="_Toc490290411"/>
      <w:r>
        <w:rPr>
          <w:rFonts w:hint="eastAsia" w:ascii="宋体" w:hAnsi="宋体" w:eastAsia="宋体" w:cs="宋体"/>
          <w:sz w:val="24"/>
          <w:szCs w:val="24"/>
        </w:rPr>
        <w:t>一、应当提供的投标人资格、资质性及其他类似效力要求的相关证明材料</w:t>
      </w:r>
    </w:p>
    <w:p>
      <w:pPr>
        <w:spacing w:line="360" w:lineRule="auto"/>
        <w:jc w:val="left"/>
        <w:rPr>
          <w:rFonts w:ascii="宋体" w:hAnsi="宋体" w:cs="宋体"/>
          <w:b/>
          <w:bCs/>
          <w:sz w:val="24"/>
        </w:rPr>
      </w:pPr>
      <w:r>
        <w:rPr>
          <w:rFonts w:hint="eastAsia" w:ascii="宋体" w:hAnsi="宋体" w:cs="宋体"/>
          <w:b/>
          <w:bCs/>
          <w:sz w:val="24"/>
        </w:rPr>
        <w:t>（一）资格要求相关证明材料：</w:t>
      </w:r>
    </w:p>
    <w:p>
      <w:pPr>
        <w:pStyle w:val="87"/>
        <w:ind w:firstLine="480"/>
        <w:jc w:val="left"/>
        <w:rPr>
          <w:rFonts w:ascii="宋体" w:hAnsi="宋体" w:cs="宋体"/>
          <w:sz w:val="24"/>
        </w:rPr>
      </w:pPr>
      <w:r>
        <w:rPr>
          <w:rFonts w:hint="eastAsia" w:ascii="宋体" w:hAnsi="宋体" w:cs="宋体"/>
          <w:sz w:val="24"/>
        </w:rPr>
        <w:t>1、具有独立承担民事责任的能力</w:t>
      </w:r>
      <w:r>
        <w:rPr>
          <w:rFonts w:hint="eastAsia" w:ascii="宋体" w:hAnsi="宋体" w:cs="宋体"/>
          <w:b/>
          <w:color w:val="000000"/>
          <w:sz w:val="24"/>
        </w:rPr>
        <w:t>【</w:t>
      </w:r>
      <w:r>
        <w:rPr>
          <w:rFonts w:hint="eastAsia" w:ascii="宋体" w:hAnsi="宋体" w:cs="宋体"/>
          <w:b/>
          <w:bCs/>
          <w:sz w:val="24"/>
        </w:rPr>
        <w:t>注：①供应商若为企业法人：提供“统一社会信用代码营业执照”；未换证的提供“营业执照、税务登记证、组织机构代码证或三证合一的营业执照”；②若为事业法人：提供“统一社会信用代码事业单位法人证书”；未换证的提交“事业单位法人证书、组织机构代码证”；③若为其他组织：提供“对应主管部门颁发的准许执业证明文件或营业执照”；④若为自然人：提供“身份证明材料”。以上均提供原件原色电子件加盖投标人电子签章</w:t>
      </w:r>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2、具有良好商业信誉的证明材料</w:t>
      </w:r>
      <w:bookmarkStart w:id="213" w:name="_Hlk495647337"/>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bookmarkEnd w:id="213"/>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color w:val="FF0000"/>
          <w:sz w:val="24"/>
        </w:rPr>
      </w:pPr>
      <w:r>
        <w:rPr>
          <w:rFonts w:hint="eastAsia" w:ascii="宋体" w:hAnsi="宋体" w:cs="宋体"/>
          <w:sz w:val="24"/>
        </w:rPr>
        <w:t>3、具有健全的财务会计制度的证明材料</w:t>
      </w:r>
      <w:r>
        <w:rPr>
          <w:rFonts w:hint="eastAsia" w:ascii="宋体" w:hAnsi="宋体" w:cs="宋体"/>
          <w:b/>
          <w:sz w:val="24"/>
        </w:rPr>
        <w:t>【</w:t>
      </w:r>
      <w:r>
        <w:rPr>
          <w:rFonts w:hint="eastAsia" w:ascii="宋体" w:hAnsi="宋体" w:cs="宋体"/>
          <w:b/>
          <w:bCs/>
          <w:sz w:val="24"/>
        </w:rPr>
        <w:t>注：①提供2019年度或2020年度经审计的财务报告原件原色电子件加盖投标人电子签章</w:t>
      </w:r>
      <w:r>
        <w:rPr>
          <w:rFonts w:hint="eastAsia" w:ascii="宋体" w:hAnsi="宋体" w:cs="宋体"/>
          <w:b/>
          <w:bCs/>
          <w:color w:val="000000"/>
          <w:sz w:val="24"/>
        </w:rPr>
        <w:t>（包含审计报告和审计报告中所涉及的财务报表和报表附注）</w:t>
      </w:r>
      <w:r>
        <w:rPr>
          <w:rFonts w:hint="eastAsia" w:ascii="宋体" w:hAnsi="宋体" w:cs="宋体"/>
          <w:b/>
          <w:bCs/>
          <w:sz w:val="24"/>
        </w:rPr>
        <w:t>，</w:t>
      </w:r>
      <w:r>
        <w:rPr>
          <w:rFonts w:hint="eastAsia" w:ascii="宋体" w:hAnsi="宋体" w:cs="宋体"/>
          <w:b/>
          <w:sz w:val="24"/>
        </w:rPr>
        <w:t>或提供2020年度供应商内部的财务报表</w:t>
      </w:r>
      <w:r>
        <w:rPr>
          <w:rFonts w:hint="eastAsia" w:ascii="宋体" w:hAnsi="宋体" w:cs="宋体"/>
          <w:b/>
          <w:bCs/>
          <w:sz w:val="24"/>
        </w:rPr>
        <w:t>原件原色电子件加盖投标人电子签章</w:t>
      </w:r>
      <w:r>
        <w:rPr>
          <w:rFonts w:hint="eastAsia" w:ascii="宋体" w:hAnsi="宋体" w:cs="宋体"/>
          <w:b/>
          <w:sz w:val="24"/>
        </w:rPr>
        <w:t>（至少包含资产负债表），也可提供距文件递交截止日一年内银行出具的资信证明（</w:t>
      </w:r>
      <w:r>
        <w:rPr>
          <w:rFonts w:hint="eastAsia" w:ascii="宋体" w:hAnsi="宋体" w:cs="宋体"/>
          <w:b/>
          <w:bCs/>
          <w:sz w:val="24"/>
        </w:rPr>
        <w:t>原件原色电子件加盖投标人电子签章</w:t>
      </w:r>
      <w:r>
        <w:rPr>
          <w:rFonts w:hint="eastAsia" w:ascii="宋体" w:hAnsi="宋体" w:cs="宋体"/>
          <w:b/>
          <w:sz w:val="24"/>
        </w:rPr>
        <w:t>）；②投标人注册时间至文件递交截止日不足一年的，可提供加盖</w:t>
      </w:r>
      <w:r>
        <w:rPr>
          <w:rFonts w:hint="eastAsia" w:ascii="宋体" w:hAnsi="宋体" w:cs="宋体"/>
          <w:b/>
          <w:bCs/>
          <w:sz w:val="24"/>
        </w:rPr>
        <w:t>投标人电子签章</w:t>
      </w:r>
      <w:r>
        <w:rPr>
          <w:rFonts w:hint="eastAsia" w:ascii="宋体" w:hAnsi="宋体" w:cs="宋体"/>
          <w:b/>
          <w:sz w:val="24"/>
        </w:rPr>
        <w:t>的验资报告或递交响应文件截止日一年内开户行出具的资信证明，或在工商备案的公司章程（</w:t>
      </w:r>
      <w:r>
        <w:rPr>
          <w:rFonts w:hint="eastAsia" w:ascii="宋体" w:hAnsi="宋体" w:cs="宋体"/>
          <w:b/>
          <w:bCs/>
          <w:sz w:val="24"/>
        </w:rPr>
        <w:t>原件原色电子件加盖投标人电子签章</w:t>
      </w:r>
      <w:r>
        <w:rPr>
          <w:rFonts w:hint="eastAsia" w:ascii="宋体" w:hAnsi="宋体" w:cs="宋体"/>
          <w:b/>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4、具有依法缴纳税收和社会保障资金的良好记录</w:t>
      </w:r>
      <w:r>
        <w:rPr>
          <w:rFonts w:hint="eastAsia" w:ascii="宋体" w:hAnsi="宋体" w:cs="宋体"/>
          <w:b/>
          <w:color w:val="000000"/>
          <w:sz w:val="24"/>
        </w:rPr>
        <w:t>【</w:t>
      </w:r>
      <w:r>
        <w:rPr>
          <w:rFonts w:hint="eastAsia" w:ascii="宋体" w:hAnsi="宋体" w:cs="宋体"/>
          <w:b/>
          <w:bCs/>
          <w:sz w:val="24"/>
        </w:rPr>
        <w:t>注：</w:t>
      </w:r>
      <w:r>
        <w:rPr>
          <w:rFonts w:hint="eastAsia" w:ascii="宋体" w:hAnsi="宋体" w:cs="宋体"/>
          <w:b/>
          <w:bCs/>
          <w:sz w:val="24"/>
          <w:szCs w:val="22"/>
        </w:rPr>
        <w:t>①提供投标人缴纳2020年1月1日以来任意三个月缴纳税收的银行电子回单或者税务部门出具的纳税证明或完税证明材料的</w:t>
      </w:r>
      <w:r>
        <w:rPr>
          <w:rFonts w:hint="eastAsia" w:ascii="宋体" w:hAnsi="宋体" w:cs="宋体"/>
          <w:b/>
          <w:bCs/>
          <w:sz w:val="24"/>
        </w:rPr>
        <w:t>原件原色电子件加盖投标人电子签章</w:t>
      </w:r>
      <w:r>
        <w:rPr>
          <w:rFonts w:hint="eastAsia" w:ascii="宋体" w:hAnsi="宋体" w:cs="宋体"/>
          <w:b/>
          <w:bCs/>
          <w:sz w:val="24"/>
          <w:szCs w:val="22"/>
        </w:rPr>
        <w:t>，</w:t>
      </w:r>
      <w:r>
        <w:rPr>
          <w:rFonts w:hint="eastAsia" w:ascii="宋体" w:hAnsi="宋体" w:cs="宋体"/>
          <w:b/>
          <w:bCs/>
          <w:sz w:val="24"/>
          <w:szCs w:val="22"/>
          <w:lang w:val="zh-CN"/>
        </w:rPr>
        <w:t>也可</w:t>
      </w:r>
      <w:r>
        <w:rPr>
          <w:rFonts w:hint="eastAsia" w:ascii="宋体" w:hAnsi="宋体" w:cs="宋体"/>
          <w:b/>
          <w:bCs/>
          <w:sz w:val="24"/>
          <w:szCs w:val="22"/>
        </w:rPr>
        <w:t>提供承诺函，格式详见第三章 格式1-4。②提供投标人缴纳2020年1月1日以来任意三个月的缴纳社保的银行电子回单或社保部门出具的社保缴纳证明材料的</w:t>
      </w:r>
      <w:r>
        <w:rPr>
          <w:rFonts w:hint="eastAsia" w:ascii="宋体" w:hAnsi="宋体" w:cs="宋体"/>
          <w:b/>
          <w:bCs/>
          <w:sz w:val="24"/>
        </w:rPr>
        <w:t>原件原色电子件加盖投标人电子签章</w:t>
      </w:r>
      <w:r>
        <w:rPr>
          <w:rFonts w:hint="eastAsia" w:ascii="宋体" w:hAnsi="宋体" w:cs="宋体"/>
          <w:b/>
          <w:bCs/>
          <w:sz w:val="24"/>
          <w:szCs w:val="22"/>
        </w:rPr>
        <w:t>，</w:t>
      </w:r>
      <w:r>
        <w:rPr>
          <w:rFonts w:hint="eastAsia" w:ascii="宋体" w:hAnsi="宋体" w:cs="宋体"/>
          <w:b/>
          <w:bCs/>
          <w:sz w:val="24"/>
          <w:szCs w:val="22"/>
          <w:lang w:val="zh-CN"/>
        </w:rPr>
        <w:t>也可</w:t>
      </w:r>
      <w:r>
        <w:rPr>
          <w:rFonts w:hint="eastAsia" w:ascii="宋体" w:hAnsi="宋体" w:cs="宋体"/>
          <w:b/>
          <w:bCs/>
          <w:sz w:val="24"/>
          <w:szCs w:val="22"/>
        </w:rPr>
        <w:t>提供承诺函，格式详见第三章 格式1-4。</w:t>
      </w:r>
      <w:r>
        <w:rPr>
          <w:rFonts w:hint="eastAsia" w:ascii="宋体" w:hAnsi="宋体" w:cs="宋体"/>
          <w:color w:val="000000"/>
          <w:sz w:val="24"/>
        </w:rPr>
        <w:t>】</w:t>
      </w:r>
      <w:r>
        <w:rPr>
          <w:rFonts w:hint="eastAsia" w:ascii="宋体" w:hAnsi="宋体" w:cs="宋体"/>
          <w:b/>
          <w:bCs/>
          <w:sz w:val="24"/>
        </w:rPr>
        <w:t>；</w:t>
      </w:r>
    </w:p>
    <w:p>
      <w:pPr>
        <w:pStyle w:val="87"/>
        <w:ind w:firstLine="480"/>
        <w:jc w:val="left"/>
        <w:rPr>
          <w:rFonts w:ascii="宋体" w:hAnsi="宋体" w:cs="宋体"/>
          <w:sz w:val="24"/>
        </w:rPr>
      </w:pPr>
      <w:r>
        <w:rPr>
          <w:rFonts w:hint="eastAsia" w:ascii="宋体" w:hAnsi="宋体" w:cs="宋体"/>
          <w:sz w:val="24"/>
        </w:rPr>
        <w:t>5、具备履行合同所必需的设备和专业技术能力的证明材料</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6、参加政府采购活动前3年内在经营活动中没有重大违法记录</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sz w:val="24"/>
        </w:rPr>
        <w:t>；</w:t>
      </w:r>
    </w:p>
    <w:p>
      <w:pPr>
        <w:pStyle w:val="87"/>
        <w:ind w:firstLine="480"/>
        <w:jc w:val="left"/>
        <w:rPr>
          <w:rFonts w:ascii="宋体" w:hAnsi="宋体" w:cs="宋体"/>
          <w:sz w:val="24"/>
        </w:rPr>
      </w:pPr>
      <w:r>
        <w:rPr>
          <w:rFonts w:hint="eastAsia" w:ascii="宋体" w:hAnsi="宋体" w:cs="宋体"/>
          <w:sz w:val="24"/>
        </w:rPr>
        <w:t>7、符合法律、行政法规规定的其他条件的证明材料</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8、本项目参加政府采购活动的投标人、法定代表人/主要负责人近3年内不得具有行贿犯罪记录。</w:t>
      </w:r>
      <w:r>
        <w:rPr>
          <w:rFonts w:hint="eastAsia" w:ascii="宋体" w:hAnsi="宋体" w:cs="宋体"/>
          <w:b/>
          <w:color w:val="000000"/>
          <w:sz w:val="24"/>
        </w:rPr>
        <w:t>【</w:t>
      </w:r>
      <w:r>
        <w:rPr>
          <w:rFonts w:hint="eastAsia" w:ascii="宋体" w:hAnsi="宋体" w:cs="宋体"/>
          <w:b/>
          <w:bCs/>
          <w:sz w:val="24"/>
          <w:szCs w:val="22"/>
        </w:rPr>
        <w:t>注：按第三章的格式1-4及要求提供书面承诺函原件</w:t>
      </w:r>
      <w:r>
        <w:rPr>
          <w:rFonts w:hint="eastAsia" w:ascii="宋体" w:hAnsi="宋体" w:cs="宋体"/>
          <w:color w:val="000000"/>
          <w:sz w:val="24"/>
        </w:rPr>
        <w:t>】</w:t>
      </w:r>
      <w:r>
        <w:rPr>
          <w:rFonts w:hint="eastAsia" w:ascii="宋体" w:hAnsi="宋体" w:cs="宋体"/>
          <w:b/>
          <w:bCs/>
          <w:sz w:val="24"/>
        </w:rPr>
        <w:t>；</w:t>
      </w:r>
    </w:p>
    <w:p>
      <w:pPr>
        <w:spacing w:line="360" w:lineRule="auto"/>
        <w:ind w:firstLine="480" w:firstLineChars="200"/>
        <w:jc w:val="left"/>
        <w:rPr>
          <w:rFonts w:ascii="宋体" w:hAnsi="宋体" w:cs="宋体"/>
          <w:b/>
          <w:bCs/>
          <w:sz w:val="24"/>
        </w:rPr>
      </w:pPr>
      <w:r>
        <w:rPr>
          <w:rFonts w:hint="eastAsia" w:ascii="宋体" w:hAnsi="宋体" w:cs="宋体"/>
          <w:sz w:val="24"/>
        </w:rPr>
        <w:t>9、若采购产品为医疗器械的，投标人须符合《医疗器械监督管理条例》要求并提供投标人经营该产品的经营许可/经营备案证明材料。【</w:t>
      </w:r>
      <w:r>
        <w:rPr>
          <w:rFonts w:hint="eastAsia" w:ascii="宋体" w:hAnsi="宋体" w:cs="宋体"/>
          <w:b/>
          <w:bCs/>
          <w:sz w:val="24"/>
        </w:rPr>
        <w:t>提供相关证明材料原件原色电子件加盖投标人电子签章</w:t>
      </w:r>
      <w:r>
        <w:rPr>
          <w:rFonts w:hint="eastAsia" w:ascii="宋体" w:hAnsi="宋体" w:cs="宋体"/>
          <w:sz w:val="24"/>
        </w:rPr>
        <w:t>】</w:t>
      </w:r>
    </w:p>
    <w:p>
      <w:pPr>
        <w:pStyle w:val="87"/>
        <w:ind w:firstLine="0" w:firstLineChars="0"/>
        <w:rPr>
          <w:rFonts w:ascii="宋体" w:hAnsi="宋体" w:cs="宋体"/>
          <w:b/>
          <w:bCs/>
          <w:sz w:val="24"/>
        </w:rPr>
      </w:pPr>
      <w:r>
        <w:rPr>
          <w:rFonts w:hint="eastAsia" w:ascii="宋体" w:hAnsi="宋体" w:cs="宋体"/>
          <w:b/>
          <w:bCs/>
          <w:sz w:val="24"/>
        </w:rPr>
        <w:t>（二）其他类似效力要求相关证明材料：</w:t>
      </w:r>
    </w:p>
    <w:p>
      <w:pPr>
        <w:spacing w:line="360" w:lineRule="auto"/>
        <w:ind w:firstLine="480" w:firstLineChars="200"/>
        <w:jc w:val="left"/>
        <w:rPr>
          <w:rFonts w:ascii="宋体" w:hAnsi="宋体" w:cs="宋体"/>
          <w:b/>
          <w:bCs/>
          <w:sz w:val="24"/>
        </w:rPr>
      </w:pPr>
      <w:r>
        <w:rPr>
          <w:rFonts w:hint="eastAsia" w:ascii="宋体" w:hAnsi="宋体" w:cs="宋体"/>
          <w:bCs/>
          <w:sz w:val="24"/>
        </w:rPr>
        <w:t>1、法定代表人/单位负责人身份证明材料；</w:t>
      </w:r>
      <w:r>
        <w:rPr>
          <w:rFonts w:hint="eastAsia" w:ascii="宋体" w:hAnsi="宋体" w:cs="宋体"/>
          <w:sz w:val="24"/>
        </w:rPr>
        <w:t>【</w:t>
      </w:r>
      <w:r>
        <w:rPr>
          <w:rFonts w:hint="eastAsia" w:ascii="宋体" w:hAnsi="宋体" w:cs="宋体"/>
          <w:b/>
          <w:bCs/>
          <w:sz w:val="24"/>
        </w:rPr>
        <w:t>提供相关证明材料原件原色电子件加盖投标人电子签章</w:t>
      </w:r>
      <w:r>
        <w:rPr>
          <w:rFonts w:hint="eastAsia" w:ascii="宋体" w:hAnsi="宋体" w:cs="宋体"/>
          <w:sz w:val="24"/>
        </w:rPr>
        <w:t>】</w:t>
      </w:r>
    </w:p>
    <w:p>
      <w:pPr>
        <w:spacing w:line="360" w:lineRule="auto"/>
        <w:ind w:firstLine="480" w:firstLineChars="200"/>
        <w:jc w:val="left"/>
        <w:rPr>
          <w:rFonts w:ascii="宋体" w:hAnsi="宋体" w:cs="宋体"/>
          <w:b/>
          <w:bCs/>
          <w:sz w:val="24"/>
        </w:rPr>
      </w:pPr>
      <w:r>
        <w:rPr>
          <w:rFonts w:hint="eastAsia" w:ascii="宋体" w:hAnsi="宋体" w:cs="宋体"/>
          <w:bCs/>
          <w:sz w:val="24"/>
        </w:rPr>
        <w:t>2、投标人为非法定代表人，需提供法定代表人授权书原件及法定代表人与被授权人身份证；</w:t>
      </w:r>
      <w:r>
        <w:rPr>
          <w:rFonts w:hint="eastAsia" w:ascii="宋体" w:hAnsi="宋体" w:cs="宋体"/>
          <w:sz w:val="24"/>
        </w:rPr>
        <w:t>【</w:t>
      </w:r>
      <w:r>
        <w:rPr>
          <w:rFonts w:hint="eastAsia" w:ascii="宋体" w:hAnsi="宋体" w:cs="宋体"/>
          <w:b/>
          <w:bCs/>
          <w:sz w:val="24"/>
        </w:rPr>
        <w:t>提供相关证明材料原件原色电子件加盖投标人电子签章</w:t>
      </w:r>
      <w:r>
        <w:rPr>
          <w:rFonts w:hint="eastAsia" w:ascii="宋体" w:hAnsi="宋体" w:cs="宋体"/>
          <w:sz w:val="24"/>
        </w:rPr>
        <w:t>】</w:t>
      </w:r>
    </w:p>
    <w:p>
      <w:pPr>
        <w:pStyle w:val="87"/>
        <w:ind w:firstLine="480"/>
        <w:rPr>
          <w:rFonts w:ascii="宋体" w:hAnsi="宋体" w:cs="宋体"/>
          <w:bCs/>
          <w:sz w:val="24"/>
        </w:rPr>
      </w:pPr>
    </w:p>
    <w:p>
      <w:pPr>
        <w:pStyle w:val="5"/>
        <w:spacing w:line="360" w:lineRule="auto"/>
        <w:jc w:val="left"/>
        <w:rPr>
          <w:rFonts w:ascii="宋体" w:hAnsi="宋体" w:eastAsia="宋体" w:cs="宋体"/>
          <w:sz w:val="24"/>
          <w:szCs w:val="24"/>
        </w:rPr>
      </w:pPr>
      <w:r>
        <w:rPr>
          <w:rFonts w:hint="eastAsia" w:ascii="宋体" w:hAnsi="宋体" w:eastAsia="宋体" w:cs="宋体"/>
          <w:sz w:val="24"/>
          <w:szCs w:val="24"/>
        </w:rPr>
        <w:t>二、应当提供的投标产品的资格、资质性及其他类似效力要求：</w:t>
      </w:r>
    </w:p>
    <w:bookmarkEnd w:id="212"/>
    <w:p>
      <w:pPr>
        <w:spacing w:line="360" w:lineRule="auto"/>
        <w:ind w:firstLine="480" w:firstLineChars="200"/>
        <w:jc w:val="left"/>
        <w:rPr>
          <w:rFonts w:ascii="宋体" w:hAnsi="宋体" w:cs="宋体"/>
          <w:sz w:val="24"/>
        </w:rPr>
      </w:pPr>
      <w:bookmarkStart w:id="214" w:name="_Toc217446093"/>
      <w:r>
        <w:rPr>
          <w:rFonts w:hint="eastAsia" w:ascii="宋体" w:hAnsi="宋体" w:cs="宋体"/>
          <w:sz w:val="24"/>
        </w:rPr>
        <w:t>1、若采购产品为医疗器械的，投标产品须符合《医疗器械注册管理办法》要求并提供产品的注册/备案证明材料。【</w:t>
      </w:r>
      <w:r>
        <w:rPr>
          <w:rFonts w:hint="eastAsia" w:ascii="宋体" w:hAnsi="宋体" w:cs="宋体"/>
          <w:b/>
          <w:bCs/>
          <w:sz w:val="24"/>
        </w:rPr>
        <w:t>提供相关证明材料原件原色电子件加盖投标人电子签章</w:t>
      </w:r>
      <w:r>
        <w:rPr>
          <w:rFonts w:hint="eastAsia" w:ascii="宋体" w:hAnsi="宋体" w:cs="宋体"/>
          <w:sz w:val="24"/>
        </w:rPr>
        <w:t>】</w:t>
      </w:r>
    </w:p>
    <w:p>
      <w:pPr>
        <w:spacing w:line="360" w:lineRule="auto"/>
        <w:rPr>
          <w:rFonts w:ascii="宋体" w:hAnsi="宋体" w:cs="宋体"/>
          <w:b/>
          <w:szCs w:val="21"/>
        </w:rPr>
      </w:pPr>
      <w:r>
        <w:rPr>
          <w:rFonts w:hint="eastAsia" w:ascii="宋体" w:hAnsi="宋体" w:cs="宋体"/>
          <w:b/>
          <w:szCs w:val="21"/>
        </w:rPr>
        <w:t>注：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numPr>
          <w:ilvl w:val="0"/>
          <w:numId w:val="12"/>
        </w:numPr>
        <w:spacing w:line="360" w:lineRule="auto"/>
        <w:ind w:firstLine="413" w:firstLineChars="196"/>
        <w:rPr>
          <w:rFonts w:ascii="宋体" w:hAnsi="宋体" w:cs="宋体"/>
          <w:b/>
          <w:szCs w:val="21"/>
        </w:rPr>
      </w:pPr>
      <w:r>
        <w:rPr>
          <w:rFonts w:hint="eastAsia" w:ascii="宋体" w:hAnsi="宋体" w:cs="宋体"/>
          <w:b/>
          <w:szCs w:val="21"/>
        </w:rPr>
        <w:t>本章要求提供的相关证明材料应当结合采购项目具体情况和投标人的组织机构性质确定，不得一概而论。</w:t>
      </w:r>
      <w:bookmarkStart w:id="215" w:name="_Toc490290413"/>
      <w:bookmarkStart w:id="216" w:name="_Hlk490467174"/>
    </w:p>
    <w:p>
      <w:pPr>
        <w:numPr>
          <w:ilvl w:val="0"/>
          <w:numId w:val="12"/>
        </w:numPr>
        <w:spacing w:line="360" w:lineRule="auto"/>
        <w:ind w:firstLine="413" w:firstLineChars="196"/>
        <w:rPr>
          <w:rFonts w:ascii="宋体" w:hAnsi="宋体" w:cs="宋体"/>
          <w:b/>
          <w:szCs w:val="21"/>
        </w:rPr>
      </w:pPr>
      <w:r>
        <w:rPr>
          <w:rFonts w:hint="eastAsia" w:ascii="宋体" w:hAnsi="宋体" w:cs="宋体"/>
          <w:b/>
          <w:szCs w:val="21"/>
        </w:rPr>
        <w:t>本章要求按第三章的格式1-4及要求提供书面承诺函原件的条款只需提供一份涵盖所有内容的承诺函，不需多份提供。</w:t>
      </w:r>
    </w:p>
    <w:p>
      <w:pPr>
        <w:pStyle w:val="33"/>
        <w:spacing w:line="360" w:lineRule="auto"/>
        <w:rPr>
          <w:rFonts w:ascii="宋体" w:hAnsi="宋体" w:cs="宋体"/>
        </w:rPr>
      </w:pPr>
      <w:r>
        <w:rPr>
          <w:rFonts w:hint="eastAsia" w:ascii="宋体" w:hAnsi="宋体" w:cs="宋体"/>
        </w:rPr>
        <w:br w:type="page"/>
      </w:r>
      <w:bookmarkStart w:id="217" w:name="_Toc30426"/>
      <w:bookmarkStart w:id="218" w:name="_Toc32366"/>
      <w:r>
        <w:rPr>
          <w:rFonts w:hint="eastAsia" w:ascii="宋体" w:hAnsi="宋体" w:cs="宋体"/>
        </w:rPr>
        <w:t>第六章 招标项目技术、服务、政府采购合同内容条款及其他商务要求</w:t>
      </w:r>
      <w:bookmarkEnd w:id="214"/>
      <w:bookmarkEnd w:id="215"/>
      <w:bookmarkEnd w:id="217"/>
      <w:bookmarkEnd w:id="218"/>
    </w:p>
    <w:bookmarkEnd w:id="216"/>
    <w:p>
      <w:pPr>
        <w:pStyle w:val="2"/>
        <w:spacing w:after="0" w:line="360" w:lineRule="auto"/>
        <w:rPr>
          <w:rFonts w:ascii="宋体" w:hAnsi="宋体" w:eastAsia="Times New Roman" w:cs="宋体"/>
          <w:b/>
          <w:bCs/>
          <w:sz w:val="24"/>
        </w:rPr>
      </w:pPr>
      <w:bookmarkStart w:id="219" w:name="_Toc490290414"/>
      <w:r>
        <w:rPr>
          <w:rFonts w:hint="eastAsia" w:ascii="宋体" w:hAnsi="宋体" w:eastAsia="Times New Roman" w:cs="宋体"/>
          <w:b/>
          <w:bCs/>
          <w:sz w:val="24"/>
        </w:rPr>
        <w:t>一、项目概述</w:t>
      </w:r>
    </w:p>
    <w:p>
      <w:pPr>
        <w:widowControl/>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1、项目概况：本项目共3个包，采购</w:t>
      </w:r>
      <w:r>
        <w:rPr>
          <w:rFonts w:hint="eastAsia" w:ascii="宋体" w:hAnsi="宋体" w:cs="宋体"/>
          <w:sz w:val="24"/>
        </w:rPr>
        <w:t>医疗设备</w:t>
      </w:r>
      <w:r>
        <w:rPr>
          <w:rFonts w:hint="eastAsia" w:ascii="宋体" w:hAnsi="宋体"/>
          <w:kern w:val="0"/>
          <w:sz w:val="24"/>
        </w:rPr>
        <w:t>一批：</w:t>
      </w:r>
    </w:p>
    <w:p>
      <w:pPr>
        <w:widowControl/>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2、采购清单、标的名称及所属行业：</w:t>
      </w:r>
    </w:p>
    <w:tbl>
      <w:tblPr>
        <w:tblStyle w:val="35"/>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50"/>
        <w:gridCol w:w="2687"/>
        <w:gridCol w:w="700"/>
        <w:gridCol w:w="763"/>
        <w:gridCol w:w="1012"/>
        <w:gridCol w:w="1025"/>
        <w:gridCol w:w="788"/>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Align w:val="center"/>
          </w:tcPr>
          <w:p>
            <w:pPr>
              <w:widowControl/>
              <w:jc w:val="center"/>
              <w:rPr>
                <w:rFonts w:ascii="宋体" w:hAnsi="宋体" w:cs="宋体"/>
                <w:kern w:val="0"/>
                <w:sz w:val="24"/>
              </w:rPr>
            </w:pPr>
            <w:r>
              <w:rPr>
                <w:rFonts w:hint="eastAsia" w:ascii="宋体" w:hAnsi="宋体" w:cs="宋体"/>
                <w:kern w:val="0"/>
                <w:sz w:val="24"/>
              </w:rPr>
              <w:t>包号</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序号</w:t>
            </w:r>
          </w:p>
        </w:tc>
        <w:tc>
          <w:tcPr>
            <w:tcW w:w="2687" w:type="dxa"/>
            <w:vAlign w:val="center"/>
          </w:tcPr>
          <w:p>
            <w:pPr>
              <w:widowControl/>
              <w:jc w:val="center"/>
              <w:rPr>
                <w:rFonts w:ascii="宋体" w:hAnsi="宋体" w:cs="宋体"/>
                <w:kern w:val="0"/>
                <w:sz w:val="24"/>
              </w:rPr>
            </w:pPr>
            <w:r>
              <w:rPr>
                <w:rFonts w:hint="eastAsia" w:ascii="宋体" w:hAnsi="宋体" w:cs="宋体"/>
                <w:kern w:val="0"/>
                <w:sz w:val="24"/>
              </w:rPr>
              <w:t>产品名称</w:t>
            </w:r>
          </w:p>
          <w:p>
            <w:pPr>
              <w:widowControl/>
              <w:jc w:val="center"/>
              <w:rPr>
                <w:rFonts w:ascii="宋体" w:hAnsi="宋体" w:cs="宋体"/>
                <w:kern w:val="0"/>
                <w:sz w:val="24"/>
              </w:rPr>
            </w:pPr>
            <w:r>
              <w:rPr>
                <w:rFonts w:hint="eastAsia" w:ascii="宋体" w:hAnsi="宋体" w:cs="宋体"/>
                <w:kern w:val="0"/>
                <w:sz w:val="24"/>
              </w:rPr>
              <w:t>（标的名称）</w:t>
            </w:r>
          </w:p>
        </w:tc>
        <w:tc>
          <w:tcPr>
            <w:tcW w:w="700" w:type="dxa"/>
            <w:vAlign w:val="center"/>
          </w:tcPr>
          <w:p>
            <w:pPr>
              <w:widowControl/>
              <w:jc w:val="center"/>
              <w:rPr>
                <w:rFonts w:ascii="宋体" w:hAnsi="宋体" w:cs="宋体"/>
                <w:kern w:val="0"/>
                <w:sz w:val="24"/>
              </w:rPr>
            </w:pPr>
            <w:r>
              <w:rPr>
                <w:rFonts w:hint="eastAsia" w:ascii="宋体" w:hAnsi="宋体" w:cs="宋体"/>
                <w:kern w:val="0"/>
                <w:sz w:val="24"/>
              </w:rPr>
              <w:t>单位</w:t>
            </w:r>
          </w:p>
        </w:tc>
        <w:tc>
          <w:tcPr>
            <w:tcW w:w="763" w:type="dxa"/>
            <w:vAlign w:val="center"/>
          </w:tcPr>
          <w:p>
            <w:pPr>
              <w:widowControl/>
              <w:jc w:val="center"/>
              <w:rPr>
                <w:rFonts w:ascii="宋体" w:hAnsi="宋体" w:cs="宋体"/>
                <w:kern w:val="0"/>
                <w:sz w:val="24"/>
              </w:rPr>
            </w:pPr>
            <w:r>
              <w:rPr>
                <w:rFonts w:hint="eastAsia" w:ascii="宋体" w:hAnsi="宋体" w:cs="宋体"/>
                <w:kern w:val="0"/>
                <w:sz w:val="24"/>
              </w:rPr>
              <w:t>数量</w:t>
            </w:r>
          </w:p>
        </w:tc>
        <w:tc>
          <w:tcPr>
            <w:tcW w:w="1012" w:type="dxa"/>
            <w:vAlign w:val="center"/>
          </w:tcPr>
          <w:p>
            <w:pPr>
              <w:widowControl/>
              <w:jc w:val="center"/>
              <w:rPr>
                <w:rFonts w:ascii="宋体" w:hAnsi="宋体" w:cs="宋体"/>
                <w:kern w:val="0"/>
                <w:sz w:val="24"/>
              </w:rPr>
            </w:pPr>
            <w:r>
              <w:rPr>
                <w:rFonts w:hint="eastAsia" w:ascii="宋体" w:hAnsi="宋体" w:cs="宋体"/>
                <w:kern w:val="0"/>
                <w:sz w:val="24"/>
              </w:rPr>
              <w:t>单价最高限价(万元)</w:t>
            </w:r>
          </w:p>
        </w:tc>
        <w:tc>
          <w:tcPr>
            <w:tcW w:w="1025" w:type="dxa"/>
            <w:vAlign w:val="center"/>
          </w:tcPr>
          <w:p>
            <w:pPr>
              <w:widowControl/>
              <w:jc w:val="center"/>
              <w:rPr>
                <w:rFonts w:ascii="宋体" w:hAnsi="宋体" w:cs="宋体"/>
                <w:kern w:val="0"/>
                <w:sz w:val="24"/>
              </w:rPr>
            </w:pPr>
            <w:r>
              <w:rPr>
                <w:rFonts w:hint="eastAsia" w:ascii="宋体" w:hAnsi="宋体" w:cs="宋体"/>
                <w:kern w:val="0"/>
                <w:sz w:val="24"/>
              </w:rPr>
              <w:t>总价最高限价(万元)</w:t>
            </w:r>
          </w:p>
        </w:tc>
        <w:tc>
          <w:tcPr>
            <w:tcW w:w="788" w:type="dxa"/>
            <w:vAlign w:val="center"/>
          </w:tcPr>
          <w:p>
            <w:pPr>
              <w:widowControl/>
              <w:jc w:val="center"/>
              <w:rPr>
                <w:rFonts w:ascii="宋体" w:hAnsi="宋体" w:cs="宋体"/>
                <w:kern w:val="0"/>
                <w:sz w:val="24"/>
              </w:rPr>
            </w:pPr>
            <w:r>
              <w:rPr>
                <w:rFonts w:hint="eastAsia" w:ascii="宋体" w:hAnsi="宋体" w:cs="宋体"/>
                <w:kern w:val="0"/>
                <w:sz w:val="24"/>
              </w:rPr>
              <w:t>所属行业</w:t>
            </w:r>
          </w:p>
        </w:tc>
        <w:tc>
          <w:tcPr>
            <w:tcW w:w="1193" w:type="dxa"/>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5" w:type="dxa"/>
            <w:vMerge w:val="restart"/>
            <w:vAlign w:val="center"/>
          </w:tcPr>
          <w:p>
            <w:pPr>
              <w:widowControl/>
              <w:jc w:val="center"/>
              <w:rPr>
                <w:rFonts w:ascii="宋体" w:hAnsi="宋体" w:cs="宋体"/>
                <w:kern w:val="0"/>
                <w:sz w:val="24"/>
              </w:rPr>
            </w:pPr>
            <w:r>
              <w:rPr>
                <w:rFonts w:hint="eastAsia" w:ascii="宋体" w:hAnsi="宋体" w:cs="宋体"/>
                <w:kern w:val="0"/>
                <w:sz w:val="24"/>
              </w:rPr>
              <w:t>第一包</w:t>
            </w:r>
          </w:p>
        </w:tc>
        <w:tc>
          <w:tcPr>
            <w:tcW w:w="750" w:type="dxa"/>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1</w:t>
            </w:r>
          </w:p>
        </w:tc>
        <w:tc>
          <w:tcPr>
            <w:tcW w:w="2687"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全自动生化分析仪</w:t>
            </w:r>
          </w:p>
          <w:p>
            <w:pPr>
              <w:widowControl/>
              <w:jc w:val="center"/>
              <w:textAlignment w:val="center"/>
              <w:rPr>
                <w:rFonts w:ascii="宋体" w:hAnsi="宋体" w:cs="宋体"/>
                <w:kern w:val="0"/>
                <w:sz w:val="24"/>
                <w:lang w:bidi="ar"/>
              </w:rPr>
            </w:pPr>
            <w:r>
              <w:rPr>
                <w:rFonts w:hint="eastAsia" w:ascii="宋体" w:hAnsi="宋体" w:cs="宋体"/>
                <w:kern w:val="0"/>
                <w:sz w:val="24"/>
                <w:lang w:bidi="ar"/>
              </w:rPr>
              <w:t>（核心产品）</w:t>
            </w:r>
          </w:p>
        </w:tc>
        <w:tc>
          <w:tcPr>
            <w:tcW w:w="70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台</w:t>
            </w:r>
          </w:p>
        </w:tc>
        <w:tc>
          <w:tcPr>
            <w:tcW w:w="76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w:t>
            </w:r>
          </w:p>
        </w:tc>
        <w:tc>
          <w:tcPr>
            <w:tcW w:w="101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200</w:t>
            </w:r>
          </w:p>
        </w:tc>
        <w:tc>
          <w:tcPr>
            <w:tcW w:w="1025" w:type="dxa"/>
            <w:vMerge w:val="restart"/>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500</w:t>
            </w:r>
          </w:p>
        </w:tc>
        <w:tc>
          <w:tcPr>
            <w:tcW w:w="788"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工业</w:t>
            </w:r>
          </w:p>
        </w:tc>
        <w:tc>
          <w:tcPr>
            <w:tcW w:w="119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5" w:type="dxa"/>
            <w:vMerge w:val="continue"/>
            <w:vAlign w:val="center"/>
          </w:tcPr>
          <w:p>
            <w:pPr>
              <w:widowControl/>
              <w:jc w:val="center"/>
              <w:rPr>
                <w:rFonts w:ascii="宋体" w:hAnsi="宋体" w:cs="宋体"/>
                <w:kern w:val="0"/>
                <w:sz w:val="24"/>
              </w:rPr>
            </w:pPr>
          </w:p>
        </w:tc>
        <w:tc>
          <w:tcPr>
            <w:tcW w:w="750" w:type="dxa"/>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2</w:t>
            </w:r>
          </w:p>
        </w:tc>
        <w:tc>
          <w:tcPr>
            <w:tcW w:w="2687"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全自动发光免疫分析仪</w:t>
            </w:r>
          </w:p>
        </w:tc>
        <w:tc>
          <w:tcPr>
            <w:tcW w:w="70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台</w:t>
            </w:r>
          </w:p>
        </w:tc>
        <w:tc>
          <w:tcPr>
            <w:tcW w:w="76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w:t>
            </w:r>
          </w:p>
        </w:tc>
        <w:tc>
          <w:tcPr>
            <w:tcW w:w="101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50</w:t>
            </w:r>
          </w:p>
        </w:tc>
        <w:tc>
          <w:tcPr>
            <w:tcW w:w="1025" w:type="dxa"/>
            <w:vMerge w:val="continue"/>
            <w:vAlign w:val="center"/>
          </w:tcPr>
          <w:p>
            <w:pPr>
              <w:widowControl/>
              <w:jc w:val="center"/>
              <w:textAlignment w:val="center"/>
              <w:rPr>
                <w:rFonts w:ascii="宋体" w:hAnsi="宋体" w:cs="宋体"/>
                <w:kern w:val="0"/>
                <w:sz w:val="24"/>
                <w:lang w:bidi="ar"/>
              </w:rPr>
            </w:pPr>
          </w:p>
        </w:tc>
        <w:tc>
          <w:tcPr>
            <w:tcW w:w="788"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工业</w:t>
            </w:r>
          </w:p>
        </w:tc>
        <w:tc>
          <w:tcPr>
            <w:tcW w:w="119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5" w:type="dxa"/>
            <w:vAlign w:val="center"/>
          </w:tcPr>
          <w:p>
            <w:pPr>
              <w:widowControl/>
              <w:jc w:val="center"/>
              <w:rPr>
                <w:rFonts w:ascii="宋体" w:hAnsi="宋体" w:cs="宋体"/>
                <w:kern w:val="0"/>
                <w:sz w:val="24"/>
              </w:rPr>
            </w:pPr>
            <w:r>
              <w:rPr>
                <w:rFonts w:hint="eastAsia" w:ascii="宋体" w:hAnsi="宋体" w:cs="宋体"/>
                <w:kern w:val="0"/>
                <w:sz w:val="24"/>
              </w:rPr>
              <w:t>第二包</w:t>
            </w:r>
          </w:p>
        </w:tc>
        <w:tc>
          <w:tcPr>
            <w:tcW w:w="75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2687"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全自动凝血分析流水线</w:t>
            </w:r>
          </w:p>
        </w:tc>
        <w:tc>
          <w:tcPr>
            <w:tcW w:w="70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套</w:t>
            </w:r>
          </w:p>
        </w:tc>
        <w:tc>
          <w:tcPr>
            <w:tcW w:w="76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101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350</w:t>
            </w:r>
          </w:p>
        </w:tc>
        <w:tc>
          <w:tcPr>
            <w:tcW w:w="1025"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350</w:t>
            </w:r>
          </w:p>
        </w:tc>
        <w:tc>
          <w:tcPr>
            <w:tcW w:w="788"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工业</w:t>
            </w:r>
          </w:p>
        </w:tc>
        <w:tc>
          <w:tcPr>
            <w:tcW w:w="119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5" w:type="dxa"/>
            <w:vMerge w:val="restart"/>
            <w:vAlign w:val="center"/>
          </w:tcPr>
          <w:p>
            <w:pPr>
              <w:widowControl/>
              <w:jc w:val="center"/>
              <w:rPr>
                <w:rFonts w:ascii="宋体" w:hAnsi="宋体" w:cs="宋体"/>
                <w:kern w:val="0"/>
                <w:sz w:val="24"/>
              </w:rPr>
            </w:pPr>
            <w:r>
              <w:rPr>
                <w:rFonts w:hint="eastAsia" w:ascii="宋体" w:hAnsi="宋体" w:cs="宋体"/>
                <w:kern w:val="0"/>
                <w:sz w:val="24"/>
              </w:rPr>
              <w:t>第三包</w:t>
            </w:r>
          </w:p>
        </w:tc>
        <w:tc>
          <w:tcPr>
            <w:tcW w:w="75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2687"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五分类血细胞分析仪（核心产品）</w:t>
            </w:r>
          </w:p>
        </w:tc>
        <w:tc>
          <w:tcPr>
            <w:tcW w:w="70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台</w:t>
            </w:r>
          </w:p>
        </w:tc>
        <w:tc>
          <w:tcPr>
            <w:tcW w:w="76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1012" w:type="dxa"/>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39.5</w:t>
            </w:r>
          </w:p>
        </w:tc>
        <w:tc>
          <w:tcPr>
            <w:tcW w:w="1025" w:type="dxa"/>
            <w:vMerge w:val="restart"/>
            <w:vAlign w:val="center"/>
          </w:tcPr>
          <w:p>
            <w:pPr>
              <w:widowControl/>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148</w:t>
            </w:r>
            <w:bookmarkStart w:id="248" w:name="_GoBack"/>
            <w:bookmarkEnd w:id="248"/>
            <w:r>
              <w:rPr>
                <w:rFonts w:hint="eastAsia" w:ascii="宋体" w:hAnsi="宋体" w:cs="宋体"/>
                <w:kern w:val="0"/>
                <w:sz w:val="24"/>
                <w:lang w:val="en-US" w:eastAsia="zh-CN" w:bidi="ar"/>
              </w:rPr>
              <w:t>.5</w:t>
            </w:r>
          </w:p>
        </w:tc>
        <w:tc>
          <w:tcPr>
            <w:tcW w:w="788"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工业</w:t>
            </w:r>
          </w:p>
        </w:tc>
        <w:tc>
          <w:tcPr>
            <w:tcW w:w="119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75" w:type="dxa"/>
            <w:vMerge w:val="continue"/>
            <w:vAlign w:val="center"/>
          </w:tcPr>
          <w:p>
            <w:pPr>
              <w:widowControl/>
              <w:jc w:val="center"/>
              <w:rPr>
                <w:rFonts w:ascii="宋体" w:hAnsi="宋体" w:cs="宋体"/>
                <w:kern w:val="0"/>
                <w:sz w:val="24"/>
              </w:rPr>
            </w:pPr>
          </w:p>
        </w:tc>
        <w:tc>
          <w:tcPr>
            <w:tcW w:w="75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w:t>
            </w:r>
          </w:p>
        </w:tc>
        <w:tc>
          <w:tcPr>
            <w:tcW w:w="2687"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自动血涂片制备仪</w:t>
            </w:r>
          </w:p>
        </w:tc>
        <w:tc>
          <w:tcPr>
            <w:tcW w:w="700"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台</w:t>
            </w:r>
          </w:p>
        </w:tc>
        <w:tc>
          <w:tcPr>
            <w:tcW w:w="76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1012"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30</w:t>
            </w:r>
          </w:p>
        </w:tc>
        <w:tc>
          <w:tcPr>
            <w:tcW w:w="1025" w:type="dxa"/>
            <w:vMerge w:val="continue"/>
            <w:vAlign w:val="center"/>
          </w:tcPr>
          <w:p>
            <w:pPr>
              <w:widowControl/>
              <w:jc w:val="center"/>
              <w:textAlignment w:val="center"/>
              <w:rPr>
                <w:rFonts w:ascii="宋体" w:hAnsi="宋体" w:cs="宋体"/>
                <w:kern w:val="0"/>
                <w:sz w:val="24"/>
                <w:lang w:bidi="ar"/>
              </w:rPr>
            </w:pPr>
          </w:p>
        </w:tc>
        <w:tc>
          <w:tcPr>
            <w:tcW w:w="788"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工业</w:t>
            </w:r>
          </w:p>
        </w:tc>
        <w:tc>
          <w:tcPr>
            <w:tcW w:w="1193" w:type="dxa"/>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w:t>
            </w:r>
          </w:p>
        </w:tc>
      </w:tr>
    </w:tbl>
    <w:p>
      <w:pPr>
        <w:pStyle w:val="2"/>
        <w:spacing w:before="312" w:beforeLines="100" w:after="0" w:line="360" w:lineRule="auto"/>
        <w:rPr>
          <w:rFonts w:ascii="宋体" w:hAnsi="宋体" w:cs="宋体"/>
          <w:b/>
          <w:bCs/>
          <w:sz w:val="24"/>
        </w:rPr>
      </w:pPr>
      <w:r>
        <w:rPr>
          <w:rFonts w:hint="eastAsia" w:ascii="宋体" w:hAnsi="宋体" w:cs="宋体"/>
          <w:b/>
          <w:bCs/>
          <w:sz w:val="24"/>
        </w:rPr>
        <w:t>二、技术参数及配置要求：</w:t>
      </w:r>
    </w:p>
    <w:p>
      <w:pPr>
        <w:spacing w:line="360" w:lineRule="auto"/>
        <w:ind w:firstLine="482" w:firstLineChars="200"/>
        <w:jc w:val="center"/>
        <w:outlineLvl w:val="1"/>
        <w:rPr>
          <w:rFonts w:ascii="宋体" w:hAnsi="宋体" w:cs="宋体"/>
          <w:b/>
          <w:bCs/>
          <w:sz w:val="24"/>
        </w:rPr>
      </w:pPr>
      <w:r>
        <w:rPr>
          <w:rFonts w:hint="eastAsia" w:ascii="宋体" w:hAnsi="宋体" w:cs="宋体"/>
          <w:b/>
          <w:bCs/>
          <w:sz w:val="24"/>
        </w:rPr>
        <w:t>第一包</w:t>
      </w:r>
    </w:p>
    <w:p>
      <w:pPr>
        <w:tabs>
          <w:tab w:val="left" w:pos="420"/>
        </w:tabs>
        <w:spacing w:line="360" w:lineRule="auto"/>
        <w:ind w:firstLine="480" w:firstLineChars="200"/>
        <w:jc w:val="left"/>
        <w:rPr>
          <w:rFonts w:ascii="宋体" w:hAnsi="宋体" w:cs="宋体"/>
          <w:bCs/>
          <w:sz w:val="24"/>
        </w:rPr>
      </w:pPr>
      <w:r>
        <w:rPr>
          <w:rFonts w:hint="eastAsia" w:ascii="宋体" w:hAnsi="宋体" w:cs="宋体"/>
          <w:bCs/>
          <w:sz w:val="24"/>
        </w:rPr>
        <w:t>1.基本功能及要求</w:t>
      </w:r>
    </w:p>
    <w:p>
      <w:pPr>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1.1网络接口支持各种LIS和HIS。</w:t>
      </w:r>
    </w:p>
    <w:p>
      <w:pPr>
        <w:spacing w:line="360" w:lineRule="auto"/>
        <w:ind w:firstLine="480" w:firstLineChars="200"/>
        <w:jc w:val="left"/>
        <w:rPr>
          <w:rFonts w:ascii="宋体" w:hAnsi="宋体" w:cs="宋体"/>
          <w:bCs/>
          <w:kern w:val="0"/>
          <w:sz w:val="24"/>
          <w:lang w:bidi="ar"/>
        </w:rPr>
      </w:pPr>
      <w:r>
        <w:rPr>
          <w:rFonts w:hint="eastAsia" w:ascii="宋体" w:hAnsi="宋体" w:cs="宋体"/>
          <w:bCs/>
          <w:sz w:val="24"/>
        </w:rPr>
        <w:t>2.各设备基本功能及要求</w:t>
      </w:r>
    </w:p>
    <w:p>
      <w:pPr>
        <w:widowControl/>
        <w:spacing w:line="360" w:lineRule="auto"/>
        <w:ind w:firstLine="482" w:firstLineChars="200"/>
        <w:jc w:val="left"/>
        <w:rPr>
          <w:rFonts w:ascii="宋体" w:hAnsi="宋体" w:cs="宋体"/>
          <w:b/>
          <w:sz w:val="24"/>
        </w:rPr>
      </w:pPr>
      <w:r>
        <w:rPr>
          <w:rFonts w:hint="eastAsia" w:ascii="宋体" w:hAnsi="宋体" w:cs="宋体"/>
          <w:b/>
          <w:kern w:val="0"/>
          <w:sz w:val="24"/>
          <w:lang w:bidi="ar"/>
        </w:rPr>
        <w:t>2.1全自动生化分析仪</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2.1.1. ★处理能力：速度需≥4000测试/小时，其中生化仪单机或单模块比色法速度≥2000测试/小时，单模块ISE≥600测试/小时。</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2.1.2. 生化分析方法：包括终点法，速率法，固定时间法；</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2.1.3. ★全自动生化分析仪模块的试剂位开放，可使用≥3种国产试剂。</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2.1.4. ★模块化设计，可与同品牌生化分析仪或同品牌化学发光分析仪级联升级；</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 xml:space="preserve">2.1.5. 单盘试剂位≥70 个，试剂仓温度 2～8℃； </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 xml:space="preserve">2.1.6. ★配套试剂注册认证：具有原厂家配套的获得 CFDA 注册的试剂项目（按方法学区分）不少于 60 个。具有原厂家配套的不少于 35 项获得 CFDA 注册的校准品（按检测项目区分）。均提供国家食品药品监督管理局相应的注册证； </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2.1.7. 最小反应体积≤80ul，有效节省试剂成本；</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 xml:space="preserve">2.1.8. 样本探针功能：样本探针具有自动冲洗、液面探测、防撞保护、探测血凝块和空吸检测功能； </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2.1.9. ★吸光度线性范围 0～3.5 Abs，确保高值异常样本检测。</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2.1.10. ★孵育方式：采用非水浴或油浴，避免消耗抑菌剂，节约科室成本。</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 xml:space="preserve">2.1.11. ★采用石英比色杯，支持单个比色杯更换。 </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 xml:space="preserve">2.1.12. 具有样本自动增量、减量及稀释重测功能； </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 xml:space="preserve">2.1.13. 反应时间：3～15 分钟内任意设定，满足不同项目开展需要； </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 xml:space="preserve">2.1.14. 光学系统：光栅后分光，≥12 个波长，340～800nm； </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lang w:bidi="ar"/>
        </w:rPr>
        <w:t xml:space="preserve">2.1.15. 反应全程实时监测，具备防项目交叉污染程序、酶线性拓展功能； </w:t>
      </w:r>
    </w:p>
    <w:p>
      <w:pPr>
        <w:widowControl/>
        <w:spacing w:line="360" w:lineRule="auto"/>
        <w:ind w:firstLine="482" w:firstLineChars="200"/>
        <w:jc w:val="left"/>
        <w:rPr>
          <w:rFonts w:ascii="宋体" w:hAnsi="宋体" w:cs="宋体"/>
          <w:b/>
          <w:sz w:val="24"/>
        </w:rPr>
      </w:pPr>
      <w:r>
        <w:rPr>
          <w:rFonts w:hint="eastAsia" w:ascii="宋体" w:hAnsi="宋体" w:cs="宋体"/>
          <w:b/>
          <w:kern w:val="0"/>
          <w:sz w:val="24"/>
          <w:lang w:bidi="ar"/>
        </w:rPr>
        <w:t>2.2全自动发光免疫分析仪</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2.2.1.★处理能力：免疫分析速度需≥800测试/小时。其中免疫分析仪单机或单模块最大测试速度≥400测试/小时。</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2.2.2.检测原理：化学发光或电化学发光。</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2.2.3.最快出结果时间≤17min</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2.2.4.★单模块具有≥35个冷藏试剂位，2-8℃不间断冷藏</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2.2.5.样本位及样本管理:免疫分析仪单模块可连续进样200个样本。支持在机稀释，自动重检；</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2.2.6. ★具备试剂在线（不停机）装载功能，可以在线更换所有耗材（试剂、清洗液、底物液、反应杯等）。</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2.2.7.反应杯：独立的单个反应杯设计，一次性可在机放置至少1000个反应杯，并可随时添加。</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2.2.8.★检测项目：支持甲状腺功能、性激素、肿瘤标记物、传染病标志物等检测，并且检测项目≥53个。</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2.2.9.加样针：采用钢针加样，避免TIP头耗材成本和管理成本，样本针携带污染率≤0.1ppm，具有液面探测、随量跟踪、 立体防撞、堵针检测、空吸检测功能；</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2.2.10.磁分离系统：单独磁分离盘、4阶洗涤，有效洗涤分离；</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2.2.11.反应杯混匀方式：非接触式偏心涡旋混匀，自动转速监测；</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2.2.12.★</w:t>
      </w:r>
      <w:r>
        <w:rPr>
          <w:rFonts w:hint="eastAsia" w:ascii="宋体" w:hAnsi="宋体" w:cs="宋体"/>
          <w:bCs/>
          <w:kern w:val="0"/>
          <w:sz w:val="24"/>
          <w:lang w:val="zh-CN" w:bidi="ar"/>
        </w:rPr>
        <w:t>甲状腺功能检测项目要求：为保证结果质量，要求TSH为第三代的超敏TSH，</w:t>
      </w:r>
      <w:r>
        <w:rPr>
          <w:rFonts w:hint="eastAsia" w:ascii="宋体" w:hAnsi="宋体" w:cs="宋体"/>
          <w:bCs/>
          <w:kern w:val="0"/>
          <w:sz w:val="24"/>
          <w:lang w:bidi="ar"/>
        </w:rPr>
        <w:t>TSH</w:t>
      </w:r>
      <w:r>
        <w:rPr>
          <w:rFonts w:hint="eastAsia" w:ascii="宋体" w:hAnsi="宋体" w:cs="宋体"/>
          <w:bCs/>
          <w:kern w:val="0"/>
          <w:sz w:val="24"/>
          <w:lang w:val="zh-CN" w:bidi="ar"/>
        </w:rPr>
        <w:t>满足功能灵敏度</w:t>
      </w:r>
      <w:r>
        <w:rPr>
          <w:rFonts w:hint="eastAsia" w:ascii="宋体" w:hAnsi="宋体" w:cs="宋体"/>
          <w:bCs/>
          <w:kern w:val="0"/>
          <w:sz w:val="24"/>
          <w:lang w:bidi="ar"/>
        </w:rPr>
        <w:t>≤0.02mIU/mL。</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2.2.13.★HIV为第四代产品--</w:t>
      </w:r>
      <w:r>
        <w:rPr>
          <w:rFonts w:hint="eastAsia" w:ascii="宋体" w:hAnsi="宋体" w:cs="宋体"/>
          <w:bCs/>
          <w:kern w:val="0"/>
          <w:sz w:val="24"/>
          <w:lang w:val="zh-CN" w:bidi="ar"/>
        </w:rPr>
        <w:t>抗原抗体联合检测</w:t>
      </w:r>
      <w:r>
        <w:rPr>
          <w:rFonts w:hint="eastAsia" w:ascii="宋体" w:hAnsi="宋体" w:cs="宋体"/>
          <w:bCs/>
          <w:kern w:val="0"/>
          <w:sz w:val="24"/>
          <w:lang w:bidi="ar"/>
        </w:rPr>
        <w:t>缩短窗口期（以说明书为准）</w:t>
      </w:r>
      <w:r>
        <w:rPr>
          <w:rFonts w:hint="eastAsia" w:ascii="宋体" w:hAnsi="宋体" w:cs="宋体"/>
          <w:bCs/>
          <w:kern w:val="0"/>
          <w:sz w:val="24"/>
          <w:lang w:val="zh-CN" w:bidi="ar"/>
        </w:rPr>
        <w:t>。</w:t>
      </w:r>
    </w:p>
    <w:p>
      <w:pPr>
        <w:widowControl/>
        <w:spacing w:line="360" w:lineRule="auto"/>
        <w:ind w:firstLine="480" w:firstLineChars="200"/>
        <w:jc w:val="left"/>
        <w:rPr>
          <w:rFonts w:ascii="宋体" w:hAnsi="宋体" w:cs="宋体"/>
          <w:bCs/>
          <w:kern w:val="0"/>
          <w:sz w:val="24"/>
          <w:lang w:bidi="ar"/>
        </w:rPr>
      </w:pPr>
      <w:r>
        <w:rPr>
          <w:rFonts w:hint="eastAsia" w:ascii="宋体" w:hAnsi="宋体" w:cs="宋体"/>
          <w:bCs/>
          <w:kern w:val="0"/>
          <w:sz w:val="24"/>
          <w:lang w:bidi="ar"/>
        </w:rPr>
        <w:t>2.2.14.★术前八项每个项目的批内精密度和批间精密度都满足CV≤ 10%，并提供试剂说明书佐证。</w:t>
      </w:r>
    </w:p>
    <w:p>
      <w:pPr>
        <w:tabs>
          <w:tab w:val="left" w:pos="1904"/>
          <w:tab w:val="center" w:pos="4221"/>
        </w:tabs>
        <w:spacing w:line="360" w:lineRule="auto"/>
        <w:ind w:firstLine="480" w:firstLineChars="200"/>
        <w:jc w:val="left"/>
        <w:rPr>
          <w:rStyle w:val="104"/>
          <w:rFonts w:ascii="宋体" w:hAnsi="宋体" w:cs="宋体"/>
          <w:bCs/>
          <w:sz w:val="24"/>
          <w:szCs w:val="24"/>
        </w:rPr>
      </w:pPr>
      <w:r>
        <w:rPr>
          <w:rFonts w:hint="eastAsia" w:ascii="宋体" w:hAnsi="宋体" w:cs="宋体"/>
          <w:bCs/>
          <w:kern w:val="0"/>
          <w:sz w:val="24"/>
          <w:lang w:bidi="ar"/>
        </w:rPr>
        <w:t>2.2.15.★多平台扩展能力：能够实现实验室自动化，包括连接同一品牌前处理系统，生化分析仪、离心模块、后存储冰箱模块以及数字化软件模块。</w:t>
      </w:r>
    </w:p>
    <w:p>
      <w:pPr>
        <w:spacing w:line="360" w:lineRule="auto"/>
        <w:ind w:firstLine="482" w:firstLineChars="200"/>
        <w:jc w:val="center"/>
        <w:rPr>
          <w:rFonts w:ascii="宋体" w:hAnsi="宋体" w:cs="宋体"/>
          <w:b/>
          <w:bCs/>
          <w:sz w:val="24"/>
        </w:rPr>
      </w:pPr>
    </w:p>
    <w:p>
      <w:pPr>
        <w:spacing w:line="360" w:lineRule="auto"/>
        <w:ind w:firstLine="482" w:firstLineChars="200"/>
        <w:jc w:val="center"/>
        <w:outlineLvl w:val="1"/>
        <w:rPr>
          <w:rFonts w:ascii="宋体" w:hAnsi="宋体" w:cs="宋体"/>
          <w:b/>
          <w:bCs/>
          <w:sz w:val="24"/>
        </w:rPr>
      </w:pPr>
      <w:r>
        <w:rPr>
          <w:rFonts w:hint="eastAsia" w:ascii="宋体" w:hAnsi="宋体" w:cs="宋体"/>
          <w:b/>
          <w:bCs/>
          <w:sz w:val="24"/>
        </w:rPr>
        <w:t>第二包</w:t>
      </w:r>
    </w:p>
    <w:p>
      <w:pPr>
        <w:spacing w:line="360" w:lineRule="auto"/>
        <w:ind w:firstLine="480" w:firstLineChars="200"/>
        <w:jc w:val="left"/>
        <w:rPr>
          <w:rFonts w:ascii="宋体" w:hAnsi="宋体" w:cs="宋体"/>
          <w:bCs/>
          <w:sz w:val="24"/>
        </w:rPr>
      </w:pPr>
      <w:r>
        <w:rPr>
          <w:rFonts w:hint="eastAsia" w:ascii="宋体" w:hAnsi="宋体" w:cs="宋体"/>
          <w:bCs/>
          <w:sz w:val="24"/>
        </w:rPr>
        <w:t>1. 检测原理：至少包含光学凝固法、发色底物法、免疫法三种方法。</w:t>
      </w:r>
    </w:p>
    <w:p>
      <w:pPr>
        <w:spacing w:line="360" w:lineRule="auto"/>
        <w:ind w:firstLine="480" w:firstLineChars="200"/>
        <w:jc w:val="left"/>
        <w:rPr>
          <w:rFonts w:ascii="宋体" w:hAnsi="宋体" w:cs="宋体"/>
          <w:bCs/>
          <w:sz w:val="24"/>
        </w:rPr>
      </w:pPr>
      <w:r>
        <w:rPr>
          <w:rFonts w:hint="eastAsia" w:ascii="宋体" w:hAnsi="宋体" w:cs="宋体"/>
          <w:bCs/>
          <w:sz w:val="24"/>
        </w:rPr>
        <w:t>2.</w:t>
      </w:r>
      <w:r>
        <w:rPr>
          <w:rFonts w:hint="eastAsia" w:ascii="宋体" w:hAnsi="宋体" w:cs="宋体"/>
          <w:b/>
          <w:bCs/>
          <w:sz w:val="24"/>
        </w:rPr>
        <w:t>★</w:t>
      </w:r>
      <w:r>
        <w:rPr>
          <w:rFonts w:hint="eastAsia" w:ascii="宋体" w:hAnsi="宋体" w:cs="宋体"/>
          <w:bCs/>
          <w:sz w:val="24"/>
        </w:rPr>
        <w:t>检测速度：PT速度≥450T/小时(不含FBG演算)，PT/APTT同时检测速度≧401测试/小时。</w:t>
      </w:r>
    </w:p>
    <w:p>
      <w:pPr>
        <w:spacing w:line="360" w:lineRule="auto"/>
        <w:ind w:firstLine="480" w:firstLineChars="200"/>
        <w:jc w:val="left"/>
        <w:rPr>
          <w:rFonts w:ascii="宋体" w:hAnsi="宋体" w:cs="宋体"/>
          <w:bCs/>
          <w:sz w:val="24"/>
        </w:rPr>
      </w:pPr>
      <w:r>
        <w:rPr>
          <w:rFonts w:hint="eastAsia" w:ascii="宋体" w:hAnsi="宋体" w:cs="宋体"/>
          <w:bCs/>
          <w:sz w:val="24"/>
        </w:rPr>
        <w:t>3.</w:t>
      </w:r>
      <w:r>
        <w:rPr>
          <w:rFonts w:hint="eastAsia" w:ascii="宋体" w:hAnsi="宋体" w:cs="宋体"/>
          <w:b/>
          <w:bCs/>
          <w:sz w:val="24"/>
        </w:rPr>
        <w:t>★</w:t>
      </w:r>
      <w:r>
        <w:rPr>
          <w:rFonts w:hint="eastAsia" w:ascii="宋体" w:hAnsi="宋体" w:cs="宋体"/>
          <w:bCs/>
          <w:sz w:val="24"/>
        </w:rPr>
        <w:t>可提供一套凝血样本传输系统，至少将两台单机连接在轨道系统上，通过智能化信息系统实现全自动化的流水线检测。且单机可以脱离轨道单独使用。</w:t>
      </w:r>
    </w:p>
    <w:p>
      <w:pPr>
        <w:spacing w:line="360" w:lineRule="auto"/>
        <w:ind w:firstLine="480" w:firstLineChars="200"/>
        <w:jc w:val="left"/>
        <w:rPr>
          <w:rFonts w:ascii="宋体" w:hAnsi="宋体" w:cs="宋体"/>
          <w:bCs/>
          <w:sz w:val="24"/>
        </w:rPr>
      </w:pPr>
      <w:r>
        <w:rPr>
          <w:rFonts w:hint="eastAsia" w:ascii="宋体" w:hAnsi="宋体" w:cs="宋体"/>
          <w:bCs/>
          <w:sz w:val="24"/>
        </w:rPr>
        <w:t>4.样本位≧24个，连续循环进样，配备120个样本位进样器。设有专用急诊位。</w:t>
      </w:r>
    </w:p>
    <w:p>
      <w:pPr>
        <w:spacing w:line="360" w:lineRule="auto"/>
        <w:ind w:firstLine="480" w:firstLineChars="200"/>
        <w:jc w:val="left"/>
        <w:rPr>
          <w:rFonts w:ascii="宋体" w:hAnsi="宋体" w:cs="宋体"/>
          <w:bCs/>
          <w:sz w:val="24"/>
        </w:rPr>
      </w:pPr>
      <w:r>
        <w:rPr>
          <w:rFonts w:hint="eastAsia" w:ascii="宋体" w:hAnsi="宋体" w:cs="宋体"/>
          <w:bCs/>
          <w:sz w:val="24"/>
        </w:rPr>
        <w:t>5.</w:t>
      </w:r>
      <w:r>
        <w:rPr>
          <w:rFonts w:hint="eastAsia" w:ascii="宋体" w:hAnsi="宋体" w:cs="宋体"/>
          <w:b/>
          <w:bCs/>
          <w:sz w:val="24"/>
        </w:rPr>
        <w:t>★</w:t>
      </w:r>
      <w:r>
        <w:rPr>
          <w:rFonts w:hint="eastAsia" w:ascii="宋体" w:hAnsi="宋体" w:cs="宋体"/>
          <w:bCs/>
          <w:sz w:val="24"/>
        </w:rPr>
        <w:t>智能检测：仪器可同时进行PT演算Fbg和Clauss法定量检测Fbg，两种方法可自动切换。</w:t>
      </w:r>
    </w:p>
    <w:p>
      <w:pPr>
        <w:spacing w:line="360" w:lineRule="auto"/>
        <w:ind w:firstLine="480" w:firstLineChars="200"/>
        <w:jc w:val="left"/>
        <w:rPr>
          <w:rFonts w:ascii="宋体" w:hAnsi="宋体" w:cs="宋体"/>
          <w:bCs/>
          <w:sz w:val="24"/>
        </w:rPr>
      </w:pPr>
      <w:r>
        <w:rPr>
          <w:rFonts w:hint="eastAsia" w:ascii="宋体" w:hAnsi="宋体" w:cs="宋体"/>
          <w:bCs/>
          <w:sz w:val="24"/>
        </w:rPr>
        <w:t>6.样本监测：自动检查和标记异常标本HIL (溶血, 黄疸和脂血) ，且能对样本体积量进行监测和报警。</w:t>
      </w:r>
    </w:p>
    <w:p>
      <w:pPr>
        <w:spacing w:line="360" w:lineRule="auto"/>
        <w:ind w:firstLine="480" w:firstLineChars="200"/>
        <w:jc w:val="left"/>
        <w:rPr>
          <w:rFonts w:ascii="宋体" w:hAnsi="宋体" w:cs="宋体"/>
          <w:bCs/>
          <w:sz w:val="24"/>
        </w:rPr>
      </w:pPr>
      <w:r>
        <w:rPr>
          <w:rFonts w:hint="eastAsia" w:ascii="宋体" w:hAnsi="宋体" w:cs="宋体"/>
          <w:bCs/>
          <w:sz w:val="24"/>
        </w:rPr>
        <w:t>7.试剂位：试剂位≥44个，冷藏位≥38个。冷藏温度低于10℃。</w:t>
      </w:r>
    </w:p>
    <w:p>
      <w:pPr>
        <w:spacing w:line="360" w:lineRule="auto"/>
        <w:ind w:firstLine="480" w:firstLineChars="200"/>
        <w:jc w:val="left"/>
        <w:rPr>
          <w:rFonts w:ascii="宋体" w:hAnsi="宋体" w:cs="宋体"/>
          <w:bCs/>
          <w:sz w:val="24"/>
        </w:rPr>
      </w:pPr>
      <w:r>
        <w:rPr>
          <w:rFonts w:hint="eastAsia" w:ascii="宋体" w:hAnsi="宋体" w:cs="宋体"/>
          <w:bCs/>
          <w:sz w:val="24"/>
        </w:rPr>
        <w:t>8.条形码：配备样本和试剂条形码扫描器。试剂、质控品和校正品可以随意放置，通过条码扫描获取试剂所有信息。</w:t>
      </w:r>
    </w:p>
    <w:p>
      <w:pPr>
        <w:spacing w:line="360" w:lineRule="auto"/>
        <w:ind w:firstLine="480" w:firstLineChars="200"/>
        <w:jc w:val="left"/>
        <w:rPr>
          <w:rFonts w:ascii="宋体" w:hAnsi="宋体" w:cs="宋体"/>
          <w:bCs/>
          <w:sz w:val="24"/>
        </w:rPr>
      </w:pPr>
      <w:r>
        <w:rPr>
          <w:rFonts w:hint="eastAsia" w:ascii="宋体" w:hAnsi="宋体" w:cs="宋体"/>
          <w:bCs/>
          <w:sz w:val="24"/>
        </w:rPr>
        <w:t>9.样本针：为闭盖穿刺针，可实现闭盖穿刺取样，避免潜在生物污染。</w:t>
      </w:r>
    </w:p>
    <w:p>
      <w:pPr>
        <w:spacing w:line="360" w:lineRule="auto"/>
        <w:ind w:firstLine="480" w:firstLineChars="200"/>
        <w:jc w:val="left"/>
        <w:rPr>
          <w:rFonts w:ascii="宋体" w:hAnsi="宋体" w:cs="宋体"/>
          <w:bCs/>
          <w:sz w:val="24"/>
        </w:rPr>
      </w:pPr>
      <w:r>
        <w:rPr>
          <w:rFonts w:hint="eastAsia" w:ascii="宋体" w:hAnsi="宋体" w:cs="宋体"/>
          <w:bCs/>
          <w:sz w:val="24"/>
        </w:rPr>
        <w:t>10.加样系统：加样针总数≥4根，试剂针、样本针分离，具有自动液面感应、防撞安全保护功能。</w:t>
      </w:r>
    </w:p>
    <w:p>
      <w:pPr>
        <w:spacing w:line="360" w:lineRule="auto"/>
        <w:ind w:firstLine="480" w:firstLineChars="200"/>
        <w:jc w:val="left"/>
        <w:rPr>
          <w:rFonts w:ascii="宋体" w:hAnsi="宋体" w:cs="宋体"/>
          <w:bCs/>
          <w:sz w:val="24"/>
        </w:rPr>
      </w:pPr>
      <w:r>
        <w:rPr>
          <w:rFonts w:hint="eastAsia" w:ascii="宋体" w:hAnsi="宋体" w:cs="宋体"/>
          <w:bCs/>
          <w:sz w:val="24"/>
        </w:rPr>
        <w:t>11.</w:t>
      </w:r>
      <w:r>
        <w:rPr>
          <w:rFonts w:hint="eastAsia" w:ascii="宋体" w:hAnsi="宋体" w:cs="宋体"/>
          <w:b/>
          <w:bCs/>
          <w:sz w:val="24"/>
        </w:rPr>
        <w:t>★</w:t>
      </w:r>
      <w:r>
        <w:rPr>
          <w:rFonts w:hint="eastAsia" w:ascii="宋体" w:hAnsi="宋体" w:cs="宋体"/>
          <w:bCs/>
          <w:sz w:val="24"/>
        </w:rPr>
        <w:t>反应杯：独立反应杯，无需磁珠及参比品，一次性容量≥1200个；不中止实验，随时添加反应杯。</w:t>
      </w:r>
    </w:p>
    <w:p>
      <w:pPr>
        <w:spacing w:line="360" w:lineRule="auto"/>
        <w:ind w:firstLine="480" w:firstLineChars="200"/>
        <w:jc w:val="left"/>
        <w:rPr>
          <w:rFonts w:ascii="宋体" w:hAnsi="宋体" w:cs="宋体"/>
          <w:bCs/>
          <w:sz w:val="24"/>
        </w:rPr>
      </w:pPr>
      <w:r>
        <w:rPr>
          <w:rFonts w:hint="eastAsia" w:ascii="宋体" w:hAnsi="宋体" w:cs="宋体"/>
          <w:bCs/>
          <w:sz w:val="24"/>
        </w:rPr>
        <w:t>12.具有MDA（多点稀释平行生物抗性分析）功能，可进行自身抗凝物分析。</w:t>
      </w:r>
    </w:p>
    <w:p>
      <w:pPr>
        <w:spacing w:line="360" w:lineRule="auto"/>
        <w:ind w:firstLine="480" w:firstLineChars="200"/>
        <w:jc w:val="left"/>
        <w:rPr>
          <w:rStyle w:val="104"/>
          <w:rFonts w:ascii="宋体" w:hAnsi="宋体" w:cs="宋体"/>
          <w:sz w:val="24"/>
          <w:szCs w:val="24"/>
        </w:rPr>
      </w:pPr>
      <w:r>
        <w:rPr>
          <w:rFonts w:hint="eastAsia" w:ascii="宋体" w:hAnsi="宋体" w:cs="宋体"/>
          <w:bCs/>
          <w:sz w:val="24"/>
        </w:rPr>
        <w:t>13.</w:t>
      </w:r>
      <w:r>
        <w:rPr>
          <w:rFonts w:hint="eastAsia" w:ascii="宋体" w:hAnsi="宋体" w:cs="宋体"/>
          <w:b/>
          <w:bCs/>
          <w:sz w:val="24"/>
        </w:rPr>
        <w:t>★</w:t>
      </w:r>
      <w:r>
        <w:rPr>
          <w:rFonts w:hint="eastAsia" w:ascii="宋体" w:hAnsi="宋体" w:cs="宋体"/>
          <w:bCs/>
          <w:sz w:val="24"/>
        </w:rPr>
        <w:t>检测参数：</w:t>
      </w:r>
      <w:r>
        <w:rPr>
          <w:rStyle w:val="109"/>
          <w:rFonts w:hint="eastAsia" w:ascii="宋体" w:hAnsi="宋体" w:cs="宋体"/>
          <w:sz w:val="24"/>
        </w:rPr>
        <w:t>仪器检测菜单需要具备以下完整的血栓止血检验项目：</w:t>
      </w:r>
      <w:r>
        <w:rPr>
          <w:rStyle w:val="104"/>
          <w:rFonts w:hint="eastAsia" w:ascii="宋体" w:hAnsi="宋体" w:cs="宋体"/>
          <w:sz w:val="24"/>
          <w:szCs w:val="24"/>
        </w:rPr>
        <w:t>PT、APTT、Fbg、TT、DD、FDP、内外源凝血因子FII、FV、FVII、FVIII、FIX、FX、FXI、FXII、vWF活性、抗凝血酶AT、LA、PC、PS等，并且要求可提供以上全套检验项目上机配套试剂且具有国家药监局</w:t>
      </w:r>
      <w:r>
        <w:rPr>
          <w:rStyle w:val="109"/>
          <w:rFonts w:hint="eastAsia" w:ascii="宋体" w:hAnsi="宋体" w:cs="宋体"/>
          <w:sz w:val="24"/>
        </w:rPr>
        <w:t>注册证</w:t>
      </w:r>
      <w:r>
        <w:rPr>
          <w:rStyle w:val="104"/>
          <w:rFonts w:hint="eastAsia" w:ascii="宋体" w:hAnsi="宋体" w:cs="宋体"/>
          <w:sz w:val="24"/>
          <w:szCs w:val="24"/>
        </w:rPr>
        <w:t>，</w:t>
      </w:r>
      <w:r>
        <w:rPr>
          <w:rStyle w:val="109"/>
          <w:rFonts w:hint="eastAsia" w:ascii="宋体" w:hAnsi="宋体" w:cs="宋体"/>
          <w:sz w:val="24"/>
        </w:rPr>
        <w:t>满足临床医生对于病人在出止血功能方面的检验需求，提供技术支持协助实验室</w:t>
      </w:r>
      <w:r>
        <w:rPr>
          <w:rStyle w:val="104"/>
          <w:rFonts w:hint="eastAsia" w:ascii="宋体" w:hAnsi="宋体" w:cs="宋体"/>
          <w:sz w:val="24"/>
          <w:szCs w:val="24"/>
        </w:rPr>
        <w:t>开展以上临床所需要的诊断指标。</w:t>
      </w:r>
    </w:p>
    <w:p>
      <w:pPr>
        <w:spacing w:line="360" w:lineRule="auto"/>
        <w:ind w:firstLine="480" w:firstLineChars="200"/>
        <w:jc w:val="left"/>
        <w:rPr>
          <w:rFonts w:ascii="宋体" w:hAnsi="宋体" w:cs="宋体"/>
          <w:bCs/>
          <w:sz w:val="24"/>
        </w:rPr>
      </w:pPr>
      <w:r>
        <w:rPr>
          <w:rFonts w:hint="eastAsia" w:ascii="宋体" w:hAnsi="宋体" w:cs="宋体"/>
          <w:bCs/>
          <w:sz w:val="24"/>
        </w:rPr>
        <w:t>14.</w:t>
      </w:r>
      <w:r>
        <w:rPr>
          <w:rFonts w:hint="eastAsia" w:ascii="宋体" w:hAnsi="宋体" w:cs="宋体"/>
          <w:b/>
          <w:bCs/>
          <w:sz w:val="24"/>
        </w:rPr>
        <w:t>★</w:t>
      </w:r>
      <w:r>
        <w:rPr>
          <w:rFonts w:hint="eastAsia" w:ascii="宋体" w:hAnsi="宋体" w:cs="宋体"/>
          <w:bCs/>
          <w:sz w:val="24"/>
        </w:rPr>
        <w:t>PT试剂可通过光学信号变化演算出纤维蛋白原（FBG）浓度；PT的的ISI值应在1.0左右，符合WHO推荐值，使INR监测更准确。</w:t>
      </w:r>
    </w:p>
    <w:p>
      <w:pPr>
        <w:spacing w:line="360" w:lineRule="auto"/>
        <w:ind w:firstLine="480" w:firstLineChars="200"/>
        <w:jc w:val="left"/>
        <w:rPr>
          <w:rFonts w:ascii="宋体" w:hAnsi="宋体" w:cs="宋体"/>
          <w:bCs/>
          <w:sz w:val="24"/>
        </w:rPr>
      </w:pPr>
      <w:r>
        <w:rPr>
          <w:rFonts w:hint="eastAsia" w:ascii="宋体" w:hAnsi="宋体" w:cs="宋体"/>
          <w:bCs/>
          <w:sz w:val="24"/>
        </w:rPr>
        <w:t>15.</w:t>
      </w:r>
      <w:r>
        <w:rPr>
          <w:rFonts w:hint="eastAsia" w:ascii="宋体" w:hAnsi="宋体" w:cs="宋体"/>
          <w:b/>
          <w:bCs/>
          <w:sz w:val="24"/>
        </w:rPr>
        <w:t>★</w:t>
      </w:r>
      <w:r>
        <w:rPr>
          <w:rFonts w:hint="eastAsia" w:ascii="宋体" w:hAnsi="宋体" w:cs="宋体"/>
          <w:bCs/>
          <w:sz w:val="24"/>
        </w:rPr>
        <w:t>配套DD试剂需具备足够敏感度，说明书提供可用于排除静脉血栓、肺栓塞的CUTOFF值（0.5 mg/L FEU）。</w:t>
      </w:r>
    </w:p>
    <w:p>
      <w:pPr>
        <w:spacing w:line="360" w:lineRule="auto"/>
        <w:ind w:firstLine="480" w:firstLineChars="200"/>
        <w:jc w:val="left"/>
        <w:rPr>
          <w:rFonts w:ascii="宋体" w:hAnsi="宋体" w:cs="宋体"/>
          <w:bCs/>
          <w:sz w:val="24"/>
        </w:rPr>
      </w:pPr>
      <w:r>
        <w:rPr>
          <w:rFonts w:hint="eastAsia" w:ascii="宋体" w:hAnsi="宋体" w:cs="宋体"/>
          <w:bCs/>
          <w:sz w:val="24"/>
        </w:rPr>
        <w:t>16.批内精密度：PT、APTT、FBG、TT CV≤5%；DD CV≤15%；</w:t>
      </w:r>
    </w:p>
    <w:p>
      <w:pPr>
        <w:spacing w:line="360" w:lineRule="auto"/>
        <w:ind w:firstLine="480" w:firstLineChars="200"/>
        <w:jc w:val="left"/>
        <w:rPr>
          <w:rFonts w:ascii="宋体" w:hAnsi="宋体" w:cs="宋体"/>
          <w:bCs/>
          <w:sz w:val="24"/>
        </w:rPr>
      </w:pPr>
      <w:r>
        <w:rPr>
          <w:rFonts w:hint="eastAsia" w:ascii="宋体" w:hAnsi="宋体" w:cs="宋体"/>
          <w:bCs/>
          <w:sz w:val="24"/>
        </w:rPr>
        <w:t>17.最小检测限：FBG 0.8g/L；DD 0.03mg/L FEU；</w:t>
      </w:r>
    </w:p>
    <w:p>
      <w:pPr>
        <w:spacing w:line="360" w:lineRule="auto"/>
        <w:ind w:firstLine="480" w:firstLineChars="200"/>
        <w:jc w:val="left"/>
        <w:rPr>
          <w:rFonts w:ascii="宋体" w:hAnsi="宋体" w:cs="宋体"/>
          <w:bCs/>
          <w:sz w:val="24"/>
        </w:rPr>
      </w:pPr>
      <w:r>
        <w:rPr>
          <w:rFonts w:hint="eastAsia" w:ascii="宋体" w:hAnsi="宋体" w:cs="宋体"/>
          <w:bCs/>
          <w:sz w:val="24"/>
        </w:rPr>
        <w:t>18.</w:t>
      </w:r>
      <w:r>
        <w:rPr>
          <w:rFonts w:hint="eastAsia" w:ascii="宋体" w:hAnsi="宋体" w:cs="宋体"/>
          <w:b/>
          <w:bCs/>
          <w:sz w:val="24"/>
        </w:rPr>
        <w:t>★</w:t>
      </w:r>
      <w:r>
        <w:rPr>
          <w:rFonts w:hint="eastAsia" w:ascii="宋体" w:hAnsi="宋体" w:cs="宋体"/>
          <w:bCs/>
          <w:sz w:val="24"/>
        </w:rPr>
        <w:t xml:space="preserve">质控品：具备PT/APTT/TT/Fbg/AT/D-二聚体/FDP试剂配套的质控品，且至少有高低两个水平的质控品； </w:t>
      </w:r>
    </w:p>
    <w:p>
      <w:pPr>
        <w:spacing w:line="360" w:lineRule="auto"/>
        <w:ind w:firstLine="480" w:firstLineChars="200"/>
        <w:jc w:val="left"/>
        <w:rPr>
          <w:rFonts w:ascii="宋体" w:hAnsi="宋体" w:cs="宋体"/>
          <w:bCs/>
          <w:sz w:val="24"/>
        </w:rPr>
      </w:pPr>
    </w:p>
    <w:p>
      <w:pPr>
        <w:spacing w:line="360" w:lineRule="auto"/>
        <w:ind w:firstLine="482" w:firstLineChars="200"/>
        <w:jc w:val="center"/>
        <w:outlineLvl w:val="1"/>
        <w:rPr>
          <w:rFonts w:ascii="宋体" w:hAnsi="宋体" w:cs="宋体"/>
          <w:b/>
          <w:bCs/>
          <w:sz w:val="24"/>
        </w:rPr>
      </w:pPr>
      <w:r>
        <w:rPr>
          <w:rFonts w:hint="eastAsia" w:ascii="宋体" w:hAnsi="宋体" w:cs="宋体"/>
          <w:b/>
          <w:bCs/>
          <w:sz w:val="24"/>
        </w:rPr>
        <w:t>第三包</w:t>
      </w:r>
    </w:p>
    <w:p>
      <w:pPr>
        <w:numPr>
          <w:ilvl w:val="0"/>
          <w:numId w:val="13"/>
        </w:numPr>
        <w:tabs>
          <w:tab w:val="clear" w:pos="420"/>
        </w:tabs>
        <w:spacing w:line="360" w:lineRule="auto"/>
        <w:ind w:left="0" w:firstLine="482" w:firstLineChars="200"/>
        <w:jc w:val="left"/>
        <w:rPr>
          <w:rFonts w:ascii="宋体" w:hAnsi="宋体" w:cs="宋体"/>
          <w:b/>
          <w:sz w:val="24"/>
        </w:rPr>
      </w:pPr>
      <w:r>
        <w:rPr>
          <w:rFonts w:hint="eastAsia" w:ascii="宋体" w:hAnsi="宋体" w:cs="宋体"/>
          <w:b/>
          <w:sz w:val="24"/>
        </w:rPr>
        <w:t>基本功能及要求</w:t>
      </w:r>
    </w:p>
    <w:p>
      <w:pPr>
        <w:spacing w:line="360" w:lineRule="auto"/>
        <w:ind w:firstLine="480" w:firstLineChars="200"/>
        <w:jc w:val="left"/>
        <w:rPr>
          <w:rFonts w:ascii="宋体" w:hAnsi="宋体" w:cs="宋体"/>
          <w:sz w:val="24"/>
        </w:rPr>
      </w:pPr>
      <w:r>
        <w:rPr>
          <w:rFonts w:hint="eastAsia" w:ascii="宋体" w:hAnsi="宋体" w:cs="宋体"/>
          <w:sz w:val="24"/>
        </w:rPr>
        <w:t>1.1有血常规五分类、CRP检测、体液常规检测等功能。</w:t>
      </w:r>
    </w:p>
    <w:p>
      <w:pPr>
        <w:spacing w:line="360" w:lineRule="auto"/>
        <w:ind w:firstLine="480" w:firstLineChars="200"/>
        <w:jc w:val="left"/>
        <w:rPr>
          <w:rFonts w:ascii="宋体" w:hAnsi="宋体" w:cs="宋体"/>
          <w:sz w:val="24"/>
        </w:rPr>
      </w:pPr>
      <w:r>
        <w:rPr>
          <w:rFonts w:hint="eastAsia" w:ascii="宋体" w:hAnsi="宋体" w:cs="宋体"/>
          <w:sz w:val="24"/>
        </w:rPr>
        <w:t>1.2网络接口支持各种LIS和HIS。</w:t>
      </w:r>
    </w:p>
    <w:p>
      <w:pPr>
        <w:numPr>
          <w:ilvl w:val="0"/>
          <w:numId w:val="13"/>
        </w:numPr>
        <w:tabs>
          <w:tab w:val="clear" w:pos="420"/>
        </w:tabs>
        <w:spacing w:line="360" w:lineRule="auto"/>
        <w:ind w:left="0" w:firstLine="482" w:firstLineChars="200"/>
        <w:jc w:val="left"/>
        <w:rPr>
          <w:rFonts w:ascii="宋体" w:hAnsi="宋体" w:cs="宋体"/>
          <w:b/>
          <w:sz w:val="24"/>
        </w:rPr>
      </w:pPr>
      <w:r>
        <w:rPr>
          <w:rFonts w:hint="eastAsia" w:ascii="宋体" w:hAnsi="宋体" w:cs="宋体"/>
          <w:b/>
          <w:sz w:val="24"/>
        </w:rPr>
        <w:t>各设备基本功能及要求</w:t>
      </w:r>
    </w:p>
    <w:p>
      <w:pPr>
        <w:spacing w:line="360" w:lineRule="auto"/>
        <w:ind w:firstLine="482" w:firstLineChars="200"/>
        <w:jc w:val="left"/>
        <w:rPr>
          <w:rFonts w:ascii="宋体" w:hAnsi="宋体" w:cs="宋体"/>
          <w:b/>
          <w:sz w:val="24"/>
        </w:rPr>
      </w:pPr>
      <w:r>
        <w:rPr>
          <w:rFonts w:hint="eastAsia" w:ascii="宋体" w:hAnsi="宋体" w:cs="宋体"/>
          <w:b/>
          <w:sz w:val="24"/>
        </w:rPr>
        <w:t>2.1五分类血液细胞分析仪</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检测方法及原理：半导体激光法、鞘流电阻抗法、核酸荧光染色法、流式细胞技术，CRP检测采用胶乳增强免疫散射比浊法。</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★报告参数：血液分析报告参数≥37个，三维散点图≥3个；体液分析报告参数≥7个；CRP报告参数≥2个；</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★单机检测速度：CBC＋DIFF＋NRBC ≥110个样本/小时；CBC＋DIFF＋NRBC＋CRP ≥100样本/小时；</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★进样方式及用血量：静脉血和末梢全血均可自动批量进样或手动进样；末梢全血检测CDR+CRP用血量≤37μl，末梢全血检测CDR+CRP用血量≤40μl。</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末梢血模式也能进行白细胞五分类、有核红细胞、网织红细胞和CRP检测；</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网织红细胞检测：具有全自动网织红细胞计数和对网织红细胞计数进行成熟度的分类，无需机外手工染色处理。</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CRP线性范围：0.2~320mg/L。</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能提供原厂配套的CFDA注册的质控品和校准品，并提供校准品溯源性文件。</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血小板检测采用鞘流阻抗法和荧光染色法，并可转换。</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配备原厂中文报告及数据处理系统。</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血液分析线性范围（静脉血）：白细胞：（0</w:t>
      </w:r>
      <w:r>
        <w:rPr>
          <w:rFonts w:hint="eastAsia" w:ascii="宋体" w:hAnsi="宋体" w:cs="宋体"/>
          <w:bCs/>
          <w:kern w:val="0"/>
          <w:sz w:val="24"/>
          <w:lang w:bidi="ar"/>
        </w:rPr>
        <w:t>～</w:t>
      </w:r>
      <w:r>
        <w:rPr>
          <w:rFonts w:hint="eastAsia" w:ascii="宋体" w:hAnsi="宋体" w:cs="宋体"/>
          <w:sz w:val="24"/>
        </w:rPr>
        <w:t>500）</w:t>
      </w:r>
      <w:r>
        <w:rPr>
          <w:rFonts w:hint="eastAsia" w:ascii="宋体" w:hAnsi="宋体" w:cs="宋体"/>
          <w:sz w:val="24"/>
        </w:rPr>
        <w:sym w:font="Symbol" w:char="F0B4"/>
      </w:r>
      <w:r>
        <w:rPr>
          <w:rFonts w:hint="eastAsia" w:ascii="宋体" w:hAnsi="宋体" w:cs="宋体"/>
          <w:sz w:val="24"/>
        </w:rPr>
        <w:t xml:space="preserve"> 10</w:t>
      </w:r>
      <w:r>
        <w:rPr>
          <w:rFonts w:hint="eastAsia" w:ascii="宋体" w:hAnsi="宋体" w:cs="宋体"/>
          <w:b/>
          <w:sz w:val="24"/>
          <w:vertAlign w:val="superscript"/>
        </w:rPr>
        <w:t>9</w:t>
      </w:r>
      <w:r>
        <w:rPr>
          <w:rFonts w:hint="eastAsia" w:ascii="宋体" w:hAnsi="宋体" w:cs="宋体"/>
          <w:sz w:val="24"/>
        </w:rPr>
        <w:t>/L，红细胞：（0</w:t>
      </w:r>
      <w:r>
        <w:rPr>
          <w:rFonts w:hint="eastAsia" w:ascii="宋体" w:hAnsi="宋体" w:cs="宋体"/>
          <w:bCs/>
          <w:kern w:val="0"/>
          <w:sz w:val="24"/>
          <w:lang w:bidi="ar"/>
        </w:rPr>
        <w:t>～</w:t>
      </w:r>
      <w:r>
        <w:rPr>
          <w:rFonts w:hint="eastAsia" w:ascii="宋体" w:hAnsi="宋体" w:cs="宋体"/>
          <w:sz w:val="24"/>
        </w:rPr>
        <w:t xml:space="preserve">8.6） </w:t>
      </w:r>
      <w:r>
        <w:rPr>
          <w:rFonts w:hint="eastAsia" w:ascii="宋体" w:hAnsi="宋体" w:cs="宋体"/>
          <w:sz w:val="24"/>
        </w:rPr>
        <w:sym w:font="Symbol" w:char="F0B4"/>
      </w:r>
      <w:r>
        <w:rPr>
          <w:rFonts w:hint="eastAsia" w:ascii="宋体" w:hAnsi="宋体" w:cs="宋体"/>
          <w:sz w:val="24"/>
        </w:rPr>
        <w:t xml:space="preserve"> 10</w:t>
      </w:r>
      <w:r>
        <w:rPr>
          <w:rFonts w:hint="eastAsia" w:ascii="宋体" w:hAnsi="宋体" w:cs="宋体"/>
          <w:b/>
          <w:sz w:val="24"/>
          <w:vertAlign w:val="superscript"/>
        </w:rPr>
        <w:t>12</w:t>
      </w:r>
      <w:r>
        <w:rPr>
          <w:rFonts w:hint="eastAsia" w:ascii="宋体" w:hAnsi="宋体" w:cs="宋体"/>
          <w:sz w:val="24"/>
        </w:rPr>
        <w:t>/L，血小板：（0</w:t>
      </w:r>
      <w:r>
        <w:rPr>
          <w:rFonts w:hint="eastAsia" w:ascii="宋体" w:hAnsi="宋体" w:cs="宋体"/>
          <w:bCs/>
          <w:kern w:val="0"/>
          <w:sz w:val="24"/>
          <w:lang w:bidi="ar"/>
        </w:rPr>
        <w:t>～</w:t>
      </w:r>
      <w:r>
        <w:rPr>
          <w:rFonts w:hint="eastAsia" w:ascii="宋体" w:hAnsi="宋体" w:cs="宋体"/>
          <w:sz w:val="24"/>
        </w:rPr>
        <w:t xml:space="preserve">5000） </w:t>
      </w:r>
      <w:r>
        <w:rPr>
          <w:rFonts w:hint="eastAsia" w:ascii="宋体" w:hAnsi="宋体" w:cs="宋体"/>
          <w:sz w:val="24"/>
        </w:rPr>
        <w:sym w:font="Symbol" w:char="F0B4"/>
      </w:r>
      <w:r>
        <w:rPr>
          <w:rFonts w:hint="eastAsia" w:ascii="宋体" w:hAnsi="宋体" w:cs="宋体"/>
          <w:sz w:val="24"/>
        </w:rPr>
        <w:t xml:space="preserve"> 10</w:t>
      </w:r>
      <w:r>
        <w:rPr>
          <w:rFonts w:hint="eastAsia" w:ascii="宋体" w:hAnsi="宋体" w:cs="宋体"/>
          <w:b/>
          <w:sz w:val="24"/>
          <w:vertAlign w:val="superscript"/>
        </w:rPr>
        <w:t>9</w:t>
      </w:r>
      <w:r>
        <w:rPr>
          <w:rFonts w:hint="eastAsia" w:ascii="宋体" w:hAnsi="宋体" w:cs="宋体"/>
          <w:sz w:val="24"/>
        </w:rPr>
        <w:t>/L，</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可根据医院的发展需求通过轨道连接成血液分析流水线。</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能够提供原厂配套的CFDA注册的质控品、校准品（含网织红项目）。</w:t>
      </w:r>
    </w:p>
    <w:p>
      <w:pPr>
        <w:numPr>
          <w:ilvl w:val="1"/>
          <w:numId w:val="14"/>
        </w:numPr>
        <w:spacing w:line="360" w:lineRule="auto"/>
        <w:ind w:left="0" w:firstLine="482" w:firstLineChars="200"/>
        <w:jc w:val="left"/>
        <w:rPr>
          <w:rFonts w:ascii="宋体" w:hAnsi="宋体" w:cs="宋体"/>
          <w:b/>
          <w:sz w:val="24"/>
        </w:rPr>
      </w:pPr>
      <w:r>
        <w:rPr>
          <w:rFonts w:hint="eastAsia" w:ascii="宋体" w:hAnsi="宋体" w:cs="宋体"/>
          <w:b/>
          <w:sz w:val="24"/>
        </w:rPr>
        <w:t>自动血涂片制备仪</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可独立工作，在没有血常规HCT结果时也可进行推片。</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★工作速度：≥120张玻片/小时。</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★用血量：全自动进样≤200μl，闭盖进样≤200μl，微量血进样≤40μl。</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★仪器可自动检测血液粘稠度，根据粘稠度的不同对滴血量、推片的速度/角度、推刀在血滴上停留的时间等进行控制。</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推片规则：≥10项，用户可自定义推片规则。</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染色方式：≥7种。</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★染色盒清洗维护：全自动维护程序，无需从机内取出手工清洗。</w:t>
      </w:r>
    </w:p>
    <w:p>
      <w:pPr>
        <w:numPr>
          <w:ilvl w:val="2"/>
          <w:numId w:val="14"/>
        </w:numPr>
        <w:spacing w:line="360" w:lineRule="auto"/>
        <w:ind w:left="0" w:firstLine="480" w:firstLineChars="200"/>
        <w:jc w:val="left"/>
        <w:rPr>
          <w:rFonts w:ascii="宋体" w:hAnsi="宋体" w:cs="宋体"/>
          <w:sz w:val="24"/>
        </w:rPr>
      </w:pPr>
      <w:r>
        <w:rPr>
          <w:rFonts w:hint="eastAsia" w:ascii="宋体" w:hAnsi="宋体" w:cs="宋体"/>
          <w:sz w:val="24"/>
        </w:rPr>
        <w:t>推片刀：无需更换，终身免维护。</w:t>
      </w:r>
    </w:p>
    <w:p>
      <w:pPr>
        <w:adjustRightInd w:val="0"/>
        <w:spacing w:line="360" w:lineRule="auto"/>
        <w:ind w:firstLine="480" w:firstLineChars="200"/>
      </w:pPr>
      <w:r>
        <w:rPr>
          <w:rFonts w:hint="eastAsia" w:ascii="宋体" w:hAnsi="宋体" w:cs="宋体"/>
          <w:sz w:val="24"/>
        </w:rPr>
        <w:t>2.2.9玻片识别：可直接在玻片上打印数字、条码和二维码。</w:t>
      </w:r>
    </w:p>
    <w:p>
      <w:pPr>
        <w:pStyle w:val="86"/>
        <w:ind w:firstLine="0" w:firstLineChars="0"/>
        <w:rPr>
          <w:rFonts w:ascii="宋体" w:hAnsi="宋体" w:eastAsia="宋体" w:cs="宋体"/>
          <w:b/>
          <w:sz w:val="28"/>
        </w:rPr>
      </w:pPr>
      <w:r>
        <w:rPr>
          <w:rFonts w:hint="eastAsia" w:ascii="宋体" w:hAnsi="宋体" w:cs="宋体"/>
          <w:b/>
          <w:color w:val="auto"/>
          <w:sz w:val="24"/>
          <w:highlight w:val="none"/>
        </w:rPr>
        <w:t>*</w:t>
      </w:r>
      <w:r>
        <w:rPr>
          <w:rFonts w:hint="eastAsia" w:ascii="宋体" w:hAnsi="宋体" w:eastAsia="宋体" w:cs="宋体"/>
          <w:b/>
          <w:sz w:val="28"/>
        </w:rPr>
        <w:t>三、商务要求（各包适用）</w:t>
      </w:r>
    </w:p>
    <w:p>
      <w:pPr>
        <w:spacing w:line="360" w:lineRule="auto"/>
        <w:ind w:firstLine="480" w:firstLineChars="200"/>
        <w:rPr>
          <w:rFonts w:ascii="宋体" w:hAnsi="宋体" w:cs="宋体"/>
          <w:sz w:val="24"/>
        </w:rPr>
      </w:pPr>
      <w:r>
        <w:rPr>
          <w:rFonts w:hint="eastAsia" w:ascii="宋体" w:hAnsi="宋体" w:cs="宋体"/>
          <w:sz w:val="24"/>
        </w:rPr>
        <w:t>1.履约时间（期限）：合同签订后【 3 】个月内完成设备的送货、安全、调试及交付使用。</w:t>
      </w:r>
    </w:p>
    <w:p>
      <w:pPr>
        <w:spacing w:line="360" w:lineRule="auto"/>
        <w:ind w:firstLine="480" w:firstLineChars="200"/>
        <w:rPr>
          <w:rFonts w:ascii="宋体" w:hAnsi="宋体" w:cs="宋体"/>
          <w:sz w:val="24"/>
        </w:rPr>
      </w:pPr>
      <w:r>
        <w:rPr>
          <w:rFonts w:hint="eastAsia" w:ascii="宋体" w:hAnsi="宋体" w:cs="宋体"/>
          <w:sz w:val="24"/>
        </w:rPr>
        <w:t>2.履约地点：成都市双流区妇幼保健院</w:t>
      </w:r>
    </w:p>
    <w:p>
      <w:pPr>
        <w:spacing w:line="360" w:lineRule="auto"/>
        <w:ind w:firstLine="480" w:firstLineChars="200"/>
        <w:rPr>
          <w:rFonts w:ascii="宋体" w:hAnsi="宋体" w:cs="宋体"/>
          <w:sz w:val="24"/>
        </w:rPr>
      </w:pPr>
      <w:r>
        <w:rPr>
          <w:rFonts w:hint="eastAsia" w:ascii="宋体" w:hAnsi="宋体" w:cs="宋体"/>
          <w:sz w:val="24"/>
        </w:rPr>
        <w:t>3.包装和运输：采购设备的包装应该保证使采购货物安全、完好的运送上门并卸货至指定地点，供应商对卸货过程中货物的安全、完好性负责。</w:t>
      </w:r>
    </w:p>
    <w:p>
      <w:pPr>
        <w:spacing w:line="360" w:lineRule="auto"/>
        <w:ind w:firstLine="480" w:firstLineChars="200"/>
        <w:rPr>
          <w:rFonts w:ascii="宋体" w:hAnsi="宋体" w:cs="宋体"/>
          <w:sz w:val="24"/>
        </w:rPr>
      </w:pPr>
      <w:r>
        <w:rPr>
          <w:rFonts w:hint="eastAsia" w:ascii="宋体" w:hAnsi="宋体" w:cs="宋体"/>
          <w:sz w:val="24"/>
        </w:rPr>
        <w:t>4.交付（实施）的时间（期限）和地点（范围）：合同签订后【 3 】个月内医院指定地点现场交货。供应商承担采购设备初步验收合格前的运输、保管责任，并承担采购设备验收合格前采购设备损毁灭失的风险。自采购人初步验收合格之日起，采购设备的损毁灭失风险转移由采购人承担。</w:t>
      </w:r>
    </w:p>
    <w:p>
      <w:pPr>
        <w:spacing w:line="360" w:lineRule="auto"/>
        <w:ind w:firstLine="480" w:firstLineChars="200"/>
        <w:rPr>
          <w:rFonts w:ascii="宋体" w:hAnsi="宋体" w:cs="宋体"/>
          <w:sz w:val="24"/>
        </w:rPr>
      </w:pPr>
      <w:r>
        <w:rPr>
          <w:rFonts w:hint="eastAsia" w:ascii="宋体" w:hAnsi="宋体" w:cs="宋体"/>
          <w:sz w:val="24"/>
        </w:rPr>
        <w:t>5.付款条件及进度：采购人于合同签订后【 5 】个工作日内支付合同总价的30%作为预付款，于采购设备全部安装调试并经最终验收合格后【 3 】个月后支付合同总价的65%；剩余合同尾款在验收合格1年后支付。除预付款支付外，供应商向采购人申请支付每笔款项前，应当提供相应的结算资料。如供应商未按合同约定提供结算资料或增值税发票的，采购人有权拒绝付款且不构成违约。如根据合同约定，供应商应支付违约金、承担费用的，供应商同意采购人有权从采购人应支付供应商的货款、质保金中扣除相应的违约金、费用。</w:t>
      </w:r>
    </w:p>
    <w:p>
      <w:pPr>
        <w:spacing w:line="360" w:lineRule="auto"/>
        <w:ind w:firstLine="480" w:firstLineChars="200"/>
        <w:rPr>
          <w:rFonts w:hint="eastAsia" w:ascii="宋体" w:hAnsi="宋体" w:cs="宋体"/>
          <w:sz w:val="24"/>
        </w:rPr>
      </w:pPr>
      <w:r>
        <w:rPr>
          <w:rFonts w:hint="eastAsia" w:ascii="宋体" w:hAnsi="宋体" w:cs="宋体"/>
          <w:sz w:val="24"/>
        </w:rPr>
        <w:t>6.质量要求：供应商应保证所提供的设备（含零部件、配件等）是全新的、完整的，技术水平是先进的、成熟的，且满足医院的要求，质量是优良的，并符合安全可靠、经济运行和易于维护的要求。如因供应商提供的设备质量等非采购人原因导致采购人、患者及他人人身损害、财产损失的，供应商应当承担全部赔偿责任。如采购人因此而承担赔偿责任的，有权向供应商全额追偿。</w:t>
      </w:r>
    </w:p>
    <w:p>
      <w:pPr>
        <w:spacing w:line="360" w:lineRule="auto"/>
        <w:ind w:firstLine="480" w:firstLineChars="200"/>
        <w:rPr>
          <w:rFonts w:hint="eastAsia" w:ascii="宋体" w:hAnsi="宋体" w:cs="宋体"/>
          <w:sz w:val="24"/>
        </w:rPr>
      </w:pPr>
      <w:r>
        <w:rPr>
          <w:rFonts w:hint="eastAsia" w:ascii="宋体" w:hAnsi="宋体" w:cs="宋体"/>
          <w:sz w:val="24"/>
        </w:rPr>
        <w:t>7.验收、交付标准和方法：</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7.1中标人将采购设备运输至采购人指定地点后，通知采购人组织中标人共同进行开箱验收（包括对设备的包装、外观、数量、规格、质量等的检验）并作详细记录。开箱检验结果和记录应当由合同双方指定代表（需持书面授权委托书）或本合同签字盖章处指定联系人签字确认，并双方持一份。如中标人未按时指派代表或中标人指定联系人未按时参加开箱检验，采购人有权自行开箱检验，检验结果和记录有效，对双方均具有约束力，且中标人应在其检验结果记录上补签字。</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7.2在现场开箱检验时，如发现合同采购设备有任何缺陷、短缺或不符合合同约定时，均应由中标人立即修理、更换或补齐。除属于采购人原因引起的修理或更换费用应由采购人承担外，其他任何原因引起的修理或更换等一切费用均由中标人承担。对于不符合合同约定的任何设备，采购人有权拒收，由此给采购人所造成的全部经济损失均由中标人负责赔偿。</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7.3中标人应当于采购设备经采购人开箱验收后7日内完成采购设备的安装调试（如需）。</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7.4中标人于采购设备安装调试完毕后7日内通知采购人初步验收。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7.5初步验收合格且培训后，进入90天试用期；试用期间发生一般质量问题经维修1次后仍不能正常使用的或发现重大质量问题的，中标人应免费更换新机，同时试用期相应顺延；试用期结束后 15 日内完成最终验收。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7.6采购人于收到中标人书面验收通知后7个工作日内组织验收。如非因中标人原因导致采购人未在前述期限内进行验收的，视为相应的验收阶段验收合格，如中标人怠于通知的，除外。</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7.7验收标准：按国家及行业有关法律法规规定以及招标文件的质量要求和技术指标、投标响应文件及承诺与本合同约定标准进行验收。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7.8验收资料移交：中标人应将所提供设备的装箱清单、配件、随机工具、用户使用手册、原厂保修卡等资料交付给采购人；中标人不能完整交付采购设备及本款规定的单证和工具的，必须负责补齐，否则视为中标人未能如期交货，采购人有权追究中标人逾期交货的违约责任，且采购人有权拒绝支付全部款项。</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7.9验收时如发现所交付的采购设备有短装、次品、损坏或其它不符合标准及本合同规定之情形者，采购人应做出详尽的现场记录，或由甲乙双方签署备忘录，此现场记录或备忘录可用作补充、缺失和更换损坏部件的有效证据，由此产生的时间延误与有关费用由中标人承担，验收期限相应顺延。</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7.10如采购设备验收合格的，由双方各自指派指定代表（需持书面授权委托书）或本合同签字盖章处指定联系人签署最终验收报告。同时，采购人保留将到货采购设备送至具备检测资质的第三方检测机构进行抽检的权利。</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7.11其他未尽事宜应严格按照《财政部关于进一步加强政府采购需求和履约验收管理的指导意见》（财库〔2016〕205号）等政府采购相关法律法规的要求进行验收。</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售后服务：供应商指定专门的人员作为售后联系人，负责免费保修和售后工作。如供应商未按合同约定履行免费保修和售后服务的，采购人有权另行委托任何第三方提供保修和售后服务，产生的费用由供应商承担，且采购人有权要求按照产生费用的20%要求供应商支付违约金。</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免费保修范围和保修期：采购设备免费保修期为【1】年（如项目技术需求和供应商承诺免费保修期限长于该期限的，以最长的期限确定免费保修期），自采购设最终验收且双方代表签署最终验收报告之日起开始计算。免费保修期内供应商应免费负责采购设备维修及抢修，且不能以差旅、住宿等理由要求采购人支付其他任何费用。供应商接到采购人维修通知后，须2个小时内响应，在4小时内到现场，对设备进行维修或更换并承担修理调换的费用，如因特殊原因导致不能现场完成维修或更换的，供应商最迟应于2个工作日内完成维修或更换。在免费保修期内，如采购设备经3次维修仍不能达到合同约定的质量标准，则采购人有权要求供应商免费更换新机或退货，并有权要求供应商支付应退换的采购设备同等金额的违约金。免费保修期满后，若设备出现故障且采购人委托供应商维修的，供应商将无条件负责维修好设备且只收取更换零配件费用。涉及到软件需要升级的设备，供应商需终身免费升级，采购人不再另行支付费用。</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.保险：无。</w:t>
      </w:r>
    </w:p>
    <w:p>
      <w:pPr>
        <w:spacing w:line="360" w:lineRule="auto"/>
        <w:ind w:firstLine="480" w:firstLineChars="200"/>
        <w:rPr>
          <w:rFonts w:ascii="宋体" w:hAnsi="宋体" w:cs="宋体"/>
          <w:sz w:val="24"/>
        </w:rPr>
      </w:pPr>
      <w:r>
        <w:rPr>
          <w:rFonts w:hint="eastAsia" w:ascii="宋体" w:hAnsi="宋体" w:cs="宋体"/>
          <w:sz w:val="24"/>
          <w:lang w:val="en-US" w:eastAsia="zh-CN"/>
        </w:rPr>
        <w:t>11</w:t>
      </w:r>
      <w:r>
        <w:rPr>
          <w:rFonts w:hint="eastAsia" w:ascii="宋体" w:hAnsi="宋体" w:cs="宋体"/>
          <w:sz w:val="24"/>
        </w:rPr>
        <w:t>.培训：供应商应就设备的安装、调试、操作、维修、保养等对采购人维修技术人员及操作人员进行培训，直至采购人的操作人员能独立操作，同时能完成一般常见故障的维修工作，所需的费用已包括在合同总价中，采购人无须另行支付。</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.违约责任：</w:t>
      </w:r>
    </w:p>
    <w:p>
      <w:pPr>
        <w:spacing w:line="360" w:lineRule="auto"/>
        <w:ind w:firstLine="480" w:firstLineChars="200"/>
        <w:rPr>
          <w:rFonts w:ascii="宋体" w:hAnsi="宋体" w:cs="宋体"/>
          <w:sz w:val="24"/>
        </w:rPr>
      </w:pPr>
      <w:r>
        <w:rPr>
          <w:rFonts w:hint="eastAsia" w:ascii="宋体" w:hAnsi="宋体" w:cs="宋体"/>
          <w:sz w:val="24"/>
        </w:rPr>
        <w:t>（1）如非因供应商原因导致采购人逾期支付货款的，每逾期一日，供应商有权要求采购人以逾期未付款项为基数，按照中国人民银行活期存款利率（单利）的标准支付逾期付款损失。如非因供应商原因导致采购人逾期支付预付款超过90日的，供应商有权解除本合同，并要求采购人按照预付款总额的20%支付违约金。</w:t>
      </w:r>
    </w:p>
    <w:p>
      <w:pPr>
        <w:spacing w:line="360" w:lineRule="auto"/>
        <w:ind w:firstLine="480" w:firstLineChars="200"/>
        <w:rPr>
          <w:rFonts w:ascii="宋体" w:hAnsi="宋体" w:cs="宋体"/>
          <w:sz w:val="24"/>
        </w:rPr>
      </w:pPr>
      <w:r>
        <w:rPr>
          <w:rFonts w:hint="eastAsia" w:ascii="宋体" w:hAnsi="宋体" w:cs="宋体"/>
          <w:sz w:val="24"/>
        </w:rPr>
        <w:t>（2）如非因采购人原因导致供应商逾期交付采购设备或逾期完成验收或逾期未免费更换或退换的，每逾期一日，采购人有权要求供应商以违约采购设备对应的设备金额为基数，按照每日万分之五的标准支付违约金。如逾期超过15日的，采购人有权部分或全部终止合同。如采购人选择部分终止合同，同意接受已按期交付且验收合格的采购设备的，甲乙双方对供应商已验收合格的采购设备据实进行结算，采购人同时有权要求供应商按照合同总价的20%支付违约金。如采购人选择全部终止合同的，供应商应退还全部预付款，采购人有权要求供应商按照合同总价的20%支付违约金。如前述违约金不足以弥补采购人损失的，供应商应当另行赔偿。</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.争议与解决</w:t>
      </w:r>
    </w:p>
    <w:p>
      <w:pPr>
        <w:spacing w:line="360" w:lineRule="auto"/>
        <w:ind w:firstLine="480" w:firstLineChars="200"/>
        <w:rPr>
          <w:rFonts w:ascii="宋体" w:hAnsi="宋体" w:cs="宋体"/>
          <w:sz w:val="24"/>
        </w:rPr>
      </w:pPr>
      <w:r>
        <w:rPr>
          <w:rFonts w:hint="eastAsia" w:ascii="宋体" w:hAnsi="宋体" w:cs="宋体"/>
          <w:sz w:val="24"/>
        </w:rPr>
        <w:t>（1）因采购设备的质量问题发生争议，由质量技术监督部门或其指定的质量鉴定机构进行质量鉴定，鉴定费先由供应商垫付。采购设备符合标准的，鉴定费由采购人承担；采购设备不符合质量标准的，鉴定费由供应商承担。</w:t>
      </w:r>
    </w:p>
    <w:p>
      <w:pPr>
        <w:spacing w:line="360" w:lineRule="auto"/>
        <w:ind w:firstLine="480" w:firstLineChars="200"/>
        <w:rPr>
          <w:rFonts w:ascii="宋体" w:hAnsi="宋体" w:cs="宋体"/>
          <w:sz w:val="24"/>
        </w:rPr>
      </w:pPr>
      <w:r>
        <w:rPr>
          <w:rFonts w:hint="eastAsia" w:ascii="宋体" w:hAnsi="宋体" w:cs="宋体"/>
          <w:sz w:val="24"/>
        </w:rPr>
        <w:t>（2）合同履行期间,若双方发生争议，可协商或由有关部门调解解决，协商或调解不成的，任何一方均可向采购人住所地有管辖权的人民法院提起诉讼。败诉方应当承担胜诉方为维护权利产生的诉讼费、保全费、公告费、律师费等。</w:t>
      </w:r>
    </w:p>
    <w:p>
      <w:pPr>
        <w:spacing w:line="360" w:lineRule="auto"/>
        <w:ind w:firstLine="480" w:firstLineChars="200"/>
        <w:rPr>
          <w:rFonts w:ascii="宋体" w:hAnsi="宋体" w:cs="宋体"/>
          <w:sz w:val="24"/>
        </w:rPr>
      </w:pPr>
      <w:r>
        <w:rPr>
          <w:rFonts w:hint="eastAsia" w:ascii="宋体" w:hAnsi="宋体" w:cs="宋体"/>
          <w:sz w:val="24"/>
        </w:rPr>
        <w:t>（3）如因采购人根据本合同的约定向供应商行使追偿权的，供应商同意采购人可向采购人住所地有管辖权的人民法院提起诉讼，并愿意承担采购人为实现债权产生的诉讼费、保全费、公告费、律师费、保全担保保险费等。</w:t>
      </w:r>
    </w:p>
    <w:p>
      <w:pPr>
        <w:spacing w:line="360" w:lineRule="auto"/>
        <w:jc w:val="left"/>
        <w:rPr>
          <w:rFonts w:ascii="宋体" w:hAnsi="宋体" w:cs="宋体"/>
          <w:b/>
          <w:sz w:val="24"/>
        </w:rPr>
      </w:pPr>
      <w:r>
        <w:rPr>
          <w:rFonts w:hint="eastAsia" w:ascii="宋体" w:hAnsi="宋体" w:cs="宋体"/>
          <w:b/>
          <w:sz w:val="24"/>
        </w:rPr>
        <w:t>注：①本章带“★”号项目作为关键性指标要求，其余项目作为一般技术指标要求，如未满足将根据评分办法规定分别进行扣分。</w:t>
      </w:r>
      <w:r>
        <w:rPr>
          <w:rFonts w:hint="eastAsia" w:ascii="宋体" w:hAnsi="宋体" w:cs="宋体"/>
          <w:b/>
          <w:color w:val="auto"/>
          <w:sz w:val="24"/>
          <w:highlight w:val="none"/>
        </w:rPr>
        <w:t>本章带“*”号项目作为实质性条款，投标人不满足的，将按照无效投标处理。</w:t>
      </w:r>
    </w:p>
    <w:p>
      <w:pPr>
        <w:spacing w:line="360" w:lineRule="auto"/>
        <w:ind w:firstLine="482" w:firstLineChars="200"/>
        <w:jc w:val="left"/>
        <w:rPr>
          <w:rFonts w:ascii="仿宋" w:hAnsi="仿宋" w:eastAsia="仿宋" w:cs="仿宋"/>
          <w:b/>
          <w:sz w:val="24"/>
          <w:szCs w:val="36"/>
        </w:rPr>
      </w:pPr>
      <w:r>
        <w:rPr>
          <w:rFonts w:hint="eastAsia" w:ascii="宋体" w:hAnsi="宋体" w:cs="宋体"/>
          <w:b/>
          <w:sz w:val="24"/>
        </w:rPr>
        <w:t>②本项目涉及企业资质、产品认证、人员执业资格等描述与国家最新要求不一致时以最新要求为准。</w:t>
      </w:r>
    </w:p>
    <w:p>
      <w:pPr>
        <w:pStyle w:val="3"/>
        <w:ind w:firstLine="210"/>
        <w:sectPr>
          <w:pgSz w:w="11906" w:h="16838"/>
          <w:pgMar w:top="1440" w:right="1474" w:bottom="1440" w:left="1474" w:header="851" w:footer="992" w:gutter="0"/>
          <w:cols w:space="720" w:num="1"/>
          <w:docGrid w:type="lines" w:linePitch="312" w:charSpace="0"/>
        </w:sectPr>
      </w:pPr>
    </w:p>
    <w:p>
      <w:pPr>
        <w:pStyle w:val="33"/>
        <w:spacing w:line="360" w:lineRule="auto"/>
        <w:rPr>
          <w:rFonts w:ascii="宋体" w:hAnsi="宋体" w:cs="宋体"/>
        </w:rPr>
      </w:pPr>
      <w:bookmarkStart w:id="220" w:name="_Toc2564"/>
      <w:bookmarkStart w:id="221" w:name="_Toc2616"/>
      <w:r>
        <w:rPr>
          <w:rFonts w:hint="eastAsia" w:ascii="宋体" w:hAnsi="宋体" w:cs="宋体"/>
        </w:rPr>
        <w:t>第七章  评标办法</w:t>
      </w:r>
      <w:bookmarkEnd w:id="219"/>
      <w:bookmarkEnd w:id="220"/>
      <w:bookmarkEnd w:id="221"/>
      <w:bookmarkStart w:id="222" w:name="_Hlt101846155"/>
      <w:bookmarkEnd w:id="222"/>
      <w:bookmarkStart w:id="223" w:name="_Toc183682415"/>
      <w:bookmarkStart w:id="224" w:name="_Toc183582280"/>
      <w:bookmarkStart w:id="225" w:name="_Toc208849007"/>
      <w:bookmarkStart w:id="226" w:name="_Toc217446097"/>
    </w:p>
    <w:bookmarkEnd w:id="223"/>
    <w:bookmarkEnd w:id="224"/>
    <w:bookmarkEnd w:id="225"/>
    <w:bookmarkEnd w:id="226"/>
    <w:p>
      <w:pPr>
        <w:pStyle w:val="5"/>
        <w:spacing w:line="360" w:lineRule="auto"/>
        <w:rPr>
          <w:rFonts w:ascii="宋体" w:hAnsi="宋体" w:eastAsia="宋体" w:cs="宋体"/>
          <w:sz w:val="24"/>
          <w:szCs w:val="24"/>
        </w:rPr>
      </w:pPr>
      <w:bookmarkStart w:id="227" w:name="_Toc217446103"/>
      <w:bookmarkStart w:id="228" w:name="_Toc217446099"/>
      <w:r>
        <w:rPr>
          <w:rFonts w:hint="eastAsia" w:ascii="宋体" w:hAnsi="宋体" w:eastAsia="宋体" w:cs="宋体"/>
          <w:sz w:val="24"/>
          <w:szCs w:val="24"/>
        </w:rPr>
        <w:t>1. 总则</w:t>
      </w:r>
    </w:p>
    <w:p>
      <w:pPr>
        <w:spacing w:line="360" w:lineRule="auto"/>
        <w:ind w:firstLine="480" w:firstLineChars="200"/>
        <w:rPr>
          <w:rFonts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根据《中华人民共和国政府采购法》、《中华人民共和国政府采购法实施条例》、《政府采购货物和服务招标投标管理办法》等法律制度，结合采购项目特点制定本评标办法。</w:t>
      </w:r>
    </w:p>
    <w:p>
      <w:pPr>
        <w:spacing w:line="360" w:lineRule="auto"/>
        <w:ind w:firstLine="480" w:firstLineChars="200"/>
        <w:rPr>
          <w:rFonts w:ascii="宋体" w:hAnsi="宋体" w:cs="宋体"/>
          <w:sz w:val="24"/>
        </w:rPr>
      </w:pPr>
      <w:r>
        <w:rPr>
          <w:rFonts w:hint="eastAsia" w:ascii="宋体" w:hAnsi="宋体" w:cs="宋体"/>
          <w:sz w:val="24"/>
        </w:rPr>
        <w:t>1.2 公开招标采购项目开标结束后，采购人或者采购代理机构应当依法对投标人的资格进行审查。依据法律法规和本招标文件的规定，对投标文件是否按照规定要求提供资格性证明材料，以确定投标供应商是否具备投标资格。</w:t>
      </w:r>
    </w:p>
    <w:p>
      <w:pPr>
        <w:spacing w:line="360" w:lineRule="auto"/>
        <w:ind w:firstLine="480" w:firstLineChars="200"/>
        <w:rPr>
          <w:rFonts w:ascii="宋体" w:hAnsi="宋体" w:cs="宋体"/>
          <w:sz w:val="24"/>
        </w:rPr>
      </w:pPr>
      <w:r>
        <w:rPr>
          <w:rFonts w:hint="eastAsia" w:ascii="宋体" w:hAnsi="宋体" w:cs="宋体"/>
          <w:sz w:val="24"/>
        </w:rPr>
        <w:t>合格投标人不足三家的，不得评标。</w:t>
      </w:r>
    </w:p>
    <w:p>
      <w:pPr>
        <w:spacing w:line="360" w:lineRule="auto"/>
        <w:ind w:firstLine="480" w:firstLineChars="200"/>
        <w:rPr>
          <w:rFonts w:ascii="宋体" w:hAnsi="宋体" w:cs="宋体"/>
          <w:sz w:val="24"/>
        </w:rPr>
      </w:pPr>
      <w:r>
        <w:rPr>
          <w:rFonts w:hint="eastAsia" w:ascii="宋体" w:hAnsi="宋体" w:cs="宋体"/>
          <w:sz w:val="24"/>
        </w:rPr>
        <w:t>评标工作由采购代理机构负责组织，具体评标事务由采购代理机构依法组建的评标委员会负责。评标委员会由采购人代表和有关技术、经济、法律等方面的专家组成（专家组成员构成、数量根据具体项目确定）。</w:t>
      </w:r>
    </w:p>
    <w:p>
      <w:pPr>
        <w:spacing w:line="360" w:lineRule="auto"/>
        <w:ind w:firstLine="480" w:firstLineChars="200"/>
        <w:rPr>
          <w:rFonts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pacing w:line="360" w:lineRule="auto"/>
        <w:ind w:firstLine="480" w:firstLineChars="200"/>
        <w:rPr>
          <w:rFonts w:ascii="宋体" w:hAnsi="宋体" w:cs="宋体"/>
          <w:sz w:val="24"/>
        </w:rPr>
      </w:pPr>
      <w:r>
        <w:rPr>
          <w:rFonts w:hint="eastAsia" w:ascii="宋体" w:hAnsi="宋体" w:cs="宋体"/>
          <w:sz w:val="24"/>
        </w:rPr>
        <w:t>1.4 评标委员会按照招标文件规定的评标方法和标准进行评标，并独立履行下列职责：</w:t>
      </w:r>
    </w:p>
    <w:p>
      <w:pPr>
        <w:spacing w:line="360" w:lineRule="auto"/>
        <w:ind w:firstLine="480" w:firstLineChars="200"/>
        <w:rPr>
          <w:rFonts w:ascii="宋体" w:hAnsi="宋体" w:cs="宋体"/>
          <w:sz w:val="24"/>
        </w:rPr>
      </w:pPr>
      <w:bookmarkStart w:id="229" w:name="_Toc217446098"/>
      <w:r>
        <w:rPr>
          <w:rFonts w:hint="eastAsia" w:ascii="宋体" w:hAnsi="宋体" w:cs="宋体"/>
          <w:sz w:val="24"/>
        </w:rPr>
        <w:t>（一）熟悉和理解招标文件；</w:t>
      </w:r>
    </w:p>
    <w:p>
      <w:pPr>
        <w:spacing w:line="360" w:lineRule="auto"/>
        <w:ind w:firstLine="480" w:firstLineChars="200"/>
        <w:rPr>
          <w:rFonts w:ascii="宋体" w:hAnsi="宋体" w:cs="宋体"/>
          <w:sz w:val="24"/>
        </w:rPr>
      </w:pPr>
      <w:r>
        <w:rPr>
          <w:rFonts w:hint="eastAsia" w:ascii="宋体" w:hAnsi="宋体" w:cs="宋体"/>
          <w:sz w:val="24"/>
        </w:rPr>
        <w:t>（二）审查供应商（已通过资格审查）的投标文件是否满足招标文件要求，并作出评价；</w:t>
      </w:r>
    </w:p>
    <w:p>
      <w:pPr>
        <w:spacing w:line="360" w:lineRule="auto"/>
        <w:ind w:firstLine="480" w:firstLineChars="200"/>
        <w:rPr>
          <w:rFonts w:ascii="宋体" w:hAnsi="宋体" w:cs="宋体"/>
          <w:sz w:val="24"/>
        </w:rPr>
      </w:pPr>
      <w:r>
        <w:rPr>
          <w:rFonts w:hint="eastAsia" w:ascii="宋体" w:hAnsi="宋体" w:cs="宋体"/>
          <w:sz w:val="24"/>
        </w:rPr>
        <w:t>（三）根据需要要求招标采购单位对招标文件作出解释；根据需要要求供应商对投标文件有关事项作出澄清、说明或者更正；</w:t>
      </w:r>
    </w:p>
    <w:p>
      <w:pPr>
        <w:spacing w:line="360" w:lineRule="auto"/>
        <w:ind w:firstLine="480" w:firstLineChars="200"/>
        <w:rPr>
          <w:rFonts w:ascii="宋体" w:hAnsi="宋体" w:cs="宋体"/>
          <w:sz w:val="24"/>
        </w:rPr>
      </w:pPr>
      <w:r>
        <w:rPr>
          <w:rFonts w:hint="eastAsia" w:ascii="宋体" w:hAnsi="宋体" w:cs="宋体"/>
          <w:sz w:val="24"/>
        </w:rPr>
        <w:t>（四）推荐中标候选供应商，或者受采购人委托确定中标供应商；</w:t>
      </w:r>
    </w:p>
    <w:p>
      <w:pPr>
        <w:spacing w:line="360" w:lineRule="auto"/>
        <w:ind w:firstLine="480" w:firstLineChars="200"/>
        <w:rPr>
          <w:rFonts w:ascii="宋体" w:hAnsi="宋体" w:cs="宋体"/>
          <w:sz w:val="24"/>
        </w:rPr>
      </w:pPr>
      <w:r>
        <w:rPr>
          <w:rFonts w:hint="eastAsia" w:ascii="宋体" w:hAnsi="宋体" w:cs="宋体"/>
          <w:sz w:val="24"/>
        </w:rPr>
        <w:t>（五）起草评标报告并进行签署；</w:t>
      </w:r>
    </w:p>
    <w:p>
      <w:pPr>
        <w:spacing w:line="360" w:lineRule="auto"/>
        <w:ind w:firstLine="480" w:firstLineChars="200"/>
        <w:rPr>
          <w:rFonts w:ascii="宋体" w:hAnsi="宋体" w:cs="宋体"/>
          <w:sz w:val="24"/>
        </w:rPr>
      </w:pPr>
      <w:r>
        <w:rPr>
          <w:rFonts w:hint="eastAsia" w:ascii="宋体" w:hAnsi="宋体" w:cs="宋体"/>
          <w:sz w:val="24"/>
        </w:rPr>
        <w:t>（六）向招标采购单位、财政部门或者其他监督部门报告非法干预评标工作的行为；</w:t>
      </w:r>
    </w:p>
    <w:p>
      <w:pPr>
        <w:spacing w:line="360" w:lineRule="auto"/>
        <w:ind w:firstLine="480" w:firstLineChars="200"/>
        <w:rPr>
          <w:rFonts w:ascii="宋体" w:hAnsi="宋体" w:cs="宋体"/>
          <w:sz w:val="24"/>
        </w:rPr>
      </w:pPr>
      <w:r>
        <w:rPr>
          <w:rFonts w:hint="eastAsia" w:ascii="宋体" w:hAnsi="宋体" w:cs="宋体"/>
          <w:sz w:val="24"/>
        </w:rPr>
        <w:t>（七）法律、法规和规章规定的其他职责。</w:t>
      </w:r>
    </w:p>
    <w:p>
      <w:pPr>
        <w:spacing w:line="360" w:lineRule="auto"/>
        <w:ind w:firstLine="480" w:firstLineChars="200"/>
        <w:rPr>
          <w:rFonts w:ascii="宋体" w:hAnsi="宋体" w:cs="宋体"/>
          <w:sz w:val="24"/>
        </w:rPr>
      </w:pPr>
      <w:r>
        <w:rPr>
          <w:rFonts w:hint="eastAsia" w:ascii="宋体" w:hAnsi="宋体" w:cs="宋体"/>
          <w:sz w:val="24"/>
        </w:rPr>
        <w:t>1.5 评标过程独立、保密。投标人非法干预评标过程的行为将导致其投标文件作为无效处理。</w:t>
      </w:r>
    </w:p>
    <w:p>
      <w:pPr>
        <w:spacing w:line="360" w:lineRule="auto"/>
        <w:ind w:firstLine="480" w:firstLineChars="200"/>
        <w:rPr>
          <w:rFonts w:ascii="宋体" w:hAnsi="宋体" w:cs="宋体"/>
          <w:sz w:val="24"/>
        </w:rPr>
      </w:pPr>
      <w:r>
        <w:rPr>
          <w:rFonts w:hint="eastAsia" w:ascii="宋体" w:hAnsi="宋体" w:cs="宋体"/>
          <w:sz w:val="24"/>
        </w:rPr>
        <w:t>1.6 评标委员会评价投标文件的响应性，对于投标人而言，除评标委员会要求其澄清、说明或者更正而提供的资料外，仅依据投标文件本身的内容，不寻求其他外部证据。</w:t>
      </w:r>
    </w:p>
    <w:p>
      <w:pPr>
        <w:pStyle w:val="5"/>
        <w:spacing w:line="360" w:lineRule="auto"/>
        <w:rPr>
          <w:rFonts w:ascii="宋体" w:hAnsi="宋体" w:eastAsia="宋体" w:cs="宋体"/>
          <w:sz w:val="24"/>
          <w:szCs w:val="24"/>
        </w:rPr>
      </w:pPr>
      <w:r>
        <w:rPr>
          <w:rFonts w:hint="eastAsia" w:ascii="宋体" w:hAnsi="宋体" w:eastAsia="宋体" w:cs="宋体"/>
          <w:sz w:val="24"/>
          <w:szCs w:val="24"/>
        </w:rPr>
        <w:t>2、 评标</w:t>
      </w:r>
      <w:bookmarkEnd w:id="229"/>
      <w:r>
        <w:rPr>
          <w:rFonts w:hint="eastAsia" w:ascii="宋体" w:hAnsi="宋体" w:eastAsia="宋体" w:cs="宋体"/>
          <w:sz w:val="24"/>
          <w:szCs w:val="24"/>
        </w:rPr>
        <w:t>方法</w:t>
      </w:r>
    </w:p>
    <w:p>
      <w:pPr>
        <w:spacing w:line="360" w:lineRule="auto"/>
        <w:ind w:firstLine="480" w:firstLineChars="200"/>
        <w:rPr>
          <w:rFonts w:ascii="宋体" w:hAnsi="宋体" w:cs="宋体"/>
          <w:sz w:val="24"/>
        </w:rPr>
      </w:pPr>
      <w:r>
        <w:rPr>
          <w:rFonts w:hint="eastAsia" w:ascii="宋体" w:hAnsi="宋体" w:cs="宋体"/>
          <w:sz w:val="24"/>
        </w:rPr>
        <w:t>2.1本项目评标方法为：</w:t>
      </w:r>
      <w:r>
        <w:rPr>
          <w:rFonts w:hint="eastAsia" w:ascii="宋体" w:hAnsi="宋体" w:cs="宋体"/>
          <w:b/>
          <w:bCs/>
          <w:sz w:val="24"/>
        </w:rPr>
        <w:t>综合评分法</w:t>
      </w:r>
      <w:r>
        <w:rPr>
          <w:rFonts w:hint="eastAsia" w:ascii="宋体" w:hAnsi="宋体" w:cs="宋体"/>
          <w:sz w:val="24"/>
        </w:rPr>
        <w:t>。</w:t>
      </w:r>
    </w:p>
    <w:p>
      <w:pPr>
        <w:pStyle w:val="5"/>
        <w:spacing w:line="360" w:lineRule="auto"/>
        <w:rPr>
          <w:rFonts w:ascii="宋体" w:hAnsi="宋体" w:eastAsia="宋体" w:cs="宋体"/>
          <w:sz w:val="24"/>
          <w:szCs w:val="24"/>
        </w:rPr>
      </w:pPr>
      <w:r>
        <w:rPr>
          <w:rFonts w:hint="eastAsia" w:ascii="宋体" w:hAnsi="宋体" w:eastAsia="宋体" w:cs="宋体"/>
          <w:sz w:val="24"/>
          <w:szCs w:val="24"/>
        </w:rPr>
        <w:t>3、 评标程序</w:t>
      </w:r>
    </w:p>
    <w:p>
      <w:pPr>
        <w:spacing w:line="360" w:lineRule="auto"/>
        <w:ind w:firstLine="480" w:firstLineChars="200"/>
        <w:rPr>
          <w:rFonts w:ascii="宋体" w:hAnsi="宋体" w:cs="宋体"/>
          <w:sz w:val="24"/>
        </w:rPr>
      </w:pPr>
      <w:r>
        <w:rPr>
          <w:rFonts w:hint="eastAsia" w:ascii="宋体" w:hAnsi="宋体" w:cs="宋体"/>
          <w:sz w:val="24"/>
        </w:rPr>
        <w:t>3.1熟悉和理解招标文件和停止评标。</w:t>
      </w:r>
    </w:p>
    <w:p>
      <w:pPr>
        <w:spacing w:line="360" w:lineRule="auto"/>
        <w:ind w:firstLine="480" w:firstLineChars="200"/>
        <w:rPr>
          <w:rFonts w:ascii="宋体" w:hAnsi="宋体" w:cs="宋体"/>
          <w:sz w:val="24"/>
        </w:rPr>
      </w:pPr>
      <w:r>
        <w:rPr>
          <w:rFonts w:hint="eastAsia" w:ascii="宋体" w:hAnsi="宋体" w:cs="宋体"/>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pPr>
        <w:spacing w:line="360" w:lineRule="auto"/>
        <w:ind w:firstLine="480" w:firstLineChars="200"/>
        <w:rPr>
          <w:rFonts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360" w:lineRule="auto"/>
        <w:ind w:firstLine="480" w:firstLineChars="200"/>
        <w:rPr>
          <w:rFonts w:ascii="宋体" w:hAnsi="宋体" w:cs="宋体"/>
          <w:sz w:val="24"/>
        </w:rPr>
      </w:pPr>
      <w:r>
        <w:rPr>
          <w:rFonts w:hint="eastAsia" w:ascii="宋体" w:hAnsi="宋体" w:cs="宋体"/>
          <w:sz w:val="24"/>
        </w:rPr>
        <w:t>（1）招标文件的规定存在歧义、重大缺陷的；</w:t>
      </w:r>
    </w:p>
    <w:p>
      <w:pPr>
        <w:spacing w:line="360" w:lineRule="auto"/>
        <w:ind w:firstLine="480" w:firstLineChars="200"/>
        <w:rPr>
          <w:rFonts w:ascii="宋体" w:hAnsi="宋体" w:cs="宋体"/>
          <w:sz w:val="24"/>
        </w:rPr>
      </w:pPr>
      <w:r>
        <w:rPr>
          <w:rFonts w:hint="eastAsia" w:ascii="宋体" w:hAnsi="宋体" w:cs="宋体"/>
          <w:sz w:val="24"/>
        </w:rPr>
        <w:t>（2）招标文件明显以不合理条件对供应商实行差别待遇或者歧视待遇的；</w:t>
      </w:r>
    </w:p>
    <w:p>
      <w:pPr>
        <w:spacing w:line="360" w:lineRule="auto"/>
        <w:ind w:firstLine="480" w:firstLineChars="200"/>
        <w:rPr>
          <w:rFonts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line="360" w:lineRule="auto"/>
        <w:ind w:firstLine="480" w:firstLineChars="200"/>
        <w:rPr>
          <w:rFonts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line="360" w:lineRule="auto"/>
        <w:ind w:firstLine="480" w:firstLineChars="200"/>
        <w:rPr>
          <w:rFonts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ascii="宋体" w:hAnsi="宋体" w:cs="宋体"/>
          <w:sz w:val="24"/>
        </w:rPr>
      </w:pPr>
      <w:r>
        <w:rPr>
          <w:rFonts w:hint="eastAsia" w:ascii="宋体" w:hAnsi="宋体" w:cs="宋体"/>
          <w:sz w:val="24"/>
        </w:rPr>
        <w:t>（6）招标文件将投标人的资格条件列为评分因素的；</w:t>
      </w:r>
    </w:p>
    <w:p>
      <w:pPr>
        <w:spacing w:line="360" w:lineRule="auto"/>
        <w:ind w:firstLine="480" w:firstLineChars="200"/>
        <w:rPr>
          <w:rFonts w:ascii="宋体" w:hAnsi="宋体" w:cs="宋体"/>
          <w:sz w:val="24"/>
        </w:rPr>
      </w:pPr>
      <w:r>
        <w:rPr>
          <w:rFonts w:hint="eastAsia" w:ascii="宋体" w:hAnsi="宋体" w:cs="宋体"/>
          <w:sz w:val="24"/>
        </w:rPr>
        <w:t>（7）招标文件有违反国家其他有关强制性规定的情形。</w:t>
      </w:r>
    </w:p>
    <w:p>
      <w:pPr>
        <w:spacing w:line="360" w:lineRule="auto"/>
        <w:ind w:firstLine="480" w:firstLineChars="200"/>
        <w:rPr>
          <w:rFonts w:ascii="宋体" w:hAnsi="宋体" w:cs="宋体"/>
          <w:sz w:val="24"/>
        </w:rPr>
      </w:pPr>
      <w:r>
        <w:rPr>
          <w:rFonts w:hint="eastAsia" w:ascii="宋体" w:hAnsi="宋体" w:cs="宋体"/>
          <w:sz w:val="24"/>
        </w:rPr>
        <w:t>3.1.3出现本条3.1.2规定应当停止评标情形的，评标委员会成员应当向招标采购单位书面说明情况。除本条规定和评标委员会无法依法组建的情形外，评标委员会成员不得以任何方式和理由停止评标。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2" w:firstLineChars="200"/>
        <w:rPr>
          <w:rFonts w:ascii="宋体" w:hAnsi="宋体" w:cs="宋体"/>
          <w:b/>
          <w:bCs/>
          <w:sz w:val="24"/>
        </w:rPr>
      </w:pPr>
      <w:r>
        <w:rPr>
          <w:rFonts w:hint="eastAsia" w:ascii="宋体" w:hAnsi="宋体" w:cs="宋体"/>
          <w:b/>
          <w:bCs/>
          <w:sz w:val="24"/>
        </w:rPr>
        <w:t>3.2符合性检查。</w:t>
      </w:r>
    </w:p>
    <w:p>
      <w:pPr>
        <w:spacing w:line="360" w:lineRule="auto"/>
        <w:ind w:firstLine="480" w:firstLineChars="200"/>
        <w:rPr>
          <w:rFonts w:ascii="宋体" w:hAnsi="宋体" w:cs="宋体"/>
          <w:sz w:val="24"/>
        </w:rPr>
      </w:pPr>
      <w:r>
        <w:rPr>
          <w:rFonts w:hint="eastAsia" w:ascii="宋体" w:hAnsi="宋体" w:cs="宋体"/>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ascii="宋体" w:hAnsi="宋体" w:cs="宋体"/>
          <w:sz w:val="24"/>
        </w:rPr>
      </w:pPr>
      <w:r>
        <w:rPr>
          <w:rFonts w:hint="eastAsia" w:ascii="宋体" w:hAnsi="宋体" w:cs="宋体"/>
          <w:sz w:val="24"/>
        </w:rPr>
        <w:t>3.2.2投标文件（包括单独递交的开标一览表）有下列情形的，本项目不作为实质性要求进行规定，即不作为符合性审查事项，不得作为无效投标处理：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宋体" w:hAnsi="宋体" w:cs="宋体"/>
          <w:sz w:val="24"/>
        </w:rPr>
      </w:pPr>
      <w:r>
        <w:rPr>
          <w:rFonts w:hint="eastAsia" w:ascii="宋体" w:hAnsi="宋体" w:cs="宋体"/>
          <w:sz w:val="24"/>
        </w:rPr>
        <w:t>（二）存在个别地方（不超过2个）没有法定代表人/单位负责人签字，但有法定代表人/单位负责人的私人印章或者有效授权代理人签字的；</w:t>
      </w:r>
    </w:p>
    <w:p>
      <w:pPr>
        <w:spacing w:line="360" w:lineRule="auto"/>
        <w:ind w:firstLine="480" w:firstLineChars="200"/>
        <w:rPr>
          <w:rFonts w:ascii="宋体" w:hAnsi="宋体" w:cs="宋体"/>
          <w:sz w:val="24"/>
        </w:rPr>
      </w:pPr>
      <w:r>
        <w:rPr>
          <w:rFonts w:hint="eastAsia" w:ascii="宋体" w:hAnsi="宋体" w:cs="宋体"/>
          <w:sz w:val="24"/>
        </w:rPr>
        <w:t>（三）除招标文件明确要求加盖单位(法人)电子签章的以外，其他地方以相关专用章加盖的；</w:t>
      </w:r>
    </w:p>
    <w:p>
      <w:pPr>
        <w:spacing w:line="360" w:lineRule="auto"/>
        <w:ind w:firstLine="480" w:firstLineChars="200"/>
        <w:rPr>
          <w:rFonts w:ascii="宋体" w:hAnsi="宋体" w:cs="宋体"/>
          <w:sz w:val="24"/>
        </w:rPr>
      </w:pPr>
      <w:r>
        <w:rPr>
          <w:rFonts w:hint="eastAsia" w:ascii="宋体" w:hAnsi="宋体" w:cs="宋体"/>
          <w:sz w:val="24"/>
        </w:rPr>
        <w:t>（四）以骑缝章的形式代替投标文件内容逐页盖章的（但是骑缝章模糊不清，印章名称无法辨认的除外）；</w:t>
      </w:r>
    </w:p>
    <w:p>
      <w:pPr>
        <w:spacing w:line="360" w:lineRule="auto"/>
        <w:ind w:firstLine="480" w:firstLineChars="200"/>
        <w:rPr>
          <w:rFonts w:ascii="宋体" w:hAnsi="宋体" w:cs="宋体"/>
          <w:sz w:val="24"/>
        </w:rPr>
      </w:pPr>
      <w:r>
        <w:rPr>
          <w:rFonts w:hint="eastAsia" w:ascii="宋体" w:hAnsi="宋体" w:cs="宋体"/>
          <w:sz w:val="24"/>
        </w:rPr>
        <w:t>（五）其他不影响采购项目实质性要求的情形。</w:t>
      </w:r>
    </w:p>
    <w:p>
      <w:pPr>
        <w:spacing w:line="360" w:lineRule="auto"/>
        <w:ind w:firstLine="480" w:firstLineChars="200"/>
        <w:rPr>
          <w:rFonts w:ascii="宋体" w:hAnsi="宋体" w:cs="宋体"/>
          <w:sz w:val="24"/>
        </w:rPr>
      </w:pPr>
      <w:r>
        <w:rPr>
          <w:rFonts w:hint="eastAsia" w:ascii="宋体" w:hAnsi="宋体" w:cs="宋体"/>
          <w:sz w:val="24"/>
        </w:rPr>
        <w:t>3.2.3除政府采购法律制度规定的情形外，本项目投标人或者其投标文件有下列情形之一的，作为无效投标处理：</w:t>
      </w:r>
    </w:p>
    <w:p>
      <w:pPr>
        <w:spacing w:line="360" w:lineRule="auto"/>
        <w:ind w:firstLine="480" w:firstLineChars="200"/>
        <w:rPr>
          <w:rFonts w:ascii="宋体" w:hAnsi="宋体" w:cs="宋体"/>
          <w:sz w:val="24"/>
        </w:rPr>
      </w:pPr>
      <w:r>
        <w:rPr>
          <w:rFonts w:hint="eastAsia" w:ascii="宋体" w:hAnsi="宋体" w:cs="宋体"/>
          <w:sz w:val="24"/>
        </w:rPr>
        <w:t>（一）投标文件组成明显不符合招标文件的规定要求，影响评标委员会评判的；</w:t>
      </w:r>
    </w:p>
    <w:p>
      <w:pPr>
        <w:spacing w:line="360" w:lineRule="auto"/>
        <w:ind w:firstLine="480" w:firstLineChars="200"/>
        <w:rPr>
          <w:rFonts w:ascii="宋体" w:hAnsi="宋体" w:cs="宋体"/>
          <w:sz w:val="24"/>
        </w:rPr>
      </w:pPr>
      <w:r>
        <w:rPr>
          <w:rFonts w:hint="eastAsia" w:ascii="宋体" w:hAnsi="宋体" w:cs="宋体"/>
          <w:sz w:val="24"/>
        </w:rPr>
        <w:t>（二）投标文件的格式、语言、计量单位、报价货币、知识产权、投标有效期等不符合招标文件的规定，影响评标委员会评判的；</w:t>
      </w:r>
    </w:p>
    <w:p>
      <w:pPr>
        <w:spacing w:line="360" w:lineRule="auto"/>
        <w:ind w:firstLine="480" w:firstLineChars="200"/>
        <w:rPr>
          <w:rFonts w:ascii="宋体" w:hAnsi="宋体" w:cs="宋体"/>
          <w:sz w:val="24"/>
        </w:rPr>
      </w:pPr>
      <w:r>
        <w:rPr>
          <w:rFonts w:hint="eastAsia" w:ascii="宋体" w:hAnsi="宋体" w:cs="宋体"/>
          <w:sz w:val="24"/>
        </w:rPr>
        <w:t>（三）投标报价不符合招标文件规定的采购预算或限价或其他报价规定的；</w:t>
      </w:r>
    </w:p>
    <w:p>
      <w:pPr>
        <w:spacing w:line="360" w:lineRule="auto"/>
        <w:ind w:firstLine="480" w:firstLineChars="200"/>
        <w:rPr>
          <w:rFonts w:ascii="宋体" w:hAnsi="宋体" w:cs="宋体"/>
          <w:sz w:val="24"/>
        </w:rPr>
      </w:pPr>
      <w:r>
        <w:rPr>
          <w:rFonts w:hint="eastAsia" w:ascii="宋体" w:hAnsi="宋体" w:cs="宋体"/>
          <w:sz w:val="24"/>
        </w:rPr>
        <w:t>（四）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的除外）；</w:t>
      </w:r>
    </w:p>
    <w:p>
      <w:pPr>
        <w:spacing w:line="360" w:lineRule="auto"/>
        <w:ind w:firstLine="480" w:firstLineChars="200"/>
        <w:rPr>
          <w:rFonts w:ascii="宋体" w:hAnsi="宋体" w:cs="宋体"/>
          <w:sz w:val="24"/>
        </w:rPr>
      </w:pPr>
      <w:r>
        <w:rPr>
          <w:rFonts w:hint="eastAsia" w:ascii="宋体" w:hAnsi="宋体" w:cs="宋体"/>
          <w:sz w:val="24"/>
        </w:rPr>
        <w:t>（五）技术、服务内容如有实质性要求，投标文件没有完全响应招标文件的实质性要求或属于招标文件中投标无效情形的；</w:t>
      </w:r>
    </w:p>
    <w:p>
      <w:pPr>
        <w:spacing w:line="360" w:lineRule="auto"/>
        <w:ind w:firstLine="480" w:firstLineChars="200"/>
        <w:rPr>
          <w:rFonts w:ascii="宋体" w:hAnsi="宋体" w:cs="宋体"/>
          <w:sz w:val="24"/>
        </w:rPr>
      </w:pPr>
      <w:r>
        <w:rPr>
          <w:rFonts w:hint="eastAsia" w:ascii="宋体" w:hAnsi="宋体" w:cs="宋体"/>
          <w:sz w:val="24"/>
        </w:rPr>
        <w:t>（六）招标文件有明确要求，但投标文件未载明或者载明的招标项目履约时间、方式、数量及其他政府采购合同实质性内容与招标文件要求不一致的。</w:t>
      </w:r>
    </w:p>
    <w:p>
      <w:pPr>
        <w:spacing w:line="360" w:lineRule="auto"/>
        <w:ind w:firstLine="480" w:firstLineChars="200"/>
        <w:rPr>
          <w:rFonts w:ascii="宋体" w:hAnsi="宋体" w:cs="宋体"/>
          <w:sz w:val="24"/>
        </w:rPr>
      </w:pPr>
      <w:r>
        <w:rPr>
          <w:rFonts w:hint="eastAsia" w:ascii="宋体" w:hAnsi="宋体" w:cs="宋体"/>
          <w:sz w:val="24"/>
        </w:rPr>
        <w:t>3.3比较与评价。按招标文件中规定的评标方法和标准，对未作无效投标处理的投标文件进行技术、服务、商务等方面评估，综合比较与评价。</w:t>
      </w:r>
    </w:p>
    <w:p>
      <w:pPr>
        <w:spacing w:line="360" w:lineRule="auto"/>
        <w:ind w:firstLine="480" w:firstLineChars="200"/>
        <w:rPr>
          <w:rFonts w:ascii="宋体" w:hAnsi="宋体" w:cs="宋体"/>
          <w:sz w:val="24"/>
        </w:rPr>
      </w:pPr>
      <w:r>
        <w:rPr>
          <w:rFonts w:hint="eastAsia" w:ascii="宋体" w:hAnsi="宋体" w:cs="宋体"/>
          <w:sz w:val="24"/>
        </w:rPr>
        <w:t>3.4复核。评分汇总结束后，评标委员会应当进行复核，特别要对拟推荐为中标候选供应商的、报价最低的、投标文件被认定为无效的进行重点复核。</w:t>
      </w:r>
    </w:p>
    <w:p>
      <w:pPr>
        <w:widowControl/>
        <w:spacing w:line="360" w:lineRule="auto"/>
        <w:ind w:firstLine="480"/>
        <w:jc w:val="left"/>
        <w:rPr>
          <w:rFonts w:ascii="宋体" w:hAnsi="宋体" w:cs="宋体"/>
          <w:kern w:val="1"/>
          <w:sz w:val="24"/>
        </w:rPr>
      </w:pPr>
      <w:r>
        <w:rPr>
          <w:rFonts w:hint="eastAsia" w:ascii="宋体" w:hAnsi="宋体" w:cs="宋体"/>
          <w:sz w:val="24"/>
        </w:rPr>
        <w:t>3.5推荐中标候选人。评标委员会</w:t>
      </w:r>
      <w:r>
        <w:rPr>
          <w:rFonts w:hint="eastAsia" w:ascii="宋体" w:hAnsi="宋体" w:cs="宋体"/>
          <w:kern w:val="1"/>
          <w:sz w:val="24"/>
        </w:rPr>
        <w:t>根据综合评分情况，按照评审得分由高到低顺序推荐</w:t>
      </w:r>
      <w:r>
        <w:rPr>
          <w:rFonts w:hint="eastAsia" w:ascii="宋体" w:hAnsi="宋体" w:cs="宋体"/>
          <w:sz w:val="24"/>
        </w:rPr>
        <w:t>中标候选人。</w:t>
      </w:r>
      <w:r>
        <w:rPr>
          <w:rFonts w:hint="eastAsia" w:ascii="宋体" w:hAnsi="宋体" w:cs="宋体"/>
          <w:kern w:val="1"/>
          <w:sz w:val="24"/>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cs="宋体"/>
          <w:sz w:val="24"/>
        </w:rPr>
      </w:pPr>
      <w:r>
        <w:rPr>
          <w:rFonts w:hint="eastAsia" w:ascii="宋体" w:hAnsi="宋体" w:cs="宋体"/>
          <w:sz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pPr>
        <w:spacing w:line="360" w:lineRule="auto"/>
        <w:ind w:firstLine="480" w:firstLineChars="200"/>
        <w:rPr>
          <w:rFonts w:ascii="宋体" w:hAnsi="宋体" w:cs="宋体"/>
          <w:sz w:val="24"/>
        </w:rPr>
      </w:pPr>
      <w:r>
        <w:rPr>
          <w:rFonts w:hint="eastAsia" w:ascii="宋体" w:hAnsi="宋体" w:cs="宋体"/>
          <w:sz w:val="24"/>
        </w:rPr>
        <w:t>3.6出具评标报告。评标委员会推荐中标候选供应商后，应当向招标采购单位出具评标报告。评标报告应当包括下列内容：</w:t>
      </w:r>
    </w:p>
    <w:p>
      <w:pPr>
        <w:spacing w:line="360" w:lineRule="auto"/>
        <w:ind w:firstLine="480" w:firstLineChars="200"/>
        <w:rPr>
          <w:rFonts w:ascii="宋体" w:hAnsi="宋体" w:cs="宋体"/>
          <w:sz w:val="24"/>
        </w:rPr>
      </w:pPr>
      <w:r>
        <w:rPr>
          <w:rFonts w:hint="eastAsia" w:ascii="宋体" w:hAnsi="宋体" w:cs="宋体"/>
          <w:sz w:val="24"/>
        </w:rPr>
        <w:t>（一）招标公告刊登的媒体名称、开标日期和地点；</w:t>
      </w:r>
    </w:p>
    <w:p>
      <w:pPr>
        <w:spacing w:line="360" w:lineRule="auto"/>
        <w:ind w:firstLine="480" w:firstLineChars="200"/>
        <w:rPr>
          <w:rFonts w:ascii="宋体" w:hAnsi="宋体" w:cs="宋体"/>
          <w:sz w:val="24"/>
        </w:rPr>
      </w:pPr>
      <w:r>
        <w:rPr>
          <w:rFonts w:hint="eastAsia" w:ascii="宋体" w:hAnsi="宋体" w:cs="宋体"/>
          <w:sz w:val="24"/>
        </w:rPr>
        <w:t>（二）获取招标文件的投标人名单和评标委员会成员名单；</w:t>
      </w:r>
    </w:p>
    <w:p>
      <w:pPr>
        <w:spacing w:line="360" w:lineRule="auto"/>
        <w:ind w:firstLine="480" w:firstLineChars="200"/>
        <w:rPr>
          <w:rFonts w:ascii="宋体" w:hAnsi="宋体" w:cs="宋体"/>
          <w:sz w:val="24"/>
        </w:rPr>
      </w:pPr>
      <w:r>
        <w:rPr>
          <w:rFonts w:hint="eastAsia" w:ascii="宋体" w:hAnsi="宋体" w:cs="宋体"/>
          <w:sz w:val="24"/>
        </w:rPr>
        <w:t>（三）评标方法和标准；</w:t>
      </w:r>
    </w:p>
    <w:p>
      <w:pPr>
        <w:spacing w:line="360" w:lineRule="auto"/>
        <w:ind w:firstLine="480" w:firstLineChars="200"/>
        <w:rPr>
          <w:rFonts w:ascii="宋体" w:hAnsi="宋体" w:cs="宋体"/>
          <w:sz w:val="24"/>
        </w:rPr>
      </w:pPr>
      <w:r>
        <w:rPr>
          <w:rFonts w:hint="eastAsia" w:ascii="宋体" w:hAnsi="宋体" w:cs="宋体"/>
          <w:sz w:val="24"/>
        </w:rPr>
        <w:t>（四）开标记录和评标情况及说明，包括无效投标人名单及原因；</w:t>
      </w:r>
    </w:p>
    <w:p>
      <w:pPr>
        <w:spacing w:line="360" w:lineRule="auto"/>
        <w:ind w:firstLine="480" w:firstLineChars="200"/>
        <w:rPr>
          <w:rFonts w:ascii="宋体" w:hAnsi="宋体" w:cs="宋体"/>
          <w:sz w:val="24"/>
        </w:rPr>
      </w:pPr>
      <w:r>
        <w:rPr>
          <w:rFonts w:hint="eastAsia" w:ascii="宋体" w:hAnsi="宋体" w:cs="宋体"/>
          <w:sz w:val="24"/>
        </w:rPr>
        <w:t>（五）评标结果和中标候选供应商排序表；</w:t>
      </w:r>
    </w:p>
    <w:p>
      <w:pPr>
        <w:spacing w:line="360" w:lineRule="auto"/>
        <w:ind w:firstLine="480" w:firstLineChars="200"/>
        <w:rPr>
          <w:rFonts w:ascii="宋体" w:hAnsi="宋体" w:cs="宋体"/>
          <w:sz w:val="24"/>
        </w:rPr>
      </w:pPr>
      <w:r>
        <w:rPr>
          <w:rFonts w:hint="eastAsia" w:ascii="宋体" w:hAnsi="宋体" w:cs="宋体"/>
          <w:sz w:val="24"/>
        </w:rPr>
        <w:t>（六）评标委员会授标建议；</w:t>
      </w:r>
    </w:p>
    <w:p>
      <w:pPr>
        <w:spacing w:line="360" w:lineRule="auto"/>
        <w:ind w:firstLine="480" w:firstLineChars="200"/>
        <w:rPr>
          <w:rFonts w:ascii="宋体" w:hAnsi="宋体" w:cs="宋体"/>
          <w:sz w:val="24"/>
        </w:rPr>
      </w:pPr>
      <w:r>
        <w:rPr>
          <w:rFonts w:hint="eastAsia" w:ascii="宋体" w:hAnsi="宋体" w:cs="宋体"/>
          <w:sz w:val="24"/>
        </w:rPr>
        <w:t>（七）报价最高的投标人为中标候选人的，评标委员会应当对其报价的合理性予以特别说明。</w:t>
      </w:r>
    </w:p>
    <w:p>
      <w:pPr>
        <w:spacing w:line="360" w:lineRule="auto"/>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宋体" w:hAnsi="宋体" w:cs="宋体"/>
          <w:sz w:val="24"/>
        </w:rPr>
      </w:pPr>
      <w:r>
        <w:rPr>
          <w:rFonts w:hint="eastAsia" w:ascii="宋体" w:hAnsi="宋体" w:cs="宋体"/>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ascii="宋体" w:hAnsi="宋体" w:cs="宋体"/>
          <w:sz w:val="24"/>
        </w:rPr>
      </w:pPr>
      <w:r>
        <w:rPr>
          <w:rFonts w:hint="eastAsia" w:ascii="宋体" w:hAnsi="宋体" w:cs="宋体"/>
          <w:sz w:val="24"/>
        </w:rPr>
        <w:t>3.8供应商应当书面澄清、说明或者更正。</w:t>
      </w:r>
    </w:p>
    <w:p>
      <w:pPr>
        <w:spacing w:line="360" w:lineRule="auto"/>
        <w:ind w:firstLine="480" w:firstLineChars="200"/>
        <w:rPr>
          <w:rFonts w:ascii="宋体" w:hAnsi="宋体" w:cs="宋体"/>
          <w:sz w:val="24"/>
        </w:rPr>
      </w:pPr>
      <w:r>
        <w:rPr>
          <w:rFonts w:hint="eastAsia" w:ascii="宋体" w:hAnsi="宋体" w:cs="宋体"/>
          <w:sz w:val="24"/>
        </w:rPr>
        <w:t>3.8.1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360" w:lineRule="auto"/>
        <w:ind w:firstLine="480" w:firstLineChars="200"/>
        <w:rPr>
          <w:rFonts w:ascii="宋体" w:hAnsi="宋体" w:cs="宋体"/>
          <w:sz w:val="24"/>
        </w:rPr>
      </w:pPr>
      <w:r>
        <w:rPr>
          <w:rFonts w:hint="eastAsia" w:ascii="宋体" w:hAnsi="宋体" w:cs="宋体"/>
          <w:sz w:val="24"/>
        </w:rPr>
        <w:t>3.8.2供应商应当书面澄清、说明或者更正，并加盖投标人电子签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360" w:lineRule="auto"/>
        <w:ind w:firstLine="480" w:firstLineChars="200"/>
        <w:rPr>
          <w:rFonts w:ascii="宋体" w:hAnsi="宋体" w:cs="宋体"/>
          <w:sz w:val="24"/>
        </w:rPr>
      </w:pPr>
      <w:r>
        <w:rPr>
          <w:rFonts w:hint="eastAsia" w:ascii="宋体" w:hAnsi="宋体" w:cs="宋体"/>
          <w:sz w:val="24"/>
        </w:rPr>
        <w:t>3.8.3评标委员会要求供应商澄清、说明或者更正，不得超出招标文件的范围，不得以此让供应商实质改变投标文件的内容，不得影响供应商公平竞争。本项目下列内容不得澄清：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s="宋体"/>
          <w:sz w:val="24"/>
        </w:rPr>
      </w:pPr>
      <w:r>
        <w:rPr>
          <w:rFonts w:hint="eastAsia" w:ascii="宋体" w:hAnsi="宋体" w:cs="宋体"/>
          <w:sz w:val="24"/>
        </w:rPr>
        <w:t>（一）按财政部规定应当在评标时不予承认的投标文件内容事项；</w:t>
      </w:r>
    </w:p>
    <w:p>
      <w:pPr>
        <w:spacing w:line="360" w:lineRule="auto"/>
        <w:ind w:firstLine="480" w:firstLineChars="200"/>
        <w:rPr>
          <w:rFonts w:ascii="宋体" w:hAnsi="宋体" w:cs="宋体"/>
          <w:sz w:val="24"/>
        </w:rPr>
      </w:pPr>
      <w:r>
        <w:rPr>
          <w:rFonts w:hint="eastAsia" w:ascii="宋体" w:hAnsi="宋体" w:cs="宋体"/>
          <w:sz w:val="24"/>
        </w:rPr>
        <w:t>（二）投标文件中已经明确的内容事项；</w:t>
      </w:r>
    </w:p>
    <w:p>
      <w:pPr>
        <w:spacing w:line="360" w:lineRule="auto"/>
        <w:ind w:firstLine="480" w:firstLineChars="200"/>
        <w:rPr>
          <w:rFonts w:ascii="宋体" w:hAnsi="宋体" w:cs="宋体"/>
          <w:sz w:val="24"/>
        </w:rPr>
      </w:pPr>
      <w:r>
        <w:rPr>
          <w:rFonts w:hint="eastAsia" w:ascii="宋体" w:hAnsi="宋体" w:cs="宋体"/>
          <w:sz w:val="24"/>
        </w:rPr>
        <w:t>3.8.4 本项目采购过程中，投标文件报价出现前后不一致的，按照下列规定修正：</w:t>
      </w:r>
    </w:p>
    <w:p>
      <w:pPr>
        <w:spacing w:line="360" w:lineRule="auto"/>
        <w:ind w:firstLine="480" w:firstLineChars="200"/>
        <w:rPr>
          <w:rFonts w:ascii="宋体" w:hAnsi="宋体" w:cs="宋体"/>
          <w:sz w:val="24"/>
        </w:rPr>
      </w:pPr>
      <w:r>
        <w:rPr>
          <w:rFonts w:hint="eastAsia" w:ascii="宋体" w:hAnsi="宋体" w:cs="宋体"/>
          <w:sz w:val="24"/>
        </w:rPr>
        <w:t>（一）投标文件中开标一览表（报价表）内容与投标文件中相应内容不一致的，以开标一览表（报价表）为准；</w:t>
      </w:r>
    </w:p>
    <w:p>
      <w:pPr>
        <w:spacing w:line="360" w:lineRule="auto"/>
        <w:ind w:firstLine="480" w:firstLineChars="200"/>
        <w:rPr>
          <w:rFonts w:ascii="宋体" w:hAnsi="宋体" w:cs="宋体"/>
          <w:sz w:val="24"/>
        </w:rPr>
      </w:pPr>
      <w:r>
        <w:rPr>
          <w:rFonts w:hint="eastAsia" w:ascii="宋体" w:hAnsi="宋体" w:cs="宋体"/>
          <w:sz w:val="24"/>
        </w:rPr>
        <w:t>（二）大写金额和小写金额不一致的，以大写金额为准；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（三）单价金额小数点或者百分比有明显错位的，以开标一览表的总价为准，并修改单价；</w:t>
      </w:r>
    </w:p>
    <w:p>
      <w:pPr>
        <w:spacing w:line="360" w:lineRule="auto"/>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同时出现两种以上不一致的，按照前款规定的顺序修正。修正后的报价按照本章3.8.1-3.8.3的规定经投标人确认后产生约束力，投标人不确认的，其投标无效。</w:t>
      </w:r>
    </w:p>
    <w:p>
      <w:pPr>
        <w:spacing w:line="360" w:lineRule="auto"/>
        <w:ind w:firstLine="482" w:firstLineChars="200"/>
        <w:rPr>
          <w:rFonts w:ascii="宋体" w:hAnsi="宋体" w:cs="宋体"/>
          <w:b/>
          <w:sz w:val="24"/>
        </w:rPr>
      </w:pPr>
      <w:r>
        <w:rPr>
          <w:rFonts w:hint="eastAsia" w:ascii="宋体" w:hAnsi="宋体" w:cs="宋体"/>
          <w:b/>
          <w:sz w:val="24"/>
        </w:rPr>
        <w:t>注：评标委员会当积极履行澄清、说明或者更正的职责，不得滥用权力。供应商的投标文件应当要求澄清、说明或者更正的，不得未经澄清、说明或者更正而直接作无效投标处理。</w:t>
      </w:r>
    </w:p>
    <w:p>
      <w:pPr>
        <w:pStyle w:val="82"/>
        <w:spacing w:line="360" w:lineRule="auto"/>
        <w:ind w:firstLine="480" w:firstLineChars="200"/>
        <w:jc w:val="both"/>
      </w:pPr>
      <w:r>
        <w:rPr>
          <w:rFonts w:hint="eastAsia"/>
        </w:rPr>
        <w:t>3.9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82"/>
        <w:spacing w:line="360" w:lineRule="auto"/>
        <w:ind w:firstLine="480" w:firstLineChars="200"/>
        <w:jc w:val="both"/>
      </w:pPr>
      <w:r>
        <w:rPr>
          <w:rFonts w:hint="eastAsia"/>
        </w:rPr>
        <w:t>3.10招标采购单位现场复核评标结果。</w:t>
      </w:r>
    </w:p>
    <w:p>
      <w:pPr>
        <w:pStyle w:val="82"/>
        <w:spacing w:line="360" w:lineRule="auto"/>
        <w:ind w:firstLine="480" w:firstLineChars="200"/>
        <w:jc w:val="both"/>
      </w:pPr>
      <w:r>
        <w:rPr>
          <w:rFonts w:hint="eastAsia"/>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pPr>
        <w:pStyle w:val="82"/>
        <w:spacing w:line="360" w:lineRule="auto"/>
        <w:ind w:firstLine="480" w:firstLineChars="200"/>
        <w:jc w:val="both"/>
      </w:pPr>
      <w:r>
        <w:rPr>
          <w:rFonts w:hint="eastAsia"/>
        </w:rPr>
        <w:t>（一）分值汇总计算错误的；</w:t>
      </w:r>
    </w:p>
    <w:p>
      <w:pPr>
        <w:pStyle w:val="82"/>
        <w:spacing w:line="360" w:lineRule="auto"/>
        <w:ind w:firstLine="480" w:firstLineChars="200"/>
        <w:jc w:val="both"/>
      </w:pPr>
      <w:r>
        <w:rPr>
          <w:rFonts w:hint="eastAsia"/>
        </w:rPr>
        <w:t>（二）分项评分超出评分标准范围的；</w:t>
      </w:r>
    </w:p>
    <w:p>
      <w:pPr>
        <w:pStyle w:val="82"/>
        <w:spacing w:line="360" w:lineRule="auto"/>
        <w:ind w:firstLine="480" w:firstLineChars="200"/>
        <w:jc w:val="both"/>
      </w:pPr>
      <w:r>
        <w:rPr>
          <w:rFonts w:hint="eastAsia"/>
        </w:rPr>
        <w:t>（三）客观评分不一致的；</w:t>
      </w:r>
    </w:p>
    <w:p>
      <w:pPr>
        <w:pStyle w:val="82"/>
        <w:spacing w:line="360" w:lineRule="auto"/>
        <w:ind w:firstLine="480" w:firstLineChars="200"/>
        <w:jc w:val="both"/>
      </w:pPr>
      <w:r>
        <w:rPr>
          <w:rFonts w:hint="eastAsia"/>
        </w:rPr>
        <w:t>（四）经评标委员会认定评分畸高畸低的。</w:t>
      </w:r>
    </w:p>
    <w:p>
      <w:pPr>
        <w:pStyle w:val="82"/>
        <w:spacing w:line="360" w:lineRule="auto"/>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82"/>
        <w:spacing w:line="360" w:lineRule="auto"/>
        <w:ind w:firstLine="480" w:firstLineChars="200"/>
        <w:jc w:val="both"/>
      </w:pPr>
      <w:r>
        <w:rPr>
          <w:rFonts w:hint="eastAsia"/>
        </w:rPr>
        <w:t>3.10.2有下列情形之一的，不得修改评标结果或者重新评审：</w:t>
      </w:r>
    </w:p>
    <w:p>
      <w:pPr>
        <w:pStyle w:val="82"/>
        <w:spacing w:line="360" w:lineRule="auto"/>
        <w:ind w:firstLine="480" w:firstLineChars="200"/>
        <w:jc w:val="both"/>
      </w:pPr>
      <w:r>
        <w:rPr>
          <w:rFonts w:hint="eastAsia"/>
        </w:rPr>
        <w:t>（一）招标采购单位现场复核时，复核工作人员数量不足的；</w:t>
      </w:r>
    </w:p>
    <w:p>
      <w:pPr>
        <w:pStyle w:val="82"/>
        <w:spacing w:line="360" w:lineRule="auto"/>
        <w:ind w:firstLine="480" w:firstLineChars="200"/>
        <w:jc w:val="both"/>
      </w:pPr>
      <w:r>
        <w:rPr>
          <w:rFonts w:hint="eastAsia"/>
        </w:rPr>
        <w:t>（二）招标采购单位现场复核时，没有采购监督人员现场监督的；</w:t>
      </w:r>
    </w:p>
    <w:p>
      <w:pPr>
        <w:pStyle w:val="82"/>
        <w:spacing w:line="360" w:lineRule="auto"/>
        <w:ind w:firstLine="480" w:firstLineChars="200"/>
        <w:jc w:val="both"/>
      </w:pPr>
      <w:r>
        <w:rPr>
          <w:rFonts w:hint="eastAsia"/>
        </w:rPr>
        <w:t>（三）招标采购单位现场复核内容超出规定范围的；</w:t>
      </w:r>
    </w:p>
    <w:p>
      <w:pPr>
        <w:pStyle w:val="82"/>
        <w:spacing w:line="360" w:lineRule="auto"/>
        <w:ind w:firstLine="480" w:firstLineChars="200"/>
        <w:jc w:val="both"/>
      </w:pPr>
      <w:r>
        <w:rPr>
          <w:rFonts w:hint="eastAsia"/>
        </w:rPr>
        <w:t>（四）招标采购单位未提供书面建议的。</w:t>
      </w:r>
    </w:p>
    <w:p>
      <w:pPr>
        <w:pStyle w:val="5"/>
        <w:spacing w:before="0" w:after="0" w:line="360" w:lineRule="auto"/>
        <w:rPr>
          <w:rFonts w:ascii="宋体" w:hAnsi="宋体" w:eastAsia="宋体" w:cs="宋体"/>
          <w:sz w:val="24"/>
          <w:szCs w:val="24"/>
        </w:rPr>
      </w:pPr>
      <w:r>
        <w:rPr>
          <w:rFonts w:hint="eastAsia" w:ascii="宋体" w:hAnsi="宋体" w:eastAsia="宋体" w:cs="宋体"/>
          <w:sz w:val="24"/>
          <w:szCs w:val="24"/>
        </w:rPr>
        <w:t>4. 评标细则及标准</w:t>
      </w:r>
      <w:bookmarkEnd w:id="227"/>
    </w:p>
    <w:p>
      <w:pPr>
        <w:spacing w:line="360" w:lineRule="auto"/>
        <w:ind w:firstLine="480" w:firstLineChars="200"/>
        <w:jc w:val="left"/>
        <w:rPr>
          <w:rFonts w:ascii="宋体" w:hAnsi="宋体" w:cs="宋体"/>
          <w:sz w:val="24"/>
        </w:rPr>
      </w:pPr>
      <w:r>
        <w:rPr>
          <w:rFonts w:hint="eastAsia" w:ascii="宋体" w:hAnsi="宋体" w:cs="宋体"/>
          <w:sz w:val="24"/>
        </w:rPr>
        <w:t>4.1本次综合评分的因素是：</w:t>
      </w:r>
      <w:r>
        <w:rPr>
          <w:rFonts w:hint="eastAsia" w:ascii="宋体" w:hAnsi="宋体" w:cs="宋体"/>
          <w:sz w:val="24"/>
          <w:u w:val="single"/>
        </w:rPr>
        <w:t>详见综合评分明细表</w:t>
      </w:r>
      <w:r>
        <w:rPr>
          <w:rFonts w:hint="eastAsia" w:ascii="宋体" w:hAnsi="宋体" w:cs="宋体"/>
          <w:sz w:val="24"/>
        </w:rPr>
        <w:t>。</w:t>
      </w:r>
    </w:p>
    <w:p>
      <w:pPr>
        <w:pStyle w:val="82"/>
        <w:spacing w:line="360" w:lineRule="auto"/>
        <w:ind w:firstLine="480" w:firstLineChars="200"/>
      </w:pPr>
      <w:r>
        <w:rPr>
          <w:rFonts w:hint="eastAsia"/>
        </w:rPr>
        <w:t>4.2 评标委员会成员应当根据自身专业情况对每个有效投标供应商的投标文件进行独立评分，加权汇总每项评分因素的得分，得出每个有效投标供应商的总分。技术类评分因素由技术方面评标委员会成员独立评分。经济类评分因素由经济方面评标委员会成员独立评分。政策合同类的评分因素由法律方面评标委员会成员独立评分。采购人代表原则上对技术类评分因素独立评分。价格和其他不能明确区分的评分因素由评标委员会成员共同评分。</w:t>
      </w:r>
    </w:p>
    <w:p>
      <w:pPr>
        <w:pStyle w:val="14"/>
        <w:tabs>
          <w:tab w:val="left" w:pos="600"/>
        </w:tabs>
        <w:spacing w:line="360" w:lineRule="auto"/>
        <w:ind w:firstLine="482" w:firstLineChars="200"/>
        <w:rPr>
          <w:rFonts w:ascii="宋体" w:hAnsi="宋体" w:cs="宋体"/>
          <w:b/>
          <w:sz w:val="24"/>
        </w:rPr>
      </w:pPr>
      <w:r>
        <w:rPr>
          <w:rFonts w:hint="eastAsia" w:ascii="宋体" w:hAnsi="宋体" w:cs="宋体"/>
          <w:b/>
          <w:sz w:val="24"/>
        </w:rPr>
        <w:t>4.3综合评分明细表</w:t>
      </w:r>
    </w:p>
    <w:p>
      <w:pPr>
        <w:pStyle w:val="6"/>
        <w:ind w:firstLine="0" w:firstLineChars="0"/>
        <w:outlineLvl w:val="3"/>
      </w:pPr>
      <w:bookmarkStart w:id="230" w:name="_Toc490290416"/>
      <w:bookmarkStart w:id="231" w:name="_Toc217446060"/>
      <w:r>
        <w:rPr>
          <w:rFonts w:hint="eastAsia"/>
        </w:rPr>
        <w:t>第一包：</w:t>
      </w: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527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序号</w:t>
            </w:r>
          </w:p>
        </w:tc>
        <w:tc>
          <w:tcPr>
            <w:tcW w:w="1289" w:type="dxa"/>
            <w:vAlign w:val="center"/>
          </w:tcPr>
          <w:p>
            <w:pPr>
              <w:spacing w:line="400" w:lineRule="exact"/>
              <w:jc w:val="center"/>
              <w:rPr>
                <w:rFonts w:ascii="宋体" w:hAnsi="宋体"/>
                <w:szCs w:val="21"/>
              </w:rPr>
            </w:pPr>
            <w:r>
              <w:rPr>
                <w:rFonts w:hint="eastAsia" w:ascii="宋体" w:hAnsi="宋体"/>
                <w:szCs w:val="21"/>
              </w:rPr>
              <w:t>评分因素</w:t>
            </w:r>
          </w:p>
          <w:p>
            <w:pPr>
              <w:spacing w:line="400" w:lineRule="exact"/>
              <w:jc w:val="center"/>
              <w:rPr>
                <w:rFonts w:ascii="宋体" w:hAnsi="宋体"/>
                <w:szCs w:val="21"/>
              </w:rPr>
            </w:pPr>
            <w:r>
              <w:rPr>
                <w:rFonts w:hint="eastAsia" w:ascii="宋体" w:hAnsi="宋体"/>
                <w:szCs w:val="21"/>
              </w:rPr>
              <w:t>及权重</w:t>
            </w:r>
          </w:p>
        </w:tc>
        <w:tc>
          <w:tcPr>
            <w:tcW w:w="646" w:type="dxa"/>
            <w:vAlign w:val="center"/>
          </w:tcPr>
          <w:p>
            <w:pPr>
              <w:spacing w:line="400" w:lineRule="exact"/>
              <w:jc w:val="center"/>
              <w:rPr>
                <w:rFonts w:ascii="宋体" w:hAnsi="宋体"/>
                <w:szCs w:val="21"/>
              </w:rPr>
            </w:pPr>
            <w:r>
              <w:rPr>
                <w:rFonts w:hint="eastAsia" w:ascii="宋体" w:hAnsi="宋体"/>
                <w:szCs w:val="21"/>
              </w:rPr>
              <w:t>分值</w:t>
            </w:r>
          </w:p>
        </w:tc>
        <w:tc>
          <w:tcPr>
            <w:tcW w:w="5277" w:type="dxa"/>
            <w:vAlign w:val="center"/>
          </w:tcPr>
          <w:p>
            <w:pPr>
              <w:spacing w:line="400" w:lineRule="exact"/>
              <w:jc w:val="center"/>
              <w:rPr>
                <w:rFonts w:ascii="宋体" w:hAnsi="宋体"/>
                <w:szCs w:val="21"/>
              </w:rPr>
            </w:pPr>
            <w:r>
              <w:rPr>
                <w:rFonts w:hint="eastAsia" w:ascii="宋体" w:hAnsi="宋体"/>
                <w:szCs w:val="21"/>
              </w:rPr>
              <w:t>评分标准</w:t>
            </w:r>
          </w:p>
        </w:tc>
        <w:tc>
          <w:tcPr>
            <w:tcW w:w="1295" w:type="dxa"/>
            <w:vAlign w:val="center"/>
          </w:tcPr>
          <w:p>
            <w:pPr>
              <w:spacing w:line="40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1</w:t>
            </w:r>
          </w:p>
        </w:tc>
        <w:tc>
          <w:tcPr>
            <w:tcW w:w="1289" w:type="dxa"/>
            <w:vAlign w:val="center"/>
          </w:tcPr>
          <w:p>
            <w:pPr>
              <w:jc w:val="center"/>
              <w:rPr>
                <w:rFonts w:ascii="宋体" w:hAnsi="宋体"/>
                <w:szCs w:val="21"/>
              </w:rPr>
            </w:pPr>
            <w:r>
              <w:rPr>
                <w:rFonts w:hint="eastAsia" w:ascii="宋体" w:hAnsi="宋体"/>
                <w:szCs w:val="21"/>
              </w:rPr>
              <w:t>报价</w:t>
            </w:r>
            <w:r>
              <w:rPr>
                <w:rFonts w:ascii="宋体" w:hAnsi="宋体"/>
                <w:szCs w:val="21"/>
              </w:rPr>
              <w:t>30</w:t>
            </w:r>
            <w:r>
              <w:rPr>
                <w:rFonts w:hint="eastAsia" w:ascii="宋体" w:hAnsi="宋体"/>
                <w:szCs w:val="21"/>
              </w:rPr>
              <w:t>%</w:t>
            </w:r>
          </w:p>
        </w:tc>
        <w:tc>
          <w:tcPr>
            <w:tcW w:w="646" w:type="dxa"/>
            <w:vAlign w:val="center"/>
          </w:tcPr>
          <w:p>
            <w:pPr>
              <w:jc w:val="center"/>
              <w:rPr>
                <w:rFonts w:ascii="宋体" w:hAnsi="宋体"/>
                <w:szCs w:val="21"/>
              </w:rPr>
            </w:pPr>
            <w:r>
              <w:rPr>
                <w:rFonts w:ascii="宋体" w:hAnsi="宋体"/>
                <w:szCs w:val="21"/>
              </w:rPr>
              <w:t>30</w:t>
            </w:r>
          </w:p>
        </w:tc>
        <w:tc>
          <w:tcPr>
            <w:tcW w:w="5277" w:type="dxa"/>
            <w:vAlign w:val="center"/>
          </w:tcPr>
          <w:p>
            <w:pPr>
              <w:rPr>
                <w:rFonts w:ascii="宋体" w:hAnsi="宋体"/>
                <w:szCs w:val="21"/>
              </w:rPr>
            </w:pPr>
            <w:r>
              <w:rPr>
                <w:rFonts w:hint="eastAsia" w:ascii="宋体" w:hAnsi="宋体"/>
                <w:szCs w:val="21"/>
              </w:rPr>
              <w:t>满足招标文件要求且投标价格最低的报价为基准价，其价格分为满分。其他供应商的价格分统一按照下列公式计算：报价得分=(基准价／报价)*30。</w:t>
            </w:r>
          </w:p>
          <w:p>
            <w:pPr>
              <w:rPr>
                <w:rFonts w:ascii="宋体" w:hAnsi="宋体"/>
                <w:szCs w:val="21"/>
              </w:rPr>
            </w:pPr>
            <w:r>
              <w:rPr>
                <w:rFonts w:hint="eastAsia" w:ascii="宋体" w:hAnsi="宋体"/>
                <w:szCs w:val="21"/>
                <w:lang w:val="zh-CN"/>
              </w:rPr>
              <w:t>注：小微企业（监狱企业、残疾人福利性单位视同小微企业）价格扣除</w:t>
            </w:r>
            <w:r>
              <w:rPr>
                <w:rFonts w:hint="eastAsia" w:ascii="宋体" w:hAnsi="宋体" w:cs="宋体"/>
                <w:szCs w:val="21"/>
              </w:rPr>
              <w:t>按投标人须知附表执行</w:t>
            </w:r>
            <w:r>
              <w:rPr>
                <w:rFonts w:hint="eastAsia" w:ascii="宋体" w:hAnsi="宋体"/>
                <w:szCs w:val="21"/>
              </w:rPr>
              <w:t>。</w:t>
            </w:r>
          </w:p>
        </w:tc>
        <w:tc>
          <w:tcPr>
            <w:tcW w:w="1295" w:type="dxa"/>
            <w:vAlign w:val="center"/>
          </w:tcPr>
          <w:p>
            <w:pPr>
              <w:jc w:val="cente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2</w:t>
            </w:r>
          </w:p>
        </w:tc>
        <w:tc>
          <w:tcPr>
            <w:tcW w:w="1289" w:type="dxa"/>
            <w:vAlign w:val="center"/>
          </w:tcPr>
          <w:p>
            <w:pPr>
              <w:jc w:val="center"/>
              <w:rPr>
                <w:rFonts w:ascii="宋体" w:hAnsi="宋体"/>
                <w:szCs w:val="21"/>
              </w:rPr>
            </w:pPr>
            <w:r>
              <w:rPr>
                <w:rFonts w:hint="eastAsia" w:ascii="宋体" w:hAnsi="宋体"/>
                <w:szCs w:val="21"/>
              </w:rPr>
              <w:t>技术参数要求53%</w:t>
            </w:r>
          </w:p>
        </w:tc>
        <w:tc>
          <w:tcPr>
            <w:tcW w:w="646" w:type="dxa"/>
            <w:vAlign w:val="center"/>
          </w:tcPr>
          <w:p>
            <w:pPr>
              <w:jc w:val="center"/>
              <w:rPr>
                <w:rFonts w:ascii="宋体" w:hAnsi="宋体"/>
                <w:szCs w:val="21"/>
              </w:rPr>
            </w:pPr>
            <w:r>
              <w:rPr>
                <w:rFonts w:hint="eastAsia" w:ascii="宋体" w:hAnsi="宋体"/>
                <w:szCs w:val="21"/>
              </w:rPr>
              <w:t>53</w:t>
            </w:r>
          </w:p>
        </w:tc>
        <w:tc>
          <w:tcPr>
            <w:tcW w:w="5277" w:type="dxa"/>
            <w:vAlign w:val="center"/>
          </w:tcPr>
          <w:p>
            <w:pPr>
              <w:rPr>
                <w:rFonts w:ascii="宋体" w:hAnsi="宋体"/>
                <w:szCs w:val="21"/>
              </w:rPr>
            </w:pPr>
            <w:r>
              <w:rPr>
                <w:rFonts w:hint="eastAsia" w:ascii="宋体" w:hAnsi="宋体"/>
                <w:szCs w:val="21"/>
              </w:rPr>
              <w:t>完全符合招标文件技术参数及配置要求的得53分，不满足招标文件技术参数及配置要求的，按如下规则进行处理：每有一项不满足招标文件中标注“</w:t>
            </w:r>
            <w:r>
              <w:rPr>
                <w:rFonts w:hint="eastAsia" w:ascii="宋体" w:hAnsi="宋体" w:cs="宋体"/>
                <w:szCs w:val="21"/>
              </w:rPr>
              <w:t>★</w:t>
            </w:r>
            <w:r>
              <w:rPr>
                <w:rFonts w:hint="eastAsia" w:ascii="宋体" w:hAnsi="宋体"/>
                <w:szCs w:val="21"/>
              </w:rPr>
              <w:t>”条款（共15项）要求的扣3分，每有一项不满足招标文件中未标注符号条款（共16项）要求的扣0.5分，扣完为止。</w:t>
            </w:r>
          </w:p>
          <w:p>
            <w:pPr>
              <w:rPr>
                <w:rFonts w:ascii="宋体" w:hAnsi="宋体"/>
                <w:szCs w:val="21"/>
              </w:rPr>
            </w:pPr>
            <w:r>
              <w:rPr>
                <w:rFonts w:hint="eastAsia" w:ascii="宋体" w:hAnsi="宋体"/>
                <w:szCs w:val="21"/>
              </w:rPr>
              <w:t>注：技术参数中要求提供证明材料的，须按要求提供相关证明材料并加盖供应商电子签章，未提供证明材料该项不得分。</w:t>
            </w:r>
          </w:p>
        </w:tc>
        <w:tc>
          <w:tcPr>
            <w:tcW w:w="1295" w:type="dxa"/>
            <w:vAlign w:val="center"/>
          </w:tcPr>
          <w:p>
            <w:pPr>
              <w:jc w:val="cente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3</w:t>
            </w:r>
          </w:p>
        </w:tc>
        <w:tc>
          <w:tcPr>
            <w:tcW w:w="1289" w:type="dxa"/>
            <w:vAlign w:val="center"/>
          </w:tcPr>
          <w:p>
            <w:pPr>
              <w:jc w:val="center"/>
              <w:rPr>
                <w:rFonts w:ascii="宋体" w:hAnsi="宋体"/>
                <w:szCs w:val="21"/>
              </w:rPr>
            </w:pPr>
            <w:r>
              <w:rPr>
                <w:rFonts w:hint="eastAsia" w:ascii="宋体" w:hAnsi="宋体"/>
                <w:szCs w:val="21"/>
              </w:rPr>
              <w:t>项目实施方案15%</w:t>
            </w:r>
          </w:p>
        </w:tc>
        <w:tc>
          <w:tcPr>
            <w:tcW w:w="646" w:type="dxa"/>
            <w:vAlign w:val="center"/>
          </w:tcPr>
          <w:p>
            <w:pPr>
              <w:jc w:val="center"/>
              <w:rPr>
                <w:rFonts w:ascii="宋体" w:hAnsi="宋体"/>
                <w:szCs w:val="21"/>
              </w:rPr>
            </w:pPr>
            <w:r>
              <w:rPr>
                <w:rFonts w:hint="eastAsia" w:ascii="宋体" w:hAnsi="宋体"/>
                <w:szCs w:val="21"/>
              </w:rPr>
              <w:t>15</w:t>
            </w:r>
          </w:p>
        </w:tc>
        <w:tc>
          <w:tcPr>
            <w:tcW w:w="5277" w:type="dxa"/>
            <w:vAlign w:val="center"/>
          </w:tcPr>
          <w:p>
            <w:pPr>
              <w:rPr>
                <w:rFonts w:ascii="宋体" w:hAnsi="宋体"/>
                <w:szCs w:val="21"/>
              </w:rPr>
            </w:pPr>
            <w:r>
              <w:rPr>
                <w:rFonts w:hint="eastAsia" w:ascii="宋体" w:hAnsi="宋体"/>
                <w:szCs w:val="21"/>
              </w:rPr>
              <w:t>根据投标人提供的项目实施方案【①技术支持体系，②流水线设计方案，③完整的配送方案（完善的出入库管理制度、完整的配送流程（配送人员和车辆的配置）），④有效的质量保障方案（包含质量管理体系建设、质量控制技术方法等），</w:t>
            </w:r>
            <w:r>
              <w:rPr>
                <w:rFonts w:hint="eastAsia" w:ascii="宋体" w:hAnsi="宋体" w:cs="宋体"/>
                <w:szCs w:val="21"/>
              </w:rPr>
              <w:t>⑤</w:t>
            </w:r>
            <w:r>
              <w:rPr>
                <w:rFonts w:hint="eastAsia" w:ascii="宋体" w:hAnsi="宋体"/>
                <w:szCs w:val="21"/>
              </w:rPr>
              <w:t>应急保障方案（配送过程中的突发应急措施、因问题产品引发的医疗安全事故应急措施、临时配送的应急措施），</w:t>
            </w:r>
            <w:r>
              <w:rPr>
                <w:rFonts w:hint="eastAsia" w:ascii="宋体" w:hAnsi="宋体" w:cs="宋体"/>
                <w:szCs w:val="21"/>
              </w:rPr>
              <w:t>⑥</w:t>
            </w:r>
            <w:r>
              <w:rPr>
                <w:rFonts w:hint="eastAsia" w:ascii="宋体" w:hAnsi="宋体"/>
                <w:szCs w:val="21"/>
              </w:rPr>
              <w:t>具有完善的售后保障体系（有效的退换货流程制度、本地化服务能力等）】进行评审，方案完全满足项目实际要求且无缺陷的得15分；每缺少一项内容扣2.5分，每有一处存在缺陷或不合理的，扣1.25分，扣完为止。</w:t>
            </w:r>
          </w:p>
        </w:tc>
        <w:tc>
          <w:tcPr>
            <w:tcW w:w="1295" w:type="dxa"/>
            <w:vAlign w:val="center"/>
          </w:tcPr>
          <w:p>
            <w:pPr>
              <w:jc w:val="cente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4</w:t>
            </w:r>
          </w:p>
        </w:tc>
        <w:tc>
          <w:tcPr>
            <w:tcW w:w="1289" w:type="dxa"/>
            <w:vAlign w:val="center"/>
          </w:tcPr>
          <w:p>
            <w:pPr>
              <w:jc w:val="center"/>
              <w:rPr>
                <w:rFonts w:ascii="宋体" w:hAnsi="宋体"/>
                <w:szCs w:val="21"/>
              </w:rPr>
            </w:pPr>
            <w:r>
              <w:rPr>
                <w:rFonts w:hint="eastAsia" w:ascii="宋体" w:hAnsi="宋体"/>
                <w:szCs w:val="21"/>
              </w:rPr>
              <w:t>节能、环境标志、无线局域网产品2%</w:t>
            </w:r>
          </w:p>
        </w:tc>
        <w:tc>
          <w:tcPr>
            <w:tcW w:w="646" w:type="dxa"/>
            <w:vAlign w:val="center"/>
          </w:tcPr>
          <w:p>
            <w:pPr>
              <w:jc w:val="center"/>
              <w:rPr>
                <w:rFonts w:ascii="宋体" w:hAnsi="宋体"/>
                <w:szCs w:val="21"/>
              </w:rPr>
            </w:pPr>
            <w:r>
              <w:rPr>
                <w:rFonts w:hint="eastAsia" w:ascii="宋体" w:hAnsi="宋体"/>
                <w:szCs w:val="21"/>
              </w:rPr>
              <w:t>2</w:t>
            </w:r>
          </w:p>
        </w:tc>
        <w:tc>
          <w:tcPr>
            <w:tcW w:w="5277" w:type="dxa"/>
            <w:vAlign w:val="center"/>
          </w:tcPr>
          <w:p>
            <w:pPr>
              <w:rPr>
                <w:rFonts w:ascii="宋体" w:hAnsi="宋体"/>
                <w:szCs w:val="21"/>
              </w:rPr>
            </w:pPr>
            <w:r>
              <w:rPr>
                <w:rFonts w:hint="eastAsia" w:ascii="宋体" w:hAnsi="宋体"/>
                <w:szCs w:val="21"/>
              </w:rPr>
              <w:t>投标产品中属于政府采购优先采购范围的，则每有一项为节能产品或者环境标志产品或者无线局域网产品的得1分，非节能、环境标志产品的、无线局域网产品的不得分。本项最多得2分。</w:t>
            </w:r>
          </w:p>
          <w:p>
            <w:pPr>
              <w:rPr>
                <w:rFonts w:ascii="宋体" w:hAnsi="宋体"/>
                <w:kern w:val="0"/>
                <w:szCs w:val="21"/>
              </w:rPr>
            </w:pPr>
            <w:r>
              <w:rPr>
                <w:rFonts w:hint="eastAsia" w:ascii="宋体" w:hAnsi="宋体"/>
                <w:szCs w:val="21"/>
              </w:rPr>
              <w:t>注：1. 节能产品、环境标志产品优先采购范围</w:t>
            </w:r>
            <w:r>
              <w:rPr>
                <w:rFonts w:hint="eastAsia" w:ascii="宋体" w:hAnsi="宋体"/>
                <w:kern w:val="0"/>
                <w:szCs w:val="21"/>
              </w:rPr>
              <w:t>以品目清单为准</w:t>
            </w:r>
            <w:r>
              <w:rPr>
                <w:rFonts w:ascii="宋体" w:hAnsi="宋体"/>
                <w:kern w:val="0"/>
                <w:szCs w:val="21"/>
              </w:rPr>
              <w:t>。</w:t>
            </w:r>
            <w:r>
              <w:rPr>
                <w:rFonts w:hint="eastAsia" w:ascii="宋体" w:hAnsi="宋体"/>
                <w:kern w:val="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szCs w:val="21"/>
              </w:rPr>
              <w:t>无线局域网产品优先采购范围</w:t>
            </w:r>
            <w:r>
              <w:rPr>
                <w:rFonts w:hint="eastAsia" w:ascii="宋体" w:hAnsi="宋体"/>
                <w:kern w:val="0"/>
                <w:szCs w:val="21"/>
              </w:rPr>
              <w:t>以中国</w:t>
            </w:r>
            <w:r>
              <w:rPr>
                <w:rFonts w:ascii="宋体" w:hAnsi="宋体"/>
                <w:kern w:val="0"/>
                <w:szCs w:val="21"/>
              </w:rPr>
              <w:t>政府采购网公布的</w:t>
            </w:r>
            <w:r>
              <w:rPr>
                <w:rFonts w:hint="eastAsia" w:ascii="宋体" w:hAnsi="宋体"/>
                <w:kern w:val="0"/>
                <w:szCs w:val="21"/>
              </w:rPr>
              <w:t>《无线局域网认证产品政府采购清单》为准</w:t>
            </w:r>
            <w:r>
              <w:rPr>
                <w:rFonts w:ascii="宋体" w:hAnsi="宋体"/>
                <w:kern w:val="0"/>
                <w:szCs w:val="21"/>
              </w:rPr>
              <w:t>。</w:t>
            </w:r>
          </w:p>
          <w:p>
            <w:pPr>
              <w:rPr>
                <w:rFonts w:ascii="宋体" w:hAnsi="宋体"/>
                <w:kern w:val="0"/>
                <w:szCs w:val="21"/>
              </w:rPr>
            </w:pPr>
            <w:r>
              <w:rPr>
                <w:rFonts w:hint="eastAsia" w:ascii="宋体" w:hAnsi="宋体"/>
                <w:kern w:val="0"/>
                <w:szCs w:val="21"/>
              </w:rPr>
              <w:t>2.</w:t>
            </w:r>
            <w:r>
              <w:rPr>
                <w:rFonts w:hint="eastAsia" w:ascii="宋体" w:hAnsi="宋体"/>
                <w:szCs w:val="21"/>
              </w:rPr>
              <w:t xml:space="preserve"> 投标产品属于</w:t>
            </w:r>
            <w:r>
              <w:rPr>
                <w:rFonts w:hint="eastAsia" w:ascii="宋体" w:hAnsi="宋体"/>
                <w:kern w:val="0"/>
                <w:szCs w:val="21"/>
              </w:rPr>
              <w:t>优先</w:t>
            </w:r>
            <w:r>
              <w:rPr>
                <w:rFonts w:ascii="宋体" w:hAnsi="宋体"/>
                <w:kern w:val="0"/>
                <w:szCs w:val="21"/>
              </w:rPr>
              <w:t>采购范围内的</w:t>
            </w:r>
            <w:r>
              <w:rPr>
                <w:rFonts w:hint="eastAsia" w:ascii="宋体" w:hAnsi="宋体"/>
                <w:szCs w:val="21"/>
              </w:rPr>
              <w:t>节能产品或者环境标志产品的</w:t>
            </w:r>
            <w:r>
              <w:rPr>
                <w:rFonts w:ascii="宋体" w:hAnsi="宋体"/>
                <w:szCs w:val="21"/>
              </w:rPr>
              <w:t>，</w:t>
            </w:r>
            <w:r>
              <w:rPr>
                <w:rFonts w:hint="eastAsia" w:ascii="宋体" w:hAnsi="宋体"/>
                <w:kern w:val="0"/>
                <w:szCs w:val="21"/>
              </w:rPr>
              <w:t>提供国家确定的认证机构出具的、处于有效期之内的节能产品、环境标志产品认证证书原件原色电子件。</w:t>
            </w:r>
          </w:p>
          <w:p>
            <w:pPr>
              <w:rPr>
                <w:rFonts w:ascii="宋体" w:hAnsi="宋体"/>
                <w:szCs w:val="21"/>
              </w:rPr>
            </w:pPr>
            <w:r>
              <w:rPr>
                <w:rFonts w:ascii="宋体" w:hAnsi="宋体"/>
                <w:kern w:val="0"/>
                <w:szCs w:val="21"/>
              </w:rPr>
              <w:t>3.</w:t>
            </w:r>
            <w:r>
              <w:rPr>
                <w:rFonts w:hint="eastAsia" w:ascii="宋体" w:hAnsi="宋体"/>
                <w:kern w:val="0"/>
                <w:szCs w:val="21"/>
              </w:rPr>
              <w:t xml:space="preserve"> 投标产品属于优先</w:t>
            </w:r>
            <w:r>
              <w:rPr>
                <w:rFonts w:ascii="宋体" w:hAnsi="宋体"/>
                <w:kern w:val="0"/>
                <w:szCs w:val="21"/>
              </w:rPr>
              <w:t>采购范围内的</w:t>
            </w:r>
            <w:r>
              <w:rPr>
                <w:rFonts w:hint="eastAsia" w:ascii="宋体" w:hAnsi="宋体"/>
                <w:szCs w:val="21"/>
              </w:rPr>
              <w:t>无线局域网产品的，</w:t>
            </w:r>
            <w:r>
              <w:rPr>
                <w:rFonts w:hint="eastAsia" w:ascii="宋体" w:hAnsi="宋体"/>
                <w:kern w:val="0"/>
                <w:szCs w:val="21"/>
              </w:rPr>
              <w:t>提供政府采购清单对应页原件原色电子件。</w:t>
            </w:r>
          </w:p>
        </w:tc>
        <w:tc>
          <w:tcPr>
            <w:tcW w:w="1295" w:type="dxa"/>
            <w:vAlign w:val="center"/>
          </w:tcPr>
          <w:p>
            <w:pPr>
              <w:jc w:val="center"/>
              <w:rPr>
                <w:rFonts w:ascii="宋体" w:hAnsi="宋体"/>
                <w:szCs w:val="21"/>
              </w:rPr>
            </w:pPr>
            <w:r>
              <w:rPr>
                <w:rFonts w:hint="eastAsia" w:ascii="宋体" w:hAnsi="宋体"/>
                <w:szCs w:val="21"/>
              </w:rPr>
              <w:t>政策类评分因素</w:t>
            </w:r>
          </w:p>
        </w:tc>
      </w:tr>
    </w:tbl>
    <w:p>
      <w:pPr>
        <w:pStyle w:val="6"/>
        <w:ind w:firstLine="0" w:firstLineChars="0"/>
      </w:pPr>
    </w:p>
    <w:p>
      <w:pPr>
        <w:pStyle w:val="6"/>
        <w:ind w:firstLine="0" w:firstLineChars="0"/>
        <w:outlineLvl w:val="3"/>
      </w:pPr>
      <w:r>
        <w:rPr>
          <w:rFonts w:hint="eastAsia"/>
        </w:rPr>
        <w:t>第二包：</w:t>
      </w: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527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序号</w:t>
            </w:r>
          </w:p>
        </w:tc>
        <w:tc>
          <w:tcPr>
            <w:tcW w:w="1289" w:type="dxa"/>
            <w:vAlign w:val="center"/>
          </w:tcPr>
          <w:p>
            <w:pPr>
              <w:spacing w:line="400" w:lineRule="exact"/>
              <w:jc w:val="center"/>
              <w:rPr>
                <w:rFonts w:ascii="宋体" w:hAnsi="宋体"/>
                <w:szCs w:val="21"/>
              </w:rPr>
            </w:pPr>
            <w:r>
              <w:rPr>
                <w:rFonts w:hint="eastAsia" w:ascii="宋体" w:hAnsi="宋体"/>
                <w:szCs w:val="21"/>
              </w:rPr>
              <w:t>评分因素</w:t>
            </w:r>
          </w:p>
          <w:p>
            <w:pPr>
              <w:spacing w:line="400" w:lineRule="exact"/>
              <w:jc w:val="center"/>
              <w:rPr>
                <w:rFonts w:ascii="宋体" w:hAnsi="宋体"/>
                <w:szCs w:val="21"/>
              </w:rPr>
            </w:pPr>
            <w:r>
              <w:rPr>
                <w:rFonts w:hint="eastAsia" w:ascii="宋体" w:hAnsi="宋体"/>
                <w:szCs w:val="21"/>
              </w:rPr>
              <w:t>及权重</w:t>
            </w:r>
          </w:p>
        </w:tc>
        <w:tc>
          <w:tcPr>
            <w:tcW w:w="646" w:type="dxa"/>
            <w:vAlign w:val="center"/>
          </w:tcPr>
          <w:p>
            <w:pPr>
              <w:spacing w:line="400" w:lineRule="exact"/>
              <w:jc w:val="center"/>
              <w:rPr>
                <w:rFonts w:ascii="宋体" w:hAnsi="宋体"/>
                <w:szCs w:val="21"/>
              </w:rPr>
            </w:pPr>
            <w:r>
              <w:rPr>
                <w:rFonts w:hint="eastAsia" w:ascii="宋体" w:hAnsi="宋体"/>
                <w:szCs w:val="21"/>
              </w:rPr>
              <w:t>分值</w:t>
            </w:r>
          </w:p>
        </w:tc>
        <w:tc>
          <w:tcPr>
            <w:tcW w:w="5277" w:type="dxa"/>
            <w:vAlign w:val="center"/>
          </w:tcPr>
          <w:p>
            <w:pPr>
              <w:spacing w:line="400" w:lineRule="exact"/>
              <w:jc w:val="center"/>
              <w:rPr>
                <w:rFonts w:ascii="宋体" w:hAnsi="宋体"/>
                <w:szCs w:val="21"/>
              </w:rPr>
            </w:pPr>
            <w:r>
              <w:rPr>
                <w:rFonts w:hint="eastAsia" w:ascii="宋体" w:hAnsi="宋体"/>
                <w:szCs w:val="21"/>
              </w:rPr>
              <w:t>评分标准</w:t>
            </w:r>
          </w:p>
        </w:tc>
        <w:tc>
          <w:tcPr>
            <w:tcW w:w="1295" w:type="dxa"/>
            <w:vAlign w:val="center"/>
          </w:tcPr>
          <w:p>
            <w:pPr>
              <w:spacing w:line="40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1</w:t>
            </w:r>
          </w:p>
        </w:tc>
        <w:tc>
          <w:tcPr>
            <w:tcW w:w="1289" w:type="dxa"/>
            <w:vAlign w:val="center"/>
          </w:tcPr>
          <w:p>
            <w:pPr>
              <w:jc w:val="center"/>
              <w:rPr>
                <w:rFonts w:ascii="宋体" w:hAnsi="宋体"/>
                <w:szCs w:val="21"/>
              </w:rPr>
            </w:pPr>
            <w:r>
              <w:rPr>
                <w:rFonts w:hint="eastAsia" w:ascii="宋体" w:hAnsi="宋体"/>
                <w:szCs w:val="21"/>
              </w:rPr>
              <w:t>报价</w:t>
            </w:r>
            <w:r>
              <w:rPr>
                <w:rFonts w:ascii="宋体" w:hAnsi="宋体"/>
                <w:szCs w:val="21"/>
              </w:rPr>
              <w:t>30</w:t>
            </w:r>
            <w:r>
              <w:rPr>
                <w:rFonts w:hint="eastAsia" w:ascii="宋体" w:hAnsi="宋体"/>
                <w:szCs w:val="21"/>
              </w:rPr>
              <w:t>%</w:t>
            </w:r>
          </w:p>
        </w:tc>
        <w:tc>
          <w:tcPr>
            <w:tcW w:w="646" w:type="dxa"/>
            <w:vAlign w:val="center"/>
          </w:tcPr>
          <w:p>
            <w:pPr>
              <w:jc w:val="center"/>
              <w:rPr>
                <w:rFonts w:ascii="宋体" w:hAnsi="宋体"/>
                <w:szCs w:val="21"/>
              </w:rPr>
            </w:pPr>
            <w:r>
              <w:rPr>
                <w:rFonts w:ascii="宋体" w:hAnsi="宋体"/>
                <w:szCs w:val="21"/>
              </w:rPr>
              <w:t>30</w:t>
            </w:r>
          </w:p>
        </w:tc>
        <w:tc>
          <w:tcPr>
            <w:tcW w:w="5277" w:type="dxa"/>
            <w:vAlign w:val="center"/>
          </w:tcPr>
          <w:p>
            <w:pPr>
              <w:rPr>
                <w:rFonts w:ascii="宋体" w:hAnsi="宋体"/>
                <w:szCs w:val="21"/>
              </w:rPr>
            </w:pPr>
            <w:r>
              <w:rPr>
                <w:rFonts w:hint="eastAsia" w:ascii="宋体" w:hAnsi="宋体"/>
                <w:szCs w:val="21"/>
              </w:rPr>
              <w:t>满足招标文件要求且投标价格最低的报价为基准价，其价格分为满分。其他供应商的价格分统一按照下列公式计算：报价得分=(基准价／报价)*30。</w:t>
            </w:r>
          </w:p>
          <w:p>
            <w:pPr>
              <w:rPr>
                <w:rFonts w:ascii="宋体" w:hAnsi="宋体"/>
                <w:szCs w:val="21"/>
              </w:rPr>
            </w:pPr>
            <w:r>
              <w:rPr>
                <w:rFonts w:hint="eastAsia" w:ascii="宋体" w:hAnsi="宋体"/>
                <w:szCs w:val="21"/>
                <w:lang w:val="zh-CN"/>
              </w:rPr>
              <w:t>注：小微企业（监狱企业、残疾人福利性单位视同小微企业）价格扣除</w:t>
            </w:r>
            <w:r>
              <w:rPr>
                <w:rFonts w:hint="eastAsia" w:ascii="宋体" w:hAnsi="宋体" w:cs="宋体"/>
                <w:szCs w:val="21"/>
              </w:rPr>
              <w:t>按投标人须知附表执行</w:t>
            </w:r>
            <w:r>
              <w:rPr>
                <w:rFonts w:hint="eastAsia" w:ascii="宋体" w:hAnsi="宋体"/>
                <w:szCs w:val="21"/>
              </w:rPr>
              <w:t>。</w:t>
            </w:r>
          </w:p>
        </w:tc>
        <w:tc>
          <w:tcPr>
            <w:tcW w:w="1295" w:type="dxa"/>
            <w:vAlign w:val="center"/>
          </w:tcPr>
          <w:p>
            <w:pP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2</w:t>
            </w:r>
          </w:p>
        </w:tc>
        <w:tc>
          <w:tcPr>
            <w:tcW w:w="1289" w:type="dxa"/>
            <w:vAlign w:val="center"/>
          </w:tcPr>
          <w:p>
            <w:pPr>
              <w:jc w:val="center"/>
              <w:rPr>
                <w:rFonts w:ascii="宋体" w:hAnsi="宋体"/>
                <w:szCs w:val="21"/>
              </w:rPr>
            </w:pPr>
            <w:r>
              <w:rPr>
                <w:rFonts w:hint="eastAsia" w:ascii="宋体" w:hAnsi="宋体"/>
                <w:szCs w:val="21"/>
              </w:rPr>
              <w:t>技术参数要求53.5%</w:t>
            </w:r>
          </w:p>
        </w:tc>
        <w:tc>
          <w:tcPr>
            <w:tcW w:w="646" w:type="dxa"/>
            <w:vAlign w:val="center"/>
          </w:tcPr>
          <w:p>
            <w:pPr>
              <w:jc w:val="center"/>
              <w:rPr>
                <w:rFonts w:ascii="宋体" w:hAnsi="宋体"/>
                <w:szCs w:val="21"/>
              </w:rPr>
            </w:pPr>
            <w:r>
              <w:rPr>
                <w:rFonts w:hint="eastAsia" w:ascii="宋体" w:hAnsi="宋体"/>
                <w:szCs w:val="21"/>
              </w:rPr>
              <w:t>53.5</w:t>
            </w:r>
          </w:p>
        </w:tc>
        <w:tc>
          <w:tcPr>
            <w:tcW w:w="5277" w:type="dxa"/>
            <w:vAlign w:val="center"/>
          </w:tcPr>
          <w:p>
            <w:pPr>
              <w:rPr>
                <w:rFonts w:ascii="宋体" w:hAnsi="宋体"/>
                <w:szCs w:val="21"/>
              </w:rPr>
            </w:pPr>
            <w:r>
              <w:rPr>
                <w:rFonts w:hint="eastAsia" w:ascii="宋体" w:hAnsi="宋体"/>
                <w:szCs w:val="21"/>
              </w:rPr>
              <w:t>完全符合招标文件技术参数及配置要求的得53.5分，不满足招标文件技术参数及配置要求的，按如下规则进行处理：每有一项不满足招标文件中标注“</w:t>
            </w:r>
            <w:r>
              <w:rPr>
                <w:rFonts w:hint="eastAsia" w:ascii="宋体" w:hAnsi="宋体" w:cs="宋体"/>
                <w:szCs w:val="21"/>
              </w:rPr>
              <w:t>★</w:t>
            </w:r>
            <w:r>
              <w:rPr>
                <w:rFonts w:hint="eastAsia" w:ascii="宋体" w:hAnsi="宋体"/>
                <w:szCs w:val="21"/>
              </w:rPr>
              <w:t>”条款（共8项）要求的扣4.3分，每有一项不满足招标文件中未标注符号条款（共10项）要求的扣1.91分，扣完为止。</w:t>
            </w:r>
          </w:p>
          <w:p>
            <w:pPr>
              <w:rPr>
                <w:rFonts w:ascii="宋体" w:hAnsi="宋体"/>
                <w:szCs w:val="21"/>
              </w:rPr>
            </w:pPr>
            <w:r>
              <w:rPr>
                <w:rFonts w:hint="eastAsia" w:ascii="宋体" w:hAnsi="宋体"/>
                <w:szCs w:val="21"/>
              </w:rPr>
              <w:t>注：技术参数中要求提供证明材料的，须按要求提供相关证明材料并加盖供应商电子签章，未提供证明材料该项不得分。</w:t>
            </w:r>
          </w:p>
        </w:tc>
        <w:tc>
          <w:tcPr>
            <w:tcW w:w="1295" w:type="dxa"/>
            <w:vAlign w:val="center"/>
          </w:tcPr>
          <w:p>
            <w:pP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3</w:t>
            </w:r>
          </w:p>
        </w:tc>
        <w:tc>
          <w:tcPr>
            <w:tcW w:w="1289" w:type="dxa"/>
            <w:vAlign w:val="center"/>
          </w:tcPr>
          <w:p>
            <w:pPr>
              <w:jc w:val="center"/>
              <w:rPr>
                <w:rFonts w:ascii="宋体" w:hAnsi="宋体"/>
                <w:szCs w:val="21"/>
              </w:rPr>
            </w:pPr>
            <w:r>
              <w:rPr>
                <w:rFonts w:hint="eastAsia" w:ascii="宋体" w:hAnsi="宋体"/>
                <w:szCs w:val="21"/>
              </w:rPr>
              <w:t>项目实施方案15%</w:t>
            </w:r>
          </w:p>
        </w:tc>
        <w:tc>
          <w:tcPr>
            <w:tcW w:w="646" w:type="dxa"/>
            <w:vAlign w:val="center"/>
          </w:tcPr>
          <w:p>
            <w:pPr>
              <w:jc w:val="center"/>
              <w:rPr>
                <w:rFonts w:ascii="宋体" w:hAnsi="宋体"/>
                <w:szCs w:val="21"/>
              </w:rPr>
            </w:pPr>
            <w:r>
              <w:rPr>
                <w:rFonts w:hint="eastAsia" w:ascii="宋体" w:hAnsi="宋体"/>
                <w:szCs w:val="21"/>
              </w:rPr>
              <w:t>15</w:t>
            </w:r>
          </w:p>
        </w:tc>
        <w:tc>
          <w:tcPr>
            <w:tcW w:w="5277" w:type="dxa"/>
            <w:vAlign w:val="center"/>
          </w:tcPr>
          <w:p>
            <w:pPr>
              <w:rPr>
                <w:rFonts w:ascii="宋体" w:hAnsi="宋体"/>
                <w:szCs w:val="21"/>
              </w:rPr>
            </w:pPr>
            <w:r>
              <w:rPr>
                <w:rFonts w:hint="eastAsia" w:ascii="宋体" w:hAnsi="宋体"/>
                <w:szCs w:val="21"/>
              </w:rPr>
              <w:t>根据投标人提供的项目实施方案【①技术支持体系，②流水线设计方案，③完整的配送方案（完善的出入库管理制度、完整的配送流程（配送人员和车辆的配置）），④有效的质量保障方案（包含质量管理体系建设、质量控制技术方法等），</w:t>
            </w:r>
            <w:r>
              <w:rPr>
                <w:rFonts w:hint="eastAsia" w:ascii="宋体" w:hAnsi="宋体" w:cs="宋体"/>
                <w:szCs w:val="21"/>
              </w:rPr>
              <w:t>⑤</w:t>
            </w:r>
            <w:r>
              <w:rPr>
                <w:rFonts w:hint="eastAsia" w:ascii="宋体" w:hAnsi="宋体"/>
                <w:szCs w:val="21"/>
              </w:rPr>
              <w:t>应急保障方案（配送过程中的突发应急措施、因问题产品引发的医疗安全事故应急措施、临时配送的应急措施），</w:t>
            </w:r>
            <w:r>
              <w:rPr>
                <w:rFonts w:hint="eastAsia" w:ascii="宋体" w:hAnsi="宋体" w:cs="宋体"/>
                <w:szCs w:val="21"/>
              </w:rPr>
              <w:t>⑥</w:t>
            </w:r>
            <w:r>
              <w:rPr>
                <w:rFonts w:hint="eastAsia" w:ascii="宋体" w:hAnsi="宋体"/>
                <w:szCs w:val="21"/>
              </w:rPr>
              <w:t>具有完善的售后保障体系（有效的退换货流程制度、本地化服务能力等）】进行评审，方案完全满足项目实际要求且无缺陷的得15分；每缺少一项内容扣2.5分，每有一处存在缺陷或不合理的，扣1.25分，扣完为止。</w:t>
            </w:r>
          </w:p>
        </w:tc>
        <w:tc>
          <w:tcPr>
            <w:tcW w:w="1295" w:type="dxa"/>
            <w:vAlign w:val="center"/>
          </w:tcPr>
          <w:p>
            <w:pPr>
              <w:jc w:val="cente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4</w:t>
            </w:r>
          </w:p>
        </w:tc>
        <w:tc>
          <w:tcPr>
            <w:tcW w:w="1289" w:type="dxa"/>
            <w:vAlign w:val="center"/>
          </w:tcPr>
          <w:p>
            <w:pPr>
              <w:jc w:val="center"/>
              <w:rPr>
                <w:rFonts w:ascii="宋体" w:hAnsi="宋体"/>
                <w:szCs w:val="21"/>
              </w:rPr>
            </w:pPr>
            <w:r>
              <w:rPr>
                <w:rFonts w:hint="eastAsia" w:ascii="宋体" w:hAnsi="宋体"/>
                <w:szCs w:val="21"/>
              </w:rPr>
              <w:t>节能、环境标志、无线局域网产品1.5%</w:t>
            </w:r>
          </w:p>
        </w:tc>
        <w:tc>
          <w:tcPr>
            <w:tcW w:w="646" w:type="dxa"/>
            <w:vAlign w:val="center"/>
          </w:tcPr>
          <w:p>
            <w:pPr>
              <w:jc w:val="center"/>
              <w:rPr>
                <w:rFonts w:ascii="宋体" w:hAnsi="宋体"/>
                <w:szCs w:val="21"/>
              </w:rPr>
            </w:pPr>
            <w:r>
              <w:rPr>
                <w:rFonts w:hint="eastAsia" w:ascii="宋体" w:hAnsi="宋体"/>
                <w:szCs w:val="21"/>
              </w:rPr>
              <w:t>1.5</w:t>
            </w:r>
          </w:p>
        </w:tc>
        <w:tc>
          <w:tcPr>
            <w:tcW w:w="5277" w:type="dxa"/>
            <w:vAlign w:val="center"/>
          </w:tcPr>
          <w:p>
            <w:pPr>
              <w:rPr>
                <w:rFonts w:ascii="宋体" w:hAnsi="宋体"/>
                <w:szCs w:val="21"/>
              </w:rPr>
            </w:pPr>
            <w:r>
              <w:rPr>
                <w:rFonts w:hint="eastAsia" w:ascii="宋体" w:hAnsi="宋体"/>
                <w:szCs w:val="21"/>
              </w:rPr>
              <w:t>投标产品中属于政府采购优先采购范围的，则每有一项为节能产品或者环境标志产品或者无线局域网产品的得1.5分，非节能、环境标志产品的、无线局域网产品的不得分。本项最多得1.5分。</w:t>
            </w:r>
          </w:p>
          <w:p>
            <w:pPr>
              <w:rPr>
                <w:rFonts w:ascii="宋体" w:hAnsi="宋体"/>
                <w:kern w:val="0"/>
                <w:szCs w:val="21"/>
              </w:rPr>
            </w:pPr>
            <w:r>
              <w:rPr>
                <w:rFonts w:hint="eastAsia" w:ascii="宋体" w:hAnsi="宋体"/>
                <w:szCs w:val="21"/>
              </w:rPr>
              <w:t>注：1. 节能产品、环境标志产品优先采购范围</w:t>
            </w:r>
            <w:r>
              <w:rPr>
                <w:rFonts w:hint="eastAsia" w:ascii="宋体" w:hAnsi="宋体"/>
                <w:kern w:val="0"/>
                <w:szCs w:val="21"/>
              </w:rPr>
              <w:t>以品目清单为准</w:t>
            </w:r>
            <w:r>
              <w:rPr>
                <w:rFonts w:ascii="宋体" w:hAnsi="宋体"/>
                <w:kern w:val="0"/>
                <w:szCs w:val="21"/>
              </w:rPr>
              <w:t>。</w:t>
            </w:r>
            <w:r>
              <w:rPr>
                <w:rFonts w:hint="eastAsia" w:ascii="宋体" w:hAnsi="宋体"/>
                <w:kern w:val="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szCs w:val="21"/>
              </w:rPr>
              <w:t>无线局域网产品优先采购范围</w:t>
            </w:r>
            <w:r>
              <w:rPr>
                <w:rFonts w:hint="eastAsia" w:ascii="宋体" w:hAnsi="宋体"/>
                <w:kern w:val="0"/>
                <w:szCs w:val="21"/>
              </w:rPr>
              <w:t>以中国</w:t>
            </w:r>
            <w:r>
              <w:rPr>
                <w:rFonts w:ascii="宋体" w:hAnsi="宋体"/>
                <w:kern w:val="0"/>
                <w:szCs w:val="21"/>
              </w:rPr>
              <w:t>政府采购网公布的</w:t>
            </w:r>
            <w:r>
              <w:rPr>
                <w:rFonts w:hint="eastAsia" w:ascii="宋体" w:hAnsi="宋体"/>
                <w:kern w:val="0"/>
                <w:szCs w:val="21"/>
              </w:rPr>
              <w:t>《无线局域网认证产品政府采购清单》为准</w:t>
            </w:r>
            <w:r>
              <w:rPr>
                <w:rFonts w:ascii="宋体" w:hAnsi="宋体"/>
                <w:kern w:val="0"/>
                <w:szCs w:val="21"/>
              </w:rPr>
              <w:t>。</w:t>
            </w:r>
          </w:p>
          <w:p>
            <w:pPr>
              <w:rPr>
                <w:rFonts w:ascii="宋体" w:hAnsi="宋体"/>
                <w:kern w:val="0"/>
                <w:szCs w:val="21"/>
              </w:rPr>
            </w:pPr>
            <w:r>
              <w:rPr>
                <w:rFonts w:hint="eastAsia" w:ascii="宋体" w:hAnsi="宋体"/>
                <w:kern w:val="0"/>
                <w:szCs w:val="21"/>
              </w:rPr>
              <w:t>2.</w:t>
            </w:r>
            <w:r>
              <w:rPr>
                <w:rFonts w:hint="eastAsia" w:ascii="宋体" w:hAnsi="宋体"/>
                <w:szCs w:val="21"/>
              </w:rPr>
              <w:t xml:space="preserve"> 投标产品属于</w:t>
            </w:r>
            <w:r>
              <w:rPr>
                <w:rFonts w:hint="eastAsia" w:ascii="宋体" w:hAnsi="宋体"/>
                <w:kern w:val="0"/>
                <w:szCs w:val="21"/>
              </w:rPr>
              <w:t>优先</w:t>
            </w:r>
            <w:r>
              <w:rPr>
                <w:rFonts w:ascii="宋体" w:hAnsi="宋体"/>
                <w:kern w:val="0"/>
                <w:szCs w:val="21"/>
              </w:rPr>
              <w:t>采购范围内的</w:t>
            </w:r>
            <w:r>
              <w:rPr>
                <w:rFonts w:hint="eastAsia" w:ascii="宋体" w:hAnsi="宋体"/>
                <w:szCs w:val="21"/>
              </w:rPr>
              <w:t>节能产品或者环境标志产品的</w:t>
            </w:r>
            <w:r>
              <w:rPr>
                <w:rFonts w:ascii="宋体" w:hAnsi="宋体"/>
                <w:szCs w:val="21"/>
              </w:rPr>
              <w:t>，</w:t>
            </w:r>
            <w:r>
              <w:rPr>
                <w:rFonts w:hint="eastAsia" w:ascii="宋体" w:hAnsi="宋体"/>
                <w:kern w:val="0"/>
                <w:szCs w:val="21"/>
              </w:rPr>
              <w:t>提供国家确定的认证机构出具的、处于有效期之内的节能产品、环境标志产品认证证书原件原色电子件。</w:t>
            </w:r>
          </w:p>
          <w:p>
            <w:pPr>
              <w:rPr>
                <w:rFonts w:ascii="宋体" w:hAnsi="宋体"/>
                <w:szCs w:val="21"/>
              </w:rPr>
            </w:pPr>
            <w:r>
              <w:rPr>
                <w:rFonts w:ascii="宋体" w:hAnsi="宋体"/>
                <w:kern w:val="0"/>
                <w:szCs w:val="21"/>
              </w:rPr>
              <w:t>3.</w:t>
            </w:r>
            <w:r>
              <w:rPr>
                <w:rFonts w:hint="eastAsia" w:ascii="宋体" w:hAnsi="宋体"/>
                <w:kern w:val="0"/>
                <w:szCs w:val="21"/>
              </w:rPr>
              <w:t xml:space="preserve"> 投标产品属于优先</w:t>
            </w:r>
            <w:r>
              <w:rPr>
                <w:rFonts w:ascii="宋体" w:hAnsi="宋体"/>
                <w:kern w:val="0"/>
                <w:szCs w:val="21"/>
              </w:rPr>
              <w:t>采购范围内的</w:t>
            </w:r>
            <w:r>
              <w:rPr>
                <w:rFonts w:hint="eastAsia" w:ascii="宋体" w:hAnsi="宋体"/>
                <w:szCs w:val="21"/>
              </w:rPr>
              <w:t>无线局域网产品的，</w:t>
            </w:r>
            <w:r>
              <w:rPr>
                <w:rFonts w:hint="eastAsia" w:ascii="宋体" w:hAnsi="宋体"/>
                <w:kern w:val="0"/>
                <w:szCs w:val="21"/>
              </w:rPr>
              <w:t>提供政府采购清单对应页原件原色电子件。</w:t>
            </w:r>
          </w:p>
        </w:tc>
        <w:tc>
          <w:tcPr>
            <w:tcW w:w="1295" w:type="dxa"/>
            <w:vAlign w:val="center"/>
          </w:tcPr>
          <w:p>
            <w:pPr>
              <w:jc w:val="center"/>
              <w:rPr>
                <w:rFonts w:ascii="宋体" w:hAnsi="宋体"/>
                <w:szCs w:val="21"/>
              </w:rPr>
            </w:pPr>
            <w:r>
              <w:rPr>
                <w:rFonts w:hint="eastAsia" w:ascii="宋体" w:hAnsi="宋体"/>
                <w:szCs w:val="21"/>
              </w:rPr>
              <w:t>政策类评分因素</w:t>
            </w:r>
          </w:p>
        </w:tc>
      </w:tr>
    </w:tbl>
    <w:p>
      <w:pPr>
        <w:pStyle w:val="6"/>
        <w:ind w:firstLine="0" w:firstLineChars="0"/>
      </w:pPr>
    </w:p>
    <w:p>
      <w:pPr>
        <w:pStyle w:val="6"/>
        <w:ind w:firstLine="0" w:firstLineChars="0"/>
        <w:outlineLvl w:val="3"/>
      </w:pPr>
      <w:r>
        <w:rPr>
          <w:rFonts w:hint="eastAsia"/>
        </w:rPr>
        <w:t>第三包：</w:t>
      </w: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289"/>
        <w:gridCol w:w="646"/>
        <w:gridCol w:w="5277"/>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序号</w:t>
            </w:r>
          </w:p>
        </w:tc>
        <w:tc>
          <w:tcPr>
            <w:tcW w:w="1289" w:type="dxa"/>
            <w:vAlign w:val="center"/>
          </w:tcPr>
          <w:p>
            <w:pPr>
              <w:spacing w:line="400" w:lineRule="exact"/>
              <w:jc w:val="center"/>
              <w:rPr>
                <w:rFonts w:ascii="宋体" w:hAnsi="宋体"/>
                <w:szCs w:val="21"/>
              </w:rPr>
            </w:pPr>
            <w:r>
              <w:rPr>
                <w:rFonts w:hint="eastAsia" w:ascii="宋体" w:hAnsi="宋体"/>
                <w:szCs w:val="21"/>
              </w:rPr>
              <w:t>评分因素</w:t>
            </w:r>
          </w:p>
          <w:p>
            <w:pPr>
              <w:spacing w:line="400" w:lineRule="exact"/>
              <w:jc w:val="center"/>
              <w:rPr>
                <w:rFonts w:ascii="宋体" w:hAnsi="宋体"/>
                <w:szCs w:val="21"/>
              </w:rPr>
            </w:pPr>
            <w:r>
              <w:rPr>
                <w:rFonts w:hint="eastAsia" w:ascii="宋体" w:hAnsi="宋体"/>
                <w:szCs w:val="21"/>
              </w:rPr>
              <w:t>及权重</w:t>
            </w:r>
          </w:p>
        </w:tc>
        <w:tc>
          <w:tcPr>
            <w:tcW w:w="646" w:type="dxa"/>
            <w:vAlign w:val="center"/>
          </w:tcPr>
          <w:p>
            <w:pPr>
              <w:spacing w:line="400" w:lineRule="exact"/>
              <w:jc w:val="center"/>
              <w:rPr>
                <w:rFonts w:ascii="宋体" w:hAnsi="宋体"/>
                <w:szCs w:val="21"/>
              </w:rPr>
            </w:pPr>
            <w:r>
              <w:rPr>
                <w:rFonts w:hint="eastAsia" w:ascii="宋体" w:hAnsi="宋体"/>
                <w:szCs w:val="21"/>
              </w:rPr>
              <w:t>分值</w:t>
            </w:r>
          </w:p>
        </w:tc>
        <w:tc>
          <w:tcPr>
            <w:tcW w:w="5277" w:type="dxa"/>
            <w:vAlign w:val="center"/>
          </w:tcPr>
          <w:p>
            <w:pPr>
              <w:spacing w:line="400" w:lineRule="exact"/>
              <w:jc w:val="center"/>
              <w:rPr>
                <w:rFonts w:ascii="宋体" w:hAnsi="宋体"/>
                <w:szCs w:val="21"/>
              </w:rPr>
            </w:pPr>
            <w:r>
              <w:rPr>
                <w:rFonts w:hint="eastAsia" w:ascii="宋体" w:hAnsi="宋体"/>
                <w:szCs w:val="21"/>
              </w:rPr>
              <w:t>评分标准</w:t>
            </w:r>
          </w:p>
        </w:tc>
        <w:tc>
          <w:tcPr>
            <w:tcW w:w="1295" w:type="dxa"/>
            <w:vAlign w:val="center"/>
          </w:tcPr>
          <w:p>
            <w:pPr>
              <w:spacing w:line="400" w:lineRule="exac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1</w:t>
            </w:r>
          </w:p>
        </w:tc>
        <w:tc>
          <w:tcPr>
            <w:tcW w:w="1289" w:type="dxa"/>
            <w:vAlign w:val="center"/>
          </w:tcPr>
          <w:p>
            <w:pPr>
              <w:jc w:val="center"/>
              <w:rPr>
                <w:rFonts w:ascii="宋体" w:hAnsi="宋体"/>
                <w:szCs w:val="21"/>
              </w:rPr>
            </w:pPr>
            <w:r>
              <w:rPr>
                <w:rFonts w:hint="eastAsia" w:ascii="宋体" w:hAnsi="宋体"/>
                <w:szCs w:val="21"/>
              </w:rPr>
              <w:t>报价</w:t>
            </w:r>
            <w:r>
              <w:rPr>
                <w:rFonts w:ascii="宋体" w:hAnsi="宋体"/>
                <w:szCs w:val="21"/>
              </w:rPr>
              <w:t>30</w:t>
            </w:r>
            <w:r>
              <w:rPr>
                <w:rFonts w:hint="eastAsia" w:ascii="宋体" w:hAnsi="宋体"/>
                <w:szCs w:val="21"/>
              </w:rPr>
              <w:t>%</w:t>
            </w:r>
          </w:p>
        </w:tc>
        <w:tc>
          <w:tcPr>
            <w:tcW w:w="646" w:type="dxa"/>
            <w:vAlign w:val="center"/>
          </w:tcPr>
          <w:p>
            <w:pPr>
              <w:rPr>
                <w:rFonts w:ascii="宋体" w:hAnsi="宋体"/>
                <w:szCs w:val="21"/>
              </w:rPr>
            </w:pPr>
            <w:r>
              <w:rPr>
                <w:rFonts w:ascii="宋体" w:hAnsi="宋体"/>
                <w:szCs w:val="21"/>
              </w:rPr>
              <w:t>30</w:t>
            </w:r>
          </w:p>
        </w:tc>
        <w:tc>
          <w:tcPr>
            <w:tcW w:w="5277" w:type="dxa"/>
            <w:vAlign w:val="center"/>
          </w:tcPr>
          <w:p>
            <w:pPr>
              <w:rPr>
                <w:rFonts w:ascii="宋体" w:hAnsi="宋体"/>
                <w:szCs w:val="21"/>
              </w:rPr>
            </w:pPr>
            <w:r>
              <w:rPr>
                <w:rFonts w:hint="eastAsia" w:ascii="宋体" w:hAnsi="宋体"/>
                <w:szCs w:val="21"/>
              </w:rPr>
              <w:t>满足招标文件要求且投标价格最低的报价为基准价，其价格分为满分。其他供应商的价格分统一按照下列公式计算：报价得分=(基准价／报价)*30。</w:t>
            </w:r>
          </w:p>
          <w:p>
            <w:pPr>
              <w:rPr>
                <w:rFonts w:ascii="宋体" w:hAnsi="宋体"/>
                <w:szCs w:val="21"/>
              </w:rPr>
            </w:pPr>
            <w:r>
              <w:rPr>
                <w:rFonts w:hint="eastAsia" w:ascii="宋体" w:hAnsi="宋体"/>
                <w:szCs w:val="21"/>
                <w:lang w:val="zh-CN"/>
              </w:rPr>
              <w:t>注：小微企业（监狱企业、残疾人福利性单位视同小微企业）价格扣除</w:t>
            </w:r>
            <w:r>
              <w:rPr>
                <w:rFonts w:hint="eastAsia" w:ascii="宋体" w:hAnsi="宋体" w:cs="宋体"/>
                <w:szCs w:val="21"/>
              </w:rPr>
              <w:t>按投标人须知附表执行</w:t>
            </w:r>
            <w:r>
              <w:rPr>
                <w:rFonts w:hint="eastAsia" w:ascii="宋体" w:hAnsi="宋体"/>
                <w:szCs w:val="21"/>
              </w:rPr>
              <w:t>。</w:t>
            </w:r>
          </w:p>
        </w:tc>
        <w:tc>
          <w:tcPr>
            <w:tcW w:w="1295" w:type="dxa"/>
            <w:vAlign w:val="center"/>
          </w:tcPr>
          <w:p>
            <w:pPr>
              <w:rPr>
                <w:rFonts w:ascii="宋体" w:hAnsi="宋体"/>
                <w:szCs w:val="21"/>
              </w:rPr>
            </w:pPr>
            <w:r>
              <w:rPr>
                <w:rFonts w:hint="eastAsia" w:ascii="宋体" w:hAnsi="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2</w:t>
            </w:r>
          </w:p>
        </w:tc>
        <w:tc>
          <w:tcPr>
            <w:tcW w:w="1289" w:type="dxa"/>
            <w:vAlign w:val="center"/>
          </w:tcPr>
          <w:p>
            <w:pPr>
              <w:jc w:val="center"/>
              <w:rPr>
                <w:rFonts w:ascii="宋体" w:hAnsi="宋体"/>
                <w:szCs w:val="21"/>
              </w:rPr>
            </w:pPr>
            <w:r>
              <w:rPr>
                <w:rFonts w:hint="eastAsia" w:ascii="宋体" w:hAnsi="宋体"/>
                <w:szCs w:val="21"/>
              </w:rPr>
              <w:t>技术参数要求53.5%</w:t>
            </w:r>
          </w:p>
        </w:tc>
        <w:tc>
          <w:tcPr>
            <w:tcW w:w="646" w:type="dxa"/>
            <w:vAlign w:val="center"/>
          </w:tcPr>
          <w:p>
            <w:pPr>
              <w:jc w:val="center"/>
              <w:rPr>
                <w:rFonts w:ascii="宋体" w:hAnsi="宋体"/>
                <w:szCs w:val="21"/>
              </w:rPr>
            </w:pPr>
            <w:r>
              <w:rPr>
                <w:rFonts w:hint="eastAsia" w:ascii="宋体" w:hAnsi="宋体"/>
                <w:szCs w:val="21"/>
              </w:rPr>
              <w:t>53.5</w:t>
            </w:r>
          </w:p>
        </w:tc>
        <w:tc>
          <w:tcPr>
            <w:tcW w:w="5277" w:type="dxa"/>
            <w:vAlign w:val="center"/>
          </w:tcPr>
          <w:p>
            <w:pPr>
              <w:rPr>
                <w:rFonts w:ascii="宋体" w:hAnsi="宋体"/>
                <w:szCs w:val="21"/>
              </w:rPr>
            </w:pPr>
            <w:r>
              <w:rPr>
                <w:rFonts w:hint="eastAsia" w:ascii="宋体" w:hAnsi="宋体"/>
                <w:szCs w:val="21"/>
              </w:rPr>
              <w:t>完全符合招标文件技术参数及配置要求的得53.5分，不满足招标文件技术参数及配置要求的，按如下规则进行处理：每有一项不满足招标文件中标注“</w:t>
            </w:r>
            <w:r>
              <w:rPr>
                <w:rFonts w:hint="eastAsia" w:ascii="宋体" w:hAnsi="宋体" w:cs="宋体"/>
                <w:szCs w:val="21"/>
              </w:rPr>
              <w:t>★</w:t>
            </w:r>
            <w:r>
              <w:rPr>
                <w:rFonts w:hint="eastAsia" w:ascii="宋体" w:hAnsi="宋体"/>
                <w:szCs w:val="21"/>
              </w:rPr>
              <w:t>”条款（共7项）要求的扣4分，每有一项不满足招标文件中未标注符号条款（共17项）要求的扣1.5分，扣完为止。</w:t>
            </w:r>
          </w:p>
          <w:p>
            <w:pPr>
              <w:rPr>
                <w:rFonts w:ascii="宋体" w:hAnsi="宋体"/>
                <w:szCs w:val="21"/>
              </w:rPr>
            </w:pPr>
            <w:r>
              <w:rPr>
                <w:rFonts w:hint="eastAsia" w:ascii="宋体" w:hAnsi="宋体"/>
                <w:szCs w:val="21"/>
              </w:rPr>
              <w:t>注：技术参数中要求提供证明材料的，须按要求提供相关证明材料并加盖供应商电子签章，未提供证明材料该项不得分。</w:t>
            </w:r>
          </w:p>
        </w:tc>
        <w:tc>
          <w:tcPr>
            <w:tcW w:w="1295" w:type="dxa"/>
            <w:vAlign w:val="center"/>
          </w:tcPr>
          <w:p>
            <w:pP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3</w:t>
            </w:r>
          </w:p>
        </w:tc>
        <w:tc>
          <w:tcPr>
            <w:tcW w:w="1289" w:type="dxa"/>
            <w:vAlign w:val="center"/>
          </w:tcPr>
          <w:p>
            <w:pPr>
              <w:jc w:val="center"/>
              <w:rPr>
                <w:rFonts w:ascii="宋体" w:hAnsi="宋体"/>
                <w:szCs w:val="21"/>
              </w:rPr>
            </w:pPr>
            <w:r>
              <w:rPr>
                <w:rFonts w:hint="eastAsia" w:ascii="宋体" w:hAnsi="宋体"/>
                <w:szCs w:val="21"/>
              </w:rPr>
              <w:t>项目实施方案15%</w:t>
            </w:r>
          </w:p>
        </w:tc>
        <w:tc>
          <w:tcPr>
            <w:tcW w:w="646" w:type="dxa"/>
            <w:vAlign w:val="center"/>
          </w:tcPr>
          <w:p>
            <w:pPr>
              <w:jc w:val="center"/>
              <w:rPr>
                <w:rFonts w:ascii="宋体" w:hAnsi="宋体"/>
                <w:szCs w:val="21"/>
              </w:rPr>
            </w:pPr>
            <w:r>
              <w:rPr>
                <w:rFonts w:hint="eastAsia" w:ascii="宋体" w:hAnsi="宋体"/>
                <w:szCs w:val="21"/>
              </w:rPr>
              <w:t>15</w:t>
            </w:r>
          </w:p>
        </w:tc>
        <w:tc>
          <w:tcPr>
            <w:tcW w:w="5277" w:type="dxa"/>
            <w:vAlign w:val="center"/>
          </w:tcPr>
          <w:p>
            <w:pPr>
              <w:rPr>
                <w:rFonts w:ascii="宋体" w:hAnsi="宋体"/>
                <w:szCs w:val="21"/>
              </w:rPr>
            </w:pPr>
            <w:r>
              <w:rPr>
                <w:rFonts w:hint="eastAsia" w:ascii="宋体" w:hAnsi="宋体"/>
                <w:szCs w:val="21"/>
              </w:rPr>
              <w:t>根据投标人提供的项目实施方案【①技术支持体系，②流水线设计方案，③完整的配送方案（完善的出入库管理制度、完整的配送流程（配送人员和车辆的配置）），④有效的质量保障方案（包含质量管理体系建设、质量控制技术方法等），</w:t>
            </w:r>
            <w:r>
              <w:rPr>
                <w:rFonts w:hint="eastAsia" w:ascii="宋体" w:hAnsi="宋体" w:cs="宋体"/>
                <w:szCs w:val="21"/>
              </w:rPr>
              <w:t>⑤</w:t>
            </w:r>
            <w:r>
              <w:rPr>
                <w:rFonts w:hint="eastAsia" w:ascii="宋体" w:hAnsi="宋体"/>
                <w:szCs w:val="21"/>
              </w:rPr>
              <w:t>应急保障方案（配送过程中的突发应急措施、因问题产品引发的医疗安全事故应急措施、临时配送的应急措施），</w:t>
            </w:r>
            <w:r>
              <w:rPr>
                <w:rFonts w:hint="eastAsia" w:ascii="宋体" w:hAnsi="宋体" w:cs="宋体"/>
                <w:szCs w:val="21"/>
              </w:rPr>
              <w:t>⑥</w:t>
            </w:r>
            <w:r>
              <w:rPr>
                <w:rFonts w:hint="eastAsia" w:ascii="宋体" w:hAnsi="宋体"/>
                <w:szCs w:val="21"/>
              </w:rPr>
              <w:t>具有完善的售后保障体系（有效的退换货流程制度、本地化服务能力等）】进行评审，方案完全满足项目实际要求且无缺陷的得15分；每缺少一项内容扣2.5分，每有一处存在缺陷或不合理的，扣1.25分，扣完为止。</w:t>
            </w:r>
          </w:p>
        </w:tc>
        <w:tc>
          <w:tcPr>
            <w:tcW w:w="1295" w:type="dxa"/>
            <w:vAlign w:val="center"/>
          </w:tcPr>
          <w:p>
            <w:pPr>
              <w:jc w:val="center"/>
              <w:rPr>
                <w:rFonts w:ascii="宋体" w:hAnsi="宋体"/>
                <w:szCs w:val="21"/>
              </w:rPr>
            </w:pPr>
            <w:r>
              <w:rPr>
                <w:rFonts w:hint="eastAsia" w:ascii="宋体" w:hAnsi="宋体"/>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4" w:type="dxa"/>
            <w:vAlign w:val="center"/>
          </w:tcPr>
          <w:p>
            <w:pPr>
              <w:spacing w:line="400" w:lineRule="exact"/>
              <w:jc w:val="center"/>
              <w:rPr>
                <w:rFonts w:ascii="宋体" w:hAnsi="宋体"/>
                <w:szCs w:val="21"/>
              </w:rPr>
            </w:pPr>
            <w:r>
              <w:rPr>
                <w:rFonts w:hint="eastAsia" w:ascii="宋体" w:hAnsi="宋体"/>
                <w:szCs w:val="21"/>
              </w:rPr>
              <w:t>4</w:t>
            </w:r>
          </w:p>
        </w:tc>
        <w:tc>
          <w:tcPr>
            <w:tcW w:w="1289" w:type="dxa"/>
            <w:vAlign w:val="center"/>
          </w:tcPr>
          <w:p>
            <w:pPr>
              <w:jc w:val="center"/>
              <w:rPr>
                <w:rFonts w:ascii="宋体" w:hAnsi="宋体"/>
                <w:szCs w:val="21"/>
              </w:rPr>
            </w:pPr>
            <w:r>
              <w:rPr>
                <w:rFonts w:hint="eastAsia" w:ascii="宋体" w:hAnsi="宋体"/>
                <w:szCs w:val="21"/>
              </w:rPr>
              <w:t>节能、环境标志、无线局域网产品1.5%</w:t>
            </w:r>
          </w:p>
        </w:tc>
        <w:tc>
          <w:tcPr>
            <w:tcW w:w="646" w:type="dxa"/>
            <w:vAlign w:val="center"/>
          </w:tcPr>
          <w:p>
            <w:pPr>
              <w:jc w:val="center"/>
              <w:rPr>
                <w:rFonts w:ascii="宋体" w:hAnsi="宋体"/>
                <w:szCs w:val="21"/>
              </w:rPr>
            </w:pPr>
            <w:r>
              <w:rPr>
                <w:rFonts w:hint="eastAsia" w:ascii="宋体" w:hAnsi="宋体"/>
                <w:szCs w:val="21"/>
              </w:rPr>
              <w:t>1.5</w:t>
            </w:r>
          </w:p>
        </w:tc>
        <w:tc>
          <w:tcPr>
            <w:tcW w:w="5277" w:type="dxa"/>
            <w:vAlign w:val="center"/>
          </w:tcPr>
          <w:p>
            <w:pPr>
              <w:rPr>
                <w:rFonts w:ascii="宋体" w:hAnsi="宋体"/>
                <w:szCs w:val="21"/>
              </w:rPr>
            </w:pPr>
            <w:r>
              <w:rPr>
                <w:rFonts w:hint="eastAsia" w:ascii="宋体" w:hAnsi="宋体"/>
                <w:szCs w:val="21"/>
              </w:rPr>
              <w:t>投标产品中属于政府采购优先采购范围的，则每有一项为节能产品或者环境标志产品或者无线局域网产品的得0.75分，非节能、环境标志产品的、无线局域网产品的不得分。本项最多得1.5分。</w:t>
            </w:r>
          </w:p>
          <w:p>
            <w:pPr>
              <w:rPr>
                <w:rFonts w:ascii="宋体" w:hAnsi="宋体"/>
                <w:kern w:val="0"/>
                <w:szCs w:val="21"/>
              </w:rPr>
            </w:pPr>
            <w:r>
              <w:rPr>
                <w:rFonts w:hint="eastAsia" w:ascii="宋体" w:hAnsi="宋体"/>
                <w:szCs w:val="21"/>
              </w:rPr>
              <w:t>注：1. 节能产品、环境标志产品优先采购范围</w:t>
            </w:r>
            <w:r>
              <w:rPr>
                <w:rFonts w:hint="eastAsia" w:ascii="宋体" w:hAnsi="宋体"/>
                <w:kern w:val="0"/>
                <w:szCs w:val="21"/>
              </w:rPr>
              <w:t>以品目清单为准</w:t>
            </w:r>
            <w:r>
              <w:rPr>
                <w:rFonts w:ascii="宋体" w:hAnsi="宋体"/>
                <w:kern w:val="0"/>
                <w:szCs w:val="21"/>
              </w:rPr>
              <w:t>。</w:t>
            </w:r>
            <w:r>
              <w:rPr>
                <w:rFonts w:hint="eastAsia" w:ascii="宋体" w:hAnsi="宋体"/>
                <w:kern w:val="0"/>
                <w:szCs w:val="21"/>
              </w:rPr>
              <w:t>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hint="eastAsia" w:ascii="宋体" w:hAnsi="宋体"/>
                <w:szCs w:val="21"/>
              </w:rPr>
              <w:t>无线局域网产品优先采购范围</w:t>
            </w:r>
            <w:r>
              <w:rPr>
                <w:rFonts w:hint="eastAsia" w:ascii="宋体" w:hAnsi="宋体"/>
                <w:kern w:val="0"/>
                <w:szCs w:val="21"/>
              </w:rPr>
              <w:t>以中国</w:t>
            </w:r>
            <w:r>
              <w:rPr>
                <w:rFonts w:ascii="宋体" w:hAnsi="宋体"/>
                <w:kern w:val="0"/>
                <w:szCs w:val="21"/>
              </w:rPr>
              <w:t>政府采购网公布的</w:t>
            </w:r>
            <w:r>
              <w:rPr>
                <w:rFonts w:hint="eastAsia" w:ascii="宋体" w:hAnsi="宋体"/>
                <w:kern w:val="0"/>
                <w:szCs w:val="21"/>
              </w:rPr>
              <w:t>《无线局域网认证产品政府采购清单》为准</w:t>
            </w:r>
            <w:r>
              <w:rPr>
                <w:rFonts w:ascii="宋体" w:hAnsi="宋体"/>
                <w:kern w:val="0"/>
                <w:szCs w:val="21"/>
              </w:rPr>
              <w:t>。</w:t>
            </w:r>
          </w:p>
          <w:p>
            <w:pPr>
              <w:rPr>
                <w:rFonts w:ascii="宋体" w:hAnsi="宋体"/>
                <w:kern w:val="0"/>
                <w:szCs w:val="21"/>
              </w:rPr>
            </w:pPr>
            <w:r>
              <w:rPr>
                <w:rFonts w:hint="eastAsia" w:ascii="宋体" w:hAnsi="宋体"/>
                <w:kern w:val="0"/>
                <w:szCs w:val="21"/>
              </w:rPr>
              <w:t>2.</w:t>
            </w:r>
            <w:r>
              <w:rPr>
                <w:rFonts w:hint="eastAsia" w:ascii="宋体" w:hAnsi="宋体"/>
                <w:szCs w:val="21"/>
              </w:rPr>
              <w:t xml:space="preserve"> 投标产品属于</w:t>
            </w:r>
            <w:r>
              <w:rPr>
                <w:rFonts w:hint="eastAsia" w:ascii="宋体" w:hAnsi="宋体"/>
                <w:kern w:val="0"/>
                <w:szCs w:val="21"/>
              </w:rPr>
              <w:t>优先</w:t>
            </w:r>
            <w:r>
              <w:rPr>
                <w:rFonts w:ascii="宋体" w:hAnsi="宋体"/>
                <w:kern w:val="0"/>
                <w:szCs w:val="21"/>
              </w:rPr>
              <w:t>采购范围内的</w:t>
            </w:r>
            <w:r>
              <w:rPr>
                <w:rFonts w:hint="eastAsia" w:ascii="宋体" w:hAnsi="宋体"/>
                <w:szCs w:val="21"/>
              </w:rPr>
              <w:t>节能产品或者环境标志产品的</w:t>
            </w:r>
            <w:r>
              <w:rPr>
                <w:rFonts w:ascii="宋体" w:hAnsi="宋体"/>
                <w:szCs w:val="21"/>
              </w:rPr>
              <w:t>，</w:t>
            </w:r>
            <w:r>
              <w:rPr>
                <w:rFonts w:hint="eastAsia" w:ascii="宋体" w:hAnsi="宋体"/>
                <w:kern w:val="0"/>
                <w:szCs w:val="21"/>
              </w:rPr>
              <w:t>提供国家确定的认证机构出具的、处于有效期之内的节能产品、环境标志产品认证证书原件原色电子件。</w:t>
            </w:r>
          </w:p>
          <w:p>
            <w:pPr>
              <w:rPr>
                <w:rFonts w:ascii="宋体" w:hAnsi="宋体"/>
                <w:szCs w:val="21"/>
              </w:rPr>
            </w:pPr>
            <w:r>
              <w:rPr>
                <w:rFonts w:ascii="宋体" w:hAnsi="宋体"/>
                <w:kern w:val="0"/>
                <w:szCs w:val="21"/>
              </w:rPr>
              <w:t>3.</w:t>
            </w:r>
            <w:r>
              <w:rPr>
                <w:rFonts w:hint="eastAsia" w:ascii="宋体" w:hAnsi="宋体"/>
                <w:kern w:val="0"/>
                <w:szCs w:val="21"/>
              </w:rPr>
              <w:t xml:space="preserve"> 投标产品属于优先</w:t>
            </w:r>
            <w:r>
              <w:rPr>
                <w:rFonts w:ascii="宋体" w:hAnsi="宋体"/>
                <w:kern w:val="0"/>
                <w:szCs w:val="21"/>
              </w:rPr>
              <w:t>采购范围内的</w:t>
            </w:r>
            <w:r>
              <w:rPr>
                <w:rFonts w:hint="eastAsia" w:ascii="宋体" w:hAnsi="宋体"/>
                <w:szCs w:val="21"/>
              </w:rPr>
              <w:t>无线局域网产品的，</w:t>
            </w:r>
            <w:r>
              <w:rPr>
                <w:rFonts w:hint="eastAsia" w:ascii="宋体" w:hAnsi="宋体"/>
                <w:kern w:val="0"/>
                <w:szCs w:val="21"/>
              </w:rPr>
              <w:t>提供政府采购清单对应页原件原色电子件。</w:t>
            </w:r>
          </w:p>
        </w:tc>
        <w:tc>
          <w:tcPr>
            <w:tcW w:w="1295" w:type="dxa"/>
            <w:vAlign w:val="center"/>
          </w:tcPr>
          <w:p>
            <w:pPr>
              <w:jc w:val="center"/>
              <w:rPr>
                <w:rFonts w:ascii="宋体" w:hAnsi="宋体"/>
                <w:szCs w:val="21"/>
              </w:rPr>
            </w:pPr>
            <w:r>
              <w:rPr>
                <w:rFonts w:hint="eastAsia" w:ascii="宋体" w:hAnsi="宋体"/>
                <w:szCs w:val="21"/>
              </w:rPr>
              <w:t>政策类评分因素</w:t>
            </w:r>
          </w:p>
        </w:tc>
      </w:tr>
    </w:tbl>
    <w:p>
      <w:pPr>
        <w:pStyle w:val="6"/>
        <w:ind w:firstLine="0" w:firstLineChars="0"/>
      </w:pPr>
    </w:p>
    <w:p>
      <w:pPr>
        <w:rPr>
          <w:rFonts w:ascii="宋体" w:hAnsi="宋体" w:cs="宋体"/>
          <w:sz w:val="24"/>
        </w:rPr>
      </w:pPr>
      <w:r>
        <w:rPr>
          <w:rFonts w:hint="eastAsia" w:ascii="宋体" w:hAnsi="宋体" w:cs="宋体"/>
          <w:sz w:val="24"/>
        </w:rPr>
        <w:t>注：1）评分的取值按四舍五入法，保留小数点后两位。</w:t>
      </w:r>
    </w:p>
    <w:p>
      <w:pPr>
        <w:pStyle w:val="5"/>
        <w:spacing w:line="360" w:lineRule="auto"/>
        <w:rPr>
          <w:rFonts w:ascii="宋体" w:hAnsi="宋体" w:eastAsia="宋体" w:cs="宋体"/>
          <w:sz w:val="24"/>
          <w:szCs w:val="24"/>
        </w:rPr>
      </w:pPr>
      <w:r>
        <w:rPr>
          <w:rFonts w:hint="eastAsia" w:ascii="宋体" w:hAnsi="宋体" w:eastAsia="宋体" w:cs="宋体"/>
          <w:sz w:val="24"/>
          <w:szCs w:val="24"/>
        </w:rPr>
        <w:t>5. 废 标</w:t>
      </w:r>
      <w:bookmarkEnd w:id="230"/>
    </w:p>
    <w:p>
      <w:pPr>
        <w:spacing w:line="360" w:lineRule="auto"/>
        <w:ind w:firstLine="480" w:firstLineChars="200"/>
        <w:rPr>
          <w:rFonts w:ascii="宋体" w:hAnsi="宋体" w:cs="宋体"/>
          <w:sz w:val="24"/>
        </w:rPr>
      </w:pPr>
      <w:r>
        <w:rPr>
          <w:rFonts w:hint="eastAsia" w:ascii="宋体" w:hAnsi="宋体" w:cs="宋体"/>
          <w:sz w:val="24"/>
        </w:rPr>
        <w:t>5.1本次政府采购活动中，出现下列情形之一的，予以废标：</w:t>
      </w:r>
    </w:p>
    <w:p>
      <w:pPr>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360" w:lineRule="auto"/>
        <w:ind w:firstLine="480" w:firstLineChars="200"/>
        <w:rPr>
          <w:rFonts w:ascii="宋体" w:hAnsi="宋体" w:cs="宋体"/>
          <w:sz w:val="24"/>
        </w:rPr>
      </w:pPr>
      <w:r>
        <w:rPr>
          <w:rFonts w:hint="eastAsia" w:ascii="宋体" w:hAnsi="宋体" w:cs="宋体"/>
          <w:sz w:val="24"/>
        </w:rPr>
        <w:t>（4）因重大变故，采购任务取消的。</w:t>
      </w:r>
    </w:p>
    <w:p>
      <w:pPr>
        <w:spacing w:line="360" w:lineRule="auto"/>
        <w:ind w:firstLine="480" w:firstLineChars="200"/>
        <w:rPr>
          <w:rFonts w:ascii="宋体" w:hAnsi="宋体" w:cs="宋体"/>
          <w:sz w:val="24"/>
        </w:rPr>
      </w:pPr>
      <w:r>
        <w:rPr>
          <w:rFonts w:hint="eastAsia" w:ascii="宋体" w:hAnsi="宋体" w:cs="宋体"/>
          <w:sz w:val="24"/>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rFonts w:ascii="宋体" w:hAnsi="宋体" w:cs="宋体"/>
          <w:sz w:val="24"/>
        </w:rPr>
      </w:pPr>
      <w:r>
        <w:rPr>
          <w:rFonts w:hint="eastAsia" w:ascii="宋体" w:hAnsi="宋体" w:cs="宋体"/>
          <w:sz w:val="24"/>
        </w:rPr>
        <w:t>5.2对于评标过程中废标的采购项目，评标委员会应当对招标文件是否存在倾向性和歧视性、是否存在不合理条款进行论证，并出具书面论证意见。</w:t>
      </w:r>
    </w:p>
    <w:p>
      <w:pPr>
        <w:pStyle w:val="5"/>
        <w:spacing w:line="360" w:lineRule="auto"/>
        <w:rPr>
          <w:rFonts w:ascii="宋体" w:hAnsi="宋体" w:eastAsia="宋体" w:cs="宋体"/>
          <w:sz w:val="24"/>
          <w:szCs w:val="24"/>
        </w:rPr>
      </w:pPr>
      <w:bookmarkStart w:id="232" w:name="_Toc490290417"/>
      <w:r>
        <w:rPr>
          <w:rFonts w:hint="eastAsia" w:ascii="宋体" w:hAnsi="宋体" w:eastAsia="宋体" w:cs="宋体"/>
          <w:sz w:val="24"/>
          <w:szCs w:val="24"/>
        </w:rPr>
        <w:t>6.定标</w:t>
      </w:r>
      <w:bookmarkEnd w:id="231"/>
      <w:bookmarkEnd w:id="232"/>
      <w:bookmarkStart w:id="233" w:name="_Toc217446061"/>
    </w:p>
    <w:p>
      <w:pPr>
        <w:spacing w:line="360" w:lineRule="auto"/>
        <w:ind w:firstLine="480" w:firstLineChars="200"/>
        <w:rPr>
          <w:rFonts w:ascii="宋体" w:hAnsi="宋体" w:cs="宋体"/>
          <w:sz w:val="24"/>
        </w:rPr>
      </w:pPr>
      <w:r>
        <w:rPr>
          <w:rFonts w:hint="eastAsia" w:ascii="宋体" w:hAnsi="宋体" w:cs="宋体"/>
          <w:sz w:val="24"/>
        </w:rPr>
        <w:t>6.1. 定标原则</w:t>
      </w:r>
      <w:bookmarkEnd w:id="233"/>
      <w:r>
        <w:rPr>
          <w:rFonts w:hint="eastAsia" w:ascii="宋体" w:hAnsi="宋体" w:cs="宋体"/>
          <w:sz w:val="24"/>
        </w:rPr>
        <w:t>：本项目根据评标委员会推荐的中标候选人名单，按顺序确定中标供应商。</w:t>
      </w:r>
    </w:p>
    <w:p>
      <w:pPr>
        <w:spacing w:line="360" w:lineRule="auto"/>
        <w:ind w:firstLine="480" w:firstLineChars="200"/>
        <w:rPr>
          <w:rFonts w:ascii="宋体" w:hAnsi="宋体" w:cs="宋体"/>
          <w:sz w:val="24"/>
        </w:rPr>
      </w:pPr>
      <w:bookmarkStart w:id="234" w:name="_Toc217446062"/>
      <w:r>
        <w:rPr>
          <w:rFonts w:hint="eastAsia" w:ascii="宋体" w:hAnsi="宋体" w:cs="宋体"/>
          <w:sz w:val="24"/>
        </w:rPr>
        <w:t>6.2. 定标程序</w:t>
      </w:r>
      <w:bookmarkEnd w:id="234"/>
    </w:p>
    <w:p>
      <w:pPr>
        <w:spacing w:line="360" w:lineRule="auto"/>
        <w:ind w:firstLine="480" w:firstLineChars="200"/>
        <w:rPr>
          <w:rFonts w:ascii="宋体" w:hAnsi="宋体" w:cs="宋体"/>
          <w:sz w:val="24"/>
        </w:rPr>
      </w:pPr>
      <w:r>
        <w:rPr>
          <w:rFonts w:hint="eastAsia" w:ascii="宋体" w:hAnsi="宋体" w:cs="宋体"/>
          <w:sz w:val="24"/>
        </w:rPr>
        <w:t>6.2.1 评标委员会将评标情况写出书面报告，推荐中标候选人。</w:t>
      </w:r>
    </w:p>
    <w:p>
      <w:pPr>
        <w:spacing w:line="360" w:lineRule="auto"/>
        <w:ind w:firstLine="480" w:firstLineChars="200"/>
        <w:rPr>
          <w:rFonts w:ascii="宋体" w:hAnsi="宋体" w:cs="宋体"/>
          <w:sz w:val="24"/>
        </w:rPr>
      </w:pPr>
      <w:r>
        <w:rPr>
          <w:rFonts w:hint="eastAsia" w:ascii="宋体" w:hAnsi="宋体" w:cs="宋体"/>
          <w:sz w:val="24"/>
        </w:rPr>
        <w:t>6.2.2 采购代理机构在评标结束后5个工作日内将评标报告送采购人。</w:t>
      </w:r>
    </w:p>
    <w:p>
      <w:pPr>
        <w:spacing w:line="360" w:lineRule="auto"/>
        <w:ind w:firstLine="480" w:firstLineChars="200"/>
        <w:rPr>
          <w:rFonts w:ascii="宋体" w:hAnsi="宋体" w:cs="宋体"/>
          <w:sz w:val="24"/>
        </w:rPr>
      </w:pPr>
      <w:r>
        <w:rPr>
          <w:rFonts w:hint="eastAsia" w:ascii="宋体" w:hAnsi="宋体" w:cs="宋体"/>
          <w:sz w:val="24"/>
        </w:rPr>
        <w:t>6.2.3 采购人在收到评标报告后5个工作日内，按照评标报告中推荐的中标候选人顺序确定中标候选人。</w:t>
      </w:r>
      <w:r>
        <w:rPr>
          <w:rFonts w:hint="eastAsia" w:ascii="宋体" w:hAnsi="宋体" w:cs="宋体"/>
          <w:kern w:val="1"/>
          <w:sz w:val="24"/>
        </w:rPr>
        <w:t>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360" w:lineRule="auto"/>
        <w:ind w:firstLine="480" w:firstLineChars="200"/>
        <w:rPr>
          <w:rFonts w:ascii="宋体" w:hAnsi="宋体" w:cs="宋体"/>
          <w:bCs/>
          <w:sz w:val="24"/>
        </w:rPr>
      </w:pPr>
      <w:r>
        <w:rPr>
          <w:rFonts w:hint="eastAsia" w:ascii="宋体" w:hAnsi="宋体" w:cs="宋体"/>
          <w:bCs/>
          <w:sz w:val="24"/>
        </w:rPr>
        <w:t>注意，采购人按照推荐的中标候选人顺序确定中标人，不能认为采购人只能确定第一中标候选人为中标人，采购人有充分合理理由的，可以确定后一顺序中标候选人为中标人，依次类推。</w:t>
      </w:r>
    </w:p>
    <w:p>
      <w:pPr>
        <w:spacing w:line="360" w:lineRule="auto"/>
        <w:ind w:firstLine="480" w:firstLineChars="200"/>
        <w:rPr>
          <w:rFonts w:ascii="宋体" w:hAnsi="宋体" w:cs="宋体"/>
          <w:sz w:val="24"/>
        </w:rPr>
      </w:pPr>
      <w:r>
        <w:rPr>
          <w:rFonts w:hint="eastAsia" w:ascii="宋体" w:hAnsi="宋体" w:cs="宋体"/>
          <w:sz w:val="24"/>
        </w:rPr>
        <w:t>6.2.4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rFonts w:ascii="宋体" w:hAnsi="宋体" w:cs="宋体"/>
          <w:sz w:val="24"/>
        </w:rPr>
      </w:pPr>
      <w:r>
        <w:rPr>
          <w:rFonts w:hint="eastAsia" w:ascii="宋体" w:hAnsi="宋体" w:cs="宋体"/>
          <w:sz w:val="24"/>
        </w:rPr>
        <w:t>6.2.5 招标单位不退回投标人投标文件和其他投标资料。</w:t>
      </w:r>
      <w:bookmarkEnd w:id="228"/>
      <w:bookmarkStart w:id="235" w:name="_Toc217446105"/>
      <w:bookmarkStart w:id="236" w:name="_Toc183582297"/>
      <w:bookmarkStart w:id="237" w:name="_Toc183682432"/>
      <w:bookmarkStart w:id="238" w:name="_Toc208849022"/>
      <w:bookmarkStart w:id="239" w:name="_Toc490290418"/>
    </w:p>
    <w:p>
      <w:pPr>
        <w:pStyle w:val="5"/>
        <w:spacing w:line="360" w:lineRule="auto"/>
        <w:rPr>
          <w:rFonts w:ascii="宋体" w:hAnsi="宋体" w:eastAsia="宋体" w:cs="宋体"/>
          <w:sz w:val="24"/>
          <w:szCs w:val="24"/>
        </w:rPr>
      </w:pPr>
      <w:r>
        <w:rPr>
          <w:rFonts w:hint="eastAsia" w:ascii="宋体" w:hAnsi="宋体" w:eastAsia="宋体" w:cs="宋体"/>
          <w:sz w:val="24"/>
          <w:szCs w:val="24"/>
        </w:rPr>
        <w:t xml:space="preserve">7. </w:t>
      </w:r>
      <w:bookmarkEnd w:id="235"/>
      <w:bookmarkEnd w:id="236"/>
      <w:bookmarkEnd w:id="237"/>
      <w:bookmarkEnd w:id="238"/>
      <w:r>
        <w:rPr>
          <w:rFonts w:hint="eastAsia" w:ascii="宋体" w:hAnsi="宋体" w:eastAsia="宋体" w:cs="宋体"/>
          <w:sz w:val="24"/>
          <w:szCs w:val="24"/>
        </w:rPr>
        <w:t>评标专家在政府采购活动中承担以下义务</w:t>
      </w:r>
      <w:bookmarkEnd w:id="239"/>
    </w:p>
    <w:p>
      <w:pPr>
        <w:spacing w:line="360" w:lineRule="auto"/>
        <w:ind w:firstLine="480" w:firstLineChars="200"/>
        <w:rPr>
          <w:rFonts w:ascii="宋体" w:hAnsi="宋体" w:cs="宋体"/>
          <w:sz w:val="24"/>
        </w:rPr>
      </w:pPr>
      <w:r>
        <w:rPr>
          <w:rFonts w:hint="eastAsia" w:ascii="宋体" w:hAnsi="宋体" w:cs="宋体"/>
          <w:sz w:val="24"/>
        </w:rPr>
        <w:t>（一）遵守评审工作纪律；</w:t>
      </w:r>
    </w:p>
    <w:p>
      <w:pPr>
        <w:spacing w:line="360" w:lineRule="auto"/>
        <w:ind w:firstLine="480" w:firstLineChars="200"/>
        <w:rPr>
          <w:rFonts w:ascii="宋体" w:hAnsi="宋体" w:cs="宋体"/>
          <w:sz w:val="24"/>
        </w:rPr>
      </w:pPr>
      <w:r>
        <w:rPr>
          <w:rFonts w:hint="eastAsia" w:ascii="宋体" w:hAnsi="宋体" w:cs="宋体"/>
          <w:sz w:val="24"/>
        </w:rPr>
        <w:t>（二）按照客观、公正、审慎的原则，根据采购文件规定的评审程序、评审方法和评审标准进行独立评审；</w:t>
      </w:r>
    </w:p>
    <w:p>
      <w:pPr>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spacing w:line="360" w:lineRule="auto"/>
        <w:ind w:firstLine="480" w:firstLineChars="200"/>
        <w:rPr>
          <w:rFonts w:ascii="宋体" w:hAnsi="宋体" w:cs="宋体"/>
          <w:sz w:val="24"/>
        </w:rPr>
      </w:pPr>
      <w:r>
        <w:rPr>
          <w:rFonts w:hint="eastAsia" w:ascii="宋体" w:hAnsi="宋体" w:cs="宋体"/>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s="宋体"/>
          <w:sz w:val="24"/>
        </w:rPr>
      </w:pPr>
      <w:r>
        <w:rPr>
          <w:rFonts w:hint="eastAsia" w:ascii="宋体" w:hAnsi="宋体" w:cs="宋体"/>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s="宋体"/>
          <w:sz w:val="24"/>
        </w:rPr>
      </w:pPr>
      <w:r>
        <w:rPr>
          <w:rFonts w:hint="eastAsia" w:ascii="宋体" w:hAnsi="宋体" w:cs="宋体"/>
          <w:sz w:val="24"/>
        </w:rPr>
        <w:t>（六）配合答复处理供应商的询问、质疑和投诉等事项；</w:t>
      </w:r>
    </w:p>
    <w:p>
      <w:pPr>
        <w:spacing w:line="360" w:lineRule="auto"/>
        <w:ind w:firstLine="480" w:firstLineChars="200"/>
        <w:rPr>
          <w:rFonts w:ascii="宋体" w:hAnsi="宋体" w:cs="宋体"/>
          <w:sz w:val="24"/>
        </w:rPr>
      </w:pPr>
      <w:r>
        <w:rPr>
          <w:rFonts w:hint="eastAsia" w:ascii="宋体" w:hAnsi="宋体" w:cs="宋体"/>
          <w:sz w:val="24"/>
        </w:rPr>
        <w:t>（七）法律、法规和规章规定的其他义务。</w:t>
      </w:r>
    </w:p>
    <w:p>
      <w:pPr>
        <w:pStyle w:val="5"/>
        <w:spacing w:line="360" w:lineRule="auto"/>
        <w:rPr>
          <w:rFonts w:ascii="宋体" w:hAnsi="宋体" w:eastAsia="宋体" w:cs="宋体"/>
          <w:sz w:val="24"/>
          <w:szCs w:val="24"/>
        </w:rPr>
      </w:pPr>
      <w:bookmarkStart w:id="240" w:name="_Toc490290419"/>
      <w:r>
        <w:rPr>
          <w:rFonts w:hint="eastAsia" w:ascii="宋体" w:hAnsi="宋体" w:eastAsia="宋体" w:cs="宋体"/>
          <w:sz w:val="24"/>
          <w:szCs w:val="24"/>
        </w:rPr>
        <w:t>8.评标专家在政府采购活动中应当遵守以下工作纪律</w:t>
      </w:r>
      <w:bookmarkEnd w:id="240"/>
    </w:p>
    <w:p>
      <w:pPr>
        <w:spacing w:line="360" w:lineRule="auto"/>
        <w:ind w:firstLine="480" w:firstLineChars="200"/>
        <w:rPr>
          <w:rFonts w:ascii="宋体" w:hAnsi="宋体" w:cs="宋体"/>
          <w:sz w:val="24"/>
        </w:rPr>
      </w:pPr>
      <w:bookmarkStart w:id="241" w:name="_Toc490290420"/>
      <w:r>
        <w:rPr>
          <w:rFonts w:hint="eastAsia" w:ascii="宋体" w:hAnsi="宋体" w:cs="宋体"/>
          <w:sz w:val="24"/>
        </w:rPr>
        <w:t>（一）遵行《中华人民共和国政府采购法》第十二条和《中华人民共和国政府采购法实施条例》第九条及财政部关于回避的规定。</w:t>
      </w:r>
    </w:p>
    <w:p>
      <w:pPr>
        <w:spacing w:line="360" w:lineRule="auto"/>
        <w:ind w:firstLine="480" w:firstLineChars="200"/>
        <w:rPr>
          <w:rFonts w:ascii="宋体" w:hAnsi="宋体" w:cs="宋体"/>
          <w:sz w:val="24"/>
        </w:rPr>
      </w:pPr>
      <w:r>
        <w:rPr>
          <w:rFonts w:hint="eastAsia" w:ascii="宋体" w:hAnsi="宋体" w:cs="宋体"/>
          <w:sz w:val="24"/>
        </w:rPr>
        <w:t>（二）评标前，应当将通讯工具或者相关电子设备交由招标采购单位统一保管。</w:t>
      </w:r>
    </w:p>
    <w:p>
      <w:pPr>
        <w:spacing w:line="360" w:lineRule="auto"/>
        <w:ind w:firstLine="480" w:firstLineChars="200"/>
        <w:rPr>
          <w:rFonts w:ascii="宋体" w:hAnsi="宋体" w:cs="宋体"/>
          <w:sz w:val="24"/>
        </w:rPr>
      </w:pPr>
      <w:r>
        <w:rPr>
          <w:rFonts w:hint="eastAsia" w:ascii="宋体" w:hAnsi="宋体" w:cs="宋体"/>
          <w:sz w:val="24"/>
        </w:rPr>
        <w:t>（三）评标过程中，不得与外界联系，因发生不可预见情况，确实需要与外界联系的，应当在监督人员监督之下办理。</w:t>
      </w:r>
    </w:p>
    <w:p>
      <w:pPr>
        <w:spacing w:line="360" w:lineRule="auto"/>
        <w:ind w:firstLine="480" w:firstLineChars="200"/>
        <w:rPr>
          <w:rFonts w:ascii="宋体" w:hAnsi="宋体" w:cs="宋体"/>
          <w:sz w:val="24"/>
        </w:rPr>
      </w:pPr>
      <w:r>
        <w:rPr>
          <w:rFonts w:hint="eastAsia" w:ascii="宋体" w:hAnsi="宋体" w:cs="宋体"/>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360" w:lineRule="auto"/>
        <w:ind w:firstLine="480" w:firstLineChars="200"/>
        <w:rPr>
          <w:rFonts w:ascii="宋体" w:hAnsi="宋体" w:cs="宋体"/>
          <w:sz w:val="24"/>
        </w:rPr>
      </w:pPr>
      <w:r>
        <w:rPr>
          <w:rFonts w:hint="eastAsia" w:ascii="宋体" w:hAnsi="宋体" w:cs="宋体"/>
          <w:sz w:val="24"/>
        </w:rPr>
        <w:t>（五）在评标过程中和评标结束后，不得记录、复制或带走任何评标资料，除因规定的义务外，不得向外界透露评标内容。</w:t>
      </w:r>
    </w:p>
    <w:p>
      <w:pPr>
        <w:spacing w:line="360" w:lineRule="auto"/>
        <w:ind w:firstLine="480" w:firstLineChars="200"/>
        <w:rPr>
          <w:rFonts w:ascii="宋体" w:hAnsi="宋体" w:cs="宋体"/>
          <w:sz w:val="24"/>
        </w:rPr>
      </w:pPr>
      <w:r>
        <w:rPr>
          <w:rFonts w:hint="eastAsia" w:ascii="宋体" w:hAnsi="宋体" w:cs="宋体"/>
          <w:sz w:val="24"/>
        </w:rPr>
        <w:t>（六）服从评标现场招标采购单位的现场秩序管理，接受评标现场监督人员的合法监督。</w:t>
      </w:r>
    </w:p>
    <w:p>
      <w:pPr>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（七）遵守有关廉洁自律规定，不得私下接触供应商，不得收受供应商及有关业务单位和个人的财物或好处，不得接受采购组织单位的请托。</w:t>
      </w:r>
    </w:p>
    <w:p>
      <w:bookmarkStart w:id="242" w:name="_Toc29392"/>
      <w:r>
        <w:rPr>
          <w:rFonts w:hint="eastAsia"/>
        </w:rPr>
        <w:br w:type="page"/>
      </w:r>
    </w:p>
    <w:p>
      <w:pPr>
        <w:pStyle w:val="33"/>
        <w:spacing w:line="360" w:lineRule="auto"/>
        <w:rPr>
          <w:rFonts w:ascii="宋体" w:hAnsi="宋体" w:cs="宋体"/>
        </w:rPr>
      </w:pPr>
      <w:bookmarkStart w:id="243" w:name="_Toc31809"/>
      <w:r>
        <w:rPr>
          <w:rFonts w:hint="eastAsia" w:ascii="宋体" w:hAnsi="宋体" w:cs="宋体"/>
        </w:rPr>
        <w:t>第八章  政府采购合同</w:t>
      </w:r>
      <w:bookmarkEnd w:id="241"/>
      <w:r>
        <w:rPr>
          <w:rFonts w:hint="eastAsia" w:ascii="宋体" w:hAnsi="宋体" w:cs="宋体"/>
        </w:rPr>
        <w:t>（参考）</w:t>
      </w:r>
      <w:bookmarkEnd w:id="242"/>
      <w:bookmarkEnd w:id="243"/>
    </w:p>
    <w:p>
      <w:pPr>
        <w:spacing w:line="360" w:lineRule="auto"/>
        <w:jc w:val="center"/>
        <w:rPr>
          <w:rStyle w:val="104"/>
          <w:rFonts w:ascii="宋体" w:hAnsi="宋体" w:cs="宋体"/>
          <w:b/>
          <w:bCs/>
          <w:sz w:val="44"/>
          <w:szCs w:val="44"/>
        </w:rPr>
      </w:pPr>
      <w:bookmarkStart w:id="244" w:name="PO_默认文件内容_36"/>
      <w:r>
        <w:rPr>
          <w:rStyle w:val="104"/>
          <w:rFonts w:hint="eastAsia" w:ascii="宋体" w:hAnsi="宋体" w:cs="宋体"/>
          <w:b/>
          <w:bCs/>
          <w:sz w:val="44"/>
          <w:szCs w:val="44"/>
        </w:rPr>
        <w:t>成都市双流区妇幼保健院2021年医疗设备第五批采购项目合同</w:t>
      </w:r>
    </w:p>
    <w:bookmarkEnd w:id="244"/>
    <w:p>
      <w:pPr>
        <w:spacing w:line="500" w:lineRule="exact"/>
        <w:rPr>
          <w:rStyle w:val="104"/>
          <w:rFonts w:ascii="仿宋" w:hAnsi="仿宋" w:eastAsia="仿宋"/>
          <w:b/>
          <w:bCs/>
          <w:sz w:val="24"/>
        </w:rPr>
      </w:pPr>
      <w:r>
        <w:rPr>
          <w:rStyle w:val="104"/>
          <w:rFonts w:ascii="仿宋" w:hAnsi="仿宋" w:eastAsia="仿宋"/>
          <w:b/>
          <w:bCs/>
          <w:sz w:val="24"/>
        </w:rPr>
        <w:t>采购人（甲方）：成都市双流区妇幼保健院</w:t>
      </w:r>
    </w:p>
    <w:p>
      <w:pPr>
        <w:spacing w:line="500" w:lineRule="exact"/>
        <w:rPr>
          <w:rStyle w:val="104"/>
          <w:rFonts w:ascii="仿宋" w:hAnsi="仿宋" w:eastAsia="仿宋"/>
          <w:b/>
          <w:bCs/>
          <w:sz w:val="24"/>
          <w:u w:val="single"/>
        </w:rPr>
      </w:pPr>
      <w:r>
        <w:rPr>
          <w:rStyle w:val="104"/>
          <w:rFonts w:ascii="仿宋" w:hAnsi="仿宋" w:eastAsia="仿宋"/>
          <w:b/>
          <w:bCs/>
          <w:sz w:val="24"/>
        </w:rPr>
        <w:t>供应商（乙方）：</w:t>
      </w:r>
      <w:r>
        <w:rPr>
          <w:rStyle w:val="104"/>
          <w:rFonts w:ascii="仿宋" w:hAnsi="仿宋" w:eastAsia="仿宋"/>
          <w:b/>
          <w:bCs/>
          <w:sz w:val="24"/>
          <w:u w:val="single"/>
        </w:rPr>
        <w:t xml:space="preserve"> </w:t>
      </w:r>
    </w:p>
    <w:p>
      <w:pPr>
        <w:spacing w:line="500" w:lineRule="exact"/>
        <w:rPr>
          <w:rStyle w:val="104"/>
        </w:rPr>
      </w:pPr>
    </w:p>
    <w:p>
      <w:pPr>
        <w:spacing w:line="360" w:lineRule="exact"/>
        <w:ind w:firstLine="480" w:firstLineChars="200"/>
        <w:rPr>
          <w:rStyle w:val="104"/>
          <w:rFonts w:ascii="仿宋" w:hAnsi="仿宋" w:eastAsia="仿宋"/>
          <w:sz w:val="24"/>
        </w:rPr>
      </w:pPr>
      <w:r>
        <w:rPr>
          <w:rStyle w:val="104"/>
          <w:rFonts w:ascii="仿宋" w:hAnsi="仿宋" w:eastAsia="仿宋"/>
          <w:sz w:val="24"/>
        </w:rPr>
        <w:t>甲方实施的</w:t>
      </w:r>
      <w:r>
        <w:rPr>
          <w:rStyle w:val="104"/>
          <w:rFonts w:ascii="仿宋" w:hAnsi="仿宋" w:eastAsia="仿宋"/>
          <w:sz w:val="24"/>
          <w:u w:val="single"/>
        </w:rPr>
        <w:t xml:space="preserve"> </w:t>
      </w:r>
      <w:r>
        <w:rPr>
          <w:rStyle w:val="104"/>
          <w:rFonts w:hint="eastAsia" w:ascii="仿宋" w:hAnsi="仿宋" w:eastAsia="仿宋"/>
          <w:sz w:val="24"/>
          <w:u w:val="single"/>
        </w:rPr>
        <w:t xml:space="preserve"> </w:t>
      </w:r>
      <w:r>
        <w:rPr>
          <w:rStyle w:val="104"/>
          <w:rFonts w:ascii="仿宋" w:hAnsi="仿宋" w:eastAsia="仿宋"/>
          <w:sz w:val="24"/>
          <w:u w:val="single"/>
        </w:rPr>
        <w:t xml:space="preserve">               </w:t>
      </w:r>
      <w:r>
        <w:rPr>
          <w:rStyle w:val="104"/>
          <w:rFonts w:ascii="仿宋" w:hAnsi="仿宋" w:eastAsia="仿宋"/>
          <w:sz w:val="24"/>
        </w:rPr>
        <w:t xml:space="preserve">采购项目（项目编号: </w:t>
      </w:r>
      <w:r>
        <w:rPr>
          <w:rStyle w:val="104"/>
          <w:rFonts w:ascii="仿宋" w:hAnsi="仿宋" w:eastAsia="仿宋"/>
          <w:sz w:val="24"/>
          <w:u w:val="single"/>
        </w:rPr>
        <w:t xml:space="preserve">                   </w:t>
      </w:r>
      <w:r>
        <w:rPr>
          <w:rStyle w:val="104"/>
          <w:rFonts w:hint="eastAsia" w:ascii="仿宋" w:hAnsi="仿宋" w:eastAsia="仿宋"/>
          <w:sz w:val="24"/>
          <w:u w:val="single"/>
        </w:rPr>
        <w:t>；包号：</w:t>
      </w:r>
      <w:r>
        <w:rPr>
          <w:rStyle w:val="104"/>
          <w:rFonts w:ascii="仿宋" w:hAnsi="仿宋" w:eastAsia="仿宋"/>
          <w:sz w:val="24"/>
        </w:rPr>
        <w:t>），接受了乙方的报价，甲乙双方现根据《中华人民共和国民法典》、《中华人民共和国政府采购法》等法律法规的规定，就医疗设备（以下称设备）采购等事宜，协商一致，达成如下条款，以资共同遵照执行：</w:t>
      </w:r>
    </w:p>
    <w:p>
      <w:pPr>
        <w:pStyle w:val="105"/>
        <w:spacing w:after="0" w:line="360" w:lineRule="exact"/>
        <w:ind w:firstLine="482" w:firstLineChars="200"/>
        <w:rPr>
          <w:rStyle w:val="104"/>
          <w:rFonts w:ascii="仿宋" w:hAnsi="仿宋" w:eastAsia="仿宋"/>
          <w:b/>
          <w:bCs/>
          <w:sz w:val="24"/>
        </w:rPr>
      </w:pPr>
      <w:r>
        <w:rPr>
          <w:rStyle w:val="104"/>
          <w:rFonts w:ascii="仿宋" w:hAnsi="仿宋" w:eastAsia="仿宋"/>
          <w:b/>
          <w:bCs/>
          <w:sz w:val="24"/>
        </w:rPr>
        <w:t>一、合同文件组成部分</w:t>
      </w:r>
    </w:p>
    <w:p>
      <w:pPr>
        <w:spacing w:line="360" w:lineRule="exact"/>
        <w:ind w:firstLine="480" w:firstLineChars="200"/>
        <w:rPr>
          <w:rStyle w:val="104"/>
          <w:rFonts w:ascii="仿宋" w:hAnsi="仿宋" w:eastAsia="仿宋"/>
          <w:sz w:val="24"/>
        </w:rPr>
      </w:pPr>
      <w:r>
        <w:rPr>
          <w:rStyle w:val="104"/>
          <w:rFonts w:ascii="仿宋" w:hAnsi="仿宋" w:eastAsia="仿宋"/>
          <w:sz w:val="24"/>
        </w:rPr>
        <w:t>合同文件包括但不限于：</w:t>
      </w:r>
    </w:p>
    <w:p>
      <w:pPr>
        <w:pStyle w:val="105"/>
        <w:spacing w:after="0" w:line="360" w:lineRule="exact"/>
        <w:ind w:firstLine="480" w:firstLineChars="200"/>
        <w:rPr>
          <w:rStyle w:val="104"/>
          <w:rFonts w:ascii="仿宋" w:hAnsi="仿宋" w:eastAsia="仿宋"/>
          <w:sz w:val="24"/>
        </w:rPr>
      </w:pPr>
      <w:r>
        <w:rPr>
          <w:rStyle w:val="104"/>
          <w:rFonts w:ascii="仿宋" w:hAnsi="仿宋" w:eastAsia="仿宋"/>
          <w:sz w:val="24"/>
        </w:rPr>
        <w:t>1.本合同及补充协议；</w:t>
      </w:r>
    </w:p>
    <w:p>
      <w:pPr>
        <w:spacing w:line="360" w:lineRule="exact"/>
        <w:ind w:firstLine="480" w:firstLineChars="200"/>
        <w:rPr>
          <w:rStyle w:val="104"/>
          <w:rFonts w:ascii="仿宋" w:hAnsi="仿宋" w:eastAsia="仿宋"/>
          <w:sz w:val="24"/>
        </w:rPr>
      </w:pPr>
      <w:r>
        <w:rPr>
          <w:rStyle w:val="104"/>
          <w:rFonts w:ascii="仿宋" w:hAnsi="仿宋" w:eastAsia="仿宋"/>
          <w:sz w:val="24"/>
        </w:rPr>
        <w:t>2.成交通知书；</w:t>
      </w:r>
    </w:p>
    <w:p>
      <w:pPr>
        <w:pStyle w:val="105"/>
        <w:spacing w:after="0" w:line="360" w:lineRule="exact"/>
        <w:ind w:firstLine="480" w:firstLineChars="200"/>
        <w:rPr>
          <w:rStyle w:val="104"/>
          <w:rFonts w:ascii="仿宋" w:hAnsi="仿宋" w:eastAsia="仿宋"/>
          <w:sz w:val="24"/>
        </w:rPr>
      </w:pPr>
      <w:r>
        <w:rPr>
          <w:rStyle w:val="104"/>
          <w:rFonts w:ascii="仿宋" w:hAnsi="仿宋" w:eastAsia="仿宋"/>
          <w:sz w:val="24"/>
        </w:rPr>
        <w:t>3.招标文件（另册）；</w:t>
      </w:r>
    </w:p>
    <w:p>
      <w:pPr>
        <w:spacing w:line="360" w:lineRule="exact"/>
        <w:ind w:firstLine="480" w:firstLineChars="200"/>
        <w:rPr>
          <w:rStyle w:val="104"/>
          <w:rFonts w:ascii="仿宋" w:hAnsi="仿宋" w:eastAsia="仿宋"/>
          <w:sz w:val="24"/>
        </w:rPr>
      </w:pPr>
      <w:r>
        <w:rPr>
          <w:rStyle w:val="104"/>
          <w:rFonts w:ascii="仿宋" w:hAnsi="仿宋" w:eastAsia="仿宋"/>
          <w:sz w:val="24"/>
        </w:rPr>
        <w:t>4.投标响应文件（另册）；</w:t>
      </w:r>
    </w:p>
    <w:p>
      <w:pPr>
        <w:pStyle w:val="105"/>
        <w:spacing w:after="0" w:line="360" w:lineRule="exact"/>
        <w:ind w:firstLine="480" w:firstLineChars="200"/>
        <w:rPr>
          <w:rStyle w:val="104"/>
          <w:rFonts w:ascii="仿宋" w:hAnsi="仿宋" w:eastAsia="仿宋"/>
          <w:sz w:val="24"/>
        </w:rPr>
      </w:pPr>
      <w:r>
        <w:rPr>
          <w:rStyle w:val="104"/>
          <w:rFonts w:ascii="仿宋" w:hAnsi="仿宋" w:eastAsia="仿宋"/>
          <w:sz w:val="24"/>
        </w:rPr>
        <w:t>5.甲乙双方商定的其他文件。</w:t>
      </w:r>
    </w:p>
    <w:p>
      <w:pPr>
        <w:pStyle w:val="105"/>
        <w:spacing w:after="0" w:line="360" w:lineRule="exact"/>
        <w:ind w:firstLine="480" w:firstLineChars="200"/>
        <w:rPr>
          <w:rStyle w:val="104"/>
          <w:rFonts w:ascii="仿宋" w:hAnsi="仿宋" w:eastAsia="仿宋"/>
          <w:sz w:val="24"/>
        </w:rPr>
      </w:pPr>
      <w:r>
        <w:rPr>
          <w:rStyle w:val="104"/>
          <w:rFonts w:ascii="仿宋" w:hAnsi="仿宋" w:eastAsia="仿宋"/>
          <w:sz w:val="24"/>
        </w:rPr>
        <w:t>组成合同的各项文件互相解释、互为说明。合同文件如有矛盾时，以签字时间后者为准；同时签字的，以排前为准。在合同实施过程中，合同双方的一切联系、通知，均以书面通知为准。</w:t>
      </w:r>
    </w:p>
    <w:p>
      <w:pPr>
        <w:widowControl/>
        <w:numPr>
          <w:ilvl w:val="0"/>
          <w:numId w:val="15"/>
        </w:numPr>
        <w:spacing w:line="360" w:lineRule="exact"/>
        <w:ind w:firstLine="482" w:firstLineChars="200"/>
        <w:textAlignment w:val="baseline"/>
        <w:rPr>
          <w:rStyle w:val="104"/>
          <w:rFonts w:ascii="仿宋" w:hAnsi="仿宋" w:eastAsia="仿宋"/>
          <w:b/>
          <w:bCs/>
          <w:sz w:val="24"/>
        </w:rPr>
      </w:pPr>
      <w:r>
        <w:rPr>
          <w:rStyle w:val="104"/>
          <w:rFonts w:ascii="仿宋" w:hAnsi="仿宋" w:eastAsia="仿宋"/>
          <w:b/>
          <w:bCs/>
          <w:sz w:val="24"/>
        </w:rPr>
        <w:t>采购设备</w:t>
      </w:r>
    </w:p>
    <w:tbl>
      <w:tblPr>
        <w:tblStyle w:val="35"/>
        <w:tblpPr w:leftFromText="180" w:rightFromText="180" w:vertAnchor="text" w:horzAnchor="margin" w:tblpXSpec="center" w:tblpY="152"/>
        <w:tblOverlap w:val="never"/>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1"/>
        <w:gridCol w:w="1077"/>
        <w:gridCol w:w="1365"/>
        <w:gridCol w:w="795"/>
        <w:gridCol w:w="1185"/>
        <w:gridCol w:w="1435"/>
        <w:gridCol w:w="1130"/>
        <w:gridCol w:w="512"/>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1561"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设备品名</w:t>
            </w:r>
          </w:p>
        </w:tc>
        <w:tc>
          <w:tcPr>
            <w:tcW w:w="1077"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生产厂家</w:t>
            </w:r>
          </w:p>
        </w:tc>
        <w:tc>
          <w:tcPr>
            <w:tcW w:w="1365"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规格</w:t>
            </w:r>
          </w:p>
          <w:p>
            <w:pPr>
              <w:spacing w:line="280" w:lineRule="exact"/>
              <w:jc w:val="center"/>
              <w:rPr>
                <w:rStyle w:val="104"/>
                <w:rFonts w:ascii="仿宋" w:hAnsi="仿宋" w:eastAsia="仿宋" w:cs="仿宋"/>
                <w:b/>
                <w:bCs/>
                <w:sz w:val="24"/>
              </w:rPr>
            </w:pPr>
            <w:r>
              <w:rPr>
                <w:rStyle w:val="104"/>
                <w:rFonts w:ascii="仿宋" w:hAnsi="仿宋" w:eastAsia="仿宋" w:cs="仿宋"/>
                <w:b/>
                <w:bCs/>
                <w:sz w:val="24"/>
              </w:rPr>
              <w:t>型号</w:t>
            </w:r>
          </w:p>
        </w:tc>
        <w:tc>
          <w:tcPr>
            <w:tcW w:w="795"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数量</w:t>
            </w:r>
          </w:p>
        </w:tc>
        <w:tc>
          <w:tcPr>
            <w:tcW w:w="1185"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成交</w:t>
            </w:r>
          </w:p>
          <w:p>
            <w:pPr>
              <w:spacing w:line="280" w:lineRule="exact"/>
              <w:jc w:val="center"/>
              <w:rPr>
                <w:rStyle w:val="104"/>
                <w:rFonts w:ascii="仿宋" w:hAnsi="仿宋" w:eastAsia="仿宋" w:cs="仿宋"/>
                <w:b/>
                <w:bCs/>
                <w:sz w:val="24"/>
              </w:rPr>
            </w:pPr>
            <w:r>
              <w:rPr>
                <w:rStyle w:val="104"/>
                <w:rFonts w:ascii="仿宋" w:hAnsi="仿宋" w:eastAsia="仿宋" w:cs="仿宋"/>
                <w:b/>
                <w:bCs/>
                <w:sz w:val="24"/>
              </w:rPr>
              <w:t>单价（元）</w:t>
            </w:r>
          </w:p>
        </w:tc>
        <w:tc>
          <w:tcPr>
            <w:tcW w:w="1435"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总价</w:t>
            </w:r>
          </w:p>
          <w:p>
            <w:pPr>
              <w:spacing w:line="280" w:lineRule="exact"/>
              <w:jc w:val="center"/>
              <w:rPr>
                <w:rStyle w:val="104"/>
                <w:rFonts w:ascii="仿宋" w:hAnsi="仿宋" w:eastAsia="仿宋" w:cs="仿宋"/>
                <w:b/>
                <w:bCs/>
                <w:sz w:val="24"/>
              </w:rPr>
            </w:pPr>
            <w:r>
              <w:rPr>
                <w:rStyle w:val="104"/>
                <w:rFonts w:ascii="仿宋" w:hAnsi="仿宋" w:eastAsia="仿宋" w:cs="仿宋"/>
                <w:b/>
                <w:bCs/>
                <w:sz w:val="24"/>
              </w:rPr>
              <w:t>（元）</w:t>
            </w:r>
          </w:p>
        </w:tc>
        <w:tc>
          <w:tcPr>
            <w:tcW w:w="1130"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注册证</w:t>
            </w:r>
          </w:p>
          <w:p>
            <w:pPr>
              <w:spacing w:line="280" w:lineRule="exact"/>
              <w:jc w:val="center"/>
              <w:rPr>
                <w:rStyle w:val="104"/>
                <w:rFonts w:ascii="仿宋" w:hAnsi="仿宋" w:eastAsia="仿宋" w:cs="仿宋"/>
                <w:b/>
                <w:bCs/>
                <w:sz w:val="24"/>
              </w:rPr>
            </w:pPr>
            <w:r>
              <w:rPr>
                <w:rStyle w:val="104"/>
                <w:rFonts w:ascii="仿宋" w:hAnsi="仿宋" w:eastAsia="仿宋" w:cs="仿宋"/>
                <w:b/>
                <w:bCs/>
                <w:sz w:val="24"/>
              </w:rPr>
              <w:t>名称</w:t>
            </w:r>
          </w:p>
        </w:tc>
        <w:tc>
          <w:tcPr>
            <w:tcW w:w="512" w:type="dxa"/>
            <w:vAlign w:val="center"/>
          </w:tcPr>
          <w:p>
            <w:pPr>
              <w:spacing w:line="280" w:lineRule="exact"/>
              <w:rPr>
                <w:rStyle w:val="104"/>
                <w:rFonts w:ascii="仿宋" w:hAnsi="仿宋" w:eastAsia="仿宋" w:cs="仿宋"/>
                <w:b/>
                <w:bCs/>
                <w:sz w:val="24"/>
              </w:rPr>
            </w:pPr>
            <w:r>
              <w:rPr>
                <w:rStyle w:val="104"/>
                <w:rFonts w:hint="eastAsia" w:ascii="仿宋" w:hAnsi="仿宋" w:eastAsia="仿宋" w:cs="仿宋"/>
                <w:b/>
                <w:bCs/>
                <w:sz w:val="24"/>
              </w:rPr>
              <w:t>随机配件</w:t>
            </w:r>
          </w:p>
        </w:tc>
        <w:tc>
          <w:tcPr>
            <w:tcW w:w="512" w:type="dxa"/>
            <w:vAlign w:val="center"/>
          </w:tcPr>
          <w:p>
            <w:pPr>
              <w:spacing w:line="280" w:lineRule="exact"/>
              <w:jc w:val="center"/>
              <w:rPr>
                <w:rStyle w:val="104"/>
                <w:rFonts w:ascii="仿宋" w:hAnsi="仿宋" w:eastAsia="仿宋" w:cs="仿宋"/>
                <w:b/>
                <w:bCs/>
                <w:sz w:val="24"/>
              </w:rPr>
            </w:pPr>
            <w:r>
              <w:rPr>
                <w:rStyle w:val="104"/>
                <w:rFonts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561" w:type="dxa"/>
            <w:vAlign w:val="center"/>
          </w:tcPr>
          <w:p>
            <w:pPr>
              <w:spacing w:line="280" w:lineRule="exact"/>
              <w:rPr>
                <w:rStyle w:val="104"/>
                <w:rFonts w:ascii="仿宋" w:hAnsi="仿宋" w:eastAsia="仿宋"/>
                <w:sz w:val="24"/>
              </w:rPr>
            </w:pPr>
          </w:p>
        </w:tc>
        <w:tc>
          <w:tcPr>
            <w:tcW w:w="1077" w:type="dxa"/>
            <w:vAlign w:val="center"/>
          </w:tcPr>
          <w:p>
            <w:pPr>
              <w:spacing w:line="280" w:lineRule="exact"/>
              <w:rPr>
                <w:rStyle w:val="104"/>
                <w:rFonts w:ascii="仿宋" w:hAnsi="仿宋" w:eastAsia="仿宋"/>
                <w:sz w:val="24"/>
              </w:rPr>
            </w:pPr>
          </w:p>
        </w:tc>
        <w:tc>
          <w:tcPr>
            <w:tcW w:w="1365" w:type="dxa"/>
            <w:vAlign w:val="center"/>
          </w:tcPr>
          <w:p>
            <w:pPr>
              <w:spacing w:line="280" w:lineRule="exact"/>
              <w:rPr>
                <w:rStyle w:val="104"/>
                <w:rFonts w:ascii="仿宋" w:hAnsi="仿宋" w:eastAsia="仿宋"/>
                <w:sz w:val="24"/>
              </w:rPr>
            </w:pPr>
          </w:p>
        </w:tc>
        <w:tc>
          <w:tcPr>
            <w:tcW w:w="795" w:type="dxa"/>
            <w:vAlign w:val="center"/>
          </w:tcPr>
          <w:p>
            <w:pPr>
              <w:spacing w:line="280" w:lineRule="exact"/>
              <w:textAlignment w:val="center"/>
              <w:rPr>
                <w:rStyle w:val="104"/>
                <w:rFonts w:ascii="仿宋" w:hAnsi="仿宋" w:eastAsia="仿宋"/>
                <w:color w:val="000000"/>
                <w:sz w:val="24"/>
              </w:rPr>
            </w:pPr>
          </w:p>
        </w:tc>
        <w:tc>
          <w:tcPr>
            <w:tcW w:w="1185" w:type="dxa"/>
            <w:vAlign w:val="center"/>
          </w:tcPr>
          <w:p>
            <w:pPr>
              <w:spacing w:line="280" w:lineRule="exact"/>
              <w:textAlignment w:val="center"/>
              <w:rPr>
                <w:rStyle w:val="104"/>
                <w:rFonts w:ascii="仿宋" w:hAnsi="仿宋" w:eastAsia="仿宋"/>
                <w:color w:val="000000"/>
                <w:sz w:val="24"/>
              </w:rPr>
            </w:pPr>
          </w:p>
        </w:tc>
        <w:tc>
          <w:tcPr>
            <w:tcW w:w="1435" w:type="dxa"/>
            <w:vAlign w:val="center"/>
          </w:tcPr>
          <w:p>
            <w:pPr>
              <w:spacing w:line="280" w:lineRule="exact"/>
              <w:textAlignment w:val="center"/>
              <w:rPr>
                <w:rStyle w:val="104"/>
                <w:rFonts w:ascii="仿宋" w:hAnsi="仿宋" w:eastAsia="仿宋"/>
                <w:color w:val="000000"/>
                <w:sz w:val="24"/>
              </w:rPr>
            </w:pPr>
          </w:p>
        </w:tc>
        <w:tc>
          <w:tcPr>
            <w:tcW w:w="1130" w:type="dxa"/>
            <w:vAlign w:val="center"/>
          </w:tcPr>
          <w:p>
            <w:pPr>
              <w:spacing w:line="280" w:lineRule="exact"/>
              <w:jc w:val="center"/>
              <w:rPr>
                <w:rStyle w:val="104"/>
                <w:rFonts w:ascii="仿宋" w:hAnsi="仿宋" w:eastAsia="仿宋"/>
                <w:sz w:val="24"/>
              </w:rPr>
            </w:pPr>
          </w:p>
        </w:tc>
        <w:tc>
          <w:tcPr>
            <w:tcW w:w="512" w:type="dxa"/>
            <w:vAlign w:val="center"/>
          </w:tcPr>
          <w:p>
            <w:pPr>
              <w:spacing w:line="280" w:lineRule="exact"/>
              <w:jc w:val="center"/>
              <w:rPr>
                <w:rStyle w:val="104"/>
                <w:rFonts w:ascii="仿宋" w:hAnsi="仿宋" w:eastAsia="仿宋"/>
                <w:sz w:val="24"/>
              </w:rPr>
            </w:pPr>
          </w:p>
        </w:tc>
        <w:tc>
          <w:tcPr>
            <w:tcW w:w="512" w:type="dxa"/>
            <w:vAlign w:val="center"/>
          </w:tcPr>
          <w:p>
            <w:pPr>
              <w:spacing w:line="280" w:lineRule="exact"/>
              <w:jc w:val="center"/>
              <w:textAlignment w:val="center"/>
              <w:rPr>
                <w:rStyle w:val="104"/>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rPr>
        <w:tc>
          <w:tcPr>
            <w:tcW w:w="1561" w:type="dxa"/>
            <w:vAlign w:val="center"/>
          </w:tcPr>
          <w:p>
            <w:pPr>
              <w:spacing w:line="280" w:lineRule="exact"/>
              <w:rPr>
                <w:rStyle w:val="104"/>
                <w:rFonts w:ascii="仿宋" w:hAnsi="仿宋" w:eastAsia="仿宋"/>
                <w:sz w:val="24"/>
              </w:rPr>
            </w:pPr>
          </w:p>
        </w:tc>
        <w:tc>
          <w:tcPr>
            <w:tcW w:w="1077" w:type="dxa"/>
            <w:vAlign w:val="center"/>
          </w:tcPr>
          <w:p>
            <w:pPr>
              <w:spacing w:line="280" w:lineRule="exact"/>
              <w:rPr>
                <w:rStyle w:val="104"/>
                <w:rFonts w:ascii="仿宋" w:hAnsi="仿宋" w:eastAsia="仿宋"/>
                <w:sz w:val="24"/>
              </w:rPr>
            </w:pPr>
          </w:p>
        </w:tc>
        <w:tc>
          <w:tcPr>
            <w:tcW w:w="1365" w:type="dxa"/>
            <w:vAlign w:val="center"/>
          </w:tcPr>
          <w:p>
            <w:pPr>
              <w:spacing w:line="280" w:lineRule="exact"/>
              <w:rPr>
                <w:rStyle w:val="104"/>
                <w:rFonts w:ascii="仿宋" w:hAnsi="仿宋" w:eastAsia="仿宋"/>
                <w:sz w:val="24"/>
              </w:rPr>
            </w:pPr>
          </w:p>
        </w:tc>
        <w:tc>
          <w:tcPr>
            <w:tcW w:w="795" w:type="dxa"/>
            <w:vAlign w:val="center"/>
          </w:tcPr>
          <w:p>
            <w:pPr>
              <w:spacing w:line="280" w:lineRule="exact"/>
              <w:textAlignment w:val="center"/>
              <w:rPr>
                <w:rStyle w:val="104"/>
                <w:rFonts w:ascii="仿宋" w:hAnsi="仿宋" w:eastAsia="仿宋"/>
                <w:color w:val="000000"/>
                <w:sz w:val="24"/>
              </w:rPr>
            </w:pPr>
          </w:p>
        </w:tc>
        <w:tc>
          <w:tcPr>
            <w:tcW w:w="1185" w:type="dxa"/>
            <w:vAlign w:val="center"/>
          </w:tcPr>
          <w:p>
            <w:pPr>
              <w:spacing w:line="280" w:lineRule="exact"/>
              <w:textAlignment w:val="center"/>
              <w:rPr>
                <w:rStyle w:val="104"/>
                <w:rFonts w:ascii="仿宋" w:hAnsi="仿宋" w:eastAsia="仿宋"/>
                <w:color w:val="000000"/>
                <w:sz w:val="24"/>
              </w:rPr>
            </w:pPr>
          </w:p>
        </w:tc>
        <w:tc>
          <w:tcPr>
            <w:tcW w:w="1435" w:type="dxa"/>
            <w:vAlign w:val="center"/>
          </w:tcPr>
          <w:p>
            <w:pPr>
              <w:spacing w:line="280" w:lineRule="exact"/>
              <w:textAlignment w:val="center"/>
              <w:rPr>
                <w:rStyle w:val="104"/>
                <w:rFonts w:ascii="仿宋" w:hAnsi="仿宋" w:eastAsia="仿宋"/>
                <w:color w:val="000000"/>
                <w:sz w:val="24"/>
              </w:rPr>
            </w:pPr>
          </w:p>
        </w:tc>
        <w:tc>
          <w:tcPr>
            <w:tcW w:w="1130" w:type="dxa"/>
            <w:vAlign w:val="center"/>
          </w:tcPr>
          <w:p>
            <w:pPr>
              <w:spacing w:line="280" w:lineRule="exact"/>
              <w:jc w:val="center"/>
              <w:rPr>
                <w:rStyle w:val="104"/>
                <w:rFonts w:ascii="仿宋" w:hAnsi="仿宋" w:eastAsia="仿宋"/>
                <w:sz w:val="24"/>
              </w:rPr>
            </w:pPr>
          </w:p>
        </w:tc>
        <w:tc>
          <w:tcPr>
            <w:tcW w:w="512" w:type="dxa"/>
            <w:vAlign w:val="center"/>
          </w:tcPr>
          <w:p>
            <w:pPr>
              <w:spacing w:line="280" w:lineRule="exact"/>
              <w:jc w:val="center"/>
              <w:rPr>
                <w:rStyle w:val="104"/>
                <w:rFonts w:ascii="仿宋" w:hAnsi="仿宋" w:eastAsia="仿宋"/>
                <w:sz w:val="24"/>
              </w:rPr>
            </w:pPr>
          </w:p>
        </w:tc>
        <w:tc>
          <w:tcPr>
            <w:tcW w:w="512" w:type="dxa"/>
            <w:vAlign w:val="center"/>
          </w:tcPr>
          <w:p>
            <w:pPr>
              <w:spacing w:line="280" w:lineRule="exact"/>
              <w:jc w:val="center"/>
              <w:textAlignment w:val="center"/>
              <w:rPr>
                <w:rStyle w:val="104"/>
                <w:rFonts w:ascii="仿宋" w:hAnsi="仿宋" w:eastAsia="仿宋"/>
                <w:sz w:val="24"/>
              </w:rPr>
            </w:pPr>
          </w:p>
        </w:tc>
      </w:tr>
    </w:tbl>
    <w:p>
      <w:pPr>
        <w:pStyle w:val="105"/>
      </w:pP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三、合同总价</w:t>
      </w:r>
    </w:p>
    <w:p>
      <w:pPr>
        <w:pStyle w:val="106"/>
        <w:spacing w:after="0" w:line="360" w:lineRule="exact"/>
        <w:ind w:firstLine="480"/>
        <w:rPr>
          <w:rStyle w:val="104"/>
          <w:rFonts w:ascii="仿宋" w:hAnsi="仿宋" w:eastAsia="仿宋"/>
          <w:sz w:val="24"/>
        </w:rPr>
      </w:pPr>
      <w:r>
        <w:rPr>
          <w:rStyle w:val="104"/>
          <w:rFonts w:ascii="仿宋" w:hAnsi="仿宋" w:eastAsia="仿宋"/>
          <w:sz w:val="24"/>
        </w:rPr>
        <w:t>1.本合同项下采购设备合同总价为</w:t>
      </w:r>
      <w:r>
        <w:rPr>
          <w:rStyle w:val="104"/>
          <w:rFonts w:eastAsia="仿宋"/>
          <w:sz w:val="24"/>
        </w:rPr>
        <w:t>¥</w:t>
      </w:r>
      <w:r>
        <w:rPr>
          <w:rStyle w:val="104"/>
          <w:rFonts w:eastAsia="仿宋"/>
          <w:sz w:val="24"/>
          <w:u w:val="single"/>
        </w:rPr>
        <w:t xml:space="preserve"> </w:t>
      </w:r>
      <w:r>
        <w:rPr>
          <w:rStyle w:val="104"/>
          <w:rFonts w:ascii="仿宋" w:hAnsi="仿宋" w:eastAsia="仿宋"/>
          <w:sz w:val="24"/>
          <w:u w:val="single"/>
        </w:rPr>
        <w:t xml:space="preserve">      </w:t>
      </w:r>
      <w:r>
        <w:rPr>
          <w:rStyle w:val="104"/>
          <w:rFonts w:eastAsia="仿宋"/>
          <w:sz w:val="24"/>
        </w:rPr>
        <w:t>元整（</w:t>
      </w:r>
      <w:r>
        <w:rPr>
          <w:rStyle w:val="104"/>
          <w:rFonts w:ascii="仿宋" w:hAnsi="仿宋" w:eastAsia="仿宋"/>
          <w:sz w:val="24"/>
        </w:rPr>
        <w:t>人民币大写：</w:t>
      </w:r>
      <w:r>
        <w:rPr>
          <w:rStyle w:val="104"/>
          <w:rFonts w:hint="eastAsia" w:ascii="仿宋" w:hAnsi="仿宋" w:eastAsia="仿宋"/>
          <w:b/>
          <w:bCs/>
          <w:sz w:val="24"/>
          <w:u w:val="single"/>
        </w:rPr>
        <w:t xml:space="preserve"> </w:t>
      </w:r>
      <w:r>
        <w:rPr>
          <w:rStyle w:val="104"/>
          <w:rFonts w:ascii="仿宋" w:hAnsi="仿宋" w:eastAsia="仿宋"/>
          <w:b/>
          <w:bCs/>
          <w:sz w:val="24"/>
          <w:u w:val="single"/>
        </w:rPr>
        <w:t xml:space="preserve">       </w:t>
      </w:r>
      <w:r>
        <w:rPr>
          <w:rStyle w:val="104"/>
          <w:rFonts w:ascii="仿宋" w:hAnsi="仿宋" w:eastAsia="仿宋"/>
          <w:sz w:val="24"/>
        </w:rPr>
        <w:t>元整），该合同总价包括乙方向甲方提供本合同规定的所有设备及乙方全面履行本合同规定的责任和义务所需发生的全部费用，包括设备设计、材料、制造、包装、运输、安装、调试、检测、交货、换货、退货、保修期内保修服务、培训与备用物件、合理利润及税费等等所有有关的全部费用，并包括本合同规定应由乙方承担的一切风险（包括物价、税率等的变化及采购设备损毁灭失等风险）。除甲乙双方书面约定外，甲方为实现本合同项下所有权益，无须另向乙方支付其他任何费用。</w:t>
      </w:r>
    </w:p>
    <w:p>
      <w:pPr>
        <w:pStyle w:val="106"/>
        <w:spacing w:after="0" w:line="360" w:lineRule="exact"/>
        <w:ind w:firstLine="480"/>
        <w:rPr>
          <w:rStyle w:val="104"/>
          <w:rFonts w:ascii="仿宋" w:hAnsi="仿宋" w:eastAsia="仿宋"/>
          <w:sz w:val="24"/>
        </w:rPr>
      </w:pPr>
      <w:r>
        <w:rPr>
          <w:rStyle w:val="104"/>
          <w:rFonts w:ascii="仿宋" w:hAnsi="仿宋" w:eastAsia="仿宋"/>
          <w:sz w:val="24"/>
        </w:rPr>
        <w:t>2.本合同执行期间合同总价不变，乙方无权以成本、物价、税率变化等任何理由要求甲方另行支付任何费用。</w:t>
      </w:r>
    </w:p>
    <w:p>
      <w:pPr>
        <w:pStyle w:val="106"/>
        <w:spacing w:after="0" w:line="360" w:lineRule="exact"/>
        <w:ind w:firstLine="480"/>
        <w:rPr>
          <w:rStyle w:val="104"/>
          <w:rFonts w:ascii="仿宋" w:hAnsi="仿宋" w:eastAsia="仿宋"/>
          <w:sz w:val="24"/>
        </w:rPr>
      </w:pPr>
      <w:r>
        <w:rPr>
          <w:rStyle w:val="104"/>
          <w:rFonts w:ascii="仿宋" w:hAnsi="仿宋" w:eastAsia="仿宋"/>
          <w:sz w:val="24"/>
        </w:rPr>
        <w:t xml:space="preserve">3.当国家法定增值税税率发生变更，如增值税税率降低的，甲乙双方同意以不含税价格不变为基数，相应调整增值税税额及合同价款。如增值税税率上升，甲乙双方同意相应调整增值税税额但是合同价款保持不变。 </w:t>
      </w: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四、款项结算及支付</w:t>
      </w:r>
    </w:p>
    <w:p>
      <w:pPr>
        <w:pStyle w:val="106"/>
        <w:spacing w:after="0" w:line="360" w:lineRule="exact"/>
        <w:ind w:firstLine="480"/>
        <w:rPr>
          <w:rStyle w:val="104"/>
          <w:rFonts w:ascii="仿宋" w:hAnsi="仿宋" w:eastAsia="仿宋"/>
          <w:sz w:val="24"/>
        </w:rPr>
      </w:pPr>
      <w:r>
        <w:rPr>
          <w:rStyle w:val="104"/>
          <w:rFonts w:ascii="仿宋" w:hAnsi="仿宋" w:eastAsia="仿宋"/>
          <w:sz w:val="24"/>
        </w:rPr>
        <w:t>1.甲方于本合同签订后5个工作日内支付合同总价的30%作为预付款，即:</w:t>
      </w:r>
      <w:r>
        <w:rPr>
          <w:rStyle w:val="104"/>
          <w:rFonts w:eastAsia="仿宋"/>
          <w:sz w:val="24"/>
        </w:rPr>
        <w:t>¥</w:t>
      </w:r>
      <w:r>
        <w:rPr>
          <w:rStyle w:val="104"/>
          <w:rFonts w:hint="eastAsia" w:ascii="仿宋" w:hAnsi="仿宋" w:eastAsia="仿宋"/>
          <w:sz w:val="24"/>
        </w:rPr>
        <w:t xml:space="preserve">【 </w:t>
      </w:r>
      <w:r>
        <w:rPr>
          <w:rStyle w:val="104"/>
          <w:rFonts w:ascii="仿宋" w:hAnsi="仿宋" w:eastAsia="仿宋"/>
          <w:sz w:val="24"/>
        </w:rPr>
        <w:t xml:space="preserve">  </w:t>
      </w:r>
      <w:r>
        <w:rPr>
          <w:rStyle w:val="104"/>
          <w:rFonts w:hint="eastAsia" w:ascii="仿宋" w:hAnsi="仿宋" w:eastAsia="仿宋"/>
          <w:sz w:val="24"/>
        </w:rPr>
        <w:t>】</w:t>
      </w:r>
      <w:r>
        <w:rPr>
          <w:rStyle w:val="104"/>
          <w:rFonts w:ascii="仿宋" w:hAnsi="仿宋" w:eastAsia="仿宋"/>
          <w:sz w:val="24"/>
        </w:rPr>
        <w:t>元（人民币大写：</w:t>
      </w:r>
      <w:r>
        <w:rPr>
          <w:rStyle w:val="104"/>
          <w:rFonts w:hint="eastAsia" w:ascii="仿宋" w:hAnsi="仿宋" w:eastAsia="仿宋"/>
          <w:sz w:val="24"/>
        </w:rPr>
        <w:t xml:space="preserve">【 </w:t>
      </w:r>
      <w:r>
        <w:rPr>
          <w:rStyle w:val="104"/>
          <w:rFonts w:ascii="仿宋" w:hAnsi="仿宋" w:eastAsia="仿宋"/>
          <w:sz w:val="24"/>
        </w:rPr>
        <w:t xml:space="preserve">  </w:t>
      </w:r>
      <w:r>
        <w:rPr>
          <w:rStyle w:val="104"/>
          <w:rFonts w:hint="eastAsia" w:ascii="仿宋" w:hAnsi="仿宋" w:eastAsia="仿宋"/>
          <w:sz w:val="24"/>
        </w:rPr>
        <w:t>】</w:t>
      </w:r>
      <w:r>
        <w:rPr>
          <w:rStyle w:val="104"/>
          <w:rFonts w:ascii="仿宋" w:hAnsi="仿宋" w:eastAsia="仿宋"/>
          <w:sz w:val="24"/>
        </w:rPr>
        <w:t>元整）；</w:t>
      </w:r>
      <w:r>
        <w:rPr>
          <w:rStyle w:val="104"/>
          <w:rFonts w:hint="eastAsia" w:ascii="仿宋" w:hAnsi="仿宋" w:eastAsia="仿宋"/>
          <w:sz w:val="24"/>
        </w:rPr>
        <w:t>甲方于采购设备全部安装调试并经最终验收合格且收到发票后15日内支付合同总价的65%</w:t>
      </w:r>
      <w:r>
        <w:rPr>
          <w:rStyle w:val="104"/>
          <w:rFonts w:ascii="仿宋" w:hAnsi="仿宋" w:eastAsia="仿宋"/>
          <w:sz w:val="24"/>
        </w:rPr>
        <w:t>，即:</w:t>
      </w:r>
      <w:r>
        <w:rPr>
          <w:rStyle w:val="104"/>
          <w:rFonts w:eastAsia="仿宋"/>
          <w:sz w:val="24"/>
        </w:rPr>
        <w:t>¥</w:t>
      </w:r>
      <w:r>
        <w:rPr>
          <w:rStyle w:val="104"/>
          <w:rFonts w:hint="eastAsia" w:ascii="仿宋" w:hAnsi="仿宋" w:eastAsia="仿宋"/>
          <w:sz w:val="24"/>
        </w:rPr>
        <w:t xml:space="preserve">【 </w:t>
      </w:r>
      <w:r>
        <w:rPr>
          <w:rStyle w:val="104"/>
          <w:rFonts w:ascii="仿宋" w:hAnsi="仿宋" w:eastAsia="仿宋"/>
          <w:sz w:val="24"/>
        </w:rPr>
        <w:t xml:space="preserve">  </w:t>
      </w:r>
      <w:r>
        <w:rPr>
          <w:rStyle w:val="104"/>
          <w:rFonts w:hint="eastAsia" w:ascii="仿宋" w:hAnsi="仿宋" w:eastAsia="仿宋"/>
          <w:sz w:val="24"/>
        </w:rPr>
        <w:t>】</w:t>
      </w:r>
      <w:r>
        <w:rPr>
          <w:rStyle w:val="104"/>
          <w:rFonts w:ascii="仿宋" w:hAnsi="仿宋" w:eastAsia="仿宋"/>
          <w:sz w:val="24"/>
        </w:rPr>
        <w:t>元（人民币大写：</w:t>
      </w:r>
      <w:r>
        <w:rPr>
          <w:rStyle w:val="104"/>
          <w:rFonts w:hint="eastAsia" w:ascii="仿宋" w:hAnsi="仿宋" w:eastAsia="仿宋"/>
          <w:sz w:val="24"/>
        </w:rPr>
        <w:t xml:space="preserve">【 </w:t>
      </w:r>
      <w:r>
        <w:rPr>
          <w:rStyle w:val="104"/>
          <w:rFonts w:ascii="仿宋" w:hAnsi="仿宋" w:eastAsia="仿宋"/>
          <w:sz w:val="24"/>
        </w:rPr>
        <w:t xml:space="preserve">  </w:t>
      </w:r>
      <w:r>
        <w:rPr>
          <w:rStyle w:val="104"/>
          <w:rFonts w:hint="eastAsia" w:ascii="仿宋" w:hAnsi="仿宋" w:eastAsia="仿宋"/>
          <w:sz w:val="24"/>
        </w:rPr>
        <w:t>】</w:t>
      </w:r>
      <w:r>
        <w:rPr>
          <w:rStyle w:val="104"/>
          <w:rFonts w:ascii="仿宋" w:hAnsi="仿宋" w:eastAsia="仿宋"/>
          <w:sz w:val="24"/>
        </w:rPr>
        <w:t>元整）；</w:t>
      </w:r>
      <w:r>
        <w:rPr>
          <w:rStyle w:val="104"/>
          <w:rFonts w:hint="eastAsia" w:ascii="仿宋" w:hAnsi="仿宋" w:eastAsia="仿宋"/>
          <w:sz w:val="24"/>
        </w:rPr>
        <w:t>质保期</w:t>
      </w:r>
      <w:r>
        <w:rPr>
          <w:rStyle w:val="104"/>
          <w:rFonts w:ascii="仿宋" w:hAnsi="仿宋" w:eastAsia="仿宋"/>
          <w:sz w:val="24"/>
        </w:rPr>
        <w:t>满后，</w:t>
      </w:r>
      <w:r>
        <w:rPr>
          <w:rStyle w:val="104"/>
          <w:rFonts w:hint="eastAsia" w:ascii="仿宋" w:hAnsi="仿宋" w:eastAsia="仿宋"/>
          <w:sz w:val="24"/>
        </w:rPr>
        <w:t>双方无异议，</w:t>
      </w:r>
      <w:r>
        <w:rPr>
          <w:rStyle w:val="104"/>
          <w:rFonts w:ascii="仿宋" w:hAnsi="仿宋" w:eastAsia="仿宋"/>
          <w:sz w:val="24"/>
        </w:rPr>
        <w:t>甲方按本合同约定无</w:t>
      </w:r>
      <w:r>
        <w:rPr>
          <w:rStyle w:val="104"/>
          <w:rFonts w:hint="eastAsia" w:ascii="仿宋" w:hAnsi="仿宋" w:eastAsia="仿宋"/>
          <w:sz w:val="24"/>
        </w:rPr>
        <w:t>向乙方支付合同总价的5%货款</w:t>
      </w:r>
      <w:r>
        <w:rPr>
          <w:rStyle w:val="104"/>
          <w:rFonts w:ascii="仿宋" w:hAnsi="仿宋" w:eastAsia="仿宋"/>
          <w:sz w:val="24"/>
        </w:rPr>
        <w:t>，即:</w:t>
      </w:r>
      <w:r>
        <w:rPr>
          <w:rStyle w:val="104"/>
          <w:rFonts w:eastAsia="仿宋" w:cs="Calibri"/>
          <w:sz w:val="24"/>
        </w:rPr>
        <w:t>¥</w:t>
      </w:r>
      <w:r>
        <w:rPr>
          <w:rStyle w:val="104"/>
          <w:rFonts w:hint="eastAsia" w:ascii="仿宋" w:hAnsi="仿宋" w:eastAsia="仿宋"/>
          <w:sz w:val="24"/>
        </w:rPr>
        <w:t xml:space="preserve">【 </w:t>
      </w:r>
      <w:r>
        <w:rPr>
          <w:rStyle w:val="104"/>
          <w:rFonts w:ascii="仿宋" w:hAnsi="仿宋" w:eastAsia="仿宋"/>
          <w:sz w:val="24"/>
        </w:rPr>
        <w:t xml:space="preserve">  </w:t>
      </w:r>
      <w:r>
        <w:rPr>
          <w:rStyle w:val="104"/>
          <w:rFonts w:hint="eastAsia" w:ascii="仿宋" w:hAnsi="仿宋" w:eastAsia="仿宋"/>
          <w:sz w:val="24"/>
        </w:rPr>
        <w:t>】</w:t>
      </w:r>
      <w:r>
        <w:rPr>
          <w:rStyle w:val="104"/>
          <w:rFonts w:ascii="仿宋" w:hAnsi="仿宋" w:eastAsia="仿宋"/>
          <w:sz w:val="24"/>
        </w:rPr>
        <w:t>元（人民币大写：</w:t>
      </w:r>
      <w:r>
        <w:rPr>
          <w:rStyle w:val="104"/>
          <w:rFonts w:hint="eastAsia" w:ascii="仿宋" w:hAnsi="仿宋" w:eastAsia="仿宋"/>
          <w:sz w:val="24"/>
        </w:rPr>
        <w:t xml:space="preserve">【 </w:t>
      </w:r>
      <w:r>
        <w:rPr>
          <w:rStyle w:val="104"/>
          <w:rFonts w:ascii="仿宋" w:hAnsi="仿宋" w:eastAsia="仿宋"/>
          <w:sz w:val="24"/>
        </w:rPr>
        <w:t xml:space="preserve">  </w:t>
      </w:r>
      <w:r>
        <w:rPr>
          <w:rStyle w:val="104"/>
          <w:rFonts w:hint="eastAsia" w:ascii="仿宋" w:hAnsi="仿宋" w:eastAsia="仿宋"/>
          <w:sz w:val="24"/>
        </w:rPr>
        <w:t>】</w:t>
      </w:r>
      <w:r>
        <w:rPr>
          <w:rStyle w:val="104"/>
          <w:rFonts w:ascii="仿宋" w:hAnsi="仿宋" w:eastAsia="仿宋"/>
          <w:sz w:val="24"/>
        </w:rPr>
        <w:t>元整）。</w:t>
      </w:r>
    </w:p>
    <w:p>
      <w:pPr>
        <w:pStyle w:val="106"/>
        <w:spacing w:after="0" w:line="360" w:lineRule="exact"/>
        <w:ind w:firstLine="480"/>
        <w:rPr>
          <w:rStyle w:val="104"/>
          <w:rFonts w:ascii="仿宋" w:hAnsi="仿宋" w:eastAsia="仿宋"/>
          <w:sz w:val="24"/>
        </w:rPr>
      </w:pPr>
      <w:r>
        <w:rPr>
          <w:rStyle w:val="104"/>
          <w:rFonts w:ascii="仿宋" w:hAnsi="仿宋" w:eastAsia="仿宋"/>
          <w:sz w:val="24"/>
        </w:rPr>
        <w:t>2.除预付款支付外，乙方向甲方申请支付每笔款项前，应当提供相应的结算资料：</w:t>
      </w:r>
    </w:p>
    <w:p>
      <w:pPr>
        <w:pStyle w:val="106"/>
        <w:spacing w:after="0" w:line="360" w:lineRule="exact"/>
        <w:ind w:firstLine="480"/>
        <w:rPr>
          <w:rStyle w:val="104"/>
          <w:rFonts w:ascii="仿宋" w:hAnsi="仿宋" w:eastAsia="仿宋"/>
          <w:sz w:val="24"/>
        </w:rPr>
      </w:pPr>
      <w:r>
        <w:rPr>
          <w:rStyle w:val="104"/>
          <w:rFonts w:ascii="仿宋" w:hAnsi="仿宋" w:eastAsia="仿宋"/>
          <w:sz w:val="24"/>
        </w:rPr>
        <w:t>(1)支付申请函；</w:t>
      </w:r>
    </w:p>
    <w:p>
      <w:pPr>
        <w:pStyle w:val="106"/>
        <w:spacing w:after="0" w:line="360" w:lineRule="exact"/>
        <w:ind w:firstLine="480"/>
        <w:rPr>
          <w:rStyle w:val="104"/>
          <w:rFonts w:ascii="仿宋" w:hAnsi="仿宋" w:eastAsia="仿宋"/>
          <w:sz w:val="24"/>
        </w:rPr>
      </w:pPr>
      <w:r>
        <w:rPr>
          <w:rStyle w:val="104"/>
          <w:rFonts w:ascii="仿宋" w:hAnsi="仿宋" w:eastAsia="仿宋"/>
          <w:sz w:val="24"/>
        </w:rPr>
        <w:t xml:space="preserve">(2)验收合格的资料； </w:t>
      </w:r>
    </w:p>
    <w:p>
      <w:pPr>
        <w:pStyle w:val="106"/>
        <w:spacing w:after="0" w:line="360" w:lineRule="exact"/>
        <w:ind w:firstLine="480"/>
        <w:rPr>
          <w:rStyle w:val="104"/>
          <w:rFonts w:ascii="仿宋" w:hAnsi="仿宋" w:eastAsia="仿宋"/>
          <w:sz w:val="24"/>
        </w:rPr>
      </w:pPr>
      <w:r>
        <w:rPr>
          <w:rStyle w:val="104"/>
          <w:rFonts w:ascii="仿宋" w:hAnsi="仿宋" w:eastAsia="仿宋"/>
          <w:sz w:val="24"/>
        </w:rPr>
        <w:t>（3）按甲方财务管理要求提供合法有效完整的相应的增值税发票。包括：</w:t>
      </w:r>
    </w:p>
    <w:p>
      <w:pPr>
        <w:pStyle w:val="6"/>
        <w:spacing w:line="360" w:lineRule="exact"/>
        <w:ind w:firstLine="480"/>
        <w:rPr>
          <w:rFonts w:ascii="仿宋" w:hAnsi="仿宋" w:eastAsia="仿宋"/>
          <w:sz w:val="24"/>
        </w:rPr>
      </w:pPr>
      <w:r>
        <w:rPr>
          <w:rFonts w:hint="eastAsia" w:ascii="仿宋" w:hAnsi="仿宋" w:eastAsia="仿宋"/>
          <w:sz w:val="24"/>
        </w:rPr>
        <w:t>开票单位名称：成都市双流区妇幼保健院</w:t>
      </w:r>
    </w:p>
    <w:p>
      <w:pPr>
        <w:pStyle w:val="6"/>
        <w:spacing w:line="360" w:lineRule="exact"/>
        <w:ind w:firstLine="480"/>
        <w:rPr>
          <w:rFonts w:ascii="仿宋" w:hAnsi="仿宋" w:eastAsia="仿宋"/>
          <w:sz w:val="24"/>
        </w:rPr>
      </w:pPr>
      <w:r>
        <w:rPr>
          <w:rFonts w:hint="eastAsia" w:ascii="仿宋" w:hAnsi="仿宋" w:eastAsia="仿宋"/>
          <w:sz w:val="24"/>
        </w:rPr>
        <w:t>纳税人识别号:125101224508116603</w:t>
      </w:r>
    </w:p>
    <w:p>
      <w:pPr>
        <w:pStyle w:val="6"/>
        <w:spacing w:line="360" w:lineRule="exact"/>
        <w:ind w:firstLine="480"/>
        <w:rPr>
          <w:rFonts w:ascii="仿宋" w:hAnsi="仿宋" w:eastAsia="仿宋"/>
          <w:sz w:val="24"/>
        </w:rPr>
      </w:pPr>
      <w:r>
        <w:rPr>
          <w:rFonts w:hint="eastAsia" w:ascii="仿宋" w:hAnsi="仿宋" w:eastAsia="仿宋"/>
          <w:sz w:val="24"/>
        </w:rPr>
        <w:t>开户银行：建设银行双流分行</w:t>
      </w:r>
    </w:p>
    <w:p>
      <w:pPr>
        <w:pStyle w:val="6"/>
        <w:spacing w:line="360" w:lineRule="exact"/>
        <w:ind w:firstLine="480"/>
        <w:rPr>
          <w:rFonts w:ascii="仿宋" w:hAnsi="仿宋" w:eastAsia="仿宋"/>
          <w:sz w:val="24"/>
        </w:rPr>
      </w:pPr>
      <w:r>
        <w:rPr>
          <w:rFonts w:hint="eastAsia" w:ascii="仿宋" w:hAnsi="仿宋" w:eastAsia="仿宋"/>
          <w:sz w:val="24"/>
        </w:rPr>
        <w:t>账号：51050152790800000963</w:t>
      </w:r>
    </w:p>
    <w:p>
      <w:pPr>
        <w:pStyle w:val="6"/>
        <w:spacing w:line="360" w:lineRule="exact"/>
        <w:ind w:firstLine="480"/>
        <w:rPr>
          <w:rFonts w:ascii="仿宋" w:hAnsi="仿宋" w:eastAsia="仿宋"/>
          <w:sz w:val="24"/>
        </w:rPr>
      </w:pPr>
      <w:r>
        <w:rPr>
          <w:rFonts w:hint="eastAsia" w:ascii="仿宋" w:hAnsi="仿宋" w:eastAsia="仿宋"/>
          <w:sz w:val="24"/>
        </w:rPr>
        <w:t>联系地址：成都市双流区涧槽中街396号</w:t>
      </w:r>
    </w:p>
    <w:p>
      <w:pPr>
        <w:spacing w:line="360" w:lineRule="exact"/>
        <w:ind w:firstLine="480" w:firstLineChars="200"/>
        <w:rPr>
          <w:rStyle w:val="104"/>
          <w:rFonts w:ascii="仿宋" w:hAnsi="仿宋" w:eastAsia="仿宋"/>
          <w:sz w:val="24"/>
        </w:rPr>
      </w:pPr>
      <w:r>
        <w:rPr>
          <w:rStyle w:val="104"/>
          <w:rFonts w:ascii="仿宋" w:hAnsi="仿宋" w:eastAsia="仿宋"/>
          <w:sz w:val="24"/>
        </w:rPr>
        <w:t>3.如乙方未按合同约定提供结算资料或增值税发票的，甲方有权拒绝付款且不构成违约。</w:t>
      </w:r>
    </w:p>
    <w:p>
      <w:pPr>
        <w:spacing w:line="360" w:lineRule="exact"/>
        <w:ind w:firstLine="480" w:firstLineChars="200"/>
        <w:rPr>
          <w:rStyle w:val="104"/>
          <w:rFonts w:ascii="仿宋" w:hAnsi="仿宋" w:eastAsia="仿宋"/>
          <w:sz w:val="24"/>
        </w:rPr>
      </w:pPr>
      <w:r>
        <w:rPr>
          <w:rStyle w:val="104"/>
          <w:rFonts w:ascii="仿宋" w:hAnsi="仿宋" w:eastAsia="仿宋"/>
          <w:sz w:val="24"/>
        </w:rPr>
        <w:t>4.甲方通过银行转账的方式支付合同款项，乙方指定收款账户信息如下：</w:t>
      </w:r>
    </w:p>
    <w:p>
      <w:pPr>
        <w:spacing w:line="360" w:lineRule="exact"/>
        <w:ind w:firstLine="480" w:firstLineChars="200"/>
        <w:rPr>
          <w:rStyle w:val="104"/>
          <w:rFonts w:ascii="仿宋" w:hAnsi="仿宋" w:eastAsia="仿宋"/>
          <w:sz w:val="24"/>
        </w:rPr>
      </w:pPr>
      <w:r>
        <w:rPr>
          <w:rStyle w:val="104"/>
          <w:rFonts w:ascii="仿宋" w:hAnsi="仿宋" w:eastAsia="仿宋"/>
          <w:sz w:val="24"/>
        </w:rPr>
        <w:t xml:space="preserve">（1）户名： </w:t>
      </w:r>
    </w:p>
    <w:p>
      <w:pPr>
        <w:spacing w:line="360" w:lineRule="exact"/>
        <w:ind w:firstLine="480" w:firstLineChars="200"/>
        <w:rPr>
          <w:rStyle w:val="104"/>
          <w:rFonts w:ascii="仿宋" w:hAnsi="仿宋" w:eastAsia="仿宋"/>
          <w:sz w:val="24"/>
        </w:rPr>
      </w:pPr>
      <w:r>
        <w:rPr>
          <w:rStyle w:val="104"/>
          <w:rFonts w:ascii="仿宋" w:hAnsi="仿宋" w:eastAsia="仿宋"/>
          <w:sz w:val="24"/>
        </w:rPr>
        <w:t xml:space="preserve">（2）开户行： </w:t>
      </w:r>
    </w:p>
    <w:p>
      <w:pPr>
        <w:pStyle w:val="105"/>
        <w:spacing w:after="0" w:line="360" w:lineRule="exact"/>
        <w:ind w:firstLine="480" w:firstLineChars="200"/>
        <w:rPr>
          <w:rStyle w:val="104"/>
          <w:rFonts w:ascii="仿宋" w:hAnsi="仿宋" w:eastAsia="仿宋"/>
          <w:sz w:val="24"/>
        </w:rPr>
      </w:pPr>
      <w:r>
        <w:rPr>
          <w:rStyle w:val="104"/>
          <w:rFonts w:ascii="仿宋" w:hAnsi="仿宋" w:eastAsia="仿宋"/>
          <w:sz w:val="24"/>
        </w:rPr>
        <w:t>（3）银行账号：</w:t>
      </w:r>
    </w:p>
    <w:p>
      <w:pPr>
        <w:spacing w:line="360" w:lineRule="exact"/>
        <w:ind w:firstLine="480" w:firstLineChars="200"/>
        <w:rPr>
          <w:rStyle w:val="104"/>
          <w:rFonts w:ascii="仿宋" w:hAnsi="仿宋" w:eastAsia="仿宋"/>
          <w:sz w:val="24"/>
        </w:rPr>
      </w:pPr>
      <w:r>
        <w:rPr>
          <w:rStyle w:val="104"/>
          <w:rFonts w:ascii="仿宋" w:hAnsi="仿宋" w:eastAsia="仿宋"/>
          <w:sz w:val="24"/>
        </w:rPr>
        <w:t>5.乙方开具的增值税发票应合法、规范，如乙方因开具的发票不规范、不合法或涉嫌虚开发票引起税务问题的，或传递不及时给甲方造成无法认证、抵扣发票等情形的，乙方需依法向甲方重新开具发票，并承担相应赔偿责任，包括但不限于税款、滞纳金、罚款及相关损失等。</w:t>
      </w: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五、交货时间及地点要求</w:t>
      </w:r>
    </w:p>
    <w:p>
      <w:pPr>
        <w:pStyle w:val="106"/>
        <w:spacing w:after="0" w:line="360" w:lineRule="exact"/>
        <w:ind w:firstLine="480"/>
        <w:rPr>
          <w:rStyle w:val="104"/>
          <w:rFonts w:ascii="仿宋" w:hAnsi="仿宋" w:eastAsia="仿宋"/>
          <w:sz w:val="24"/>
        </w:rPr>
      </w:pPr>
      <w:r>
        <w:rPr>
          <w:rStyle w:val="104"/>
          <w:rFonts w:ascii="仿宋" w:hAnsi="仿宋" w:eastAsia="仿宋"/>
          <w:sz w:val="24"/>
        </w:rPr>
        <w:t>1.交货时间：按医院要求供货</w:t>
      </w:r>
    </w:p>
    <w:p>
      <w:pPr>
        <w:pStyle w:val="106"/>
        <w:spacing w:after="0" w:line="360" w:lineRule="exact"/>
        <w:ind w:firstLine="480"/>
        <w:rPr>
          <w:rStyle w:val="104"/>
          <w:rFonts w:ascii="仿宋" w:hAnsi="仿宋" w:eastAsia="仿宋"/>
          <w:sz w:val="24"/>
        </w:rPr>
      </w:pPr>
      <w:r>
        <w:rPr>
          <w:rStyle w:val="104"/>
          <w:rFonts w:ascii="仿宋" w:hAnsi="仿宋" w:eastAsia="仿宋"/>
          <w:sz w:val="24"/>
        </w:rPr>
        <w:t>2.交货地点：成都市双流区妇幼保健院指定地点。</w:t>
      </w:r>
    </w:p>
    <w:p>
      <w:pPr>
        <w:pStyle w:val="106"/>
        <w:spacing w:after="0" w:line="360" w:lineRule="exact"/>
        <w:ind w:firstLine="480"/>
        <w:rPr>
          <w:rStyle w:val="104"/>
          <w:rFonts w:ascii="仿宋" w:hAnsi="仿宋" w:eastAsia="仿宋"/>
          <w:sz w:val="24"/>
        </w:rPr>
      </w:pPr>
      <w:r>
        <w:rPr>
          <w:rStyle w:val="104"/>
          <w:rFonts w:ascii="仿宋" w:hAnsi="仿宋" w:eastAsia="仿宋"/>
          <w:sz w:val="24"/>
        </w:rPr>
        <w:t>3.交货方式：送货上门并卸货至指定地点，乙方对卸货过程中货物的安全、完好性负责。</w:t>
      </w:r>
    </w:p>
    <w:p>
      <w:pPr>
        <w:pStyle w:val="106"/>
        <w:spacing w:after="0" w:line="360" w:lineRule="exact"/>
        <w:ind w:firstLine="480"/>
        <w:rPr>
          <w:rStyle w:val="104"/>
          <w:rFonts w:ascii="仿宋" w:hAnsi="仿宋" w:eastAsia="仿宋"/>
          <w:sz w:val="24"/>
        </w:rPr>
      </w:pPr>
      <w:r>
        <w:rPr>
          <w:rStyle w:val="104"/>
          <w:rFonts w:hint="eastAsia" w:ascii="仿宋" w:hAnsi="仿宋" w:eastAsia="仿宋"/>
          <w:sz w:val="24"/>
        </w:rPr>
        <w:t>4.交付设备生产日期：交货日前【180】日内。</w:t>
      </w: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六、质量要求</w:t>
      </w:r>
    </w:p>
    <w:p>
      <w:pPr>
        <w:pStyle w:val="106"/>
        <w:spacing w:after="0" w:line="360" w:lineRule="exact"/>
        <w:ind w:firstLine="480"/>
        <w:rPr>
          <w:rStyle w:val="104"/>
          <w:rFonts w:ascii="仿宋" w:hAnsi="仿宋" w:eastAsia="仿宋"/>
          <w:sz w:val="24"/>
        </w:rPr>
      </w:pPr>
      <w:r>
        <w:rPr>
          <w:rStyle w:val="104"/>
          <w:rFonts w:ascii="仿宋" w:hAnsi="仿宋" w:eastAsia="仿宋"/>
          <w:sz w:val="24"/>
        </w:rPr>
        <w:t>1.乙方保证所提供的设备的质量标准应当符合国家标准和行业标准，没有国家标准和行业标准的，按照通常标准或者符合合同目的的特定标准确定。</w:t>
      </w:r>
    </w:p>
    <w:p>
      <w:pPr>
        <w:pStyle w:val="106"/>
        <w:spacing w:after="0" w:line="360" w:lineRule="exact"/>
        <w:ind w:firstLine="480"/>
        <w:rPr>
          <w:rStyle w:val="104"/>
          <w:rFonts w:ascii="仿宋" w:hAnsi="仿宋" w:eastAsia="仿宋"/>
          <w:sz w:val="24"/>
        </w:rPr>
      </w:pPr>
      <w:r>
        <w:rPr>
          <w:rStyle w:val="104"/>
          <w:rFonts w:ascii="仿宋" w:hAnsi="仿宋" w:eastAsia="仿宋"/>
          <w:sz w:val="24"/>
        </w:rPr>
        <w:t>2.乙方应保证所提供的设备（含零部件、配件等）是全新的、完整的，技术水平是先进的、成熟的，且符合本合同的要求的，质量是优良的，并符合安全可靠、经济运行和易于维护的要求。</w:t>
      </w:r>
    </w:p>
    <w:p>
      <w:pPr>
        <w:pStyle w:val="106"/>
        <w:spacing w:after="0" w:line="360" w:lineRule="exact"/>
        <w:ind w:firstLine="480"/>
        <w:rPr>
          <w:rStyle w:val="104"/>
          <w:rFonts w:ascii="仿宋" w:hAnsi="仿宋" w:eastAsia="仿宋"/>
          <w:sz w:val="24"/>
        </w:rPr>
      </w:pPr>
      <w:r>
        <w:rPr>
          <w:rStyle w:val="104"/>
          <w:rFonts w:ascii="仿宋" w:hAnsi="仿宋" w:eastAsia="仿宋"/>
          <w:sz w:val="24"/>
        </w:rPr>
        <w:t>3.乙方应保证所提供设备的数量、质量、型号及技术性能等完全满足合同文件的约定。</w:t>
      </w:r>
    </w:p>
    <w:p>
      <w:pPr>
        <w:pStyle w:val="106"/>
        <w:spacing w:after="0" w:line="360" w:lineRule="exact"/>
        <w:ind w:firstLine="480"/>
        <w:rPr>
          <w:rStyle w:val="104"/>
          <w:rFonts w:ascii="仿宋" w:hAnsi="仿宋" w:eastAsia="仿宋"/>
          <w:sz w:val="24"/>
        </w:rPr>
      </w:pPr>
      <w:r>
        <w:rPr>
          <w:rStyle w:val="104"/>
          <w:rFonts w:ascii="仿宋" w:hAnsi="仿宋" w:eastAsia="仿宋"/>
          <w:sz w:val="24"/>
        </w:rPr>
        <w:t>4.如因乙方提供的设备质量等非甲方原因导致甲方、患者及他人人身损害、财产损失的，乙方应当承担全部赔偿责任。如甲方因此而承担赔偿责任的，有权向乙方全额追偿。</w:t>
      </w:r>
    </w:p>
    <w:p>
      <w:pPr>
        <w:pStyle w:val="106"/>
        <w:spacing w:after="0" w:line="360" w:lineRule="exact"/>
        <w:ind w:firstLine="480"/>
        <w:rPr>
          <w:rStyle w:val="104"/>
          <w:rFonts w:ascii="仿宋" w:hAnsi="仿宋" w:eastAsia="仿宋"/>
          <w:sz w:val="24"/>
        </w:rPr>
      </w:pPr>
      <w:r>
        <w:rPr>
          <w:rStyle w:val="104"/>
          <w:rFonts w:ascii="仿宋" w:hAnsi="仿宋" w:eastAsia="仿宋"/>
          <w:sz w:val="24"/>
        </w:rPr>
        <w:t>5.未经甲方书面同意，乙方不得采用任何不同于本合同规定的采购设备。如确需采用代用品（升级产品）时，则乙方应向甲方提出完整齐全的代用申请（其中应报告完整的代用品或升级产品清单、代用品或升级产品的全套技术资料、代用品或升级产品的比较说明资料、代用品或升级产品采用涉及的费用变化说明、代用品或升级产品的质量及性能符合合同要求的证明资料等），经甲方审查认可后才可允许乙方代用。除非替代指示由甲方主动提出，因采用代用品（升级产品）所增加的有关费用和造成的一切责任均由乙方承担。</w:t>
      </w: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七、质量瑕疵、知识产权瑕疵的补救措施和索赔</w:t>
      </w:r>
    </w:p>
    <w:p>
      <w:pPr>
        <w:pStyle w:val="106"/>
        <w:spacing w:after="0" w:line="360" w:lineRule="exact"/>
        <w:ind w:firstLine="480"/>
        <w:rPr>
          <w:rStyle w:val="104"/>
          <w:rFonts w:ascii="仿宋" w:hAnsi="仿宋" w:eastAsia="仿宋"/>
          <w:sz w:val="24"/>
        </w:rPr>
      </w:pPr>
      <w:r>
        <w:rPr>
          <w:rStyle w:val="104"/>
          <w:rFonts w:ascii="仿宋" w:hAnsi="仿宋" w:eastAsia="仿宋"/>
          <w:sz w:val="24"/>
        </w:rPr>
        <w:t>1.甲方保留将到货设备送至具备检测资质的第三方检测机构进行抽检的权利。必要时，甲方将到货设备送至具备检测资质的第三方检测机构进行抽检。如抽检结果全部合格，则由甲方承担相关送检费用。如抽检不合格的，则由乙方承担相关送检费用并负责免费退换不合格设备，同时甲方将有权向乙方收取与不合格设备同等金额的违约金。如因使用乙方提供的不符合质量标准或者存在产品质量缺陷的设备造成损失的，甲方有权向乙方提出索赔。</w:t>
      </w:r>
    </w:p>
    <w:p>
      <w:pPr>
        <w:pStyle w:val="106"/>
        <w:spacing w:after="0" w:line="360" w:lineRule="exact"/>
        <w:ind w:firstLine="480"/>
        <w:rPr>
          <w:rStyle w:val="104"/>
          <w:rFonts w:ascii="仿宋" w:hAnsi="仿宋" w:eastAsia="仿宋"/>
          <w:sz w:val="24"/>
        </w:rPr>
      </w:pPr>
      <w:r>
        <w:rPr>
          <w:rStyle w:val="104"/>
          <w:rFonts w:ascii="仿宋" w:hAnsi="仿宋" w:eastAsia="仿宋"/>
          <w:sz w:val="24"/>
        </w:rPr>
        <w:t>2.因供应设备品牌、规格型号、技术参数不满足本合同要求或者质量不合格时，乙方应负责免费换货或退货，同时甲方将有权向乙方收取与不满足要求或（和）不合格设备同等金额的违约金。</w:t>
      </w:r>
    </w:p>
    <w:p>
      <w:pPr>
        <w:pStyle w:val="106"/>
        <w:spacing w:after="0" w:line="360" w:lineRule="exact"/>
        <w:ind w:firstLine="480"/>
        <w:rPr>
          <w:rStyle w:val="104"/>
          <w:rFonts w:ascii="仿宋" w:hAnsi="仿宋" w:eastAsia="仿宋"/>
          <w:sz w:val="24"/>
        </w:rPr>
      </w:pPr>
      <w:r>
        <w:rPr>
          <w:rStyle w:val="104"/>
          <w:rFonts w:ascii="仿宋" w:hAnsi="仿宋" w:eastAsia="仿宋"/>
          <w:sz w:val="24"/>
        </w:rPr>
        <w:t>3.乙方保证甲方在使用了其产品、服务及其任何部分而不受到第三方关于侵犯专利权、商标权、代理销售权或其他工业产权和知识产权的指控。任何第三方如果提出侵权指控时，乙方须与第三方交涉并承担可能发生的一切法律上和经济上的责任。甲方因处理该等纠纷发生的费用（包括对但不限于诉讼费、律师费、差旅费等）和遭受的损失（包括但不限于向权利人支付的赔偿费用、产品无法使用造成的损失等），均由乙方承担。</w:t>
      </w: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八、采购设备验收</w:t>
      </w:r>
    </w:p>
    <w:p>
      <w:pPr>
        <w:pStyle w:val="106"/>
        <w:spacing w:after="0" w:line="360" w:lineRule="exact"/>
        <w:ind w:firstLine="480"/>
        <w:rPr>
          <w:rStyle w:val="104"/>
          <w:rFonts w:ascii="仿宋" w:hAnsi="仿宋" w:eastAsia="仿宋"/>
          <w:sz w:val="24"/>
        </w:rPr>
      </w:pPr>
      <w:r>
        <w:rPr>
          <w:rStyle w:val="104"/>
          <w:rFonts w:ascii="仿宋" w:hAnsi="仿宋" w:eastAsia="仿宋"/>
          <w:sz w:val="24"/>
        </w:rPr>
        <w:t>1.乙方将采购设备运输至甲方指定地点后，通知甲方组织乙方共同进行开箱验收（包括对设备的包装、外观、数量、规格、质量等的检验）并作详细记录。开箱检验结果和记录应当由合同双方指定代表（需持书面授权委托书）或本合同签字盖章处指定联系人签字确认，并双方持一份。如乙方未按时指派代表或乙方指定联系人未按时参加开箱检验，甲方有权自行开箱检验，检验结果和记录有效，对双方均具有约束力，且乙方应在其检验结果记录上补签字。</w:t>
      </w:r>
    </w:p>
    <w:p>
      <w:pPr>
        <w:pStyle w:val="106"/>
        <w:spacing w:after="0" w:line="360" w:lineRule="exact"/>
        <w:ind w:firstLine="480"/>
        <w:rPr>
          <w:rStyle w:val="104"/>
          <w:rFonts w:ascii="仿宋" w:hAnsi="仿宋" w:eastAsia="仿宋"/>
          <w:sz w:val="24"/>
        </w:rPr>
      </w:pPr>
      <w:r>
        <w:rPr>
          <w:rStyle w:val="104"/>
          <w:rFonts w:ascii="仿宋" w:hAnsi="仿宋" w:eastAsia="仿宋"/>
          <w:sz w:val="24"/>
        </w:rPr>
        <w:t>2.在现场开箱检验时，如发现合同采购设备有任何缺陷、短缺或不符合合同约定时，均应由乙方立即修理、更换或补齐。除属于甲方原因引起的修理或更换费用应由甲方承担外，其他任何原因引起的修理或更换等一切费用均由乙方承担。对于不符合合同约定的任何设备，甲方有权拒收，由此给甲方所造成的全部经济损失均由乙方负责赔偿。</w:t>
      </w:r>
    </w:p>
    <w:p>
      <w:pPr>
        <w:pStyle w:val="106"/>
        <w:spacing w:after="0" w:line="360" w:lineRule="exact"/>
        <w:ind w:firstLine="480"/>
        <w:rPr>
          <w:rStyle w:val="104"/>
          <w:rFonts w:ascii="仿宋" w:hAnsi="仿宋" w:eastAsia="仿宋"/>
          <w:sz w:val="24"/>
        </w:rPr>
      </w:pPr>
      <w:r>
        <w:rPr>
          <w:rStyle w:val="104"/>
          <w:rFonts w:ascii="仿宋" w:hAnsi="仿宋" w:eastAsia="仿宋"/>
          <w:sz w:val="24"/>
        </w:rPr>
        <w:t>3.乙方应当于采购设备经甲方开箱验收后</w:t>
      </w:r>
      <w:r>
        <w:rPr>
          <w:rStyle w:val="104"/>
          <w:rFonts w:ascii="仿宋" w:hAnsi="仿宋" w:eastAsia="仿宋"/>
          <w:sz w:val="24"/>
          <w:u w:val="single"/>
        </w:rPr>
        <w:t xml:space="preserve">  7 </w:t>
      </w:r>
      <w:r>
        <w:rPr>
          <w:rStyle w:val="104"/>
          <w:rFonts w:ascii="仿宋" w:hAnsi="仿宋" w:eastAsia="仿宋"/>
          <w:sz w:val="24"/>
        </w:rPr>
        <w:t>日内完成采购设备的安装调试（如需）。</w:t>
      </w:r>
    </w:p>
    <w:p>
      <w:pPr>
        <w:pStyle w:val="106"/>
        <w:spacing w:after="0" w:line="360" w:lineRule="exact"/>
        <w:ind w:firstLine="480"/>
        <w:rPr>
          <w:rStyle w:val="104"/>
          <w:rFonts w:ascii="仿宋" w:hAnsi="仿宋" w:eastAsia="仿宋"/>
          <w:sz w:val="24"/>
        </w:rPr>
      </w:pPr>
      <w:r>
        <w:rPr>
          <w:rStyle w:val="104"/>
          <w:rFonts w:ascii="仿宋" w:hAnsi="仿宋" w:eastAsia="仿宋"/>
          <w:sz w:val="24"/>
        </w:rPr>
        <w:t>4.乙方于采购设备安装调试完毕后</w:t>
      </w:r>
      <w:r>
        <w:rPr>
          <w:rStyle w:val="104"/>
          <w:rFonts w:ascii="仿宋" w:hAnsi="仿宋" w:eastAsia="仿宋"/>
          <w:sz w:val="24"/>
          <w:u w:val="single"/>
        </w:rPr>
        <w:t xml:space="preserve">  7 </w:t>
      </w:r>
      <w:r>
        <w:rPr>
          <w:rStyle w:val="104"/>
          <w:rFonts w:ascii="仿宋" w:hAnsi="仿宋" w:eastAsia="仿宋"/>
          <w:sz w:val="24"/>
        </w:rPr>
        <w:t>日内通知甲方初步验收。</w:t>
      </w:r>
    </w:p>
    <w:p>
      <w:pPr>
        <w:pStyle w:val="106"/>
        <w:spacing w:after="0" w:line="360" w:lineRule="exact"/>
        <w:ind w:firstLine="480"/>
        <w:rPr>
          <w:rStyle w:val="104"/>
          <w:rFonts w:ascii="仿宋" w:hAnsi="仿宋" w:eastAsia="仿宋"/>
          <w:sz w:val="24"/>
        </w:rPr>
      </w:pPr>
      <w:r>
        <w:rPr>
          <w:rStyle w:val="104"/>
          <w:rFonts w:ascii="仿宋" w:hAnsi="仿宋" w:eastAsia="仿宋"/>
          <w:sz w:val="24"/>
        </w:rPr>
        <w:t>5.初步验收合格且培训后，进入</w:t>
      </w:r>
      <w:r>
        <w:rPr>
          <w:rStyle w:val="104"/>
          <w:rFonts w:ascii="仿宋" w:hAnsi="仿宋" w:eastAsia="仿宋"/>
          <w:sz w:val="24"/>
          <w:u w:val="single"/>
        </w:rPr>
        <w:t xml:space="preserve">  </w:t>
      </w:r>
      <w:r>
        <w:rPr>
          <w:rStyle w:val="104"/>
          <w:rFonts w:hint="eastAsia" w:ascii="仿宋" w:hAnsi="仿宋" w:eastAsia="仿宋"/>
          <w:sz w:val="24"/>
          <w:u w:val="single"/>
        </w:rPr>
        <w:t>90</w:t>
      </w:r>
      <w:r>
        <w:rPr>
          <w:rStyle w:val="104"/>
          <w:rFonts w:ascii="仿宋" w:hAnsi="仿宋" w:eastAsia="仿宋"/>
          <w:sz w:val="24"/>
          <w:u w:val="single"/>
        </w:rPr>
        <w:t xml:space="preserve">  </w:t>
      </w:r>
      <w:r>
        <w:rPr>
          <w:rStyle w:val="104"/>
          <w:rFonts w:ascii="仿宋" w:hAnsi="仿宋" w:eastAsia="仿宋"/>
          <w:sz w:val="24"/>
        </w:rPr>
        <w:t>天试用期；试用期间发生一般质量问题经维修1次后仍不能正常使用的或发现重大质量问题的，乙方应免费更换新机，同时试用期相应顺延；试用期结束后 15 日内完成最终验收。</w:t>
      </w:r>
    </w:p>
    <w:p>
      <w:pPr>
        <w:pStyle w:val="106"/>
        <w:spacing w:after="0" w:line="360" w:lineRule="exact"/>
        <w:ind w:firstLine="480"/>
        <w:rPr>
          <w:rStyle w:val="104"/>
          <w:rFonts w:ascii="仿宋" w:hAnsi="仿宋" w:eastAsia="仿宋"/>
          <w:sz w:val="24"/>
        </w:rPr>
      </w:pPr>
      <w:r>
        <w:rPr>
          <w:rStyle w:val="104"/>
          <w:rFonts w:ascii="仿宋" w:hAnsi="仿宋" w:eastAsia="仿宋"/>
          <w:sz w:val="24"/>
        </w:rPr>
        <w:t>6.甲方于收到乙方书面验收通知后</w:t>
      </w:r>
      <w:r>
        <w:rPr>
          <w:rStyle w:val="104"/>
          <w:rFonts w:ascii="仿宋" w:hAnsi="仿宋" w:eastAsia="仿宋"/>
          <w:sz w:val="24"/>
          <w:u w:val="single"/>
        </w:rPr>
        <w:t xml:space="preserve"> 7 </w:t>
      </w:r>
      <w:r>
        <w:rPr>
          <w:rStyle w:val="104"/>
          <w:rFonts w:ascii="仿宋" w:hAnsi="仿宋" w:eastAsia="仿宋"/>
          <w:sz w:val="24"/>
        </w:rPr>
        <w:t>个工作日内组织验收。如非因乙方原因导致甲方未在前述期限内进行验收的，视为相应的验收阶段验收合格，如乙方怠于通知的，除外。</w:t>
      </w:r>
    </w:p>
    <w:p>
      <w:pPr>
        <w:pStyle w:val="106"/>
        <w:spacing w:after="0" w:line="360" w:lineRule="exact"/>
        <w:ind w:firstLine="480"/>
        <w:rPr>
          <w:rStyle w:val="104"/>
          <w:rFonts w:ascii="仿宋" w:hAnsi="仿宋" w:eastAsia="仿宋"/>
          <w:sz w:val="24"/>
        </w:rPr>
      </w:pPr>
      <w:r>
        <w:rPr>
          <w:rStyle w:val="104"/>
          <w:rFonts w:ascii="仿宋" w:hAnsi="仿宋" w:eastAsia="仿宋"/>
          <w:sz w:val="24"/>
        </w:rPr>
        <w:t>7.验收标准：按国家及行业有关法律法规规定以及招标文件的质量要求和技术指标、投标响应文件及承诺与本合同约定标准进行验收。</w:t>
      </w:r>
    </w:p>
    <w:p>
      <w:pPr>
        <w:pStyle w:val="106"/>
        <w:spacing w:after="0" w:line="360" w:lineRule="exact"/>
        <w:ind w:firstLine="480"/>
        <w:rPr>
          <w:rStyle w:val="104"/>
          <w:rFonts w:ascii="仿宋" w:hAnsi="仿宋" w:eastAsia="仿宋"/>
          <w:sz w:val="24"/>
        </w:rPr>
      </w:pPr>
      <w:r>
        <w:rPr>
          <w:rStyle w:val="104"/>
          <w:rFonts w:ascii="仿宋" w:hAnsi="仿宋" w:eastAsia="仿宋"/>
          <w:sz w:val="24"/>
        </w:rPr>
        <w:t>8.验收资料移交：乙方应将所提供设备的装箱清单、配件、随机工具、用户使用手册、原厂保修卡等资料交付给甲方；乙方不能完整交付采购设备及本款规定的单证和工具的，必须负责补齐，否则视为乙方未能如期交货，甲方有权追究乙方逾期交货的违约责任，且甲方有权拒绝支付全部款项。</w:t>
      </w:r>
    </w:p>
    <w:p>
      <w:pPr>
        <w:pStyle w:val="106"/>
        <w:spacing w:after="0" w:line="360" w:lineRule="exact"/>
        <w:ind w:firstLine="480"/>
        <w:rPr>
          <w:rStyle w:val="104"/>
          <w:rFonts w:ascii="仿宋" w:hAnsi="仿宋" w:eastAsia="仿宋"/>
          <w:sz w:val="24"/>
        </w:rPr>
      </w:pPr>
      <w:r>
        <w:rPr>
          <w:rStyle w:val="104"/>
          <w:rFonts w:ascii="仿宋" w:hAnsi="仿宋" w:eastAsia="仿宋"/>
          <w:sz w:val="24"/>
        </w:rPr>
        <w:t>9.验收时如发现所交付的采购设备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06"/>
        <w:spacing w:after="0" w:line="360" w:lineRule="exact"/>
        <w:ind w:firstLine="480"/>
        <w:rPr>
          <w:rStyle w:val="104"/>
          <w:rFonts w:ascii="仿宋" w:hAnsi="仿宋" w:eastAsia="仿宋"/>
          <w:sz w:val="24"/>
        </w:rPr>
      </w:pPr>
      <w:r>
        <w:rPr>
          <w:rStyle w:val="104"/>
          <w:rFonts w:ascii="仿宋" w:hAnsi="仿宋" w:eastAsia="仿宋"/>
          <w:sz w:val="24"/>
        </w:rPr>
        <w:t>10.如采购设备验收合格的，由双方各自指派指定代表（需持书面授权委托书）或本合同签字盖章处指定联系人签署最终验收报告。同时，甲方保留将到货采购设备送至具备检测资质的第三方检测机构进行抽检的权利。</w:t>
      </w:r>
    </w:p>
    <w:p>
      <w:pPr>
        <w:pStyle w:val="106"/>
        <w:spacing w:after="0" w:line="360" w:lineRule="exact"/>
        <w:ind w:firstLine="480"/>
        <w:rPr>
          <w:rStyle w:val="104"/>
          <w:rFonts w:ascii="仿宋" w:hAnsi="仿宋" w:eastAsia="仿宋"/>
          <w:sz w:val="24"/>
        </w:rPr>
      </w:pPr>
      <w:r>
        <w:rPr>
          <w:rStyle w:val="104"/>
          <w:rFonts w:ascii="仿宋" w:hAnsi="仿宋" w:eastAsia="仿宋"/>
          <w:sz w:val="24"/>
        </w:rPr>
        <w:t>11.其他未尽事宜应</w:t>
      </w:r>
      <w:r>
        <w:rPr>
          <w:rStyle w:val="104"/>
          <w:rFonts w:hint="eastAsia" w:ascii="仿宋" w:hAnsi="仿宋" w:eastAsia="仿宋"/>
          <w:sz w:val="24"/>
        </w:rPr>
        <w:t>严格按照《财政部关于进一步加强政府采购需求和履约验收管理的指导意见》（财库〔2016〕205号）等政府采购相关法律法规的要求进行验收。</w:t>
      </w: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九、质保服务</w:t>
      </w:r>
    </w:p>
    <w:p>
      <w:pPr>
        <w:pStyle w:val="106"/>
        <w:spacing w:after="0" w:line="360" w:lineRule="exact"/>
        <w:ind w:firstLine="480"/>
        <w:rPr>
          <w:rStyle w:val="104"/>
          <w:rFonts w:ascii="仿宋" w:hAnsi="仿宋" w:eastAsia="仿宋"/>
          <w:sz w:val="24"/>
        </w:rPr>
      </w:pPr>
      <w:r>
        <w:rPr>
          <w:rStyle w:val="104"/>
          <w:rFonts w:ascii="仿宋" w:hAnsi="仿宋" w:eastAsia="仿宋"/>
          <w:sz w:val="24"/>
        </w:rPr>
        <w:t>1.本合同项下采购设备免费保修期为</w:t>
      </w:r>
      <w:r>
        <w:rPr>
          <w:rStyle w:val="104"/>
          <w:rFonts w:ascii="仿宋" w:hAnsi="仿宋" w:eastAsia="仿宋"/>
          <w:sz w:val="24"/>
          <w:u w:val="single"/>
        </w:rPr>
        <w:t xml:space="preserve">    </w:t>
      </w:r>
      <w:r>
        <w:rPr>
          <w:rStyle w:val="104"/>
          <w:rFonts w:ascii="仿宋" w:hAnsi="仿宋" w:eastAsia="仿宋"/>
          <w:sz w:val="24"/>
        </w:rPr>
        <w:t>年</w:t>
      </w:r>
      <w:r>
        <w:rPr>
          <w:rStyle w:val="104"/>
          <w:rFonts w:hint="eastAsia" w:ascii="仿宋" w:hAnsi="仿宋" w:eastAsia="仿宋"/>
          <w:sz w:val="24"/>
        </w:rPr>
        <w:t>（如项目技术需求和乙方承诺长于该期限的，以最长的期限确定免费保修期）</w:t>
      </w:r>
      <w:r>
        <w:rPr>
          <w:rStyle w:val="104"/>
          <w:rFonts w:ascii="仿宋" w:hAnsi="仿宋" w:eastAsia="仿宋"/>
          <w:sz w:val="24"/>
        </w:rPr>
        <w:t>，自采购设备最终验收且双方代表签署最终验收报告之日起开始计算。</w:t>
      </w:r>
    </w:p>
    <w:p>
      <w:pPr>
        <w:pStyle w:val="106"/>
        <w:spacing w:after="0" w:line="360" w:lineRule="exact"/>
        <w:ind w:firstLine="480"/>
        <w:rPr>
          <w:rStyle w:val="104"/>
          <w:rFonts w:ascii="仿宋" w:hAnsi="仿宋" w:eastAsia="仿宋"/>
          <w:sz w:val="24"/>
        </w:rPr>
      </w:pPr>
      <w:r>
        <w:rPr>
          <w:rStyle w:val="104"/>
          <w:rFonts w:ascii="仿宋" w:hAnsi="仿宋" w:eastAsia="仿宋"/>
          <w:sz w:val="24"/>
        </w:rPr>
        <w:t>2.免费保修期内乙方应免费负责采购设备维修及抢修，且不能以差旅、住宿等理由要求甲方支付其他任何费用。乙方接到甲方维修通知后，须</w:t>
      </w:r>
      <w:r>
        <w:rPr>
          <w:rStyle w:val="104"/>
          <w:rFonts w:ascii="仿宋" w:hAnsi="仿宋" w:eastAsia="仿宋"/>
          <w:color w:val="FF0000"/>
          <w:sz w:val="24"/>
        </w:rPr>
        <w:t>2</w:t>
      </w:r>
      <w:r>
        <w:rPr>
          <w:rStyle w:val="104"/>
          <w:rFonts w:ascii="仿宋" w:hAnsi="仿宋" w:eastAsia="仿宋"/>
          <w:sz w:val="24"/>
        </w:rPr>
        <w:t>个小时内响应，在 4小时内到现场，对设备进行维修或更换并承担修理调换的费用，如因特殊原因导致不能现场完成维修或更换的，乙方最迟应于</w:t>
      </w:r>
      <w:r>
        <w:rPr>
          <w:rStyle w:val="104"/>
          <w:rFonts w:ascii="仿宋" w:hAnsi="仿宋" w:eastAsia="仿宋"/>
          <w:sz w:val="24"/>
          <w:u w:val="single"/>
        </w:rPr>
        <w:t xml:space="preserve"> 2 </w:t>
      </w:r>
      <w:r>
        <w:rPr>
          <w:rStyle w:val="104"/>
          <w:rFonts w:ascii="仿宋" w:hAnsi="仿宋" w:eastAsia="仿宋"/>
          <w:sz w:val="24"/>
        </w:rPr>
        <w:t>个工作日内完成维修或更换。如乙方未在前述期限内到场或未在前述期限内完成维修或更换的，采购人有权另行委托任何第三方进行维修或更换，由此产生的费用均由乙方承担。</w:t>
      </w:r>
    </w:p>
    <w:p>
      <w:pPr>
        <w:pStyle w:val="106"/>
        <w:spacing w:after="0" w:line="360" w:lineRule="exact"/>
        <w:ind w:firstLine="480"/>
        <w:rPr>
          <w:rStyle w:val="104"/>
          <w:rFonts w:ascii="仿宋" w:hAnsi="仿宋" w:eastAsia="仿宋"/>
          <w:sz w:val="24"/>
        </w:rPr>
      </w:pPr>
      <w:r>
        <w:rPr>
          <w:rStyle w:val="104"/>
          <w:rFonts w:ascii="仿宋" w:hAnsi="仿宋" w:eastAsia="仿宋"/>
          <w:sz w:val="24"/>
        </w:rPr>
        <w:t>3.在免费保修期内，如采购设备经</w:t>
      </w:r>
      <w:r>
        <w:rPr>
          <w:rStyle w:val="104"/>
          <w:rFonts w:ascii="仿宋" w:hAnsi="仿宋" w:eastAsia="仿宋"/>
          <w:sz w:val="24"/>
          <w:u w:val="single"/>
        </w:rPr>
        <w:t xml:space="preserve"> 3 </w:t>
      </w:r>
      <w:r>
        <w:rPr>
          <w:rStyle w:val="104"/>
          <w:rFonts w:ascii="仿宋" w:hAnsi="仿宋" w:eastAsia="仿宋"/>
          <w:sz w:val="24"/>
        </w:rPr>
        <w:t>次维修仍不能达到本合同约定的质量标准，则甲方有权要求乙方免费更换新机或退货，并有权要求乙方支付应退换的采购设备同等金额的违约金。</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4.免费保修期满后，若设备出现故障且甲方委托乙方维修的，乙方将无条件负责维修好设备且只收取更换零配件费用。</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5.涉及到软件需要升级的设备，乙方需终身免费升级，甲方不再另行支付费用。</w:t>
      </w:r>
    </w:p>
    <w:p>
      <w:pPr>
        <w:pStyle w:val="108"/>
        <w:spacing w:after="0" w:line="360" w:lineRule="exact"/>
        <w:ind w:firstLine="420"/>
        <w:rPr>
          <w:rStyle w:val="104"/>
          <w:rFonts w:ascii="仿宋" w:hAnsi="仿宋" w:eastAsia="仿宋"/>
        </w:rPr>
      </w:pPr>
      <w:r>
        <w:rPr>
          <w:rStyle w:val="104"/>
          <w:rFonts w:ascii="仿宋" w:hAnsi="仿宋" w:eastAsia="仿宋"/>
        </w:rPr>
        <w:t>6.乙方须指派专人负责与甲方联系</w:t>
      </w:r>
      <w:r>
        <w:rPr>
          <w:rStyle w:val="104"/>
          <w:rFonts w:hint="eastAsia" w:ascii="仿宋" w:hAnsi="仿宋" w:eastAsia="仿宋"/>
        </w:rPr>
        <w:t>免费质保及售后</w:t>
      </w:r>
      <w:r>
        <w:rPr>
          <w:rStyle w:val="104"/>
          <w:rFonts w:ascii="仿宋" w:hAnsi="仿宋" w:eastAsia="仿宋"/>
        </w:rPr>
        <w:t>服务事宜。乙方指定售后联系人姓名：</w:t>
      </w:r>
      <w:r>
        <w:rPr>
          <w:rStyle w:val="104"/>
          <w:rFonts w:ascii="仿宋" w:hAnsi="仿宋" w:eastAsia="仿宋"/>
          <w:u w:val="single"/>
        </w:rPr>
        <w:t xml:space="preserve">    </w:t>
      </w:r>
      <w:r>
        <w:rPr>
          <w:rStyle w:val="104"/>
          <w:rFonts w:ascii="仿宋" w:hAnsi="仿宋" w:eastAsia="仿宋"/>
        </w:rPr>
        <w:t>（公民身份证号码:</w:t>
      </w:r>
      <w:r>
        <w:rPr>
          <w:rStyle w:val="104"/>
          <w:rFonts w:ascii="仿宋" w:hAnsi="仿宋" w:eastAsia="仿宋"/>
          <w:u w:val="single"/>
        </w:rPr>
        <w:t xml:space="preserve">          </w:t>
      </w:r>
      <w:r>
        <w:rPr>
          <w:rStyle w:val="104"/>
          <w:rFonts w:ascii="仿宋" w:hAnsi="仿宋" w:eastAsia="仿宋"/>
        </w:rPr>
        <w:t>）,手机号码：</w:t>
      </w:r>
      <w:r>
        <w:rPr>
          <w:rStyle w:val="104"/>
          <w:rFonts w:ascii="仿宋" w:hAnsi="仿宋" w:eastAsia="仿宋"/>
          <w:u w:val="single"/>
        </w:rPr>
        <w:t xml:space="preserve">            </w:t>
      </w:r>
      <w:r>
        <w:rPr>
          <w:rStyle w:val="104"/>
          <w:rFonts w:ascii="仿宋" w:hAnsi="仿宋" w:eastAsia="仿宋"/>
        </w:rPr>
        <w:t>，微信号码：</w:t>
      </w:r>
      <w:r>
        <w:rPr>
          <w:rStyle w:val="104"/>
          <w:rFonts w:ascii="仿宋" w:hAnsi="仿宋" w:eastAsia="仿宋"/>
          <w:u w:val="single"/>
        </w:rPr>
        <w:t xml:space="preserve">     </w:t>
      </w:r>
      <w:r>
        <w:rPr>
          <w:rStyle w:val="104"/>
          <w:rFonts w:ascii="仿宋" w:hAnsi="仿宋" w:eastAsia="仿宋"/>
        </w:rPr>
        <w:t>，座机电话：</w:t>
      </w:r>
      <w:r>
        <w:rPr>
          <w:rStyle w:val="104"/>
          <w:rFonts w:ascii="仿宋" w:hAnsi="仿宋" w:eastAsia="仿宋"/>
          <w:kern w:val="0"/>
          <w:u w:val="single"/>
        </w:rPr>
        <w:t xml:space="preserve">           </w:t>
      </w:r>
      <w:r>
        <w:rPr>
          <w:rStyle w:val="104"/>
          <w:rFonts w:ascii="仿宋" w:hAnsi="仿宋" w:eastAsia="仿宋"/>
          <w:kern w:val="0"/>
        </w:rPr>
        <w:t>。</w:t>
      </w:r>
      <w:r>
        <w:rPr>
          <w:rStyle w:val="104"/>
          <w:rFonts w:ascii="仿宋" w:hAnsi="仿宋" w:eastAsia="仿宋"/>
        </w:rPr>
        <w:t>如乙方售后联系人或联系方式发生变更，应在变更前3日内书面通知甲方，否则视为未作变更，原约定的联系信息仍为有效的信息，由此产生的不利后果均由乙方承担。</w:t>
      </w:r>
    </w:p>
    <w:p>
      <w:pPr>
        <w:pStyle w:val="106"/>
        <w:spacing w:after="0" w:line="360" w:lineRule="exact"/>
        <w:ind w:firstLine="482"/>
        <w:rPr>
          <w:rStyle w:val="104"/>
          <w:rFonts w:ascii="仿宋" w:hAnsi="仿宋" w:eastAsia="仿宋"/>
          <w:b/>
          <w:bCs/>
          <w:sz w:val="24"/>
        </w:rPr>
      </w:pPr>
      <w:r>
        <w:rPr>
          <w:rStyle w:val="104"/>
          <w:rFonts w:ascii="仿宋" w:hAnsi="仿宋" w:eastAsia="仿宋"/>
          <w:b/>
          <w:bCs/>
          <w:sz w:val="24"/>
        </w:rPr>
        <w:t>十、双方权利和义务</w:t>
      </w:r>
    </w:p>
    <w:p>
      <w:pPr>
        <w:pStyle w:val="106"/>
        <w:spacing w:after="0" w:line="360" w:lineRule="exact"/>
        <w:ind w:firstLine="480"/>
        <w:rPr>
          <w:rStyle w:val="104"/>
          <w:rFonts w:ascii="仿宋" w:hAnsi="仿宋" w:eastAsia="仿宋"/>
          <w:sz w:val="24"/>
        </w:rPr>
      </w:pPr>
      <w:r>
        <w:rPr>
          <w:rStyle w:val="104"/>
          <w:rFonts w:ascii="仿宋" w:hAnsi="仿宋" w:eastAsia="仿宋"/>
          <w:sz w:val="24"/>
        </w:rPr>
        <w:t>1.甲乙双方在实施本合同的全部工作中均应遵守与本合同有关的法律、行政法规，并承担由于其自身违反法律、法规的责任。</w:t>
      </w:r>
    </w:p>
    <w:p>
      <w:pPr>
        <w:pStyle w:val="106"/>
        <w:spacing w:after="0" w:line="360" w:lineRule="exact"/>
        <w:ind w:firstLine="480"/>
        <w:rPr>
          <w:rStyle w:val="104"/>
          <w:rFonts w:ascii="仿宋" w:hAnsi="仿宋" w:eastAsia="仿宋"/>
          <w:sz w:val="24"/>
        </w:rPr>
      </w:pPr>
      <w:r>
        <w:rPr>
          <w:rStyle w:val="104"/>
          <w:rFonts w:ascii="仿宋" w:hAnsi="仿宋" w:eastAsia="仿宋"/>
          <w:sz w:val="24"/>
        </w:rPr>
        <w:t>2.甲方应按照本合同约定及时组织验收，支付相应的款项。</w:t>
      </w:r>
    </w:p>
    <w:p>
      <w:pPr>
        <w:pStyle w:val="106"/>
        <w:spacing w:after="0" w:line="360" w:lineRule="exact"/>
        <w:ind w:firstLine="480"/>
        <w:rPr>
          <w:rStyle w:val="104"/>
          <w:rFonts w:ascii="仿宋" w:hAnsi="仿宋" w:eastAsia="仿宋"/>
          <w:sz w:val="24"/>
        </w:rPr>
      </w:pPr>
      <w:r>
        <w:rPr>
          <w:rStyle w:val="104"/>
          <w:rFonts w:ascii="仿宋" w:hAnsi="仿宋" w:eastAsia="仿宋"/>
          <w:sz w:val="24"/>
        </w:rPr>
        <w:t>3.乙方应保证具备供应本合同项下采购设备的资格、资质（包括但不限于营业执照、经营许可证等），并按照本合同约定及时供货。</w:t>
      </w:r>
    </w:p>
    <w:p>
      <w:pPr>
        <w:pStyle w:val="106"/>
        <w:spacing w:after="0" w:line="360" w:lineRule="exact"/>
        <w:ind w:firstLine="480"/>
        <w:rPr>
          <w:rStyle w:val="104"/>
          <w:rFonts w:ascii="仿宋" w:hAnsi="仿宋" w:eastAsia="仿宋"/>
          <w:sz w:val="24"/>
        </w:rPr>
      </w:pPr>
      <w:r>
        <w:rPr>
          <w:rStyle w:val="104"/>
          <w:rFonts w:ascii="仿宋" w:hAnsi="仿宋" w:eastAsia="仿宋"/>
          <w:sz w:val="24"/>
        </w:rPr>
        <w:t>4.未经甲方书面同意，乙方不得将本合同项下任何权利和（或）义务转让第三方。如乙方擅自转让第三方的，对甲方不发生任何法律效力，且甲方有权解除本合同。</w:t>
      </w:r>
    </w:p>
    <w:p>
      <w:pPr>
        <w:pStyle w:val="106"/>
        <w:spacing w:after="0" w:line="360" w:lineRule="exact"/>
        <w:ind w:firstLine="480"/>
        <w:rPr>
          <w:rStyle w:val="104"/>
          <w:rFonts w:ascii="仿宋" w:hAnsi="仿宋" w:eastAsia="仿宋"/>
          <w:sz w:val="24"/>
        </w:rPr>
      </w:pPr>
      <w:r>
        <w:rPr>
          <w:rStyle w:val="104"/>
          <w:rFonts w:ascii="仿宋" w:hAnsi="仿宋" w:eastAsia="仿宋"/>
          <w:sz w:val="24"/>
        </w:rPr>
        <w:t>5.乙方承担采购设备初步验收合格前的运输、保管责任，并承担采购设备验收合格前采购设备损毁灭失的风险。自甲方初步验收合格之日起，采购设备的损毁灭失风险转移由甲方承担。</w:t>
      </w:r>
    </w:p>
    <w:p>
      <w:pPr>
        <w:pStyle w:val="106"/>
        <w:spacing w:after="0" w:line="360" w:lineRule="exact"/>
        <w:ind w:firstLine="480"/>
        <w:rPr>
          <w:rStyle w:val="104"/>
          <w:rFonts w:ascii="仿宋" w:hAnsi="仿宋" w:eastAsia="仿宋"/>
          <w:sz w:val="24"/>
        </w:rPr>
      </w:pPr>
      <w:r>
        <w:rPr>
          <w:rStyle w:val="104"/>
          <w:rFonts w:ascii="仿宋" w:hAnsi="仿宋" w:eastAsia="仿宋"/>
          <w:sz w:val="24"/>
        </w:rPr>
        <w:t>6.乙方应为其雇佣的现场服务的工作人员（包括但不限于送货人员、装卸人员、验收人员、培训人员等）购买保险，提供必要的安全防护措施、劳动保护措施，保证现场人身安全，承担由自身安全措施不力造成事故的责任和费用。</w:t>
      </w:r>
    </w:p>
    <w:p>
      <w:pPr>
        <w:pStyle w:val="106"/>
        <w:spacing w:after="0" w:line="360" w:lineRule="exact"/>
        <w:ind w:firstLine="480"/>
        <w:rPr>
          <w:rStyle w:val="104"/>
          <w:rFonts w:ascii="仿宋" w:hAnsi="仿宋" w:eastAsia="仿宋"/>
          <w:sz w:val="24"/>
        </w:rPr>
      </w:pPr>
      <w:r>
        <w:rPr>
          <w:rStyle w:val="104"/>
          <w:rFonts w:ascii="仿宋" w:hAnsi="仿宋" w:eastAsia="仿宋"/>
          <w:sz w:val="24"/>
        </w:rPr>
        <w:t>7.乙方应就设备的安装、调试、操作、维修、保养等对甲方维修技术人员及操作人员进行培训，直至甲方的操作人员能独立操作，同时能完成一般常见故障的维修工作，所需的费用已包括在合同总价中，甲方无须另行支付。</w:t>
      </w:r>
    </w:p>
    <w:p>
      <w:pPr>
        <w:pStyle w:val="106"/>
        <w:spacing w:after="0" w:line="360" w:lineRule="exact"/>
        <w:ind w:firstLine="480"/>
        <w:rPr>
          <w:rStyle w:val="104"/>
          <w:rFonts w:ascii="仿宋" w:hAnsi="仿宋" w:eastAsia="仿宋"/>
          <w:sz w:val="24"/>
        </w:rPr>
      </w:pPr>
      <w:r>
        <w:rPr>
          <w:rStyle w:val="104"/>
          <w:rFonts w:ascii="仿宋" w:hAnsi="仿宋" w:eastAsia="仿宋"/>
          <w:sz w:val="24"/>
        </w:rPr>
        <w:t>8.如根据本合同约定，乙方应支付违约金、承担费用的，乙方同意甲方有权从甲方应支付乙方的货款、质保金中扣除相应的违约金、费用。</w:t>
      </w:r>
    </w:p>
    <w:p>
      <w:pPr>
        <w:pStyle w:val="107"/>
        <w:spacing w:after="0" w:line="360" w:lineRule="exact"/>
        <w:ind w:firstLine="482" w:firstLineChars="200"/>
        <w:rPr>
          <w:rStyle w:val="104"/>
          <w:rFonts w:ascii="仿宋" w:hAnsi="仿宋" w:eastAsia="仿宋" w:cs="宋体"/>
          <w:b/>
          <w:bCs/>
          <w:sz w:val="24"/>
        </w:rPr>
      </w:pPr>
      <w:r>
        <w:rPr>
          <w:rStyle w:val="104"/>
          <w:rFonts w:ascii="仿宋" w:hAnsi="仿宋" w:eastAsia="仿宋" w:cs="宋体"/>
          <w:b/>
          <w:bCs/>
          <w:sz w:val="24"/>
        </w:rPr>
        <w:t>十一、违约责任</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1.如非因乙方原因导致甲方逾期支付货款的，每逾期一日，乙方有权要求甲方以逾期未付款项为基数，按照中国人民银行活期存款利率（单利）的标准支付逾期付款损失。如非因乙方原因导致甲方逾期支付预付款超过90日的，乙方有权解除本合同，并要求甲方按照预付款总额的20%支付违约金。</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2.如非因甲方原因导致乙方逾期交付采购设备或逾期完成验收或逾期未免费更换或退换的，每逾期一日，甲方有权要求乙方以违约采购设备对应的设备金额为基数，按照每日万分之五的标准支付违约金。如逾期超过15日的，甲方有权部分或全部终止合同。如甲方选择部分终止合同，同意接受已按期交付且验收合格的采购设备的，甲乙双方对乙方已验收合格的采购设备据实进行结算，甲方同时有权要求乙方按照合同总价的20%支付违约金。如甲方选择全部终止合同的，乙方应退还全部预付款，甲方有权要求乙方按照合同总价的20%支付违约金。如前述违约金不足以弥补甲方损失的，乙方应当另行赔偿。</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3.本合同履行期间，如乙方出现下列情形之一的，甲方有权提前终止本合同，并要求乙方按照合同总价的20%支付违约金：</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1）供应本合同项下采购设备所需的其中任一资格、资质（包括但不限于营业执照、经营许可证、代理商资格证、医疗器械生产企业许可证、医疗器械经营企业许可证、医疗器械产品注册证等）被吊销或注销或失效的；</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（2）被工商行政管理机关在全国企业信用信息公示系统中列入严重违法失信企业名单；</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（3）被最高人法院在“信用中国”网站（</w:t>
      </w:r>
      <w:r>
        <w:rPr>
          <w:rStyle w:val="46"/>
          <w:rFonts w:ascii="仿宋" w:hAnsi="仿宋" w:eastAsia="仿宋"/>
          <w:color w:val="000000"/>
          <w:sz w:val="24"/>
          <w:u w:color="0563C1"/>
        </w:rPr>
        <w:t>www.creditchina.gov.cn）或各级信用信息共享平台中列入失信被执行人名单；</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（4）被纳入政府采购严重违法失信行为记录名单；</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（5）被应急管理部列入安全生产领域失信行为开展联合惩戒企业名单。</w:t>
      </w:r>
    </w:p>
    <w:p>
      <w:pPr>
        <w:pStyle w:val="107"/>
        <w:spacing w:after="0" w:line="360" w:lineRule="exact"/>
        <w:ind w:firstLine="482" w:firstLineChars="200"/>
        <w:rPr>
          <w:rStyle w:val="104"/>
          <w:rFonts w:ascii="仿宋" w:hAnsi="仿宋" w:eastAsia="仿宋"/>
          <w:b/>
          <w:bCs/>
          <w:sz w:val="24"/>
        </w:rPr>
      </w:pPr>
      <w:r>
        <w:rPr>
          <w:rStyle w:val="104"/>
          <w:rFonts w:ascii="仿宋" w:hAnsi="仿宋" w:eastAsia="仿宋"/>
          <w:b/>
          <w:bCs/>
          <w:sz w:val="24"/>
        </w:rPr>
        <w:t>十二、不可抗力</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1.如果任何一方当事人受到不能预见、不能避免且不能克服的不可抗力事件的影响，例如战争、严重的火灾、台风、地震、洪水和合同条款约定的其他情形，而无法履行合同项下的任何义务，则受影响的一方当事人应立即将此类事件的发生通知另一方当事人，并应在不可抗力事件发生后14日内将有关当局或机构出具的证明文件提交给另一方当事人。</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2.受不可抗力事件影响的一方当事人对于不可抗力事件导致的任何合同义务的迟延履行或不能履行不承担违约责任。但该方当事人应尽快将不可抗力事件结束或消除的情况通知另一方当事人。</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3.双方当事人应在不可抗力事件结束或其影响消除后立即继续履行其合同义务，合同期限也应相应顺延。如果不可抗力事件的影响持续超过90日，则任何一方当事人均有权以书面通知解除合同。</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4.不可抗力的处理：（1）合同双方中的任何一方，由于不可抗力事件而影响合同的执行时，可相应延迟合同中受影响部分的履行时间，其延迟的时间相当于不可抗力事件影响的时间。（2）受到不可抗力事件影响的一方应在不可抗力事件发生后，尽快将发生的不可抗力事件的情况书面通知对方，并在7天内将有关当局出具的证明文件提交给对方审查确认，受影响的一方同时应尽量设法减少这种影响和由此而引起的延误，一旦不可抗力的影响消除后，应将此情况立即书面通知对方。（3）合同双方中的任何一方，由于不可抗力事件而影响合同的履行时，双方对由此产生的经济损失均不得向对方提出索赔要求。乙方也不得因不可抗力事件的影响而要求调整合同总价。（4）若因不可抗力事件的影响致使合同全部或部分无法如约履行时，应由双方协商变更或解除合同。（5）若因合同一方延迟履行合同后发生不可抗力事件的，不能免除延迟履行合同方的相应责任。</w:t>
      </w:r>
    </w:p>
    <w:p>
      <w:pPr>
        <w:pStyle w:val="107"/>
        <w:spacing w:after="0" w:line="360" w:lineRule="exact"/>
        <w:ind w:firstLine="480" w:firstLineChars="200"/>
        <w:rPr>
          <w:rStyle w:val="104"/>
          <w:rFonts w:ascii="仿宋" w:hAnsi="仿宋" w:eastAsia="仿宋"/>
          <w:sz w:val="24"/>
        </w:rPr>
      </w:pPr>
      <w:r>
        <w:rPr>
          <w:rStyle w:val="104"/>
          <w:rFonts w:ascii="仿宋" w:hAnsi="仿宋" w:eastAsia="仿宋"/>
          <w:sz w:val="24"/>
        </w:rPr>
        <w:t>5.乙方确认新冠肺炎疫情属于不可抗力事件，乙方在签订合同时对新冠肺炎疫情可能影响合同的履行（包括但不限于可能导致成本增加、迟延交货等）已作出全面的风险评估，乙方同意不得以新冠肺炎疫情抗辩合同的履行，否则视为未按本合同约定履行相应的义务，乙方应当承担本合同约定的相应责任。</w:t>
      </w:r>
    </w:p>
    <w:p>
      <w:pPr>
        <w:pStyle w:val="107"/>
        <w:spacing w:after="0" w:line="360" w:lineRule="exact"/>
        <w:ind w:firstLine="482" w:firstLineChars="200"/>
        <w:rPr>
          <w:rStyle w:val="104"/>
          <w:rFonts w:ascii="仿宋" w:hAnsi="仿宋" w:eastAsia="仿宋"/>
          <w:b/>
          <w:bCs/>
          <w:sz w:val="24"/>
        </w:rPr>
      </w:pPr>
      <w:r>
        <w:rPr>
          <w:rStyle w:val="104"/>
          <w:rFonts w:ascii="仿宋" w:hAnsi="仿宋" w:eastAsia="仿宋"/>
          <w:b/>
          <w:bCs/>
          <w:sz w:val="24"/>
        </w:rPr>
        <w:t>十三、通知与送达</w:t>
      </w:r>
    </w:p>
    <w:p>
      <w:pPr>
        <w:spacing w:line="360" w:lineRule="exact"/>
        <w:ind w:firstLine="480" w:firstLineChars="200"/>
        <w:rPr>
          <w:rStyle w:val="104"/>
          <w:rFonts w:ascii="仿宋" w:hAnsi="仿宋" w:eastAsia="仿宋"/>
          <w:sz w:val="24"/>
        </w:rPr>
      </w:pPr>
      <w:r>
        <w:rPr>
          <w:rStyle w:val="104"/>
          <w:rFonts w:ascii="仿宋" w:hAnsi="仿宋" w:eastAsia="仿宋"/>
          <w:sz w:val="24"/>
        </w:rPr>
        <w:t>1.甲乙双方一致确认本合同签字盖章处填写的联系地址分别为各方送达地址，该送达地址适用范围包括合同履行的各类通知、协议等文件以及就合同发生纠纷时相关文件、法律文书的送达，同时包括争议进入仲裁、民事诉讼程序后的一审、二审、再审和执行程序。</w:t>
      </w:r>
    </w:p>
    <w:p>
      <w:pPr>
        <w:spacing w:line="360" w:lineRule="exact"/>
        <w:ind w:firstLine="480" w:firstLineChars="200"/>
        <w:rPr>
          <w:rStyle w:val="104"/>
          <w:rFonts w:ascii="仿宋" w:hAnsi="仿宋" w:eastAsia="仿宋"/>
          <w:sz w:val="24"/>
        </w:rPr>
      </w:pPr>
      <w:r>
        <w:rPr>
          <w:rStyle w:val="104"/>
          <w:rFonts w:ascii="仿宋" w:hAnsi="仿宋" w:eastAsia="仿宋"/>
          <w:sz w:val="24"/>
        </w:rPr>
        <w:t>2.一旦发生诉讼纠纷，各方确认的送达地址将默认为当事人的司法文书的送达地址，即司法文书一旦寄出，当事人将自动承担有效送达的法律后果。如因提供或确认的送达地址不真实、不准确，或指定联系人拒绝签收等导致法律文书未能被当事人实际接收的：邮寄送达的，以文书退回之日视为送达之日；直接送达的，送达人当场在送达回证上记明情况之日视为送达之日。</w:t>
      </w:r>
    </w:p>
    <w:p>
      <w:pPr>
        <w:pStyle w:val="105"/>
        <w:spacing w:after="0" w:line="360" w:lineRule="exact"/>
        <w:ind w:firstLine="480" w:firstLineChars="200"/>
        <w:rPr>
          <w:rStyle w:val="104"/>
          <w:rFonts w:ascii="仿宋" w:hAnsi="仿宋" w:eastAsia="仿宋"/>
          <w:sz w:val="24"/>
        </w:rPr>
      </w:pPr>
      <w:r>
        <w:rPr>
          <w:rStyle w:val="104"/>
          <w:rFonts w:ascii="仿宋" w:hAnsi="仿宋" w:eastAsia="仿宋"/>
          <w:sz w:val="24"/>
        </w:rPr>
        <w:t>3.甲乙双方一致确认的送达地址一旦发生变动，应于发生变动之日起五个工作日内以书面形式进行通知，该书面通知中确认的新通知地址将默认为新的通知及司法文书的送达地址。如未书面通知则向原送达地址送达的通知或文件或司法文书均视为有效送达，即使通知或文书被退回，也视为送达。</w:t>
      </w:r>
    </w:p>
    <w:p>
      <w:pPr>
        <w:spacing w:line="360" w:lineRule="exact"/>
        <w:ind w:firstLine="480" w:firstLineChars="200"/>
        <w:rPr>
          <w:rStyle w:val="104"/>
          <w:rFonts w:ascii="仿宋" w:hAnsi="仿宋" w:eastAsia="仿宋"/>
          <w:sz w:val="24"/>
        </w:rPr>
      </w:pPr>
      <w:r>
        <w:rPr>
          <w:rStyle w:val="104"/>
          <w:rFonts w:ascii="仿宋" w:hAnsi="仿宋" w:eastAsia="仿宋"/>
          <w:sz w:val="24"/>
        </w:rPr>
        <w:t>4.甲乙双方一致确认本合同签字盖章处指定的联系人有权分别代表各方履行本合同（包括但不限于接受各类通知、函件、参与验收、提出异议等），如指定联系人发生变更的，变更方应于变更前2个工作日内书面通知另一方，如未按前述约定通知的，视为未作变更，原指定的联系人仍为有效的联系人，相应的法律责任及后果由变更方自行承担。</w:t>
      </w:r>
    </w:p>
    <w:p>
      <w:pPr>
        <w:pStyle w:val="107"/>
        <w:spacing w:after="0" w:line="360" w:lineRule="exact"/>
        <w:ind w:firstLine="482" w:firstLineChars="200"/>
        <w:rPr>
          <w:rStyle w:val="104"/>
          <w:rFonts w:ascii="仿宋" w:hAnsi="仿宋" w:eastAsia="仿宋"/>
          <w:b/>
          <w:bCs/>
          <w:sz w:val="24"/>
        </w:rPr>
      </w:pPr>
      <w:r>
        <w:rPr>
          <w:rStyle w:val="104"/>
          <w:rFonts w:ascii="仿宋" w:hAnsi="仿宋" w:eastAsia="仿宋"/>
          <w:b/>
          <w:bCs/>
          <w:sz w:val="24"/>
        </w:rPr>
        <w:t>十四、争议与解决</w:t>
      </w:r>
    </w:p>
    <w:p>
      <w:pPr>
        <w:pStyle w:val="108"/>
        <w:spacing w:after="0" w:line="360" w:lineRule="exact"/>
        <w:ind w:firstLine="420"/>
        <w:rPr>
          <w:rStyle w:val="104"/>
          <w:rFonts w:ascii="仿宋" w:hAnsi="仿宋" w:eastAsia="仿宋"/>
        </w:rPr>
      </w:pPr>
      <w:r>
        <w:rPr>
          <w:rStyle w:val="104"/>
          <w:rFonts w:ascii="仿宋" w:hAnsi="仿宋" w:eastAsia="仿宋"/>
        </w:rPr>
        <w:t>1.因采购设备的质量问题发生争议，由质量技术监督部门或其指定的质量鉴定机构进行质量鉴定，鉴定费先由乙方垫付。采购设备符合标准的，鉴定费由甲方承担；采购设备不符合质量标准的，鉴定费由乙方承担。</w:t>
      </w:r>
    </w:p>
    <w:p>
      <w:pPr>
        <w:pStyle w:val="108"/>
        <w:spacing w:after="0" w:line="360" w:lineRule="exact"/>
        <w:ind w:firstLine="420"/>
        <w:rPr>
          <w:rStyle w:val="104"/>
          <w:rFonts w:ascii="仿宋" w:hAnsi="仿宋" w:eastAsia="仿宋"/>
        </w:rPr>
      </w:pPr>
      <w:r>
        <w:rPr>
          <w:rStyle w:val="104"/>
          <w:rFonts w:ascii="仿宋" w:hAnsi="仿宋" w:eastAsia="仿宋"/>
        </w:rPr>
        <w:t>2.合同履行期间,若双方发生争议，可协商或由有关部门调解解决，协商或调解不成的，任何一方均可向甲方住所地有管辖权的人民法院提起诉讼。败诉方应当承担胜诉方为维护权利产生的诉讼费、保全费、公告费、律师费等。</w:t>
      </w:r>
    </w:p>
    <w:p>
      <w:pPr>
        <w:pStyle w:val="108"/>
        <w:spacing w:after="0" w:line="360" w:lineRule="exact"/>
        <w:ind w:firstLine="420"/>
        <w:rPr>
          <w:rStyle w:val="104"/>
          <w:rFonts w:ascii="仿宋" w:hAnsi="仿宋" w:eastAsia="仿宋"/>
        </w:rPr>
      </w:pPr>
      <w:r>
        <w:rPr>
          <w:rStyle w:val="104"/>
          <w:rFonts w:ascii="仿宋" w:hAnsi="仿宋" w:eastAsia="仿宋"/>
        </w:rPr>
        <w:t>3.如因甲方根据本合同的约定向乙方行使追偿权的，乙方同意甲方可向甲方住所地有管辖权的人民法院提起诉讼，并愿意承担甲方为实现债权产生的诉讼费、保全费、公告费、律师费、保全担保保险费等。</w:t>
      </w:r>
    </w:p>
    <w:p>
      <w:pPr>
        <w:pStyle w:val="81"/>
        <w:spacing w:line="360" w:lineRule="exact"/>
        <w:ind w:firstLine="482"/>
        <w:rPr>
          <w:rFonts w:ascii="仿宋" w:hAnsi="仿宋" w:eastAsia="仿宋"/>
          <w:b/>
          <w:bCs/>
        </w:rPr>
      </w:pPr>
      <w:r>
        <w:rPr>
          <w:rFonts w:hint="eastAsia" w:ascii="仿宋" w:hAnsi="仿宋" w:eastAsia="仿宋"/>
          <w:b/>
          <w:bCs/>
        </w:rPr>
        <w:t>十五、疫情防控特别约定</w:t>
      </w:r>
    </w:p>
    <w:p>
      <w:pPr>
        <w:pStyle w:val="81"/>
        <w:spacing w:line="360" w:lineRule="exact"/>
        <w:ind w:firstLine="482"/>
        <w:rPr>
          <w:rFonts w:ascii="仿宋" w:hAnsi="仿宋" w:eastAsia="仿宋"/>
          <w:b/>
          <w:bCs/>
        </w:rPr>
      </w:pPr>
      <w:r>
        <w:rPr>
          <w:rFonts w:hint="eastAsia" w:ascii="仿宋" w:hAnsi="仿宋" w:eastAsia="仿宋"/>
          <w:b/>
          <w:bCs/>
        </w:rPr>
        <w:t>1</w:t>
      </w:r>
      <w:r>
        <w:rPr>
          <w:rFonts w:ascii="仿宋" w:hAnsi="仿宋" w:eastAsia="仿宋"/>
          <w:b/>
          <w:bCs/>
        </w:rPr>
        <w:t>.</w:t>
      </w:r>
      <w:r>
        <w:rPr>
          <w:rFonts w:hint="eastAsia" w:ascii="仿宋" w:hAnsi="仿宋" w:eastAsia="仿宋"/>
          <w:b/>
          <w:bCs/>
        </w:rPr>
        <w:t>乙方在乙方指派的现场服务人员（包括但不限于送货人员、装卸人员、验收人员、培训人员等）前往医院提供现场服务前，应按照国家、省、市、区现行疫情防控政策对现场服务人员进行体温检测、健康码检查，排查是否前往过中高风险区域（以国家、四川省、成都市、双流区等有关政府部门公布的为准）、是否与确诊病例有密切接触、是否存在咳嗽、发烧等症状，并采取相应的疫情防控及处置措施。</w:t>
      </w:r>
    </w:p>
    <w:p>
      <w:pPr>
        <w:pStyle w:val="81"/>
        <w:spacing w:line="360" w:lineRule="exact"/>
        <w:ind w:firstLine="482"/>
        <w:rPr>
          <w:rFonts w:ascii="仿宋" w:hAnsi="仿宋" w:eastAsia="仿宋"/>
          <w:b/>
          <w:bCs/>
        </w:rPr>
      </w:pPr>
      <w:r>
        <w:rPr>
          <w:rFonts w:hint="eastAsia" w:ascii="仿宋" w:hAnsi="仿宋" w:eastAsia="仿宋"/>
          <w:b/>
          <w:bCs/>
        </w:rPr>
        <w:t>2</w:t>
      </w:r>
      <w:r>
        <w:rPr>
          <w:rFonts w:ascii="仿宋" w:hAnsi="仿宋" w:eastAsia="仿宋"/>
          <w:b/>
          <w:bCs/>
        </w:rPr>
        <w:t>.</w:t>
      </w:r>
      <w:r>
        <w:rPr>
          <w:rFonts w:hint="eastAsia" w:ascii="仿宋" w:hAnsi="仿宋" w:eastAsia="仿宋"/>
          <w:b/>
          <w:bCs/>
        </w:rPr>
        <w:t>乙方在每次指派的现场服务人员（包括但不限于送货人员、装卸人员、验收人员、培训人员等）前往医院提供现场服务前，应主动与甲方联系，了解医院现行的关于第三方服务人员来院的相关疫情防控规定，并严格按照医院疫情防控有关规定执行。</w:t>
      </w:r>
    </w:p>
    <w:p>
      <w:pPr>
        <w:pStyle w:val="81"/>
        <w:spacing w:line="360" w:lineRule="exact"/>
        <w:ind w:firstLine="482"/>
        <w:rPr>
          <w:rFonts w:ascii="仿宋" w:hAnsi="仿宋" w:eastAsia="仿宋"/>
          <w:b/>
          <w:bCs/>
        </w:rPr>
      </w:pPr>
      <w:r>
        <w:rPr>
          <w:rFonts w:hint="eastAsia" w:ascii="仿宋" w:hAnsi="仿宋" w:eastAsia="仿宋"/>
          <w:b/>
          <w:bCs/>
        </w:rPr>
        <w:t>3</w:t>
      </w:r>
      <w:r>
        <w:rPr>
          <w:rFonts w:ascii="仿宋" w:hAnsi="仿宋" w:eastAsia="仿宋"/>
          <w:b/>
          <w:bCs/>
        </w:rPr>
        <w:t>.</w:t>
      </w:r>
      <w:r>
        <w:rPr>
          <w:rFonts w:hint="eastAsia" w:ascii="仿宋" w:hAnsi="仿宋" w:eastAsia="仿宋"/>
          <w:b/>
          <w:bCs/>
        </w:rPr>
        <w:t>如需现场服务人员提供一定期限内的核酸检测阴性报告等证明材料的，乙方应要求并敦促现场服务人员提供真实、有效的证明材料。</w:t>
      </w:r>
    </w:p>
    <w:p>
      <w:pPr>
        <w:pStyle w:val="81"/>
        <w:spacing w:line="360" w:lineRule="exact"/>
        <w:ind w:firstLine="482"/>
        <w:rPr>
          <w:rFonts w:ascii="仿宋" w:hAnsi="仿宋" w:eastAsia="仿宋"/>
          <w:b/>
          <w:bCs/>
        </w:rPr>
      </w:pPr>
      <w:r>
        <w:rPr>
          <w:rFonts w:hint="eastAsia" w:ascii="仿宋" w:hAnsi="仿宋" w:eastAsia="仿宋"/>
          <w:b/>
          <w:bCs/>
        </w:rPr>
        <w:t>4.乙方不得指派国家、省、市、区和医院禁止或限制前往医院的人员至医院提供现场服务，除相关人员依法承担责任外，如因相关人员的行为导致医院损失（包括经济和声誉损失）的，甲方有权要求乙方赔偿。如损失难以确认的，乙方同意甲方有权按照合同总金额的5%-</w:t>
      </w:r>
      <w:r>
        <w:rPr>
          <w:rFonts w:ascii="仿宋" w:hAnsi="仿宋" w:eastAsia="仿宋"/>
          <w:b/>
          <w:bCs/>
        </w:rPr>
        <w:t>20%确定损失数额（注：具体损失数额由甲方根据实际情况确定后另行通知乙方），乙方对此无异议。</w:t>
      </w:r>
      <w:r>
        <w:rPr>
          <w:rFonts w:hint="eastAsia" w:ascii="仿宋" w:hAnsi="仿宋" w:eastAsia="仿宋"/>
          <w:b/>
          <w:bCs/>
        </w:rPr>
        <w:t xml:space="preserve"> </w:t>
      </w:r>
    </w:p>
    <w:p>
      <w:pPr>
        <w:pStyle w:val="108"/>
        <w:spacing w:after="0" w:line="360" w:lineRule="exact"/>
        <w:ind w:firstLine="422"/>
        <w:rPr>
          <w:rStyle w:val="104"/>
          <w:rFonts w:ascii="仿宋" w:hAnsi="仿宋" w:eastAsia="仿宋" w:cs="宋体"/>
          <w:b/>
          <w:bCs/>
        </w:rPr>
      </w:pPr>
      <w:r>
        <w:rPr>
          <w:rStyle w:val="104"/>
          <w:rFonts w:hint="eastAsia" w:ascii="仿宋" w:hAnsi="仿宋" w:eastAsia="仿宋"/>
          <w:b/>
          <w:bCs/>
        </w:rPr>
        <w:t>十六</w:t>
      </w:r>
      <w:r>
        <w:rPr>
          <w:rStyle w:val="104"/>
          <w:rFonts w:ascii="仿宋" w:hAnsi="仿宋" w:eastAsia="仿宋" w:cs="宋体"/>
          <w:b/>
          <w:bCs/>
        </w:rPr>
        <w:t>、附则</w:t>
      </w:r>
    </w:p>
    <w:p>
      <w:pPr>
        <w:pStyle w:val="108"/>
        <w:spacing w:after="0" w:line="360" w:lineRule="exact"/>
        <w:ind w:firstLine="420"/>
        <w:rPr>
          <w:rStyle w:val="104"/>
          <w:rFonts w:ascii="仿宋" w:hAnsi="仿宋" w:eastAsia="仿宋"/>
        </w:rPr>
      </w:pPr>
      <w:r>
        <w:rPr>
          <w:rStyle w:val="104"/>
          <w:rFonts w:ascii="仿宋" w:hAnsi="仿宋" w:eastAsia="仿宋"/>
        </w:rPr>
        <w:t>1.本合同未尽事宜，由甲乙双方另行签订书面补充协议约定，如有冲突，以补充协议为准。</w:t>
      </w:r>
    </w:p>
    <w:p>
      <w:pPr>
        <w:pStyle w:val="108"/>
        <w:spacing w:after="0" w:line="360" w:lineRule="exact"/>
        <w:ind w:firstLine="420"/>
        <w:rPr>
          <w:rStyle w:val="104"/>
          <w:rFonts w:ascii="仿宋" w:hAnsi="仿宋" w:eastAsia="仿宋"/>
        </w:rPr>
      </w:pPr>
      <w:r>
        <w:rPr>
          <w:rStyle w:val="104"/>
          <w:rFonts w:ascii="仿宋" w:hAnsi="仿宋" w:eastAsia="仿宋"/>
        </w:rPr>
        <w:t>2.如本合同的某条款或某条款的部分内容在现在或将来成为无效，该无效条款或该无效部分并不影响本合同及本合同其他条款或该条款其他内容的有效性。</w:t>
      </w:r>
    </w:p>
    <w:p>
      <w:pPr>
        <w:pStyle w:val="108"/>
        <w:spacing w:after="0" w:line="360" w:lineRule="exact"/>
        <w:ind w:firstLine="420"/>
        <w:rPr>
          <w:rStyle w:val="104"/>
          <w:rFonts w:ascii="仿宋" w:hAnsi="仿宋" w:eastAsia="仿宋"/>
        </w:rPr>
      </w:pPr>
      <w:r>
        <w:rPr>
          <w:rStyle w:val="104"/>
          <w:rFonts w:ascii="仿宋" w:hAnsi="仿宋" w:eastAsia="仿宋"/>
        </w:rPr>
        <w:t>3.本合同经甲乙双方法定代表人或授权代理人签字或盖章后生效。本合同一式陆份，甲方执肆份、乙方、招采代理机构各执壹份，每份均具有同等法律效力。</w:t>
      </w:r>
    </w:p>
    <w:p>
      <w:pPr>
        <w:pStyle w:val="108"/>
        <w:spacing w:after="0" w:line="360" w:lineRule="exact"/>
        <w:ind w:firstLineChars="0"/>
        <w:jc w:val="center"/>
        <w:rPr>
          <w:rStyle w:val="104"/>
          <w:rFonts w:ascii="仿宋" w:hAnsi="仿宋" w:eastAsia="仿宋"/>
        </w:rPr>
      </w:pPr>
      <w:r>
        <w:rPr>
          <w:rStyle w:val="104"/>
          <w:rFonts w:ascii="仿宋" w:hAnsi="仿宋" w:eastAsia="仿宋"/>
        </w:rPr>
        <w:t>（以下为签字盖章处，无正文）</w:t>
      </w:r>
    </w:p>
    <w:p>
      <w:pPr>
        <w:pStyle w:val="108"/>
        <w:spacing w:after="0" w:line="360" w:lineRule="exact"/>
        <w:ind w:firstLineChars="0"/>
        <w:jc w:val="center"/>
        <w:rPr>
          <w:rStyle w:val="104"/>
          <w:rFonts w:ascii="仿宋" w:hAnsi="仿宋" w:eastAsia="仿宋"/>
        </w:rPr>
      </w:pPr>
    </w:p>
    <w:p>
      <w:pPr>
        <w:pStyle w:val="108"/>
        <w:spacing w:after="0" w:line="360" w:lineRule="exact"/>
        <w:ind w:firstLine="0" w:firstLineChars="0"/>
        <w:rPr>
          <w:rStyle w:val="104"/>
          <w:rFonts w:ascii="仿宋" w:hAnsi="仿宋" w:eastAsia="仿宋"/>
        </w:rPr>
      </w:pPr>
    </w:p>
    <w:p>
      <w:pPr>
        <w:pStyle w:val="108"/>
        <w:spacing w:after="0" w:line="360" w:lineRule="exact"/>
        <w:ind w:firstLine="420"/>
        <w:rPr>
          <w:rStyle w:val="104"/>
          <w:rFonts w:ascii="仿宋" w:hAnsi="仿宋" w:eastAsia="仿宋"/>
        </w:rPr>
      </w:pPr>
      <w:r>
        <w:rPr>
          <w:rStyle w:val="104"/>
          <w:rFonts w:ascii="仿宋" w:hAnsi="仿宋" w:eastAsia="仿宋"/>
        </w:rPr>
        <w:t>甲方（盖章）：</w:t>
      </w:r>
      <w:r>
        <w:rPr>
          <w:rStyle w:val="104"/>
          <w:rFonts w:ascii="仿宋" w:hAnsi="仿宋" w:eastAsia="仿宋" w:cs="宋体"/>
          <w:bCs/>
        </w:rPr>
        <w:t>成都市双流区妇幼保健院</w:t>
      </w:r>
    </w:p>
    <w:p>
      <w:pPr>
        <w:pStyle w:val="108"/>
        <w:spacing w:after="0" w:line="360" w:lineRule="exact"/>
        <w:ind w:firstLine="420"/>
        <w:rPr>
          <w:rStyle w:val="104"/>
          <w:rFonts w:ascii="仿宋" w:hAnsi="仿宋" w:eastAsia="仿宋"/>
        </w:rPr>
      </w:pPr>
      <w:r>
        <w:rPr>
          <w:rStyle w:val="104"/>
          <w:rFonts w:ascii="仿宋" w:hAnsi="仿宋" w:eastAsia="仿宋"/>
        </w:rPr>
        <w:t xml:space="preserve">法定代表人（签字或签章）： </w:t>
      </w:r>
    </w:p>
    <w:p>
      <w:pPr>
        <w:pStyle w:val="108"/>
        <w:spacing w:after="0" w:line="360" w:lineRule="exact"/>
        <w:ind w:firstLine="420"/>
        <w:rPr>
          <w:rStyle w:val="104"/>
          <w:rFonts w:ascii="仿宋" w:hAnsi="仿宋" w:eastAsia="仿宋"/>
        </w:rPr>
      </w:pPr>
      <w:r>
        <w:rPr>
          <w:rStyle w:val="104"/>
          <w:rFonts w:ascii="仿宋" w:hAnsi="仿宋" w:eastAsia="仿宋"/>
        </w:rPr>
        <w:t xml:space="preserve">指定联系人： </w:t>
      </w:r>
    </w:p>
    <w:p>
      <w:pPr>
        <w:pStyle w:val="108"/>
        <w:spacing w:after="0" w:line="360" w:lineRule="exact"/>
        <w:ind w:firstLine="420"/>
        <w:rPr>
          <w:rStyle w:val="104"/>
          <w:rFonts w:ascii="仿宋" w:hAnsi="仿宋" w:eastAsia="仿宋"/>
        </w:rPr>
      </w:pPr>
      <w:r>
        <w:rPr>
          <w:rStyle w:val="104"/>
          <w:rFonts w:ascii="仿宋" w:hAnsi="仿宋" w:eastAsia="仿宋"/>
        </w:rPr>
        <w:t>联系地址：成都市双流区涧槽中街396号</w:t>
      </w:r>
    </w:p>
    <w:p>
      <w:pPr>
        <w:pStyle w:val="108"/>
        <w:spacing w:after="0" w:line="360" w:lineRule="exact"/>
        <w:ind w:firstLine="420"/>
        <w:rPr>
          <w:rStyle w:val="104"/>
          <w:rFonts w:ascii="仿宋" w:hAnsi="仿宋" w:eastAsia="仿宋"/>
        </w:rPr>
      </w:pPr>
      <w:r>
        <w:rPr>
          <w:rStyle w:val="104"/>
          <w:rFonts w:ascii="仿宋" w:hAnsi="仿宋" w:eastAsia="仿宋"/>
        </w:rPr>
        <w:t>联系电话：</w:t>
      </w:r>
    </w:p>
    <w:p>
      <w:pPr>
        <w:pStyle w:val="108"/>
        <w:spacing w:after="0" w:line="360" w:lineRule="exact"/>
        <w:ind w:firstLine="420"/>
        <w:rPr>
          <w:rStyle w:val="104"/>
          <w:rFonts w:ascii="仿宋" w:hAnsi="仿宋" w:eastAsia="仿宋"/>
        </w:rPr>
      </w:pPr>
      <w:r>
        <w:rPr>
          <w:rStyle w:val="104"/>
          <w:rFonts w:ascii="仿宋" w:hAnsi="仿宋" w:eastAsia="仿宋"/>
        </w:rPr>
        <w:t>签约日期：  年  月   日</w:t>
      </w:r>
    </w:p>
    <w:p>
      <w:pPr>
        <w:pStyle w:val="108"/>
        <w:spacing w:after="0" w:line="360" w:lineRule="exact"/>
        <w:ind w:firstLineChars="0"/>
        <w:rPr>
          <w:rStyle w:val="104"/>
          <w:rFonts w:ascii="仿宋" w:hAnsi="仿宋" w:eastAsia="仿宋"/>
        </w:rPr>
      </w:pPr>
    </w:p>
    <w:p>
      <w:pPr>
        <w:pStyle w:val="108"/>
        <w:spacing w:after="0" w:line="360" w:lineRule="exact"/>
        <w:ind w:firstLine="420"/>
        <w:rPr>
          <w:rStyle w:val="104"/>
          <w:rFonts w:ascii="仿宋" w:hAnsi="仿宋" w:eastAsia="仿宋"/>
        </w:rPr>
      </w:pPr>
      <w:r>
        <w:rPr>
          <w:rStyle w:val="104"/>
          <w:rFonts w:ascii="仿宋" w:hAnsi="仿宋" w:eastAsia="仿宋"/>
        </w:rPr>
        <w:t xml:space="preserve">乙方（盖章）： </w:t>
      </w:r>
    </w:p>
    <w:p>
      <w:pPr>
        <w:pStyle w:val="108"/>
        <w:spacing w:after="0" w:line="360" w:lineRule="exact"/>
        <w:ind w:firstLine="420"/>
        <w:rPr>
          <w:rStyle w:val="104"/>
          <w:rFonts w:ascii="仿宋" w:hAnsi="仿宋" w:eastAsia="仿宋"/>
        </w:rPr>
      </w:pPr>
      <w:r>
        <w:rPr>
          <w:rStyle w:val="104"/>
          <w:rFonts w:ascii="仿宋" w:hAnsi="仿宋" w:eastAsia="仿宋"/>
        </w:rPr>
        <w:t>法定代表人（签字或签章）：</w:t>
      </w:r>
    </w:p>
    <w:p>
      <w:pPr>
        <w:pStyle w:val="108"/>
        <w:spacing w:after="0" w:line="360" w:lineRule="exact"/>
        <w:ind w:firstLine="420"/>
        <w:rPr>
          <w:rStyle w:val="104"/>
          <w:rFonts w:ascii="仿宋" w:hAnsi="仿宋" w:eastAsia="仿宋"/>
        </w:rPr>
      </w:pPr>
      <w:r>
        <w:rPr>
          <w:rStyle w:val="104"/>
          <w:rFonts w:ascii="仿宋" w:hAnsi="仿宋" w:eastAsia="仿宋"/>
        </w:rPr>
        <w:t>指定联系人：</w:t>
      </w:r>
    </w:p>
    <w:p>
      <w:pPr>
        <w:pStyle w:val="108"/>
        <w:spacing w:after="0" w:line="360" w:lineRule="exact"/>
        <w:ind w:firstLine="420"/>
        <w:rPr>
          <w:rStyle w:val="104"/>
          <w:rFonts w:ascii="仿宋" w:hAnsi="仿宋" w:eastAsia="仿宋"/>
        </w:rPr>
      </w:pPr>
      <w:r>
        <w:rPr>
          <w:rStyle w:val="104"/>
          <w:rFonts w:ascii="仿宋" w:hAnsi="仿宋" w:eastAsia="仿宋"/>
        </w:rPr>
        <w:t xml:space="preserve">联系地址： </w:t>
      </w:r>
    </w:p>
    <w:p>
      <w:pPr>
        <w:pStyle w:val="108"/>
        <w:spacing w:after="0" w:line="360" w:lineRule="exact"/>
        <w:ind w:firstLine="420"/>
        <w:rPr>
          <w:rStyle w:val="104"/>
          <w:rFonts w:ascii="仿宋" w:hAnsi="仿宋" w:eastAsia="仿宋"/>
        </w:rPr>
      </w:pPr>
      <w:r>
        <w:rPr>
          <w:rStyle w:val="104"/>
          <w:rFonts w:ascii="仿宋" w:hAnsi="仿宋" w:eastAsia="仿宋"/>
        </w:rPr>
        <w:t>联系电话：</w:t>
      </w:r>
    </w:p>
    <w:p>
      <w:pPr>
        <w:pStyle w:val="108"/>
        <w:spacing w:after="0" w:line="360" w:lineRule="exact"/>
        <w:ind w:firstLine="420"/>
        <w:rPr>
          <w:rStyle w:val="104"/>
          <w:rFonts w:ascii="仿宋" w:hAnsi="仿宋" w:eastAsia="仿宋"/>
        </w:rPr>
      </w:pPr>
      <w:r>
        <w:rPr>
          <w:rStyle w:val="104"/>
          <w:rFonts w:ascii="仿宋" w:hAnsi="仿宋" w:eastAsia="仿宋"/>
        </w:rPr>
        <w:t>签约日期：   年   月   日</w:t>
      </w:r>
    </w:p>
    <w:p>
      <w:pPr>
        <w:spacing w:line="360" w:lineRule="exact"/>
        <w:rPr>
          <w:rStyle w:val="104"/>
          <w:rFonts w:ascii="宋体"/>
          <w:szCs w:val="21"/>
        </w:rPr>
      </w:pPr>
      <w:r>
        <w:rPr>
          <w:rStyle w:val="104"/>
          <w:rFonts w:ascii="宋体"/>
        </w:rPr>
        <w:tab/>
      </w:r>
      <w:r>
        <w:rPr>
          <w:rStyle w:val="104"/>
          <w:rFonts w:ascii="宋体"/>
        </w:rPr>
        <w:tab/>
      </w:r>
      <w:r>
        <w:rPr>
          <w:rStyle w:val="104"/>
          <w:rFonts w:ascii="宋体"/>
        </w:rPr>
        <w:tab/>
      </w:r>
      <w:r>
        <w:rPr>
          <w:rStyle w:val="104"/>
          <w:rFonts w:ascii="宋体"/>
        </w:rPr>
        <w:t xml:space="preserve">     </w:t>
      </w:r>
    </w:p>
    <w:p>
      <w:pPr>
        <w:widowControl/>
        <w:spacing w:line="360" w:lineRule="auto"/>
        <w:jc w:val="left"/>
        <w:rPr>
          <w:rFonts w:ascii="宋体" w:hAnsi="宋体" w:cs="宋体"/>
          <w:sz w:val="28"/>
          <w:szCs w:val="28"/>
        </w:rPr>
        <w:sectPr>
          <w:pgSz w:w="11906" w:h="16838"/>
          <w:pgMar w:top="1440" w:right="1474" w:bottom="1440" w:left="1474" w:header="851" w:footer="992" w:gutter="0"/>
          <w:cols w:space="720" w:num="1"/>
          <w:docGrid w:type="lines" w:linePitch="312" w:charSpace="0"/>
        </w:sectPr>
      </w:pPr>
    </w:p>
    <w:p>
      <w:pPr>
        <w:widowControl/>
        <w:spacing w:line="360" w:lineRule="auto"/>
        <w:jc w:val="left"/>
        <w:rPr>
          <w:rFonts w:ascii="宋体" w:hAnsi="宋体" w:cs="宋体"/>
          <w:sz w:val="30"/>
        </w:rPr>
      </w:pPr>
      <w:bookmarkStart w:id="245" w:name="_Toc15803"/>
      <w:bookmarkStart w:id="246" w:name="_Toc30589"/>
      <w:r>
        <w:rPr>
          <w:rFonts w:hint="eastAsia" w:ascii="宋体" w:hAnsi="宋体" w:cs="宋体"/>
          <w:b/>
          <w:color w:val="000000"/>
          <w:sz w:val="28"/>
          <w:szCs w:val="28"/>
        </w:rPr>
        <w:t>附件一：</w:t>
      </w:r>
      <w:bookmarkEnd w:id="245"/>
      <w:bookmarkEnd w:id="246"/>
      <w:bookmarkStart w:id="247" w:name="_Toc508800738"/>
      <w:r>
        <w:rPr>
          <w:rFonts w:hint="eastAsia" w:ascii="宋体" w:hAnsi="宋体" w:cs="宋体"/>
          <w:b/>
          <w:color w:val="000000"/>
          <w:sz w:val="28"/>
          <w:szCs w:val="28"/>
        </w:rPr>
        <w:drawing>
          <wp:anchor distT="0" distB="0" distL="114300" distR="114300" simplePos="0" relativeHeight="251660288" behindDoc="0" locked="0" layoutInCell="1" allowOverlap="1">
            <wp:simplePos x="0" y="0"/>
            <wp:positionH relativeFrom="column">
              <wp:posOffset>45720</wp:posOffset>
            </wp:positionH>
            <wp:positionV relativeFrom="paragraph">
              <wp:posOffset>495300</wp:posOffset>
            </wp:positionV>
            <wp:extent cx="1304925" cy="1304925"/>
            <wp:effectExtent l="19050" t="0" r="9525" b="0"/>
            <wp:wrapSquare wrapText="bothSides"/>
            <wp:docPr id="4" name="图片 1" descr="C:\Users\Administrator\Desktop\QQ图片20180125112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QQ图片20180125112943.jpg"/>
                    <pic:cNvPicPr>
                      <a:picLocks noChangeAspect="1" noChangeArrowheads="1"/>
                    </pic:cNvPicPr>
                  </pic:nvPicPr>
                  <pic:blipFill>
                    <a:blip r:embed="rId16" cstate="print"/>
                    <a:srcRect/>
                    <a:stretch>
                      <a:fillRect/>
                    </a:stretch>
                  </pic:blipFill>
                  <pic:spPr>
                    <a:xfrm>
                      <a:off x="0" y="0"/>
                      <a:ext cx="1304925" cy="1304925"/>
                    </a:xfrm>
                    <a:prstGeom prst="rect">
                      <a:avLst/>
                    </a:prstGeom>
                    <a:noFill/>
                    <a:ln w="9525">
                      <a:noFill/>
                      <a:miter lim="800000"/>
                      <a:headEnd/>
                      <a:tailEnd/>
                    </a:ln>
                  </pic:spPr>
                </pic:pic>
              </a:graphicData>
            </a:graphic>
          </wp:anchor>
        </w:drawing>
      </w:r>
      <w:r>
        <w:rPr>
          <w:rFonts w:hint="eastAsia" w:ascii="宋体" w:hAnsi="宋体" w:cs="宋体"/>
          <w:b/>
          <w:color w:val="000000"/>
          <w:sz w:val="28"/>
          <w:szCs w:val="28"/>
        </w:rPr>
        <w:t>联系方式</w:t>
      </w:r>
      <w:bookmarkEnd w:id="247"/>
    </w:p>
    <w:p>
      <w:pPr>
        <w:rPr>
          <w:rFonts w:ascii="宋体" w:hAnsi="宋体" w:cs="宋体"/>
          <w:b/>
          <w:bCs/>
          <w:sz w:val="30"/>
          <w:szCs w:val="32"/>
        </w:rPr>
      </w:pPr>
    </w:p>
    <w:p>
      <w:pPr>
        <w:spacing w:line="360" w:lineRule="auto"/>
        <w:rPr>
          <w:sz w:val="28"/>
          <w:szCs w:val="28"/>
        </w:rPr>
      </w:pPr>
      <w:r>
        <w:rPr>
          <w:rFonts w:hint="eastAsia"/>
          <w:sz w:val="28"/>
          <w:szCs w:val="28"/>
        </w:rPr>
        <w:t>电话：028-65731881</w:t>
      </w:r>
    </w:p>
    <w:p>
      <w:pPr>
        <w:spacing w:line="360" w:lineRule="auto"/>
        <w:rPr>
          <w:sz w:val="28"/>
          <w:szCs w:val="28"/>
        </w:rPr>
      </w:pPr>
      <w:r>
        <w:rPr>
          <w:rFonts w:hint="eastAsia"/>
          <w:sz w:val="28"/>
          <w:szCs w:val="28"/>
        </w:rPr>
        <w:t>地址：成都市锦江区墨香路87号8栋4楼</w:t>
      </w:r>
    </w:p>
    <w:p>
      <w:pPr>
        <w:spacing w:line="360" w:lineRule="auto"/>
        <w:rPr>
          <w:sz w:val="28"/>
          <w:szCs w:val="28"/>
        </w:rPr>
      </w:pPr>
      <w:r>
        <w:rPr>
          <w:rFonts w:hint="eastAsia"/>
          <w:sz w:val="28"/>
          <w:szCs w:val="28"/>
        </w:rPr>
        <w:t>网址：</w:t>
      </w:r>
      <w:r>
        <w:fldChar w:fldCharType="begin"/>
      </w:r>
      <w:r>
        <w:instrText xml:space="preserve"> HYPERLINK "http://www.scbidding.com" </w:instrText>
      </w:r>
      <w:r>
        <w:fldChar w:fldCharType="separate"/>
      </w:r>
      <w:r>
        <w:rPr>
          <w:rFonts w:hint="eastAsia"/>
          <w:sz w:val="28"/>
          <w:szCs w:val="28"/>
        </w:rPr>
        <w:t>www.scbidding.com</w:t>
      </w:r>
      <w:r>
        <w:rPr>
          <w:rFonts w:hint="eastAsia"/>
          <w:sz w:val="28"/>
          <w:szCs w:val="28"/>
        </w:rPr>
        <w:fldChar w:fldCharType="end"/>
      </w:r>
    </w:p>
    <w:p>
      <w:pPr>
        <w:spacing w:line="360" w:lineRule="auto"/>
        <w:rPr>
          <w:rFonts w:ascii="宋体" w:hAnsi="宋体" w:cs="宋体"/>
          <w:sz w:val="28"/>
          <w:szCs w:val="28"/>
        </w:rPr>
        <w:sectPr>
          <w:pgSz w:w="11907" w:h="16840"/>
          <w:pgMar w:top="1134" w:right="1134" w:bottom="1134" w:left="1418" w:header="567" w:footer="567" w:gutter="0"/>
          <w:cols w:space="720" w:num="1"/>
          <w:docGrid w:linePitch="326" w:charSpace="0"/>
        </w:sectPr>
      </w:pPr>
    </w:p>
    <w:p>
      <w:pPr>
        <w:outlineLvl w:val="1"/>
        <w:rPr>
          <w:rFonts w:ascii="宋体" w:hAnsi="宋体" w:cs="宋体"/>
          <w:b/>
          <w:bCs/>
          <w:sz w:val="24"/>
          <w:szCs w:val="32"/>
        </w:rPr>
      </w:pPr>
      <w:r>
        <w:rPr>
          <w:rFonts w:hint="eastAsia" w:ascii="宋体" w:hAnsi="宋体" w:cs="宋体"/>
          <w:b/>
          <w:bCs/>
          <w:sz w:val="24"/>
          <w:szCs w:val="32"/>
        </w:rPr>
        <w:t>附件二：政府采购云平台使用介绍</w:t>
      </w:r>
    </w:p>
    <w:p>
      <w:pPr>
        <w:rPr>
          <w:rFonts w:ascii="宋体" w:hAnsi="宋体" w:cs="宋体"/>
          <w:b/>
          <w:bCs/>
          <w:sz w:val="24"/>
          <w:szCs w:val="32"/>
        </w:rPr>
      </w:pPr>
      <w:r>
        <w:rPr>
          <w:rFonts w:hint="eastAsia" w:ascii="宋体" w:hAnsi="宋体" w:cs="宋体"/>
          <w:b/>
          <w:bCs/>
          <w:sz w:val="24"/>
          <w:szCs w:val="32"/>
        </w:rPr>
        <w:t>1.输入网址：</w:t>
      </w:r>
      <w:r>
        <w:fldChar w:fldCharType="begin"/>
      </w:r>
      <w:r>
        <w:instrText xml:space="preserve"> HYPERLINK "https://www.zcygov.cn" </w:instrText>
      </w:r>
      <w:r>
        <w:fldChar w:fldCharType="separate"/>
      </w:r>
      <w:r>
        <w:rPr>
          <w:rStyle w:val="46"/>
          <w:rFonts w:hint="eastAsia" w:ascii="宋体" w:hAnsi="宋体" w:cs="宋体"/>
          <w:b/>
          <w:bCs/>
          <w:sz w:val="24"/>
          <w:szCs w:val="32"/>
        </w:rPr>
        <w:t>https://www.zcygov.cn</w:t>
      </w:r>
      <w:r>
        <w:rPr>
          <w:rStyle w:val="46"/>
          <w:rFonts w:hint="eastAsia" w:ascii="宋体" w:hAnsi="宋体" w:cs="宋体"/>
          <w:b/>
          <w:bCs/>
          <w:sz w:val="24"/>
          <w:szCs w:val="32"/>
        </w:rPr>
        <w:fldChar w:fldCharType="end"/>
      </w:r>
    </w:p>
    <w:p>
      <w:pPr>
        <w:rPr>
          <w:rFonts w:ascii="宋体" w:hAnsi="宋体" w:cs="宋体"/>
          <w:b/>
          <w:bCs/>
          <w:sz w:val="24"/>
          <w:szCs w:val="32"/>
        </w:rPr>
      </w:pPr>
      <w:r>
        <w:rPr>
          <w:rFonts w:hint="eastAsia" w:ascii="宋体" w:hAnsi="宋体" w:cs="宋体"/>
          <w:b/>
          <w:bCs/>
          <w:sz w:val="24"/>
          <w:szCs w:val="32"/>
        </w:rPr>
        <w:t>2.选择与项目对应的行政区域如：四川省-成都市-成都市本级</w:t>
      </w:r>
    </w:p>
    <w:p>
      <w:r>
        <w:drawing>
          <wp:inline distT="0" distB="0" distL="114300" distR="114300">
            <wp:extent cx="6691630" cy="4184650"/>
            <wp:effectExtent l="0" t="0" r="13970" b="635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7"/>
                    <a:stretch>
                      <a:fillRect/>
                    </a:stretch>
                  </pic:blipFill>
                  <pic:spPr>
                    <a:xfrm>
                      <a:off x="0" y="0"/>
                      <a:ext cx="6691630" cy="4184650"/>
                    </a:xfrm>
                    <a:prstGeom prst="rect">
                      <a:avLst/>
                    </a:prstGeom>
                    <a:noFill/>
                    <a:ln>
                      <a:noFill/>
                    </a:ln>
                  </pic:spPr>
                </pic:pic>
              </a:graphicData>
            </a:graphic>
          </wp:inline>
        </w:drawing>
      </w:r>
    </w:p>
    <w:p>
      <w:pPr>
        <w:numPr>
          <w:ilvl w:val="0"/>
          <w:numId w:val="16"/>
        </w:numPr>
        <w:rPr>
          <w:rFonts w:ascii="宋体" w:hAnsi="宋体" w:cs="宋体"/>
          <w:b/>
          <w:bCs/>
          <w:sz w:val="24"/>
          <w:szCs w:val="32"/>
        </w:rPr>
      </w:pPr>
      <w:r>
        <w:rPr>
          <w:rFonts w:hint="eastAsia" w:ascii="宋体" w:hAnsi="宋体" w:cs="宋体"/>
          <w:b/>
          <w:bCs/>
          <w:sz w:val="24"/>
          <w:szCs w:val="32"/>
        </w:rPr>
        <w:t>点击操作指南-供应商</w:t>
      </w:r>
    </w:p>
    <w:p>
      <w:pPr>
        <w:rPr>
          <w:b/>
          <w:bCs/>
        </w:rPr>
      </w:pPr>
      <w:r>
        <w:drawing>
          <wp:inline distT="0" distB="0" distL="114300" distR="114300">
            <wp:extent cx="8854440" cy="4585335"/>
            <wp:effectExtent l="0" t="0" r="3810" b="571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8"/>
                    <a:stretch>
                      <a:fillRect/>
                    </a:stretch>
                  </pic:blipFill>
                  <pic:spPr>
                    <a:xfrm>
                      <a:off x="0" y="0"/>
                      <a:ext cx="8854440" cy="4585335"/>
                    </a:xfrm>
                    <a:prstGeom prst="rect">
                      <a:avLst/>
                    </a:prstGeom>
                    <a:noFill/>
                    <a:ln>
                      <a:noFill/>
                    </a:ln>
                  </pic:spPr>
                </pic:pic>
              </a:graphicData>
            </a:graphic>
          </wp:inline>
        </w:drawing>
      </w:r>
      <w:r>
        <w:br w:type="page"/>
      </w:r>
      <w:r>
        <w:rPr>
          <w:rFonts w:hint="eastAsia" w:ascii="宋体" w:hAnsi="宋体" w:cs="宋体"/>
          <w:b/>
          <w:bCs/>
          <w:sz w:val="24"/>
          <w:szCs w:val="32"/>
        </w:rPr>
        <w:t>4.进入政采云供应商学习专题页面</w:t>
      </w:r>
      <w:r>
        <w:rPr>
          <w:rFonts w:hint="eastAsia"/>
          <w:b/>
          <w:bCs/>
        </w:rPr>
        <w:t>（https://edu.zcygov.cn/luban/xxzt-chengdu-gys?utm=a0017.b1347.cl50.5.0917bc90b7bb11eb807c353645758db6）</w:t>
      </w:r>
    </w:p>
    <w:p>
      <w:r>
        <w:drawing>
          <wp:inline distT="0" distB="0" distL="114300" distR="114300">
            <wp:extent cx="9255760" cy="4606290"/>
            <wp:effectExtent l="0" t="0" r="2540" b="381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9"/>
                    <a:stretch>
                      <a:fillRect/>
                    </a:stretch>
                  </pic:blipFill>
                  <pic:spPr>
                    <a:xfrm>
                      <a:off x="0" y="0"/>
                      <a:ext cx="9255760" cy="4606290"/>
                    </a:xfrm>
                    <a:prstGeom prst="rect">
                      <a:avLst/>
                    </a:prstGeom>
                    <a:noFill/>
                    <a:ln>
                      <a:noFill/>
                    </a:ln>
                  </pic:spPr>
                </pic:pic>
              </a:graphicData>
            </a:graphic>
          </wp:inline>
        </w:drawing>
      </w:r>
    </w:p>
    <w:p>
      <w:pPr>
        <w:rPr>
          <w:rFonts w:ascii="宋体" w:hAnsi="宋体" w:cs="宋体"/>
          <w:b/>
          <w:bCs/>
          <w:sz w:val="24"/>
          <w:szCs w:val="32"/>
        </w:rPr>
      </w:pPr>
      <w:r>
        <w:rPr>
          <w:rFonts w:hint="eastAsia"/>
        </w:rPr>
        <w:br w:type="page"/>
      </w:r>
      <w:r>
        <w:rPr>
          <w:rFonts w:hint="eastAsia" w:ascii="宋体" w:hAnsi="宋体" w:cs="宋体"/>
          <w:b/>
          <w:bCs/>
          <w:sz w:val="24"/>
          <w:szCs w:val="32"/>
        </w:rPr>
        <w:t>5.供应商资讯服务渠道</w:t>
      </w:r>
    </w:p>
    <w:p>
      <w:r>
        <w:drawing>
          <wp:inline distT="0" distB="0" distL="114300" distR="114300">
            <wp:extent cx="9380855" cy="3362960"/>
            <wp:effectExtent l="0" t="0" r="10795" b="889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0"/>
                    <a:stretch>
                      <a:fillRect/>
                    </a:stretch>
                  </pic:blipFill>
                  <pic:spPr>
                    <a:xfrm>
                      <a:off x="0" y="0"/>
                      <a:ext cx="9380855" cy="3362960"/>
                    </a:xfrm>
                    <a:prstGeom prst="rect">
                      <a:avLst/>
                    </a:prstGeom>
                    <a:noFill/>
                    <a:ln>
                      <a:noFill/>
                    </a:ln>
                  </pic:spPr>
                </pic:pic>
              </a:graphicData>
            </a:graphic>
          </wp:inline>
        </w:drawing>
      </w:r>
    </w:p>
    <w:p>
      <w:r>
        <w:br w:type="page"/>
      </w:r>
      <w:r>
        <w:rPr>
          <w:rFonts w:hint="eastAsia" w:ascii="宋体" w:hAnsi="宋体" w:cs="宋体"/>
          <w:b/>
          <w:bCs/>
          <w:sz w:val="24"/>
          <w:szCs w:val="32"/>
        </w:rPr>
        <w:t>6.入驻政府采购云平台（注册）</w:t>
      </w:r>
    </w:p>
    <w:p>
      <w:r>
        <w:drawing>
          <wp:inline distT="0" distB="0" distL="114300" distR="114300">
            <wp:extent cx="8853805" cy="3604895"/>
            <wp:effectExtent l="0" t="0" r="4445" b="1460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1"/>
                    <a:stretch>
                      <a:fillRect/>
                    </a:stretch>
                  </pic:blipFill>
                  <pic:spPr>
                    <a:xfrm>
                      <a:off x="0" y="0"/>
                      <a:ext cx="8853805" cy="3604895"/>
                    </a:xfrm>
                    <a:prstGeom prst="rect">
                      <a:avLst/>
                    </a:prstGeom>
                    <a:noFill/>
                    <a:ln>
                      <a:noFill/>
                    </a:ln>
                  </pic:spPr>
                </pic:pic>
              </a:graphicData>
            </a:graphic>
          </wp:inline>
        </w:drawing>
      </w:r>
    </w:p>
    <w:p>
      <w:r>
        <w:br w:type="page"/>
      </w:r>
      <w:r>
        <w:rPr>
          <w:rFonts w:hint="eastAsia" w:ascii="宋体" w:hAnsi="宋体" w:cs="宋体"/>
          <w:b/>
          <w:bCs/>
          <w:sz w:val="24"/>
          <w:szCs w:val="32"/>
        </w:rPr>
        <w:t>7.下载《供应商政府采购项目电子交易操作指南》</w:t>
      </w:r>
    </w:p>
    <w:p>
      <w:pPr>
        <w:pStyle w:val="52"/>
      </w:pPr>
      <w:r>
        <w:drawing>
          <wp:inline distT="0" distB="0" distL="114300" distR="114300">
            <wp:extent cx="8860155" cy="4909185"/>
            <wp:effectExtent l="0" t="0" r="17145"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2"/>
                    <a:stretch>
                      <a:fillRect/>
                    </a:stretch>
                  </pic:blipFill>
                  <pic:spPr>
                    <a:xfrm>
                      <a:off x="0" y="0"/>
                      <a:ext cx="8860155" cy="4909185"/>
                    </a:xfrm>
                    <a:prstGeom prst="rect">
                      <a:avLst/>
                    </a:prstGeom>
                    <a:noFill/>
                    <a:ln>
                      <a:noFill/>
                    </a:ln>
                  </pic:spPr>
                </pic:pic>
              </a:graphicData>
            </a:graphic>
          </wp:inline>
        </w:drawing>
      </w:r>
    </w:p>
    <w:sectPr>
      <w:pgSz w:w="16840" w:h="11907" w:orient="landscape"/>
      <w:pgMar w:top="1418" w:right="1134" w:bottom="1134" w:left="1134" w:header="56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ʩ">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8</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ascii="宋体" w:hAnsi="宋体" w:cs="宋体"/>
        <w:bCs/>
        <w:color w:val="000000"/>
        <w:szCs w:val="21"/>
      </w:rPr>
      <w:t>成都市锦江区墨香路87号8栋4楼</w:t>
    </w:r>
    <w:r>
      <w:rPr>
        <w:rFonts w:hint="eastAsia" w:ascii="宋体" w:hAnsi="宋体" w:eastAsia="宋体" w:cs="宋体"/>
        <w:bCs/>
        <w:color w:val="000000"/>
        <w:szCs w:val="21"/>
      </w:rPr>
      <w:t xml:space="preserve">         </w:t>
    </w:r>
    <w:r>
      <w:rPr>
        <w:rFonts w:hint="eastAsia"/>
      </w:rPr>
      <w:t>联系电话</w:t>
    </w:r>
    <w:r>
      <w:rPr>
        <w:rFonts w:hint="eastAsia" w:eastAsia="宋体"/>
      </w:rPr>
      <w:t>：</w:t>
    </w:r>
    <w:r>
      <w:rPr>
        <w:rFonts w:hint="eastAsia"/>
      </w:rPr>
      <w:t xml:space="preserve">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28</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w:t>
    </w:r>
    <w:r>
      <w:rPr>
        <w:rFonts w:hint="eastAsia" w:eastAsia="宋体"/>
      </w:rPr>
      <w:t>：</w:t>
    </w:r>
    <w:r>
      <w:rPr>
        <w:rFonts w:hint="eastAsia"/>
      </w:rPr>
      <w:t xml:space="preserve">028-65731881 </w: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mc:AlternateContent>
        <mc:Choice Requires="wps">
          <w:drawing>
            <wp:anchor distT="0" distB="0" distL="114300" distR="114300" simplePos="0" relativeHeight="251665408" behindDoc="0" locked="0" layoutInCell="1" allowOverlap="1">
              <wp:simplePos x="0" y="0"/>
              <wp:positionH relativeFrom="margin">
                <wp:posOffset>-1905</wp:posOffset>
              </wp:positionH>
              <wp:positionV relativeFrom="paragraph">
                <wp:posOffset>-15875</wp:posOffset>
              </wp:positionV>
              <wp:extent cx="5705475"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a:noFill/>
                      </a:ln>
                    </wps:spPr>
                    <wps:txbx>
                      <w:txbxContent>
                        <w:p>
                          <w:pPr>
                            <w:pStyle w:val="22"/>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43</w:t>
                          </w:r>
                          <w:r>
                            <w:rPr>
                              <w:lang w:val="zh-CN"/>
                            </w:rPr>
                            <w:fldChar w:fldCharType="end"/>
                          </w:r>
                        </w:p>
                      </w:txbxContent>
                    </wps:txbx>
                    <wps:bodyPr lIns="0" tIns="0" rIns="0" bIns="0" upright="1">
                      <a:spAutoFit/>
                    </wps:bodyPr>
                  </wps:wsp>
                </a:graphicData>
              </a:graphic>
            </wp:anchor>
          </w:drawing>
        </mc:Choice>
        <mc:Fallback>
          <w:pict>
            <v:shape id="文本框 7" o:spid="_x0000_s1026" o:spt="202" type="#_x0000_t202" style="position:absolute;left:0pt;margin-left:-0.15pt;margin-top:-1.25pt;height:144pt;width:449.25pt;mso-position-horizontal-relative:margin;z-index:251665408;mso-width-relative:page;mso-height-relative:page;" filled="f" stroked="f" coordsize="21600,21600" o:gfxdata="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8bFxXWAAAACAEAAA8AAAAAAAAAAQAgAAAAIgAAAGRycy9kb3du&#10;cmV2LnhtbFBLAQIUABQAAAAIAIdO4kAB5cKlyAEAAI0DAAAOAAAAAAAAAAEAIAAAACUBAABkcnMv&#10;ZTJvRG9jLnhtbFBLBQYAAAAABgAGAFkBAABfBQAAAAA=&#10;">
              <v:fill on="f" focussize="0,0"/>
              <v:stroke on="f"/>
              <v:imagedata o:title=""/>
              <o:lock v:ext="edit" aspectratio="f"/>
              <v:textbox inset="0mm,0mm,0mm,0mm" style="mso-fit-shape-to-text:t;">
                <w:txbxContent>
                  <w:p>
                    <w:pPr>
                      <w:pStyle w:val="22"/>
                      <w:pBdr>
                        <w:top w:val="none" w:color="auto" w:sz="0"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w:rPr>
                        <w:rFonts w:hint="eastAsia" w:eastAsia="宋体"/>
                      </w:rPr>
                      <w:t xml:space="preserve">                 </w:t>
                    </w:r>
                    <w:r>
                      <w:rPr>
                        <w:rFonts w:hint="eastAsia"/>
                      </w:rPr>
                      <w:t xml:space="preserve"> </w:t>
                    </w:r>
                    <w:r>
                      <w:fldChar w:fldCharType="begin"/>
                    </w:r>
                    <w:r>
                      <w:instrText xml:space="preserve">PAGE   \* MERGEFORMAT</w:instrText>
                    </w:r>
                    <w:r>
                      <w:fldChar w:fldCharType="separate"/>
                    </w:r>
                    <w:r>
                      <w:rPr>
                        <w:lang w:val="zh-CN"/>
                      </w:rPr>
                      <w:t>43</w:t>
                    </w:r>
                    <w:r>
                      <w:rPr>
                        <w:lang w:val="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wordWrap w:val="0"/>
      <w:jc w:val="both"/>
    </w:pPr>
    <w:r>
      <w:rPr>
        <w:rFonts w:hint="eastAsia"/>
      </w:rPr>
      <w:t>地址：</w:t>
    </w:r>
    <w:r>
      <w:rPr>
        <w:rFonts w:hint="eastAsia" w:eastAsia="宋体"/>
      </w:rPr>
      <w:t>成都市锦江区墨香路87号8栋4楼</w:t>
    </w:r>
    <w:r>
      <w:rPr>
        <w:rFonts w:hint="eastAsia"/>
      </w:rPr>
      <w:t xml:space="preserve">    联系电话028-65731881 </w: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MQ4skBAACZAwAADgAAAGRycy9lMm9Eb2MueG1srVNLbtswEN0XyB0I&#10;7mPKXrSC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ytSe3kOFWU8e8+Jw5wZcmtkP6EyqhzaY9EU9BOPY3NOluXKIRKRH5aosCwwJjM0XxGfPz32A+F46&#10;Q5JR04DTy03lx0eIY+qckqpZd6+0zhPU9i8HYiYPS9xHjsmKw26YBO1cc0I9PQ6+phb3nBL9YLGv&#10;aUdmI8zGbjYOPqh9h9SWmRf420NEEplbqjDCToVxYlndtF1pJf6856znP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0xDiyQEAAJkDAAAOAAAAAAAAAAEAIAAAAB4BAABkcnMvZTJvRG9j&#10;LnhtbFBLBQYAAAAABgAGAFkBAABZ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22"/>
        <w:szCs w:val="22"/>
      </w:rPr>
    </w:pPr>
    <w:r>
      <w:drawing>
        <wp:anchor distT="0" distB="0" distL="114300" distR="114300" simplePos="0" relativeHeight="251660288" behindDoc="0" locked="0" layoutInCell="1" allowOverlap="1">
          <wp:simplePos x="0" y="0"/>
          <wp:positionH relativeFrom="column">
            <wp:posOffset>22225</wp:posOffset>
          </wp:positionH>
          <wp:positionV relativeFrom="paragraph">
            <wp:posOffset>-209550</wp:posOffset>
          </wp:positionV>
          <wp:extent cx="257175" cy="392430"/>
          <wp:effectExtent l="19050" t="0" r="9525" b="0"/>
          <wp:wrapNone/>
          <wp:docPr id="1"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未命名 -2"/>
                  <pic:cNvPicPr>
                    <a:picLocks noChangeAspect="1" noChangeArrowheads="1"/>
                  </pic:cNvPicPr>
                </pic:nvPicPr>
                <pic:blipFill>
                  <a:blip r:embed="rId1"/>
                  <a:srcRect/>
                  <a:stretch>
                    <a:fillRect/>
                  </a:stretch>
                </pic:blipFill>
                <pic:spPr>
                  <a:xfrm>
                    <a:off x="0" y="0"/>
                    <a:ext cx="257175" cy="392430"/>
                  </a:xfrm>
                  <a:prstGeom prst="rect">
                    <a:avLst/>
                  </a:prstGeom>
                  <a:noFill/>
                  <a:ln w="9525">
                    <a:noFill/>
                    <a:miter lim="800000"/>
                    <a:headEnd/>
                    <a:tailEnd/>
                  </a:ln>
                </pic:spPr>
              </pic:pic>
            </a:graphicData>
          </a:graphic>
        </wp:anchor>
      </w:drawing>
    </w:r>
    <w:r>
      <w:rPr>
        <w:rFonts w:hint="eastAsia"/>
        <w:sz w:val="22"/>
        <w:szCs w:val="22"/>
      </w:rPr>
      <w:t>四川轩辕招标代理有限公司                        公开  公平  公正  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rPr>
        <w:rFonts w:hint="eastAsia"/>
      </w:rPr>
      <w:t>四川省工商行政管理局数据中心建设项目政府采购—招标文件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22"/>
        <w:szCs w:val="22"/>
      </w:rPr>
    </w:pPr>
    <w:r>
      <w:drawing>
        <wp:anchor distT="0" distB="0" distL="114300" distR="114300" simplePos="0" relativeHeight="251661312"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2"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22"/>
        <w:szCs w:val="22"/>
      </w:rPr>
    </w:pPr>
    <w:r>
      <w:drawing>
        <wp:anchor distT="0" distB="0" distL="114300" distR="114300" simplePos="0" relativeHeight="251663360" behindDoc="0" locked="0" layoutInCell="1" allowOverlap="1">
          <wp:simplePos x="0" y="0"/>
          <wp:positionH relativeFrom="column">
            <wp:posOffset>22225</wp:posOffset>
          </wp:positionH>
          <wp:positionV relativeFrom="paragraph">
            <wp:posOffset>-209550</wp:posOffset>
          </wp:positionV>
          <wp:extent cx="257175" cy="392430"/>
          <wp:effectExtent l="0" t="0" r="9525" b="6985"/>
          <wp:wrapNone/>
          <wp:docPr id="5" name="图片 3"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未命名 -2"/>
                  <pic:cNvPicPr>
                    <a:picLocks noChangeAspect="1"/>
                  </pic:cNvPicPr>
                </pic:nvPicPr>
                <pic:blipFill>
                  <a:blip r:embed="rId1"/>
                  <a:stretch>
                    <a:fillRect/>
                  </a:stretch>
                </pic:blipFill>
                <pic:spPr>
                  <a:xfrm>
                    <a:off x="0" y="0"/>
                    <a:ext cx="257175" cy="392430"/>
                  </a:xfrm>
                  <a:prstGeom prst="rect">
                    <a:avLst/>
                  </a:prstGeom>
                  <a:noFill/>
                  <a:ln>
                    <a:noFill/>
                  </a:ln>
                </pic:spPr>
              </pic:pic>
            </a:graphicData>
          </a:graphic>
        </wp:anchor>
      </w:drawing>
    </w:r>
    <w:r>
      <w:rPr>
        <w:rFonts w:hint="eastAsia"/>
        <w:sz w:val="22"/>
        <w:szCs w:val="22"/>
      </w:rPr>
      <w:t>四川轩辕招标代理有限公司                        公开  公平  公正  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D4B6"/>
    <w:multiLevelType w:val="singleLevel"/>
    <w:tmpl w:val="8760D4B6"/>
    <w:lvl w:ilvl="0" w:tentative="0">
      <w:start w:val="1"/>
      <w:numFmt w:val="decimal"/>
      <w:lvlText w:val="%1."/>
      <w:lvlJc w:val="left"/>
      <w:pPr>
        <w:tabs>
          <w:tab w:val="left" w:pos="312"/>
        </w:tabs>
      </w:pPr>
    </w:lvl>
  </w:abstractNum>
  <w:abstractNum w:abstractNumId="1">
    <w:nsid w:val="9B6CE46F"/>
    <w:multiLevelType w:val="singleLevel"/>
    <w:tmpl w:val="9B6CE46F"/>
    <w:lvl w:ilvl="0" w:tentative="0">
      <w:start w:val="1"/>
      <w:numFmt w:val="decimal"/>
      <w:pStyle w:val="10"/>
      <w:lvlText w:val="%1."/>
      <w:lvlJc w:val="left"/>
      <w:pPr>
        <w:tabs>
          <w:tab w:val="left" w:pos="360"/>
        </w:tabs>
        <w:ind w:left="360" w:hanging="360"/>
      </w:pPr>
    </w:lvl>
  </w:abstractNum>
  <w:abstractNum w:abstractNumId="2">
    <w:nsid w:val="00000005"/>
    <w:multiLevelType w:val="singleLevel"/>
    <w:tmpl w:val="00000005"/>
    <w:lvl w:ilvl="0" w:tentative="0">
      <w:start w:val="3"/>
      <w:numFmt w:val="chineseCounting"/>
      <w:suff w:val="nothing"/>
      <w:lvlText w:val="%1、"/>
      <w:lvlJc w:val="left"/>
    </w:lvl>
  </w:abstractNum>
  <w:abstractNum w:abstractNumId="3">
    <w:nsid w:val="00000007"/>
    <w:multiLevelType w:val="singleLevel"/>
    <w:tmpl w:val="00000007"/>
    <w:lvl w:ilvl="0" w:tentative="0">
      <w:start w:val="4"/>
      <w:numFmt w:val="chineseCounting"/>
      <w:suff w:val="nothing"/>
      <w:lvlText w:val="%1、"/>
      <w:lvlJc w:val="left"/>
    </w:lvl>
  </w:abstractNum>
  <w:abstractNum w:abstractNumId="4">
    <w:nsid w:val="00000008"/>
    <w:multiLevelType w:val="singleLevel"/>
    <w:tmpl w:val="00000008"/>
    <w:lvl w:ilvl="0" w:tentative="0">
      <w:start w:val="1"/>
      <w:numFmt w:val="chineseCounting"/>
      <w:suff w:val="nothing"/>
      <w:lvlText w:val="%1、"/>
      <w:lvlJc w:val="left"/>
    </w:lvl>
  </w:abstractNum>
  <w:abstractNum w:abstractNumId="5">
    <w:nsid w:val="0000000A"/>
    <w:multiLevelType w:val="singleLevel"/>
    <w:tmpl w:val="0000000A"/>
    <w:lvl w:ilvl="0" w:tentative="0">
      <w:start w:val="2"/>
      <w:numFmt w:val="decimal"/>
      <w:suff w:val="nothing"/>
      <w:lvlText w:val="%1."/>
      <w:lvlJc w:val="left"/>
    </w:lvl>
  </w:abstractNum>
  <w:abstractNum w:abstractNumId="6">
    <w:nsid w:val="0000000C"/>
    <w:multiLevelType w:val="multilevel"/>
    <w:tmpl w:val="0000000C"/>
    <w:lvl w:ilvl="0" w:tentative="0">
      <w:start w:val="1"/>
      <w:numFmt w:val="decimal"/>
      <w:suff w:val="nothing"/>
      <w:lvlText w:val="%1、"/>
      <w:lvlJc w:val="left"/>
      <w:pPr>
        <w:ind w:left="0" w:firstLine="0"/>
      </w:pPr>
    </w:lvl>
    <w:lvl w:ilvl="1" w:tentative="0">
      <w:start w:val="1"/>
      <w:numFmt w:val="decimal"/>
      <w:pStyle w:val="80"/>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E"/>
    <w:multiLevelType w:val="singleLevel"/>
    <w:tmpl w:val="0000000E"/>
    <w:lvl w:ilvl="0" w:tentative="0">
      <w:start w:val="1"/>
      <w:numFmt w:val="decimal"/>
      <w:suff w:val="nothing"/>
      <w:lvlText w:val="%1、"/>
      <w:lvlJc w:val="left"/>
      <w:pPr>
        <w:ind w:left="0" w:firstLine="0"/>
      </w:pPr>
    </w:lvl>
  </w:abstractNum>
  <w:abstractNum w:abstractNumId="8">
    <w:nsid w:val="00000010"/>
    <w:multiLevelType w:val="singleLevel"/>
    <w:tmpl w:val="00000010"/>
    <w:lvl w:ilvl="0" w:tentative="0">
      <w:start w:val="5"/>
      <w:numFmt w:val="chineseCounting"/>
      <w:suff w:val="nothing"/>
      <w:lvlText w:val="%1、"/>
      <w:lvlJc w:val="left"/>
    </w:lvl>
  </w:abstractNum>
  <w:abstractNum w:abstractNumId="9">
    <w:nsid w:val="00000013"/>
    <w:multiLevelType w:val="singleLevel"/>
    <w:tmpl w:val="00000013"/>
    <w:lvl w:ilvl="0" w:tentative="0">
      <w:start w:val="6"/>
      <w:numFmt w:val="chineseCounting"/>
      <w:suff w:val="nothing"/>
      <w:lvlText w:val="%1、"/>
      <w:lvlJc w:val="left"/>
    </w:lvl>
  </w:abstractNum>
  <w:abstractNum w:abstractNumId="10">
    <w:nsid w:val="00474DCA"/>
    <w:multiLevelType w:val="multilevel"/>
    <w:tmpl w:val="00474DCA"/>
    <w:lvl w:ilvl="0" w:tentative="0">
      <w:start w:val="2"/>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1">
    <w:nsid w:val="1517B247"/>
    <w:multiLevelType w:val="singleLevel"/>
    <w:tmpl w:val="1517B247"/>
    <w:lvl w:ilvl="0" w:tentative="0">
      <w:start w:val="3"/>
      <w:numFmt w:val="decimal"/>
      <w:lvlText w:val="%1."/>
      <w:lvlJc w:val="left"/>
      <w:pPr>
        <w:tabs>
          <w:tab w:val="left" w:pos="312"/>
        </w:tabs>
      </w:pPr>
    </w:lvl>
  </w:abstractNum>
  <w:abstractNum w:abstractNumId="12">
    <w:nsid w:val="22F4C22B"/>
    <w:multiLevelType w:val="singleLevel"/>
    <w:tmpl w:val="22F4C22B"/>
    <w:lvl w:ilvl="0" w:tentative="0">
      <w:start w:val="2"/>
      <w:numFmt w:val="chineseCounting"/>
      <w:suff w:val="nothing"/>
      <w:lvlText w:val="%1、"/>
      <w:lvlJc w:val="left"/>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7E70560E"/>
    <w:multiLevelType w:val="multilevel"/>
    <w:tmpl w:val="7E70560E"/>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13"/>
  </w:num>
  <w:num w:numId="3">
    <w:abstractNumId w:val="6"/>
  </w:num>
  <w:num w:numId="4">
    <w:abstractNumId w:val="8"/>
  </w:num>
  <w:num w:numId="5">
    <w:abstractNumId w:val="9"/>
  </w:num>
  <w:num w:numId="6">
    <w:abstractNumId w:val="0"/>
  </w:num>
  <w:num w:numId="7">
    <w:abstractNumId w:val="4"/>
  </w:num>
  <w:num w:numId="8">
    <w:abstractNumId w:val="2"/>
  </w:num>
  <w:num w:numId="9">
    <w:abstractNumId w:val="3"/>
  </w:num>
  <w:num w:numId="10">
    <w:abstractNumId w:val="7"/>
    <w:lvlOverride w:ilvl="0">
      <w:startOverride w:val="1"/>
    </w:lvlOverride>
  </w:num>
  <w:num w:numId="11">
    <w:abstractNumId w:val="6"/>
    <w:lvlOverride w:ilvl="0">
      <w:startOverride w:val="1"/>
    </w:lvlOverride>
  </w:num>
  <w:num w:numId="12">
    <w:abstractNumId w:val="5"/>
  </w:num>
  <w:num w:numId="13">
    <w:abstractNumId w:val="14"/>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4"/>
    <w:rsid w:val="00002E34"/>
    <w:rsid w:val="000078E6"/>
    <w:rsid w:val="00011E62"/>
    <w:rsid w:val="00014B26"/>
    <w:rsid w:val="00014C44"/>
    <w:rsid w:val="00014D15"/>
    <w:rsid w:val="00026E6A"/>
    <w:rsid w:val="0003184F"/>
    <w:rsid w:val="00032C4A"/>
    <w:rsid w:val="00037047"/>
    <w:rsid w:val="000511C6"/>
    <w:rsid w:val="000525C8"/>
    <w:rsid w:val="000531C2"/>
    <w:rsid w:val="000546DF"/>
    <w:rsid w:val="00055327"/>
    <w:rsid w:val="000572EA"/>
    <w:rsid w:val="0005745D"/>
    <w:rsid w:val="00073575"/>
    <w:rsid w:val="00092514"/>
    <w:rsid w:val="00097EAA"/>
    <w:rsid w:val="000B04C0"/>
    <w:rsid w:val="000B3AEA"/>
    <w:rsid w:val="000B45F9"/>
    <w:rsid w:val="000C2E0E"/>
    <w:rsid w:val="000D2B40"/>
    <w:rsid w:val="000D48D0"/>
    <w:rsid w:val="000E11EA"/>
    <w:rsid w:val="000E1779"/>
    <w:rsid w:val="000E1C9C"/>
    <w:rsid w:val="000E7035"/>
    <w:rsid w:val="000F11D4"/>
    <w:rsid w:val="000F4A31"/>
    <w:rsid w:val="00100E92"/>
    <w:rsid w:val="0010208F"/>
    <w:rsid w:val="001051A5"/>
    <w:rsid w:val="00110629"/>
    <w:rsid w:val="001136A7"/>
    <w:rsid w:val="0012029A"/>
    <w:rsid w:val="00124204"/>
    <w:rsid w:val="00124F2F"/>
    <w:rsid w:val="001263E9"/>
    <w:rsid w:val="00130432"/>
    <w:rsid w:val="00130ED7"/>
    <w:rsid w:val="00132066"/>
    <w:rsid w:val="00147011"/>
    <w:rsid w:val="0015058A"/>
    <w:rsid w:val="001533EE"/>
    <w:rsid w:val="00153DE9"/>
    <w:rsid w:val="00163CC0"/>
    <w:rsid w:val="00172829"/>
    <w:rsid w:val="00172A27"/>
    <w:rsid w:val="0017313E"/>
    <w:rsid w:val="00175B77"/>
    <w:rsid w:val="00175CC7"/>
    <w:rsid w:val="001819EC"/>
    <w:rsid w:val="001857EB"/>
    <w:rsid w:val="001A7944"/>
    <w:rsid w:val="001B42B9"/>
    <w:rsid w:val="001C2342"/>
    <w:rsid w:val="001C307D"/>
    <w:rsid w:val="001C475B"/>
    <w:rsid w:val="001D6F41"/>
    <w:rsid w:val="001E32BF"/>
    <w:rsid w:val="001F6A91"/>
    <w:rsid w:val="002136A8"/>
    <w:rsid w:val="00214C74"/>
    <w:rsid w:val="002201C8"/>
    <w:rsid w:val="00220BA3"/>
    <w:rsid w:val="00225CC5"/>
    <w:rsid w:val="002334D0"/>
    <w:rsid w:val="00234E0D"/>
    <w:rsid w:val="002360A0"/>
    <w:rsid w:val="00245E3D"/>
    <w:rsid w:val="0025066E"/>
    <w:rsid w:val="002538E4"/>
    <w:rsid w:val="00255DCF"/>
    <w:rsid w:val="00257C47"/>
    <w:rsid w:val="002611E4"/>
    <w:rsid w:val="00263FCE"/>
    <w:rsid w:val="00264971"/>
    <w:rsid w:val="00274492"/>
    <w:rsid w:val="0028441E"/>
    <w:rsid w:val="002905F8"/>
    <w:rsid w:val="00292E8B"/>
    <w:rsid w:val="002962D5"/>
    <w:rsid w:val="00296CB0"/>
    <w:rsid w:val="002A7B47"/>
    <w:rsid w:val="002B09A6"/>
    <w:rsid w:val="002B0A4E"/>
    <w:rsid w:val="002B1466"/>
    <w:rsid w:val="002C2BEB"/>
    <w:rsid w:val="002C6CD0"/>
    <w:rsid w:val="002D4623"/>
    <w:rsid w:val="002D56E0"/>
    <w:rsid w:val="002E3FA8"/>
    <w:rsid w:val="002F631C"/>
    <w:rsid w:val="00304C7E"/>
    <w:rsid w:val="0030748E"/>
    <w:rsid w:val="00314A0E"/>
    <w:rsid w:val="003161F8"/>
    <w:rsid w:val="00320026"/>
    <w:rsid w:val="00320226"/>
    <w:rsid w:val="00332AAA"/>
    <w:rsid w:val="00336828"/>
    <w:rsid w:val="0034391E"/>
    <w:rsid w:val="003517C5"/>
    <w:rsid w:val="003542D1"/>
    <w:rsid w:val="003544F6"/>
    <w:rsid w:val="00362CEE"/>
    <w:rsid w:val="00367FCC"/>
    <w:rsid w:val="0037578B"/>
    <w:rsid w:val="00376872"/>
    <w:rsid w:val="00382219"/>
    <w:rsid w:val="003905CE"/>
    <w:rsid w:val="003957BE"/>
    <w:rsid w:val="003960CD"/>
    <w:rsid w:val="003A44D8"/>
    <w:rsid w:val="003A4C64"/>
    <w:rsid w:val="003C3A52"/>
    <w:rsid w:val="003C6979"/>
    <w:rsid w:val="003C7D9D"/>
    <w:rsid w:val="003E10B5"/>
    <w:rsid w:val="003E391E"/>
    <w:rsid w:val="003E5399"/>
    <w:rsid w:val="003E7670"/>
    <w:rsid w:val="003F0641"/>
    <w:rsid w:val="003F090A"/>
    <w:rsid w:val="003F2EEB"/>
    <w:rsid w:val="003F3BBC"/>
    <w:rsid w:val="003F5541"/>
    <w:rsid w:val="003F5F07"/>
    <w:rsid w:val="004010FB"/>
    <w:rsid w:val="00403177"/>
    <w:rsid w:val="00403531"/>
    <w:rsid w:val="00404348"/>
    <w:rsid w:val="00414144"/>
    <w:rsid w:val="00415020"/>
    <w:rsid w:val="004263D3"/>
    <w:rsid w:val="00434458"/>
    <w:rsid w:val="00441A23"/>
    <w:rsid w:val="00447F70"/>
    <w:rsid w:val="00453851"/>
    <w:rsid w:val="00461FDA"/>
    <w:rsid w:val="00462734"/>
    <w:rsid w:val="00466286"/>
    <w:rsid w:val="004814A1"/>
    <w:rsid w:val="004905BB"/>
    <w:rsid w:val="00491736"/>
    <w:rsid w:val="00492C3C"/>
    <w:rsid w:val="00492DD6"/>
    <w:rsid w:val="00492FD7"/>
    <w:rsid w:val="004A34F4"/>
    <w:rsid w:val="004C0D0D"/>
    <w:rsid w:val="004C487D"/>
    <w:rsid w:val="004D0514"/>
    <w:rsid w:val="004E5BC0"/>
    <w:rsid w:val="004E7D81"/>
    <w:rsid w:val="004F3126"/>
    <w:rsid w:val="004F47BE"/>
    <w:rsid w:val="005030C6"/>
    <w:rsid w:val="00507FE5"/>
    <w:rsid w:val="005124D7"/>
    <w:rsid w:val="00521BC9"/>
    <w:rsid w:val="00523A01"/>
    <w:rsid w:val="00523F1E"/>
    <w:rsid w:val="005261B7"/>
    <w:rsid w:val="0052648B"/>
    <w:rsid w:val="005370B2"/>
    <w:rsid w:val="00537FA4"/>
    <w:rsid w:val="00547A04"/>
    <w:rsid w:val="00550342"/>
    <w:rsid w:val="00556AE5"/>
    <w:rsid w:val="00557383"/>
    <w:rsid w:val="005617AF"/>
    <w:rsid w:val="00564C97"/>
    <w:rsid w:val="0057055D"/>
    <w:rsid w:val="00581E38"/>
    <w:rsid w:val="005844F4"/>
    <w:rsid w:val="005970E7"/>
    <w:rsid w:val="005A1C27"/>
    <w:rsid w:val="005A3C7F"/>
    <w:rsid w:val="005B1D93"/>
    <w:rsid w:val="005B4F32"/>
    <w:rsid w:val="005C09F2"/>
    <w:rsid w:val="005C3393"/>
    <w:rsid w:val="005C6266"/>
    <w:rsid w:val="005C63A6"/>
    <w:rsid w:val="005D490D"/>
    <w:rsid w:val="005E606D"/>
    <w:rsid w:val="005F22F8"/>
    <w:rsid w:val="0061247F"/>
    <w:rsid w:val="006214F9"/>
    <w:rsid w:val="00631ED0"/>
    <w:rsid w:val="00634593"/>
    <w:rsid w:val="00634A7F"/>
    <w:rsid w:val="00642FA4"/>
    <w:rsid w:val="006436EC"/>
    <w:rsid w:val="00645AA7"/>
    <w:rsid w:val="00647C11"/>
    <w:rsid w:val="00650623"/>
    <w:rsid w:val="006525CB"/>
    <w:rsid w:val="006554E2"/>
    <w:rsid w:val="00660E04"/>
    <w:rsid w:val="00663A2E"/>
    <w:rsid w:val="00667B1C"/>
    <w:rsid w:val="00672242"/>
    <w:rsid w:val="006766AD"/>
    <w:rsid w:val="00680873"/>
    <w:rsid w:val="00692C76"/>
    <w:rsid w:val="00693BF6"/>
    <w:rsid w:val="006A40CC"/>
    <w:rsid w:val="006A6E64"/>
    <w:rsid w:val="006B40E1"/>
    <w:rsid w:val="006B4C48"/>
    <w:rsid w:val="006B787F"/>
    <w:rsid w:val="006B7DA2"/>
    <w:rsid w:val="006C4CD1"/>
    <w:rsid w:val="006C695C"/>
    <w:rsid w:val="006C7097"/>
    <w:rsid w:val="006E000D"/>
    <w:rsid w:val="006E044E"/>
    <w:rsid w:val="006E1BBC"/>
    <w:rsid w:val="006F0A35"/>
    <w:rsid w:val="006F67B0"/>
    <w:rsid w:val="00703B36"/>
    <w:rsid w:val="007125A4"/>
    <w:rsid w:val="007236AE"/>
    <w:rsid w:val="00726C41"/>
    <w:rsid w:val="00731F21"/>
    <w:rsid w:val="00740B4A"/>
    <w:rsid w:val="00743535"/>
    <w:rsid w:val="00743740"/>
    <w:rsid w:val="007451BC"/>
    <w:rsid w:val="00747A27"/>
    <w:rsid w:val="00750330"/>
    <w:rsid w:val="007503D7"/>
    <w:rsid w:val="00753383"/>
    <w:rsid w:val="00755244"/>
    <w:rsid w:val="00756517"/>
    <w:rsid w:val="00765E2A"/>
    <w:rsid w:val="007668A1"/>
    <w:rsid w:val="00766F33"/>
    <w:rsid w:val="00774534"/>
    <w:rsid w:val="00776AA1"/>
    <w:rsid w:val="00794182"/>
    <w:rsid w:val="007A2DFE"/>
    <w:rsid w:val="007A76EC"/>
    <w:rsid w:val="007B1CC4"/>
    <w:rsid w:val="007B334C"/>
    <w:rsid w:val="007C2363"/>
    <w:rsid w:val="007C4C9F"/>
    <w:rsid w:val="007C60A1"/>
    <w:rsid w:val="007D3430"/>
    <w:rsid w:val="007D774E"/>
    <w:rsid w:val="007E250B"/>
    <w:rsid w:val="007E4038"/>
    <w:rsid w:val="007E6320"/>
    <w:rsid w:val="007F2906"/>
    <w:rsid w:val="007F572C"/>
    <w:rsid w:val="00801A1F"/>
    <w:rsid w:val="00801CC2"/>
    <w:rsid w:val="008069EF"/>
    <w:rsid w:val="008126CE"/>
    <w:rsid w:val="00816D5D"/>
    <w:rsid w:val="00824642"/>
    <w:rsid w:val="008338C5"/>
    <w:rsid w:val="00834135"/>
    <w:rsid w:val="008423D0"/>
    <w:rsid w:val="0085458D"/>
    <w:rsid w:val="00856724"/>
    <w:rsid w:val="00857AFA"/>
    <w:rsid w:val="00860048"/>
    <w:rsid w:val="00862AE6"/>
    <w:rsid w:val="00865172"/>
    <w:rsid w:val="00874E60"/>
    <w:rsid w:val="00874E7A"/>
    <w:rsid w:val="00875557"/>
    <w:rsid w:val="0087765C"/>
    <w:rsid w:val="008806FE"/>
    <w:rsid w:val="00884419"/>
    <w:rsid w:val="00887AA1"/>
    <w:rsid w:val="00892791"/>
    <w:rsid w:val="0089405A"/>
    <w:rsid w:val="008A1E5B"/>
    <w:rsid w:val="008A23BD"/>
    <w:rsid w:val="008B0675"/>
    <w:rsid w:val="008C27D4"/>
    <w:rsid w:val="008C4FF7"/>
    <w:rsid w:val="008C5229"/>
    <w:rsid w:val="008D02C7"/>
    <w:rsid w:val="008D195A"/>
    <w:rsid w:val="008E2B18"/>
    <w:rsid w:val="008E33A3"/>
    <w:rsid w:val="008E46F0"/>
    <w:rsid w:val="008E6CA4"/>
    <w:rsid w:val="008F0F6C"/>
    <w:rsid w:val="008F32D4"/>
    <w:rsid w:val="008F3553"/>
    <w:rsid w:val="008F480A"/>
    <w:rsid w:val="008F6859"/>
    <w:rsid w:val="00914BFA"/>
    <w:rsid w:val="009162C3"/>
    <w:rsid w:val="00920422"/>
    <w:rsid w:val="009223F8"/>
    <w:rsid w:val="009247D0"/>
    <w:rsid w:val="00930B1A"/>
    <w:rsid w:val="00932DCB"/>
    <w:rsid w:val="0093748F"/>
    <w:rsid w:val="00944CEB"/>
    <w:rsid w:val="00955E7D"/>
    <w:rsid w:val="009600F5"/>
    <w:rsid w:val="00961338"/>
    <w:rsid w:val="009676C7"/>
    <w:rsid w:val="00971F1E"/>
    <w:rsid w:val="009810B6"/>
    <w:rsid w:val="00984486"/>
    <w:rsid w:val="00991DB0"/>
    <w:rsid w:val="00995BEF"/>
    <w:rsid w:val="00997670"/>
    <w:rsid w:val="009A0335"/>
    <w:rsid w:val="009A4801"/>
    <w:rsid w:val="009B1520"/>
    <w:rsid w:val="009B15BE"/>
    <w:rsid w:val="009B2AF3"/>
    <w:rsid w:val="009B7EE4"/>
    <w:rsid w:val="009C5AA3"/>
    <w:rsid w:val="009D42A3"/>
    <w:rsid w:val="009D7523"/>
    <w:rsid w:val="009E3551"/>
    <w:rsid w:val="009F28B1"/>
    <w:rsid w:val="009F6E83"/>
    <w:rsid w:val="009F72CB"/>
    <w:rsid w:val="009F7B57"/>
    <w:rsid w:val="00A06F4F"/>
    <w:rsid w:val="00A1014C"/>
    <w:rsid w:val="00A13D5E"/>
    <w:rsid w:val="00A15237"/>
    <w:rsid w:val="00A16553"/>
    <w:rsid w:val="00A23FE2"/>
    <w:rsid w:val="00A35C58"/>
    <w:rsid w:val="00A37004"/>
    <w:rsid w:val="00A40524"/>
    <w:rsid w:val="00A46143"/>
    <w:rsid w:val="00A537BE"/>
    <w:rsid w:val="00A541C8"/>
    <w:rsid w:val="00A56675"/>
    <w:rsid w:val="00A72D91"/>
    <w:rsid w:val="00A72F4E"/>
    <w:rsid w:val="00A76C96"/>
    <w:rsid w:val="00A81144"/>
    <w:rsid w:val="00A850F7"/>
    <w:rsid w:val="00A95499"/>
    <w:rsid w:val="00AA6A7D"/>
    <w:rsid w:val="00AB06DE"/>
    <w:rsid w:val="00AB383B"/>
    <w:rsid w:val="00AB3D60"/>
    <w:rsid w:val="00AB5AEB"/>
    <w:rsid w:val="00AC53F8"/>
    <w:rsid w:val="00AD3405"/>
    <w:rsid w:val="00AE3BF0"/>
    <w:rsid w:val="00AE5A84"/>
    <w:rsid w:val="00B0653E"/>
    <w:rsid w:val="00B1269D"/>
    <w:rsid w:val="00B14F52"/>
    <w:rsid w:val="00B204EA"/>
    <w:rsid w:val="00B2241A"/>
    <w:rsid w:val="00B24E6B"/>
    <w:rsid w:val="00B34ECE"/>
    <w:rsid w:val="00B44EFF"/>
    <w:rsid w:val="00B50103"/>
    <w:rsid w:val="00B60F80"/>
    <w:rsid w:val="00B6509C"/>
    <w:rsid w:val="00B706FF"/>
    <w:rsid w:val="00B73242"/>
    <w:rsid w:val="00B763E9"/>
    <w:rsid w:val="00B834D5"/>
    <w:rsid w:val="00B853EA"/>
    <w:rsid w:val="00BA17FF"/>
    <w:rsid w:val="00BA20B1"/>
    <w:rsid w:val="00BA3242"/>
    <w:rsid w:val="00BA7E11"/>
    <w:rsid w:val="00BD455E"/>
    <w:rsid w:val="00BE24BB"/>
    <w:rsid w:val="00BE6C4F"/>
    <w:rsid w:val="00BF2E9F"/>
    <w:rsid w:val="00C1333E"/>
    <w:rsid w:val="00C17731"/>
    <w:rsid w:val="00C30A84"/>
    <w:rsid w:val="00C36B8F"/>
    <w:rsid w:val="00C4363C"/>
    <w:rsid w:val="00C55DD9"/>
    <w:rsid w:val="00C62883"/>
    <w:rsid w:val="00C71CA8"/>
    <w:rsid w:val="00C744F4"/>
    <w:rsid w:val="00C81EEE"/>
    <w:rsid w:val="00C8394C"/>
    <w:rsid w:val="00C83B29"/>
    <w:rsid w:val="00C85356"/>
    <w:rsid w:val="00C95DE4"/>
    <w:rsid w:val="00C976F8"/>
    <w:rsid w:val="00C97F71"/>
    <w:rsid w:val="00CA2125"/>
    <w:rsid w:val="00CA4E03"/>
    <w:rsid w:val="00CB3812"/>
    <w:rsid w:val="00CB6019"/>
    <w:rsid w:val="00CB734B"/>
    <w:rsid w:val="00CC77B1"/>
    <w:rsid w:val="00CD119E"/>
    <w:rsid w:val="00CD2C5E"/>
    <w:rsid w:val="00CE12FC"/>
    <w:rsid w:val="00CE328F"/>
    <w:rsid w:val="00CE595E"/>
    <w:rsid w:val="00CE7504"/>
    <w:rsid w:val="00CF46C1"/>
    <w:rsid w:val="00CF4B10"/>
    <w:rsid w:val="00D0259D"/>
    <w:rsid w:val="00D063D8"/>
    <w:rsid w:val="00D1395B"/>
    <w:rsid w:val="00D20394"/>
    <w:rsid w:val="00D20B9F"/>
    <w:rsid w:val="00D23205"/>
    <w:rsid w:val="00D35073"/>
    <w:rsid w:val="00D45E74"/>
    <w:rsid w:val="00D463B4"/>
    <w:rsid w:val="00D47AB4"/>
    <w:rsid w:val="00D51727"/>
    <w:rsid w:val="00D51B33"/>
    <w:rsid w:val="00D53A22"/>
    <w:rsid w:val="00D600FF"/>
    <w:rsid w:val="00D635C5"/>
    <w:rsid w:val="00D83393"/>
    <w:rsid w:val="00DA1771"/>
    <w:rsid w:val="00DA2981"/>
    <w:rsid w:val="00DA3643"/>
    <w:rsid w:val="00DA7638"/>
    <w:rsid w:val="00DB6AE2"/>
    <w:rsid w:val="00DC0A9A"/>
    <w:rsid w:val="00DC32FE"/>
    <w:rsid w:val="00DC4A78"/>
    <w:rsid w:val="00DD083B"/>
    <w:rsid w:val="00DD11E1"/>
    <w:rsid w:val="00DD6BF9"/>
    <w:rsid w:val="00DE01BA"/>
    <w:rsid w:val="00DE77B3"/>
    <w:rsid w:val="00DF1FFF"/>
    <w:rsid w:val="00DF4117"/>
    <w:rsid w:val="00E07028"/>
    <w:rsid w:val="00E20AE9"/>
    <w:rsid w:val="00E2569B"/>
    <w:rsid w:val="00E31C37"/>
    <w:rsid w:val="00E334F4"/>
    <w:rsid w:val="00E463DE"/>
    <w:rsid w:val="00E46DB4"/>
    <w:rsid w:val="00E512A0"/>
    <w:rsid w:val="00E53641"/>
    <w:rsid w:val="00E60399"/>
    <w:rsid w:val="00E6603E"/>
    <w:rsid w:val="00E95067"/>
    <w:rsid w:val="00EA1A0B"/>
    <w:rsid w:val="00EA2CEF"/>
    <w:rsid w:val="00EA570E"/>
    <w:rsid w:val="00EA5766"/>
    <w:rsid w:val="00EB0E86"/>
    <w:rsid w:val="00EB4B63"/>
    <w:rsid w:val="00EB6911"/>
    <w:rsid w:val="00EB6BBC"/>
    <w:rsid w:val="00EC05FE"/>
    <w:rsid w:val="00EC0867"/>
    <w:rsid w:val="00EC5A90"/>
    <w:rsid w:val="00ED0B91"/>
    <w:rsid w:val="00ED46F7"/>
    <w:rsid w:val="00ED760A"/>
    <w:rsid w:val="00EF450F"/>
    <w:rsid w:val="00EF6F98"/>
    <w:rsid w:val="00F11BCC"/>
    <w:rsid w:val="00F11ED5"/>
    <w:rsid w:val="00F14150"/>
    <w:rsid w:val="00F142D9"/>
    <w:rsid w:val="00F14A60"/>
    <w:rsid w:val="00F22F93"/>
    <w:rsid w:val="00F25C6D"/>
    <w:rsid w:val="00F300A3"/>
    <w:rsid w:val="00F45925"/>
    <w:rsid w:val="00F50FEF"/>
    <w:rsid w:val="00F52C13"/>
    <w:rsid w:val="00F642F3"/>
    <w:rsid w:val="00F774E8"/>
    <w:rsid w:val="00F828C7"/>
    <w:rsid w:val="00F83702"/>
    <w:rsid w:val="00F852AD"/>
    <w:rsid w:val="00F85D92"/>
    <w:rsid w:val="00F87AF8"/>
    <w:rsid w:val="00FA2F57"/>
    <w:rsid w:val="00FA489A"/>
    <w:rsid w:val="00FB148B"/>
    <w:rsid w:val="00FB360D"/>
    <w:rsid w:val="00FB6E86"/>
    <w:rsid w:val="00FC1C01"/>
    <w:rsid w:val="00FC33DA"/>
    <w:rsid w:val="00FD3854"/>
    <w:rsid w:val="00FE2FDD"/>
    <w:rsid w:val="00FE4BF3"/>
    <w:rsid w:val="00FE4F8B"/>
    <w:rsid w:val="00FF7E7C"/>
    <w:rsid w:val="015E089A"/>
    <w:rsid w:val="0247397C"/>
    <w:rsid w:val="02C65784"/>
    <w:rsid w:val="039307A9"/>
    <w:rsid w:val="0402283D"/>
    <w:rsid w:val="054A39AE"/>
    <w:rsid w:val="05FD0068"/>
    <w:rsid w:val="06A03F0F"/>
    <w:rsid w:val="07551B2A"/>
    <w:rsid w:val="07A162B6"/>
    <w:rsid w:val="07D12326"/>
    <w:rsid w:val="07E06D3A"/>
    <w:rsid w:val="0838694C"/>
    <w:rsid w:val="08660EA9"/>
    <w:rsid w:val="088D3C72"/>
    <w:rsid w:val="08E60F9B"/>
    <w:rsid w:val="0927441F"/>
    <w:rsid w:val="09A82152"/>
    <w:rsid w:val="09AB2B3C"/>
    <w:rsid w:val="0A7F5CAF"/>
    <w:rsid w:val="0AAC0AEA"/>
    <w:rsid w:val="0AFB6F13"/>
    <w:rsid w:val="0B496351"/>
    <w:rsid w:val="0BCC35FC"/>
    <w:rsid w:val="0BE5495B"/>
    <w:rsid w:val="0BEE74DC"/>
    <w:rsid w:val="0C825F8F"/>
    <w:rsid w:val="0CE3193B"/>
    <w:rsid w:val="0CEF7B01"/>
    <w:rsid w:val="0CF605A7"/>
    <w:rsid w:val="0D396095"/>
    <w:rsid w:val="0E29393C"/>
    <w:rsid w:val="0F15624B"/>
    <w:rsid w:val="0F81794F"/>
    <w:rsid w:val="0FA8084D"/>
    <w:rsid w:val="10157281"/>
    <w:rsid w:val="109E462E"/>
    <w:rsid w:val="11B87DB0"/>
    <w:rsid w:val="12E22A26"/>
    <w:rsid w:val="13D838BD"/>
    <w:rsid w:val="142769A4"/>
    <w:rsid w:val="149D53AA"/>
    <w:rsid w:val="14C44886"/>
    <w:rsid w:val="15080CCE"/>
    <w:rsid w:val="16D551B4"/>
    <w:rsid w:val="175C5CCF"/>
    <w:rsid w:val="18300E60"/>
    <w:rsid w:val="1832226D"/>
    <w:rsid w:val="18513279"/>
    <w:rsid w:val="18AD27F7"/>
    <w:rsid w:val="18E213BD"/>
    <w:rsid w:val="18E72FD9"/>
    <w:rsid w:val="19126287"/>
    <w:rsid w:val="19220F71"/>
    <w:rsid w:val="19514154"/>
    <w:rsid w:val="19AA05F6"/>
    <w:rsid w:val="19AD1A74"/>
    <w:rsid w:val="19D166E6"/>
    <w:rsid w:val="1A0A5351"/>
    <w:rsid w:val="1A172AED"/>
    <w:rsid w:val="1A6140C7"/>
    <w:rsid w:val="1A713596"/>
    <w:rsid w:val="1B0024A0"/>
    <w:rsid w:val="1B8B692C"/>
    <w:rsid w:val="1BED2F93"/>
    <w:rsid w:val="1BEF12D0"/>
    <w:rsid w:val="1C355D6C"/>
    <w:rsid w:val="1C5C19E8"/>
    <w:rsid w:val="1CC63836"/>
    <w:rsid w:val="1D335BD5"/>
    <w:rsid w:val="1EF5655A"/>
    <w:rsid w:val="20F004B1"/>
    <w:rsid w:val="21472871"/>
    <w:rsid w:val="22693159"/>
    <w:rsid w:val="2285060A"/>
    <w:rsid w:val="23467EBF"/>
    <w:rsid w:val="23DB0D59"/>
    <w:rsid w:val="24011190"/>
    <w:rsid w:val="248F7706"/>
    <w:rsid w:val="251A163C"/>
    <w:rsid w:val="25636A6F"/>
    <w:rsid w:val="26931C0C"/>
    <w:rsid w:val="26BC356F"/>
    <w:rsid w:val="27944BEF"/>
    <w:rsid w:val="27FA387D"/>
    <w:rsid w:val="283B351B"/>
    <w:rsid w:val="288D6614"/>
    <w:rsid w:val="289346BC"/>
    <w:rsid w:val="28EB2932"/>
    <w:rsid w:val="28FF5E4F"/>
    <w:rsid w:val="294E5CF6"/>
    <w:rsid w:val="29981948"/>
    <w:rsid w:val="2A964392"/>
    <w:rsid w:val="2AD81B11"/>
    <w:rsid w:val="2BDF25D1"/>
    <w:rsid w:val="2C480DDE"/>
    <w:rsid w:val="2CD074E9"/>
    <w:rsid w:val="2CE92EBA"/>
    <w:rsid w:val="30523617"/>
    <w:rsid w:val="3173190E"/>
    <w:rsid w:val="31837A8B"/>
    <w:rsid w:val="323479FE"/>
    <w:rsid w:val="326358F5"/>
    <w:rsid w:val="326D0C4D"/>
    <w:rsid w:val="32D10ED5"/>
    <w:rsid w:val="32E47A2F"/>
    <w:rsid w:val="32E83019"/>
    <w:rsid w:val="33984E7E"/>
    <w:rsid w:val="34170E79"/>
    <w:rsid w:val="34D47272"/>
    <w:rsid w:val="34F00946"/>
    <w:rsid w:val="35535968"/>
    <w:rsid w:val="35B91D2F"/>
    <w:rsid w:val="35F85C88"/>
    <w:rsid w:val="3674752A"/>
    <w:rsid w:val="37EE38BF"/>
    <w:rsid w:val="389572B3"/>
    <w:rsid w:val="38FB37E8"/>
    <w:rsid w:val="39B703CE"/>
    <w:rsid w:val="3A00226D"/>
    <w:rsid w:val="3ACB101E"/>
    <w:rsid w:val="3ACF25AF"/>
    <w:rsid w:val="3BF236B2"/>
    <w:rsid w:val="3C3C51E5"/>
    <w:rsid w:val="3C717358"/>
    <w:rsid w:val="3CEC2367"/>
    <w:rsid w:val="3E991E3D"/>
    <w:rsid w:val="3EA23CF6"/>
    <w:rsid w:val="3F0326B3"/>
    <w:rsid w:val="3F2428D5"/>
    <w:rsid w:val="3FAA3AB0"/>
    <w:rsid w:val="3FFF1BCC"/>
    <w:rsid w:val="402C0CC1"/>
    <w:rsid w:val="403A24D3"/>
    <w:rsid w:val="40B87151"/>
    <w:rsid w:val="40FD524D"/>
    <w:rsid w:val="41232E41"/>
    <w:rsid w:val="417F2E14"/>
    <w:rsid w:val="418F4DB6"/>
    <w:rsid w:val="41986E28"/>
    <w:rsid w:val="42AA5678"/>
    <w:rsid w:val="42DC3C20"/>
    <w:rsid w:val="43D92DF6"/>
    <w:rsid w:val="44695B78"/>
    <w:rsid w:val="450832E5"/>
    <w:rsid w:val="45D42391"/>
    <w:rsid w:val="46715CDF"/>
    <w:rsid w:val="46C62F55"/>
    <w:rsid w:val="47084399"/>
    <w:rsid w:val="474836B6"/>
    <w:rsid w:val="475D4DCE"/>
    <w:rsid w:val="479109C3"/>
    <w:rsid w:val="482A1551"/>
    <w:rsid w:val="483A6447"/>
    <w:rsid w:val="48AA25EC"/>
    <w:rsid w:val="48BB1493"/>
    <w:rsid w:val="499505AB"/>
    <w:rsid w:val="4A6C0C97"/>
    <w:rsid w:val="4A761E85"/>
    <w:rsid w:val="4BDD26DC"/>
    <w:rsid w:val="4C683A5C"/>
    <w:rsid w:val="4C762948"/>
    <w:rsid w:val="4D0A6C5E"/>
    <w:rsid w:val="4DD26C86"/>
    <w:rsid w:val="4DD4481A"/>
    <w:rsid w:val="4DDA68E0"/>
    <w:rsid w:val="4E3D33D4"/>
    <w:rsid w:val="505D4401"/>
    <w:rsid w:val="50923CDC"/>
    <w:rsid w:val="5238261D"/>
    <w:rsid w:val="52975141"/>
    <w:rsid w:val="538C7F26"/>
    <w:rsid w:val="53E53010"/>
    <w:rsid w:val="55222650"/>
    <w:rsid w:val="55C537BC"/>
    <w:rsid w:val="561A091D"/>
    <w:rsid w:val="56D91960"/>
    <w:rsid w:val="56DE6742"/>
    <w:rsid w:val="56EE0385"/>
    <w:rsid w:val="58441098"/>
    <w:rsid w:val="58FD13E1"/>
    <w:rsid w:val="59901067"/>
    <w:rsid w:val="5A15343D"/>
    <w:rsid w:val="5A5218D9"/>
    <w:rsid w:val="5A7A1105"/>
    <w:rsid w:val="5AA46049"/>
    <w:rsid w:val="5AA52473"/>
    <w:rsid w:val="5AB22A57"/>
    <w:rsid w:val="5AB84D76"/>
    <w:rsid w:val="5BA2330D"/>
    <w:rsid w:val="5BB644E2"/>
    <w:rsid w:val="5BC62EE5"/>
    <w:rsid w:val="5C161618"/>
    <w:rsid w:val="5D8E3A94"/>
    <w:rsid w:val="5EDC14A6"/>
    <w:rsid w:val="5F236A6B"/>
    <w:rsid w:val="600375CE"/>
    <w:rsid w:val="61340DD3"/>
    <w:rsid w:val="61C367E0"/>
    <w:rsid w:val="62002119"/>
    <w:rsid w:val="62093CEC"/>
    <w:rsid w:val="626E5388"/>
    <w:rsid w:val="62A37873"/>
    <w:rsid w:val="630A4150"/>
    <w:rsid w:val="63FD7C0D"/>
    <w:rsid w:val="64064285"/>
    <w:rsid w:val="64385A9F"/>
    <w:rsid w:val="65606FE1"/>
    <w:rsid w:val="65E07C81"/>
    <w:rsid w:val="668F5558"/>
    <w:rsid w:val="67F13ED3"/>
    <w:rsid w:val="682820F0"/>
    <w:rsid w:val="697C4CD8"/>
    <w:rsid w:val="69C97ADD"/>
    <w:rsid w:val="69FF541E"/>
    <w:rsid w:val="6A097639"/>
    <w:rsid w:val="6A5B5D16"/>
    <w:rsid w:val="6A7C3AD5"/>
    <w:rsid w:val="6A81216E"/>
    <w:rsid w:val="6B5E15DB"/>
    <w:rsid w:val="6C343005"/>
    <w:rsid w:val="6CA1076E"/>
    <w:rsid w:val="6D2E1458"/>
    <w:rsid w:val="6E704E86"/>
    <w:rsid w:val="6EC7781B"/>
    <w:rsid w:val="6F526FA1"/>
    <w:rsid w:val="705214E1"/>
    <w:rsid w:val="70990506"/>
    <w:rsid w:val="7113498D"/>
    <w:rsid w:val="71AD2EE2"/>
    <w:rsid w:val="723317E5"/>
    <w:rsid w:val="72AE5B04"/>
    <w:rsid w:val="72BC3BE2"/>
    <w:rsid w:val="731515C6"/>
    <w:rsid w:val="7639772F"/>
    <w:rsid w:val="76C87BF7"/>
    <w:rsid w:val="76CF5F86"/>
    <w:rsid w:val="77746A5D"/>
    <w:rsid w:val="777F12D8"/>
    <w:rsid w:val="78A66A88"/>
    <w:rsid w:val="79012788"/>
    <w:rsid w:val="79684F99"/>
    <w:rsid w:val="797231A6"/>
    <w:rsid w:val="7A574AC2"/>
    <w:rsid w:val="7AB67217"/>
    <w:rsid w:val="7B485AA0"/>
    <w:rsid w:val="7C5A3D61"/>
    <w:rsid w:val="7CDA53D0"/>
    <w:rsid w:val="7D413935"/>
    <w:rsid w:val="7E2D324C"/>
    <w:rsid w:val="7E4663DE"/>
    <w:rsid w:val="7EFC0B65"/>
    <w:rsid w:val="7F4376B2"/>
    <w:rsid w:val="7F6C609A"/>
    <w:rsid w:val="7FD57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line="240" w:lineRule="atLeast"/>
      <w:jc w:val="center"/>
      <w:outlineLvl w:val="0"/>
    </w:pPr>
  </w:style>
  <w:style w:type="paragraph" w:styleId="5">
    <w:name w:val="heading 2"/>
    <w:basedOn w:val="1"/>
    <w:next w:val="6"/>
    <w:link w:val="75"/>
    <w:qFormat/>
    <w:uiPriority w:val="0"/>
    <w:pPr>
      <w:keepNext/>
      <w:keepLines/>
      <w:spacing w:before="260" w:after="260" w:line="415"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5" w:lineRule="auto"/>
      <w:outlineLvl w:val="2"/>
    </w:pPr>
    <w:rPr>
      <w:b/>
      <w:bCs/>
      <w:sz w:val="32"/>
      <w:szCs w:val="32"/>
    </w:rPr>
  </w:style>
  <w:style w:type="paragraph" w:styleId="8">
    <w:name w:val="heading 4"/>
    <w:basedOn w:val="1"/>
    <w:next w:val="1"/>
    <w:link w:val="74"/>
    <w:qFormat/>
    <w:uiPriority w:val="0"/>
    <w:pPr>
      <w:keepNext/>
      <w:keepLines/>
      <w:spacing w:before="280" w:after="290" w:line="372" w:lineRule="auto"/>
      <w:ind w:firstLine="200" w:firstLineChars="200"/>
      <w:outlineLvl w:val="3"/>
    </w:pPr>
    <w:rPr>
      <w:rFonts w:ascii="Arial" w:hAnsi="Arial" w:eastAsia="黑体"/>
      <w:b/>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0"/>
    <w:pPr>
      <w:spacing w:after="120"/>
    </w:pPr>
  </w:style>
  <w:style w:type="paragraph" w:styleId="3">
    <w:name w:val="Body Text First Indent"/>
    <w:basedOn w:val="2"/>
    <w:qFormat/>
    <w:uiPriority w:val="0"/>
    <w:pPr>
      <w:ind w:firstLine="420" w:firstLineChars="100"/>
    </w:pPr>
  </w:style>
  <w:style w:type="paragraph" w:styleId="6">
    <w:name w:val="Normal Indent"/>
    <w:basedOn w:val="1"/>
    <w:link w:val="92"/>
    <w:qFormat/>
    <w:uiPriority w:val="0"/>
    <w:pPr>
      <w:ind w:firstLine="200" w:firstLineChars="200"/>
    </w:pPr>
  </w:style>
  <w:style w:type="paragraph" w:styleId="9">
    <w:name w:val="toc 7"/>
    <w:basedOn w:val="1"/>
    <w:next w:val="1"/>
    <w:qFormat/>
    <w:uiPriority w:val="0"/>
    <w:pPr>
      <w:ind w:left="2520" w:leftChars="1200"/>
    </w:pPr>
    <w:rPr>
      <w:rFonts w:ascii="等线" w:hAnsi="等线" w:eastAsia="等线"/>
      <w:szCs w:val="22"/>
    </w:rPr>
  </w:style>
  <w:style w:type="paragraph" w:styleId="10">
    <w:name w:val="List Number"/>
    <w:basedOn w:val="1"/>
    <w:semiHidden/>
    <w:unhideWhenUsed/>
    <w:qFormat/>
    <w:uiPriority w:val="99"/>
    <w:pPr>
      <w:numPr>
        <w:ilvl w:val="0"/>
        <w:numId w:val="1"/>
      </w:numPr>
    </w:pPr>
  </w:style>
  <w:style w:type="paragraph" w:styleId="11">
    <w:name w:val="Document Map"/>
    <w:basedOn w:val="1"/>
    <w:qFormat/>
    <w:uiPriority w:val="0"/>
    <w:pPr>
      <w:shd w:val="clear" w:color="auto" w:fill="000080"/>
    </w:pPr>
  </w:style>
  <w:style w:type="paragraph" w:styleId="12">
    <w:name w:val="annotation text"/>
    <w:basedOn w:val="1"/>
    <w:link w:val="64"/>
    <w:qFormat/>
    <w:uiPriority w:val="0"/>
    <w:pPr>
      <w:jc w:val="left"/>
    </w:pPr>
  </w:style>
  <w:style w:type="paragraph" w:styleId="13">
    <w:name w:val="Salutation"/>
    <w:basedOn w:val="1"/>
    <w:next w:val="1"/>
    <w:link w:val="69"/>
    <w:qFormat/>
    <w:uiPriority w:val="0"/>
    <w:rPr>
      <w:bCs/>
      <w:sz w:val="28"/>
      <w:szCs w:val="20"/>
    </w:rPr>
  </w:style>
  <w:style w:type="paragraph" w:styleId="14">
    <w:name w:val="Body Text Indent"/>
    <w:basedOn w:val="1"/>
    <w:link w:val="60"/>
    <w:qFormat/>
    <w:uiPriority w:val="0"/>
    <w:pPr>
      <w:ind w:firstLine="630"/>
    </w:pPr>
    <w:rPr>
      <w:sz w:val="32"/>
      <w:szCs w:val="20"/>
    </w:rPr>
  </w:style>
  <w:style w:type="paragraph" w:styleId="15">
    <w:name w:val="toc 5"/>
    <w:basedOn w:val="1"/>
    <w:next w:val="1"/>
    <w:qFormat/>
    <w:uiPriority w:val="0"/>
    <w:pPr>
      <w:ind w:left="1680" w:leftChars="800"/>
    </w:pPr>
    <w:rPr>
      <w:rFonts w:ascii="等线" w:hAnsi="等线" w:eastAsia="等线"/>
      <w:szCs w:val="22"/>
    </w:rPr>
  </w:style>
  <w:style w:type="paragraph" w:styleId="16">
    <w:name w:val="toc 3"/>
    <w:basedOn w:val="1"/>
    <w:next w:val="1"/>
    <w:qFormat/>
    <w:uiPriority w:val="0"/>
    <w:pPr>
      <w:widowControl/>
      <w:spacing w:after="100" w:line="259" w:lineRule="auto"/>
      <w:ind w:left="440"/>
      <w:jc w:val="left"/>
    </w:pPr>
    <w:rPr>
      <w:rFonts w:ascii="等线" w:hAnsi="等线" w:eastAsia="等线"/>
      <w:kern w:val="0"/>
      <w:sz w:val="22"/>
      <w:szCs w:val="22"/>
    </w:rPr>
  </w:style>
  <w:style w:type="paragraph" w:styleId="17">
    <w:name w:val="Plain Text"/>
    <w:basedOn w:val="1"/>
    <w:link w:val="101"/>
    <w:qFormat/>
    <w:uiPriority w:val="99"/>
    <w:pPr>
      <w:spacing w:beforeLines="50" w:afterLines="50" w:line="400" w:lineRule="exact"/>
    </w:pPr>
    <w:rPr>
      <w:rFonts w:ascii="宋体" w:hAnsi="Courier New"/>
      <w:kern w:val="0"/>
      <w:sz w:val="20"/>
      <w:szCs w:val="21"/>
    </w:rPr>
  </w:style>
  <w:style w:type="paragraph" w:styleId="18">
    <w:name w:val="toc 8"/>
    <w:basedOn w:val="1"/>
    <w:next w:val="1"/>
    <w:qFormat/>
    <w:uiPriority w:val="0"/>
    <w:pPr>
      <w:ind w:left="2940" w:leftChars="1400"/>
    </w:pPr>
    <w:rPr>
      <w:rFonts w:ascii="等线" w:hAnsi="等线" w:eastAsia="等线"/>
      <w:szCs w:val="22"/>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200" w:leftChars="200"/>
    </w:pPr>
  </w:style>
  <w:style w:type="paragraph" w:styleId="21">
    <w:name w:val="Balloon Text"/>
    <w:basedOn w:val="1"/>
    <w:link w:val="58"/>
    <w:qFormat/>
    <w:uiPriority w:val="0"/>
    <w:rPr>
      <w:sz w:val="18"/>
      <w:szCs w:val="18"/>
    </w:rPr>
  </w:style>
  <w:style w:type="paragraph" w:styleId="22">
    <w:name w:val="footer"/>
    <w:basedOn w:val="1"/>
    <w:link w:val="73"/>
    <w:qFormat/>
    <w:uiPriority w:val="0"/>
    <w:pPr>
      <w:tabs>
        <w:tab w:val="center" w:pos="4153"/>
        <w:tab w:val="right" w:pos="8306"/>
      </w:tabs>
      <w:snapToGrid w:val="0"/>
      <w:jc w:val="left"/>
    </w:pPr>
    <w:rPr>
      <w:rFonts w:eastAsia="Calibri"/>
      <w:kern w:val="0"/>
      <w:szCs w:val="20"/>
    </w:rPr>
  </w:style>
  <w:style w:type="paragraph" w:styleId="23">
    <w:name w:val="header"/>
    <w:basedOn w:val="1"/>
    <w:link w:val="61"/>
    <w:qFormat/>
    <w:uiPriority w:val="0"/>
    <w:pPr>
      <w:pBdr>
        <w:bottom w:val="single" w:color="auto" w:sz="6" w:space="1"/>
      </w:pBdr>
      <w:tabs>
        <w:tab w:val="center" w:pos="4153"/>
        <w:tab w:val="right" w:pos="8306"/>
      </w:tabs>
      <w:snapToGrid w:val="0"/>
      <w:jc w:val="center"/>
    </w:pPr>
    <w:rPr>
      <w:sz w:val="18"/>
      <w:szCs w:val="20"/>
    </w:rPr>
  </w:style>
  <w:style w:type="paragraph" w:styleId="24">
    <w:name w:val="toc 1"/>
    <w:basedOn w:val="1"/>
    <w:next w:val="1"/>
    <w:qFormat/>
    <w:uiPriority w:val="39"/>
    <w:pPr>
      <w:widowControl/>
      <w:spacing w:after="100" w:line="259" w:lineRule="auto"/>
      <w:jc w:val="left"/>
    </w:pPr>
    <w:rPr>
      <w:rFonts w:ascii="等线" w:hAnsi="等线" w:eastAsia="等线"/>
      <w:kern w:val="0"/>
      <w:sz w:val="22"/>
      <w:szCs w:val="22"/>
    </w:rPr>
  </w:style>
  <w:style w:type="paragraph" w:styleId="25">
    <w:name w:val="toc 4"/>
    <w:basedOn w:val="1"/>
    <w:next w:val="1"/>
    <w:qFormat/>
    <w:uiPriority w:val="0"/>
    <w:pPr>
      <w:ind w:left="1260" w:leftChars="600"/>
    </w:pPr>
    <w:rPr>
      <w:rFonts w:ascii="等线" w:hAnsi="等线" w:eastAsia="等线"/>
      <w:szCs w:val="22"/>
    </w:rPr>
  </w:style>
  <w:style w:type="paragraph" w:styleId="26">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7">
    <w:name w:val="toc 6"/>
    <w:basedOn w:val="1"/>
    <w:next w:val="1"/>
    <w:qFormat/>
    <w:uiPriority w:val="0"/>
    <w:pPr>
      <w:ind w:left="2100" w:leftChars="1000"/>
    </w:pPr>
    <w:rPr>
      <w:rFonts w:ascii="等线" w:hAnsi="等线" w:eastAsia="等线"/>
      <w:szCs w:val="22"/>
    </w:rPr>
  </w:style>
  <w:style w:type="paragraph" w:styleId="28">
    <w:name w:val="Body Text Indent 3"/>
    <w:basedOn w:val="1"/>
    <w:link w:val="72"/>
    <w:qFormat/>
    <w:uiPriority w:val="0"/>
    <w:pPr>
      <w:spacing w:after="120"/>
      <w:ind w:left="200" w:leftChars="200"/>
    </w:pPr>
    <w:rPr>
      <w:kern w:val="0"/>
      <w:sz w:val="16"/>
      <w:szCs w:val="16"/>
    </w:rPr>
  </w:style>
  <w:style w:type="paragraph" w:styleId="29">
    <w:name w:val="toc 2"/>
    <w:basedOn w:val="1"/>
    <w:next w:val="1"/>
    <w:qFormat/>
    <w:uiPriority w:val="0"/>
    <w:pPr>
      <w:widowControl/>
      <w:spacing w:after="100" w:line="259" w:lineRule="auto"/>
      <w:ind w:left="220"/>
      <w:jc w:val="left"/>
    </w:pPr>
    <w:rPr>
      <w:rFonts w:ascii="等线" w:hAnsi="等线" w:eastAsia="等线"/>
      <w:kern w:val="0"/>
      <w:sz w:val="22"/>
      <w:szCs w:val="22"/>
    </w:rPr>
  </w:style>
  <w:style w:type="paragraph" w:styleId="30">
    <w:name w:val="toc 9"/>
    <w:basedOn w:val="1"/>
    <w:next w:val="1"/>
    <w:qFormat/>
    <w:uiPriority w:val="0"/>
    <w:pPr>
      <w:ind w:left="3360" w:leftChars="1600"/>
    </w:pPr>
    <w:rPr>
      <w:rFonts w:ascii="等线" w:hAnsi="等线" w:eastAsia="等线"/>
      <w:szCs w:val="22"/>
    </w:rPr>
  </w:style>
  <w:style w:type="paragraph" w:styleId="31">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4" w:lineRule="atLeast"/>
      <w:jc w:val="left"/>
    </w:pPr>
    <w:rPr>
      <w:rFonts w:ascii="Arial" w:hAnsi="Arial"/>
      <w:kern w:val="0"/>
      <w:sz w:val="20"/>
      <w:szCs w:val="20"/>
    </w:rPr>
  </w:style>
  <w:style w:type="paragraph" w:styleId="32">
    <w:name w:val="Normal (Web)"/>
    <w:basedOn w:val="1"/>
    <w:qFormat/>
    <w:uiPriority w:val="99"/>
    <w:pPr>
      <w:widowControl/>
      <w:spacing w:before="100" w:beforeAutospacing="1" w:after="100" w:afterAutospacing="1"/>
      <w:jc w:val="left"/>
    </w:pPr>
    <w:rPr>
      <w:rFonts w:ascii="宋体"/>
      <w:kern w:val="0"/>
      <w:sz w:val="18"/>
      <w:szCs w:val="18"/>
    </w:rPr>
  </w:style>
  <w:style w:type="paragraph" w:styleId="33">
    <w:name w:val="Title"/>
    <w:basedOn w:val="1"/>
    <w:next w:val="1"/>
    <w:link w:val="76"/>
    <w:qFormat/>
    <w:uiPriority w:val="0"/>
    <w:pPr>
      <w:spacing w:before="240" w:after="60"/>
      <w:jc w:val="center"/>
      <w:outlineLvl w:val="0"/>
    </w:pPr>
    <w:rPr>
      <w:rFonts w:ascii="等线 Light" w:hAnsi="等线 Light"/>
      <w:b/>
      <w:bCs/>
      <w:sz w:val="32"/>
      <w:szCs w:val="32"/>
    </w:rPr>
  </w:style>
  <w:style w:type="paragraph" w:styleId="34">
    <w:name w:val="annotation subject"/>
    <w:basedOn w:val="12"/>
    <w:next w:val="12"/>
    <w:link w:val="71"/>
    <w:qFormat/>
    <w:uiPriority w:val="0"/>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page number"/>
    <w:qFormat/>
    <w:uiPriority w:val="0"/>
  </w:style>
  <w:style w:type="character" w:styleId="40">
    <w:name w:val="FollowedHyperlink"/>
    <w:basedOn w:val="37"/>
    <w:qFormat/>
    <w:uiPriority w:val="0"/>
    <w:rPr>
      <w:color w:val="800080"/>
      <w:u w:val="none"/>
    </w:rPr>
  </w:style>
  <w:style w:type="character" w:styleId="41">
    <w:name w:val="Emphasis"/>
    <w:qFormat/>
    <w:uiPriority w:val="0"/>
  </w:style>
  <w:style w:type="character" w:styleId="42">
    <w:name w:val="HTML Definition"/>
    <w:qFormat/>
    <w:uiPriority w:val="0"/>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qFormat/>
    <w:uiPriority w:val="0"/>
  </w:style>
  <w:style w:type="character" w:styleId="46">
    <w:name w:val="Hyperlink"/>
    <w:basedOn w:val="37"/>
    <w:qFormat/>
    <w:uiPriority w:val="99"/>
    <w:rPr>
      <w:color w:val="0563C1"/>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basedOn w:val="37"/>
    <w:semiHidden/>
    <w:unhideWhenUsed/>
    <w:qFormat/>
    <w:uiPriority w:val="99"/>
    <w:rPr>
      <w:rFonts w:hint="default" w:ascii="monospace" w:hAnsi="monospace" w:eastAsia="monospace" w:cs="monospace"/>
      <w:sz w:val="20"/>
    </w:rPr>
  </w:style>
  <w:style w:type="character" w:styleId="51">
    <w:name w:val="HTML Sample"/>
    <w:basedOn w:val="37"/>
    <w:semiHidden/>
    <w:unhideWhenUsed/>
    <w:qFormat/>
    <w:uiPriority w:val="99"/>
    <w:rPr>
      <w:rFonts w:ascii="monospace" w:hAnsi="monospace" w:eastAsia="monospace" w:cs="monospace"/>
    </w:rPr>
  </w:style>
  <w:style w:type="paragraph" w:customStyle="1" w:styleId="52">
    <w:name w:val="标题 5（有编号）（绿盟科技）"/>
    <w:basedOn w:val="1"/>
    <w:next w:val="53"/>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5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4">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5">
    <w:name w:val="访问过的超链接1"/>
    <w:qFormat/>
    <w:uiPriority w:val="0"/>
    <w:rPr>
      <w:color w:val="333333"/>
      <w:u w:val="none"/>
    </w:rPr>
  </w:style>
  <w:style w:type="character" w:customStyle="1" w:styleId="56">
    <w:name w:val="HTML 预设格式 字符1"/>
    <w:qFormat/>
    <w:uiPriority w:val="0"/>
    <w:rPr>
      <w:rFonts w:ascii="Courier New" w:hAnsi="Courier New" w:cs="Courier New"/>
      <w:kern w:val="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框文本 Char"/>
    <w:link w:val="21"/>
    <w:qFormat/>
    <w:uiPriority w:val="0"/>
    <w:rPr>
      <w:kern w:val="2"/>
      <w:sz w:val="18"/>
      <w:szCs w:val="18"/>
    </w:rPr>
  </w:style>
  <w:style w:type="character" w:customStyle="1" w:styleId="59">
    <w:name w:val="正文文本 Char1"/>
    <w:link w:val="2"/>
    <w:qFormat/>
    <w:uiPriority w:val="0"/>
    <w:rPr>
      <w:kern w:val="2"/>
      <w:sz w:val="21"/>
      <w:szCs w:val="24"/>
    </w:rPr>
  </w:style>
  <w:style w:type="character" w:customStyle="1" w:styleId="60">
    <w:name w:val="正文文本缩进 Char"/>
    <w:link w:val="14"/>
    <w:qFormat/>
    <w:uiPriority w:val="0"/>
    <w:rPr>
      <w:kern w:val="2"/>
      <w:sz w:val="32"/>
    </w:rPr>
  </w:style>
  <w:style w:type="character" w:customStyle="1" w:styleId="61">
    <w:name w:val="页眉 Char"/>
    <w:link w:val="23"/>
    <w:qFormat/>
    <w:uiPriority w:val="0"/>
    <w:rPr>
      <w:kern w:val="2"/>
      <w:sz w:val="18"/>
    </w:rPr>
  </w:style>
  <w:style w:type="character" w:customStyle="1" w:styleId="62">
    <w:name w:val="正文文本 Char"/>
    <w:qFormat/>
    <w:uiPriority w:val="0"/>
    <w:rPr>
      <w:kern w:val="2"/>
      <w:sz w:val="21"/>
      <w:szCs w:val="24"/>
    </w:rPr>
  </w:style>
  <w:style w:type="character" w:customStyle="1" w:styleId="63">
    <w:name w:val="font111"/>
    <w:qFormat/>
    <w:uiPriority w:val="0"/>
    <w:rPr>
      <w:rFonts w:hint="default" w:ascii="Eʩ" w:hAnsi="Eʩ" w:eastAsia="Eʩ" w:cs="Eʩ"/>
      <w:color w:val="000000"/>
      <w:sz w:val="21"/>
      <w:szCs w:val="21"/>
      <w:u w:val="single"/>
    </w:rPr>
  </w:style>
  <w:style w:type="character" w:customStyle="1" w:styleId="64">
    <w:name w:val="批注文字 Char"/>
    <w:link w:val="12"/>
    <w:qFormat/>
    <w:uiPriority w:val="99"/>
    <w:rPr>
      <w:kern w:val="2"/>
      <w:sz w:val="21"/>
      <w:szCs w:val="24"/>
    </w:rPr>
  </w:style>
  <w:style w:type="character" w:customStyle="1" w:styleId="65">
    <w:name w:val="无间隔 Char"/>
    <w:link w:val="66"/>
    <w:qFormat/>
    <w:uiPriority w:val="1"/>
    <w:rPr>
      <w:rFonts w:ascii="等线" w:hAnsi="等线" w:eastAsia="等线"/>
      <w:sz w:val="22"/>
      <w:szCs w:val="22"/>
      <w:lang w:val="en-US" w:eastAsia="zh-CN" w:bidi="ar-SA"/>
    </w:rPr>
  </w:style>
  <w:style w:type="paragraph" w:styleId="66">
    <w:name w:val="No Spacing"/>
    <w:link w:val="65"/>
    <w:qFormat/>
    <w:uiPriority w:val="1"/>
    <w:rPr>
      <w:rFonts w:ascii="等线" w:hAnsi="等线" w:eastAsia="等线" w:cs="Times New Roman"/>
      <w:sz w:val="22"/>
      <w:szCs w:val="22"/>
      <w:lang w:val="en-US" w:eastAsia="zh-CN" w:bidi="ar-SA"/>
    </w:rPr>
  </w:style>
  <w:style w:type="character" w:customStyle="1" w:styleId="67">
    <w:name w:val="label"/>
    <w:qFormat/>
    <w:uiPriority w:val="0"/>
    <w:rPr>
      <w:color w:val="555555"/>
    </w:rPr>
  </w:style>
  <w:style w:type="character" w:customStyle="1" w:styleId="68">
    <w:name w:val="（符号）邀请函中一、"/>
    <w:qFormat/>
    <w:uiPriority w:val="0"/>
    <w:rPr>
      <w:rFonts w:ascii="黑体" w:eastAsia="黑体"/>
      <w:b/>
      <w:bCs/>
      <w:sz w:val="24"/>
    </w:rPr>
  </w:style>
  <w:style w:type="character" w:customStyle="1" w:styleId="69">
    <w:name w:val="称呼 Char"/>
    <w:link w:val="13"/>
    <w:qFormat/>
    <w:uiPriority w:val="0"/>
    <w:rPr>
      <w:bCs/>
      <w:kern w:val="2"/>
      <w:sz w:val="28"/>
    </w:rPr>
  </w:style>
  <w:style w:type="character" w:customStyle="1" w:styleId="70">
    <w:name w:val="未处理的提及"/>
    <w:qFormat/>
    <w:uiPriority w:val="0"/>
    <w:rPr>
      <w:color w:val="808080"/>
      <w:shd w:val="clear" w:color="auto" w:fill="E6E6E6"/>
    </w:rPr>
  </w:style>
  <w:style w:type="character" w:customStyle="1" w:styleId="71">
    <w:name w:val="批注主题 Char"/>
    <w:link w:val="34"/>
    <w:qFormat/>
    <w:uiPriority w:val="0"/>
    <w:rPr>
      <w:b/>
      <w:bCs/>
      <w:kern w:val="2"/>
      <w:sz w:val="21"/>
      <w:szCs w:val="24"/>
    </w:rPr>
  </w:style>
  <w:style w:type="character" w:customStyle="1" w:styleId="72">
    <w:name w:val="正文文本缩进 3 Char"/>
    <w:link w:val="28"/>
    <w:qFormat/>
    <w:uiPriority w:val="0"/>
    <w:rPr>
      <w:sz w:val="16"/>
      <w:szCs w:val="16"/>
    </w:rPr>
  </w:style>
  <w:style w:type="character" w:customStyle="1" w:styleId="73">
    <w:name w:val="页脚 Char"/>
    <w:link w:val="22"/>
    <w:qFormat/>
    <w:uiPriority w:val="0"/>
    <w:rPr>
      <w:rFonts w:eastAsia="Calibri"/>
      <w:sz w:val="21"/>
    </w:rPr>
  </w:style>
  <w:style w:type="character" w:customStyle="1" w:styleId="74">
    <w:name w:val="标题 4 Char"/>
    <w:link w:val="8"/>
    <w:qFormat/>
    <w:uiPriority w:val="0"/>
    <w:rPr>
      <w:rFonts w:ascii="Arial" w:hAnsi="Arial" w:eastAsia="黑体"/>
      <w:b/>
      <w:kern w:val="2"/>
      <w:sz w:val="24"/>
      <w:szCs w:val="24"/>
    </w:rPr>
  </w:style>
  <w:style w:type="character" w:customStyle="1" w:styleId="75">
    <w:name w:val="标题 2 Char"/>
    <w:link w:val="5"/>
    <w:qFormat/>
    <w:uiPriority w:val="0"/>
    <w:rPr>
      <w:rFonts w:ascii="Arial" w:hAnsi="Arial" w:eastAsia="黑体"/>
      <w:b/>
      <w:bCs/>
      <w:kern w:val="2"/>
      <w:sz w:val="32"/>
      <w:szCs w:val="32"/>
    </w:rPr>
  </w:style>
  <w:style w:type="character" w:customStyle="1" w:styleId="76">
    <w:name w:val="标题 Char"/>
    <w:link w:val="33"/>
    <w:qFormat/>
    <w:uiPriority w:val="0"/>
    <w:rPr>
      <w:rFonts w:ascii="等线 Light" w:hAnsi="等线 Light" w:cs="Times New Roman"/>
      <w:b/>
      <w:bCs/>
      <w:kern w:val="2"/>
      <w:sz w:val="32"/>
      <w:szCs w:val="32"/>
    </w:rPr>
  </w:style>
  <w:style w:type="character" w:customStyle="1" w:styleId="77">
    <w:name w:val="HTML 预设格式 Char"/>
    <w:link w:val="31"/>
    <w:qFormat/>
    <w:uiPriority w:val="0"/>
    <w:rPr>
      <w:rFonts w:ascii="Arial" w:hAnsi="Arial"/>
    </w:rPr>
  </w:style>
  <w:style w:type="character" w:customStyle="1" w:styleId="78">
    <w:name w:val="modifier"/>
    <w:qFormat/>
    <w:uiPriority w:val="0"/>
    <w:rPr>
      <w:color w:val="FF0000"/>
    </w:rPr>
  </w:style>
  <w:style w:type="paragraph" w:customStyle="1" w:styleId="79">
    <w:name w:val="Table Paragraph"/>
    <w:basedOn w:val="1"/>
    <w:qFormat/>
    <w:uiPriority w:val="0"/>
    <w:pPr>
      <w:jc w:val="left"/>
    </w:pPr>
    <w:rPr>
      <w:rFonts w:ascii="Calibri" w:hAnsi="Calibri"/>
      <w:kern w:val="0"/>
      <w:sz w:val="22"/>
      <w:szCs w:val="22"/>
      <w:lang w:eastAsia="en-US"/>
    </w:rPr>
  </w:style>
  <w:style w:type="paragraph" w:customStyle="1" w:styleId="80">
    <w:name w:val="（符号）三标题1.1"/>
    <w:basedOn w:val="1"/>
    <w:qFormat/>
    <w:uiPriority w:val="0"/>
    <w:pPr>
      <w:numPr>
        <w:ilvl w:val="1"/>
        <w:numId w:val="3"/>
      </w:numPr>
      <w:spacing w:line="500" w:lineRule="exact"/>
    </w:pPr>
    <w:rPr>
      <w:rFonts w:ascii="宋体" w:hAnsi="宋体"/>
      <w:sz w:val="24"/>
    </w:rPr>
  </w:style>
  <w:style w:type="paragraph" w:customStyle="1" w:styleId="81">
    <w:name w:val="样式 首行缩进:  2 字符"/>
    <w:basedOn w:val="1"/>
    <w:qFormat/>
    <w:uiPriority w:val="0"/>
    <w:pPr>
      <w:spacing w:line="400" w:lineRule="exact"/>
      <w:ind w:firstLine="200" w:firstLineChars="200"/>
    </w:pPr>
    <w:rPr>
      <w:rFonts w:cs="宋体"/>
      <w:sz w:val="24"/>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Char Char Char Char Char Char Char Char Char Char Char Char Char Char1 Char Char Char Char"/>
    <w:basedOn w:val="1"/>
    <w:qFormat/>
    <w:uiPriority w:val="0"/>
    <w:rPr>
      <w:szCs w:val="21"/>
    </w:rPr>
  </w:style>
  <w:style w:type="paragraph" w:styleId="84">
    <w:name w:val="List Paragraph"/>
    <w:basedOn w:val="1"/>
    <w:qFormat/>
    <w:uiPriority w:val="0"/>
    <w:pPr>
      <w:ind w:firstLine="420" w:firstLineChars="200"/>
    </w:pPr>
  </w:style>
  <w:style w:type="paragraph" w:customStyle="1" w:styleId="85">
    <w:name w:val="表格"/>
    <w:basedOn w:val="1"/>
    <w:qFormat/>
    <w:uiPriority w:val="0"/>
    <w:pPr>
      <w:spacing w:line="400" w:lineRule="exact"/>
    </w:pPr>
    <w:rPr>
      <w:sz w:val="24"/>
    </w:rPr>
  </w:style>
  <w:style w:type="paragraph" w:customStyle="1" w:styleId="86">
    <w:name w:val="GW-正文"/>
    <w:basedOn w:val="1"/>
    <w:qFormat/>
    <w:uiPriority w:val="0"/>
    <w:pPr>
      <w:spacing w:line="360" w:lineRule="auto"/>
      <w:ind w:firstLine="200" w:firstLineChars="200"/>
    </w:pPr>
    <w:rPr>
      <w:rFonts w:eastAsia="仿宋_GB2312"/>
      <w:sz w:val="24"/>
    </w:r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89">
    <w:name w:val="_Style 10"/>
    <w:basedOn w:val="11"/>
    <w:qFormat/>
    <w:uiPriority w:val="0"/>
    <w:pPr>
      <w:adjustRightInd w:val="0"/>
      <w:snapToGrid w:val="0"/>
      <w:spacing w:line="360" w:lineRule="auto"/>
    </w:pPr>
    <w:rPr>
      <w:rFonts w:ascii="仿宋_GB2312" w:eastAsia="仿宋_GB2312"/>
      <w:sz w:val="24"/>
    </w:rPr>
  </w:style>
  <w:style w:type="paragraph" w:customStyle="1" w:styleId="90">
    <w:name w:val="TOC 标题1"/>
    <w:basedOn w:val="4"/>
    <w:next w:val="1"/>
    <w:qFormat/>
    <w:uiPriority w:val="0"/>
    <w:pPr>
      <w:widowControl/>
      <w:spacing w:before="240" w:line="259" w:lineRule="auto"/>
      <w:jc w:val="left"/>
      <w:outlineLvl w:val="9"/>
    </w:pPr>
    <w:rPr>
      <w:rFonts w:ascii="等线 Light" w:hAnsi="等线 Light" w:eastAsia="等线 Light"/>
      <w:b/>
      <w:color w:val="2F5496"/>
      <w:kern w:val="0"/>
    </w:rPr>
  </w:style>
  <w:style w:type="table" w:customStyle="1" w:styleId="91">
    <w:name w:val="网格型1"/>
    <w:basedOn w:val="3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正文缩进 Char"/>
    <w:link w:val="6"/>
    <w:qFormat/>
    <w:uiPriority w:val="0"/>
    <w:rPr>
      <w:kern w:val="2"/>
      <w:sz w:val="21"/>
      <w:szCs w:val="24"/>
    </w:rPr>
  </w:style>
  <w:style w:type="paragraph" w:styleId="93">
    <w:name w:val="Quote"/>
    <w:basedOn w:val="1"/>
    <w:next w:val="1"/>
    <w:qFormat/>
    <w:uiPriority w:val="0"/>
    <w:rPr>
      <w:rFonts w:ascii="Calibri" w:hAnsi="Calibri"/>
      <w:i/>
      <w:iCs/>
      <w:color w:val="000000"/>
    </w:rPr>
  </w:style>
  <w:style w:type="paragraph" w:customStyle="1" w:styleId="9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95">
    <w:name w:val="hover"/>
    <w:basedOn w:val="37"/>
    <w:qFormat/>
    <w:uiPriority w:val="0"/>
    <w:rPr>
      <w:color w:val="2590EB"/>
    </w:rPr>
  </w:style>
  <w:style w:type="character" w:customStyle="1" w:styleId="96">
    <w:name w:val="hover1"/>
    <w:basedOn w:val="37"/>
    <w:qFormat/>
    <w:uiPriority w:val="0"/>
    <w:rPr>
      <w:color w:val="2590EB"/>
    </w:rPr>
  </w:style>
  <w:style w:type="character" w:customStyle="1" w:styleId="97">
    <w:name w:val="hover2"/>
    <w:basedOn w:val="37"/>
    <w:qFormat/>
    <w:uiPriority w:val="0"/>
  </w:style>
  <w:style w:type="character" w:customStyle="1" w:styleId="98">
    <w:name w:val="mini-outputtext1"/>
    <w:basedOn w:val="37"/>
    <w:qFormat/>
    <w:uiPriority w:val="0"/>
  </w:style>
  <w:style w:type="character" w:customStyle="1" w:styleId="99">
    <w:name w:val="hover3"/>
    <w:basedOn w:val="37"/>
    <w:qFormat/>
    <w:uiPriority w:val="0"/>
  </w:style>
  <w:style w:type="paragraph" w:customStyle="1" w:styleId="100">
    <w:name w:val="WPSOffice手动目录 1"/>
    <w:qFormat/>
    <w:uiPriority w:val="0"/>
    <w:rPr>
      <w:rFonts w:ascii="Times New Roman" w:hAnsi="Times New Roman" w:eastAsia="宋体" w:cs="Times New Roman"/>
      <w:lang w:val="en-US" w:eastAsia="zh-CN" w:bidi="ar-SA"/>
    </w:rPr>
  </w:style>
  <w:style w:type="character" w:customStyle="1" w:styleId="101">
    <w:name w:val="纯文本 Char"/>
    <w:basedOn w:val="37"/>
    <w:link w:val="17"/>
    <w:qFormat/>
    <w:uiPriority w:val="99"/>
    <w:rPr>
      <w:rFonts w:ascii="宋体" w:hAnsi="Courier New"/>
      <w:szCs w:val="21"/>
    </w:rPr>
  </w:style>
  <w:style w:type="character" w:customStyle="1" w:styleId="102">
    <w:name w:val="img"/>
    <w:basedOn w:val="37"/>
    <w:qFormat/>
    <w:uiPriority w:val="0"/>
  </w:style>
  <w:style w:type="character" w:customStyle="1" w:styleId="103">
    <w:name w:val="img1"/>
    <w:basedOn w:val="37"/>
    <w:qFormat/>
    <w:uiPriority w:val="0"/>
  </w:style>
  <w:style w:type="character" w:customStyle="1" w:styleId="104">
    <w:name w:val="NormalCharacter"/>
    <w:qFormat/>
    <w:uiPriority w:val="0"/>
    <w:rPr>
      <w:kern w:val="2"/>
      <w:sz w:val="21"/>
      <w:szCs w:val="22"/>
      <w:lang w:val="en-US" w:eastAsia="zh-CN" w:bidi="ar-SA"/>
    </w:rPr>
  </w:style>
  <w:style w:type="paragraph" w:customStyle="1" w:styleId="105">
    <w:name w:val="BodyText"/>
    <w:basedOn w:val="1"/>
    <w:next w:val="1"/>
    <w:qFormat/>
    <w:uiPriority w:val="0"/>
    <w:pPr>
      <w:widowControl/>
      <w:spacing w:after="120" w:line="259" w:lineRule="auto"/>
      <w:textAlignment w:val="baseline"/>
    </w:pPr>
    <w:rPr>
      <w:rFonts w:ascii="Calibri" w:hAnsi="Calibri"/>
    </w:rPr>
  </w:style>
  <w:style w:type="paragraph" w:customStyle="1" w:styleId="106">
    <w:name w:val="NormalIndent"/>
    <w:basedOn w:val="1"/>
    <w:qFormat/>
    <w:uiPriority w:val="0"/>
    <w:pPr>
      <w:widowControl/>
      <w:spacing w:after="160" w:line="259" w:lineRule="auto"/>
      <w:ind w:firstLine="200" w:firstLineChars="200"/>
      <w:textAlignment w:val="baseline"/>
    </w:pPr>
    <w:rPr>
      <w:rFonts w:ascii="Calibri" w:hAnsi="Calibri"/>
    </w:rPr>
  </w:style>
  <w:style w:type="paragraph" w:customStyle="1" w:styleId="107">
    <w:name w:val="AnnotationText"/>
    <w:basedOn w:val="1"/>
    <w:qFormat/>
    <w:uiPriority w:val="0"/>
    <w:pPr>
      <w:widowControl/>
      <w:spacing w:after="160" w:line="259" w:lineRule="auto"/>
      <w:jc w:val="left"/>
      <w:textAlignment w:val="baseline"/>
    </w:pPr>
    <w:rPr>
      <w:rFonts w:ascii="Calibri" w:hAnsi="Calibri"/>
    </w:rPr>
  </w:style>
  <w:style w:type="paragraph" w:customStyle="1" w:styleId="108">
    <w:name w:val="UserStyle_5"/>
    <w:basedOn w:val="1"/>
    <w:qFormat/>
    <w:uiPriority w:val="0"/>
    <w:pPr>
      <w:widowControl/>
      <w:spacing w:after="160" w:line="400" w:lineRule="exact"/>
      <w:ind w:firstLine="200" w:firstLineChars="200"/>
      <w:textAlignment w:val="baseline"/>
    </w:pPr>
    <w:rPr>
      <w:rFonts w:ascii="Calibri" w:hAnsi="Calibri"/>
      <w:sz w:val="24"/>
    </w:rPr>
  </w:style>
  <w:style w:type="character" w:customStyle="1" w:styleId="109">
    <w:name w:val="UserStyle_23"/>
    <w:qFormat/>
    <w:uiPriority w:val="0"/>
  </w:style>
  <w:style w:type="paragraph" w:customStyle="1" w:styleId="1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emf"/><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B56EC-C22E-4455-BBE9-92FA6A91E75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86</Pages>
  <Words>46166</Words>
  <Characters>48362</Characters>
  <Lines>366</Lines>
  <Paragraphs>103</Paragraphs>
  <TotalTime>2</TotalTime>
  <ScaleCrop>false</ScaleCrop>
  <LinksUpToDate>false</LinksUpToDate>
  <CharactersWithSpaces>49256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2021-09-07T10:01:00Z</dcterms:created>
  <dc:creator>雨林木风</dc:creator>
  <cp:lastModifiedBy>4Sail</cp:lastModifiedBy>
  <cp:lastPrinted>2019-03-29T04:43:00Z</cp:lastPrinted>
  <dcterms:modified xsi:type="dcterms:W3CDTF">2021-12-23T03:30:39Z</dcterms:modified>
  <dc:title>招标编号：xx政采招[xxxx] xx号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EAB92BADDAA14FFA9DA7EF42A32B2A96</vt:lpwstr>
  </property>
</Properties>
</file>