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0"/>
          <w:szCs w:val="30"/>
        </w:rPr>
      </w:pPr>
      <w:bookmarkStart w:id="0" w:name="_Toc504988290"/>
      <w:bookmarkStart w:id="1" w:name="_Toc504987191"/>
      <w:r>
        <w:rPr>
          <w:rFonts w:hint="eastAsia" w:ascii="宋体" w:hAnsi="宋体" w:eastAsia="宋体" w:cs="宋体"/>
          <w:b/>
          <w:sz w:val="30"/>
          <w:szCs w:val="30"/>
        </w:rPr>
        <w:drawing>
          <wp:inline distT="0" distB="0" distL="114300" distR="114300">
            <wp:extent cx="2222500" cy="153924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cstate="print"/>
                    <a:stretch>
                      <a:fillRect/>
                    </a:stretch>
                  </pic:blipFill>
                  <pic:spPr>
                    <a:xfrm>
                      <a:off x="0" y="0"/>
                      <a:ext cx="2222500" cy="1539240"/>
                    </a:xfrm>
                    <a:prstGeom prst="rect">
                      <a:avLst/>
                    </a:prstGeom>
                    <a:noFill/>
                    <a:ln w="9525">
                      <a:noFill/>
                    </a:ln>
                  </pic:spPr>
                </pic:pic>
              </a:graphicData>
            </a:graphic>
          </wp:inline>
        </w:drawing>
      </w:r>
    </w:p>
    <w:p>
      <w:pPr>
        <w:spacing w:line="360" w:lineRule="auto"/>
        <w:jc w:val="center"/>
        <w:rPr>
          <w:rFonts w:hint="eastAsia" w:ascii="宋体" w:hAnsi="宋体" w:eastAsia="宋体" w:cs="宋体"/>
          <w:b/>
          <w:color w:val="FF0000"/>
          <w:sz w:val="30"/>
          <w:szCs w:val="30"/>
          <w:lang w:eastAsia="zh-CN"/>
        </w:rPr>
      </w:pPr>
      <w:r>
        <w:rPr>
          <w:rFonts w:hint="eastAsia" w:ascii="宋体" w:hAnsi="宋体" w:eastAsia="宋体" w:cs="宋体"/>
          <w:b/>
          <w:sz w:val="30"/>
          <w:szCs w:val="30"/>
          <w:lang w:eastAsia="zh-CN"/>
        </w:rPr>
        <w:t>采购项目编号</w:t>
      </w:r>
      <w:r>
        <w:rPr>
          <w:rFonts w:hint="eastAsia" w:ascii="宋体" w:hAnsi="宋体" w:eastAsia="宋体" w:cs="宋体"/>
          <w:b/>
          <w:sz w:val="30"/>
          <w:szCs w:val="30"/>
          <w:highlight w:val="none"/>
        </w:rPr>
        <w:t>：</w:t>
      </w:r>
      <w:r>
        <w:rPr>
          <w:rFonts w:hint="eastAsia" w:ascii="宋体" w:hAnsi="宋体" w:cs="宋体"/>
          <w:b/>
          <w:sz w:val="30"/>
          <w:szCs w:val="30"/>
          <w:highlight w:val="none"/>
          <w:lang w:eastAsia="zh-CN"/>
        </w:rPr>
        <w:t>510132202100179</w:t>
      </w:r>
    </w:p>
    <w:p>
      <w:pPr>
        <w:spacing w:line="360" w:lineRule="auto"/>
        <w:jc w:val="center"/>
        <w:rPr>
          <w:rFonts w:hint="eastAsia" w:ascii="宋体" w:hAnsi="宋体" w:eastAsia="宋体" w:cs="宋体"/>
          <w:b/>
          <w:bCs/>
          <w:sz w:val="44"/>
          <w:szCs w:val="44"/>
        </w:rPr>
      </w:pPr>
    </w:p>
    <w:p>
      <w:pPr>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四川省成都市新津区农业农村局2021年农产品质量安全监督检验检测耗材采购项目</w:t>
      </w: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p>
    <w:p>
      <w:pPr>
        <w:pStyle w:val="2"/>
        <w:rPr>
          <w:rFonts w:hint="eastAsia"/>
        </w:rPr>
      </w:pPr>
    </w:p>
    <w:p>
      <w:pPr>
        <w:widowControl/>
        <w:spacing w:line="360" w:lineRule="auto"/>
        <w:jc w:val="center"/>
        <w:rPr>
          <w:rFonts w:hint="eastAsia" w:ascii="宋体" w:hAnsi="宋体" w:eastAsia="宋体" w:cs="宋体"/>
          <w:kern w:val="0"/>
          <w:sz w:val="72"/>
          <w:szCs w:val="72"/>
        </w:rPr>
      </w:pPr>
      <w:r>
        <w:rPr>
          <w:rFonts w:hint="eastAsia" w:ascii="宋体" w:hAnsi="宋体" w:eastAsia="宋体" w:cs="宋体"/>
          <w:b/>
          <w:kern w:val="0"/>
          <w:sz w:val="72"/>
          <w:szCs w:val="72"/>
        </w:rPr>
        <w:t>竞争性谈判文件</w:t>
      </w:r>
    </w:p>
    <w:p>
      <w:pPr>
        <w:spacing w:line="360" w:lineRule="auto"/>
        <w:jc w:val="center"/>
        <w:rPr>
          <w:rFonts w:hint="eastAsia" w:ascii="宋体" w:hAnsi="宋体" w:eastAsia="宋体" w:cs="宋体"/>
          <w:b/>
          <w:sz w:val="32"/>
          <w:szCs w:val="32"/>
        </w:rPr>
      </w:pPr>
    </w:p>
    <w:p>
      <w:pPr>
        <w:pStyle w:val="3"/>
        <w:jc w:val="both"/>
        <w:outlineLvl w:val="9"/>
        <w:rPr>
          <w:rFonts w:hint="eastAsia"/>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中国·四川</w:t>
      </w:r>
    </w:p>
    <w:p>
      <w:pPr>
        <w:spacing w:line="360" w:lineRule="auto"/>
        <w:jc w:val="center"/>
        <w:rPr>
          <w:rFonts w:hint="eastAsia" w:ascii="宋体" w:hAnsi="宋体" w:eastAsia="宋体" w:cs="宋体"/>
          <w:b/>
          <w:sz w:val="32"/>
          <w:szCs w:val="32"/>
          <w:lang w:eastAsia="zh-CN"/>
        </w:rPr>
      </w:pPr>
      <w:r>
        <w:rPr>
          <w:rFonts w:hint="eastAsia" w:ascii="宋体" w:hAnsi="宋体" w:cs="宋体"/>
          <w:b/>
          <w:sz w:val="32"/>
          <w:szCs w:val="32"/>
          <w:lang w:eastAsia="zh-CN"/>
        </w:rPr>
        <w:t>成都市新津区农业农村局</w:t>
      </w:r>
      <w:r>
        <w:rPr>
          <w:rFonts w:hint="eastAsia" w:ascii="宋体" w:hAnsi="宋体" w:eastAsia="宋体" w:cs="宋体"/>
          <w:b/>
          <w:sz w:val="32"/>
          <w:szCs w:val="32"/>
          <w:lang w:eastAsia="zh-CN"/>
        </w:rPr>
        <w:t xml:space="preserve"> </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四川轩辕招标代理有限公司</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共同编制</w:t>
      </w:r>
    </w:p>
    <w:p>
      <w:pPr>
        <w:spacing w:line="360" w:lineRule="auto"/>
        <w:jc w:val="center"/>
        <w:rPr>
          <w:rFonts w:hint="eastAsia" w:ascii="宋体" w:hAnsi="宋体" w:eastAsia="宋体" w:cs="宋体"/>
          <w:b/>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bCs/>
          <w:sz w:val="32"/>
          <w:szCs w:val="32"/>
          <w:lang w:val="zh-CN"/>
        </w:rPr>
        <w:t>年</w:t>
      </w:r>
      <w:r>
        <w:rPr>
          <w:rFonts w:hint="eastAsia" w:ascii="宋体" w:hAnsi="宋体" w:cs="宋体"/>
          <w:b/>
          <w:bCs/>
          <w:sz w:val="32"/>
          <w:szCs w:val="32"/>
          <w:lang w:val="en-US" w:eastAsia="zh-CN"/>
        </w:rPr>
        <w:t>11</w:t>
      </w:r>
      <w:r>
        <w:rPr>
          <w:rFonts w:hint="eastAsia" w:ascii="宋体" w:hAnsi="宋体" w:eastAsia="宋体" w:cs="宋体"/>
          <w:b/>
          <w:bCs/>
          <w:sz w:val="32"/>
          <w:szCs w:val="32"/>
          <w:lang w:val="zh-CN"/>
        </w:rPr>
        <w:t>月</w:t>
      </w:r>
    </w:p>
    <w:sdt>
      <w:sdtPr>
        <w:rPr>
          <w:rFonts w:hint="eastAsia" w:ascii="宋体" w:hAnsi="宋体" w:eastAsia="宋体" w:cs="宋体"/>
          <w:kern w:val="2"/>
          <w:sz w:val="21"/>
          <w:szCs w:val="24"/>
          <w:lang w:val="en-US" w:eastAsia="zh-CN" w:bidi="ar-SA"/>
        </w:rPr>
        <w:id w:val="147467495"/>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r>
            <w:rPr>
              <w:rFonts w:hint="eastAsia" w:ascii="宋体" w:hAnsi="宋体" w:eastAsia="宋体" w:cs="宋体"/>
              <w:sz w:val="36"/>
              <w:szCs w:val="36"/>
            </w:rPr>
            <w:t>目录</w:t>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_Toc3323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谈判邀请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_Toc3323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_Toc8751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谈判须知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_Toc8751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_Toc21051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供应商资格条件要求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_Toc21051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供应商资格证明材料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_Toc4082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采购项目技术、服务、采购合同内容条款及其他商务要求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_Toc4082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_Toc15655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_Toc15655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_Toc25594 </w:instrText>
          </w:r>
          <w:r>
            <w:rPr>
              <w:rFonts w:hint="eastAsia" w:ascii="宋体" w:hAnsi="宋体" w:eastAsia="宋体" w:cs="宋体"/>
              <w:sz w:val="24"/>
              <w:szCs w:val="24"/>
            </w:rPr>
            <w:fldChar w:fldCharType="separate"/>
          </w:r>
          <w:r>
            <w:rPr>
              <w:rFonts w:hint="eastAsia" w:ascii="宋体" w:hAnsi="宋体" w:eastAsia="宋体" w:cs="宋体"/>
              <w:sz w:val="24"/>
              <w:szCs w:val="24"/>
            </w:rPr>
            <w:t>第七章  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_Toc25594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_Toc16610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第八章 </w:t>
          </w:r>
          <w:r>
            <w:rPr>
              <w:rFonts w:hint="eastAsia" w:ascii="宋体" w:hAnsi="宋体" w:cs="宋体"/>
              <w:sz w:val="24"/>
              <w:szCs w:val="24"/>
              <w:lang w:val="en-US" w:eastAsia="zh-CN"/>
            </w:rPr>
            <w:t xml:space="preserve"> </w:t>
          </w:r>
          <w:r>
            <w:rPr>
              <w:rFonts w:hint="eastAsia" w:ascii="宋体" w:hAnsi="宋体" w:eastAsia="宋体" w:cs="宋体"/>
              <w:sz w:val="24"/>
              <w:szCs w:val="24"/>
            </w:rPr>
            <w:t>合同主要条款（仅供参考）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_Toc16610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9"/>
            <w:tabs>
              <w:tab w:val="right" w:leader="dot" w:pos="8317"/>
            </w:tabs>
            <w:spacing w:line="360" w:lineRule="auto"/>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_Toc24563 </w:instrText>
          </w:r>
          <w:r>
            <w:rPr>
              <w:rFonts w:hint="eastAsia" w:ascii="宋体" w:hAnsi="宋体" w:eastAsia="宋体" w:cs="宋体"/>
              <w:sz w:val="24"/>
              <w:szCs w:val="24"/>
            </w:rPr>
            <w:fldChar w:fldCharType="separate"/>
          </w:r>
          <w:r>
            <w:rPr>
              <w:rFonts w:hint="eastAsia" w:ascii="宋体" w:hAnsi="宋体" w:eastAsia="宋体" w:cs="宋体"/>
              <w:sz w:val="24"/>
              <w:szCs w:val="24"/>
            </w:rPr>
            <w:t>附件一：联系方式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_Toc24563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rPr>
            <w:sectPr>
              <w:headerReference r:id="rId9" w:type="first"/>
              <w:footerReference r:id="rId11" w:type="first"/>
              <w:footerReference r:id="rId10" w:type="default"/>
              <w:pgSz w:w="11911" w:h="16838"/>
              <w:pgMar w:top="1440" w:right="1797" w:bottom="1440" w:left="1797" w:header="850" w:footer="737" w:gutter="0"/>
              <w:pgNumType w:start="1"/>
              <w:cols w:space="720" w:num="1"/>
              <w:titlePg/>
              <w:docGrid w:linePitch="299" w:charSpace="0"/>
            </w:sectPr>
          </w:pPr>
          <w:r>
            <w:rPr>
              <w:rFonts w:hint="eastAsia" w:ascii="宋体" w:hAnsi="宋体" w:eastAsia="宋体" w:cs="宋体"/>
            </w:rPr>
            <w:fldChar w:fldCharType="end"/>
          </w:r>
        </w:p>
      </w:sdtContent>
    </w:sdt>
    <w:p>
      <w:pPr>
        <w:pStyle w:val="39"/>
        <w:spacing w:before="0" w:after="0" w:line="360" w:lineRule="auto"/>
        <w:rPr>
          <w:rFonts w:hint="eastAsia" w:ascii="宋体" w:hAnsi="宋体" w:eastAsia="宋体" w:cs="宋体"/>
        </w:rPr>
      </w:pPr>
      <w:bookmarkStart w:id="2" w:name="_Toc504991335"/>
      <w:bookmarkStart w:id="3" w:name="_Toc3323"/>
      <w:bookmarkStart w:id="4" w:name="_Toc10569"/>
      <w:r>
        <w:rPr>
          <w:rFonts w:hint="eastAsia" w:ascii="宋体" w:hAnsi="宋体" w:eastAsia="宋体" w:cs="宋体"/>
        </w:rPr>
        <w:t>第一章  谈判邀请</w:t>
      </w:r>
      <w:bookmarkEnd w:id="0"/>
      <w:bookmarkEnd w:id="1"/>
      <w:bookmarkEnd w:id="2"/>
      <w:bookmarkEnd w:id="3"/>
      <w:bookmarkEnd w:id="4"/>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b/>
          <w:sz w:val="24"/>
          <w:u w:val="single"/>
        </w:rPr>
        <w:t>四川轩辕招标代理有限公司</w:t>
      </w:r>
      <w:r>
        <w:rPr>
          <w:rFonts w:hint="eastAsia" w:ascii="宋体" w:hAnsi="宋体" w:eastAsia="宋体" w:cs="宋体"/>
          <w:sz w:val="24"/>
          <w:u w:val="single"/>
        </w:rPr>
        <w:t>（采购代理机构）</w:t>
      </w:r>
      <w:r>
        <w:rPr>
          <w:rFonts w:hint="eastAsia" w:ascii="宋体" w:hAnsi="宋体" w:eastAsia="宋体" w:cs="宋体"/>
          <w:sz w:val="24"/>
        </w:rPr>
        <w:t>受</w:t>
      </w:r>
      <w:r>
        <w:rPr>
          <w:rFonts w:hint="eastAsia" w:ascii="宋体" w:hAnsi="宋体" w:cs="宋体"/>
          <w:b/>
          <w:bCs/>
          <w:sz w:val="24"/>
          <w:u w:val="single"/>
          <w:lang w:eastAsia="zh-CN"/>
        </w:rPr>
        <w:t>成都市新津区农业农村局</w:t>
      </w:r>
      <w:r>
        <w:rPr>
          <w:rFonts w:hint="eastAsia" w:ascii="宋体" w:hAnsi="宋体" w:eastAsia="宋体" w:cs="宋体"/>
          <w:b/>
          <w:bCs/>
          <w:sz w:val="24"/>
          <w:u w:val="single"/>
          <w:lang w:eastAsia="zh-CN"/>
        </w:rPr>
        <w:t xml:space="preserve"> </w:t>
      </w:r>
      <w:r>
        <w:rPr>
          <w:rFonts w:hint="eastAsia" w:ascii="宋体" w:hAnsi="宋体" w:eastAsia="宋体" w:cs="宋体"/>
          <w:sz w:val="24"/>
          <w:u w:val="single"/>
        </w:rPr>
        <w:t>（采购人）</w:t>
      </w:r>
      <w:r>
        <w:rPr>
          <w:rFonts w:hint="eastAsia" w:ascii="宋体" w:hAnsi="宋体" w:eastAsia="宋体" w:cs="宋体"/>
          <w:sz w:val="24"/>
        </w:rPr>
        <w:t>委托，拟对</w:t>
      </w:r>
      <w:r>
        <w:rPr>
          <w:rFonts w:hint="eastAsia" w:ascii="宋体" w:hAnsi="宋体" w:eastAsia="宋体" w:cs="宋体"/>
          <w:b/>
          <w:sz w:val="24"/>
          <w:u w:val="single"/>
        </w:rPr>
        <w:t xml:space="preserve"> </w:t>
      </w:r>
      <w:r>
        <w:rPr>
          <w:rFonts w:hint="eastAsia" w:ascii="宋体" w:hAnsi="宋体" w:cs="宋体"/>
          <w:b/>
          <w:sz w:val="24"/>
          <w:u w:val="single"/>
          <w:lang w:eastAsia="zh-CN"/>
        </w:rPr>
        <w:t>四川省成都市新津区农业农村局2021年农产品质量安全监督检验检测耗材采购项目</w:t>
      </w:r>
      <w:r>
        <w:rPr>
          <w:rFonts w:hint="eastAsia" w:ascii="宋体" w:hAnsi="宋体" w:eastAsia="宋体" w:cs="宋体"/>
          <w:sz w:val="24"/>
        </w:rPr>
        <w:t>采用竞争性谈判方式进行采购，兹邀请符合资格条件的供应商就下述采购项目提交密封的响应文件并提出报价。</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一、采购项目名称：</w:t>
      </w:r>
      <w:r>
        <w:rPr>
          <w:rFonts w:hint="eastAsia" w:ascii="宋体" w:hAnsi="宋体" w:cs="宋体"/>
          <w:sz w:val="24"/>
          <w:lang w:eastAsia="zh-CN"/>
        </w:rPr>
        <w:t>四川省成都市新津区农业农村局2021年农产品质量安全监督检验检测耗材采购项目</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二、采购项目编号</w:t>
      </w:r>
      <w:r>
        <w:rPr>
          <w:rFonts w:hint="eastAsia" w:ascii="宋体" w:hAnsi="宋体" w:eastAsia="宋体" w:cs="宋体"/>
          <w:sz w:val="24"/>
          <w:highlight w:val="none"/>
        </w:rPr>
        <w:t>：</w:t>
      </w:r>
      <w:r>
        <w:rPr>
          <w:rFonts w:hint="eastAsia" w:ascii="宋体" w:hAnsi="宋体" w:cs="宋体"/>
          <w:sz w:val="24"/>
          <w:highlight w:val="none"/>
          <w:lang w:eastAsia="zh-CN"/>
        </w:rPr>
        <w:t>510132202100179</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三、预算金额及资金来源</w:t>
      </w:r>
      <w:r>
        <w:rPr>
          <w:rFonts w:hint="eastAsia" w:ascii="宋体" w:hAnsi="宋体" w:eastAsia="宋体" w:cs="宋体"/>
          <w:sz w:val="24"/>
        </w:rPr>
        <w:t>：</w:t>
      </w:r>
      <w:r>
        <w:rPr>
          <w:rFonts w:hint="eastAsia" w:ascii="宋体" w:hAnsi="宋体" w:eastAsia="宋体" w:cs="宋体"/>
          <w:kern w:val="1"/>
          <w:sz w:val="24"/>
        </w:rPr>
        <w:t>财政资金，</w:t>
      </w:r>
      <w:r>
        <w:rPr>
          <w:rFonts w:hint="eastAsia" w:ascii="宋体" w:hAnsi="宋体" w:cs="宋体"/>
          <w:kern w:val="1"/>
          <w:sz w:val="24"/>
          <w:lang w:eastAsia="zh-CN"/>
        </w:rPr>
        <w:t>45.15万元</w:t>
      </w:r>
      <w:r>
        <w:rPr>
          <w:rFonts w:hint="eastAsia" w:ascii="宋体" w:hAnsi="宋体" w:eastAsia="宋体" w:cs="宋体"/>
          <w:color w:val="000000"/>
          <w:sz w:val="24"/>
        </w:rPr>
        <w:t>。</w:t>
      </w:r>
    </w:p>
    <w:p>
      <w:pPr>
        <w:widowControl/>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b/>
          <w:sz w:val="24"/>
        </w:rPr>
        <w:t>四、采购内容：2021年农产品质量安全监督检验检测耗材采购</w:t>
      </w:r>
      <w:r>
        <w:rPr>
          <w:rFonts w:hint="eastAsia" w:ascii="宋体" w:hAnsi="宋体" w:eastAsia="宋体" w:cs="宋体"/>
          <w:bCs/>
          <w:sz w:val="24"/>
        </w:rPr>
        <w:t>。</w:t>
      </w:r>
      <w:r>
        <w:rPr>
          <w:rFonts w:hint="eastAsia" w:ascii="宋体" w:hAnsi="宋体" w:eastAsia="宋体" w:cs="宋体"/>
          <w:sz w:val="24"/>
        </w:rPr>
        <w:t>（详见谈判文件第五章）</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w:t>
      </w:r>
      <w:r>
        <w:rPr>
          <w:rFonts w:hint="eastAsia" w:ascii="宋体" w:hAnsi="宋体" w:eastAsia="宋体" w:cs="宋体"/>
          <w:sz w:val="24"/>
        </w:rPr>
        <w:t>、</w:t>
      </w:r>
      <w:r>
        <w:rPr>
          <w:rFonts w:hint="eastAsia" w:ascii="宋体" w:hAnsi="宋体" w:eastAsia="宋体" w:cs="宋体"/>
          <w:b/>
          <w:bCs/>
          <w:sz w:val="24"/>
        </w:rPr>
        <w:t>供应商参加本次采购活动应具备下列条件：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（一）《中华人民共和国政府采购法》第二十二条规定的条件：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2、具有良好的商业信誉和健全的财务会计制度；</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5、参加本次政府采购活动前三年内，在经营活动中没有重大违法记录；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6、法律、行政法规规定的其他条件。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（二）根据采购项目提出的</w:t>
      </w:r>
      <w:r>
        <w:rPr>
          <w:rFonts w:hint="eastAsia" w:ascii="宋体" w:hAnsi="宋体" w:eastAsia="宋体" w:cs="宋体"/>
          <w:sz w:val="24"/>
          <w:lang w:eastAsia="zh-CN"/>
        </w:rPr>
        <w:t>其他</w:t>
      </w:r>
      <w:r>
        <w:rPr>
          <w:rFonts w:hint="eastAsia" w:ascii="宋体" w:hAnsi="宋体" w:eastAsia="宋体" w:cs="宋体"/>
          <w:sz w:val="24"/>
        </w:rPr>
        <w:t>条件：</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若供应商为危险化学品经营单位需提供有效期内的《危险化学品经营许可证》（如国家另有规定，则适用其规定）；若供应商为危险化学品生产单位需提供有效期内《危险化学品安全生产许可证》（如国家另有规定，则适用其规定）</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2、本项目专门面向中小企业采购(监狱企业、残疾人福利性单位均视同小微企业)，非中小企业参与的将视为无效投标。</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3、本项目参加政府采购活动的供应商、法定代表人/主要负责人近3年内不得具有行贿犯罪记录。</w:t>
      </w:r>
    </w:p>
    <w:p>
      <w:pPr>
        <w:pStyle w:val="2"/>
        <w:rPr>
          <w:rFonts w:hint="default"/>
          <w:lang w:val="en-US"/>
        </w:rPr>
      </w:pPr>
      <w:r>
        <w:rPr>
          <w:rFonts w:hint="eastAsia" w:ascii="宋体" w:hAnsi="宋体" w:cs="宋体"/>
          <w:kern w:val="0"/>
          <w:sz w:val="24"/>
          <w:highlight w:val="none"/>
          <w:lang w:val="en-US" w:eastAsia="zh-CN"/>
        </w:rPr>
        <w:t xml:space="preserve">      4、</w:t>
      </w:r>
      <w:r>
        <w:rPr>
          <w:rFonts w:hint="eastAsia" w:ascii="宋体" w:hAnsi="宋体" w:eastAsia="宋体" w:cs="宋体"/>
          <w:sz w:val="24"/>
          <w:highlight w:val="none"/>
        </w:rPr>
        <w:t>本项目</w:t>
      </w:r>
      <w:r>
        <w:rPr>
          <w:rFonts w:hint="eastAsia" w:ascii="宋体" w:hAnsi="宋体" w:cs="宋体"/>
          <w:sz w:val="24"/>
          <w:highlight w:val="none"/>
          <w:u w:val="single"/>
          <w:lang w:val="en-US" w:eastAsia="zh-CN"/>
        </w:rPr>
        <w:t xml:space="preserve"> </w:t>
      </w:r>
      <w:r>
        <w:rPr>
          <w:rFonts w:hint="eastAsia" w:ascii="宋体" w:hAnsi="宋体" w:eastAsia="宋体" w:cs="宋体"/>
          <w:b/>
          <w:sz w:val="24"/>
          <w:highlight w:val="none"/>
          <w:u w:val="single"/>
        </w:rPr>
        <w:t xml:space="preserve">不接受 </w:t>
      </w:r>
      <w:r>
        <w:rPr>
          <w:rFonts w:hint="eastAsia" w:ascii="宋体" w:hAnsi="宋体" w:eastAsia="宋体" w:cs="宋体"/>
          <w:sz w:val="24"/>
          <w:highlight w:val="none"/>
        </w:rPr>
        <w:t>联合体</w:t>
      </w:r>
      <w:r>
        <w:rPr>
          <w:rFonts w:hint="eastAsia" w:ascii="宋体" w:hAnsi="宋体" w:cs="宋体"/>
          <w:sz w:val="24"/>
          <w:highlight w:val="none"/>
          <w:lang w:eastAsia="zh-CN"/>
        </w:rPr>
        <w:t>参与谈判活动</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六、严禁参加本次采购活动的供应商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财政部关于在政府采购活动中查询及使用信用记录的通知》（财库[2016]125号）的要求，截止至递交响应文件时间，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七、谈判文件获取方式、时间、地点：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1、网络报名获取，凡有意</w:t>
      </w:r>
      <w:r>
        <w:rPr>
          <w:rFonts w:hint="eastAsia" w:ascii="宋体" w:hAnsi="宋体" w:eastAsia="宋体" w:cs="宋体"/>
          <w:sz w:val="24"/>
          <w:szCs w:val="24"/>
          <w:highlight w:val="none"/>
          <w:lang w:eastAsia="zh-CN"/>
        </w:rPr>
        <w:t>参与谈判供应商</w:t>
      </w: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2021年</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2021年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17</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09:00-17:00（北京时间，法定节假日除外）。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文件获取方式：供应商从“政府采购云平台”获取采购文件（网址：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"https://www.zcygov.cn）项目采购—获取采购文件—申请获取采购文件。_x0005_"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https://www.zcygov.cn）。登录政府采购云平台—项目采购—获取采购文件—申请获取采购文件</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文件免费获取。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（2）供应商只有在“政府采购云平台”完成获取磋商文件申请并下载磋商文件后才视作依法参与本项目。如未在“政府采购云平台”内完成相关流程，引起的投标无效责任自负。</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（3）政府采购云平台供应商注册地址：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"https://middle.zcygov.cn/v-settlefront/registry?settleCategory=1&amp;entranceType=119&amp;utm=a0017.b1347.cl50.3.c0de9400b91b11eb870ad7da87d69c97；" </w:instrText>
      </w:r>
      <w:r>
        <w:rPr>
          <w:rFonts w:hint="eastAsia" w:ascii="宋体" w:hAnsi="宋体" w:eastAsia="宋体" w:cs="宋体"/>
          <w:color w:val="auto"/>
          <w:sz w:val="24"/>
          <w:highlight w:val="none"/>
        </w:rPr>
        <w:fldChar w:fldCharType="separate"/>
      </w:r>
      <w:r>
        <w:rPr>
          <w:rStyle w:val="53"/>
          <w:rFonts w:hint="eastAsia" w:ascii="宋体" w:hAnsi="宋体" w:eastAsia="宋体" w:cs="宋体"/>
          <w:color w:val="auto"/>
          <w:sz w:val="24"/>
          <w:highlight w:val="none"/>
        </w:rPr>
        <w:t>https://middle.zcygov.cn/v-settlefront/registry?settleCategory=1&amp;entranceType=119&amp;utm=a0017.b1347.cl50.3.c0de9400b91b11eb870ad7da87d69c97；</w:t>
      </w:r>
      <w:r>
        <w:rPr>
          <w:rFonts w:hint="eastAsia" w:ascii="宋体" w:hAnsi="宋体" w:eastAsia="宋体" w:cs="宋体"/>
          <w:color w:val="auto"/>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8"/>
          <w:highlight w:val="none"/>
        </w:rPr>
      </w:pPr>
      <w:r>
        <w:rPr>
          <w:rFonts w:hint="eastAsia" w:ascii="宋体" w:hAnsi="宋体" w:eastAsia="宋体" w:cs="宋体"/>
          <w:b/>
          <w:sz w:val="24"/>
          <w:szCs w:val="28"/>
        </w:rPr>
        <w:t>八、递交响应文件</w:t>
      </w:r>
      <w:r>
        <w:rPr>
          <w:rFonts w:hint="eastAsia" w:ascii="宋体" w:hAnsi="宋体" w:eastAsia="宋体" w:cs="宋体"/>
          <w:b/>
          <w:sz w:val="24"/>
        </w:rPr>
        <w:t>截</w:t>
      </w:r>
      <w:r>
        <w:rPr>
          <w:rFonts w:hint="eastAsia" w:ascii="宋体" w:hAnsi="宋体" w:eastAsia="宋体" w:cs="宋体"/>
          <w:b/>
          <w:sz w:val="24"/>
          <w:highlight w:val="none"/>
        </w:rPr>
        <w:t>止时间：</w:t>
      </w:r>
      <w:r>
        <w:rPr>
          <w:rFonts w:hint="eastAsia" w:ascii="宋体" w:hAnsi="宋体" w:eastAsia="宋体" w:cs="宋体"/>
          <w:bCs/>
          <w:sz w:val="24"/>
          <w:szCs w:val="28"/>
          <w:highlight w:val="none"/>
          <w:u w:val="none"/>
        </w:rPr>
        <w:t>2</w:t>
      </w:r>
      <w:r>
        <w:rPr>
          <w:rFonts w:hint="eastAsia" w:ascii="宋体" w:hAnsi="宋体" w:eastAsia="宋体" w:cs="宋体"/>
          <w:bCs/>
          <w:sz w:val="24"/>
          <w:highlight w:val="none"/>
          <w:u w:val="none"/>
        </w:rPr>
        <w:t>02</w:t>
      </w:r>
      <w:r>
        <w:rPr>
          <w:rFonts w:hint="eastAsia" w:ascii="宋体" w:hAnsi="宋体" w:eastAsia="宋体" w:cs="宋体"/>
          <w:bCs/>
          <w:sz w:val="24"/>
          <w:highlight w:val="none"/>
          <w:u w:val="none"/>
          <w:lang w:val="en-US" w:eastAsia="zh-CN"/>
        </w:rPr>
        <w:t>1</w:t>
      </w:r>
      <w:r>
        <w:rPr>
          <w:rFonts w:hint="eastAsia" w:ascii="宋体" w:hAnsi="宋体" w:eastAsia="宋体" w:cs="宋体"/>
          <w:bCs/>
          <w:sz w:val="24"/>
          <w:highlight w:val="none"/>
          <w:u w:val="none"/>
        </w:rPr>
        <w:t>年</w:t>
      </w:r>
      <w:r>
        <w:rPr>
          <w:rFonts w:hint="eastAsia" w:ascii="宋体" w:hAnsi="宋体" w:cs="宋体"/>
          <w:bCs/>
          <w:sz w:val="24"/>
          <w:highlight w:val="none"/>
          <w:u w:val="none"/>
          <w:lang w:val="en-US" w:eastAsia="zh-CN"/>
        </w:rPr>
        <w:t>11</w:t>
      </w:r>
      <w:r>
        <w:rPr>
          <w:rFonts w:hint="eastAsia" w:ascii="宋体" w:hAnsi="宋体" w:eastAsia="宋体" w:cs="宋体"/>
          <w:sz w:val="24"/>
          <w:highlight w:val="none"/>
          <w:u w:val="none"/>
        </w:rPr>
        <w:t>月</w:t>
      </w:r>
      <w:r>
        <w:rPr>
          <w:rFonts w:hint="eastAsia" w:ascii="宋体" w:hAnsi="宋体" w:cs="宋体"/>
          <w:sz w:val="24"/>
          <w:highlight w:val="none"/>
          <w:u w:val="none"/>
          <w:lang w:val="en-US" w:eastAsia="zh-CN"/>
        </w:rPr>
        <w:t>19</w:t>
      </w:r>
      <w:r>
        <w:rPr>
          <w:rFonts w:hint="eastAsia" w:ascii="宋体" w:hAnsi="宋体" w:eastAsia="宋体" w:cs="宋体"/>
          <w:sz w:val="24"/>
          <w:highlight w:val="none"/>
          <w:u w:val="none"/>
        </w:rPr>
        <w:t>日</w:t>
      </w:r>
      <w:r>
        <w:rPr>
          <w:rFonts w:hint="eastAsia" w:ascii="宋体" w:hAnsi="宋体" w:eastAsia="宋体" w:cs="宋体"/>
          <w:sz w:val="24"/>
          <w:highlight w:val="none"/>
          <w:u w:val="none"/>
          <w:lang w:eastAsia="zh-CN"/>
        </w:rPr>
        <w:t>上</w:t>
      </w:r>
      <w:r>
        <w:rPr>
          <w:rFonts w:hint="eastAsia" w:ascii="宋体" w:hAnsi="宋体" w:eastAsia="宋体" w:cs="宋体"/>
          <w:sz w:val="24"/>
          <w:highlight w:val="none"/>
          <w:u w:val="none"/>
        </w:rPr>
        <w:t>午</w:t>
      </w:r>
      <w:r>
        <w:rPr>
          <w:rFonts w:hint="eastAsia" w:ascii="宋体" w:hAnsi="宋体" w:cs="宋体"/>
          <w:sz w:val="24"/>
          <w:highlight w:val="none"/>
          <w:u w:val="none"/>
          <w:lang w:val="en-US" w:eastAsia="zh-CN"/>
        </w:rPr>
        <w:t>11</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3</w:t>
      </w:r>
      <w:r>
        <w:rPr>
          <w:rFonts w:hint="eastAsia" w:ascii="宋体" w:hAnsi="宋体" w:eastAsia="宋体" w:cs="宋体"/>
          <w:sz w:val="24"/>
          <w:highlight w:val="none"/>
          <w:u w:val="none"/>
        </w:rPr>
        <w:t>0</w:t>
      </w:r>
      <w:r>
        <w:rPr>
          <w:rFonts w:hint="eastAsia" w:ascii="宋体" w:hAnsi="宋体" w:eastAsia="宋体" w:cs="宋体"/>
          <w:sz w:val="24"/>
          <w:szCs w:val="28"/>
          <w:highlight w:val="none"/>
          <w:u w:val="none"/>
        </w:rPr>
        <w:t>（北京时间）。</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九、递交响应文件地点：</w:t>
      </w:r>
      <w:bookmarkStart w:id="5" w:name="_Hlk518390651"/>
      <w:r>
        <w:rPr>
          <w:rFonts w:hint="eastAsia" w:ascii="宋体" w:hAnsi="宋体" w:eastAsia="宋体" w:cs="宋体"/>
          <w:b/>
          <w:sz w:val="24"/>
        </w:rPr>
        <w:t>四川轩辕招标代理有限公司（成都市锦江区墨香路87号8栋4楼）</w:t>
      </w:r>
      <w:bookmarkEnd w:id="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响应文件必须在递交响应文件截止时间前送达</w:t>
      </w:r>
      <w:r>
        <w:rPr>
          <w:rFonts w:hint="eastAsia" w:ascii="宋体" w:hAnsi="宋体" w:eastAsia="宋体" w:cs="宋体"/>
          <w:sz w:val="24"/>
          <w:szCs w:val="18"/>
        </w:rPr>
        <w:t>谈判</w:t>
      </w:r>
      <w:r>
        <w:rPr>
          <w:rFonts w:hint="eastAsia" w:ascii="宋体" w:hAnsi="宋体" w:eastAsia="宋体" w:cs="宋体"/>
          <w:sz w:val="24"/>
        </w:rPr>
        <w:t>地点。逾期送达或者未按照谈判文件要求密封的响应文件，不予接收。本次采购不接收邮寄的响应文件。</w:t>
      </w:r>
    </w:p>
    <w:p>
      <w:pPr>
        <w:numPr>
          <w:ilvl w:val="0"/>
          <w:numId w:val="2"/>
        </w:numPr>
        <w:spacing w:line="360" w:lineRule="auto"/>
        <w:ind w:firstLine="489" w:firstLineChars="203"/>
        <w:rPr>
          <w:rFonts w:hint="eastAsia" w:ascii="宋体" w:hAnsi="宋体" w:eastAsia="宋体" w:cs="宋体"/>
        </w:rPr>
      </w:pPr>
      <w:r>
        <w:rPr>
          <w:rFonts w:hint="eastAsia" w:ascii="宋体" w:hAnsi="宋体" w:eastAsia="宋体" w:cs="宋体"/>
          <w:b/>
          <w:sz w:val="24"/>
          <w:szCs w:val="28"/>
        </w:rPr>
        <w:t>谈判地点：</w:t>
      </w:r>
      <w:r>
        <w:rPr>
          <w:rFonts w:hint="eastAsia" w:ascii="宋体" w:hAnsi="宋体" w:eastAsia="宋体" w:cs="宋体"/>
          <w:b/>
          <w:sz w:val="24"/>
        </w:rPr>
        <w:t>四川轩辕招标代理有限公司（成都市锦江区墨香路87号8栋4楼）</w:t>
      </w:r>
    </w:p>
    <w:p>
      <w:pPr>
        <w:pStyle w:val="96"/>
        <w:ind w:firstLine="482"/>
        <w:rPr>
          <w:rFonts w:hint="eastAsia" w:ascii="宋体" w:hAnsi="宋体" w:eastAsia="宋体" w:cs="宋体"/>
          <w:b/>
          <w:sz w:val="24"/>
        </w:rPr>
      </w:pPr>
      <w:r>
        <w:rPr>
          <w:rFonts w:hint="eastAsia" w:ascii="宋体" w:hAnsi="宋体" w:eastAsia="宋体" w:cs="宋体"/>
          <w:b/>
          <w:sz w:val="24"/>
        </w:rPr>
        <w:t>十一、联系方式</w:t>
      </w:r>
    </w:p>
    <w:p>
      <w:pPr>
        <w:pStyle w:val="96"/>
        <w:ind w:firstLine="482"/>
        <w:rPr>
          <w:rFonts w:hint="eastAsia" w:ascii="宋体" w:hAnsi="宋体" w:eastAsia="宋体" w:cs="宋体"/>
          <w:b/>
          <w:bCs/>
          <w:sz w:val="24"/>
          <w:lang w:eastAsia="zh-CN"/>
        </w:rPr>
      </w:pPr>
      <w:r>
        <w:rPr>
          <w:rFonts w:hint="eastAsia" w:ascii="宋体" w:hAnsi="宋体" w:eastAsia="宋体" w:cs="宋体"/>
          <w:b w:val="0"/>
          <w:bCs w:val="0"/>
          <w:sz w:val="24"/>
        </w:rPr>
        <w:t>采 购 人：</w:t>
      </w:r>
      <w:r>
        <w:rPr>
          <w:rFonts w:hint="eastAsia" w:ascii="宋体" w:hAnsi="宋体" w:cs="宋体"/>
          <w:b w:val="0"/>
          <w:bCs w:val="0"/>
          <w:sz w:val="24"/>
          <w:lang w:eastAsia="zh-CN"/>
        </w:rPr>
        <w:t>成都市新津区农业农村局</w:t>
      </w:r>
      <w:r>
        <w:rPr>
          <w:rFonts w:hint="eastAsia" w:ascii="宋体" w:hAnsi="宋体" w:eastAsia="宋体" w:cs="宋体"/>
          <w:b/>
          <w:bCs/>
          <w:sz w:val="24"/>
          <w:lang w:eastAsia="zh-CN"/>
        </w:rPr>
        <w:t xml:space="preserve"> </w:t>
      </w:r>
    </w:p>
    <w:p>
      <w:pPr>
        <w:pStyle w:val="96"/>
        <w:ind w:firstLine="480"/>
        <w:rPr>
          <w:rFonts w:hint="eastAsia" w:ascii="宋体" w:hAnsi="宋体" w:eastAsia="宋体" w:cs="宋体"/>
          <w:color w:val="FF0000"/>
          <w:sz w:val="24"/>
          <w:highlight w:val="none"/>
        </w:rPr>
      </w:pPr>
      <w:r>
        <w:rPr>
          <w:rFonts w:hint="eastAsia" w:ascii="宋体" w:hAnsi="宋体" w:eastAsia="宋体" w:cs="宋体"/>
          <w:sz w:val="24"/>
          <w:highlight w:val="none"/>
        </w:rPr>
        <w:t>通讯地址：</w:t>
      </w:r>
      <w:r>
        <w:rPr>
          <w:rFonts w:hint="eastAsia" w:ascii="宋体" w:hAnsi="宋体" w:cs="宋体"/>
          <w:sz w:val="24"/>
          <w:highlight w:val="none"/>
          <w:lang w:eastAsia="zh-CN"/>
        </w:rPr>
        <w:t>成都市</w:t>
      </w:r>
      <w:r>
        <w:rPr>
          <w:rFonts w:hint="eastAsia" w:ascii="宋体" w:hAnsi="宋体" w:eastAsia="宋体" w:cs="宋体"/>
          <w:sz w:val="24"/>
          <w:highlight w:val="none"/>
        </w:rPr>
        <w:t>新津区五津北路16号</w:t>
      </w:r>
      <w:r>
        <w:rPr>
          <w:rFonts w:hint="eastAsia" w:ascii="宋体" w:hAnsi="宋体" w:eastAsia="宋体" w:cs="宋体"/>
          <w:b w:val="0"/>
          <w:bCs w:val="0"/>
          <w:sz w:val="24"/>
          <w:highlight w:val="none"/>
          <w:lang w:val="en-US" w:eastAsia="zh-CN"/>
        </w:rPr>
        <w:t xml:space="preserve"> </w:t>
      </w:r>
    </w:p>
    <w:p>
      <w:pPr>
        <w:pStyle w:val="96"/>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联 系 人：</w:t>
      </w:r>
      <w:r>
        <w:rPr>
          <w:rFonts w:hint="eastAsia" w:ascii="宋体" w:hAnsi="宋体" w:cs="宋体"/>
          <w:sz w:val="24"/>
          <w:highlight w:val="none"/>
          <w:lang w:eastAsia="zh-CN"/>
        </w:rPr>
        <w:t>郑老师</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p>
    <w:p>
      <w:pPr>
        <w:tabs>
          <w:tab w:val="left" w:pos="1095"/>
        </w:tabs>
        <w:spacing w:line="360" w:lineRule="auto"/>
        <w:ind w:firstLine="480"/>
        <w:jc w:val="left"/>
        <w:rPr>
          <w:rFonts w:hint="default" w:ascii="宋体" w:hAnsi="宋体" w:eastAsia="宋体" w:cs="宋体"/>
          <w:color w:val="000000"/>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028-82516889</w:t>
      </w:r>
    </w:p>
    <w:p>
      <w:pPr>
        <w:pStyle w:val="96"/>
        <w:ind w:firstLine="480"/>
        <w:rPr>
          <w:rFonts w:hint="eastAsia" w:ascii="宋体" w:hAnsi="宋体" w:eastAsia="宋体" w:cs="宋体"/>
          <w:color w:val="000000"/>
          <w:sz w:val="24"/>
        </w:rPr>
      </w:pPr>
    </w:p>
    <w:p>
      <w:pPr>
        <w:pStyle w:val="96"/>
        <w:ind w:firstLine="482"/>
        <w:rPr>
          <w:rFonts w:hint="eastAsia" w:ascii="宋体" w:hAnsi="宋体" w:eastAsia="宋体" w:cs="宋体"/>
          <w:b w:val="0"/>
          <w:bCs/>
          <w:sz w:val="24"/>
        </w:rPr>
      </w:pPr>
      <w:r>
        <w:rPr>
          <w:rFonts w:hint="eastAsia" w:ascii="宋体" w:hAnsi="宋体" w:eastAsia="宋体" w:cs="宋体"/>
          <w:b w:val="0"/>
          <w:bCs/>
          <w:sz w:val="24"/>
        </w:rPr>
        <w:t>采购代理机构：</w:t>
      </w:r>
      <w:r>
        <w:rPr>
          <w:rFonts w:hint="eastAsia" w:ascii="宋体" w:hAnsi="宋体" w:eastAsia="宋体" w:cs="宋体"/>
          <w:b w:val="0"/>
          <w:bCs/>
          <w:sz w:val="24"/>
          <w:szCs w:val="28"/>
        </w:rPr>
        <w:t>四川轩辕招标代理有限公司</w:t>
      </w:r>
    </w:p>
    <w:p>
      <w:pPr>
        <w:pStyle w:val="96"/>
        <w:ind w:firstLine="480"/>
        <w:rPr>
          <w:rFonts w:hint="eastAsia" w:ascii="宋体" w:hAnsi="宋体" w:eastAsia="宋体" w:cs="宋体"/>
          <w:sz w:val="24"/>
        </w:rPr>
      </w:pPr>
      <w:r>
        <w:rPr>
          <w:rFonts w:hint="eastAsia" w:ascii="宋体" w:hAnsi="宋体" w:eastAsia="宋体" w:cs="宋体"/>
          <w:sz w:val="24"/>
        </w:rPr>
        <w:t>通讯地址：成都市锦江区墨香路87号8栋4楼</w:t>
      </w:r>
    </w:p>
    <w:p>
      <w:pPr>
        <w:pStyle w:val="96"/>
        <w:ind w:firstLine="480"/>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cs="宋体"/>
          <w:sz w:val="24"/>
          <w:lang w:eastAsia="zh-CN"/>
        </w:rPr>
        <w:t>胡老师</w:t>
      </w:r>
    </w:p>
    <w:p>
      <w:pPr>
        <w:pStyle w:val="96"/>
        <w:ind w:firstLine="480"/>
        <w:rPr>
          <w:rFonts w:hint="eastAsia" w:ascii="宋体" w:hAnsi="宋体" w:eastAsia="宋体" w:cs="宋体"/>
          <w:sz w:val="24"/>
        </w:rPr>
      </w:pPr>
      <w:r>
        <w:rPr>
          <w:rFonts w:hint="eastAsia" w:ascii="宋体" w:hAnsi="宋体" w:eastAsia="宋体" w:cs="宋体"/>
          <w:sz w:val="24"/>
        </w:rPr>
        <w:t>联系电话：028-65731881</w:t>
      </w:r>
    </w:p>
    <w:p>
      <w:pPr>
        <w:spacing w:line="360" w:lineRule="auto"/>
        <w:ind w:right="420" w:rightChars="200" w:firstLine="480" w:firstLineChars="200"/>
        <w:rPr>
          <w:rFonts w:hint="eastAsia" w:ascii="宋体" w:hAnsi="宋体" w:eastAsia="宋体" w:cs="宋体"/>
          <w:sz w:val="24"/>
          <w:szCs w:val="28"/>
        </w:rPr>
      </w:pPr>
    </w:p>
    <w:p>
      <w:pPr>
        <w:pStyle w:val="38"/>
        <w:spacing w:before="0" w:beforeAutospacing="0" w:after="0" w:afterAutospacing="0" w:line="360" w:lineRule="auto"/>
        <w:ind w:firstLine="5880" w:firstLineChars="2450"/>
        <w:rPr>
          <w:rFonts w:hint="eastAsia" w:ascii="宋体" w:hAnsi="宋体" w:eastAsia="宋体" w:cs="宋体"/>
          <w:color w:val="FF0000"/>
          <w:sz w:val="24"/>
          <w:szCs w:val="24"/>
        </w:rPr>
      </w:pPr>
    </w:p>
    <w:p>
      <w:pPr>
        <w:widowControl/>
        <w:spacing w:line="360" w:lineRule="auto"/>
        <w:jc w:val="left"/>
        <w:rPr>
          <w:rFonts w:hint="eastAsia" w:ascii="宋体" w:hAnsi="宋体" w:eastAsia="宋体" w:cs="宋体"/>
          <w:kern w:val="0"/>
          <w:sz w:val="24"/>
        </w:rPr>
      </w:pPr>
      <w:bookmarkStart w:id="6" w:name="_Toc504991336"/>
      <w:bookmarkStart w:id="7" w:name="_Toc504987192"/>
      <w:bookmarkStart w:id="8" w:name="_Toc213396759"/>
      <w:bookmarkStart w:id="9" w:name="_Toc213396945"/>
      <w:bookmarkStart w:id="10" w:name="_Toc504988291"/>
      <w:bookmarkStart w:id="11" w:name="_Toc217446031"/>
      <w:bookmarkStart w:id="12" w:name="_Toc213397009"/>
      <w:bookmarkStart w:id="13" w:name="_Toc213496267"/>
      <w:r>
        <w:rPr>
          <w:rFonts w:hint="eastAsia" w:ascii="宋体" w:hAnsi="宋体" w:eastAsia="宋体" w:cs="宋体"/>
          <w:b/>
          <w:bCs/>
          <w:kern w:val="0"/>
          <w:sz w:val="24"/>
        </w:rPr>
        <w:br w:type="page"/>
      </w:r>
    </w:p>
    <w:p>
      <w:pPr>
        <w:pStyle w:val="39"/>
        <w:spacing w:before="0" w:after="0" w:line="360" w:lineRule="auto"/>
        <w:rPr>
          <w:rFonts w:hint="eastAsia" w:ascii="宋体" w:hAnsi="宋体" w:eastAsia="宋体" w:cs="宋体"/>
        </w:rPr>
      </w:pPr>
      <w:bookmarkStart w:id="14" w:name="_Toc18884"/>
      <w:bookmarkStart w:id="15" w:name="_Toc8751"/>
      <w:r>
        <w:rPr>
          <w:rFonts w:hint="eastAsia" w:ascii="宋体" w:hAnsi="宋体" w:eastAsia="宋体" w:cs="宋体"/>
        </w:rPr>
        <w:t>第二章  谈判须知</w:t>
      </w:r>
      <w:bookmarkEnd w:id="6"/>
      <w:bookmarkEnd w:id="7"/>
      <w:bookmarkEnd w:id="8"/>
      <w:bookmarkEnd w:id="9"/>
      <w:bookmarkEnd w:id="10"/>
      <w:bookmarkEnd w:id="11"/>
      <w:bookmarkEnd w:id="12"/>
      <w:bookmarkEnd w:id="13"/>
      <w:bookmarkEnd w:id="14"/>
      <w:bookmarkEnd w:id="15"/>
    </w:p>
    <w:p>
      <w:pPr>
        <w:pStyle w:val="5"/>
        <w:keepNext w:val="0"/>
        <w:keepLines w:val="0"/>
        <w:spacing w:before="0" w:after="0" w:line="360" w:lineRule="auto"/>
        <w:jc w:val="center"/>
        <w:rPr>
          <w:rFonts w:hint="eastAsia" w:ascii="宋体" w:hAnsi="宋体" w:eastAsia="宋体" w:cs="宋体"/>
        </w:rPr>
      </w:pPr>
      <w:bookmarkStart w:id="16" w:name="_Toc504991337"/>
      <w:bookmarkStart w:id="17" w:name="_Toc504987193"/>
      <w:bookmarkStart w:id="18" w:name="_Toc504988292"/>
      <w:bookmarkStart w:id="19" w:name="_Toc24765"/>
      <w:r>
        <w:rPr>
          <w:rFonts w:hint="eastAsia" w:ascii="宋体" w:hAnsi="宋体" w:eastAsia="宋体" w:cs="宋体"/>
        </w:rPr>
        <w:t>一、供应商须知附表</w:t>
      </w:r>
      <w:bookmarkEnd w:id="16"/>
      <w:bookmarkEnd w:id="17"/>
      <w:bookmarkEnd w:id="18"/>
      <w:bookmarkEnd w:id="19"/>
    </w:p>
    <w:tbl>
      <w:tblPr>
        <w:tblStyle w:val="42"/>
        <w:tblW w:w="8787" w:type="dxa"/>
        <w:jc w:val="center"/>
        <w:tblLayout w:type="fixed"/>
        <w:tblCellMar>
          <w:top w:w="0" w:type="dxa"/>
          <w:left w:w="0" w:type="dxa"/>
          <w:bottom w:w="0" w:type="dxa"/>
          <w:right w:w="0" w:type="dxa"/>
        </w:tblCellMar>
      </w:tblPr>
      <w:tblGrid>
        <w:gridCol w:w="534"/>
        <w:gridCol w:w="1593"/>
        <w:gridCol w:w="6660"/>
      </w:tblGrid>
      <w:tr>
        <w:trPr>
          <w:trHeight w:val="528" w:hRule="atLeast"/>
          <w:jc w:val="center"/>
        </w:trPr>
        <w:tc>
          <w:tcPr>
            <w:tcW w:w="534" w:type="dxa"/>
            <w:tcBorders>
              <w:top w:val="doub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93" w:type="dxa"/>
            <w:tcBorders>
              <w:top w:val="doub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条款名称</w:t>
            </w:r>
          </w:p>
        </w:tc>
        <w:tc>
          <w:tcPr>
            <w:tcW w:w="6660" w:type="dxa"/>
            <w:tcBorders>
              <w:top w:val="double" w:color="000000" w:sz="4" w:space="0"/>
              <w:left w:val="single" w:color="000000" w:sz="4" w:space="0"/>
              <w:bottom w:val="single" w:color="000000" w:sz="4" w:space="0"/>
              <w:right w:val="double" w:color="000000" w:sz="4" w:space="0"/>
            </w:tcBorders>
            <w:noWrap w:val="0"/>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说明和要求</w:t>
            </w:r>
          </w:p>
        </w:tc>
      </w:tr>
      <w:tr>
        <w:tblPrEx>
          <w:tblCellMar>
            <w:top w:w="0" w:type="dxa"/>
            <w:left w:w="0" w:type="dxa"/>
            <w:bottom w:w="0" w:type="dxa"/>
            <w:right w:w="0" w:type="dxa"/>
          </w:tblCellMar>
        </w:tblPrEx>
        <w:trPr>
          <w:trHeight w:val="23" w:hRule="atLeast"/>
          <w:jc w:val="center"/>
        </w:trPr>
        <w:tc>
          <w:tcPr>
            <w:tcW w:w="534" w:type="dxa"/>
            <w:vMerge w:val="restart"/>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采购预算</w:t>
            </w:r>
          </w:p>
          <w:p>
            <w:pPr>
              <w:bidi w:val="0"/>
              <w:jc w:val="center"/>
              <w:rPr>
                <w:rFonts w:hint="eastAsia" w:ascii="宋体" w:hAnsi="宋体" w:eastAsia="宋体" w:cs="宋体"/>
                <w:sz w:val="21"/>
                <w:szCs w:val="21"/>
              </w:rPr>
            </w:pPr>
            <w:r>
              <w:rPr>
                <w:rFonts w:hint="eastAsia" w:ascii="宋体" w:hAnsi="宋体" w:eastAsia="宋体" w:cs="宋体"/>
                <w:sz w:val="21"/>
                <w:szCs w:val="21"/>
              </w:rPr>
              <w:t>（实质性要求）</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ind w:right="31"/>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采购预算</w:t>
            </w:r>
            <w:r>
              <w:rPr>
                <w:rFonts w:hint="eastAsia" w:ascii="宋体" w:hAnsi="宋体" w:eastAsia="宋体" w:cs="宋体"/>
                <w:bCs/>
                <w:color w:val="auto"/>
                <w:kern w:val="1"/>
                <w:sz w:val="21"/>
                <w:szCs w:val="21"/>
              </w:rPr>
              <w:t>：</w:t>
            </w:r>
            <w:r>
              <w:rPr>
                <w:rFonts w:hint="eastAsia" w:ascii="宋体" w:hAnsi="宋体" w:cs="宋体"/>
                <w:bCs/>
                <w:color w:val="auto"/>
                <w:kern w:val="1"/>
                <w:sz w:val="21"/>
                <w:szCs w:val="21"/>
                <w:u w:val="single"/>
                <w:lang w:eastAsia="zh-CN"/>
              </w:rPr>
              <w:t>45.15万元</w:t>
            </w:r>
            <w:r>
              <w:rPr>
                <w:rFonts w:hint="eastAsia" w:ascii="宋体" w:hAnsi="宋体" w:eastAsia="宋体" w:cs="宋体"/>
                <w:bCs/>
                <w:color w:val="auto"/>
                <w:kern w:val="1"/>
                <w:sz w:val="21"/>
                <w:szCs w:val="21"/>
                <w:u w:val="single"/>
                <w:lang w:val="en-US" w:eastAsia="zh-CN"/>
              </w:rPr>
              <w:t>。</w:t>
            </w:r>
          </w:p>
          <w:p>
            <w:pPr>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超过采购预算的报价为无效报价，其响应文件按无效响应文件处理。</w:t>
            </w:r>
          </w:p>
        </w:tc>
      </w:tr>
      <w:tr>
        <w:tblPrEx>
          <w:tblCellMar>
            <w:top w:w="0" w:type="dxa"/>
            <w:left w:w="0" w:type="dxa"/>
            <w:bottom w:w="0" w:type="dxa"/>
            <w:right w:w="0" w:type="dxa"/>
          </w:tblCellMar>
        </w:tblPrEx>
        <w:trPr>
          <w:trHeight w:val="23" w:hRule="atLeast"/>
          <w:jc w:val="center"/>
        </w:trPr>
        <w:tc>
          <w:tcPr>
            <w:tcW w:w="534" w:type="dxa"/>
            <w:vMerge w:val="continue"/>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最高限价</w:t>
            </w:r>
          </w:p>
          <w:p>
            <w:pPr>
              <w:bidi w:val="0"/>
              <w:jc w:val="center"/>
              <w:rPr>
                <w:rFonts w:hint="eastAsia" w:ascii="宋体" w:hAnsi="宋体" w:eastAsia="宋体" w:cs="宋体"/>
                <w:sz w:val="21"/>
                <w:szCs w:val="21"/>
              </w:rPr>
            </w:pPr>
            <w:r>
              <w:rPr>
                <w:rFonts w:hint="eastAsia" w:ascii="宋体" w:hAnsi="宋体" w:eastAsia="宋体" w:cs="宋体"/>
                <w:sz w:val="21"/>
                <w:szCs w:val="21"/>
              </w:rPr>
              <w:t>（实质性要求）</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本项目最高限价：</w:t>
            </w:r>
            <w:r>
              <w:rPr>
                <w:rFonts w:hint="eastAsia" w:ascii="宋体" w:hAnsi="宋体" w:cs="宋体"/>
                <w:bCs/>
                <w:color w:val="auto"/>
                <w:kern w:val="1"/>
                <w:sz w:val="21"/>
                <w:szCs w:val="21"/>
                <w:u w:val="single"/>
                <w:lang w:eastAsia="zh-CN"/>
              </w:rPr>
              <w:t>45.15万元</w:t>
            </w:r>
            <w:r>
              <w:rPr>
                <w:rFonts w:hint="eastAsia" w:ascii="宋体" w:hAnsi="宋体" w:eastAsia="宋体" w:cs="宋体"/>
                <w:bCs/>
                <w:color w:val="auto"/>
                <w:kern w:val="1"/>
                <w:sz w:val="21"/>
                <w:szCs w:val="21"/>
                <w:u w:val="single"/>
                <w:lang w:val="en-US" w:eastAsia="zh-CN"/>
              </w:rPr>
              <w:t>。</w:t>
            </w:r>
          </w:p>
          <w:p>
            <w:pPr>
              <w:pStyle w:val="2"/>
              <w:rPr>
                <w:rFonts w:hint="eastAsia" w:ascii="宋体" w:hAnsi="宋体" w:eastAsia="宋体" w:cs="宋体"/>
                <w:sz w:val="21"/>
                <w:szCs w:val="21"/>
              </w:rPr>
            </w:pPr>
            <w:r>
              <w:rPr>
                <w:rFonts w:hint="eastAsia" w:ascii="宋体" w:hAnsi="宋体" w:eastAsia="宋体" w:cs="宋体"/>
                <w:sz w:val="21"/>
                <w:szCs w:val="21"/>
              </w:rPr>
              <w:t>超过最高限价的报价为无效报价，其响应文件按无效响应文件处理。</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低于成本价不正当竞争预防措施（实质性要求）</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谈判小组认为报价人的报价明显低于其他通过资格性审查报价人的报价，有可能影响产品质量或者不能诚信履约的，应当要求其在</w:t>
            </w:r>
            <w:r>
              <w:rPr>
                <w:rFonts w:hint="eastAsia" w:ascii="宋体" w:hAnsi="宋体" w:eastAsia="宋体" w:cs="宋体"/>
                <w:sz w:val="21"/>
                <w:szCs w:val="21"/>
                <w:lang w:eastAsia="zh-CN"/>
              </w:rPr>
              <w:t>评审</w:t>
            </w:r>
            <w:r>
              <w:rPr>
                <w:rFonts w:hint="eastAsia" w:ascii="宋体" w:hAnsi="宋体" w:eastAsia="宋体" w:cs="宋体"/>
                <w:sz w:val="21"/>
                <w:szCs w:val="21"/>
              </w:rPr>
              <w:t>现场合理的时间内提供书面说明，必要时提交相关证明材料；报价人不能证明其报价合理性的，谈判小组应当将其作为无效报价处理。</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val="zh-CN"/>
              </w:rPr>
            </w:pPr>
            <w:r>
              <w:rPr>
                <w:rFonts w:hint="eastAsia" w:ascii="宋体" w:hAnsi="宋体" w:eastAsia="宋体" w:cs="宋体"/>
                <w:sz w:val="21"/>
                <w:szCs w:val="21"/>
              </w:rPr>
              <w:t>3</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1"/>
                <w:szCs w:val="21"/>
                <w:lang w:val="zh-CN"/>
              </w:rPr>
            </w:pPr>
            <w:r>
              <w:rPr>
                <w:rFonts w:hint="eastAsia" w:ascii="宋体" w:hAnsi="宋体" w:eastAsia="宋体" w:cs="宋体"/>
                <w:kern w:val="0"/>
                <w:szCs w:val="21"/>
                <w:lang w:val="zh-CN"/>
              </w:rPr>
              <w:t>小微企业（监狱企业、残疾人福利性单位视同小微企业）价格扣除</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本项目专门面向中小企业。</w:t>
            </w:r>
          </w:p>
        </w:tc>
      </w:tr>
      <w:tr>
        <w:tblPrEx>
          <w:tblCellMar>
            <w:top w:w="0" w:type="dxa"/>
            <w:left w:w="0" w:type="dxa"/>
            <w:bottom w:w="0" w:type="dxa"/>
            <w:right w:w="0" w:type="dxa"/>
          </w:tblCellMar>
        </w:tblPrEx>
        <w:trPr>
          <w:trHeight w:val="816"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情况公告</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lang w:val="zh-CN"/>
              </w:rPr>
              <w:t>供应商资格审查情况、谈判情况、报价情况、谈判结果等在四川政府采购网结果公告栏中予以公告。</w:t>
            </w:r>
          </w:p>
        </w:tc>
      </w:tr>
      <w:tr>
        <w:tblPrEx>
          <w:tblCellMar>
            <w:top w:w="0" w:type="dxa"/>
            <w:left w:w="0" w:type="dxa"/>
            <w:bottom w:w="0" w:type="dxa"/>
            <w:right w:w="0" w:type="dxa"/>
          </w:tblCellMar>
        </w:tblPrEx>
        <w:trPr>
          <w:trHeight w:val="651"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保证金</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24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本项目不做要求。</w:t>
            </w:r>
          </w:p>
        </w:tc>
      </w:tr>
      <w:tr>
        <w:tblPrEx>
          <w:tblCellMar>
            <w:top w:w="0" w:type="dxa"/>
            <w:left w:w="0" w:type="dxa"/>
            <w:bottom w:w="0" w:type="dxa"/>
            <w:right w:w="0" w:type="dxa"/>
          </w:tblCellMar>
        </w:tblPrEx>
        <w:trPr>
          <w:trHeight w:val="5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节能、环保及无线局域网产品政府采购政策</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一、节能、环保产品政府采购政策：</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本项目采购的产品属于品目清单强制采购范围的，供应商应按上述要求提供产品认证证书复印件并</w:t>
            </w:r>
            <w:r>
              <w:rPr>
                <w:rFonts w:hint="eastAsia" w:ascii="宋体" w:hAnsi="宋体" w:eastAsia="宋体" w:cs="宋体"/>
                <w:color w:val="000000"/>
                <w:kern w:val="0"/>
                <w:szCs w:val="21"/>
                <w:highlight w:val="none"/>
                <w:lang w:val="zh-CN"/>
              </w:rPr>
              <w:t>加盖供应商单位公章（鲜章）</w:t>
            </w:r>
            <w:r>
              <w:rPr>
                <w:rFonts w:hint="eastAsia" w:ascii="宋体" w:hAnsi="宋体" w:eastAsia="宋体" w:cs="宋体"/>
                <w:color w:val="000000"/>
                <w:kern w:val="0"/>
                <w:szCs w:val="21"/>
                <w:highlight w:val="none"/>
              </w:rPr>
              <w:t>，否则响应无效。（实质性要求）</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本项目采购的产品属于品目清单优先采购范围的，</w:t>
            </w:r>
            <w:r>
              <w:rPr>
                <w:rFonts w:hint="eastAsia" w:ascii="宋体" w:hAnsi="宋体" w:eastAsia="宋体" w:cs="宋体"/>
                <w:color w:val="000000"/>
                <w:kern w:val="0"/>
                <w:szCs w:val="21"/>
                <w:highlight w:val="none"/>
                <w:lang w:val="zh-CN"/>
              </w:rPr>
              <w:t>当供应商的评审价相同时，优先采购其响应产品属于</w:t>
            </w:r>
            <w:r>
              <w:rPr>
                <w:rFonts w:hint="eastAsia" w:ascii="宋体" w:hAnsi="宋体" w:eastAsia="宋体" w:cs="宋体"/>
                <w:color w:val="000000"/>
                <w:kern w:val="0"/>
                <w:szCs w:val="21"/>
                <w:highlight w:val="none"/>
              </w:rPr>
              <w:t>品目清单内的产品</w:t>
            </w:r>
            <w:r>
              <w:rPr>
                <w:rFonts w:hint="eastAsia" w:ascii="宋体" w:hAnsi="宋体" w:eastAsia="宋体" w:cs="宋体"/>
                <w:color w:val="000000"/>
                <w:kern w:val="0"/>
                <w:szCs w:val="21"/>
                <w:highlight w:val="none"/>
                <w:lang w:val="zh-CN"/>
              </w:rPr>
              <w:t>，供应商在响应文件中按上述要求提供产品</w:t>
            </w:r>
            <w:r>
              <w:rPr>
                <w:rFonts w:hint="eastAsia" w:ascii="宋体" w:hAnsi="宋体" w:eastAsia="宋体" w:cs="宋体"/>
                <w:color w:val="000000"/>
                <w:kern w:val="0"/>
                <w:szCs w:val="21"/>
                <w:highlight w:val="none"/>
              </w:rPr>
              <w:t>认证证书复印件并</w:t>
            </w:r>
            <w:r>
              <w:rPr>
                <w:rFonts w:hint="eastAsia" w:ascii="宋体" w:hAnsi="宋体" w:eastAsia="宋体" w:cs="宋体"/>
                <w:color w:val="000000"/>
                <w:kern w:val="0"/>
                <w:szCs w:val="21"/>
                <w:highlight w:val="none"/>
                <w:lang w:val="zh-CN"/>
              </w:rPr>
              <w:t>加盖供应商单位公章（鲜章）</w:t>
            </w:r>
            <w:r>
              <w:rPr>
                <w:rFonts w:hint="eastAsia" w:ascii="宋体" w:hAnsi="宋体" w:eastAsia="宋体" w:cs="宋体"/>
                <w:color w:val="000000"/>
                <w:kern w:val="0"/>
                <w:szCs w:val="21"/>
                <w:highlight w:val="none"/>
              </w:rPr>
              <w:t>。</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二、无线局域网产品政府采购政策：</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zh-CN"/>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tc>
      </w:tr>
      <w:tr>
        <w:tblPrEx>
          <w:tblCellMar>
            <w:top w:w="0" w:type="dxa"/>
            <w:left w:w="0" w:type="dxa"/>
            <w:bottom w:w="0" w:type="dxa"/>
            <w:right w:w="0" w:type="dxa"/>
          </w:tblCellMar>
        </w:tblPrEx>
        <w:trPr>
          <w:trHeight w:val="5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left="105" w:leftChars="50" w:right="105" w:rightChars="5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强制认证产品</w:t>
            </w:r>
          </w:p>
          <w:p>
            <w:pPr>
              <w:pStyle w:val="18"/>
              <w:rPr>
                <w:rFonts w:hint="eastAsia" w:ascii="宋体" w:hAnsi="宋体" w:eastAsia="宋体" w:cs="宋体"/>
              </w:rPr>
            </w:pPr>
            <w:r>
              <w:rPr>
                <w:rFonts w:hint="eastAsia" w:ascii="宋体" w:hAnsi="宋体" w:eastAsia="宋体" w:cs="宋体"/>
                <w:b/>
                <w:bCs/>
                <w:kern w:val="2"/>
                <w:sz w:val="21"/>
                <w:szCs w:val="24"/>
                <w:lang w:val="en-US" w:eastAsia="zh-CN" w:bidi="ar-SA"/>
              </w:rPr>
              <w:t>（实质性要求）</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eastAsia="zh-CN"/>
              </w:rPr>
              <w:t xml:space="preserve">供应商所投产品如涉及国家强制认证的（CCC）或前置许可、认证的， </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eastAsia="zh-CN"/>
              </w:rPr>
              <w:t xml:space="preserve">在其他响应文件中提供所投产品符合国家强制认证（CCC）或前置许可、 </w:t>
            </w:r>
          </w:p>
          <w:p>
            <w:pPr>
              <w:autoSpaceDE w:val="0"/>
              <w:autoSpaceDN w:val="0"/>
              <w:adjustRightInd w:val="0"/>
              <w:spacing w:line="360" w:lineRule="auto"/>
              <w:ind w:left="105" w:leftChars="50" w:right="105" w:rightChars="50"/>
              <w:jc w:val="left"/>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eastAsia="zh-CN"/>
              </w:rPr>
              <w:t xml:space="preserve">认证的承诺函原件加盖供应商公章（承诺函格式自拟），在供货时一并提供相关许可、认证材料。（不涉及则无须提供） </w:t>
            </w:r>
          </w:p>
        </w:tc>
      </w:tr>
      <w:tr>
        <w:tblPrEx>
          <w:tblCellMar>
            <w:top w:w="0" w:type="dxa"/>
            <w:left w:w="0" w:type="dxa"/>
            <w:bottom w:w="0" w:type="dxa"/>
            <w:right w:w="0" w:type="dxa"/>
          </w:tblCellMar>
        </w:tblPrEx>
        <w:trPr>
          <w:trHeight w:val="804"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240" w:lineRule="auto"/>
              <w:rPr>
                <w:rFonts w:hint="eastAsia" w:ascii="宋体" w:hAnsi="宋体" w:eastAsia="宋体" w:cs="宋体"/>
                <w:color w:val="auto"/>
                <w:kern w:val="1"/>
                <w:sz w:val="21"/>
                <w:szCs w:val="21"/>
                <w:highlight w:val="none"/>
                <w:lang w:val="zh-CN"/>
              </w:rPr>
            </w:pPr>
            <w:r>
              <w:rPr>
                <w:rFonts w:hint="eastAsia" w:ascii="宋体" w:hAnsi="宋体" w:eastAsia="宋体" w:cs="宋体"/>
                <w:color w:val="auto"/>
                <w:kern w:val="1"/>
                <w:sz w:val="21"/>
                <w:szCs w:val="21"/>
                <w:highlight w:val="none"/>
                <w:lang w:val="zh-CN" w:eastAsia="zh-CN"/>
              </w:rPr>
              <w:t>本项目不做要求。</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文件咨询</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cs="宋体"/>
                <w:color w:val="auto"/>
                <w:sz w:val="21"/>
                <w:szCs w:val="21"/>
                <w:lang w:eastAsia="zh-CN"/>
              </w:rPr>
              <w:t>胡老师</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联系电话：028-65731881</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、评</w:t>
            </w:r>
            <w:r>
              <w:rPr>
                <w:rFonts w:hint="eastAsia" w:ascii="宋体" w:hAnsi="宋体" w:eastAsia="宋体" w:cs="宋体"/>
                <w:sz w:val="21"/>
                <w:szCs w:val="21"/>
                <w:lang w:eastAsia="zh-CN"/>
              </w:rPr>
              <w:t>审</w:t>
            </w:r>
            <w:r>
              <w:rPr>
                <w:rFonts w:hint="eastAsia" w:ascii="宋体" w:hAnsi="宋体" w:eastAsia="宋体" w:cs="宋体"/>
                <w:sz w:val="21"/>
                <w:szCs w:val="21"/>
              </w:rPr>
              <w:t>工作咨询</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cs="宋体"/>
                <w:color w:val="auto"/>
                <w:sz w:val="21"/>
                <w:szCs w:val="21"/>
                <w:lang w:eastAsia="zh-CN"/>
              </w:rPr>
              <w:t>胡老师</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联系电话：028-65731881</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成交通知书领取</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成交公告在四川政府采购网上公告后，请成交供应商凭有效身份证件到四川轩辕招标代理有限公司领取成交通知书。</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刘</w:t>
            </w:r>
            <w:r>
              <w:rPr>
                <w:rFonts w:hint="eastAsia" w:ascii="宋体" w:hAnsi="宋体" w:eastAsia="宋体" w:cs="宋体"/>
                <w:color w:val="auto"/>
                <w:sz w:val="21"/>
                <w:szCs w:val="21"/>
              </w:rPr>
              <w:t>女士</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联系电话：028-65731881</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地址：成都市锦江区墨香路87号8栋4楼</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供应商询问</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根据采购委托代理协议，供应商应当直接向代理机构依法提出，并由四川轩辕招标代理有限公司依法受理和回复。</w:t>
            </w:r>
          </w:p>
          <w:p>
            <w:pPr>
              <w:widowControl/>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lang w:eastAsia="zh-CN"/>
              </w:rPr>
              <w:t>李老师</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联系电话：028-65731881</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地址：成都市锦江区墨香路87号8栋4楼</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供应商质疑</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根据采购委托代理协议，供应商应当直接向代理机构依法提出，并由四川轩辕招标代理有限公司依法受理和回复。</w:t>
            </w:r>
          </w:p>
          <w:p>
            <w:pPr>
              <w:widowControl/>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lang w:eastAsia="zh-CN"/>
              </w:rPr>
              <w:t>李老师</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联系电话：028-65731881</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地址：成都市锦江区墨香路87号8栋4楼</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供应商投诉</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ind w:right="105" w:rightChars="50"/>
              <w:jc w:val="left"/>
              <w:rPr>
                <w:rFonts w:hint="eastAsia" w:ascii="宋体" w:hAnsi="宋体" w:eastAsia="宋体" w:cs="宋体"/>
                <w:color w:val="000000"/>
                <w:szCs w:val="21"/>
              </w:rPr>
            </w:pPr>
            <w:r>
              <w:rPr>
                <w:rFonts w:hint="eastAsia" w:ascii="宋体" w:hAnsi="宋体" w:eastAsia="宋体" w:cs="宋体"/>
                <w:szCs w:val="21"/>
              </w:rPr>
              <w:t>投诉受理单位：成都市新津区财政和金融工作局</w:t>
            </w:r>
          </w:p>
          <w:p>
            <w:pPr>
              <w:spacing w:line="360" w:lineRule="auto"/>
              <w:ind w:right="105" w:rightChars="50"/>
              <w:jc w:val="left"/>
              <w:rPr>
                <w:rFonts w:hint="eastAsia" w:ascii="宋体" w:hAnsi="宋体" w:eastAsia="宋体" w:cs="宋体"/>
                <w:color w:val="000000"/>
                <w:szCs w:val="21"/>
                <w:lang w:eastAsia="zh-CN"/>
              </w:rPr>
            </w:pPr>
            <w:r>
              <w:rPr>
                <w:rFonts w:hint="eastAsia" w:ascii="宋体" w:hAnsi="宋体" w:eastAsia="宋体" w:cs="宋体"/>
                <w:color w:val="000000"/>
                <w:szCs w:val="21"/>
              </w:rPr>
              <w:t>联系电话：028-82520054</w:t>
            </w:r>
          </w:p>
          <w:p>
            <w:pPr>
              <w:spacing w:line="360" w:lineRule="auto"/>
              <w:ind w:right="105" w:rightChars="50"/>
              <w:jc w:val="left"/>
              <w:rPr>
                <w:rFonts w:hint="eastAsia" w:ascii="宋体" w:hAnsi="宋体" w:eastAsia="宋体" w:cs="宋体"/>
                <w:sz w:val="21"/>
                <w:szCs w:val="21"/>
                <w:lang w:val="zh-CN"/>
              </w:rPr>
            </w:pPr>
            <w:r>
              <w:rPr>
                <w:rFonts w:hint="eastAsia" w:ascii="宋体" w:hAnsi="宋体" w:eastAsia="宋体" w:cs="宋体"/>
                <w:color w:val="000000"/>
                <w:szCs w:val="21"/>
              </w:rPr>
              <w:t>地址：</w:t>
            </w:r>
            <w:r>
              <w:rPr>
                <w:rFonts w:hint="eastAsia" w:ascii="宋体" w:hAnsi="宋体" w:cs="宋体"/>
                <w:color w:val="000000"/>
                <w:szCs w:val="21"/>
                <w:lang w:eastAsia="zh-CN"/>
              </w:rPr>
              <w:t>成都市新津区</w:t>
            </w:r>
            <w:r>
              <w:rPr>
                <w:rFonts w:hint="eastAsia" w:ascii="宋体" w:hAnsi="宋体" w:eastAsia="宋体" w:cs="宋体"/>
                <w:color w:val="000000"/>
                <w:szCs w:val="21"/>
              </w:rPr>
              <w:t>武阳西路163号</w:t>
            </w:r>
            <w:r>
              <w:rPr>
                <w:rFonts w:hint="eastAsia" w:ascii="宋体" w:hAnsi="宋体" w:eastAsia="宋体" w:cs="宋体"/>
                <w:color w:val="auto"/>
                <w:kern w:val="1"/>
                <w:sz w:val="21"/>
                <w:szCs w:val="21"/>
                <w:lang w:val="zh-CN"/>
              </w:rPr>
              <w:t>。</w:t>
            </w:r>
          </w:p>
          <w:p>
            <w:pPr>
              <w:widowControl/>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注：根据《中华人民共和国政府采购法实施条例》及《中华人民共和国财政部令第94号政府采购质疑和投诉办法》等的规定，供应商投诉事项不得超出已质疑事项的范围。</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政府采购合同公告备案</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政府采购合同签订之日起2个工作日内，采购人将政府采购合同在四川政府采购网公告；政府采购合同签订之日起7个工作日内，采购人应当将合同副本报同级政府采购监督管理部门和有关部门备案。</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kern w:val="1"/>
                <w:sz w:val="21"/>
                <w:szCs w:val="21"/>
                <w:lang w:val="zh-CN" w:eastAsia="zh-CN"/>
              </w:rPr>
            </w:pPr>
            <w:r>
              <w:rPr>
                <w:rFonts w:hint="eastAsia" w:ascii="宋体" w:hAnsi="宋体" w:eastAsia="宋体" w:cs="宋体"/>
                <w:color w:val="auto"/>
                <w:kern w:val="1"/>
                <w:sz w:val="21"/>
                <w:szCs w:val="21"/>
                <w:lang w:val="zh-CN"/>
              </w:rPr>
              <w:t>代理服务费由</w:t>
            </w:r>
            <w:r>
              <w:rPr>
                <w:rFonts w:hint="eastAsia" w:ascii="宋体" w:hAnsi="宋体" w:eastAsia="宋体" w:cs="宋体"/>
                <w:color w:val="auto"/>
                <w:kern w:val="1"/>
                <w:sz w:val="21"/>
                <w:szCs w:val="21"/>
                <w:lang w:val="zh-CN" w:eastAsia="zh-CN"/>
              </w:rPr>
              <w:t>成交供应商</w:t>
            </w:r>
            <w:r>
              <w:rPr>
                <w:rFonts w:hint="eastAsia" w:ascii="宋体" w:hAnsi="宋体" w:eastAsia="宋体" w:cs="宋体"/>
                <w:color w:val="auto"/>
                <w:kern w:val="1"/>
                <w:sz w:val="21"/>
                <w:szCs w:val="21"/>
                <w:lang w:val="zh-CN"/>
              </w:rPr>
              <w:t>在领取</w:t>
            </w:r>
            <w:r>
              <w:rPr>
                <w:rFonts w:hint="eastAsia" w:ascii="宋体" w:hAnsi="宋体" w:eastAsia="宋体" w:cs="宋体"/>
                <w:color w:val="auto"/>
                <w:kern w:val="1"/>
                <w:sz w:val="21"/>
                <w:szCs w:val="21"/>
                <w:lang w:val="zh-CN" w:eastAsia="zh-CN"/>
              </w:rPr>
              <w:t>成交</w:t>
            </w:r>
            <w:r>
              <w:rPr>
                <w:rFonts w:hint="eastAsia" w:ascii="宋体" w:hAnsi="宋体" w:eastAsia="宋体" w:cs="宋体"/>
                <w:color w:val="auto"/>
                <w:kern w:val="1"/>
                <w:sz w:val="21"/>
                <w:szCs w:val="21"/>
                <w:lang w:val="zh-CN"/>
              </w:rPr>
              <w:t>通知书前向招标代理机构交纳。定额支</w:t>
            </w:r>
            <w:r>
              <w:rPr>
                <w:rFonts w:hint="eastAsia" w:ascii="宋体" w:hAnsi="宋体" w:eastAsia="宋体" w:cs="宋体"/>
                <w:color w:val="auto"/>
                <w:kern w:val="1"/>
                <w:sz w:val="21"/>
                <w:szCs w:val="21"/>
                <w:highlight w:val="none"/>
                <w:lang w:val="zh-CN"/>
              </w:rPr>
              <w:t>付：人民币</w:t>
            </w:r>
            <w:r>
              <w:rPr>
                <w:rFonts w:hint="eastAsia" w:ascii="宋体" w:hAnsi="宋体" w:cs="宋体"/>
                <w:color w:val="auto"/>
                <w:kern w:val="1"/>
                <w:sz w:val="21"/>
                <w:szCs w:val="21"/>
                <w:highlight w:val="none"/>
                <w:lang w:val="en-US" w:eastAsia="zh-CN"/>
              </w:rPr>
              <w:t>7500</w:t>
            </w:r>
            <w:r>
              <w:rPr>
                <w:rFonts w:hint="eastAsia" w:ascii="宋体" w:hAnsi="宋体" w:eastAsia="宋体" w:cs="宋体"/>
                <w:color w:val="auto"/>
                <w:kern w:val="1"/>
                <w:sz w:val="21"/>
                <w:szCs w:val="21"/>
                <w:highlight w:val="none"/>
                <w:lang w:val="en-US" w:eastAsia="zh-CN"/>
              </w:rPr>
              <w:t>.00</w:t>
            </w:r>
            <w:r>
              <w:rPr>
                <w:rFonts w:hint="eastAsia" w:ascii="宋体" w:hAnsi="宋体" w:eastAsia="宋体" w:cs="宋体"/>
                <w:color w:val="auto"/>
                <w:kern w:val="1"/>
                <w:sz w:val="21"/>
                <w:szCs w:val="21"/>
                <w:highlight w:val="none"/>
                <w:lang w:val="zh-CN"/>
              </w:rPr>
              <w:t>元</w:t>
            </w:r>
            <w:r>
              <w:rPr>
                <w:rFonts w:hint="eastAsia" w:ascii="宋体" w:hAnsi="宋体" w:eastAsia="宋体" w:cs="宋体"/>
                <w:color w:val="auto"/>
                <w:kern w:val="1"/>
                <w:sz w:val="21"/>
                <w:szCs w:val="21"/>
                <w:highlight w:val="none"/>
                <w:lang w:val="zh-CN" w:eastAsia="zh-CN"/>
              </w:rPr>
              <w:t>（</w:t>
            </w:r>
            <w:r>
              <w:rPr>
                <w:rFonts w:hint="eastAsia" w:ascii="宋体" w:hAnsi="宋体" w:eastAsia="宋体" w:cs="宋体"/>
                <w:color w:val="auto"/>
                <w:kern w:val="1"/>
                <w:sz w:val="21"/>
                <w:szCs w:val="21"/>
                <w:highlight w:val="none"/>
                <w:lang w:val="zh-CN"/>
              </w:rPr>
              <w:t>人民币</w:t>
            </w:r>
            <w:r>
              <w:rPr>
                <w:rFonts w:hint="eastAsia" w:ascii="宋体" w:hAnsi="宋体" w:cs="宋体"/>
                <w:color w:val="auto"/>
                <w:kern w:val="1"/>
                <w:sz w:val="21"/>
                <w:szCs w:val="21"/>
                <w:highlight w:val="none"/>
                <w:lang w:val="zh-CN"/>
              </w:rPr>
              <w:t>柒仟伍佰</w:t>
            </w:r>
            <w:r>
              <w:rPr>
                <w:rFonts w:hint="eastAsia" w:ascii="宋体" w:hAnsi="宋体" w:eastAsia="宋体" w:cs="宋体"/>
                <w:color w:val="auto"/>
                <w:kern w:val="1"/>
                <w:sz w:val="21"/>
                <w:szCs w:val="21"/>
                <w:highlight w:val="none"/>
                <w:lang w:val="zh-CN" w:eastAsia="zh-CN"/>
              </w:rPr>
              <w:t>元整）</w:t>
            </w:r>
          </w:p>
          <w:p>
            <w:pPr>
              <w:widowControl/>
              <w:spacing w:line="360" w:lineRule="auto"/>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rPr>
              <w:t>收款单位：四川轩辕招标代理有限公司</w:t>
            </w:r>
          </w:p>
          <w:p>
            <w:pPr>
              <w:widowControl/>
              <w:spacing w:line="360" w:lineRule="auto"/>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rPr>
              <w:t>开户行：中国民生银行成都分行</w:t>
            </w:r>
          </w:p>
          <w:p>
            <w:pPr>
              <w:widowControl/>
              <w:spacing w:line="360" w:lineRule="auto"/>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rPr>
              <w:t>银行账号：677868681</w:t>
            </w:r>
          </w:p>
        </w:tc>
      </w:tr>
      <w:tr>
        <w:tblPrEx>
          <w:tblCellMar>
            <w:top w:w="0" w:type="dxa"/>
            <w:left w:w="0" w:type="dxa"/>
            <w:bottom w:w="0" w:type="dxa"/>
            <w:right w:w="0" w:type="dxa"/>
          </w:tblCellMar>
        </w:tblPrEx>
        <w:trPr>
          <w:trHeight w:val="357"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color w:val="000000"/>
                <w:sz w:val="21"/>
                <w:szCs w:val="21"/>
                <w:lang w:val="en-US" w:eastAsia="zh-CN" w:bidi="ar-SA"/>
              </w:rPr>
            </w:pPr>
            <w:r>
              <w:rPr>
                <w:rFonts w:hint="eastAsia" w:ascii="宋体" w:hAnsi="宋体" w:eastAsia="宋体" w:cs="宋体"/>
                <w:sz w:val="21"/>
                <w:szCs w:val="21"/>
                <w:lang w:val="zh-CN"/>
              </w:rPr>
              <w:t>承诺提醒</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360" w:lineRule="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CellMar>
            <w:top w:w="0" w:type="dxa"/>
            <w:left w:w="0" w:type="dxa"/>
            <w:bottom w:w="0" w:type="dxa"/>
            <w:right w:w="0" w:type="dxa"/>
          </w:tblCellMar>
        </w:tblPrEx>
        <w:trPr>
          <w:trHeight w:val="357"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val="zh-CN"/>
              </w:rPr>
            </w:pPr>
            <w:r>
              <w:rPr>
                <w:rFonts w:hint="eastAsia" w:ascii="宋体" w:hAnsi="宋体" w:eastAsia="宋体" w:cs="宋体"/>
                <w:sz w:val="21"/>
                <w:szCs w:val="21"/>
              </w:rPr>
              <w:t>信用融资</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spacing w:line="360" w:lineRule="auto"/>
              <w:jc w:val="left"/>
              <w:rPr>
                <w:rFonts w:ascii="宋体" w:hAnsi="宋体" w:cs="宋体"/>
                <w:szCs w:val="21"/>
                <w:lang w:val="zh-CN"/>
              </w:rPr>
            </w:pPr>
            <w:r>
              <w:rPr>
                <w:rFonts w:hint="eastAsia" w:ascii="宋体" w:hAnsi="宋体" w:cs="宋体"/>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spacing w:line="360" w:lineRule="auto"/>
              <w:jc w:val="left"/>
              <w:rPr>
                <w:rFonts w:ascii="宋体" w:hAnsi="宋体" w:cs="宋体"/>
                <w:szCs w:val="21"/>
                <w:lang w:val="zh-CN"/>
              </w:rPr>
            </w:pPr>
            <w:r>
              <w:rPr>
                <w:rFonts w:hint="eastAsia" w:ascii="宋体" w:hAnsi="宋体" w:cs="宋体"/>
                <w:szCs w:val="21"/>
                <w:lang w:val="zh-CN"/>
              </w:rPr>
              <w:t>2.根据《四川省财政厅关于推进四川省政府采购供应商信用融资工作的通知》(川财采[2018]123号文)等文件要求，有融资需求的供应商可联系四川轩辕招标代理有限公司“政采贷”办理咨询电话：028-65731881。</w:t>
            </w:r>
          </w:p>
          <w:p>
            <w:pPr>
              <w:widowControl/>
              <w:spacing w:line="360" w:lineRule="auto"/>
              <w:rPr>
                <w:rFonts w:hint="eastAsia" w:ascii="宋体" w:hAnsi="宋体" w:eastAsia="宋体" w:cs="宋体"/>
                <w:color w:val="auto"/>
                <w:kern w:val="1"/>
                <w:sz w:val="21"/>
                <w:szCs w:val="21"/>
                <w:lang w:val="zh-CN"/>
              </w:rPr>
            </w:pPr>
            <w:r>
              <w:rPr>
                <w:rFonts w:hint="eastAsia" w:ascii="宋体" w:hAnsi="宋体" w:cs="宋体"/>
                <w:szCs w:val="21"/>
                <w:lang w:val="zh-CN"/>
              </w:rPr>
              <w:t>3.为有效缓解中小企业</w:t>
            </w:r>
            <w:bookmarkStart w:id="269" w:name="_GoBack"/>
            <w:bookmarkEnd w:id="269"/>
            <w:r>
              <w:rPr>
                <w:rFonts w:hint="eastAsia" w:ascii="宋体" w:hAnsi="宋体" w:cs="宋体"/>
                <w:szCs w:val="21"/>
                <w:lang w:val="zh-CN"/>
              </w:rPr>
              <w:t>融资难、融资贵问题，根据成都市财政局中国人民银行成都分行营业管理部 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w:t>
            </w:r>
          </w:p>
        </w:tc>
      </w:tr>
      <w:tr>
        <w:tblPrEx>
          <w:tblCellMar>
            <w:top w:w="0" w:type="dxa"/>
            <w:left w:w="0" w:type="dxa"/>
            <w:bottom w:w="0" w:type="dxa"/>
            <w:right w:w="0" w:type="dxa"/>
          </w:tblCellMar>
        </w:tblPrEx>
        <w:trPr>
          <w:trHeight w:val="591" w:hRule="atLeast"/>
          <w:jc w:val="center"/>
        </w:trPr>
        <w:tc>
          <w:tcPr>
            <w:tcW w:w="534" w:type="dxa"/>
            <w:tcBorders>
              <w:top w:val="single" w:color="000000" w:sz="4" w:space="0"/>
              <w:left w:val="double" w:color="000000" w:sz="4" w:space="0"/>
              <w:bottom w:val="single" w:color="000000" w:sz="4" w:space="0"/>
              <w:right w:val="single" w:color="000000" w:sz="4" w:space="0"/>
            </w:tcBorders>
            <w:noWrap w:val="0"/>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1"/>
                <w:szCs w:val="21"/>
                <w:lang w:eastAsia="zh-CN"/>
              </w:rPr>
            </w:pPr>
            <w:r>
              <w:rPr>
                <w:rFonts w:hint="eastAsia" w:ascii="宋体" w:hAnsi="宋体" w:cs="宋体"/>
                <w:sz w:val="21"/>
                <w:szCs w:val="21"/>
                <w:lang w:eastAsia="zh-CN"/>
              </w:rPr>
              <w:t>采购计划编号</w:t>
            </w:r>
          </w:p>
        </w:tc>
        <w:tc>
          <w:tcPr>
            <w:tcW w:w="6660" w:type="dxa"/>
            <w:tcBorders>
              <w:top w:val="single" w:color="000000" w:sz="4" w:space="0"/>
              <w:left w:val="single" w:color="000000" w:sz="4" w:space="0"/>
              <w:bottom w:val="single" w:color="000000" w:sz="4" w:space="0"/>
              <w:right w:val="double" w:color="000000" w:sz="4" w:space="0"/>
            </w:tcBorders>
            <w:noWrap w:val="0"/>
            <w:vAlign w:val="center"/>
          </w:tcPr>
          <w:p>
            <w:pPr>
              <w:widowControl/>
              <w:spacing w:line="240" w:lineRule="auto"/>
              <w:rPr>
                <w:rFonts w:hint="eastAsia" w:ascii="宋体" w:hAnsi="宋体" w:eastAsia="宋体" w:cs="宋体"/>
                <w:bCs/>
                <w:color w:val="auto"/>
                <w:kern w:val="1"/>
                <w:szCs w:val="21"/>
              </w:rPr>
            </w:pPr>
            <w:r>
              <w:rPr>
                <w:rFonts w:hint="eastAsia" w:ascii="宋体" w:hAnsi="宋体" w:eastAsia="宋体" w:cs="宋体"/>
                <w:bCs/>
                <w:color w:val="auto"/>
                <w:kern w:val="1"/>
                <w:szCs w:val="21"/>
              </w:rPr>
              <w:fldChar w:fldCharType="begin"/>
            </w:r>
            <w:r>
              <w:rPr>
                <w:rFonts w:hint="eastAsia" w:ascii="宋体" w:hAnsi="宋体" w:eastAsia="宋体" w:cs="宋体"/>
                <w:bCs/>
                <w:color w:val="auto"/>
                <w:kern w:val="1"/>
                <w:szCs w:val="21"/>
              </w:rPr>
              <w:instrText xml:space="preserve"> HYPERLINK "https://pay.zcygov.cn/purchaseplan_front/" \l "/plan/list/detail?id=1000000000006447612&amp;encrypt=da868ab6de493669f624be9d97a9ab7f" \t "https://www.zcygov.cn/project-center/purchasePlans/_blank" </w:instrText>
            </w:r>
            <w:r>
              <w:rPr>
                <w:rFonts w:hint="eastAsia" w:ascii="宋体" w:hAnsi="宋体" w:eastAsia="宋体" w:cs="宋体"/>
                <w:bCs/>
                <w:color w:val="auto"/>
                <w:kern w:val="1"/>
                <w:szCs w:val="21"/>
              </w:rPr>
              <w:fldChar w:fldCharType="separate"/>
            </w:r>
            <w:r>
              <w:rPr>
                <w:rFonts w:hint="eastAsia" w:ascii="宋体" w:hAnsi="宋体" w:eastAsia="宋体" w:cs="宋体"/>
                <w:bCs/>
                <w:color w:val="auto"/>
                <w:kern w:val="1"/>
                <w:szCs w:val="21"/>
              </w:rPr>
              <w:t>SCZC510132318601_20210003</w:t>
            </w:r>
            <w:r>
              <w:rPr>
                <w:rFonts w:hint="eastAsia" w:ascii="宋体" w:hAnsi="宋体" w:eastAsia="宋体" w:cs="宋体"/>
                <w:bCs/>
                <w:color w:val="auto"/>
                <w:kern w:val="1"/>
                <w:szCs w:val="21"/>
              </w:rPr>
              <w:fldChar w:fldCharType="end"/>
            </w:r>
          </w:p>
        </w:tc>
      </w:tr>
    </w:tbl>
    <w:p>
      <w:pPr>
        <w:pStyle w:val="5"/>
        <w:keepNext w:val="0"/>
        <w:keepLines w:val="0"/>
        <w:spacing w:before="0" w:after="0" w:line="360" w:lineRule="auto"/>
        <w:jc w:val="center"/>
        <w:rPr>
          <w:rFonts w:hint="eastAsia" w:ascii="宋体" w:hAnsi="宋体" w:eastAsia="宋体" w:cs="宋体"/>
          <w:bCs w:val="0"/>
        </w:rPr>
      </w:pPr>
      <w:r>
        <w:rPr>
          <w:rFonts w:hint="eastAsia" w:ascii="宋体" w:hAnsi="宋体" w:eastAsia="宋体" w:cs="宋体"/>
          <w:bCs w:val="0"/>
        </w:rPr>
        <w:br w:type="page"/>
      </w:r>
      <w:bookmarkStart w:id="20" w:name="_Toc504991338"/>
      <w:bookmarkStart w:id="21" w:name="_Toc23874"/>
      <w:bookmarkStart w:id="22" w:name="_Toc504988293"/>
      <w:bookmarkStart w:id="23" w:name="_Toc504987194"/>
      <w:r>
        <w:rPr>
          <w:rFonts w:hint="eastAsia" w:ascii="宋体" w:hAnsi="宋体" w:eastAsia="宋体" w:cs="宋体"/>
          <w:bCs w:val="0"/>
        </w:rPr>
        <w:t>二、总  则</w:t>
      </w:r>
      <w:bookmarkEnd w:id="20"/>
      <w:bookmarkEnd w:id="21"/>
      <w:bookmarkEnd w:id="22"/>
      <w:bookmarkEnd w:id="23"/>
    </w:p>
    <w:p>
      <w:pPr>
        <w:spacing w:line="360" w:lineRule="auto"/>
        <w:rPr>
          <w:rFonts w:hint="eastAsia" w:ascii="宋体" w:hAnsi="宋体" w:eastAsia="宋体" w:cs="宋体"/>
          <w:b/>
          <w:sz w:val="24"/>
        </w:rPr>
      </w:pPr>
      <w:bookmarkStart w:id="24" w:name="_Toc183682368"/>
      <w:bookmarkStart w:id="25" w:name="_Toc89075878"/>
      <w:bookmarkStart w:id="26" w:name="_Toc217446056"/>
      <w:bookmarkStart w:id="27" w:name="_Toc183582231"/>
      <w:bookmarkStart w:id="28" w:name="_Toc77400782"/>
      <w:r>
        <w:rPr>
          <w:rFonts w:hint="eastAsia" w:ascii="宋体" w:hAnsi="宋体" w:eastAsia="宋体" w:cs="宋体"/>
          <w:b/>
          <w:sz w:val="24"/>
        </w:rPr>
        <w:t>1.适用范围</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1.1 本谈判文件仅适用于本次谈判所叙述的货物。</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1.2 本谈判文件的解释权归采购人和采购代理机构所有。</w:t>
      </w:r>
      <w:bookmarkStart w:id="29" w:name="_Toc183682343"/>
      <w:bookmarkStart w:id="30" w:name="_Toc183582206"/>
      <w:bookmarkStart w:id="31" w:name="_Toc217446035"/>
    </w:p>
    <w:p>
      <w:pPr>
        <w:spacing w:line="360" w:lineRule="auto"/>
        <w:rPr>
          <w:rFonts w:hint="eastAsia" w:ascii="宋体" w:hAnsi="宋体" w:eastAsia="宋体" w:cs="宋体"/>
          <w:b/>
          <w:sz w:val="24"/>
        </w:rPr>
      </w:pPr>
      <w:r>
        <w:rPr>
          <w:rFonts w:hint="eastAsia" w:ascii="宋体" w:hAnsi="宋体" w:eastAsia="宋体" w:cs="宋体"/>
          <w:b/>
          <w:sz w:val="24"/>
        </w:rPr>
        <w:t>2.</w:t>
      </w:r>
      <w:bookmarkEnd w:id="29"/>
      <w:bookmarkEnd w:id="30"/>
      <w:bookmarkEnd w:id="31"/>
      <w:r>
        <w:rPr>
          <w:rFonts w:hint="eastAsia" w:ascii="宋体" w:hAnsi="宋体" w:eastAsia="宋体" w:cs="宋体"/>
          <w:b/>
          <w:sz w:val="24"/>
        </w:rPr>
        <w:t xml:space="preserve"> 定义</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2.1本次谈判的采购人是</w:t>
      </w:r>
      <w:r>
        <w:rPr>
          <w:rFonts w:hint="eastAsia" w:ascii="宋体" w:hAnsi="宋体" w:cs="宋体"/>
          <w:b/>
          <w:bCs/>
          <w:sz w:val="24"/>
          <w:u w:val="single"/>
          <w:lang w:eastAsia="zh-CN"/>
        </w:rPr>
        <w:t>成都市新津区农业农村局</w:t>
      </w:r>
      <w:r>
        <w:rPr>
          <w:rFonts w:hint="eastAsia" w:ascii="宋体" w:hAnsi="宋体" w:eastAsia="宋体" w:cs="宋体"/>
          <w:sz w:val="24"/>
          <w:u w:val="single"/>
          <w:lang w:eastAsia="zh-CN"/>
        </w:rPr>
        <w:t xml:space="preserve"> </w:t>
      </w:r>
      <w:r>
        <w:rPr>
          <w:rFonts w:hint="eastAsia" w:ascii="宋体" w:hAnsi="宋体" w:eastAsia="宋体" w:cs="宋体"/>
          <w:sz w:val="24"/>
        </w:rPr>
        <w:t>。</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2.2本次谈判的采购代理机构是</w:t>
      </w:r>
      <w:r>
        <w:rPr>
          <w:rFonts w:hint="eastAsia" w:ascii="宋体" w:hAnsi="宋体" w:eastAsia="宋体" w:cs="宋体"/>
          <w:b/>
          <w:bCs/>
          <w:sz w:val="24"/>
          <w:u w:val="single"/>
        </w:rPr>
        <w:t>四川轩辕招标代理有限公司</w:t>
      </w:r>
      <w:r>
        <w:rPr>
          <w:rFonts w:hint="eastAsia" w:ascii="宋体" w:hAnsi="宋体" w:eastAsia="宋体" w:cs="宋体"/>
          <w:sz w:val="24"/>
        </w:rPr>
        <w:t>。</w:t>
      </w:r>
    </w:p>
    <w:p>
      <w:pPr>
        <w:spacing w:line="360" w:lineRule="auto"/>
        <w:rPr>
          <w:rFonts w:hint="eastAsia" w:ascii="宋体" w:hAnsi="宋体" w:eastAsia="宋体" w:cs="宋体"/>
          <w:b/>
          <w:sz w:val="24"/>
        </w:rPr>
      </w:pPr>
      <w:bookmarkStart w:id="32" w:name="_Toc217390843"/>
      <w:bookmarkStart w:id="33" w:name="_Toc217446036"/>
      <w:bookmarkStart w:id="34" w:name="_Toc183582207"/>
      <w:bookmarkStart w:id="35" w:name="_Toc183682344"/>
      <w:r>
        <w:rPr>
          <w:rFonts w:hint="eastAsia" w:ascii="宋体" w:hAnsi="宋体" w:eastAsia="宋体" w:cs="宋体"/>
          <w:b/>
          <w:sz w:val="24"/>
        </w:rPr>
        <w:t>3. 合格</w:t>
      </w:r>
      <w:bookmarkEnd w:id="32"/>
      <w:bookmarkEnd w:id="33"/>
      <w:bookmarkEnd w:id="34"/>
      <w:bookmarkEnd w:id="35"/>
      <w:r>
        <w:rPr>
          <w:rFonts w:hint="eastAsia" w:ascii="宋体" w:hAnsi="宋体" w:eastAsia="宋体" w:cs="宋体"/>
          <w:b/>
          <w:sz w:val="24"/>
        </w:rPr>
        <w:t>供应商（实质性要求）</w:t>
      </w:r>
    </w:p>
    <w:p>
      <w:pPr>
        <w:tabs>
          <w:tab w:val="left" w:pos="7665"/>
        </w:tabs>
        <w:spacing w:line="360" w:lineRule="auto"/>
        <w:rPr>
          <w:rFonts w:hint="eastAsia"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合格供应商应具备以下条件：</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3.1 具备法律法规和本采购文件规定的资格条件；</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3.2 不属于禁止参加本项目采购活动的供应商；</w:t>
      </w:r>
    </w:p>
    <w:p>
      <w:pPr>
        <w:pStyle w:val="172"/>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3.3按规定获取了谈判文件，属于实质性参加采购活动的供应商。</w:t>
      </w:r>
      <w:bookmarkStart w:id="36" w:name="_Toc183582208"/>
      <w:bookmarkStart w:id="37" w:name="_Toc217446037"/>
      <w:bookmarkStart w:id="38" w:name="_Toc183682345"/>
    </w:p>
    <w:p>
      <w:pPr>
        <w:pStyle w:val="172"/>
        <w:snapToGrid w:val="0"/>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3.4有下列情形之一的，视为供应商串通投标，其报价无效：</w:t>
      </w:r>
    </w:p>
    <w:p>
      <w:pPr>
        <w:pStyle w:val="172"/>
        <w:snapToGrid w:val="0"/>
        <w:spacing w:line="360" w:lineRule="auto"/>
        <w:ind w:left="1" w:firstLine="480" w:firstLineChars="200"/>
        <w:rPr>
          <w:rFonts w:hint="eastAsia" w:ascii="宋体" w:hAnsi="宋体" w:eastAsia="宋体" w:cs="宋体"/>
          <w:sz w:val="24"/>
        </w:rPr>
      </w:pPr>
      <w:r>
        <w:rPr>
          <w:rFonts w:hint="eastAsia" w:ascii="宋体" w:hAnsi="宋体" w:eastAsia="宋体" w:cs="宋体"/>
          <w:sz w:val="24"/>
        </w:rPr>
        <w:t>（一）不同供应商的响应文件由同一单位或者个人编制;</w:t>
      </w:r>
    </w:p>
    <w:p>
      <w:pPr>
        <w:pStyle w:val="172"/>
        <w:snapToGrid w:val="0"/>
        <w:spacing w:line="360" w:lineRule="auto"/>
        <w:ind w:left="1" w:firstLine="480" w:firstLineChars="200"/>
        <w:rPr>
          <w:rFonts w:hint="eastAsia" w:ascii="宋体" w:hAnsi="宋体" w:eastAsia="宋体" w:cs="宋体"/>
          <w:sz w:val="24"/>
        </w:rPr>
      </w:pPr>
      <w:r>
        <w:rPr>
          <w:rFonts w:hint="eastAsia" w:ascii="宋体" w:hAnsi="宋体" w:eastAsia="宋体" w:cs="宋体"/>
          <w:sz w:val="24"/>
        </w:rPr>
        <w:t>（二）不同供应商委托同一单位或者个人办理谈判事宜;</w:t>
      </w:r>
    </w:p>
    <w:p>
      <w:pPr>
        <w:pStyle w:val="172"/>
        <w:snapToGrid w:val="0"/>
        <w:spacing w:line="360" w:lineRule="auto"/>
        <w:ind w:left="1" w:firstLine="480" w:firstLineChars="200"/>
        <w:rPr>
          <w:rFonts w:hint="eastAsia" w:ascii="宋体" w:hAnsi="宋体" w:eastAsia="宋体" w:cs="宋体"/>
          <w:sz w:val="24"/>
        </w:rPr>
      </w:pPr>
      <w:r>
        <w:rPr>
          <w:rFonts w:hint="eastAsia" w:ascii="宋体" w:hAnsi="宋体" w:eastAsia="宋体" w:cs="宋体"/>
          <w:sz w:val="24"/>
        </w:rPr>
        <w:t>（三）不同供应商的响应文件载明的项目管理成员或者联系人员为同一人;</w:t>
      </w:r>
    </w:p>
    <w:p>
      <w:pPr>
        <w:pStyle w:val="172"/>
        <w:snapToGrid w:val="0"/>
        <w:spacing w:line="360" w:lineRule="auto"/>
        <w:ind w:left="1" w:firstLine="480" w:firstLineChars="200"/>
        <w:rPr>
          <w:rFonts w:hint="eastAsia" w:ascii="宋体" w:hAnsi="宋体" w:eastAsia="宋体" w:cs="宋体"/>
          <w:sz w:val="24"/>
        </w:rPr>
      </w:pPr>
      <w:r>
        <w:rPr>
          <w:rFonts w:hint="eastAsia" w:ascii="宋体" w:hAnsi="宋体" w:eastAsia="宋体" w:cs="宋体"/>
          <w:sz w:val="24"/>
        </w:rPr>
        <w:t>（四）不同供应商的响应文件异常一致或者报价呈规律性差异;</w:t>
      </w:r>
    </w:p>
    <w:p>
      <w:pPr>
        <w:pStyle w:val="172"/>
        <w:snapToGrid w:val="0"/>
        <w:spacing w:line="360" w:lineRule="auto"/>
        <w:ind w:left="1" w:firstLine="480" w:firstLineChars="200"/>
        <w:rPr>
          <w:rFonts w:hint="eastAsia" w:ascii="宋体" w:hAnsi="宋体" w:eastAsia="宋体" w:cs="宋体"/>
          <w:sz w:val="24"/>
        </w:rPr>
      </w:pPr>
      <w:r>
        <w:rPr>
          <w:rFonts w:hint="eastAsia" w:ascii="宋体" w:hAnsi="宋体" w:eastAsia="宋体" w:cs="宋体"/>
          <w:sz w:val="24"/>
        </w:rPr>
        <w:t>（五）不同供应商的响应文件相互混装。</w:t>
      </w:r>
    </w:p>
    <w:p>
      <w:pPr>
        <w:spacing w:line="360" w:lineRule="auto"/>
        <w:rPr>
          <w:rFonts w:hint="eastAsia" w:ascii="宋体" w:hAnsi="宋体" w:eastAsia="宋体" w:cs="宋体"/>
          <w:b/>
          <w:sz w:val="24"/>
        </w:rPr>
      </w:pPr>
      <w:r>
        <w:rPr>
          <w:rFonts w:hint="eastAsia" w:ascii="宋体" w:hAnsi="宋体" w:eastAsia="宋体" w:cs="宋体"/>
          <w:b/>
          <w:sz w:val="24"/>
        </w:rPr>
        <w:t>4. 谈判费用</w:t>
      </w:r>
      <w:bookmarkEnd w:id="36"/>
      <w:bookmarkEnd w:id="37"/>
      <w:bookmarkEnd w:id="38"/>
      <w:r>
        <w:rPr>
          <w:rFonts w:hint="eastAsia" w:ascii="宋体" w:hAnsi="宋体" w:eastAsia="宋体" w:cs="宋体"/>
          <w:b/>
          <w:sz w:val="24"/>
        </w:rPr>
        <w:t>（实质性要求）</w:t>
      </w:r>
    </w:p>
    <w:p>
      <w:pPr>
        <w:pStyle w:val="78"/>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无论谈判过程中的做法和结果如何，供应商应自行承担参加谈判活动的全部费用。</w:t>
      </w:r>
    </w:p>
    <w:p>
      <w:pPr>
        <w:spacing w:line="360" w:lineRule="auto"/>
        <w:rPr>
          <w:rFonts w:hint="eastAsia" w:ascii="宋体" w:hAnsi="宋体" w:eastAsia="宋体" w:cs="宋体"/>
          <w:b/>
          <w:sz w:val="24"/>
        </w:rPr>
      </w:pPr>
      <w:r>
        <w:rPr>
          <w:rFonts w:hint="eastAsia" w:ascii="宋体" w:hAnsi="宋体" w:eastAsia="宋体" w:cs="宋体"/>
          <w:b/>
          <w:sz w:val="24"/>
        </w:rPr>
        <w:t>5.充分、公平竞争保障措施（实质性要求）</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5.4提供相同品牌产品处理。提供相同品牌产品的不同供应商参加同一合同项下的采购项目，以其中通过资格审查且报价最低的供应商参加谈判，报价相同的，由采购人自主采取公平、择优的方式确定一个供应商参见谈判，其他响应无效。</w:t>
      </w:r>
    </w:p>
    <w:p>
      <w:pPr>
        <w:pStyle w:val="78"/>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非单一产品采购项目中，多家供应商提供的部分或所有核心产品品牌相同的，视为提供相同品牌产品。</w:t>
      </w:r>
      <w:r>
        <w:rPr>
          <w:rFonts w:hint="eastAsia" w:ascii="宋体" w:hAnsi="宋体" w:eastAsia="宋体" w:cs="宋体"/>
          <w:b/>
          <w:bCs/>
          <w:color w:val="auto"/>
          <w:kern w:val="1"/>
          <w:sz w:val="24"/>
          <w:szCs w:val="24"/>
          <w:highlight w:val="none"/>
          <w:lang w:eastAsia="zh-CN"/>
        </w:rPr>
        <w:t>本项目核心产品为：</w:t>
      </w:r>
      <w:r>
        <w:rPr>
          <w:rFonts w:hint="eastAsia" w:hAnsi="宋体" w:cs="宋体"/>
          <w:b/>
          <w:bCs/>
          <w:color w:val="auto"/>
          <w:kern w:val="1"/>
          <w:sz w:val="24"/>
          <w:szCs w:val="24"/>
          <w:highlight w:val="none"/>
          <w:lang w:val="en-US" w:eastAsia="zh-CN"/>
        </w:rPr>
        <w:t>（</w:t>
      </w:r>
      <w:r>
        <w:rPr>
          <w:rFonts w:hint="eastAsia" w:hAnsi="宋体" w:cs="宋体"/>
          <w:b/>
          <w:bCs/>
          <w:color w:val="auto"/>
          <w:kern w:val="1"/>
          <w:sz w:val="24"/>
          <w:szCs w:val="24"/>
          <w:highlight w:val="none"/>
          <w:lang w:eastAsia="zh-CN"/>
        </w:rPr>
        <w:t>序号</w:t>
      </w:r>
      <w:r>
        <w:rPr>
          <w:rFonts w:hint="eastAsia" w:hAnsi="宋体" w:cs="宋体"/>
          <w:b/>
          <w:bCs/>
          <w:color w:val="auto"/>
          <w:kern w:val="1"/>
          <w:sz w:val="24"/>
          <w:szCs w:val="24"/>
          <w:highlight w:val="none"/>
          <w:lang w:val="en-US" w:eastAsia="zh-CN"/>
        </w:rPr>
        <w:t>56：</w:t>
      </w:r>
      <w:r>
        <w:rPr>
          <w:rFonts w:hint="eastAsia" w:ascii="宋体" w:hAnsi="宋体" w:eastAsia="宋体" w:cs="宋体"/>
          <w:b/>
          <w:bCs/>
          <w:color w:val="auto"/>
          <w:kern w:val="1"/>
          <w:sz w:val="24"/>
          <w:szCs w:val="24"/>
          <w:highlight w:val="none"/>
          <w:lang w:eastAsia="zh-CN"/>
        </w:rPr>
        <w:t>农药残留速测仪试剂</w:t>
      </w:r>
      <w:r>
        <w:rPr>
          <w:rFonts w:hint="eastAsia" w:ascii="宋体" w:hAnsi="宋体" w:eastAsia="宋体" w:cs="宋体"/>
          <w:b/>
          <w:bCs/>
          <w:sz w:val="24"/>
          <w:szCs w:val="24"/>
          <w:highlight w:val="none"/>
          <w:lang w:val="en-US" w:eastAsia="zh-CN"/>
        </w:rPr>
        <w:t>。</w:t>
      </w:r>
      <w:r>
        <w:rPr>
          <w:rFonts w:hint="eastAsia" w:hAnsi="宋体" w:cs="宋体"/>
          <w:b/>
          <w:bCs/>
          <w:color w:val="auto"/>
          <w:kern w:val="1"/>
          <w:sz w:val="24"/>
          <w:szCs w:val="24"/>
          <w:highlight w:val="none"/>
          <w:lang w:val="en-US" w:eastAsia="zh-CN"/>
        </w:rPr>
        <w:t>）</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5.5供应商实际控制人或者中高级管理人员，同时是采购代理机构工作人员，不得参与本项目政府采购活动。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5.7供应商与采购代理机构存在关联关系，或者是采购代理机构的母公司或子公司，不得参加本项目政府采购活动。</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5.8回避。政府采购活动中，采购人员及相关人员与供应商有下列利害关系之一的，应当回避：</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（1）参加采购活动前3年内与供应商存在劳动关系；</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（2）参加采购活动前3年内担任供应商的董事、监事；</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（3）参加采购活动前3年内是供应商的控股股东或者实际控制人；</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（4）与供应商的法定代表人或者负责人有夫妻、直系血亲、三代以内旁系血亲或者近姻亲关系；</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（5）与供应商有其他可能影响政府采购活动公平、公正进行的关系。</w:t>
      </w:r>
    </w:p>
    <w:p>
      <w:pPr>
        <w:pStyle w:val="78"/>
        <w:spacing w:line="360" w:lineRule="auto"/>
        <w:ind w:left="1" w:firstLine="480" w:firstLineChars="200"/>
        <w:rPr>
          <w:rFonts w:hint="eastAsia" w:ascii="宋体" w:hAnsi="宋体" w:eastAsia="宋体" w:cs="宋体"/>
          <w:sz w:val="24"/>
        </w:rPr>
      </w:pPr>
      <w:r>
        <w:rPr>
          <w:rFonts w:hint="eastAsia" w:ascii="宋体" w:hAnsi="宋体" w:eastAsia="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107"/>
        <w:spacing w:line="360" w:lineRule="auto"/>
        <w:ind w:left="1" w:firstLine="480" w:firstLineChars="200"/>
        <w:rPr>
          <w:rFonts w:hint="eastAsia" w:ascii="宋体" w:hAnsi="宋体" w:eastAsia="宋体" w:cs="宋体"/>
          <w:sz w:val="24"/>
        </w:rPr>
      </w:pPr>
      <w:r>
        <w:rPr>
          <w:rFonts w:hint="eastAsia" w:ascii="宋体" w:hAnsi="宋体" w:eastAsia="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宋体" w:hAnsi="宋体" w:eastAsia="宋体" w:cs="宋体"/>
          <w:b/>
          <w:sz w:val="24"/>
        </w:rPr>
      </w:pPr>
      <w:r>
        <w:rPr>
          <w:rFonts w:hint="eastAsia" w:ascii="宋体" w:hAnsi="宋体" w:eastAsia="宋体" w:cs="宋体"/>
          <w:b/>
          <w:sz w:val="24"/>
        </w:rPr>
        <w:t>6.联合体竞争性谈判（实质性要求）</w:t>
      </w:r>
    </w:p>
    <w:p>
      <w:pPr>
        <w:pStyle w:val="107"/>
        <w:spacing w:line="360" w:lineRule="auto"/>
        <w:ind w:left="1" w:firstLine="480" w:firstLineChars="200"/>
        <w:rPr>
          <w:rFonts w:hint="eastAsia" w:ascii="宋体" w:hAnsi="宋体" w:eastAsia="宋体" w:cs="宋体"/>
          <w:sz w:val="24"/>
        </w:rPr>
      </w:pPr>
      <w:r>
        <w:rPr>
          <w:rFonts w:hint="eastAsia" w:ascii="宋体" w:hAnsi="宋体" w:eastAsia="宋体" w:cs="宋体"/>
          <w:sz w:val="24"/>
        </w:rPr>
        <w:t>本项目不接受联合体参与采购活动。</w:t>
      </w:r>
    </w:p>
    <w:p>
      <w:pPr>
        <w:spacing w:line="360" w:lineRule="auto"/>
        <w:rPr>
          <w:rFonts w:hint="eastAsia" w:ascii="宋体" w:hAnsi="宋体" w:eastAsia="宋体" w:cs="宋体"/>
          <w:b/>
          <w:sz w:val="24"/>
          <w:highlight w:val="yellow"/>
        </w:rPr>
      </w:pPr>
      <w:r>
        <w:rPr>
          <w:rFonts w:hint="eastAsia" w:ascii="宋体" w:hAnsi="宋体" w:eastAsia="宋体" w:cs="宋体"/>
          <w:b/>
          <w:sz w:val="24"/>
        </w:rPr>
        <w:t>7.谈判保证金（实质性要求）</w:t>
      </w:r>
    </w:p>
    <w:p>
      <w:pPr>
        <w:pStyle w:val="107"/>
        <w:spacing w:line="360" w:lineRule="auto"/>
        <w:ind w:left="1" w:firstLine="480" w:firstLineChars="200"/>
        <w:rPr>
          <w:rFonts w:hint="eastAsia" w:ascii="宋体" w:hAnsi="宋体" w:eastAsia="宋体" w:cs="宋体"/>
          <w:sz w:val="24"/>
          <w:szCs w:val="22"/>
        </w:rPr>
      </w:pPr>
      <w:r>
        <w:rPr>
          <w:rFonts w:hint="eastAsia" w:ascii="宋体" w:hAnsi="宋体" w:eastAsia="宋体" w:cs="宋体"/>
          <w:sz w:val="24"/>
          <w:szCs w:val="22"/>
        </w:rPr>
        <w:t>本项目不作要求。</w:t>
      </w:r>
    </w:p>
    <w:p>
      <w:pPr>
        <w:spacing w:line="360" w:lineRule="auto"/>
        <w:rPr>
          <w:rFonts w:hint="eastAsia" w:ascii="宋体" w:hAnsi="宋体" w:eastAsia="宋体" w:cs="宋体"/>
          <w:b/>
          <w:sz w:val="24"/>
        </w:rPr>
      </w:pPr>
      <w:r>
        <w:rPr>
          <w:rFonts w:hint="eastAsia" w:ascii="宋体" w:hAnsi="宋体" w:eastAsia="宋体" w:cs="宋体"/>
          <w:b/>
          <w:sz w:val="24"/>
        </w:rPr>
        <w:t>8.响应文件有效期（实质性要求）</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本项目响应文件有效期为递交谈判响应文件截止之日起</w:t>
      </w:r>
      <w:r>
        <w:rPr>
          <w:rFonts w:hint="eastAsia" w:ascii="宋体" w:hAnsi="宋体" w:eastAsia="宋体" w:cs="宋体"/>
          <w:b/>
          <w:bCs/>
          <w:sz w:val="24"/>
          <w:lang w:val="en-US" w:eastAsia="zh-CN"/>
        </w:rPr>
        <w:t>90</w:t>
      </w:r>
      <w:r>
        <w:rPr>
          <w:rFonts w:hint="eastAsia" w:ascii="宋体" w:hAnsi="宋体" w:eastAsia="宋体" w:cs="宋体"/>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360" w:lineRule="auto"/>
        <w:rPr>
          <w:rFonts w:hint="eastAsia" w:ascii="宋体" w:hAnsi="宋体" w:eastAsia="宋体" w:cs="宋体"/>
          <w:b/>
          <w:sz w:val="24"/>
          <w:highlight w:val="none"/>
          <w:lang w:eastAsia="zh-CN"/>
        </w:rPr>
      </w:pPr>
      <w:r>
        <w:rPr>
          <w:rFonts w:hint="eastAsia" w:ascii="宋体" w:hAnsi="宋体" w:eastAsia="宋体" w:cs="宋体"/>
          <w:b/>
          <w:sz w:val="24"/>
          <w:highlight w:val="none"/>
        </w:rPr>
        <w:t>9.知识产权（实质性要求</w:t>
      </w:r>
      <w:r>
        <w:rPr>
          <w:rFonts w:hint="eastAsia" w:ascii="宋体" w:hAnsi="宋体" w:eastAsia="宋体" w:cs="宋体"/>
          <w:b/>
          <w:sz w:val="24"/>
          <w:highlight w:val="none"/>
          <w:lang w:eastAsia="zh-CN"/>
        </w:rPr>
        <w:t>，</w:t>
      </w:r>
      <w:r>
        <w:rPr>
          <w:rFonts w:hint="eastAsia" w:ascii="宋体" w:hAnsi="宋体" w:eastAsia="宋体" w:cs="宋体"/>
          <w:b/>
          <w:bCs/>
          <w:sz w:val="24"/>
          <w:highlight w:val="none"/>
          <w:lang w:val="en-US" w:eastAsia="zh-CN"/>
        </w:rPr>
        <w:t>供应商须</w:t>
      </w:r>
      <w:r>
        <w:rPr>
          <w:rFonts w:hint="eastAsia" w:ascii="宋体" w:hAnsi="宋体" w:cs="宋体"/>
          <w:b/>
          <w:bCs/>
          <w:sz w:val="24"/>
          <w:highlight w:val="none"/>
          <w:lang w:val="en-US" w:eastAsia="zh-CN"/>
        </w:rPr>
        <w:t>单独</w:t>
      </w:r>
      <w:r>
        <w:rPr>
          <w:rFonts w:hint="eastAsia" w:ascii="宋体" w:hAnsi="宋体" w:eastAsia="宋体" w:cs="宋体"/>
          <w:b/>
          <w:bCs/>
          <w:sz w:val="24"/>
          <w:highlight w:val="none"/>
          <w:lang w:val="en-US" w:eastAsia="zh-CN"/>
        </w:rPr>
        <w:t>提供承诺函，格式自拟，未提供视为无效响应文件。</w:t>
      </w:r>
      <w:r>
        <w:rPr>
          <w:rFonts w:hint="eastAsia" w:ascii="宋体" w:hAnsi="宋体" w:eastAsia="宋体" w:cs="宋体"/>
          <w:b/>
          <w:sz w:val="24"/>
          <w:highlight w:val="none"/>
          <w:lang w:eastAsia="zh-CN"/>
        </w:rPr>
        <w:t>）</w:t>
      </w:r>
    </w:p>
    <w:p>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rPr>
        <w:t>供应商</w:t>
      </w:r>
      <w:r>
        <w:rPr>
          <w:rFonts w:hint="eastAsia" w:ascii="宋体" w:hAnsi="宋体" w:eastAsia="宋体" w:cs="宋体"/>
          <w:sz w:val="24"/>
          <w:szCs w:val="24"/>
        </w:rPr>
        <w:t>应</w:t>
      </w:r>
      <w:r>
        <w:rPr>
          <w:rFonts w:hint="eastAsia" w:ascii="宋体" w:hAnsi="宋体" w:eastAsia="宋体" w:cs="宋体"/>
          <w:sz w:val="24"/>
          <w:szCs w:val="24"/>
          <w:lang w:eastAsia="zh-CN"/>
        </w:rPr>
        <w:t>承诺</w:t>
      </w:r>
      <w:r>
        <w:rPr>
          <w:rFonts w:hint="eastAsia" w:ascii="宋体" w:hAnsi="宋体" w:eastAsia="宋体" w:cs="宋体"/>
          <w:sz w:val="24"/>
          <w:szCs w:val="24"/>
        </w:rPr>
        <w:t>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sz w:val="24"/>
        </w:rPr>
        <w:t>供应商</w:t>
      </w:r>
      <w:r>
        <w:rPr>
          <w:rFonts w:hint="eastAsia" w:ascii="宋体" w:hAnsi="宋体" w:eastAsia="宋体" w:cs="宋体"/>
          <w:sz w:val="24"/>
          <w:szCs w:val="24"/>
        </w:rPr>
        <w:t>承担所有相关责任。</w:t>
      </w:r>
    </w:p>
    <w:p>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除非谈判文件特别规定，采购人享有本项目实施过程中产生的知识成果及知识产权。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9.4 如采用供应商所不拥有的知识产权，则在报价中必须包括合法获取该知识产权的相关费用。</w:t>
      </w:r>
      <w:bookmarkStart w:id="39" w:name="_Toc89075875"/>
      <w:bookmarkStart w:id="40" w:name="_Toc183582209"/>
      <w:bookmarkStart w:id="41" w:name="_Toc217446038"/>
      <w:bookmarkStart w:id="42" w:name="_Toc183682346"/>
      <w:bookmarkStart w:id="43" w:name="_Toc77400779"/>
    </w:p>
    <w:p>
      <w:pPr>
        <w:pStyle w:val="5"/>
        <w:keepNext w:val="0"/>
        <w:keepLines w:val="0"/>
        <w:spacing w:before="0" w:after="0" w:line="360" w:lineRule="auto"/>
        <w:jc w:val="center"/>
        <w:rPr>
          <w:rFonts w:hint="eastAsia" w:ascii="宋体" w:hAnsi="宋体" w:eastAsia="宋体" w:cs="宋体"/>
          <w:bCs w:val="0"/>
        </w:rPr>
      </w:pPr>
      <w:bookmarkStart w:id="44" w:name="_Toc504988294"/>
      <w:bookmarkStart w:id="45" w:name="_Toc504991339"/>
      <w:bookmarkStart w:id="46" w:name="_Toc504988022"/>
      <w:bookmarkStart w:id="47" w:name="_Toc25429"/>
      <w:bookmarkStart w:id="48" w:name="_Toc504987195"/>
      <w:r>
        <w:rPr>
          <w:rFonts w:hint="eastAsia" w:ascii="宋体" w:hAnsi="宋体" w:eastAsia="宋体" w:cs="宋体"/>
          <w:bCs w:val="0"/>
        </w:rPr>
        <w:t>三、谈判文件</w:t>
      </w:r>
      <w:bookmarkEnd w:id="39"/>
      <w:bookmarkEnd w:id="40"/>
      <w:bookmarkEnd w:id="41"/>
      <w:bookmarkEnd w:id="42"/>
      <w:bookmarkEnd w:id="43"/>
      <w:bookmarkEnd w:id="44"/>
      <w:bookmarkEnd w:id="45"/>
      <w:bookmarkEnd w:id="46"/>
      <w:bookmarkEnd w:id="47"/>
      <w:bookmarkEnd w:id="48"/>
      <w:bookmarkStart w:id="49" w:name="_Toc183682347"/>
      <w:bookmarkStart w:id="50" w:name="_Toc183582210"/>
      <w:bookmarkStart w:id="51" w:name="_Toc217446039"/>
    </w:p>
    <w:p>
      <w:pPr>
        <w:spacing w:line="360" w:lineRule="auto"/>
        <w:rPr>
          <w:rFonts w:hint="eastAsia" w:ascii="宋体" w:hAnsi="宋体" w:eastAsia="宋体" w:cs="宋体"/>
          <w:b/>
          <w:sz w:val="24"/>
        </w:rPr>
      </w:pPr>
      <w:r>
        <w:rPr>
          <w:rFonts w:hint="eastAsia" w:ascii="宋体" w:hAnsi="宋体" w:eastAsia="宋体" w:cs="宋体"/>
          <w:b/>
          <w:sz w:val="24"/>
        </w:rPr>
        <w:t>10．谈判文件的构成</w:t>
      </w:r>
      <w:bookmarkEnd w:id="49"/>
      <w:bookmarkEnd w:id="50"/>
      <w:bookmarkEnd w:id="51"/>
      <w:r>
        <w:rPr>
          <w:rFonts w:hint="eastAsia" w:ascii="宋体" w:hAnsi="宋体" w:eastAsia="宋体" w:cs="宋体"/>
          <w:b/>
          <w:sz w:val="24"/>
        </w:rPr>
        <w:t>（实质性要求）</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b/>
          <w:bCs/>
          <w:sz w:val="24"/>
        </w:rPr>
        <w:t>.</w:t>
      </w:r>
      <w:r>
        <w:rPr>
          <w:rFonts w:hint="eastAsia" w:ascii="宋体" w:hAnsi="宋体" w:eastAsia="宋体" w:cs="宋体"/>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b/>
          <w:bCs/>
          <w:sz w:val="24"/>
        </w:rPr>
        <w:t>.</w:t>
      </w:r>
      <w:r>
        <w:rPr>
          <w:rFonts w:hint="eastAsia" w:ascii="宋体" w:hAnsi="宋体" w:eastAsia="宋体" w:cs="宋体"/>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52" w:name="_Toc183682348"/>
      <w:bookmarkStart w:id="53" w:name="_Toc183582211"/>
      <w:bookmarkStart w:id="54" w:name="_Toc217446040"/>
    </w:p>
    <w:p>
      <w:pPr>
        <w:spacing w:line="360" w:lineRule="auto"/>
        <w:rPr>
          <w:rFonts w:hint="eastAsia" w:ascii="宋体" w:hAnsi="宋体" w:eastAsia="宋体" w:cs="宋体"/>
          <w:b/>
          <w:sz w:val="24"/>
        </w:rPr>
      </w:pPr>
      <w:r>
        <w:rPr>
          <w:rFonts w:hint="eastAsia" w:ascii="宋体" w:hAnsi="宋体" w:eastAsia="宋体" w:cs="宋体"/>
          <w:b/>
          <w:sz w:val="24"/>
        </w:rPr>
        <w:t>11. 谈判文件的澄清</w:t>
      </w:r>
      <w:bookmarkEnd w:id="52"/>
      <w:bookmarkEnd w:id="53"/>
      <w:r>
        <w:rPr>
          <w:rFonts w:hint="eastAsia" w:ascii="宋体" w:hAnsi="宋体" w:eastAsia="宋体" w:cs="宋体"/>
          <w:b/>
          <w:sz w:val="24"/>
        </w:rPr>
        <w:t>和修改</w:t>
      </w:r>
      <w:bookmarkEnd w:id="54"/>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11.1 在递交响应文件截止时间前，采购人、采购代理机构可以对谈判文件进行澄清或者修改。</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书面通知供应商的时间，应当在提交首次响应文件截止之日起3个工作日前；不足上述时间的，应当顺延递交响应文件的截止时间。</w:t>
      </w:r>
    </w:p>
    <w:p>
      <w:pPr>
        <w:tabs>
          <w:tab w:val="left" w:pos="7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11.3供应商认为采购人或采购代理机构需要对谈判文件进行澄清或者修改的，可以在提交首次响应文件截止之日起3个工作日前以书面形式向采购人或采购代理机构提出申请，由采购人或采购代理机构决定是否采纳供应商的申请事项。</w:t>
      </w:r>
    </w:p>
    <w:p>
      <w:pPr>
        <w:spacing w:line="360" w:lineRule="auto"/>
        <w:rPr>
          <w:rFonts w:hint="eastAsia" w:ascii="宋体" w:hAnsi="宋体" w:eastAsia="宋体" w:cs="宋体"/>
          <w:b/>
          <w:sz w:val="24"/>
        </w:rPr>
      </w:pPr>
      <w:bookmarkStart w:id="55" w:name="_Toc208848971"/>
      <w:bookmarkStart w:id="56" w:name="_Toc217446041"/>
      <w:r>
        <w:rPr>
          <w:rFonts w:hint="eastAsia" w:ascii="宋体" w:hAnsi="宋体" w:eastAsia="宋体" w:cs="宋体"/>
          <w:b/>
          <w:sz w:val="24"/>
        </w:rPr>
        <w:t>12. 答疑会和现场考察</w:t>
      </w:r>
      <w:bookmarkEnd w:id="55"/>
      <w:bookmarkEnd w:id="56"/>
    </w:p>
    <w:p>
      <w:pPr>
        <w:adjustRightInd w:val="0"/>
        <w:snapToGrid w:val="0"/>
        <w:spacing w:line="360" w:lineRule="auto"/>
        <w:ind w:firstLine="420" w:firstLineChars="175"/>
        <w:rPr>
          <w:rFonts w:hint="eastAsia" w:ascii="宋体" w:hAnsi="宋体" w:eastAsia="宋体" w:cs="宋体"/>
          <w:sz w:val="24"/>
        </w:rPr>
      </w:pPr>
      <w:bookmarkStart w:id="57" w:name="_Toc183582214"/>
      <w:bookmarkStart w:id="58" w:name="_Toc89075876"/>
      <w:bookmarkStart w:id="59" w:name="_Toc183682351"/>
      <w:bookmarkStart w:id="60" w:name="_Toc77400780"/>
      <w:bookmarkStart w:id="61" w:name="_Toc217446042"/>
      <w:r>
        <w:rPr>
          <w:rFonts w:hint="eastAsia" w:ascii="宋体" w:hAnsi="宋体" w:eastAsia="宋体" w:cs="宋体"/>
          <w:sz w:val="24"/>
        </w:rPr>
        <w:t>采购单位认为有必要，另行书面通知。</w:t>
      </w:r>
      <w:bookmarkStart w:id="62" w:name="_Toc504987196"/>
      <w:bookmarkStart w:id="63" w:name="_Toc504991340"/>
      <w:bookmarkStart w:id="64" w:name="_Toc504988295"/>
    </w:p>
    <w:p>
      <w:pPr>
        <w:adjustRightInd w:val="0"/>
        <w:snapToGrid w:val="0"/>
        <w:spacing w:line="360" w:lineRule="auto"/>
        <w:ind w:firstLine="492" w:firstLineChars="175"/>
        <w:jc w:val="center"/>
        <w:outlineLvl w:val="1"/>
        <w:rPr>
          <w:rFonts w:hint="eastAsia" w:ascii="宋体" w:hAnsi="宋体" w:eastAsia="宋体" w:cs="宋体"/>
          <w:b/>
          <w:bCs/>
          <w:sz w:val="28"/>
          <w:szCs w:val="28"/>
        </w:rPr>
      </w:pPr>
      <w:r>
        <w:rPr>
          <w:rFonts w:hint="eastAsia" w:ascii="宋体" w:hAnsi="宋体" w:eastAsia="宋体" w:cs="宋体"/>
          <w:b/>
          <w:bCs/>
          <w:sz w:val="28"/>
          <w:szCs w:val="28"/>
        </w:rPr>
        <w:t>四、响应文件</w:t>
      </w:r>
      <w:bookmarkEnd w:id="57"/>
      <w:bookmarkEnd w:id="58"/>
      <w:bookmarkEnd w:id="59"/>
      <w:bookmarkEnd w:id="60"/>
      <w:bookmarkEnd w:id="61"/>
      <w:bookmarkEnd w:id="62"/>
      <w:bookmarkEnd w:id="63"/>
      <w:bookmarkEnd w:id="64"/>
      <w:bookmarkStart w:id="65" w:name="_Toc217446043"/>
      <w:bookmarkStart w:id="66" w:name="_Toc183582215"/>
      <w:bookmarkStart w:id="67" w:name="_Toc183682352"/>
    </w:p>
    <w:p>
      <w:pPr>
        <w:spacing w:line="360" w:lineRule="auto"/>
        <w:rPr>
          <w:rFonts w:hint="eastAsia" w:ascii="宋体" w:hAnsi="宋体" w:eastAsia="宋体" w:cs="宋体"/>
          <w:b/>
          <w:sz w:val="24"/>
        </w:rPr>
      </w:pPr>
      <w:r>
        <w:rPr>
          <w:rFonts w:hint="eastAsia" w:ascii="宋体" w:hAnsi="宋体" w:eastAsia="宋体" w:cs="宋体"/>
          <w:b/>
          <w:sz w:val="24"/>
        </w:rPr>
        <w:t>13.响应文件的组成（实质性要求）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技术、服务性响应文件和最终报价函三部分，其中资格性响应文件、技术、服务性响应文件应分册装订，最终报价函应密封提交；供应商需现场填写最后报价的，应自行准备密封袋。</w:t>
      </w:r>
    </w:p>
    <w:p>
      <w:pPr>
        <w:spacing w:line="360" w:lineRule="auto"/>
        <w:rPr>
          <w:rFonts w:hint="eastAsia" w:ascii="宋体" w:hAnsi="宋体" w:eastAsia="宋体" w:cs="宋体"/>
          <w:b/>
          <w:sz w:val="24"/>
        </w:rPr>
      </w:pPr>
      <w:r>
        <w:rPr>
          <w:rFonts w:hint="eastAsia" w:ascii="宋体" w:hAnsi="宋体" w:eastAsia="宋体" w:cs="宋体"/>
          <w:b/>
          <w:sz w:val="24"/>
        </w:rPr>
        <w:t>14.响应文件的语言</w:t>
      </w:r>
      <w:bookmarkEnd w:id="65"/>
      <w:bookmarkEnd w:id="66"/>
      <w:bookmarkEnd w:id="67"/>
      <w:r>
        <w:rPr>
          <w:rFonts w:hint="eastAsia" w:ascii="宋体" w:hAnsi="宋体" w:eastAsia="宋体" w:cs="宋体"/>
          <w:b/>
          <w:sz w:val="24"/>
        </w:rPr>
        <w:t>（实质性要求）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14.2 翻译的中文资料与外文资料如果出现差异和矛盾，以中文为准。但不能故意错误翻译，否则，供应商的响应文件将作为无效处理。</w:t>
      </w:r>
      <w:bookmarkStart w:id="68" w:name="_Toc183582216"/>
      <w:bookmarkStart w:id="69" w:name="_Toc217446044"/>
      <w:bookmarkStart w:id="70" w:name="_Toc183682353"/>
    </w:p>
    <w:p>
      <w:pPr>
        <w:spacing w:line="360" w:lineRule="auto"/>
        <w:rPr>
          <w:rFonts w:hint="eastAsia" w:ascii="宋体" w:hAnsi="宋体" w:eastAsia="宋体" w:cs="宋体"/>
          <w:b/>
          <w:sz w:val="24"/>
        </w:rPr>
      </w:pPr>
      <w:r>
        <w:rPr>
          <w:rFonts w:hint="eastAsia" w:ascii="宋体" w:hAnsi="宋体" w:eastAsia="宋体" w:cs="宋体"/>
          <w:b/>
          <w:sz w:val="24"/>
        </w:rPr>
        <w:t>15．计量单位</w:t>
      </w:r>
      <w:bookmarkEnd w:id="68"/>
      <w:bookmarkEnd w:id="69"/>
      <w:bookmarkEnd w:id="70"/>
      <w:r>
        <w:rPr>
          <w:rFonts w:hint="eastAsia" w:ascii="宋体" w:hAnsi="宋体" w:eastAsia="宋体" w:cs="宋体"/>
          <w:b/>
          <w:sz w:val="24"/>
        </w:rPr>
        <w:t>（实质性要求）</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除谈判文件中另有规定外，本次采购项目所有合同项下的报价均采用国家法定的计量单位。</w:t>
      </w:r>
      <w:bookmarkStart w:id="71" w:name="_Toc217446045"/>
    </w:p>
    <w:p>
      <w:pPr>
        <w:spacing w:line="360" w:lineRule="auto"/>
        <w:rPr>
          <w:rFonts w:hint="eastAsia" w:ascii="宋体" w:hAnsi="宋体" w:eastAsia="宋体" w:cs="宋体"/>
          <w:b/>
          <w:sz w:val="24"/>
        </w:rPr>
      </w:pPr>
      <w:r>
        <w:rPr>
          <w:rFonts w:hint="eastAsia" w:ascii="宋体" w:hAnsi="宋体" w:eastAsia="宋体" w:cs="宋体"/>
          <w:b/>
          <w:sz w:val="24"/>
        </w:rPr>
        <w:t>16. 报价货币（实质性要求）</w:t>
      </w:r>
    </w:p>
    <w:p>
      <w:pPr>
        <w:spacing w:line="360" w:lineRule="auto"/>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eastAsia="宋体" w:cs="宋体"/>
          <w:sz w:val="24"/>
        </w:rPr>
        <w:t>谈判</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eastAsia="宋体" w:cs="宋体"/>
          <w:sz w:val="24"/>
        </w:rPr>
        <w:t>谈判</w:t>
      </w:r>
      <w:r>
        <w:rPr>
          <w:rFonts w:hint="eastAsia" w:ascii="宋体" w:hAnsi="宋体" w:eastAsia="宋体" w:cs="宋体"/>
          <w:bCs/>
          <w:sz w:val="24"/>
        </w:rPr>
        <w:t>文件约定为准。</w:t>
      </w:r>
    </w:p>
    <w:bookmarkEnd w:id="71"/>
    <w:p>
      <w:pPr>
        <w:spacing w:line="360" w:lineRule="auto"/>
        <w:rPr>
          <w:rFonts w:hint="eastAsia" w:ascii="宋体" w:hAnsi="宋体" w:eastAsia="宋体" w:cs="宋体"/>
          <w:b/>
          <w:sz w:val="24"/>
        </w:rPr>
      </w:pPr>
      <w:r>
        <w:rPr>
          <w:rFonts w:hint="eastAsia" w:ascii="宋体" w:hAnsi="宋体" w:eastAsia="宋体" w:cs="宋体"/>
          <w:b/>
          <w:sz w:val="24"/>
        </w:rPr>
        <w:t>17.响应文件格式</w:t>
      </w:r>
    </w:p>
    <w:p>
      <w:pPr>
        <w:spacing w:line="360" w:lineRule="auto"/>
        <w:ind w:left="2" w:leftChars="1" w:firstLine="480" w:firstLineChars="200"/>
        <w:rPr>
          <w:rFonts w:hint="eastAsia" w:ascii="宋体" w:hAnsi="宋体" w:eastAsia="宋体" w:cs="宋体"/>
          <w:sz w:val="24"/>
        </w:rPr>
      </w:pPr>
      <w:r>
        <w:rPr>
          <w:rFonts w:hint="eastAsia" w:ascii="宋体" w:hAnsi="宋体" w:eastAsia="宋体" w:cs="宋体"/>
          <w:sz w:val="24"/>
        </w:rPr>
        <w:t>17.1 供应商应执行谈判文件第六章的规定要求。</w:t>
      </w:r>
    </w:p>
    <w:p>
      <w:pPr>
        <w:spacing w:line="360" w:lineRule="auto"/>
        <w:ind w:left="2" w:leftChars="1" w:firstLine="480" w:firstLineChars="200"/>
        <w:rPr>
          <w:rFonts w:hint="eastAsia" w:ascii="宋体" w:hAnsi="宋体" w:eastAsia="宋体" w:cs="宋体"/>
          <w:sz w:val="24"/>
        </w:rPr>
      </w:pPr>
      <w:r>
        <w:rPr>
          <w:rFonts w:hint="eastAsia" w:ascii="宋体" w:hAnsi="宋体" w:eastAsia="宋体" w:cs="宋体"/>
          <w:sz w:val="24"/>
        </w:rPr>
        <w:t>17.2 对于没有格式要求的谈判文件由供应商自行编写。</w:t>
      </w:r>
    </w:p>
    <w:p>
      <w:pPr>
        <w:spacing w:line="360" w:lineRule="auto"/>
        <w:rPr>
          <w:rFonts w:hint="eastAsia" w:ascii="宋体" w:hAnsi="宋体" w:eastAsia="宋体" w:cs="宋体"/>
          <w:b/>
          <w:sz w:val="24"/>
        </w:rPr>
      </w:pPr>
      <w:bookmarkStart w:id="72" w:name="_Toc217446051"/>
      <w:bookmarkStart w:id="73" w:name="_Toc183582224"/>
      <w:bookmarkStart w:id="74" w:name="_Toc183682361"/>
      <w:r>
        <w:rPr>
          <w:rFonts w:hint="eastAsia" w:ascii="宋体" w:hAnsi="宋体" w:eastAsia="宋体" w:cs="宋体"/>
          <w:b/>
          <w:sz w:val="24"/>
        </w:rPr>
        <w:t>18.响应文件的编制和签署</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18.1 资格性响应文件正本1份、副本2份和相应的电子文档1份</w:t>
      </w:r>
      <w:r>
        <w:rPr>
          <w:rFonts w:hint="eastAsia" w:ascii="宋体" w:hAnsi="宋体" w:eastAsia="宋体" w:cs="宋体"/>
          <w:sz w:val="24"/>
          <w:lang w:eastAsia="zh-CN"/>
        </w:rPr>
        <w:t>（电子文档采用</w:t>
      </w:r>
      <w:r>
        <w:rPr>
          <w:rFonts w:hint="eastAsia" w:ascii="宋体" w:hAnsi="宋体" w:eastAsia="宋体" w:cs="宋体"/>
          <w:sz w:val="24"/>
          <w:lang w:val="en-US" w:eastAsia="zh-CN"/>
        </w:rPr>
        <w:t>U盘）</w:t>
      </w:r>
      <w:r>
        <w:rPr>
          <w:rFonts w:hint="eastAsia" w:ascii="宋体" w:hAnsi="宋体" w:eastAsia="宋体" w:cs="宋体"/>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18.2技术、服务性响应文件正本1份、副本2份和相应的电子文档1份</w:t>
      </w:r>
      <w:r>
        <w:rPr>
          <w:rFonts w:hint="eastAsia" w:ascii="宋体" w:hAnsi="宋体" w:eastAsia="宋体" w:cs="宋体"/>
          <w:sz w:val="24"/>
          <w:lang w:eastAsia="zh-CN"/>
        </w:rPr>
        <w:t>（电子文档采用</w:t>
      </w:r>
      <w:r>
        <w:rPr>
          <w:rFonts w:hint="eastAsia" w:ascii="宋体" w:hAnsi="宋体" w:eastAsia="宋体" w:cs="宋体"/>
          <w:sz w:val="24"/>
          <w:lang w:val="en-US" w:eastAsia="zh-CN"/>
        </w:rPr>
        <w:t>U盘）</w:t>
      </w:r>
      <w:r>
        <w:rPr>
          <w:rFonts w:hint="eastAsia" w:ascii="宋体" w:hAnsi="宋体" w:eastAsia="宋体" w:cs="宋体"/>
          <w:sz w:val="24"/>
        </w:rPr>
        <w:t>，并在其封面上清楚地标明技术、服务性响应文件、采购项目名称、采购项目编号、包件号及名称（若有）、供应商名称以及“正本”或“副本”字样。若正本和副本有不一致的内容，以正本书面响应文件为准。</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18.3最终报价函应密封提交；供应商需现场填写最后报价的，应自行准备密封袋。</w:t>
      </w:r>
    </w:p>
    <w:bookmarkEnd w:id="72"/>
    <w:bookmarkEnd w:id="73"/>
    <w:bookmarkEnd w:id="74"/>
    <w:p>
      <w:pPr>
        <w:tabs>
          <w:tab w:val="left" w:pos="1095"/>
        </w:tabs>
        <w:spacing w:line="360" w:lineRule="auto"/>
        <w:ind w:firstLine="460" w:firstLineChars="192"/>
        <w:rPr>
          <w:rFonts w:hint="eastAsia" w:ascii="宋体" w:hAnsi="宋体" w:eastAsia="宋体" w:cs="宋体"/>
          <w:sz w:val="24"/>
        </w:rPr>
      </w:pPr>
      <w:r>
        <w:rPr>
          <w:rFonts w:hint="eastAsia" w:ascii="宋体" w:hAnsi="宋体" w:eastAsia="宋体" w:cs="宋体"/>
          <w:sz w:val="24"/>
        </w:rPr>
        <w:t>18.4 响应文件正本和副本均需打印或用不褪色、不变质的墨水书写，并在规定签章处签字和盖章。响应文件副本可采用正本的复印件</w:t>
      </w:r>
      <w:r>
        <w:rPr>
          <w:rFonts w:hint="eastAsia" w:ascii="宋体" w:hAnsi="宋体" w:eastAsia="宋体" w:cs="宋体"/>
          <w:sz w:val="24"/>
          <w:lang w:eastAsia="zh-CN"/>
        </w:rPr>
        <w:t>。</w:t>
      </w:r>
      <w:r>
        <w:rPr>
          <w:rFonts w:hint="eastAsia" w:ascii="宋体" w:hAnsi="宋体" w:eastAsia="宋体" w:cs="宋体"/>
          <w:sz w:val="24"/>
        </w:rPr>
        <w:t>电子文档采用U盘制作。</w:t>
      </w:r>
    </w:p>
    <w:p>
      <w:pPr>
        <w:tabs>
          <w:tab w:val="left" w:pos="1095"/>
        </w:tabs>
        <w:spacing w:line="360" w:lineRule="auto"/>
        <w:ind w:firstLine="460" w:firstLineChars="192"/>
        <w:rPr>
          <w:rFonts w:hint="eastAsia" w:ascii="宋体" w:hAnsi="宋体" w:eastAsia="宋体" w:cs="宋体"/>
          <w:sz w:val="24"/>
        </w:rPr>
      </w:pPr>
      <w:r>
        <w:rPr>
          <w:rFonts w:hint="eastAsia" w:ascii="宋体" w:hAnsi="宋体" w:eastAsia="宋体" w:cs="宋体"/>
          <w:sz w:val="24"/>
        </w:rPr>
        <w:t>18.5响应文件的打印和书写应清楚工整，任何行间插字、涂改或增删，必须由供应商的法定代表人或其授权代表签字并盖供应商公章。字迹潦草、表达不清或可能导致非唯一理解的响应文件可能被作为无效处理。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18.6</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18.7响应文件正本和副本需要逐页编目编码。</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18.8响应文件正本和副本应当采用胶装方式装订成册，不得散装或者合页装订。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18.9响应文件应根据谈判文件的要求制作，签署、盖章。（按照《四川省政府采购评审工作规程（修订）》规范）</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18.10响应文件统一用A4幅面纸印制，除另有规定外。</w:t>
      </w:r>
    </w:p>
    <w:p>
      <w:pPr>
        <w:spacing w:line="360" w:lineRule="auto"/>
        <w:ind w:firstLine="482" w:firstLineChars="200"/>
        <w:rPr>
          <w:rFonts w:hint="eastAsia" w:ascii="宋体" w:hAnsi="宋体" w:eastAsia="宋体" w:cs="宋体"/>
          <w:b/>
          <w:sz w:val="24"/>
        </w:rPr>
      </w:pPr>
      <w:bookmarkStart w:id="75" w:name="_Toc183682363"/>
      <w:bookmarkStart w:id="76" w:name="_Toc89075877"/>
      <w:bookmarkStart w:id="77" w:name="_Toc217446053"/>
      <w:bookmarkStart w:id="78" w:name="_Toc77400781"/>
      <w:bookmarkStart w:id="79" w:name="_Toc183582226"/>
      <w:r>
        <w:rPr>
          <w:rFonts w:hint="eastAsia" w:ascii="宋体" w:hAnsi="宋体" w:eastAsia="宋体" w:cs="宋体"/>
          <w:b/>
          <w:sz w:val="24"/>
        </w:rPr>
        <w:t>19.响应文件的密封和标注（不属于本项目谈判小组评审范畴，由采购人、采购代理机构在接收响应文件时及时处理）</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19.3 所有外层密封袋的封口处应粘贴牢固。</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19.4 未按以上要求进行密封和标注的响应文件，采购人、采购代理机构将拒收或者在时间允许的范围内，要求修改完善后接收。</w:t>
      </w:r>
    </w:p>
    <w:p>
      <w:pPr>
        <w:spacing w:line="360" w:lineRule="auto"/>
        <w:rPr>
          <w:rFonts w:hint="eastAsia" w:ascii="宋体" w:hAnsi="宋体" w:eastAsia="宋体" w:cs="宋体"/>
          <w:b/>
          <w:sz w:val="24"/>
        </w:rPr>
      </w:pPr>
      <w:r>
        <w:rPr>
          <w:rFonts w:hint="eastAsia" w:ascii="宋体" w:hAnsi="宋体" w:eastAsia="宋体" w:cs="宋体"/>
          <w:b/>
          <w:sz w:val="24"/>
        </w:rPr>
        <w:t>20.响应文件的递交</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20.1 资格性响应文件和技术、服务性响应文件应于递交响应文件截止时间前送达指定地点，采购代理机构拒绝接收截止时间后送达的响应文件。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20.2 采购代理机构将向通过资格审查的供应商发出谈判邀请；告知未通过资格审查的供应商未通过的原因。</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20.3 报价表在谈判后，谈判小组要求供应商进行最后报价时递交。</w:t>
      </w:r>
    </w:p>
    <w:p>
      <w:pPr>
        <w:tabs>
          <w:tab w:val="left" w:pos="1080"/>
        </w:tabs>
        <w:spacing w:line="360" w:lineRule="auto"/>
        <w:ind w:firstLine="460" w:firstLineChars="192"/>
        <w:rPr>
          <w:rFonts w:hint="eastAsia" w:ascii="宋体" w:hAnsi="宋体" w:eastAsia="宋体" w:cs="宋体"/>
          <w:sz w:val="24"/>
        </w:rPr>
      </w:pPr>
      <w:r>
        <w:rPr>
          <w:rFonts w:hint="eastAsia" w:ascii="宋体" w:hAnsi="宋体" w:eastAsia="宋体" w:cs="宋体"/>
          <w:sz w:val="24"/>
        </w:rPr>
        <w:t>20.4 本次采购不接收邮寄的响应文件。</w:t>
      </w:r>
    </w:p>
    <w:bookmarkEnd w:id="75"/>
    <w:bookmarkEnd w:id="76"/>
    <w:bookmarkEnd w:id="77"/>
    <w:bookmarkEnd w:id="78"/>
    <w:bookmarkEnd w:id="79"/>
    <w:p>
      <w:pPr>
        <w:spacing w:line="360" w:lineRule="auto"/>
        <w:rPr>
          <w:rFonts w:hint="eastAsia" w:ascii="宋体" w:hAnsi="宋体" w:eastAsia="宋体" w:cs="宋体"/>
          <w:b/>
          <w:sz w:val="24"/>
        </w:rPr>
      </w:pPr>
      <w:bookmarkStart w:id="80" w:name="_Toc183582228"/>
      <w:bookmarkStart w:id="81" w:name="_Toc183682365"/>
      <w:bookmarkStart w:id="82" w:name="_Toc217446055"/>
      <w:r>
        <w:rPr>
          <w:rFonts w:hint="eastAsia" w:ascii="宋体" w:hAnsi="宋体" w:eastAsia="宋体" w:cs="宋体"/>
          <w:b/>
          <w:sz w:val="24"/>
        </w:rPr>
        <w:t>21.响应文件的修改和撤回（补充、修改响应文件的密封和标注按照本章“19.响应文件的密封和标注”规定处理）</w:t>
      </w:r>
    </w:p>
    <w:p>
      <w:pPr>
        <w:pStyle w:val="9"/>
        <w:spacing w:line="360" w:lineRule="auto"/>
        <w:ind w:firstLine="480"/>
        <w:rPr>
          <w:rFonts w:hint="eastAsia" w:ascii="宋体" w:hAnsi="宋体" w:eastAsia="宋体" w:cs="宋体"/>
          <w:sz w:val="24"/>
        </w:rPr>
      </w:pPr>
      <w:r>
        <w:rPr>
          <w:rFonts w:hint="eastAsia" w:ascii="宋体" w:hAnsi="宋体" w:eastAsia="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 供应商不得在递交截止时间起至响应文件有效期期满前撤回其响应文件。</w:t>
      </w:r>
    </w:p>
    <w:p>
      <w:pPr>
        <w:spacing w:line="360" w:lineRule="auto"/>
        <w:ind w:firstLine="480"/>
        <w:rPr>
          <w:rFonts w:hint="eastAsia" w:ascii="宋体" w:hAnsi="宋体" w:eastAsia="宋体" w:cs="宋体"/>
          <w:sz w:val="24"/>
        </w:rPr>
      </w:pPr>
      <w:r>
        <w:rPr>
          <w:rFonts w:hint="eastAsia" w:ascii="宋体" w:hAnsi="宋体" w:eastAsia="宋体" w:cs="宋体"/>
          <w:sz w:val="24"/>
        </w:rPr>
        <w:t>21.4 响应文件中报价如果出现下列不一致的，可按以下原则进行修改：</w:t>
      </w:r>
    </w:p>
    <w:p>
      <w:pPr>
        <w:spacing w:line="360" w:lineRule="auto"/>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360" w:lineRule="auto"/>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360" w:lineRule="auto"/>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eastAsia="宋体" w:cs="宋体"/>
          <w:sz w:val="24"/>
        </w:rPr>
      </w:pPr>
      <w:r>
        <w:rPr>
          <w:rFonts w:hint="eastAsia" w:ascii="宋体" w:hAnsi="宋体" w:eastAsia="宋体" w:cs="宋体"/>
          <w:sz w:val="24"/>
        </w:rPr>
        <w:t>21.5 供应商对其提交的响应文件的真实性、合法性承担法律责任。</w:t>
      </w:r>
      <w:bookmarkEnd w:id="80"/>
      <w:bookmarkEnd w:id="81"/>
      <w:bookmarkEnd w:id="82"/>
    </w:p>
    <w:p>
      <w:pPr>
        <w:bidi w:val="0"/>
        <w:rPr>
          <w:rFonts w:hint="eastAsia" w:ascii="Times New Roman" w:hAnsi="Times New Roman" w:eastAsia="宋体" w:cs="Times New Roman"/>
          <w:kern w:val="2"/>
          <w:sz w:val="21"/>
          <w:szCs w:val="24"/>
          <w:lang w:val="en-US" w:eastAsia="zh-CN" w:bidi="ar-SA"/>
        </w:rPr>
      </w:pPr>
    </w:p>
    <w:p>
      <w:pPr>
        <w:pStyle w:val="5"/>
        <w:keepNext w:val="0"/>
        <w:keepLines w:val="0"/>
        <w:spacing w:before="0" w:after="0" w:line="360" w:lineRule="auto"/>
        <w:jc w:val="center"/>
        <w:rPr>
          <w:rFonts w:hint="eastAsia" w:ascii="宋体" w:hAnsi="宋体" w:eastAsia="宋体" w:cs="宋体"/>
          <w:highlight w:val="none"/>
        </w:rPr>
      </w:pPr>
      <w:bookmarkStart w:id="83" w:name="_Toc504988296"/>
      <w:bookmarkStart w:id="84" w:name="_Toc504987197"/>
      <w:bookmarkStart w:id="85" w:name="_Toc504991341"/>
      <w:bookmarkStart w:id="86" w:name="_Toc24165"/>
      <w:r>
        <w:rPr>
          <w:rFonts w:hint="eastAsia" w:ascii="宋体" w:hAnsi="宋体" w:eastAsia="宋体" w:cs="宋体"/>
          <w:highlight w:val="none"/>
        </w:rPr>
        <w:t>五、评审</w:t>
      </w:r>
      <w:bookmarkEnd w:id="83"/>
      <w:bookmarkEnd w:id="84"/>
      <w:bookmarkEnd w:id="85"/>
      <w:bookmarkEnd w:id="86"/>
    </w:p>
    <w:p>
      <w:pPr>
        <w:spacing w:line="360" w:lineRule="auto"/>
        <w:rPr>
          <w:rFonts w:hint="eastAsia" w:ascii="宋体" w:hAnsi="宋体" w:eastAsia="宋体" w:cs="宋体"/>
          <w:b/>
          <w:sz w:val="24"/>
        </w:rPr>
      </w:pPr>
      <w:r>
        <w:rPr>
          <w:rFonts w:hint="eastAsia" w:ascii="宋体" w:hAnsi="宋体" w:eastAsia="宋体" w:cs="宋体"/>
          <w:b/>
          <w:sz w:val="24"/>
        </w:rPr>
        <w:t>22. 谈判小组的组建及其评审工作按照有关法律制度和本文件第七章的规定进行。</w:t>
      </w:r>
    </w:p>
    <w:p>
      <w:pPr>
        <w:bidi w:val="0"/>
        <w:rPr>
          <w:rFonts w:hint="eastAsia"/>
          <w:lang w:val="en-US" w:eastAsia="zh-CN"/>
        </w:rPr>
      </w:pPr>
    </w:p>
    <w:p>
      <w:pPr>
        <w:bidi w:val="0"/>
        <w:rPr>
          <w:rFonts w:hint="eastAsia"/>
          <w:lang w:val="en-US" w:eastAsia="zh-CN"/>
        </w:rPr>
      </w:pPr>
    </w:p>
    <w:p>
      <w:pPr>
        <w:tabs>
          <w:tab w:val="center" w:pos="4158"/>
        </w:tabs>
        <w:bidi w:val="0"/>
        <w:jc w:val="left"/>
        <w:rPr>
          <w:rFonts w:hint="eastAsia"/>
          <w:lang w:val="en-US" w:eastAsia="zh-CN"/>
        </w:rPr>
        <w:sectPr>
          <w:headerReference r:id="rId12" w:type="default"/>
          <w:footerReference r:id="rId13" w:type="default"/>
          <w:pgSz w:w="11911" w:h="16838"/>
          <w:pgMar w:top="1440" w:right="1797" w:bottom="1440" w:left="1797" w:header="850" w:footer="737" w:gutter="0"/>
          <w:pgNumType w:fmt="decimal"/>
          <w:cols w:space="720" w:num="1"/>
          <w:docGrid w:linePitch="299" w:charSpace="0"/>
        </w:sectPr>
      </w:pPr>
      <w:r>
        <w:rPr>
          <w:rFonts w:hint="eastAsia"/>
          <w:lang w:val="en-US" w:eastAsia="zh-CN"/>
        </w:rPr>
        <w:tab/>
      </w:r>
    </w:p>
    <w:p>
      <w:pPr>
        <w:pStyle w:val="5"/>
        <w:keepNext w:val="0"/>
        <w:keepLines w:val="0"/>
        <w:spacing w:before="0" w:after="0" w:line="360" w:lineRule="auto"/>
        <w:jc w:val="center"/>
        <w:rPr>
          <w:rFonts w:hint="eastAsia" w:ascii="宋体" w:hAnsi="宋体" w:eastAsia="宋体" w:cs="宋体"/>
        </w:rPr>
      </w:pPr>
      <w:bookmarkStart w:id="87" w:name="_Toc504987198"/>
      <w:bookmarkStart w:id="88" w:name="_Toc504988297"/>
      <w:bookmarkStart w:id="89" w:name="_Toc1227"/>
      <w:bookmarkStart w:id="90" w:name="_Toc504991342"/>
      <w:r>
        <w:rPr>
          <w:rFonts w:hint="eastAsia" w:ascii="宋体" w:hAnsi="宋体" w:eastAsia="宋体" w:cs="宋体"/>
        </w:rPr>
        <w:t>六、成交事项</w:t>
      </w:r>
      <w:bookmarkEnd w:id="87"/>
      <w:bookmarkEnd w:id="88"/>
      <w:bookmarkEnd w:id="89"/>
      <w:bookmarkEnd w:id="90"/>
    </w:p>
    <w:p>
      <w:pPr>
        <w:spacing w:line="360" w:lineRule="auto"/>
        <w:rPr>
          <w:rFonts w:hint="eastAsia" w:ascii="宋体" w:hAnsi="宋体" w:eastAsia="宋体" w:cs="宋体"/>
          <w:b/>
          <w:sz w:val="24"/>
        </w:rPr>
      </w:pPr>
      <w:r>
        <w:rPr>
          <w:rFonts w:hint="eastAsia" w:ascii="宋体" w:hAnsi="宋体" w:eastAsia="宋体" w:cs="宋体"/>
          <w:b/>
          <w:sz w:val="24"/>
        </w:rPr>
        <w:t>23.确定成交供应商</w:t>
      </w:r>
    </w:p>
    <w:p>
      <w:pPr>
        <w:widowControl/>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采购人将按谈判小组推荐的成交候选供应商顺序确定成交供应商。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23.1采购代理机构自评审结束后2个工作日内将谈判报告及有关资料送交采购人确定成交供应商。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23.3采购人确定成交供应商过程中，发现成交候选供应商有下列情形之一的，应当不予确定其为成交供应商：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（1）发现成交候选供应商存在禁止参加本项目采购活动的违法行为的；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（2）成交候选供应商因不可抗力，不能继续参加采购活动。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（3）成交候选供应商无偿赠与或者低于成本价竞争；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（4）成交候选供应商提供虚假材料；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（5）成交候选供应商恶意串通。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成交候选供应商有本条情形之一的，采购人可以确定后一位成交候选供应商为成交供应商，依次类推。无法确定成交供应商的，应当重新组织采购。</w:t>
      </w:r>
    </w:p>
    <w:p>
      <w:pPr>
        <w:spacing w:line="360" w:lineRule="auto"/>
        <w:rPr>
          <w:rFonts w:hint="eastAsia" w:ascii="宋体" w:hAnsi="宋体" w:eastAsia="宋体" w:cs="宋体"/>
          <w:b/>
          <w:sz w:val="24"/>
        </w:rPr>
      </w:pPr>
      <w:r>
        <w:rPr>
          <w:rFonts w:hint="eastAsia" w:ascii="宋体" w:hAnsi="宋体" w:eastAsia="宋体" w:cs="宋体"/>
          <w:b/>
          <w:sz w:val="24"/>
        </w:rPr>
        <w:t>24.成交结果</w:t>
      </w:r>
    </w:p>
    <w:p>
      <w:pPr>
        <w:spacing w:line="360" w:lineRule="auto"/>
        <w:ind w:firstLine="465"/>
        <w:rPr>
          <w:rFonts w:hint="eastAsia" w:ascii="宋体" w:hAnsi="宋体" w:eastAsia="宋体" w:cs="宋体"/>
          <w:sz w:val="24"/>
        </w:rPr>
      </w:pPr>
      <w:r>
        <w:rPr>
          <w:rFonts w:hint="eastAsia" w:ascii="宋体" w:hAnsi="宋体" w:eastAsia="宋体" w:cs="宋体"/>
          <w:sz w:val="24"/>
        </w:rPr>
        <w:t>24.1采购人确定成交供应商后，将及时书面通知采购代理机构，发出成交通知书并发布成交结果公告。</w:t>
      </w:r>
    </w:p>
    <w:p>
      <w:pPr>
        <w:spacing w:line="360" w:lineRule="auto"/>
        <w:ind w:firstLine="465"/>
        <w:rPr>
          <w:rFonts w:hint="eastAsia" w:ascii="宋体" w:hAnsi="宋体" w:eastAsia="宋体" w:cs="宋体"/>
          <w:color w:val="FF0000"/>
          <w:sz w:val="24"/>
        </w:rPr>
      </w:pPr>
      <w:r>
        <w:rPr>
          <w:rFonts w:hint="eastAsia" w:ascii="宋体" w:hAnsi="宋体" w:eastAsia="宋体" w:cs="宋体"/>
          <w:sz w:val="24"/>
        </w:rPr>
        <w:t>24.2 成交供应商应当及时领取成交通知书。需要交纳履约保证金的，成交供应商应当及时向采购人交纳。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24.3成交供应商不能及时领取成交通知书，采购人或者采购代理机构应当通过邮寄、快递等方式将项目成交通知书送达成交供应商。</w:t>
      </w:r>
    </w:p>
    <w:p>
      <w:pPr>
        <w:spacing w:line="360" w:lineRule="auto"/>
        <w:rPr>
          <w:rFonts w:hint="eastAsia" w:ascii="宋体" w:hAnsi="宋体" w:eastAsia="宋体" w:cs="宋体"/>
          <w:b/>
          <w:sz w:val="24"/>
        </w:rPr>
      </w:pPr>
      <w:r>
        <w:rPr>
          <w:rFonts w:hint="eastAsia" w:ascii="宋体" w:hAnsi="宋体" w:eastAsia="宋体" w:cs="宋体"/>
          <w:b/>
          <w:sz w:val="24"/>
        </w:rPr>
        <w:t>25.成交通知书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25.1成交通知书为签订采购合同的依据之一，是合同的有效组成部分。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5"/>
        <w:keepNext w:val="0"/>
        <w:keepLines w:val="0"/>
        <w:spacing w:before="0" w:after="0" w:line="360" w:lineRule="auto"/>
        <w:jc w:val="center"/>
        <w:rPr>
          <w:rFonts w:hint="eastAsia" w:ascii="宋体" w:hAnsi="宋体" w:eastAsia="宋体" w:cs="宋体"/>
        </w:rPr>
      </w:pPr>
      <w:bookmarkStart w:id="91" w:name="_Toc504988298"/>
      <w:bookmarkStart w:id="92" w:name="_Toc504991343"/>
      <w:bookmarkStart w:id="93" w:name="_Toc19595"/>
      <w:bookmarkStart w:id="94" w:name="_Toc504987199"/>
      <w:r>
        <w:rPr>
          <w:rFonts w:hint="eastAsia" w:ascii="宋体" w:hAnsi="宋体" w:eastAsia="宋体" w:cs="宋体"/>
        </w:rPr>
        <w:t>七、合同事项</w:t>
      </w:r>
      <w:bookmarkEnd w:id="91"/>
      <w:bookmarkEnd w:id="92"/>
      <w:bookmarkEnd w:id="93"/>
      <w:bookmarkEnd w:id="94"/>
    </w:p>
    <w:p>
      <w:pPr>
        <w:spacing w:line="360" w:lineRule="auto"/>
        <w:rPr>
          <w:rFonts w:hint="eastAsia" w:ascii="宋体" w:hAnsi="宋体" w:eastAsia="宋体" w:cs="宋体"/>
          <w:b/>
          <w:sz w:val="24"/>
        </w:rPr>
      </w:pPr>
      <w:bookmarkStart w:id="95" w:name="_Toc101174151"/>
      <w:bookmarkStart w:id="96" w:name="_Toc209847069"/>
      <w:bookmarkStart w:id="97" w:name="_Toc430773927"/>
      <w:bookmarkStart w:id="98" w:name="_Toc101250646"/>
      <w:bookmarkStart w:id="99" w:name="_Toc101338364"/>
      <w:r>
        <w:rPr>
          <w:rFonts w:hint="eastAsia" w:ascii="宋体" w:hAnsi="宋体" w:eastAsia="宋体" w:cs="宋体"/>
          <w:b/>
          <w:sz w:val="24"/>
        </w:rPr>
        <w:t>26.签订合同</w:t>
      </w:r>
      <w:bookmarkEnd w:id="95"/>
      <w:bookmarkEnd w:id="96"/>
      <w:bookmarkEnd w:id="97"/>
      <w:bookmarkEnd w:id="98"/>
      <w:bookmarkEnd w:id="9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26.2 谈判文件、成交供应商的响应文件及双方确认的澄清文件等，均为有法律约束力的经济合同的组成部分。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26.5 竞争性谈判文件、成交供应商提交的响应文件、谈判中的最后报价、成交供应商承诺书、成交通知书等均称为有法律约束力的合同组成内容。</w:t>
      </w:r>
    </w:p>
    <w:p>
      <w:pPr>
        <w:spacing w:line="360" w:lineRule="auto"/>
        <w:rPr>
          <w:rFonts w:hint="eastAsia" w:ascii="宋体" w:hAnsi="宋体" w:eastAsia="宋体" w:cs="宋体"/>
          <w:b/>
          <w:sz w:val="24"/>
        </w:rPr>
      </w:pPr>
      <w:r>
        <w:rPr>
          <w:rFonts w:hint="eastAsia" w:ascii="宋体" w:hAnsi="宋体" w:eastAsia="宋体" w:cs="宋体"/>
          <w:b/>
          <w:sz w:val="24"/>
        </w:rPr>
        <w:t>27.合同分包（实质性要求）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27.3 中小企业依据《政府采购促进中小企业发展管理办法》（财库〔2020〕46号）规定的政策获取采购合同后，小型、微型企业不得分包或转包给大型、中型企业，中型企业不得分包或转包给大型企业。</w:t>
      </w:r>
    </w:p>
    <w:p>
      <w:pPr>
        <w:spacing w:line="360" w:lineRule="auto"/>
        <w:rPr>
          <w:rFonts w:hint="eastAsia" w:ascii="宋体" w:hAnsi="宋体" w:eastAsia="宋体" w:cs="宋体"/>
          <w:b/>
          <w:sz w:val="24"/>
        </w:rPr>
      </w:pPr>
      <w:r>
        <w:rPr>
          <w:rFonts w:hint="eastAsia" w:ascii="宋体" w:hAnsi="宋体" w:eastAsia="宋体" w:cs="宋体"/>
          <w:b/>
          <w:sz w:val="24"/>
        </w:rPr>
        <w:t>28.合同转包（实质性要求）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pPr>
        <w:spacing w:line="360" w:lineRule="auto"/>
        <w:rPr>
          <w:rFonts w:hint="eastAsia" w:ascii="宋体" w:hAnsi="宋体" w:eastAsia="宋体" w:cs="宋体"/>
          <w:b/>
          <w:sz w:val="24"/>
        </w:rPr>
      </w:pPr>
      <w:r>
        <w:rPr>
          <w:rFonts w:hint="eastAsia" w:ascii="宋体" w:hAnsi="宋体" w:eastAsia="宋体" w:cs="宋体"/>
          <w:b/>
          <w:sz w:val="24"/>
        </w:rPr>
        <w:t>29.补充合同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360" w:lineRule="auto"/>
        <w:rPr>
          <w:rFonts w:hint="eastAsia" w:ascii="宋体" w:hAnsi="宋体" w:eastAsia="宋体" w:cs="宋体"/>
          <w:b/>
          <w:sz w:val="24"/>
        </w:rPr>
      </w:pPr>
      <w:r>
        <w:rPr>
          <w:rFonts w:hint="eastAsia" w:ascii="宋体" w:hAnsi="宋体" w:eastAsia="宋体" w:cs="宋体"/>
          <w:b/>
          <w:sz w:val="24"/>
        </w:rPr>
        <w:t>30.履约保证金</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本项目不做要求。</w:t>
      </w:r>
    </w:p>
    <w:p>
      <w:pPr>
        <w:spacing w:line="360" w:lineRule="auto"/>
        <w:rPr>
          <w:rFonts w:hint="eastAsia" w:ascii="宋体" w:hAnsi="宋体" w:eastAsia="宋体" w:cs="宋体"/>
          <w:b/>
          <w:sz w:val="24"/>
        </w:rPr>
      </w:pPr>
      <w:r>
        <w:rPr>
          <w:rFonts w:hint="eastAsia" w:ascii="宋体" w:hAnsi="宋体" w:eastAsia="宋体" w:cs="宋体"/>
          <w:b/>
          <w:sz w:val="24"/>
        </w:rPr>
        <w:t>31.履行合同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31.2 在合同履行过程中，如发生合同纠纷，合同双方应按照《</w:t>
      </w:r>
      <w:r>
        <w:rPr>
          <w:rFonts w:hint="eastAsia" w:ascii="宋体" w:hAnsi="宋体" w:eastAsia="宋体" w:cs="宋体"/>
          <w:sz w:val="24"/>
          <w:szCs w:val="24"/>
          <w:lang w:eastAsia="zh-CN"/>
        </w:rPr>
        <w:t>中华人民共和国民法典</w:t>
      </w:r>
      <w:r>
        <w:rPr>
          <w:rFonts w:hint="eastAsia" w:ascii="宋体" w:hAnsi="宋体" w:eastAsia="宋体" w:cs="宋体"/>
          <w:sz w:val="24"/>
        </w:rPr>
        <w:t>》的有关规定进行处理。</w:t>
      </w:r>
    </w:p>
    <w:p>
      <w:pPr>
        <w:spacing w:line="360" w:lineRule="auto"/>
        <w:rPr>
          <w:rFonts w:hint="eastAsia" w:ascii="宋体" w:hAnsi="宋体" w:eastAsia="宋体" w:cs="宋体"/>
          <w:b/>
          <w:sz w:val="24"/>
        </w:rPr>
      </w:pPr>
      <w:r>
        <w:rPr>
          <w:rFonts w:hint="eastAsia" w:ascii="宋体" w:hAnsi="宋体" w:eastAsia="宋体" w:cs="宋体"/>
          <w:b/>
          <w:sz w:val="24"/>
        </w:rPr>
        <w:t>32.验收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本项目采购人将严格按照政府采购相关法律法规以及</w:t>
      </w:r>
      <w:r>
        <w:rPr>
          <w:rFonts w:hint="eastAsia" w:ascii="宋体" w:hAnsi="宋体" w:eastAsia="宋体" w:cs="宋体"/>
          <w:sz w:val="24"/>
          <w:lang w:val="en-US" w:eastAsia="zh-CN"/>
        </w:rPr>
        <w:t>《财政部关于进一步加强政府采购需求和履约验收管理的指导意见》（财库〔2016〕205号）</w:t>
      </w:r>
      <w:r>
        <w:rPr>
          <w:rFonts w:hint="eastAsia" w:ascii="宋体" w:hAnsi="宋体" w:eastAsia="宋体" w:cs="宋体"/>
          <w:sz w:val="24"/>
        </w:rPr>
        <w:t>的要求进行验收。</w:t>
      </w:r>
    </w:p>
    <w:p>
      <w:pPr>
        <w:spacing w:line="360" w:lineRule="auto"/>
        <w:rPr>
          <w:rFonts w:hint="eastAsia" w:ascii="宋体" w:hAnsi="宋体" w:eastAsia="宋体" w:cs="宋体"/>
          <w:b/>
          <w:sz w:val="24"/>
        </w:rPr>
      </w:pPr>
      <w:r>
        <w:rPr>
          <w:rFonts w:hint="eastAsia" w:ascii="宋体" w:hAnsi="宋体" w:eastAsia="宋体" w:cs="宋体"/>
          <w:b/>
          <w:sz w:val="24"/>
        </w:rPr>
        <w:t>33.资金支付</w:t>
      </w:r>
    </w:p>
    <w:p>
      <w:pPr>
        <w:tabs>
          <w:tab w:val="left" w:pos="851"/>
        </w:tabs>
        <w:spacing w:line="360" w:lineRule="auto"/>
        <w:ind w:firstLine="480" w:firstLineChars="200"/>
        <w:rPr>
          <w:rFonts w:hint="eastAsia" w:ascii="宋体" w:hAnsi="宋体" w:eastAsia="宋体" w:cs="宋体"/>
          <w:sz w:val="24"/>
        </w:rPr>
        <w:sectPr>
          <w:pgSz w:w="11911" w:h="16838"/>
          <w:pgMar w:top="1440" w:right="1797" w:bottom="1440" w:left="1797" w:header="850" w:footer="737" w:gutter="0"/>
          <w:pgNumType w:fmt="decimal"/>
          <w:cols w:space="720" w:num="1"/>
          <w:docGrid w:linePitch="299" w:charSpace="0"/>
        </w:sectPr>
      </w:pPr>
      <w:bookmarkStart w:id="100" w:name="_Toc504991344"/>
      <w:bookmarkStart w:id="101" w:name="_Toc504987200"/>
      <w:bookmarkStart w:id="102" w:name="_Toc504988299"/>
      <w:r>
        <w:rPr>
          <w:rFonts w:hint="eastAsia" w:ascii="宋体" w:hAnsi="宋体" w:eastAsia="宋体" w:cs="宋体"/>
          <w:sz w:val="24"/>
        </w:rPr>
        <w:t>具体付款方式详见第五章商务要求。</w:t>
      </w:r>
    </w:p>
    <w:p>
      <w:pPr>
        <w:pStyle w:val="5"/>
        <w:keepNext w:val="0"/>
        <w:keepLines w:val="0"/>
        <w:spacing w:before="0" w:after="0" w:line="360" w:lineRule="auto"/>
        <w:jc w:val="center"/>
        <w:rPr>
          <w:rFonts w:hint="eastAsia" w:ascii="宋体" w:hAnsi="宋体" w:eastAsia="宋体" w:cs="宋体"/>
        </w:rPr>
      </w:pPr>
      <w:bookmarkStart w:id="103" w:name="_Toc32611"/>
      <w:r>
        <w:rPr>
          <w:rFonts w:hint="eastAsia" w:ascii="宋体" w:hAnsi="宋体" w:eastAsia="宋体" w:cs="宋体"/>
        </w:rPr>
        <w:t>八、谈判纪律要求</w:t>
      </w:r>
      <w:bookmarkEnd w:id="100"/>
      <w:bookmarkEnd w:id="101"/>
      <w:bookmarkEnd w:id="102"/>
      <w:bookmarkEnd w:id="103"/>
    </w:p>
    <w:p>
      <w:pPr>
        <w:spacing w:line="360" w:lineRule="auto"/>
        <w:rPr>
          <w:rFonts w:hint="eastAsia" w:ascii="宋体" w:hAnsi="宋体" w:eastAsia="宋体" w:cs="宋体"/>
          <w:b/>
          <w:sz w:val="24"/>
        </w:rPr>
      </w:pPr>
      <w:r>
        <w:rPr>
          <w:rFonts w:hint="eastAsia" w:ascii="宋体" w:hAnsi="宋体" w:eastAsia="宋体" w:cs="宋体"/>
          <w:b/>
          <w:sz w:val="24"/>
        </w:rPr>
        <w:t>34.供应商不得具有的情形</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供应商参加本项目谈判不得有下列情形：</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（1）提供虚假材料谋取成交；</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（2）采取不正当手段诋毁、排挤其他供应商；</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（3）与采购人、采购代理机构、或其他供应商恶意串通；</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（4）向采购人、采购代理机构、谈判小组成员行贿或者提供其他不正当利益；</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（5）在谈判过程中与采购人、采购代理机构进行协商；</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（6）成交后无正当理由拒不与采购人签订采购合同；</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（7）未按照谈判文件确定的事项签订采购合同；</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（8）将采购合同转包或者违规分包；</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（9）提供假冒伪劣产品；</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（10）擅自变更、中止或者终止采购合同；</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（12）法律法规规定的其他情形。</w:t>
      </w:r>
    </w:p>
    <w:p>
      <w:pPr>
        <w:tabs>
          <w:tab w:val="left" w:pos="851"/>
        </w:tabs>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供应商有上述情形的，按照规定追究法律责任，具备（1）-（12）条情形之一的，同时将取消被确认为成交供应商的资格或者认定成交无效。</w:t>
      </w:r>
    </w:p>
    <w:p>
      <w:pPr>
        <w:tabs>
          <w:tab w:val="left" w:pos="851"/>
        </w:tabs>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九、询问、质疑和投诉</w:t>
      </w:r>
    </w:p>
    <w:p>
      <w:pPr>
        <w:spacing w:line="360" w:lineRule="auto"/>
        <w:rPr>
          <w:rFonts w:hint="eastAsia" w:ascii="宋体" w:hAnsi="宋体" w:eastAsia="宋体" w:cs="宋体"/>
          <w:b/>
          <w:sz w:val="24"/>
        </w:rPr>
      </w:pPr>
      <w:r>
        <w:rPr>
          <w:rFonts w:hint="eastAsia" w:ascii="宋体" w:hAnsi="宋体" w:eastAsia="宋体" w:cs="宋体"/>
          <w:b/>
          <w:sz w:val="24"/>
        </w:rPr>
        <w:t>35.询问、质疑、投诉的接收和处理严格按照《中华人</w:t>
      </w:r>
      <w:r>
        <w:rPr>
          <w:rFonts w:hint="eastAsia" w:ascii="宋体" w:hAnsi="宋体" w:eastAsia="宋体" w:cs="宋体"/>
          <w:b/>
          <w:sz w:val="24"/>
          <w:lang w:eastAsia="zh-CN"/>
        </w:rPr>
        <w:t>民</w:t>
      </w:r>
      <w:r>
        <w:rPr>
          <w:rFonts w:hint="eastAsia" w:ascii="宋体" w:hAnsi="宋体" w:eastAsia="宋体" w:cs="宋体"/>
          <w:b/>
          <w:sz w:val="24"/>
        </w:rPr>
        <w:t>共和国政府采购法》、《中华人民共和国政府采购法实施条例》、《中华人民共和国财政部令第94号政府采购质疑和投诉办法》、《财政部关于加强政府采购供应商投诉受理审查工作的通知》和四川省的有关规定办理（详细规定请在四川政府采购网政策法规模块查询）。本项目要求供应商在法定质疑期内一次性提出针对同一采购程序环节的质疑。</w:t>
      </w:r>
    </w:p>
    <w:p>
      <w:pPr>
        <w:pStyle w:val="5"/>
        <w:keepNext w:val="0"/>
        <w:keepLines w:val="0"/>
        <w:spacing w:before="0" w:after="0" w:line="360" w:lineRule="auto"/>
        <w:jc w:val="center"/>
        <w:rPr>
          <w:rFonts w:hint="eastAsia" w:ascii="宋体" w:hAnsi="宋体" w:eastAsia="宋体" w:cs="宋体"/>
        </w:rPr>
      </w:pPr>
      <w:bookmarkStart w:id="104" w:name="_Toc22462"/>
      <w:r>
        <w:rPr>
          <w:rFonts w:hint="eastAsia" w:ascii="宋体" w:hAnsi="宋体" w:eastAsia="宋体" w:cs="宋体"/>
        </w:rPr>
        <w:t>十、其  他</w:t>
      </w:r>
      <w:bookmarkEnd w:id="104"/>
    </w:p>
    <w:p>
      <w:pPr>
        <w:spacing w:line="360" w:lineRule="auto"/>
        <w:rPr>
          <w:rFonts w:hint="eastAsia" w:ascii="宋体" w:hAnsi="宋体" w:eastAsia="宋体" w:cs="宋体"/>
          <w:b/>
          <w:sz w:val="24"/>
        </w:rPr>
      </w:pPr>
      <w:r>
        <w:rPr>
          <w:rFonts w:hint="eastAsia" w:ascii="宋体" w:hAnsi="宋体" w:eastAsia="宋体" w:cs="宋体"/>
          <w:b/>
          <w:sz w:val="24"/>
        </w:rPr>
        <w:t>36.本谈判文件中所引相关法律制度规定，在政府采购中有变化的，参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rPr>
          <w:rFonts w:hint="eastAsia" w:ascii="宋体" w:hAnsi="宋体" w:eastAsia="宋体" w:cs="宋体"/>
          <w:b/>
          <w:sz w:val="24"/>
        </w:rPr>
      </w:pPr>
      <w:r>
        <w:rPr>
          <w:rFonts w:hint="eastAsia" w:ascii="宋体" w:hAnsi="宋体" w:eastAsia="宋体" w:cs="宋体"/>
          <w:b/>
          <w:sz w:val="24"/>
        </w:rPr>
        <w:t>37.（实质性要求）国家或行业主管部门对供应商和采购产品的技术标准、质量标准和资格资质条件等有强制性规定的，必须符合其要求。</w:t>
      </w:r>
    </w:p>
    <w:p>
      <w:pPr>
        <w:spacing w:line="360" w:lineRule="auto"/>
        <w:rPr>
          <w:rFonts w:hint="eastAsia" w:ascii="宋体" w:hAnsi="宋体" w:eastAsia="宋体" w:cs="宋体"/>
          <w:b/>
          <w:sz w:val="24"/>
        </w:rPr>
      </w:pPr>
    </w:p>
    <w:p>
      <w:pPr>
        <w:pStyle w:val="39"/>
        <w:spacing w:before="0" w:after="0" w:line="360" w:lineRule="auto"/>
        <w:rPr>
          <w:rFonts w:hint="eastAsia" w:ascii="宋体" w:hAnsi="宋体" w:eastAsia="宋体" w:cs="宋体"/>
          <w:color w:val="000000"/>
          <w:highlight w:val="yellow"/>
        </w:rPr>
      </w:pPr>
      <w:r>
        <w:rPr>
          <w:rFonts w:hint="eastAsia" w:ascii="宋体" w:hAnsi="宋体" w:eastAsia="宋体" w:cs="宋体"/>
        </w:rPr>
        <w:br w:type="page"/>
      </w:r>
      <w:bookmarkStart w:id="105" w:name="_Toc504987201"/>
      <w:bookmarkStart w:id="106" w:name="_Toc3704"/>
      <w:bookmarkStart w:id="107" w:name="_Toc504988300"/>
      <w:bookmarkStart w:id="108" w:name="_Toc504991345"/>
      <w:bookmarkStart w:id="109" w:name="_Toc21051"/>
      <w:r>
        <w:rPr>
          <w:rFonts w:hint="eastAsia" w:ascii="宋体" w:hAnsi="宋体" w:eastAsia="宋体" w:cs="宋体"/>
          <w:color w:val="000000"/>
        </w:rPr>
        <w:t>第三章  供应商资格条件要求</w:t>
      </w:r>
      <w:bookmarkEnd w:id="105"/>
      <w:bookmarkEnd w:id="106"/>
      <w:bookmarkEnd w:id="107"/>
      <w:bookmarkEnd w:id="108"/>
      <w:bookmarkEnd w:id="109"/>
    </w:p>
    <w:p>
      <w:pPr>
        <w:spacing w:line="360" w:lineRule="auto"/>
        <w:ind w:firstLine="542" w:firstLineChars="225"/>
        <w:rPr>
          <w:rFonts w:hint="eastAsia" w:ascii="宋体" w:hAnsi="宋体" w:eastAsia="宋体" w:cs="宋体"/>
          <w:b/>
          <w:bCs/>
          <w:sz w:val="24"/>
        </w:rPr>
      </w:pPr>
      <w:r>
        <w:rPr>
          <w:rFonts w:hint="eastAsia" w:ascii="宋体" w:hAnsi="宋体" w:eastAsia="宋体" w:cs="宋体"/>
          <w:b/>
          <w:bCs/>
          <w:sz w:val="24"/>
        </w:rPr>
        <w:t>一、参加谈判的供应商应具备下列资格条件：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（一）《中华人民共和国政府采购法》第二十二条规定的条件：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2、具有良好的商业信誉和健全的财务会计制度；</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5、参加本次政府采购活动前三年内，在经营活动中没有重大违法记录；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6、法律、行政法规规定的其他条件。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（二）根据采购项目提出的</w:t>
      </w:r>
      <w:r>
        <w:rPr>
          <w:rFonts w:hint="eastAsia" w:ascii="宋体" w:hAnsi="宋体" w:eastAsia="宋体" w:cs="宋体"/>
          <w:sz w:val="24"/>
          <w:lang w:eastAsia="zh-CN"/>
        </w:rPr>
        <w:t>其他</w:t>
      </w:r>
      <w:r>
        <w:rPr>
          <w:rFonts w:hint="eastAsia" w:ascii="宋体" w:hAnsi="宋体" w:eastAsia="宋体" w:cs="宋体"/>
          <w:sz w:val="24"/>
        </w:rPr>
        <w:t>条件：</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若供应商为危险化学品经营单位需提供有效期内的《危险化学品经营许可证》（如国家另有规定，则适用其规定）；若供应商为危险化学品生产单位需提供有效期内《危险化学品安全生产许可证》（如国家另有规定，则适用其规定）</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2、本项目专门面向中小企业采购(监狱企业、残疾人福利性单位均视同小微企业)，非中小企业参与的将视为无效投标。</w:t>
      </w:r>
    </w:p>
    <w:p>
      <w:pPr>
        <w:spacing w:line="360" w:lineRule="auto"/>
        <w:ind w:left="239" w:leftChars="114"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3、本项目参加政府采购活动的供应商、法定代表人/主要负责人近3年内不得具有行贿犯罪记录。</w:t>
      </w:r>
    </w:p>
    <w:p>
      <w:pPr>
        <w:spacing w:line="360" w:lineRule="auto"/>
        <w:ind w:left="239" w:leftChars="114" w:firstLine="240" w:firstLineChars="100"/>
        <w:rPr>
          <w:rFonts w:hint="eastAsia" w:ascii="宋体" w:hAnsi="宋体" w:eastAsia="宋体" w:cs="宋体"/>
          <w:sz w:val="24"/>
        </w:rPr>
      </w:pPr>
      <w:r>
        <w:rPr>
          <w:rFonts w:hint="eastAsia" w:ascii="宋体" w:hAnsi="宋体" w:cs="宋体"/>
          <w:kern w:val="0"/>
          <w:sz w:val="24"/>
          <w:highlight w:val="none"/>
          <w:lang w:val="en-US" w:eastAsia="zh-CN"/>
        </w:rPr>
        <w:t xml:space="preserve">  4、</w:t>
      </w:r>
      <w:r>
        <w:rPr>
          <w:rFonts w:hint="eastAsia" w:ascii="宋体" w:hAnsi="宋体" w:eastAsia="宋体" w:cs="宋体"/>
          <w:sz w:val="24"/>
          <w:highlight w:val="none"/>
        </w:rPr>
        <w:t>本项目</w:t>
      </w:r>
      <w:r>
        <w:rPr>
          <w:rFonts w:hint="eastAsia" w:ascii="宋体" w:hAnsi="宋体" w:cs="宋体"/>
          <w:sz w:val="24"/>
          <w:highlight w:val="none"/>
          <w:u w:val="single"/>
          <w:lang w:val="en-US" w:eastAsia="zh-CN"/>
        </w:rPr>
        <w:t xml:space="preserve"> </w:t>
      </w:r>
      <w:r>
        <w:rPr>
          <w:rFonts w:hint="eastAsia" w:ascii="宋体" w:hAnsi="宋体" w:eastAsia="宋体" w:cs="宋体"/>
          <w:b/>
          <w:sz w:val="24"/>
          <w:highlight w:val="none"/>
          <w:u w:val="single"/>
        </w:rPr>
        <w:t xml:space="preserve">不接受 </w:t>
      </w:r>
      <w:r>
        <w:rPr>
          <w:rFonts w:hint="eastAsia" w:ascii="宋体" w:hAnsi="宋体" w:eastAsia="宋体" w:cs="宋体"/>
          <w:sz w:val="24"/>
          <w:highlight w:val="none"/>
        </w:rPr>
        <w:t>联合体</w:t>
      </w:r>
      <w:r>
        <w:rPr>
          <w:rFonts w:hint="eastAsia" w:ascii="宋体" w:hAnsi="宋体" w:cs="宋体"/>
          <w:sz w:val="24"/>
          <w:highlight w:val="none"/>
          <w:lang w:eastAsia="zh-CN"/>
        </w:rPr>
        <w:t>参与谈判活动</w:t>
      </w:r>
      <w:r>
        <w:rPr>
          <w:rFonts w:hint="eastAsia" w:ascii="宋体" w:hAnsi="宋体" w:eastAsia="宋体" w:cs="宋体"/>
          <w:sz w:val="24"/>
          <w:highlight w:val="none"/>
        </w:rPr>
        <w:t>。</w:t>
      </w:r>
    </w:p>
    <w:p>
      <w:pPr>
        <w:pStyle w:val="96"/>
        <w:ind w:firstLine="602" w:firstLineChars="250"/>
        <w:rPr>
          <w:rFonts w:hint="eastAsia" w:ascii="宋体" w:hAnsi="宋体" w:eastAsia="宋体" w:cs="宋体"/>
          <w:b/>
          <w:bCs/>
          <w:sz w:val="24"/>
          <w:szCs w:val="22"/>
        </w:rPr>
      </w:pPr>
      <w:r>
        <w:rPr>
          <w:rFonts w:hint="eastAsia" w:ascii="宋体" w:hAnsi="宋体" w:eastAsia="宋体" w:cs="宋体"/>
          <w:b/>
          <w:bCs/>
          <w:sz w:val="24"/>
          <w:szCs w:val="22"/>
        </w:rPr>
        <w:t>二、严禁参加本次采购活动的供应商</w:t>
      </w:r>
    </w:p>
    <w:p>
      <w:pPr>
        <w:pStyle w:val="96"/>
        <w:ind w:firstLine="600" w:firstLineChars="250"/>
        <w:rPr>
          <w:rFonts w:hint="eastAsia" w:ascii="宋体" w:hAnsi="宋体" w:eastAsia="宋体" w:cs="宋体"/>
          <w:sz w:val="24"/>
          <w:szCs w:val="22"/>
        </w:rPr>
      </w:pPr>
      <w:r>
        <w:rPr>
          <w:rFonts w:hint="eastAsia" w:ascii="宋体" w:hAnsi="宋体" w:eastAsia="宋体" w:cs="宋体"/>
          <w:sz w:val="24"/>
        </w:rPr>
        <w:t>根据《财政部关于在政府采购活动中查询及使用信用记录的通知》（财库[2016]125号）的要求，截止至递交响应文件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spacing w:line="360" w:lineRule="auto"/>
        <w:ind w:firstLine="420" w:firstLineChars="200"/>
        <w:rPr>
          <w:rFonts w:hint="eastAsia" w:ascii="宋体" w:hAnsi="宋体" w:eastAsia="宋体" w:cs="宋体"/>
          <w:szCs w:val="21"/>
        </w:rPr>
      </w:pP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省外供应商参加四川省政府采购项目，较大数额的标准应以作出行政处罚地域的政府规定为准。</w:t>
      </w:r>
    </w:p>
    <w:p>
      <w:pPr>
        <w:pStyle w:val="39"/>
        <w:spacing w:before="0" w:after="0" w:line="360" w:lineRule="auto"/>
        <w:rPr>
          <w:rFonts w:hint="eastAsia" w:ascii="宋体" w:hAnsi="宋体" w:eastAsia="宋体" w:cs="宋体"/>
        </w:rPr>
      </w:pPr>
      <w:r>
        <w:rPr>
          <w:rFonts w:hint="eastAsia" w:ascii="宋体" w:hAnsi="宋体" w:eastAsia="宋体" w:cs="宋体"/>
        </w:rPr>
        <w:br w:type="page"/>
      </w:r>
      <w:bookmarkStart w:id="110" w:name="_Toc504991346"/>
      <w:bookmarkStart w:id="111" w:name="_Toc13210"/>
      <w:bookmarkStart w:id="112" w:name="_Toc504988301"/>
      <w:bookmarkStart w:id="113" w:name="_Toc504987202"/>
      <w:bookmarkStart w:id="114" w:name="_Toc2251"/>
      <w:r>
        <w:rPr>
          <w:rFonts w:hint="eastAsia" w:ascii="宋体" w:hAnsi="宋体" w:eastAsia="宋体" w:cs="宋体"/>
        </w:rPr>
        <w:t>第四章  供应商资格证明材料</w:t>
      </w:r>
      <w:bookmarkEnd w:id="110"/>
      <w:bookmarkEnd w:id="111"/>
      <w:bookmarkEnd w:id="112"/>
      <w:bookmarkEnd w:id="113"/>
      <w:bookmarkEnd w:id="114"/>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一、供应商应提交的资格证明材料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r>
        <w:rPr>
          <w:rFonts w:hint="eastAsia" w:ascii="宋体" w:hAnsi="宋体" w:eastAsia="宋体" w:cs="宋体"/>
          <w:b/>
          <w:bCs/>
          <w:sz w:val="24"/>
        </w:rPr>
        <w:t>注：①供应商若为企业法人：提供“统一社会信用代码营业执照”；未换证的提供“营业执照、税务登记证、组织机构代码证”；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（2）具有良好的商业信誉；【</w:t>
      </w:r>
      <w:r>
        <w:rPr>
          <w:rFonts w:hint="eastAsia" w:ascii="宋体" w:hAnsi="宋体" w:eastAsia="宋体" w:cs="宋体"/>
          <w:b/>
          <w:bCs/>
          <w:sz w:val="24"/>
        </w:rPr>
        <w:t>注：可提供承诺函，详见第六章格式1-</w:t>
      </w: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（3）具有健全的财务会计制度；【</w:t>
      </w:r>
      <w:r>
        <w:rPr>
          <w:rFonts w:hint="eastAsia" w:ascii="宋体" w:hAnsi="宋体" w:eastAsia="宋体" w:cs="宋体"/>
          <w:b/>
          <w:bCs/>
          <w:sz w:val="24"/>
        </w:rPr>
        <w:t>注：①可提供201</w:t>
      </w:r>
      <w:r>
        <w:rPr>
          <w:rFonts w:hint="eastAsia" w:ascii="宋体" w:hAnsi="宋体" w:eastAsia="宋体" w:cs="宋体"/>
          <w:b/>
          <w:bCs/>
          <w:sz w:val="24"/>
          <w:lang w:val="en-US" w:eastAsia="zh-CN"/>
        </w:rPr>
        <w:t>9</w:t>
      </w:r>
      <w:r>
        <w:rPr>
          <w:rFonts w:hint="eastAsia" w:ascii="宋体" w:hAnsi="宋体" w:eastAsia="宋体" w:cs="宋体"/>
          <w:b/>
          <w:bCs/>
          <w:sz w:val="24"/>
        </w:rPr>
        <w:t>年度或20</w:t>
      </w:r>
      <w:r>
        <w:rPr>
          <w:rFonts w:hint="eastAsia" w:ascii="宋体" w:hAnsi="宋体" w:eastAsia="宋体" w:cs="宋体"/>
          <w:b/>
          <w:bCs/>
          <w:sz w:val="24"/>
          <w:lang w:val="en-US" w:eastAsia="zh-CN"/>
        </w:rPr>
        <w:t>20</w:t>
      </w:r>
      <w:r>
        <w:rPr>
          <w:rFonts w:hint="eastAsia" w:ascii="宋体" w:hAnsi="宋体" w:eastAsia="宋体" w:cs="宋体"/>
          <w:b/>
          <w:bCs/>
          <w:sz w:val="24"/>
        </w:rPr>
        <w:t>年度经审计的财务报告复印件（包含审计报告和审计报告中所涉及的财务报表和报表附注），也可提供20</w:t>
      </w:r>
      <w:r>
        <w:rPr>
          <w:rFonts w:hint="eastAsia" w:ascii="宋体" w:hAnsi="宋体" w:eastAsia="宋体" w:cs="宋体"/>
          <w:b/>
          <w:bCs/>
          <w:sz w:val="24"/>
          <w:lang w:val="en-US" w:eastAsia="zh-CN"/>
        </w:rPr>
        <w:t>20</w:t>
      </w:r>
      <w:r>
        <w:rPr>
          <w:rFonts w:hint="eastAsia" w:ascii="宋体" w:hAnsi="宋体" w:eastAsia="宋体" w:cs="宋体"/>
          <w:b/>
          <w:bCs/>
          <w:sz w:val="24"/>
        </w:rPr>
        <w:t>年度供应商内部的财务报表复印件（至少包括资产负债表），也可提供距文件递交截止日一年内银行出具的资信证明（复印件），②供应商注册时间至文件递交截止日不足一年的，也可提供在工商备案的公司章程（复印件）或相应时间的财务报表。</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（4）具有履行合同所必须的设备和专业技术能力；【</w:t>
      </w:r>
      <w:r>
        <w:rPr>
          <w:rFonts w:hint="eastAsia" w:ascii="宋体" w:hAnsi="宋体" w:eastAsia="宋体" w:cs="宋体"/>
          <w:b/>
          <w:bCs/>
          <w:sz w:val="24"/>
        </w:rPr>
        <w:t>注：可提供承诺函，详见第六章格式1-</w:t>
      </w: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（5）具有依法缴纳税收和社会保障资金的良好记录；【</w:t>
      </w:r>
      <w:r>
        <w:rPr>
          <w:rFonts w:hint="eastAsia" w:ascii="宋体" w:hAnsi="宋体" w:eastAsia="宋体" w:cs="宋体"/>
          <w:b/>
          <w:bCs/>
          <w:sz w:val="24"/>
        </w:rPr>
        <w:t>注：①提供供应商缴纳202</w:t>
      </w:r>
      <w:r>
        <w:rPr>
          <w:rFonts w:hint="eastAsia" w:ascii="宋体" w:hAnsi="宋体" w:cs="宋体"/>
          <w:b/>
          <w:bCs/>
          <w:sz w:val="24"/>
          <w:lang w:val="en-US" w:eastAsia="zh-CN"/>
        </w:rPr>
        <w:t>1</w:t>
      </w:r>
      <w:r>
        <w:rPr>
          <w:rFonts w:hint="eastAsia" w:ascii="宋体" w:hAnsi="宋体" w:eastAsia="宋体" w:cs="宋体"/>
          <w:b/>
          <w:bCs/>
          <w:sz w:val="24"/>
        </w:rPr>
        <w:t>年</w:t>
      </w:r>
      <w:r>
        <w:rPr>
          <w:rFonts w:hint="eastAsia" w:ascii="宋体" w:hAnsi="宋体" w:cs="宋体"/>
          <w:b/>
          <w:bCs/>
          <w:sz w:val="24"/>
          <w:lang w:val="en-US" w:eastAsia="zh-CN"/>
        </w:rPr>
        <w:t>1</w:t>
      </w:r>
      <w:r>
        <w:rPr>
          <w:rFonts w:hint="eastAsia" w:ascii="宋体" w:hAnsi="宋体" w:eastAsia="宋体" w:cs="宋体"/>
          <w:b/>
          <w:bCs/>
          <w:sz w:val="24"/>
        </w:rPr>
        <w:t>月1日以来任意三个月缴纳税收的银行电子回单或者税务部门出具的纳税证明或完税证明材料的复印件，或提供承诺函，格式详见第六章格式1-</w:t>
      </w:r>
      <w:r>
        <w:rPr>
          <w:rFonts w:hint="eastAsia" w:ascii="宋体" w:hAnsi="宋体" w:cs="宋体"/>
          <w:b/>
          <w:bCs/>
          <w:sz w:val="24"/>
          <w:lang w:val="en-US" w:eastAsia="zh-CN"/>
        </w:rPr>
        <w:t>6</w:t>
      </w:r>
      <w:r>
        <w:rPr>
          <w:rFonts w:hint="eastAsia" w:ascii="宋体" w:hAnsi="宋体" w:eastAsia="宋体" w:cs="宋体"/>
          <w:b/>
          <w:bCs/>
          <w:sz w:val="24"/>
        </w:rPr>
        <w:t>。②提供供应商缴纳202</w:t>
      </w:r>
      <w:r>
        <w:rPr>
          <w:rFonts w:hint="eastAsia" w:ascii="宋体" w:hAnsi="宋体" w:cs="宋体"/>
          <w:b/>
          <w:bCs/>
          <w:sz w:val="24"/>
          <w:lang w:val="en-US" w:eastAsia="zh-CN"/>
        </w:rPr>
        <w:t>1</w:t>
      </w:r>
      <w:r>
        <w:rPr>
          <w:rFonts w:hint="eastAsia" w:ascii="宋体" w:hAnsi="宋体" w:eastAsia="宋体" w:cs="宋体"/>
          <w:b/>
          <w:bCs/>
          <w:sz w:val="24"/>
        </w:rPr>
        <w:t>年</w:t>
      </w:r>
      <w:r>
        <w:rPr>
          <w:rFonts w:hint="eastAsia" w:ascii="宋体" w:hAnsi="宋体" w:cs="宋体"/>
          <w:b/>
          <w:bCs/>
          <w:sz w:val="24"/>
          <w:lang w:val="en-US" w:eastAsia="zh-CN"/>
        </w:rPr>
        <w:t>1</w:t>
      </w:r>
      <w:r>
        <w:rPr>
          <w:rFonts w:hint="eastAsia" w:ascii="宋体" w:hAnsi="宋体" w:eastAsia="宋体" w:cs="宋体"/>
          <w:b/>
          <w:bCs/>
          <w:sz w:val="24"/>
        </w:rPr>
        <w:t>月1日以来任意三个月的缴纳社保的银行电子回单或社保部门出具的社保缴纳证明材料复印件，或提供承诺函</w:t>
      </w:r>
      <w:r>
        <w:rPr>
          <w:rFonts w:hint="eastAsia" w:ascii="宋体" w:hAnsi="宋体" w:eastAsia="宋体" w:cs="宋体"/>
          <w:b/>
          <w:bCs/>
          <w:sz w:val="24"/>
          <w:lang w:val="zh-CN"/>
        </w:rPr>
        <w:t>，格式详见</w:t>
      </w:r>
      <w:r>
        <w:rPr>
          <w:rFonts w:hint="eastAsia" w:ascii="宋体" w:hAnsi="宋体" w:eastAsia="宋体" w:cs="宋体"/>
          <w:b/>
          <w:bCs/>
          <w:sz w:val="24"/>
        </w:rPr>
        <w:t>第六章格式1-</w:t>
      </w: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w:t>
      </w:r>
    </w:p>
    <w:p>
      <w:pPr>
        <w:spacing w:line="360" w:lineRule="auto"/>
        <w:ind w:firstLine="480"/>
        <w:rPr>
          <w:rFonts w:hint="eastAsia" w:ascii="宋体" w:hAnsi="宋体" w:eastAsia="宋体" w:cs="宋体"/>
          <w:sz w:val="24"/>
          <w:szCs w:val="22"/>
        </w:rPr>
      </w:pPr>
      <w:r>
        <w:rPr>
          <w:rFonts w:hint="eastAsia" w:ascii="宋体" w:hAnsi="宋体" w:eastAsia="宋体" w:cs="宋体"/>
          <w:sz w:val="24"/>
        </w:rPr>
        <w:t>（6）</w:t>
      </w:r>
      <w:r>
        <w:rPr>
          <w:rFonts w:hint="eastAsia" w:ascii="宋体" w:hAnsi="宋体" w:eastAsia="宋体" w:cs="宋体"/>
          <w:sz w:val="24"/>
          <w:szCs w:val="22"/>
        </w:rPr>
        <w:t>参加本次采购活动前三年内，在经营活动中没有重大违法记录；</w:t>
      </w:r>
      <w:r>
        <w:rPr>
          <w:rFonts w:hint="eastAsia" w:ascii="宋体" w:hAnsi="宋体" w:eastAsia="宋体" w:cs="宋体"/>
          <w:sz w:val="24"/>
        </w:rPr>
        <w:t>【</w:t>
      </w:r>
      <w:r>
        <w:rPr>
          <w:rFonts w:hint="eastAsia" w:ascii="宋体" w:hAnsi="宋体" w:eastAsia="宋体" w:cs="宋体"/>
          <w:b/>
          <w:bCs/>
          <w:sz w:val="24"/>
        </w:rPr>
        <w:t>注：可提供承诺函，详见第六章格式1-</w:t>
      </w: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（7）本项目参加采购活动的供应商在前三年内不得具有行贿犯罪记录；【</w:t>
      </w:r>
      <w:r>
        <w:rPr>
          <w:rFonts w:hint="eastAsia" w:ascii="宋体" w:hAnsi="宋体" w:eastAsia="宋体" w:cs="宋体"/>
          <w:b/>
          <w:bCs/>
          <w:sz w:val="24"/>
        </w:rPr>
        <w:t>注：可提供承诺函，详见第六章格式1-</w:t>
      </w: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（8）具备法律、行政法规规定的其他条件的证明材料；【</w:t>
      </w:r>
      <w:r>
        <w:rPr>
          <w:rFonts w:hint="eastAsia" w:ascii="宋体" w:hAnsi="宋体" w:eastAsia="宋体" w:cs="宋体"/>
          <w:b/>
          <w:bCs/>
          <w:sz w:val="24"/>
        </w:rPr>
        <w:t>注：可提供承诺函，详见第六章格式1-</w:t>
      </w:r>
      <w:r>
        <w:rPr>
          <w:rFonts w:hint="eastAsia" w:ascii="宋体" w:hAnsi="宋体" w:eastAsia="宋体" w:cs="宋体"/>
          <w:b/>
          <w:bCs/>
          <w:sz w:val="24"/>
          <w:lang w:val="en-US" w:eastAsia="zh-CN"/>
        </w:rPr>
        <w:t>6</w:t>
      </w:r>
      <w:r>
        <w:rPr>
          <w:rFonts w:hint="eastAsia" w:ascii="宋体" w:hAnsi="宋体" w:eastAsia="宋体" w:cs="宋体"/>
          <w:sz w:val="24"/>
        </w:rPr>
        <w:t>】</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）法定代表人/单位负责人身份证明书原件及法定代表人/单位负责人有效身份证复印件；</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）法定代表人/单位负责人授权书原件；【注：</w:t>
      </w:r>
      <w:r>
        <w:rPr>
          <w:rFonts w:hint="eastAsia" w:ascii="宋体" w:hAnsi="宋体" w:eastAsia="宋体" w:cs="宋体"/>
          <w:b/>
          <w:bCs/>
          <w:sz w:val="24"/>
          <w:highlight w:val="none"/>
        </w:rPr>
        <w:t>①附法定代表人/单位负责人身份证明材料复印件；②法定代表人/单位负责人参与谈判时不需要提供</w:t>
      </w:r>
      <w:r>
        <w:rPr>
          <w:rFonts w:hint="eastAsia" w:ascii="宋体" w:hAnsi="宋体" w:eastAsia="宋体" w:cs="宋体"/>
          <w:sz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1</w:t>
      </w:r>
      <w:r>
        <w:rPr>
          <w:rFonts w:hint="eastAsia" w:ascii="宋体" w:hAnsi="宋体" w:eastAsia="宋体" w:cs="宋体"/>
          <w:sz w:val="24"/>
          <w:highlight w:val="none"/>
        </w:rPr>
        <w:t>）本项目专门面向中小企业采购(监狱企业、残疾人福利性单位均视同小微企业)，所投产品制造商为非中小企业的将视为无效投标。</w:t>
      </w:r>
      <w:r>
        <w:rPr>
          <w:rFonts w:hint="eastAsia" w:ascii="宋体" w:hAnsi="宋体" w:eastAsia="宋体" w:cs="宋体"/>
          <w:sz w:val="24"/>
          <w:highlight w:val="none"/>
          <w:lang w:eastAsia="zh-CN"/>
        </w:rPr>
        <w:t>【</w:t>
      </w: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sz w:val="24"/>
          <w:highlight w:val="none"/>
        </w:rPr>
        <w:t>提供中小企业声明函</w:t>
      </w:r>
      <w:r>
        <w:rPr>
          <w:rFonts w:hint="eastAsia" w:ascii="宋体" w:hAnsi="宋体" w:eastAsia="宋体" w:cs="宋体"/>
          <w:b/>
          <w:bCs/>
          <w:sz w:val="24"/>
          <w:highlight w:val="none"/>
          <w:lang w:eastAsia="zh-CN"/>
        </w:rPr>
        <w:t>或残疾人福利性单位声明函或监狱企业证明材料</w:t>
      </w:r>
      <w:r>
        <w:rPr>
          <w:rFonts w:hint="eastAsia" w:ascii="宋体" w:hAnsi="宋体" w:eastAsia="宋体" w:cs="宋体"/>
          <w:sz w:val="24"/>
          <w:highlight w:val="none"/>
          <w:lang w:eastAsia="zh-CN"/>
        </w:rPr>
        <w:t>】；</w:t>
      </w:r>
    </w:p>
    <w:p>
      <w:pPr>
        <w:pStyle w:val="183"/>
        <w:pageBreakBefore w:val="0"/>
        <w:widowControl w:val="0"/>
        <w:kinsoku/>
        <w:wordWrap/>
        <w:overflowPunct/>
        <w:topLinePunct w:val="0"/>
        <w:autoSpaceDE/>
        <w:autoSpaceDN/>
        <w:bidi w:val="0"/>
        <w:adjustRightInd/>
        <w:snapToGrid/>
        <w:spacing w:before="0" w:after="0" w:line="360" w:lineRule="auto"/>
        <w:ind w:firstLine="0"/>
        <w:textAlignment w:val="auto"/>
        <w:outlineLvl w:val="9"/>
        <w:rPr>
          <w:rFonts w:hint="eastAsia"/>
        </w:rPr>
      </w:pPr>
      <w:r>
        <w:rPr>
          <w:rFonts w:hint="eastAsia" w:ascii="宋体" w:hAnsi="宋体" w:eastAsia="宋体" w:cs="宋体"/>
          <w:b w:val="0"/>
          <w:kern w:val="2"/>
          <w:sz w:val="24"/>
          <w:szCs w:val="24"/>
          <w:highlight w:val="none"/>
          <w:lang w:val="en-US" w:eastAsia="zh-CN" w:bidi="ar-SA"/>
        </w:rPr>
        <w:t xml:space="preserve">   （12）若供应商为危险化学品经营单位需提供有效期内的《危险化学品经营许可证》（如国家另有规定，则适用其规定）；若供应商为危险化学品生产单位需提供有效期内《危险化学品安全生产许可证》（如国家另有规定，则适用其规定）</w:t>
      </w:r>
      <w:r>
        <w:rPr>
          <w:rFonts w:hint="eastAsia" w:ascii="宋体" w:hAnsi="宋体" w:eastAsia="宋体" w:cs="宋体"/>
          <w:sz w:val="24"/>
          <w:highlight w:val="none"/>
          <w:lang w:eastAsia="zh-CN"/>
        </w:rPr>
        <w:t>【</w:t>
      </w: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sz w:val="24"/>
          <w:highlight w:val="none"/>
          <w:lang w:eastAsia="zh-CN"/>
        </w:rPr>
        <w:t>提供相关证书复印件加盖供应商公章</w:t>
      </w:r>
      <w:r>
        <w:rPr>
          <w:rFonts w:hint="eastAsia" w:ascii="宋体" w:hAnsi="宋体" w:eastAsia="宋体" w:cs="宋体"/>
          <w:sz w:val="24"/>
          <w:highlight w:val="none"/>
          <w:lang w:eastAsia="zh-CN"/>
        </w:rPr>
        <w:t>】；</w:t>
      </w:r>
    </w:p>
    <w:p>
      <w:pPr>
        <w:spacing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13</w:t>
      </w:r>
      <w:r>
        <w:rPr>
          <w:rFonts w:hint="eastAsia" w:ascii="宋体" w:hAnsi="宋体" w:eastAsia="宋体" w:cs="宋体"/>
          <w:sz w:val="24"/>
        </w:rPr>
        <w:t>）被授权代表的身份证复印件。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14</w:t>
      </w:r>
      <w:r>
        <w:rPr>
          <w:rFonts w:hint="eastAsia" w:ascii="宋体" w:hAnsi="宋体" w:eastAsia="宋体" w:cs="宋体"/>
          <w:color w:val="000000"/>
          <w:sz w:val="24"/>
        </w:rPr>
        <w:t>）供应商认为有必要提供的其他资格证明材料。</w:t>
      </w:r>
    </w:p>
    <w:p>
      <w:pPr>
        <w:spacing w:line="360" w:lineRule="auto"/>
        <w:ind w:firstLine="480" w:firstLineChars="200"/>
        <w:rPr>
          <w:rFonts w:hint="eastAsia" w:ascii="宋体" w:hAnsi="宋体" w:eastAsia="宋体" w:cs="宋体"/>
          <w:color w:val="000000"/>
          <w:sz w:val="24"/>
        </w:rPr>
      </w:pPr>
    </w:p>
    <w:p>
      <w:pPr>
        <w:spacing w:line="360" w:lineRule="auto"/>
        <w:ind w:firstLine="480"/>
        <w:rPr>
          <w:rFonts w:hint="eastAsia" w:ascii="宋体" w:hAnsi="宋体" w:eastAsia="宋体" w:cs="宋体"/>
          <w:sz w:val="24"/>
        </w:rPr>
      </w:pPr>
    </w:p>
    <w:p>
      <w:pPr>
        <w:spacing w:line="360" w:lineRule="auto"/>
        <w:ind w:firstLine="211" w:firstLineChars="100"/>
        <w:rPr>
          <w:rFonts w:hint="eastAsia" w:ascii="宋体" w:hAnsi="宋体" w:eastAsia="宋体" w:cs="宋体"/>
          <w:b/>
          <w:bCs/>
          <w:szCs w:val="21"/>
        </w:rPr>
      </w:pPr>
      <w:r>
        <w:rPr>
          <w:rFonts w:hint="eastAsia" w:ascii="宋体" w:hAnsi="宋体" w:eastAsia="宋体" w:cs="宋体"/>
          <w:b/>
          <w:bCs/>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firstLine="211" w:firstLineChars="100"/>
        <w:rPr>
          <w:rFonts w:hint="eastAsia" w:ascii="宋体" w:hAnsi="宋体" w:eastAsia="宋体" w:cs="宋体"/>
          <w:b/>
          <w:bCs/>
          <w:szCs w:val="21"/>
        </w:rPr>
      </w:pPr>
      <w:r>
        <w:rPr>
          <w:rFonts w:hint="eastAsia" w:ascii="宋体" w:hAnsi="宋体" w:eastAsia="宋体" w:cs="宋体"/>
          <w:b/>
          <w:bCs/>
          <w:szCs w:val="21"/>
        </w:rPr>
        <w:t>2.本章要求提供的相关证明材料应当结合采购项目具体情况和供应商的组织机构性质确定，不得一概而论。</w:t>
      </w:r>
    </w:p>
    <w:p>
      <w:pPr>
        <w:spacing w:line="360" w:lineRule="auto"/>
        <w:ind w:firstLine="211" w:firstLineChars="100"/>
        <w:rPr>
          <w:rFonts w:hint="eastAsia" w:ascii="宋体" w:hAnsi="宋体" w:eastAsia="宋体" w:cs="宋体"/>
          <w:b/>
          <w:bCs/>
          <w:szCs w:val="21"/>
        </w:rPr>
      </w:pPr>
      <w:r>
        <w:rPr>
          <w:rFonts w:hint="eastAsia" w:ascii="宋体" w:hAnsi="宋体" w:eastAsia="宋体" w:cs="宋体"/>
          <w:b/>
          <w:bCs/>
          <w:szCs w:val="21"/>
        </w:rPr>
        <w:t>3.供应商提供的以上资格证明材料为复印件的均应加盖供应商公章(鲜章)。</w:t>
      </w:r>
    </w:p>
    <w:p>
      <w:pPr>
        <w:spacing w:line="360" w:lineRule="auto"/>
        <w:ind w:firstLine="211" w:firstLineChars="100"/>
        <w:rPr>
          <w:rFonts w:hint="eastAsia" w:ascii="宋体" w:hAnsi="宋体" w:eastAsia="宋体" w:cs="宋体"/>
          <w:b/>
          <w:bCs/>
          <w:szCs w:val="21"/>
        </w:rPr>
      </w:pPr>
      <w:r>
        <w:rPr>
          <w:rFonts w:hint="eastAsia" w:ascii="宋体" w:hAnsi="宋体" w:eastAsia="宋体" w:cs="宋体"/>
          <w:b/>
          <w:bCs/>
          <w:szCs w:val="21"/>
        </w:rPr>
        <w:t>4. 本章要求按第六章格式1-</w:t>
      </w:r>
      <w:r>
        <w:rPr>
          <w:rFonts w:hint="eastAsia" w:ascii="宋体" w:hAnsi="宋体" w:eastAsia="宋体" w:cs="宋体"/>
          <w:b/>
          <w:bCs/>
          <w:szCs w:val="21"/>
          <w:lang w:val="en-US" w:eastAsia="zh-CN"/>
        </w:rPr>
        <w:t>6</w:t>
      </w:r>
      <w:r>
        <w:rPr>
          <w:rFonts w:hint="eastAsia" w:ascii="宋体" w:hAnsi="宋体" w:eastAsia="宋体" w:cs="宋体"/>
          <w:b/>
          <w:bCs/>
          <w:szCs w:val="21"/>
        </w:rPr>
        <w:t>承诺函格式及要求提供书面承诺函原件的条款只需提供一份涵盖所有内容的承诺函，不需多份提供。</w:t>
      </w:r>
    </w:p>
    <w:p>
      <w:pPr>
        <w:pStyle w:val="39"/>
        <w:spacing w:before="0" w:after="0" w:line="360" w:lineRule="auto"/>
        <w:rPr>
          <w:rFonts w:hint="eastAsia" w:ascii="宋体" w:hAnsi="宋体" w:eastAsia="宋体" w:cs="宋体"/>
          <w:color w:val="000000"/>
          <w:sz w:val="28"/>
          <w:szCs w:val="28"/>
        </w:rPr>
      </w:pPr>
      <w:r>
        <w:rPr>
          <w:rFonts w:hint="eastAsia" w:ascii="宋体" w:hAnsi="宋体" w:eastAsia="宋体" w:cs="宋体"/>
        </w:rPr>
        <w:br w:type="page"/>
      </w:r>
      <w:bookmarkStart w:id="115" w:name="_Toc4082"/>
      <w:bookmarkStart w:id="116" w:name="_Toc3634"/>
      <w:bookmarkStart w:id="117" w:name="_Toc504987203"/>
      <w:bookmarkStart w:id="118" w:name="_Toc504991347"/>
      <w:bookmarkStart w:id="119" w:name="_Toc504988302"/>
      <w:r>
        <w:rPr>
          <w:rFonts w:hint="eastAsia" w:ascii="宋体" w:hAnsi="宋体" w:eastAsia="宋体" w:cs="宋体"/>
        </w:rPr>
        <w:t>第五章  采购项目技术、服务、</w:t>
      </w:r>
      <w:bookmarkStart w:id="120" w:name="_Hlk518391207"/>
      <w:r>
        <w:rPr>
          <w:rFonts w:hint="eastAsia" w:ascii="宋体" w:hAnsi="宋体" w:eastAsia="宋体" w:cs="宋体"/>
        </w:rPr>
        <w:t>采购合同内容条款及其他商务要求</w:t>
      </w:r>
      <w:bookmarkEnd w:id="115"/>
      <w:bookmarkEnd w:id="116"/>
      <w:bookmarkEnd w:id="117"/>
      <w:bookmarkEnd w:id="118"/>
      <w:bookmarkEnd w:id="119"/>
      <w:bookmarkEnd w:id="120"/>
    </w:p>
    <w:bookmarkEnd w:id="24"/>
    <w:bookmarkEnd w:id="25"/>
    <w:bookmarkEnd w:id="26"/>
    <w:bookmarkEnd w:id="27"/>
    <w:bookmarkEnd w:id="2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bookmarkStart w:id="121" w:name="_Toc504991348"/>
      <w:bookmarkStart w:id="122" w:name="_Toc504987204"/>
      <w:bookmarkStart w:id="123" w:name="_Toc504988303"/>
      <w:bookmarkStart w:id="124" w:name="_Toc217446057"/>
      <w:bookmarkStart w:id="125" w:name="_Toc183582232"/>
      <w:bookmarkStart w:id="126" w:name="_Toc183682369"/>
      <w:r>
        <w:rPr>
          <w:rFonts w:hint="eastAsia" w:ascii="宋体" w:hAnsi="宋体" w:eastAsia="宋体" w:cs="宋体"/>
          <w:b/>
          <w:bCs/>
          <w:sz w:val="28"/>
          <w:szCs w:val="28"/>
        </w:rPr>
        <w:t>一、项目概况</w:t>
      </w:r>
    </w:p>
    <w:p>
      <w:pPr>
        <w:pStyle w:val="9"/>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宋体" w:hAnsi="宋体" w:cs="宋体"/>
          <w:sz w:val="24"/>
          <w:lang w:val="en-US" w:eastAsia="zh-CN"/>
        </w:rPr>
      </w:pPr>
      <w:r>
        <w:rPr>
          <w:rFonts w:hint="eastAsia" w:ascii="宋体" w:hAnsi="宋体" w:eastAsia="宋体" w:cs="宋体"/>
          <w:sz w:val="24"/>
          <w:lang w:eastAsia="zh-CN"/>
        </w:rPr>
        <w:t xml:space="preserve"> 本次采购主要是为 2021年成都市新津区农产品质量安全监督检验检测耗材采购项目采购一家合格的供应商，本次采购预算为：45.15万元。</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采购清单及技术参数要求</w:t>
      </w:r>
    </w:p>
    <w:p>
      <w:pPr>
        <w:numPr>
          <w:ilvl w:val="0"/>
          <w:numId w:val="4"/>
        </w:num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采购清单</w:t>
      </w:r>
    </w:p>
    <w:tbl>
      <w:tblPr>
        <w:tblStyle w:val="42"/>
        <w:tblW w:w="10162" w:type="dxa"/>
        <w:jc w:val="center"/>
        <w:tblLayout w:type="fixed"/>
        <w:tblCellMar>
          <w:top w:w="0" w:type="dxa"/>
          <w:left w:w="108" w:type="dxa"/>
          <w:bottom w:w="0" w:type="dxa"/>
          <w:right w:w="108" w:type="dxa"/>
        </w:tblCellMar>
      </w:tblPr>
      <w:tblGrid>
        <w:gridCol w:w="700"/>
        <w:gridCol w:w="1421"/>
        <w:gridCol w:w="5698"/>
        <w:gridCol w:w="750"/>
        <w:gridCol w:w="796"/>
        <w:gridCol w:w="797"/>
      </w:tblGrid>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规格、技术参数要求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所属行业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药勺</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304不锈钢材质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双头加厚型；16cm、18cm、20cm、22cm规格各1支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药勺</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规格：22cm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304不锈钢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加长</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定量滤纸</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15cm中速，100张/盒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针头滤膜有机相</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13mm*0.22um，100个/盒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取样器</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5ml，200支/包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弗罗里硅柱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★1000mg/6ml，孔径75-90Å，粒径65-80um(需提供生产厂家加盖鲜章的针对本产品技术指标的证明材料)。</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★500mg/6ml，采取双封尾，粒径10-80um(需提供生产厂家加盖鲜章的针对本产品技术指标的证明材料)。</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氮吹仪针头</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4in*19ga，黄铜接头，12个/包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瓶口分液器</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量程：5-50mL;有机型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数字可调型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瓶口分液器</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量程：2.5-25mL;无机型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数字可调型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瓶口分液器</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量程：0.5-5mL;有机型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数字可调型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瓶口分液器</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量程：1-10mL，无机型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数字可调型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一次性吸管</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3mL，100支/袋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量程2ul-20ul，检定点在20ul时允许误差±0.8%；检定点在 10ul时允许误差±1.2%；检定点在2ul时允许误差±5%。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量程10ul-100ul，检定点在100ul时允许误差±0.6%；检定点在50ul时允许误差±0.8%；检定点在10ul时允许误差±3%。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量程20ul-200ul，检定点在200ul时允许误差±0.6%；检点在 100ul时允许误差±0.8%；检定点在20ul时允许误差±3%。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量程100ul-1000ul，检定点在1000ul时允许误差±0.6%；检定点在500ul时允许误差±0.8%；检定点在100ul时允许误差±3%。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量程500ul-5000ul，检定点在5000ul时允许误差±0.6%；检定点在2500ul时允许误差±0.8%；检定点在500ul时允许误差±3%。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量程1000ul-10000ul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检定点在10000ul时允许误差±0.6%；检定点在5000ul时允许误差±0.8%；检定点在1000u时允许误差±3%。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1000个/袋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无色透明</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1000个/袋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无色透明</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储液瓶(棕色)</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100个/盒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白盖</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特氟龙垫片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储液瓶(棕色)</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100个/盒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白盖</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特氟龙垫片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进样瓶</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100个/盒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透明带刻度</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蓝盖</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特氟龙垫片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50ml，螺口尖底</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50个/包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抽样袋</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低压本色背心袋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500*（350+60*2）*0.025mm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抽样袋</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低压本色背心袋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680*（420+90*2）*0.03mm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自封袋</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200mm*300mm*0.12双层加厚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自封袋</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180mm*250mm*0.12双层加厚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自封袋</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70mm*100mm*0.12双层加厚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菜刀</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304不锈钢材质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尺寸300×85mm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毛重390克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刃长18cm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开刃</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菜板</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大号，尺寸43cm*28.5cm*0.8cm，材质：塑料</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留样盒</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正方型，PP材质，尺寸9cm*9cm*4.5cm，容量300mL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液相色谱柱C18</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固定相C18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直径4.6mm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长度250mm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粒径5μm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孔径175Å</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表面积220m²/g</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最大压力5800psi(400bar)</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温度60°C</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反相</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封端。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液相色谱柱C8</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C8色谱柱，80Å，5µm，4.6mm*250mm，1/包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100%二甲基聚硅氧烷，非极性，对于低分子量醇类分析具有更佳的性能(&lt;C5)，温度上限高，键合交联，可用溶剂清洗，相当于USP固定相G2，内径0.32mm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长度30m，膜厚0.25μm，温度范围：-60℃至325/350℃，7英寸柱架。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(5%苯基)-甲基聚硅氧烷，非极性，温度上限高，键合交联，可用溶剂清洗，相当于USP固定相G27，内径0.32mm，长度30m，膜厚0.25μm，7英寸柱架，温度范围-60℃至350℃。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(35%-苯基)-甲基聚硅氧烷，中等极性，对活性化合物具有惰性，键合交联，可用溶剂清洗，相当于USP固定相G42，内径0.32mm，长度30m，膜厚0.25μm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温度范围40℃至300/320℃，7英寸柱架。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(14%-氰丙基 -苯基)-甲基聚硅氧烷，低/中等极性，经过键合交联处理，内径0.32mm，长度30m，膜厚0.25μm，7英寸柱架，温度范围-20℃至300℃。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气相色谱柱</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低的柱流失和弱极性，独特的选择性，对活性化合物分析表现出优异的惰性，适用于农药除草剂、多氯联苯和多环芳烃的分析，键合交联，可用溶剂清洗，内径0.32mm，长度30m，膜厚0.25μm，温度范围30℃至340/360℃，7英寸柱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0.05mol/NAOH溶液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OPA稀释溶液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领苯二甲醛</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巯基乙醇</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自动进样器用针</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适用AOC-20i</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S-0.63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固定针头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分流衬管</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5个/包</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分流衬管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惰性化处理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内附石英棉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不分流衬管</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5个/包</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不分流衬管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硅烷化处理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内含石英棉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洗液瓶垫</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Style w:val="185"/>
                <w:rFonts w:hint="eastAsia" w:ascii="宋体" w:hAnsi="宋体" w:eastAsia="宋体" w:cs="宋体"/>
                <w:sz w:val="21"/>
                <w:szCs w:val="21"/>
                <w:lang w:val="en-US" w:eastAsia="zh-CN" w:bidi="ar"/>
              </w:rPr>
              <w:t>4mL</w:t>
            </w:r>
            <w:r>
              <w:rPr>
                <w:rStyle w:val="185"/>
                <w:rFonts w:hint="eastAsia" w:ascii="宋体" w:hAnsi="宋体" w:cs="宋体"/>
                <w:sz w:val="21"/>
                <w:szCs w:val="21"/>
                <w:lang w:val="en-US" w:eastAsia="zh-CN" w:bidi="ar"/>
              </w:rPr>
              <w:t>，</w:t>
            </w:r>
            <w:r>
              <w:rPr>
                <w:rStyle w:val="185"/>
                <w:rFonts w:hint="eastAsia" w:ascii="宋体" w:hAnsi="宋体" w:eastAsia="宋体" w:cs="宋体"/>
                <w:sz w:val="21"/>
                <w:szCs w:val="21"/>
                <w:lang w:val="en-US" w:eastAsia="zh-CN" w:bidi="ar"/>
              </w:rPr>
              <w:t>50个/包</w:t>
            </w:r>
            <w:r>
              <w:rPr>
                <w:rStyle w:val="137"/>
                <w:rFonts w:hint="eastAsia" w:ascii="宋体" w:hAnsi="宋体" w:eastAsia="宋体" w:cs="宋体"/>
                <w:sz w:val="21"/>
                <w:szCs w:val="21"/>
                <w:lang w:val="en-US" w:eastAsia="zh-CN" w:bidi="ar"/>
              </w:rPr>
              <w:t xml:space="preserve">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洗液瓶</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50个/包</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含盖垫</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原子荧光进样杯</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15*95mm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PP材质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原子吸收进样杯</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20*12.4*11.5mm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PE材质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农残前处理提取净化包</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1.盐包50个：每个包含2gNaCl、2gMgSO4（颗粒状）；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2.15ml离心管和50ml离心管各50根；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★3.陶瓷均质子50粒；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★4.净化包50个：PSA（粒径40-60um，孔径60-70Å，比表面积570-590平方米/克）150mg，C18 150mg。(针对PSA技术指标需提供生产厂家加盖鲜章的证明材料)</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水产快检六合一试剂</w:t>
            </w:r>
          </w:p>
        </w:tc>
        <w:tc>
          <w:tcPr>
            <w:tcW w:w="56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宋体" w:hAnsi="宋体" w:eastAsia="宋体" w:cs="宋体"/>
                <w:i w:val="0"/>
                <w:iCs w:val="0"/>
                <w:color w:val="000000"/>
                <w:sz w:val="21"/>
                <w:szCs w:val="21"/>
                <w:u w:val="none"/>
              </w:rPr>
            </w:pPr>
            <w:r>
              <w:rPr>
                <w:rStyle w:val="185"/>
                <w:rFonts w:hint="eastAsia" w:ascii="宋体" w:hAnsi="宋体" w:eastAsia="宋体" w:cs="宋体"/>
                <w:sz w:val="21"/>
                <w:szCs w:val="21"/>
                <w:lang w:val="en-US" w:eastAsia="zh-CN" w:bidi="ar"/>
              </w:rPr>
              <w:t>1.本产品用于快速检测水产品组织中氯霉素、孔雀石绿、硝基呋喃类残留。</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2.规格：32样/盒。</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★3.各项检出限要求：氯霉素0.1ug/kg；孔雀石绿2ug/kg；硝基呋喃唑酮代谢物0.5ug/kg；硝基呋喃它酮代谢物0.5ug/kg；硝基呋喃妥因代谢物0.5ug/kg；硝基呋喃西林代谢物0.5ug/kg。</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★4.</w:t>
            </w:r>
            <w:r>
              <w:rPr>
                <w:rStyle w:val="176"/>
                <w:rFonts w:hint="eastAsia" w:ascii="宋体" w:hAnsi="宋体" w:eastAsia="宋体" w:cs="宋体"/>
                <w:sz w:val="21"/>
                <w:szCs w:val="21"/>
                <w:lang w:val="en-US" w:eastAsia="zh-CN" w:bidi="ar"/>
              </w:rPr>
              <w:t>试剂为同一品牌，样品前处理方法一致。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氧氟沙星快速检测试纸条</w:t>
            </w:r>
          </w:p>
        </w:tc>
        <w:tc>
          <w:tcPr>
            <w:tcW w:w="56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宋体" w:hAnsi="宋体" w:eastAsia="宋体" w:cs="宋体"/>
                <w:i w:val="0"/>
                <w:iCs w:val="0"/>
                <w:color w:val="000000"/>
                <w:sz w:val="21"/>
                <w:szCs w:val="21"/>
                <w:u w:val="none"/>
              </w:rPr>
            </w:pPr>
            <w:r>
              <w:rPr>
                <w:rStyle w:val="185"/>
                <w:rFonts w:hint="eastAsia" w:ascii="宋体" w:hAnsi="宋体" w:eastAsia="宋体" w:cs="宋体"/>
                <w:sz w:val="21"/>
                <w:szCs w:val="21"/>
                <w:lang w:val="en-US" w:eastAsia="zh-CN" w:bidi="ar"/>
              </w:rPr>
              <w:t>1.本产品用于快速检测畜禽、水产品组织中氧氟沙星残留。</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2.规格48样/盒；</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★3.检出限：2ug/kg。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喹诺酮类快速检测试纸条</w:t>
            </w:r>
          </w:p>
        </w:tc>
        <w:tc>
          <w:tcPr>
            <w:tcW w:w="56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宋体" w:hAnsi="宋体" w:eastAsia="宋体" w:cs="宋体"/>
                <w:i w:val="0"/>
                <w:iCs w:val="0"/>
                <w:color w:val="000000"/>
                <w:sz w:val="21"/>
                <w:szCs w:val="21"/>
                <w:u w:val="none"/>
              </w:rPr>
            </w:pPr>
            <w:r>
              <w:rPr>
                <w:rStyle w:val="185"/>
                <w:rFonts w:hint="eastAsia" w:ascii="宋体" w:hAnsi="宋体" w:eastAsia="宋体" w:cs="宋体"/>
                <w:sz w:val="21"/>
                <w:szCs w:val="21"/>
                <w:lang w:val="en-US" w:eastAsia="zh-CN" w:bidi="ar"/>
              </w:rPr>
              <w:t>1.本产品用于快速检测鱼类水产品组织中喹诺酮类药物的残留。</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2.规格48样/盒。</w:t>
            </w:r>
            <w:r>
              <w:rPr>
                <w:rStyle w:val="185"/>
                <w:rFonts w:hint="eastAsia" w:ascii="宋体" w:hAnsi="宋体" w:eastAsia="宋体" w:cs="宋体"/>
                <w:sz w:val="21"/>
                <w:szCs w:val="21"/>
                <w:lang w:val="en-US" w:eastAsia="zh-CN" w:bidi="ar"/>
              </w:rPr>
              <w:br w:type="textWrapping"/>
            </w:r>
            <w:r>
              <w:rPr>
                <w:rStyle w:val="185"/>
                <w:rFonts w:hint="eastAsia" w:ascii="宋体" w:hAnsi="宋体" w:eastAsia="宋体" w:cs="宋体"/>
                <w:sz w:val="21"/>
                <w:szCs w:val="21"/>
                <w:lang w:val="en-US" w:eastAsia="zh-CN" w:bidi="ar"/>
              </w:rPr>
              <w:t>★3.检出限：恩诺沙星40μg/kg，培氟沙星40μg/kg，奥比沙星60μg/kg，达氟沙星60μg/kg，马保沙星60μg/kg，那氟沙星60μg/kg，依诺沙星60μg/kg，洛美沙星80μg/kg，氧氟沙星80μg/kg，诺氟沙星80μg/kg，二氟沙星60μg/kg，沙拉沙星80μg/kg，环丙沙星80μg/k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农药残留速测仪试剂</w:t>
            </w:r>
          </w:p>
        </w:tc>
        <w:tc>
          <w:tcPr>
            <w:tcW w:w="56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1、农残检测试剂采用乙酰胆碱酯酶，符合《GB/T5009.199-2003蔬菜中有机磷和氨基甲酸酯类农药残留的快速检测》标准的要求。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★2、检测试剂按照原国家食品药品监督管理总局发布的KJ201710-2017《蔬菜中敌百虫、丙溴磷、灭多威、克百威、敌敌畏残留的快速检测》评价方法，评价检测以下浓度的试剂： 0.1mg/kg敌百虫， 0. 5 mg/kg丙溴磷，0.2 mg/kg灭多威，0.01mg/kg克百威， 0.2mg/L敌敌畏， 0.7mg/kg甲胺磷。应符合：灵敏度%：≥95%，特异性：≥95%，假阴性：≤5%，假阳性：≤5%（需提供省级或以上国家检测机构检测报告复印件）。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3、包装规格要求：300批次/盒，其中酶10瓶，底物10瓶，提取液3袋，显色剂1瓶。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4、检测试剂保质期：冷冻保存不低于1年。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★5、交货时，所投产品必须是近一个月生产的。</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六六六快速检测盒(胶体金)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滴滴涕快速检测盒(胶体金)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毒杀芬快速检测盒(胶体金)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二溴氯丙烷快速检测盒(胶体金)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杀虫脒快速检测盒(胶体金)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二溴乙烷快速检测盒(胶体金)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除草醚快速检测盒(胶体金)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艾氏剂快速检测盒(胶体金)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狄氏剂快速检测盒(胶体金)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汞制剂快速检测盒(胶体金)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砷类快速检测盒(胶体金)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铅类快速检测盒(胶体金)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敌枯双快速检测盒(胶体金)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氟乙酰胺快速检测盒(胶体金)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甘氟快速检测盒(胶体金)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毒鼠强快速检测盒(胶体金)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氟乙酸钠快速检测盒(胶体金)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毒鼠硅快速检测盒(胶体金)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甲胺磷快速检测盒(胶体金)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对硫磷快速检测盒(胶体金)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甲基对硫磷快速检测盒(胶体金)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久效磷快速检测盒(胶体金)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磷胺快速检测盒(胶体金)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苯线磷快速检测盒(胶体金)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地虫硫磷快速检测盒(胶体金)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甲基硫环磷快速检测盒(胶体金)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磷化钙快速检测盒(胶体金)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磷化镁快速检测盒(胶体金)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磷化锌快速检测盒(胶体金)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硫线磷快速检测盒(胶体金)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蝇毒磷快速检测盒(胶体金)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治螟磷快速检测盒(胶体金)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特丁硫磷快速检测盒(胶体金)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氯磺隆快速检测盒(胶体金)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胺苯横隆快速检测盒(胶体金)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甲磺隆快速检测盒(胶体金)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福美胂快速检测盒(胶体金)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福美甲胂快速检测盒(胶体金)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三氯杀螨醇快速检测盒(胶体金)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林丹快速检测盒(胶体金)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硫丹快速检测盒(胶体金)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溴甲烷快速检测盒(胶体金)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氟虫胺快速检测盒(胶体金)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杀扑磷快速检测盒(胶体金)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百草枯快速检测盒(胶体金)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4滴丁酯快速检测盒(胶体金)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甲拌磷快速检测盒(胶体金)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甲基异柳磷快速检测盒(胶体金)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水胺硫磷快速检测盒(胶体金)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氧乐果快速检测盒(胶体金)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2.检出限：500ppb。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灭多威快速检测盒(胶体金)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涕灭威快速检测盒(胶体金)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灭线磷快速检测盒(胶体金)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内吸磷快速检测盒(胶体金)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硫环磷快速检测盒(胶体金)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氯唑磷快速检测盒(胶体金)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乙酰甲胺磷快速检测盒(胶体金)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2.检出限：0.5ppb。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丁硫克百威快速检测盒(胶体金)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乐果快速检测盒(胶体金)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毒死蜱快速检测盒(胶体金)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三唑磷快速检测盒(胶体金)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2.检出限：200ppb。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丁酰肼(比久)快速检测盒(胶体金)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氰戊菊酯快速检测盒(胶体金)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氟虫睛快速检测盒(胶体金)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氟苯虫酰胺快速检测盒(胶体金)</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1.适用于蔬菜、水果等农产品中农药的快速定性检测。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2.检出限：100ppb。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3.规格：10次/盒。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100uL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农药残留速测仪打印纸</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57*40mm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12m型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一次性活性炭口罩</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四层防护</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具活性炭层，50个/盒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耐用丁腈手套S</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S号加厚型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丁腈，无粉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麻面，左右手通用，100只/盒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耐用丁腈手套M</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M号加厚型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丁腈，无粉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麻面，左右手通用，100只/盒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实验服</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长袖</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松紧袖口（185/180/175/170）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薄款/厚款各15件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线手套</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纯棉，白色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废液桶</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50L，PE材质，蓝色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电子天平</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量程：0-220g，精度：0.1mg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宽颈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Boro3.3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NS10/19玻璃瓶塞</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氢气发生器</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★1.氢气纯度:99.999%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★2.氢气流量:0-300ml/min；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3.输出压力:4Kg/cm2（约0.4MPa）；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4.压力稳定性:&lt; 0.001MPa；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5.供电电源:220V±10%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6.消耗功率:150W；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7.环境温度:1-40℃；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8.相对湿度:&lt;85%；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9.外形尺寸:400×360×220(mm)；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10.净重:约14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★11.采用固体电解质，无需碱液，内有微量氧脱除剂（无需活化），氢气纯度更高</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仪器内部采用低硫橡胶，可适用于NPD和FPD；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12.自动控制：仪器全自动工作，恒压、恒流，氢气流量可根据用量实现全自动调节。配有压力控制，缺水自动监控。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13.产氢湿度低：采用先进的除湿装置，多级吸附，使湿度更低；</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流动相水</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600ml*24瓶/箱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乙腈</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 4L/瓶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 500g/瓶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 4L/瓶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二氯甲烷</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 4L/瓶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5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 4L/瓶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甲胺磷标准品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氧乐果标准品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甲拌磷标准品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对硫磷标准品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甲基对硫磷标准品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甲基异柳磷标准品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水胺硫磷标准品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乐果标准品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敌敌畏标准品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毒死蜱标准品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乙酰甲胺磷标准品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三唑磷标准品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丙溴磷标准品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杀螟硫磷标准品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二嗪磷标准品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马拉硫磷标准品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亚胺硫磷标准品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伏杀硫磷标准品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久效磷标准品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氯氰菊酯标准品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氰戊菊酯标准品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甲氰菊酯标准品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氟氯氰菊酯标准品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氯氟氰菊酯标准品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溴氰菊酯标准品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联苯菊酯标准品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氟胺氰菊酯标准品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氟氰戊菊酯标准品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三唑酮标准品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百菌清标准品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异菌脲标准品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三氯杀螨醇标准品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腐霉利标准品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乙烯菌核利标准品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吡虫啉标准品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溶剂为甲醇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多菌灵标准品  </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溶剂为甲醇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α-666标准品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β-666标准品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δ-666标准品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γ-666标准品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溶剂为丙酮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溶剂为甲醇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灭多威标准品</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溶剂为甲醇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铅单元素标准溶液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镉单元素标准溶液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汞单元素标准溶液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砷单元素标准溶液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铬单元素标准溶液</w:t>
            </w:r>
          </w:p>
        </w:tc>
        <w:tc>
          <w:tcPr>
            <w:tcW w:w="5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1000ug/ml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bl>
    <w:p>
      <w:pPr>
        <w:pStyle w:val="9"/>
        <w:numPr>
          <w:ilvl w:val="0"/>
          <w:numId w:val="0"/>
        </w:numPr>
        <w:spacing w:line="360" w:lineRule="auto"/>
        <w:rPr>
          <w:rFonts w:hint="eastAsia"/>
          <w:lang w:val="en-US" w:eastAsia="zh-CN"/>
        </w:rPr>
      </w:pPr>
      <w:r>
        <w:rPr>
          <w:rFonts w:hint="eastAsia" w:ascii="宋体" w:hAnsi="宋体" w:cs="宋体"/>
          <w:b/>
          <w:sz w:val="24"/>
          <w:lang w:val="en-US" w:eastAsia="zh-CN"/>
        </w:rPr>
        <w:t>注：带“</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sz w:val="24"/>
          <w:lang w:val="en-US" w:eastAsia="zh-CN"/>
        </w:rPr>
        <w:t>”条款为实质性要求，不满足视为无效投标。</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三、报价及技术、服务要求</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1、报价要求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1.1所有报价一律以人民币报价，采购人不接受任何非人民币币种的报价。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1.2供应商的报价是其响应本项目要求全部工作内容的价格体现，包括供应商完成本项目所需的一切费用。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供应商在提交的首次响应文件中的报价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即首次报价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应按采购文件要求，列出报价的构成及明细。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供应商的最终报价只报总价，且不得高于首次报价的总价。</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产品质量要求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2.1 </w:t>
      </w:r>
      <w:r>
        <w:rPr>
          <w:rFonts w:hint="eastAsia" w:ascii="宋体" w:hAnsi="宋体" w:eastAsia="宋体" w:cs="宋体"/>
          <w:sz w:val="24"/>
          <w:szCs w:val="24"/>
          <w:highlight w:val="none"/>
          <w:lang w:eastAsia="zh-CN"/>
        </w:rPr>
        <w:t>供应商须提供全新的货物（含零部件、配件、使用说明书等），表面无划伤、无碰撞痕迹，且权属清楚</w:t>
      </w:r>
      <w:r>
        <w:rPr>
          <w:rFonts w:hint="eastAsia" w:ascii="宋体" w:hAnsi="宋体" w:eastAsia="宋体" w:cs="宋体"/>
          <w:sz w:val="24"/>
          <w:szCs w:val="24"/>
          <w:highlight w:val="none"/>
          <w:lang w:val="en-US" w:eastAsia="zh-CN"/>
        </w:rPr>
        <w:t xml:space="preserve"> ，不得伤害他人的知识产权。</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2.2 </w:t>
      </w:r>
      <w:r>
        <w:rPr>
          <w:rFonts w:hint="eastAsia" w:ascii="宋体" w:hAnsi="宋体" w:eastAsia="宋体" w:cs="宋体"/>
          <w:sz w:val="24"/>
          <w:szCs w:val="24"/>
          <w:highlight w:val="none"/>
          <w:lang w:eastAsia="zh-CN"/>
        </w:rPr>
        <w:t>货物必须符合或者优于国家标准。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货物制造质量出现问题，供应商负责三包（包修、包换、包退），费用由供应商承担。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供应商应有完善的技术支持与服务体系，专人负责与采购人联系售后服务事宜，配置必要的售后机具、具有专门的服务电话。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质保期内供应商负责所有因货物质量问题而产生的费用，所有服务免费。</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、商务要求</w:t>
      </w:r>
    </w:p>
    <w:p>
      <w:pPr>
        <w:pStyle w:val="2"/>
        <w:spacing w:after="0" w:line="360" w:lineRule="auto"/>
        <w:ind w:firstLine="42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交货</w:t>
      </w:r>
      <w:r>
        <w:rPr>
          <w:rFonts w:hint="eastAsia" w:ascii="宋体" w:hAnsi="宋体" w:eastAsia="宋体" w:cs="宋体"/>
          <w:sz w:val="24"/>
          <w:lang w:val="en-US" w:eastAsia="zh-CN"/>
        </w:rPr>
        <w:t>地点</w:t>
      </w:r>
      <w:r>
        <w:rPr>
          <w:rFonts w:hint="eastAsia" w:ascii="宋体" w:hAnsi="宋体" w:eastAsia="宋体" w:cs="宋体"/>
          <w:sz w:val="24"/>
          <w:lang w:eastAsia="zh-CN"/>
        </w:rPr>
        <w:t>：采购人指定地点。</w:t>
      </w:r>
    </w:p>
    <w:p>
      <w:pPr>
        <w:pStyle w:val="2"/>
        <w:spacing w:after="0" w:line="360" w:lineRule="auto"/>
        <w:ind w:firstLine="4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交货</w:t>
      </w:r>
      <w:r>
        <w:rPr>
          <w:rFonts w:hint="eastAsia" w:ascii="宋体" w:hAnsi="宋体" w:eastAsia="宋体" w:cs="宋体"/>
          <w:sz w:val="24"/>
          <w:lang w:val="en-US" w:eastAsia="zh-CN"/>
        </w:rPr>
        <w:t>时间：合同签订后30天内将所有产品配送到采购人指定地点。</w:t>
      </w:r>
    </w:p>
    <w:p>
      <w:pPr>
        <w:pStyle w:val="2"/>
        <w:spacing w:after="0" w:line="360" w:lineRule="auto"/>
        <w:ind w:firstLine="42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、付款方式：</w:t>
      </w:r>
      <w:r>
        <w:rPr>
          <w:rFonts w:hint="eastAsia" w:ascii="宋体" w:hAnsi="宋体" w:eastAsia="宋体" w:cs="宋体"/>
          <w:sz w:val="24"/>
          <w:lang w:eastAsia="zh-CN"/>
        </w:rPr>
        <w:t>采购人合同签订后支付合同金额的20%作为预付款，采购人于成交人完成交货后支付合同金额的60%，全部安装完成并经最终验收合格后支付剩余货款。</w:t>
      </w:r>
      <w:r>
        <w:rPr>
          <w:rFonts w:hint="eastAsia" w:ascii="宋体" w:hAnsi="宋体" w:cs="宋体"/>
          <w:sz w:val="24"/>
          <w:lang w:eastAsia="zh-CN"/>
        </w:rPr>
        <w:t>（付款时间：收到成交供应商开具的正式有效发票后</w:t>
      </w:r>
      <w:r>
        <w:rPr>
          <w:rFonts w:hint="eastAsia" w:ascii="宋体" w:hAnsi="宋体" w:cs="宋体"/>
          <w:sz w:val="24"/>
          <w:lang w:val="en-US" w:eastAsia="zh-CN"/>
        </w:rPr>
        <w:t>30日内支付</w:t>
      </w:r>
      <w:r>
        <w:rPr>
          <w:rFonts w:hint="eastAsia" w:ascii="宋体" w:hAnsi="宋体" w:cs="宋体"/>
          <w:sz w:val="24"/>
          <w:lang w:eastAsia="zh-CN"/>
        </w:rPr>
        <w:t>）</w:t>
      </w:r>
    </w:p>
    <w:p>
      <w:pPr>
        <w:pStyle w:val="2"/>
        <w:spacing w:after="0" w:line="360" w:lineRule="auto"/>
        <w:ind w:firstLine="420"/>
        <w:rPr>
          <w:rStyle w:val="178"/>
          <w:rFonts w:hint="eastAsia" w:ascii="宋体" w:hAnsi="宋体" w:cs="宋体"/>
          <w:kern w:val="2"/>
          <w:sz w:val="24"/>
          <w:szCs w:val="24"/>
          <w:highlight w:val="none"/>
          <w:lang w:val="en-US" w:eastAsia="zh-CN" w:bidi="ar-SA"/>
        </w:rPr>
      </w:pPr>
      <w:r>
        <w:rPr>
          <w:rStyle w:val="178"/>
          <w:rFonts w:hint="eastAsia" w:ascii="宋体" w:hAnsi="宋体" w:cs="宋体"/>
          <w:kern w:val="2"/>
          <w:sz w:val="24"/>
          <w:szCs w:val="24"/>
          <w:highlight w:val="none"/>
          <w:lang w:val="en-US" w:eastAsia="zh-CN" w:bidi="ar-SA"/>
        </w:rPr>
        <w:t>4、质保期</w:t>
      </w:r>
    </w:p>
    <w:p>
      <w:pPr>
        <w:pStyle w:val="2"/>
        <w:spacing w:after="0" w:line="360" w:lineRule="auto"/>
        <w:ind w:firstLine="420"/>
        <w:rPr>
          <w:rStyle w:val="178"/>
          <w:rFonts w:hint="eastAsia" w:ascii="宋体" w:hAnsi="宋体" w:cs="宋体"/>
          <w:kern w:val="2"/>
          <w:sz w:val="24"/>
          <w:szCs w:val="24"/>
          <w:highlight w:val="none"/>
          <w:lang w:val="en-US" w:eastAsia="zh-CN" w:bidi="ar-SA"/>
        </w:rPr>
      </w:pPr>
      <w:r>
        <w:rPr>
          <w:rStyle w:val="178"/>
          <w:rFonts w:hint="eastAsia" w:ascii="宋体" w:hAnsi="宋体" w:cs="宋体"/>
          <w:kern w:val="2"/>
          <w:sz w:val="24"/>
          <w:szCs w:val="24"/>
          <w:highlight w:val="none"/>
          <w:lang w:val="en-US" w:eastAsia="zh-CN" w:bidi="ar-SA"/>
        </w:rPr>
        <w:t>4.1本项目质保期为1年，自采购设备最终验收且双方代表签署最终验收报告之日起开始计算。</w:t>
      </w:r>
    </w:p>
    <w:p>
      <w:pPr>
        <w:pStyle w:val="2"/>
        <w:spacing w:after="0" w:line="360" w:lineRule="auto"/>
        <w:ind w:firstLine="420"/>
        <w:rPr>
          <w:rStyle w:val="178"/>
          <w:rFonts w:hint="eastAsia" w:ascii="宋体" w:hAnsi="宋体" w:cs="宋体"/>
          <w:kern w:val="2"/>
          <w:sz w:val="24"/>
          <w:szCs w:val="24"/>
          <w:highlight w:val="none"/>
          <w:lang w:val="en-US" w:eastAsia="zh-CN" w:bidi="ar-SA"/>
        </w:rPr>
      </w:pPr>
      <w:r>
        <w:rPr>
          <w:rStyle w:val="178"/>
          <w:rFonts w:hint="eastAsia" w:ascii="宋体" w:hAnsi="宋体" w:cs="宋体"/>
          <w:kern w:val="2"/>
          <w:sz w:val="24"/>
          <w:szCs w:val="24"/>
          <w:highlight w:val="none"/>
          <w:lang w:val="en-US" w:eastAsia="zh-CN" w:bidi="ar-SA"/>
        </w:rPr>
        <w:t>4.2 供应商需设有针对本项目专业的维保服务团队。</w:t>
      </w:r>
    </w:p>
    <w:p>
      <w:pPr>
        <w:pStyle w:val="2"/>
        <w:spacing w:after="0" w:line="360" w:lineRule="auto"/>
        <w:ind w:firstLine="420"/>
        <w:rPr>
          <w:rFonts w:hint="default" w:ascii="宋体" w:hAnsi="宋体" w:eastAsia="宋体" w:cs="宋体"/>
          <w:sz w:val="24"/>
          <w:lang w:val="en-US"/>
        </w:rPr>
      </w:pPr>
      <w:r>
        <w:rPr>
          <w:rStyle w:val="178"/>
          <w:rFonts w:hint="eastAsia" w:ascii="宋体" w:hAnsi="宋体" w:cs="宋体"/>
          <w:kern w:val="2"/>
          <w:sz w:val="24"/>
          <w:szCs w:val="24"/>
          <w:highlight w:val="none"/>
          <w:lang w:val="en-US" w:eastAsia="zh-CN" w:bidi="ar-SA"/>
        </w:rPr>
        <w:t>4</w:t>
      </w:r>
      <w:r>
        <w:rPr>
          <w:rStyle w:val="178"/>
          <w:rFonts w:hint="eastAsia" w:ascii="宋体" w:hAnsi="宋体" w:eastAsia="宋体" w:cs="宋体"/>
          <w:kern w:val="2"/>
          <w:sz w:val="24"/>
          <w:szCs w:val="24"/>
          <w:highlight w:val="none"/>
          <w:lang w:val="en-US" w:eastAsia="zh-CN" w:bidi="ar-SA"/>
        </w:rPr>
        <w:t>.3 质保期内出现质量问题，供应商需在30分钟内响应，2小时派专业维保人员到现场处理。一般问题在8小时内处理完成，较严重问题需在48小时内完成维保并达到工程质量规定的标准。</w:t>
      </w:r>
    </w:p>
    <w:p>
      <w:pPr>
        <w:pStyle w:val="2"/>
        <w:spacing w:after="0" w:line="360" w:lineRule="auto"/>
        <w:ind w:firstLine="420"/>
        <w:rPr>
          <w:rFonts w:hint="eastAsia" w:ascii="宋体" w:hAnsi="宋体" w:eastAsia="宋体" w:cs="宋体"/>
          <w:sz w:val="24"/>
          <w:lang w:eastAsia="zh-CN"/>
        </w:rPr>
      </w:pPr>
      <w:r>
        <w:rPr>
          <w:rFonts w:hint="eastAsia" w:ascii="宋体" w:hAnsi="宋体" w:eastAsia="宋体" w:cs="宋体"/>
          <w:sz w:val="24"/>
        </w:rPr>
        <w:t>5、履约保证金：</w:t>
      </w:r>
      <w:r>
        <w:rPr>
          <w:rFonts w:hint="eastAsia" w:ascii="宋体" w:hAnsi="宋体" w:eastAsia="宋体" w:cs="宋体"/>
          <w:sz w:val="24"/>
          <w:lang w:eastAsia="zh-CN"/>
        </w:rPr>
        <w:t>本项目不作要求。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rPr>
      </w:pPr>
      <w:r>
        <w:rPr>
          <w:rFonts w:hint="eastAsia" w:ascii="宋体" w:hAnsi="宋体" w:eastAsia="宋体" w:cs="宋体"/>
          <w:sz w:val="24"/>
        </w:rPr>
        <w:t>6、验收：</w:t>
      </w:r>
      <w:r>
        <w:rPr>
          <w:rFonts w:hint="eastAsia" w:ascii="宋体" w:hAnsi="宋体" w:cs="宋体"/>
          <w:sz w:val="24"/>
          <w:lang w:eastAsia="zh-CN"/>
        </w:rPr>
        <w:t>采购人将</w:t>
      </w:r>
      <w:r>
        <w:rPr>
          <w:rFonts w:hint="eastAsia" w:ascii="宋体" w:hAnsi="宋体" w:eastAsia="宋体" w:cs="宋体"/>
          <w:sz w:val="24"/>
          <w:lang w:eastAsia="zh-CN"/>
        </w:rPr>
        <w:t>严格按照政府采购相关法律法规以及</w:t>
      </w:r>
      <w:r>
        <w:rPr>
          <w:rFonts w:hint="eastAsia" w:ascii="宋体" w:hAnsi="宋体" w:eastAsia="宋体" w:cs="宋体"/>
          <w:sz w:val="24"/>
          <w:lang w:val="en-US" w:eastAsia="zh-CN"/>
        </w:rPr>
        <w:t>《财政部关于进一步加强政府采购需求和履约验收管理的指导意见》（财库〔2016〕205号）</w:t>
      </w:r>
      <w:r>
        <w:rPr>
          <w:rFonts w:hint="eastAsia" w:ascii="宋体" w:hAnsi="宋体" w:eastAsia="宋体" w:cs="宋体"/>
          <w:sz w:val="24"/>
          <w:lang w:eastAsia="zh-CN"/>
        </w:rPr>
        <w:t>的要求、采购文件的质量要求和技术指标、成交供应商的响应文件及承诺以及合同约定标准进行验收</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 xml:space="preserve">、谈判过程中可能实质性变动的内容： </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谈判小组所有成员应当按顺序集中与单一供应商分别进行谈判。在谈判过程中，谈判小组可以根据谈判文件和谈判情况实质性变动采购需求中的技术、服务要求以及合同草案条款，但不得变动其他内容。实质性变动的内容，须经采购人代表确认。对谈判文件作出的实质性变动是谈判文件的有效组成部分，应当以书面形式及时通知所有参加谈判的供应商，供应商应当按照谈判文件的变动情况和谈判小组的要求重新提交响应文件，但只提供变动后的内容。</w:t>
      </w:r>
    </w:p>
    <w:p>
      <w:pPr>
        <w:pStyle w:val="2"/>
        <w:spacing w:beforeLines="100" w:after="0" w:line="360" w:lineRule="auto"/>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、其他未尽事宜，由采购人与成交人另行协商解决。</w:t>
      </w:r>
    </w:p>
    <w:p>
      <w:pPr>
        <w:pStyle w:val="39"/>
        <w:spacing w:before="0" w:after="0" w:line="360" w:lineRule="auto"/>
        <w:outlineLvl w:val="9"/>
        <w:rPr>
          <w:rFonts w:hint="eastAsia" w:ascii="宋体" w:hAnsi="宋体" w:eastAsia="宋体" w:cs="宋体"/>
        </w:rPr>
        <w:sectPr>
          <w:pgSz w:w="11911" w:h="16838"/>
          <w:pgMar w:top="1440" w:right="1797" w:bottom="1440" w:left="1797" w:header="850" w:footer="737" w:gutter="0"/>
          <w:pgNumType w:fmt="decimal"/>
          <w:cols w:space="720" w:num="1"/>
          <w:docGrid w:linePitch="299" w:charSpace="0"/>
        </w:sectPr>
      </w:pPr>
    </w:p>
    <w:p>
      <w:pPr>
        <w:pStyle w:val="39"/>
        <w:spacing w:before="0" w:after="0" w:line="360" w:lineRule="auto"/>
        <w:rPr>
          <w:rFonts w:hint="eastAsia" w:ascii="宋体" w:hAnsi="宋体" w:eastAsia="宋体" w:cs="宋体"/>
          <w:b w:val="0"/>
          <w:bCs w:val="0"/>
        </w:rPr>
      </w:pPr>
      <w:bookmarkStart w:id="127" w:name="_Toc15655"/>
      <w:bookmarkStart w:id="128" w:name="_Toc28321"/>
      <w:r>
        <w:rPr>
          <w:rFonts w:hint="eastAsia" w:ascii="宋体" w:hAnsi="宋体" w:eastAsia="宋体" w:cs="宋体"/>
        </w:rPr>
        <w:t>第六章  响应文件格式</w:t>
      </w:r>
      <w:bookmarkEnd w:id="121"/>
      <w:bookmarkEnd w:id="122"/>
      <w:bookmarkEnd w:id="123"/>
      <w:bookmarkEnd w:id="127"/>
      <w:bookmarkEnd w:id="12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一、本章所制响应文件格式，除格式中明确将该格式作为实质性要求的，一律不具有强制性。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eastAsia="宋体" w:cs="宋体"/>
          <w:sz w:val="24"/>
        </w:rPr>
      </w:pPr>
    </w:p>
    <w:p>
      <w:pPr>
        <w:spacing w:line="360" w:lineRule="auto"/>
        <w:jc w:val="center"/>
        <w:rPr>
          <w:rFonts w:hint="eastAsia" w:ascii="宋体" w:hAnsi="宋体" w:eastAsia="宋体" w:cs="宋体"/>
          <w:b/>
          <w:bCs/>
          <w:kern w:val="0"/>
          <w:sz w:val="30"/>
          <w:szCs w:val="30"/>
        </w:rPr>
      </w:pPr>
      <w:r>
        <w:rPr>
          <w:rFonts w:hint="eastAsia" w:ascii="宋体" w:hAnsi="宋体" w:eastAsia="宋体" w:cs="宋体"/>
          <w:b/>
          <w:sz w:val="32"/>
          <w:szCs w:val="32"/>
        </w:rPr>
        <w:br w:type="page"/>
      </w:r>
      <w:r>
        <w:rPr>
          <w:rFonts w:hint="eastAsia" w:ascii="宋体" w:hAnsi="宋体" w:eastAsia="宋体" w:cs="宋体"/>
          <w:b/>
          <w:bCs/>
          <w:kern w:val="0"/>
          <w:sz w:val="30"/>
          <w:szCs w:val="30"/>
        </w:rPr>
        <w:t>（资格性响应文件和技术、服务性响应文件两部分，应分册装订密封）</w:t>
      </w:r>
    </w:p>
    <w:p>
      <w:pPr>
        <w:spacing w:line="360" w:lineRule="auto"/>
        <w:jc w:val="right"/>
        <w:rPr>
          <w:rFonts w:hint="eastAsia" w:ascii="宋体" w:hAnsi="宋体" w:eastAsia="宋体" w:cs="宋体"/>
          <w:b/>
          <w:bCs/>
          <w:kern w:val="0"/>
          <w:sz w:val="72"/>
          <w:szCs w:val="72"/>
        </w:rPr>
      </w:pPr>
      <w:r>
        <w:rPr>
          <w:rFonts w:hint="eastAsia" w:ascii="宋体" w:hAnsi="宋体" w:eastAsia="宋体" w:cs="宋体"/>
          <w:b/>
          <w:bCs/>
          <w:w w:val="110"/>
          <w:kern w:val="0"/>
          <w:sz w:val="36"/>
          <w:szCs w:val="36"/>
        </w:rPr>
        <w:t>（正本/副本）</w:t>
      </w:r>
    </w:p>
    <w:p>
      <w:pPr>
        <w:widowControl/>
        <w:spacing w:line="360" w:lineRule="auto"/>
        <w:jc w:val="left"/>
        <w:rPr>
          <w:rFonts w:hint="eastAsia" w:ascii="宋体" w:hAnsi="宋体" w:eastAsia="宋体" w:cs="宋体"/>
          <w:b/>
          <w:kern w:val="0"/>
          <w:sz w:val="72"/>
          <w:szCs w:val="20"/>
        </w:rPr>
      </w:pPr>
    </w:p>
    <w:p>
      <w:pPr>
        <w:keepNext/>
        <w:keepLines/>
        <w:spacing w:line="360" w:lineRule="auto"/>
        <w:jc w:val="center"/>
        <w:outlineLvl w:val="1"/>
        <w:rPr>
          <w:rFonts w:hint="eastAsia" w:ascii="宋体" w:hAnsi="宋体" w:eastAsia="宋体" w:cs="宋体"/>
          <w:b/>
          <w:bCs/>
          <w:sz w:val="52"/>
          <w:szCs w:val="52"/>
        </w:rPr>
      </w:pPr>
      <w:bookmarkStart w:id="129" w:name="_Toc504991349"/>
      <w:bookmarkStart w:id="130" w:name="_Toc21025"/>
      <w:bookmarkStart w:id="131" w:name="_Toc504988304"/>
      <w:bookmarkStart w:id="132" w:name="_Toc502912097"/>
      <w:bookmarkStart w:id="133" w:name="_Toc498586715"/>
      <w:bookmarkStart w:id="134" w:name="_Toc13750"/>
      <w:bookmarkStart w:id="135" w:name="_Toc504987205"/>
      <w:r>
        <w:rPr>
          <w:rFonts w:hint="eastAsia" w:ascii="宋体" w:hAnsi="宋体" w:eastAsia="宋体" w:cs="宋体"/>
          <w:b/>
          <w:bCs/>
          <w:sz w:val="52"/>
          <w:szCs w:val="52"/>
        </w:rPr>
        <w:t>第一部分  资格性响应文件</w:t>
      </w:r>
      <w:bookmarkEnd w:id="129"/>
      <w:bookmarkEnd w:id="130"/>
      <w:bookmarkEnd w:id="131"/>
      <w:bookmarkEnd w:id="132"/>
      <w:bookmarkEnd w:id="133"/>
      <w:bookmarkEnd w:id="134"/>
      <w:bookmarkEnd w:id="135"/>
    </w:p>
    <w:p>
      <w:pPr>
        <w:widowControl/>
        <w:spacing w:line="360" w:lineRule="auto"/>
        <w:rPr>
          <w:rFonts w:hint="eastAsia" w:ascii="宋体" w:hAnsi="宋体" w:eastAsia="宋体" w:cs="宋体"/>
          <w:b/>
          <w:kern w:val="0"/>
          <w:sz w:val="44"/>
          <w:szCs w:val="20"/>
        </w:rPr>
      </w:pPr>
    </w:p>
    <w:p>
      <w:pPr>
        <w:widowControl/>
        <w:spacing w:line="360" w:lineRule="auto"/>
        <w:jc w:val="center"/>
        <w:rPr>
          <w:rFonts w:hint="eastAsia" w:ascii="宋体" w:hAnsi="宋体" w:eastAsia="宋体" w:cs="宋体"/>
          <w:b/>
          <w:kern w:val="0"/>
          <w:sz w:val="36"/>
          <w:szCs w:val="20"/>
        </w:rPr>
      </w:pPr>
    </w:p>
    <w:p>
      <w:pPr>
        <w:widowControl/>
        <w:spacing w:line="360" w:lineRule="auto"/>
        <w:jc w:val="center"/>
        <w:rPr>
          <w:rFonts w:hint="eastAsia" w:ascii="宋体" w:hAnsi="宋体" w:eastAsia="宋体" w:cs="宋体"/>
          <w:b/>
          <w:kern w:val="0"/>
          <w:sz w:val="36"/>
          <w:szCs w:val="20"/>
        </w:rPr>
      </w:pPr>
    </w:p>
    <w:p>
      <w:pPr>
        <w:widowControl/>
        <w:spacing w:line="360" w:lineRule="auto"/>
        <w:jc w:val="left"/>
        <w:rPr>
          <w:rFonts w:hint="eastAsia" w:ascii="宋体" w:hAnsi="宋体" w:eastAsia="宋体" w:cs="宋体"/>
          <w:b/>
          <w:kern w:val="0"/>
          <w:sz w:val="36"/>
          <w:szCs w:val="20"/>
          <w:u w:val="single"/>
        </w:rPr>
      </w:pPr>
      <w:r>
        <w:rPr>
          <w:rFonts w:hint="eastAsia" w:ascii="宋体" w:hAnsi="宋体" w:eastAsia="宋体" w:cs="宋体"/>
          <w:b/>
          <w:kern w:val="0"/>
          <w:sz w:val="36"/>
          <w:szCs w:val="20"/>
        </w:rPr>
        <w:t>项目名称：</w:t>
      </w:r>
      <w:r>
        <w:rPr>
          <w:rFonts w:hint="eastAsia" w:ascii="宋体" w:hAnsi="宋体" w:eastAsia="宋体" w:cs="宋体"/>
          <w:b/>
          <w:kern w:val="0"/>
          <w:sz w:val="36"/>
          <w:szCs w:val="20"/>
          <w:u w:val="single"/>
        </w:rPr>
        <w:t xml:space="preserve">                              </w:t>
      </w:r>
    </w:p>
    <w:p>
      <w:pPr>
        <w:widowControl/>
        <w:spacing w:line="360" w:lineRule="auto"/>
        <w:jc w:val="left"/>
        <w:rPr>
          <w:rFonts w:hint="eastAsia" w:ascii="宋体" w:hAnsi="宋体" w:eastAsia="宋体" w:cs="宋体"/>
          <w:b/>
          <w:kern w:val="0"/>
          <w:sz w:val="36"/>
          <w:szCs w:val="20"/>
          <w:u w:val="single"/>
        </w:rPr>
      </w:pPr>
      <w:r>
        <w:rPr>
          <w:rFonts w:hint="eastAsia" w:ascii="宋体" w:hAnsi="宋体" w:eastAsia="宋体" w:cs="宋体"/>
          <w:b/>
          <w:kern w:val="0"/>
          <w:sz w:val="36"/>
          <w:szCs w:val="20"/>
          <w:lang w:eastAsia="zh-CN"/>
        </w:rPr>
        <w:t>采购项目编号</w:t>
      </w:r>
      <w:r>
        <w:rPr>
          <w:rFonts w:hint="eastAsia" w:ascii="宋体" w:hAnsi="宋体" w:eastAsia="宋体" w:cs="宋体"/>
          <w:b/>
          <w:kern w:val="0"/>
          <w:sz w:val="36"/>
          <w:szCs w:val="20"/>
        </w:rPr>
        <w:t>：</w:t>
      </w:r>
      <w:r>
        <w:rPr>
          <w:rFonts w:hint="eastAsia" w:ascii="宋体" w:hAnsi="宋体" w:eastAsia="宋体" w:cs="宋体"/>
          <w:b/>
          <w:kern w:val="0"/>
          <w:sz w:val="36"/>
          <w:szCs w:val="20"/>
          <w:u w:val="single"/>
        </w:rPr>
        <w:t xml:space="preserve">                              </w:t>
      </w:r>
    </w:p>
    <w:p>
      <w:pPr>
        <w:widowControl/>
        <w:spacing w:line="360" w:lineRule="auto"/>
        <w:jc w:val="left"/>
        <w:rPr>
          <w:rFonts w:hint="eastAsia" w:ascii="宋体" w:hAnsi="宋体" w:eastAsia="宋体" w:cs="宋体"/>
          <w:b/>
          <w:kern w:val="0"/>
          <w:sz w:val="36"/>
          <w:szCs w:val="20"/>
        </w:rPr>
      </w:pPr>
    </w:p>
    <w:p>
      <w:pPr>
        <w:widowControl/>
        <w:spacing w:line="360" w:lineRule="auto"/>
        <w:jc w:val="left"/>
        <w:rPr>
          <w:rFonts w:hint="eastAsia" w:ascii="宋体" w:hAnsi="宋体" w:eastAsia="宋体" w:cs="宋体"/>
          <w:b/>
          <w:kern w:val="0"/>
          <w:sz w:val="36"/>
          <w:szCs w:val="20"/>
        </w:rPr>
      </w:pPr>
    </w:p>
    <w:p>
      <w:pPr>
        <w:widowControl/>
        <w:spacing w:line="360" w:lineRule="auto"/>
        <w:ind w:firstLine="562" w:firstLineChars="2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供应商名称 ：</w:t>
      </w:r>
      <w:r>
        <w:rPr>
          <w:rFonts w:hint="eastAsia" w:ascii="宋体" w:hAnsi="宋体" w:eastAsia="宋体" w:cs="宋体"/>
          <w:b/>
          <w:kern w:val="0"/>
          <w:sz w:val="28"/>
          <w:szCs w:val="28"/>
          <w:u w:val="single"/>
        </w:rPr>
        <w:t xml:space="preserve">                                </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日期 ：202</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年</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月</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日</w:t>
      </w:r>
    </w:p>
    <w:p>
      <w:pPr>
        <w:widowControl/>
        <w:spacing w:line="360" w:lineRule="auto"/>
        <w:jc w:val="left"/>
        <w:rPr>
          <w:rFonts w:hint="eastAsia" w:ascii="宋体" w:hAnsi="宋体" w:eastAsia="宋体" w:cs="宋体"/>
          <w:b/>
          <w:bCs/>
          <w:kern w:val="0"/>
          <w:sz w:val="32"/>
          <w:szCs w:val="32"/>
        </w:rPr>
      </w:pPr>
    </w:p>
    <w:p>
      <w:pPr>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格式1-1</w:t>
      </w:r>
    </w:p>
    <w:p>
      <w:pPr>
        <w:spacing w:line="360" w:lineRule="auto"/>
        <w:ind w:left="99"/>
        <w:jc w:val="center"/>
        <w:outlineLvl w:val="1"/>
        <w:rPr>
          <w:rFonts w:hint="eastAsia" w:ascii="宋体" w:hAnsi="宋体" w:eastAsia="宋体" w:cs="宋体"/>
          <w:b/>
          <w:bCs/>
          <w:kern w:val="0"/>
          <w:sz w:val="36"/>
          <w:szCs w:val="36"/>
        </w:rPr>
      </w:pPr>
      <w:bookmarkStart w:id="136" w:name="_Toc22763"/>
      <w:bookmarkStart w:id="137" w:name="_Toc504991350"/>
      <w:bookmarkStart w:id="138" w:name="_Toc5868"/>
      <w:bookmarkStart w:id="139" w:name="_Toc504988305"/>
      <w:bookmarkStart w:id="140" w:name="_Toc504987206"/>
      <w:bookmarkStart w:id="141" w:name="_Toc502912098"/>
      <w:r>
        <w:rPr>
          <w:rFonts w:hint="eastAsia" w:ascii="宋体" w:hAnsi="宋体" w:eastAsia="宋体" w:cs="宋体"/>
          <w:b/>
          <w:bCs/>
          <w:kern w:val="0"/>
          <w:sz w:val="36"/>
          <w:szCs w:val="36"/>
        </w:rPr>
        <w:t>一、</w:t>
      </w:r>
      <w:r>
        <w:rPr>
          <w:rFonts w:hint="eastAsia" w:ascii="宋体" w:hAnsi="宋体" w:eastAsia="宋体" w:cs="宋体"/>
          <w:b/>
          <w:kern w:val="0"/>
          <w:sz w:val="36"/>
          <w:szCs w:val="36"/>
        </w:rPr>
        <w:t>法定代表人/单位负责人身份证明书</w:t>
      </w:r>
      <w:bookmarkEnd w:id="136"/>
      <w:bookmarkEnd w:id="137"/>
      <w:bookmarkEnd w:id="138"/>
      <w:bookmarkEnd w:id="139"/>
      <w:bookmarkEnd w:id="140"/>
      <w:bookmarkEnd w:id="141"/>
    </w:p>
    <w:p>
      <w:pPr>
        <w:spacing w:line="360" w:lineRule="auto"/>
        <w:jc w:val="left"/>
        <w:rPr>
          <w:rFonts w:hint="eastAsia" w:ascii="宋体" w:hAnsi="宋体" w:eastAsia="宋体" w:cs="宋体"/>
          <w:kern w:val="0"/>
          <w:sz w:val="24"/>
          <w:szCs w:val="22"/>
          <w:lang w:val="zh-CN"/>
        </w:rPr>
      </w:pPr>
    </w:p>
    <w:p>
      <w:pPr>
        <w:spacing w:line="360" w:lineRule="auto"/>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四川轩辕招标代理有限公司：</w:t>
      </w:r>
    </w:p>
    <w:p>
      <w:pPr>
        <w:tabs>
          <w:tab w:val="left" w:pos="6300"/>
        </w:tabs>
        <w:spacing w:line="360" w:lineRule="auto"/>
        <w:ind w:firstLine="480" w:firstLineChars="200"/>
        <w:jc w:val="left"/>
        <w:rPr>
          <w:rFonts w:hint="eastAsia" w:ascii="宋体" w:hAnsi="宋体" w:eastAsia="宋体" w:cs="宋体"/>
          <w:kern w:val="0"/>
          <w:sz w:val="24"/>
          <w:szCs w:val="22"/>
          <w:lang w:val="zh-CN"/>
        </w:rPr>
      </w:pPr>
      <w:r>
        <w:rPr>
          <w:rFonts w:hint="eastAsia" w:ascii="宋体" w:hAnsi="宋体" w:eastAsia="宋体" w:cs="宋体"/>
          <w:kern w:val="0"/>
          <w:sz w:val="24"/>
          <w:szCs w:val="22"/>
          <w:u w:val="single"/>
          <w:lang w:val="zh-CN"/>
        </w:rPr>
        <w:t>（法定代表人</w:t>
      </w:r>
      <w:r>
        <w:rPr>
          <w:rFonts w:hint="eastAsia" w:ascii="宋体" w:hAnsi="宋体" w:eastAsia="宋体" w:cs="宋体"/>
          <w:kern w:val="0"/>
          <w:sz w:val="24"/>
          <w:szCs w:val="22"/>
          <w:u w:val="single"/>
        </w:rPr>
        <w:t>/</w:t>
      </w:r>
      <w:r>
        <w:rPr>
          <w:rFonts w:hint="eastAsia" w:ascii="宋体" w:hAnsi="宋体" w:eastAsia="宋体" w:cs="宋体"/>
          <w:kern w:val="0"/>
          <w:sz w:val="22"/>
          <w:szCs w:val="22"/>
          <w:u w:val="single"/>
        </w:rPr>
        <w:t>单位负责人</w:t>
      </w:r>
      <w:r>
        <w:rPr>
          <w:rFonts w:hint="eastAsia" w:ascii="宋体" w:hAnsi="宋体" w:eastAsia="宋体" w:cs="宋体"/>
          <w:kern w:val="0"/>
          <w:sz w:val="24"/>
          <w:szCs w:val="22"/>
          <w:u w:val="single"/>
          <w:lang w:val="zh-CN"/>
        </w:rPr>
        <w:t xml:space="preserve">姓名）         </w:t>
      </w:r>
      <w:r>
        <w:rPr>
          <w:rFonts w:hint="eastAsia" w:ascii="宋体" w:hAnsi="宋体" w:eastAsia="宋体" w:cs="宋体"/>
          <w:kern w:val="0"/>
          <w:sz w:val="24"/>
          <w:szCs w:val="22"/>
          <w:lang w:val="zh-CN"/>
        </w:rPr>
        <w:t>在</w:t>
      </w:r>
      <w:r>
        <w:rPr>
          <w:rFonts w:hint="eastAsia" w:ascii="宋体" w:hAnsi="宋体" w:eastAsia="宋体" w:cs="宋体"/>
          <w:kern w:val="0"/>
          <w:sz w:val="24"/>
          <w:szCs w:val="22"/>
          <w:u w:val="single"/>
          <w:lang w:val="zh-CN"/>
        </w:rPr>
        <w:t xml:space="preserve">          </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u w:val="single"/>
          <w:lang w:val="zh-CN"/>
        </w:rPr>
        <w:t xml:space="preserve">（供应商名称） </w:t>
      </w:r>
      <w:r>
        <w:rPr>
          <w:rFonts w:hint="eastAsia" w:ascii="宋体" w:hAnsi="宋体" w:eastAsia="宋体" w:cs="宋体"/>
          <w:kern w:val="0"/>
          <w:sz w:val="24"/>
          <w:szCs w:val="22"/>
          <w:lang w:val="zh-CN"/>
        </w:rPr>
        <w:t>处任</w:t>
      </w:r>
      <w:r>
        <w:rPr>
          <w:rFonts w:hint="eastAsia" w:ascii="宋体" w:hAnsi="宋体" w:eastAsia="宋体" w:cs="宋体"/>
          <w:kern w:val="0"/>
          <w:sz w:val="24"/>
          <w:szCs w:val="22"/>
          <w:u w:val="single"/>
          <w:lang w:val="zh-CN"/>
        </w:rPr>
        <w:t xml:space="preserve">         （职务名称）        </w:t>
      </w:r>
      <w:r>
        <w:rPr>
          <w:rFonts w:hint="eastAsia" w:ascii="宋体" w:hAnsi="宋体" w:eastAsia="宋体" w:cs="宋体"/>
          <w:kern w:val="0"/>
          <w:sz w:val="24"/>
          <w:szCs w:val="22"/>
          <w:lang w:val="zh-CN"/>
        </w:rPr>
        <w:t>职务，是</w:t>
      </w:r>
      <w:r>
        <w:rPr>
          <w:rFonts w:hint="eastAsia" w:ascii="宋体" w:hAnsi="宋体" w:eastAsia="宋体" w:cs="宋体"/>
          <w:kern w:val="0"/>
          <w:sz w:val="24"/>
          <w:szCs w:val="22"/>
          <w:u w:val="single"/>
          <w:lang w:val="zh-CN"/>
        </w:rPr>
        <w:t xml:space="preserve">      （供应商名称）    </w:t>
      </w:r>
      <w:r>
        <w:rPr>
          <w:rFonts w:hint="eastAsia" w:ascii="宋体" w:hAnsi="宋体" w:eastAsia="宋体" w:cs="宋体"/>
          <w:kern w:val="0"/>
          <w:sz w:val="24"/>
          <w:szCs w:val="22"/>
          <w:lang w:val="zh-CN"/>
        </w:rPr>
        <w:t>的法定代表人/单位负责人。</w:t>
      </w:r>
    </w:p>
    <w:p>
      <w:pPr>
        <w:tabs>
          <w:tab w:val="left" w:pos="6300"/>
        </w:tabs>
        <w:spacing w:line="360" w:lineRule="auto"/>
        <w:jc w:val="left"/>
        <w:rPr>
          <w:rFonts w:hint="eastAsia" w:ascii="宋体" w:hAnsi="宋体" w:eastAsia="宋体" w:cs="宋体"/>
          <w:b/>
          <w:kern w:val="0"/>
          <w:sz w:val="24"/>
          <w:szCs w:val="22"/>
          <w:lang w:val="zh-CN"/>
        </w:rPr>
      </w:pPr>
    </w:p>
    <w:p>
      <w:pPr>
        <w:tabs>
          <w:tab w:val="left" w:pos="6300"/>
        </w:tabs>
        <w:spacing w:line="360" w:lineRule="auto"/>
        <w:jc w:val="left"/>
        <w:rPr>
          <w:rFonts w:hint="eastAsia" w:ascii="宋体" w:hAnsi="宋体" w:eastAsia="宋体" w:cs="宋体"/>
          <w:b/>
          <w:kern w:val="0"/>
          <w:sz w:val="24"/>
          <w:szCs w:val="22"/>
          <w:lang w:val="zh-CN"/>
        </w:rPr>
      </w:pPr>
    </w:p>
    <w:p>
      <w:pPr>
        <w:tabs>
          <w:tab w:val="left" w:pos="6300"/>
        </w:tabs>
        <w:spacing w:line="360" w:lineRule="auto"/>
        <w:ind w:firstLine="573"/>
        <w:jc w:val="left"/>
        <w:rPr>
          <w:rFonts w:hint="eastAsia" w:ascii="宋体" w:hAnsi="宋体" w:eastAsia="宋体" w:cs="宋体"/>
          <w:b/>
          <w:kern w:val="0"/>
          <w:sz w:val="24"/>
          <w:szCs w:val="22"/>
          <w:lang w:val="zh-CN"/>
        </w:rPr>
      </w:pPr>
    </w:p>
    <w:p>
      <w:pPr>
        <w:tabs>
          <w:tab w:val="left" w:pos="6300"/>
        </w:tabs>
        <w:spacing w:line="360" w:lineRule="auto"/>
        <w:ind w:firstLine="573"/>
        <w:jc w:val="left"/>
        <w:rPr>
          <w:rFonts w:hint="eastAsia" w:ascii="宋体" w:hAnsi="宋体" w:eastAsia="宋体" w:cs="宋体"/>
          <w:b/>
          <w:kern w:val="0"/>
          <w:sz w:val="24"/>
          <w:szCs w:val="22"/>
          <w:lang w:val="zh-CN"/>
        </w:rPr>
      </w:pPr>
      <w:r>
        <w:rPr>
          <w:rFonts w:hint="eastAsia" w:ascii="宋体" w:hAnsi="宋体" w:eastAsia="宋体" w:cs="宋体"/>
          <w:b/>
          <w:kern w:val="0"/>
          <w:sz w:val="24"/>
          <w:szCs w:val="22"/>
          <w:lang w:val="zh-CN"/>
        </w:rPr>
        <w:t>特此证明。</w:t>
      </w:r>
    </w:p>
    <w:p>
      <w:pPr>
        <w:tabs>
          <w:tab w:val="left" w:pos="6300"/>
        </w:tabs>
        <w:spacing w:line="360" w:lineRule="auto"/>
        <w:jc w:val="left"/>
        <w:rPr>
          <w:rFonts w:hint="eastAsia" w:ascii="宋体" w:hAnsi="宋体" w:eastAsia="宋体" w:cs="宋体"/>
          <w:b/>
          <w:kern w:val="0"/>
          <w:sz w:val="22"/>
          <w:szCs w:val="21"/>
          <w:lang w:val="zh-CN"/>
        </w:rPr>
      </w:pPr>
    </w:p>
    <w:p>
      <w:pPr>
        <w:tabs>
          <w:tab w:val="left" w:pos="6300"/>
        </w:tabs>
        <w:spacing w:line="360" w:lineRule="auto"/>
        <w:jc w:val="left"/>
        <w:rPr>
          <w:rFonts w:hint="eastAsia" w:ascii="宋体" w:hAnsi="宋体" w:eastAsia="宋体" w:cs="宋体"/>
          <w:b/>
          <w:kern w:val="0"/>
          <w:sz w:val="22"/>
          <w:szCs w:val="21"/>
          <w:lang w:val="zh-CN"/>
        </w:rPr>
      </w:pPr>
      <w:r>
        <w:rPr>
          <w:rFonts w:hint="eastAsia" w:ascii="宋体" w:hAnsi="宋体" w:eastAsia="宋体" w:cs="宋体"/>
          <w:b/>
          <w:kern w:val="0"/>
          <w:sz w:val="22"/>
          <w:szCs w:val="21"/>
          <w:lang w:val="zh-CN"/>
        </w:rPr>
        <w:t>附件：法定代表人/单位负责人有效的身份证复印件（身份证两面均应复印）。供应商的法定代表人为外籍人士的，则需提供护照复印件。</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 xml:space="preserve">                      </w:t>
      </w:r>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u w:val="single"/>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日期：</w:t>
      </w:r>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格式1-2</w:t>
      </w:r>
    </w:p>
    <w:p>
      <w:pPr>
        <w:widowControl/>
        <w:spacing w:line="360" w:lineRule="auto"/>
        <w:jc w:val="center"/>
        <w:outlineLvl w:val="1"/>
        <w:rPr>
          <w:rFonts w:hint="eastAsia" w:ascii="宋体" w:hAnsi="宋体" w:eastAsia="宋体" w:cs="宋体"/>
          <w:b/>
          <w:kern w:val="0"/>
          <w:sz w:val="32"/>
          <w:szCs w:val="32"/>
        </w:rPr>
      </w:pPr>
      <w:bookmarkStart w:id="142" w:name="_Toc504987207"/>
      <w:bookmarkStart w:id="143" w:name="_Toc504991351"/>
      <w:bookmarkStart w:id="144" w:name="_Toc27724"/>
      <w:bookmarkStart w:id="145" w:name="_Toc502912099"/>
      <w:bookmarkStart w:id="146" w:name="_Toc504988306"/>
      <w:bookmarkStart w:id="147" w:name="_Toc12699"/>
      <w:r>
        <w:rPr>
          <w:rFonts w:hint="eastAsia" w:ascii="宋体" w:hAnsi="宋体" w:eastAsia="宋体" w:cs="宋体"/>
          <w:b/>
          <w:kern w:val="0"/>
          <w:sz w:val="32"/>
          <w:szCs w:val="32"/>
        </w:rPr>
        <w:t>二、法定代表人/单位负责人授权书</w:t>
      </w:r>
      <w:bookmarkEnd w:id="142"/>
      <w:bookmarkEnd w:id="143"/>
      <w:bookmarkEnd w:id="144"/>
      <w:bookmarkEnd w:id="145"/>
      <w:bookmarkEnd w:id="146"/>
      <w:bookmarkEnd w:id="147"/>
    </w:p>
    <w:p>
      <w:pPr>
        <w:spacing w:line="360" w:lineRule="auto"/>
        <w:jc w:val="left"/>
        <w:rPr>
          <w:rFonts w:hint="eastAsia" w:ascii="宋体" w:hAnsi="宋体" w:eastAsia="宋体" w:cs="宋体"/>
          <w:kern w:val="0"/>
          <w:sz w:val="22"/>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lang w:val="zh-CN"/>
        </w:rPr>
        <w:t>四川轩辕招标代理有限公司</w:t>
      </w:r>
      <w:r>
        <w:rPr>
          <w:rFonts w:hint="eastAsia" w:ascii="宋体" w:hAnsi="宋体" w:eastAsia="宋体" w:cs="宋体"/>
          <w:kern w:val="0"/>
          <w:sz w:val="24"/>
          <w:szCs w:val="22"/>
        </w:rPr>
        <w:t>：</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本授权声明：</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（法定代表人/单位负责人姓名、职务）授权</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（被授权人姓名、职务）为我方 “</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 项目（采购项目编号：</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）采购活动的合法代表，以我方名义全权处理该项目有关谈判、签订合同以及执行合同等一切事宜。</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特此声明。</w:t>
      </w:r>
    </w:p>
    <w:p>
      <w:pPr>
        <w:spacing w:line="360" w:lineRule="auto"/>
        <w:ind w:firstLine="480" w:firstLineChars="200"/>
        <w:jc w:val="left"/>
        <w:rPr>
          <w:rFonts w:hint="eastAsia" w:ascii="宋体" w:hAnsi="宋体" w:eastAsia="宋体" w:cs="宋体"/>
          <w:kern w:val="0"/>
          <w:sz w:val="24"/>
          <w:szCs w:val="22"/>
        </w:rPr>
      </w:pPr>
    </w:p>
    <w:p>
      <w:pPr>
        <w:tabs>
          <w:tab w:val="left" w:pos="6300"/>
        </w:tabs>
        <w:spacing w:line="360" w:lineRule="auto"/>
        <w:jc w:val="left"/>
        <w:rPr>
          <w:rFonts w:hint="eastAsia" w:ascii="宋体" w:hAnsi="宋体" w:eastAsia="宋体" w:cs="宋体"/>
          <w:b/>
          <w:kern w:val="0"/>
          <w:sz w:val="22"/>
          <w:szCs w:val="21"/>
          <w:lang w:val="zh-CN"/>
        </w:rPr>
      </w:pPr>
      <w:r>
        <w:rPr>
          <w:rFonts w:hint="eastAsia" w:ascii="宋体" w:hAnsi="宋体" w:eastAsia="宋体" w:cs="宋体"/>
          <w:b/>
          <w:kern w:val="0"/>
          <w:sz w:val="22"/>
          <w:szCs w:val="21"/>
          <w:lang w:val="zh-CN"/>
        </w:rPr>
        <w:t>附件：</w:t>
      </w:r>
    </w:p>
    <w:p>
      <w:pPr>
        <w:tabs>
          <w:tab w:val="left" w:pos="6300"/>
        </w:tabs>
        <w:spacing w:line="360" w:lineRule="auto"/>
        <w:jc w:val="left"/>
        <w:rPr>
          <w:rFonts w:hint="eastAsia" w:ascii="宋体" w:hAnsi="宋体" w:eastAsia="宋体" w:cs="宋体"/>
          <w:b/>
          <w:kern w:val="0"/>
          <w:sz w:val="22"/>
          <w:szCs w:val="21"/>
          <w:lang w:val="en-US" w:eastAsia="zh-CN"/>
        </w:rPr>
      </w:pPr>
      <w:r>
        <w:rPr>
          <w:rFonts w:hint="eastAsia" w:ascii="宋体" w:hAnsi="宋体" w:eastAsia="宋体" w:cs="宋体"/>
          <w:b/>
          <w:kern w:val="0"/>
          <w:sz w:val="22"/>
          <w:szCs w:val="21"/>
          <w:lang w:val="en-US" w:eastAsia="zh-CN"/>
        </w:rPr>
        <w:t>1.</w:t>
      </w:r>
      <w:r>
        <w:rPr>
          <w:rFonts w:hint="eastAsia" w:ascii="宋体" w:hAnsi="宋体" w:eastAsia="宋体" w:cs="宋体"/>
          <w:b/>
          <w:kern w:val="0"/>
          <w:sz w:val="22"/>
          <w:szCs w:val="21"/>
          <w:lang w:val="zh-CN"/>
        </w:rPr>
        <w:t>法定代表人/单位负责人有效的身份证复印件（身份证两面均应复印）。</w:t>
      </w:r>
    </w:p>
    <w:p>
      <w:pPr>
        <w:tabs>
          <w:tab w:val="left" w:pos="6300"/>
        </w:tabs>
        <w:spacing w:line="360" w:lineRule="auto"/>
        <w:jc w:val="left"/>
        <w:rPr>
          <w:rFonts w:hint="eastAsia" w:ascii="宋体" w:hAnsi="宋体" w:eastAsia="宋体" w:cs="宋体"/>
          <w:b/>
          <w:kern w:val="0"/>
          <w:sz w:val="22"/>
          <w:szCs w:val="21"/>
          <w:lang w:val="zh-CN"/>
        </w:rPr>
      </w:pPr>
      <w:r>
        <w:rPr>
          <w:rFonts w:hint="eastAsia" w:ascii="宋体" w:hAnsi="宋体" w:eastAsia="宋体" w:cs="宋体"/>
          <w:b/>
          <w:kern w:val="0"/>
          <w:sz w:val="22"/>
          <w:szCs w:val="21"/>
          <w:lang w:val="en-US" w:eastAsia="zh-CN"/>
        </w:rPr>
        <w:t>2.</w:t>
      </w:r>
      <w:r>
        <w:rPr>
          <w:rFonts w:hint="eastAsia" w:ascii="宋体" w:hAnsi="宋体" w:eastAsia="宋体" w:cs="宋体"/>
          <w:b/>
          <w:kern w:val="0"/>
          <w:sz w:val="22"/>
          <w:szCs w:val="21"/>
          <w:lang w:val="zh-CN"/>
        </w:rPr>
        <w:t>授权代表有效的身份证复印件（身份证两面均应复印）。供应商的授权代表为外籍人士的，则需提供护照复印件。</w:t>
      </w:r>
    </w:p>
    <w:p>
      <w:pPr>
        <w:spacing w:line="360" w:lineRule="auto"/>
        <w:jc w:val="left"/>
        <w:rPr>
          <w:rFonts w:hint="eastAsia" w:ascii="宋体" w:hAnsi="宋体" w:eastAsia="宋体" w:cs="宋体"/>
          <w:kern w:val="0"/>
          <w:sz w:val="24"/>
          <w:szCs w:val="22"/>
        </w:rPr>
      </w:pPr>
    </w:p>
    <w:p>
      <w:pPr>
        <w:spacing w:line="360" w:lineRule="auto"/>
        <w:ind w:firstLine="480" w:firstLineChars="200"/>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highlight w:val="none"/>
        </w:rPr>
        <w:t>（签字</w:t>
      </w:r>
      <w:r>
        <w:rPr>
          <w:rFonts w:hint="eastAsia" w:ascii="宋体" w:hAnsi="宋体" w:eastAsia="宋体" w:cs="宋体"/>
          <w:kern w:val="0"/>
          <w:sz w:val="24"/>
          <w:szCs w:val="22"/>
          <w:highlight w:val="none"/>
          <w:lang w:eastAsia="zh-CN"/>
        </w:rPr>
        <w:t>或</w:t>
      </w:r>
      <w:r>
        <w:rPr>
          <w:rFonts w:hint="eastAsia" w:ascii="宋体" w:hAnsi="宋体" w:eastAsia="宋体" w:cs="宋体"/>
          <w:kern w:val="0"/>
          <w:sz w:val="24"/>
          <w:szCs w:val="22"/>
          <w:highlight w:val="none"/>
        </w:rPr>
        <w:t xml:space="preserve">加盖个人名章 ） </w:t>
      </w:r>
      <w:r>
        <w:rPr>
          <w:rFonts w:hint="eastAsia" w:ascii="宋体" w:hAnsi="宋体" w:eastAsia="宋体" w:cs="宋体"/>
          <w:kern w:val="0"/>
          <w:sz w:val="24"/>
          <w:szCs w:val="22"/>
        </w:rPr>
        <w:t xml:space="preserve">                      </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日期：</w:t>
      </w:r>
    </w:p>
    <w:p>
      <w:pPr>
        <w:spacing w:line="360" w:lineRule="auto"/>
        <w:ind w:firstLine="442" w:firstLineChars="200"/>
        <w:jc w:val="left"/>
        <w:rPr>
          <w:rFonts w:hint="eastAsia" w:ascii="宋体" w:hAnsi="宋体" w:eastAsia="宋体" w:cs="宋体"/>
          <w:b/>
          <w:kern w:val="0"/>
          <w:sz w:val="22"/>
          <w:szCs w:val="22"/>
        </w:rPr>
      </w:pPr>
    </w:p>
    <w:p>
      <w:pPr>
        <w:spacing w:line="360" w:lineRule="auto"/>
        <w:jc w:val="left"/>
        <w:rPr>
          <w:rFonts w:hint="eastAsia" w:ascii="宋体" w:hAnsi="宋体" w:eastAsia="宋体" w:cs="宋体"/>
          <w:b/>
          <w:kern w:val="0"/>
          <w:sz w:val="22"/>
          <w:szCs w:val="22"/>
        </w:rPr>
      </w:pPr>
    </w:p>
    <w:p>
      <w:pPr>
        <w:spacing w:line="360" w:lineRule="auto"/>
        <w:ind w:firstLine="442" w:firstLineChars="2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注：</w:t>
      </w:r>
    </w:p>
    <w:p>
      <w:pPr>
        <w:spacing w:line="360" w:lineRule="auto"/>
        <w:ind w:firstLine="442" w:firstLineChars="2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1、供应商为法人单位时提供“法定代表人授权书”，供应商为其他组织时提供“单位负责人授权书”，供应商为自然人时提供“自然人身份证明材料”。</w:t>
      </w:r>
    </w:p>
    <w:p>
      <w:pPr>
        <w:spacing w:line="360" w:lineRule="auto"/>
        <w:ind w:firstLine="442" w:firstLineChars="2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2、身份证明材料包括居民身份证和其他法定有效证明。</w:t>
      </w:r>
    </w:p>
    <w:p>
      <w:pPr>
        <w:spacing w:line="360" w:lineRule="auto"/>
        <w:ind w:firstLine="442" w:firstLineChars="2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3、身份证明材料应同时提供其在有效期的材料，如居民身份证正、反面复印件。</w:t>
      </w:r>
    </w:p>
    <w:p>
      <w:pPr>
        <w:spacing w:line="360" w:lineRule="auto"/>
        <w:ind w:firstLine="442" w:firstLineChars="200"/>
        <w:jc w:val="left"/>
        <w:rPr>
          <w:rFonts w:hint="eastAsia" w:ascii="宋体" w:hAnsi="宋体" w:eastAsia="宋体" w:cs="宋体"/>
          <w:b/>
          <w:kern w:val="0"/>
          <w:sz w:val="22"/>
          <w:szCs w:val="22"/>
        </w:rPr>
        <w:sectPr>
          <w:pgSz w:w="11911" w:h="16838"/>
          <w:pgMar w:top="1440" w:right="1797" w:bottom="1440" w:left="1797" w:header="850" w:footer="737" w:gutter="0"/>
          <w:pgNumType w:fmt="decimal"/>
          <w:cols w:space="720" w:num="1"/>
          <w:docGrid w:linePitch="299" w:charSpace="0"/>
        </w:sectPr>
      </w:pPr>
      <w:r>
        <w:rPr>
          <w:rFonts w:hint="eastAsia" w:ascii="宋体" w:hAnsi="宋体" w:eastAsia="宋体" w:cs="宋体"/>
          <w:b/>
          <w:kern w:val="0"/>
          <w:sz w:val="22"/>
          <w:szCs w:val="22"/>
        </w:rPr>
        <w:t>4、响应文件均由供应商法定代表人/单位负责人签字的</w:t>
      </w:r>
      <w:r>
        <w:rPr>
          <w:rFonts w:hint="eastAsia" w:ascii="宋体" w:hAnsi="宋体" w:cs="宋体"/>
          <w:b/>
          <w:kern w:val="0"/>
          <w:sz w:val="22"/>
          <w:szCs w:val="22"/>
          <w:lang w:eastAsia="zh-CN"/>
        </w:rPr>
        <w:t>，</w:t>
      </w:r>
      <w:r>
        <w:rPr>
          <w:rFonts w:hint="eastAsia" w:ascii="宋体" w:hAnsi="宋体" w:eastAsia="宋体" w:cs="宋体"/>
          <w:b/>
          <w:kern w:val="0"/>
          <w:sz w:val="22"/>
          <w:szCs w:val="22"/>
        </w:rPr>
        <w:t>响应文件中可不提供该附件的内容。</w:t>
      </w:r>
    </w:p>
    <w:p>
      <w:pPr>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t>格式</w:t>
      </w:r>
      <w:r>
        <w:rPr>
          <w:rFonts w:hint="eastAsia" w:ascii="宋体" w:hAnsi="宋体" w:eastAsia="宋体" w:cs="宋体"/>
          <w:b/>
          <w:bCs/>
          <w:kern w:val="0"/>
          <w:sz w:val="32"/>
          <w:szCs w:val="32"/>
          <w:lang w:val="en-US" w:eastAsia="zh-CN"/>
        </w:rPr>
        <w:t>1</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3</w:t>
      </w:r>
    </w:p>
    <w:p>
      <w:pPr>
        <w:widowControl/>
        <w:numPr>
          <w:ilvl w:val="0"/>
          <w:numId w:val="0"/>
        </w:numPr>
        <w:spacing w:line="360" w:lineRule="auto"/>
        <w:jc w:val="center"/>
        <w:outlineLvl w:val="1"/>
        <w:rPr>
          <w:rFonts w:hint="eastAsia" w:ascii="宋体" w:hAnsi="宋体" w:eastAsia="宋体" w:cs="宋体"/>
          <w:b/>
          <w:kern w:val="0"/>
          <w:sz w:val="32"/>
          <w:szCs w:val="32"/>
        </w:rPr>
      </w:pPr>
      <w:bookmarkStart w:id="148" w:name="_Toc8801"/>
      <w:bookmarkStart w:id="149" w:name="_Toc7571"/>
      <w:bookmarkStart w:id="150" w:name="_Toc504987218"/>
      <w:bookmarkStart w:id="151" w:name="_Toc504991362"/>
      <w:bookmarkStart w:id="152" w:name="_Toc504988317"/>
      <w:bookmarkStart w:id="153" w:name="_Toc502912109"/>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中小企业声明函</w:t>
      </w:r>
      <w:bookmarkEnd w:id="148"/>
      <w:bookmarkEnd w:id="149"/>
      <w:bookmarkEnd w:id="150"/>
      <w:bookmarkEnd w:id="151"/>
      <w:bookmarkEnd w:id="152"/>
      <w:bookmarkEnd w:id="153"/>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　</w:t>
      </w:r>
    </w:p>
    <w:p>
      <w:pPr>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 xml:space="preserve">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 xml:space="preserve">的 </w:t>
      </w:r>
      <w:r>
        <w:rPr>
          <w:rFonts w:hint="eastAsia" w:ascii="宋体" w:hAnsi="宋体" w:eastAsia="宋体" w:cs="宋体"/>
          <w:sz w:val="24"/>
          <w:u w:val="single"/>
        </w:rPr>
        <w:t xml:space="preserve">（项目名称） </w:t>
      </w:r>
      <w:r>
        <w:rPr>
          <w:rFonts w:hint="eastAsia" w:ascii="宋体" w:hAnsi="宋体" w:eastAsia="宋体" w:cs="宋体"/>
          <w:sz w:val="24"/>
        </w:rPr>
        <w:t>采购活动，</w:t>
      </w:r>
      <w:r>
        <w:rPr>
          <w:rFonts w:hint="eastAsia" w:ascii="宋体" w:hAnsi="宋体" w:eastAsia="宋体" w:cs="宋体"/>
          <w:sz w:val="24"/>
          <w:lang w:eastAsia="zh-CN"/>
        </w:rPr>
        <w:t>货物</w:t>
      </w:r>
      <w:r>
        <w:rPr>
          <w:rFonts w:hint="eastAsia" w:ascii="宋体" w:hAnsi="宋体" w:eastAsia="宋体" w:cs="宋体"/>
          <w:sz w:val="24"/>
        </w:rPr>
        <w:t>全部由符合政策要求的中小企业</w:t>
      </w:r>
      <w:r>
        <w:rPr>
          <w:rFonts w:hint="eastAsia" w:ascii="宋体" w:hAnsi="宋体" w:eastAsia="宋体" w:cs="宋体"/>
          <w:sz w:val="24"/>
          <w:lang w:eastAsia="zh-CN"/>
        </w:rPr>
        <w:t>制造</w:t>
      </w:r>
      <w:r>
        <w:rPr>
          <w:rFonts w:hint="eastAsia" w:ascii="宋体" w:hAnsi="宋体" w:eastAsia="宋体" w:cs="宋体"/>
          <w:sz w:val="24"/>
        </w:rPr>
        <w:t>。相关企业（含联合体中的中小企业、签订分包意向协议的中小企业）的具体情况如下：</w:t>
      </w:r>
      <w:r>
        <w:rPr>
          <w:rFonts w:hint="eastAsia" w:ascii="宋体" w:hAnsi="宋体" w:eastAsia="宋体" w:cs="宋体"/>
          <w:sz w:val="24"/>
        </w:rPr>
        <w:br w:type="textWrapping"/>
      </w:r>
      <w:r>
        <w:rPr>
          <w:rFonts w:hint="eastAsia" w:ascii="宋体" w:hAnsi="宋体" w:eastAsia="宋体" w:cs="宋体"/>
          <w:sz w:val="24"/>
        </w:rPr>
        <w:t xml:space="preserve">　　1. </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z w:val="24"/>
        </w:rPr>
        <w:t>；制造商为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  </w:t>
      </w:r>
      <w:r>
        <w:rPr>
          <w:rFonts w:hint="eastAsia" w:ascii="宋体" w:hAnsi="宋体" w:eastAsia="宋体" w:cs="宋体"/>
          <w:sz w:val="24"/>
        </w:rPr>
        <w:t>人，营业收入为</w:t>
      </w:r>
      <w:r>
        <w:rPr>
          <w:rFonts w:hint="eastAsia" w:ascii="宋体" w:hAnsi="宋体" w:eastAsia="宋体" w:cs="宋体"/>
          <w:sz w:val="24"/>
          <w:u w:val="single"/>
        </w:rPr>
        <w:t xml:space="preserve">  ××  </w:t>
      </w:r>
      <w:r>
        <w:rPr>
          <w:rFonts w:hint="eastAsia" w:ascii="宋体" w:hAnsi="宋体" w:eastAsia="宋体" w:cs="宋体"/>
          <w:sz w:val="24"/>
        </w:rPr>
        <w:t>万元，资产总额为</w:t>
      </w:r>
      <w:r>
        <w:rPr>
          <w:rFonts w:hint="eastAsia" w:ascii="宋体" w:hAnsi="宋体" w:eastAsia="宋体" w:cs="宋体"/>
          <w:sz w:val="24"/>
          <w:u w:val="single"/>
        </w:rPr>
        <w:t xml:space="preserve"> ××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z w:val="24"/>
        </w:rPr>
        <w:t>；制造商为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  </w:t>
      </w:r>
      <w:r>
        <w:rPr>
          <w:rFonts w:hint="eastAsia" w:ascii="宋体" w:hAnsi="宋体" w:eastAsia="宋体" w:cs="宋体"/>
          <w:sz w:val="24"/>
        </w:rPr>
        <w:t>人，营业收入为</w:t>
      </w:r>
      <w:r>
        <w:rPr>
          <w:rFonts w:hint="eastAsia" w:ascii="宋体" w:hAnsi="宋体" w:eastAsia="宋体" w:cs="宋体"/>
          <w:sz w:val="24"/>
          <w:u w:val="single"/>
        </w:rPr>
        <w:t xml:space="preserve"> ××   </w:t>
      </w:r>
      <w:r>
        <w:rPr>
          <w:rFonts w:hint="eastAsia" w:ascii="宋体" w:hAnsi="宋体" w:eastAsia="宋体" w:cs="宋体"/>
          <w:sz w:val="24"/>
        </w:rPr>
        <w:t>万元，资产总额为</w:t>
      </w:r>
      <w:r>
        <w:rPr>
          <w:rFonts w:hint="eastAsia" w:ascii="宋体" w:hAnsi="宋体" w:eastAsia="宋体" w:cs="宋体"/>
          <w:sz w:val="24"/>
          <w:u w:val="single"/>
        </w:rPr>
        <w:t xml:space="preserve"> ××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after="0" w:line="360" w:lineRule="auto"/>
        <w:jc w:val="center"/>
        <w:rPr>
          <w:rFonts w:hint="eastAsia" w:ascii="宋体" w:hAnsi="宋体" w:eastAsia="宋体" w:cs="宋体"/>
          <w:sz w:val="24"/>
        </w:rPr>
      </w:pPr>
      <w:r>
        <w:rPr>
          <w:rFonts w:hint="eastAsia" w:ascii="宋体" w:hAnsi="宋体" w:eastAsia="宋体" w:cs="宋体"/>
          <w:sz w:val="24"/>
        </w:rPr>
        <w:t xml:space="preserve">                                 企业名称（盖章）：</w:t>
      </w:r>
    </w:p>
    <w:p>
      <w:pPr>
        <w:spacing w:after="0" w:line="360" w:lineRule="auto"/>
        <w:jc w:val="center"/>
        <w:rPr>
          <w:rFonts w:hint="eastAsia" w:ascii="宋体" w:hAnsi="宋体" w:eastAsia="宋体" w:cs="宋体"/>
          <w:sz w:val="24"/>
        </w:rPr>
      </w:pPr>
      <w:r>
        <w:rPr>
          <w:rFonts w:hint="eastAsia" w:ascii="宋体" w:hAnsi="宋体" w:eastAsia="宋体" w:cs="宋体"/>
          <w:sz w:val="24"/>
        </w:rPr>
        <w:t xml:space="preserve">                      日 期：</w:t>
      </w:r>
    </w:p>
    <w:p>
      <w:pPr>
        <w:rPr>
          <w:rFonts w:hint="eastAsia" w:ascii="宋体" w:hAnsi="宋体" w:eastAsia="宋体" w:cs="宋体"/>
        </w:rPr>
      </w:pPr>
    </w:p>
    <w:p>
      <w:pPr>
        <w:spacing w:line="360" w:lineRule="auto"/>
        <w:rPr>
          <w:rFonts w:hint="eastAsia" w:ascii="宋体" w:hAnsi="宋体" w:eastAsia="宋体" w:cs="宋体"/>
          <w:b/>
          <w:bCs/>
          <w:szCs w:val="21"/>
        </w:rPr>
      </w:pPr>
      <w:r>
        <w:rPr>
          <w:rFonts w:hint="eastAsia" w:ascii="宋体" w:hAnsi="宋体" w:eastAsia="宋体" w:cs="宋体"/>
          <w:b/>
          <w:bCs/>
          <w:szCs w:val="21"/>
        </w:rPr>
        <w:t>注：</w:t>
      </w:r>
    </w:p>
    <w:p>
      <w:pPr>
        <w:spacing w:line="360" w:lineRule="auto"/>
        <w:jc w:val="left"/>
        <w:rPr>
          <w:rFonts w:hint="eastAsia" w:ascii="宋体" w:hAnsi="宋体" w:eastAsia="宋体" w:cs="宋体"/>
          <w:b/>
          <w:color w:val="auto"/>
          <w:sz w:val="22"/>
          <w:szCs w:val="21"/>
        </w:rPr>
        <w:sectPr>
          <w:pgSz w:w="11906" w:h="16838"/>
          <w:pgMar w:top="1440" w:right="1474" w:bottom="1440" w:left="1474" w:header="851" w:footer="992" w:gutter="0"/>
          <w:cols w:space="720" w:num="1"/>
          <w:docGrid w:type="lines" w:linePitch="312" w:charSpace="0"/>
        </w:sectPr>
      </w:pPr>
      <w:r>
        <w:rPr>
          <w:rFonts w:hint="eastAsia" w:ascii="宋体" w:hAnsi="宋体" w:eastAsia="宋体" w:cs="宋体"/>
          <w:b/>
          <w:bCs/>
          <w:szCs w:val="21"/>
        </w:rPr>
        <w:t>1、</w:t>
      </w:r>
      <w:r>
        <w:rPr>
          <w:rFonts w:hint="eastAsia" w:ascii="宋体" w:hAnsi="宋体" w:eastAsia="宋体" w:cs="宋体"/>
          <w:b/>
          <w:bCs/>
          <w:szCs w:val="21"/>
          <w:lang w:eastAsia="zh-CN"/>
        </w:rPr>
        <w:t>从业人员、营业收入、</w:t>
      </w:r>
      <w:r>
        <w:rPr>
          <w:rFonts w:hint="eastAsia" w:ascii="宋体" w:hAnsi="宋体" w:eastAsia="宋体" w:cs="宋体"/>
          <w:b/>
          <w:bCs/>
          <w:szCs w:val="21"/>
        </w:rPr>
        <w:t>资产总额填报上一年度数据，无上一年度数据的新成立企业</w:t>
      </w:r>
      <w:r>
        <w:rPr>
          <w:rFonts w:hint="eastAsia" w:ascii="宋体" w:hAnsi="宋体" w:eastAsia="宋体" w:cs="宋体"/>
          <w:b/>
          <w:bCs/>
          <w:szCs w:val="21"/>
          <w:lang w:eastAsia="zh-CN"/>
        </w:rPr>
        <w:t>及监狱企业可不填</w:t>
      </w:r>
      <w:r>
        <w:rPr>
          <w:rFonts w:hint="eastAsia" w:ascii="宋体" w:hAnsi="宋体" w:eastAsia="宋体" w:cs="宋体"/>
          <w:b/>
          <w:color w:val="auto"/>
          <w:sz w:val="22"/>
          <w:szCs w:val="21"/>
          <w:lang w:eastAsia="zh-CN"/>
        </w:rPr>
        <w:t>报</w:t>
      </w:r>
      <w:r>
        <w:rPr>
          <w:rFonts w:hint="eastAsia" w:ascii="宋体" w:hAnsi="宋体" w:eastAsia="宋体" w:cs="宋体"/>
          <w:b/>
          <w:color w:val="auto"/>
          <w:sz w:val="22"/>
          <w:szCs w:val="21"/>
        </w:rPr>
        <w:t>。</w:t>
      </w:r>
    </w:p>
    <w:p>
      <w:pPr>
        <w:spacing w:line="360" w:lineRule="auto"/>
        <w:jc w:val="left"/>
        <w:rPr>
          <w:rFonts w:hint="eastAsia" w:ascii="宋体" w:hAnsi="宋体" w:eastAsia="宋体" w:cs="宋体"/>
          <w:b/>
          <w:bCs/>
          <w:kern w:val="0"/>
          <w:sz w:val="32"/>
          <w:szCs w:val="32"/>
          <w:lang w:val="en-US" w:eastAsia="zh-CN"/>
        </w:rPr>
      </w:pPr>
      <w:bookmarkStart w:id="154" w:name="_Toc15969"/>
      <w:r>
        <w:rPr>
          <w:rFonts w:hint="eastAsia" w:ascii="宋体" w:hAnsi="宋体" w:eastAsia="宋体" w:cs="宋体"/>
          <w:b/>
          <w:bCs/>
          <w:kern w:val="0"/>
          <w:sz w:val="32"/>
          <w:szCs w:val="32"/>
        </w:rPr>
        <w:t>格式</w:t>
      </w:r>
      <w:r>
        <w:rPr>
          <w:rFonts w:hint="eastAsia" w:ascii="宋体" w:hAnsi="宋体" w:eastAsia="宋体" w:cs="宋体"/>
          <w:b/>
          <w:bCs/>
          <w:kern w:val="0"/>
          <w:sz w:val="32"/>
          <w:szCs w:val="32"/>
          <w:lang w:val="en-US" w:eastAsia="zh-CN"/>
        </w:rPr>
        <w:t>1</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4</w:t>
      </w:r>
    </w:p>
    <w:p>
      <w:pPr>
        <w:widowControl/>
        <w:spacing w:line="360" w:lineRule="auto"/>
        <w:jc w:val="center"/>
        <w:outlineLvl w:val="1"/>
        <w:rPr>
          <w:rFonts w:hint="eastAsia" w:ascii="宋体" w:hAnsi="宋体" w:eastAsia="宋体" w:cs="宋体"/>
          <w:b/>
          <w:sz w:val="32"/>
          <w:szCs w:val="32"/>
        </w:rPr>
      </w:pPr>
      <w:bookmarkStart w:id="155" w:name="_Toc5"/>
      <w:r>
        <w:rPr>
          <w:rFonts w:hint="eastAsia" w:ascii="宋体" w:hAnsi="宋体" w:eastAsia="宋体" w:cs="宋体"/>
          <w:b/>
          <w:sz w:val="32"/>
          <w:szCs w:val="32"/>
          <w:lang w:eastAsia="zh-CN"/>
        </w:rPr>
        <w:t>四</w:t>
      </w:r>
      <w:r>
        <w:rPr>
          <w:rFonts w:hint="eastAsia" w:ascii="宋体" w:hAnsi="宋体" w:eastAsia="宋体" w:cs="宋体"/>
          <w:b/>
          <w:sz w:val="32"/>
          <w:szCs w:val="32"/>
        </w:rPr>
        <w:t>、残疾人福利性单位声明函</w:t>
      </w:r>
      <w:bookmarkEnd w:id="154"/>
      <w:bookmarkEnd w:id="155"/>
    </w:p>
    <w:p>
      <w:pPr>
        <w:spacing w:line="360" w:lineRule="auto"/>
        <w:jc w:val="center"/>
        <w:rPr>
          <w:rFonts w:hint="eastAsia" w:ascii="宋体" w:hAnsi="宋体" w:eastAsia="宋体" w:cs="宋体"/>
          <w:b/>
          <w:spacing w:val="6"/>
          <w:sz w:val="24"/>
        </w:rPr>
      </w:pP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360" w:lineRule="auto"/>
        <w:rPr>
          <w:rFonts w:hint="eastAsia" w:ascii="宋体" w:hAnsi="宋体" w:eastAsia="宋体" w:cs="宋体"/>
          <w:spacing w:val="6"/>
          <w:sz w:val="24"/>
        </w:rPr>
      </w:pPr>
    </w:p>
    <w:p>
      <w:pPr>
        <w:spacing w:line="360" w:lineRule="auto"/>
        <w:rPr>
          <w:rFonts w:hint="eastAsia" w:ascii="宋体" w:hAnsi="宋体" w:eastAsia="宋体" w:cs="宋体"/>
          <w:spacing w:val="6"/>
          <w:sz w:val="24"/>
        </w:rPr>
      </w:pPr>
    </w:p>
    <w:p>
      <w:pPr>
        <w:tabs>
          <w:tab w:val="left" w:pos="4860"/>
        </w:tabs>
        <w:spacing w:line="360" w:lineRule="auto"/>
        <w:ind w:right="1560"/>
        <w:rPr>
          <w:rFonts w:hint="eastAsia" w:ascii="宋体" w:hAnsi="宋体" w:eastAsia="宋体" w:cs="宋体"/>
          <w:spacing w:val="6"/>
          <w:sz w:val="24"/>
        </w:rPr>
      </w:pPr>
      <w:r>
        <w:rPr>
          <w:rFonts w:hint="eastAsia" w:ascii="宋体" w:hAnsi="宋体" w:eastAsia="宋体" w:cs="宋体"/>
          <w:spacing w:val="6"/>
          <w:sz w:val="24"/>
        </w:rPr>
        <w:t>单位名称：</w:t>
      </w:r>
      <w:r>
        <w:rPr>
          <w:rFonts w:hint="eastAsia" w:ascii="宋体" w:hAnsi="宋体" w:eastAsia="宋体" w:cs="宋体"/>
          <w:spacing w:val="6"/>
          <w:sz w:val="24"/>
          <w:u w:val="single"/>
        </w:rPr>
        <w:t xml:space="preserve">                     </w:t>
      </w:r>
      <w:r>
        <w:rPr>
          <w:rFonts w:hint="eastAsia" w:ascii="宋体" w:hAnsi="宋体" w:eastAsia="宋体" w:cs="宋体"/>
          <w:spacing w:val="6"/>
          <w:sz w:val="24"/>
        </w:rPr>
        <w:t>（盖章）</w:t>
      </w:r>
    </w:p>
    <w:p>
      <w:pPr>
        <w:spacing w:line="360" w:lineRule="auto"/>
        <w:rPr>
          <w:rFonts w:hint="eastAsia" w:ascii="宋体" w:hAnsi="宋体" w:eastAsia="宋体" w:cs="宋体"/>
          <w:spacing w:val="6"/>
          <w:sz w:val="24"/>
        </w:rPr>
      </w:pPr>
      <w:r>
        <w:rPr>
          <w:rFonts w:hint="eastAsia" w:ascii="宋体" w:hAnsi="宋体" w:eastAsia="宋体" w:cs="宋体"/>
          <w:spacing w:val="6"/>
          <w:sz w:val="24"/>
        </w:rPr>
        <w:t>日  期：</w:t>
      </w:r>
    </w:p>
    <w:p>
      <w:pPr>
        <w:spacing w:line="360" w:lineRule="auto"/>
        <w:rPr>
          <w:rFonts w:hint="eastAsia" w:ascii="宋体" w:hAnsi="宋体" w:eastAsia="宋体" w:cs="宋体"/>
          <w:sz w:val="24"/>
        </w:rPr>
      </w:pPr>
    </w:p>
    <w:p>
      <w:pPr>
        <w:spacing w:line="360" w:lineRule="auto"/>
        <w:rPr>
          <w:rFonts w:hint="eastAsia" w:ascii="宋体" w:hAnsi="宋体" w:eastAsia="宋体" w:cs="宋体"/>
          <w:b/>
          <w:bCs/>
          <w:szCs w:val="21"/>
        </w:rPr>
      </w:pPr>
      <w:r>
        <w:rPr>
          <w:rFonts w:hint="eastAsia" w:ascii="宋体" w:hAnsi="宋体" w:eastAsia="宋体" w:cs="宋体"/>
          <w:b/>
          <w:bCs/>
          <w:szCs w:val="21"/>
        </w:rPr>
        <w:t>注：</w:t>
      </w:r>
    </w:p>
    <w:p>
      <w:pPr>
        <w:numPr>
          <w:ilvl w:val="0"/>
          <w:numId w:val="5"/>
        </w:numPr>
        <w:spacing w:line="360" w:lineRule="auto"/>
        <w:rPr>
          <w:rFonts w:hint="eastAsia" w:ascii="宋体" w:hAnsi="宋体" w:eastAsia="宋体" w:cs="宋体"/>
          <w:b/>
          <w:bCs/>
          <w:szCs w:val="21"/>
        </w:rPr>
      </w:pPr>
      <w:r>
        <w:rPr>
          <w:rFonts w:hint="eastAsia" w:ascii="宋体" w:hAnsi="宋体" w:eastAsia="宋体" w:cs="宋体"/>
          <w:b/>
          <w:bCs/>
          <w:szCs w:val="21"/>
        </w:rPr>
        <w:t>残疾人福利性单位视同小型、微型企业，享受预留份额、评审中价格扣除等促进中小企业发展的政府采购政策。残疾人福利性单位属于小型、微型企业的，不重复享受政策。</w:t>
      </w:r>
    </w:p>
    <w:p>
      <w:pPr>
        <w:numPr>
          <w:ilvl w:val="0"/>
          <w:numId w:val="5"/>
        </w:numPr>
        <w:spacing w:line="360" w:lineRule="auto"/>
        <w:rPr>
          <w:rFonts w:hint="eastAsia" w:ascii="宋体" w:hAnsi="宋体" w:eastAsia="宋体" w:cs="宋体"/>
          <w:b/>
          <w:bCs/>
          <w:szCs w:val="21"/>
        </w:rPr>
        <w:sectPr>
          <w:headerReference r:id="rId14" w:type="default"/>
          <w:pgSz w:w="11906" w:h="16838"/>
          <w:pgMar w:top="1440" w:right="1474" w:bottom="1440" w:left="1474" w:header="851" w:footer="992" w:gutter="0"/>
          <w:cols w:space="720" w:num="1"/>
          <w:docGrid w:type="lines" w:linePitch="312" w:charSpace="0"/>
        </w:sectPr>
      </w:pPr>
      <w:r>
        <w:rPr>
          <w:rFonts w:hint="eastAsia" w:ascii="宋体" w:hAnsi="宋体" w:eastAsia="宋体" w:cs="宋体"/>
          <w:b/>
          <w:bCs/>
          <w:szCs w:val="21"/>
          <w:lang w:eastAsia="zh-CN"/>
        </w:rPr>
        <w:t>供应商</w:t>
      </w:r>
      <w:r>
        <w:rPr>
          <w:rFonts w:hint="eastAsia" w:ascii="宋体" w:hAnsi="宋体" w:eastAsia="宋体" w:cs="宋体"/>
          <w:b/>
          <w:bCs/>
          <w:szCs w:val="21"/>
        </w:rPr>
        <w:t>为非残疾人福利性单位的，可不提供此声明。</w:t>
      </w:r>
    </w:p>
    <w:p>
      <w:pPr>
        <w:spacing w:line="360" w:lineRule="auto"/>
        <w:jc w:val="left"/>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格式</w:t>
      </w:r>
      <w:r>
        <w:rPr>
          <w:rFonts w:hint="eastAsia" w:ascii="宋体" w:hAnsi="宋体" w:eastAsia="宋体" w:cs="宋体"/>
          <w:b/>
          <w:color w:val="auto"/>
          <w:sz w:val="32"/>
          <w:szCs w:val="32"/>
          <w:lang w:val="en-US" w:eastAsia="zh-CN"/>
        </w:rPr>
        <w:t>1-5</w:t>
      </w:r>
    </w:p>
    <w:p>
      <w:pPr>
        <w:numPr>
          <w:ilvl w:val="0"/>
          <w:numId w:val="0"/>
        </w:numPr>
        <w:spacing w:line="360" w:lineRule="auto"/>
        <w:jc w:val="center"/>
        <w:outlineLvl w:val="1"/>
        <w:rPr>
          <w:rFonts w:hint="eastAsia" w:ascii="宋体" w:hAnsi="宋体" w:eastAsia="宋体" w:cs="宋体"/>
          <w:b/>
          <w:sz w:val="32"/>
          <w:szCs w:val="32"/>
          <w:lang w:eastAsia="zh-CN"/>
        </w:rPr>
      </w:pPr>
      <w:bookmarkStart w:id="156" w:name="_Toc3154"/>
      <w:bookmarkStart w:id="157" w:name="_Toc32535"/>
      <w:r>
        <w:rPr>
          <w:rFonts w:hint="eastAsia" w:ascii="宋体" w:hAnsi="宋体" w:eastAsia="宋体" w:cs="宋体"/>
          <w:b/>
          <w:sz w:val="32"/>
          <w:szCs w:val="32"/>
          <w:lang w:eastAsia="zh-CN"/>
        </w:rPr>
        <w:t>五、监狱企业</w:t>
      </w:r>
      <w:bookmarkEnd w:id="156"/>
      <w:bookmarkEnd w:id="157"/>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注：</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lang w:eastAsia="zh-CN"/>
        </w:rPr>
        <w:t>供应商</w:t>
      </w:r>
      <w:r>
        <w:rPr>
          <w:rFonts w:hint="eastAsia" w:ascii="宋体" w:hAnsi="宋体" w:eastAsia="宋体" w:cs="宋体"/>
          <w:spacing w:val="6"/>
          <w:sz w:val="24"/>
        </w:rPr>
        <w:t>符合《政府采购支持监狱企业发展有关问题的通知》（财库〔2014〕68号）规定的划分标准为监狱企业适用。</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2、在政府采购活动中，监狱企业视同小型、微型企业，享受预留份额、评审中价格扣除等政府采购促进中小企业发展的政府采购政策。</w:t>
      </w:r>
    </w:p>
    <w:p>
      <w:pPr>
        <w:spacing w:line="360" w:lineRule="auto"/>
        <w:jc w:val="left"/>
        <w:rPr>
          <w:rFonts w:hint="eastAsia" w:ascii="宋体" w:hAnsi="宋体" w:eastAsia="宋体" w:cs="宋体"/>
          <w:b/>
          <w:bCs/>
          <w:kern w:val="0"/>
          <w:sz w:val="24"/>
        </w:rPr>
      </w:pPr>
    </w:p>
    <w:p>
      <w:pPr>
        <w:pStyle w:val="2"/>
        <w:rPr>
          <w:rFonts w:hint="eastAsia" w:ascii="宋体" w:hAnsi="宋体" w:eastAsia="宋体" w:cs="宋体"/>
        </w:rPr>
        <w:sectPr>
          <w:pgSz w:w="11911" w:h="16838"/>
          <w:pgMar w:top="1440" w:right="1797" w:bottom="1440" w:left="1797" w:header="850" w:footer="737" w:gutter="0"/>
          <w:pgNumType w:fmt="decimal"/>
          <w:cols w:space="720" w:num="1"/>
          <w:docGrid w:linePitch="299" w:charSpace="0"/>
        </w:sectPr>
      </w:pPr>
    </w:p>
    <w:p>
      <w:pPr>
        <w:spacing w:line="360" w:lineRule="auto"/>
        <w:jc w:val="left"/>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rPr>
        <w:t>格式1-</w:t>
      </w:r>
      <w:r>
        <w:rPr>
          <w:rFonts w:hint="eastAsia" w:ascii="宋体" w:hAnsi="宋体" w:eastAsia="宋体" w:cs="宋体"/>
          <w:b/>
          <w:bCs/>
          <w:kern w:val="0"/>
          <w:sz w:val="32"/>
          <w:szCs w:val="32"/>
          <w:lang w:val="en-US" w:eastAsia="zh-CN"/>
        </w:rPr>
        <w:t>6</w:t>
      </w:r>
    </w:p>
    <w:p>
      <w:pPr>
        <w:widowControl/>
        <w:spacing w:line="360" w:lineRule="auto"/>
        <w:jc w:val="center"/>
        <w:outlineLvl w:val="1"/>
        <w:rPr>
          <w:rFonts w:hint="eastAsia" w:ascii="宋体" w:hAnsi="宋体" w:eastAsia="宋体" w:cs="宋体"/>
          <w:b/>
          <w:kern w:val="0"/>
          <w:sz w:val="32"/>
          <w:szCs w:val="32"/>
        </w:rPr>
      </w:pPr>
      <w:bookmarkStart w:id="158" w:name="_Toc504987208"/>
      <w:bookmarkStart w:id="159" w:name="_Toc17046"/>
      <w:bookmarkStart w:id="160" w:name="_Toc504991352"/>
      <w:bookmarkStart w:id="161" w:name="_Toc504988307"/>
      <w:bookmarkStart w:id="162" w:name="_Toc6259"/>
      <w:bookmarkStart w:id="163" w:name="_Toc502912100"/>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、承诺函</w:t>
      </w:r>
      <w:bookmarkEnd w:id="158"/>
      <w:bookmarkEnd w:id="159"/>
      <w:bookmarkEnd w:id="160"/>
      <w:bookmarkEnd w:id="161"/>
      <w:bookmarkEnd w:id="162"/>
      <w:bookmarkEnd w:id="163"/>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lang w:val="zh-CN"/>
        </w:rPr>
        <w:t>四川轩辕招标代理有限公司</w:t>
      </w:r>
      <w:r>
        <w:rPr>
          <w:rFonts w:hint="eastAsia" w:ascii="宋体" w:hAnsi="宋体" w:eastAsia="宋体" w:cs="宋体"/>
          <w:kern w:val="0"/>
          <w:sz w:val="24"/>
          <w:szCs w:val="22"/>
        </w:rPr>
        <w:t>：</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我单位作为本次采购项目的供应商，根据谈判文件要求，现郑重承诺如下：</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1.具有独立承担民事责任的能力；</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2.具有良好的商业信誉和健全的财务会计制度；</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3.具有履行合同所必须的设备和专业技术能力；</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4.具有依法缴纳税收和社会保障资金的良好记录；</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5.参加本次采购活动前三年内，在经营活动中没有重大违法记录；</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6.法律、行政法规规定的其他条件。</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7.我单位及我单位法定代表人、主要负责人近三年内不具有行贿犯罪记录。</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8.我单位未被列入失信被执行人、重大税收违法案件当事人名单、政府采购严重违法失信行为记录名单。</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本公司对上述承诺的内容事项真实性负责。如经查实上述承诺的内容事项存在虚假，我公司愿意接受以提供虚假材料谋取成交追究法律责任。</w:t>
      </w:r>
    </w:p>
    <w:p>
      <w:pPr>
        <w:spacing w:line="360" w:lineRule="auto"/>
        <w:ind w:firstLine="560" w:firstLineChars="200"/>
        <w:jc w:val="left"/>
        <w:rPr>
          <w:rFonts w:hint="eastAsia" w:ascii="宋体" w:hAnsi="宋体" w:eastAsia="宋体" w:cs="宋体"/>
          <w:kern w:val="0"/>
          <w:sz w:val="28"/>
          <w:szCs w:val="28"/>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b/>
          <w:bCs/>
          <w:kern w:val="0"/>
          <w:sz w:val="32"/>
          <w:szCs w:val="32"/>
        </w:rPr>
      </w:pPr>
      <w:r>
        <w:rPr>
          <w:rFonts w:hint="eastAsia" w:ascii="宋体" w:hAnsi="宋体" w:eastAsia="宋体" w:cs="宋体"/>
          <w:kern w:val="0"/>
          <w:sz w:val="24"/>
          <w:szCs w:val="22"/>
          <w:lang w:eastAsia="en-US"/>
        </w:rPr>
        <w:t xml:space="preserve">日期：  </w:t>
      </w:r>
    </w:p>
    <w:p>
      <w:pPr>
        <w:spacing w:line="360" w:lineRule="auto"/>
        <w:jc w:val="left"/>
        <w:rPr>
          <w:rFonts w:hint="eastAsia" w:ascii="宋体" w:hAnsi="宋体" w:eastAsia="宋体" w:cs="宋体"/>
          <w:b/>
          <w:bCs/>
          <w:kern w:val="0"/>
          <w:sz w:val="22"/>
          <w:szCs w:val="22"/>
        </w:rPr>
      </w:pPr>
    </w:p>
    <w:p>
      <w:pPr>
        <w:spacing w:line="360" w:lineRule="auto"/>
        <w:jc w:val="left"/>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格式1-</w:t>
      </w:r>
      <w:r>
        <w:rPr>
          <w:rFonts w:hint="eastAsia" w:ascii="宋体" w:hAnsi="宋体" w:eastAsia="宋体" w:cs="宋体"/>
          <w:b/>
          <w:bCs/>
          <w:kern w:val="0"/>
          <w:sz w:val="32"/>
          <w:szCs w:val="32"/>
          <w:lang w:val="en-US" w:eastAsia="zh-CN"/>
        </w:rPr>
        <w:t>7</w:t>
      </w:r>
    </w:p>
    <w:p>
      <w:pPr>
        <w:numPr>
          <w:ilvl w:val="0"/>
          <w:numId w:val="0"/>
        </w:numPr>
        <w:spacing w:line="360" w:lineRule="auto"/>
        <w:jc w:val="center"/>
        <w:outlineLvl w:val="1"/>
        <w:rPr>
          <w:rFonts w:hint="eastAsia" w:ascii="宋体" w:hAnsi="宋体" w:eastAsia="宋体" w:cs="宋体"/>
          <w:b/>
          <w:bCs/>
          <w:kern w:val="0"/>
          <w:sz w:val="32"/>
          <w:szCs w:val="32"/>
        </w:rPr>
      </w:pPr>
      <w:bookmarkStart w:id="164" w:name="_Toc15651"/>
      <w:r>
        <w:rPr>
          <w:rFonts w:hint="eastAsia" w:ascii="宋体" w:hAnsi="宋体" w:eastAsia="宋体" w:cs="宋体"/>
          <w:b/>
          <w:bCs/>
          <w:kern w:val="0"/>
          <w:sz w:val="32"/>
          <w:szCs w:val="32"/>
          <w:lang w:eastAsia="zh-CN"/>
        </w:rPr>
        <w:t>七、</w:t>
      </w:r>
      <w:r>
        <w:rPr>
          <w:rFonts w:hint="eastAsia" w:ascii="宋体" w:hAnsi="宋体" w:eastAsia="宋体" w:cs="宋体"/>
          <w:b/>
          <w:bCs/>
          <w:kern w:val="0"/>
          <w:sz w:val="32"/>
          <w:szCs w:val="32"/>
        </w:rPr>
        <w:t>供应商其他资格相关证明材料</w:t>
      </w:r>
      <w:bookmarkEnd w:id="164"/>
    </w:p>
    <w:p>
      <w:pPr>
        <w:spacing w:line="360" w:lineRule="auto"/>
        <w:jc w:val="center"/>
        <w:rPr>
          <w:rFonts w:hint="eastAsia" w:ascii="宋体" w:hAnsi="宋体" w:eastAsia="宋体" w:cs="宋体"/>
          <w:b/>
          <w:bCs/>
          <w:kern w:val="0"/>
          <w:sz w:val="32"/>
          <w:szCs w:val="32"/>
        </w:rPr>
      </w:pPr>
    </w:p>
    <w:p>
      <w:pPr>
        <w:spacing w:line="360" w:lineRule="auto"/>
        <w:ind w:left="422" w:hanging="422" w:hangingChars="200"/>
        <w:jc w:val="left"/>
        <w:rPr>
          <w:rFonts w:hint="eastAsia" w:ascii="宋体" w:hAnsi="宋体" w:eastAsia="宋体" w:cs="宋体"/>
          <w:b/>
          <w:bCs/>
          <w:kern w:val="0"/>
          <w:sz w:val="28"/>
          <w:szCs w:val="28"/>
        </w:rPr>
        <w:sectPr>
          <w:pgSz w:w="11911" w:h="16838"/>
          <w:pgMar w:top="1440" w:right="1797" w:bottom="1440" w:left="1797" w:header="850" w:footer="737" w:gutter="0"/>
          <w:pgNumType w:fmt="decimal"/>
          <w:cols w:space="720" w:num="1"/>
          <w:docGrid w:linePitch="299" w:charSpace="0"/>
        </w:sectPr>
      </w:pPr>
      <w:r>
        <w:rPr>
          <w:rFonts w:hint="eastAsia" w:ascii="宋体" w:hAnsi="宋体" w:eastAsia="宋体" w:cs="宋体"/>
          <w:b/>
          <w:bCs/>
          <w:kern w:val="0"/>
          <w:szCs w:val="21"/>
        </w:rPr>
        <w:t>注：供应商应按照采购文件第四章相关要求提供佐证材料，有格式要求的从其要求，无格式要求的格式自拟。</w:t>
      </w:r>
    </w:p>
    <w:p>
      <w:pPr>
        <w:spacing w:line="360" w:lineRule="auto"/>
        <w:rPr>
          <w:rFonts w:hint="eastAsia" w:ascii="宋体" w:hAnsi="宋体" w:eastAsia="宋体" w:cs="宋体"/>
          <w:b/>
          <w:bCs/>
          <w:kern w:val="0"/>
          <w:sz w:val="28"/>
          <w:szCs w:val="28"/>
        </w:rPr>
        <w:sectPr>
          <w:type w:val="continuous"/>
          <w:pgSz w:w="11911" w:h="16838"/>
          <w:pgMar w:top="1440" w:right="1417" w:bottom="1440" w:left="1417" w:header="465" w:footer="1253" w:gutter="0"/>
          <w:pgNumType w:fmt="decimal"/>
          <w:cols w:space="720" w:num="1"/>
          <w:titlePg/>
          <w:docGrid w:linePitch="299" w:charSpace="0"/>
        </w:sectPr>
      </w:pPr>
    </w:p>
    <w:p>
      <w:pPr>
        <w:spacing w:line="360" w:lineRule="auto"/>
        <w:jc w:val="left"/>
        <w:rPr>
          <w:rFonts w:hint="eastAsia" w:ascii="宋体" w:hAnsi="宋体" w:eastAsia="宋体" w:cs="宋体"/>
          <w:b/>
          <w:bCs/>
          <w:kern w:val="0"/>
          <w:sz w:val="23"/>
          <w:szCs w:val="23"/>
        </w:rPr>
        <w:sectPr>
          <w:type w:val="continuous"/>
          <w:pgSz w:w="11911" w:h="16838"/>
          <w:pgMar w:top="1440" w:right="1417" w:bottom="1440" w:left="1417" w:header="465" w:footer="1253" w:gutter="0"/>
          <w:pgNumType w:fmt="decimal"/>
          <w:cols w:space="720" w:num="1"/>
          <w:titlePg/>
          <w:docGrid w:linePitch="299" w:charSpace="0"/>
        </w:sectPr>
      </w:pPr>
    </w:p>
    <w:p>
      <w:pPr>
        <w:spacing w:line="360" w:lineRule="auto"/>
        <w:jc w:val="center"/>
        <w:rPr>
          <w:rFonts w:hint="eastAsia" w:ascii="宋体" w:hAnsi="宋体" w:eastAsia="宋体" w:cs="宋体"/>
          <w:b/>
          <w:bCs/>
          <w:kern w:val="0"/>
          <w:sz w:val="34"/>
          <w:szCs w:val="34"/>
        </w:rPr>
        <w:sectPr>
          <w:pgSz w:w="11911" w:h="16838"/>
          <w:pgMar w:top="1440" w:right="1797" w:bottom="1440" w:left="1797" w:header="850" w:footer="737" w:gutter="0"/>
          <w:pgNumType w:fmt="decimal"/>
          <w:cols w:space="720" w:num="1"/>
          <w:docGrid w:linePitch="299" w:charSpace="0"/>
        </w:sectPr>
      </w:pPr>
    </w:p>
    <w:p>
      <w:pPr>
        <w:spacing w:line="360" w:lineRule="auto"/>
        <w:jc w:val="center"/>
        <w:rPr>
          <w:rFonts w:hint="eastAsia" w:ascii="宋体" w:hAnsi="宋体" w:eastAsia="宋体" w:cs="宋体"/>
          <w:b/>
          <w:bCs/>
          <w:w w:val="180"/>
          <w:kern w:val="0"/>
          <w:sz w:val="34"/>
          <w:szCs w:val="34"/>
        </w:rPr>
      </w:pPr>
      <w:r>
        <w:rPr>
          <w:rFonts w:hint="eastAsia" w:ascii="宋体" w:hAnsi="宋体" w:eastAsia="宋体" w:cs="宋体"/>
          <w:b/>
          <w:bCs/>
          <w:kern w:val="0"/>
          <w:sz w:val="34"/>
          <w:szCs w:val="34"/>
        </w:rPr>
        <w:t>（响应文件分资格性响应文件和技术、服务性响应文件两部分，应分册装订密封）</w:t>
      </w:r>
      <w:r>
        <w:rPr>
          <w:rFonts w:hint="eastAsia" w:ascii="宋体" w:hAnsi="宋体" w:eastAsia="宋体" w:cs="宋体"/>
          <w:b/>
          <w:bCs/>
          <w:w w:val="180"/>
          <w:kern w:val="0"/>
          <w:sz w:val="34"/>
          <w:szCs w:val="34"/>
        </w:rPr>
        <w:t xml:space="preserve"> </w:t>
      </w:r>
    </w:p>
    <w:p>
      <w:pPr>
        <w:spacing w:line="360" w:lineRule="auto"/>
        <w:jc w:val="right"/>
        <w:rPr>
          <w:rFonts w:hint="eastAsia" w:ascii="宋体" w:hAnsi="宋体" w:eastAsia="宋体" w:cs="宋体"/>
          <w:b/>
          <w:bCs/>
          <w:w w:val="110"/>
          <w:kern w:val="0"/>
          <w:sz w:val="36"/>
          <w:szCs w:val="36"/>
        </w:rPr>
      </w:pPr>
      <w:r>
        <w:rPr>
          <w:rFonts w:hint="eastAsia" w:ascii="宋体" w:hAnsi="宋体" w:eastAsia="宋体" w:cs="宋体"/>
          <w:b/>
          <w:bCs/>
          <w:w w:val="110"/>
          <w:kern w:val="0"/>
          <w:sz w:val="36"/>
          <w:szCs w:val="36"/>
        </w:rPr>
        <w:t>（正本/副本）</w:t>
      </w:r>
    </w:p>
    <w:p>
      <w:pPr>
        <w:spacing w:line="360" w:lineRule="auto"/>
        <w:jc w:val="right"/>
        <w:rPr>
          <w:rFonts w:hint="eastAsia" w:ascii="宋体" w:hAnsi="宋体" w:eastAsia="宋体" w:cs="宋体"/>
          <w:b/>
          <w:bCs/>
          <w:w w:val="110"/>
          <w:kern w:val="0"/>
          <w:sz w:val="36"/>
          <w:szCs w:val="36"/>
        </w:rPr>
      </w:pPr>
    </w:p>
    <w:p>
      <w:pPr>
        <w:keepNext/>
        <w:keepLines/>
        <w:spacing w:line="360" w:lineRule="auto"/>
        <w:jc w:val="center"/>
        <w:outlineLvl w:val="1"/>
        <w:rPr>
          <w:rFonts w:hint="eastAsia" w:ascii="宋体" w:hAnsi="宋体" w:eastAsia="宋体" w:cs="宋体"/>
          <w:b/>
          <w:bCs/>
          <w:kern w:val="0"/>
          <w:sz w:val="36"/>
          <w:szCs w:val="20"/>
        </w:rPr>
      </w:pPr>
      <w:bookmarkStart w:id="165" w:name="_Toc504987209"/>
      <w:bookmarkStart w:id="166" w:name="_Toc502912101"/>
      <w:bookmarkStart w:id="167" w:name="_Toc8009"/>
      <w:bookmarkStart w:id="168" w:name="_Toc504991353"/>
      <w:bookmarkStart w:id="169" w:name="_Toc504988308"/>
      <w:bookmarkStart w:id="170" w:name="_Toc14375"/>
      <w:r>
        <w:rPr>
          <w:rFonts w:hint="eastAsia" w:ascii="宋体" w:hAnsi="宋体" w:eastAsia="宋体" w:cs="宋体"/>
          <w:b/>
          <w:bCs/>
          <w:sz w:val="52"/>
          <w:szCs w:val="52"/>
        </w:rPr>
        <w:t>第二部分  技术、服务性响应文件</w:t>
      </w:r>
      <w:bookmarkEnd w:id="165"/>
      <w:bookmarkEnd w:id="166"/>
      <w:bookmarkEnd w:id="167"/>
      <w:bookmarkEnd w:id="168"/>
      <w:bookmarkEnd w:id="169"/>
      <w:bookmarkEnd w:id="170"/>
    </w:p>
    <w:p>
      <w:pPr>
        <w:widowControl/>
        <w:spacing w:line="360" w:lineRule="auto"/>
        <w:jc w:val="center"/>
        <w:rPr>
          <w:rFonts w:hint="eastAsia" w:ascii="宋体" w:hAnsi="宋体" w:eastAsia="宋体" w:cs="宋体"/>
          <w:b/>
          <w:kern w:val="0"/>
          <w:sz w:val="36"/>
          <w:szCs w:val="20"/>
        </w:rPr>
      </w:pPr>
    </w:p>
    <w:p>
      <w:pPr>
        <w:widowControl/>
        <w:spacing w:line="360" w:lineRule="auto"/>
        <w:jc w:val="center"/>
        <w:rPr>
          <w:rFonts w:hint="eastAsia" w:ascii="宋体" w:hAnsi="宋体" w:eastAsia="宋体" w:cs="宋体"/>
          <w:b/>
          <w:kern w:val="0"/>
          <w:sz w:val="36"/>
          <w:szCs w:val="20"/>
        </w:rPr>
      </w:pPr>
    </w:p>
    <w:p>
      <w:pPr>
        <w:widowControl/>
        <w:spacing w:line="360" w:lineRule="auto"/>
        <w:ind w:firstLine="361" w:firstLineChars="100"/>
        <w:jc w:val="left"/>
        <w:rPr>
          <w:rFonts w:hint="eastAsia" w:ascii="宋体" w:hAnsi="宋体" w:eastAsia="宋体" w:cs="宋体"/>
          <w:b/>
          <w:kern w:val="0"/>
          <w:sz w:val="36"/>
          <w:szCs w:val="20"/>
          <w:u w:val="single"/>
        </w:rPr>
      </w:pPr>
      <w:r>
        <w:rPr>
          <w:rFonts w:hint="eastAsia" w:ascii="宋体" w:hAnsi="宋体" w:eastAsia="宋体" w:cs="宋体"/>
          <w:b/>
          <w:kern w:val="0"/>
          <w:sz w:val="36"/>
          <w:szCs w:val="20"/>
        </w:rPr>
        <w:t>项目名称：</w:t>
      </w:r>
      <w:r>
        <w:rPr>
          <w:rFonts w:hint="eastAsia" w:ascii="宋体" w:hAnsi="宋体" w:eastAsia="宋体" w:cs="宋体"/>
          <w:b/>
          <w:kern w:val="0"/>
          <w:sz w:val="36"/>
          <w:szCs w:val="20"/>
          <w:u w:val="single"/>
        </w:rPr>
        <w:t xml:space="preserve">                              </w:t>
      </w:r>
    </w:p>
    <w:p>
      <w:pPr>
        <w:widowControl/>
        <w:spacing w:line="360" w:lineRule="auto"/>
        <w:ind w:firstLine="361" w:firstLineChars="100"/>
        <w:jc w:val="left"/>
        <w:rPr>
          <w:rFonts w:hint="eastAsia" w:ascii="宋体" w:hAnsi="宋体" w:eastAsia="宋体" w:cs="宋体"/>
          <w:b/>
          <w:kern w:val="0"/>
          <w:sz w:val="36"/>
          <w:szCs w:val="20"/>
          <w:u w:val="single"/>
        </w:rPr>
      </w:pPr>
      <w:r>
        <w:rPr>
          <w:rFonts w:hint="eastAsia" w:ascii="宋体" w:hAnsi="宋体" w:eastAsia="宋体" w:cs="宋体"/>
          <w:b/>
          <w:kern w:val="0"/>
          <w:sz w:val="36"/>
          <w:szCs w:val="20"/>
          <w:lang w:eastAsia="zh-CN"/>
        </w:rPr>
        <w:t>采购项目编号</w:t>
      </w:r>
      <w:r>
        <w:rPr>
          <w:rFonts w:hint="eastAsia" w:ascii="宋体" w:hAnsi="宋体" w:eastAsia="宋体" w:cs="宋体"/>
          <w:b/>
          <w:kern w:val="0"/>
          <w:sz w:val="36"/>
          <w:szCs w:val="20"/>
        </w:rPr>
        <w:t>：</w:t>
      </w:r>
      <w:r>
        <w:rPr>
          <w:rFonts w:hint="eastAsia" w:ascii="宋体" w:hAnsi="宋体" w:eastAsia="宋体" w:cs="宋体"/>
          <w:b/>
          <w:kern w:val="0"/>
          <w:sz w:val="36"/>
          <w:szCs w:val="20"/>
          <w:u w:val="single"/>
        </w:rPr>
        <w:t xml:space="preserve">                              </w:t>
      </w:r>
    </w:p>
    <w:p>
      <w:pPr>
        <w:widowControl/>
        <w:spacing w:line="360" w:lineRule="auto"/>
        <w:jc w:val="left"/>
        <w:rPr>
          <w:rFonts w:hint="eastAsia" w:ascii="宋体" w:hAnsi="宋体" w:eastAsia="宋体" w:cs="宋体"/>
          <w:b/>
          <w:kern w:val="0"/>
          <w:sz w:val="36"/>
          <w:szCs w:val="20"/>
        </w:rPr>
      </w:pPr>
    </w:p>
    <w:p>
      <w:pPr>
        <w:widowControl/>
        <w:spacing w:line="360" w:lineRule="auto"/>
        <w:jc w:val="left"/>
        <w:rPr>
          <w:rFonts w:hint="eastAsia" w:ascii="宋体" w:hAnsi="宋体" w:eastAsia="宋体" w:cs="宋体"/>
          <w:b/>
          <w:kern w:val="0"/>
          <w:sz w:val="36"/>
          <w:szCs w:val="20"/>
        </w:rPr>
      </w:pPr>
    </w:p>
    <w:p>
      <w:pPr>
        <w:widowControl/>
        <w:spacing w:line="360" w:lineRule="auto"/>
        <w:ind w:firstLine="562" w:firstLineChars="2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供应商名称 ：</w:t>
      </w:r>
      <w:r>
        <w:rPr>
          <w:rFonts w:hint="eastAsia" w:ascii="宋体" w:hAnsi="宋体" w:eastAsia="宋体" w:cs="宋体"/>
          <w:b/>
          <w:kern w:val="0"/>
          <w:sz w:val="28"/>
          <w:szCs w:val="28"/>
          <w:u w:val="single"/>
        </w:rPr>
        <w:t xml:space="preserve">                                </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日期 ：202</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年</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月</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日</w:t>
      </w:r>
    </w:p>
    <w:p>
      <w:pPr>
        <w:spacing w:line="360" w:lineRule="auto"/>
        <w:jc w:val="left"/>
        <w:rPr>
          <w:rFonts w:hint="eastAsia" w:ascii="宋体" w:hAnsi="宋体" w:eastAsia="宋体" w:cs="宋体"/>
          <w:b/>
          <w:bCs/>
          <w:kern w:val="0"/>
          <w:sz w:val="24"/>
        </w:rPr>
        <w:sectPr>
          <w:type w:val="continuous"/>
          <w:pgSz w:w="11911" w:h="16838"/>
          <w:pgMar w:top="1440" w:right="1417" w:bottom="1440" w:left="1417" w:header="465" w:footer="1253" w:gutter="0"/>
          <w:pgNumType w:fmt="decimal"/>
          <w:cols w:space="720" w:num="1"/>
          <w:titlePg/>
          <w:docGrid w:linePitch="299" w:charSpace="0"/>
        </w:sectPr>
      </w:pPr>
    </w:p>
    <w:p>
      <w:pPr>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32"/>
          <w:szCs w:val="32"/>
        </w:rPr>
        <w:t>格式2-1</w:t>
      </w:r>
    </w:p>
    <w:p>
      <w:pPr>
        <w:widowControl/>
        <w:numPr>
          <w:ilvl w:val="0"/>
          <w:numId w:val="6"/>
        </w:numPr>
        <w:spacing w:line="360" w:lineRule="auto"/>
        <w:jc w:val="center"/>
        <w:outlineLvl w:val="1"/>
        <w:rPr>
          <w:rFonts w:hint="eastAsia" w:ascii="宋体" w:hAnsi="宋体" w:eastAsia="宋体" w:cs="宋体"/>
          <w:b/>
          <w:kern w:val="0"/>
          <w:sz w:val="32"/>
          <w:szCs w:val="32"/>
          <w:lang w:eastAsia="en-US"/>
        </w:rPr>
      </w:pPr>
      <w:bookmarkStart w:id="171" w:name="_Toc15129"/>
      <w:bookmarkStart w:id="172" w:name="_Toc17900"/>
      <w:bookmarkStart w:id="173" w:name="_Toc504991354"/>
      <w:bookmarkStart w:id="174" w:name="_Toc504987210"/>
      <w:bookmarkStart w:id="175" w:name="_Toc502912102"/>
      <w:bookmarkStart w:id="176" w:name="_Toc504988309"/>
      <w:r>
        <w:rPr>
          <w:rFonts w:hint="eastAsia" w:ascii="宋体" w:hAnsi="宋体" w:eastAsia="宋体" w:cs="宋体"/>
          <w:b/>
          <w:kern w:val="0"/>
          <w:sz w:val="32"/>
          <w:szCs w:val="32"/>
        </w:rPr>
        <w:t>响应</w:t>
      </w:r>
      <w:r>
        <w:rPr>
          <w:rFonts w:hint="eastAsia" w:ascii="宋体" w:hAnsi="宋体" w:eastAsia="宋体" w:cs="宋体"/>
          <w:b/>
          <w:kern w:val="0"/>
          <w:sz w:val="32"/>
          <w:szCs w:val="32"/>
          <w:lang w:eastAsia="en-US"/>
        </w:rPr>
        <w:t>函</w:t>
      </w:r>
      <w:bookmarkEnd w:id="171"/>
      <w:bookmarkEnd w:id="172"/>
      <w:bookmarkEnd w:id="173"/>
      <w:bookmarkEnd w:id="174"/>
      <w:bookmarkEnd w:id="175"/>
      <w:bookmarkEnd w:id="176"/>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lang w:val="zh-CN"/>
        </w:rPr>
        <w:t>四川轩辕招标代理有限公司</w:t>
      </w:r>
      <w:r>
        <w:rPr>
          <w:rFonts w:hint="eastAsia" w:ascii="宋体" w:hAnsi="宋体" w:eastAsia="宋体" w:cs="宋体"/>
          <w:kern w:val="0"/>
          <w:sz w:val="24"/>
          <w:szCs w:val="22"/>
        </w:rPr>
        <w:t>：</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我方全面研究了 “</w:t>
      </w:r>
      <w:r>
        <w:rPr>
          <w:rFonts w:hint="eastAsia" w:ascii="宋体" w:hAnsi="宋体" w:eastAsia="宋体" w:cs="宋体"/>
          <w:kern w:val="0"/>
          <w:sz w:val="24"/>
          <w:szCs w:val="22"/>
          <w:u w:val="single"/>
        </w:rPr>
        <w:t>　　　　　　　　　　　　　　　</w:t>
      </w:r>
      <w:r>
        <w:rPr>
          <w:rFonts w:hint="eastAsia" w:ascii="宋体" w:hAnsi="宋体" w:eastAsia="宋体" w:cs="宋体"/>
          <w:kern w:val="0"/>
          <w:sz w:val="24"/>
          <w:szCs w:val="22"/>
        </w:rPr>
        <w:t>”项目谈判文件（采购项目编号：</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），决定参加贵单位组织的本项目谈判。我方授权</w:t>
      </w:r>
      <w:r>
        <w:rPr>
          <w:rFonts w:hint="eastAsia" w:ascii="宋体" w:hAnsi="宋体" w:eastAsia="宋体" w:cs="宋体"/>
          <w:kern w:val="0"/>
          <w:sz w:val="24"/>
          <w:szCs w:val="22"/>
          <w:u w:val="single"/>
        </w:rPr>
        <w:t xml:space="preserve">           （姓名、职务）</w:t>
      </w:r>
      <w:r>
        <w:rPr>
          <w:rFonts w:hint="eastAsia" w:ascii="宋体" w:hAnsi="宋体" w:eastAsia="宋体" w:cs="宋体"/>
          <w:kern w:val="0"/>
          <w:sz w:val="24"/>
          <w:szCs w:val="22"/>
        </w:rPr>
        <w:t>代表我方</w:t>
      </w:r>
      <w:r>
        <w:rPr>
          <w:rFonts w:hint="eastAsia" w:ascii="宋体" w:hAnsi="宋体" w:eastAsia="宋体" w:cs="宋体"/>
          <w:kern w:val="0"/>
          <w:sz w:val="24"/>
          <w:szCs w:val="22"/>
          <w:u w:val="single"/>
        </w:rPr>
        <w:t xml:space="preserve">            （供应商名称）</w:t>
      </w:r>
      <w:r>
        <w:rPr>
          <w:rFonts w:hint="eastAsia" w:ascii="宋体" w:hAnsi="宋体" w:eastAsia="宋体" w:cs="宋体"/>
          <w:kern w:val="0"/>
          <w:sz w:val="24"/>
          <w:szCs w:val="22"/>
        </w:rPr>
        <w:t>全权处理本项目的有关事宜。</w:t>
      </w:r>
    </w:p>
    <w:p>
      <w:pPr>
        <w:spacing w:line="360" w:lineRule="auto"/>
        <w:ind w:firstLine="600" w:firstLineChars="250"/>
        <w:jc w:val="left"/>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sz w:val="24"/>
          <w:szCs w:val="22"/>
        </w:rPr>
        <w:t>我方自愿按照竞争性谈判文件规定的各项要求向采购人提供所需货物或服务。</w:t>
      </w:r>
    </w:p>
    <w:p>
      <w:pPr>
        <w:spacing w:line="360" w:lineRule="auto"/>
        <w:ind w:firstLine="600" w:firstLineChars="250"/>
        <w:jc w:val="left"/>
        <w:rPr>
          <w:rFonts w:hint="eastAsia" w:ascii="宋体" w:hAnsi="宋体" w:eastAsia="宋体" w:cs="宋体"/>
          <w:kern w:val="0"/>
          <w:sz w:val="24"/>
          <w:szCs w:val="22"/>
        </w:rPr>
      </w:pPr>
      <w:r>
        <w:rPr>
          <w:rFonts w:hint="eastAsia" w:ascii="宋体" w:hAnsi="宋体" w:eastAsia="宋体" w:cs="宋体"/>
          <w:kern w:val="0"/>
          <w:sz w:val="24"/>
          <w:szCs w:val="22"/>
        </w:rPr>
        <w:t>2、一旦我方</w:t>
      </w:r>
      <w:r>
        <w:rPr>
          <w:rFonts w:hint="eastAsia" w:ascii="宋体" w:hAnsi="宋体" w:eastAsia="宋体" w:cs="宋体"/>
          <w:kern w:val="0"/>
          <w:sz w:val="24"/>
          <w:szCs w:val="22"/>
          <w:lang w:eastAsia="zh-CN"/>
        </w:rPr>
        <w:t>成交</w:t>
      </w:r>
      <w:r>
        <w:rPr>
          <w:rFonts w:hint="eastAsia" w:ascii="宋体" w:hAnsi="宋体" w:eastAsia="宋体" w:cs="宋体"/>
          <w:kern w:val="0"/>
          <w:sz w:val="24"/>
          <w:szCs w:val="22"/>
        </w:rPr>
        <w:t>，我方将严格履行采购合同规定的责任和义务，否则将承担由此产生的一切责任。</w:t>
      </w:r>
    </w:p>
    <w:p>
      <w:pPr>
        <w:spacing w:line="360" w:lineRule="auto"/>
        <w:ind w:firstLine="600" w:firstLineChars="250"/>
        <w:jc w:val="left"/>
        <w:rPr>
          <w:rFonts w:hint="eastAsia" w:ascii="宋体" w:hAnsi="宋体" w:eastAsia="宋体" w:cs="宋体"/>
          <w:kern w:val="0"/>
          <w:sz w:val="24"/>
          <w:szCs w:val="22"/>
        </w:rPr>
      </w:pPr>
      <w:r>
        <w:rPr>
          <w:rFonts w:hint="eastAsia" w:ascii="宋体" w:hAnsi="宋体" w:eastAsia="宋体" w:cs="宋体"/>
          <w:kern w:val="0"/>
          <w:sz w:val="24"/>
          <w:szCs w:val="22"/>
        </w:rPr>
        <w:t>3、我方为本项目提交的响应文件正本1份，副本</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份</w:t>
      </w:r>
      <w:r>
        <w:rPr>
          <w:rFonts w:hint="eastAsia" w:ascii="宋体" w:hAnsi="宋体" w:eastAsia="宋体" w:cs="宋体"/>
          <w:kern w:val="0"/>
          <w:sz w:val="24"/>
          <w:szCs w:val="22"/>
          <w:lang w:eastAsia="zh-CN"/>
        </w:rPr>
        <w:t>，电子文档</w:t>
      </w:r>
      <w:r>
        <w:rPr>
          <w:rFonts w:hint="eastAsia" w:ascii="宋体" w:hAnsi="宋体" w:eastAsia="宋体" w:cs="宋体"/>
          <w:kern w:val="0"/>
          <w:sz w:val="24"/>
          <w:szCs w:val="22"/>
          <w:u w:val="single"/>
          <w:lang w:val="en-US" w:eastAsia="zh-CN"/>
        </w:rPr>
        <w:t xml:space="preserve">    </w:t>
      </w:r>
      <w:r>
        <w:rPr>
          <w:rFonts w:hint="eastAsia" w:ascii="宋体" w:hAnsi="宋体" w:eastAsia="宋体" w:cs="宋体"/>
          <w:kern w:val="0"/>
          <w:sz w:val="24"/>
          <w:szCs w:val="22"/>
          <w:lang w:val="en-US" w:eastAsia="zh-CN"/>
        </w:rPr>
        <w:t>份</w:t>
      </w:r>
      <w:r>
        <w:rPr>
          <w:rFonts w:hint="eastAsia" w:ascii="宋体" w:hAnsi="宋体" w:eastAsia="宋体" w:cs="宋体"/>
          <w:kern w:val="0"/>
          <w:sz w:val="24"/>
          <w:szCs w:val="22"/>
        </w:rPr>
        <w:t>。</w:t>
      </w:r>
    </w:p>
    <w:p>
      <w:pPr>
        <w:spacing w:line="360" w:lineRule="auto"/>
        <w:ind w:firstLine="600" w:firstLineChars="250"/>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、我方同意本次采购的谈判有效期为递交谈判响应文件截止之日起</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天。</w:t>
      </w:r>
    </w:p>
    <w:p>
      <w:pPr>
        <w:spacing w:line="360" w:lineRule="auto"/>
        <w:ind w:firstLine="600" w:firstLineChars="250"/>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、我方愿意提供贵单位可能另外要求的与谈判有关的文件资料，并保证我方已提供和将要提供的文件资料是真实、准确的。</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lang w:val="en-US" w:eastAsia="zh-CN"/>
        </w:rPr>
        <w:t>6</w:t>
      </w:r>
      <w:r>
        <w:rPr>
          <w:rFonts w:hint="eastAsia" w:ascii="宋体" w:hAnsi="宋体" w:eastAsia="宋体" w:cs="宋体"/>
          <w:bCs/>
          <w:kern w:val="0"/>
          <w:sz w:val="24"/>
          <w:szCs w:val="22"/>
        </w:rPr>
        <w:t>、我单位联系方式：</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rPr>
        <w:t xml:space="preserve">地址：                                </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rPr>
        <w:t>联系人：</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rPr>
        <w:t>联系电话：</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rPr>
        <w:t xml:space="preserve">传真：                     </w:t>
      </w:r>
    </w:p>
    <w:p>
      <w:pPr>
        <w:spacing w:line="360" w:lineRule="auto"/>
        <w:ind w:left="420" w:leftChars="200" w:firstLine="240" w:firstLineChars="100"/>
        <w:jc w:val="left"/>
        <w:rPr>
          <w:rFonts w:hint="eastAsia" w:ascii="宋体" w:hAnsi="宋体" w:eastAsia="宋体" w:cs="宋体"/>
          <w:bCs/>
          <w:kern w:val="0"/>
          <w:sz w:val="24"/>
          <w:szCs w:val="22"/>
        </w:rPr>
      </w:pPr>
      <w:r>
        <w:rPr>
          <w:rFonts w:hint="eastAsia" w:ascii="宋体" w:hAnsi="宋体" w:eastAsia="宋体" w:cs="宋体"/>
          <w:bCs/>
          <w:kern w:val="0"/>
          <w:sz w:val="24"/>
          <w:szCs w:val="22"/>
        </w:rPr>
        <w:t>邮政编码：</w:t>
      </w:r>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rPr>
          <w:rFonts w:hint="eastAsia" w:ascii="宋体" w:hAnsi="宋体" w:eastAsia="宋体" w:cs="宋体"/>
          <w:sz w:val="24"/>
          <w:szCs w:val="22"/>
        </w:rPr>
      </w:pPr>
      <w:r>
        <w:rPr>
          <w:rFonts w:hint="eastAsia" w:ascii="宋体" w:hAnsi="宋体" w:eastAsia="宋体" w:cs="宋体"/>
          <w:kern w:val="0"/>
          <w:sz w:val="24"/>
          <w:szCs w:val="22"/>
        </w:rPr>
        <w:t>日期：</w:t>
      </w:r>
    </w:p>
    <w:p>
      <w:pPr>
        <w:spacing w:line="360" w:lineRule="auto"/>
        <w:ind w:firstLine="480" w:firstLineChars="200"/>
        <w:rPr>
          <w:rFonts w:hint="eastAsia" w:ascii="宋体" w:hAnsi="宋体" w:eastAsia="宋体" w:cs="宋体"/>
          <w:sz w:val="24"/>
          <w:szCs w:val="22"/>
        </w:rPr>
        <w:sectPr>
          <w:pgSz w:w="11911" w:h="16838"/>
          <w:pgMar w:top="1440" w:right="1797" w:bottom="1440" w:left="1797" w:header="850" w:footer="737" w:gutter="0"/>
          <w:pgNumType w:fmt="decimal"/>
          <w:cols w:space="720" w:num="1"/>
          <w:docGrid w:linePitch="299" w:charSpace="0"/>
        </w:sectPr>
      </w:pPr>
    </w:p>
    <w:p>
      <w:pPr>
        <w:spacing w:line="360" w:lineRule="auto"/>
        <w:jc w:val="left"/>
        <w:rPr>
          <w:rFonts w:hint="eastAsia" w:ascii="宋体" w:hAnsi="宋体" w:eastAsia="宋体" w:cs="宋体"/>
          <w:b/>
          <w:kern w:val="0"/>
          <w:sz w:val="32"/>
          <w:szCs w:val="32"/>
        </w:rPr>
      </w:pPr>
      <w:r>
        <w:rPr>
          <w:rFonts w:hint="eastAsia" w:ascii="宋体" w:hAnsi="宋体" w:eastAsia="宋体" w:cs="宋体"/>
          <w:b/>
          <w:bCs/>
          <w:kern w:val="0"/>
          <w:sz w:val="32"/>
          <w:szCs w:val="32"/>
        </w:rPr>
        <w:t>格式2-2</w:t>
      </w:r>
    </w:p>
    <w:p>
      <w:pPr>
        <w:widowControl/>
        <w:numPr>
          <w:ilvl w:val="0"/>
          <w:numId w:val="6"/>
        </w:numPr>
        <w:spacing w:line="360" w:lineRule="auto"/>
        <w:jc w:val="center"/>
        <w:outlineLvl w:val="1"/>
        <w:rPr>
          <w:rFonts w:hint="eastAsia" w:ascii="宋体" w:hAnsi="宋体" w:eastAsia="宋体" w:cs="宋体"/>
          <w:b/>
          <w:kern w:val="0"/>
          <w:sz w:val="32"/>
          <w:szCs w:val="32"/>
          <w:lang w:eastAsia="en-US"/>
        </w:rPr>
      </w:pPr>
      <w:bookmarkStart w:id="177" w:name="_Toc502912103"/>
      <w:bookmarkStart w:id="178" w:name="_Toc504987211"/>
      <w:bookmarkStart w:id="179" w:name="_Toc24708"/>
      <w:bookmarkStart w:id="180" w:name="_Toc504991355"/>
      <w:bookmarkStart w:id="181" w:name="_Toc29107"/>
      <w:bookmarkStart w:id="182" w:name="_Toc504988310"/>
      <w:r>
        <w:rPr>
          <w:rFonts w:hint="eastAsia" w:ascii="宋体" w:hAnsi="宋体" w:eastAsia="宋体" w:cs="宋体"/>
          <w:b/>
          <w:kern w:val="0"/>
          <w:sz w:val="32"/>
          <w:szCs w:val="32"/>
          <w:lang w:eastAsia="en-US"/>
        </w:rPr>
        <w:t>承诺函</w:t>
      </w:r>
      <w:bookmarkEnd w:id="177"/>
      <w:bookmarkEnd w:id="178"/>
      <w:bookmarkEnd w:id="179"/>
      <w:bookmarkEnd w:id="180"/>
      <w:bookmarkEnd w:id="181"/>
      <w:bookmarkEnd w:id="182"/>
    </w:p>
    <w:p>
      <w:pPr>
        <w:spacing w:line="360" w:lineRule="auto"/>
        <w:jc w:val="left"/>
        <w:rPr>
          <w:rFonts w:hint="eastAsia" w:ascii="宋体" w:hAnsi="宋体" w:eastAsia="宋体" w:cs="宋体"/>
          <w:kern w:val="0"/>
          <w:sz w:val="24"/>
          <w:szCs w:val="22"/>
          <w:lang w:eastAsia="en-US"/>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lang w:val="zh-CN"/>
        </w:rPr>
        <w:t>四川轩辕招标代理有限公司</w:t>
      </w:r>
      <w:r>
        <w:rPr>
          <w:rFonts w:hint="eastAsia" w:ascii="宋体" w:hAnsi="宋体" w:eastAsia="宋体" w:cs="宋体"/>
          <w:kern w:val="0"/>
          <w:sz w:val="24"/>
          <w:szCs w:val="22"/>
        </w:rPr>
        <w:t>：</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我单位作为本次采购项目的供应商，根据谈判文件要求，现郑重承诺如下：</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一、完全接受和满足本项目谈判文件中规定的实质性要求，如对谈判文件有异议，已依法进行维权救济，不存在对谈判文件有异议的同时又参加谈判以求侥幸中选或者为实现其他非法目的的行为。</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二、参加本次谈判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三、参加本次谈判采购活动，不存在和其他供应商在同一合同项下的采购项目中，同时委托同一个自然人、同一家庭的人员、同一单位的人员作为代理人的行为。</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四、不发生任何串通与项目有关的相关单位，损害采购人及采购代理机构利益的行为。</w:t>
      </w:r>
    </w:p>
    <w:p>
      <w:pPr>
        <w:spacing w:line="360" w:lineRule="auto"/>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本单位对上述承诺的内容事项真实性负责。如经查实上述承诺的内容事项存在虚假，我单位愿意接受以提供虚假材料谋取中标追究法律责任。</w:t>
      </w:r>
    </w:p>
    <w:p>
      <w:pPr>
        <w:spacing w:line="360" w:lineRule="auto"/>
        <w:ind w:firstLine="480" w:firstLineChars="200"/>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2"/>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szCs w:val="22"/>
        </w:rPr>
        <w:t>日期：</w:t>
      </w:r>
    </w:p>
    <w:p>
      <w:pPr>
        <w:spacing w:line="360" w:lineRule="auto"/>
        <w:jc w:val="left"/>
        <w:rPr>
          <w:rFonts w:hint="eastAsia" w:ascii="宋体" w:hAnsi="宋体" w:eastAsia="宋体" w:cs="宋体"/>
          <w:b/>
          <w:bCs/>
          <w:kern w:val="0"/>
          <w:sz w:val="32"/>
          <w:szCs w:val="32"/>
        </w:rPr>
        <w:sectPr>
          <w:pgSz w:w="11911" w:h="16838"/>
          <w:pgMar w:top="1440" w:right="1797" w:bottom="1440" w:left="1797" w:header="850" w:footer="737" w:gutter="0"/>
          <w:pgNumType w:fmt="decimal"/>
          <w:cols w:space="720" w:num="1"/>
          <w:docGrid w:linePitch="299" w:charSpace="0"/>
        </w:sectPr>
      </w:pPr>
    </w:p>
    <w:p>
      <w:pPr>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格式2-3</w:t>
      </w:r>
    </w:p>
    <w:p>
      <w:pPr>
        <w:widowControl/>
        <w:numPr>
          <w:ilvl w:val="0"/>
          <w:numId w:val="6"/>
        </w:numPr>
        <w:spacing w:line="360" w:lineRule="auto"/>
        <w:jc w:val="center"/>
        <w:outlineLvl w:val="1"/>
        <w:rPr>
          <w:rFonts w:hint="eastAsia" w:ascii="宋体" w:hAnsi="宋体" w:eastAsia="宋体" w:cs="宋体"/>
          <w:b/>
          <w:kern w:val="0"/>
          <w:sz w:val="32"/>
          <w:szCs w:val="32"/>
          <w:lang w:eastAsia="en-US"/>
        </w:rPr>
      </w:pPr>
      <w:bookmarkStart w:id="183" w:name="_Toc504987212"/>
      <w:bookmarkStart w:id="184" w:name="_Toc14970"/>
      <w:bookmarkStart w:id="185" w:name="_Toc502912104"/>
      <w:bookmarkStart w:id="186" w:name="_Toc504988311"/>
      <w:bookmarkStart w:id="187" w:name="_Toc504991356"/>
      <w:bookmarkStart w:id="188" w:name="_Toc6637"/>
      <w:r>
        <w:rPr>
          <w:rFonts w:hint="eastAsia" w:ascii="宋体" w:hAnsi="宋体" w:eastAsia="宋体" w:cs="宋体"/>
          <w:b/>
          <w:kern w:val="0"/>
          <w:sz w:val="32"/>
          <w:szCs w:val="32"/>
          <w:lang w:eastAsia="en-US"/>
        </w:rPr>
        <w:t>首轮报价函</w:t>
      </w:r>
      <w:bookmarkEnd w:id="183"/>
      <w:bookmarkEnd w:id="184"/>
      <w:bookmarkEnd w:id="185"/>
      <w:bookmarkEnd w:id="186"/>
      <w:bookmarkEnd w:id="187"/>
      <w:bookmarkEnd w:id="188"/>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50"/>
        <w:gridCol w:w="1920"/>
        <w:gridCol w:w="1620"/>
        <w:gridCol w:w="1695"/>
        <w:gridCol w:w="1755"/>
        <w:gridCol w:w="2190"/>
        <w:gridCol w:w="128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2" w:type="dxa"/>
            <w:noWrap w:val="0"/>
            <w:vAlign w:val="center"/>
          </w:tcPr>
          <w:p>
            <w:pPr>
              <w:pStyle w:val="2"/>
              <w:rPr>
                <w:rFonts w:hint="eastAsia" w:ascii="宋体" w:hAnsi="宋体" w:eastAsia="宋体" w:cs="宋体"/>
                <w:kern w:val="0"/>
                <w:sz w:val="24"/>
                <w:lang w:eastAsia="en-US"/>
              </w:rPr>
            </w:pPr>
            <w:r>
              <w:rPr>
                <w:rFonts w:hint="eastAsia" w:ascii="宋体" w:hAnsi="宋体" w:eastAsia="宋体" w:cs="宋体"/>
                <w:b/>
                <w:color w:val="auto"/>
              </w:rPr>
              <w:t xml:space="preserve"> </w:t>
            </w:r>
            <w:r>
              <w:rPr>
                <w:rFonts w:hint="eastAsia" w:ascii="宋体" w:hAnsi="宋体" w:eastAsia="宋体" w:cs="宋体"/>
                <w:kern w:val="0"/>
                <w:sz w:val="24"/>
                <w:lang w:eastAsia="en-US"/>
              </w:rPr>
              <w:t>序号</w:t>
            </w:r>
          </w:p>
        </w:tc>
        <w:tc>
          <w:tcPr>
            <w:tcW w:w="1950"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rPr>
              <w:t>货物名称</w:t>
            </w:r>
          </w:p>
        </w:tc>
        <w:tc>
          <w:tcPr>
            <w:tcW w:w="192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品牌</w:t>
            </w:r>
          </w:p>
        </w:tc>
        <w:tc>
          <w:tcPr>
            <w:tcW w:w="162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型号</w:t>
            </w:r>
          </w:p>
        </w:tc>
        <w:tc>
          <w:tcPr>
            <w:tcW w:w="1695"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eastAsia="en-US"/>
              </w:rPr>
              <w:t>单价</w:t>
            </w:r>
            <w:r>
              <w:rPr>
                <w:rFonts w:hint="eastAsia" w:ascii="宋体" w:hAnsi="宋体" w:eastAsia="宋体" w:cs="宋体"/>
                <w:sz w:val="24"/>
              </w:rPr>
              <w:t>（元）</w:t>
            </w:r>
          </w:p>
        </w:tc>
        <w:tc>
          <w:tcPr>
            <w:tcW w:w="1755"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数量（单位）</w:t>
            </w:r>
          </w:p>
        </w:tc>
        <w:tc>
          <w:tcPr>
            <w:tcW w:w="219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合计金额（元）</w:t>
            </w:r>
          </w:p>
        </w:tc>
        <w:tc>
          <w:tcPr>
            <w:tcW w:w="1289"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eastAsia="zh-CN"/>
              </w:rPr>
              <w:t>交货期</w:t>
            </w:r>
          </w:p>
        </w:tc>
        <w:tc>
          <w:tcPr>
            <w:tcW w:w="811"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2"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lang w:eastAsia="en-US"/>
              </w:rPr>
              <w:t>1</w:t>
            </w:r>
          </w:p>
        </w:tc>
        <w:tc>
          <w:tcPr>
            <w:tcW w:w="1950" w:type="dxa"/>
            <w:noWrap w:val="0"/>
            <w:vAlign w:val="center"/>
          </w:tcPr>
          <w:p>
            <w:pPr>
              <w:spacing w:line="360" w:lineRule="auto"/>
              <w:jc w:val="center"/>
              <w:rPr>
                <w:rFonts w:hint="eastAsia" w:ascii="宋体" w:hAnsi="宋体" w:eastAsia="宋体" w:cs="宋体"/>
                <w:sz w:val="24"/>
                <w:lang w:eastAsia="en-US"/>
              </w:rPr>
            </w:pPr>
          </w:p>
        </w:tc>
        <w:tc>
          <w:tcPr>
            <w:tcW w:w="1920" w:type="dxa"/>
            <w:noWrap w:val="0"/>
            <w:vAlign w:val="center"/>
          </w:tcPr>
          <w:p>
            <w:pPr>
              <w:spacing w:line="360" w:lineRule="auto"/>
              <w:jc w:val="center"/>
              <w:rPr>
                <w:rFonts w:hint="eastAsia" w:ascii="宋体" w:hAnsi="宋体" w:eastAsia="宋体" w:cs="宋体"/>
                <w:sz w:val="24"/>
                <w:lang w:eastAsia="en-US"/>
              </w:rPr>
            </w:pPr>
          </w:p>
        </w:tc>
        <w:tc>
          <w:tcPr>
            <w:tcW w:w="1620" w:type="dxa"/>
            <w:noWrap w:val="0"/>
            <w:vAlign w:val="center"/>
          </w:tcPr>
          <w:p>
            <w:pPr>
              <w:spacing w:line="360" w:lineRule="auto"/>
              <w:jc w:val="center"/>
              <w:rPr>
                <w:rFonts w:hint="eastAsia" w:ascii="宋体" w:hAnsi="宋体" w:eastAsia="宋体" w:cs="宋体"/>
                <w:sz w:val="24"/>
                <w:lang w:eastAsia="en-US"/>
              </w:rPr>
            </w:pPr>
          </w:p>
        </w:tc>
        <w:tc>
          <w:tcPr>
            <w:tcW w:w="1695" w:type="dxa"/>
            <w:noWrap w:val="0"/>
            <w:vAlign w:val="center"/>
          </w:tcPr>
          <w:p>
            <w:pPr>
              <w:spacing w:line="360" w:lineRule="auto"/>
              <w:jc w:val="left"/>
              <w:rPr>
                <w:rFonts w:hint="eastAsia" w:ascii="宋体" w:hAnsi="宋体" w:eastAsia="宋体" w:cs="宋体"/>
                <w:sz w:val="24"/>
                <w:lang w:eastAsia="en-US"/>
              </w:rPr>
            </w:pPr>
            <w:r>
              <w:rPr>
                <w:rFonts w:hint="eastAsia" w:ascii="宋体" w:hAnsi="宋体" w:eastAsia="宋体" w:cs="宋体"/>
                <w:sz w:val="24"/>
                <w:lang w:eastAsia="en-US"/>
              </w:rPr>
              <w:t>小写：　　</w:t>
            </w:r>
          </w:p>
        </w:tc>
        <w:tc>
          <w:tcPr>
            <w:tcW w:w="1755" w:type="dxa"/>
            <w:noWrap w:val="0"/>
            <w:vAlign w:val="center"/>
          </w:tcPr>
          <w:p>
            <w:pPr>
              <w:spacing w:line="360" w:lineRule="auto"/>
              <w:jc w:val="left"/>
              <w:rPr>
                <w:rFonts w:hint="eastAsia" w:ascii="宋体" w:hAnsi="宋体" w:eastAsia="宋体" w:cs="宋体"/>
                <w:sz w:val="24"/>
                <w:lang w:eastAsia="en-US"/>
              </w:rPr>
            </w:pPr>
          </w:p>
        </w:tc>
        <w:tc>
          <w:tcPr>
            <w:tcW w:w="2190" w:type="dxa"/>
            <w:noWrap w:val="0"/>
            <w:vAlign w:val="center"/>
          </w:tcPr>
          <w:p>
            <w:pPr>
              <w:spacing w:line="360" w:lineRule="auto"/>
              <w:jc w:val="left"/>
              <w:rPr>
                <w:rFonts w:hint="eastAsia" w:ascii="宋体" w:hAnsi="宋体" w:eastAsia="宋体" w:cs="宋体"/>
                <w:sz w:val="24"/>
                <w:lang w:eastAsia="en-US"/>
              </w:rPr>
            </w:pPr>
          </w:p>
        </w:tc>
        <w:tc>
          <w:tcPr>
            <w:tcW w:w="1289" w:type="dxa"/>
            <w:noWrap w:val="0"/>
            <w:vAlign w:val="center"/>
          </w:tcPr>
          <w:p>
            <w:pPr>
              <w:spacing w:line="360" w:lineRule="auto"/>
              <w:jc w:val="center"/>
              <w:rPr>
                <w:rFonts w:hint="eastAsia" w:ascii="宋体" w:hAnsi="宋体" w:eastAsia="宋体" w:cs="宋体"/>
                <w:sz w:val="24"/>
                <w:lang w:eastAsia="en-US"/>
              </w:rPr>
            </w:pPr>
          </w:p>
        </w:tc>
        <w:tc>
          <w:tcPr>
            <w:tcW w:w="811" w:type="dxa"/>
            <w:noWrap w:val="0"/>
            <w:vAlign w:val="center"/>
          </w:tcPr>
          <w:p>
            <w:pPr>
              <w:spacing w:line="360" w:lineRule="auto"/>
              <w:jc w:val="center"/>
              <w:rPr>
                <w:rFonts w:hint="eastAsia"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2"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lang w:eastAsia="en-US"/>
              </w:rPr>
              <w:t>2</w:t>
            </w:r>
          </w:p>
        </w:tc>
        <w:tc>
          <w:tcPr>
            <w:tcW w:w="1950" w:type="dxa"/>
            <w:noWrap w:val="0"/>
            <w:vAlign w:val="center"/>
          </w:tcPr>
          <w:p>
            <w:pPr>
              <w:spacing w:line="360" w:lineRule="auto"/>
              <w:jc w:val="center"/>
              <w:rPr>
                <w:rFonts w:hint="eastAsia" w:ascii="宋体" w:hAnsi="宋体" w:eastAsia="宋体" w:cs="宋体"/>
                <w:sz w:val="24"/>
                <w:lang w:eastAsia="en-US"/>
              </w:rPr>
            </w:pPr>
          </w:p>
        </w:tc>
        <w:tc>
          <w:tcPr>
            <w:tcW w:w="1920" w:type="dxa"/>
            <w:noWrap w:val="0"/>
            <w:vAlign w:val="center"/>
          </w:tcPr>
          <w:p>
            <w:pPr>
              <w:spacing w:line="360" w:lineRule="auto"/>
              <w:jc w:val="center"/>
              <w:rPr>
                <w:rFonts w:hint="eastAsia" w:ascii="宋体" w:hAnsi="宋体" w:eastAsia="宋体" w:cs="宋体"/>
                <w:sz w:val="24"/>
                <w:lang w:eastAsia="en-US"/>
              </w:rPr>
            </w:pPr>
          </w:p>
        </w:tc>
        <w:tc>
          <w:tcPr>
            <w:tcW w:w="1620" w:type="dxa"/>
            <w:noWrap w:val="0"/>
            <w:vAlign w:val="center"/>
          </w:tcPr>
          <w:p>
            <w:pPr>
              <w:spacing w:line="360" w:lineRule="auto"/>
              <w:jc w:val="center"/>
              <w:rPr>
                <w:rFonts w:hint="eastAsia" w:ascii="宋体" w:hAnsi="宋体" w:eastAsia="宋体" w:cs="宋体"/>
                <w:sz w:val="24"/>
                <w:lang w:eastAsia="en-US"/>
              </w:rPr>
            </w:pPr>
          </w:p>
        </w:tc>
        <w:tc>
          <w:tcPr>
            <w:tcW w:w="1695" w:type="dxa"/>
            <w:noWrap w:val="0"/>
            <w:vAlign w:val="center"/>
          </w:tcPr>
          <w:p>
            <w:pPr>
              <w:spacing w:line="360" w:lineRule="auto"/>
              <w:jc w:val="left"/>
              <w:rPr>
                <w:rFonts w:hint="eastAsia" w:ascii="宋体" w:hAnsi="宋体" w:eastAsia="宋体" w:cs="宋体"/>
                <w:sz w:val="24"/>
                <w:lang w:eastAsia="en-US"/>
              </w:rPr>
            </w:pPr>
            <w:r>
              <w:rPr>
                <w:rFonts w:hint="eastAsia" w:ascii="宋体" w:hAnsi="宋体" w:eastAsia="宋体" w:cs="宋体"/>
                <w:sz w:val="24"/>
                <w:lang w:eastAsia="en-US"/>
              </w:rPr>
              <w:t>小写：　　</w:t>
            </w:r>
          </w:p>
        </w:tc>
        <w:tc>
          <w:tcPr>
            <w:tcW w:w="1755" w:type="dxa"/>
            <w:noWrap w:val="0"/>
            <w:vAlign w:val="center"/>
          </w:tcPr>
          <w:p>
            <w:pPr>
              <w:spacing w:line="360" w:lineRule="auto"/>
              <w:jc w:val="left"/>
              <w:rPr>
                <w:rFonts w:hint="eastAsia" w:ascii="宋体" w:hAnsi="宋体" w:eastAsia="宋体" w:cs="宋体"/>
                <w:sz w:val="24"/>
                <w:lang w:eastAsia="en-US"/>
              </w:rPr>
            </w:pPr>
          </w:p>
        </w:tc>
        <w:tc>
          <w:tcPr>
            <w:tcW w:w="2190" w:type="dxa"/>
            <w:noWrap w:val="0"/>
            <w:vAlign w:val="center"/>
          </w:tcPr>
          <w:p>
            <w:pPr>
              <w:spacing w:line="360" w:lineRule="auto"/>
              <w:jc w:val="left"/>
              <w:rPr>
                <w:rFonts w:hint="eastAsia" w:ascii="宋体" w:hAnsi="宋体" w:eastAsia="宋体" w:cs="宋体"/>
                <w:sz w:val="24"/>
                <w:lang w:eastAsia="en-US"/>
              </w:rPr>
            </w:pPr>
          </w:p>
        </w:tc>
        <w:tc>
          <w:tcPr>
            <w:tcW w:w="1289" w:type="dxa"/>
            <w:noWrap w:val="0"/>
            <w:vAlign w:val="center"/>
          </w:tcPr>
          <w:p>
            <w:pPr>
              <w:spacing w:line="360" w:lineRule="auto"/>
              <w:jc w:val="center"/>
              <w:rPr>
                <w:rFonts w:hint="eastAsia" w:ascii="宋体" w:hAnsi="宋体" w:eastAsia="宋体" w:cs="宋体"/>
                <w:sz w:val="24"/>
                <w:lang w:eastAsia="en-US"/>
              </w:rPr>
            </w:pPr>
          </w:p>
        </w:tc>
        <w:tc>
          <w:tcPr>
            <w:tcW w:w="811" w:type="dxa"/>
            <w:noWrap w:val="0"/>
            <w:vAlign w:val="center"/>
          </w:tcPr>
          <w:p>
            <w:pPr>
              <w:spacing w:line="360" w:lineRule="auto"/>
              <w:jc w:val="center"/>
              <w:rPr>
                <w:rFonts w:hint="eastAsia"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2"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lang w:eastAsia="en-US"/>
              </w:rPr>
              <w:t>3</w:t>
            </w:r>
          </w:p>
        </w:tc>
        <w:tc>
          <w:tcPr>
            <w:tcW w:w="1950" w:type="dxa"/>
            <w:noWrap w:val="0"/>
            <w:vAlign w:val="center"/>
          </w:tcPr>
          <w:p>
            <w:pPr>
              <w:spacing w:line="360" w:lineRule="auto"/>
              <w:jc w:val="center"/>
              <w:rPr>
                <w:rFonts w:hint="eastAsia" w:ascii="宋体" w:hAnsi="宋体" w:eastAsia="宋体" w:cs="宋体"/>
                <w:sz w:val="24"/>
                <w:lang w:eastAsia="en-US"/>
              </w:rPr>
            </w:pPr>
          </w:p>
        </w:tc>
        <w:tc>
          <w:tcPr>
            <w:tcW w:w="1920" w:type="dxa"/>
            <w:noWrap w:val="0"/>
            <w:vAlign w:val="center"/>
          </w:tcPr>
          <w:p>
            <w:pPr>
              <w:spacing w:line="360" w:lineRule="auto"/>
              <w:jc w:val="center"/>
              <w:rPr>
                <w:rFonts w:hint="eastAsia" w:ascii="宋体" w:hAnsi="宋体" w:eastAsia="宋体" w:cs="宋体"/>
                <w:sz w:val="24"/>
                <w:lang w:eastAsia="en-US"/>
              </w:rPr>
            </w:pPr>
          </w:p>
        </w:tc>
        <w:tc>
          <w:tcPr>
            <w:tcW w:w="1620" w:type="dxa"/>
            <w:noWrap w:val="0"/>
            <w:vAlign w:val="center"/>
          </w:tcPr>
          <w:p>
            <w:pPr>
              <w:spacing w:line="360" w:lineRule="auto"/>
              <w:jc w:val="center"/>
              <w:rPr>
                <w:rFonts w:hint="eastAsia" w:ascii="宋体" w:hAnsi="宋体" w:eastAsia="宋体" w:cs="宋体"/>
                <w:sz w:val="24"/>
                <w:lang w:eastAsia="en-US"/>
              </w:rPr>
            </w:pPr>
          </w:p>
        </w:tc>
        <w:tc>
          <w:tcPr>
            <w:tcW w:w="1695" w:type="dxa"/>
            <w:noWrap w:val="0"/>
            <w:vAlign w:val="center"/>
          </w:tcPr>
          <w:p>
            <w:pPr>
              <w:spacing w:line="360" w:lineRule="auto"/>
              <w:jc w:val="left"/>
              <w:rPr>
                <w:rFonts w:hint="eastAsia" w:ascii="宋体" w:hAnsi="宋体" w:eastAsia="宋体" w:cs="宋体"/>
                <w:sz w:val="24"/>
                <w:lang w:eastAsia="en-US"/>
              </w:rPr>
            </w:pPr>
            <w:r>
              <w:rPr>
                <w:rFonts w:hint="eastAsia" w:ascii="宋体" w:hAnsi="宋体" w:eastAsia="宋体" w:cs="宋体"/>
                <w:sz w:val="24"/>
                <w:lang w:eastAsia="en-US"/>
              </w:rPr>
              <w:t>小写：　　</w:t>
            </w:r>
          </w:p>
        </w:tc>
        <w:tc>
          <w:tcPr>
            <w:tcW w:w="1755" w:type="dxa"/>
            <w:noWrap w:val="0"/>
            <w:vAlign w:val="center"/>
          </w:tcPr>
          <w:p>
            <w:pPr>
              <w:spacing w:line="360" w:lineRule="auto"/>
              <w:jc w:val="left"/>
              <w:rPr>
                <w:rFonts w:hint="eastAsia" w:ascii="宋体" w:hAnsi="宋体" w:eastAsia="宋体" w:cs="宋体"/>
                <w:sz w:val="24"/>
                <w:lang w:eastAsia="en-US"/>
              </w:rPr>
            </w:pPr>
          </w:p>
        </w:tc>
        <w:tc>
          <w:tcPr>
            <w:tcW w:w="2190" w:type="dxa"/>
            <w:noWrap w:val="0"/>
            <w:vAlign w:val="center"/>
          </w:tcPr>
          <w:p>
            <w:pPr>
              <w:spacing w:line="360" w:lineRule="auto"/>
              <w:jc w:val="left"/>
              <w:rPr>
                <w:rFonts w:hint="eastAsia" w:ascii="宋体" w:hAnsi="宋体" w:eastAsia="宋体" w:cs="宋体"/>
                <w:sz w:val="24"/>
                <w:lang w:eastAsia="en-US"/>
              </w:rPr>
            </w:pPr>
          </w:p>
        </w:tc>
        <w:tc>
          <w:tcPr>
            <w:tcW w:w="1289" w:type="dxa"/>
            <w:noWrap w:val="0"/>
            <w:vAlign w:val="center"/>
          </w:tcPr>
          <w:p>
            <w:pPr>
              <w:spacing w:line="360" w:lineRule="auto"/>
              <w:jc w:val="center"/>
              <w:rPr>
                <w:rFonts w:hint="eastAsia" w:ascii="宋体" w:hAnsi="宋体" w:eastAsia="宋体" w:cs="宋体"/>
                <w:sz w:val="24"/>
                <w:lang w:eastAsia="en-US"/>
              </w:rPr>
            </w:pPr>
          </w:p>
        </w:tc>
        <w:tc>
          <w:tcPr>
            <w:tcW w:w="811" w:type="dxa"/>
            <w:noWrap w:val="0"/>
            <w:vAlign w:val="center"/>
          </w:tcPr>
          <w:p>
            <w:pPr>
              <w:spacing w:line="360" w:lineRule="auto"/>
              <w:jc w:val="center"/>
              <w:rPr>
                <w:rFonts w:hint="eastAsia"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2"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lang w:eastAsia="en-US"/>
              </w:rPr>
              <w:t>…</w:t>
            </w:r>
          </w:p>
        </w:tc>
        <w:tc>
          <w:tcPr>
            <w:tcW w:w="1950" w:type="dxa"/>
            <w:noWrap w:val="0"/>
            <w:vAlign w:val="center"/>
          </w:tcPr>
          <w:p>
            <w:pPr>
              <w:spacing w:line="360" w:lineRule="auto"/>
              <w:jc w:val="center"/>
              <w:rPr>
                <w:rFonts w:hint="eastAsia" w:ascii="宋体" w:hAnsi="宋体" w:eastAsia="宋体" w:cs="宋体"/>
                <w:sz w:val="24"/>
                <w:lang w:eastAsia="en-US"/>
              </w:rPr>
            </w:pPr>
          </w:p>
        </w:tc>
        <w:tc>
          <w:tcPr>
            <w:tcW w:w="1920" w:type="dxa"/>
            <w:noWrap w:val="0"/>
            <w:vAlign w:val="center"/>
          </w:tcPr>
          <w:p>
            <w:pPr>
              <w:spacing w:line="360" w:lineRule="auto"/>
              <w:jc w:val="center"/>
              <w:rPr>
                <w:rFonts w:hint="eastAsia" w:ascii="宋体" w:hAnsi="宋体" w:eastAsia="宋体" w:cs="宋体"/>
                <w:sz w:val="24"/>
                <w:lang w:eastAsia="en-US"/>
              </w:rPr>
            </w:pPr>
          </w:p>
        </w:tc>
        <w:tc>
          <w:tcPr>
            <w:tcW w:w="1620" w:type="dxa"/>
            <w:noWrap w:val="0"/>
            <w:vAlign w:val="center"/>
          </w:tcPr>
          <w:p>
            <w:pPr>
              <w:spacing w:line="360" w:lineRule="auto"/>
              <w:jc w:val="center"/>
              <w:rPr>
                <w:rFonts w:hint="eastAsia" w:ascii="宋体" w:hAnsi="宋体" w:eastAsia="宋体" w:cs="宋体"/>
                <w:sz w:val="24"/>
                <w:lang w:eastAsia="en-US"/>
              </w:rPr>
            </w:pPr>
          </w:p>
        </w:tc>
        <w:tc>
          <w:tcPr>
            <w:tcW w:w="1695" w:type="dxa"/>
            <w:noWrap w:val="0"/>
            <w:vAlign w:val="center"/>
          </w:tcPr>
          <w:p>
            <w:pPr>
              <w:spacing w:line="360" w:lineRule="auto"/>
              <w:jc w:val="left"/>
              <w:rPr>
                <w:rFonts w:hint="eastAsia" w:ascii="宋体" w:hAnsi="宋体" w:eastAsia="宋体" w:cs="宋体"/>
                <w:sz w:val="24"/>
                <w:lang w:eastAsia="en-US"/>
              </w:rPr>
            </w:pPr>
            <w:r>
              <w:rPr>
                <w:rFonts w:hint="eastAsia" w:ascii="宋体" w:hAnsi="宋体" w:eastAsia="宋体" w:cs="宋体"/>
                <w:sz w:val="24"/>
                <w:lang w:eastAsia="en-US"/>
              </w:rPr>
              <w:t>…</w:t>
            </w:r>
          </w:p>
        </w:tc>
        <w:tc>
          <w:tcPr>
            <w:tcW w:w="1755" w:type="dxa"/>
            <w:noWrap w:val="0"/>
            <w:vAlign w:val="center"/>
          </w:tcPr>
          <w:p>
            <w:pPr>
              <w:spacing w:line="360" w:lineRule="auto"/>
              <w:jc w:val="left"/>
              <w:rPr>
                <w:rFonts w:hint="eastAsia" w:ascii="宋体" w:hAnsi="宋体" w:eastAsia="宋体" w:cs="宋体"/>
                <w:sz w:val="24"/>
                <w:lang w:eastAsia="en-US"/>
              </w:rPr>
            </w:pPr>
          </w:p>
        </w:tc>
        <w:tc>
          <w:tcPr>
            <w:tcW w:w="2190" w:type="dxa"/>
            <w:noWrap w:val="0"/>
            <w:vAlign w:val="center"/>
          </w:tcPr>
          <w:p>
            <w:pPr>
              <w:spacing w:line="360" w:lineRule="auto"/>
              <w:jc w:val="left"/>
              <w:rPr>
                <w:rFonts w:hint="eastAsia" w:ascii="宋体" w:hAnsi="宋体" w:eastAsia="宋体" w:cs="宋体"/>
                <w:sz w:val="24"/>
                <w:lang w:eastAsia="en-US"/>
              </w:rPr>
            </w:pPr>
          </w:p>
        </w:tc>
        <w:tc>
          <w:tcPr>
            <w:tcW w:w="1289" w:type="dxa"/>
            <w:noWrap w:val="0"/>
            <w:vAlign w:val="center"/>
          </w:tcPr>
          <w:p>
            <w:pPr>
              <w:spacing w:line="360" w:lineRule="auto"/>
              <w:jc w:val="center"/>
              <w:rPr>
                <w:rFonts w:hint="eastAsia" w:ascii="宋体" w:hAnsi="宋体" w:eastAsia="宋体" w:cs="宋体"/>
                <w:sz w:val="24"/>
                <w:lang w:eastAsia="en-US"/>
              </w:rPr>
            </w:pPr>
          </w:p>
        </w:tc>
        <w:tc>
          <w:tcPr>
            <w:tcW w:w="811" w:type="dxa"/>
            <w:noWrap w:val="0"/>
            <w:vAlign w:val="center"/>
          </w:tcPr>
          <w:p>
            <w:pPr>
              <w:spacing w:line="360" w:lineRule="auto"/>
              <w:jc w:val="center"/>
              <w:rPr>
                <w:rFonts w:hint="eastAsia"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2" w:type="dxa"/>
            <w:noWrap w:val="0"/>
            <w:vAlign w:val="center"/>
          </w:tcPr>
          <w:p>
            <w:pPr>
              <w:spacing w:line="360" w:lineRule="auto"/>
              <w:jc w:val="center"/>
              <w:rPr>
                <w:rFonts w:hint="eastAsia" w:ascii="宋体" w:hAnsi="宋体" w:eastAsia="宋体" w:cs="宋体"/>
                <w:sz w:val="24"/>
                <w:lang w:eastAsia="en-US"/>
              </w:rPr>
            </w:pPr>
            <w:r>
              <w:rPr>
                <w:rFonts w:hint="eastAsia" w:ascii="宋体" w:hAnsi="宋体" w:eastAsia="宋体" w:cs="宋体"/>
                <w:sz w:val="24"/>
                <w:lang w:eastAsia="en-US"/>
              </w:rPr>
              <w:t>…</w:t>
            </w:r>
          </w:p>
        </w:tc>
        <w:tc>
          <w:tcPr>
            <w:tcW w:w="1950" w:type="dxa"/>
            <w:noWrap w:val="0"/>
            <w:vAlign w:val="center"/>
          </w:tcPr>
          <w:p>
            <w:pPr>
              <w:spacing w:line="360" w:lineRule="auto"/>
              <w:jc w:val="center"/>
              <w:rPr>
                <w:rFonts w:hint="eastAsia" w:ascii="宋体" w:hAnsi="宋体" w:eastAsia="宋体" w:cs="宋体"/>
                <w:sz w:val="24"/>
                <w:lang w:eastAsia="en-US"/>
              </w:rPr>
            </w:pPr>
          </w:p>
        </w:tc>
        <w:tc>
          <w:tcPr>
            <w:tcW w:w="1920" w:type="dxa"/>
            <w:noWrap w:val="0"/>
            <w:vAlign w:val="center"/>
          </w:tcPr>
          <w:p>
            <w:pPr>
              <w:spacing w:line="360" w:lineRule="auto"/>
              <w:jc w:val="center"/>
              <w:rPr>
                <w:rFonts w:hint="eastAsia" w:ascii="宋体" w:hAnsi="宋体" w:eastAsia="宋体" w:cs="宋体"/>
                <w:sz w:val="24"/>
                <w:lang w:eastAsia="en-US"/>
              </w:rPr>
            </w:pPr>
          </w:p>
        </w:tc>
        <w:tc>
          <w:tcPr>
            <w:tcW w:w="1620" w:type="dxa"/>
            <w:noWrap w:val="0"/>
            <w:vAlign w:val="center"/>
          </w:tcPr>
          <w:p>
            <w:pPr>
              <w:spacing w:line="360" w:lineRule="auto"/>
              <w:jc w:val="center"/>
              <w:rPr>
                <w:rFonts w:hint="eastAsia" w:ascii="宋体" w:hAnsi="宋体" w:eastAsia="宋体" w:cs="宋体"/>
                <w:sz w:val="24"/>
                <w:lang w:eastAsia="en-US"/>
              </w:rPr>
            </w:pPr>
          </w:p>
        </w:tc>
        <w:tc>
          <w:tcPr>
            <w:tcW w:w="1695" w:type="dxa"/>
            <w:noWrap w:val="0"/>
            <w:vAlign w:val="center"/>
          </w:tcPr>
          <w:p>
            <w:pPr>
              <w:spacing w:line="360" w:lineRule="auto"/>
              <w:jc w:val="left"/>
              <w:rPr>
                <w:rFonts w:hint="eastAsia" w:ascii="宋体" w:hAnsi="宋体" w:eastAsia="宋体" w:cs="宋体"/>
                <w:sz w:val="24"/>
                <w:lang w:eastAsia="en-US"/>
              </w:rPr>
            </w:pPr>
            <w:r>
              <w:rPr>
                <w:rFonts w:hint="eastAsia" w:ascii="宋体" w:hAnsi="宋体" w:eastAsia="宋体" w:cs="宋体"/>
                <w:sz w:val="24"/>
                <w:lang w:eastAsia="en-US"/>
              </w:rPr>
              <w:t>…</w:t>
            </w:r>
          </w:p>
        </w:tc>
        <w:tc>
          <w:tcPr>
            <w:tcW w:w="1755" w:type="dxa"/>
            <w:noWrap w:val="0"/>
            <w:vAlign w:val="center"/>
          </w:tcPr>
          <w:p>
            <w:pPr>
              <w:spacing w:line="360" w:lineRule="auto"/>
              <w:jc w:val="left"/>
              <w:rPr>
                <w:rFonts w:hint="eastAsia" w:ascii="宋体" w:hAnsi="宋体" w:eastAsia="宋体" w:cs="宋体"/>
                <w:sz w:val="24"/>
                <w:lang w:eastAsia="en-US"/>
              </w:rPr>
            </w:pPr>
          </w:p>
        </w:tc>
        <w:tc>
          <w:tcPr>
            <w:tcW w:w="2190" w:type="dxa"/>
            <w:noWrap w:val="0"/>
            <w:vAlign w:val="center"/>
          </w:tcPr>
          <w:p>
            <w:pPr>
              <w:spacing w:line="360" w:lineRule="auto"/>
              <w:jc w:val="left"/>
              <w:rPr>
                <w:rFonts w:hint="eastAsia" w:ascii="宋体" w:hAnsi="宋体" w:eastAsia="宋体" w:cs="宋体"/>
                <w:sz w:val="24"/>
                <w:lang w:eastAsia="en-US"/>
              </w:rPr>
            </w:pPr>
          </w:p>
        </w:tc>
        <w:tc>
          <w:tcPr>
            <w:tcW w:w="1289" w:type="dxa"/>
            <w:noWrap w:val="0"/>
            <w:vAlign w:val="center"/>
          </w:tcPr>
          <w:p>
            <w:pPr>
              <w:spacing w:line="360" w:lineRule="auto"/>
              <w:jc w:val="center"/>
              <w:rPr>
                <w:rFonts w:hint="eastAsia" w:ascii="宋体" w:hAnsi="宋体" w:eastAsia="宋体" w:cs="宋体"/>
                <w:sz w:val="24"/>
                <w:lang w:eastAsia="en-US"/>
              </w:rPr>
            </w:pPr>
          </w:p>
        </w:tc>
        <w:tc>
          <w:tcPr>
            <w:tcW w:w="811" w:type="dxa"/>
            <w:noWrap w:val="0"/>
            <w:vAlign w:val="center"/>
          </w:tcPr>
          <w:p>
            <w:pPr>
              <w:spacing w:line="360" w:lineRule="auto"/>
              <w:jc w:val="center"/>
              <w:rPr>
                <w:rFonts w:hint="eastAsia" w:ascii="宋体" w:hAnsi="宋体" w:eastAsia="宋体" w:cs="宋体"/>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2" w:type="dxa"/>
            <w:noWrap w:val="0"/>
            <w:vAlign w:val="center"/>
          </w:tcPr>
          <w:p>
            <w:pPr>
              <w:spacing w:line="360" w:lineRule="auto"/>
              <w:jc w:val="left"/>
              <w:rPr>
                <w:rFonts w:hint="eastAsia" w:ascii="宋体" w:hAnsi="宋体" w:eastAsia="宋体" w:cs="宋体"/>
                <w:sz w:val="24"/>
              </w:rPr>
            </w:pPr>
            <w:r>
              <w:rPr>
                <w:rFonts w:hint="eastAsia" w:ascii="宋体" w:hAnsi="宋体" w:eastAsia="宋体" w:cs="宋体"/>
                <w:sz w:val="24"/>
              </w:rPr>
              <w:t>总价</w:t>
            </w:r>
          </w:p>
        </w:tc>
        <w:tc>
          <w:tcPr>
            <w:tcW w:w="13230" w:type="dxa"/>
            <w:gridSpan w:val="8"/>
            <w:noWrap w:val="0"/>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小写（万元）：                          大写：</w:t>
            </w:r>
          </w:p>
        </w:tc>
      </w:tr>
    </w:tbl>
    <w:p>
      <w:pPr>
        <w:spacing w:line="360" w:lineRule="auto"/>
        <w:ind w:firstLine="361" w:firstLineChars="200"/>
        <w:rPr>
          <w:rFonts w:hint="eastAsia" w:ascii="宋体" w:hAnsi="宋体" w:eastAsia="宋体" w:cs="宋体"/>
          <w:b/>
          <w:sz w:val="18"/>
          <w:szCs w:val="18"/>
        </w:rPr>
      </w:pPr>
    </w:p>
    <w:p>
      <w:pPr>
        <w:spacing w:line="360" w:lineRule="auto"/>
        <w:ind w:firstLine="361" w:firstLineChars="200"/>
        <w:rPr>
          <w:rFonts w:hint="eastAsia" w:ascii="宋体" w:hAnsi="宋体" w:eastAsia="宋体" w:cs="宋体"/>
          <w:b/>
          <w:sz w:val="18"/>
          <w:szCs w:val="18"/>
        </w:rPr>
      </w:pPr>
      <w:r>
        <w:rPr>
          <w:rFonts w:hint="eastAsia" w:ascii="宋体" w:hAnsi="宋体" w:eastAsia="宋体" w:cs="宋体"/>
          <w:b/>
          <w:sz w:val="18"/>
          <w:szCs w:val="18"/>
        </w:rPr>
        <w:t>注: 1.所有报价均用人民币表示</w:t>
      </w:r>
      <w:r>
        <w:rPr>
          <w:rFonts w:hint="eastAsia" w:ascii="宋体" w:hAnsi="宋体" w:cs="宋体"/>
          <w:b/>
          <w:sz w:val="18"/>
          <w:szCs w:val="18"/>
          <w:lang w:eastAsia="zh-CN"/>
        </w:rPr>
        <w:t>，</w:t>
      </w:r>
      <w:r>
        <w:rPr>
          <w:rFonts w:hint="eastAsia" w:ascii="宋体" w:hAnsi="宋体" w:eastAsia="宋体" w:cs="宋体"/>
          <w:b/>
          <w:sz w:val="18"/>
          <w:szCs w:val="18"/>
        </w:rPr>
        <w:t>所报价格是交货地的验收价格，其总价即为履行合同的固定价格。运输、安装、调试、检验、培训、税金和保险等费用以及采购文件规定的其他费用均应包含在报价中。</w:t>
      </w:r>
    </w:p>
    <w:p>
      <w:pPr>
        <w:spacing w:line="360" w:lineRule="auto"/>
        <w:ind w:firstLine="361" w:firstLineChars="200"/>
        <w:rPr>
          <w:rFonts w:hint="eastAsia" w:ascii="宋体" w:hAnsi="宋体" w:eastAsia="宋体" w:cs="宋体"/>
          <w:b/>
          <w:sz w:val="18"/>
          <w:szCs w:val="18"/>
        </w:rPr>
      </w:pPr>
      <w:r>
        <w:rPr>
          <w:rFonts w:hint="eastAsia" w:ascii="宋体" w:hAnsi="宋体" w:eastAsia="宋体" w:cs="宋体"/>
          <w:b/>
          <w:sz w:val="18"/>
          <w:szCs w:val="18"/>
        </w:rPr>
        <w:t>2.应完整填写产品的品牌和型号或项目内容。</w:t>
      </w:r>
    </w:p>
    <w:p>
      <w:pPr>
        <w:spacing w:line="360" w:lineRule="auto"/>
        <w:ind w:firstLine="361" w:firstLineChars="200"/>
        <w:rPr>
          <w:rFonts w:hint="eastAsia" w:ascii="宋体" w:hAnsi="宋体" w:eastAsia="宋体" w:cs="宋体"/>
          <w:b/>
          <w:sz w:val="18"/>
          <w:szCs w:val="18"/>
        </w:rPr>
      </w:pPr>
    </w:p>
    <w:p>
      <w:pPr>
        <w:spacing w:line="360" w:lineRule="auto"/>
        <w:ind w:firstLine="361" w:firstLineChars="200"/>
        <w:rPr>
          <w:rFonts w:hint="eastAsia" w:ascii="宋体" w:hAnsi="宋体" w:eastAsia="宋体" w:cs="宋体"/>
          <w:b/>
          <w:sz w:val="18"/>
          <w:szCs w:val="18"/>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kern w:val="0"/>
          <w:sz w:val="24"/>
        </w:rPr>
      </w:pPr>
      <w:r>
        <w:rPr>
          <w:rFonts w:hint="eastAsia" w:ascii="宋体" w:hAnsi="宋体" w:eastAsia="宋体" w:cs="宋体"/>
          <w:kern w:val="0"/>
          <w:sz w:val="24"/>
          <w:szCs w:val="22"/>
          <w:lang w:eastAsia="en-US"/>
        </w:rPr>
        <w:t>日期：</w:t>
      </w:r>
    </w:p>
    <w:p>
      <w:pPr>
        <w:spacing w:line="360" w:lineRule="auto"/>
        <w:jc w:val="left"/>
        <w:rPr>
          <w:rFonts w:hint="eastAsia" w:ascii="宋体" w:hAnsi="宋体" w:eastAsia="宋体" w:cs="宋体"/>
          <w:kern w:val="0"/>
          <w:sz w:val="24"/>
        </w:rPr>
        <w:sectPr>
          <w:headerReference r:id="rId15" w:type="default"/>
          <w:pgSz w:w="16838" w:h="11911" w:orient="landscape"/>
          <w:pgMar w:top="1797" w:right="1440" w:bottom="1797" w:left="1440" w:header="850" w:footer="737" w:gutter="0"/>
          <w:pgNumType w:fmt="decimal"/>
          <w:cols w:space="720" w:num="1"/>
          <w:docGrid w:linePitch="299" w:charSpace="0"/>
        </w:sectPr>
      </w:pPr>
    </w:p>
    <w:p>
      <w:pPr>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格式2-4</w:t>
      </w:r>
    </w:p>
    <w:p>
      <w:pPr>
        <w:widowControl/>
        <w:numPr>
          <w:ilvl w:val="0"/>
          <w:numId w:val="6"/>
        </w:numPr>
        <w:spacing w:line="360" w:lineRule="auto"/>
        <w:jc w:val="center"/>
        <w:outlineLvl w:val="1"/>
        <w:rPr>
          <w:rFonts w:hint="eastAsia" w:ascii="宋体" w:hAnsi="宋体" w:eastAsia="宋体" w:cs="宋体"/>
          <w:b/>
          <w:kern w:val="0"/>
          <w:sz w:val="32"/>
          <w:szCs w:val="32"/>
        </w:rPr>
      </w:pPr>
      <w:bookmarkStart w:id="189" w:name="_Toc504988315"/>
      <w:bookmarkStart w:id="190" w:name="_Toc504987216"/>
      <w:bookmarkStart w:id="191" w:name="_Toc14911"/>
      <w:bookmarkStart w:id="192" w:name="_Toc504991360"/>
      <w:bookmarkStart w:id="193" w:name="_Toc502912107"/>
      <w:r>
        <w:rPr>
          <w:rFonts w:hint="eastAsia" w:ascii="宋体" w:hAnsi="宋体" w:eastAsia="宋体" w:cs="宋体"/>
          <w:b/>
          <w:sz w:val="32"/>
          <w:szCs w:val="32"/>
        </w:rPr>
        <w:t>技术、服务响应偏离</w:t>
      </w:r>
      <w:r>
        <w:rPr>
          <w:rFonts w:hint="eastAsia" w:ascii="宋体" w:hAnsi="宋体" w:eastAsia="宋体" w:cs="宋体"/>
          <w:b/>
          <w:kern w:val="0"/>
          <w:sz w:val="32"/>
          <w:szCs w:val="32"/>
        </w:rPr>
        <w:t>表</w:t>
      </w:r>
      <w:bookmarkEnd w:id="189"/>
      <w:bookmarkEnd w:id="190"/>
      <w:bookmarkEnd w:id="191"/>
      <w:bookmarkEnd w:id="192"/>
      <w:bookmarkEnd w:id="193"/>
    </w:p>
    <w:p>
      <w:pPr>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项目名称：</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采购项目编号：</w:t>
      </w:r>
    </w:p>
    <w:tbl>
      <w:tblPr>
        <w:tblStyle w:val="42"/>
        <w:tblW w:w="0" w:type="auto"/>
        <w:jc w:val="center"/>
        <w:tblLayout w:type="fixed"/>
        <w:tblCellMar>
          <w:top w:w="0" w:type="dxa"/>
          <w:left w:w="108" w:type="dxa"/>
          <w:bottom w:w="0" w:type="dxa"/>
          <w:right w:w="108" w:type="dxa"/>
        </w:tblCellMar>
      </w:tblPr>
      <w:tblGrid>
        <w:gridCol w:w="709"/>
        <w:gridCol w:w="2977"/>
        <w:gridCol w:w="2551"/>
        <w:gridCol w:w="2835"/>
      </w:tblGrid>
      <w:tr>
        <w:tblPrEx>
          <w:tblCellMar>
            <w:top w:w="0" w:type="dxa"/>
            <w:left w:w="108" w:type="dxa"/>
            <w:bottom w:w="0" w:type="dxa"/>
            <w:right w:w="108" w:type="dxa"/>
          </w:tblCellMar>
        </w:tblPrEx>
        <w:trPr>
          <w:trHeight w:val="567" w:hRule="exact"/>
          <w:jc w:val="center"/>
        </w:trPr>
        <w:tc>
          <w:tcPr>
            <w:tcW w:w="709" w:type="dxa"/>
            <w:tcBorders>
              <w:top w:val="single" w:color="000000" w:sz="12" w:space="0"/>
              <w:left w:val="single" w:color="000000" w:sz="12" w:space="0"/>
              <w:bottom w:val="single" w:color="000000" w:sz="4" w:space="0"/>
              <w:right w:val="single" w:color="000000" w:sz="4" w:space="0"/>
            </w:tcBorders>
            <w:vAlign w:val="center"/>
          </w:tcPr>
          <w:p>
            <w:pPr>
              <w:spacing w:line="360" w:lineRule="auto"/>
              <w:jc w:val="center"/>
              <w:rPr>
                <w:rFonts w:hint="eastAsia" w:ascii="宋体" w:hAnsi="宋体" w:eastAsia="宋体" w:cs="宋体"/>
                <w:b/>
                <w:kern w:val="1"/>
              </w:rPr>
            </w:pPr>
            <w:r>
              <w:rPr>
                <w:rFonts w:hint="eastAsia" w:ascii="宋体" w:hAnsi="宋体" w:eastAsia="宋体" w:cs="宋体"/>
                <w:b/>
                <w:kern w:val="1"/>
              </w:rPr>
              <w:t>序号</w:t>
            </w:r>
          </w:p>
        </w:tc>
        <w:tc>
          <w:tcPr>
            <w:tcW w:w="2977"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kern w:val="1"/>
              </w:rPr>
            </w:pPr>
            <w:r>
              <w:rPr>
                <w:rFonts w:hint="eastAsia" w:ascii="宋体" w:hAnsi="宋体" w:eastAsia="宋体" w:cs="宋体"/>
                <w:b/>
                <w:kern w:val="1"/>
              </w:rPr>
              <w:t>谈判文件条款</w:t>
            </w:r>
          </w:p>
        </w:tc>
        <w:tc>
          <w:tcPr>
            <w:tcW w:w="2551"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kern w:val="1"/>
              </w:rPr>
            </w:pPr>
            <w:r>
              <w:rPr>
                <w:rFonts w:hint="eastAsia" w:ascii="宋体" w:hAnsi="宋体" w:eastAsia="宋体" w:cs="宋体"/>
                <w:b/>
                <w:kern w:val="1"/>
              </w:rPr>
              <w:t>响应文件条款</w:t>
            </w:r>
          </w:p>
        </w:tc>
        <w:tc>
          <w:tcPr>
            <w:tcW w:w="2835" w:type="dxa"/>
            <w:tcBorders>
              <w:top w:val="single" w:color="000000" w:sz="12" w:space="0"/>
              <w:left w:val="single" w:color="000000" w:sz="4" w:space="0"/>
              <w:bottom w:val="single" w:color="000000" w:sz="4" w:space="0"/>
              <w:right w:val="single" w:color="000000" w:sz="12" w:space="0"/>
            </w:tcBorders>
            <w:vAlign w:val="center"/>
          </w:tcPr>
          <w:p>
            <w:pPr>
              <w:spacing w:line="360" w:lineRule="auto"/>
              <w:jc w:val="center"/>
              <w:rPr>
                <w:rFonts w:hint="eastAsia" w:ascii="宋体" w:hAnsi="宋体" w:eastAsia="宋体" w:cs="宋体"/>
                <w:b/>
                <w:kern w:val="1"/>
              </w:rPr>
            </w:pPr>
            <w:r>
              <w:rPr>
                <w:rFonts w:hint="eastAsia" w:ascii="宋体" w:hAnsi="宋体" w:eastAsia="宋体" w:cs="宋体"/>
                <w:b/>
                <w:kern w:val="1"/>
              </w:rPr>
              <w:t>偏离情况</w:t>
            </w: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pStyle w:val="2"/>
              <w:rPr>
                <w:rFonts w:hint="eastAsia" w:ascii="宋体" w:hAnsi="宋体" w:eastAsia="宋体" w:cs="宋体"/>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4" w:space="0"/>
              <w:right w:val="single" w:color="000000" w:sz="12" w:space="0"/>
            </w:tcBorders>
          </w:tcPr>
          <w:p>
            <w:pPr>
              <w:spacing w:line="360" w:lineRule="auto"/>
              <w:rPr>
                <w:rFonts w:hint="eastAsia" w:ascii="宋体" w:hAnsi="宋体" w:eastAsia="宋体" w:cs="宋体"/>
                <w:kern w:val="1"/>
              </w:rPr>
            </w:pPr>
          </w:p>
        </w:tc>
      </w:tr>
      <w:tr>
        <w:tblPrEx>
          <w:tblCellMar>
            <w:top w:w="0" w:type="dxa"/>
            <w:left w:w="108" w:type="dxa"/>
            <w:bottom w:w="0" w:type="dxa"/>
            <w:right w:w="108" w:type="dxa"/>
          </w:tblCellMar>
        </w:tblPrEx>
        <w:trPr>
          <w:trHeight w:val="567" w:hRule="exact"/>
          <w:jc w:val="center"/>
        </w:trPr>
        <w:tc>
          <w:tcPr>
            <w:tcW w:w="709" w:type="dxa"/>
            <w:tcBorders>
              <w:top w:val="single" w:color="000000" w:sz="4" w:space="0"/>
              <w:left w:val="single" w:color="000000" w:sz="12" w:space="0"/>
              <w:bottom w:val="single" w:color="000000" w:sz="12" w:space="0"/>
              <w:right w:val="single" w:color="000000" w:sz="4" w:space="0"/>
            </w:tcBorders>
            <w:vAlign w:val="center"/>
          </w:tcPr>
          <w:p>
            <w:pPr>
              <w:spacing w:line="360" w:lineRule="auto"/>
              <w:rPr>
                <w:rFonts w:hint="eastAsia" w:ascii="宋体" w:hAnsi="宋体" w:eastAsia="宋体" w:cs="宋体"/>
                <w:kern w:val="1"/>
              </w:rPr>
            </w:pPr>
          </w:p>
        </w:tc>
        <w:tc>
          <w:tcPr>
            <w:tcW w:w="2977" w:type="dxa"/>
            <w:tcBorders>
              <w:top w:val="single" w:color="000000" w:sz="4" w:space="0"/>
              <w:left w:val="single" w:color="000000" w:sz="4" w:space="0"/>
              <w:bottom w:val="single" w:color="000000" w:sz="12" w:space="0"/>
              <w:right w:val="single" w:color="000000" w:sz="4" w:space="0"/>
            </w:tcBorders>
            <w:vAlign w:val="center"/>
          </w:tcPr>
          <w:p>
            <w:pPr>
              <w:spacing w:line="360" w:lineRule="auto"/>
              <w:rPr>
                <w:rFonts w:hint="eastAsia" w:ascii="宋体" w:hAnsi="宋体" w:eastAsia="宋体" w:cs="宋体"/>
                <w:kern w:val="1"/>
              </w:rPr>
            </w:pPr>
          </w:p>
        </w:tc>
        <w:tc>
          <w:tcPr>
            <w:tcW w:w="2551" w:type="dxa"/>
            <w:tcBorders>
              <w:top w:val="single" w:color="000000" w:sz="4" w:space="0"/>
              <w:left w:val="single" w:color="000000" w:sz="4" w:space="0"/>
              <w:bottom w:val="single" w:color="000000" w:sz="12" w:space="0"/>
              <w:right w:val="single" w:color="000000" w:sz="4" w:space="0"/>
            </w:tcBorders>
            <w:vAlign w:val="center"/>
          </w:tcPr>
          <w:p>
            <w:pPr>
              <w:spacing w:line="360" w:lineRule="auto"/>
              <w:rPr>
                <w:rFonts w:hint="eastAsia" w:ascii="宋体" w:hAnsi="宋体" w:eastAsia="宋体" w:cs="宋体"/>
                <w:kern w:val="1"/>
              </w:rPr>
            </w:pPr>
          </w:p>
        </w:tc>
        <w:tc>
          <w:tcPr>
            <w:tcW w:w="2835" w:type="dxa"/>
            <w:tcBorders>
              <w:top w:val="single" w:color="000000" w:sz="4" w:space="0"/>
              <w:left w:val="single" w:color="000000" w:sz="4" w:space="0"/>
              <w:bottom w:val="single" w:color="000000" w:sz="12" w:space="0"/>
              <w:right w:val="single" w:color="000000" w:sz="12" w:space="0"/>
            </w:tcBorders>
          </w:tcPr>
          <w:p>
            <w:pPr>
              <w:spacing w:line="360" w:lineRule="auto"/>
              <w:rPr>
                <w:rFonts w:hint="eastAsia" w:ascii="宋体" w:hAnsi="宋体" w:eastAsia="宋体" w:cs="宋体"/>
                <w:kern w:val="1"/>
              </w:rPr>
            </w:pPr>
          </w:p>
        </w:tc>
      </w:tr>
    </w:tbl>
    <w:p>
      <w:pPr>
        <w:spacing w:line="360" w:lineRule="auto"/>
        <w:rPr>
          <w:rFonts w:hint="eastAsia" w:ascii="宋体" w:hAnsi="宋体" w:eastAsia="宋体" w:cs="宋体"/>
          <w:szCs w:val="22"/>
        </w:rPr>
      </w:pPr>
    </w:p>
    <w:p>
      <w:pPr>
        <w:spacing w:line="360" w:lineRule="auto"/>
        <w:ind w:left="1" w:firstLine="361" w:firstLineChars="202"/>
        <w:rPr>
          <w:rFonts w:hint="eastAsia" w:ascii="宋体" w:hAnsi="宋体" w:eastAsia="宋体" w:cs="宋体"/>
          <w:b/>
          <w:bCs/>
          <w:spacing w:val="-1"/>
          <w:kern w:val="0"/>
          <w:sz w:val="18"/>
          <w:szCs w:val="18"/>
        </w:rPr>
      </w:pPr>
      <w:r>
        <w:rPr>
          <w:rFonts w:hint="eastAsia" w:ascii="宋体" w:hAnsi="宋体" w:eastAsia="宋体" w:cs="宋体"/>
          <w:b/>
          <w:bCs/>
          <w:spacing w:val="-1"/>
          <w:kern w:val="0"/>
          <w:sz w:val="18"/>
          <w:szCs w:val="18"/>
        </w:rPr>
        <w:t>注：1. 本表只填写响应文件中与谈判文件有偏离（包括正偏离和负偏离）的内容，除本偏离表所列的偏离指标外，其他所有技术、服务条款均完全响应“谈判文件”中的要求；</w:t>
      </w:r>
    </w:p>
    <w:p>
      <w:pPr>
        <w:spacing w:line="360" w:lineRule="auto"/>
        <w:ind w:left="1" w:firstLine="717" w:firstLineChars="401"/>
        <w:rPr>
          <w:rFonts w:hint="eastAsia" w:ascii="宋体" w:hAnsi="宋体" w:eastAsia="宋体" w:cs="宋体"/>
          <w:b/>
          <w:bCs/>
          <w:spacing w:val="-1"/>
          <w:kern w:val="0"/>
          <w:sz w:val="18"/>
          <w:szCs w:val="18"/>
        </w:rPr>
      </w:pPr>
      <w:r>
        <w:rPr>
          <w:rFonts w:hint="eastAsia" w:ascii="宋体" w:hAnsi="宋体" w:eastAsia="宋体" w:cs="宋体"/>
          <w:b/>
          <w:bCs/>
          <w:spacing w:val="-1"/>
          <w:kern w:val="0"/>
          <w:sz w:val="18"/>
          <w:szCs w:val="18"/>
        </w:rPr>
        <w:t>2．供应商必须据实填写，不得虚假填写，否则将取消其报价或</w:t>
      </w:r>
      <w:r>
        <w:rPr>
          <w:rFonts w:hint="eastAsia" w:ascii="宋体" w:hAnsi="宋体" w:eastAsia="宋体" w:cs="宋体"/>
          <w:b/>
          <w:bCs/>
          <w:spacing w:val="-1"/>
          <w:kern w:val="0"/>
          <w:sz w:val="18"/>
          <w:szCs w:val="18"/>
          <w:lang w:eastAsia="zh-CN"/>
        </w:rPr>
        <w:t>成交</w:t>
      </w:r>
      <w:r>
        <w:rPr>
          <w:rFonts w:hint="eastAsia" w:ascii="宋体" w:hAnsi="宋体" w:eastAsia="宋体" w:cs="宋体"/>
          <w:b/>
          <w:bCs/>
          <w:spacing w:val="-1"/>
          <w:kern w:val="0"/>
          <w:sz w:val="18"/>
          <w:szCs w:val="18"/>
        </w:rPr>
        <w:t>资格并追究相关责任；</w:t>
      </w:r>
    </w:p>
    <w:p>
      <w:pPr>
        <w:spacing w:line="360" w:lineRule="auto"/>
        <w:ind w:left="1" w:firstLine="361" w:firstLineChars="202"/>
        <w:rPr>
          <w:rFonts w:hint="eastAsia" w:ascii="宋体" w:hAnsi="宋体" w:eastAsia="宋体" w:cs="宋体"/>
          <w:b/>
          <w:bCs/>
          <w:spacing w:val="-1"/>
          <w:kern w:val="0"/>
          <w:sz w:val="18"/>
          <w:szCs w:val="18"/>
        </w:rPr>
      </w:pPr>
      <w:r>
        <w:rPr>
          <w:rFonts w:hint="eastAsia" w:ascii="宋体" w:hAnsi="宋体" w:eastAsia="宋体" w:cs="宋体"/>
          <w:b/>
          <w:bCs/>
          <w:spacing w:val="-1"/>
          <w:kern w:val="0"/>
          <w:sz w:val="18"/>
          <w:szCs w:val="18"/>
        </w:rPr>
        <w:t xml:space="preserve">   </w:t>
      </w:r>
    </w:p>
    <w:p>
      <w:pPr>
        <w:spacing w:line="360" w:lineRule="auto"/>
        <w:jc w:val="left"/>
        <w:rPr>
          <w:rFonts w:hint="eastAsia" w:ascii="宋体" w:hAnsi="宋体" w:eastAsia="宋体" w:cs="宋体"/>
          <w:sz w:val="24"/>
          <w:szCs w:val="22"/>
        </w:rPr>
      </w:pPr>
    </w:p>
    <w:p>
      <w:pPr>
        <w:spacing w:line="360" w:lineRule="auto"/>
        <w:jc w:val="left"/>
        <w:rPr>
          <w:rFonts w:hint="eastAsia" w:ascii="宋体" w:hAnsi="宋体" w:eastAsia="宋体" w:cs="宋体"/>
          <w:sz w:val="24"/>
          <w:szCs w:val="22"/>
        </w:rPr>
      </w:pPr>
    </w:p>
    <w:p>
      <w:pPr>
        <w:spacing w:line="360" w:lineRule="auto"/>
        <w:jc w:val="left"/>
        <w:rPr>
          <w:rFonts w:hint="eastAsia" w:ascii="宋体" w:hAnsi="宋体" w:eastAsia="宋体" w:cs="宋体"/>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b/>
          <w:bCs/>
          <w:kern w:val="0"/>
          <w:sz w:val="32"/>
          <w:szCs w:val="32"/>
        </w:rPr>
      </w:pPr>
      <w:r>
        <w:rPr>
          <w:rFonts w:hint="eastAsia" w:ascii="宋体" w:hAnsi="宋体" w:eastAsia="宋体" w:cs="宋体"/>
          <w:kern w:val="0"/>
          <w:sz w:val="24"/>
          <w:szCs w:val="22"/>
          <w:lang w:eastAsia="en-US"/>
        </w:rPr>
        <w:t>日期：</w:t>
      </w:r>
    </w:p>
    <w:p>
      <w:pPr>
        <w:spacing w:line="360" w:lineRule="auto"/>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格式2-5</w:t>
      </w:r>
    </w:p>
    <w:p>
      <w:pPr>
        <w:widowControl/>
        <w:numPr>
          <w:ilvl w:val="0"/>
          <w:numId w:val="6"/>
        </w:numPr>
        <w:spacing w:line="360" w:lineRule="auto"/>
        <w:jc w:val="center"/>
        <w:outlineLvl w:val="1"/>
        <w:rPr>
          <w:rFonts w:hint="eastAsia" w:ascii="宋体" w:hAnsi="宋体" w:eastAsia="宋体" w:cs="宋体"/>
          <w:b/>
          <w:kern w:val="0"/>
          <w:sz w:val="32"/>
          <w:szCs w:val="32"/>
        </w:rPr>
      </w:pPr>
      <w:bookmarkStart w:id="194" w:name="_Toc502912108"/>
      <w:bookmarkStart w:id="195" w:name="_Toc504987217"/>
      <w:bookmarkStart w:id="196" w:name="_Toc504991361"/>
      <w:bookmarkStart w:id="197" w:name="_Toc504988316"/>
      <w:bookmarkStart w:id="198" w:name="_Toc12629"/>
      <w:bookmarkStart w:id="199" w:name="_Toc3529"/>
      <w:r>
        <w:rPr>
          <w:rFonts w:hint="eastAsia" w:ascii="宋体" w:hAnsi="宋体" w:eastAsia="宋体" w:cs="宋体"/>
          <w:b/>
          <w:kern w:val="0"/>
          <w:sz w:val="32"/>
          <w:szCs w:val="32"/>
        </w:rPr>
        <w:t>商务应答表</w:t>
      </w:r>
      <w:bookmarkEnd w:id="194"/>
      <w:bookmarkEnd w:id="195"/>
      <w:bookmarkEnd w:id="196"/>
      <w:bookmarkEnd w:id="197"/>
      <w:bookmarkEnd w:id="198"/>
      <w:bookmarkEnd w:id="199"/>
    </w:p>
    <w:p>
      <w:pPr>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项目名称：</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采购项目编号：</w:t>
      </w:r>
    </w:p>
    <w:tbl>
      <w:tblPr>
        <w:tblStyle w:val="42"/>
        <w:tblpPr w:leftFromText="180" w:rightFromText="180" w:vertAnchor="text" w:horzAnchor="page" w:tblpX="1344" w:tblpY="159"/>
        <w:tblOverlap w:val="never"/>
        <w:tblW w:w="9250" w:type="dxa"/>
        <w:tblInd w:w="0" w:type="dxa"/>
        <w:tblLayout w:type="fixed"/>
        <w:tblCellMar>
          <w:top w:w="0" w:type="dxa"/>
          <w:left w:w="0" w:type="dxa"/>
          <w:bottom w:w="0" w:type="dxa"/>
          <w:right w:w="0" w:type="dxa"/>
        </w:tblCellMar>
      </w:tblPr>
      <w:tblGrid>
        <w:gridCol w:w="828"/>
        <w:gridCol w:w="1957"/>
        <w:gridCol w:w="2415"/>
        <w:gridCol w:w="2360"/>
        <w:gridCol w:w="1690"/>
      </w:tblGrid>
      <w:tr>
        <w:tblPrEx>
          <w:tblCellMar>
            <w:top w:w="0" w:type="dxa"/>
            <w:left w:w="0" w:type="dxa"/>
            <w:bottom w:w="0" w:type="dxa"/>
            <w:right w:w="0" w:type="dxa"/>
          </w:tblCellMar>
        </w:tblPrEx>
        <w:trPr>
          <w:trHeight w:val="842" w:hRule="exact"/>
        </w:trPr>
        <w:tc>
          <w:tcPr>
            <w:tcW w:w="828"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Fonts w:hint="eastAsia" w:ascii="宋体" w:hAnsi="宋体" w:eastAsia="宋体" w:cs="宋体"/>
                <w:kern w:val="0"/>
                <w:sz w:val="20"/>
                <w:szCs w:val="21"/>
              </w:rPr>
            </w:pPr>
            <w:r>
              <w:rPr>
                <w:rFonts w:hint="eastAsia" w:ascii="宋体" w:hAnsi="宋体" w:eastAsia="宋体" w:cs="宋体"/>
                <w:b/>
                <w:bCs/>
                <w:kern w:val="0"/>
                <w:sz w:val="20"/>
                <w:szCs w:val="21"/>
              </w:rPr>
              <w:t>序号</w:t>
            </w:r>
          </w:p>
        </w:tc>
        <w:tc>
          <w:tcPr>
            <w:tcW w:w="1957"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kern w:val="0"/>
                <w:sz w:val="20"/>
                <w:szCs w:val="21"/>
              </w:rPr>
            </w:pPr>
            <w:r>
              <w:rPr>
                <w:rFonts w:hint="eastAsia" w:ascii="宋体" w:hAnsi="宋体" w:eastAsia="宋体" w:cs="宋体"/>
                <w:b/>
                <w:bCs/>
                <w:kern w:val="0"/>
                <w:sz w:val="20"/>
                <w:szCs w:val="21"/>
              </w:rPr>
              <w:t>谈判文件条目号</w:t>
            </w:r>
          </w:p>
        </w:tc>
        <w:tc>
          <w:tcPr>
            <w:tcW w:w="2415"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kern w:val="0"/>
                <w:sz w:val="20"/>
                <w:szCs w:val="21"/>
              </w:rPr>
            </w:pPr>
            <w:r>
              <w:rPr>
                <w:rFonts w:hint="eastAsia" w:ascii="宋体" w:hAnsi="宋体" w:eastAsia="宋体" w:cs="宋体"/>
                <w:b/>
                <w:bCs/>
                <w:kern w:val="0"/>
                <w:sz w:val="20"/>
                <w:szCs w:val="21"/>
              </w:rPr>
              <w:t>谈判文件条款</w:t>
            </w:r>
          </w:p>
        </w:tc>
        <w:tc>
          <w:tcPr>
            <w:tcW w:w="2360"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kern w:val="0"/>
                <w:sz w:val="20"/>
                <w:szCs w:val="21"/>
              </w:rPr>
            </w:pPr>
            <w:r>
              <w:rPr>
                <w:rFonts w:hint="eastAsia" w:ascii="宋体" w:hAnsi="宋体" w:eastAsia="宋体" w:cs="宋体"/>
                <w:b/>
                <w:bCs/>
                <w:kern w:val="0"/>
                <w:sz w:val="20"/>
                <w:szCs w:val="21"/>
              </w:rPr>
              <w:t>谈判响应文件条款</w:t>
            </w:r>
          </w:p>
        </w:tc>
        <w:tc>
          <w:tcPr>
            <w:tcW w:w="1690" w:type="dxa"/>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Fonts w:hint="eastAsia" w:ascii="宋体" w:hAnsi="宋体" w:eastAsia="宋体" w:cs="宋体"/>
                <w:kern w:val="0"/>
                <w:sz w:val="20"/>
                <w:szCs w:val="21"/>
              </w:rPr>
            </w:pPr>
            <w:r>
              <w:rPr>
                <w:rFonts w:hint="eastAsia" w:ascii="宋体" w:hAnsi="宋体" w:eastAsia="宋体" w:cs="宋体"/>
                <w:b/>
                <w:bCs/>
                <w:w w:val="105"/>
                <w:kern w:val="0"/>
                <w:sz w:val="20"/>
                <w:szCs w:val="21"/>
              </w:rPr>
              <w:t>响应/偏离</w:t>
            </w:r>
          </w:p>
        </w:tc>
      </w:tr>
      <w:tr>
        <w:tblPrEx>
          <w:tblCellMar>
            <w:top w:w="0" w:type="dxa"/>
            <w:left w:w="0" w:type="dxa"/>
            <w:bottom w:w="0" w:type="dxa"/>
            <w:right w:w="0" w:type="dxa"/>
          </w:tblCellMar>
        </w:tblPrEx>
        <w:trPr>
          <w:trHeight w:val="757"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4"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56" w:hRule="exact"/>
        </w:trPr>
        <w:tc>
          <w:tcPr>
            <w:tcW w:w="828" w:type="dxa"/>
            <w:tcBorders>
              <w:top w:val="single" w:color="000000" w:sz="6" w:space="0"/>
              <w:left w:val="single" w:color="000000" w:sz="12"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6"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6" w:space="0"/>
              <w:right w:val="single" w:color="000000" w:sz="12" w:space="0"/>
            </w:tcBorders>
          </w:tcPr>
          <w:p>
            <w:pPr>
              <w:spacing w:line="360" w:lineRule="auto"/>
              <w:jc w:val="left"/>
              <w:rPr>
                <w:rFonts w:hint="eastAsia" w:ascii="宋体" w:hAnsi="宋体" w:eastAsia="宋体" w:cs="宋体"/>
                <w:kern w:val="0"/>
                <w:sz w:val="22"/>
                <w:szCs w:val="20"/>
              </w:rPr>
            </w:pPr>
          </w:p>
        </w:tc>
      </w:tr>
      <w:tr>
        <w:tblPrEx>
          <w:tblCellMar>
            <w:top w:w="0" w:type="dxa"/>
            <w:left w:w="0" w:type="dxa"/>
            <w:bottom w:w="0" w:type="dxa"/>
            <w:right w:w="0" w:type="dxa"/>
          </w:tblCellMar>
        </w:tblPrEx>
        <w:trPr>
          <w:trHeight w:val="764" w:hRule="exact"/>
        </w:trPr>
        <w:tc>
          <w:tcPr>
            <w:tcW w:w="828" w:type="dxa"/>
            <w:tcBorders>
              <w:top w:val="single" w:color="000000" w:sz="6" w:space="0"/>
              <w:left w:val="single" w:color="000000" w:sz="12" w:space="0"/>
              <w:bottom w:val="single" w:color="000000" w:sz="12" w:space="0"/>
              <w:right w:val="single" w:color="000000" w:sz="6" w:space="0"/>
            </w:tcBorders>
          </w:tcPr>
          <w:p>
            <w:pPr>
              <w:spacing w:line="360" w:lineRule="auto"/>
              <w:jc w:val="left"/>
              <w:rPr>
                <w:rFonts w:hint="eastAsia" w:ascii="宋体" w:hAnsi="宋体" w:eastAsia="宋体" w:cs="宋体"/>
                <w:kern w:val="0"/>
                <w:sz w:val="22"/>
                <w:szCs w:val="20"/>
              </w:rPr>
            </w:pPr>
          </w:p>
        </w:tc>
        <w:tc>
          <w:tcPr>
            <w:tcW w:w="1957" w:type="dxa"/>
            <w:tcBorders>
              <w:top w:val="single" w:color="000000" w:sz="6" w:space="0"/>
              <w:left w:val="single" w:color="000000" w:sz="6" w:space="0"/>
              <w:bottom w:val="single" w:color="000000" w:sz="12" w:space="0"/>
              <w:right w:val="single" w:color="000000" w:sz="6" w:space="0"/>
            </w:tcBorders>
          </w:tcPr>
          <w:p>
            <w:pPr>
              <w:spacing w:line="360" w:lineRule="auto"/>
              <w:jc w:val="left"/>
              <w:rPr>
                <w:rFonts w:hint="eastAsia" w:ascii="宋体" w:hAnsi="宋体" w:eastAsia="宋体" w:cs="宋体"/>
                <w:kern w:val="0"/>
                <w:sz w:val="22"/>
                <w:szCs w:val="20"/>
              </w:rPr>
            </w:pPr>
          </w:p>
        </w:tc>
        <w:tc>
          <w:tcPr>
            <w:tcW w:w="2415" w:type="dxa"/>
            <w:tcBorders>
              <w:top w:val="single" w:color="000000" w:sz="6" w:space="0"/>
              <w:left w:val="single" w:color="000000" w:sz="6" w:space="0"/>
              <w:bottom w:val="single" w:color="000000" w:sz="12" w:space="0"/>
              <w:right w:val="single" w:color="000000" w:sz="6" w:space="0"/>
            </w:tcBorders>
          </w:tcPr>
          <w:p>
            <w:pPr>
              <w:spacing w:line="360" w:lineRule="auto"/>
              <w:jc w:val="left"/>
              <w:rPr>
                <w:rFonts w:hint="eastAsia" w:ascii="宋体" w:hAnsi="宋体" w:eastAsia="宋体" w:cs="宋体"/>
                <w:kern w:val="0"/>
                <w:sz w:val="22"/>
                <w:szCs w:val="20"/>
              </w:rPr>
            </w:pPr>
          </w:p>
        </w:tc>
        <w:tc>
          <w:tcPr>
            <w:tcW w:w="2360" w:type="dxa"/>
            <w:tcBorders>
              <w:top w:val="single" w:color="000000" w:sz="6" w:space="0"/>
              <w:left w:val="single" w:color="000000" w:sz="6" w:space="0"/>
              <w:bottom w:val="single" w:color="000000" w:sz="12" w:space="0"/>
              <w:right w:val="single" w:color="000000" w:sz="6" w:space="0"/>
            </w:tcBorders>
          </w:tcPr>
          <w:p>
            <w:pPr>
              <w:spacing w:line="360" w:lineRule="auto"/>
              <w:jc w:val="left"/>
              <w:rPr>
                <w:rFonts w:hint="eastAsia" w:ascii="宋体" w:hAnsi="宋体" w:eastAsia="宋体" w:cs="宋体"/>
                <w:kern w:val="0"/>
                <w:sz w:val="22"/>
                <w:szCs w:val="20"/>
              </w:rPr>
            </w:pPr>
          </w:p>
        </w:tc>
        <w:tc>
          <w:tcPr>
            <w:tcW w:w="1690" w:type="dxa"/>
            <w:tcBorders>
              <w:top w:val="single" w:color="000000" w:sz="6" w:space="0"/>
              <w:left w:val="single" w:color="000000" w:sz="6" w:space="0"/>
              <w:bottom w:val="single" w:color="000000" w:sz="12" w:space="0"/>
              <w:right w:val="single" w:color="000000" w:sz="12" w:space="0"/>
            </w:tcBorders>
          </w:tcPr>
          <w:p>
            <w:pPr>
              <w:spacing w:line="360" w:lineRule="auto"/>
              <w:jc w:val="left"/>
              <w:rPr>
                <w:rFonts w:hint="eastAsia" w:ascii="宋体" w:hAnsi="宋体" w:eastAsia="宋体" w:cs="宋体"/>
                <w:kern w:val="0"/>
                <w:sz w:val="22"/>
                <w:szCs w:val="20"/>
              </w:rPr>
            </w:pPr>
          </w:p>
        </w:tc>
      </w:tr>
    </w:tbl>
    <w:p>
      <w:pPr>
        <w:spacing w:line="360" w:lineRule="auto"/>
        <w:ind w:left="1" w:firstLine="361" w:firstLineChars="202"/>
        <w:rPr>
          <w:rFonts w:hint="eastAsia" w:ascii="宋体" w:hAnsi="宋体" w:eastAsia="宋体" w:cs="宋体"/>
          <w:b/>
          <w:bCs/>
          <w:spacing w:val="-1"/>
          <w:kern w:val="0"/>
          <w:sz w:val="18"/>
          <w:szCs w:val="18"/>
        </w:rPr>
      </w:pPr>
    </w:p>
    <w:p>
      <w:pPr>
        <w:spacing w:line="360" w:lineRule="auto"/>
        <w:ind w:left="1" w:firstLine="361" w:firstLineChars="202"/>
        <w:rPr>
          <w:rFonts w:hint="eastAsia" w:ascii="宋体" w:hAnsi="宋体" w:eastAsia="宋体" w:cs="宋体"/>
          <w:b/>
          <w:bCs/>
          <w:kern w:val="0"/>
          <w:sz w:val="18"/>
          <w:szCs w:val="18"/>
        </w:rPr>
      </w:pPr>
      <w:r>
        <w:rPr>
          <w:rFonts w:hint="eastAsia" w:ascii="宋体" w:hAnsi="宋体" w:eastAsia="宋体" w:cs="宋体"/>
          <w:b/>
          <w:bCs/>
          <w:spacing w:val="-1"/>
          <w:kern w:val="0"/>
          <w:sz w:val="18"/>
          <w:szCs w:val="18"/>
        </w:rPr>
        <w:t>注： 1.本表只填写响应文件中与谈判文件有偏离（包括正偏离和负偏离）的内容，除本偏离表所列的偏离指标外，其他所有商务条款均完全响应“谈判文件”中的要求。</w:t>
      </w:r>
    </w:p>
    <w:p>
      <w:pPr>
        <w:spacing w:line="360" w:lineRule="auto"/>
        <w:ind w:firstLine="361" w:firstLineChars="200"/>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2.供应商必须据实填写，不得虚假响应，否则将取消其响应或成交资格，并按有关规定进行处罚。</w:t>
      </w:r>
    </w:p>
    <w:p>
      <w:pPr>
        <w:spacing w:line="360" w:lineRule="auto"/>
        <w:ind w:firstLine="480" w:firstLineChars="200"/>
        <w:rPr>
          <w:rFonts w:hint="eastAsia" w:ascii="宋体" w:hAnsi="宋体" w:eastAsia="宋体" w:cs="宋体"/>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sz w:val="24"/>
          <w:szCs w:val="22"/>
        </w:rPr>
        <w:sectPr>
          <w:headerReference r:id="rId16" w:type="default"/>
          <w:pgSz w:w="11911" w:h="16838"/>
          <w:pgMar w:top="1440" w:right="1797" w:bottom="1440" w:left="1797" w:header="850" w:footer="737" w:gutter="0"/>
          <w:pgNumType w:fmt="decimal"/>
          <w:cols w:space="720" w:num="1"/>
          <w:docGrid w:linePitch="299" w:charSpace="0"/>
        </w:sectPr>
      </w:pPr>
      <w:r>
        <w:rPr>
          <w:rFonts w:hint="eastAsia" w:ascii="宋体" w:hAnsi="宋体" w:eastAsia="宋体" w:cs="宋体"/>
          <w:kern w:val="0"/>
          <w:sz w:val="24"/>
          <w:szCs w:val="22"/>
          <w:lang w:eastAsia="en-US"/>
        </w:rPr>
        <w:t>日期：</w:t>
      </w:r>
    </w:p>
    <w:p>
      <w:pPr>
        <w:widowControl/>
        <w:numPr>
          <w:ilvl w:val="0"/>
          <w:numId w:val="0"/>
        </w:numPr>
        <w:spacing w:line="360" w:lineRule="auto"/>
        <w:jc w:val="both"/>
        <w:outlineLvl w:val="9"/>
        <w:rPr>
          <w:rFonts w:hint="eastAsia" w:ascii="宋体" w:hAnsi="宋体" w:eastAsia="宋体" w:cs="宋体"/>
          <w:b/>
          <w:bCs/>
          <w:kern w:val="0"/>
          <w:sz w:val="32"/>
          <w:szCs w:val="32"/>
          <w:lang w:val="en-US" w:eastAsia="zh-CN"/>
        </w:rPr>
      </w:pPr>
      <w:bookmarkStart w:id="200" w:name="_Toc7163"/>
      <w:r>
        <w:rPr>
          <w:rFonts w:hint="eastAsia" w:ascii="宋体" w:hAnsi="宋体" w:eastAsia="宋体" w:cs="宋体"/>
          <w:b/>
          <w:bCs/>
          <w:kern w:val="0"/>
          <w:sz w:val="32"/>
          <w:szCs w:val="32"/>
        </w:rPr>
        <w:t>格式2-</w:t>
      </w:r>
      <w:r>
        <w:rPr>
          <w:rFonts w:hint="eastAsia" w:ascii="宋体" w:hAnsi="宋体" w:eastAsia="宋体" w:cs="宋体"/>
          <w:b/>
          <w:bCs/>
          <w:kern w:val="0"/>
          <w:sz w:val="32"/>
          <w:szCs w:val="32"/>
          <w:lang w:val="en-US" w:eastAsia="zh-CN"/>
        </w:rPr>
        <w:t>6</w:t>
      </w:r>
    </w:p>
    <w:p>
      <w:pPr>
        <w:widowControl/>
        <w:numPr>
          <w:ilvl w:val="0"/>
          <w:numId w:val="0"/>
        </w:numPr>
        <w:spacing w:line="360" w:lineRule="auto"/>
        <w:jc w:val="center"/>
        <w:outlineLvl w:val="1"/>
        <w:rPr>
          <w:rFonts w:hint="eastAsia" w:ascii="宋体" w:hAnsi="宋体" w:eastAsia="宋体" w:cs="宋体"/>
          <w:b/>
          <w:color w:val="auto"/>
          <w:sz w:val="32"/>
          <w:szCs w:val="32"/>
          <w:lang w:eastAsia="zh-CN"/>
        </w:rPr>
      </w:pPr>
      <w:bookmarkStart w:id="201" w:name="_Toc6870"/>
      <w:r>
        <w:rPr>
          <w:rFonts w:hint="eastAsia" w:ascii="宋体" w:hAnsi="宋体" w:eastAsia="宋体" w:cs="宋体"/>
          <w:b/>
          <w:color w:val="auto"/>
          <w:sz w:val="32"/>
          <w:szCs w:val="32"/>
          <w:lang w:eastAsia="zh-CN"/>
        </w:rPr>
        <w:t>六、类似项目业绩一览表</w:t>
      </w:r>
      <w:bookmarkEnd w:id="200"/>
      <w:bookmarkEnd w:id="201"/>
    </w:p>
    <w:p>
      <w:pPr>
        <w:spacing w:line="360" w:lineRule="auto"/>
        <w:rPr>
          <w:rFonts w:hint="eastAsia" w:ascii="宋体" w:hAnsi="宋体" w:eastAsia="宋体" w:cs="宋体"/>
          <w:color w:val="auto"/>
          <w:kern w:val="1"/>
        </w:rPr>
      </w:pPr>
    </w:p>
    <w:tbl>
      <w:tblPr>
        <w:tblStyle w:val="42"/>
        <w:tblW w:w="0" w:type="auto"/>
        <w:jc w:val="center"/>
        <w:tblLayout w:type="fixed"/>
        <w:tblCellMar>
          <w:top w:w="0" w:type="dxa"/>
          <w:left w:w="54" w:type="dxa"/>
          <w:bottom w:w="0" w:type="dxa"/>
          <w:right w:w="54" w:type="dxa"/>
        </w:tblCellMar>
      </w:tblPr>
      <w:tblGrid>
        <w:gridCol w:w="1359"/>
        <w:gridCol w:w="2265"/>
        <w:gridCol w:w="2407"/>
        <w:gridCol w:w="1377"/>
        <w:gridCol w:w="859"/>
      </w:tblGrid>
      <w:tr>
        <w:tblPrEx>
          <w:tblCellMar>
            <w:top w:w="0" w:type="dxa"/>
            <w:left w:w="54" w:type="dxa"/>
            <w:bottom w:w="0" w:type="dxa"/>
            <w:right w:w="54" w:type="dxa"/>
          </w:tblCellMar>
        </w:tblPrEx>
        <w:trPr>
          <w:cantSplit/>
          <w:trHeight w:val="600" w:hRule="atLeast"/>
          <w:jc w:val="center"/>
        </w:trPr>
        <w:tc>
          <w:tcPr>
            <w:tcW w:w="1359" w:type="dxa"/>
            <w:tcBorders>
              <w:top w:val="single" w:color="000000" w:sz="4" w:space="0"/>
              <w:left w:val="single" w:color="000000" w:sz="4"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auto"/>
                <w:kern w:val="1"/>
              </w:rPr>
            </w:pPr>
            <w:r>
              <w:rPr>
                <w:rFonts w:hint="eastAsia" w:ascii="宋体" w:hAnsi="宋体" w:eastAsia="宋体" w:cs="宋体"/>
                <w:color w:val="auto"/>
                <w:kern w:val="1"/>
              </w:rPr>
              <w:t>年份</w:t>
            </w:r>
          </w:p>
        </w:tc>
        <w:tc>
          <w:tcPr>
            <w:tcW w:w="2265" w:type="dxa"/>
            <w:tcBorders>
              <w:top w:val="single" w:color="000000" w:sz="4"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auto"/>
                <w:kern w:val="1"/>
              </w:rPr>
            </w:pPr>
            <w:r>
              <w:rPr>
                <w:rFonts w:hint="eastAsia" w:ascii="宋体" w:hAnsi="宋体" w:eastAsia="宋体" w:cs="宋体"/>
                <w:color w:val="auto"/>
                <w:kern w:val="1"/>
              </w:rPr>
              <w:t>委托人名称</w:t>
            </w:r>
          </w:p>
        </w:tc>
        <w:tc>
          <w:tcPr>
            <w:tcW w:w="2407" w:type="dxa"/>
            <w:tcBorders>
              <w:top w:val="single" w:color="000000" w:sz="4"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auto"/>
                <w:kern w:val="1"/>
              </w:rPr>
            </w:pPr>
            <w:r>
              <w:rPr>
                <w:rFonts w:hint="eastAsia" w:ascii="宋体" w:hAnsi="宋体" w:eastAsia="宋体" w:cs="宋体"/>
                <w:color w:val="auto"/>
                <w:kern w:val="1"/>
              </w:rPr>
              <w:t>项目名称</w:t>
            </w:r>
          </w:p>
        </w:tc>
        <w:tc>
          <w:tcPr>
            <w:tcW w:w="1377" w:type="dxa"/>
            <w:tcBorders>
              <w:top w:val="single" w:color="000000" w:sz="4" w:space="0"/>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auto"/>
                <w:kern w:val="1"/>
              </w:rPr>
            </w:pPr>
            <w:r>
              <w:rPr>
                <w:rFonts w:hint="eastAsia" w:ascii="宋体" w:hAnsi="宋体" w:eastAsia="宋体" w:cs="宋体"/>
                <w:color w:val="auto"/>
                <w:kern w:val="1"/>
              </w:rPr>
              <w:t>合同金额</w:t>
            </w:r>
          </w:p>
        </w:tc>
        <w:tc>
          <w:tcPr>
            <w:tcW w:w="859" w:type="dxa"/>
            <w:tcBorders>
              <w:top w:val="single" w:color="000000" w:sz="4" w:space="0"/>
              <w:left w:val="single" w:color="000000" w:sz="4" w:space="0"/>
              <w:bottom w:val="single" w:color="000000" w:sz="6" w:space="0"/>
              <w:right w:val="single" w:color="000000" w:sz="4" w:space="0"/>
            </w:tcBorders>
            <w:noWrap w:val="0"/>
            <w:vAlign w:val="center"/>
          </w:tcPr>
          <w:p>
            <w:pPr>
              <w:spacing w:line="360" w:lineRule="auto"/>
              <w:jc w:val="center"/>
              <w:rPr>
                <w:rFonts w:hint="eastAsia" w:ascii="宋体" w:hAnsi="宋体" w:eastAsia="宋体" w:cs="宋体"/>
                <w:color w:val="auto"/>
                <w:kern w:val="1"/>
              </w:rPr>
            </w:pPr>
            <w:r>
              <w:rPr>
                <w:rFonts w:hint="eastAsia" w:ascii="宋体" w:hAnsi="宋体" w:eastAsia="宋体" w:cs="宋体"/>
                <w:color w:val="auto"/>
                <w:kern w:val="1"/>
              </w:rPr>
              <w:t>备注</w:t>
            </w: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600" w:hRule="atLeast"/>
          <w:jc w:val="center"/>
        </w:trPr>
        <w:tc>
          <w:tcPr>
            <w:tcW w:w="1359"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6" w:space="0"/>
              <w:left w:val="single" w:color="000000" w:sz="6"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6" w:space="0"/>
              <w:left w:val="single" w:color="000000" w:sz="4" w:space="0"/>
              <w:bottom w:val="single" w:color="000000" w:sz="6" w:space="0"/>
              <w:right w:val="single" w:color="000000" w:sz="4" w:space="0"/>
            </w:tcBorders>
            <w:noWrap w:val="0"/>
            <w:vAlign w:val="center"/>
          </w:tcPr>
          <w:p>
            <w:pPr>
              <w:spacing w:line="360" w:lineRule="auto"/>
              <w:rPr>
                <w:rFonts w:hint="eastAsia" w:ascii="宋体" w:hAnsi="宋体" w:eastAsia="宋体" w:cs="宋体"/>
                <w:color w:val="auto"/>
                <w:kern w:val="1"/>
              </w:rPr>
            </w:pPr>
          </w:p>
        </w:tc>
      </w:tr>
      <w:tr>
        <w:tblPrEx>
          <w:tblCellMar>
            <w:top w:w="0" w:type="dxa"/>
            <w:left w:w="54" w:type="dxa"/>
            <w:bottom w:w="0" w:type="dxa"/>
            <w:right w:w="54" w:type="dxa"/>
          </w:tblCellMar>
        </w:tblPrEx>
        <w:trPr>
          <w:cantSplit/>
          <w:trHeight w:val="435" w:hRule="atLeast"/>
          <w:jc w:val="center"/>
        </w:trPr>
        <w:tc>
          <w:tcPr>
            <w:tcW w:w="1359" w:type="dxa"/>
            <w:tcBorders>
              <w:top w:val="single" w:color="000000" w:sz="4" w:space="0"/>
              <w:left w:val="single" w:color="000000" w:sz="4" w:space="0"/>
              <w:bottom w:val="single" w:color="000000" w:sz="4"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265"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2407"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uto"/>
              <w:rPr>
                <w:rFonts w:hint="eastAsia" w:ascii="宋体" w:hAnsi="宋体" w:eastAsia="宋体" w:cs="宋体"/>
                <w:color w:val="auto"/>
                <w:kern w:val="1"/>
              </w:rPr>
            </w:pPr>
          </w:p>
        </w:tc>
        <w:tc>
          <w:tcPr>
            <w:tcW w:w="1377" w:type="dxa"/>
            <w:tcBorders>
              <w:top w:val="single" w:color="000000" w:sz="4" w:space="0"/>
              <w:left w:val="single" w:color="000000" w:sz="6" w:space="0"/>
              <w:bottom w:val="single" w:color="000000" w:sz="4" w:space="0"/>
              <w:right w:val="single" w:color="000000" w:sz="4" w:space="0"/>
            </w:tcBorders>
            <w:noWrap w:val="0"/>
            <w:vAlign w:val="center"/>
          </w:tcPr>
          <w:p>
            <w:pPr>
              <w:spacing w:line="360" w:lineRule="auto"/>
              <w:rPr>
                <w:rFonts w:hint="eastAsia" w:ascii="宋体" w:hAnsi="宋体" w:eastAsia="宋体" w:cs="宋体"/>
                <w:color w:val="auto"/>
                <w:kern w:val="1"/>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auto"/>
                <w:kern w:val="1"/>
              </w:rPr>
            </w:pPr>
          </w:p>
        </w:tc>
      </w:tr>
    </w:tbl>
    <w:p>
      <w:pPr>
        <w:spacing w:line="360" w:lineRule="auto"/>
        <w:jc w:val="left"/>
        <w:rPr>
          <w:rFonts w:hint="eastAsia" w:ascii="宋体" w:hAnsi="宋体" w:eastAsia="宋体" w:cs="宋体"/>
          <w:b/>
          <w:color w:val="auto"/>
          <w:kern w:val="1"/>
          <w:szCs w:val="24"/>
        </w:rPr>
      </w:pPr>
    </w:p>
    <w:p>
      <w:pPr>
        <w:spacing w:line="360" w:lineRule="auto"/>
        <w:jc w:val="left"/>
        <w:rPr>
          <w:rFonts w:hint="eastAsia" w:ascii="宋体" w:hAnsi="宋体" w:eastAsia="宋体" w:cs="宋体"/>
          <w:b/>
          <w:color w:val="auto"/>
          <w:kern w:val="1"/>
          <w:szCs w:val="24"/>
        </w:rPr>
      </w:pPr>
    </w:p>
    <w:p>
      <w:pPr>
        <w:spacing w:line="360" w:lineRule="auto"/>
        <w:jc w:val="left"/>
        <w:rPr>
          <w:rFonts w:hint="eastAsia" w:ascii="宋体" w:hAnsi="宋体" w:eastAsia="宋体" w:cs="宋体"/>
          <w:color w:val="auto"/>
          <w:kern w:val="1"/>
          <w:sz w:val="24"/>
          <w:szCs w:val="24"/>
        </w:rPr>
      </w:pPr>
      <w:r>
        <w:rPr>
          <w:rFonts w:hint="eastAsia" w:ascii="宋体" w:hAnsi="宋体" w:eastAsia="宋体" w:cs="宋体"/>
          <w:b/>
          <w:bCs/>
          <w:color w:val="auto"/>
          <w:kern w:val="1"/>
          <w:szCs w:val="24"/>
        </w:rPr>
        <w:t>注：供应商以上业绩须提供有关书面证明材料</w:t>
      </w:r>
      <w:r>
        <w:rPr>
          <w:rFonts w:hint="eastAsia" w:ascii="宋体" w:hAnsi="宋体" w:eastAsia="宋体" w:cs="宋体"/>
          <w:b/>
          <w:bCs/>
          <w:color w:val="auto"/>
          <w:kern w:val="1"/>
          <w:szCs w:val="24"/>
          <w:lang w:eastAsia="zh-CN"/>
        </w:rPr>
        <w:t>并加盖供应商鲜章</w:t>
      </w:r>
      <w:r>
        <w:rPr>
          <w:rFonts w:hint="eastAsia" w:ascii="宋体" w:hAnsi="宋体" w:eastAsia="宋体" w:cs="宋体"/>
          <w:b/>
          <w:bCs/>
          <w:color w:val="auto"/>
          <w:kern w:val="1"/>
          <w:szCs w:val="24"/>
        </w:rPr>
        <w:t>。</w:t>
      </w:r>
    </w:p>
    <w:p>
      <w:pPr>
        <w:spacing w:line="360" w:lineRule="auto"/>
        <w:jc w:val="left"/>
        <w:rPr>
          <w:rFonts w:hint="eastAsia" w:ascii="宋体" w:hAnsi="宋体" w:eastAsia="宋体" w:cs="宋体"/>
          <w:color w:val="auto"/>
          <w:kern w:val="1"/>
          <w:sz w:val="24"/>
        </w:rPr>
      </w:pPr>
    </w:p>
    <w:p>
      <w:pPr>
        <w:spacing w:line="360" w:lineRule="auto"/>
        <w:jc w:val="left"/>
        <w:rPr>
          <w:rFonts w:hint="eastAsia" w:ascii="宋体" w:hAnsi="宋体" w:eastAsia="宋体" w:cs="宋体"/>
          <w:color w:val="auto"/>
          <w:kern w:val="1"/>
          <w:sz w:val="24"/>
        </w:rPr>
      </w:pPr>
    </w:p>
    <w:p>
      <w:pPr>
        <w:spacing w:line="360" w:lineRule="auto"/>
        <w:jc w:val="left"/>
        <w:rPr>
          <w:rFonts w:hint="eastAsia" w:ascii="宋体" w:hAnsi="宋体" w:eastAsia="宋体" w:cs="宋体"/>
          <w:color w:val="auto"/>
          <w:kern w:val="1"/>
          <w:sz w:val="24"/>
        </w:rPr>
      </w:pP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法定代表人/单位负责人或授权代表：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（签字或加盖个人名章）</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p>
    <w:p>
      <w:pPr>
        <w:numPr>
          <w:ilvl w:val="0"/>
          <w:numId w:val="0"/>
        </w:numPr>
        <w:spacing w:line="360" w:lineRule="auto"/>
        <w:ind w:leftChars="0"/>
        <w:jc w:val="left"/>
        <w:rPr>
          <w:rFonts w:hint="eastAsia" w:ascii="宋体" w:hAnsi="宋体" w:eastAsia="宋体" w:cs="宋体"/>
          <w:b/>
          <w:bCs/>
          <w:kern w:val="0"/>
          <w:sz w:val="24"/>
          <w:lang w:val="en-US" w:eastAsia="zh-CN"/>
        </w:rPr>
      </w:pPr>
      <w:r>
        <w:rPr>
          <w:rFonts w:hint="eastAsia" w:ascii="宋体" w:hAnsi="宋体" w:eastAsia="宋体" w:cs="宋体"/>
          <w:color w:val="auto"/>
          <w:sz w:val="24"/>
        </w:rPr>
        <w:t>日期：</w:t>
      </w: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格式2-</w:t>
      </w:r>
      <w:r>
        <w:rPr>
          <w:rFonts w:hint="eastAsia" w:ascii="宋体" w:hAnsi="宋体" w:eastAsia="宋体" w:cs="宋体"/>
          <w:b/>
          <w:bCs/>
          <w:kern w:val="0"/>
          <w:sz w:val="32"/>
          <w:szCs w:val="32"/>
          <w:lang w:val="en-US" w:eastAsia="zh-CN"/>
        </w:rPr>
        <w:t>7</w:t>
      </w:r>
    </w:p>
    <w:p>
      <w:pPr>
        <w:widowControl/>
        <w:spacing w:line="360" w:lineRule="auto"/>
        <w:jc w:val="center"/>
        <w:outlineLvl w:val="1"/>
        <w:rPr>
          <w:rFonts w:hint="eastAsia" w:ascii="宋体" w:hAnsi="宋体" w:eastAsia="宋体" w:cs="宋体"/>
          <w:b/>
          <w:kern w:val="0"/>
          <w:sz w:val="32"/>
          <w:szCs w:val="32"/>
        </w:rPr>
      </w:pPr>
      <w:bookmarkStart w:id="202" w:name="_Toc7220"/>
      <w:r>
        <w:rPr>
          <w:rFonts w:hint="eastAsia" w:ascii="宋体" w:hAnsi="宋体" w:eastAsia="宋体" w:cs="宋体"/>
          <w:b/>
          <w:kern w:val="0"/>
          <w:sz w:val="32"/>
          <w:szCs w:val="32"/>
          <w:lang w:eastAsia="zh-CN"/>
        </w:rPr>
        <w:t>七</w:t>
      </w:r>
      <w:r>
        <w:rPr>
          <w:rFonts w:hint="eastAsia" w:ascii="宋体" w:hAnsi="宋体" w:eastAsia="宋体" w:cs="宋体"/>
          <w:b/>
          <w:kern w:val="0"/>
          <w:sz w:val="32"/>
          <w:szCs w:val="32"/>
        </w:rPr>
        <w:t>、项目实施方案（格式自拟）</w:t>
      </w:r>
      <w:bookmarkEnd w:id="202"/>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b/>
          <w:bCs/>
          <w:kern w:val="0"/>
          <w:sz w:val="24"/>
          <w:lang w:val="en-US" w:eastAsia="zh-CN"/>
        </w:rPr>
      </w:pPr>
      <w:r>
        <w:rPr>
          <w:rFonts w:hint="eastAsia" w:ascii="宋体" w:hAnsi="宋体" w:eastAsia="宋体" w:cs="宋体"/>
          <w:kern w:val="0"/>
          <w:sz w:val="24"/>
          <w:szCs w:val="22"/>
        </w:rPr>
        <w:t>日期：</w:t>
      </w: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格式2-</w:t>
      </w:r>
      <w:r>
        <w:rPr>
          <w:rFonts w:hint="eastAsia" w:ascii="宋体" w:hAnsi="宋体" w:eastAsia="宋体" w:cs="宋体"/>
          <w:b/>
          <w:bCs/>
          <w:kern w:val="0"/>
          <w:sz w:val="32"/>
          <w:szCs w:val="32"/>
          <w:lang w:val="en-US" w:eastAsia="zh-CN"/>
        </w:rPr>
        <w:t>8</w:t>
      </w:r>
    </w:p>
    <w:p>
      <w:pPr>
        <w:widowControl/>
        <w:spacing w:line="360" w:lineRule="auto"/>
        <w:jc w:val="center"/>
        <w:outlineLvl w:val="1"/>
        <w:rPr>
          <w:rFonts w:hint="eastAsia" w:ascii="宋体" w:hAnsi="宋体" w:eastAsia="宋体" w:cs="宋体"/>
          <w:b/>
          <w:kern w:val="0"/>
          <w:sz w:val="32"/>
          <w:szCs w:val="32"/>
        </w:rPr>
      </w:pPr>
      <w:bookmarkStart w:id="203" w:name="_Toc28864"/>
      <w:bookmarkStart w:id="204" w:name="_Toc504988320"/>
      <w:bookmarkStart w:id="205" w:name="_Toc502912112"/>
      <w:bookmarkStart w:id="206" w:name="_Toc8167"/>
      <w:bookmarkStart w:id="207" w:name="_Toc504987221"/>
      <w:bookmarkStart w:id="208" w:name="_Toc504991365"/>
      <w:r>
        <w:rPr>
          <w:rFonts w:hint="eastAsia" w:ascii="宋体" w:hAnsi="宋体" w:eastAsia="宋体" w:cs="宋体"/>
          <w:b/>
          <w:kern w:val="0"/>
          <w:sz w:val="32"/>
          <w:szCs w:val="32"/>
          <w:lang w:eastAsia="zh-CN"/>
        </w:rPr>
        <w:t>八</w:t>
      </w:r>
      <w:r>
        <w:rPr>
          <w:rFonts w:hint="eastAsia" w:ascii="宋体" w:hAnsi="宋体" w:eastAsia="宋体" w:cs="宋体"/>
          <w:b/>
          <w:kern w:val="0"/>
          <w:sz w:val="32"/>
          <w:szCs w:val="32"/>
        </w:rPr>
        <w:t>、售后服务方案（格式自拟）</w:t>
      </w:r>
      <w:bookmarkEnd w:id="203"/>
      <w:bookmarkEnd w:id="204"/>
      <w:bookmarkEnd w:id="205"/>
      <w:bookmarkEnd w:id="206"/>
      <w:bookmarkEnd w:id="207"/>
      <w:bookmarkEnd w:id="208"/>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b/>
          <w:kern w:val="0"/>
          <w:sz w:val="32"/>
          <w:szCs w:val="3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jc w:val="left"/>
        <w:rPr>
          <w:rFonts w:hint="eastAsia" w:ascii="宋体" w:hAnsi="宋体" w:eastAsia="宋体" w:cs="宋体"/>
          <w:kern w:val="0"/>
          <w:sz w:val="22"/>
          <w:szCs w:val="22"/>
        </w:rPr>
        <w:sectPr>
          <w:headerReference r:id="rId17" w:type="default"/>
          <w:pgSz w:w="11911" w:h="16838"/>
          <w:pgMar w:top="1440" w:right="1797" w:bottom="1440" w:left="1797" w:header="850" w:footer="737" w:gutter="0"/>
          <w:pgNumType w:fmt="decimal"/>
          <w:cols w:space="720" w:num="1"/>
          <w:docGrid w:linePitch="299" w:charSpace="0"/>
        </w:sectPr>
      </w:pPr>
      <w:r>
        <w:rPr>
          <w:rFonts w:hint="eastAsia" w:ascii="宋体" w:hAnsi="宋体" w:eastAsia="宋体" w:cs="宋体"/>
          <w:kern w:val="0"/>
          <w:sz w:val="24"/>
          <w:szCs w:val="22"/>
        </w:rPr>
        <w:t>日期：</w:t>
      </w:r>
    </w:p>
    <w:p>
      <w:pPr>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32"/>
          <w:szCs w:val="32"/>
        </w:rPr>
        <w:t>格式2-</w:t>
      </w:r>
      <w:r>
        <w:rPr>
          <w:rFonts w:hint="eastAsia" w:ascii="宋体" w:hAnsi="宋体" w:eastAsia="宋体" w:cs="宋体"/>
          <w:b/>
          <w:bCs/>
          <w:kern w:val="0"/>
          <w:sz w:val="32"/>
          <w:szCs w:val="32"/>
          <w:lang w:val="en-US" w:eastAsia="zh-CN"/>
        </w:rPr>
        <w:t>9</w:t>
      </w:r>
    </w:p>
    <w:p>
      <w:pPr>
        <w:widowControl/>
        <w:spacing w:line="360" w:lineRule="auto"/>
        <w:jc w:val="center"/>
        <w:outlineLvl w:val="1"/>
        <w:rPr>
          <w:rFonts w:hint="eastAsia" w:ascii="宋体" w:hAnsi="宋体" w:eastAsia="宋体" w:cs="宋体"/>
          <w:b/>
          <w:kern w:val="0"/>
          <w:sz w:val="32"/>
          <w:szCs w:val="32"/>
        </w:rPr>
      </w:pPr>
      <w:bookmarkStart w:id="209" w:name="_Toc504991366"/>
      <w:bookmarkStart w:id="210" w:name="_Toc31400"/>
      <w:bookmarkStart w:id="211" w:name="_Toc31003"/>
      <w:bookmarkStart w:id="212" w:name="_Toc504988321"/>
      <w:bookmarkStart w:id="213" w:name="_Toc502912113"/>
      <w:bookmarkStart w:id="214" w:name="_Toc504987222"/>
      <w:r>
        <w:rPr>
          <w:rFonts w:hint="eastAsia" w:ascii="宋体" w:hAnsi="宋体" w:eastAsia="宋体" w:cs="宋体"/>
          <w:b/>
          <w:kern w:val="0"/>
          <w:sz w:val="32"/>
          <w:szCs w:val="32"/>
          <w:lang w:eastAsia="zh-CN"/>
        </w:rPr>
        <w:t>九</w:t>
      </w:r>
      <w:r>
        <w:rPr>
          <w:rFonts w:hint="eastAsia" w:ascii="宋体" w:hAnsi="宋体" w:eastAsia="宋体" w:cs="宋体"/>
          <w:b/>
          <w:kern w:val="0"/>
          <w:sz w:val="32"/>
          <w:szCs w:val="32"/>
        </w:rPr>
        <w:t>、其他有关材料（格式自拟）</w:t>
      </w:r>
      <w:bookmarkEnd w:id="209"/>
      <w:bookmarkEnd w:id="210"/>
      <w:bookmarkEnd w:id="211"/>
      <w:bookmarkEnd w:id="212"/>
      <w:bookmarkEnd w:id="213"/>
      <w:bookmarkEnd w:id="214"/>
    </w:p>
    <w:p>
      <w:pPr>
        <w:keepNext/>
        <w:keepLines/>
        <w:spacing w:line="360" w:lineRule="auto"/>
        <w:jc w:val="center"/>
        <w:outlineLvl w:val="1"/>
        <w:rPr>
          <w:rFonts w:hint="eastAsia" w:ascii="宋体" w:hAnsi="宋体" w:eastAsia="宋体" w:cs="宋体"/>
          <w:b/>
          <w:bCs/>
          <w:kern w:val="0"/>
          <w:sz w:val="32"/>
          <w:szCs w:val="32"/>
        </w:rPr>
      </w:pPr>
      <w:r>
        <w:rPr>
          <w:rFonts w:hint="eastAsia" w:ascii="宋体" w:hAnsi="宋体" w:eastAsia="宋体" w:cs="宋体"/>
          <w:b/>
          <w:bCs/>
          <w:sz w:val="32"/>
          <w:szCs w:val="32"/>
        </w:rPr>
        <w:br w:type="page"/>
      </w:r>
      <w:bookmarkStart w:id="215" w:name="_Toc504991367"/>
      <w:bookmarkStart w:id="216" w:name="_Toc504987223"/>
      <w:bookmarkStart w:id="217" w:name="_Toc25272"/>
      <w:bookmarkStart w:id="218" w:name="_Toc3459"/>
      <w:bookmarkStart w:id="219" w:name="_Toc502912114"/>
      <w:bookmarkStart w:id="220" w:name="_Toc504988322"/>
      <w:r>
        <w:rPr>
          <w:rFonts w:hint="eastAsia" w:ascii="宋体" w:hAnsi="宋体" w:eastAsia="宋体" w:cs="宋体"/>
          <w:b/>
          <w:bCs/>
          <w:sz w:val="32"/>
          <w:szCs w:val="32"/>
        </w:rPr>
        <w:t>第三部分  最终报价函</w:t>
      </w:r>
      <w:bookmarkEnd w:id="215"/>
      <w:bookmarkEnd w:id="216"/>
      <w:bookmarkEnd w:id="217"/>
      <w:bookmarkEnd w:id="218"/>
      <w:bookmarkEnd w:id="219"/>
      <w:bookmarkEnd w:id="220"/>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57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2342" w:type="dxa"/>
            <w:vAlign w:val="center"/>
          </w:tcPr>
          <w:p>
            <w:pPr>
              <w:rPr>
                <w:rFonts w:hint="eastAsia" w:ascii="宋体" w:hAnsi="宋体" w:eastAsia="宋体" w:cs="宋体"/>
                <w:sz w:val="24"/>
              </w:rPr>
            </w:pPr>
            <w:r>
              <w:rPr>
                <w:rFonts w:hint="eastAsia" w:ascii="宋体" w:hAnsi="宋体" w:eastAsia="宋体" w:cs="宋体"/>
                <w:sz w:val="24"/>
              </w:rPr>
              <w:t>项目名称</w:t>
            </w:r>
          </w:p>
        </w:tc>
        <w:tc>
          <w:tcPr>
            <w:tcW w:w="5780" w:type="dxa"/>
            <w:vAlign w:val="center"/>
          </w:tcPr>
          <w:p>
            <w:pPr>
              <w:jc w:val="center"/>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2342" w:type="dxa"/>
            <w:tcBorders>
              <w:bottom w:val="single" w:color="auto" w:sz="4" w:space="0"/>
            </w:tcBorders>
            <w:vAlign w:val="center"/>
          </w:tcPr>
          <w:p>
            <w:pPr>
              <w:rPr>
                <w:rFonts w:hint="eastAsia" w:ascii="宋体" w:hAnsi="宋体" w:eastAsia="宋体" w:cs="宋体"/>
                <w:sz w:val="24"/>
              </w:rPr>
            </w:pPr>
            <w:r>
              <w:rPr>
                <w:rFonts w:hint="eastAsia" w:ascii="宋体" w:hAnsi="宋体" w:eastAsia="宋体" w:cs="宋体"/>
                <w:sz w:val="24"/>
                <w:lang w:eastAsia="zh-CN"/>
              </w:rPr>
              <w:t>采购</w:t>
            </w:r>
            <w:r>
              <w:rPr>
                <w:rFonts w:hint="eastAsia" w:ascii="宋体" w:hAnsi="宋体" w:eastAsia="宋体" w:cs="宋体"/>
                <w:sz w:val="24"/>
              </w:rPr>
              <w:t>项目编号</w:t>
            </w:r>
          </w:p>
        </w:tc>
        <w:tc>
          <w:tcPr>
            <w:tcW w:w="5780" w:type="dxa"/>
            <w:tcBorders>
              <w:bottom w:val="single" w:color="auto" w:sz="4" w:space="0"/>
            </w:tcBorders>
            <w:vAlign w:val="center"/>
          </w:tcPr>
          <w:p>
            <w:pPr>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2342" w:type="dxa"/>
            <w:tcBorders>
              <w:top w:val="single" w:color="auto" w:sz="4" w:space="0"/>
              <w:bottom w:val="single" w:color="auto" w:sz="4" w:space="0"/>
            </w:tcBorders>
            <w:vAlign w:val="center"/>
          </w:tcPr>
          <w:p>
            <w:pPr>
              <w:rPr>
                <w:rFonts w:hint="eastAsia" w:ascii="宋体" w:hAnsi="宋体" w:eastAsia="宋体" w:cs="宋体"/>
                <w:sz w:val="24"/>
                <w:lang w:eastAsia="zh-CN"/>
              </w:rPr>
            </w:pPr>
            <w:r>
              <w:rPr>
                <w:rFonts w:hint="eastAsia" w:ascii="宋体" w:hAnsi="宋体" w:cs="宋体"/>
                <w:sz w:val="24"/>
                <w:lang w:val="en-US" w:eastAsia="zh-CN"/>
              </w:rPr>
              <w:t>交货</w:t>
            </w:r>
            <w:r>
              <w:rPr>
                <w:rFonts w:hint="eastAsia" w:ascii="宋体" w:hAnsi="宋体" w:eastAsia="宋体" w:cs="宋体"/>
                <w:sz w:val="24"/>
                <w:lang w:val="en-US" w:eastAsia="zh-CN"/>
              </w:rPr>
              <w:t>时间</w:t>
            </w:r>
          </w:p>
        </w:tc>
        <w:tc>
          <w:tcPr>
            <w:tcW w:w="5780" w:type="dxa"/>
            <w:tcBorders>
              <w:top w:val="single" w:color="auto" w:sz="4" w:space="0"/>
              <w:bottom w:val="single" w:color="auto" w:sz="4" w:space="0"/>
            </w:tcBorders>
            <w:vAlign w:val="center"/>
          </w:tcPr>
          <w:p>
            <w:pPr>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27" w:hRule="atLeast"/>
          <w:jc w:val="center"/>
        </w:trPr>
        <w:tc>
          <w:tcPr>
            <w:tcW w:w="2342" w:type="dxa"/>
            <w:tcBorders>
              <w:top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报价</w:t>
            </w:r>
          </w:p>
        </w:tc>
        <w:tc>
          <w:tcPr>
            <w:tcW w:w="5780" w:type="dxa"/>
            <w:tcBorders>
              <w:top w:val="single" w:color="auto"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sz w:val="24"/>
              </w:rPr>
              <w:t>小写：</w:t>
            </w:r>
            <w:r>
              <w:rPr>
                <w:rFonts w:hint="eastAsia" w:ascii="宋体" w:hAnsi="宋体" w:eastAsia="宋体" w:cs="宋体"/>
                <w:sz w:val="24"/>
                <w:u w:val="single"/>
              </w:rPr>
              <w:t xml:space="preserve">         元</w:t>
            </w:r>
          </w:p>
          <w:p>
            <w:pPr>
              <w:spacing w:line="360" w:lineRule="auto"/>
              <w:rPr>
                <w:rFonts w:hint="eastAsia" w:ascii="宋体" w:hAnsi="宋体" w:eastAsia="宋体" w:cs="宋体"/>
                <w:sz w:val="24"/>
              </w:rPr>
            </w:pPr>
            <w:r>
              <w:rPr>
                <w:rFonts w:hint="eastAsia" w:ascii="宋体" w:hAnsi="宋体" w:eastAsia="宋体" w:cs="宋体"/>
                <w:sz w:val="24"/>
              </w:rPr>
              <w:br w:type="textWrapping"/>
            </w:r>
            <w:r>
              <w:rPr>
                <w:rFonts w:hint="eastAsia" w:ascii="宋体" w:hAnsi="宋体" w:eastAsia="宋体" w:cs="宋体"/>
                <w:sz w:val="24"/>
              </w:rPr>
              <w:t>大写：</w:t>
            </w:r>
            <w:r>
              <w:rPr>
                <w:rFonts w:hint="eastAsia" w:ascii="宋体" w:hAnsi="宋体" w:eastAsia="宋体" w:cs="宋体"/>
                <w:sz w:val="24"/>
                <w:u w:val="single"/>
              </w:rPr>
              <w:t xml:space="preserve">         </w:t>
            </w:r>
          </w:p>
        </w:tc>
      </w:tr>
    </w:tbl>
    <w:p>
      <w:pPr>
        <w:spacing w:line="360" w:lineRule="auto"/>
        <w:ind w:firstLine="440" w:firstLineChars="200"/>
        <w:jc w:val="left"/>
        <w:rPr>
          <w:rFonts w:hint="eastAsia" w:ascii="宋体" w:hAnsi="宋体" w:eastAsia="宋体" w:cs="宋体"/>
          <w:kern w:val="0"/>
          <w:sz w:val="22"/>
          <w:szCs w:val="21"/>
        </w:rPr>
      </w:pPr>
    </w:p>
    <w:p>
      <w:pPr>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注：最后报价为我方完成本项目所有采购内容所需的全部费用的固定不变价格，我方承诺不再要求调整合同价格。</w:t>
      </w:r>
    </w:p>
    <w:p>
      <w:pPr>
        <w:spacing w:line="360" w:lineRule="auto"/>
        <w:jc w:val="left"/>
        <w:rPr>
          <w:rFonts w:hint="eastAsia" w:ascii="宋体" w:hAnsi="宋体" w:eastAsia="宋体" w:cs="宋体"/>
          <w:kern w:val="0"/>
          <w:sz w:val="24"/>
          <w:szCs w:val="22"/>
        </w:rPr>
      </w:pP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法定代表人/单位负责人或授权代表：</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（签字或加盖个人名章）</w:t>
      </w:r>
    </w:p>
    <w:p>
      <w:pPr>
        <w:spacing w:line="360" w:lineRule="auto"/>
        <w:jc w:val="left"/>
        <w:rPr>
          <w:rFonts w:hint="eastAsia" w:ascii="宋体" w:hAnsi="宋体" w:eastAsia="宋体" w:cs="宋体"/>
          <w:kern w:val="0"/>
          <w:sz w:val="24"/>
          <w:szCs w:val="22"/>
        </w:rPr>
      </w:pPr>
      <w:r>
        <w:rPr>
          <w:rFonts w:hint="eastAsia" w:ascii="宋体" w:hAnsi="宋体" w:eastAsia="宋体" w:cs="宋体"/>
          <w:kern w:val="0"/>
          <w:sz w:val="24"/>
          <w:szCs w:val="22"/>
        </w:rPr>
        <w:t>供应商名称：</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（单位盖章）</w:t>
      </w:r>
    </w:p>
    <w:p>
      <w:pPr>
        <w:spacing w:line="360" w:lineRule="auto"/>
        <w:rPr>
          <w:rFonts w:hint="eastAsia" w:ascii="宋体" w:hAnsi="宋体" w:eastAsia="宋体" w:cs="宋体"/>
          <w:kern w:val="0"/>
          <w:sz w:val="24"/>
          <w:szCs w:val="22"/>
        </w:rPr>
      </w:pPr>
      <w:r>
        <w:rPr>
          <w:rFonts w:hint="eastAsia" w:ascii="宋体" w:hAnsi="宋体" w:eastAsia="宋体" w:cs="宋体"/>
          <w:kern w:val="0"/>
          <w:sz w:val="24"/>
          <w:szCs w:val="22"/>
        </w:rPr>
        <w:t>日期：</w:t>
      </w:r>
    </w:p>
    <w:p>
      <w:pPr>
        <w:spacing w:line="360" w:lineRule="auto"/>
        <w:rPr>
          <w:rFonts w:hint="eastAsia" w:ascii="宋体" w:hAnsi="宋体" w:eastAsia="宋体" w:cs="宋体"/>
          <w:b/>
          <w:bCs/>
          <w:kern w:val="0"/>
          <w:sz w:val="22"/>
          <w:szCs w:val="21"/>
        </w:rPr>
      </w:pPr>
    </w:p>
    <w:p>
      <w:pPr>
        <w:spacing w:line="360" w:lineRule="auto"/>
        <w:rPr>
          <w:rFonts w:hint="eastAsia" w:ascii="宋体" w:hAnsi="宋体" w:eastAsia="宋体" w:cs="宋体"/>
          <w:b/>
          <w:kern w:val="0"/>
          <w:sz w:val="32"/>
          <w:szCs w:val="32"/>
        </w:rPr>
        <w:sectPr>
          <w:pgSz w:w="11911" w:h="16838"/>
          <w:pgMar w:top="1440" w:right="1797" w:bottom="1440" w:left="1797" w:header="850" w:footer="1253" w:gutter="0"/>
          <w:pgNumType w:fmt="decimal"/>
          <w:cols w:space="720" w:num="1"/>
          <w:docGrid w:linePitch="299" w:charSpace="0"/>
        </w:sectPr>
      </w:pPr>
      <w:r>
        <w:rPr>
          <w:rFonts w:hint="eastAsia" w:ascii="宋体" w:hAnsi="宋体" w:eastAsia="宋体" w:cs="宋体"/>
          <w:b/>
          <w:bCs/>
          <w:kern w:val="0"/>
          <w:sz w:val="22"/>
          <w:szCs w:val="21"/>
        </w:rPr>
        <w:t>特别提醒：</w:t>
      </w:r>
      <w:r>
        <w:rPr>
          <w:rFonts w:hint="eastAsia" w:ascii="宋体" w:hAnsi="宋体" w:eastAsia="宋体" w:cs="宋体"/>
          <w:b/>
          <w:bCs/>
          <w:kern w:val="0"/>
          <w:sz w:val="22"/>
          <w:szCs w:val="21"/>
          <w:lang w:eastAsia="zh-CN"/>
        </w:rPr>
        <w:t>最终报价函</w:t>
      </w:r>
      <w:r>
        <w:rPr>
          <w:rFonts w:hint="eastAsia" w:ascii="宋体" w:hAnsi="宋体" w:eastAsia="宋体" w:cs="宋体"/>
          <w:b/>
          <w:bCs/>
          <w:kern w:val="0"/>
          <w:sz w:val="22"/>
          <w:szCs w:val="21"/>
        </w:rPr>
        <w:t>应单独密封提交；供应商需现场填写最终报价的，应自行准备密封袋并加盖供应商公章。</w:t>
      </w:r>
    </w:p>
    <w:p>
      <w:pPr>
        <w:pStyle w:val="39"/>
        <w:spacing w:before="0" w:after="0" w:line="360" w:lineRule="auto"/>
        <w:rPr>
          <w:rFonts w:hint="eastAsia" w:ascii="宋体" w:hAnsi="宋体" w:eastAsia="宋体" w:cs="宋体"/>
        </w:rPr>
      </w:pPr>
      <w:bookmarkStart w:id="221" w:name="_Toc504988323"/>
      <w:bookmarkStart w:id="222" w:name="_Toc25594"/>
      <w:bookmarkStart w:id="223" w:name="_Toc504987224"/>
      <w:bookmarkStart w:id="224" w:name="_Toc504991368"/>
      <w:bookmarkStart w:id="225" w:name="_Toc18798"/>
      <w:r>
        <w:rPr>
          <w:rFonts w:hint="eastAsia" w:ascii="宋体" w:hAnsi="宋体" w:eastAsia="宋体" w:cs="宋体"/>
        </w:rPr>
        <w:t>第七章  评审方法</w:t>
      </w:r>
      <w:bookmarkEnd w:id="221"/>
      <w:bookmarkEnd w:id="222"/>
      <w:bookmarkEnd w:id="223"/>
      <w:bookmarkEnd w:id="224"/>
      <w:bookmarkEnd w:id="225"/>
    </w:p>
    <w:p>
      <w:pPr>
        <w:spacing w:line="360" w:lineRule="auto"/>
        <w:rPr>
          <w:rFonts w:hint="eastAsia" w:ascii="宋体" w:hAnsi="宋体" w:eastAsia="宋体" w:cs="宋体"/>
          <w:b/>
          <w:bCs/>
          <w:sz w:val="24"/>
        </w:rPr>
      </w:pPr>
      <w:r>
        <w:rPr>
          <w:rFonts w:hint="eastAsia" w:ascii="宋体" w:hAnsi="宋体" w:eastAsia="宋体" w:cs="宋体"/>
          <w:b/>
          <w:bCs/>
          <w:sz w:val="24"/>
        </w:rPr>
        <w:t>1.总则</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 根据《中华人民共和国政府采购法》、《中华人民共和国政府采购法实施条例》、《政府采购非招标采购方式管理办法》等法律制度，结合采购项目特点制定本谈判办法。</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 谈判工作由采购代理机构负责组织，具体谈判由采购代理机构依法组建的谈判小组负责。谈判小组由采购人代表和有关技术、经济、法律等方面的专家组成。</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 谈判工作应遵循公平、公正、科学及择优的原则，并以相同的谈判程序和标准对待所有的供应商。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 谈判小组按照谈判文件规定的谈判方法和标准进行谈判，并独立履行下列职责：</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（一）熟悉和理解谈判文件，确定谈判文件内容是否违反国家有关强制性规定或者谈判文件存在歧义、重大缺陷；</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（二）审查供应商响应文件是否满足谈判文件要求，并作出公正评价；</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（三）根据需要要求供应商对谈判文件有关事项作出澄清、说明或者纠正；</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（四）推荐成交供应商，或者受采购人委托确定成交供应商；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（五）起草评审报告并进行签署；</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（六）向采购人、财政部门或者其他监督部门报告非法干预评审工作的行为；</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（七）法律、法规和规章规定的其他职责。</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1.5谈判过程独立、保密。供应商非法干预谈判过程的，其响应文件作为无效处理。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1.6 谈判小组评价响应文件，除谈判小组要求其澄清、说明或者纠正而提供的资料外，仅依据响应文件本身的内容，不寻求供应商提供其他外部证据。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1.7本项目评审方法为：最低评标价法（以最终报价总价为评审依据）。</w:t>
      </w:r>
    </w:p>
    <w:p>
      <w:pPr>
        <w:spacing w:line="360" w:lineRule="auto"/>
        <w:rPr>
          <w:rFonts w:hint="eastAsia" w:ascii="宋体" w:hAnsi="宋体" w:eastAsia="宋体" w:cs="宋体"/>
          <w:b/>
          <w:bCs/>
          <w:sz w:val="24"/>
        </w:rPr>
      </w:pPr>
      <w:r>
        <w:rPr>
          <w:rFonts w:hint="eastAsia" w:ascii="宋体" w:hAnsi="宋体" w:eastAsia="宋体" w:cs="宋体"/>
          <w:b/>
          <w:bCs/>
          <w:sz w:val="24"/>
        </w:rPr>
        <w:t>2.评审程序</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2.1熟悉和理解谈判文件和停止评审。</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2.1.1 谈判小组正式评审前，应当对谈判文件进行熟悉和理解，内容主要包括谈判文件中供应商资格条件要求、采购项目技术、服务和商务要求、评审方法和标准、政府采购政策要求以及采购合同主要条款等。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 本谈判文件有下列情形之一的，谈判小组应当停止评审：</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（1）谈判文件的规定存在歧义、重大缺陷的；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（2）谈判文件明显以不合理条件对供应商实行差别待遇或者歧视待遇的；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（3）采购项目属于国家规定的优先、强制采购范围，但是谈判文件未依法体现优先、强制采购相关规定的；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（4）谈判文件将供应商的资格条件列为评分因素的；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（5）谈判文件载明的成交原则不合法的；</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（6）谈判文件有违反国家其他有关强制性规定的情形。</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2.1.4 出现本条2.1.2规定应当停止评审情形的，谈判小组应当向采购人书面说明情况。除本条规定的情形外，谈判小组不得以任何方式和理由停止评审。</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 资格性审查。</w:t>
      </w:r>
    </w:p>
    <w:p>
      <w:pPr>
        <w:spacing w:line="360" w:lineRule="auto"/>
        <w:rPr>
          <w:rFonts w:hint="eastAsia" w:ascii="宋体" w:hAnsi="宋体" w:eastAsia="宋体" w:cs="宋体"/>
          <w:bCs/>
          <w:sz w:val="24"/>
        </w:rPr>
      </w:pPr>
      <w:r>
        <w:rPr>
          <w:rFonts w:hint="eastAsia" w:ascii="宋体" w:hAnsi="宋体" w:eastAsia="宋体" w:cs="宋体"/>
          <w:bCs/>
          <w:sz w:val="24"/>
        </w:rPr>
        <w:t>本项目需要谈判小组进行资格性检查。</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2.2.1谈判小组应依据法律法规和谈判文件的规定，对响应文件是否按照规定要求提供资格性证明材料、是否属于禁止参加谈判的供应商等进行审查，以确定供应商是否具备谈判资格。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2.2.2资格性审查结束后，谈判小组应当出具资格性审查报告，没有通过资格审查的供应商，谈判小组应当在资格审查报告中说明原因。</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2.2.3谈判小组应依据谈判文件规定的所有实质性要求，对符合资格的响应文件进行有效性、完整性和响应程度审查，以确定参加谈判的供应商名单。</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2.2.4采购代理机构宣布未通过资格性审查的供应商名单时，应当告知供应商未通过审查的原因。</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2.3通过资格性审查的供应商不足3家的，终止本次采购活动，并发布终止采购活动公告。</w:t>
      </w:r>
    </w:p>
    <w:p>
      <w:pPr>
        <w:spacing w:line="360" w:lineRule="auto"/>
        <w:ind w:firstLine="480" w:firstLineChars="200"/>
        <w:rPr>
          <w:rFonts w:hint="eastAsia" w:ascii="宋体" w:hAnsi="宋体" w:eastAsia="宋体" w:cs="宋体"/>
          <w:bCs/>
          <w:sz w:val="24"/>
          <w:highlight w:val="yellow"/>
          <w:lang w:val="en-US" w:eastAsia="zh-CN"/>
        </w:rPr>
      </w:pPr>
      <w:r>
        <w:rPr>
          <w:rFonts w:hint="eastAsia" w:ascii="宋体" w:hAnsi="宋体" w:eastAsia="宋体" w:cs="宋体"/>
          <w:bCs/>
          <w:sz w:val="24"/>
          <w:highlight w:val="none"/>
          <w:lang w:val="en-US" w:eastAsia="zh-CN"/>
        </w:rPr>
        <w:t>2.3.1根据《政府采购非招标采购方式管理办法》（财政部令第74号）的相关规定，公开招标的货物、服务采购项目，招标过程中提交投标文件或者经评审实质性响应招标文件要求的供应商只有两家时，采购人、采购代理机构按照</w:t>
      </w:r>
      <w:bookmarkStart w:id="226" w:name="_Toc15727"/>
      <w:r>
        <w:rPr>
          <w:rFonts w:hint="eastAsia" w:ascii="宋体" w:hAnsi="宋体" w:eastAsia="宋体" w:cs="宋体"/>
          <w:bCs/>
          <w:sz w:val="24"/>
          <w:highlight w:val="none"/>
          <w:lang w:val="en-US" w:eastAsia="zh-CN"/>
        </w:rPr>
        <w:t>本办法</w:t>
      </w:r>
      <w:bookmarkEnd w:id="226"/>
      <w:r>
        <w:rPr>
          <w:rFonts w:hint="eastAsia" w:ascii="宋体" w:hAnsi="宋体" w:eastAsia="宋体" w:cs="宋体"/>
          <w:bCs/>
          <w:sz w:val="24"/>
          <w:highlight w:val="none"/>
          <w:lang w:val="en-US" w:eastAsia="zh-CN"/>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 谈判</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2.4.2每轮谈判开始前，谈判小组应根据谈判文件的规定，并结合各供应商的响应文件拟定谈判内容。</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2.4.4对谈判文件作出的实质性变动是谈判文件的有效组成部分，谈判小组应当及时以书面形式同时通知所有参加谈判的供应商。</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2.4.6谈判过程中，谈判小组对响应文件的有效性、完整性和响应程度进行审查，审查中发现供应商响应文件属于下列情况之一的，应按照无效响应文件处理：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（1）响应文件正副本数量不足的；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（2）响应文件组成明显不符合采购文件的规定要求，影响评审委员会评判的；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（3）响应文件的语言、计量单位、知识产权、响应有效期等不符合采购文件的规定，影响谈判小组评判的；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（4）经最终谈判后，供应商的响应文件仍不能完全响应采购文件的实质性要求的；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 未载明或者载明的采购项目履约时间、方式、数量及其他政府采购合同实质性内容与本竞争性谈判文件要求不一致，且采购单位无法接受的。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 (6)属于竞争性谈判文件中无效响应情形的。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但谈判小组对响应文件签署、盖章等进行审查过程中，有下列情形的，谈判小组应当评定为不影响整个响应文件有效性和采购活动公平竞争，并通过响应文件的有效性审查：</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 （1）响应文件存在个别地方（总数不能超过2个）没有法定代表人/单位负责人签字，但有法定代表人/单位负责人的私人印章或者有效授权代理人签字的；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 （2）响应文件除采购文件明确要求加盖单位(法人)公章的以外，其他地方以相关专用章加盖的；</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 （3）以骑缝章的形式代替响应文件内容逐页盖章的（但是骑缝章模糊不清，印章名称无法辨认的除外）。</w:t>
      </w:r>
    </w:p>
    <w:p>
      <w:pPr>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谈判小组对所有响应文件的有效性、完整性和响应程度进行审查后，向采购代理机构出具有效性、完整性和响应程度审查报告，确定继续谈判的供应商名单。没有通过有效性、完整性和响应程度审查的供应商，谈判小组应在有效性、完整性和响应程度审查报告中说明原因。</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w:t>
      </w:r>
      <w:r>
        <w:rPr>
          <w:rFonts w:hint="eastAsia" w:ascii="宋体" w:hAnsi="宋体" w:eastAsia="宋体" w:cs="宋体"/>
          <w:bCs/>
          <w:sz w:val="24"/>
          <w:lang w:val="en-US" w:eastAsia="zh-CN"/>
        </w:rPr>
        <w:t>7</w:t>
      </w:r>
      <w:r>
        <w:rPr>
          <w:rFonts w:hint="eastAsia" w:ascii="宋体" w:hAnsi="宋体" w:eastAsia="宋体" w:cs="宋体"/>
          <w:bCs/>
          <w:sz w:val="24"/>
        </w:rPr>
        <w:t>谈判过程中，谈判的任何一方不得透露与谈判有关的其他供应商的技术资料、价格和其他信息。</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w:t>
      </w:r>
      <w:r>
        <w:rPr>
          <w:rFonts w:hint="eastAsia" w:ascii="宋体" w:hAnsi="宋体" w:eastAsia="宋体" w:cs="宋体"/>
          <w:bCs/>
          <w:sz w:val="24"/>
          <w:lang w:val="en-US" w:eastAsia="zh-CN"/>
        </w:rPr>
        <w:t>8</w:t>
      </w:r>
      <w:r>
        <w:rPr>
          <w:rFonts w:hint="eastAsia" w:ascii="宋体" w:hAnsi="宋体" w:eastAsia="宋体" w:cs="宋体"/>
          <w:bCs/>
          <w:sz w:val="24"/>
        </w:rPr>
        <w:t>谈判过程中，谈判小组发现或者知晓供应商存在违法、违纪行为的，谈判小组应当将该供应商淘汰，不允许其提交最后报价。</w:t>
      </w:r>
    </w:p>
    <w:p>
      <w:pPr>
        <w:spacing w:line="360" w:lineRule="auto"/>
        <w:ind w:firstLine="480" w:firstLineChars="200"/>
        <w:rPr>
          <w:rFonts w:hint="eastAsia" w:ascii="宋体" w:hAnsi="宋体" w:eastAsia="宋体" w:cs="宋体"/>
          <w:b/>
          <w:sz w:val="24"/>
        </w:rPr>
      </w:pPr>
      <w:r>
        <w:rPr>
          <w:rFonts w:hint="eastAsia" w:ascii="宋体" w:hAnsi="宋体" w:eastAsia="宋体" w:cs="宋体"/>
          <w:bCs/>
          <w:sz w:val="24"/>
        </w:rPr>
        <w:t>2.4.</w:t>
      </w:r>
      <w:r>
        <w:rPr>
          <w:rFonts w:hint="eastAsia" w:ascii="宋体" w:hAnsi="宋体" w:eastAsia="宋体" w:cs="宋体"/>
          <w:bCs/>
          <w:sz w:val="24"/>
          <w:lang w:val="en-US" w:eastAsia="zh-CN"/>
        </w:rPr>
        <w:t>9</w:t>
      </w:r>
      <w:r>
        <w:rPr>
          <w:rFonts w:hint="eastAsia" w:ascii="宋体" w:hAnsi="宋体" w:eastAsia="宋体" w:cs="宋体"/>
          <w:bCs/>
          <w:sz w:val="24"/>
        </w:rPr>
        <w:t>谈判完成后，谈判小组应出具谈判情况记录表，谈判情况记录表需包含谈判内容、谈判意见、实质性变动内容等。</w:t>
      </w:r>
      <w:r>
        <w:rPr>
          <w:rFonts w:hint="eastAsia" w:ascii="宋体" w:hAnsi="宋体" w:eastAsia="宋体" w:cs="宋体"/>
          <w:b/>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2.5</w:t>
      </w:r>
      <w:r>
        <w:rPr>
          <w:rFonts w:hint="eastAsia" w:ascii="宋体" w:hAnsi="宋体" w:eastAsia="宋体" w:cs="宋体"/>
          <w:b w:val="0"/>
          <w:bCs/>
          <w:sz w:val="24"/>
          <w:lang w:eastAsia="zh-CN"/>
        </w:rPr>
        <w:t>最后</w:t>
      </w:r>
      <w:r>
        <w:rPr>
          <w:rFonts w:hint="eastAsia" w:ascii="宋体" w:hAnsi="宋体" w:eastAsia="宋体" w:cs="宋体"/>
          <w:sz w:val="24"/>
        </w:rPr>
        <w:t>报价。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2.5.1本次谈判采购采用现场报价，参与报价的供应商按谈判小组要求进行报价。</w:t>
      </w:r>
      <w:r>
        <w:rPr>
          <w:rFonts w:hint="eastAsia" w:ascii="宋体" w:hAnsi="宋体" w:eastAsia="宋体" w:cs="宋体"/>
          <w:sz w:val="24"/>
          <w:highlight w:val="none"/>
          <w:lang w:val="zh-CN"/>
        </w:rPr>
        <w:t>报价超过竞争性谈判文件规定的政府采购预算（或最高限价）或者相关报价不符合采购文件其他的报价规定的，应按照无效响应文件处理。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2.5.</w:t>
      </w:r>
      <w:r>
        <w:rPr>
          <w:rFonts w:hint="eastAsia" w:ascii="宋体" w:hAnsi="宋体" w:eastAsia="宋体" w:cs="宋体"/>
          <w:sz w:val="24"/>
          <w:lang w:val="en-US" w:eastAsia="zh-CN"/>
        </w:rPr>
        <w:t>2</w:t>
      </w:r>
      <w:r>
        <w:rPr>
          <w:rFonts w:hint="eastAsia" w:ascii="宋体" w:hAnsi="宋体" w:eastAsia="宋体" w:cs="宋体"/>
          <w:sz w:val="24"/>
        </w:rPr>
        <w:t>谈判文件能够详细列明采购标的的技术、服务要求的，谈判结束后，谈判小组应当要求所有实质性响应的供应商在规定时间内提交最后报价，提交最后报价的供应商不得少于3家</w:t>
      </w:r>
      <w:r>
        <w:rPr>
          <w:rFonts w:hint="eastAsia" w:ascii="宋体" w:hAnsi="宋体" w:eastAsia="宋体" w:cs="宋体"/>
          <w:b/>
          <w:bCs/>
          <w:sz w:val="24"/>
          <w:highlight w:val="none"/>
        </w:rPr>
        <w:t>（本章2.3.1的情况除外）</w:t>
      </w:r>
      <w:r>
        <w:rPr>
          <w:rFonts w:hint="eastAsia" w:ascii="宋体" w:hAnsi="宋体" w:eastAsia="宋体" w:cs="宋体"/>
          <w:sz w:val="24"/>
          <w:highlight w:val="none"/>
        </w:rPr>
        <w:t>。或谈判文件不能详细列明采购标的的技术、服务要求，需经谈判由供应商提供最终设计方案或解决方案的，谈判结束后，谈判小组应当按照少数服从多数的原则投票推荐3家以上</w:t>
      </w:r>
      <w:r>
        <w:rPr>
          <w:rFonts w:hint="eastAsia" w:ascii="宋体" w:hAnsi="宋体" w:eastAsia="宋体" w:cs="宋体"/>
          <w:b/>
          <w:bCs/>
          <w:sz w:val="24"/>
          <w:highlight w:val="none"/>
        </w:rPr>
        <w:t>（本章2.3.1的情况除外）</w:t>
      </w:r>
      <w:r>
        <w:rPr>
          <w:rFonts w:hint="eastAsia" w:ascii="宋体" w:hAnsi="宋体" w:eastAsia="宋体" w:cs="宋体"/>
          <w:sz w:val="24"/>
          <w:highlight w:val="none"/>
        </w:rPr>
        <w:t>供应商的设计方案或者解决方案，并要求其在规定时间内提交最后报价。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宋体" w:hAnsi="宋体" w:eastAsia="宋体" w:cs="宋体"/>
          <w:sz w:val="24"/>
          <w:highlight w:val="none"/>
          <w:lang w:val="zh-CN"/>
        </w:rPr>
        <w:t>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w:t>
      </w:r>
      <w:r>
        <w:rPr>
          <w:rFonts w:hint="eastAsia" w:ascii="宋体" w:hAnsi="宋体" w:eastAsia="宋体" w:cs="宋体"/>
          <w:sz w:val="24"/>
          <w:highlight w:val="none"/>
          <w:lang w:val="en-US" w:eastAsia="zh-CN"/>
        </w:rPr>
        <w:t>4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sz w:val="24"/>
          <w:lang w:val="en-US" w:eastAsia="zh-CN"/>
        </w:rPr>
        <w:t>5</w:t>
      </w:r>
      <w:r>
        <w:rPr>
          <w:rFonts w:hint="eastAsia" w:ascii="宋体" w:hAnsi="宋体" w:eastAsia="宋体" w:cs="宋体"/>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 谈判小组复核。供应商最后报价结束后，谈判小组应当进行评审复核，对拟推荐为成交候选供应商的、报价最低的、供应商资格审查未通过的、供应商响应文件作无效处理的重点复核。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2.7推荐成交候选供应商。谈判小组复核后，应当按照供应商的报价由低到高顺序推荐3家以上</w:t>
      </w:r>
      <w:r>
        <w:rPr>
          <w:rFonts w:hint="eastAsia" w:ascii="宋体" w:hAnsi="宋体" w:eastAsia="宋体" w:cs="宋体"/>
          <w:b/>
          <w:bCs/>
          <w:sz w:val="24"/>
          <w:highlight w:val="none"/>
        </w:rPr>
        <w:t>（本章2.3.1的情况除外）</w:t>
      </w:r>
      <w:r>
        <w:rPr>
          <w:rFonts w:hint="eastAsia" w:ascii="宋体" w:hAnsi="宋体" w:eastAsia="宋体" w:cs="宋体"/>
          <w:sz w:val="24"/>
          <w:highlight w:val="none"/>
        </w:rPr>
        <w:t>成交候选供应商，并编写谈判报告。</w:t>
      </w:r>
      <w:r>
        <w:rPr>
          <w:rFonts w:hint="eastAsia" w:ascii="宋体" w:hAnsi="宋体" w:eastAsia="宋体" w:cs="宋体"/>
          <w:b w:val="0"/>
          <w:bCs w:val="0"/>
          <w:sz w:val="24"/>
          <w:highlight w:val="none"/>
        </w:rPr>
        <w:t>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2.8采购代理机构现场复核评审结果。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人/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360" w:lineRule="auto"/>
        <w:rPr>
          <w:rFonts w:hint="eastAsia" w:ascii="宋体" w:hAnsi="宋体" w:eastAsia="宋体" w:cs="宋体"/>
          <w:sz w:val="24"/>
        </w:rPr>
      </w:pPr>
      <w:r>
        <w:rPr>
          <w:rFonts w:hint="eastAsia" w:ascii="宋体" w:hAnsi="宋体" w:eastAsia="宋体" w:cs="宋体"/>
          <w:sz w:val="24"/>
        </w:rPr>
        <w:t>采购人/采购代理机构复核过程中，谈判小组成员不得离开评审现场。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2.8.2有下列情形之一的，不得现场修改评审结果：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（1）谈判小组已经出具谈判报告并且离开评审现场的；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（2）采购代理机构现场复核时，复核工作人员数量不足的；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（3）采购代理机构现场复核时，没有采购监督人员现场监督的；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（4）采购代理机构现场复核内容超出规定范围的；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（5）采购代理机构未提供书面建议的。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2.9编写谈判报告。谈判小组推荐成交候选供应商后，应向采购代理机构出具谈判报告。谈判报告应当包括以下主要内容：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（1）邀请供应商参加采购活动的具体方式和相关情况，以及参加采购活动的供应商名单；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（2）评审日期和地点，谈判小组、</w:t>
      </w:r>
      <w:r>
        <w:rPr>
          <w:rFonts w:hint="eastAsia" w:ascii="宋体" w:hAnsi="宋体" w:eastAsia="宋体" w:cs="宋体"/>
          <w:sz w:val="24"/>
          <w:lang w:eastAsia="zh-CN"/>
        </w:rPr>
        <w:t>谈判</w:t>
      </w:r>
      <w:r>
        <w:rPr>
          <w:rFonts w:hint="eastAsia" w:ascii="宋体" w:hAnsi="宋体" w:eastAsia="宋体" w:cs="宋体"/>
          <w:sz w:val="24"/>
        </w:rPr>
        <w:t>小组成员名单；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（4）推荐的成交候选人的名单及理由。</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2.11供应商澄清、说明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2.11.2谈判小组要求供应商澄清、说明或者更正响应文件应当以书面形式作出。供应商的澄清、说明或者更正应当由法定代表人/主要负责人/本人或其授权代表签字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sz w:val="24"/>
          <w:highlight w:val="none"/>
        </w:rPr>
        <w:t>（</w:t>
      </w:r>
      <w:r>
        <w:rPr>
          <w:rFonts w:hint="eastAsia" w:ascii="宋体" w:hAnsi="宋体" w:eastAsia="宋体" w:cs="宋体"/>
          <w:b/>
          <w:bCs/>
          <w:sz w:val="24"/>
          <w:highlight w:val="none"/>
        </w:rPr>
        <w:t>注：</w:t>
      </w:r>
      <w:r>
        <w:rPr>
          <w:rFonts w:hint="eastAsia" w:ascii="宋体" w:hAnsi="宋体" w:eastAsia="宋体" w:cs="宋体"/>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2.12终止谈判采购活动。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（1）因情况变化，不再符合规定的竞争性谈判采购方式适用情形的；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（3）除本章2.3.1的情况外</w:t>
      </w:r>
      <w:r>
        <w:rPr>
          <w:rFonts w:hint="eastAsia" w:ascii="宋体" w:hAnsi="宋体" w:eastAsia="宋体" w:cs="宋体"/>
          <w:sz w:val="24"/>
          <w:lang w:eastAsia="zh-CN"/>
        </w:rPr>
        <w:t>，</w:t>
      </w:r>
      <w:r>
        <w:rPr>
          <w:rFonts w:hint="eastAsia" w:ascii="宋体" w:hAnsi="宋体" w:eastAsia="宋体" w:cs="宋体"/>
          <w:sz w:val="24"/>
        </w:rPr>
        <w:t>在采购过程中符合要求的供应商或者报价未超过采购预算的供应商不足3家的。</w:t>
      </w:r>
    </w:p>
    <w:p>
      <w:pPr>
        <w:spacing w:line="360" w:lineRule="auto"/>
        <w:rPr>
          <w:rFonts w:hint="eastAsia" w:ascii="宋体" w:hAnsi="宋体" w:eastAsia="宋体" w:cs="宋体"/>
          <w:b/>
          <w:sz w:val="24"/>
        </w:rPr>
      </w:pPr>
      <w:r>
        <w:rPr>
          <w:rFonts w:hint="eastAsia" w:ascii="宋体" w:hAnsi="宋体" w:eastAsia="宋体" w:cs="宋体"/>
          <w:b/>
          <w:sz w:val="24"/>
        </w:rPr>
        <w:t>3．谈判纪律及注意事项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3.1谈判小组内部讨论的情况和意见必须保密，任何人不得以任何形式透露给供应商或与供应商有关的单位或个人。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3.2在谈判过程中，供应商不得以任何形式对谈判小组成员进行旨在影响谈判结果的私下接触，否则将取消其参与谈判的资格。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3.3对各供应商的商业秘密，谈判小组成员应予以保密，不得泄露给其他供应商。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3.4谈判小组独立评判，推荐成交候选人，并写出书面报告。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3.5谈判小组可根据需要对供应商进行实地考察。</w:t>
      </w:r>
    </w:p>
    <w:p>
      <w:pPr>
        <w:spacing w:line="360" w:lineRule="auto"/>
        <w:rPr>
          <w:rFonts w:hint="eastAsia" w:ascii="宋体" w:hAnsi="宋体" w:eastAsia="宋体" w:cs="宋体"/>
          <w:b/>
          <w:bCs/>
          <w:sz w:val="24"/>
        </w:rPr>
      </w:pPr>
      <w:r>
        <w:rPr>
          <w:rFonts w:hint="eastAsia" w:ascii="宋体" w:hAnsi="宋体" w:eastAsia="宋体" w:cs="宋体"/>
          <w:b/>
          <w:bCs/>
          <w:sz w:val="24"/>
        </w:rPr>
        <w:t>4.确定成交供应商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 采购代理机构应当在评审结束后2个工作日内将评审报告送采购人确认；</w:t>
      </w:r>
      <w:bookmarkStart w:id="227" w:name="_Toc209847066"/>
      <w:bookmarkStart w:id="228" w:name="_Toc101174147"/>
      <w:bookmarkStart w:id="229" w:name="_Toc430773925"/>
      <w:bookmarkStart w:id="230" w:name="_Toc101250642"/>
      <w:bookmarkStart w:id="231" w:name="_Toc10133836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 采购人应当在收到评审报告后5个工作日内，从评审报告提出的成交候选人中，根据质量和服务均能满足</w:t>
      </w:r>
      <w:r>
        <w:rPr>
          <w:rFonts w:hint="eastAsia" w:ascii="宋体" w:hAnsi="宋体" w:eastAsia="宋体" w:cs="宋体"/>
          <w:bCs/>
          <w:sz w:val="24"/>
        </w:rPr>
        <w:t>谈判</w:t>
      </w:r>
      <w:r>
        <w:rPr>
          <w:rFonts w:hint="eastAsia" w:ascii="宋体" w:hAnsi="宋体" w:eastAsia="宋体" w:cs="宋体"/>
          <w:sz w:val="24"/>
        </w:rPr>
        <w:t>文件实质性响应要求且最后报价最低的原则确定成交供应商。</w:t>
      </w:r>
      <w:bookmarkEnd w:id="227"/>
      <w:bookmarkEnd w:id="228"/>
      <w:bookmarkEnd w:id="229"/>
      <w:bookmarkEnd w:id="230"/>
      <w:bookmarkEnd w:id="231"/>
    </w:p>
    <w:p>
      <w:pPr>
        <w:spacing w:line="360" w:lineRule="auto"/>
        <w:rPr>
          <w:rFonts w:hint="eastAsia" w:ascii="宋体" w:hAnsi="宋体" w:eastAsia="宋体" w:cs="宋体"/>
          <w:b/>
          <w:bCs/>
          <w:sz w:val="24"/>
        </w:rPr>
      </w:pPr>
      <w:r>
        <w:rPr>
          <w:rFonts w:hint="eastAsia" w:ascii="宋体" w:hAnsi="宋体" w:eastAsia="宋体" w:cs="宋体"/>
          <w:b/>
          <w:bCs/>
          <w:sz w:val="24"/>
        </w:rPr>
        <w:t>5.成交通知书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 成交通知书为签订采购合同的依据之一，是合同的有效组成部分。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 采购人按符合采购需求的合格供应商确定成交供应商，确定成交供应商后2个工作日内，采购代理机构在“四川政府采购网”上公示成交结果，由采购代理机构按照相关法律法规向成交供应商发出成交通知书。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5.4 采购人和采购代理机构不对成交或未成交原因作出解释，也不退还响应</w:t>
      </w:r>
    </w:p>
    <w:p>
      <w:pPr>
        <w:spacing w:line="360" w:lineRule="auto"/>
        <w:rPr>
          <w:rFonts w:hint="eastAsia" w:ascii="宋体" w:hAnsi="宋体" w:eastAsia="宋体" w:cs="宋体"/>
          <w:sz w:val="24"/>
        </w:rPr>
      </w:pPr>
      <w:r>
        <w:rPr>
          <w:rFonts w:hint="eastAsia" w:ascii="宋体" w:hAnsi="宋体" w:eastAsia="宋体" w:cs="宋体"/>
          <w:sz w:val="24"/>
        </w:rPr>
        <w:t>文件。</w:t>
      </w:r>
    </w:p>
    <w:p>
      <w:pPr>
        <w:spacing w:line="360" w:lineRule="auto"/>
        <w:rPr>
          <w:rFonts w:hint="eastAsia" w:ascii="宋体" w:hAnsi="宋体" w:eastAsia="宋体" w:cs="宋体"/>
          <w:b/>
          <w:sz w:val="24"/>
        </w:rPr>
      </w:pPr>
      <w:r>
        <w:rPr>
          <w:rFonts w:hint="eastAsia" w:ascii="宋体" w:hAnsi="宋体" w:eastAsia="宋体" w:cs="宋体"/>
          <w:b/>
          <w:sz w:val="24"/>
        </w:rPr>
        <w:t>6.谈判小组在采购活动中承担以下义务：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（一）遵守评审工作纪律；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（二）按照客观、公正、审慎的原则，根据谈判文件规定的评审程序、评审方法和评审标准进行独立评审；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（三）不得泄露评审文件、评审情况和在评审过程中获悉的商业秘密；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（四）及时向财政部门报告评审过程中发现的采购人、采购代理机构向评审专家做倾向性、误导性的解释或者说明，以及供应商行贿、提供虚假材料或者串通等违法行为；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（五）发现谈判文件内容违反国家有关强制性规定或者谈判文件存在歧义、重大缺陷导致评审工作无法进行时，停止评审并向采购人或者采购代理机构书面说明情况；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（六）及时向财政、监察等部门举报在评审过程中受到非法干预的情况；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（七）配合答复处理供应商的询问、质疑和投诉等事项；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（八）法律、法规和规章规定的其他义务。</w:t>
      </w:r>
    </w:p>
    <w:p>
      <w:pPr>
        <w:spacing w:line="360" w:lineRule="auto"/>
        <w:rPr>
          <w:rFonts w:hint="eastAsia" w:ascii="宋体" w:hAnsi="宋体" w:eastAsia="宋体" w:cs="宋体"/>
          <w:b/>
          <w:sz w:val="24"/>
        </w:rPr>
      </w:pPr>
      <w:r>
        <w:rPr>
          <w:rFonts w:hint="eastAsia" w:ascii="宋体" w:hAnsi="宋体" w:eastAsia="宋体" w:cs="宋体"/>
          <w:b/>
          <w:sz w:val="24"/>
        </w:rPr>
        <w:t>7.评审专家在采购活动中应当遵守以下工作纪律：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（二）评审前，应当将通讯工具或者相关电子设备交由采购代理机构统一保管；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（五）在评审过程中和评审结束后，不得记录、复制或带走任何评审资料，不得向外界透露评审内容；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（六）评审现场服从采购代理机构工作人员的管理，接受现场监督人员的合法监督；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（七）遵守有关廉洁自律规定，不得私下接触供应商，不得收受供应商及有关业务单位和个人的财物或好处，不得接受采购代理机构的请托。</w:t>
      </w:r>
    </w:p>
    <w:p>
      <w:pPr>
        <w:pStyle w:val="39"/>
        <w:spacing w:before="0" w:after="0" w:line="360" w:lineRule="auto"/>
        <w:rPr>
          <w:rFonts w:hint="eastAsia" w:ascii="宋体" w:hAnsi="宋体" w:eastAsia="宋体" w:cs="宋体"/>
        </w:rPr>
      </w:pPr>
      <w:r>
        <w:rPr>
          <w:rFonts w:hint="eastAsia" w:ascii="宋体" w:hAnsi="宋体" w:eastAsia="宋体" w:cs="宋体"/>
          <w:sz w:val="24"/>
        </w:rPr>
        <w:br w:type="page"/>
      </w:r>
      <w:bookmarkEnd w:id="124"/>
      <w:bookmarkEnd w:id="125"/>
      <w:bookmarkEnd w:id="126"/>
      <w:bookmarkStart w:id="232" w:name="_Toc24246"/>
      <w:bookmarkStart w:id="233" w:name="_Toc510440809"/>
      <w:bookmarkStart w:id="234" w:name="_Toc16610"/>
      <w:r>
        <w:rPr>
          <w:rFonts w:hint="eastAsia" w:ascii="宋体" w:hAnsi="宋体" w:eastAsia="宋体" w:cs="宋体"/>
        </w:rPr>
        <w:t>第八章 合同主要条款（仅供参考）</w:t>
      </w:r>
      <w:bookmarkEnd w:id="232"/>
      <w:bookmarkEnd w:id="233"/>
      <w:bookmarkEnd w:id="234"/>
    </w:p>
    <w:p>
      <w:pPr>
        <w:widowControl/>
        <w:spacing w:line="360" w:lineRule="auto"/>
        <w:ind w:firstLine="480" w:firstLineChars="200"/>
        <w:jc w:val="left"/>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bookmarkStart w:id="235" w:name="_Toc520369838"/>
      <w:bookmarkStart w:id="236" w:name="_Toc520125268"/>
      <w:r>
        <w:rPr>
          <w:rFonts w:hint="eastAsia" w:ascii="宋体" w:hAnsi="宋体" w:eastAsia="宋体" w:cs="宋体"/>
          <w:sz w:val="24"/>
        </w:rPr>
        <w:t>合同编号：</w:t>
      </w:r>
      <w:r>
        <w:rPr>
          <w:rFonts w:hint="eastAsia" w:ascii="宋体" w:hAnsi="宋体" w:eastAsia="宋体" w:cs="宋体"/>
          <w:szCs w:val="21"/>
        </w:rPr>
        <w:t>XXXX。</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签订地点：</w:t>
      </w:r>
      <w:r>
        <w:rPr>
          <w:rFonts w:hint="eastAsia" w:ascii="宋体" w:hAnsi="宋体" w:eastAsia="宋体" w:cs="宋体"/>
          <w:szCs w:val="21"/>
        </w:rPr>
        <w:t>XXXX。</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签订时间：</w:t>
      </w:r>
      <w:r>
        <w:rPr>
          <w:rFonts w:hint="eastAsia" w:ascii="宋体" w:hAnsi="宋体" w:eastAsia="宋体" w:cs="宋体"/>
          <w:szCs w:val="21"/>
        </w:rPr>
        <w:t>XXXX</w:t>
      </w:r>
      <w:r>
        <w:rPr>
          <w:rFonts w:hint="eastAsia" w:ascii="宋体" w:hAnsi="宋体" w:eastAsia="宋体" w:cs="宋体"/>
          <w:sz w:val="24"/>
        </w:rPr>
        <w:t>年</w:t>
      </w:r>
      <w:r>
        <w:rPr>
          <w:rFonts w:hint="eastAsia" w:ascii="宋体" w:hAnsi="宋体" w:eastAsia="宋体" w:cs="宋体"/>
          <w:szCs w:val="21"/>
        </w:rPr>
        <w:t>XX</w:t>
      </w:r>
      <w:r>
        <w:rPr>
          <w:rFonts w:hint="eastAsia" w:ascii="宋体" w:hAnsi="宋体" w:eastAsia="宋体" w:cs="宋体"/>
          <w:sz w:val="24"/>
        </w:rPr>
        <w:t>月</w:t>
      </w:r>
      <w:r>
        <w:rPr>
          <w:rFonts w:hint="eastAsia" w:ascii="宋体" w:hAnsi="宋体" w:eastAsia="宋体" w:cs="宋体"/>
          <w:szCs w:val="21"/>
        </w:rPr>
        <w:t>XX</w:t>
      </w:r>
      <w:r>
        <w:rPr>
          <w:rFonts w:hint="eastAsia" w:ascii="宋体" w:hAnsi="宋体" w:eastAsia="宋体" w:cs="宋体"/>
          <w:sz w:val="24"/>
        </w:rPr>
        <w:t>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采购人（甲方）：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供应商（乙方）：                              </w:t>
      </w:r>
      <w:r>
        <w:rPr>
          <w:rFonts w:hint="eastAsia" w:ascii="宋体" w:hAnsi="宋体" w:eastAsia="宋体" w:cs="宋体"/>
        </w:rPr>
        <w:t xml:space="preserve">                                       </w:t>
      </w:r>
    </w:p>
    <w:p>
      <w:pPr>
        <w:spacing w:line="360" w:lineRule="auto"/>
        <w:rPr>
          <w:rFonts w:hint="eastAsia" w:ascii="宋体" w:hAnsi="宋体" w:eastAsia="宋体" w:cs="宋体"/>
          <w:sz w:val="24"/>
        </w:rPr>
      </w:pPr>
    </w:p>
    <w:p>
      <w:pPr>
        <w:pStyle w:val="79"/>
        <w:spacing w:line="360" w:lineRule="auto"/>
        <w:ind w:firstLine="480"/>
        <w:rPr>
          <w:rFonts w:hint="eastAsia" w:ascii="宋体" w:hAnsi="宋体" w:eastAsia="宋体" w:cs="宋体"/>
        </w:rPr>
      </w:pPr>
      <w:r>
        <w:rPr>
          <w:rFonts w:hint="eastAsia" w:ascii="宋体" w:hAnsi="宋体" w:eastAsia="宋体" w:cs="宋体"/>
        </w:rPr>
        <w:t>根据《中华人民共和国政府采购法》、《中华人民共和国</w:t>
      </w:r>
      <w:r>
        <w:rPr>
          <w:rFonts w:hint="eastAsia" w:ascii="宋体" w:hAnsi="宋体" w:eastAsia="宋体" w:cs="宋体"/>
          <w:lang w:eastAsia="zh-CN"/>
        </w:rPr>
        <w:t>民法典</w:t>
      </w:r>
      <w:r>
        <w:rPr>
          <w:rFonts w:hint="eastAsia" w:ascii="宋体" w:hAnsi="宋体" w:eastAsia="宋体" w:cs="宋体"/>
        </w:rPr>
        <w:t>》及</w:t>
      </w:r>
      <w:r>
        <w:rPr>
          <w:rFonts w:hint="eastAsia" w:ascii="宋体" w:hAnsi="宋体" w:eastAsia="宋体" w:cs="宋体"/>
          <w:szCs w:val="21"/>
        </w:rPr>
        <w:t>XXXX</w:t>
      </w:r>
      <w:r>
        <w:rPr>
          <w:rFonts w:hint="eastAsia" w:ascii="宋体" w:hAnsi="宋体" w:eastAsia="宋体" w:cs="宋体"/>
        </w:rPr>
        <w:t>采购项目（</w:t>
      </w:r>
      <w:r>
        <w:rPr>
          <w:rFonts w:hint="eastAsia" w:ascii="宋体" w:hAnsi="宋体" w:eastAsia="宋体" w:cs="宋体"/>
          <w:lang w:eastAsia="zh-CN"/>
        </w:rPr>
        <w:t>采购</w:t>
      </w:r>
      <w:r>
        <w:rPr>
          <w:rFonts w:hint="eastAsia" w:ascii="宋体" w:hAnsi="宋体" w:eastAsia="宋体" w:cs="宋体"/>
        </w:rPr>
        <w:t>项目编号：</w:t>
      </w:r>
      <w:r>
        <w:rPr>
          <w:rFonts w:hint="eastAsia" w:ascii="宋体" w:hAnsi="宋体" w:eastAsia="宋体" w:cs="宋体"/>
          <w:szCs w:val="21"/>
        </w:rPr>
        <w:t>XX</w:t>
      </w:r>
      <w:r>
        <w:rPr>
          <w:rFonts w:hint="eastAsia" w:ascii="宋体" w:hAnsi="宋体" w:eastAsia="宋体" w:cs="宋体"/>
        </w:rPr>
        <w:t>）的《</w:t>
      </w:r>
      <w:r>
        <w:rPr>
          <w:rFonts w:hint="eastAsia" w:ascii="宋体" w:hAnsi="宋体" w:eastAsia="宋体" w:cs="宋体"/>
          <w:lang w:eastAsia="zh-CN"/>
        </w:rPr>
        <w:t>谈判文件</w:t>
      </w:r>
      <w:r>
        <w:rPr>
          <w:rFonts w:hint="eastAsia" w:ascii="宋体" w:hAnsi="宋体" w:eastAsia="宋体" w:cs="宋体"/>
        </w:rPr>
        <w:t>》、乙方的《</w:t>
      </w:r>
      <w:r>
        <w:rPr>
          <w:rFonts w:hint="eastAsia" w:ascii="宋体" w:hAnsi="宋体" w:eastAsia="宋体" w:cs="宋体"/>
          <w:lang w:eastAsia="zh-CN"/>
        </w:rPr>
        <w:t>响应文件</w:t>
      </w:r>
      <w:r>
        <w:rPr>
          <w:rFonts w:hint="eastAsia" w:ascii="宋体" w:hAnsi="宋体" w:eastAsia="宋体" w:cs="宋体"/>
        </w:rPr>
        <w:t>》及《</w:t>
      </w:r>
      <w:r>
        <w:rPr>
          <w:rFonts w:hint="eastAsia" w:ascii="宋体" w:hAnsi="宋体" w:eastAsia="宋体" w:cs="宋体"/>
          <w:lang w:eastAsia="zh-CN"/>
        </w:rPr>
        <w:t>成交</w:t>
      </w:r>
      <w:r>
        <w:rPr>
          <w:rFonts w:hint="eastAsia" w:ascii="宋体" w:hAnsi="宋体" w:eastAsia="宋体" w:cs="宋体"/>
        </w:rPr>
        <w:t>通知书》，甲、乙双方同意签订本合同。详细技术说明及其他有关合同项目的特定信息由合同附件予以说明，合同附件及本项目的</w:t>
      </w:r>
      <w:r>
        <w:rPr>
          <w:rFonts w:hint="eastAsia" w:ascii="宋体" w:hAnsi="宋体" w:eastAsia="宋体" w:cs="宋体"/>
          <w:lang w:eastAsia="zh-CN"/>
        </w:rPr>
        <w:t>谈判文件</w:t>
      </w:r>
      <w:r>
        <w:rPr>
          <w:rFonts w:hint="eastAsia" w:ascii="宋体" w:hAnsi="宋体" w:eastAsia="宋体" w:cs="宋体"/>
        </w:rPr>
        <w:t>、</w:t>
      </w:r>
      <w:r>
        <w:rPr>
          <w:rFonts w:hint="eastAsia" w:ascii="宋体" w:hAnsi="宋体" w:eastAsia="宋体" w:cs="宋体"/>
          <w:lang w:eastAsia="zh-CN"/>
        </w:rPr>
        <w:t>响应文件</w:t>
      </w:r>
      <w:r>
        <w:rPr>
          <w:rFonts w:hint="eastAsia" w:ascii="宋体" w:hAnsi="宋体" w:eastAsia="宋体" w:cs="宋体"/>
        </w:rPr>
        <w:t>、《</w:t>
      </w:r>
      <w:r>
        <w:rPr>
          <w:rFonts w:hint="eastAsia" w:ascii="宋体" w:hAnsi="宋体" w:eastAsia="宋体" w:cs="宋体"/>
          <w:lang w:eastAsia="zh-CN"/>
        </w:rPr>
        <w:t>成交</w:t>
      </w:r>
      <w:r>
        <w:rPr>
          <w:rFonts w:hint="eastAsia" w:ascii="宋体" w:hAnsi="宋体" w:eastAsia="宋体" w:cs="宋体"/>
        </w:rPr>
        <w:t>通知书》等均为本合同不可分割的部分。双方同意共同遵守如下条款：</w:t>
      </w:r>
    </w:p>
    <w:p>
      <w:pPr>
        <w:pStyle w:val="5"/>
        <w:spacing w:line="360" w:lineRule="auto"/>
        <w:ind w:firstLine="482" w:firstLineChars="200"/>
        <w:rPr>
          <w:rFonts w:hint="eastAsia" w:ascii="宋体" w:hAnsi="宋体" w:eastAsia="宋体" w:cs="宋体"/>
          <w:sz w:val="24"/>
          <w:szCs w:val="24"/>
        </w:rPr>
      </w:pPr>
      <w:bookmarkStart w:id="237" w:name="_Toc26227"/>
      <w:bookmarkStart w:id="238" w:name="_Toc490290421"/>
      <w:bookmarkStart w:id="239" w:name="_Toc217446107"/>
      <w:r>
        <w:rPr>
          <w:rFonts w:hint="eastAsia" w:ascii="宋体" w:hAnsi="宋体" w:eastAsia="宋体" w:cs="宋体"/>
          <w:sz w:val="24"/>
          <w:szCs w:val="24"/>
        </w:rPr>
        <w:t>一、合同货物</w:t>
      </w:r>
      <w:bookmarkEnd w:id="237"/>
      <w:bookmarkEnd w:id="238"/>
      <w:bookmarkEnd w:id="239"/>
    </w:p>
    <w:tbl>
      <w:tblPr>
        <w:tblStyle w:val="42"/>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规格</w:t>
            </w:r>
          </w:p>
          <w:p>
            <w:pPr>
              <w:spacing w:line="360" w:lineRule="auto"/>
              <w:jc w:val="center"/>
              <w:rPr>
                <w:rFonts w:hint="eastAsia" w:ascii="宋体" w:hAnsi="宋体" w:eastAsia="宋体" w:cs="宋体"/>
                <w:sz w:val="24"/>
              </w:rPr>
            </w:pPr>
            <w:r>
              <w:rPr>
                <w:rFonts w:hint="eastAsia" w:ascii="宋体" w:hAnsi="宋体" w:eastAsia="宋体" w:cs="宋体"/>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hint="eastAsia" w:ascii="宋体" w:hAnsi="宋体" w:eastAsia="宋体" w:cs="宋体"/>
                <w:sz w:val="24"/>
              </w:rPr>
            </w:pPr>
            <w:r>
              <w:rPr>
                <w:rFonts w:hint="eastAsia" w:ascii="宋体" w:hAnsi="宋体" w:eastAsia="宋体" w:cs="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hint="eastAsia" w:ascii="宋体" w:hAnsi="宋体" w:eastAsia="宋体" w:cs="宋体"/>
                <w:sz w:val="24"/>
              </w:rPr>
            </w:pPr>
            <w:r>
              <w:rPr>
                <w:rFonts w:hint="eastAsia" w:ascii="宋体" w:hAnsi="宋体" w:eastAsia="宋体" w:cs="宋体"/>
                <w:sz w:val="24"/>
              </w:rPr>
              <w:t>单价</w:t>
            </w:r>
          </w:p>
          <w:p>
            <w:pPr>
              <w:spacing w:line="360" w:lineRule="auto"/>
              <w:jc w:val="center"/>
              <w:rPr>
                <w:rFonts w:hint="eastAsia" w:ascii="宋体" w:hAnsi="宋体" w:eastAsia="宋体" w:cs="宋体"/>
                <w:sz w:val="24"/>
              </w:rPr>
            </w:pPr>
            <w:r>
              <w:rPr>
                <w:rFonts w:hint="eastAsia" w:ascii="宋体" w:hAnsi="宋体" w:eastAsia="宋体" w:cs="宋体"/>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总价</w:t>
            </w:r>
          </w:p>
          <w:p>
            <w:pPr>
              <w:spacing w:line="360" w:lineRule="auto"/>
              <w:rPr>
                <w:rFonts w:hint="eastAsia" w:ascii="宋体" w:hAnsi="宋体" w:eastAsia="宋体" w:cs="宋体"/>
                <w:sz w:val="24"/>
              </w:rPr>
            </w:pPr>
            <w:r>
              <w:rPr>
                <w:rFonts w:hint="eastAsia" w:ascii="宋体" w:hAnsi="宋体" w:eastAsia="宋体" w:cs="宋体"/>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随机</w:t>
            </w:r>
          </w:p>
          <w:p>
            <w:pPr>
              <w:spacing w:line="360" w:lineRule="auto"/>
              <w:jc w:val="center"/>
              <w:rPr>
                <w:rFonts w:hint="eastAsia" w:ascii="宋体" w:hAnsi="宋体" w:eastAsia="宋体" w:cs="宋体"/>
                <w:sz w:val="24"/>
              </w:rPr>
            </w:pPr>
            <w:r>
              <w:rPr>
                <w:rFonts w:hint="eastAsia" w:ascii="宋体" w:hAnsi="宋体" w:eastAsia="宋体" w:cs="宋体"/>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hint="eastAsia" w:ascii="宋体" w:hAnsi="宋体" w:eastAsia="宋体" w:cs="宋体"/>
                <w:sz w:val="24"/>
              </w:rPr>
            </w:pPr>
            <w:r>
              <w:rPr>
                <w:rFonts w:hint="eastAsia" w:ascii="宋体" w:hAnsi="宋体" w:eastAsia="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w:t>
            </w:r>
          </w:p>
        </w:tc>
      </w:tr>
    </w:tbl>
    <w:p>
      <w:pPr>
        <w:pStyle w:val="5"/>
        <w:spacing w:line="360" w:lineRule="auto"/>
        <w:ind w:firstLine="482" w:firstLineChars="200"/>
        <w:rPr>
          <w:rFonts w:hint="eastAsia" w:ascii="宋体" w:hAnsi="宋体" w:eastAsia="宋体" w:cs="宋体"/>
          <w:sz w:val="24"/>
          <w:szCs w:val="24"/>
        </w:rPr>
      </w:pPr>
      <w:bookmarkStart w:id="240" w:name="_Toc490290422"/>
      <w:bookmarkStart w:id="241" w:name="_Toc217446108"/>
      <w:bookmarkStart w:id="242" w:name="_Toc20588"/>
      <w:r>
        <w:rPr>
          <w:rFonts w:hint="eastAsia" w:ascii="宋体" w:hAnsi="宋体" w:eastAsia="宋体" w:cs="宋体"/>
          <w:sz w:val="24"/>
          <w:szCs w:val="24"/>
        </w:rPr>
        <w:t>二、合同总价</w:t>
      </w:r>
      <w:bookmarkEnd w:id="240"/>
      <w:bookmarkEnd w:id="241"/>
      <w:bookmarkEnd w:id="242"/>
    </w:p>
    <w:p>
      <w:pPr>
        <w:pStyle w:val="9"/>
        <w:spacing w:line="360" w:lineRule="auto"/>
        <w:ind w:firstLine="420" w:firstLineChars="175"/>
        <w:rPr>
          <w:rFonts w:hint="eastAsia" w:ascii="宋体" w:hAnsi="宋体" w:eastAsia="宋体" w:cs="宋体"/>
          <w:sz w:val="24"/>
        </w:rPr>
      </w:pPr>
      <w:r>
        <w:rPr>
          <w:rFonts w:hint="eastAsia" w:ascii="宋体" w:hAnsi="宋体" w:eastAsia="宋体" w:cs="宋体"/>
          <w:sz w:val="24"/>
        </w:rPr>
        <w:t>合同总价为人民币大写：</w:t>
      </w:r>
      <w:r>
        <w:rPr>
          <w:rFonts w:hint="eastAsia" w:ascii="宋体" w:hAnsi="宋体" w:eastAsia="宋体" w:cs="宋体"/>
          <w:sz w:val="24"/>
          <w:u w:val="single"/>
        </w:rPr>
        <w:t xml:space="preserve">                </w:t>
      </w:r>
      <w:r>
        <w:rPr>
          <w:rFonts w:hint="eastAsia" w:ascii="宋体" w:hAnsi="宋体" w:eastAsia="宋体" w:cs="宋体"/>
          <w:sz w:val="24"/>
        </w:rPr>
        <w:t>元，即人民币￥</w:t>
      </w:r>
      <w:r>
        <w:rPr>
          <w:rFonts w:hint="eastAsia" w:ascii="宋体" w:hAnsi="宋体" w:eastAsia="宋体" w:cs="宋体"/>
          <w:sz w:val="24"/>
          <w:u w:val="single"/>
        </w:rPr>
        <w:t xml:space="preserve">        </w:t>
      </w:r>
      <w:r>
        <w:rPr>
          <w:rFonts w:hint="eastAsia"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line="360" w:lineRule="auto"/>
        <w:ind w:firstLine="482" w:firstLineChars="200"/>
        <w:rPr>
          <w:rFonts w:hint="eastAsia" w:ascii="宋体" w:hAnsi="宋体" w:eastAsia="宋体" w:cs="宋体"/>
          <w:sz w:val="24"/>
          <w:szCs w:val="24"/>
        </w:rPr>
      </w:pPr>
      <w:bookmarkStart w:id="243" w:name="_Toc490290423"/>
      <w:bookmarkStart w:id="244" w:name="_Toc18208"/>
      <w:bookmarkStart w:id="245" w:name="_Toc217446109"/>
      <w:r>
        <w:rPr>
          <w:rFonts w:hint="eastAsia" w:ascii="宋体" w:hAnsi="宋体" w:eastAsia="宋体" w:cs="宋体"/>
          <w:sz w:val="24"/>
          <w:szCs w:val="24"/>
        </w:rPr>
        <w:t>三、质量要求</w:t>
      </w:r>
      <w:bookmarkEnd w:id="243"/>
      <w:bookmarkEnd w:id="244"/>
      <w:bookmarkEnd w:id="245"/>
    </w:p>
    <w:p>
      <w:pPr>
        <w:pStyle w:val="79"/>
        <w:spacing w:line="360" w:lineRule="auto"/>
        <w:ind w:firstLine="480"/>
        <w:rPr>
          <w:rFonts w:hint="eastAsia" w:ascii="宋体" w:hAnsi="宋体" w:eastAsia="宋体" w:cs="宋体"/>
        </w:rPr>
      </w:pPr>
      <w:r>
        <w:rPr>
          <w:rFonts w:hint="eastAsia" w:ascii="宋体" w:hAnsi="宋体" w:eastAsia="宋体" w:cs="宋体"/>
        </w:rPr>
        <w:t>1、乙方须提供全新的货物（含零部件、配件等），表面无划伤、无碰撞痕迹，且权属清楚，不得侵害他人的知识产权。</w:t>
      </w:r>
    </w:p>
    <w:p>
      <w:pPr>
        <w:pStyle w:val="79"/>
        <w:spacing w:line="360" w:lineRule="auto"/>
        <w:ind w:firstLine="480"/>
        <w:rPr>
          <w:rFonts w:hint="eastAsia" w:ascii="宋体" w:hAnsi="宋体" w:eastAsia="宋体" w:cs="宋体"/>
        </w:rPr>
      </w:pPr>
      <w:r>
        <w:rPr>
          <w:rFonts w:hint="eastAsia" w:ascii="宋体" w:hAnsi="宋体" w:eastAsia="宋体" w:cs="宋体"/>
        </w:rPr>
        <w:t>2、货物必须符合或优于国家（行业）</w:t>
      </w:r>
      <w:r>
        <w:rPr>
          <w:rFonts w:hint="eastAsia" w:ascii="宋体" w:hAnsi="宋体" w:eastAsia="宋体" w:cs="宋体"/>
          <w:u w:val="single"/>
        </w:rPr>
        <w:t xml:space="preserve">          </w:t>
      </w:r>
      <w:r>
        <w:rPr>
          <w:rFonts w:hint="eastAsia" w:ascii="宋体" w:hAnsi="宋体" w:eastAsia="宋体" w:cs="宋体"/>
        </w:rPr>
        <w:t>标准，以及本项目</w:t>
      </w:r>
      <w:r>
        <w:rPr>
          <w:rFonts w:hint="eastAsia" w:ascii="宋体" w:hAnsi="宋体" w:eastAsia="宋体" w:cs="宋体"/>
          <w:lang w:eastAsia="zh-CN"/>
        </w:rPr>
        <w:t>谈判文件</w:t>
      </w:r>
      <w:r>
        <w:rPr>
          <w:rFonts w:hint="eastAsia" w:ascii="宋体" w:hAnsi="宋体" w:eastAsia="宋体" w:cs="宋体"/>
        </w:rPr>
        <w:t>的质量要求和技术指标与出厂标准。</w:t>
      </w:r>
    </w:p>
    <w:p>
      <w:pPr>
        <w:pStyle w:val="79"/>
        <w:spacing w:line="360" w:lineRule="auto"/>
        <w:ind w:firstLine="480"/>
        <w:rPr>
          <w:rFonts w:hint="eastAsia" w:ascii="宋体" w:hAnsi="宋体" w:eastAsia="宋体" w:cs="宋体"/>
        </w:rPr>
      </w:pPr>
      <w:r>
        <w:rPr>
          <w:rFonts w:hint="eastAsia" w:ascii="宋体" w:hAnsi="宋体" w:eastAsia="宋体" w:cs="宋体"/>
        </w:rPr>
        <w:t>3、乙方须在本合同签订之日起</w:t>
      </w:r>
      <w:r>
        <w:rPr>
          <w:rFonts w:hint="eastAsia" w:ascii="宋体" w:hAnsi="宋体" w:eastAsia="宋体" w:cs="宋体"/>
          <w:u w:val="single"/>
        </w:rPr>
        <w:t xml:space="preserve">   </w:t>
      </w:r>
      <w:r>
        <w:rPr>
          <w:rFonts w:hint="eastAsia" w:ascii="宋体" w:hAnsi="宋体" w:eastAsia="宋体" w:cs="宋体"/>
        </w:rPr>
        <w:t>日内送交货物成品样品给甲方确认，在甲方出具样品确认书并封存成品样品外观尺寸后，乙方才能按样生产，并以此样品作为验收样品；每台货物上均应有产品质量检验合格标志。</w:t>
      </w:r>
    </w:p>
    <w:p>
      <w:pPr>
        <w:pStyle w:val="79"/>
        <w:spacing w:line="360" w:lineRule="auto"/>
        <w:ind w:firstLine="480"/>
        <w:rPr>
          <w:rFonts w:hint="eastAsia" w:ascii="宋体" w:hAnsi="宋体" w:eastAsia="宋体" w:cs="宋体"/>
        </w:rPr>
      </w:pPr>
      <w:r>
        <w:rPr>
          <w:rFonts w:hint="eastAsia" w:ascii="宋体" w:hAnsi="宋体" w:eastAsia="宋体" w:cs="宋体"/>
        </w:rPr>
        <w:t>4、货物制造质量出现问题，乙方应负责三包（包修、包换、包退），费用由乙方负担，甲方有权到乙方生产场地检查货物质量和生产进度。</w:t>
      </w:r>
    </w:p>
    <w:p>
      <w:pPr>
        <w:pStyle w:val="79"/>
        <w:spacing w:line="360" w:lineRule="auto"/>
        <w:ind w:firstLine="480"/>
        <w:rPr>
          <w:rFonts w:hint="eastAsia" w:ascii="宋体" w:hAnsi="宋体" w:eastAsia="宋体" w:cs="宋体"/>
        </w:rPr>
      </w:pPr>
      <w:r>
        <w:rPr>
          <w:rFonts w:hint="eastAsia" w:ascii="宋体" w:hAnsi="宋体" w:eastAsia="宋体" w:cs="宋体"/>
        </w:rPr>
        <w:t>5、货到现场后由于甲方保管不当造成的质量问题，乙方亦应负责修理，但费用由甲方负担。</w:t>
      </w:r>
    </w:p>
    <w:p>
      <w:pPr>
        <w:pStyle w:val="5"/>
        <w:spacing w:line="360" w:lineRule="auto"/>
        <w:ind w:firstLine="482" w:firstLineChars="200"/>
        <w:rPr>
          <w:rFonts w:hint="eastAsia" w:ascii="宋体" w:hAnsi="宋体" w:eastAsia="宋体" w:cs="宋体"/>
          <w:sz w:val="24"/>
          <w:szCs w:val="24"/>
        </w:rPr>
      </w:pPr>
      <w:bookmarkStart w:id="246" w:name="_Toc23703"/>
      <w:bookmarkStart w:id="247" w:name="_Toc490290424"/>
      <w:bookmarkStart w:id="248" w:name="_Toc217446110"/>
      <w:r>
        <w:rPr>
          <w:rFonts w:hint="eastAsia" w:ascii="宋体" w:hAnsi="宋体" w:eastAsia="宋体" w:cs="宋体"/>
          <w:sz w:val="24"/>
          <w:szCs w:val="24"/>
        </w:rPr>
        <w:t>四、交货及验收</w:t>
      </w:r>
      <w:bookmarkEnd w:id="246"/>
      <w:bookmarkEnd w:id="247"/>
      <w:bookmarkEnd w:id="248"/>
    </w:p>
    <w:p>
      <w:pPr>
        <w:pStyle w:val="79"/>
        <w:spacing w:line="360" w:lineRule="auto"/>
        <w:ind w:firstLine="480"/>
        <w:rPr>
          <w:rFonts w:hint="eastAsia" w:ascii="宋体" w:hAnsi="宋体" w:eastAsia="宋体" w:cs="宋体"/>
        </w:rPr>
      </w:pPr>
      <w:r>
        <w:rPr>
          <w:rFonts w:hint="eastAsia" w:ascii="宋体" w:hAnsi="宋体" w:eastAsia="宋体" w:cs="宋体"/>
        </w:rPr>
        <w:t>1、乙方交货期限为合同签订生效后的</w:t>
      </w:r>
      <w:r>
        <w:rPr>
          <w:rFonts w:hint="eastAsia" w:ascii="宋体" w:hAnsi="宋体" w:eastAsia="宋体" w:cs="宋体"/>
          <w:szCs w:val="21"/>
        </w:rPr>
        <w:t>XX</w:t>
      </w:r>
      <w:r>
        <w:rPr>
          <w:rFonts w:hint="eastAsia" w:ascii="宋体" w:hAnsi="宋体" w:eastAsia="宋体" w:cs="宋体"/>
        </w:rPr>
        <w:t>日内，在合同签订生效之日起</w:t>
      </w:r>
      <w:r>
        <w:rPr>
          <w:rFonts w:hint="eastAsia" w:ascii="宋体" w:hAnsi="宋体" w:eastAsia="宋体" w:cs="宋体"/>
          <w:szCs w:val="21"/>
        </w:rPr>
        <w:t>XX</w:t>
      </w:r>
      <w:r>
        <w:rPr>
          <w:rFonts w:hint="eastAsia" w:ascii="宋体" w:hAnsi="宋体" w:eastAsia="宋体" w:cs="宋体"/>
        </w:rPr>
        <w:t>天内交货到甲方指定地点，随即在</w:t>
      </w:r>
      <w:r>
        <w:rPr>
          <w:rFonts w:hint="eastAsia" w:ascii="宋体" w:hAnsi="宋体" w:eastAsia="宋体" w:cs="宋体"/>
          <w:szCs w:val="21"/>
        </w:rPr>
        <w:t>XX</w:t>
      </w:r>
      <w:r>
        <w:rPr>
          <w:rFonts w:hint="eastAsia" w:ascii="宋体" w:hAnsi="宋体" w:eastAsia="宋体" w:cs="宋体"/>
        </w:rPr>
        <w:t>日内全部完成安装调试验收合格交付使用，并且最迟应在</w:t>
      </w:r>
      <w:r>
        <w:rPr>
          <w:rFonts w:hint="eastAsia" w:ascii="宋体" w:hAnsi="宋体" w:eastAsia="宋体" w:cs="宋体"/>
          <w:szCs w:val="21"/>
        </w:rPr>
        <w:t>XX</w:t>
      </w:r>
      <w:r>
        <w:rPr>
          <w:rFonts w:hint="eastAsia" w:ascii="宋体" w:hAnsi="宋体" w:eastAsia="宋体" w:cs="宋体"/>
        </w:rPr>
        <w:t>年</w:t>
      </w:r>
      <w:r>
        <w:rPr>
          <w:rFonts w:hint="eastAsia" w:ascii="宋体" w:hAnsi="宋体" w:eastAsia="宋体" w:cs="宋体"/>
          <w:szCs w:val="21"/>
        </w:rPr>
        <w:t>XX</w:t>
      </w:r>
      <w:r>
        <w:rPr>
          <w:rFonts w:hint="eastAsia" w:ascii="宋体" w:hAnsi="宋体" w:eastAsia="宋体" w:cs="宋体"/>
        </w:rPr>
        <w:t>月</w:t>
      </w:r>
      <w:r>
        <w:rPr>
          <w:rFonts w:hint="eastAsia" w:ascii="宋体" w:hAnsi="宋体" w:eastAsia="宋体" w:cs="宋体"/>
          <w:szCs w:val="21"/>
        </w:rPr>
        <w:t>XX</w:t>
      </w:r>
      <w:r>
        <w:rPr>
          <w:rFonts w:hint="eastAsia" w:ascii="宋体" w:hAnsi="宋体" w:eastAsia="宋体" w:cs="宋体"/>
        </w:rPr>
        <w:t>日前全部完成安装调试验收合格交付使用(如由于采购人的原因造成合同延迟签订或验收的，时间顺延)。交货验收时须提供产品质检部门从同类产品中抽样检查合格的检测报告。</w:t>
      </w:r>
    </w:p>
    <w:p>
      <w:pPr>
        <w:pStyle w:val="79"/>
        <w:spacing w:line="360" w:lineRule="auto"/>
        <w:ind w:firstLine="480"/>
        <w:rPr>
          <w:rFonts w:hint="eastAsia" w:ascii="宋体" w:hAnsi="宋体" w:eastAsia="宋体" w:cs="宋体"/>
        </w:rPr>
      </w:pPr>
      <w:r>
        <w:rPr>
          <w:rFonts w:hint="eastAsia" w:ascii="宋体" w:hAnsi="宋体" w:eastAsia="宋体" w:cs="宋体"/>
        </w:rPr>
        <w:t>2、验收由甲方组织，乙方配合进行：</w:t>
      </w:r>
    </w:p>
    <w:p>
      <w:pPr>
        <w:pStyle w:val="79"/>
        <w:spacing w:line="360" w:lineRule="auto"/>
        <w:ind w:firstLine="480"/>
        <w:rPr>
          <w:rFonts w:hint="eastAsia" w:ascii="宋体" w:hAnsi="宋体" w:eastAsia="宋体" w:cs="宋体"/>
        </w:rPr>
      </w:pPr>
      <w:r>
        <w:rPr>
          <w:rFonts w:hint="eastAsia" w:ascii="宋体" w:hAnsi="宋体" w:eastAsia="宋体" w:cs="宋体"/>
        </w:rPr>
        <w:t>(1) 货物在乙方通知安装调试完毕后</w:t>
      </w:r>
      <w:r>
        <w:rPr>
          <w:rFonts w:hint="eastAsia" w:ascii="宋体" w:hAnsi="宋体" w:eastAsia="宋体" w:cs="宋体"/>
          <w:u w:val="single"/>
        </w:rPr>
        <w:t xml:space="preserve">    </w:t>
      </w:r>
      <w:r>
        <w:rPr>
          <w:rFonts w:hint="eastAsia" w:ascii="宋体" w:hAnsi="宋体" w:eastAsia="宋体" w:cs="宋体"/>
        </w:rPr>
        <w:t>日内初步验收。初步验收合格后，进入</w:t>
      </w:r>
      <w:r>
        <w:rPr>
          <w:rFonts w:hint="eastAsia" w:ascii="宋体" w:hAnsi="宋体" w:eastAsia="宋体" w:cs="宋体"/>
          <w:u w:val="single"/>
        </w:rPr>
        <w:t xml:space="preserve">    </w:t>
      </w:r>
      <w:r>
        <w:rPr>
          <w:rFonts w:hint="eastAsia" w:ascii="宋体" w:hAnsi="宋体" w:eastAsia="宋体" w:cs="宋体"/>
        </w:rPr>
        <w:t>试用期；试用期间发生重大质量问题，修复后试用相应顺延；试用期结束后</w:t>
      </w:r>
      <w:r>
        <w:rPr>
          <w:rFonts w:hint="eastAsia" w:ascii="宋体" w:hAnsi="宋体" w:eastAsia="宋体" w:cs="宋体"/>
          <w:u w:val="single"/>
        </w:rPr>
        <w:t xml:space="preserve">    </w:t>
      </w:r>
      <w:r>
        <w:rPr>
          <w:rFonts w:hint="eastAsia" w:ascii="宋体" w:hAnsi="宋体" w:eastAsia="宋体" w:cs="宋体"/>
        </w:rPr>
        <w:t>日内完成最终验收；</w:t>
      </w:r>
    </w:p>
    <w:p>
      <w:pPr>
        <w:pStyle w:val="79"/>
        <w:spacing w:line="360" w:lineRule="auto"/>
        <w:ind w:firstLine="480"/>
        <w:rPr>
          <w:rFonts w:hint="eastAsia" w:ascii="宋体" w:hAnsi="宋体" w:eastAsia="宋体" w:cs="宋体"/>
        </w:rPr>
      </w:pPr>
      <w:r>
        <w:rPr>
          <w:rFonts w:hint="eastAsia" w:ascii="宋体" w:hAnsi="宋体" w:eastAsia="宋体" w:cs="宋体"/>
        </w:rPr>
        <w:t>(2) 验收标准：按国家有关规定以及甲方</w:t>
      </w:r>
      <w:r>
        <w:rPr>
          <w:rFonts w:hint="eastAsia" w:ascii="宋体" w:hAnsi="宋体" w:eastAsia="宋体" w:cs="宋体"/>
          <w:lang w:eastAsia="zh-CN"/>
        </w:rPr>
        <w:t>谈判文件</w:t>
      </w:r>
      <w:r>
        <w:rPr>
          <w:rFonts w:hint="eastAsia" w:ascii="宋体" w:hAnsi="宋体" w:eastAsia="宋体" w:cs="宋体"/>
        </w:rPr>
        <w:t>的质量要求和技术指标、乙方的</w:t>
      </w:r>
      <w:r>
        <w:rPr>
          <w:rFonts w:hint="eastAsia" w:ascii="宋体" w:hAnsi="宋体" w:eastAsia="宋体" w:cs="宋体"/>
          <w:lang w:eastAsia="zh-CN"/>
        </w:rPr>
        <w:t>响应文件</w:t>
      </w:r>
      <w:r>
        <w:rPr>
          <w:rFonts w:hint="eastAsia" w:ascii="宋体" w:hAnsi="宋体" w:eastAsia="宋体" w:cs="宋体"/>
        </w:rPr>
        <w:t>及承诺与本合同约定标准进行验收；甲乙双方如对质量要求和技术指标的约定标准有相互抵触或异议的事项，由甲方在招标与</w:t>
      </w:r>
      <w:r>
        <w:rPr>
          <w:rFonts w:hint="eastAsia" w:ascii="宋体" w:hAnsi="宋体" w:eastAsia="宋体" w:cs="宋体"/>
          <w:lang w:eastAsia="zh-CN"/>
        </w:rPr>
        <w:t>响应文件</w:t>
      </w:r>
      <w:r>
        <w:rPr>
          <w:rFonts w:hint="eastAsia" w:ascii="宋体" w:hAnsi="宋体" w:eastAsia="宋体" w:cs="宋体"/>
        </w:rPr>
        <w:t>中按质量要求和技术指标比较优胜的原则确定该项的约定标准进行验收；</w:t>
      </w:r>
    </w:p>
    <w:p>
      <w:pPr>
        <w:pStyle w:val="79"/>
        <w:spacing w:line="360" w:lineRule="auto"/>
        <w:ind w:firstLine="480"/>
        <w:rPr>
          <w:rFonts w:hint="eastAsia" w:ascii="宋体" w:hAnsi="宋体" w:eastAsia="宋体" w:cs="宋体"/>
        </w:rPr>
      </w:pPr>
      <w:r>
        <w:rPr>
          <w:rFonts w:hint="eastAsia" w:ascii="宋体" w:hAnsi="宋体" w:eastAsia="宋体" w:cs="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79"/>
        <w:spacing w:line="360" w:lineRule="auto"/>
        <w:ind w:firstLine="480"/>
        <w:rPr>
          <w:rFonts w:hint="eastAsia" w:ascii="宋体" w:hAnsi="宋体" w:eastAsia="宋体" w:cs="宋体"/>
        </w:rPr>
      </w:pPr>
      <w:r>
        <w:rPr>
          <w:rFonts w:hint="eastAsia" w:ascii="宋体" w:hAnsi="宋体" w:eastAsia="宋体" w:cs="宋体"/>
        </w:rPr>
        <w:t>(4) 如质量验收合格，双方签署质量验收报告。</w:t>
      </w:r>
    </w:p>
    <w:p>
      <w:pPr>
        <w:pStyle w:val="79"/>
        <w:spacing w:line="360" w:lineRule="auto"/>
        <w:ind w:firstLine="480"/>
        <w:rPr>
          <w:rFonts w:hint="eastAsia" w:ascii="宋体" w:hAnsi="宋体" w:eastAsia="宋体" w:cs="宋体"/>
        </w:rPr>
      </w:pPr>
      <w:r>
        <w:rPr>
          <w:rFonts w:hint="eastAsia" w:ascii="宋体" w:hAnsi="宋体" w:eastAsia="宋体" w:cs="宋体"/>
        </w:rPr>
        <w:t>3、货物安装完成后</w:t>
      </w:r>
      <w:r>
        <w:rPr>
          <w:rFonts w:hint="eastAsia" w:ascii="宋体" w:hAnsi="宋体" w:eastAsia="宋体" w:cs="宋体"/>
          <w:u w:val="single"/>
        </w:rPr>
        <w:t xml:space="preserve">     </w:t>
      </w:r>
      <w:r>
        <w:rPr>
          <w:rFonts w:hint="eastAsia" w:ascii="宋体" w:hAnsi="宋体" w:eastAsia="宋体" w:cs="宋体"/>
        </w:rPr>
        <w:t>日内，甲方无故不进行验收工作并已使用货物的，视同已安装调试完成并验收合格。</w:t>
      </w:r>
    </w:p>
    <w:p>
      <w:pPr>
        <w:pStyle w:val="79"/>
        <w:spacing w:line="360" w:lineRule="auto"/>
        <w:ind w:firstLine="480"/>
        <w:rPr>
          <w:rFonts w:hint="eastAsia" w:ascii="宋体" w:hAnsi="宋体" w:eastAsia="宋体" w:cs="宋体"/>
        </w:rPr>
      </w:pPr>
      <w:r>
        <w:rPr>
          <w:rFonts w:hint="eastAsia" w:ascii="宋体" w:hAnsi="宋体" w:eastAsia="宋体" w:cs="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79"/>
        <w:spacing w:line="360" w:lineRule="auto"/>
        <w:ind w:firstLine="480"/>
        <w:rPr>
          <w:rFonts w:hint="eastAsia" w:ascii="宋体" w:hAnsi="宋体" w:eastAsia="宋体" w:cs="宋体"/>
        </w:rPr>
      </w:pPr>
      <w:r>
        <w:rPr>
          <w:rFonts w:hint="eastAsia" w:ascii="宋体" w:hAnsi="宋体" w:eastAsia="宋体" w:cs="宋体"/>
        </w:rPr>
        <w:t>5、如货物经乙方</w:t>
      </w:r>
      <w:r>
        <w:rPr>
          <w:rFonts w:hint="eastAsia" w:ascii="宋体" w:hAnsi="宋体" w:eastAsia="宋体" w:cs="宋体"/>
          <w:u w:val="single"/>
        </w:rPr>
        <w:t xml:space="preserve">   </w:t>
      </w:r>
      <w:r>
        <w:rPr>
          <w:rFonts w:hint="eastAsia" w:ascii="宋体" w:hAnsi="宋体" w:eastAsia="宋体" w:cs="宋体"/>
        </w:rPr>
        <w:t>次维修仍不能达到合同约定的质量标准，甲方有权退货，并视作乙方不能交付货物而须支付违约赔偿金给甲方，甲方还可依法追究乙方的违约责任。 </w:t>
      </w:r>
    </w:p>
    <w:p>
      <w:pPr>
        <w:pStyle w:val="79"/>
        <w:spacing w:line="360" w:lineRule="auto"/>
        <w:ind w:firstLine="480"/>
        <w:rPr>
          <w:rFonts w:hint="eastAsia" w:ascii="宋体" w:hAnsi="宋体" w:eastAsia="宋体" w:cs="宋体"/>
        </w:rPr>
      </w:pPr>
      <w:r>
        <w:rPr>
          <w:rFonts w:hint="eastAsia" w:ascii="宋体" w:hAnsi="宋体" w:eastAsia="宋体" w:cs="宋体"/>
        </w:rPr>
        <w:t>6、其他未尽事宜应严格按照</w:t>
      </w:r>
      <w:r>
        <w:rPr>
          <w:rFonts w:hint="eastAsia" w:ascii="宋体" w:hAnsi="宋体" w:eastAsia="宋体" w:cs="宋体"/>
          <w:lang w:val="en-US" w:eastAsia="zh-CN"/>
        </w:rPr>
        <w:t>《财政部关于进一步加强政府采购需求和履约验收管理的指导意见》（财库〔2016〕205号）</w:t>
      </w:r>
      <w:r>
        <w:rPr>
          <w:rFonts w:hint="eastAsia" w:ascii="宋体" w:hAnsi="宋体" w:eastAsia="宋体" w:cs="宋体"/>
        </w:rPr>
        <w:t>的要求进行。</w:t>
      </w:r>
    </w:p>
    <w:p>
      <w:pPr>
        <w:pStyle w:val="5"/>
        <w:spacing w:line="360" w:lineRule="auto"/>
        <w:ind w:firstLine="482" w:firstLineChars="200"/>
        <w:rPr>
          <w:rFonts w:hint="eastAsia" w:ascii="宋体" w:hAnsi="宋体" w:eastAsia="宋体" w:cs="宋体"/>
          <w:sz w:val="24"/>
          <w:szCs w:val="24"/>
        </w:rPr>
      </w:pPr>
      <w:bookmarkStart w:id="249" w:name="_Toc10539"/>
      <w:bookmarkStart w:id="250" w:name="_Toc217446111"/>
      <w:bookmarkStart w:id="251" w:name="_Toc490290425"/>
      <w:r>
        <w:rPr>
          <w:rFonts w:hint="eastAsia" w:ascii="宋体" w:hAnsi="宋体" w:eastAsia="宋体" w:cs="宋体"/>
          <w:sz w:val="24"/>
          <w:szCs w:val="24"/>
        </w:rPr>
        <w:t>五、付款方式</w:t>
      </w:r>
      <w:bookmarkEnd w:id="249"/>
      <w:bookmarkEnd w:id="250"/>
      <w:bookmarkEnd w:id="251"/>
    </w:p>
    <w:p>
      <w:pPr>
        <w:pStyle w:val="79"/>
        <w:spacing w:line="360" w:lineRule="auto"/>
        <w:ind w:firstLine="480"/>
        <w:rPr>
          <w:rFonts w:hint="eastAsia" w:ascii="宋体" w:hAnsi="宋体" w:eastAsia="宋体" w:cs="宋体"/>
        </w:rPr>
      </w:pPr>
      <w:r>
        <w:rPr>
          <w:rFonts w:hint="eastAsia" w:ascii="宋体" w:hAnsi="宋体" w:eastAsia="宋体" w:cs="宋体"/>
        </w:rPr>
        <w:t>1、甲方在本合同签订生效之日起接到乙方通知和票据凭证资料以及乙方交给甲方的合同履约保证金（按合同总价的百分之</w:t>
      </w:r>
      <w:r>
        <w:rPr>
          <w:rFonts w:hint="eastAsia" w:ascii="宋体" w:hAnsi="宋体" w:eastAsia="宋体" w:cs="宋体"/>
          <w:u w:val="single"/>
        </w:rPr>
        <w:t xml:space="preserve">  </w:t>
      </w:r>
      <w:r>
        <w:rPr>
          <w:rFonts w:hint="eastAsia" w:ascii="宋体" w:hAnsi="宋体" w:eastAsia="宋体" w:cs="宋体"/>
        </w:rPr>
        <w:t>计算款额￥</w:t>
      </w:r>
      <w:r>
        <w:rPr>
          <w:rFonts w:hint="eastAsia" w:ascii="宋体" w:hAnsi="宋体" w:eastAsia="宋体" w:cs="宋体"/>
          <w:u w:val="single"/>
        </w:rPr>
        <w:t xml:space="preserve">             </w:t>
      </w:r>
      <w:r>
        <w:rPr>
          <w:rFonts w:hint="eastAsia" w:ascii="宋体" w:hAnsi="宋体" w:eastAsia="宋体" w:cs="宋体"/>
        </w:rPr>
        <w:t>元，人民币大写：</w:t>
      </w:r>
      <w:r>
        <w:rPr>
          <w:rFonts w:hint="eastAsia" w:ascii="宋体" w:hAnsi="宋体" w:eastAsia="宋体" w:cs="宋体"/>
          <w:u w:val="single"/>
        </w:rPr>
        <w:t xml:space="preserve">                            </w:t>
      </w:r>
      <w:r>
        <w:rPr>
          <w:rFonts w:hint="eastAsia" w:ascii="宋体" w:hAnsi="宋体" w:eastAsia="宋体" w:cs="宋体"/>
        </w:rPr>
        <w:t>元整）后的</w:t>
      </w:r>
      <w:r>
        <w:rPr>
          <w:rFonts w:hint="eastAsia" w:ascii="宋体" w:hAnsi="宋体" w:eastAsia="宋体" w:cs="宋体"/>
          <w:u w:val="single"/>
        </w:rPr>
        <w:t xml:space="preserve">    </w:t>
      </w:r>
      <w:r>
        <w:rPr>
          <w:rFonts w:hint="eastAsia" w:ascii="宋体" w:hAnsi="宋体" w:eastAsia="宋体" w:cs="宋体"/>
        </w:rPr>
        <w:t>日内支付合同金额百分之</w:t>
      </w:r>
      <w:r>
        <w:rPr>
          <w:rFonts w:hint="eastAsia" w:ascii="宋体" w:hAnsi="宋体" w:eastAsia="宋体" w:cs="宋体"/>
          <w:u w:val="single"/>
        </w:rPr>
        <w:t xml:space="preserve">     </w:t>
      </w:r>
      <w:r>
        <w:rPr>
          <w:rFonts w:hint="eastAsia" w:ascii="宋体" w:hAnsi="宋体" w:eastAsia="宋体" w:cs="宋体"/>
        </w:rPr>
        <w:t>的价款；</w:t>
      </w:r>
    </w:p>
    <w:p>
      <w:pPr>
        <w:pStyle w:val="79"/>
        <w:spacing w:line="360" w:lineRule="auto"/>
        <w:ind w:firstLine="480"/>
        <w:rPr>
          <w:rFonts w:hint="eastAsia" w:ascii="宋体" w:hAnsi="宋体" w:eastAsia="宋体" w:cs="宋体"/>
        </w:rPr>
      </w:pPr>
      <w:r>
        <w:rPr>
          <w:rFonts w:hint="eastAsia" w:ascii="宋体" w:hAnsi="宋体" w:eastAsia="宋体" w:cs="宋体"/>
        </w:rPr>
        <w:t>2、全部货物安装调试完毕并验收合格之日起，甲方接到乙方通知与票据凭证资料以后的</w:t>
      </w:r>
      <w:r>
        <w:rPr>
          <w:rFonts w:hint="eastAsia" w:ascii="宋体" w:hAnsi="宋体" w:eastAsia="宋体" w:cs="宋体"/>
          <w:u w:val="single"/>
        </w:rPr>
        <w:t xml:space="preserve">      </w:t>
      </w:r>
      <w:r>
        <w:rPr>
          <w:rFonts w:hint="eastAsia" w:ascii="宋体" w:hAnsi="宋体" w:eastAsia="宋体" w:cs="宋体"/>
        </w:rPr>
        <w:t>日内，提交支付凭证资料给</w:t>
      </w:r>
      <w:r>
        <w:rPr>
          <w:rFonts w:hint="eastAsia" w:ascii="宋体" w:hAnsi="宋体" w:eastAsia="宋体" w:cs="宋体"/>
          <w:u w:val="single"/>
        </w:rPr>
        <w:t xml:space="preserve">       </w:t>
      </w:r>
      <w:r>
        <w:rPr>
          <w:rFonts w:hint="eastAsia" w:ascii="宋体" w:hAnsi="宋体" w:eastAsia="宋体" w:cs="宋体"/>
        </w:rPr>
        <w:t>财政国库支付执行机构办理财政国库支付手续，并由其向乙方核拨合同总价的百分之</w:t>
      </w:r>
      <w:r>
        <w:rPr>
          <w:rFonts w:hint="eastAsia" w:ascii="宋体" w:hAnsi="宋体" w:eastAsia="宋体" w:cs="宋体"/>
          <w:u w:val="single"/>
        </w:rPr>
        <w:t xml:space="preserve">   </w:t>
      </w:r>
      <w:r>
        <w:rPr>
          <w:rFonts w:hint="eastAsia" w:ascii="宋体" w:hAnsi="宋体" w:eastAsia="宋体" w:cs="宋体"/>
        </w:rPr>
        <w:t>款项：￥</w:t>
      </w:r>
      <w:r>
        <w:rPr>
          <w:rFonts w:hint="eastAsia" w:ascii="宋体" w:hAnsi="宋体" w:eastAsia="宋体" w:cs="宋体"/>
          <w:u w:val="single"/>
        </w:rPr>
        <w:t xml:space="preserve">     </w:t>
      </w:r>
      <w:r>
        <w:rPr>
          <w:rFonts w:hint="eastAsia" w:ascii="宋体" w:hAnsi="宋体" w:eastAsia="宋体" w:cs="宋体"/>
        </w:rPr>
        <w:t>元，人民币大写</w:t>
      </w:r>
      <w:r>
        <w:rPr>
          <w:rFonts w:hint="eastAsia" w:ascii="宋体" w:hAnsi="宋体" w:eastAsia="宋体" w:cs="宋体"/>
          <w:u w:val="single"/>
        </w:rPr>
        <w:t xml:space="preserve">    </w:t>
      </w:r>
      <w:r>
        <w:rPr>
          <w:rFonts w:hint="eastAsia" w:ascii="宋体" w:hAnsi="宋体" w:eastAsia="宋体" w:cs="宋体"/>
        </w:rPr>
        <w:t>元整；</w:t>
      </w:r>
    </w:p>
    <w:p>
      <w:pPr>
        <w:pStyle w:val="79"/>
        <w:spacing w:line="360" w:lineRule="auto"/>
        <w:ind w:firstLine="480"/>
        <w:rPr>
          <w:rFonts w:hint="eastAsia" w:ascii="宋体" w:hAnsi="宋体" w:eastAsia="宋体" w:cs="宋体"/>
        </w:rPr>
      </w:pPr>
      <w:r>
        <w:rPr>
          <w:rFonts w:hint="eastAsia" w:ascii="宋体" w:hAnsi="宋体" w:eastAsia="宋体" w:cs="宋体"/>
        </w:rPr>
        <w:t>3、履约保证金退还：在货物验收合格满</w:t>
      </w:r>
      <w:r>
        <w:rPr>
          <w:rFonts w:hint="eastAsia" w:ascii="宋体" w:hAnsi="宋体" w:eastAsia="宋体" w:cs="宋体"/>
          <w:u w:val="single"/>
        </w:rPr>
        <w:t xml:space="preserve">    </w:t>
      </w:r>
      <w:r>
        <w:rPr>
          <w:rFonts w:hint="eastAsia" w:ascii="宋体" w:hAnsi="宋体" w:eastAsia="宋体" w:cs="宋体"/>
        </w:rPr>
        <w:t>后，甲方接到乙方通知和支付凭证资料文件，以及由甲方确认本合同货物质量与服务等约定事项已经履行完毕的正式书面文件后的</w:t>
      </w:r>
      <w:r>
        <w:rPr>
          <w:rFonts w:hint="eastAsia" w:ascii="宋体" w:hAnsi="宋体" w:eastAsia="宋体" w:cs="宋体"/>
          <w:u w:val="single"/>
        </w:rPr>
        <w:t xml:space="preserve">     </w:t>
      </w:r>
      <w:r>
        <w:rPr>
          <w:rFonts w:hint="eastAsia" w:ascii="宋体" w:hAnsi="宋体" w:eastAsia="宋体" w:cs="宋体"/>
        </w:rPr>
        <w:t>日内，递交结算凭证资料给银行并由其向乙方支付价款￥</w:t>
      </w:r>
      <w:r>
        <w:rPr>
          <w:rFonts w:hint="eastAsia" w:ascii="宋体" w:hAnsi="宋体" w:eastAsia="宋体" w:cs="宋体"/>
          <w:u w:val="single"/>
        </w:rPr>
        <w:t xml:space="preserve">      </w:t>
      </w:r>
      <w:r>
        <w:rPr>
          <w:rFonts w:hint="eastAsia" w:ascii="宋体" w:hAnsi="宋体" w:eastAsia="宋体" w:cs="宋体"/>
        </w:rPr>
        <w:t>元， 人民币大写：</w:t>
      </w:r>
      <w:r>
        <w:rPr>
          <w:rFonts w:hint="eastAsia" w:ascii="宋体" w:hAnsi="宋体" w:eastAsia="宋体" w:cs="宋体"/>
          <w:u w:val="single"/>
        </w:rPr>
        <w:t xml:space="preserve">              </w:t>
      </w:r>
      <w:r>
        <w:rPr>
          <w:rFonts w:hint="eastAsia" w:ascii="宋体" w:hAnsi="宋体" w:eastAsia="宋体" w:cs="宋体"/>
        </w:rPr>
        <w:t>元整；乙方履约不合格的，履约保证金不予退还。</w:t>
      </w:r>
    </w:p>
    <w:p>
      <w:pPr>
        <w:pStyle w:val="79"/>
        <w:spacing w:line="360" w:lineRule="auto"/>
        <w:ind w:firstLine="480"/>
        <w:rPr>
          <w:rFonts w:hint="eastAsia" w:ascii="宋体" w:hAnsi="宋体" w:eastAsia="宋体" w:cs="宋体"/>
        </w:rPr>
      </w:pPr>
      <w:r>
        <w:rPr>
          <w:rFonts w:hint="eastAsia" w:ascii="宋体" w:hAnsi="宋体" w:eastAsia="宋体" w:cs="宋体"/>
        </w:rPr>
        <w:t>4、乙方须向甲方出具合法有效完整的完税发票及凭证资料进行支付结算。</w:t>
      </w:r>
    </w:p>
    <w:p>
      <w:pPr>
        <w:pStyle w:val="5"/>
        <w:spacing w:line="360" w:lineRule="auto"/>
        <w:ind w:firstLine="482" w:firstLineChars="200"/>
        <w:rPr>
          <w:rFonts w:hint="eastAsia" w:ascii="宋体" w:hAnsi="宋体" w:eastAsia="宋体" w:cs="宋体"/>
          <w:sz w:val="24"/>
          <w:szCs w:val="24"/>
        </w:rPr>
      </w:pPr>
      <w:bookmarkStart w:id="252" w:name="_Toc490290426"/>
      <w:bookmarkStart w:id="253" w:name="_Toc28534"/>
      <w:bookmarkStart w:id="254" w:name="_Toc217446112"/>
      <w:r>
        <w:rPr>
          <w:rFonts w:hint="eastAsia" w:ascii="宋体" w:hAnsi="宋体" w:eastAsia="宋体" w:cs="宋体"/>
          <w:sz w:val="24"/>
          <w:szCs w:val="24"/>
        </w:rPr>
        <w:t>六、售后服务</w:t>
      </w:r>
      <w:bookmarkEnd w:id="252"/>
      <w:bookmarkEnd w:id="253"/>
      <w:bookmarkEnd w:id="254"/>
    </w:p>
    <w:p>
      <w:pPr>
        <w:pStyle w:val="79"/>
        <w:spacing w:line="360" w:lineRule="auto"/>
        <w:ind w:firstLine="480"/>
        <w:rPr>
          <w:rFonts w:hint="eastAsia" w:ascii="宋体" w:hAnsi="宋体" w:eastAsia="宋体" w:cs="宋体"/>
        </w:rPr>
      </w:pPr>
      <w:r>
        <w:rPr>
          <w:rFonts w:hint="eastAsia" w:ascii="宋体" w:hAnsi="宋体" w:eastAsia="宋体" w:cs="宋体"/>
        </w:rPr>
        <w:t>1、质保期为验收合格后</w:t>
      </w:r>
      <w:r>
        <w:rPr>
          <w:rFonts w:hint="eastAsia" w:ascii="宋体" w:hAnsi="宋体" w:eastAsia="宋体" w:cs="宋体"/>
          <w:szCs w:val="21"/>
          <w:u w:val="single"/>
        </w:rPr>
        <w:t xml:space="preserve">   </w:t>
      </w:r>
      <w:r>
        <w:rPr>
          <w:rFonts w:hint="eastAsia" w:ascii="宋体" w:hAnsi="宋体" w:eastAsia="宋体" w:cs="宋体"/>
        </w:rPr>
        <w:t>年，质保期内出现质量问题，乙方在接到通知后</w:t>
      </w:r>
      <w:r>
        <w:rPr>
          <w:rFonts w:hint="eastAsia" w:ascii="宋体" w:hAnsi="宋体" w:eastAsia="宋体" w:cs="宋体"/>
          <w:u w:val="single"/>
        </w:rPr>
        <w:t xml:space="preserve">   </w:t>
      </w:r>
      <w:r>
        <w:rPr>
          <w:rFonts w:hint="eastAsia" w:ascii="宋体" w:hAnsi="宋体" w:eastAsia="宋体" w:cs="宋体"/>
        </w:rPr>
        <w:t>小时内响应到场，</w:t>
      </w:r>
      <w:r>
        <w:rPr>
          <w:rFonts w:hint="eastAsia" w:ascii="宋体" w:hAnsi="宋体" w:eastAsia="宋体" w:cs="宋体"/>
          <w:u w:val="single"/>
        </w:rPr>
        <w:t xml:space="preserve">    </w:t>
      </w:r>
      <w:r>
        <w:rPr>
          <w:rFonts w:hint="eastAsia" w:ascii="宋体" w:hAnsi="宋体" w:eastAsia="宋体" w:cs="宋体"/>
        </w:rPr>
        <w:t>小时内完成维修或更换，并承担修理调换的费用；如货物经乙方</w:t>
      </w:r>
      <w:r>
        <w:rPr>
          <w:rFonts w:hint="eastAsia" w:ascii="宋体" w:hAnsi="宋体" w:eastAsia="宋体" w:cs="宋体"/>
          <w:u w:val="single"/>
        </w:rPr>
        <w:t xml:space="preserve">   </w:t>
      </w:r>
      <w:r>
        <w:rPr>
          <w:rFonts w:hint="eastAsia" w:ascii="宋体" w:hAnsi="宋体" w:eastAsia="宋体" w:cs="宋体"/>
        </w:rPr>
        <w:t>次维修仍不能达到本合同约定的质量标准，视作乙方未能按时交货，甲方有权退货并追究乙方的违约责任。货到现场后由于甲方保管不当造成的问题，乙方亦应负责修复，但费用由甲方负担。</w:t>
      </w:r>
    </w:p>
    <w:p>
      <w:pPr>
        <w:pStyle w:val="79"/>
        <w:spacing w:line="360" w:lineRule="auto"/>
        <w:ind w:firstLine="480"/>
        <w:rPr>
          <w:rFonts w:hint="eastAsia" w:ascii="宋体" w:hAnsi="宋体" w:eastAsia="宋体" w:cs="宋体"/>
        </w:rPr>
      </w:pPr>
      <w:r>
        <w:rPr>
          <w:rFonts w:hint="eastAsia" w:ascii="宋体" w:hAnsi="宋体" w:eastAsia="宋体" w:cs="宋体"/>
        </w:rPr>
        <w:t>2、乙方须指派专人负责与甲方联系售后服务事宜。 </w:t>
      </w:r>
    </w:p>
    <w:p>
      <w:pPr>
        <w:pStyle w:val="5"/>
        <w:spacing w:line="360" w:lineRule="auto"/>
        <w:ind w:firstLine="482" w:firstLineChars="200"/>
        <w:rPr>
          <w:rFonts w:hint="eastAsia" w:ascii="宋体" w:hAnsi="宋体" w:eastAsia="宋体" w:cs="宋体"/>
          <w:sz w:val="24"/>
          <w:szCs w:val="24"/>
        </w:rPr>
      </w:pPr>
      <w:bookmarkStart w:id="255" w:name="_Toc490290427"/>
      <w:bookmarkStart w:id="256" w:name="_Toc24494"/>
      <w:bookmarkStart w:id="257" w:name="_Toc217446113"/>
      <w:r>
        <w:rPr>
          <w:rFonts w:hint="eastAsia" w:ascii="宋体" w:hAnsi="宋体" w:eastAsia="宋体" w:cs="宋体"/>
          <w:sz w:val="24"/>
          <w:szCs w:val="24"/>
        </w:rPr>
        <w:t>七、违约责任</w:t>
      </w:r>
      <w:bookmarkEnd w:id="255"/>
      <w:bookmarkEnd w:id="256"/>
      <w:bookmarkEnd w:id="257"/>
    </w:p>
    <w:p>
      <w:pPr>
        <w:pStyle w:val="79"/>
        <w:spacing w:line="360" w:lineRule="auto"/>
        <w:ind w:firstLine="480"/>
        <w:rPr>
          <w:rFonts w:hint="eastAsia" w:ascii="宋体" w:hAnsi="宋体" w:eastAsia="宋体" w:cs="宋体"/>
        </w:rPr>
      </w:pPr>
      <w:r>
        <w:rPr>
          <w:rFonts w:hint="eastAsia" w:ascii="宋体" w:hAnsi="宋体" w:eastAsia="宋体" w:cs="宋体"/>
        </w:rPr>
        <w:t>1、甲方违约责任</w:t>
      </w:r>
    </w:p>
    <w:p>
      <w:pPr>
        <w:pStyle w:val="79"/>
        <w:spacing w:line="360" w:lineRule="auto"/>
        <w:ind w:firstLine="480"/>
        <w:rPr>
          <w:rFonts w:hint="eastAsia" w:ascii="宋体" w:hAnsi="宋体" w:eastAsia="宋体" w:cs="宋体"/>
        </w:rPr>
      </w:pPr>
      <w:r>
        <w:rPr>
          <w:rFonts w:hint="eastAsia" w:ascii="宋体" w:hAnsi="宋体" w:eastAsia="宋体" w:cs="宋体"/>
        </w:rPr>
        <w:t>（1） 甲方无正当理由拒收货物的，甲方应偿付合同总价百分之</w:t>
      </w:r>
      <w:r>
        <w:rPr>
          <w:rFonts w:hint="eastAsia" w:ascii="宋体" w:hAnsi="宋体" w:eastAsia="宋体" w:cs="宋体"/>
          <w:u w:val="single"/>
        </w:rPr>
        <w:t xml:space="preserve">  </w:t>
      </w:r>
      <w:r>
        <w:rPr>
          <w:rFonts w:hint="eastAsia" w:ascii="宋体" w:hAnsi="宋体" w:eastAsia="宋体" w:cs="宋体"/>
        </w:rPr>
        <w:t>的违约金；</w:t>
      </w:r>
    </w:p>
    <w:p>
      <w:pPr>
        <w:pStyle w:val="79"/>
        <w:spacing w:line="360" w:lineRule="auto"/>
        <w:ind w:firstLine="480"/>
        <w:rPr>
          <w:rFonts w:hint="eastAsia" w:ascii="宋体" w:hAnsi="宋体" w:eastAsia="宋体" w:cs="宋体"/>
        </w:rPr>
      </w:pPr>
      <w:r>
        <w:rPr>
          <w:rFonts w:hint="eastAsia" w:ascii="宋体" w:hAnsi="宋体" w:eastAsia="宋体" w:cs="宋体"/>
        </w:rPr>
        <w:t>（2） 甲方逾期支付货款的，除应及时付足货款外，应向乙方偿付欠款总额万分之</w:t>
      </w:r>
      <w:r>
        <w:rPr>
          <w:rFonts w:hint="eastAsia" w:ascii="宋体" w:hAnsi="宋体" w:eastAsia="宋体" w:cs="宋体"/>
          <w:u w:val="single"/>
        </w:rPr>
        <w:t xml:space="preserve">   </w:t>
      </w:r>
      <w:r>
        <w:rPr>
          <w:rFonts w:hint="eastAsia" w:ascii="宋体" w:hAnsi="宋体" w:eastAsia="宋体" w:cs="宋体"/>
        </w:rPr>
        <w:t>/天的违约金；逾期付款超过</w:t>
      </w:r>
      <w:r>
        <w:rPr>
          <w:rFonts w:hint="eastAsia" w:ascii="宋体" w:hAnsi="宋体" w:eastAsia="宋体" w:cs="宋体"/>
          <w:u w:val="single"/>
        </w:rPr>
        <w:t xml:space="preserve">  </w:t>
      </w:r>
      <w:r>
        <w:rPr>
          <w:rFonts w:hint="eastAsia" w:ascii="宋体" w:hAnsi="宋体" w:eastAsia="宋体" w:cs="宋体"/>
        </w:rPr>
        <w:t>天的，乙方有权终止合同；</w:t>
      </w:r>
    </w:p>
    <w:p>
      <w:pPr>
        <w:pStyle w:val="79"/>
        <w:spacing w:line="360" w:lineRule="auto"/>
        <w:ind w:firstLine="480"/>
        <w:rPr>
          <w:rFonts w:hint="eastAsia" w:ascii="宋体" w:hAnsi="宋体" w:eastAsia="宋体" w:cs="宋体"/>
        </w:rPr>
      </w:pPr>
      <w:r>
        <w:rPr>
          <w:rFonts w:hint="eastAsia" w:ascii="宋体" w:hAnsi="宋体" w:eastAsia="宋体" w:cs="宋体"/>
        </w:rPr>
        <w:t>（3） 甲方偿付的违约金不足以弥补乙方损失的，还应按乙方损失尚未弥补的部分，支付赔偿金给乙方。</w:t>
      </w:r>
    </w:p>
    <w:p>
      <w:pPr>
        <w:pStyle w:val="79"/>
        <w:spacing w:line="360" w:lineRule="auto"/>
        <w:ind w:firstLine="480"/>
        <w:rPr>
          <w:rFonts w:hint="eastAsia" w:ascii="宋体" w:hAnsi="宋体" w:eastAsia="宋体" w:cs="宋体"/>
        </w:rPr>
      </w:pPr>
      <w:r>
        <w:rPr>
          <w:rFonts w:hint="eastAsia" w:ascii="宋体" w:hAnsi="宋体" w:eastAsia="宋体" w:cs="宋体"/>
        </w:rPr>
        <w:t>2、乙方违约责任</w:t>
      </w:r>
    </w:p>
    <w:p>
      <w:pPr>
        <w:pStyle w:val="79"/>
        <w:spacing w:line="360" w:lineRule="auto"/>
        <w:ind w:firstLine="480"/>
        <w:rPr>
          <w:rFonts w:hint="eastAsia" w:ascii="宋体" w:hAnsi="宋体" w:eastAsia="宋体" w:cs="宋体"/>
        </w:rPr>
      </w:pPr>
      <w:r>
        <w:rPr>
          <w:rFonts w:hint="eastAsia" w:ascii="宋体" w:hAnsi="宋体" w:eastAsia="宋体" w:cs="宋体"/>
        </w:rPr>
        <w:t>（1）乙方交付的货物质量不符合合同规定的，乙方应向甲方支付合同总价的百分之</w:t>
      </w:r>
      <w:r>
        <w:rPr>
          <w:rFonts w:hint="eastAsia" w:ascii="宋体" w:hAnsi="宋体" w:eastAsia="宋体" w:cs="宋体"/>
          <w:u w:val="single"/>
        </w:rPr>
        <w:t xml:space="preserve">  </w:t>
      </w:r>
      <w:r>
        <w:rPr>
          <w:rFonts w:hint="eastAsia" w:ascii="宋体" w:hAnsi="宋体" w:eastAsia="宋体" w:cs="宋体"/>
        </w:rPr>
        <w:t>的违约金，并须在合同规定的交货时间内更换合格的货物给甲方，否则，视作乙方不能交付货物而违约，按本条本款下述第“（2）”项规定由乙方偿付违约赔偿金给甲方。</w:t>
      </w:r>
    </w:p>
    <w:p>
      <w:pPr>
        <w:pStyle w:val="79"/>
        <w:spacing w:line="360" w:lineRule="auto"/>
        <w:ind w:firstLine="480"/>
        <w:rPr>
          <w:rFonts w:hint="eastAsia" w:ascii="宋体" w:hAnsi="宋体" w:eastAsia="宋体" w:cs="宋体"/>
        </w:rPr>
      </w:pPr>
      <w:r>
        <w:rPr>
          <w:rFonts w:hint="eastAsia" w:ascii="宋体" w:hAnsi="宋体" w:eastAsia="宋体" w:cs="宋体"/>
        </w:rPr>
        <w:t>（2）乙方不能交付货物或逾期交付货物而违约的，除应及时交足货物外，应向甲方偿付逾期交货部分货款总额的万分之</w:t>
      </w:r>
      <w:r>
        <w:rPr>
          <w:rFonts w:hint="eastAsia" w:ascii="宋体" w:hAnsi="宋体" w:eastAsia="宋体" w:cs="宋体"/>
          <w:u w:val="single"/>
        </w:rPr>
        <w:t xml:space="preserve">   </w:t>
      </w:r>
      <w:r>
        <w:rPr>
          <w:rFonts w:hint="eastAsia" w:ascii="宋体" w:hAnsi="宋体" w:eastAsia="宋体" w:cs="宋体"/>
        </w:rPr>
        <w:t>/天的违约金；逾期交货超过</w:t>
      </w:r>
      <w:r>
        <w:rPr>
          <w:rFonts w:hint="eastAsia" w:ascii="宋体" w:hAnsi="宋体" w:eastAsia="宋体" w:cs="宋体"/>
          <w:szCs w:val="21"/>
        </w:rPr>
        <w:t>XX</w:t>
      </w:r>
      <w:r>
        <w:rPr>
          <w:rFonts w:hint="eastAsia" w:ascii="宋体" w:hAnsi="宋体" w:eastAsia="宋体" w:cs="宋体"/>
        </w:rPr>
        <w:t>天，甲方有权终止合同，乙方则应按合同总价的百分之</w:t>
      </w:r>
      <w:r>
        <w:rPr>
          <w:rFonts w:hint="eastAsia" w:ascii="宋体" w:hAnsi="宋体" w:eastAsia="宋体" w:cs="宋体"/>
          <w:u w:val="single"/>
        </w:rPr>
        <w:t xml:space="preserve">  </w:t>
      </w:r>
      <w:r>
        <w:rPr>
          <w:rFonts w:hint="eastAsia" w:ascii="宋体" w:hAnsi="宋体" w:eastAsia="宋体" w:cs="宋体"/>
        </w:rPr>
        <w:t>的款额向甲方偿付赔偿金，并须全额退还甲方已经付给乙方的货款及其利息。</w:t>
      </w:r>
    </w:p>
    <w:p>
      <w:pPr>
        <w:pStyle w:val="79"/>
        <w:spacing w:line="360" w:lineRule="auto"/>
        <w:ind w:firstLine="480"/>
        <w:rPr>
          <w:rFonts w:hint="eastAsia" w:ascii="宋体" w:hAnsi="宋体" w:eastAsia="宋体" w:cs="宋体"/>
        </w:rPr>
      </w:pPr>
      <w:r>
        <w:rPr>
          <w:rFonts w:hint="eastAsia" w:ascii="宋体" w:hAnsi="宋体" w:eastAsia="宋体" w:cs="宋体"/>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u w:val="single"/>
        </w:rPr>
        <w:t xml:space="preserve">   </w:t>
      </w:r>
      <w:r>
        <w:rPr>
          <w:rFonts w:hint="eastAsia" w:ascii="宋体" w:hAnsi="宋体" w:eastAsia="宋体" w:cs="宋体"/>
        </w:rPr>
        <w:t>天内无条件更换合格的货物，如逾期不能更换合格的货物，甲方有权终止本合同，乙方应另付合同总价的百分之</w:t>
      </w:r>
      <w:r>
        <w:rPr>
          <w:rFonts w:hint="eastAsia" w:ascii="宋体" w:hAnsi="宋体" w:eastAsia="宋体" w:cs="宋体"/>
          <w:u w:val="single"/>
        </w:rPr>
        <w:t xml:space="preserve">   </w:t>
      </w:r>
      <w:r>
        <w:rPr>
          <w:rFonts w:hint="eastAsia" w:ascii="宋体" w:hAnsi="宋体" w:eastAsia="宋体" w:cs="宋体"/>
        </w:rPr>
        <w:t>的赔偿金给甲方。</w:t>
      </w:r>
    </w:p>
    <w:p>
      <w:pPr>
        <w:pStyle w:val="79"/>
        <w:spacing w:line="360" w:lineRule="auto"/>
        <w:ind w:firstLine="480"/>
        <w:rPr>
          <w:rFonts w:hint="eastAsia" w:ascii="宋体" w:hAnsi="宋体" w:eastAsia="宋体" w:cs="宋体"/>
        </w:rPr>
      </w:pPr>
      <w:r>
        <w:rPr>
          <w:rFonts w:hint="eastAsia" w:ascii="宋体" w:hAnsi="宋体" w:eastAsia="宋体" w:cs="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u w:val="single"/>
        </w:rPr>
        <w:t xml:space="preserve">   </w:t>
      </w:r>
      <w:r>
        <w:rPr>
          <w:rFonts w:hint="eastAsia" w:ascii="宋体" w:hAnsi="宋体" w:eastAsia="宋体" w:cs="宋体"/>
        </w:rPr>
        <w:t>向甲方支付违约金并赔偿因此给甲方造成的一切损失。</w:t>
      </w:r>
    </w:p>
    <w:p>
      <w:pPr>
        <w:pStyle w:val="79"/>
        <w:spacing w:line="360" w:lineRule="auto"/>
        <w:ind w:firstLine="480"/>
        <w:rPr>
          <w:rFonts w:hint="eastAsia" w:ascii="宋体" w:hAnsi="宋体" w:eastAsia="宋体" w:cs="宋体"/>
        </w:rPr>
      </w:pPr>
      <w:r>
        <w:rPr>
          <w:rFonts w:hint="eastAsia" w:ascii="宋体" w:hAnsi="宋体" w:eastAsia="宋体" w:cs="宋体"/>
        </w:rPr>
        <w:t>（5）乙方偿付的违约金不足以弥补甲方损失的，还应按甲方损失尚未弥补的部分，支付赔偿金给甲方。</w:t>
      </w:r>
    </w:p>
    <w:p>
      <w:pPr>
        <w:pStyle w:val="5"/>
        <w:spacing w:line="360" w:lineRule="auto"/>
        <w:ind w:firstLine="482" w:firstLineChars="200"/>
        <w:rPr>
          <w:rFonts w:hint="eastAsia" w:ascii="宋体" w:hAnsi="宋体" w:eastAsia="宋体" w:cs="宋体"/>
          <w:sz w:val="24"/>
          <w:szCs w:val="24"/>
        </w:rPr>
      </w:pPr>
      <w:bookmarkStart w:id="258" w:name="_Toc490290428"/>
      <w:bookmarkStart w:id="259" w:name="_Toc217446114"/>
      <w:bookmarkStart w:id="260" w:name="_Toc12336"/>
      <w:r>
        <w:rPr>
          <w:rFonts w:hint="eastAsia" w:ascii="宋体" w:hAnsi="宋体" w:eastAsia="宋体" w:cs="宋体"/>
          <w:sz w:val="24"/>
          <w:szCs w:val="24"/>
        </w:rPr>
        <w:t>八、争议解决办法</w:t>
      </w:r>
      <w:bookmarkEnd w:id="258"/>
      <w:bookmarkEnd w:id="259"/>
      <w:bookmarkEnd w:id="260"/>
    </w:p>
    <w:p>
      <w:pPr>
        <w:pStyle w:val="79"/>
        <w:spacing w:line="360" w:lineRule="auto"/>
        <w:ind w:firstLine="480"/>
        <w:rPr>
          <w:rFonts w:hint="eastAsia" w:ascii="宋体" w:hAnsi="宋体" w:eastAsia="宋体" w:cs="宋体"/>
        </w:rPr>
      </w:pPr>
      <w:r>
        <w:rPr>
          <w:rFonts w:hint="eastAsia" w:ascii="宋体" w:hAnsi="宋体" w:eastAsia="宋体" w:cs="宋体"/>
        </w:rPr>
        <w:t>1、因货物的质量问题发生争议，由质量技术监督部门或其指定的质量鉴定机构进行质量鉴定。货物符合标准的，鉴定费由甲方承担；货物不符合质量标准的，鉴定费由乙方承担。</w:t>
      </w:r>
    </w:p>
    <w:p>
      <w:pPr>
        <w:pStyle w:val="79"/>
        <w:spacing w:line="360" w:lineRule="auto"/>
        <w:ind w:firstLine="480"/>
        <w:rPr>
          <w:rFonts w:hint="eastAsia" w:ascii="宋体" w:hAnsi="宋体" w:eastAsia="宋体" w:cs="宋体"/>
        </w:rPr>
      </w:pPr>
      <w:r>
        <w:rPr>
          <w:rFonts w:hint="eastAsia" w:ascii="宋体" w:hAnsi="宋体" w:eastAsia="宋体" w:cs="宋体"/>
        </w:rPr>
        <w:t>2、合同履行期间</w:t>
      </w:r>
      <w:r>
        <w:rPr>
          <w:rFonts w:hint="eastAsia" w:ascii="宋体" w:hAnsi="宋体" w:cs="宋体"/>
          <w:lang w:eastAsia="zh-CN"/>
        </w:rPr>
        <w:t>，</w:t>
      </w:r>
      <w:r>
        <w:rPr>
          <w:rFonts w:hint="eastAsia" w:ascii="宋体" w:hAnsi="宋体" w:eastAsia="宋体" w:cs="宋体"/>
        </w:rPr>
        <w:t>若双方发生争议，可协商或由有关部门调解解决，协商或调解不成的，由当事人依法维护其合法权益。</w:t>
      </w:r>
    </w:p>
    <w:p>
      <w:pPr>
        <w:pStyle w:val="5"/>
        <w:spacing w:line="360" w:lineRule="auto"/>
        <w:ind w:firstLine="482" w:firstLineChars="200"/>
        <w:rPr>
          <w:rFonts w:hint="eastAsia" w:ascii="宋体" w:hAnsi="宋体" w:eastAsia="宋体" w:cs="宋体"/>
          <w:sz w:val="24"/>
          <w:szCs w:val="24"/>
        </w:rPr>
      </w:pPr>
      <w:bookmarkStart w:id="261" w:name="_Toc217446115"/>
      <w:bookmarkStart w:id="262" w:name="_Toc490290429"/>
      <w:bookmarkStart w:id="263" w:name="_Toc23520"/>
      <w:r>
        <w:rPr>
          <w:rFonts w:hint="eastAsia" w:ascii="宋体" w:hAnsi="宋体" w:eastAsia="宋体" w:cs="宋体"/>
          <w:sz w:val="24"/>
          <w:szCs w:val="24"/>
        </w:rPr>
        <w:t>九、其他</w:t>
      </w:r>
      <w:bookmarkEnd w:id="261"/>
      <w:bookmarkEnd w:id="262"/>
      <w:bookmarkEnd w:id="263"/>
    </w:p>
    <w:p>
      <w:pPr>
        <w:pStyle w:val="79"/>
        <w:spacing w:line="360" w:lineRule="auto"/>
        <w:ind w:firstLine="480"/>
        <w:rPr>
          <w:rFonts w:hint="eastAsia" w:ascii="宋体" w:hAnsi="宋体" w:eastAsia="宋体" w:cs="宋体"/>
        </w:rPr>
      </w:pPr>
      <w:r>
        <w:rPr>
          <w:rFonts w:hint="eastAsia" w:ascii="宋体" w:hAnsi="宋体" w:eastAsia="宋体" w:cs="宋体"/>
        </w:rPr>
        <w:t>1、如有未尽事宜，由双方依法订立补充合同。</w:t>
      </w:r>
    </w:p>
    <w:p>
      <w:pPr>
        <w:pStyle w:val="79"/>
        <w:spacing w:line="360" w:lineRule="auto"/>
        <w:ind w:firstLine="480"/>
        <w:rPr>
          <w:rFonts w:hint="eastAsia" w:ascii="宋体" w:hAnsi="宋体" w:eastAsia="宋体" w:cs="宋体"/>
        </w:rPr>
      </w:pPr>
      <w:r>
        <w:rPr>
          <w:rFonts w:hint="eastAsia" w:ascii="宋体" w:hAnsi="宋体" w:eastAsia="宋体" w:cs="宋体"/>
        </w:rPr>
        <w:t>2、本合同一式四份，自双方签章之日起生效。甲方、乙方、同级县财政部门、采购代理机构各一份。</w:t>
      </w: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   （盖章）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乙方：   （盖章）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法定代表人（授权代表）：           法定代表人（授权代表）：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                         地    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                         开户银行：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账号：                             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    话：                         电    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传    真：</w:t>
      </w:r>
    </w:p>
    <w:p>
      <w:pPr>
        <w:pStyle w:val="2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rPr>
        <w:t>签约日期：XX年XX月XX日</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kern w:val="2"/>
          <w:sz w:val="24"/>
          <w:szCs w:val="24"/>
        </w:rPr>
        <w:t>签约日期：XX年XX月XX日</w:t>
      </w:r>
    </w:p>
    <w:p>
      <w:pPr>
        <w:spacing w:line="360" w:lineRule="auto"/>
        <w:ind w:firstLine="482" w:firstLineChars="200"/>
        <w:rPr>
          <w:rFonts w:hint="eastAsia" w:ascii="宋体" w:hAnsi="宋体" w:eastAsia="宋体" w:cs="宋体"/>
          <w:b/>
          <w:bCs/>
          <w:sz w:val="24"/>
        </w:rPr>
      </w:pPr>
    </w:p>
    <w:p>
      <w:pPr>
        <w:spacing w:line="360" w:lineRule="auto"/>
        <w:ind w:firstLine="602" w:firstLineChars="250"/>
        <w:rPr>
          <w:rFonts w:hint="eastAsia" w:ascii="宋体" w:hAnsi="宋体" w:eastAsia="宋体" w:cs="宋体"/>
        </w:rPr>
        <w:sectPr>
          <w:headerReference r:id="rId18" w:type="default"/>
          <w:pgSz w:w="11907" w:h="16840"/>
          <w:pgMar w:top="1440" w:right="1797" w:bottom="1440" w:left="1797" w:header="851" w:footer="850" w:gutter="0"/>
          <w:pgNumType w:fmt="decimal"/>
          <w:cols w:space="720" w:num="1"/>
          <w:docGrid w:linePitch="326" w:charSpace="0"/>
        </w:sectPr>
      </w:pPr>
      <w:r>
        <w:rPr>
          <w:rFonts w:hint="eastAsia" w:ascii="宋体" w:hAnsi="宋体" w:eastAsia="宋体" w:cs="宋体"/>
          <w:b/>
          <w:bCs/>
          <w:sz w:val="24"/>
        </w:rPr>
        <w:t>注：其他合同专用条款在合同签定时另行约定。</w:t>
      </w:r>
    </w:p>
    <w:p>
      <w:pPr>
        <w:pStyle w:val="5"/>
        <w:spacing w:before="0" w:after="0" w:line="360" w:lineRule="auto"/>
        <w:outlineLvl w:val="0"/>
        <w:rPr>
          <w:rFonts w:hint="eastAsia" w:ascii="宋体" w:hAnsi="宋体" w:eastAsia="宋体" w:cs="宋体"/>
          <w:sz w:val="32"/>
          <w:szCs w:val="36"/>
        </w:rPr>
      </w:pPr>
      <w:bookmarkStart w:id="264" w:name="_Toc16154"/>
      <w:bookmarkStart w:id="265" w:name="_Toc24563"/>
      <w:r>
        <w:rPr>
          <w:rFonts w:hint="eastAsia" w:ascii="宋体" w:hAnsi="宋体" w:eastAsia="宋体" w:cs="宋体"/>
          <w:sz w:val="32"/>
          <w:szCs w:val="32"/>
        </w:rPr>
        <w:t>附件一：联系方式</w:t>
      </w:r>
      <w:bookmarkEnd w:id="235"/>
      <w:bookmarkEnd w:id="236"/>
      <w:bookmarkEnd w:id="264"/>
      <w:bookmarkEnd w:id="265"/>
    </w:p>
    <w:p>
      <w:pPr>
        <w:spacing w:line="360" w:lineRule="auto"/>
        <w:rPr>
          <w:rFonts w:hint="eastAsia" w:ascii="宋体" w:hAnsi="宋体" w:eastAsia="宋体" w:cs="宋体"/>
          <w:bCs/>
          <w:sz w:val="28"/>
          <w:szCs w:val="28"/>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45720</wp:posOffset>
            </wp:positionH>
            <wp:positionV relativeFrom="paragraph">
              <wp:posOffset>299720</wp:posOffset>
            </wp:positionV>
            <wp:extent cx="1304925" cy="1304925"/>
            <wp:effectExtent l="0" t="0" r="9525" b="9525"/>
            <wp:wrapSquare wrapText="bothSides"/>
            <wp:docPr id="8" name="图片 4" descr="C:\Users\Administrator\Desktop\QQ图片2018012511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QQ图片20180125112943.jpg"/>
                    <pic:cNvPicPr>
                      <a:picLocks noChangeAspect="1"/>
                    </pic:cNvPicPr>
                  </pic:nvPicPr>
                  <pic:blipFill>
                    <a:blip r:embed="rId21" cstate="print"/>
                    <a:stretch>
                      <a:fillRect/>
                    </a:stretch>
                  </pic:blipFill>
                  <pic:spPr>
                    <a:xfrm>
                      <a:off x="0" y="0"/>
                      <a:ext cx="1304925" cy="1304925"/>
                    </a:xfrm>
                    <a:prstGeom prst="rect">
                      <a:avLst/>
                    </a:prstGeom>
                    <a:noFill/>
                    <a:ln w="9525">
                      <a:noFill/>
                    </a:ln>
                  </pic:spPr>
                </pic:pic>
              </a:graphicData>
            </a:graphic>
          </wp:anchor>
        </w:drawing>
      </w:r>
    </w:p>
    <w:p>
      <w:pPr>
        <w:bidi w:val="0"/>
        <w:spacing w:line="480" w:lineRule="auto"/>
        <w:rPr>
          <w:rFonts w:hint="eastAsia" w:ascii="宋体" w:hAnsi="宋体" w:eastAsia="宋体" w:cs="宋体"/>
          <w:sz w:val="28"/>
          <w:szCs w:val="36"/>
        </w:rPr>
      </w:pPr>
      <w:bookmarkStart w:id="266" w:name="_Toc9103"/>
      <w:r>
        <w:rPr>
          <w:rFonts w:hint="eastAsia" w:ascii="宋体" w:hAnsi="宋体" w:eastAsia="宋体" w:cs="宋体"/>
          <w:sz w:val="28"/>
          <w:szCs w:val="36"/>
        </w:rPr>
        <w:t>电话：028-65731881</w:t>
      </w:r>
      <w:bookmarkEnd w:id="266"/>
    </w:p>
    <w:p>
      <w:pPr>
        <w:bidi w:val="0"/>
        <w:spacing w:line="480" w:lineRule="auto"/>
        <w:rPr>
          <w:rFonts w:hint="eastAsia" w:ascii="宋体" w:hAnsi="宋体" w:eastAsia="宋体" w:cs="宋体"/>
          <w:sz w:val="28"/>
          <w:szCs w:val="36"/>
        </w:rPr>
      </w:pPr>
      <w:bookmarkStart w:id="267" w:name="_Toc28605"/>
      <w:r>
        <w:rPr>
          <w:rFonts w:hint="eastAsia" w:ascii="宋体" w:hAnsi="宋体" w:eastAsia="宋体" w:cs="宋体"/>
          <w:sz w:val="28"/>
          <w:szCs w:val="36"/>
        </w:rPr>
        <w:t>地址：成都市锦江区墨香路87号8栋4楼</w:t>
      </w:r>
      <w:bookmarkEnd w:id="267"/>
    </w:p>
    <w:p>
      <w:pPr>
        <w:bidi w:val="0"/>
        <w:spacing w:line="480" w:lineRule="auto"/>
        <w:rPr>
          <w:rFonts w:hint="eastAsia" w:ascii="宋体" w:hAnsi="宋体" w:eastAsia="宋体" w:cs="宋体"/>
          <w:sz w:val="28"/>
          <w:szCs w:val="36"/>
        </w:rPr>
      </w:pPr>
      <w:bookmarkStart w:id="268" w:name="_Toc6623"/>
      <w:r>
        <w:rPr>
          <w:rFonts w:hint="eastAsia" w:ascii="宋体" w:hAnsi="宋体" w:eastAsia="宋体" w:cs="宋体"/>
          <w:sz w:val="28"/>
          <w:szCs w:val="36"/>
        </w:rPr>
        <w:t>网址：</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"http://www.scbidding.com" </w:instrText>
      </w:r>
      <w:r>
        <w:rPr>
          <w:rFonts w:hint="eastAsia" w:ascii="宋体" w:hAnsi="宋体" w:eastAsia="宋体" w:cs="宋体"/>
          <w:sz w:val="28"/>
          <w:szCs w:val="36"/>
        </w:rPr>
        <w:fldChar w:fldCharType="separate"/>
      </w:r>
      <w:r>
        <w:rPr>
          <w:rFonts w:hint="eastAsia" w:ascii="宋体" w:hAnsi="宋体" w:eastAsia="宋体" w:cs="宋体"/>
          <w:sz w:val="28"/>
          <w:szCs w:val="36"/>
        </w:rPr>
        <w:t>www.scbidding.com</w:t>
      </w:r>
      <w:r>
        <w:rPr>
          <w:rFonts w:hint="eastAsia" w:ascii="宋体" w:hAnsi="宋体" w:eastAsia="宋体" w:cs="宋体"/>
          <w:sz w:val="28"/>
          <w:szCs w:val="36"/>
        </w:rPr>
        <w:fldChar w:fldCharType="end"/>
      </w:r>
      <w:bookmarkEnd w:id="26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2"/>
        <w:spacing w:after="0" w:line="360" w:lineRule="auto"/>
        <w:rPr>
          <w:rFonts w:hint="eastAsia" w:ascii="宋体" w:hAnsi="宋体" w:eastAsia="宋体" w:cs="宋体"/>
          <w:b/>
          <w:bCs/>
          <w:sz w:val="30"/>
          <w:szCs w:val="30"/>
        </w:rPr>
      </w:pPr>
    </w:p>
    <w:sectPr>
      <w:pgSz w:w="11907" w:h="16840"/>
      <w:pgMar w:top="1440" w:right="1797" w:bottom="1440" w:left="1797"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script"/>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script"/>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right" w:pos="8317"/>
        <w:tab w:val="clear" w:pos="4153"/>
        <w:tab w:val="clear" w:pos="8306"/>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wordWrap w:val="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Bdr>
                              <w:top w:val="single" w:color="auto" w:sz="4" w:space="1"/>
                            </w:pBdr>
                            <w:wordWrap w:val="0"/>
                            <w:jc w:val="center"/>
                          </w:pPr>
                          <w:r>
                            <w:rPr>
                              <w:rFonts w:hint="eastAsia"/>
                              <w:lang w:eastAsia="zh-CN"/>
                            </w:rPr>
                            <w:t>地址：</w:t>
                          </w:r>
                          <w:r>
                            <w:rPr>
                              <w:rFonts w:hint="eastAsia"/>
                            </w:rPr>
                            <w:t>成都市锦江区墨香路87号8栋4楼</w:t>
                          </w:r>
                          <w:r>
                            <w:t xml:space="preserve"> </w:t>
                          </w:r>
                          <w:r>
                            <w:rPr>
                              <w:rFonts w:hint="eastAsia"/>
                            </w:rPr>
                            <w:t xml:space="preserve">            </w:t>
                          </w:r>
                          <w:r>
                            <w:t xml:space="preserve">                 </w:t>
                          </w:r>
                          <w:r>
                            <w:rPr>
                              <w:rFonts w:hint="eastAsia"/>
                            </w:rPr>
                            <w:t xml:space="preserve">  电话：</w:t>
                          </w:r>
                          <w:r>
                            <w:t>028-65731881</w:t>
                          </w:r>
                          <w:r>
                            <w:rPr>
                              <w:rFonts w:hint="eastAsia"/>
                            </w:rPr>
                            <w:t xml:space="preserve">  </w:t>
                          </w:r>
                          <w:sdt>
                            <w:sdtPr>
                              <w:id w:val="193119990"/>
                            </w:sdtPr>
                            <w:sdtContent>
                              <w:r>
                                <w:fldChar w:fldCharType="begin"/>
                              </w:r>
                              <w:r>
                                <w:instrText xml:space="preserve">PAGE   \* MERGEFORMAT</w:instrText>
                              </w:r>
                              <w:r>
                                <w:fldChar w:fldCharType="separate"/>
                              </w:r>
                              <w:r>
                                <w:rPr>
                                  <w:lang w:val="zh-CN"/>
                                </w:rPr>
                                <w:t>31</w:t>
                              </w:r>
                              <w:r>
                                <w:rPr>
                                  <w:lang w:val="zh-CN"/>
                                </w:rPr>
                                <w:fldChar w:fldCharType="end"/>
                              </w:r>
                            </w:sdtContent>
                          </w:sdt>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pStyle w:val="28"/>
                      <w:pBdr>
                        <w:top w:val="single" w:color="auto" w:sz="4" w:space="1"/>
                      </w:pBdr>
                      <w:wordWrap w:val="0"/>
                      <w:jc w:val="center"/>
                    </w:pPr>
                    <w:r>
                      <w:rPr>
                        <w:rFonts w:hint="eastAsia"/>
                        <w:lang w:eastAsia="zh-CN"/>
                      </w:rPr>
                      <w:t>地址：</w:t>
                    </w:r>
                    <w:r>
                      <w:rPr>
                        <w:rFonts w:hint="eastAsia"/>
                      </w:rPr>
                      <w:t>成都市锦江区墨香路87号8栋4楼</w:t>
                    </w:r>
                    <w:r>
                      <w:t xml:space="preserve"> </w:t>
                    </w:r>
                    <w:r>
                      <w:rPr>
                        <w:rFonts w:hint="eastAsia"/>
                      </w:rPr>
                      <w:t xml:space="preserve">            </w:t>
                    </w:r>
                    <w:r>
                      <w:t xml:space="preserve">                 </w:t>
                    </w:r>
                    <w:r>
                      <w:rPr>
                        <w:rFonts w:hint="eastAsia"/>
                      </w:rPr>
                      <w:t xml:space="preserve">  电话：</w:t>
                    </w:r>
                    <w:r>
                      <w:t>028-65731881</w:t>
                    </w:r>
                    <w:r>
                      <w:rPr>
                        <w:rFonts w:hint="eastAsia"/>
                      </w:rPr>
                      <w:t xml:space="preserve">  </w:t>
                    </w:r>
                    <w:sdt>
                      <w:sdtPr>
                        <w:id w:val="193119990"/>
                      </w:sdtPr>
                      <w:sdtContent>
                        <w:r>
                          <w:fldChar w:fldCharType="begin"/>
                        </w:r>
                        <w:r>
                          <w:instrText xml:space="preserve">PAGE   \* MERGEFORMAT</w:instrText>
                        </w:r>
                        <w:r>
                          <w:fldChar w:fldCharType="separate"/>
                        </w:r>
                        <w:r>
                          <w:rPr>
                            <w:lang w:val="zh-CN"/>
                          </w:rPr>
                          <w:t>31</w:t>
                        </w:r>
                        <w:r>
                          <w:rPr>
                            <w:lang w:val="zh-CN"/>
                          </w:rPr>
                          <w:fldChar w:fldCharType="end"/>
                        </w:r>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ind w:firstLine="270" w:firstLineChars="150"/>
    </w:pPr>
    <w:r>
      <w:drawing>
        <wp:anchor distT="0" distB="0" distL="114300" distR="114300" simplePos="0" relativeHeight="251663360" behindDoc="0" locked="0" layoutInCell="1" allowOverlap="1">
          <wp:simplePos x="0" y="0"/>
          <wp:positionH relativeFrom="column">
            <wp:posOffset>8890</wp:posOffset>
          </wp:positionH>
          <wp:positionV relativeFrom="paragraph">
            <wp:posOffset>-86360</wp:posOffset>
          </wp:positionV>
          <wp:extent cx="153670" cy="226695"/>
          <wp:effectExtent l="0" t="0" r="17780" b="1905"/>
          <wp:wrapNone/>
          <wp:docPr id="31" name="图片 29"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未命名 -2"/>
                  <pic:cNvPicPr>
                    <a:picLocks noChangeAspect="1"/>
                  </pic:cNvPicPr>
                </pic:nvPicPr>
                <pic:blipFill>
                  <a:blip r:embed="rId1"/>
                  <a:stretch>
                    <a:fillRect/>
                  </a:stretch>
                </pic:blipFill>
                <pic:spPr>
                  <a:xfrm>
                    <a:off x="0" y="0"/>
                    <a:ext cx="153670" cy="226695"/>
                  </a:xfrm>
                  <a:prstGeom prst="rect">
                    <a:avLst/>
                  </a:prstGeom>
                  <a:noFill/>
                  <a:ln w="9525">
                    <a:noFill/>
                  </a:ln>
                </pic:spPr>
              </pic:pic>
            </a:graphicData>
          </a:graphic>
        </wp:anchor>
      </w:drawing>
    </w:r>
    <w:r>
      <w:rPr>
        <w:rFonts w:hint="eastAsia"/>
      </w:rPr>
      <w:t>四川轩辕招标代理有限公司                                        公开  公平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80" w:firstLineChars="100"/>
      <w:jc w:val="both"/>
    </w:pPr>
    <w:r>
      <w:drawing>
        <wp:anchor distT="0" distB="0" distL="114300" distR="114300" simplePos="0" relativeHeight="251659264" behindDoc="0" locked="0" layoutInCell="1" allowOverlap="1">
          <wp:simplePos x="0" y="0"/>
          <wp:positionH relativeFrom="column">
            <wp:posOffset>-56515</wp:posOffset>
          </wp:positionH>
          <wp:positionV relativeFrom="paragraph">
            <wp:posOffset>-144145</wp:posOffset>
          </wp:positionV>
          <wp:extent cx="191135" cy="281305"/>
          <wp:effectExtent l="0" t="0" r="18415" b="3810"/>
          <wp:wrapNone/>
          <wp:docPr id="27" name="图片 3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未命名 -2"/>
                  <pic:cNvPicPr>
                    <a:picLocks noChangeAspect="1"/>
                  </pic:cNvPicPr>
                </pic:nvPicPr>
                <pic:blipFill>
                  <a:blip r:embed="rId1"/>
                  <a:stretch>
                    <a:fillRect/>
                  </a:stretch>
                </pic:blipFill>
                <pic:spPr>
                  <a:xfrm>
                    <a:off x="0" y="0"/>
                    <a:ext cx="191135" cy="281305"/>
                  </a:xfrm>
                  <a:prstGeom prst="rect">
                    <a:avLst/>
                  </a:prstGeom>
                  <a:noFill/>
                  <a:ln w="9525">
                    <a:noFill/>
                  </a:ln>
                </pic:spPr>
              </pic:pic>
            </a:graphicData>
          </a:graphic>
        </wp:anchor>
      </w:drawing>
    </w:r>
    <w:r>
      <w:rPr>
        <w:rFonts w:hint="eastAsia"/>
      </w:rPr>
      <w:t xml:space="preserve"> 四川轩辕招标代理有限公司                                         公开  公平  公正  高效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50" w:firstLineChars="250"/>
      <w:jc w:val="both"/>
      <w:rPr>
        <w:rFonts w:hint="eastAsia"/>
      </w:rPr>
    </w:pPr>
    <w:r>
      <w:drawing>
        <wp:anchor distT="0" distB="0" distL="114300" distR="114300" simplePos="0" relativeHeight="251668480" behindDoc="0" locked="0" layoutInCell="1" allowOverlap="1">
          <wp:simplePos x="0" y="0"/>
          <wp:positionH relativeFrom="column">
            <wp:posOffset>74930</wp:posOffset>
          </wp:positionH>
          <wp:positionV relativeFrom="paragraph">
            <wp:posOffset>-90805</wp:posOffset>
          </wp:positionV>
          <wp:extent cx="153670" cy="226695"/>
          <wp:effectExtent l="0" t="0" r="17780" b="1905"/>
          <wp:wrapNone/>
          <wp:docPr id="3" name="图片 8"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未命名 -2"/>
                  <pic:cNvPicPr>
                    <a:picLocks noChangeAspect="1"/>
                  </pic:cNvPicPr>
                </pic:nvPicPr>
                <pic:blipFill>
                  <a:blip r:embed="rId1"/>
                  <a:stretch>
                    <a:fillRect/>
                  </a:stretch>
                </pic:blipFill>
                <pic:spPr>
                  <a:xfrm>
                    <a:off x="0" y="0"/>
                    <a:ext cx="153670" cy="226695"/>
                  </a:xfrm>
                  <a:prstGeom prst="rect">
                    <a:avLst/>
                  </a:prstGeom>
                  <a:noFill/>
                  <a:ln>
                    <a:noFill/>
                  </a:ln>
                </pic:spPr>
              </pic:pic>
            </a:graphicData>
          </a:graphic>
        </wp:anchor>
      </w:drawing>
    </w:r>
    <w:r>
      <w:rPr>
        <w:rFonts w:hint="eastAsia"/>
      </w:rPr>
      <w:t xml:space="preserve">四川轩辕招标代理有限公司              </w:t>
    </w:r>
    <w:r>
      <w:t xml:space="preserve">     </w:t>
    </w:r>
    <w:r>
      <w:rPr>
        <w:rFonts w:hint="eastAsia"/>
      </w:rPr>
      <w:t xml:space="preserve">                     公开  公平  公正  高效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80" w:firstLineChars="100"/>
      <w:jc w:val="both"/>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-74930</wp:posOffset>
          </wp:positionV>
          <wp:extent cx="144145" cy="212090"/>
          <wp:effectExtent l="0" t="0" r="8255" b="16510"/>
          <wp:wrapNone/>
          <wp:docPr id="28" name="图片 3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未命名 -2"/>
                  <pic:cNvPicPr>
                    <a:picLocks noChangeAspect="1"/>
                  </pic:cNvPicPr>
                </pic:nvPicPr>
                <pic:blipFill>
                  <a:blip r:embed="rId1"/>
                  <a:stretch>
                    <a:fillRect/>
                  </a:stretch>
                </pic:blipFill>
                <pic:spPr>
                  <a:xfrm>
                    <a:off x="0" y="0"/>
                    <a:ext cx="144145" cy="212090"/>
                  </a:xfrm>
                  <a:prstGeom prst="rect">
                    <a:avLst/>
                  </a:prstGeom>
                  <a:noFill/>
                  <a:ln w="9525">
                    <a:noFill/>
                  </a:ln>
                </pic:spPr>
              </pic:pic>
            </a:graphicData>
          </a:graphic>
        </wp:anchor>
      </w:drawing>
    </w:r>
    <w:r>
      <w:rPr>
        <w:rFonts w:hint="eastAsia"/>
      </w:rPr>
      <w:t xml:space="preserve">四川轩辕招标代理有限公司                                             公开 公平 公正 高效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80" w:firstLineChars="100"/>
      <w:jc w:val="both"/>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-74930</wp:posOffset>
          </wp:positionV>
          <wp:extent cx="144145" cy="212090"/>
          <wp:effectExtent l="0" t="0" r="8255" b="16510"/>
          <wp:wrapNone/>
          <wp:docPr id="29" name="图片 3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未命名 -2"/>
                  <pic:cNvPicPr>
                    <a:picLocks noChangeAspect="1"/>
                  </pic:cNvPicPr>
                </pic:nvPicPr>
                <pic:blipFill>
                  <a:blip r:embed="rId1"/>
                  <a:stretch>
                    <a:fillRect/>
                  </a:stretch>
                </pic:blipFill>
                <pic:spPr>
                  <a:xfrm>
                    <a:off x="0" y="0"/>
                    <a:ext cx="144145" cy="212090"/>
                  </a:xfrm>
                  <a:prstGeom prst="rect">
                    <a:avLst/>
                  </a:prstGeom>
                  <a:noFill/>
                  <a:ln w="9525">
                    <a:noFill/>
                  </a:ln>
                </pic:spPr>
              </pic:pic>
            </a:graphicData>
          </a:graphic>
        </wp:anchor>
      </w:drawing>
    </w:r>
    <w:r>
      <w:rPr>
        <w:rFonts w:hint="eastAsia"/>
      </w:rPr>
      <w:t xml:space="preserve"> 四川轩辕招标代理有限公司                                          公开  公平  公正  高效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50" w:firstLineChars="250"/>
      <w:jc w:val="both"/>
      <w:rPr>
        <w:rFonts w:hint="eastAsia"/>
      </w:rPr>
    </w:pPr>
    <w:r>
      <w:drawing>
        <wp:anchor distT="0" distB="0" distL="114300" distR="114300" simplePos="0" relativeHeight="251665408" behindDoc="0" locked="0" layoutInCell="1" allowOverlap="1">
          <wp:simplePos x="0" y="0"/>
          <wp:positionH relativeFrom="column">
            <wp:posOffset>74930</wp:posOffset>
          </wp:positionH>
          <wp:positionV relativeFrom="paragraph">
            <wp:posOffset>-90805</wp:posOffset>
          </wp:positionV>
          <wp:extent cx="153670" cy="226695"/>
          <wp:effectExtent l="0" t="0" r="17780" b="1905"/>
          <wp:wrapNone/>
          <wp:docPr id="2" name="图片 8"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未命名 -2"/>
                  <pic:cNvPicPr>
                    <a:picLocks noChangeAspect="1"/>
                  </pic:cNvPicPr>
                </pic:nvPicPr>
                <pic:blipFill>
                  <a:blip r:embed="rId1"/>
                  <a:stretch>
                    <a:fillRect/>
                  </a:stretch>
                </pic:blipFill>
                <pic:spPr>
                  <a:xfrm>
                    <a:off x="0" y="0"/>
                    <a:ext cx="153670" cy="226695"/>
                  </a:xfrm>
                  <a:prstGeom prst="rect">
                    <a:avLst/>
                  </a:prstGeom>
                  <a:noFill/>
                  <a:ln>
                    <a:noFill/>
                  </a:ln>
                </pic:spPr>
              </pic:pic>
            </a:graphicData>
          </a:graphic>
        </wp:anchor>
      </w:drawing>
    </w:r>
    <w:r>
      <w:rPr>
        <w:rFonts w:hint="eastAsia"/>
      </w:rPr>
      <w:t xml:space="preserve">四川轩辕招标代理有限公司              </w:t>
    </w:r>
    <w:r>
      <w:t xml:space="preserve">     </w:t>
    </w:r>
    <w:r>
      <w:rPr>
        <w:rFonts w:hint="eastAsia"/>
      </w:rPr>
      <w:t xml:space="preserve">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77A9C"/>
    <w:multiLevelType w:val="singleLevel"/>
    <w:tmpl w:val="BE077A9C"/>
    <w:lvl w:ilvl="0" w:tentative="0">
      <w:start w:val="2"/>
      <w:numFmt w:val="chineseCounting"/>
      <w:suff w:val="nothing"/>
      <w:lvlText w:val="%1、"/>
      <w:lvlJc w:val="left"/>
      <w:rPr>
        <w:rFonts w:hint="eastAsia"/>
      </w:rPr>
    </w:lvl>
  </w:abstractNum>
  <w:abstractNum w:abstractNumId="1">
    <w:nsid w:val="C332CA2E"/>
    <w:multiLevelType w:val="singleLevel"/>
    <w:tmpl w:val="C332CA2E"/>
    <w:lvl w:ilvl="0" w:tentative="0">
      <w:start w:val="1"/>
      <w:numFmt w:val="decimal"/>
      <w:lvlText w:val="%1."/>
      <w:lvlJc w:val="left"/>
      <w:pPr>
        <w:tabs>
          <w:tab w:val="left" w:pos="312"/>
        </w:tabs>
      </w:pPr>
    </w:lvl>
  </w:abstractNum>
  <w:abstractNum w:abstractNumId="2">
    <w:nsid w:val="0000000C"/>
    <w:multiLevelType w:val="multilevel"/>
    <w:tmpl w:val="0000000C"/>
    <w:lvl w:ilvl="0" w:tentative="0">
      <w:start w:val="1"/>
      <w:numFmt w:val="decimal"/>
      <w:suff w:val="nothing"/>
      <w:lvlText w:val="%1、"/>
      <w:lvlJc w:val="left"/>
      <w:pPr>
        <w:ind w:left="0" w:firstLine="0"/>
      </w:p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3275DE"/>
    <w:multiLevelType w:val="singleLevel"/>
    <w:tmpl w:val="553275DE"/>
    <w:lvl w:ilvl="0" w:tentative="0">
      <w:start w:val="10"/>
      <w:numFmt w:val="chineseCounting"/>
      <w:suff w:val="nothing"/>
      <w:lvlText w:val="%1、"/>
      <w:lvlJc w:val="left"/>
      <w:rPr>
        <w:rFonts w:hint="eastAsia"/>
      </w:rPr>
    </w:lvl>
  </w:abstractNum>
  <w:abstractNum w:abstractNumId="5">
    <w:nsid w:val="59F42A35"/>
    <w:multiLevelType w:val="singleLevel"/>
    <w:tmpl w:val="59F42A35"/>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16"/>
    <w:rsid w:val="000027A0"/>
    <w:rsid w:val="000033F2"/>
    <w:rsid w:val="0000557A"/>
    <w:rsid w:val="00006A20"/>
    <w:rsid w:val="00012611"/>
    <w:rsid w:val="00013AED"/>
    <w:rsid w:val="000148D8"/>
    <w:rsid w:val="00015B97"/>
    <w:rsid w:val="00016D05"/>
    <w:rsid w:val="00017B55"/>
    <w:rsid w:val="00017DA6"/>
    <w:rsid w:val="00022EFB"/>
    <w:rsid w:val="00025449"/>
    <w:rsid w:val="00026985"/>
    <w:rsid w:val="0002784E"/>
    <w:rsid w:val="00030991"/>
    <w:rsid w:val="00032387"/>
    <w:rsid w:val="00032793"/>
    <w:rsid w:val="0003359B"/>
    <w:rsid w:val="00034B14"/>
    <w:rsid w:val="00035B12"/>
    <w:rsid w:val="00035D5C"/>
    <w:rsid w:val="00036ABE"/>
    <w:rsid w:val="00037112"/>
    <w:rsid w:val="00040466"/>
    <w:rsid w:val="00041700"/>
    <w:rsid w:val="0004217E"/>
    <w:rsid w:val="00042828"/>
    <w:rsid w:val="000447F1"/>
    <w:rsid w:val="000462DE"/>
    <w:rsid w:val="000476D8"/>
    <w:rsid w:val="00047A18"/>
    <w:rsid w:val="00047C03"/>
    <w:rsid w:val="0005019C"/>
    <w:rsid w:val="000522BD"/>
    <w:rsid w:val="000523AD"/>
    <w:rsid w:val="00052774"/>
    <w:rsid w:val="00052A8A"/>
    <w:rsid w:val="000537C5"/>
    <w:rsid w:val="00055CF4"/>
    <w:rsid w:val="00056521"/>
    <w:rsid w:val="00056714"/>
    <w:rsid w:val="00056A5D"/>
    <w:rsid w:val="00057D88"/>
    <w:rsid w:val="00060F3E"/>
    <w:rsid w:val="00061046"/>
    <w:rsid w:val="00061B75"/>
    <w:rsid w:val="00061D7D"/>
    <w:rsid w:val="0006273A"/>
    <w:rsid w:val="000642FF"/>
    <w:rsid w:val="00065C0C"/>
    <w:rsid w:val="00065C60"/>
    <w:rsid w:val="00066723"/>
    <w:rsid w:val="00066D1B"/>
    <w:rsid w:val="0007214E"/>
    <w:rsid w:val="00073AA2"/>
    <w:rsid w:val="000742C1"/>
    <w:rsid w:val="000749DA"/>
    <w:rsid w:val="00077438"/>
    <w:rsid w:val="0007763D"/>
    <w:rsid w:val="0008307A"/>
    <w:rsid w:val="000834FD"/>
    <w:rsid w:val="00085F2F"/>
    <w:rsid w:val="000865D8"/>
    <w:rsid w:val="000902BB"/>
    <w:rsid w:val="000902FD"/>
    <w:rsid w:val="00091FD4"/>
    <w:rsid w:val="0009250A"/>
    <w:rsid w:val="00092756"/>
    <w:rsid w:val="00093DD6"/>
    <w:rsid w:val="00094F6B"/>
    <w:rsid w:val="00096606"/>
    <w:rsid w:val="000968E9"/>
    <w:rsid w:val="000A0C47"/>
    <w:rsid w:val="000A2402"/>
    <w:rsid w:val="000A3075"/>
    <w:rsid w:val="000A4982"/>
    <w:rsid w:val="000A70B8"/>
    <w:rsid w:val="000B1704"/>
    <w:rsid w:val="000B4C8B"/>
    <w:rsid w:val="000B66AF"/>
    <w:rsid w:val="000B69CC"/>
    <w:rsid w:val="000B7A27"/>
    <w:rsid w:val="000C012D"/>
    <w:rsid w:val="000C120E"/>
    <w:rsid w:val="000C2328"/>
    <w:rsid w:val="000C2D7E"/>
    <w:rsid w:val="000C36E3"/>
    <w:rsid w:val="000C3A9B"/>
    <w:rsid w:val="000C3E67"/>
    <w:rsid w:val="000C4986"/>
    <w:rsid w:val="000C4C76"/>
    <w:rsid w:val="000C6E08"/>
    <w:rsid w:val="000D1E89"/>
    <w:rsid w:val="000D2D9A"/>
    <w:rsid w:val="000D385D"/>
    <w:rsid w:val="000D5400"/>
    <w:rsid w:val="000E04CD"/>
    <w:rsid w:val="000E15B3"/>
    <w:rsid w:val="000E1FF5"/>
    <w:rsid w:val="000E2C25"/>
    <w:rsid w:val="000E33CB"/>
    <w:rsid w:val="000E64C6"/>
    <w:rsid w:val="000F228F"/>
    <w:rsid w:val="000F27ED"/>
    <w:rsid w:val="000F2B7E"/>
    <w:rsid w:val="000F3CB5"/>
    <w:rsid w:val="000F58DB"/>
    <w:rsid w:val="000F6FDF"/>
    <w:rsid w:val="000F7164"/>
    <w:rsid w:val="000F7F2A"/>
    <w:rsid w:val="0010066D"/>
    <w:rsid w:val="001016F5"/>
    <w:rsid w:val="00101DA0"/>
    <w:rsid w:val="001039E0"/>
    <w:rsid w:val="001041E1"/>
    <w:rsid w:val="001044AE"/>
    <w:rsid w:val="0010592B"/>
    <w:rsid w:val="00105B70"/>
    <w:rsid w:val="00106101"/>
    <w:rsid w:val="00106C84"/>
    <w:rsid w:val="00106DB4"/>
    <w:rsid w:val="00111269"/>
    <w:rsid w:val="00111540"/>
    <w:rsid w:val="001119CC"/>
    <w:rsid w:val="00114004"/>
    <w:rsid w:val="00115497"/>
    <w:rsid w:val="0011564B"/>
    <w:rsid w:val="00116045"/>
    <w:rsid w:val="00117724"/>
    <w:rsid w:val="00122B29"/>
    <w:rsid w:val="00123F3A"/>
    <w:rsid w:val="00125812"/>
    <w:rsid w:val="00126418"/>
    <w:rsid w:val="0013014A"/>
    <w:rsid w:val="001309D1"/>
    <w:rsid w:val="0013136F"/>
    <w:rsid w:val="00132249"/>
    <w:rsid w:val="001322B3"/>
    <w:rsid w:val="001326F5"/>
    <w:rsid w:val="00132EAF"/>
    <w:rsid w:val="00133557"/>
    <w:rsid w:val="00133A9E"/>
    <w:rsid w:val="0013461E"/>
    <w:rsid w:val="0013515D"/>
    <w:rsid w:val="00136B02"/>
    <w:rsid w:val="00137520"/>
    <w:rsid w:val="00137A8D"/>
    <w:rsid w:val="001416F1"/>
    <w:rsid w:val="00144049"/>
    <w:rsid w:val="00145680"/>
    <w:rsid w:val="0014587F"/>
    <w:rsid w:val="00145D86"/>
    <w:rsid w:val="001464D1"/>
    <w:rsid w:val="0014683C"/>
    <w:rsid w:val="001500D7"/>
    <w:rsid w:val="001506FB"/>
    <w:rsid w:val="0015174B"/>
    <w:rsid w:val="0015209C"/>
    <w:rsid w:val="0015323A"/>
    <w:rsid w:val="0015569F"/>
    <w:rsid w:val="00155FAC"/>
    <w:rsid w:val="00156451"/>
    <w:rsid w:val="001571E7"/>
    <w:rsid w:val="00161097"/>
    <w:rsid w:val="00161667"/>
    <w:rsid w:val="00161FD2"/>
    <w:rsid w:val="001621F1"/>
    <w:rsid w:val="00162C10"/>
    <w:rsid w:val="00162FA1"/>
    <w:rsid w:val="001635AF"/>
    <w:rsid w:val="001647AC"/>
    <w:rsid w:val="00164ACE"/>
    <w:rsid w:val="00165E4D"/>
    <w:rsid w:val="001719BA"/>
    <w:rsid w:val="00172DA1"/>
    <w:rsid w:val="00173D4A"/>
    <w:rsid w:val="00174193"/>
    <w:rsid w:val="001763F2"/>
    <w:rsid w:val="0017654B"/>
    <w:rsid w:val="00176C63"/>
    <w:rsid w:val="00177187"/>
    <w:rsid w:val="00177B8C"/>
    <w:rsid w:val="00177D86"/>
    <w:rsid w:val="001805E8"/>
    <w:rsid w:val="00180FBE"/>
    <w:rsid w:val="0018226D"/>
    <w:rsid w:val="001831C2"/>
    <w:rsid w:val="001843B8"/>
    <w:rsid w:val="00185F4A"/>
    <w:rsid w:val="001864DF"/>
    <w:rsid w:val="0018717D"/>
    <w:rsid w:val="00187E0F"/>
    <w:rsid w:val="00191854"/>
    <w:rsid w:val="00193F26"/>
    <w:rsid w:val="00194825"/>
    <w:rsid w:val="00195810"/>
    <w:rsid w:val="00197870"/>
    <w:rsid w:val="00197956"/>
    <w:rsid w:val="001A2E23"/>
    <w:rsid w:val="001A3B4E"/>
    <w:rsid w:val="001A3E82"/>
    <w:rsid w:val="001A3EC9"/>
    <w:rsid w:val="001A48DD"/>
    <w:rsid w:val="001A4EC6"/>
    <w:rsid w:val="001A7D05"/>
    <w:rsid w:val="001A7E93"/>
    <w:rsid w:val="001B070A"/>
    <w:rsid w:val="001B0C2F"/>
    <w:rsid w:val="001B2865"/>
    <w:rsid w:val="001B4254"/>
    <w:rsid w:val="001B4766"/>
    <w:rsid w:val="001B4767"/>
    <w:rsid w:val="001B5151"/>
    <w:rsid w:val="001B6473"/>
    <w:rsid w:val="001B7C9E"/>
    <w:rsid w:val="001B7E73"/>
    <w:rsid w:val="001C0720"/>
    <w:rsid w:val="001C16B4"/>
    <w:rsid w:val="001C37CE"/>
    <w:rsid w:val="001C3DC6"/>
    <w:rsid w:val="001C4276"/>
    <w:rsid w:val="001C52CD"/>
    <w:rsid w:val="001C73DB"/>
    <w:rsid w:val="001D04D4"/>
    <w:rsid w:val="001D0DB4"/>
    <w:rsid w:val="001D1CBA"/>
    <w:rsid w:val="001D317C"/>
    <w:rsid w:val="001D4042"/>
    <w:rsid w:val="001D670D"/>
    <w:rsid w:val="001D6AC4"/>
    <w:rsid w:val="001E0D6F"/>
    <w:rsid w:val="001E4080"/>
    <w:rsid w:val="001E46FA"/>
    <w:rsid w:val="001E5071"/>
    <w:rsid w:val="001E5428"/>
    <w:rsid w:val="001E595D"/>
    <w:rsid w:val="001E619B"/>
    <w:rsid w:val="001E6361"/>
    <w:rsid w:val="001E649B"/>
    <w:rsid w:val="001E75CE"/>
    <w:rsid w:val="001E78F0"/>
    <w:rsid w:val="001E7B0D"/>
    <w:rsid w:val="001F01D1"/>
    <w:rsid w:val="001F1DAF"/>
    <w:rsid w:val="001F1EEE"/>
    <w:rsid w:val="001F398D"/>
    <w:rsid w:val="001F4150"/>
    <w:rsid w:val="001F4731"/>
    <w:rsid w:val="001F501E"/>
    <w:rsid w:val="001F5065"/>
    <w:rsid w:val="001F5BCE"/>
    <w:rsid w:val="001F6D61"/>
    <w:rsid w:val="00202593"/>
    <w:rsid w:val="00205496"/>
    <w:rsid w:val="00205E1D"/>
    <w:rsid w:val="00205F9E"/>
    <w:rsid w:val="002064B2"/>
    <w:rsid w:val="00206D65"/>
    <w:rsid w:val="00210884"/>
    <w:rsid w:val="00211282"/>
    <w:rsid w:val="002112C4"/>
    <w:rsid w:val="0021172E"/>
    <w:rsid w:val="0021206B"/>
    <w:rsid w:val="0021389B"/>
    <w:rsid w:val="002138E0"/>
    <w:rsid w:val="00213D8D"/>
    <w:rsid w:val="00213F8B"/>
    <w:rsid w:val="00214AE4"/>
    <w:rsid w:val="00216B57"/>
    <w:rsid w:val="00216F0B"/>
    <w:rsid w:val="00217070"/>
    <w:rsid w:val="00220D6D"/>
    <w:rsid w:val="00220F12"/>
    <w:rsid w:val="00221362"/>
    <w:rsid w:val="0022156C"/>
    <w:rsid w:val="002216D3"/>
    <w:rsid w:val="00221DF2"/>
    <w:rsid w:val="00222B13"/>
    <w:rsid w:val="00223394"/>
    <w:rsid w:val="002244F8"/>
    <w:rsid w:val="00224B31"/>
    <w:rsid w:val="00226236"/>
    <w:rsid w:val="002265FE"/>
    <w:rsid w:val="002268CA"/>
    <w:rsid w:val="00226B29"/>
    <w:rsid w:val="00226F53"/>
    <w:rsid w:val="00227829"/>
    <w:rsid w:val="00230E64"/>
    <w:rsid w:val="0023193E"/>
    <w:rsid w:val="00231A03"/>
    <w:rsid w:val="00232A6B"/>
    <w:rsid w:val="00232EA3"/>
    <w:rsid w:val="00232F0D"/>
    <w:rsid w:val="002414BA"/>
    <w:rsid w:val="00242C81"/>
    <w:rsid w:val="00243357"/>
    <w:rsid w:val="00243365"/>
    <w:rsid w:val="00243513"/>
    <w:rsid w:val="00243AF0"/>
    <w:rsid w:val="00244452"/>
    <w:rsid w:val="00244F54"/>
    <w:rsid w:val="00245CDC"/>
    <w:rsid w:val="00245FBD"/>
    <w:rsid w:val="00246A88"/>
    <w:rsid w:val="00246AB9"/>
    <w:rsid w:val="00247F93"/>
    <w:rsid w:val="002508DB"/>
    <w:rsid w:val="00254330"/>
    <w:rsid w:val="00256EDF"/>
    <w:rsid w:val="00257164"/>
    <w:rsid w:val="002573D0"/>
    <w:rsid w:val="00260B3E"/>
    <w:rsid w:val="0026185F"/>
    <w:rsid w:val="00262AE8"/>
    <w:rsid w:val="0026384A"/>
    <w:rsid w:val="0026391B"/>
    <w:rsid w:val="00263F5E"/>
    <w:rsid w:val="002678E5"/>
    <w:rsid w:val="00270FFC"/>
    <w:rsid w:val="00271186"/>
    <w:rsid w:val="0027168C"/>
    <w:rsid w:val="002725E5"/>
    <w:rsid w:val="0027366C"/>
    <w:rsid w:val="002745A7"/>
    <w:rsid w:val="002768ED"/>
    <w:rsid w:val="00276EFF"/>
    <w:rsid w:val="00277B05"/>
    <w:rsid w:val="00277DA9"/>
    <w:rsid w:val="00280672"/>
    <w:rsid w:val="00280B72"/>
    <w:rsid w:val="002827E3"/>
    <w:rsid w:val="00283193"/>
    <w:rsid w:val="002831E5"/>
    <w:rsid w:val="00283CE1"/>
    <w:rsid w:val="00285448"/>
    <w:rsid w:val="00285762"/>
    <w:rsid w:val="00285C4C"/>
    <w:rsid w:val="00286053"/>
    <w:rsid w:val="002862B7"/>
    <w:rsid w:val="00286B68"/>
    <w:rsid w:val="00287428"/>
    <w:rsid w:val="0029010E"/>
    <w:rsid w:val="002901DC"/>
    <w:rsid w:val="00292CA6"/>
    <w:rsid w:val="002931CD"/>
    <w:rsid w:val="0029357B"/>
    <w:rsid w:val="00294BFF"/>
    <w:rsid w:val="0029510E"/>
    <w:rsid w:val="002958C7"/>
    <w:rsid w:val="00295955"/>
    <w:rsid w:val="002965AF"/>
    <w:rsid w:val="002966F8"/>
    <w:rsid w:val="00296C35"/>
    <w:rsid w:val="00297E06"/>
    <w:rsid w:val="002A02C5"/>
    <w:rsid w:val="002A05B9"/>
    <w:rsid w:val="002A3D7B"/>
    <w:rsid w:val="002A4B46"/>
    <w:rsid w:val="002A51DB"/>
    <w:rsid w:val="002A66AE"/>
    <w:rsid w:val="002A6AFF"/>
    <w:rsid w:val="002A7660"/>
    <w:rsid w:val="002B01B7"/>
    <w:rsid w:val="002B175A"/>
    <w:rsid w:val="002B2D8D"/>
    <w:rsid w:val="002B3772"/>
    <w:rsid w:val="002B3AFA"/>
    <w:rsid w:val="002B5413"/>
    <w:rsid w:val="002C24E7"/>
    <w:rsid w:val="002C2D90"/>
    <w:rsid w:val="002C40B2"/>
    <w:rsid w:val="002C5BA3"/>
    <w:rsid w:val="002C5F3A"/>
    <w:rsid w:val="002C6EAC"/>
    <w:rsid w:val="002C701F"/>
    <w:rsid w:val="002D0197"/>
    <w:rsid w:val="002D27F8"/>
    <w:rsid w:val="002D3223"/>
    <w:rsid w:val="002D745A"/>
    <w:rsid w:val="002D7830"/>
    <w:rsid w:val="002E0CD9"/>
    <w:rsid w:val="002E0CDB"/>
    <w:rsid w:val="002E1F4F"/>
    <w:rsid w:val="002E2CDC"/>
    <w:rsid w:val="002E318C"/>
    <w:rsid w:val="002E4E68"/>
    <w:rsid w:val="002E512B"/>
    <w:rsid w:val="002E5C67"/>
    <w:rsid w:val="002E6F46"/>
    <w:rsid w:val="002E7B4D"/>
    <w:rsid w:val="002F0C95"/>
    <w:rsid w:val="002F1161"/>
    <w:rsid w:val="002F2796"/>
    <w:rsid w:val="002F2C7F"/>
    <w:rsid w:val="002F309B"/>
    <w:rsid w:val="002F60B0"/>
    <w:rsid w:val="002F667E"/>
    <w:rsid w:val="00300177"/>
    <w:rsid w:val="00302149"/>
    <w:rsid w:val="003026AD"/>
    <w:rsid w:val="003039AB"/>
    <w:rsid w:val="00304207"/>
    <w:rsid w:val="00306A83"/>
    <w:rsid w:val="00310287"/>
    <w:rsid w:val="00310C74"/>
    <w:rsid w:val="00312D22"/>
    <w:rsid w:val="0031450A"/>
    <w:rsid w:val="00315263"/>
    <w:rsid w:val="003164A4"/>
    <w:rsid w:val="00320B87"/>
    <w:rsid w:val="00320E65"/>
    <w:rsid w:val="00321296"/>
    <w:rsid w:val="003247D2"/>
    <w:rsid w:val="003250D6"/>
    <w:rsid w:val="003263F7"/>
    <w:rsid w:val="00327A4E"/>
    <w:rsid w:val="00331DDD"/>
    <w:rsid w:val="00333C57"/>
    <w:rsid w:val="003343B0"/>
    <w:rsid w:val="00334A47"/>
    <w:rsid w:val="003350BF"/>
    <w:rsid w:val="00336637"/>
    <w:rsid w:val="00336823"/>
    <w:rsid w:val="00336FF9"/>
    <w:rsid w:val="003406A2"/>
    <w:rsid w:val="003428F8"/>
    <w:rsid w:val="0034540B"/>
    <w:rsid w:val="00345824"/>
    <w:rsid w:val="00346F55"/>
    <w:rsid w:val="00350291"/>
    <w:rsid w:val="00351485"/>
    <w:rsid w:val="003529CB"/>
    <w:rsid w:val="00353876"/>
    <w:rsid w:val="00353EB0"/>
    <w:rsid w:val="00354ECB"/>
    <w:rsid w:val="003556E7"/>
    <w:rsid w:val="00357AFF"/>
    <w:rsid w:val="0036108C"/>
    <w:rsid w:val="003610EE"/>
    <w:rsid w:val="003622A6"/>
    <w:rsid w:val="00362447"/>
    <w:rsid w:val="003633D8"/>
    <w:rsid w:val="003655EA"/>
    <w:rsid w:val="0036569A"/>
    <w:rsid w:val="0036579C"/>
    <w:rsid w:val="0036646C"/>
    <w:rsid w:val="00366897"/>
    <w:rsid w:val="003718F7"/>
    <w:rsid w:val="00371A92"/>
    <w:rsid w:val="00371C3E"/>
    <w:rsid w:val="00372574"/>
    <w:rsid w:val="00372D8A"/>
    <w:rsid w:val="00375AD6"/>
    <w:rsid w:val="00376AF5"/>
    <w:rsid w:val="00380736"/>
    <w:rsid w:val="0038081E"/>
    <w:rsid w:val="00381960"/>
    <w:rsid w:val="00383DEB"/>
    <w:rsid w:val="00384D40"/>
    <w:rsid w:val="00385181"/>
    <w:rsid w:val="00387D24"/>
    <w:rsid w:val="00387E93"/>
    <w:rsid w:val="003907FD"/>
    <w:rsid w:val="00390A42"/>
    <w:rsid w:val="0039114B"/>
    <w:rsid w:val="00391E62"/>
    <w:rsid w:val="003924AB"/>
    <w:rsid w:val="00392D42"/>
    <w:rsid w:val="00393091"/>
    <w:rsid w:val="003943DC"/>
    <w:rsid w:val="00394E4A"/>
    <w:rsid w:val="00396305"/>
    <w:rsid w:val="00396A7B"/>
    <w:rsid w:val="00396FD7"/>
    <w:rsid w:val="003A08C9"/>
    <w:rsid w:val="003A1035"/>
    <w:rsid w:val="003A24A8"/>
    <w:rsid w:val="003A29B1"/>
    <w:rsid w:val="003A3FAC"/>
    <w:rsid w:val="003A5C50"/>
    <w:rsid w:val="003A5EA0"/>
    <w:rsid w:val="003A5F52"/>
    <w:rsid w:val="003A61BA"/>
    <w:rsid w:val="003A7F44"/>
    <w:rsid w:val="003B124D"/>
    <w:rsid w:val="003B2697"/>
    <w:rsid w:val="003B2D94"/>
    <w:rsid w:val="003B463D"/>
    <w:rsid w:val="003B4809"/>
    <w:rsid w:val="003B527D"/>
    <w:rsid w:val="003B59E7"/>
    <w:rsid w:val="003B780D"/>
    <w:rsid w:val="003B7FB4"/>
    <w:rsid w:val="003C029D"/>
    <w:rsid w:val="003C0321"/>
    <w:rsid w:val="003C1035"/>
    <w:rsid w:val="003C16A8"/>
    <w:rsid w:val="003C25DB"/>
    <w:rsid w:val="003C2C3E"/>
    <w:rsid w:val="003C2C9F"/>
    <w:rsid w:val="003C3385"/>
    <w:rsid w:val="003C4786"/>
    <w:rsid w:val="003C4BCD"/>
    <w:rsid w:val="003C59DB"/>
    <w:rsid w:val="003C6EC2"/>
    <w:rsid w:val="003D039D"/>
    <w:rsid w:val="003D1398"/>
    <w:rsid w:val="003D2319"/>
    <w:rsid w:val="003D2E98"/>
    <w:rsid w:val="003D316A"/>
    <w:rsid w:val="003D356D"/>
    <w:rsid w:val="003D3D34"/>
    <w:rsid w:val="003D6D38"/>
    <w:rsid w:val="003E0E0C"/>
    <w:rsid w:val="003E10C7"/>
    <w:rsid w:val="003E188E"/>
    <w:rsid w:val="003E1B7E"/>
    <w:rsid w:val="003E20C4"/>
    <w:rsid w:val="003E2F84"/>
    <w:rsid w:val="003E3E05"/>
    <w:rsid w:val="003E4A32"/>
    <w:rsid w:val="003E5A4C"/>
    <w:rsid w:val="003E600B"/>
    <w:rsid w:val="003E7C2E"/>
    <w:rsid w:val="003F15FD"/>
    <w:rsid w:val="003F2852"/>
    <w:rsid w:val="003F2E27"/>
    <w:rsid w:val="003F3B89"/>
    <w:rsid w:val="003F577D"/>
    <w:rsid w:val="003F5EA1"/>
    <w:rsid w:val="003F7C5B"/>
    <w:rsid w:val="00402C46"/>
    <w:rsid w:val="00403124"/>
    <w:rsid w:val="00403484"/>
    <w:rsid w:val="0040352B"/>
    <w:rsid w:val="00403680"/>
    <w:rsid w:val="00403E93"/>
    <w:rsid w:val="00404EC0"/>
    <w:rsid w:val="004050BB"/>
    <w:rsid w:val="00410B4C"/>
    <w:rsid w:val="00411F6D"/>
    <w:rsid w:val="00412188"/>
    <w:rsid w:val="0041579C"/>
    <w:rsid w:val="00415AD3"/>
    <w:rsid w:val="00422F8C"/>
    <w:rsid w:val="0042485B"/>
    <w:rsid w:val="00426C7C"/>
    <w:rsid w:val="00427CE8"/>
    <w:rsid w:val="00427F7A"/>
    <w:rsid w:val="00430F56"/>
    <w:rsid w:val="0043160B"/>
    <w:rsid w:val="004356DB"/>
    <w:rsid w:val="00436B26"/>
    <w:rsid w:val="00437B7C"/>
    <w:rsid w:val="0044097E"/>
    <w:rsid w:val="00440BF0"/>
    <w:rsid w:val="004427B1"/>
    <w:rsid w:val="00442D49"/>
    <w:rsid w:val="00444145"/>
    <w:rsid w:val="0044580C"/>
    <w:rsid w:val="00445CFF"/>
    <w:rsid w:val="00447352"/>
    <w:rsid w:val="004478DE"/>
    <w:rsid w:val="00447E07"/>
    <w:rsid w:val="004502E7"/>
    <w:rsid w:val="00451C41"/>
    <w:rsid w:val="004529C0"/>
    <w:rsid w:val="004536F0"/>
    <w:rsid w:val="004541D5"/>
    <w:rsid w:val="004560D2"/>
    <w:rsid w:val="0045641C"/>
    <w:rsid w:val="00456970"/>
    <w:rsid w:val="00457B09"/>
    <w:rsid w:val="00460346"/>
    <w:rsid w:val="0046170A"/>
    <w:rsid w:val="0046220B"/>
    <w:rsid w:val="00464BF6"/>
    <w:rsid w:val="00465661"/>
    <w:rsid w:val="004656E4"/>
    <w:rsid w:val="0046576C"/>
    <w:rsid w:val="0046576E"/>
    <w:rsid w:val="0046583C"/>
    <w:rsid w:val="00465E13"/>
    <w:rsid w:val="00466404"/>
    <w:rsid w:val="004679C5"/>
    <w:rsid w:val="00471B16"/>
    <w:rsid w:val="004721DF"/>
    <w:rsid w:val="00472687"/>
    <w:rsid w:val="004726EB"/>
    <w:rsid w:val="00472F43"/>
    <w:rsid w:val="00473CD6"/>
    <w:rsid w:val="004747EC"/>
    <w:rsid w:val="00474C7F"/>
    <w:rsid w:val="00476047"/>
    <w:rsid w:val="004760A7"/>
    <w:rsid w:val="00477161"/>
    <w:rsid w:val="00477D3F"/>
    <w:rsid w:val="00481F54"/>
    <w:rsid w:val="00484E08"/>
    <w:rsid w:val="00485231"/>
    <w:rsid w:val="00487327"/>
    <w:rsid w:val="00487726"/>
    <w:rsid w:val="00487D55"/>
    <w:rsid w:val="004948CB"/>
    <w:rsid w:val="00495C00"/>
    <w:rsid w:val="004960E6"/>
    <w:rsid w:val="00496FB7"/>
    <w:rsid w:val="004975FF"/>
    <w:rsid w:val="004A057A"/>
    <w:rsid w:val="004A0864"/>
    <w:rsid w:val="004A1A82"/>
    <w:rsid w:val="004A3238"/>
    <w:rsid w:val="004A59B5"/>
    <w:rsid w:val="004A646B"/>
    <w:rsid w:val="004A7DC2"/>
    <w:rsid w:val="004B04FB"/>
    <w:rsid w:val="004B0FD0"/>
    <w:rsid w:val="004B117E"/>
    <w:rsid w:val="004B1BC4"/>
    <w:rsid w:val="004B2086"/>
    <w:rsid w:val="004B253E"/>
    <w:rsid w:val="004B37E1"/>
    <w:rsid w:val="004B3AD6"/>
    <w:rsid w:val="004B50A9"/>
    <w:rsid w:val="004B5243"/>
    <w:rsid w:val="004B57D7"/>
    <w:rsid w:val="004B737F"/>
    <w:rsid w:val="004B7BF9"/>
    <w:rsid w:val="004B7D9B"/>
    <w:rsid w:val="004C079C"/>
    <w:rsid w:val="004C3F89"/>
    <w:rsid w:val="004C496B"/>
    <w:rsid w:val="004C4973"/>
    <w:rsid w:val="004D0353"/>
    <w:rsid w:val="004D0FE2"/>
    <w:rsid w:val="004D1136"/>
    <w:rsid w:val="004D3ABE"/>
    <w:rsid w:val="004D42D6"/>
    <w:rsid w:val="004D45E2"/>
    <w:rsid w:val="004D4EA5"/>
    <w:rsid w:val="004D629B"/>
    <w:rsid w:val="004D7001"/>
    <w:rsid w:val="004D722A"/>
    <w:rsid w:val="004E06C7"/>
    <w:rsid w:val="004E07AA"/>
    <w:rsid w:val="004E109F"/>
    <w:rsid w:val="004E1233"/>
    <w:rsid w:val="004E1A87"/>
    <w:rsid w:val="004E1ECA"/>
    <w:rsid w:val="004E2107"/>
    <w:rsid w:val="004E2AFB"/>
    <w:rsid w:val="004E2D1D"/>
    <w:rsid w:val="004E2DE3"/>
    <w:rsid w:val="004E4B29"/>
    <w:rsid w:val="004E656D"/>
    <w:rsid w:val="004E7573"/>
    <w:rsid w:val="004F0293"/>
    <w:rsid w:val="004F0BBA"/>
    <w:rsid w:val="004F2E5F"/>
    <w:rsid w:val="004F41BD"/>
    <w:rsid w:val="004F5A8E"/>
    <w:rsid w:val="004F63FF"/>
    <w:rsid w:val="00500321"/>
    <w:rsid w:val="00500D8A"/>
    <w:rsid w:val="00504FFE"/>
    <w:rsid w:val="005059C2"/>
    <w:rsid w:val="00507B9E"/>
    <w:rsid w:val="00507BE3"/>
    <w:rsid w:val="00510162"/>
    <w:rsid w:val="005104FD"/>
    <w:rsid w:val="00510D05"/>
    <w:rsid w:val="0051101E"/>
    <w:rsid w:val="00511E59"/>
    <w:rsid w:val="00511FCF"/>
    <w:rsid w:val="00513736"/>
    <w:rsid w:val="00514E37"/>
    <w:rsid w:val="00516196"/>
    <w:rsid w:val="00520B80"/>
    <w:rsid w:val="005218E2"/>
    <w:rsid w:val="00521F1F"/>
    <w:rsid w:val="005230F5"/>
    <w:rsid w:val="005251C3"/>
    <w:rsid w:val="00525520"/>
    <w:rsid w:val="00526B7E"/>
    <w:rsid w:val="00526CFA"/>
    <w:rsid w:val="00526F17"/>
    <w:rsid w:val="00527030"/>
    <w:rsid w:val="0052777E"/>
    <w:rsid w:val="0053078A"/>
    <w:rsid w:val="0053081B"/>
    <w:rsid w:val="00530A84"/>
    <w:rsid w:val="00530E3B"/>
    <w:rsid w:val="005317FF"/>
    <w:rsid w:val="005330F5"/>
    <w:rsid w:val="005345A0"/>
    <w:rsid w:val="00534CFF"/>
    <w:rsid w:val="005361E9"/>
    <w:rsid w:val="00536AD3"/>
    <w:rsid w:val="005424E7"/>
    <w:rsid w:val="00544FC6"/>
    <w:rsid w:val="005455FD"/>
    <w:rsid w:val="00545709"/>
    <w:rsid w:val="00546632"/>
    <w:rsid w:val="00546BD3"/>
    <w:rsid w:val="00547A45"/>
    <w:rsid w:val="00551A4D"/>
    <w:rsid w:val="00551B02"/>
    <w:rsid w:val="00551B7F"/>
    <w:rsid w:val="00553086"/>
    <w:rsid w:val="00553BAD"/>
    <w:rsid w:val="00554070"/>
    <w:rsid w:val="005542A0"/>
    <w:rsid w:val="00554D42"/>
    <w:rsid w:val="005555F3"/>
    <w:rsid w:val="00555C95"/>
    <w:rsid w:val="00560D7C"/>
    <w:rsid w:val="00560FFF"/>
    <w:rsid w:val="00562763"/>
    <w:rsid w:val="00563FBE"/>
    <w:rsid w:val="0056438D"/>
    <w:rsid w:val="005643B9"/>
    <w:rsid w:val="00564ABC"/>
    <w:rsid w:val="005655F6"/>
    <w:rsid w:val="005669C0"/>
    <w:rsid w:val="00570F99"/>
    <w:rsid w:val="00572676"/>
    <w:rsid w:val="005738D9"/>
    <w:rsid w:val="00573A84"/>
    <w:rsid w:val="00574813"/>
    <w:rsid w:val="00574856"/>
    <w:rsid w:val="00574998"/>
    <w:rsid w:val="00576B48"/>
    <w:rsid w:val="00580B88"/>
    <w:rsid w:val="0058447D"/>
    <w:rsid w:val="005846E7"/>
    <w:rsid w:val="00584F3D"/>
    <w:rsid w:val="00585AF7"/>
    <w:rsid w:val="005865AF"/>
    <w:rsid w:val="00586A71"/>
    <w:rsid w:val="00587191"/>
    <w:rsid w:val="00587F50"/>
    <w:rsid w:val="00590729"/>
    <w:rsid w:val="00592EC2"/>
    <w:rsid w:val="00592F62"/>
    <w:rsid w:val="0059331E"/>
    <w:rsid w:val="00593389"/>
    <w:rsid w:val="00593A82"/>
    <w:rsid w:val="00594820"/>
    <w:rsid w:val="00594CB5"/>
    <w:rsid w:val="00594E57"/>
    <w:rsid w:val="00596A6E"/>
    <w:rsid w:val="005A3049"/>
    <w:rsid w:val="005A5E1C"/>
    <w:rsid w:val="005A703C"/>
    <w:rsid w:val="005A7A09"/>
    <w:rsid w:val="005B00A0"/>
    <w:rsid w:val="005B1973"/>
    <w:rsid w:val="005B1EA9"/>
    <w:rsid w:val="005B2927"/>
    <w:rsid w:val="005B3E20"/>
    <w:rsid w:val="005B4AEF"/>
    <w:rsid w:val="005B5A6E"/>
    <w:rsid w:val="005B5C87"/>
    <w:rsid w:val="005B5D8F"/>
    <w:rsid w:val="005B6BB8"/>
    <w:rsid w:val="005C0B25"/>
    <w:rsid w:val="005C184D"/>
    <w:rsid w:val="005C1C7B"/>
    <w:rsid w:val="005C3552"/>
    <w:rsid w:val="005C3632"/>
    <w:rsid w:val="005C4E35"/>
    <w:rsid w:val="005C792A"/>
    <w:rsid w:val="005D05C3"/>
    <w:rsid w:val="005D1251"/>
    <w:rsid w:val="005D1827"/>
    <w:rsid w:val="005D1850"/>
    <w:rsid w:val="005D2284"/>
    <w:rsid w:val="005D248A"/>
    <w:rsid w:val="005D697A"/>
    <w:rsid w:val="005E089A"/>
    <w:rsid w:val="005E0CBD"/>
    <w:rsid w:val="005E12CF"/>
    <w:rsid w:val="005E13B1"/>
    <w:rsid w:val="005E1444"/>
    <w:rsid w:val="005E1AC4"/>
    <w:rsid w:val="005E35CC"/>
    <w:rsid w:val="005E3AC5"/>
    <w:rsid w:val="005E42AE"/>
    <w:rsid w:val="005E56B4"/>
    <w:rsid w:val="005E6693"/>
    <w:rsid w:val="005F0076"/>
    <w:rsid w:val="005F0437"/>
    <w:rsid w:val="005F0D91"/>
    <w:rsid w:val="005F363F"/>
    <w:rsid w:val="005F5AA5"/>
    <w:rsid w:val="005F5B68"/>
    <w:rsid w:val="005F7000"/>
    <w:rsid w:val="005F768F"/>
    <w:rsid w:val="00600724"/>
    <w:rsid w:val="006011FA"/>
    <w:rsid w:val="00601D73"/>
    <w:rsid w:val="00602CD6"/>
    <w:rsid w:val="006030F8"/>
    <w:rsid w:val="006053E6"/>
    <w:rsid w:val="00607535"/>
    <w:rsid w:val="00607905"/>
    <w:rsid w:val="00607C12"/>
    <w:rsid w:val="00611CA0"/>
    <w:rsid w:val="00612202"/>
    <w:rsid w:val="0061255C"/>
    <w:rsid w:val="006125B2"/>
    <w:rsid w:val="006142A2"/>
    <w:rsid w:val="00614E7A"/>
    <w:rsid w:val="006167C9"/>
    <w:rsid w:val="006173E0"/>
    <w:rsid w:val="0062041D"/>
    <w:rsid w:val="00620CB6"/>
    <w:rsid w:val="006349D8"/>
    <w:rsid w:val="00634BE8"/>
    <w:rsid w:val="00635772"/>
    <w:rsid w:val="00635FB8"/>
    <w:rsid w:val="00636E92"/>
    <w:rsid w:val="00637425"/>
    <w:rsid w:val="00637C5B"/>
    <w:rsid w:val="00640145"/>
    <w:rsid w:val="00640EEF"/>
    <w:rsid w:val="00641370"/>
    <w:rsid w:val="00642B70"/>
    <w:rsid w:val="006436B8"/>
    <w:rsid w:val="00644D11"/>
    <w:rsid w:val="00646227"/>
    <w:rsid w:val="00651AE8"/>
    <w:rsid w:val="00653646"/>
    <w:rsid w:val="00653EF8"/>
    <w:rsid w:val="00653F68"/>
    <w:rsid w:val="00655B4B"/>
    <w:rsid w:val="006562D9"/>
    <w:rsid w:val="006571A7"/>
    <w:rsid w:val="0065743B"/>
    <w:rsid w:val="006578B9"/>
    <w:rsid w:val="00657D39"/>
    <w:rsid w:val="0066016B"/>
    <w:rsid w:val="006609EA"/>
    <w:rsid w:val="00662A15"/>
    <w:rsid w:val="0066308E"/>
    <w:rsid w:val="00663573"/>
    <w:rsid w:val="006647E2"/>
    <w:rsid w:val="006648D8"/>
    <w:rsid w:val="00666101"/>
    <w:rsid w:val="0066666F"/>
    <w:rsid w:val="00666DCC"/>
    <w:rsid w:val="00670565"/>
    <w:rsid w:val="006712E8"/>
    <w:rsid w:val="0067153E"/>
    <w:rsid w:val="00671907"/>
    <w:rsid w:val="00672411"/>
    <w:rsid w:val="00673CE1"/>
    <w:rsid w:val="00675B7B"/>
    <w:rsid w:val="0067721A"/>
    <w:rsid w:val="006776A5"/>
    <w:rsid w:val="00677C19"/>
    <w:rsid w:val="006844A0"/>
    <w:rsid w:val="00691046"/>
    <w:rsid w:val="0069121D"/>
    <w:rsid w:val="006940AA"/>
    <w:rsid w:val="006947AA"/>
    <w:rsid w:val="00695002"/>
    <w:rsid w:val="00695061"/>
    <w:rsid w:val="0069609C"/>
    <w:rsid w:val="006A0C2E"/>
    <w:rsid w:val="006A0F75"/>
    <w:rsid w:val="006A123E"/>
    <w:rsid w:val="006A26FA"/>
    <w:rsid w:val="006A3FC1"/>
    <w:rsid w:val="006A4561"/>
    <w:rsid w:val="006A46A5"/>
    <w:rsid w:val="006A4E62"/>
    <w:rsid w:val="006A63C9"/>
    <w:rsid w:val="006A799B"/>
    <w:rsid w:val="006A7EE2"/>
    <w:rsid w:val="006B24BD"/>
    <w:rsid w:val="006B28B1"/>
    <w:rsid w:val="006B4123"/>
    <w:rsid w:val="006B4469"/>
    <w:rsid w:val="006B4B56"/>
    <w:rsid w:val="006B5868"/>
    <w:rsid w:val="006B603A"/>
    <w:rsid w:val="006C360B"/>
    <w:rsid w:val="006C5BF3"/>
    <w:rsid w:val="006D0CF2"/>
    <w:rsid w:val="006D1299"/>
    <w:rsid w:val="006D1D28"/>
    <w:rsid w:val="006D1D2D"/>
    <w:rsid w:val="006D2017"/>
    <w:rsid w:val="006D22FE"/>
    <w:rsid w:val="006D26A5"/>
    <w:rsid w:val="006D2C01"/>
    <w:rsid w:val="006D3AD6"/>
    <w:rsid w:val="006D3BDB"/>
    <w:rsid w:val="006D408F"/>
    <w:rsid w:val="006D412F"/>
    <w:rsid w:val="006D4997"/>
    <w:rsid w:val="006D5BFF"/>
    <w:rsid w:val="006D71D7"/>
    <w:rsid w:val="006E1138"/>
    <w:rsid w:val="006E113C"/>
    <w:rsid w:val="006E1E6D"/>
    <w:rsid w:val="006E2C3D"/>
    <w:rsid w:val="006E47DB"/>
    <w:rsid w:val="006E64D7"/>
    <w:rsid w:val="006E76FA"/>
    <w:rsid w:val="006F125B"/>
    <w:rsid w:val="006F1FEC"/>
    <w:rsid w:val="006F2B61"/>
    <w:rsid w:val="006F2BE7"/>
    <w:rsid w:val="006F562E"/>
    <w:rsid w:val="006F5669"/>
    <w:rsid w:val="006F5800"/>
    <w:rsid w:val="006F595D"/>
    <w:rsid w:val="00702388"/>
    <w:rsid w:val="0070423D"/>
    <w:rsid w:val="00704267"/>
    <w:rsid w:val="0070575B"/>
    <w:rsid w:val="00705BCA"/>
    <w:rsid w:val="007103AE"/>
    <w:rsid w:val="007125CB"/>
    <w:rsid w:val="00712DE7"/>
    <w:rsid w:val="00713D1C"/>
    <w:rsid w:val="007144A9"/>
    <w:rsid w:val="00715B85"/>
    <w:rsid w:val="00716C84"/>
    <w:rsid w:val="007170B6"/>
    <w:rsid w:val="00717734"/>
    <w:rsid w:val="0072021C"/>
    <w:rsid w:val="00721070"/>
    <w:rsid w:val="00721A7E"/>
    <w:rsid w:val="00721C5B"/>
    <w:rsid w:val="00723174"/>
    <w:rsid w:val="0072327A"/>
    <w:rsid w:val="007233C1"/>
    <w:rsid w:val="00724A8D"/>
    <w:rsid w:val="0072717F"/>
    <w:rsid w:val="0072748B"/>
    <w:rsid w:val="007301F2"/>
    <w:rsid w:val="00732BA9"/>
    <w:rsid w:val="00732F27"/>
    <w:rsid w:val="00733368"/>
    <w:rsid w:val="00733F8A"/>
    <w:rsid w:val="00734145"/>
    <w:rsid w:val="00734148"/>
    <w:rsid w:val="00734C62"/>
    <w:rsid w:val="00735572"/>
    <w:rsid w:val="007358CD"/>
    <w:rsid w:val="007366C4"/>
    <w:rsid w:val="00737E54"/>
    <w:rsid w:val="00740649"/>
    <w:rsid w:val="00741651"/>
    <w:rsid w:val="00741A02"/>
    <w:rsid w:val="00742C0E"/>
    <w:rsid w:val="00744EBC"/>
    <w:rsid w:val="00745D74"/>
    <w:rsid w:val="007460EC"/>
    <w:rsid w:val="007477AB"/>
    <w:rsid w:val="00747FCD"/>
    <w:rsid w:val="00750AF5"/>
    <w:rsid w:val="00750F38"/>
    <w:rsid w:val="007520BB"/>
    <w:rsid w:val="007528FB"/>
    <w:rsid w:val="00753932"/>
    <w:rsid w:val="00753AE2"/>
    <w:rsid w:val="00754779"/>
    <w:rsid w:val="0075627C"/>
    <w:rsid w:val="0076012C"/>
    <w:rsid w:val="007613E4"/>
    <w:rsid w:val="00761C0F"/>
    <w:rsid w:val="00763D4B"/>
    <w:rsid w:val="00764B56"/>
    <w:rsid w:val="00764CFE"/>
    <w:rsid w:val="00765A54"/>
    <w:rsid w:val="00765CD3"/>
    <w:rsid w:val="00765D3C"/>
    <w:rsid w:val="007666A7"/>
    <w:rsid w:val="007701C2"/>
    <w:rsid w:val="0077266D"/>
    <w:rsid w:val="00774773"/>
    <w:rsid w:val="007749B2"/>
    <w:rsid w:val="00776491"/>
    <w:rsid w:val="00777492"/>
    <w:rsid w:val="00777C72"/>
    <w:rsid w:val="00780990"/>
    <w:rsid w:val="00780D96"/>
    <w:rsid w:val="00781690"/>
    <w:rsid w:val="007822B9"/>
    <w:rsid w:val="0078365E"/>
    <w:rsid w:val="00785200"/>
    <w:rsid w:val="00785268"/>
    <w:rsid w:val="00786D8D"/>
    <w:rsid w:val="00790661"/>
    <w:rsid w:val="007928A9"/>
    <w:rsid w:val="00793E6F"/>
    <w:rsid w:val="00795AB5"/>
    <w:rsid w:val="0079712E"/>
    <w:rsid w:val="00797409"/>
    <w:rsid w:val="007A3A8E"/>
    <w:rsid w:val="007A6026"/>
    <w:rsid w:val="007A78D7"/>
    <w:rsid w:val="007B2933"/>
    <w:rsid w:val="007B2C5D"/>
    <w:rsid w:val="007B349F"/>
    <w:rsid w:val="007B4540"/>
    <w:rsid w:val="007B5826"/>
    <w:rsid w:val="007B5B00"/>
    <w:rsid w:val="007B5B24"/>
    <w:rsid w:val="007B7439"/>
    <w:rsid w:val="007C0EAE"/>
    <w:rsid w:val="007C0EF8"/>
    <w:rsid w:val="007C1226"/>
    <w:rsid w:val="007C2CEC"/>
    <w:rsid w:val="007C3E5E"/>
    <w:rsid w:val="007C48D8"/>
    <w:rsid w:val="007C66F8"/>
    <w:rsid w:val="007D1506"/>
    <w:rsid w:val="007D41AA"/>
    <w:rsid w:val="007D62D7"/>
    <w:rsid w:val="007E02D9"/>
    <w:rsid w:val="007E040B"/>
    <w:rsid w:val="007E21D1"/>
    <w:rsid w:val="007E32A9"/>
    <w:rsid w:val="007E74FF"/>
    <w:rsid w:val="007E7E0E"/>
    <w:rsid w:val="007F0B5C"/>
    <w:rsid w:val="007F0E0A"/>
    <w:rsid w:val="007F297A"/>
    <w:rsid w:val="007F51F1"/>
    <w:rsid w:val="007F6334"/>
    <w:rsid w:val="007F6BB7"/>
    <w:rsid w:val="007F78E9"/>
    <w:rsid w:val="008001AB"/>
    <w:rsid w:val="00803F47"/>
    <w:rsid w:val="00805404"/>
    <w:rsid w:val="00807312"/>
    <w:rsid w:val="0080731C"/>
    <w:rsid w:val="00812305"/>
    <w:rsid w:val="00813A94"/>
    <w:rsid w:val="0081562D"/>
    <w:rsid w:val="00816FC8"/>
    <w:rsid w:val="00820092"/>
    <w:rsid w:val="00820F44"/>
    <w:rsid w:val="0082344F"/>
    <w:rsid w:val="00824C38"/>
    <w:rsid w:val="008274D4"/>
    <w:rsid w:val="008276CB"/>
    <w:rsid w:val="008303B5"/>
    <w:rsid w:val="00832F9C"/>
    <w:rsid w:val="00833D8B"/>
    <w:rsid w:val="00834295"/>
    <w:rsid w:val="00835405"/>
    <w:rsid w:val="008355DF"/>
    <w:rsid w:val="00836905"/>
    <w:rsid w:val="0084295E"/>
    <w:rsid w:val="00842E00"/>
    <w:rsid w:val="008448CE"/>
    <w:rsid w:val="0084694E"/>
    <w:rsid w:val="00851AAD"/>
    <w:rsid w:val="00852169"/>
    <w:rsid w:val="0085225B"/>
    <w:rsid w:val="00853114"/>
    <w:rsid w:val="00853BD8"/>
    <w:rsid w:val="00853DA2"/>
    <w:rsid w:val="00853F22"/>
    <w:rsid w:val="00855159"/>
    <w:rsid w:val="00855B28"/>
    <w:rsid w:val="0085674B"/>
    <w:rsid w:val="00857DB6"/>
    <w:rsid w:val="00861D53"/>
    <w:rsid w:val="00862AA8"/>
    <w:rsid w:val="00862B92"/>
    <w:rsid w:val="008638BC"/>
    <w:rsid w:val="0086462A"/>
    <w:rsid w:val="00865D9B"/>
    <w:rsid w:val="00866B9F"/>
    <w:rsid w:val="00866E07"/>
    <w:rsid w:val="00867E1F"/>
    <w:rsid w:val="008705F2"/>
    <w:rsid w:val="00870D05"/>
    <w:rsid w:val="0087119F"/>
    <w:rsid w:val="00872CE1"/>
    <w:rsid w:val="008730CD"/>
    <w:rsid w:val="0087336C"/>
    <w:rsid w:val="00873976"/>
    <w:rsid w:val="0087399D"/>
    <w:rsid w:val="00875A65"/>
    <w:rsid w:val="0087651A"/>
    <w:rsid w:val="008769A8"/>
    <w:rsid w:val="00876BF6"/>
    <w:rsid w:val="0087725E"/>
    <w:rsid w:val="00881FF6"/>
    <w:rsid w:val="00882413"/>
    <w:rsid w:val="00882E18"/>
    <w:rsid w:val="0088392A"/>
    <w:rsid w:val="00886C6E"/>
    <w:rsid w:val="008908B9"/>
    <w:rsid w:val="00892D08"/>
    <w:rsid w:val="00892EF0"/>
    <w:rsid w:val="0089355B"/>
    <w:rsid w:val="00893A95"/>
    <w:rsid w:val="008945AF"/>
    <w:rsid w:val="0089512B"/>
    <w:rsid w:val="0089673D"/>
    <w:rsid w:val="0089689C"/>
    <w:rsid w:val="00896CAF"/>
    <w:rsid w:val="008A0D75"/>
    <w:rsid w:val="008A32A2"/>
    <w:rsid w:val="008A39D5"/>
    <w:rsid w:val="008A4194"/>
    <w:rsid w:val="008A45FB"/>
    <w:rsid w:val="008A561C"/>
    <w:rsid w:val="008A63B2"/>
    <w:rsid w:val="008B1EF4"/>
    <w:rsid w:val="008B224E"/>
    <w:rsid w:val="008B3895"/>
    <w:rsid w:val="008B63DC"/>
    <w:rsid w:val="008B732D"/>
    <w:rsid w:val="008C0536"/>
    <w:rsid w:val="008C0CAF"/>
    <w:rsid w:val="008C1243"/>
    <w:rsid w:val="008C19B5"/>
    <w:rsid w:val="008C1B25"/>
    <w:rsid w:val="008C3B11"/>
    <w:rsid w:val="008C49C4"/>
    <w:rsid w:val="008C53AE"/>
    <w:rsid w:val="008C5A93"/>
    <w:rsid w:val="008C74DF"/>
    <w:rsid w:val="008C7F42"/>
    <w:rsid w:val="008C7FD7"/>
    <w:rsid w:val="008D01AC"/>
    <w:rsid w:val="008D232E"/>
    <w:rsid w:val="008D2A2B"/>
    <w:rsid w:val="008D2D4D"/>
    <w:rsid w:val="008D2EF6"/>
    <w:rsid w:val="008D2F81"/>
    <w:rsid w:val="008D31A2"/>
    <w:rsid w:val="008D31B3"/>
    <w:rsid w:val="008D4011"/>
    <w:rsid w:val="008D4A1B"/>
    <w:rsid w:val="008D590B"/>
    <w:rsid w:val="008D6840"/>
    <w:rsid w:val="008E01EC"/>
    <w:rsid w:val="008E0B96"/>
    <w:rsid w:val="008E0FDF"/>
    <w:rsid w:val="008E14C7"/>
    <w:rsid w:val="008E2E06"/>
    <w:rsid w:val="008E3FC1"/>
    <w:rsid w:val="008E5290"/>
    <w:rsid w:val="008E5B5F"/>
    <w:rsid w:val="008F01CE"/>
    <w:rsid w:val="008F094F"/>
    <w:rsid w:val="008F2032"/>
    <w:rsid w:val="008F20CF"/>
    <w:rsid w:val="008F2B82"/>
    <w:rsid w:val="008F3093"/>
    <w:rsid w:val="008F313E"/>
    <w:rsid w:val="008F4735"/>
    <w:rsid w:val="008F5903"/>
    <w:rsid w:val="00901B82"/>
    <w:rsid w:val="009021D2"/>
    <w:rsid w:val="00902587"/>
    <w:rsid w:val="0090289C"/>
    <w:rsid w:val="0090366C"/>
    <w:rsid w:val="00903906"/>
    <w:rsid w:val="00904075"/>
    <w:rsid w:val="00904B40"/>
    <w:rsid w:val="00905A92"/>
    <w:rsid w:val="0090641E"/>
    <w:rsid w:val="00910228"/>
    <w:rsid w:val="00910A76"/>
    <w:rsid w:val="00912ECE"/>
    <w:rsid w:val="009138E7"/>
    <w:rsid w:val="0091434A"/>
    <w:rsid w:val="009143A9"/>
    <w:rsid w:val="0091520D"/>
    <w:rsid w:val="00915776"/>
    <w:rsid w:val="0091626F"/>
    <w:rsid w:val="00916B8C"/>
    <w:rsid w:val="00917553"/>
    <w:rsid w:val="00917771"/>
    <w:rsid w:val="009216DD"/>
    <w:rsid w:val="00922FC3"/>
    <w:rsid w:val="0092391A"/>
    <w:rsid w:val="009257D5"/>
    <w:rsid w:val="00926EAC"/>
    <w:rsid w:val="00927302"/>
    <w:rsid w:val="009273AF"/>
    <w:rsid w:val="00930559"/>
    <w:rsid w:val="009316ED"/>
    <w:rsid w:val="00932897"/>
    <w:rsid w:val="009335CF"/>
    <w:rsid w:val="00934C74"/>
    <w:rsid w:val="00935D66"/>
    <w:rsid w:val="00936B91"/>
    <w:rsid w:val="009372EA"/>
    <w:rsid w:val="00940608"/>
    <w:rsid w:val="00941B8F"/>
    <w:rsid w:val="009421A4"/>
    <w:rsid w:val="00943725"/>
    <w:rsid w:val="00945115"/>
    <w:rsid w:val="0094528E"/>
    <w:rsid w:val="00945739"/>
    <w:rsid w:val="0094584D"/>
    <w:rsid w:val="00945BDA"/>
    <w:rsid w:val="009471C0"/>
    <w:rsid w:val="009508E2"/>
    <w:rsid w:val="00950BF3"/>
    <w:rsid w:val="00952753"/>
    <w:rsid w:val="009527EA"/>
    <w:rsid w:val="00954033"/>
    <w:rsid w:val="00954DA4"/>
    <w:rsid w:val="00955244"/>
    <w:rsid w:val="009552A2"/>
    <w:rsid w:val="00955E8E"/>
    <w:rsid w:val="009571D5"/>
    <w:rsid w:val="009575E7"/>
    <w:rsid w:val="00961FDC"/>
    <w:rsid w:val="0096211F"/>
    <w:rsid w:val="00962CA4"/>
    <w:rsid w:val="00965042"/>
    <w:rsid w:val="00965BE7"/>
    <w:rsid w:val="009666FC"/>
    <w:rsid w:val="009706A9"/>
    <w:rsid w:val="00971056"/>
    <w:rsid w:val="00972B35"/>
    <w:rsid w:val="00973132"/>
    <w:rsid w:val="00973B45"/>
    <w:rsid w:val="00974076"/>
    <w:rsid w:val="00980478"/>
    <w:rsid w:val="009820ED"/>
    <w:rsid w:val="009840AF"/>
    <w:rsid w:val="009847A2"/>
    <w:rsid w:val="00984CB5"/>
    <w:rsid w:val="009853B1"/>
    <w:rsid w:val="009870EF"/>
    <w:rsid w:val="00990909"/>
    <w:rsid w:val="00991E64"/>
    <w:rsid w:val="0099261B"/>
    <w:rsid w:val="009928BD"/>
    <w:rsid w:val="009941EB"/>
    <w:rsid w:val="00995000"/>
    <w:rsid w:val="00996B75"/>
    <w:rsid w:val="009A0B97"/>
    <w:rsid w:val="009A0C39"/>
    <w:rsid w:val="009A13AE"/>
    <w:rsid w:val="009A227B"/>
    <w:rsid w:val="009A3A1B"/>
    <w:rsid w:val="009A3BFC"/>
    <w:rsid w:val="009A4A5A"/>
    <w:rsid w:val="009A605A"/>
    <w:rsid w:val="009A6A82"/>
    <w:rsid w:val="009B0269"/>
    <w:rsid w:val="009B0C40"/>
    <w:rsid w:val="009B3392"/>
    <w:rsid w:val="009B4203"/>
    <w:rsid w:val="009B4D22"/>
    <w:rsid w:val="009B4D5C"/>
    <w:rsid w:val="009B6136"/>
    <w:rsid w:val="009B63F0"/>
    <w:rsid w:val="009B7A27"/>
    <w:rsid w:val="009C235F"/>
    <w:rsid w:val="009C2765"/>
    <w:rsid w:val="009C2D7C"/>
    <w:rsid w:val="009C4D63"/>
    <w:rsid w:val="009C6141"/>
    <w:rsid w:val="009C622A"/>
    <w:rsid w:val="009C66B0"/>
    <w:rsid w:val="009C75B9"/>
    <w:rsid w:val="009D0918"/>
    <w:rsid w:val="009D09BF"/>
    <w:rsid w:val="009D1523"/>
    <w:rsid w:val="009D222A"/>
    <w:rsid w:val="009D2D56"/>
    <w:rsid w:val="009D3A31"/>
    <w:rsid w:val="009D7036"/>
    <w:rsid w:val="009E1B21"/>
    <w:rsid w:val="009E27AD"/>
    <w:rsid w:val="009E2F10"/>
    <w:rsid w:val="009E3014"/>
    <w:rsid w:val="009E3B4A"/>
    <w:rsid w:val="009E4E5B"/>
    <w:rsid w:val="009E52F0"/>
    <w:rsid w:val="009E5BD3"/>
    <w:rsid w:val="009E6311"/>
    <w:rsid w:val="009E64F5"/>
    <w:rsid w:val="009F26B2"/>
    <w:rsid w:val="009F457E"/>
    <w:rsid w:val="009F4AAB"/>
    <w:rsid w:val="009F556C"/>
    <w:rsid w:val="009F6C18"/>
    <w:rsid w:val="009F6F3F"/>
    <w:rsid w:val="00A00C09"/>
    <w:rsid w:val="00A014F1"/>
    <w:rsid w:val="00A03046"/>
    <w:rsid w:val="00A03058"/>
    <w:rsid w:val="00A03D3E"/>
    <w:rsid w:val="00A04071"/>
    <w:rsid w:val="00A042F4"/>
    <w:rsid w:val="00A05BB6"/>
    <w:rsid w:val="00A060E6"/>
    <w:rsid w:val="00A07846"/>
    <w:rsid w:val="00A07DFC"/>
    <w:rsid w:val="00A11023"/>
    <w:rsid w:val="00A117F0"/>
    <w:rsid w:val="00A11AD1"/>
    <w:rsid w:val="00A134EC"/>
    <w:rsid w:val="00A14EEA"/>
    <w:rsid w:val="00A158DC"/>
    <w:rsid w:val="00A16441"/>
    <w:rsid w:val="00A1799D"/>
    <w:rsid w:val="00A17B1C"/>
    <w:rsid w:val="00A20C55"/>
    <w:rsid w:val="00A21734"/>
    <w:rsid w:val="00A223CE"/>
    <w:rsid w:val="00A2613A"/>
    <w:rsid w:val="00A2616C"/>
    <w:rsid w:val="00A263A0"/>
    <w:rsid w:val="00A267CE"/>
    <w:rsid w:val="00A30CBF"/>
    <w:rsid w:val="00A311D1"/>
    <w:rsid w:val="00A32489"/>
    <w:rsid w:val="00A379D6"/>
    <w:rsid w:val="00A40214"/>
    <w:rsid w:val="00A402E5"/>
    <w:rsid w:val="00A41898"/>
    <w:rsid w:val="00A4273E"/>
    <w:rsid w:val="00A43C0A"/>
    <w:rsid w:val="00A44E91"/>
    <w:rsid w:val="00A46458"/>
    <w:rsid w:val="00A46A61"/>
    <w:rsid w:val="00A47B10"/>
    <w:rsid w:val="00A5030B"/>
    <w:rsid w:val="00A50CDF"/>
    <w:rsid w:val="00A51349"/>
    <w:rsid w:val="00A5241D"/>
    <w:rsid w:val="00A528DD"/>
    <w:rsid w:val="00A53D9D"/>
    <w:rsid w:val="00A559F1"/>
    <w:rsid w:val="00A55A86"/>
    <w:rsid w:val="00A56ADF"/>
    <w:rsid w:val="00A57911"/>
    <w:rsid w:val="00A6036F"/>
    <w:rsid w:val="00A614AB"/>
    <w:rsid w:val="00A622B2"/>
    <w:rsid w:val="00A62C88"/>
    <w:rsid w:val="00A64DDA"/>
    <w:rsid w:val="00A6743A"/>
    <w:rsid w:val="00A67EDF"/>
    <w:rsid w:val="00A7018C"/>
    <w:rsid w:val="00A70DDE"/>
    <w:rsid w:val="00A721C0"/>
    <w:rsid w:val="00A72D2C"/>
    <w:rsid w:val="00A74580"/>
    <w:rsid w:val="00A7529F"/>
    <w:rsid w:val="00A75563"/>
    <w:rsid w:val="00A76E99"/>
    <w:rsid w:val="00A77FF8"/>
    <w:rsid w:val="00A84299"/>
    <w:rsid w:val="00A844C8"/>
    <w:rsid w:val="00A84B15"/>
    <w:rsid w:val="00A85B68"/>
    <w:rsid w:val="00A8760F"/>
    <w:rsid w:val="00A90AD3"/>
    <w:rsid w:val="00A9150A"/>
    <w:rsid w:val="00A91E38"/>
    <w:rsid w:val="00A933AB"/>
    <w:rsid w:val="00A950FD"/>
    <w:rsid w:val="00A95918"/>
    <w:rsid w:val="00A967B8"/>
    <w:rsid w:val="00A968DA"/>
    <w:rsid w:val="00AA06EE"/>
    <w:rsid w:val="00AA1C32"/>
    <w:rsid w:val="00AA1F8C"/>
    <w:rsid w:val="00AA2DF7"/>
    <w:rsid w:val="00AA3100"/>
    <w:rsid w:val="00AA38C7"/>
    <w:rsid w:val="00AA437F"/>
    <w:rsid w:val="00AA4873"/>
    <w:rsid w:val="00AA571F"/>
    <w:rsid w:val="00AA5F0F"/>
    <w:rsid w:val="00AA6686"/>
    <w:rsid w:val="00AA7969"/>
    <w:rsid w:val="00AB0138"/>
    <w:rsid w:val="00AB1160"/>
    <w:rsid w:val="00AB1440"/>
    <w:rsid w:val="00AB2846"/>
    <w:rsid w:val="00AB2A4E"/>
    <w:rsid w:val="00AB3BBF"/>
    <w:rsid w:val="00AB4108"/>
    <w:rsid w:val="00AB58DB"/>
    <w:rsid w:val="00AB6E05"/>
    <w:rsid w:val="00AC28CC"/>
    <w:rsid w:val="00AC3037"/>
    <w:rsid w:val="00AC3081"/>
    <w:rsid w:val="00AC36AA"/>
    <w:rsid w:val="00AC3810"/>
    <w:rsid w:val="00AC3E07"/>
    <w:rsid w:val="00AC4EE0"/>
    <w:rsid w:val="00AC5902"/>
    <w:rsid w:val="00AC6B68"/>
    <w:rsid w:val="00AD0A6C"/>
    <w:rsid w:val="00AD0C22"/>
    <w:rsid w:val="00AD0CDA"/>
    <w:rsid w:val="00AD218B"/>
    <w:rsid w:val="00AD3154"/>
    <w:rsid w:val="00AD410E"/>
    <w:rsid w:val="00AD4890"/>
    <w:rsid w:val="00AD4AE2"/>
    <w:rsid w:val="00AD73D3"/>
    <w:rsid w:val="00AE0289"/>
    <w:rsid w:val="00AE25DA"/>
    <w:rsid w:val="00AE542C"/>
    <w:rsid w:val="00AE5BFD"/>
    <w:rsid w:val="00AE60BA"/>
    <w:rsid w:val="00AE669A"/>
    <w:rsid w:val="00AF03D9"/>
    <w:rsid w:val="00AF1972"/>
    <w:rsid w:val="00AF324B"/>
    <w:rsid w:val="00AF3C4B"/>
    <w:rsid w:val="00AF4393"/>
    <w:rsid w:val="00AF548F"/>
    <w:rsid w:val="00AF5D4F"/>
    <w:rsid w:val="00B002F2"/>
    <w:rsid w:val="00B0103F"/>
    <w:rsid w:val="00B018EC"/>
    <w:rsid w:val="00B0446B"/>
    <w:rsid w:val="00B06520"/>
    <w:rsid w:val="00B06D7F"/>
    <w:rsid w:val="00B1135D"/>
    <w:rsid w:val="00B127C4"/>
    <w:rsid w:val="00B12A0B"/>
    <w:rsid w:val="00B1567C"/>
    <w:rsid w:val="00B165A0"/>
    <w:rsid w:val="00B16DCE"/>
    <w:rsid w:val="00B2070B"/>
    <w:rsid w:val="00B212DB"/>
    <w:rsid w:val="00B21697"/>
    <w:rsid w:val="00B222F2"/>
    <w:rsid w:val="00B22448"/>
    <w:rsid w:val="00B24DC5"/>
    <w:rsid w:val="00B255A5"/>
    <w:rsid w:val="00B2621F"/>
    <w:rsid w:val="00B26400"/>
    <w:rsid w:val="00B30FA3"/>
    <w:rsid w:val="00B318AD"/>
    <w:rsid w:val="00B322C3"/>
    <w:rsid w:val="00B32DFC"/>
    <w:rsid w:val="00B33685"/>
    <w:rsid w:val="00B35BF6"/>
    <w:rsid w:val="00B368DF"/>
    <w:rsid w:val="00B36C58"/>
    <w:rsid w:val="00B36F8C"/>
    <w:rsid w:val="00B40057"/>
    <w:rsid w:val="00B4062E"/>
    <w:rsid w:val="00B423E0"/>
    <w:rsid w:val="00B425BE"/>
    <w:rsid w:val="00B43726"/>
    <w:rsid w:val="00B43E4D"/>
    <w:rsid w:val="00B45A4D"/>
    <w:rsid w:val="00B463DD"/>
    <w:rsid w:val="00B46471"/>
    <w:rsid w:val="00B523E7"/>
    <w:rsid w:val="00B524E0"/>
    <w:rsid w:val="00B549A6"/>
    <w:rsid w:val="00B55B63"/>
    <w:rsid w:val="00B55CA6"/>
    <w:rsid w:val="00B57389"/>
    <w:rsid w:val="00B64EE1"/>
    <w:rsid w:val="00B65762"/>
    <w:rsid w:val="00B65907"/>
    <w:rsid w:val="00B659C7"/>
    <w:rsid w:val="00B65D9D"/>
    <w:rsid w:val="00B65E52"/>
    <w:rsid w:val="00B65EA9"/>
    <w:rsid w:val="00B67774"/>
    <w:rsid w:val="00B71053"/>
    <w:rsid w:val="00B710CF"/>
    <w:rsid w:val="00B71357"/>
    <w:rsid w:val="00B7301F"/>
    <w:rsid w:val="00B734FD"/>
    <w:rsid w:val="00B74866"/>
    <w:rsid w:val="00B74B0C"/>
    <w:rsid w:val="00B7512A"/>
    <w:rsid w:val="00B751ED"/>
    <w:rsid w:val="00B76A83"/>
    <w:rsid w:val="00B771CE"/>
    <w:rsid w:val="00B7730C"/>
    <w:rsid w:val="00B801AD"/>
    <w:rsid w:val="00B80528"/>
    <w:rsid w:val="00B81244"/>
    <w:rsid w:val="00B8200B"/>
    <w:rsid w:val="00B820F9"/>
    <w:rsid w:val="00B8338D"/>
    <w:rsid w:val="00B83A7F"/>
    <w:rsid w:val="00B83D3D"/>
    <w:rsid w:val="00B844EC"/>
    <w:rsid w:val="00B85CD1"/>
    <w:rsid w:val="00B874B4"/>
    <w:rsid w:val="00B875AA"/>
    <w:rsid w:val="00B9253F"/>
    <w:rsid w:val="00B92547"/>
    <w:rsid w:val="00B931F2"/>
    <w:rsid w:val="00B935F0"/>
    <w:rsid w:val="00B93D14"/>
    <w:rsid w:val="00B9599D"/>
    <w:rsid w:val="00B9790C"/>
    <w:rsid w:val="00BA0E32"/>
    <w:rsid w:val="00BA18FE"/>
    <w:rsid w:val="00BA3B88"/>
    <w:rsid w:val="00BA3E54"/>
    <w:rsid w:val="00BA4F0E"/>
    <w:rsid w:val="00BA52BC"/>
    <w:rsid w:val="00BA5778"/>
    <w:rsid w:val="00BA6468"/>
    <w:rsid w:val="00BA67AF"/>
    <w:rsid w:val="00BA6A84"/>
    <w:rsid w:val="00BB2771"/>
    <w:rsid w:val="00BB2C12"/>
    <w:rsid w:val="00BB3098"/>
    <w:rsid w:val="00BB5B43"/>
    <w:rsid w:val="00BB5CE5"/>
    <w:rsid w:val="00BB6A69"/>
    <w:rsid w:val="00BC0C0F"/>
    <w:rsid w:val="00BC118E"/>
    <w:rsid w:val="00BC1CB5"/>
    <w:rsid w:val="00BC2C1C"/>
    <w:rsid w:val="00BC3B51"/>
    <w:rsid w:val="00BC5143"/>
    <w:rsid w:val="00BC55EB"/>
    <w:rsid w:val="00BC58F3"/>
    <w:rsid w:val="00BC615C"/>
    <w:rsid w:val="00BC64B8"/>
    <w:rsid w:val="00BC6D17"/>
    <w:rsid w:val="00BC70D5"/>
    <w:rsid w:val="00BD00A5"/>
    <w:rsid w:val="00BD1C06"/>
    <w:rsid w:val="00BD1C73"/>
    <w:rsid w:val="00BD1FF1"/>
    <w:rsid w:val="00BD3AFE"/>
    <w:rsid w:val="00BD4BE4"/>
    <w:rsid w:val="00BD749E"/>
    <w:rsid w:val="00BD74AF"/>
    <w:rsid w:val="00BD7DE4"/>
    <w:rsid w:val="00BE18E7"/>
    <w:rsid w:val="00BE23BE"/>
    <w:rsid w:val="00BE2F67"/>
    <w:rsid w:val="00BE3299"/>
    <w:rsid w:val="00BE3C07"/>
    <w:rsid w:val="00BE4D3F"/>
    <w:rsid w:val="00BE4E4F"/>
    <w:rsid w:val="00BE5D24"/>
    <w:rsid w:val="00BE6F5E"/>
    <w:rsid w:val="00BF003A"/>
    <w:rsid w:val="00BF2059"/>
    <w:rsid w:val="00BF2CBD"/>
    <w:rsid w:val="00BF54FD"/>
    <w:rsid w:val="00BF5686"/>
    <w:rsid w:val="00BF59D9"/>
    <w:rsid w:val="00BF5E72"/>
    <w:rsid w:val="00BF679C"/>
    <w:rsid w:val="00BF6C28"/>
    <w:rsid w:val="00C005AF"/>
    <w:rsid w:val="00C006CB"/>
    <w:rsid w:val="00C02F24"/>
    <w:rsid w:val="00C05035"/>
    <w:rsid w:val="00C077AB"/>
    <w:rsid w:val="00C108E3"/>
    <w:rsid w:val="00C10CAA"/>
    <w:rsid w:val="00C131D0"/>
    <w:rsid w:val="00C13BC5"/>
    <w:rsid w:val="00C13F25"/>
    <w:rsid w:val="00C1469B"/>
    <w:rsid w:val="00C15CF8"/>
    <w:rsid w:val="00C163F6"/>
    <w:rsid w:val="00C20A8B"/>
    <w:rsid w:val="00C2213B"/>
    <w:rsid w:val="00C23CC1"/>
    <w:rsid w:val="00C24381"/>
    <w:rsid w:val="00C25273"/>
    <w:rsid w:val="00C25F65"/>
    <w:rsid w:val="00C31968"/>
    <w:rsid w:val="00C361A3"/>
    <w:rsid w:val="00C3624F"/>
    <w:rsid w:val="00C3633D"/>
    <w:rsid w:val="00C36AE4"/>
    <w:rsid w:val="00C4009E"/>
    <w:rsid w:val="00C402A6"/>
    <w:rsid w:val="00C40B08"/>
    <w:rsid w:val="00C4134B"/>
    <w:rsid w:val="00C42D83"/>
    <w:rsid w:val="00C43F2B"/>
    <w:rsid w:val="00C457CE"/>
    <w:rsid w:val="00C45FAD"/>
    <w:rsid w:val="00C47EA2"/>
    <w:rsid w:val="00C509A6"/>
    <w:rsid w:val="00C51008"/>
    <w:rsid w:val="00C51E32"/>
    <w:rsid w:val="00C52351"/>
    <w:rsid w:val="00C5268F"/>
    <w:rsid w:val="00C53C7D"/>
    <w:rsid w:val="00C54D6F"/>
    <w:rsid w:val="00C54F9E"/>
    <w:rsid w:val="00C55DC9"/>
    <w:rsid w:val="00C56E7E"/>
    <w:rsid w:val="00C578EB"/>
    <w:rsid w:val="00C609F8"/>
    <w:rsid w:val="00C61807"/>
    <w:rsid w:val="00C61998"/>
    <w:rsid w:val="00C6283A"/>
    <w:rsid w:val="00C660EC"/>
    <w:rsid w:val="00C704B6"/>
    <w:rsid w:val="00C70648"/>
    <w:rsid w:val="00C707F2"/>
    <w:rsid w:val="00C71617"/>
    <w:rsid w:val="00C71BE2"/>
    <w:rsid w:val="00C73D52"/>
    <w:rsid w:val="00C74B08"/>
    <w:rsid w:val="00C75423"/>
    <w:rsid w:val="00C76A11"/>
    <w:rsid w:val="00C76FA9"/>
    <w:rsid w:val="00C80313"/>
    <w:rsid w:val="00C80BCA"/>
    <w:rsid w:val="00C85A4A"/>
    <w:rsid w:val="00C861A0"/>
    <w:rsid w:val="00C87CA0"/>
    <w:rsid w:val="00C9166F"/>
    <w:rsid w:val="00C92F64"/>
    <w:rsid w:val="00C93761"/>
    <w:rsid w:val="00C941BC"/>
    <w:rsid w:val="00C94D69"/>
    <w:rsid w:val="00C95ECB"/>
    <w:rsid w:val="00C962C0"/>
    <w:rsid w:val="00C96FF5"/>
    <w:rsid w:val="00CA12F8"/>
    <w:rsid w:val="00CA1683"/>
    <w:rsid w:val="00CA269E"/>
    <w:rsid w:val="00CA281A"/>
    <w:rsid w:val="00CA322E"/>
    <w:rsid w:val="00CA3BAC"/>
    <w:rsid w:val="00CA5064"/>
    <w:rsid w:val="00CA5688"/>
    <w:rsid w:val="00CA5707"/>
    <w:rsid w:val="00CA5F55"/>
    <w:rsid w:val="00CA7AF6"/>
    <w:rsid w:val="00CB039E"/>
    <w:rsid w:val="00CB050A"/>
    <w:rsid w:val="00CB1820"/>
    <w:rsid w:val="00CB2B95"/>
    <w:rsid w:val="00CB36CA"/>
    <w:rsid w:val="00CB4AD7"/>
    <w:rsid w:val="00CB557E"/>
    <w:rsid w:val="00CB569A"/>
    <w:rsid w:val="00CB5A04"/>
    <w:rsid w:val="00CB61C6"/>
    <w:rsid w:val="00CB78D5"/>
    <w:rsid w:val="00CC0E28"/>
    <w:rsid w:val="00CC0F4E"/>
    <w:rsid w:val="00CC2D9B"/>
    <w:rsid w:val="00CC3D83"/>
    <w:rsid w:val="00CC4132"/>
    <w:rsid w:val="00CD1136"/>
    <w:rsid w:val="00CD1395"/>
    <w:rsid w:val="00CD149B"/>
    <w:rsid w:val="00CD1564"/>
    <w:rsid w:val="00CD1CE3"/>
    <w:rsid w:val="00CD3876"/>
    <w:rsid w:val="00CD41DC"/>
    <w:rsid w:val="00CD56C9"/>
    <w:rsid w:val="00CD578D"/>
    <w:rsid w:val="00CD7CC5"/>
    <w:rsid w:val="00CE0169"/>
    <w:rsid w:val="00CE0184"/>
    <w:rsid w:val="00CE0BC1"/>
    <w:rsid w:val="00CE0C45"/>
    <w:rsid w:val="00CE33A5"/>
    <w:rsid w:val="00CE612B"/>
    <w:rsid w:val="00CE61F9"/>
    <w:rsid w:val="00CE7432"/>
    <w:rsid w:val="00CF1927"/>
    <w:rsid w:val="00CF1A24"/>
    <w:rsid w:val="00CF3C71"/>
    <w:rsid w:val="00CF7E06"/>
    <w:rsid w:val="00D0295B"/>
    <w:rsid w:val="00D02C3C"/>
    <w:rsid w:val="00D03785"/>
    <w:rsid w:val="00D03DC7"/>
    <w:rsid w:val="00D03E2B"/>
    <w:rsid w:val="00D0722A"/>
    <w:rsid w:val="00D12662"/>
    <w:rsid w:val="00D12CCF"/>
    <w:rsid w:val="00D1348B"/>
    <w:rsid w:val="00D13A4A"/>
    <w:rsid w:val="00D143AF"/>
    <w:rsid w:val="00D146E4"/>
    <w:rsid w:val="00D17E1F"/>
    <w:rsid w:val="00D20989"/>
    <w:rsid w:val="00D21632"/>
    <w:rsid w:val="00D22BC2"/>
    <w:rsid w:val="00D22E34"/>
    <w:rsid w:val="00D2436B"/>
    <w:rsid w:val="00D244D7"/>
    <w:rsid w:val="00D24898"/>
    <w:rsid w:val="00D24EA4"/>
    <w:rsid w:val="00D303A9"/>
    <w:rsid w:val="00D30D0B"/>
    <w:rsid w:val="00D30FA9"/>
    <w:rsid w:val="00D31C7A"/>
    <w:rsid w:val="00D334E4"/>
    <w:rsid w:val="00D34392"/>
    <w:rsid w:val="00D34BCB"/>
    <w:rsid w:val="00D36131"/>
    <w:rsid w:val="00D37298"/>
    <w:rsid w:val="00D425E2"/>
    <w:rsid w:val="00D4340C"/>
    <w:rsid w:val="00D4465B"/>
    <w:rsid w:val="00D45F11"/>
    <w:rsid w:val="00D46B72"/>
    <w:rsid w:val="00D4722F"/>
    <w:rsid w:val="00D50F89"/>
    <w:rsid w:val="00D520CB"/>
    <w:rsid w:val="00D524F1"/>
    <w:rsid w:val="00D530F0"/>
    <w:rsid w:val="00D54DBF"/>
    <w:rsid w:val="00D54FE5"/>
    <w:rsid w:val="00D55BBB"/>
    <w:rsid w:val="00D57611"/>
    <w:rsid w:val="00D609EF"/>
    <w:rsid w:val="00D60D9E"/>
    <w:rsid w:val="00D61523"/>
    <w:rsid w:val="00D62C0A"/>
    <w:rsid w:val="00D64998"/>
    <w:rsid w:val="00D64FF0"/>
    <w:rsid w:val="00D652DA"/>
    <w:rsid w:val="00D65E04"/>
    <w:rsid w:val="00D66586"/>
    <w:rsid w:val="00D67AF6"/>
    <w:rsid w:val="00D70CBD"/>
    <w:rsid w:val="00D7305F"/>
    <w:rsid w:val="00D73160"/>
    <w:rsid w:val="00D754AF"/>
    <w:rsid w:val="00D75F6D"/>
    <w:rsid w:val="00D760A8"/>
    <w:rsid w:val="00D775F2"/>
    <w:rsid w:val="00D80288"/>
    <w:rsid w:val="00D81038"/>
    <w:rsid w:val="00D815A3"/>
    <w:rsid w:val="00D8166A"/>
    <w:rsid w:val="00D83679"/>
    <w:rsid w:val="00D83A19"/>
    <w:rsid w:val="00D8426C"/>
    <w:rsid w:val="00D85144"/>
    <w:rsid w:val="00D86944"/>
    <w:rsid w:val="00D876D5"/>
    <w:rsid w:val="00D90A3B"/>
    <w:rsid w:val="00D90D55"/>
    <w:rsid w:val="00D92DB2"/>
    <w:rsid w:val="00D950E5"/>
    <w:rsid w:val="00D95C26"/>
    <w:rsid w:val="00D96972"/>
    <w:rsid w:val="00D97DA0"/>
    <w:rsid w:val="00DA0D1D"/>
    <w:rsid w:val="00DA0E4E"/>
    <w:rsid w:val="00DA2754"/>
    <w:rsid w:val="00DA3BFD"/>
    <w:rsid w:val="00DA607A"/>
    <w:rsid w:val="00DA7684"/>
    <w:rsid w:val="00DB04F3"/>
    <w:rsid w:val="00DB0E70"/>
    <w:rsid w:val="00DB1270"/>
    <w:rsid w:val="00DB1487"/>
    <w:rsid w:val="00DB288A"/>
    <w:rsid w:val="00DB2D98"/>
    <w:rsid w:val="00DB623C"/>
    <w:rsid w:val="00DB7CC4"/>
    <w:rsid w:val="00DC20E1"/>
    <w:rsid w:val="00DC26DC"/>
    <w:rsid w:val="00DC27F4"/>
    <w:rsid w:val="00DC3636"/>
    <w:rsid w:val="00DC36A3"/>
    <w:rsid w:val="00DC3785"/>
    <w:rsid w:val="00DC4C89"/>
    <w:rsid w:val="00DC4F49"/>
    <w:rsid w:val="00DC5384"/>
    <w:rsid w:val="00DC5991"/>
    <w:rsid w:val="00DC698A"/>
    <w:rsid w:val="00DC7385"/>
    <w:rsid w:val="00DC7474"/>
    <w:rsid w:val="00DD0532"/>
    <w:rsid w:val="00DD0932"/>
    <w:rsid w:val="00DD1E8E"/>
    <w:rsid w:val="00DD3191"/>
    <w:rsid w:val="00DD52A2"/>
    <w:rsid w:val="00DD5C15"/>
    <w:rsid w:val="00DD743F"/>
    <w:rsid w:val="00DD7FC9"/>
    <w:rsid w:val="00DE03CB"/>
    <w:rsid w:val="00DE05D6"/>
    <w:rsid w:val="00DE11AA"/>
    <w:rsid w:val="00DE1652"/>
    <w:rsid w:val="00DE3E2F"/>
    <w:rsid w:val="00DE458E"/>
    <w:rsid w:val="00DE53AE"/>
    <w:rsid w:val="00DE5D01"/>
    <w:rsid w:val="00DE63A7"/>
    <w:rsid w:val="00DF0254"/>
    <w:rsid w:val="00DF0C6D"/>
    <w:rsid w:val="00DF4513"/>
    <w:rsid w:val="00DF4CE7"/>
    <w:rsid w:val="00DF588C"/>
    <w:rsid w:val="00DF5ED4"/>
    <w:rsid w:val="00DF6387"/>
    <w:rsid w:val="00DF67C9"/>
    <w:rsid w:val="00E02908"/>
    <w:rsid w:val="00E02E2C"/>
    <w:rsid w:val="00E03BFF"/>
    <w:rsid w:val="00E04B3A"/>
    <w:rsid w:val="00E060A4"/>
    <w:rsid w:val="00E061AB"/>
    <w:rsid w:val="00E06BFD"/>
    <w:rsid w:val="00E0747D"/>
    <w:rsid w:val="00E12D47"/>
    <w:rsid w:val="00E1311F"/>
    <w:rsid w:val="00E13A81"/>
    <w:rsid w:val="00E14261"/>
    <w:rsid w:val="00E1430D"/>
    <w:rsid w:val="00E143CD"/>
    <w:rsid w:val="00E14DF5"/>
    <w:rsid w:val="00E16269"/>
    <w:rsid w:val="00E16444"/>
    <w:rsid w:val="00E17E0D"/>
    <w:rsid w:val="00E200C1"/>
    <w:rsid w:val="00E20B00"/>
    <w:rsid w:val="00E20F48"/>
    <w:rsid w:val="00E23F65"/>
    <w:rsid w:val="00E246A7"/>
    <w:rsid w:val="00E301BB"/>
    <w:rsid w:val="00E30C6E"/>
    <w:rsid w:val="00E31AF6"/>
    <w:rsid w:val="00E32385"/>
    <w:rsid w:val="00E32F41"/>
    <w:rsid w:val="00E3475D"/>
    <w:rsid w:val="00E3540B"/>
    <w:rsid w:val="00E357B0"/>
    <w:rsid w:val="00E35BEF"/>
    <w:rsid w:val="00E35FF3"/>
    <w:rsid w:val="00E36079"/>
    <w:rsid w:val="00E36AF5"/>
    <w:rsid w:val="00E36C9A"/>
    <w:rsid w:val="00E37012"/>
    <w:rsid w:val="00E372B2"/>
    <w:rsid w:val="00E40E6D"/>
    <w:rsid w:val="00E415D1"/>
    <w:rsid w:val="00E43454"/>
    <w:rsid w:val="00E43626"/>
    <w:rsid w:val="00E43F73"/>
    <w:rsid w:val="00E4433A"/>
    <w:rsid w:val="00E46DD6"/>
    <w:rsid w:val="00E46FC1"/>
    <w:rsid w:val="00E5393F"/>
    <w:rsid w:val="00E5399A"/>
    <w:rsid w:val="00E54149"/>
    <w:rsid w:val="00E54ED3"/>
    <w:rsid w:val="00E575DB"/>
    <w:rsid w:val="00E618AF"/>
    <w:rsid w:val="00E62AF6"/>
    <w:rsid w:val="00E657F1"/>
    <w:rsid w:val="00E65EE7"/>
    <w:rsid w:val="00E67A6A"/>
    <w:rsid w:val="00E70037"/>
    <w:rsid w:val="00E7122D"/>
    <w:rsid w:val="00E71C5D"/>
    <w:rsid w:val="00E72885"/>
    <w:rsid w:val="00E73105"/>
    <w:rsid w:val="00E7358A"/>
    <w:rsid w:val="00E74C11"/>
    <w:rsid w:val="00E74D93"/>
    <w:rsid w:val="00E76778"/>
    <w:rsid w:val="00E76DA9"/>
    <w:rsid w:val="00E77140"/>
    <w:rsid w:val="00E800D6"/>
    <w:rsid w:val="00E81D37"/>
    <w:rsid w:val="00E83A77"/>
    <w:rsid w:val="00E83CB0"/>
    <w:rsid w:val="00E85604"/>
    <w:rsid w:val="00E86AF0"/>
    <w:rsid w:val="00E914BB"/>
    <w:rsid w:val="00E914F1"/>
    <w:rsid w:val="00E9327A"/>
    <w:rsid w:val="00E93CE7"/>
    <w:rsid w:val="00E9420D"/>
    <w:rsid w:val="00E95A5F"/>
    <w:rsid w:val="00E96084"/>
    <w:rsid w:val="00E9686E"/>
    <w:rsid w:val="00E96B62"/>
    <w:rsid w:val="00EA1C22"/>
    <w:rsid w:val="00EA2425"/>
    <w:rsid w:val="00EA2C54"/>
    <w:rsid w:val="00EA38F5"/>
    <w:rsid w:val="00EA707D"/>
    <w:rsid w:val="00EA731A"/>
    <w:rsid w:val="00EA74F9"/>
    <w:rsid w:val="00EA7BB5"/>
    <w:rsid w:val="00EB28F3"/>
    <w:rsid w:val="00EB5F71"/>
    <w:rsid w:val="00EB632F"/>
    <w:rsid w:val="00EB7F8D"/>
    <w:rsid w:val="00EC09DF"/>
    <w:rsid w:val="00EC15A1"/>
    <w:rsid w:val="00EC2596"/>
    <w:rsid w:val="00EC56F6"/>
    <w:rsid w:val="00EC6F01"/>
    <w:rsid w:val="00EC74EA"/>
    <w:rsid w:val="00EC76F9"/>
    <w:rsid w:val="00ED11F6"/>
    <w:rsid w:val="00ED1ADC"/>
    <w:rsid w:val="00ED2CAA"/>
    <w:rsid w:val="00ED38A7"/>
    <w:rsid w:val="00ED44F2"/>
    <w:rsid w:val="00ED6EEC"/>
    <w:rsid w:val="00ED79CB"/>
    <w:rsid w:val="00ED7AD8"/>
    <w:rsid w:val="00EE1C21"/>
    <w:rsid w:val="00EE50D2"/>
    <w:rsid w:val="00EE606D"/>
    <w:rsid w:val="00EE701A"/>
    <w:rsid w:val="00EE76DE"/>
    <w:rsid w:val="00EE7823"/>
    <w:rsid w:val="00EF1EF4"/>
    <w:rsid w:val="00EF5922"/>
    <w:rsid w:val="00EF5D99"/>
    <w:rsid w:val="00EF63DD"/>
    <w:rsid w:val="00F020C9"/>
    <w:rsid w:val="00F02E99"/>
    <w:rsid w:val="00F0330C"/>
    <w:rsid w:val="00F05518"/>
    <w:rsid w:val="00F06119"/>
    <w:rsid w:val="00F070EF"/>
    <w:rsid w:val="00F11D70"/>
    <w:rsid w:val="00F12C5B"/>
    <w:rsid w:val="00F12D4C"/>
    <w:rsid w:val="00F1322F"/>
    <w:rsid w:val="00F13659"/>
    <w:rsid w:val="00F13ED9"/>
    <w:rsid w:val="00F161F9"/>
    <w:rsid w:val="00F17F2A"/>
    <w:rsid w:val="00F21BC2"/>
    <w:rsid w:val="00F224A7"/>
    <w:rsid w:val="00F22BC2"/>
    <w:rsid w:val="00F232FD"/>
    <w:rsid w:val="00F23C8E"/>
    <w:rsid w:val="00F24411"/>
    <w:rsid w:val="00F25AFA"/>
    <w:rsid w:val="00F27659"/>
    <w:rsid w:val="00F278FC"/>
    <w:rsid w:val="00F27F16"/>
    <w:rsid w:val="00F31E5D"/>
    <w:rsid w:val="00F31FC7"/>
    <w:rsid w:val="00F32B3D"/>
    <w:rsid w:val="00F338EC"/>
    <w:rsid w:val="00F33CF1"/>
    <w:rsid w:val="00F34D6A"/>
    <w:rsid w:val="00F361EA"/>
    <w:rsid w:val="00F37075"/>
    <w:rsid w:val="00F371B4"/>
    <w:rsid w:val="00F37ADA"/>
    <w:rsid w:val="00F408D6"/>
    <w:rsid w:val="00F41A97"/>
    <w:rsid w:val="00F43023"/>
    <w:rsid w:val="00F43907"/>
    <w:rsid w:val="00F46F94"/>
    <w:rsid w:val="00F474F2"/>
    <w:rsid w:val="00F5107D"/>
    <w:rsid w:val="00F52921"/>
    <w:rsid w:val="00F534B8"/>
    <w:rsid w:val="00F54409"/>
    <w:rsid w:val="00F54A50"/>
    <w:rsid w:val="00F5556A"/>
    <w:rsid w:val="00F56A77"/>
    <w:rsid w:val="00F5797B"/>
    <w:rsid w:val="00F652F1"/>
    <w:rsid w:val="00F658BC"/>
    <w:rsid w:val="00F66119"/>
    <w:rsid w:val="00F661F1"/>
    <w:rsid w:val="00F67C27"/>
    <w:rsid w:val="00F70AA9"/>
    <w:rsid w:val="00F7179F"/>
    <w:rsid w:val="00F71FAF"/>
    <w:rsid w:val="00F72021"/>
    <w:rsid w:val="00F729FC"/>
    <w:rsid w:val="00F73275"/>
    <w:rsid w:val="00F742C9"/>
    <w:rsid w:val="00F753CF"/>
    <w:rsid w:val="00F753E7"/>
    <w:rsid w:val="00F75B5E"/>
    <w:rsid w:val="00F76E92"/>
    <w:rsid w:val="00F8118D"/>
    <w:rsid w:val="00F812B5"/>
    <w:rsid w:val="00F81387"/>
    <w:rsid w:val="00F84646"/>
    <w:rsid w:val="00F847CA"/>
    <w:rsid w:val="00F84DF0"/>
    <w:rsid w:val="00F85514"/>
    <w:rsid w:val="00F86B0E"/>
    <w:rsid w:val="00F9030A"/>
    <w:rsid w:val="00F90516"/>
    <w:rsid w:val="00F923A6"/>
    <w:rsid w:val="00F92BBA"/>
    <w:rsid w:val="00F92C16"/>
    <w:rsid w:val="00F92CE0"/>
    <w:rsid w:val="00F93C7A"/>
    <w:rsid w:val="00F9415A"/>
    <w:rsid w:val="00F9426C"/>
    <w:rsid w:val="00F94B2B"/>
    <w:rsid w:val="00F9630C"/>
    <w:rsid w:val="00F96507"/>
    <w:rsid w:val="00F96DF0"/>
    <w:rsid w:val="00F9720E"/>
    <w:rsid w:val="00F97DFE"/>
    <w:rsid w:val="00FA0C32"/>
    <w:rsid w:val="00FA1352"/>
    <w:rsid w:val="00FA1471"/>
    <w:rsid w:val="00FA2661"/>
    <w:rsid w:val="00FA480C"/>
    <w:rsid w:val="00FA4A17"/>
    <w:rsid w:val="00FA6B9F"/>
    <w:rsid w:val="00FA7FBD"/>
    <w:rsid w:val="00FB16F4"/>
    <w:rsid w:val="00FB2BA9"/>
    <w:rsid w:val="00FB2CFD"/>
    <w:rsid w:val="00FB4EE3"/>
    <w:rsid w:val="00FB5232"/>
    <w:rsid w:val="00FB66B4"/>
    <w:rsid w:val="00FB690C"/>
    <w:rsid w:val="00FC2525"/>
    <w:rsid w:val="00FC3F81"/>
    <w:rsid w:val="00FC692D"/>
    <w:rsid w:val="00FD0E78"/>
    <w:rsid w:val="00FD1746"/>
    <w:rsid w:val="00FD209F"/>
    <w:rsid w:val="00FD2C19"/>
    <w:rsid w:val="00FD3529"/>
    <w:rsid w:val="00FD437E"/>
    <w:rsid w:val="00FD76CA"/>
    <w:rsid w:val="00FD7CF7"/>
    <w:rsid w:val="00FE029A"/>
    <w:rsid w:val="00FE0B2E"/>
    <w:rsid w:val="00FE0DFF"/>
    <w:rsid w:val="00FE2710"/>
    <w:rsid w:val="00FE2FBC"/>
    <w:rsid w:val="00FE3D99"/>
    <w:rsid w:val="00FE4F8F"/>
    <w:rsid w:val="00FE5358"/>
    <w:rsid w:val="00FE5884"/>
    <w:rsid w:val="00FE5A61"/>
    <w:rsid w:val="00FE604B"/>
    <w:rsid w:val="00FE613D"/>
    <w:rsid w:val="00FF20DD"/>
    <w:rsid w:val="00FF2E6F"/>
    <w:rsid w:val="00FF4577"/>
    <w:rsid w:val="00FF6493"/>
    <w:rsid w:val="016C134C"/>
    <w:rsid w:val="018C3474"/>
    <w:rsid w:val="018F7DFF"/>
    <w:rsid w:val="019C45A9"/>
    <w:rsid w:val="01A04FF6"/>
    <w:rsid w:val="026E3335"/>
    <w:rsid w:val="02CF248F"/>
    <w:rsid w:val="03021494"/>
    <w:rsid w:val="03570744"/>
    <w:rsid w:val="03AB038E"/>
    <w:rsid w:val="040E1E12"/>
    <w:rsid w:val="057042D9"/>
    <w:rsid w:val="059D42BF"/>
    <w:rsid w:val="05A22231"/>
    <w:rsid w:val="0742529F"/>
    <w:rsid w:val="07F66695"/>
    <w:rsid w:val="07FC4E41"/>
    <w:rsid w:val="080A135C"/>
    <w:rsid w:val="09C00F1B"/>
    <w:rsid w:val="09CD694B"/>
    <w:rsid w:val="0A4776AA"/>
    <w:rsid w:val="0A7940BC"/>
    <w:rsid w:val="0AA0635B"/>
    <w:rsid w:val="0AC56C79"/>
    <w:rsid w:val="0B05759E"/>
    <w:rsid w:val="0B885FE9"/>
    <w:rsid w:val="0BA15B99"/>
    <w:rsid w:val="0C2F1209"/>
    <w:rsid w:val="0C3D1A40"/>
    <w:rsid w:val="0CD86359"/>
    <w:rsid w:val="0CF35673"/>
    <w:rsid w:val="0DE3403C"/>
    <w:rsid w:val="0E3243B3"/>
    <w:rsid w:val="0E7626CF"/>
    <w:rsid w:val="0ED518D9"/>
    <w:rsid w:val="0EF205E1"/>
    <w:rsid w:val="0F7402A0"/>
    <w:rsid w:val="0FD72CD0"/>
    <w:rsid w:val="102E2089"/>
    <w:rsid w:val="103C6A5A"/>
    <w:rsid w:val="10AC2EED"/>
    <w:rsid w:val="10DE1E20"/>
    <w:rsid w:val="11321C21"/>
    <w:rsid w:val="116F7A49"/>
    <w:rsid w:val="11952BC5"/>
    <w:rsid w:val="11F22FF4"/>
    <w:rsid w:val="11FC1228"/>
    <w:rsid w:val="120266CF"/>
    <w:rsid w:val="123B18C2"/>
    <w:rsid w:val="125D0030"/>
    <w:rsid w:val="12DF356E"/>
    <w:rsid w:val="132529F7"/>
    <w:rsid w:val="13613071"/>
    <w:rsid w:val="13632742"/>
    <w:rsid w:val="13F57AD4"/>
    <w:rsid w:val="14275893"/>
    <w:rsid w:val="144271E9"/>
    <w:rsid w:val="1447410A"/>
    <w:rsid w:val="14E2039C"/>
    <w:rsid w:val="15527E9A"/>
    <w:rsid w:val="159604B6"/>
    <w:rsid w:val="15D31644"/>
    <w:rsid w:val="165B1300"/>
    <w:rsid w:val="16D6621F"/>
    <w:rsid w:val="16F15281"/>
    <w:rsid w:val="17C05CDE"/>
    <w:rsid w:val="17C70CF3"/>
    <w:rsid w:val="17C867DB"/>
    <w:rsid w:val="17DC37B8"/>
    <w:rsid w:val="18720D64"/>
    <w:rsid w:val="18CB0880"/>
    <w:rsid w:val="18DE4AFC"/>
    <w:rsid w:val="18DF5A7B"/>
    <w:rsid w:val="18E271C2"/>
    <w:rsid w:val="19184CB7"/>
    <w:rsid w:val="192F4147"/>
    <w:rsid w:val="19402E68"/>
    <w:rsid w:val="19473EC4"/>
    <w:rsid w:val="199D41AF"/>
    <w:rsid w:val="19DD260F"/>
    <w:rsid w:val="19F754E4"/>
    <w:rsid w:val="19FD075D"/>
    <w:rsid w:val="19FF3499"/>
    <w:rsid w:val="1A4C76E9"/>
    <w:rsid w:val="1AF65564"/>
    <w:rsid w:val="1B553740"/>
    <w:rsid w:val="1B974893"/>
    <w:rsid w:val="1CED34E2"/>
    <w:rsid w:val="1D2855CA"/>
    <w:rsid w:val="1D5D35ED"/>
    <w:rsid w:val="1D6D1A87"/>
    <w:rsid w:val="1D87778A"/>
    <w:rsid w:val="1DBC7DFE"/>
    <w:rsid w:val="1DD65FDA"/>
    <w:rsid w:val="1DF65D3B"/>
    <w:rsid w:val="1EA504EC"/>
    <w:rsid w:val="1EB27AD3"/>
    <w:rsid w:val="1ED11716"/>
    <w:rsid w:val="1ED517BE"/>
    <w:rsid w:val="20002A9A"/>
    <w:rsid w:val="21FC15DB"/>
    <w:rsid w:val="22676B25"/>
    <w:rsid w:val="23686E13"/>
    <w:rsid w:val="23965571"/>
    <w:rsid w:val="23B03820"/>
    <w:rsid w:val="248A10FD"/>
    <w:rsid w:val="25E5546E"/>
    <w:rsid w:val="26791EB3"/>
    <w:rsid w:val="26CC0FAA"/>
    <w:rsid w:val="271C7463"/>
    <w:rsid w:val="274E2509"/>
    <w:rsid w:val="2793262A"/>
    <w:rsid w:val="27D83368"/>
    <w:rsid w:val="27D833ED"/>
    <w:rsid w:val="2877292A"/>
    <w:rsid w:val="28801575"/>
    <w:rsid w:val="28D34F5E"/>
    <w:rsid w:val="29082587"/>
    <w:rsid w:val="296F47E5"/>
    <w:rsid w:val="29931B8A"/>
    <w:rsid w:val="29A46C8B"/>
    <w:rsid w:val="2A043D2C"/>
    <w:rsid w:val="2A247F5A"/>
    <w:rsid w:val="2A4C70DD"/>
    <w:rsid w:val="2A7669CC"/>
    <w:rsid w:val="2A9B2B51"/>
    <w:rsid w:val="2AD27914"/>
    <w:rsid w:val="2B2A5857"/>
    <w:rsid w:val="2B2E2016"/>
    <w:rsid w:val="2B7F5CA6"/>
    <w:rsid w:val="2B810D73"/>
    <w:rsid w:val="2C7A65FD"/>
    <w:rsid w:val="2C9B6E0F"/>
    <w:rsid w:val="2CB512EA"/>
    <w:rsid w:val="2CBB6A2E"/>
    <w:rsid w:val="2CF8257E"/>
    <w:rsid w:val="2D33573A"/>
    <w:rsid w:val="2D496762"/>
    <w:rsid w:val="2DC23C1F"/>
    <w:rsid w:val="2EB62451"/>
    <w:rsid w:val="2F673F4B"/>
    <w:rsid w:val="2FA43269"/>
    <w:rsid w:val="30126C9C"/>
    <w:rsid w:val="301655EA"/>
    <w:rsid w:val="30423779"/>
    <w:rsid w:val="30AE00B5"/>
    <w:rsid w:val="30BF37B5"/>
    <w:rsid w:val="30C53A74"/>
    <w:rsid w:val="30D0675A"/>
    <w:rsid w:val="30D71C1D"/>
    <w:rsid w:val="313E5029"/>
    <w:rsid w:val="31745F1C"/>
    <w:rsid w:val="31FD188C"/>
    <w:rsid w:val="322777BE"/>
    <w:rsid w:val="32392E69"/>
    <w:rsid w:val="32CE3B50"/>
    <w:rsid w:val="32D568BE"/>
    <w:rsid w:val="33BD2A13"/>
    <w:rsid w:val="34266209"/>
    <w:rsid w:val="342C27ED"/>
    <w:rsid w:val="344E59CC"/>
    <w:rsid w:val="34992028"/>
    <w:rsid w:val="34BC15D9"/>
    <w:rsid w:val="34DC16EF"/>
    <w:rsid w:val="357D50E0"/>
    <w:rsid w:val="35FF3D23"/>
    <w:rsid w:val="367D7CAE"/>
    <w:rsid w:val="369D4159"/>
    <w:rsid w:val="36E26961"/>
    <w:rsid w:val="36F32EAC"/>
    <w:rsid w:val="37471532"/>
    <w:rsid w:val="37701BBB"/>
    <w:rsid w:val="377F30F7"/>
    <w:rsid w:val="378C26FD"/>
    <w:rsid w:val="3795105B"/>
    <w:rsid w:val="38001D59"/>
    <w:rsid w:val="38895700"/>
    <w:rsid w:val="389104A4"/>
    <w:rsid w:val="38A626CF"/>
    <w:rsid w:val="38CC3281"/>
    <w:rsid w:val="391B448B"/>
    <w:rsid w:val="392F0270"/>
    <w:rsid w:val="39317D8E"/>
    <w:rsid w:val="39D66C47"/>
    <w:rsid w:val="39D73399"/>
    <w:rsid w:val="3A526BB0"/>
    <w:rsid w:val="3A60041A"/>
    <w:rsid w:val="3A8077A9"/>
    <w:rsid w:val="3B474547"/>
    <w:rsid w:val="3BDF5D38"/>
    <w:rsid w:val="3BEC1543"/>
    <w:rsid w:val="3C102A9E"/>
    <w:rsid w:val="3C285AE7"/>
    <w:rsid w:val="3CFB4690"/>
    <w:rsid w:val="3D5E741F"/>
    <w:rsid w:val="3D774F91"/>
    <w:rsid w:val="3DBD6D29"/>
    <w:rsid w:val="3DE41523"/>
    <w:rsid w:val="3E302D23"/>
    <w:rsid w:val="3E964DBA"/>
    <w:rsid w:val="3E9B5889"/>
    <w:rsid w:val="3EA16961"/>
    <w:rsid w:val="3EA315EE"/>
    <w:rsid w:val="3F2817F6"/>
    <w:rsid w:val="3F2F3D4B"/>
    <w:rsid w:val="3F3460BD"/>
    <w:rsid w:val="3F7275C6"/>
    <w:rsid w:val="3FA408F2"/>
    <w:rsid w:val="3FCA5CD9"/>
    <w:rsid w:val="3FCD4154"/>
    <w:rsid w:val="3FD23C8B"/>
    <w:rsid w:val="3FDB5C7E"/>
    <w:rsid w:val="3FFB0320"/>
    <w:rsid w:val="4013657D"/>
    <w:rsid w:val="40152CE8"/>
    <w:rsid w:val="401F4967"/>
    <w:rsid w:val="40284A56"/>
    <w:rsid w:val="402A2B64"/>
    <w:rsid w:val="4040691E"/>
    <w:rsid w:val="4041674D"/>
    <w:rsid w:val="40E635E9"/>
    <w:rsid w:val="40F17E48"/>
    <w:rsid w:val="41941F5E"/>
    <w:rsid w:val="419F2F5C"/>
    <w:rsid w:val="41D92B2B"/>
    <w:rsid w:val="41E22A26"/>
    <w:rsid w:val="421C2A93"/>
    <w:rsid w:val="422130AC"/>
    <w:rsid w:val="42343230"/>
    <w:rsid w:val="42595A2E"/>
    <w:rsid w:val="42E75E52"/>
    <w:rsid w:val="431E3D52"/>
    <w:rsid w:val="435A584F"/>
    <w:rsid w:val="43A26C8C"/>
    <w:rsid w:val="443141DB"/>
    <w:rsid w:val="444A5DF3"/>
    <w:rsid w:val="4464420A"/>
    <w:rsid w:val="44A30A91"/>
    <w:rsid w:val="44BE1430"/>
    <w:rsid w:val="44E74BCF"/>
    <w:rsid w:val="454C0F8E"/>
    <w:rsid w:val="45670297"/>
    <w:rsid w:val="457500DC"/>
    <w:rsid w:val="459C733D"/>
    <w:rsid w:val="45C02814"/>
    <w:rsid w:val="45C42377"/>
    <w:rsid w:val="45F6332C"/>
    <w:rsid w:val="45F70E5A"/>
    <w:rsid w:val="46296FCE"/>
    <w:rsid w:val="462E36B1"/>
    <w:rsid w:val="4675399B"/>
    <w:rsid w:val="47334840"/>
    <w:rsid w:val="47892FF0"/>
    <w:rsid w:val="47CE27BB"/>
    <w:rsid w:val="47F97C60"/>
    <w:rsid w:val="47FE4412"/>
    <w:rsid w:val="48861866"/>
    <w:rsid w:val="48F160A3"/>
    <w:rsid w:val="49815FD4"/>
    <w:rsid w:val="4992121F"/>
    <w:rsid w:val="49AE65C8"/>
    <w:rsid w:val="4A4803E9"/>
    <w:rsid w:val="4A5B1B89"/>
    <w:rsid w:val="4ABE5E03"/>
    <w:rsid w:val="4AC05190"/>
    <w:rsid w:val="4AD30165"/>
    <w:rsid w:val="4AD45089"/>
    <w:rsid w:val="4B0D1C60"/>
    <w:rsid w:val="4B5823D6"/>
    <w:rsid w:val="4BB05795"/>
    <w:rsid w:val="4BB607AB"/>
    <w:rsid w:val="4BEC695F"/>
    <w:rsid w:val="4C174589"/>
    <w:rsid w:val="4C292B69"/>
    <w:rsid w:val="4C42775E"/>
    <w:rsid w:val="4CF60CD5"/>
    <w:rsid w:val="4CFD3976"/>
    <w:rsid w:val="4D43271C"/>
    <w:rsid w:val="4D467C31"/>
    <w:rsid w:val="4DBE067B"/>
    <w:rsid w:val="4DC47212"/>
    <w:rsid w:val="4E2B43FE"/>
    <w:rsid w:val="4E6C6343"/>
    <w:rsid w:val="4EB410E4"/>
    <w:rsid w:val="4F1655F0"/>
    <w:rsid w:val="4F2D639A"/>
    <w:rsid w:val="4FB652BC"/>
    <w:rsid w:val="4FB86F5D"/>
    <w:rsid w:val="51113094"/>
    <w:rsid w:val="511D7284"/>
    <w:rsid w:val="51FD75AF"/>
    <w:rsid w:val="52AB776B"/>
    <w:rsid w:val="531B6016"/>
    <w:rsid w:val="538C7B23"/>
    <w:rsid w:val="54154CED"/>
    <w:rsid w:val="541D0251"/>
    <w:rsid w:val="545F3A09"/>
    <w:rsid w:val="54A0517D"/>
    <w:rsid w:val="54B70D35"/>
    <w:rsid w:val="55632DBF"/>
    <w:rsid w:val="558A5503"/>
    <w:rsid w:val="55F40DB8"/>
    <w:rsid w:val="5665781E"/>
    <w:rsid w:val="56D437A4"/>
    <w:rsid w:val="56DB0482"/>
    <w:rsid w:val="56F56671"/>
    <w:rsid w:val="57201B3B"/>
    <w:rsid w:val="574037CD"/>
    <w:rsid w:val="575B26AD"/>
    <w:rsid w:val="576C5903"/>
    <w:rsid w:val="579B3083"/>
    <w:rsid w:val="57EC79F4"/>
    <w:rsid w:val="58353D10"/>
    <w:rsid w:val="58C253D4"/>
    <w:rsid w:val="59453E92"/>
    <w:rsid w:val="59594453"/>
    <w:rsid w:val="59781E98"/>
    <w:rsid w:val="5A0D1520"/>
    <w:rsid w:val="5A183F29"/>
    <w:rsid w:val="5A584DDB"/>
    <w:rsid w:val="5BAE7443"/>
    <w:rsid w:val="5BF07D02"/>
    <w:rsid w:val="5C120FCB"/>
    <w:rsid w:val="5C617D3E"/>
    <w:rsid w:val="5CD678B8"/>
    <w:rsid w:val="5DCF4401"/>
    <w:rsid w:val="5DF05BB0"/>
    <w:rsid w:val="5E081A0B"/>
    <w:rsid w:val="5E1B17BB"/>
    <w:rsid w:val="5E681E02"/>
    <w:rsid w:val="5E6F4D6C"/>
    <w:rsid w:val="5E771B1E"/>
    <w:rsid w:val="5E9E27C2"/>
    <w:rsid w:val="5F2146EB"/>
    <w:rsid w:val="5F2D30E0"/>
    <w:rsid w:val="5FD13AB2"/>
    <w:rsid w:val="5FE160B0"/>
    <w:rsid w:val="60320B89"/>
    <w:rsid w:val="60946659"/>
    <w:rsid w:val="60D137F2"/>
    <w:rsid w:val="60FC7794"/>
    <w:rsid w:val="614532CC"/>
    <w:rsid w:val="61C86A43"/>
    <w:rsid w:val="61CF6C48"/>
    <w:rsid w:val="61FD6C09"/>
    <w:rsid w:val="62582BEE"/>
    <w:rsid w:val="62E14E72"/>
    <w:rsid w:val="632F7A0E"/>
    <w:rsid w:val="63401E08"/>
    <w:rsid w:val="634C155F"/>
    <w:rsid w:val="63A67CFF"/>
    <w:rsid w:val="63C15B8A"/>
    <w:rsid w:val="63E33E20"/>
    <w:rsid w:val="63F421E1"/>
    <w:rsid w:val="64292FB6"/>
    <w:rsid w:val="64A21CB3"/>
    <w:rsid w:val="65020222"/>
    <w:rsid w:val="65370DA2"/>
    <w:rsid w:val="65E81A93"/>
    <w:rsid w:val="65FE24F4"/>
    <w:rsid w:val="6605761F"/>
    <w:rsid w:val="663B6112"/>
    <w:rsid w:val="6647670C"/>
    <w:rsid w:val="67ED7B10"/>
    <w:rsid w:val="680C4678"/>
    <w:rsid w:val="68283882"/>
    <w:rsid w:val="68770E1C"/>
    <w:rsid w:val="68AF2450"/>
    <w:rsid w:val="6ACD0F14"/>
    <w:rsid w:val="6B0F1887"/>
    <w:rsid w:val="6B2410CB"/>
    <w:rsid w:val="6B8732BE"/>
    <w:rsid w:val="6BA1493D"/>
    <w:rsid w:val="6BA26F77"/>
    <w:rsid w:val="6BBA6D2D"/>
    <w:rsid w:val="6BEA4148"/>
    <w:rsid w:val="6BFE593D"/>
    <w:rsid w:val="6C592209"/>
    <w:rsid w:val="6C732514"/>
    <w:rsid w:val="6CA20C2F"/>
    <w:rsid w:val="6D175ABE"/>
    <w:rsid w:val="6D2710AD"/>
    <w:rsid w:val="6DED593D"/>
    <w:rsid w:val="6E096FC0"/>
    <w:rsid w:val="6E1C72C4"/>
    <w:rsid w:val="6E230FF0"/>
    <w:rsid w:val="6E4776CA"/>
    <w:rsid w:val="6E87595C"/>
    <w:rsid w:val="6ECA6E98"/>
    <w:rsid w:val="6ED64EA6"/>
    <w:rsid w:val="6F344825"/>
    <w:rsid w:val="6F6E700A"/>
    <w:rsid w:val="6FA61602"/>
    <w:rsid w:val="70651B2B"/>
    <w:rsid w:val="708D73F4"/>
    <w:rsid w:val="70B05275"/>
    <w:rsid w:val="70FD5EA9"/>
    <w:rsid w:val="713C3F22"/>
    <w:rsid w:val="717448D9"/>
    <w:rsid w:val="71952BA1"/>
    <w:rsid w:val="720A581D"/>
    <w:rsid w:val="72834E46"/>
    <w:rsid w:val="7285429A"/>
    <w:rsid w:val="7292120B"/>
    <w:rsid w:val="72D526C4"/>
    <w:rsid w:val="732B13D7"/>
    <w:rsid w:val="73960EED"/>
    <w:rsid w:val="73B712B3"/>
    <w:rsid w:val="73B90B35"/>
    <w:rsid w:val="74BD1350"/>
    <w:rsid w:val="74ED4B84"/>
    <w:rsid w:val="74F62ADC"/>
    <w:rsid w:val="751E0EF8"/>
    <w:rsid w:val="75630EBC"/>
    <w:rsid w:val="75F754BC"/>
    <w:rsid w:val="760702D1"/>
    <w:rsid w:val="76210824"/>
    <w:rsid w:val="76767CFA"/>
    <w:rsid w:val="76D83404"/>
    <w:rsid w:val="76DB74BA"/>
    <w:rsid w:val="77165BA2"/>
    <w:rsid w:val="77392B54"/>
    <w:rsid w:val="777544A7"/>
    <w:rsid w:val="77852D4C"/>
    <w:rsid w:val="77920170"/>
    <w:rsid w:val="77984A36"/>
    <w:rsid w:val="78430466"/>
    <w:rsid w:val="78510E7B"/>
    <w:rsid w:val="78AA7B85"/>
    <w:rsid w:val="78CB7A67"/>
    <w:rsid w:val="78E1793F"/>
    <w:rsid w:val="790E55C0"/>
    <w:rsid w:val="79137E5B"/>
    <w:rsid w:val="795C28A8"/>
    <w:rsid w:val="796B069D"/>
    <w:rsid w:val="797406AF"/>
    <w:rsid w:val="79943866"/>
    <w:rsid w:val="79C5033E"/>
    <w:rsid w:val="79CD0A37"/>
    <w:rsid w:val="7A1A52C6"/>
    <w:rsid w:val="7A717BD0"/>
    <w:rsid w:val="7A93334D"/>
    <w:rsid w:val="7AF501A2"/>
    <w:rsid w:val="7AFF300C"/>
    <w:rsid w:val="7B493E72"/>
    <w:rsid w:val="7BDD0DF0"/>
    <w:rsid w:val="7C5C5099"/>
    <w:rsid w:val="7C854D39"/>
    <w:rsid w:val="7C8E18F0"/>
    <w:rsid w:val="7CB52EE6"/>
    <w:rsid w:val="7CFC4182"/>
    <w:rsid w:val="7D14269A"/>
    <w:rsid w:val="7D4C6A95"/>
    <w:rsid w:val="7D783497"/>
    <w:rsid w:val="7DC6613D"/>
    <w:rsid w:val="7DFB40BB"/>
    <w:rsid w:val="7E1457CD"/>
    <w:rsid w:val="7EE05BF9"/>
    <w:rsid w:val="7F163CEC"/>
    <w:rsid w:val="7F1E73F7"/>
    <w:rsid w:val="7F2E75DD"/>
    <w:rsid w:val="7F5805CF"/>
    <w:rsid w:val="7F843B59"/>
    <w:rsid w:val="7FBC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spacing w:line="240" w:lineRule="atLeast"/>
      <w:jc w:val="center"/>
      <w:outlineLvl w:val="0"/>
    </w:pPr>
    <w:rPr>
      <w:b/>
    </w:rPr>
  </w:style>
  <w:style w:type="paragraph" w:styleId="5">
    <w:name w:val="heading 2"/>
    <w:basedOn w:val="1"/>
    <w:next w:val="1"/>
    <w:link w:val="61"/>
    <w:qFormat/>
    <w:uiPriority w:val="0"/>
    <w:pPr>
      <w:keepNext/>
      <w:keepLines/>
      <w:spacing w:before="260" w:after="260" w:line="415" w:lineRule="auto"/>
      <w:outlineLvl w:val="1"/>
    </w:pPr>
    <w:rPr>
      <w:rFonts w:ascii="Arial" w:hAnsi="Arial" w:eastAsia="黑体"/>
      <w:b/>
      <w:bCs/>
      <w:sz w:val="28"/>
      <w:szCs w:val="32"/>
    </w:rPr>
  </w:style>
  <w:style w:type="paragraph" w:styleId="6">
    <w:name w:val="heading 3"/>
    <w:basedOn w:val="1"/>
    <w:next w:val="1"/>
    <w:link w:val="141"/>
    <w:qFormat/>
    <w:uiPriority w:val="0"/>
    <w:pPr>
      <w:keepNext/>
      <w:keepLines/>
      <w:spacing w:before="260" w:after="260" w:line="415" w:lineRule="auto"/>
      <w:outlineLvl w:val="2"/>
    </w:pPr>
    <w:rPr>
      <w:b/>
      <w:bCs/>
      <w:sz w:val="32"/>
      <w:szCs w:val="32"/>
    </w:rPr>
  </w:style>
  <w:style w:type="paragraph" w:styleId="7">
    <w:name w:val="heading 4"/>
    <w:basedOn w:val="1"/>
    <w:next w:val="1"/>
    <w:link w:val="170"/>
    <w:qFormat/>
    <w:uiPriority w:val="0"/>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9"/>
    <w:link w:val="159"/>
    <w:qFormat/>
    <w:uiPriority w:val="0"/>
    <w:pPr>
      <w:keepNext/>
      <w:keepLines/>
      <w:spacing w:before="280" w:after="290" w:line="372" w:lineRule="auto"/>
      <w:outlineLvl w:val="4"/>
    </w:pPr>
    <w:rPr>
      <w:rFonts w:ascii="宋体"/>
      <w:b/>
      <w:kern w:val="0"/>
      <w:sz w:val="28"/>
      <w:szCs w:val="20"/>
    </w:rPr>
  </w:style>
  <w:style w:type="paragraph" w:styleId="10">
    <w:name w:val="heading 6"/>
    <w:basedOn w:val="1"/>
    <w:next w:val="9"/>
    <w:link w:val="136"/>
    <w:qFormat/>
    <w:uiPriority w:val="0"/>
    <w:pPr>
      <w:keepNext/>
      <w:keepLines/>
      <w:spacing w:before="240" w:after="64" w:line="317" w:lineRule="auto"/>
      <w:outlineLvl w:val="5"/>
    </w:pPr>
    <w:rPr>
      <w:rFonts w:ascii="Arial" w:hAnsi="Arial" w:eastAsia="黑体"/>
      <w:b/>
      <w:kern w:val="0"/>
      <w:sz w:val="24"/>
      <w:szCs w:val="20"/>
    </w:rPr>
  </w:style>
  <w:style w:type="paragraph" w:styleId="11">
    <w:name w:val="heading 7"/>
    <w:basedOn w:val="1"/>
    <w:next w:val="9"/>
    <w:link w:val="160"/>
    <w:qFormat/>
    <w:uiPriority w:val="0"/>
    <w:pPr>
      <w:keepNext/>
      <w:keepLines/>
      <w:spacing w:before="240" w:after="64" w:line="317" w:lineRule="auto"/>
      <w:outlineLvl w:val="6"/>
    </w:pPr>
    <w:rPr>
      <w:rFonts w:ascii="宋体"/>
      <w:b/>
      <w:kern w:val="0"/>
      <w:sz w:val="24"/>
      <w:szCs w:val="20"/>
    </w:rPr>
  </w:style>
  <w:style w:type="paragraph" w:styleId="12">
    <w:name w:val="heading 8"/>
    <w:basedOn w:val="1"/>
    <w:next w:val="9"/>
    <w:link w:val="149"/>
    <w:qFormat/>
    <w:uiPriority w:val="0"/>
    <w:pPr>
      <w:keepNext/>
      <w:keepLines/>
      <w:spacing w:before="240" w:after="64" w:line="317" w:lineRule="auto"/>
      <w:outlineLvl w:val="7"/>
    </w:pPr>
    <w:rPr>
      <w:rFonts w:ascii="Arial" w:hAnsi="Arial" w:eastAsia="黑体"/>
      <w:kern w:val="0"/>
      <w:sz w:val="24"/>
      <w:szCs w:val="20"/>
    </w:rPr>
  </w:style>
  <w:style w:type="paragraph" w:styleId="13">
    <w:name w:val="heading 9"/>
    <w:basedOn w:val="1"/>
    <w:next w:val="9"/>
    <w:link w:val="164"/>
    <w:qFormat/>
    <w:uiPriority w:val="0"/>
    <w:pPr>
      <w:keepNext/>
      <w:keepLines/>
      <w:spacing w:before="240" w:after="64" w:line="317" w:lineRule="auto"/>
      <w:outlineLvl w:val="8"/>
    </w:pPr>
    <w:rPr>
      <w:rFonts w:ascii="Arial" w:hAnsi="Arial" w:eastAsia="黑体"/>
      <w:kern w:val="0"/>
      <w:sz w:val="3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4"/>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Indent"/>
    <w:basedOn w:val="1"/>
    <w:link w:val="142"/>
    <w:qFormat/>
    <w:uiPriority w:val="0"/>
    <w:pPr>
      <w:ind w:firstLine="200" w:firstLineChars="200"/>
    </w:p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Document Map"/>
    <w:basedOn w:val="1"/>
    <w:qFormat/>
    <w:uiPriority w:val="0"/>
    <w:pPr>
      <w:shd w:val="clear" w:color="auto" w:fill="000080"/>
    </w:pPr>
  </w:style>
  <w:style w:type="paragraph" w:styleId="16">
    <w:name w:val="annotation text"/>
    <w:basedOn w:val="1"/>
    <w:link w:val="129"/>
    <w:qFormat/>
    <w:uiPriority w:val="0"/>
    <w:pPr>
      <w:jc w:val="left"/>
    </w:pPr>
  </w:style>
  <w:style w:type="paragraph" w:styleId="17">
    <w:name w:val="Salutation"/>
    <w:basedOn w:val="1"/>
    <w:next w:val="1"/>
    <w:link w:val="153"/>
    <w:unhideWhenUsed/>
    <w:qFormat/>
    <w:uiPriority w:val="99"/>
    <w:rPr>
      <w:bCs/>
      <w:sz w:val="28"/>
      <w:szCs w:val="20"/>
    </w:rPr>
  </w:style>
  <w:style w:type="paragraph" w:styleId="18">
    <w:name w:val="Body Text 3"/>
    <w:basedOn w:val="1"/>
    <w:link w:val="122"/>
    <w:qFormat/>
    <w:uiPriority w:val="0"/>
    <w:pPr>
      <w:spacing w:line="500" w:lineRule="exact"/>
    </w:pPr>
    <w:rPr>
      <w:rFonts w:ascii="宋体"/>
      <w:b/>
      <w:bCs/>
      <w:kern w:val="0"/>
      <w:sz w:val="24"/>
      <w:szCs w:val="20"/>
    </w:rPr>
  </w:style>
  <w:style w:type="paragraph" w:styleId="19">
    <w:name w:val="Body Text Indent"/>
    <w:basedOn w:val="1"/>
    <w:link w:val="167"/>
    <w:qFormat/>
    <w:uiPriority w:val="0"/>
    <w:pPr>
      <w:ind w:firstLine="630"/>
    </w:pPr>
    <w:rPr>
      <w:sz w:val="32"/>
      <w:szCs w:val="20"/>
    </w:rPr>
  </w:style>
  <w:style w:type="paragraph" w:styleId="20">
    <w:name w:val="Block Text"/>
    <w:basedOn w:val="1"/>
    <w:qFormat/>
    <w:uiPriority w:val="0"/>
    <w:pPr>
      <w:spacing w:line="400" w:lineRule="exact"/>
      <w:ind w:left="-359" w:leftChars="-171" w:right="-687" w:rightChars="-327" w:firstLine="720"/>
    </w:pPr>
    <w:rPr>
      <w:rFonts w:ascii="宋体" w:hAnsi="宋体"/>
      <w:kern w:val="0"/>
      <w:sz w:val="28"/>
      <w:szCs w:val="20"/>
    </w:rPr>
  </w:style>
  <w:style w:type="paragraph" w:styleId="21">
    <w:name w:val="toc 5"/>
    <w:basedOn w:val="1"/>
    <w:next w:val="1"/>
    <w:unhideWhenUsed/>
    <w:qFormat/>
    <w:uiPriority w:val="39"/>
    <w:pPr>
      <w:ind w:left="1680" w:leftChars="800"/>
    </w:pPr>
    <w:rPr>
      <w:rFonts w:ascii="等线" w:hAnsi="等线" w:eastAsia="等线"/>
      <w:szCs w:val="22"/>
    </w:rPr>
  </w:style>
  <w:style w:type="paragraph" w:styleId="22">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23">
    <w:name w:val="Plain Text"/>
    <w:basedOn w:val="1"/>
    <w:link w:val="169"/>
    <w:qFormat/>
    <w:uiPriority w:val="0"/>
    <w:rPr>
      <w:rFonts w:ascii="宋体" w:hAnsi="Courier New"/>
      <w:kern w:val="0"/>
      <w:sz w:val="34"/>
      <w:szCs w:val="21"/>
    </w:rPr>
  </w:style>
  <w:style w:type="paragraph" w:styleId="24">
    <w:name w:val="toc 8"/>
    <w:basedOn w:val="1"/>
    <w:next w:val="1"/>
    <w:unhideWhenUsed/>
    <w:qFormat/>
    <w:uiPriority w:val="39"/>
    <w:pPr>
      <w:ind w:left="2940" w:leftChars="1400"/>
    </w:pPr>
    <w:rPr>
      <w:rFonts w:ascii="等线" w:hAnsi="等线" w:eastAsia="等线"/>
      <w:szCs w:val="22"/>
    </w:rPr>
  </w:style>
  <w:style w:type="paragraph" w:styleId="25">
    <w:name w:val="Date"/>
    <w:basedOn w:val="1"/>
    <w:next w:val="1"/>
    <w:qFormat/>
    <w:uiPriority w:val="0"/>
    <w:pPr>
      <w:ind w:left="100" w:leftChars="2500"/>
    </w:pPr>
  </w:style>
  <w:style w:type="paragraph" w:styleId="26">
    <w:name w:val="Body Text Indent 2"/>
    <w:basedOn w:val="1"/>
    <w:link w:val="132"/>
    <w:qFormat/>
    <w:uiPriority w:val="0"/>
    <w:pPr>
      <w:spacing w:after="120" w:line="480" w:lineRule="auto"/>
      <w:ind w:left="200" w:leftChars="200"/>
    </w:pPr>
  </w:style>
  <w:style w:type="paragraph" w:styleId="27">
    <w:name w:val="Balloon Text"/>
    <w:basedOn w:val="1"/>
    <w:link w:val="150"/>
    <w:qFormat/>
    <w:uiPriority w:val="0"/>
    <w:rPr>
      <w:sz w:val="18"/>
      <w:szCs w:val="18"/>
    </w:rPr>
  </w:style>
  <w:style w:type="paragraph" w:styleId="28">
    <w:name w:val="footer"/>
    <w:basedOn w:val="1"/>
    <w:link w:val="145"/>
    <w:qFormat/>
    <w:uiPriority w:val="99"/>
    <w:pPr>
      <w:tabs>
        <w:tab w:val="center" w:pos="4153"/>
        <w:tab w:val="right" w:pos="8306"/>
      </w:tabs>
      <w:snapToGrid w:val="0"/>
      <w:jc w:val="left"/>
    </w:pPr>
    <w:rPr>
      <w:sz w:val="18"/>
      <w:szCs w:val="20"/>
    </w:rPr>
  </w:style>
  <w:style w:type="paragraph" w:styleId="29">
    <w:name w:val="header"/>
    <w:basedOn w:val="1"/>
    <w:link w:val="143"/>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unhideWhenUsed/>
    <w:qFormat/>
    <w:uiPriority w:val="39"/>
    <w:pPr>
      <w:widowControl/>
      <w:jc w:val="left"/>
    </w:pPr>
    <w:rPr>
      <w:rFonts w:ascii="等线" w:hAnsi="等线" w:eastAsia="等线"/>
      <w:kern w:val="0"/>
      <w:sz w:val="22"/>
      <w:szCs w:val="22"/>
    </w:rPr>
  </w:style>
  <w:style w:type="paragraph" w:styleId="31">
    <w:name w:val="toc 4"/>
    <w:basedOn w:val="1"/>
    <w:next w:val="1"/>
    <w:unhideWhenUsed/>
    <w:qFormat/>
    <w:uiPriority w:val="39"/>
    <w:pPr>
      <w:ind w:left="1260" w:leftChars="600"/>
    </w:pPr>
    <w:rPr>
      <w:rFonts w:ascii="等线" w:hAnsi="等线" w:eastAsia="等线"/>
      <w:szCs w:val="22"/>
    </w:rPr>
  </w:style>
  <w:style w:type="paragraph" w:styleId="32">
    <w:name w:val="toc 6"/>
    <w:basedOn w:val="1"/>
    <w:next w:val="1"/>
    <w:unhideWhenUsed/>
    <w:qFormat/>
    <w:uiPriority w:val="39"/>
    <w:pPr>
      <w:ind w:left="2100" w:leftChars="1000"/>
    </w:pPr>
    <w:rPr>
      <w:rFonts w:ascii="等线" w:hAnsi="等线" w:eastAsia="等线"/>
      <w:szCs w:val="22"/>
    </w:rPr>
  </w:style>
  <w:style w:type="paragraph" w:styleId="33">
    <w:name w:val="Body Text Indent 3"/>
    <w:basedOn w:val="1"/>
    <w:link w:val="135"/>
    <w:qFormat/>
    <w:uiPriority w:val="0"/>
    <w:pPr>
      <w:spacing w:after="120"/>
      <w:ind w:left="200" w:leftChars="200"/>
    </w:pPr>
    <w:rPr>
      <w:sz w:val="16"/>
      <w:szCs w:val="16"/>
    </w:rPr>
  </w:style>
  <w:style w:type="paragraph" w:styleId="34">
    <w:name w:val="toc 2"/>
    <w:basedOn w:val="1"/>
    <w:next w:val="1"/>
    <w:unhideWhenUsed/>
    <w:qFormat/>
    <w:uiPriority w:val="39"/>
    <w:pPr>
      <w:widowControl/>
      <w:ind w:firstLine="200" w:firstLineChars="200"/>
      <w:jc w:val="left"/>
    </w:pPr>
    <w:rPr>
      <w:rFonts w:ascii="等线" w:hAnsi="等线" w:eastAsia="等线"/>
      <w:kern w:val="0"/>
      <w:sz w:val="22"/>
      <w:szCs w:val="22"/>
    </w:rPr>
  </w:style>
  <w:style w:type="paragraph" w:styleId="35">
    <w:name w:val="toc 9"/>
    <w:basedOn w:val="1"/>
    <w:next w:val="1"/>
    <w:unhideWhenUsed/>
    <w:qFormat/>
    <w:uiPriority w:val="39"/>
    <w:pPr>
      <w:ind w:left="3360" w:leftChars="1600"/>
    </w:pPr>
    <w:rPr>
      <w:rFonts w:ascii="等线" w:hAnsi="等线" w:eastAsia="等线"/>
      <w:szCs w:val="22"/>
    </w:rPr>
  </w:style>
  <w:style w:type="paragraph" w:styleId="36">
    <w:name w:val="Body Text 2"/>
    <w:basedOn w:val="1"/>
    <w:link w:val="138"/>
    <w:qFormat/>
    <w:uiPriority w:val="0"/>
    <w:pPr>
      <w:spacing w:after="120" w:line="480" w:lineRule="auto"/>
    </w:pPr>
    <w:rPr>
      <w:rFonts w:ascii="宋体"/>
      <w:kern w:val="0"/>
      <w:sz w:val="34"/>
      <w:szCs w:val="20"/>
    </w:rPr>
  </w:style>
  <w:style w:type="paragraph" w:styleId="37">
    <w:name w:val="HTML Preformatted"/>
    <w:basedOn w:val="1"/>
    <w:link w:val="1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8">
    <w:name w:val="Normal (Web)"/>
    <w:basedOn w:val="1"/>
    <w:qFormat/>
    <w:uiPriority w:val="0"/>
    <w:pPr>
      <w:widowControl/>
      <w:spacing w:before="100" w:beforeAutospacing="1" w:after="100" w:afterAutospacing="1"/>
      <w:jc w:val="left"/>
    </w:pPr>
    <w:rPr>
      <w:rFonts w:ascii="宋体"/>
      <w:kern w:val="0"/>
      <w:sz w:val="18"/>
      <w:szCs w:val="18"/>
    </w:rPr>
  </w:style>
  <w:style w:type="paragraph" w:styleId="39">
    <w:name w:val="Title"/>
    <w:basedOn w:val="1"/>
    <w:next w:val="1"/>
    <w:link w:val="127"/>
    <w:qFormat/>
    <w:uiPriority w:val="0"/>
    <w:pPr>
      <w:spacing w:before="240" w:after="60"/>
      <w:jc w:val="center"/>
      <w:outlineLvl w:val="0"/>
    </w:pPr>
    <w:rPr>
      <w:rFonts w:ascii="等线 Light" w:hAnsi="等线 Light"/>
      <w:b/>
      <w:bCs/>
      <w:sz w:val="32"/>
      <w:szCs w:val="32"/>
    </w:rPr>
  </w:style>
  <w:style w:type="paragraph" w:styleId="40">
    <w:name w:val="annotation subject"/>
    <w:basedOn w:val="16"/>
    <w:next w:val="16"/>
    <w:link w:val="168"/>
    <w:qFormat/>
    <w:uiPriority w:val="0"/>
    <w:rPr>
      <w:b/>
      <w:bCs/>
    </w:rPr>
  </w:style>
  <w:style w:type="paragraph" w:styleId="41">
    <w:name w:val="Body Text First Indent"/>
    <w:basedOn w:val="2"/>
    <w:link w:val="130"/>
    <w:qFormat/>
    <w:uiPriority w:val="0"/>
    <w:pPr>
      <w:ind w:firstLine="420" w:firstLineChars="100"/>
    </w:pPr>
    <w:rPr>
      <w:rFonts w:ascii="宋体"/>
      <w:kern w:val="0"/>
      <w:sz w:val="34"/>
      <w:szCs w:val="20"/>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page number"/>
    <w:qFormat/>
    <w:uiPriority w:val="0"/>
  </w:style>
  <w:style w:type="character" w:styleId="47">
    <w:name w:val="FollowedHyperlink"/>
    <w:qFormat/>
    <w:uiPriority w:val="0"/>
    <w:rPr>
      <w:color w:val="333333"/>
      <w:u w:val="none"/>
    </w:rPr>
  </w:style>
  <w:style w:type="character" w:styleId="48">
    <w:name w:val="Emphasis"/>
    <w:qFormat/>
    <w:uiPriority w:val="20"/>
  </w:style>
  <w:style w:type="character" w:styleId="49">
    <w:name w:val="HTML Definition"/>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qFormat/>
    <w:uiPriority w:val="0"/>
  </w:style>
  <w:style w:type="character" w:styleId="53">
    <w:name w:val="Hyperlink"/>
    <w:unhideWhenUsed/>
    <w:qFormat/>
    <w:uiPriority w:val="99"/>
    <w:rPr>
      <w:color w:val="0563C1"/>
      <w:u w:val="singl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rPr>
  </w:style>
  <w:style w:type="character" w:styleId="56">
    <w:name w:val="HTML Cite"/>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shd w:val="clear" w:fill="FFFFFF"/>
    </w:rPr>
  </w:style>
  <w:style w:type="character" w:customStyle="1" w:styleId="59">
    <w:name w:val="标题 1 Char"/>
    <w:link w:val="4"/>
    <w:qFormat/>
    <w:uiPriority w:val="9"/>
    <w:rPr>
      <w:rFonts w:ascii="Arial" w:hAnsi="Arial" w:eastAsia="黑体"/>
      <w:bCs/>
      <w:kern w:val="2"/>
      <w:sz w:val="32"/>
      <w:szCs w:val="32"/>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标题 2 Char"/>
    <w:link w:val="5"/>
    <w:qFormat/>
    <w:uiPriority w:val="0"/>
    <w:rPr>
      <w:rFonts w:ascii="Arial" w:hAnsi="Arial" w:eastAsia="黑体"/>
      <w:b/>
      <w:bCs/>
      <w:kern w:val="2"/>
      <w:sz w:val="28"/>
      <w:szCs w:val="32"/>
    </w:rPr>
  </w:style>
  <w:style w:type="paragraph" w:customStyle="1" w:styleId="62">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3">
    <w:name w:val="List Paragraph1"/>
    <w:basedOn w:val="1"/>
    <w:qFormat/>
    <w:uiPriority w:val="0"/>
    <w:pPr>
      <w:ind w:firstLine="420" w:firstLineChars="200"/>
    </w:pPr>
    <w:rPr>
      <w:rFonts w:ascii="Calibri" w:hAnsi="Calibri"/>
      <w:szCs w:val="22"/>
    </w:rPr>
  </w:style>
  <w:style w:type="paragraph" w:customStyle="1" w:styleId="64">
    <w:name w:val="Char Char Char Char Char Char Char Char Char Char Char Char Char Char1 Char Char Char Char"/>
    <w:basedOn w:val="1"/>
    <w:qFormat/>
    <w:uiPriority w:val="0"/>
    <w:rPr>
      <w:szCs w:val="21"/>
    </w:rPr>
  </w:style>
  <w:style w:type="paragraph" w:customStyle="1" w:styleId="65">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66">
    <w:name w:val="Char Char Char Char Char Char1 Char"/>
    <w:basedOn w:val="15"/>
    <w:qFormat/>
    <w:uiPriority w:val="0"/>
    <w:rPr>
      <w:rFonts w:ascii="Tahoma" w:hAnsi="Tahoma"/>
      <w:kern w:val="0"/>
      <w:sz w:val="24"/>
    </w:rPr>
  </w:style>
  <w:style w:type="paragraph" w:customStyle="1" w:styleId="67">
    <w:name w:val="标书（正文）"/>
    <w:basedOn w:val="1"/>
    <w:link w:val="146"/>
    <w:qFormat/>
    <w:uiPriority w:val="0"/>
    <w:pPr>
      <w:spacing w:line="360" w:lineRule="auto"/>
      <w:ind w:firstLine="560" w:firstLineChars="200"/>
    </w:pPr>
    <w:rPr>
      <w:rFonts w:ascii="宋体" w:hAnsi="宋体"/>
      <w:b/>
      <w:kern w:val="10"/>
      <w:szCs w:val="20"/>
    </w:rPr>
  </w:style>
  <w:style w:type="paragraph" w:customStyle="1" w:styleId="68">
    <w:name w:val="修订1"/>
    <w:qFormat/>
    <w:uiPriority w:val="0"/>
    <w:rPr>
      <w:rFonts w:ascii="Times New Roman" w:hAnsi="Times New Roman" w:eastAsia="宋体" w:cs="Times New Roman"/>
      <w:kern w:val="2"/>
      <w:sz w:val="21"/>
      <w:szCs w:val="24"/>
      <w:lang w:val="en-US" w:eastAsia="zh-CN" w:bidi="ar-SA"/>
    </w:rPr>
  </w:style>
  <w:style w:type="paragraph" w:customStyle="1" w:styleId="69">
    <w:name w:val="table head"/>
    <w:basedOn w:val="1"/>
    <w:qFormat/>
    <w:uiPriority w:val="0"/>
    <w:pPr>
      <w:keepNext/>
      <w:keepLines/>
      <w:adjustRightInd w:val="0"/>
      <w:spacing w:line="312" w:lineRule="atLeast"/>
      <w:jc w:val="center"/>
      <w:textAlignment w:val="baseline"/>
    </w:pPr>
    <w:rPr>
      <w:rFonts w:ascii="宋体"/>
      <w:b/>
      <w:kern w:val="0"/>
      <w:sz w:val="34"/>
      <w:szCs w:val="20"/>
    </w:rPr>
  </w:style>
  <w:style w:type="paragraph" w:customStyle="1" w:styleId="7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Char11"/>
    <w:basedOn w:val="1"/>
    <w:qFormat/>
    <w:uiPriority w:val="0"/>
    <w:rPr>
      <w:rFonts w:ascii="宋体"/>
      <w:kern w:val="0"/>
      <w:sz w:val="34"/>
      <w:szCs w:val="21"/>
    </w:rPr>
  </w:style>
  <w:style w:type="paragraph" w:customStyle="1" w:styleId="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Char2"/>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75">
    <w:name w:val="Char Char Char Char Char Char"/>
    <w:basedOn w:val="1"/>
    <w:qFormat/>
    <w:uiPriority w:val="0"/>
    <w:rPr>
      <w:rFonts w:ascii="Tahoma" w:hAnsi="Tahoma"/>
      <w:kern w:val="0"/>
      <w:sz w:val="24"/>
      <w:szCs w:val="20"/>
    </w:rPr>
  </w:style>
  <w:style w:type="paragraph" w:customStyle="1" w:styleId="76">
    <w:name w:val="正文--小4"/>
    <w:basedOn w:val="1"/>
    <w:qFormat/>
    <w:uiPriority w:val="0"/>
    <w:pPr>
      <w:spacing w:line="550" w:lineRule="exact"/>
      <w:ind w:firstLine="200"/>
    </w:pPr>
    <w:rPr>
      <w:rFonts w:ascii="Calibri" w:hAnsi="Calibri" w:eastAsia="仿宋_GB2312"/>
      <w:sz w:val="28"/>
    </w:rPr>
  </w:style>
  <w:style w:type="paragraph" w:customStyle="1" w:styleId="7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8">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样式 首行缩进:  2 字符"/>
    <w:basedOn w:val="1"/>
    <w:qFormat/>
    <w:uiPriority w:val="0"/>
    <w:pPr>
      <w:spacing w:line="400" w:lineRule="exact"/>
      <w:ind w:firstLine="200" w:firstLineChars="200"/>
    </w:pPr>
    <w:rPr>
      <w:rFonts w:cs="宋体"/>
      <w:sz w:val="24"/>
    </w:rPr>
  </w:style>
  <w:style w:type="paragraph" w:customStyle="1" w:styleId="80">
    <w:name w:val="_Style 101"/>
    <w:basedOn w:val="4"/>
    <w:next w:val="1"/>
    <w:qFormat/>
    <w:uiPriority w:val="39"/>
    <w:pPr>
      <w:widowControl/>
      <w:spacing w:before="240" w:line="259" w:lineRule="auto"/>
      <w:jc w:val="left"/>
      <w:outlineLvl w:val="9"/>
    </w:pPr>
    <w:rPr>
      <w:rFonts w:ascii="等线 Light" w:hAnsi="等线 Light" w:eastAsia="等线 Light"/>
      <w:b w:val="0"/>
      <w:bCs/>
      <w:color w:val="2F5496"/>
      <w:kern w:val="0"/>
      <w:sz w:val="32"/>
      <w:szCs w:val="32"/>
    </w:rPr>
  </w:style>
  <w:style w:type="paragraph" w:customStyle="1" w:styleId="81">
    <w:name w:val="TOC 标题1"/>
    <w:basedOn w:val="4"/>
    <w:next w:val="1"/>
    <w:unhideWhenUsed/>
    <w:qFormat/>
    <w:uiPriority w:val="39"/>
    <w:pPr>
      <w:widowControl/>
      <w:spacing w:before="480" w:line="276" w:lineRule="auto"/>
      <w:jc w:val="left"/>
      <w:outlineLvl w:val="9"/>
    </w:pPr>
    <w:rPr>
      <w:rFonts w:ascii="Cambria" w:hAnsi="Cambria"/>
      <w:b w:val="0"/>
      <w:color w:val="365F91"/>
      <w:kern w:val="0"/>
      <w:sz w:val="28"/>
      <w:szCs w:val="28"/>
    </w:rPr>
  </w:style>
  <w:style w:type="paragraph" w:styleId="82">
    <w:name w:val="No Spacing"/>
    <w:link w:val="134"/>
    <w:qFormat/>
    <w:uiPriority w:val="1"/>
    <w:rPr>
      <w:rFonts w:ascii="等线" w:hAnsi="等线" w:eastAsia="等线" w:cs="Times New Roman"/>
      <w:sz w:val="22"/>
      <w:szCs w:val="22"/>
      <w:lang w:val="en-US" w:eastAsia="zh-CN" w:bidi="ar-SA"/>
    </w:rPr>
  </w:style>
  <w:style w:type="paragraph" w:customStyle="1" w:styleId="8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纯文本1"/>
    <w:basedOn w:val="1"/>
    <w:qFormat/>
    <w:uiPriority w:val="0"/>
    <w:pPr>
      <w:adjustRightInd w:val="0"/>
      <w:textAlignment w:val="baseline"/>
    </w:pPr>
    <w:rPr>
      <w:rFonts w:ascii="宋体" w:hAnsi="Courier New"/>
      <w:kern w:val="0"/>
      <w:sz w:val="34"/>
      <w:szCs w:val="20"/>
    </w:rPr>
  </w:style>
  <w:style w:type="paragraph" w:customStyle="1" w:styleId="85">
    <w:name w:val="表格"/>
    <w:basedOn w:val="1"/>
    <w:link w:val="139"/>
    <w:qFormat/>
    <w:uiPriority w:val="0"/>
    <w:pPr>
      <w:spacing w:line="400" w:lineRule="exact"/>
    </w:pPr>
    <w:rPr>
      <w:sz w:val="24"/>
    </w:rPr>
  </w:style>
  <w:style w:type="paragraph" w:customStyle="1" w:styleId="86">
    <w:name w:val="GW-正文"/>
    <w:basedOn w:val="1"/>
    <w:link w:val="165"/>
    <w:qFormat/>
    <w:uiPriority w:val="0"/>
    <w:pPr>
      <w:spacing w:line="360" w:lineRule="auto"/>
      <w:ind w:firstLine="200" w:firstLineChars="200"/>
    </w:pPr>
    <w:rPr>
      <w:rFonts w:eastAsia="仿宋_GB2312"/>
      <w:sz w:val="24"/>
    </w:rPr>
  </w:style>
  <w:style w:type="paragraph" w:customStyle="1" w:styleId="87">
    <w:name w:val="Char Char1 Char Char Char Char"/>
    <w:basedOn w:val="1"/>
    <w:qFormat/>
    <w:uiPriority w:val="0"/>
    <w:rPr>
      <w:rFonts w:ascii="宋体"/>
      <w:kern w:val="0"/>
      <w:sz w:val="34"/>
      <w:szCs w:val="20"/>
    </w:rPr>
  </w:style>
  <w:style w:type="paragraph" w:customStyle="1" w:styleId="88">
    <w:name w:val="Char2 Char Char Char"/>
    <w:basedOn w:val="1"/>
    <w:qFormat/>
    <w:uiPriority w:val="0"/>
    <w:rPr>
      <w:rFonts w:ascii="仿宋_GB2312" w:eastAsia="仿宋_GB2312"/>
      <w:b/>
      <w:kern w:val="0"/>
      <w:sz w:val="32"/>
      <w:szCs w:val="32"/>
    </w:rPr>
  </w:style>
  <w:style w:type="paragraph" w:customStyle="1" w:styleId="89">
    <w:name w:val="(符号)四标题1.1"/>
    <w:basedOn w:val="1"/>
    <w:qFormat/>
    <w:uiPriority w:val="0"/>
    <w:pPr>
      <w:tabs>
        <w:tab w:val="left" w:pos="2424"/>
      </w:tabs>
      <w:spacing w:line="500" w:lineRule="exact"/>
    </w:pPr>
    <w:rPr>
      <w:rFonts w:ascii="宋体" w:hAnsi="宋体" w:cs="宋体"/>
      <w:color w:val="000000"/>
      <w:kern w:val="0"/>
      <w:sz w:val="24"/>
      <w:szCs w:val="20"/>
    </w:rPr>
  </w:style>
  <w:style w:type="paragraph" w:customStyle="1" w:styleId="90">
    <w:name w:val="Char"/>
    <w:basedOn w:val="1"/>
    <w:qFormat/>
    <w:uiPriority w:val="0"/>
    <w:rPr>
      <w:rFonts w:ascii="宋体"/>
      <w:kern w:val="0"/>
      <w:sz w:val="34"/>
      <w:szCs w:val="20"/>
    </w:rPr>
  </w:style>
  <w:style w:type="paragraph" w:customStyle="1" w:styleId="91">
    <w:name w:val="plain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
    <w:name w:val="Char2 Char Char"/>
    <w:basedOn w:val="15"/>
    <w:qFormat/>
    <w:uiPriority w:val="0"/>
    <w:rPr>
      <w:rFonts w:ascii="Tahoma" w:hAnsi="Tahoma"/>
      <w:sz w:val="24"/>
    </w:rPr>
  </w:style>
  <w:style w:type="paragraph" w:styleId="93">
    <w:name w:val="List Paragraph"/>
    <w:basedOn w:val="1"/>
    <w:link w:val="161"/>
    <w:qFormat/>
    <w:uiPriority w:val="0"/>
    <w:pPr>
      <w:ind w:firstLine="420" w:firstLineChars="200"/>
    </w:pPr>
  </w:style>
  <w:style w:type="paragraph" w:customStyle="1" w:styleId="94">
    <w:name w:val="正文文本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95">
    <w:name w:val="Table Text"/>
    <w:basedOn w:val="1"/>
    <w:qFormat/>
    <w:uiPriority w:val="0"/>
    <w:pPr>
      <w:widowControl/>
      <w:spacing w:before="60" w:after="60"/>
      <w:jc w:val="left"/>
    </w:pPr>
    <w:rPr>
      <w:rFonts w:ascii="宋体"/>
      <w:kern w:val="0"/>
      <w:sz w:val="34"/>
      <w:szCs w:val="20"/>
    </w:rPr>
  </w:style>
  <w:style w:type="paragraph" w:customStyle="1" w:styleId="96">
    <w:name w:val="正文首行缩进两字符"/>
    <w:basedOn w:val="1"/>
    <w:qFormat/>
    <w:uiPriority w:val="0"/>
    <w:pPr>
      <w:spacing w:line="360" w:lineRule="auto"/>
      <w:ind w:firstLine="200" w:firstLineChars="200"/>
    </w:pPr>
  </w:style>
  <w:style w:type="paragraph" w:customStyle="1" w:styleId="97">
    <w:name w:val="正文缩进1"/>
    <w:basedOn w:val="1"/>
    <w:next w:val="1"/>
    <w:qFormat/>
    <w:uiPriority w:val="0"/>
    <w:pPr>
      <w:widowControl/>
      <w:ind w:firstLine="420"/>
    </w:pPr>
    <w:rPr>
      <w:rFonts w:ascii="宋体"/>
      <w:color w:val="000000"/>
      <w:kern w:val="0"/>
      <w:sz w:val="34"/>
      <w:szCs w:val="20"/>
    </w:rPr>
  </w:style>
  <w:style w:type="paragraph" w:customStyle="1" w:styleId="98">
    <w:name w:val="样式 目录 2 + 首行缩进:  2 字符"/>
    <w:basedOn w:val="34"/>
    <w:qFormat/>
    <w:uiPriority w:val="0"/>
    <w:pPr>
      <w:widowControl w:val="0"/>
      <w:ind w:firstLine="420"/>
    </w:pPr>
    <w:rPr>
      <w:rFonts w:ascii="Times New Roman" w:hAnsi="Times New Roman" w:eastAsia="宋体" w:cs="宋体"/>
      <w:smallCaps/>
      <w:color w:val="000000"/>
      <w:kern w:val="2"/>
      <w:sz w:val="21"/>
      <w:szCs w:val="20"/>
    </w:rPr>
  </w:style>
  <w:style w:type="paragraph" w:customStyle="1" w:styleId="99">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10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1"/>
    <w:basedOn w:val="1"/>
    <w:qFormat/>
    <w:uiPriority w:val="0"/>
    <w:rPr>
      <w:rFonts w:ascii="仿宋_GB2312" w:eastAsia="仿宋_GB2312"/>
      <w:b/>
      <w:kern w:val="0"/>
      <w:sz w:val="32"/>
      <w:szCs w:val="32"/>
    </w:rPr>
  </w:style>
  <w:style w:type="paragraph" w:customStyle="1" w:styleId="102">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4">
    <w:name w:val="列出段落1"/>
    <w:basedOn w:val="1"/>
    <w:link w:val="152"/>
    <w:qFormat/>
    <w:uiPriority w:val="0"/>
    <w:pPr>
      <w:ind w:firstLine="420" w:firstLineChars="200"/>
    </w:pPr>
    <w:rPr>
      <w:rFonts w:ascii="Calibri" w:hAnsi="Calibri"/>
    </w:rPr>
  </w:style>
  <w:style w:type="paragraph" w:customStyle="1" w:styleId="105">
    <w:name w:val="样式 标题 3白鹤滩3白鹤滩标题 3 + (西文) Arial (中文) 黑体 四号 首行缩进:  2 字符 段前:..."/>
    <w:basedOn w:val="6"/>
    <w:qFormat/>
    <w:uiPriority w:val="0"/>
    <w:pPr>
      <w:spacing w:before="120" w:after="120" w:line="600" w:lineRule="exact"/>
    </w:pPr>
    <w:rPr>
      <w:rFonts w:ascii="Arial" w:hAnsi="Arial" w:eastAsia="黑体" w:cs="宋体"/>
    </w:rPr>
  </w:style>
  <w:style w:type="paragraph" w:customStyle="1" w:styleId="106">
    <w:name w:val="（符号）三标题1.1"/>
    <w:basedOn w:val="1"/>
    <w:link w:val="123"/>
    <w:qFormat/>
    <w:uiPriority w:val="0"/>
    <w:pPr>
      <w:tabs>
        <w:tab w:val="left" w:pos="700"/>
        <w:tab w:val="left" w:pos="840"/>
      </w:tabs>
      <w:spacing w:line="500" w:lineRule="exact"/>
      <w:ind w:left="840" w:hanging="420"/>
    </w:pPr>
    <w:rPr>
      <w:rFonts w:ascii="宋体" w:hAnsi="宋体"/>
      <w:kern w:val="0"/>
      <w:sz w:val="24"/>
    </w:rPr>
  </w:style>
  <w:style w:type="paragraph" w:customStyle="1" w:styleId="10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8">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9">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10">
    <w:name w:val="msonormalcxspmiddle"/>
    <w:basedOn w:val="1"/>
    <w:qFormat/>
    <w:uiPriority w:val="0"/>
    <w:pPr>
      <w:spacing w:before="100" w:beforeAutospacing="1" w:after="100" w:afterAutospacing="1"/>
      <w:jc w:val="left"/>
    </w:pPr>
    <w:rPr>
      <w:kern w:val="0"/>
      <w:sz w:val="24"/>
    </w:rPr>
  </w:style>
  <w:style w:type="paragraph" w:customStyle="1" w:styleId="111">
    <w:name w:val="样式 目录 2 + 首行缩进:  2 字符1"/>
    <w:basedOn w:val="34"/>
    <w:qFormat/>
    <w:uiPriority w:val="0"/>
    <w:pPr>
      <w:ind w:firstLine="440"/>
    </w:pPr>
    <w:rPr>
      <w:rFonts w:cs="宋体"/>
      <w:szCs w:val="20"/>
    </w:rPr>
  </w:style>
  <w:style w:type="paragraph" w:customStyle="1" w:styleId="112">
    <w:name w:val="Char2 Char Char1"/>
    <w:basedOn w:val="15"/>
    <w:qFormat/>
    <w:uiPriority w:val="0"/>
    <w:rPr>
      <w:rFonts w:ascii="Tahoma" w:hAnsi="Tahoma"/>
      <w:sz w:val="24"/>
    </w:rPr>
  </w:style>
  <w:style w:type="paragraph" w:customStyle="1" w:styleId="113">
    <w:name w:val="正文2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4">
    <w:name w:val="默认段落字体 Para Char Char Char Char Char Char Char Char Char1 Char Char Char Char"/>
    <w:basedOn w:val="1"/>
    <w:qFormat/>
    <w:uiPriority w:val="0"/>
    <w:rPr>
      <w:rFonts w:ascii="Tahoma" w:hAnsi="Tahoma"/>
      <w:kern w:val="0"/>
      <w:sz w:val="24"/>
      <w:szCs w:val="20"/>
    </w:rPr>
  </w:style>
  <w:style w:type="character" w:customStyle="1" w:styleId="115">
    <w:name w:val="批注文字 字符"/>
    <w:qFormat/>
    <w:uiPriority w:val="0"/>
    <w:rPr>
      <w:kern w:val="2"/>
      <w:sz w:val="21"/>
      <w:szCs w:val="24"/>
    </w:rPr>
  </w:style>
  <w:style w:type="character" w:customStyle="1" w:styleId="116">
    <w:name w:val="textnorm_chn1"/>
    <w:qFormat/>
    <w:uiPriority w:val="0"/>
    <w:rPr>
      <w:rFonts w:hint="default" w:ascii="Arial" w:hAnsi="Arial" w:cs="Arial"/>
      <w:color w:val="21254A"/>
      <w:sz w:val="22"/>
      <w:szCs w:val="22"/>
    </w:rPr>
  </w:style>
  <w:style w:type="character" w:customStyle="1" w:styleId="117">
    <w:name w:val="（符号）邀请函中一、"/>
    <w:qFormat/>
    <w:uiPriority w:val="0"/>
    <w:rPr>
      <w:rFonts w:ascii="黑体" w:eastAsia="黑体"/>
      <w:b/>
      <w:bCs/>
      <w:sz w:val="24"/>
    </w:rPr>
  </w:style>
  <w:style w:type="character" w:customStyle="1" w:styleId="118">
    <w:name w:val="split-word"/>
    <w:qFormat/>
    <w:uiPriority w:val="0"/>
  </w:style>
  <w:style w:type="character" w:customStyle="1" w:styleId="119">
    <w:name w:val="标题 1 Char1"/>
    <w:qFormat/>
    <w:uiPriority w:val="0"/>
    <w:rPr>
      <w:b/>
      <w:bCs/>
      <w:kern w:val="44"/>
      <w:sz w:val="44"/>
      <w:szCs w:val="44"/>
    </w:rPr>
  </w:style>
  <w:style w:type="character" w:customStyle="1" w:styleId="120">
    <w:name w:val="Char Char Char"/>
    <w:qFormat/>
    <w:uiPriority w:val="0"/>
    <w:rPr>
      <w:rFonts w:eastAsia="宋体"/>
      <w:b/>
      <w:kern w:val="2"/>
      <w:sz w:val="32"/>
      <w:lang w:val="en-US" w:eastAsia="zh-CN" w:bidi="ar-SA"/>
    </w:rPr>
  </w:style>
  <w:style w:type="character" w:customStyle="1" w:styleId="121">
    <w:name w:val="标题 3 Char Char Char"/>
    <w:qFormat/>
    <w:uiPriority w:val="0"/>
    <w:rPr>
      <w:rFonts w:eastAsia="宋体"/>
      <w:b/>
      <w:kern w:val="2"/>
      <w:sz w:val="32"/>
      <w:lang w:val="en-US" w:eastAsia="zh-CN" w:bidi="ar-SA"/>
    </w:rPr>
  </w:style>
  <w:style w:type="character" w:customStyle="1" w:styleId="122">
    <w:name w:val="正文文本 3 Char"/>
    <w:link w:val="18"/>
    <w:qFormat/>
    <w:uiPriority w:val="0"/>
    <w:rPr>
      <w:rFonts w:ascii="宋体"/>
      <w:b/>
      <w:bCs/>
      <w:sz w:val="24"/>
    </w:rPr>
  </w:style>
  <w:style w:type="character" w:customStyle="1" w:styleId="123">
    <w:name w:val="（符号）三标题1.1 Char"/>
    <w:link w:val="106"/>
    <w:qFormat/>
    <w:locked/>
    <w:uiPriority w:val="0"/>
    <w:rPr>
      <w:rFonts w:ascii="宋体" w:hAnsi="宋体"/>
      <w:sz w:val="24"/>
      <w:szCs w:val="24"/>
    </w:rPr>
  </w:style>
  <w:style w:type="character" w:customStyle="1" w:styleId="124">
    <w:name w:val="正文文本 Char"/>
    <w:link w:val="2"/>
    <w:qFormat/>
    <w:uiPriority w:val="0"/>
    <w:rPr>
      <w:kern w:val="2"/>
      <w:sz w:val="21"/>
      <w:szCs w:val="24"/>
    </w:rPr>
  </w:style>
  <w:style w:type="character" w:customStyle="1" w:styleId="125">
    <w:name w:val="HTML 预设格式 字符1"/>
    <w:qFormat/>
    <w:uiPriority w:val="0"/>
    <w:rPr>
      <w:rFonts w:ascii="Courier New" w:hAnsi="Courier New" w:cs="Courier New"/>
      <w:kern w:val="2"/>
    </w:rPr>
  </w:style>
  <w:style w:type="character" w:customStyle="1" w:styleId="126">
    <w:name w:val="未处理的提及1"/>
    <w:unhideWhenUsed/>
    <w:qFormat/>
    <w:uiPriority w:val="99"/>
    <w:rPr>
      <w:color w:val="808080"/>
      <w:shd w:val="clear" w:color="auto" w:fill="E6E6E6"/>
    </w:rPr>
  </w:style>
  <w:style w:type="character" w:customStyle="1" w:styleId="127">
    <w:name w:val="标题 Char"/>
    <w:link w:val="39"/>
    <w:qFormat/>
    <w:uiPriority w:val="0"/>
    <w:rPr>
      <w:rFonts w:ascii="等线 Light" w:hAnsi="等线 Light" w:cs="Times New Roman"/>
      <w:b/>
      <w:bCs/>
      <w:kern w:val="2"/>
      <w:sz w:val="32"/>
      <w:szCs w:val="32"/>
    </w:rPr>
  </w:style>
  <w:style w:type="character" w:customStyle="1" w:styleId="128">
    <w:name w:val="正文文本 字符"/>
    <w:qFormat/>
    <w:uiPriority w:val="99"/>
    <w:rPr>
      <w:kern w:val="2"/>
      <w:sz w:val="21"/>
      <w:szCs w:val="24"/>
    </w:rPr>
  </w:style>
  <w:style w:type="character" w:customStyle="1" w:styleId="129">
    <w:name w:val="批注文字 Char"/>
    <w:link w:val="16"/>
    <w:qFormat/>
    <w:uiPriority w:val="0"/>
    <w:rPr>
      <w:kern w:val="2"/>
      <w:sz w:val="21"/>
      <w:szCs w:val="24"/>
    </w:rPr>
  </w:style>
  <w:style w:type="character" w:customStyle="1" w:styleId="130">
    <w:name w:val="正文首行缩进 Char"/>
    <w:link w:val="41"/>
    <w:qFormat/>
    <w:uiPriority w:val="0"/>
    <w:rPr>
      <w:rFonts w:ascii="宋体"/>
      <w:kern w:val="2"/>
      <w:sz w:val="34"/>
      <w:szCs w:val="24"/>
    </w:rPr>
  </w:style>
  <w:style w:type="character" w:customStyle="1" w:styleId="131">
    <w:name w:val="HTML 预设格式 Char"/>
    <w:link w:val="37"/>
    <w:qFormat/>
    <w:uiPriority w:val="99"/>
    <w:rPr>
      <w:rFonts w:ascii="Arial" w:hAnsi="Arial"/>
    </w:rPr>
  </w:style>
  <w:style w:type="character" w:customStyle="1" w:styleId="132">
    <w:name w:val="正文文本缩进 2 Char"/>
    <w:link w:val="26"/>
    <w:qFormat/>
    <w:uiPriority w:val="0"/>
    <w:rPr>
      <w:kern w:val="2"/>
      <w:sz w:val="21"/>
      <w:szCs w:val="24"/>
    </w:rPr>
  </w:style>
  <w:style w:type="character" w:customStyle="1" w:styleId="133">
    <w:name w:val="批注文字 Char1"/>
    <w:qFormat/>
    <w:uiPriority w:val="0"/>
    <w:rPr>
      <w:kern w:val="2"/>
      <w:sz w:val="21"/>
      <w:szCs w:val="24"/>
    </w:rPr>
  </w:style>
  <w:style w:type="character" w:customStyle="1" w:styleId="134">
    <w:name w:val="无间隔 Char"/>
    <w:link w:val="82"/>
    <w:qFormat/>
    <w:uiPriority w:val="1"/>
    <w:rPr>
      <w:rFonts w:ascii="等线" w:hAnsi="等线" w:eastAsia="等线"/>
      <w:sz w:val="22"/>
      <w:szCs w:val="22"/>
      <w:lang w:bidi="ar-SA"/>
    </w:rPr>
  </w:style>
  <w:style w:type="character" w:customStyle="1" w:styleId="135">
    <w:name w:val="正文文本缩进 3 Char"/>
    <w:link w:val="33"/>
    <w:qFormat/>
    <w:uiPriority w:val="0"/>
    <w:rPr>
      <w:sz w:val="16"/>
      <w:szCs w:val="16"/>
    </w:rPr>
  </w:style>
  <w:style w:type="character" w:customStyle="1" w:styleId="136">
    <w:name w:val="标题 6 Char"/>
    <w:link w:val="10"/>
    <w:qFormat/>
    <w:uiPriority w:val="0"/>
    <w:rPr>
      <w:rFonts w:ascii="Arial" w:hAnsi="Arial" w:eastAsia="黑体"/>
      <w:b/>
      <w:sz w:val="24"/>
    </w:rPr>
  </w:style>
  <w:style w:type="character" w:customStyle="1" w:styleId="137">
    <w:name w:val="font31"/>
    <w:basedOn w:val="44"/>
    <w:qFormat/>
    <w:uiPriority w:val="0"/>
    <w:rPr>
      <w:rFonts w:hint="eastAsia" w:ascii="宋体" w:hAnsi="宋体" w:eastAsia="宋体" w:cs="宋体"/>
      <w:color w:val="000000"/>
      <w:sz w:val="21"/>
      <w:szCs w:val="21"/>
      <w:u w:val="none"/>
    </w:rPr>
  </w:style>
  <w:style w:type="character" w:customStyle="1" w:styleId="138">
    <w:name w:val="正文文本 2 Char"/>
    <w:link w:val="36"/>
    <w:qFormat/>
    <w:uiPriority w:val="0"/>
    <w:rPr>
      <w:rFonts w:ascii="宋体"/>
      <w:sz w:val="34"/>
    </w:rPr>
  </w:style>
  <w:style w:type="character" w:customStyle="1" w:styleId="139">
    <w:name w:val="表格 Char Char"/>
    <w:link w:val="85"/>
    <w:qFormat/>
    <w:uiPriority w:val="0"/>
    <w:rPr>
      <w:kern w:val="2"/>
      <w:sz w:val="24"/>
      <w:szCs w:val="24"/>
    </w:rPr>
  </w:style>
  <w:style w:type="character" w:customStyle="1" w:styleId="140">
    <w:name w:val="unnamed31"/>
    <w:qFormat/>
    <w:uiPriority w:val="0"/>
    <w:rPr>
      <w:sz w:val="22"/>
      <w:szCs w:val="22"/>
    </w:rPr>
  </w:style>
  <w:style w:type="character" w:customStyle="1" w:styleId="141">
    <w:name w:val="标题 3 Char"/>
    <w:basedOn w:val="44"/>
    <w:link w:val="6"/>
    <w:qFormat/>
    <w:uiPriority w:val="0"/>
    <w:rPr>
      <w:b/>
      <w:bCs/>
      <w:kern w:val="2"/>
      <w:sz w:val="32"/>
      <w:szCs w:val="32"/>
    </w:rPr>
  </w:style>
  <w:style w:type="character" w:customStyle="1" w:styleId="142">
    <w:name w:val="正文缩进 Char"/>
    <w:link w:val="9"/>
    <w:qFormat/>
    <w:uiPriority w:val="0"/>
    <w:rPr>
      <w:kern w:val="2"/>
      <w:sz w:val="21"/>
      <w:szCs w:val="24"/>
    </w:rPr>
  </w:style>
  <w:style w:type="character" w:customStyle="1" w:styleId="143">
    <w:name w:val="页眉 Char"/>
    <w:link w:val="29"/>
    <w:qFormat/>
    <w:uiPriority w:val="99"/>
    <w:rPr>
      <w:kern w:val="2"/>
      <w:sz w:val="18"/>
    </w:rPr>
  </w:style>
  <w:style w:type="character" w:customStyle="1" w:styleId="144">
    <w:name w:val="页脚 Char"/>
    <w:qFormat/>
    <w:uiPriority w:val="99"/>
    <w:rPr>
      <w:rFonts w:eastAsia="Calibri"/>
      <w:sz w:val="21"/>
    </w:rPr>
  </w:style>
  <w:style w:type="character" w:customStyle="1" w:styleId="145">
    <w:name w:val="页脚 Char1"/>
    <w:link w:val="28"/>
    <w:qFormat/>
    <w:uiPriority w:val="0"/>
    <w:rPr>
      <w:kern w:val="2"/>
      <w:sz w:val="18"/>
    </w:rPr>
  </w:style>
  <w:style w:type="character" w:customStyle="1" w:styleId="146">
    <w:name w:val="标书（正文） Char Char"/>
    <w:link w:val="67"/>
    <w:qFormat/>
    <w:uiPriority w:val="0"/>
    <w:rPr>
      <w:rFonts w:ascii="宋体" w:hAnsi="宋体"/>
      <w:b/>
      <w:kern w:val="10"/>
      <w:sz w:val="21"/>
    </w:rPr>
  </w:style>
  <w:style w:type="character" w:customStyle="1" w:styleId="147">
    <w:name w:val="words-outer-wrap"/>
    <w:qFormat/>
    <w:uiPriority w:val="0"/>
  </w:style>
  <w:style w:type="character" w:customStyle="1" w:styleId="148">
    <w:name w:val="页眉 Char1"/>
    <w:qFormat/>
    <w:uiPriority w:val="0"/>
    <w:rPr>
      <w:rFonts w:eastAsia="宋体"/>
      <w:kern w:val="2"/>
      <w:sz w:val="18"/>
      <w:lang w:val="en-US" w:eastAsia="zh-CN" w:bidi="ar-SA"/>
    </w:rPr>
  </w:style>
  <w:style w:type="character" w:customStyle="1" w:styleId="149">
    <w:name w:val="标题 8 Char"/>
    <w:link w:val="12"/>
    <w:qFormat/>
    <w:uiPriority w:val="0"/>
    <w:rPr>
      <w:rFonts w:ascii="Arial" w:hAnsi="Arial" w:eastAsia="黑体"/>
      <w:sz w:val="24"/>
    </w:rPr>
  </w:style>
  <w:style w:type="character" w:customStyle="1" w:styleId="150">
    <w:name w:val="批注框文本 Char"/>
    <w:link w:val="27"/>
    <w:qFormat/>
    <w:uiPriority w:val="0"/>
    <w:rPr>
      <w:kern w:val="2"/>
      <w:sz w:val="18"/>
      <w:szCs w:val="18"/>
    </w:rPr>
  </w:style>
  <w:style w:type="character" w:customStyle="1" w:styleId="151">
    <w:name w:val="标题 Char1"/>
    <w:qFormat/>
    <w:uiPriority w:val="0"/>
    <w:rPr>
      <w:rFonts w:ascii="Cambria" w:hAnsi="Cambria" w:cs="Times New Roman"/>
      <w:b/>
      <w:bCs/>
      <w:kern w:val="2"/>
      <w:sz w:val="32"/>
      <w:szCs w:val="32"/>
    </w:rPr>
  </w:style>
  <w:style w:type="character" w:customStyle="1" w:styleId="152">
    <w:name w:val="列出段落 字符"/>
    <w:link w:val="104"/>
    <w:qFormat/>
    <w:uiPriority w:val="0"/>
    <w:rPr>
      <w:rFonts w:ascii="Calibri" w:hAnsi="Calibri"/>
      <w:kern w:val="2"/>
      <w:sz w:val="21"/>
      <w:szCs w:val="24"/>
    </w:rPr>
  </w:style>
  <w:style w:type="character" w:customStyle="1" w:styleId="153">
    <w:name w:val="称呼 Char"/>
    <w:link w:val="17"/>
    <w:qFormat/>
    <w:uiPriority w:val="99"/>
    <w:rPr>
      <w:bCs/>
      <w:kern w:val="2"/>
      <w:sz w:val="28"/>
    </w:rPr>
  </w:style>
  <w:style w:type="character" w:customStyle="1" w:styleId="154">
    <w:name w:val="标题 2 Char Char"/>
    <w:qFormat/>
    <w:uiPriority w:val="0"/>
    <w:rPr>
      <w:rFonts w:ascii="Arial" w:hAnsi="Arial" w:eastAsia="黑体"/>
      <w:b/>
      <w:kern w:val="2"/>
      <w:sz w:val="28"/>
      <w:lang w:val="en-US" w:eastAsia="zh-CN" w:bidi="ar-SA"/>
    </w:rPr>
  </w:style>
  <w:style w:type="character" w:customStyle="1" w:styleId="155">
    <w:name w:val="font101"/>
    <w:qFormat/>
    <w:uiPriority w:val="0"/>
    <w:rPr>
      <w:rFonts w:hint="eastAsia" w:ascii="宋体" w:hAnsi="宋体" w:eastAsia="宋体" w:cs="宋体"/>
      <w:color w:val="000000"/>
      <w:sz w:val="21"/>
      <w:szCs w:val="21"/>
      <w:u w:val="single"/>
    </w:rPr>
  </w:style>
  <w:style w:type="character" w:customStyle="1" w:styleId="156">
    <w:name w:val="label"/>
    <w:qFormat/>
    <w:uiPriority w:val="0"/>
    <w:rPr>
      <w:color w:val="555555"/>
    </w:rPr>
  </w:style>
  <w:style w:type="character" w:customStyle="1" w:styleId="157">
    <w:name w:val="正文首行缩进两字符 Char Char"/>
    <w:qFormat/>
    <w:uiPriority w:val="0"/>
    <w:rPr>
      <w:rFonts w:eastAsia="宋体"/>
      <w:kern w:val="2"/>
      <w:sz w:val="21"/>
      <w:szCs w:val="24"/>
      <w:lang w:val="en-US" w:eastAsia="zh-CN" w:bidi="ar-SA"/>
    </w:rPr>
  </w:style>
  <w:style w:type="character" w:customStyle="1" w:styleId="158">
    <w:name w:val="modifier"/>
    <w:qFormat/>
    <w:uiPriority w:val="0"/>
    <w:rPr>
      <w:color w:val="FF0000"/>
    </w:rPr>
  </w:style>
  <w:style w:type="character" w:customStyle="1" w:styleId="159">
    <w:name w:val="标题 5 Char"/>
    <w:link w:val="8"/>
    <w:qFormat/>
    <w:uiPriority w:val="0"/>
    <w:rPr>
      <w:rFonts w:ascii="宋体"/>
      <w:b/>
      <w:sz w:val="28"/>
    </w:rPr>
  </w:style>
  <w:style w:type="character" w:customStyle="1" w:styleId="160">
    <w:name w:val="标题 7 Char"/>
    <w:link w:val="11"/>
    <w:qFormat/>
    <w:uiPriority w:val="0"/>
    <w:rPr>
      <w:rFonts w:ascii="宋体"/>
      <w:b/>
      <w:sz w:val="24"/>
    </w:rPr>
  </w:style>
  <w:style w:type="character" w:customStyle="1" w:styleId="161">
    <w:name w:val="列出段落 Char"/>
    <w:link w:val="93"/>
    <w:qFormat/>
    <w:uiPriority w:val="0"/>
    <w:rPr>
      <w:kern w:val="2"/>
      <w:sz w:val="21"/>
      <w:szCs w:val="24"/>
    </w:rPr>
  </w:style>
  <w:style w:type="character" w:customStyle="1" w:styleId="162">
    <w:name w:val="font91"/>
    <w:qFormat/>
    <w:uiPriority w:val="0"/>
    <w:rPr>
      <w:rFonts w:hint="eastAsia" w:ascii="宋体" w:hAnsi="宋体" w:eastAsia="宋体" w:cs="宋体"/>
      <w:color w:val="FF0000"/>
      <w:sz w:val="21"/>
      <w:szCs w:val="21"/>
      <w:u w:val="single"/>
    </w:rPr>
  </w:style>
  <w:style w:type="character" w:customStyle="1" w:styleId="163">
    <w:name w:val="Char Char9"/>
    <w:qFormat/>
    <w:uiPriority w:val="0"/>
    <w:rPr>
      <w:kern w:val="2"/>
      <w:sz w:val="21"/>
    </w:rPr>
  </w:style>
  <w:style w:type="character" w:customStyle="1" w:styleId="164">
    <w:name w:val="标题 9 Char"/>
    <w:link w:val="13"/>
    <w:qFormat/>
    <w:uiPriority w:val="0"/>
    <w:rPr>
      <w:rFonts w:ascii="Arial" w:hAnsi="Arial" w:eastAsia="黑体"/>
      <w:sz w:val="34"/>
    </w:rPr>
  </w:style>
  <w:style w:type="character" w:customStyle="1" w:styleId="165">
    <w:name w:val="GW-正文 Char"/>
    <w:link w:val="86"/>
    <w:qFormat/>
    <w:uiPriority w:val="0"/>
    <w:rPr>
      <w:rFonts w:eastAsia="仿宋_GB2312"/>
      <w:kern w:val="2"/>
      <w:sz w:val="24"/>
      <w:szCs w:val="24"/>
    </w:rPr>
  </w:style>
  <w:style w:type="character" w:customStyle="1" w:styleId="166">
    <w:name w:val="font111"/>
    <w:qFormat/>
    <w:uiPriority w:val="0"/>
    <w:rPr>
      <w:rFonts w:hint="default" w:ascii="Eʩ" w:hAnsi="Eʩ" w:eastAsia="Eʩ" w:cs="Eʩ"/>
      <w:color w:val="000000"/>
      <w:sz w:val="21"/>
      <w:szCs w:val="21"/>
      <w:u w:val="single"/>
    </w:rPr>
  </w:style>
  <w:style w:type="character" w:customStyle="1" w:styleId="167">
    <w:name w:val="正文文本缩进 Char"/>
    <w:link w:val="19"/>
    <w:qFormat/>
    <w:uiPriority w:val="0"/>
    <w:rPr>
      <w:kern w:val="2"/>
      <w:sz w:val="32"/>
    </w:rPr>
  </w:style>
  <w:style w:type="character" w:customStyle="1" w:styleId="168">
    <w:name w:val="批注主题 Char"/>
    <w:link w:val="40"/>
    <w:qFormat/>
    <w:uiPriority w:val="0"/>
    <w:rPr>
      <w:b/>
      <w:bCs/>
      <w:kern w:val="2"/>
      <w:sz w:val="21"/>
      <w:szCs w:val="24"/>
    </w:rPr>
  </w:style>
  <w:style w:type="character" w:customStyle="1" w:styleId="169">
    <w:name w:val="纯文本 Char"/>
    <w:link w:val="23"/>
    <w:qFormat/>
    <w:uiPriority w:val="0"/>
    <w:rPr>
      <w:rFonts w:ascii="宋体" w:hAnsi="Courier New"/>
      <w:sz w:val="34"/>
      <w:szCs w:val="21"/>
    </w:rPr>
  </w:style>
  <w:style w:type="character" w:customStyle="1" w:styleId="170">
    <w:name w:val="标题 4 Char"/>
    <w:link w:val="7"/>
    <w:qFormat/>
    <w:uiPriority w:val="0"/>
    <w:rPr>
      <w:rFonts w:ascii="Arial" w:hAnsi="Arial" w:eastAsia="黑体"/>
      <w:b/>
      <w:bCs/>
      <w:sz w:val="28"/>
      <w:szCs w:val="28"/>
    </w:rPr>
  </w:style>
  <w:style w:type="table" w:customStyle="1" w:styleId="171">
    <w:name w:val="Table Normal1"/>
    <w:unhideWhenUsed/>
    <w:qFormat/>
    <w:uiPriority w:val="2"/>
    <w:tblPr>
      <w:tblCellMar>
        <w:top w:w="0" w:type="dxa"/>
        <w:left w:w="0" w:type="dxa"/>
        <w:bottom w:w="0" w:type="dxa"/>
        <w:right w:w="0" w:type="dxa"/>
      </w:tblCellMar>
    </w:tblPr>
  </w:style>
  <w:style w:type="paragraph" w:customStyle="1" w:styleId="172">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3">
    <w:name w:val="正文文本 23"/>
    <w:basedOn w:val="1"/>
    <w:qFormat/>
    <w:uiPriority w:val="0"/>
    <w:pPr>
      <w:adjustRightInd w:val="0"/>
      <w:spacing w:line="300" w:lineRule="auto"/>
      <w:jc w:val="center"/>
      <w:textAlignment w:val="baseline"/>
    </w:pPr>
    <w:rPr>
      <w:rFonts w:hAnsi="宋体"/>
      <w:sz w:val="24"/>
    </w:rPr>
  </w:style>
  <w:style w:type="character" w:customStyle="1" w:styleId="174">
    <w:name w:val="img"/>
    <w:basedOn w:val="44"/>
    <w:qFormat/>
    <w:uiPriority w:val="0"/>
  </w:style>
  <w:style w:type="character" w:customStyle="1" w:styleId="175">
    <w:name w:val="img1"/>
    <w:basedOn w:val="44"/>
    <w:qFormat/>
    <w:uiPriority w:val="0"/>
  </w:style>
  <w:style w:type="character" w:customStyle="1" w:styleId="176">
    <w:name w:val="font11"/>
    <w:basedOn w:val="44"/>
    <w:qFormat/>
    <w:uiPriority w:val="0"/>
    <w:rPr>
      <w:rFonts w:hint="eastAsia" w:ascii="宋体" w:hAnsi="宋体" w:eastAsia="宋体" w:cs="宋体"/>
      <w:color w:val="000000"/>
      <w:sz w:val="24"/>
      <w:szCs w:val="24"/>
      <w:u w:val="none"/>
    </w:rPr>
  </w:style>
  <w:style w:type="character" w:customStyle="1" w:styleId="177">
    <w:name w:val="font01"/>
    <w:basedOn w:val="44"/>
    <w:qFormat/>
    <w:uiPriority w:val="0"/>
    <w:rPr>
      <w:rFonts w:hint="eastAsia" w:ascii="宋体" w:hAnsi="宋体" w:eastAsia="宋体" w:cs="宋体"/>
      <w:color w:val="000000"/>
      <w:sz w:val="22"/>
      <w:szCs w:val="22"/>
      <w:u w:val="none"/>
    </w:rPr>
  </w:style>
  <w:style w:type="character" w:customStyle="1" w:styleId="178">
    <w:name w:val="NormalCharacter"/>
    <w:qFormat/>
    <w:uiPriority w:val="0"/>
    <w:rPr>
      <w:kern w:val="2"/>
      <w:sz w:val="28"/>
      <w:szCs w:val="32"/>
      <w:lang w:val="en-US" w:eastAsia="zh-CN" w:bidi="ar-SA"/>
    </w:rPr>
  </w:style>
  <w:style w:type="paragraph" w:customStyle="1" w:styleId="179">
    <w:name w:val="WPSOffice手动目录 1"/>
    <w:qFormat/>
    <w:uiPriority w:val="0"/>
    <w:pPr>
      <w:ind w:leftChars="0"/>
    </w:pPr>
    <w:rPr>
      <w:rFonts w:ascii="Times New Roman" w:hAnsi="Times New Roman" w:eastAsia="宋体" w:cs="Times New Roman"/>
      <w:sz w:val="20"/>
      <w:szCs w:val="20"/>
    </w:rPr>
  </w:style>
  <w:style w:type="character" w:customStyle="1" w:styleId="180">
    <w:name w:val="hover1"/>
    <w:basedOn w:val="44"/>
    <w:qFormat/>
    <w:uiPriority w:val="0"/>
    <w:rPr>
      <w:color w:val="2590EB"/>
    </w:rPr>
  </w:style>
  <w:style w:type="character" w:customStyle="1" w:styleId="181">
    <w:name w:val="hover2"/>
    <w:basedOn w:val="44"/>
    <w:qFormat/>
    <w:uiPriority w:val="0"/>
    <w:rPr>
      <w:color w:val="2590EB"/>
    </w:rPr>
  </w:style>
  <w:style w:type="character" w:customStyle="1" w:styleId="182">
    <w:name w:val="hover3"/>
    <w:basedOn w:val="44"/>
    <w:qFormat/>
    <w:uiPriority w:val="0"/>
  </w:style>
  <w:style w:type="paragraph" w:customStyle="1" w:styleId="183">
    <w:name w:val="标题 5（有编号）（绿盟科技）"/>
    <w:basedOn w:val="1"/>
    <w:next w:val="184"/>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8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85">
    <w:name w:val="font2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E9642-EC2C-4C6D-8F3B-2ECC7AC2AFBE}">
  <ds:schemaRefs/>
</ds:datastoreItem>
</file>

<file path=docProps/app.xml><?xml version="1.0" encoding="utf-8"?>
<Properties xmlns="http://schemas.openxmlformats.org/officeDocument/2006/extended-properties" xmlns:vt="http://schemas.openxmlformats.org/officeDocument/2006/docPropsVTypes">
  <Template>Normal</Template>
  <Company>文汇电脑工作室</Company>
  <Pages>76</Pages>
  <Words>35895</Words>
  <Characters>39613</Characters>
  <Lines>236</Lines>
  <Paragraphs>66</Paragraphs>
  <TotalTime>0</TotalTime>
  <ScaleCrop>false</ScaleCrop>
  <LinksUpToDate>false</LinksUpToDate>
  <CharactersWithSpaces>41716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2020-07-27T10:47:00Z</dcterms:created>
  <dc:creator>雨林木风</dc:creator>
  <cp:lastModifiedBy>HXQ</cp:lastModifiedBy>
  <cp:lastPrinted>2021-01-27T06:59:00Z</cp:lastPrinted>
  <dcterms:modified xsi:type="dcterms:W3CDTF">2021-11-15T08:24:34Z</dcterms:modified>
  <dc:title>招标编号：xx政采招[xxxx] 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945FE97B1BB043868C9C7326CF39D482</vt:lpwstr>
  </property>
</Properties>
</file>