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hAnsi="宋体" w:cs="宋体"/>
          <w:b/>
          <w:bCs/>
          <w:sz w:val="24"/>
          <w:szCs w:val="24"/>
        </w:rPr>
      </w:pPr>
      <w:bookmarkStart w:id="0" w:name="_Toc29058"/>
      <w:r>
        <w:rPr>
          <w:rFonts w:hint="eastAsia" w:ascii="新宋体" w:hAnsi="新宋体" w:eastAsia="新宋体"/>
          <w:b/>
          <w:sz w:val="32"/>
          <w:szCs w:val="32"/>
        </w:rPr>
        <w:t xml:space="preserve"> </w:t>
      </w:r>
      <w:r>
        <w:rPr>
          <w:rFonts w:hint="eastAsia" w:hAnsi="宋体" w:cs="宋体"/>
          <w:b/>
          <w:bCs/>
          <w:sz w:val="24"/>
          <w:szCs w:val="24"/>
        </w:rPr>
        <w:t>采购项目编号：</w:t>
      </w:r>
      <w:r>
        <w:rPr>
          <w:rFonts w:hint="eastAsia" w:ascii="宋体" w:hAnsi="宋体" w:eastAsia="宋体" w:cs="宋体"/>
          <w:b/>
          <w:bCs/>
          <w:i w:val="0"/>
          <w:iCs w:val="0"/>
          <w:caps w:val="0"/>
          <w:spacing w:val="0"/>
          <w:sz w:val="24"/>
          <w:szCs w:val="24"/>
          <w:shd w:val="clear"/>
        </w:rPr>
        <w:t>双流政采（2021）B0241号</w:t>
      </w:r>
    </w:p>
    <w:bookmarkEnd w:id="0"/>
    <w:p>
      <w:pPr>
        <w:jc w:val="center"/>
        <w:rPr>
          <w:rFonts w:hint="eastAsia" w:hAnsi="宋体" w:eastAsia="新宋体" w:cs="宋体"/>
          <w:b/>
          <w:bCs/>
          <w:sz w:val="36"/>
          <w:szCs w:val="36"/>
        </w:rPr>
      </w:pPr>
    </w:p>
    <w:p>
      <w:pPr>
        <w:jc w:val="center"/>
        <w:rPr>
          <w:rFonts w:hint="eastAsia" w:ascii="新宋体" w:hAnsi="新宋体" w:eastAsia="新宋体"/>
          <w:b/>
          <w:sz w:val="36"/>
          <w:szCs w:val="36"/>
          <w:lang w:eastAsia="zh-CN"/>
        </w:rPr>
      </w:pPr>
      <w:r>
        <w:rPr>
          <w:rFonts w:hint="eastAsia" w:hAnsi="宋体" w:eastAsia="新宋体" w:cs="宋体"/>
          <w:b/>
          <w:bCs/>
          <w:sz w:val="36"/>
          <w:szCs w:val="36"/>
          <w:lang w:eastAsia="zh-CN"/>
        </w:rPr>
        <w:t>成都市双流区发展和改革局2021年政府性工程建设项目可行性研究报告（项目建议书）评审服务采购项目（第二次）</w:t>
      </w:r>
    </w:p>
    <w:p>
      <w:pPr>
        <w:spacing w:line="400" w:lineRule="atLeast"/>
        <w:rPr>
          <w:rFonts w:ascii="新宋体" w:hAnsi="新宋体" w:eastAsia="新宋体"/>
          <w:b/>
          <w:sz w:val="52"/>
          <w:szCs w:val="52"/>
        </w:rPr>
      </w:pPr>
    </w:p>
    <w:p>
      <w:pPr>
        <w:pStyle w:val="61"/>
        <w:rPr>
          <w:color w:val="auto"/>
        </w:rPr>
      </w:pPr>
    </w:p>
    <w:p>
      <w:pPr>
        <w:spacing w:line="400" w:lineRule="atLeast"/>
        <w:jc w:val="center"/>
        <w:rPr>
          <w:rFonts w:ascii="新宋体" w:hAnsi="新宋体" w:eastAsia="新宋体"/>
          <w:b/>
          <w:sz w:val="96"/>
          <w:szCs w:val="96"/>
        </w:rPr>
      </w:pPr>
      <w:bookmarkStart w:id="1" w:name="_Toc420327179"/>
      <w:bookmarkStart w:id="2" w:name="_Toc433106564"/>
      <w:bookmarkStart w:id="3" w:name="_Toc468095834"/>
      <w:bookmarkStart w:id="4" w:name="_Toc462647976"/>
      <w:bookmarkStart w:id="5" w:name="_Toc430594793"/>
      <w:bookmarkStart w:id="6" w:name="_Toc420496562"/>
      <w:bookmarkStart w:id="7" w:name="_Toc420327346"/>
      <w:bookmarkStart w:id="8" w:name="_Toc420584243"/>
      <w:bookmarkStart w:id="9" w:name="_Toc439244011"/>
      <w:bookmarkStart w:id="10" w:name="_Toc450810085"/>
      <w:bookmarkStart w:id="11" w:name="_Toc433707985"/>
      <w:bookmarkStart w:id="12" w:name="_Toc420327446"/>
      <w:bookmarkStart w:id="13" w:name="_Toc25671"/>
      <w:bookmarkStart w:id="14" w:name="_Toc469316181"/>
      <w:bookmarkStart w:id="15" w:name="_Toc469316021"/>
      <w:bookmarkStart w:id="16" w:name="_Toc420327028"/>
      <w:bookmarkStart w:id="17" w:name="_Toc468096180"/>
      <w:bookmarkStart w:id="18" w:name="_Toc420501700"/>
      <w:bookmarkStart w:id="19" w:name="_Toc434930258"/>
      <w:bookmarkStart w:id="20" w:name="_Toc448836910"/>
      <w:r>
        <w:rPr>
          <w:rFonts w:hint="eastAsia" w:ascii="新宋体" w:hAnsi="新宋体" w:eastAsia="新宋体"/>
          <w:b/>
          <w:sz w:val="96"/>
          <w:szCs w:val="96"/>
        </w:rPr>
        <w:t>招</w:t>
      </w:r>
    </w:p>
    <w:p>
      <w:pPr>
        <w:spacing w:line="400" w:lineRule="atLeast"/>
        <w:jc w:val="center"/>
        <w:rPr>
          <w:rFonts w:ascii="新宋体" w:hAnsi="新宋体" w:eastAsia="新宋体"/>
          <w:b/>
          <w:sz w:val="96"/>
          <w:szCs w:val="96"/>
        </w:rPr>
      </w:pPr>
      <w:r>
        <w:rPr>
          <w:rFonts w:hint="eastAsia" w:ascii="新宋体" w:hAnsi="新宋体" w:eastAsia="新宋体"/>
          <w:b/>
          <w:sz w:val="96"/>
          <w:szCs w:val="96"/>
        </w:rPr>
        <w:t>标</w:t>
      </w:r>
    </w:p>
    <w:p>
      <w:pPr>
        <w:spacing w:line="400" w:lineRule="atLeast"/>
        <w:jc w:val="center"/>
        <w:rPr>
          <w:rFonts w:ascii="新宋体" w:hAnsi="新宋体" w:eastAsia="新宋体"/>
          <w:b/>
          <w:sz w:val="96"/>
          <w:szCs w:val="96"/>
        </w:rPr>
      </w:pPr>
      <w:r>
        <w:rPr>
          <w:rFonts w:hint="eastAsia" w:ascii="新宋体" w:hAnsi="新宋体" w:eastAsia="新宋体"/>
          <w:b/>
          <w:sz w:val="96"/>
          <w:szCs w:val="96"/>
        </w:rPr>
        <w:t>文</w:t>
      </w:r>
    </w:p>
    <w:p>
      <w:pPr>
        <w:spacing w:line="400" w:lineRule="atLeast"/>
        <w:jc w:val="center"/>
        <w:rPr>
          <w:rFonts w:ascii="新宋体" w:hAnsi="新宋体" w:eastAsia="新宋体"/>
          <w:sz w:val="96"/>
          <w:szCs w:val="96"/>
        </w:rPr>
      </w:pPr>
      <w:r>
        <w:rPr>
          <w:rFonts w:hint="eastAsia" w:ascii="新宋体" w:hAnsi="新宋体" w:eastAsia="新宋体"/>
          <w:b/>
          <w:sz w:val="96"/>
          <w:szCs w:val="96"/>
        </w:rPr>
        <w:t>件</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61"/>
        <w:rPr>
          <w:color w:val="auto"/>
        </w:rPr>
      </w:pPr>
    </w:p>
    <w:p>
      <w:pPr>
        <w:pStyle w:val="61"/>
        <w:spacing w:line="360" w:lineRule="auto"/>
        <w:ind w:firstLine="3975" w:firstLineChars="1100"/>
        <w:rPr>
          <w:rFonts w:ascii="宋体" w:hAnsi="宋体" w:eastAsia="宋体" w:cs="宋体"/>
          <w:b/>
          <w:color w:val="auto"/>
          <w:kern w:val="2"/>
          <w:sz w:val="36"/>
          <w:szCs w:val="36"/>
        </w:rPr>
      </w:pPr>
      <w:r>
        <w:rPr>
          <w:rFonts w:hint="eastAsia" w:ascii="宋体" w:hAnsi="宋体" w:eastAsia="宋体" w:cs="宋体"/>
          <w:b/>
          <w:color w:val="auto"/>
          <w:kern w:val="2"/>
          <w:sz w:val="36"/>
          <w:szCs w:val="36"/>
        </w:rPr>
        <w:t>中国·四川</w:t>
      </w:r>
    </w:p>
    <w:p>
      <w:pPr>
        <w:pStyle w:val="61"/>
        <w:spacing w:line="360" w:lineRule="auto"/>
        <w:ind w:firstLine="1807" w:firstLineChars="500"/>
        <w:rPr>
          <w:rFonts w:ascii="宋体" w:hAnsi="宋体" w:eastAsia="宋体" w:cs="宋体"/>
          <w:b/>
          <w:color w:val="auto"/>
          <w:kern w:val="2"/>
          <w:sz w:val="36"/>
          <w:szCs w:val="36"/>
        </w:rPr>
      </w:pPr>
      <w:r>
        <w:rPr>
          <w:rFonts w:hint="eastAsia" w:ascii="宋体" w:hAnsi="宋体" w:eastAsia="宋体" w:cs="宋体"/>
          <w:b/>
          <w:color w:val="auto"/>
          <w:kern w:val="2"/>
          <w:sz w:val="36"/>
          <w:szCs w:val="36"/>
        </w:rPr>
        <w:t>采购人：成都市双流区发展和改革局</w:t>
      </w:r>
    </w:p>
    <w:p>
      <w:pPr>
        <w:pStyle w:val="61"/>
        <w:spacing w:line="360" w:lineRule="auto"/>
        <w:ind w:firstLine="1084" w:firstLineChars="300"/>
        <w:rPr>
          <w:rFonts w:ascii="宋体" w:hAnsi="宋体" w:eastAsia="宋体" w:cs="宋体"/>
          <w:b/>
          <w:color w:val="auto"/>
          <w:kern w:val="2"/>
          <w:sz w:val="36"/>
          <w:szCs w:val="36"/>
        </w:rPr>
      </w:pPr>
      <w:r>
        <w:rPr>
          <w:rFonts w:hint="eastAsia" w:ascii="宋体" w:hAnsi="宋体" w:eastAsia="宋体" w:cs="宋体"/>
          <w:b/>
          <w:color w:val="auto"/>
          <w:kern w:val="2"/>
          <w:sz w:val="36"/>
          <w:szCs w:val="36"/>
        </w:rPr>
        <w:t>采购代理机构：四川成化工程项目管理有限公司</w:t>
      </w:r>
    </w:p>
    <w:p>
      <w:pPr>
        <w:pStyle w:val="61"/>
        <w:spacing w:line="360" w:lineRule="auto"/>
        <w:ind w:firstLine="3975" w:firstLineChars="1100"/>
        <w:rPr>
          <w:rFonts w:ascii="宋体" w:hAnsi="宋体" w:eastAsia="宋体" w:cs="宋体"/>
          <w:b/>
          <w:color w:val="auto"/>
          <w:kern w:val="2"/>
          <w:sz w:val="36"/>
          <w:szCs w:val="36"/>
        </w:rPr>
      </w:pPr>
      <w:r>
        <w:rPr>
          <w:rFonts w:hint="eastAsia" w:ascii="宋体" w:hAnsi="宋体" w:eastAsia="宋体" w:cs="宋体"/>
          <w:b/>
          <w:color w:val="auto"/>
          <w:kern w:val="2"/>
          <w:sz w:val="36"/>
          <w:szCs w:val="36"/>
        </w:rPr>
        <w:t>共同编制</w:t>
      </w:r>
    </w:p>
    <w:p>
      <w:pPr>
        <w:pStyle w:val="61"/>
        <w:spacing w:line="360" w:lineRule="auto"/>
        <w:ind w:firstLine="3975" w:firstLineChars="1100"/>
        <w:rPr>
          <w:rFonts w:ascii="宋体" w:hAnsi="宋体" w:eastAsia="宋体" w:cs="宋体"/>
          <w:b/>
          <w:color w:val="auto"/>
          <w:kern w:val="2"/>
          <w:sz w:val="36"/>
          <w:szCs w:val="36"/>
        </w:rPr>
      </w:pPr>
      <w:r>
        <w:rPr>
          <w:rFonts w:hint="eastAsia" w:ascii="宋体" w:hAnsi="宋体" w:eastAsia="宋体" w:cs="宋体"/>
          <w:b/>
          <w:color w:val="auto"/>
          <w:kern w:val="2"/>
          <w:sz w:val="36"/>
          <w:szCs w:val="36"/>
        </w:rPr>
        <w:t>2021年</w:t>
      </w:r>
      <w:r>
        <w:rPr>
          <w:rFonts w:hint="eastAsia" w:ascii="宋体" w:hAnsi="宋体" w:eastAsia="宋体" w:cs="宋体"/>
          <w:b/>
          <w:color w:val="auto"/>
          <w:kern w:val="2"/>
          <w:sz w:val="36"/>
          <w:szCs w:val="36"/>
          <w:lang w:val="en-US" w:eastAsia="zh-CN"/>
        </w:rPr>
        <w:t>08</w:t>
      </w:r>
      <w:r>
        <w:rPr>
          <w:rFonts w:hint="eastAsia" w:ascii="宋体" w:hAnsi="宋体" w:eastAsia="宋体" w:cs="宋体"/>
          <w:b/>
          <w:color w:val="auto"/>
          <w:kern w:val="2"/>
          <w:sz w:val="36"/>
          <w:szCs w:val="36"/>
        </w:rPr>
        <w:t>月</w:t>
      </w:r>
    </w:p>
    <w:p>
      <w:pPr>
        <w:pStyle w:val="31"/>
        <w:tabs>
          <w:tab w:val="right" w:leader="dot" w:pos="9639"/>
        </w:tabs>
        <w:jc w:val="center"/>
        <w:rPr>
          <w:rFonts w:hAnsi="宋体"/>
          <w:bCs/>
          <w:sz w:val="36"/>
        </w:rPr>
        <w:sectPr>
          <w:footerReference r:id="rId3" w:type="default"/>
          <w:footerReference r:id="rId4" w:type="even"/>
          <w:pgSz w:w="11900" w:h="16840"/>
          <w:pgMar w:top="1382" w:right="1279" w:bottom="1877" w:left="1461" w:header="1374" w:footer="3" w:gutter="0"/>
          <w:pgNumType w:start="0"/>
          <w:cols w:space="720" w:num="1"/>
          <w:docGrid w:type="lines" w:linePitch="360" w:charSpace="0"/>
        </w:sectPr>
      </w:pPr>
      <w:bookmarkStart w:id="21" w:name="_Toc29231"/>
    </w:p>
    <w:p>
      <w:pPr>
        <w:pStyle w:val="31"/>
        <w:tabs>
          <w:tab w:val="right" w:leader="dot" w:pos="9639"/>
        </w:tabs>
        <w:jc w:val="center"/>
        <w:rPr>
          <w:rFonts w:hAnsi="宋体"/>
          <w:bCs/>
          <w:sz w:val="36"/>
        </w:rPr>
      </w:pPr>
      <w:r>
        <w:rPr>
          <w:rFonts w:hint="eastAsia" w:hAnsi="宋体"/>
          <w:bCs/>
          <w:sz w:val="36"/>
        </w:rPr>
        <w:t>目录</w:t>
      </w:r>
    </w:p>
    <w:p>
      <w:pPr>
        <w:rPr>
          <w:sz w:val="24"/>
        </w:rPr>
      </w:pPr>
    </w:p>
    <w:sdt>
      <w:sdtPr>
        <w:rPr>
          <w:rFonts w:ascii="宋体" w:hAnsi="宋体" w:eastAsia="宋体" w:cs="Times New Roman"/>
          <w:sz w:val="21"/>
          <w:lang w:val="en-US" w:eastAsia="zh-CN" w:bidi="ar-SA"/>
        </w:rPr>
        <w:id w:val="147466427"/>
        <w15:color w:val="DBDBDB"/>
        <w:docPartObj>
          <w:docPartGallery w:val="Table of Contents"/>
          <w:docPartUnique/>
        </w:docPartObj>
      </w:sdtPr>
      <w:sdtEndPr>
        <w:rPr>
          <w:rFonts w:ascii="宋体" w:hAnsi="宋体" w:eastAsia="宋体" w:cs="Times New Roman"/>
          <w:sz w:val="21"/>
          <w:lang w:val="en-US" w:eastAsia="zh-CN" w:bidi="ar-SA"/>
        </w:rPr>
      </w:sdtEndPr>
      <w:sdtConten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24"/>
              <w:szCs w:val="24"/>
            </w:rPr>
          </w:pPr>
        </w:p>
        <w:p>
          <w:pPr>
            <w:pStyle w:val="127"/>
            <w:tabs>
              <w:tab w:val="right" w:leader="dot" w:pos="916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TOC \o "1-1" \h \u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_Toc713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第一章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Cs/>
              <w:sz w:val="24"/>
              <w:szCs w:val="24"/>
            </w:rPr>
            <w:t>招标公告</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_Toc713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7"/>
            <w:tabs>
              <w:tab w:val="right" w:leader="dot" w:pos="916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_Toc19600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第二章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投标人须知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_Toc19600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7"/>
            <w:tabs>
              <w:tab w:val="right" w:leader="dot" w:pos="916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_Toc11112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第三章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投标文件格式</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_Toc11112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7"/>
            <w:tabs>
              <w:tab w:val="right" w:leader="dot" w:pos="916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_Toc16712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第四章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投标人和投标产品的资格、资质性及其他类似效力要求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_Toc16712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7"/>
            <w:tabs>
              <w:tab w:val="right" w:leader="dot" w:pos="916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_Toc29598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第五章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投标人应当提供的资格、资质性及其他类似效力要求的相关证明材料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_Toc29598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7"/>
            <w:tabs>
              <w:tab w:val="right" w:leader="dot" w:pos="916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_Toc7980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第六章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招标项目技术、服务、政府采购合同内容条款及其他商务要求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_Toc7980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7"/>
            <w:tabs>
              <w:tab w:val="right" w:leader="dot" w:pos="916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_Toc14720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rPr>
            <w:t>第七章　评标办法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_Toc14720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7"/>
            <w:tabs>
              <w:tab w:val="right" w:leader="dot" w:pos="916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_Toc9600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第八章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政府采购合同</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_Toc9600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r>
            <w:rPr>
              <w:rFonts w:hint="eastAsia" w:asciiTheme="minorEastAsia" w:hAnsiTheme="minorEastAsia" w:eastAsiaTheme="minorEastAsia" w:cstheme="minorEastAsia"/>
              <w:sz w:val="24"/>
              <w:szCs w:val="24"/>
            </w:rPr>
            <w:fldChar w:fldCharType="end"/>
          </w:r>
        </w:p>
      </w:sdtContent>
    </w:sdt>
    <w:p>
      <w:pPr>
        <w:adjustRightInd w:val="0"/>
        <w:snapToGrid w:val="0"/>
        <w:spacing w:line="360" w:lineRule="auto"/>
        <w:jc w:val="center"/>
        <w:outlineLvl w:val="9"/>
        <w:rPr>
          <w:rFonts w:hAnsi="宋体"/>
          <w:bCs/>
          <w:sz w:val="28"/>
          <w:szCs w:val="28"/>
        </w:rPr>
      </w:pPr>
    </w:p>
    <w:p>
      <w:pPr>
        <w:spacing w:line="520" w:lineRule="exact"/>
        <w:jc w:val="center"/>
        <w:outlineLvl w:val="0"/>
        <w:rPr>
          <w:b/>
          <w:bCs/>
        </w:rPr>
      </w:pPr>
      <w:r>
        <w:rPr>
          <w:rFonts w:hAnsi="宋体"/>
          <w:bCs/>
          <w:sz w:val="36"/>
        </w:rPr>
        <w:br w:type="page"/>
      </w:r>
      <w:bookmarkStart w:id="22" w:name="_Toc510520082"/>
      <w:bookmarkStart w:id="23" w:name="_Toc19316"/>
      <w:bookmarkStart w:id="24" w:name="_Toc4688"/>
      <w:bookmarkStart w:id="25" w:name="_Toc19677"/>
      <w:bookmarkStart w:id="26" w:name="_Toc24305"/>
      <w:bookmarkStart w:id="27" w:name="_Toc713"/>
      <w:r>
        <w:rPr>
          <w:rFonts w:hint="eastAsia" w:hAnsi="宋体"/>
          <w:sz w:val="36"/>
          <w:szCs w:val="36"/>
        </w:rPr>
        <w:t>第一章</w:t>
      </w:r>
      <w:bookmarkEnd w:id="21"/>
      <w:bookmarkEnd w:id="22"/>
      <w:bookmarkEnd w:id="23"/>
      <w:bookmarkEnd w:id="24"/>
      <w:bookmarkEnd w:id="25"/>
      <w:bookmarkEnd w:id="26"/>
      <w:bookmarkStart w:id="28" w:name="bookmark18"/>
      <w:bookmarkStart w:id="29" w:name="bookmark16"/>
      <w:bookmarkStart w:id="30" w:name="bookmark17"/>
      <w:r>
        <w:rPr>
          <w:rFonts w:hint="eastAsia" w:hAnsi="宋体"/>
          <w:sz w:val="36"/>
          <w:szCs w:val="36"/>
        </w:rPr>
        <w:t xml:space="preserve"> </w:t>
      </w:r>
      <w:r>
        <w:rPr>
          <w:b/>
          <w:bCs/>
        </w:rPr>
        <w:t>招标公告</w:t>
      </w:r>
      <w:bookmarkEnd w:id="27"/>
      <w:bookmarkEnd w:id="28"/>
      <w:bookmarkEnd w:id="29"/>
      <w:bookmarkEnd w:id="30"/>
    </w:p>
    <w:p>
      <w:pPr>
        <w:pStyle w:val="186"/>
        <w:keepNext w:val="0"/>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after="0" w:line="240" w:lineRule="auto"/>
        <w:ind w:firstLine="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项目概况</w:t>
      </w:r>
      <w:r>
        <w:rPr>
          <w:rFonts w:hint="eastAsia" w:asciiTheme="minorEastAsia" w:hAnsiTheme="minorEastAsia" w:eastAsiaTheme="minorEastAsia" w:cstheme="minorEastAsia"/>
          <w:sz w:val="21"/>
          <w:szCs w:val="21"/>
          <w:lang w:val="en-US" w:eastAsia="zh-CN"/>
        </w:rPr>
        <w:t xml:space="preserve">                 </w:t>
      </w:r>
    </w:p>
    <w:p>
      <w:pPr>
        <w:pStyle w:val="186"/>
        <w:keepNext w:val="0"/>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after="0" w:line="240" w:lineRule="auto"/>
        <w:ind w:firstLine="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u w:val="single"/>
          <w:lang w:val="en-US" w:eastAsia="zh-CN" w:bidi="ar-SA"/>
        </w:rPr>
        <w:t>成都市双流区发展和改革局2021年政府性工程建设项目可行性研究报告（项目建议书）评审服务采购项目（第二次）（釆购标的)</w:t>
      </w:r>
      <w:r>
        <w:rPr>
          <w:rFonts w:hint="eastAsia" w:asciiTheme="minorEastAsia" w:hAnsiTheme="minorEastAsia" w:eastAsiaTheme="minorEastAsia" w:cstheme="minorEastAsia"/>
          <w:sz w:val="21"/>
          <w:szCs w:val="21"/>
        </w:rPr>
        <w:t>招标项目的潜在投标人应在</w:t>
      </w:r>
      <w:r>
        <w:rPr>
          <w:rFonts w:hint="eastAsia" w:asciiTheme="minorEastAsia" w:hAnsiTheme="minorEastAsia" w:eastAsiaTheme="minorEastAsia" w:cstheme="minorEastAsia"/>
          <w:bCs/>
          <w:sz w:val="21"/>
          <w:szCs w:val="21"/>
          <w:u w:val="single"/>
          <w:lang w:val="en-US" w:eastAsia="zh-CN" w:bidi="ar-SA"/>
        </w:rPr>
        <w:t>成都市二环路南三段五号人南大厦B座3楼（地址）</w:t>
      </w:r>
      <w:r>
        <w:rPr>
          <w:rFonts w:hint="eastAsia" w:asciiTheme="minorEastAsia" w:hAnsiTheme="minorEastAsia" w:eastAsiaTheme="minorEastAsia" w:cstheme="minorEastAsia"/>
          <w:sz w:val="21"/>
          <w:szCs w:val="21"/>
        </w:rPr>
        <w:t>获取招标文件,并于</w:t>
      </w:r>
      <w:r>
        <w:rPr>
          <w:rFonts w:hint="eastAsia" w:asciiTheme="minorEastAsia" w:hAnsiTheme="minorEastAsia" w:eastAsiaTheme="minorEastAsia" w:cstheme="minorEastAsia"/>
          <w:bCs/>
          <w:sz w:val="21"/>
          <w:szCs w:val="21"/>
          <w:u w:val="single"/>
          <w:lang w:val="en-US" w:eastAsia="zh-CN" w:bidi="ar-SA"/>
        </w:rPr>
        <w:t>2021年08月30日10 点00分</w:t>
      </w:r>
      <w:r>
        <w:rPr>
          <w:rFonts w:hint="eastAsia" w:asciiTheme="minorEastAsia" w:hAnsiTheme="minorEastAsia" w:eastAsiaTheme="minorEastAsia" w:cstheme="minorEastAsia"/>
          <w:bCs/>
          <w:sz w:val="21"/>
          <w:szCs w:val="21"/>
          <w:lang w:val="en-US" w:eastAsia="zh-CN" w:bidi="ar-SA"/>
        </w:rPr>
        <w:t>（</w:t>
      </w:r>
      <w:r>
        <w:rPr>
          <w:rFonts w:hint="eastAsia" w:asciiTheme="minorEastAsia" w:hAnsiTheme="minorEastAsia" w:eastAsiaTheme="minorEastAsia" w:cstheme="minorEastAsia"/>
          <w:sz w:val="21"/>
          <w:szCs w:val="21"/>
        </w:rPr>
        <w:t>北京时间）前递交投标文件。</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一、项目基本情况</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项目编号</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 xml:space="preserve"> </w:t>
      </w:r>
      <w:r>
        <w:rPr>
          <w:rFonts w:hint="eastAsia" w:asciiTheme="minorEastAsia" w:hAnsiTheme="minorEastAsia" w:eastAsiaTheme="minorEastAsia" w:cstheme="minorEastAsia"/>
          <w:i w:val="0"/>
          <w:iCs w:val="0"/>
          <w:caps w:val="0"/>
          <w:spacing w:val="0"/>
          <w:sz w:val="21"/>
          <w:szCs w:val="21"/>
          <w:shd w:val="clear"/>
        </w:rPr>
        <w:t>双流政采（2021）B0241号</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项目名称：</w:t>
      </w:r>
      <w:r>
        <w:rPr>
          <w:rFonts w:hint="eastAsia" w:asciiTheme="minorEastAsia" w:hAnsiTheme="minorEastAsia" w:eastAsiaTheme="minorEastAsia" w:cstheme="minorEastAsia"/>
          <w:sz w:val="21"/>
          <w:szCs w:val="21"/>
          <w:lang w:val="en-US" w:eastAsia="zh-CN"/>
        </w:rPr>
        <w:t>成都市双流区发展和改革局2021年政府性工程建设项目可行性研究报告（项目建议书）评审服务采购项目（第</w:t>
      </w:r>
      <w:r>
        <w:rPr>
          <w:rFonts w:hint="eastAsia" w:asciiTheme="minorEastAsia" w:hAnsiTheme="minorEastAsia" w:eastAsiaTheme="minorEastAsia" w:cstheme="minorEastAsia"/>
          <w:sz w:val="21"/>
          <w:szCs w:val="21"/>
          <w:lang w:val="en-US" w:eastAsia="zh-CN"/>
        </w:rPr>
        <w:t>二次）</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预算金额：</w:t>
      </w:r>
      <w:r>
        <w:rPr>
          <w:rFonts w:hint="eastAsia" w:asciiTheme="minorEastAsia" w:hAnsiTheme="minorEastAsia" w:eastAsiaTheme="minorEastAsia" w:cstheme="minorEastAsia"/>
          <w:sz w:val="21"/>
          <w:szCs w:val="21"/>
          <w:lang w:val="en-US" w:eastAsia="zh-CN"/>
        </w:rPr>
        <w:t>80</w:t>
      </w:r>
      <w:r>
        <w:rPr>
          <w:rFonts w:hint="eastAsia" w:asciiTheme="minorEastAsia" w:hAnsiTheme="minorEastAsia" w:eastAsiaTheme="minorEastAsia" w:cstheme="minorEastAsia"/>
          <w:sz w:val="21"/>
          <w:szCs w:val="21"/>
        </w:rPr>
        <w:t>万元</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rPr>
        <w:t>最高限价：</w:t>
      </w:r>
      <w:r>
        <w:rPr>
          <w:rFonts w:hint="eastAsia" w:asciiTheme="minorEastAsia" w:hAnsiTheme="minorEastAsia" w:eastAsiaTheme="minorEastAsia" w:cstheme="minorEastAsia"/>
          <w:sz w:val="21"/>
          <w:szCs w:val="21"/>
          <w:lang w:val="en-US" w:eastAsia="zh-CN"/>
        </w:rPr>
        <w:t>1-2包均为</w:t>
      </w:r>
      <w:r>
        <w:rPr>
          <w:rFonts w:hint="eastAsia" w:asciiTheme="minorEastAsia" w:hAnsiTheme="minorEastAsia" w:eastAsiaTheme="minorEastAsia" w:cstheme="minorEastAsia"/>
          <w:sz w:val="21"/>
          <w:szCs w:val="21"/>
        </w:rPr>
        <w:t>最高限价=费用基准价×行业调整系数×投资规模调整系数×评审工作质量调整系数×</w:t>
      </w:r>
      <w:r>
        <w:rPr>
          <w:rFonts w:hint="eastAsia" w:asciiTheme="minorEastAsia" w:hAnsiTheme="minorEastAsia" w:eastAsiaTheme="minorEastAsia" w:cstheme="minorEastAsia"/>
          <w:sz w:val="21"/>
          <w:szCs w:val="21"/>
          <w:lang w:eastAsia="zh-CN"/>
        </w:rPr>
        <w:t>工程复杂程度调整系数</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釆购需求：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8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t>包件号</w:t>
            </w:r>
          </w:p>
        </w:tc>
        <w:tc>
          <w:tcPr>
            <w:tcW w:w="82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lang w:eastAsia="zh-CN"/>
              </w:rPr>
              <w:t>采购</w:t>
            </w:r>
            <w:r>
              <w:rPr>
                <w:rFonts w:hint="eastAsia" w:asciiTheme="minorEastAsia" w:hAnsiTheme="minorEastAsia" w:eastAsiaTheme="minorEastAsia" w:cstheme="minorEastAsia"/>
                <w:sz w:val="21"/>
                <w:szCs w:val="21"/>
              </w:rPr>
              <w:t>服务</w:t>
            </w:r>
            <w:r>
              <w:rPr>
                <w:rFonts w:hint="eastAsia" w:asciiTheme="minorEastAsia" w:hAnsiTheme="minorEastAsia" w:eastAsiaTheme="minorEastAsia" w:cstheme="minorEastAsia"/>
                <w:sz w:val="21"/>
                <w:szCs w:val="21"/>
                <w:lang w:eastAsia="zh-CN"/>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vertAlign w:val="baseline"/>
              </w:rPr>
            </w:pPr>
            <w:r>
              <w:rPr>
                <w:rFonts w:hint="eastAsia" w:asciiTheme="minorEastAsia" w:hAnsiTheme="minorEastAsia" w:eastAsiaTheme="minorEastAsia" w:cstheme="minorEastAsia"/>
                <w:sz w:val="21"/>
                <w:szCs w:val="21"/>
                <w:vertAlign w:val="baseline"/>
                <w:lang w:eastAsia="zh-CN"/>
              </w:rPr>
              <w:t>包件</w:t>
            </w:r>
            <w:r>
              <w:rPr>
                <w:rFonts w:hint="eastAsia" w:asciiTheme="minorEastAsia" w:hAnsiTheme="minorEastAsia" w:eastAsiaTheme="minorEastAsia" w:cstheme="minorEastAsia"/>
                <w:sz w:val="21"/>
                <w:szCs w:val="21"/>
                <w:vertAlign w:val="baseline"/>
                <w:lang w:val="en-US" w:eastAsia="zh-CN"/>
              </w:rPr>
              <w:t>1</w:t>
            </w:r>
          </w:p>
        </w:tc>
        <w:tc>
          <w:tcPr>
            <w:tcW w:w="82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1"/>
                <w:szCs w:val="21"/>
                <w:vertAlign w:val="baseline"/>
              </w:rPr>
            </w:pPr>
            <w:r>
              <w:rPr>
                <w:rFonts w:hint="eastAsia" w:asciiTheme="minorEastAsia" w:hAnsiTheme="minorEastAsia" w:eastAsiaTheme="minorEastAsia" w:cstheme="minorEastAsia"/>
                <w:sz w:val="21"/>
                <w:szCs w:val="21"/>
                <w:lang w:val="en-US" w:eastAsia="zh-CN" w:bidi="zh-TW"/>
              </w:rPr>
              <w:t>双流区新科局牵头实施的政府性工程建设项目的可行性研究报告或项目建议书的评审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vertAlign w:val="baseline"/>
              </w:rPr>
            </w:pPr>
            <w:r>
              <w:rPr>
                <w:rFonts w:hint="eastAsia" w:asciiTheme="minorEastAsia" w:hAnsiTheme="minorEastAsia" w:eastAsiaTheme="minorEastAsia" w:cstheme="minorEastAsia"/>
                <w:sz w:val="21"/>
                <w:szCs w:val="21"/>
                <w:vertAlign w:val="baseline"/>
                <w:lang w:eastAsia="zh-CN"/>
              </w:rPr>
              <w:t>包件</w:t>
            </w:r>
            <w:r>
              <w:rPr>
                <w:rFonts w:hint="eastAsia" w:asciiTheme="minorEastAsia" w:hAnsiTheme="minorEastAsia" w:eastAsiaTheme="minorEastAsia" w:cstheme="minorEastAsia"/>
                <w:sz w:val="21"/>
                <w:szCs w:val="21"/>
                <w:vertAlign w:val="baseline"/>
                <w:lang w:val="en-US" w:eastAsia="zh-CN"/>
              </w:rPr>
              <w:t>2</w:t>
            </w:r>
          </w:p>
        </w:tc>
        <w:tc>
          <w:tcPr>
            <w:tcW w:w="82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1"/>
                <w:szCs w:val="21"/>
                <w:vertAlign w:val="baseline"/>
              </w:rPr>
            </w:pPr>
            <w:r>
              <w:rPr>
                <w:rFonts w:hint="eastAsia" w:asciiTheme="minorEastAsia" w:hAnsiTheme="minorEastAsia" w:eastAsiaTheme="minorEastAsia" w:cstheme="minorEastAsia"/>
                <w:sz w:val="21"/>
                <w:szCs w:val="21"/>
                <w:lang w:val="en-US" w:eastAsia="zh-CN" w:bidi="zh-TW"/>
              </w:rPr>
              <w:t>双流区水务局牵头实施的政府性工程建设项目的可行性研究报告或项目建议书的评审</w:t>
            </w:r>
          </w:p>
        </w:tc>
      </w:tr>
    </w:tbl>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合同履行期限：</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eastAsia="zh-CN"/>
        </w:rPr>
        <w:t>合同履行期限：自合同签订之日起</w:t>
      </w:r>
      <w:r>
        <w:rPr>
          <w:rFonts w:hint="eastAsia" w:asciiTheme="minorEastAsia" w:hAnsiTheme="minorEastAsia" w:eastAsiaTheme="minorEastAsia" w:cstheme="minorEastAsia"/>
          <w:sz w:val="21"/>
          <w:szCs w:val="21"/>
          <w:lang w:val="en-US" w:eastAsia="zh-CN"/>
        </w:rPr>
        <w:t>1年。</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、项目交付地点：</w:t>
      </w:r>
      <w:r>
        <w:rPr>
          <w:rFonts w:hint="eastAsia" w:asciiTheme="minorEastAsia" w:hAnsiTheme="minorEastAsia" w:eastAsiaTheme="minorEastAsia" w:cstheme="minorEastAsia"/>
          <w:sz w:val="21"/>
          <w:szCs w:val="21"/>
          <w:lang w:eastAsia="zh-CN"/>
        </w:rPr>
        <w:t>成都市双流区发展和改革局</w:t>
      </w:r>
      <w:r>
        <w:rPr>
          <w:rFonts w:hint="eastAsia" w:asciiTheme="minorEastAsia" w:hAnsiTheme="minorEastAsia" w:eastAsiaTheme="minorEastAsia" w:cstheme="minorEastAsia"/>
          <w:sz w:val="21"/>
          <w:szCs w:val="21"/>
        </w:rPr>
        <w:t>。</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本项目是否接</w:t>
      </w:r>
      <w:r>
        <w:rPr>
          <w:rFonts w:hint="eastAsia" w:asciiTheme="minorEastAsia" w:hAnsiTheme="minorEastAsia" w:eastAsiaTheme="minorEastAsia" w:cstheme="minorEastAsia"/>
          <w:sz w:val="21"/>
          <w:szCs w:val="21"/>
          <w:lang w:eastAsia="zh-CN"/>
        </w:rPr>
        <w:t>受联合体投标：否。</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二</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 xml:space="preserve"> 申请人的资格要求：</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rPr>
      </w:pPr>
      <w:bookmarkStart w:id="31" w:name="bookmark19"/>
      <w:bookmarkEnd w:id="31"/>
      <w:r>
        <w:rPr>
          <w:rFonts w:hint="eastAsia" w:asciiTheme="minorEastAsia" w:hAnsiTheme="minorEastAsia" w:eastAsiaTheme="minorEastAsia" w:cstheme="minorEastAsia"/>
          <w:sz w:val="21"/>
          <w:szCs w:val="21"/>
          <w:lang w:val="en-US" w:eastAsia="zh-CN"/>
        </w:rPr>
        <w:t xml:space="preserve">  1、</w:t>
      </w:r>
      <w:r>
        <w:rPr>
          <w:rFonts w:hint="eastAsia" w:asciiTheme="minorEastAsia" w:hAnsiTheme="minorEastAsia" w:eastAsiaTheme="minorEastAsia" w:cstheme="minorEastAsia"/>
          <w:sz w:val="21"/>
          <w:szCs w:val="21"/>
        </w:rPr>
        <w:t>满足《中华人民共和国政府采购法》第二十二条规定；</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bookmarkStart w:id="32" w:name="bookmark20"/>
      <w:bookmarkEnd w:id="32"/>
      <w:r>
        <w:rPr>
          <w:rFonts w:hint="eastAsia" w:asciiTheme="minorEastAsia" w:hAnsiTheme="minorEastAsia" w:eastAsiaTheme="minorEastAsia" w:cstheme="minorEastAsia"/>
          <w:sz w:val="21"/>
          <w:szCs w:val="21"/>
          <w:lang w:val="en-US" w:eastAsia="zh-CN"/>
        </w:rPr>
        <w:t xml:space="preserve">  2、</w:t>
      </w:r>
      <w:r>
        <w:rPr>
          <w:rFonts w:hint="eastAsia" w:asciiTheme="minorEastAsia" w:hAnsiTheme="minorEastAsia" w:eastAsiaTheme="minorEastAsia" w:cstheme="minorEastAsia"/>
          <w:sz w:val="21"/>
          <w:szCs w:val="21"/>
        </w:rPr>
        <w:t>落实政府釆购政策需满足的资格要求：</w:t>
      </w:r>
      <w:r>
        <w:rPr>
          <w:rFonts w:hint="eastAsia" w:asciiTheme="minorEastAsia" w:hAnsiTheme="minorEastAsia" w:eastAsiaTheme="minorEastAsia" w:cstheme="minorEastAsia"/>
          <w:i w:val="0"/>
          <w:iCs w:val="0"/>
          <w:caps w:val="0"/>
          <w:color w:val="auto"/>
          <w:spacing w:val="0"/>
          <w:sz w:val="21"/>
          <w:szCs w:val="21"/>
          <w:highlight w:val="none"/>
          <w:shd w:val="clear" w:fill="auto"/>
        </w:rPr>
        <w:t>本项目专门面向中小企业采购(监狱企业、残疾人福利性单位均视同</w:t>
      </w:r>
      <w:r>
        <w:rPr>
          <w:rFonts w:hint="eastAsia" w:asciiTheme="minorEastAsia" w:hAnsiTheme="minorEastAsia" w:eastAsiaTheme="minorEastAsia" w:cstheme="minorEastAsia"/>
          <w:i w:val="0"/>
          <w:iCs w:val="0"/>
          <w:caps w:val="0"/>
          <w:color w:val="auto"/>
          <w:spacing w:val="0"/>
          <w:sz w:val="21"/>
          <w:szCs w:val="21"/>
          <w:highlight w:val="none"/>
          <w:shd w:val="clear"/>
          <w:lang w:eastAsia="zh-CN"/>
        </w:rPr>
        <w:t>中</w:t>
      </w:r>
      <w:r>
        <w:rPr>
          <w:rFonts w:hint="eastAsia" w:asciiTheme="minorEastAsia" w:hAnsiTheme="minorEastAsia" w:eastAsiaTheme="minorEastAsia" w:cstheme="minorEastAsia"/>
          <w:i w:val="0"/>
          <w:iCs w:val="0"/>
          <w:caps w:val="0"/>
          <w:color w:val="auto"/>
          <w:spacing w:val="0"/>
          <w:sz w:val="21"/>
          <w:szCs w:val="21"/>
          <w:highlight w:val="none"/>
          <w:shd w:val="clear" w:fill="auto"/>
        </w:rPr>
        <w:t>小微企业)，非中小企业参与的将视为无效投标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 xml:space="preserve">    </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  3、</w:t>
      </w:r>
      <w:r>
        <w:rPr>
          <w:rFonts w:hint="eastAsia" w:asciiTheme="minorEastAsia" w:hAnsiTheme="minorEastAsia" w:eastAsiaTheme="minorEastAsia" w:cstheme="minorEastAsia"/>
          <w:sz w:val="21"/>
          <w:szCs w:val="21"/>
        </w:rPr>
        <w:t>本项目的特定资格要求：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8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包件号</w:t>
            </w:r>
          </w:p>
        </w:tc>
        <w:tc>
          <w:tcPr>
            <w:tcW w:w="8445"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包件1</w:t>
            </w:r>
          </w:p>
        </w:tc>
        <w:tc>
          <w:tcPr>
            <w:tcW w:w="8445"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通过全国投资项目在线审批监管平台备案的工程咨询企业且具备电力（含火电、水电、核电、新能源）专业，服务范围包括评估咨询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包件2</w:t>
            </w:r>
          </w:p>
        </w:tc>
        <w:tc>
          <w:tcPr>
            <w:tcW w:w="8445"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通过全国投资项目在线审批监管平台备案的工程咨询企业且具备水利水电专业，服务范围包括评估咨询</w:t>
            </w:r>
          </w:p>
        </w:tc>
      </w:tr>
    </w:tbl>
    <w:p>
      <w:pPr>
        <w:pStyle w:val="186"/>
        <w:keepNext w:val="0"/>
        <w:keepLines w:val="0"/>
        <w:pageBreakBefore w:val="0"/>
        <w:widowControl w:val="0"/>
        <w:kinsoku/>
        <w:wordWrap/>
        <w:overflowPunct/>
        <w:topLinePunct w:val="0"/>
        <w:autoSpaceDE/>
        <w:autoSpaceDN/>
        <w:bidi w:val="0"/>
        <w:adjustRightInd/>
        <w:snapToGrid/>
        <w:spacing w:after="0" w:line="240" w:lineRule="auto"/>
        <w:ind w:firstLine="422" w:firstLineChars="200"/>
        <w:textAlignment w:val="auto"/>
        <w:rPr>
          <w:rFonts w:hint="eastAsia" w:asciiTheme="minorEastAsia" w:hAnsiTheme="minorEastAsia" w:eastAsiaTheme="minorEastAsia" w:cstheme="minorEastAsia"/>
          <w:b/>
          <w:bCs/>
          <w:sz w:val="21"/>
          <w:szCs w:val="21"/>
        </w:rPr>
      </w:pPr>
      <w:bookmarkStart w:id="33" w:name="bookmark21"/>
      <w:r>
        <w:rPr>
          <w:rFonts w:hint="eastAsia" w:asciiTheme="minorEastAsia" w:hAnsiTheme="minorEastAsia" w:eastAsiaTheme="minorEastAsia" w:cstheme="minorEastAsia"/>
          <w:b/>
          <w:bCs/>
          <w:sz w:val="21"/>
          <w:szCs w:val="21"/>
        </w:rPr>
        <w:t>三</w:t>
      </w:r>
      <w:bookmarkEnd w:id="33"/>
      <w:r>
        <w:rPr>
          <w:rFonts w:hint="eastAsia" w:asciiTheme="minorEastAsia" w:hAnsiTheme="minorEastAsia" w:eastAsiaTheme="minorEastAsia" w:cstheme="minorEastAsia"/>
          <w:b/>
          <w:bCs/>
          <w:sz w:val="21"/>
          <w:szCs w:val="21"/>
        </w:rPr>
        <w:t>、获取招标文件</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时间：</w:t>
      </w:r>
      <w:r>
        <w:rPr>
          <w:rFonts w:hint="eastAsia" w:asciiTheme="minorEastAsia" w:hAnsiTheme="minorEastAsia" w:eastAsiaTheme="minorEastAsia" w:cstheme="minorEastAsia"/>
          <w:sz w:val="21"/>
          <w:szCs w:val="21"/>
          <w:u w:val="single"/>
          <w:lang w:val="en-US" w:eastAsia="zh-CN"/>
        </w:rPr>
        <w:t>2021年08</w:t>
      </w:r>
      <w:r>
        <w:rPr>
          <w:rFonts w:hint="eastAsia" w:asciiTheme="minorEastAsia" w:hAnsiTheme="minorEastAsia" w:eastAsiaTheme="minorEastAsia" w:cstheme="minorEastAsia"/>
          <w:sz w:val="21"/>
          <w:szCs w:val="21"/>
          <w:u w:val="single"/>
          <w:lang w:val="zh-CN" w:eastAsia="zh-CN"/>
        </w:rPr>
        <w:t>月</w:t>
      </w:r>
      <w:r>
        <w:rPr>
          <w:rFonts w:hint="eastAsia" w:asciiTheme="minorEastAsia" w:hAnsiTheme="minorEastAsia" w:eastAsiaTheme="minorEastAsia" w:cstheme="minorEastAsia"/>
          <w:sz w:val="21"/>
          <w:szCs w:val="21"/>
          <w:u w:val="single"/>
          <w:lang w:val="en-US" w:eastAsia="zh-CN"/>
        </w:rPr>
        <w:t>09</w:t>
      </w:r>
      <w:r>
        <w:rPr>
          <w:rFonts w:hint="eastAsia" w:asciiTheme="minorEastAsia" w:hAnsiTheme="minorEastAsia" w:eastAsiaTheme="minorEastAsia" w:cstheme="minorEastAsia"/>
          <w:bCs/>
          <w:sz w:val="21"/>
          <w:szCs w:val="21"/>
          <w:u w:val="single"/>
          <w:lang w:val="en-US" w:eastAsia="zh-CN" w:bidi="ar-SA"/>
        </w:rPr>
        <w:t>日</w:t>
      </w:r>
      <w:r>
        <w:rPr>
          <w:rFonts w:hint="eastAsia" w:asciiTheme="minorEastAsia" w:hAnsiTheme="minorEastAsia" w:eastAsiaTheme="minorEastAsia" w:cstheme="minorEastAsia"/>
          <w:sz w:val="21"/>
          <w:szCs w:val="21"/>
          <w:lang w:val="zh-CN" w:eastAsia="zh-CN" w:bidi="zh-CN"/>
        </w:rPr>
        <w:t>至</w:t>
      </w:r>
      <w:r>
        <w:rPr>
          <w:rFonts w:hint="eastAsia" w:asciiTheme="minorEastAsia" w:hAnsiTheme="minorEastAsia" w:eastAsiaTheme="minorEastAsia" w:cstheme="minorEastAsia"/>
          <w:sz w:val="21"/>
          <w:szCs w:val="21"/>
          <w:u w:val="single"/>
          <w:lang w:val="en-US" w:eastAsia="zh-CN" w:bidi="zh-CN"/>
        </w:rPr>
        <w:t>2021</w:t>
      </w:r>
      <w:r>
        <w:rPr>
          <w:rFonts w:hint="eastAsia" w:asciiTheme="minorEastAsia" w:hAnsiTheme="minorEastAsia" w:eastAsiaTheme="minorEastAsia" w:cstheme="minorEastAsia"/>
          <w:sz w:val="21"/>
          <w:szCs w:val="21"/>
          <w:u w:val="single"/>
        </w:rPr>
        <w:t>年</w:t>
      </w:r>
      <w:r>
        <w:rPr>
          <w:rFonts w:hint="eastAsia" w:asciiTheme="minorEastAsia" w:hAnsiTheme="minorEastAsia" w:eastAsiaTheme="minorEastAsia" w:cstheme="minorEastAsia"/>
          <w:sz w:val="21"/>
          <w:szCs w:val="21"/>
          <w:u w:val="single"/>
          <w:lang w:val="en-US" w:eastAsia="zh-CN"/>
        </w:rPr>
        <w:t>08</w:t>
      </w:r>
      <w:r>
        <w:rPr>
          <w:rFonts w:hint="eastAsia" w:asciiTheme="minorEastAsia" w:hAnsiTheme="minorEastAsia" w:eastAsiaTheme="minorEastAsia" w:cstheme="minorEastAsia"/>
          <w:sz w:val="21"/>
          <w:szCs w:val="21"/>
          <w:u w:val="single"/>
          <w:lang w:val="zh-CN" w:eastAsia="zh-CN" w:bidi="zh-CN"/>
        </w:rPr>
        <w:t>月</w:t>
      </w:r>
      <w:r>
        <w:rPr>
          <w:rFonts w:hint="eastAsia" w:asciiTheme="minorEastAsia" w:hAnsiTheme="minorEastAsia" w:eastAsiaTheme="minorEastAsia" w:cstheme="minorEastAsia"/>
          <w:sz w:val="21"/>
          <w:szCs w:val="21"/>
          <w:u w:val="single"/>
          <w:lang w:val="en-US" w:eastAsia="zh-CN" w:bidi="zh-CN"/>
        </w:rPr>
        <w:t>13日；</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地点</w:t>
      </w:r>
      <w:r>
        <w:rPr>
          <w:rFonts w:hint="eastAsia" w:asciiTheme="minorEastAsia" w:hAnsiTheme="minorEastAsia" w:eastAsiaTheme="minorEastAsia" w:cstheme="minorEastAsia"/>
          <w:bCs/>
          <w:sz w:val="21"/>
          <w:szCs w:val="21"/>
          <w:u w:val="single"/>
          <w:lang w:eastAsia="zh-CN"/>
        </w:rPr>
        <w:t>：</w:t>
      </w:r>
      <w:r>
        <w:rPr>
          <w:rFonts w:hint="eastAsia" w:asciiTheme="minorEastAsia" w:hAnsiTheme="minorEastAsia" w:eastAsiaTheme="minorEastAsia" w:cstheme="minorEastAsia"/>
          <w:bCs/>
          <w:i w:val="0"/>
          <w:iCs w:val="0"/>
          <w:caps w:val="0"/>
          <w:color w:val="auto"/>
          <w:spacing w:val="0"/>
          <w:sz w:val="21"/>
          <w:szCs w:val="21"/>
          <w:u w:val="single"/>
          <w:shd w:val="clear" w:fill="auto"/>
          <w:lang w:eastAsia="zh-CN"/>
        </w:rPr>
        <w:t>通过</w:t>
      </w:r>
      <w:r>
        <w:rPr>
          <w:rFonts w:hint="eastAsia" w:asciiTheme="minorEastAsia" w:hAnsiTheme="minorEastAsia" w:eastAsiaTheme="minorEastAsia" w:cstheme="minorEastAsia"/>
          <w:bCs/>
          <w:i w:val="0"/>
          <w:iCs w:val="0"/>
          <w:caps w:val="0"/>
          <w:spacing w:val="0"/>
          <w:sz w:val="21"/>
          <w:szCs w:val="21"/>
          <w:u w:val="single"/>
          <w:shd w:val="clear"/>
          <w:lang w:eastAsia="zh-CN"/>
        </w:rPr>
        <w:t>网络获取</w:t>
      </w:r>
      <w:r>
        <w:rPr>
          <w:rFonts w:hint="eastAsia" w:asciiTheme="minorEastAsia" w:hAnsiTheme="minorEastAsia" w:eastAsiaTheme="minorEastAsia" w:cstheme="minorEastAsia"/>
          <w:bCs/>
          <w:i w:val="0"/>
          <w:iCs w:val="0"/>
          <w:caps w:val="0"/>
          <w:color w:val="auto"/>
          <w:spacing w:val="0"/>
          <w:sz w:val="21"/>
          <w:szCs w:val="21"/>
          <w:u w:val="single"/>
          <w:shd w:val="clear" w:fill="auto"/>
          <w:lang w:eastAsia="zh-CN"/>
        </w:rPr>
        <w:t>或</w:t>
      </w:r>
      <w:r>
        <w:rPr>
          <w:rFonts w:hint="eastAsia" w:asciiTheme="minorEastAsia" w:hAnsiTheme="minorEastAsia" w:eastAsiaTheme="minorEastAsia" w:cstheme="minorEastAsia"/>
          <w:bCs/>
          <w:i w:val="0"/>
          <w:iCs w:val="0"/>
          <w:caps w:val="0"/>
          <w:spacing w:val="0"/>
          <w:sz w:val="21"/>
          <w:szCs w:val="21"/>
          <w:u w:val="single"/>
          <w:shd w:val="clear"/>
          <w:lang w:eastAsia="zh-CN"/>
        </w:rPr>
        <w:t>通过四川成化工程项目管理有限公司（</w:t>
      </w:r>
      <w:r>
        <w:rPr>
          <w:rFonts w:hint="eastAsia" w:asciiTheme="minorEastAsia" w:hAnsiTheme="minorEastAsia" w:eastAsiaTheme="minorEastAsia" w:cstheme="minorEastAsia"/>
          <w:bCs/>
          <w:sz w:val="21"/>
          <w:szCs w:val="21"/>
          <w:u w:val="single"/>
        </w:rPr>
        <w:t>成都市二环路南三段5号人南大厦B座</w:t>
      </w:r>
      <w:r>
        <w:rPr>
          <w:rFonts w:hint="eastAsia" w:asciiTheme="minorEastAsia" w:hAnsiTheme="minorEastAsia" w:eastAsiaTheme="minorEastAsia" w:cstheme="minorEastAsia"/>
          <w:bCs/>
          <w:sz w:val="21"/>
          <w:szCs w:val="21"/>
          <w:u w:val="single"/>
          <w:lang w:val="en-US" w:eastAsia="zh-CN"/>
        </w:rPr>
        <w:t>3</w:t>
      </w:r>
      <w:r>
        <w:rPr>
          <w:rFonts w:hint="eastAsia" w:asciiTheme="minorEastAsia" w:hAnsiTheme="minorEastAsia" w:eastAsiaTheme="minorEastAsia" w:cstheme="minorEastAsia"/>
          <w:bCs/>
          <w:sz w:val="21"/>
          <w:szCs w:val="21"/>
          <w:u w:val="single"/>
        </w:rPr>
        <w:t>楼</w:t>
      </w:r>
      <w:r>
        <w:rPr>
          <w:rFonts w:hint="eastAsia" w:asciiTheme="minorEastAsia" w:hAnsiTheme="minorEastAsia" w:eastAsiaTheme="minorEastAsia" w:cstheme="minorEastAsia"/>
          <w:bCs/>
          <w:i w:val="0"/>
          <w:iCs w:val="0"/>
          <w:caps w:val="0"/>
          <w:spacing w:val="0"/>
          <w:sz w:val="21"/>
          <w:szCs w:val="21"/>
          <w:u w:val="single"/>
          <w:shd w:val="clear"/>
          <w:lang w:eastAsia="zh-CN"/>
        </w:rPr>
        <w:t>）现场获取</w:t>
      </w:r>
      <w:r>
        <w:rPr>
          <w:rFonts w:hint="eastAsia" w:asciiTheme="minorEastAsia" w:hAnsiTheme="minorEastAsia" w:eastAsiaTheme="minorEastAsia" w:cstheme="minorEastAsia"/>
          <w:bCs/>
          <w:sz w:val="21"/>
          <w:szCs w:val="21"/>
          <w:u w:val="none"/>
          <w:lang w:eastAsia="zh-CN"/>
        </w:rPr>
        <w:t>。</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bCs/>
          <w:sz w:val="21"/>
          <w:szCs w:val="21"/>
          <w:u w:val="single"/>
          <w:lang w:eastAsia="zh-CN"/>
        </w:rPr>
      </w:pPr>
      <w:r>
        <w:rPr>
          <w:rFonts w:hint="eastAsia" w:asciiTheme="minorEastAsia" w:hAnsiTheme="minorEastAsia" w:eastAsiaTheme="minorEastAsia" w:cstheme="minorEastAsia"/>
          <w:sz w:val="21"/>
          <w:szCs w:val="21"/>
        </w:rPr>
        <w:t>方式：</w:t>
      </w:r>
      <w:r>
        <w:rPr>
          <w:rFonts w:hint="eastAsia" w:asciiTheme="minorEastAsia" w:hAnsiTheme="minorEastAsia" w:eastAsiaTheme="minorEastAsia" w:cstheme="minorEastAsia"/>
          <w:bCs/>
          <w:i w:val="0"/>
          <w:iCs w:val="0"/>
          <w:caps w:val="0"/>
          <w:color w:val="auto"/>
          <w:spacing w:val="0"/>
          <w:sz w:val="21"/>
          <w:szCs w:val="21"/>
          <w:u w:val="single"/>
          <w:shd w:val="clear" w:fill="auto"/>
          <w:lang w:eastAsia="zh-CN"/>
        </w:rPr>
        <w:t>网上报名或现场报名。1.供应商将填写完整的报名登记表（格式见公告附件）、单位介绍信或授权委托书（格式见公告附件）、经办人身份证复印件盖章扫描发送至我司邮箱（</w:t>
      </w:r>
      <w:r>
        <w:rPr>
          <w:rFonts w:hint="eastAsia" w:asciiTheme="minorEastAsia" w:hAnsiTheme="minorEastAsia" w:eastAsiaTheme="minorEastAsia" w:cstheme="minorEastAsia"/>
          <w:bCs/>
          <w:i w:val="0"/>
          <w:iCs w:val="0"/>
          <w:caps w:val="0"/>
          <w:spacing w:val="0"/>
          <w:sz w:val="21"/>
          <w:szCs w:val="21"/>
          <w:u w:val="single"/>
          <w:shd w:val="clear"/>
          <w:lang w:val="en-US" w:eastAsia="zh-CN"/>
        </w:rPr>
        <w:t>sichuanchenghua</w:t>
      </w:r>
      <w:r>
        <w:rPr>
          <w:rFonts w:hint="eastAsia" w:asciiTheme="minorEastAsia" w:hAnsiTheme="minorEastAsia" w:eastAsiaTheme="minorEastAsia" w:cstheme="minorEastAsia"/>
          <w:bCs/>
          <w:i w:val="0"/>
          <w:iCs w:val="0"/>
          <w:caps w:val="0"/>
          <w:color w:val="auto"/>
          <w:spacing w:val="0"/>
          <w:sz w:val="21"/>
          <w:szCs w:val="21"/>
          <w:u w:val="single"/>
          <w:shd w:val="clear" w:fill="auto"/>
          <w:lang w:eastAsia="zh-CN"/>
        </w:rPr>
        <w:t>@163.com）后致电我司（联系电话：028-</w:t>
      </w:r>
      <w:r>
        <w:rPr>
          <w:rFonts w:hint="eastAsia" w:asciiTheme="minorEastAsia" w:hAnsiTheme="minorEastAsia" w:eastAsiaTheme="minorEastAsia" w:cstheme="minorEastAsia"/>
          <w:bCs/>
          <w:i w:val="0"/>
          <w:iCs w:val="0"/>
          <w:caps w:val="0"/>
          <w:spacing w:val="0"/>
          <w:sz w:val="21"/>
          <w:szCs w:val="21"/>
          <w:u w:val="single"/>
          <w:shd w:val="clear"/>
          <w:lang w:val="en-US" w:eastAsia="zh-CN"/>
        </w:rPr>
        <w:t>85001368</w:t>
      </w:r>
      <w:r>
        <w:rPr>
          <w:rFonts w:hint="eastAsia" w:asciiTheme="minorEastAsia" w:hAnsiTheme="minorEastAsia" w:eastAsiaTheme="minorEastAsia" w:cstheme="minorEastAsia"/>
          <w:bCs/>
          <w:i w:val="0"/>
          <w:iCs w:val="0"/>
          <w:caps w:val="0"/>
          <w:color w:val="auto"/>
          <w:spacing w:val="0"/>
          <w:sz w:val="21"/>
          <w:szCs w:val="21"/>
          <w:u w:val="single"/>
          <w:shd w:val="clear" w:fill="auto"/>
          <w:lang w:eastAsia="zh-CN"/>
        </w:rPr>
        <w:t>）。2.现场报名的供应商按下述流程完成报名手续：供应商将填写完整的报名登记表（格式见公告附件）、单位介绍信或授权委托书（格式见公告附件）、经办人身份证复印件盖章后现场递交后视为报名成功。(采购文件售后不退,投标资格不得转让)</w:t>
      </w:r>
      <w:r>
        <w:rPr>
          <w:rFonts w:hint="eastAsia" w:asciiTheme="minorEastAsia" w:hAnsiTheme="minorEastAsia" w:eastAsiaTheme="minorEastAsia" w:cstheme="minorEastAsia"/>
          <w:bCs/>
          <w:sz w:val="21"/>
          <w:szCs w:val="21"/>
          <w:u w:val="single"/>
          <w:lang w:eastAsia="zh-CN"/>
        </w:rPr>
        <w:t>。</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售价：</w:t>
      </w:r>
      <w:r>
        <w:rPr>
          <w:rFonts w:hint="eastAsia" w:asciiTheme="minorEastAsia" w:hAnsiTheme="minorEastAsia" w:eastAsiaTheme="minorEastAsia" w:cstheme="minorEastAsia"/>
          <w:sz w:val="21"/>
          <w:szCs w:val="21"/>
          <w:lang w:val="en-US" w:eastAsia="zh-CN"/>
        </w:rPr>
        <w:t xml:space="preserve">人民币0元/份（除非本招标项目终止，招标文件售后不退,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mailto:投标资格不能转让）。获取磋商文件时，供应商将以下资料扫描件（供应商为法人或者其他组织的，只需提供单位介绍信（加盖单位公章）、经办人身份证明(加盖单位公章)；供应商为自然人的，只需提供本人身份证明发送到870552562@qq.comhou"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lang w:val="en-US" w:eastAsia="zh-CN"/>
        </w:rPr>
        <w:t>投标资格不能转让）。</w:t>
      </w:r>
      <w:r>
        <w:rPr>
          <w:rFonts w:hint="eastAsia" w:asciiTheme="minorEastAsia" w:hAnsiTheme="minorEastAsia" w:eastAsiaTheme="minorEastAsia" w:cstheme="minorEastAsia"/>
          <w:sz w:val="21"/>
          <w:szCs w:val="21"/>
          <w:lang w:val="en-US" w:eastAsia="zh-CN"/>
        </w:rPr>
        <w:fldChar w:fldCharType="end"/>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四</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 xml:space="preserve"> 提交投标文件截止时间</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开标时间和地点</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bidi="ar-SA"/>
        </w:rPr>
        <w:t>时间：</w:t>
      </w:r>
      <w:r>
        <w:rPr>
          <w:rFonts w:hint="eastAsia" w:asciiTheme="minorEastAsia" w:hAnsiTheme="minorEastAsia" w:eastAsiaTheme="minorEastAsia" w:cstheme="minorEastAsia"/>
          <w:bCs/>
          <w:sz w:val="21"/>
          <w:szCs w:val="21"/>
          <w:u w:val="single"/>
          <w:lang w:val="en-US" w:eastAsia="zh-CN" w:bidi="ar-SA"/>
        </w:rPr>
        <w:t>2021年08</w:t>
      </w:r>
      <w:r>
        <w:rPr>
          <w:rFonts w:hint="eastAsia" w:asciiTheme="minorEastAsia" w:hAnsiTheme="minorEastAsia" w:eastAsiaTheme="minorEastAsia" w:cstheme="minorEastAsia"/>
          <w:bCs/>
          <w:sz w:val="21"/>
          <w:szCs w:val="21"/>
          <w:u w:val="single"/>
          <w:lang w:val="zh-CN" w:eastAsia="zh-CN" w:bidi="ar-SA"/>
        </w:rPr>
        <w:t>月</w:t>
      </w:r>
      <w:r>
        <w:rPr>
          <w:rFonts w:hint="eastAsia" w:asciiTheme="minorEastAsia" w:hAnsiTheme="minorEastAsia" w:eastAsiaTheme="minorEastAsia" w:cstheme="minorEastAsia"/>
          <w:bCs/>
          <w:sz w:val="21"/>
          <w:szCs w:val="21"/>
          <w:u w:val="single"/>
          <w:lang w:val="en-US" w:eastAsia="zh-CN" w:bidi="ar-SA"/>
        </w:rPr>
        <w:t>30日10点00分</w:t>
      </w:r>
      <w:r>
        <w:rPr>
          <w:rFonts w:hint="eastAsia" w:asciiTheme="minorEastAsia" w:hAnsiTheme="minorEastAsia" w:eastAsiaTheme="minorEastAsia" w:cstheme="minorEastAsia"/>
          <w:sz w:val="21"/>
          <w:szCs w:val="21"/>
        </w:rPr>
        <w:t>（北京时间）</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地点：</w:t>
      </w:r>
      <w:r>
        <w:rPr>
          <w:rFonts w:hint="eastAsia" w:asciiTheme="minorEastAsia" w:hAnsiTheme="minorEastAsia" w:eastAsiaTheme="minorEastAsia" w:cstheme="minorEastAsia"/>
          <w:bCs/>
          <w:sz w:val="21"/>
          <w:szCs w:val="21"/>
          <w:u w:val="single"/>
        </w:rPr>
        <w:t>成都市二环路南三段5号人南大厦B座</w:t>
      </w:r>
      <w:r>
        <w:rPr>
          <w:rFonts w:hint="eastAsia" w:asciiTheme="minorEastAsia" w:hAnsiTheme="minorEastAsia" w:eastAsiaTheme="minorEastAsia" w:cstheme="minorEastAsia"/>
          <w:bCs/>
          <w:sz w:val="21"/>
          <w:szCs w:val="21"/>
          <w:u w:val="single"/>
          <w:lang w:val="en-US" w:eastAsia="zh-CN"/>
        </w:rPr>
        <w:t>3</w:t>
      </w:r>
      <w:r>
        <w:rPr>
          <w:rFonts w:hint="eastAsia" w:asciiTheme="minorEastAsia" w:hAnsiTheme="minorEastAsia" w:eastAsiaTheme="minorEastAsia" w:cstheme="minorEastAsia"/>
          <w:bCs/>
          <w:sz w:val="21"/>
          <w:szCs w:val="21"/>
          <w:u w:val="single"/>
        </w:rPr>
        <w:t>楼</w:t>
      </w:r>
      <w:r>
        <w:rPr>
          <w:rFonts w:hint="eastAsia" w:asciiTheme="minorEastAsia" w:hAnsiTheme="minorEastAsia" w:eastAsiaTheme="minorEastAsia" w:cstheme="minorEastAsia"/>
          <w:bCs/>
          <w:sz w:val="21"/>
          <w:szCs w:val="21"/>
          <w:u w:val="single"/>
          <w:lang w:eastAsia="zh-CN"/>
        </w:rPr>
        <w:t>开标室。</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五</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公告期限</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自本公告发布之日起5个工作日。</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六、</w:t>
      </w:r>
      <w:r>
        <w:rPr>
          <w:rFonts w:hint="eastAsia" w:asciiTheme="minorEastAsia" w:hAnsiTheme="minorEastAsia" w:eastAsiaTheme="minorEastAsia" w:cstheme="minorEastAsia"/>
          <w:b/>
          <w:bCs/>
          <w:sz w:val="21"/>
          <w:szCs w:val="21"/>
        </w:rPr>
        <w:t>其他补充事宜</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bookmarkStart w:id="34" w:name="bookmark22"/>
      <w:r>
        <w:rPr>
          <w:rFonts w:hint="eastAsia" w:asciiTheme="minorEastAsia" w:hAnsiTheme="minorEastAsia" w:eastAsiaTheme="minorEastAsia" w:cstheme="minorEastAsia"/>
          <w:sz w:val="21"/>
          <w:szCs w:val="21"/>
          <w:lang w:val="en-US" w:eastAsia="zh-CN"/>
        </w:rPr>
        <w:t>本项目可开展政府采购信用融资。根据《四川省财政厅关于推进四川省政府采购供应商信用融资工作的通知》（川财采[2018]123 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详细操作流程见“川财采[2018]123 号”）。为有效缓解中小企业融资难、融资贵问题，成都市财政局、中国人民银行成都分行营业管理部制定了《成都市中小企业政府采购信用融资暂行办法》和《成都市级支持中小企业政府采购信用融资实施方案》（成财采[2019]17号），成都市范围内政府采购项目中标（成交）的中小微企业可向开展政府采购信用融资业务的银行提出融资申请（详细操作流程见“成财采[2019]17号”）。</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七</w:t>
      </w:r>
      <w:bookmarkEnd w:id="34"/>
      <w:r>
        <w:rPr>
          <w:rFonts w:hint="eastAsia" w:asciiTheme="minorEastAsia" w:hAnsiTheme="minorEastAsia" w:eastAsiaTheme="minorEastAsia" w:cstheme="minorEastAsia"/>
          <w:b/>
          <w:bCs/>
          <w:sz w:val="21"/>
          <w:szCs w:val="21"/>
        </w:rPr>
        <w:t>、对本次招标提出询问，请按以下方式联系。</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bookmarkStart w:id="35" w:name="bookmark23"/>
      <w:bookmarkEnd w:id="35"/>
      <w:r>
        <w:rPr>
          <w:rFonts w:hint="eastAsia" w:asciiTheme="minorEastAsia" w:hAnsiTheme="minorEastAsia" w:eastAsiaTheme="minorEastAsia" w:cstheme="minorEastAsia"/>
          <w:sz w:val="21"/>
          <w:szCs w:val="21"/>
          <w:lang w:val="en-US" w:eastAsia="zh-CN"/>
        </w:rPr>
        <w:t>1、釆购人信息</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bookmarkStart w:id="36" w:name="bookmark24"/>
      <w:bookmarkEnd w:id="36"/>
      <w:r>
        <w:rPr>
          <w:rFonts w:hint="eastAsia" w:asciiTheme="minorEastAsia" w:hAnsiTheme="minorEastAsia" w:eastAsiaTheme="minorEastAsia" w:cstheme="minorEastAsia"/>
          <w:sz w:val="21"/>
          <w:szCs w:val="21"/>
          <w:lang w:val="en-US" w:eastAsia="zh-CN"/>
        </w:rPr>
        <w:t>名 称：成都市双流区发展和改革局</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地 址：成都市双流区银河路三段香港城市大学成都研究院</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联系人：张女士</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联系方式: 028-85850121 </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2、采购代理机构信息（如有）</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名 称：四川成化工程项目管理有限公司</w:t>
      </w:r>
      <w:r>
        <w:rPr>
          <w:rFonts w:hint="eastAsia" w:asciiTheme="minorEastAsia" w:hAnsiTheme="minorEastAsia" w:eastAsiaTheme="minorEastAsia" w:cstheme="minorEastAsia"/>
          <w:sz w:val="21"/>
          <w:szCs w:val="21"/>
          <w:lang w:val="en-US" w:eastAsia="zh-CN"/>
        </w:rPr>
        <w:tab/>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地 址：成都市二环路南三段五号人南大厦B座3楼</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联系人：陈老师</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联系方式：028-85001368</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bookmarkStart w:id="37" w:name="bookmark25"/>
      <w:bookmarkEnd w:id="37"/>
      <w:r>
        <w:rPr>
          <w:rFonts w:hint="eastAsia" w:asciiTheme="minorEastAsia" w:hAnsiTheme="minorEastAsia" w:eastAsiaTheme="minorEastAsia" w:cstheme="minorEastAsia"/>
          <w:sz w:val="21"/>
          <w:szCs w:val="21"/>
          <w:lang w:val="en-US" w:eastAsia="zh-CN"/>
        </w:rPr>
        <w:t>3、项目联系方式</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项目联系人:陈先生    </w:t>
      </w:r>
    </w:p>
    <w:p>
      <w:pPr>
        <w:pStyle w:val="186"/>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lang w:val="en-US" w:eastAsia="zh-CN"/>
        </w:rPr>
        <w:sectPr>
          <w:footerReference r:id="rId5" w:type="default"/>
          <w:footerReference r:id="rId6" w:type="even"/>
          <w:pgSz w:w="11900" w:h="16840"/>
          <w:pgMar w:top="1382" w:right="1279" w:bottom="1877" w:left="1461" w:header="1374" w:footer="3" w:gutter="0"/>
          <w:cols w:space="720" w:num="1"/>
          <w:docGrid w:type="lines" w:linePitch="360" w:charSpace="0"/>
        </w:sectPr>
      </w:pPr>
      <w:r>
        <w:rPr>
          <w:rFonts w:hint="eastAsia" w:asciiTheme="minorEastAsia" w:hAnsiTheme="minorEastAsia" w:eastAsiaTheme="minorEastAsia" w:cstheme="minorEastAsia"/>
          <w:sz w:val="21"/>
          <w:szCs w:val="21"/>
          <w:lang w:val="en-US" w:eastAsia="zh-CN"/>
        </w:rPr>
        <w:t>电 话:028-85001368</w:t>
      </w:r>
    </w:p>
    <w:p>
      <w:pPr>
        <w:spacing w:line="240" w:lineRule="atLeast"/>
        <w:jc w:val="center"/>
        <w:outlineLvl w:val="0"/>
        <w:rPr>
          <w:rFonts w:hAnsi="宋体"/>
          <w:sz w:val="36"/>
          <w:szCs w:val="36"/>
        </w:rPr>
      </w:pPr>
      <w:bookmarkStart w:id="38" w:name="_Toc10430"/>
      <w:bookmarkStart w:id="39" w:name="_Toc510520083"/>
      <w:bookmarkStart w:id="40" w:name="_Toc12512"/>
      <w:bookmarkStart w:id="41" w:name="_Toc32109"/>
      <w:bookmarkStart w:id="42" w:name="_Toc17939"/>
      <w:bookmarkStart w:id="43" w:name="_Toc19600"/>
      <w:bookmarkStart w:id="44" w:name="_Toc5540"/>
      <w:bookmarkStart w:id="45" w:name="_Toc19064"/>
      <w:bookmarkStart w:id="46" w:name="_Toc217446031"/>
      <w:bookmarkStart w:id="47" w:name="_Toc213397009"/>
      <w:bookmarkStart w:id="48" w:name="_Toc213496267"/>
      <w:bookmarkStart w:id="49" w:name="_Toc213396945"/>
      <w:bookmarkStart w:id="50" w:name="_Toc213396759"/>
      <w:r>
        <w:rPr>
          <w:rFonts w:hint="eastAsia" w:hAnsi="宋体"/>
          <w:sz w:val="36"/>
          <w:szCs w:val="36"/>
        </w:rPr>
        <w:t>第二章投标人须知</w:t>
      </w:r>
      <w:bookmarkEnd w:id="38"/>
      <w:bookmarkEnd w:id="39"/>
      <w:bookmarkEnd w:id="40"/>
      <w:bookmarkEnd w:id="41"/>
      <w:bookmarkEnd w:id="42"/>
      <w:bookmarkEnd w:id="43"/>
      <w:bookmarkEnd w:id="44"/>
      <w:bookmarkEnd w:id="45"/>
    </w:p>
    <w:p>
      <w:pPr>
        <w:spacing w:line="400" w:lineRule="exact"/>
        <w:jc w:val="center"/>
        <w:rPr>
          <w:rFonts w:hAnsi="宋体"/>
          <w:sz w:val="28"/>
          <w:szCs w:val="28"/>
        </w:rPr>
      </w:pPr>
      <w:bookmarkStart w:id="51" w:name="_Toc21308"/>
      <w:r>
        <w:rPr>
          <w:rFonts w:hint="eastAsia" w:hAnsi="宋体"/>
          <w:sz w:val="28"/>
          <w:szCs w:val="28"/>
        </w:rPr>
        <w:t>一、投标人须知附表</w:t>
      </w:r>
      <w:bookmarkEnd w:id="51"/>
    </w:p>
    <w:bookmarkEnd w:id="46"/>
    <w:bookmarkEnd w:id="47"/>
    <w:bookmarkEnd w:id="48"/>
    <w:bookmarkEnd w:id="49"/>
    <w:bookmarkEnd w:id="50"/>
    <w:tbl>
      <w:tblPr>
        <w:tblStyle w:val="47"/>
        <w:tblW w:w="972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01"/>
        <w:gridCol w:w="2083"/>
        <w:gridCol w:w="703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tblHeader/>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序号</w:t>
            </w:r>
          </w:p>
        </w:tc>
        <w:tc>
          <w:tcPr>
            <w:tcW w:w="2083"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条款名称</w:t>
            </w:r>
          </w:p>
        </w:tc>
        <w:tc>
          <w:tcPr>
            <w:tcW w:w="7039"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859" w:hRule="exac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w:t>
            </w:r>
          </w:p>
        </w:tc>
        <w:tc>
          <w:tcPr>
            <w:tcW w:w="2083"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采购人</w:t>
            </w:r>
          </w:p>
        </w:tc>
        <w:tc>
          <w:tcPr>
            <w:tcW w:w="7039"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成都市双流区发展和改革局</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859" w:hRule="exac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2</w:t>
            </w:r>
          </w:p>
        </w:tc>
        <w:tc>
          <w:tcPr>
            <w:tcW w:w="2083"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采购代理机构</w:t>
            </w:r>
          </w:p>
        </w:tc>
        <w:tc>
          <w:tcPr>
            <w:tcW w:w="7039"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四川成化工程项目管理有限公司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859" w:hRule="exac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3</w:t>
            </w:r>
          </w:p>
        </w:tc>
        <w:tc>
          <w:tcPr>
            <w:tcW w:w="2083"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采购项目名称</w:t>
            </w:r>
          </w:p>
        </w:tc>
        <w:tc>
          <w:tcPr>
            <w:tcW w:w="7039"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成都市双流区发展和改革局2021年政府性工程建设项目可行性研究报告（项目建议书）评审服务采购项目（第二次）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814" w:hRule="exac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4</w:t>
            </w:r>
          </w:p>
        </w:tc>
        <w:tc>
          <w:tcPr>
            <w:tcW w:w="2083"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采购文件编号</w:t>
            </w:r>
          </w:p>
        </w:tc>
        <w:tc>
          <w:tcPr>
            <w:tcW w:w="7039"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 w:val="0"/>
                <w:bCs/>
                <w:sz w:val="21"/>
                <w:szCs w:val="21"/>
              </w:rPr>
              <w:t>双流政采（2021）B0101号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664" w:hRule="exact"/>
          <w:jc w:val="center"/>
        </w:trPr>
        <w:tc>
          <w:tcPr>
            <w:tcW w:w="601" w:type="dxa"/>
            <w:vMerge w:val="restart"/>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5</w:t>
            </w:r>
          </w:p>
        </w:tc>
        <w:tc>
          <w:tcPr>
            <w:tcW w:w="2083"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采购预算</w:t>
            </w:r>
          </w:p>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（实质性要求）</w:t>
            </w:r>
          </w:p>
        </w:tc>
        <w:tc>
          <w:tcPr>
            <w:tcW w:w="7039"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采购预算：</w:t>
            </w:r>
            <w:r>
              <w:rPr>
                <w:rFonts w:hint="eastAsia" w:asciiTheme="minorEastAsia" w:hAnsiTheme="minorEastAsia" w:eastAsiaTheme="minorEastAsia" w:cstheme="minorEastAsia"/>
                <w:sz w:val="21"/>
                <w:szCs w:val="21"/>
                <w:lang w:val="en-US" w:eastAsia="zh-CN"/>
              </w:rPr>
              <w:t>80</w:t>
            </w:r>
            <w:r>
              <w:rPr>
                <w:rFonts w:hint="eastAsia" w:asciiTheme="minorEastAsia" w:hAnsiTheme="minorEastAsia" w:eastAsiaTheme="minorEastAsia" w:cstheme="minorEastAsia"/>
                <w:sz w:val="21"/>
                <w:szCs w:val="21"/>
              </w:rPr>
              <w:t>万</w:t>
            </w:r>
            <w:r>
              <w:rPr>
                <w:rFonts w:hint="eastAsia" w:asciiTheme="minorEastAsia" w:hAnsiTheme="minorEastAsia" w:eastAsiaTheme="minorEastAsia" w:cstheme="minorEastAsia"/>
                <w:sz w:val="21"/>
                <w:szCs w:val="21"/>
                <w:lang w:eastAsia="zh-CN"/>
              </w:rPr>
              <w:t>元</w:t>
            </w:r>
            <w:r>
              <w:rPr>
                <w:rFonts w:hint="eastAsia" w:asciiTheme="minorEastAsia" w:hAnsiTheme="minorEastAsia" w:eastAsiaTheme="minorEastAsia" w:cstheme="minorEastAsia"/>
                <w:sz w:val="21"/>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664" w:hRule="exact"/>
          <w:jc w:val="center"/>
        </w:trPr>
        <w:tc>
          <w:tcPr>
            <w:tcW w:w="601" w:type="dxa"/>
            <w:vMerge w:val="continue"/>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p>
        </w:tc>
        <w:tc>
          <w:tcPr>
            <w:tcW w:w="2083"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中小企业划分标准所属行业</w:t>
            </w:r>
          </w:p>
        </w:tc>
        <w:tc>
          <w:tcPr>
            <w:tcW w:w="7039" w:type="dxa"/>
            <w:tcBorders>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fill="auto"/>
              </w:rPr>
              <w:t>其他未列明行业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2737" w:hRule="exact"/>
          <w:jc w:val="center"/>
        </w:trPr>
        <w:tc>
          <w:tcPr>
            <w:tcW w:w="601" w:type="dxa"/>
            <w:vMerge w:val="continue"/>
            <w:vAlign w:val="center"/>
          </w:tcPr>
          <w:p>
            <w:pPr>
              <w:keepNext w:val="0"/>
              <w:keepLines w:val="0"/>
              <w:pageBreakBefore w:val="0"/>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rPr>
            </w:pPr>
          </w:p>
        </w:tc>
        <w:tc>
          <w:tcPr>
            <w:tcW w:w="2083" w:type="dxa"/>
            <w:tcBorders>
              <w:top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最高限价</w:t>
            </w:r>
          </w:p>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（实质性要求）</w:t>
            </w:r>
          </w:p>
        </w:tc>
        <w:tc>
          <w:tcPr>
            <w:tcW w:w="7039" w:type="dxa"/>
            <w:tcBorders>
              <w:top w:val="single" w:color="auto" w:sz="4" w:space="0"/>
            </w:tcBorders>
            <w:vAlign w:val="center"/>
          </w:tcPr>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本次采购分为2个包，因现阶段不能确定每个包的项目任务量，故无法设定每个包的具体限价金额,供应商按费率形式进行报价，根据具体任务据实结算。</w:t>
            </w:r>
          </w:p>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rPr>
            </w:pPr>
          </w:p>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w:t>
            </w:r>
            <w:r>
              <w:rPr>
                <w:rFonts w:hint="eastAsia" w:asciiTheme="minorEastAsia" w:hAnsiTheme="minorEastAsia" w:eastAsiaTheme="minorEastAsia" w:cstheme="minorEastAsia"/>
                <w:sz w:val="21"/>
                <w:szCs w:val="21"/>
                <w:lang w:val="en-US" w:eastAsia="zh-CN"/>
              </w:rPr>
              <w:t>1-2包</w:t>
            </w:r>
            <w:r>
              <w:rPr>
                <w:rFonts w:hint="eastAsia" w:asciiTheme="minorEastAsia" w:hAnsiTheme="minorEastAsia" w:eastAsiaTheme="minorEastAsia" w:cstheme="minorEastAsia"/>
                <w:sz w:val="21"/>
                <w:szCs w:val="21"/>
              </w:rPr>
              <w:t>最高限价=费用基准价×行业调整系数×投资规模调整系数×评审工作质量调整系数×</w:t>
            </w:r>
            <w:r>
              <w:rPr>
                <w:rFonts w:hint="eastAsia" w:asciiTheme="minorEastAsia" w:hAnsiTheme="minorEastAsia" w:eastAsiaTheme="minorEastAsia" w:cstheme="minorEastAsia"/>
                <w:sz w:val="21"/>
                <w:szCs w:val="21"/>
                <w:lang w:eastAsia="zh-CN"/>
              </w:rPr>
              <w:t>工程复杂程度调整系数（详见第六章）</w:t>
            </w:r>
            <w:r>
              <w:rPr>
                <w:rFonts w:hint="eastAsia" w:asciiTheme="minorEastAsia" w:hAnsiTheme="minorEastAsia" w:eastAsiaTheme="minorEastAsia" w:cstheme="minorEastAsia"/>
                <w:sz w:val="21"/>
                <w:szCs w:val="21"/>
              </w:rPr>
              <w:t>，投标报价以最高限价的百分比表示。超过最高限价的投标为无效投标。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4" w:hRule="atLeas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6</w:t>
            </w:r>
          </w:p>
        </w:tc>
        <w:tc>
          <w:tcPr>
            <w:tcW w:w="2083"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低于成本价不正当</w:t>
            </w:r>
          </w:p>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竞争预防措施</w:t>
            </w:r>
          </w:p>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（实质性要求）</w:t>
            </w:r>
          </w:p>
        </w:tc>
        <w:tc>
          <w:tcPr>
            <w:tcW w:w="7039" w:type="dxa"/>
            <w:vAlign w:val="center"/>
          </w:tcPr>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评审过程中，评标委员会认为供应商的报价明显低于其他通过符合性审查供应商的报价，有可能影响产品质量或者不能诚信履约的，评标委员会应当要求其在评审现场合理的时间内提供成本构成书面说明，并提交相关证明材料。</w:t>
            </w:r>
          </w:p>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76" w:hRule="exac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7</w:t>
            </w:r>
          </w:p>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lang w:val="zh-CN"/>
              </w:rPr>
            </w:pPr>
          </w:p>
        </w:tc>
        <w:tc>
          <w:tcPr>
            <w:tcW w:w="2083"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小微企业（监狱企业、残疾人福利性单位视同小微企业）价格扣除和失信企业报价加成或者扣分</w:t>
            </w:r>
          </w:p>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（实质性要求）</w:t>
            </w:r>
          </w:p>
        </w:tc>
        <w:tc>
          <w:tcPr>
            <w:tcW w:w="7039" w:type="dxa"/>
            <w:vAlign w:val="center"/>
          </w:tcPr>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一、1.小微企业（监狱企业、残疾人福利性单位视同小微企业）价格扣除</w:t>
            </w:r>
          </w:p>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spacing w:val="0"/>
                <w:sz w:val="21"/>
                <w:szCs w:val="21"/>
                <w:shd w:val="clear"/>
              </w:rPr>
              <w:t>本项目专门面向中小企业采购(监狱企业、残疾人福利性单位均视同</w:t>
            </w:r>
            <w:r>
              <w:rPr>
                <w:rFonts w:hint="eastAsia" w:asciiTheme="minorEastAsia" w:hAnsiTheme="minorEastAsia" w:eastAsiaTheme="minorEastAsia" w:cstheme="minorEastAsia"/>
                <w:i w:val="0"/>
                <w:iCs w:val="0"/>
                <w:caps w:val="0"/>
                <w:spacing w:val="0"/>
                <w:sz w:val="21"/>
                <w:szCs w:val="21"/>
                <w:shd w:val="clear"/>
                <w:lang w:eastAsia="zh-CN"/>
              </w:rPr>
              <w:t>中</w:t>
            </w:r>
            <w:r>
              <w:rPr>
                <w:rFonts w:hint="eastAsia" w:asciiTheme="minorEastAsia" w:hAnsiTheme="minorEastAsia" w:eastAsiaTheme="minorEastAsia" w:cstheme="minorEastAsia"/>
                <w:i w:val="0"/>
                <w:iCs w:val="0"/>
                <w:caps w:val="0"/>
                <w:spacing w:val="0"/>
                <w:sz w:val="21"/>
                <w:szCs w:val="21"/>
                <w:shd w:val="clear"/>
              </w:rPr>
              <w:t>小微企业)，</w:t>
            </w:r>
            <w:r>
              <w:rPr>
                <w:rFonts w:hint="eastAsia" w:asciiTheme="minorEastAsia" w:hAnsiTheme="minorEastAsia" w:eastAsiaTheme="minorEastAsia" w:cstheme="minorEastAsia"/>
                <w:i w:val="0"/>
                <w:iCs w:val="0"/>
                <w:caps w:val="0"/>
                <w:spacing w:val="0"/>
                <w:sz w:val="21"/>
                <w:szCs w:val="21"/>
                <w:shd w:val="clear"/>
                <w:lang w:eastAsia="zh-CN"/>
              </w:rPr>
              <w:t>无需进行价格扣除，</w:t>
            </w:r>
            <w:r>
              <w:rPr>
                <w:rFonts w:hint="eastAsia" w:asciiTheme="minorEastAsia" w:hAnsiTheme="minorEastAsia" w:eastAsiaTheme="minorEastAsia" w:cstheme="minorEastAsia"/>
                <w:i w:val="0"/>
                <w:iCs w:val="0"/>
                <w:caps w:val="0"/>
                <w:spacing w:val="0"/>
                <w:sz w:val="21"/>
                <w:szCs w:val="21"/>
                <w:shd w:val="clear"/>
              </w:rPr>
              <w:t>非中小企业参与的将视为无效投标</w:t>
            </w:r>
            <w:r>
              <w:rPr>
                <w:rFonts w:hint="eastAsia" w:asciiTheme="minorEastAsia" w:hAnsiTheme="minorEastAsia" w:eastAsiaTheme="minorEastAsia" w:cstheme="minorEastAsia"/>
                <w:sz w:val="21"/>
                <w:szCs w:val="21"/>
              </w:rPr>
              <w:t>。</w:t>
            </w:r>
          </w:p>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二、失信企业报价加成</w:t>
            </w:r>
          </w:p>
          <w:p>
            <w:pPr>
              <w:pStyle w:val="173"/>
              <w:keepNext w:val="0"/>
              <w:keepLines w:val="0"/>
              <w:pageBreakBefore w:val="0"/>
              <w:widowControl/>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color w:val="auto"/>
                <w:kern w:val="0"/>
                <w:sz w:val="21"/>
                <w:szCs w:val="21"/>
                <w:highlight w:val="none"/>
              </w:rPr>
              <w:t>对按照《四川省政府采购当事人诚信管理办法》（川财采[2015]33号）</w:t>
            </w:r>
            <w:r>
              <w:rPr>
                <w:rFonts w:hint="eastAsia" w:asciiTheme="minorEastAsia" w:hAnsiTheme="minorEastAsia" w:eastAsiaTheme="minorEastAsia" w:cstheme="minorEastAsia"/>
                <w:sz w:val="21"/>
                <w:szCs w:val="21"/>
              </w:rPr>
              <w:t>记入诚信档案的且在有效期内的失信供应商，在参加政府采购活动中实行10%的报价加成、以加成后报价作为该供应商报价评标，且供应商失信行为惩戒实行无限制累加制，因其失信行为进行报价加成惩戒后报价超过政府采购预算的，其投标文件按照无效处理。</w:t>
            </w:r>
          </w:p>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2、供应商参加政府采购活动时，应当就自己的诚信情况在投标文件中进行承诺。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62" w:hRule="exac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8</w:t>
            </w:r>
          </w:p>
        </w:tc>
        <w:tc>
          <w:tcPr>
            <w:tcW w:w="2083"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节能、环保、无线局域网产品政策体现(</w:t>
            </w:r>
            <w:r>
              <w:rPr>
                <w:rFonts w:hint="eastAsia" w:asciiTheme="minorEastAsia" w:hAnsiTheme="minorEastAsia" w:eastAsiaTheme="minorEastAsia" w:cstheme="minorEastAsia"/>
                <w:sz w:val="21"/>
                <w:szCs w:val="21"/>
                <w:lang w:eastAsia="zh-CN"/>
              </w:rPr>
              <w:t>不</w:t>
            </w:r>
            <w:r>
              <w:rPr>
                <w:rFonts w:hint="eastAsia" w:asciiTheme="minorEastAsia" w:hAnsiTheme="minorEastAsia" w:eastAsiaTheme="minorEastAsia" w:cstheme="minorEastAsia"/>
                <w:sz w:val="21"/>
                <w:szCs w:val="21"/>
              </w:rPr>
              <w:t>涉及)</w:t>
            </w:r>
          </w:p>
        </w:tc>
        <w:tc>
          <w:tcPr>
            <w:tcW w:w="7039" w:type="dxa"/>
            <w:vAlign w:val="center"/>
          </w:tcPr>
          <w:p>
            <w:pPr>
              <w:pStyle w:val="173"/>
              <w:keepNext w:val="0"/>
              <w:keepLines w:val="0"/>
              <w:pageBreakBefore w:val="0"/>
              <w:kinsoku/>
              <w:wordWrap/>
              <w:overflowPunct/>
              <w:topLinePunct w:val="0"/>
              <w:bidi w:val="0"/>
              <w:snapToGrid w:val="0"/>
              <w:spacing w:line="240" w:lineRule="auto"/>
              <w:ind w:firstLine="0" w:firstLine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29" w:hRule="atLeas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9</w:t>
            </w:r>
          </w:p>
        </w:tc>
        <w:tc>
          <w:tcPr>
            <w:tcW w:w="2083" w:type="dxa"/>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评标情况公告</w:t>
            </w:r>
          </w:p>
        </w:tc>
        <w:tc>
          <w:tcPr>
            <w:tcW w:w="7039" w:type="dxa"/>
            <w:vAlign w:val="center"/>
          </w:tcPr>
          <w:p>
            <w:pPr>
              <w:keepNext w:val="0"/>
              <w:keepLines w:val="0"/>
              <w:pageBreakBefore w:val="0"/>
              <w:widowControl/>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所有供应商投标文件资格性、符合性检查情况、采用综合评分法时的总得分和分项汇总得分情况、评标结果等将在四川政府采购网上采购结果公告栏中予以公告。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64" w:hRule="exac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10</w:t>
            </w:r>
          </w:p>
        </w:tc>
        <w:tc>
          <w:tcPr>
            <w:tcW w:w="2083"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投标保证金</w:t>
            </w:r>
          </w:p>
        </w:tc>
        <w:tc>
          <w:tcPr>
            <w:tcW w:w="7039" w:type="dxa"/>
            <w:vAlign w:val="center"/>
          </w:tcPr>
          <w:p>
            <w:pPr>
              <w:pStyle w:val="173"/>
              <w:keepNext w:val="0"/>
              <w:keepLines w:val="0"/>
              <w:pageBreakBefore w:val="0"/>
              <w:widowControl/>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50" w:hRule="atLeas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2083"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履约保证金</w:t>
            </w:r>
          </w:p>
        </w:tc>
        <w:tc>
          <w:tcPr>
            <w:tcW w:w="7039" w:type="dxa"/>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kern w:val="0"/>
                <w:sz w:val="21"/>
                <w:szCs w:val="21"/>
                <w:lang w:val="zh-CN"/>
              </w:rPr>
            </w:pPr>
            <w:r>
              <w:rPr>
                <w:rFonts w:hint="eastAsia" w:asciiTheme="minorEastAsia" w:hAnsiTheme="minorEastAsia" w:eastAsiaTheme="minorEastAsia" w:cstheme="minorEastAsia"/>
                <w:sz w:val="21"/>
                <w:szCs w:val="21"/>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0" w:hRule="atLeast"/>
          <w:jc w:val="center"/>
        </w:trPr>
        <w:tc>
          <w:tcPr>
            <w:tcW w:w="601" w:type="dxa"/>
            <w:tcBorders>
              <w:top w:val="single" w:color="auto" w:sz="4" w:space="0"/>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12</w:t>
            </w:r>
          </w:p>
        </w:tc>
        <w:tc>
          <w:tcPr>
            <w:tcW w:w="2083" w:type="dxa"/>
            <w:tcBorders>
              <w:top w:val="single" w:color="auto" w:sz="4" w:space="0"/>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采购文件咨询</w:t>
            </w:r>
          </w:p>
        </w:tc>
        <w:tc>
          <w:tcPr>
            <w:tcW w:w="7039" w:type="dxa"/>
            <w:tcBorders>
              <w:top w:val="single" w:color="auto" w:sz="4" w:space="0"/>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联系人：陈</w:t>
            </w:r>
            <w:r>
              <w:rPr>
                <w:rFonts w:hint="eastAsia" w:asciiTheme="minorEastAsia" w:hAnsiTheme="minorEastAsia" w:eastAsiaTheme="minorEastAsia" w:cstheme="minorEastAsia"/>
                <w:sz w:val="21"/>
                <w:szCs w:val="21"/>
              </w:rPr>
              <w:t>先生</w:t>
            </w:r>
            <w:r>
              <w:rPr>
                <w:rFonts w:hint="eastAsia" w:asciiTheme="minorEastAsia" w:hAnsiTheme="minorEastAsia" w:eastAsiaTheme="minorEastAsia" w:cstheme="minorEastAsia"/>
                <w:sz w:val="21"/>
                <w:szCs w:val="21"/>
                <w:lang w:val="zh-CN"/>
              </w:rPr>
              <w:t>，联系电话：</w:t>
            </w:r>
            <w:r>
              <w:rPr>
                <w:rFonts w:hint="eastAsia" w:asciiTheme="minorEastAsia" w:hAnsiTheme="minorEastAsia" w:eastAsiaTheme="minorEastAsia" w:cstheme="minorEastAsia"/>
                <w:sz w:val="21"/>
                <w:szCs w:val="21"/>
              </w:rPr>
              <w:t>028-85001368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62" w:hRule="atLeast"/>
          <w:jc w:val="center"/>
        </w:trPr>
        <w:tc>
          <w:tcPr>
            <w:tcW w:w="601" w:type="dxa"/>
            <w:tcBorders>
              <w:top w:val="single" w:color="auto" w:sz="4" w:space="0"/>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13</w:t>
            </w:r>
          </w:p>
        </w:tc>
        <w:tc>
          <w:tcPr>
            <w:tcW w:w="2083" w:type="dxa"/>
            <w:tcBorders>
              <w:top w:val="single" w:color="auto" w:sz="4" w:space="0"/>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开标、评标工作咨询</w:t>
            </w:r>
          </w:p>
        </w:tc>
        <w:tc>
          <w:tcPr>
            <w:tcW w:w="7039" w:type="dxa"/>
            <w:tcBorders>
              <w:top w:val="single" w:color="auto" w:sz="4" w:space="0"/>
              <w:bottom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联系人：</w:t>
            </w:r>
            <w:r>
              <w:rPr>
                <w:rFonts w:hint="eastAsia" w:asciiTheme="minorEastAsia" w:hAnsiTheme="minorEastAsia" w:eastAsiaTheme="minorEastAsia" w:cstheme="minorEastAsia"/>
                <w:sz w:val="21"/>
                <w:szCs w:val="21"/>
                <w:lang w:val="zh-CN"/>
              </w:rPr>
              <w:t>陈</w:t>
            </w:r>
            <w:r>
              <w:rPr>
                <w:rFonts w:hint="eastAsia" w:asciiTheme="minorEastAsia" w:hAnsiTheme="minorEastAsia" w:eastAsiaTheme="minorEastAsia" w:cstheme="minorEastAsia"/>
                <w:sz w:val="21"/>
                <w:szCs w:val="21"/>
              </w:rPr>
              <w:t>先生</w:t>
            </w:r>
            <w:r>
              <w:rPr>
                <w:rFonts w:hint="eastAsia" w:asciiTheme="minorEastAsia" w:hAnsiTheme="minorEastAsia" w:eastAsiaTheme="minorEastAsia" w:cstheme="minorEastAsia"/>
                <w:sz w:val="21"/>
                <w:szCs w:val="21"/>
                <w:lang w:val="zh-CN"/>
              </w:rPr>
              <w:t>，</w:t>
            </w:r>
            <w:r>
              <w:rPr>
                <w:rFonts w:hint="eastAsia" w:asciiTheme="minorEastAsia" w:hAnsiTheme="minorEastAsia" w:eastAsiaTheme="minorEastAsia" w:cstheme="minorEastAsia"/>
                <w:sz w:val="21"/>
                <w:szCs w:val="21"/>
              </w:rPr>
              <w:t>联系电话：028-85001368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93" w:hRule="atLeast"/>
          <w:jc w:val="center"/>
        </w:trPr>
        <w:tc>
          <w:tcPr>
            <w:tcW w:w="601" w:type="dxa"/>
            <w:tcBorders>
              <w:top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14</w:t>
            </w:r>
          </w:p>
        </w:tc>
        <w:tc>
          <w:tcPr>
            <w:tcW w:w="2083" w:type="dxa"/>
            <w:tcBorders>
              <w:top w:val="single" w:color="auto" w:sz="4" w:space="0"/>
            </w:tcBorders>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中标通知书领取</w:t>
            </w:r>
          </w:p>
        </w:tc>
        <w:tc>
          <w:tcPr>
            <w:tcW w:w="7039" w:type="dxa"/>
            <w:tcBorders>
              <w:top w:val="single" w:color="auto" w:sz="4" w:space="0"/>
            </w:tcBorders>
            <w:vAlign w:val="center"/>
          </w:tcPr>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中标公告在四川政府采购网上公告后，请中标供应商凭有效身份证明证件到四川成化工程项目管理有限公司领取中标通知书。</w:t>
            </w:r>
          </w:p>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联系人：陈</w:t>
            </w:r>
            <w:r>
              <w:rPr>
                <w:rFonts w:hint="eastAsia" w:asciiTheme="minorEastAsia" w:hAnsiTheme="minorEastAsia" w:eastAsiaTheme="minorEastAsia" w:cstheme="minorEastAsia"/>
                <w:sz w:val="21"/>
                <w:szCs w:val="21"/>
              </w:rPr>
              <w:t>先生</w:t>
            </w:r>
            <w:r>
              <w:rPr>
                <w:rFonts w:hint="eastAsia" w:asciiTheme="minorEastAsia" w:hAnsiTheme="minorEastAsia" w:eastAsiaTheme="minorEastAsia" w:cstheme="minorEastAsia"/>
                <w:sz w:val="21"/>
                <w:szCs w:val="21"/>
                <w:lang w:val="zh-CN"/>
              </w:rPr>
              <w:t>。</w:t>
            </w:r>
          </w:p>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联系电话：</w:t>
            </w:r>
            <w:r>
              <w:rPr>
                <w:rFonts w:hint="eastAsia" w:asciiTheme="minorEastAsia" w:hAnsiTheme="minorEastAsia" w:eastAsiaTheme="minorEastAsia" w:cstheme="minorEastAsia"/>
                <w:sz w:val="21"/>
                <w:szCs w:val="21"/>
              </w:rPr>
              <w:t>028-85001368</w:t>
            </w:r>
            <w:r>
              <w:rPr>
                <w:rFonts w:hint="eastAsia" w:asciiTheme="minorEastAsia" w:hAnsiTheme="minorEastAsia" w:eastAsiaTheme="minorEastAsia" w:cstheme="minorEastAsia"/>
                <w:sz w:val="21"/>
                <w:szCs w:val="21"/>
                <w:lang w:val="zh-CN"/>
              </w:rPr>
              <w:t>。</w:t>
            </w:r>
          </w:p>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地址：</w:t>
            </w:r>
            <w:r>
              <w:rPr>
                <w:rFonts w:hint="eastAsia" w:asciiTheme="minorEastAsia" w:hAnsiTheme="minorEastAsia" w:eastAsiaTheme="minorEastAsia" w:cstheme="minorEastAsia"/>
                <w:sz w:val="21"/>
                <w:szCs w:val="21"/>
              </w:rPr>
              <w:t>成都市二环路南三段五号人南大厦B座3楼</w:t>
            </w:r>
            <w:r>
              <w:rPr>
                <w:rFonts w:hint="eastAsia" w:asciiTheme="minorEastAsia" w:hAnsiTheme="minorEastAsia" w:eastAsiaTheme="minorEastAsia" w:cstheme="minorEastAsia"/>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6" w:hRule="atLeast"/>
          <w:jc w:val="center"/>
        </w:trPr>
        <w:tc>
          <w:tcPr>
            <w:tcW w:w="601" w:type="dxa"/>
            <w:tcBorders>
              <w:top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15</w:t>
            </w:r>
          </w:p>
        </w:tc>
        <w:tc>
          <w:tcPr>
            <w:tcW w:w="2083" w:type="dxa"/>
            <w:tcBorders>
              <w:top w:val="single" w:color="auto" w:sz="4" w:space="0"/>
            </w:tcBorders>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供应商询问</w:t>
            </w:r>
          </w:p>
        </w:tc>
        <w:tc>
          <w:tcPr>
            <w:tcW w:w="7039" w:type="dxa"/>
            <w:tcBorders>
              <w:top w:val="single" w:color="auto" w:sz="4" w:space="0"/>
            </w:tcBorders>
          </w:tcPr>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根据委托代理协议约定，供应商询问由</w:t>
            </w:r>
            <w:r>
              <w:rPr>
                <w:rFonts w:hint="eastAsia" w:asciiTheme="minorEastAsia" w:hAnsiTheme="minorEastAsia" w:eastAsiaTheme="minorEastAsia" w:cstheme="minorEastAsia"/>
                <w:sz w:val="21"/>
                <w:szCs w:val="21"/>
                <w:lang w:val="zh-CN"/>
              </w:rPr>
              <w:t>我公司负责答复。</w:t>
            </w:r>
          </w:p>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联系人：陈</w:t>
            </w:r>
            <w:r>
              <w:rPr>
                <w:rFonts w:hint="eastAsia" w:asciiTheme="minorEastAsia" w:hAnsiTheme="minorEastAsia" w:eastAsiaTheme="minorEastAsia" w:cstheme="minorEastAsia"/>
                <w:sz w:val="21"/>
                <w:szCs w:val="21"/>
              </w:rPr>
              <w:t>先生</w:t>
            </w:r>
            <w:r>
              <w:rPr>
                <w:rFonts w:hint="eastAsia" w:asciiTheme="minorEastAsia" w:hAnsiTheme="minorEastAsia" w:eastAsiaTheme="minorEastAsia" w:cstheme="minorEastAsia"/>
                <w:sz w:val="21"/>
                <w:szCs w:val="21"/>
                <w:lang w:val="zh-CN"/>
              </w:rPr>
              <w:t>。</w:t>
            </w:r>
          </w:p>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联系电话：</w:t>
            </w:r>
            <w:r>
              <w:rPr>
                <w:rFonts w:hint="eastAsia" w:asciiTheme="minorEastAsia" w:hAnsiTheme="minorEastAsia" w:eastAsiaTheme="minorEastAsia" w:cstheme="minorEastAsia"/>
                <w:sz w:val="21"/>
                <w:szCs w:val="21"/>
              </w:rPr>
              <w:t>028-85001368</w:t>
            </w:r>
            <w:r>
              <w:rPr>
                <w:rFonts w:hint="eastAsia" w:asciiTheme="minorEastAsia" w:hAnsiTheme="minorEastAsia" w:eastAsiaTheme="minorEastAsia" w:cstheme="minorEastAsia"/>
                <w:sz w:val="21"/>
                <w:szCs w:val="21"/>
                <w:lang w:val="zh-CN"/>
              </w:rPr>
              <w:t>。</w:t>
            </w:r>
          </w:p>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zh-CN"/>
              </w:rPr>
              <w:t>地址：成都市二环路南三段五号人南大厦B座</w:t>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zh-CN"/>
              </w:rPr>
              <w:t>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85" w:hRule="atLeas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16</w:t>
            </w:r>
          </w:p>
        </w:tc>
        <w:tc>
          <w:tcPr>
            <w:tcW w:w="2083"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供应商质疑</w:t>
            </w:r>
          </w:p>
        </w:tc>
        <w:tc>
          <w:tcPr>
            <w:tcW w:w="7039" w:type="dxa"/>
            <w:vAlign w:val="center"/>
          </w:tcPr>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根据委托代理协议约定，对于采购文件、</w:t>
            </w:r>
            <w:r>
              <w:rPr>
                <w:rFonts w:hint="eastAsia" w:asciiTheme="minorEastAsia" w:hAnsiTheme="minorEastAsia" w:eastAsiaTheme="minorEastAsia" w:cstheme="minorEastAsia"/>
                <w:sz w:val="21"/>
                <w:szCs w:val="21"/>
                <w:lang w:val="zh-CN"/>
              </w:rPr>
              <w:t>采购过程、采购结果</w:t>
            </w:r>
            <w:r>
              <w:rPr>
                <w:rFonts w:hint="eastAsia" w:asciiTheme="minorEastAsia" w:hAnsiTheme="minorEastAsia" w:eastAsiaTheme="minorEastAsia" w:cstheme="minorEastAsia"/>
                <w:sz w:val="21"/>
                <w:szCs w:val="21"/>
              </w:rPr>
              <w:t>的质疑由采购</w:t>
            </w:r>
            <w:r>
              <w:rPr>
                <w:rFonts w:hint="eastAsia" w:asciiTheme="minorEastAsia" w:hAnsiTheme="minorEastAsia" w:eastAsiaTheme="minorEastAsia" w:cstheme="minorEastAsia"/>
                <w:sz w:val="21"/>
                <w:szCs w:val="21"/>
                <w:lang w:val="zh-CN"/>
              </w:rPr>
              <w:t>代理机构负责答复</w:t>
            </w:r>
            <w:r>
              <w:rPr>
                <w:rFonts w:hint="eastAsia" w:asciiTheme="minorEastAsia" w:hAnsiTheme="minorEastAsia" w:eastAsiaTheme="minorEastAsia" w:cstheme="minorEastAsia"/>
                <w:sz w:val="21"/>
                <w:szCs w:val="21"/>
              </w:rPr>
              <w:t>。</w:t>
            </w:r>
          </w:p>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采购</w:t>
            </w:r>
            <w:r>
              <w:rPr>
                <w:rFonts w:hint="eastAsia" w:asciiTheme="minorEastAsia" w:hAnsiTheme="minorEastAsia" w:eastAsiaTheme="minorEastAsia" w:cstheme="minorEastAsia"/>
                <w:sz w:val="21"/>
                <w:szCs w:val="21"/>
                <w:lang w:val="zh-CN"/>
              </w:rPr>
              <w:t>代理机构：</w:t>
            </w:r>
            <w:r>
              <w:rPr>
                <w:rFonts w:hint="eastAsia" w:asciiTheme="minorEastAsia" w:hAnsiTheme="minorEastAsia" w:eastAsiaTheme="minorEastAsia" w:cstheme="minorEastAsia"/>
                <w:sz w:val="21"/>
                <w:szCs w:val="21"/>
              </w:rPr>
              <w:t>四川成化工程项目管理有限公司</w:t>
            </w:r>
          </w:p>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地址：成都市二环路南三段五号人南大厦B座3楼</w:t>
            </w:r>
            <w:r>
              <w:rPr>
                <w:rFonts w:hint="eastAsia" w:asciiTheme="minorEastAsia" w:hAnsiTheme="minorEastAsia" w:eastAsiaTheme="minorEastAsia" w:cstheme="minorEastAsia"/>
                <w:sz w:val="21"/>
                <w:szCs w:val="21"/>
                <w:lang w:val="zh-CN"/>
              </w:rPr>
              <w:t>。</w:t>
            </w:r>
          </w:p>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联系人：陈</w:t>
            </w:r>
            <w:r>
              <w:rPr>
                <w:rFonts w:hint="eastAsia" w:asciiTheme="minorEastAsia" w:hAnsiTheme="minorEastAsia" w:eastAsiaTheme="minorEastAsia" w:cstheme="minorEastAsia"/>
                <w:sz w:val="21"/>
                <w:szCs w:val="21"/>
              </w:rPr>
              <w:t>先生</w:t>
            </w:r>
            <w:r>
              <w:rPr>
                <w:rFonts w:hint="eastAsia" w:asciiTheme="minorEastAsia" w:hAnsiTheme="minorEastAsia" w:eastAsiaTheme="minorEastAsia" w:cstheme="minorEastAsia"/>
                <w:sz w:val="21"/>
                <w:szCs w:val="21"/>
                <w:lang w:val="zh-CN"/>
              </w:rPr>
              <w:t>。</w:t>
            </w:r>
          </w:p>
          <w:p>
            <w:pPr>
              <w:keepNext w:val="0"/>
              <w:keepLines w:val="0"/>
              <w:pageBreakBefore w:val="0"/>
              <w:tabs>
                <w:tab w:val="left" w:pos="7665"/>
              </w:tabs>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联系电话：</w:t>
            </w:r>
            <w:r>
              <w:rPr>
                <w:rFonts w:hint="eastAsia" w:asciiTheme="minorEastAsia" w:hAnsiTheme="minorEastAsia" w:eastAsiaTheme="minorEastAsia" w:cstheme="minorEastAsia"/>
                <w:sz w:val="21"/>
                <w:szCs w:val="21"/>
              </w:rPr>
              <w:t>028-85001368</w:t>
            </w:r>
            <w:r>
              <w:rPr>
                <w:rFonts w:hint="eastAsia" w:asciiTheme="minorEastAsia" w:hAnsiTheme="minorEastAsia" w:eastAsiaTheme="minorEastAsia" w:cstheme="minorEastAsia"/>
                <w:sz w:val="21"/>
                <w:szCs w:val="21"/>
                <w:lang w:val="zh-CN"/>
              </w:rPr>
              <w:t>。</w:t>
            </w:r>
          </w:p>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zh-CN"/>
              </w:rPr>
              <w:t>注：根据《中华人民共和国政府采购法》的规定，供应商质疑不得超出采购文件、采购过程、采购结果的范围。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65" w:hRule="atLeast"/>
          <w:jc w:val="center"/>
        </w:trPr>
        <w:tc>
          <w:tcPr>
            <w:tcW w:w="601"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17</w:t>
            </w:r>
          </w:p>
        </w:tc>
        <w:tc>
          <w:tcPr>
            <w:tcW w:w="2083" w:type="dxa"/>
            <w:vAlign w:val="center"/>
          </w:tcPr>
          <w:p>
            <w:pPr>
              <w:pStyle w:val="173"/>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供应商投诉</w:t>
            </w:r>
          </w:p>
        </w:tc>
        <w:tc>
          <w:tcPr>
            <w:tcW w:w="7039" w:type="dxa"/>
            <w:vAlign w:val="center"/>
          </w:tcPr>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投诉受理单位：</w:t>
            </w:r>
            <w:r>
              <w:rPr>
                <w:rFonts w:hint="eastAsia" w:asciiTheme="minorEastAsia" w:hAnsiTheme="minorEastAsia" w:eastAsiaTheme="minorEastAsia" w:cstheme="minorEastAsia"/>
                <w:sz w:val="21"/>
                <w:szCs w:val="21"/>
                <w:lang w:val="zh-CN"/>
              </w:rPr>
              <w:t>成都市双流区财政局</w:t>
            </w:r>
            <w:r>
              <w:rPr>
                <w:rFonts w:hint="eastAsia" w:asciiTheme="minorEastAsia" w:hAnsiTheme="minorEastAsia" w:eastAsiaTheme="minorEastAsia" w:cstheme="minorEastAsia"/>
                <w:sz w:val="21"/>
                <w:szCs w:val="21"/>
              </w:rPr>
              <w:t>。</w:t>
            </w:r>
          </w:p>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联系电话：028-85804726。</w:t>
            </w:r>
          </w:p>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地址：成都市双流区东升街道电视塔路二段36号</w:t>
            </w:r>
          </w:p>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邮编：610000。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63" w:hRule="atLeast"/>
          <w:jc w:val="center"/>
        </w:trPr>
        <w:tc>
          <w:tcPr>
            <w:tcW w:w="601" w:type="dxa"/>
            <w:vAlign w:val="center"/>
          </w:tcPr>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w:t>
            </w:r>
          </w:p>
        </w:tc>
        <w:tc>
          <w:tcPr>
            <w:tcW w:w="2083" w:type="dxa"/>
            <w:tcBorders>
              <w:right w:val="single" w:color="auto" w:sz="4" w:space="0"/>
            </w:tcBorders>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政府采购合同</w:t>
            </w:r>
          </w:p>
          <w:p>
            <w:pPr>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公告备案</w:t>
            </w:r>
          </w:p>
        </w:tc>
        <w:tc>
          <w:tcPr>
            <w:tcW w:w="7039" w:type="dxa"/>
            <w:tcBorders>
              <w:left w:val="single" w:color="auto" w:sz="4" w:space="0"/>
            </w:tcBorders>
            <w:vAlign w:val="center"/>
          </w:tcPr>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政府采购合同签订之日起2个工作日内，政府采购合同将在四川政府采购网公告；政府采购合同签订之日起七个工作日内，政府采购合同将向本采购项目同级财政部门，即</w:t>
            </w:r>
            <w:r>
              <w:rPr>
                <w:rFonts w:hint="eastAsia" w:asciiTheme="minorEastAsia" w:hAnsiTheme="minorEastAsia" w:eastAsiaTheme="minorEastAsia" w:cstheme="minorEastAsia"/>
                <w:sz w:val="21"/>
                <w:szCs w:val="21"/>
                <w:lang w:val="zh-CN"/>
              </w:rPr>
              <w:t>成都市双流区财政局</w:t>
            </w:r>
            <w:r>
              <w:rPr>
                <w:rFonts w:hint="eastAsia" w:asciiTheme="minorEastAsia" w:hAnsiTheme="minorEastAsia" w:eastAsiaTheme="minorEastAsia" w:cstheme="minorEastAsia"/>
                <w:sz w:val="21"/>
                <w:szCs w:val="21"/>
              </w:rPr>
              <w:t>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601" w:type="dxa"/>
            <w:vAlign w:val="center"/>
          </w:tcPr>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w:t>
            </w:r>
          </w:p>
        </w:tc>
        <w:tc>
          <w:tcPr>
            <w:tcW w:w="2083" w:type="dxa"/>
            <w:tcBorders>
              <w:right w:val="single" w:color="auto" w:sz="4" w:space="0"/>
            </w:tcBorders>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zh-CN"/>
              </w:rPr>
              <w:t>备选方案和多个报价</w:t>
            </w:r>
          </w:p>
        </w:tc>
        <w:tc>
          <w:tcPr>
            <w:tcW w:w="7039" w:type="dxa"/>
            <w:tcBorders>
              <w:lef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本项目不接受备选方案和多个报价。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86" w:hRule="atLeast"/>
          <w:jc w:val="center"/>
        </w:trPr>
        <w:tc>
          <w:tcPr>
            <w:tcW w:w="601" w:type="dxa"/>
            <w:vAlign w:val="center"/>
          </w:tcPr>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p>
        </w:tc>
        <w:tc>
          <w:tcPr>
            <w:tcW w:w="2083" w:type="dxa"/>
            <w:tcBorders>
              <w:right w:val="single" w:color="auto" w:sz="4" w:space="0"/>
            </w:tcBorders>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代理服务费</w:t>
            </w:r>
          </w:p>
        </w:tc>
        <w:tc>
          <w:tcPr>
            <w:tcW w:w="7039" w:type="dxa"/>
            <w:tcBorders>
              <w:lef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由中标人支付，中标供应商领取中标通知书时，应向采购代理机构交纳代理服务费，代理费为</w:t>
            </w:r>
            <w:r>
              <w:rPr>
                <w:rFonts w:hint="eastAsia" w:asciiTheme="minorEastAsia" w:hAnsiTheme="minorEastAsia" w:eastAsiaTheme="minorEastAsia" w:cstheme="minorEastAsia"/>
                <w:sz w:val="21"/>
                <w:szCs w:val="21"/>
              </w:rPr>
              <w:t>5000元/家（中标单位）</w:t>
            </w:r>
            <w:r>
              <w:rPr>
                <w:rFonts w:hint="eastAsia" w:asciiTheme="minorEastAsia" w:hAnsiTheme="minorEastAsia" w:eastAsiaTheme="minorEastAsia" w:cstheme="minorEastAsia"/>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60" w:hRule="atLeast"/>
          <w:jc w:val="center"/>
        </w:trPr>
        <w:tc>
          <w:tcPr>
            <w:tcW w:w="601" w:type="dxa"/>
            <w:vAlign w:val="center"/>
          </w:tcPr>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w:t>
            </w:r>
          </w:p>
        </w:tc>
        <w:tc>
          <w:tcPr>
            <w:tcW w:w="2083" w:type="dxa"/>
            <w:tcBorders>
              <w:right w:val="single" w:color="auto" w:sz="4" w:space="0"/>
            </w:tcBorders>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信用记录查询</w:t>
            </w:r>
          </w:p>
        </w:tc>
        <w:tc>
          <w:tcPr>
            <w:tcW w:w="7039" w:type="dxa"/>
            <w:tcBorders>
              <w:left w:val="single" w:color="auto" w:sz="4" w:space="0"/>
            </w:tcBorders>
            <w:vAlign w:val="center"/>
          </w:tcPr>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在开标后至评审前，四川成化工程项目管理有限公司将通过“信用中国”、“中国政府采购网”、“四川政府采购（曝光台）”、网站等渠道全面查询投标人的信用记录，并将信用信息查询记录和证据通过网页截图的方式进行留存。</w:t>
            </w:r>
          </w:p>
          <w:p>
            <w:pPr>
              <w:keepNext w:val="0"/>
              <w:keepLines w:val="0"/>
              <w:pageBreakBefore w:val="0"/>
              <w:kinsoku/>
              <w:wordWrap/>
              <w:overflowPunct/>
              <w:topLinePunct w:val="0"/>
              <w:bidi w:val="0"/>
              <w:spacing w:line="240" w:lineRule="auto"/>
              <w:ind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针对查询时已列入失信被执行人、重大收税违法案件当事人名单、政府采购严重违法失信行为记录名单及其他不符合《中华人民共和国政府采购法》第二十二条规定条件的供应商的投标将被拒绝（处罚决定规定的时间和地域范围内）。</w:t>
            </w:r>
          </w:p>
        </w:tc>
      </w:tr>
    </w:tbl>
    <w:p>
      <w:pPr>
        <w:spacing w:line="400" w:lineRule="exact"/>
        <w:jc w:val="center"/>
        <w:rPr>
          <w:rFonts w:hAnsi="宋体"/>
          <w:sz w:val="28"/>
          <w:szCs w:val="28"/>
        </w:rPr>
      </w:pPr>
      <w:r>
        <w:rPr>
          <w:rFonts w:hAnsi="宋体"/>
          <w:bCs/>
        </w:rPr>
        <w:br w:type="page"/>
      </w:r>
      <w:bookmarkStart w:id="52" w:name="_Toc24427"/>
      <w:r>
        <w:rPr>
          <w:rFonts w:hint="eastAsia" w:hAnsi="宋体"/>
          <w:sz w:val="28"/>
          <w:szCs w:val="28"/>
        </w:rPr>
        <w:t>二、总则</w:t>
      </w:r>
      <w:bookmarkEnd w:id="52"/>
    </w:p>
    <w:p>
      <w:pPr>
        <w:spacing w:line="400" w:lineRule="exact"/>
        <w:ind w:firstLine="480" w:firstLineChars="200"/>
        <w:rPr>
          <w:rFonts w:hAnsi="宋体"/>
          <w:sz w:val="24"/>
        </w:rPr>
      </w:pPr>
      <w:bookmarkStart w:id="53" w:name="_Toc183582205"/>
      <w:bookmarkStart w:id="54" w:name="_Toc183682342"/>
      <w:bookmarkStart w:id="55" w:name="_Toc217446034"/>
      <w:r>
        <w:rPr>
          <w:rFonts w:hint="eastAsia" w:hAnsi="宋体"/>
          <w:sz w:val="24"/>
        </w:rPr>
        <w:t>1.</w:t>
      </w:r>
      <w:bookmarkEnd w:id="53"/>
      <w:bookmarkEnd w:id="54"/>
      <w:r>
        <w:rPr>
          <w:rFonts w:hint="eastAsia" w:hAnsi="宋体"/>
          <w:sz w:val="24"/>
        </w:rPr>
        <w:t>适用范围</w:t>
      </w:r>
      <w:bookmarkEnd w:id="55"/>
    </w:p>
    <w:p>
      <w:pPr>
        <w:tabs>
          <w:tab w:val="left" w:pos="7665"/>
        </w:tabs>
        <w:spacing w:line="400" w:lineRule="exact"/>
        <w:ind w:firstLine="480" w:firstLineChars="200"/>
        <w:rPr>
          <w:rFonts w:hAnsi="宋体"/>
          <w:sz w:val="24"/>
        </w:rPr>
      </w:pPr>
      <w:r>
        <w:rPr>
          <w:rFonts w:hint="eastAsia" w:hAnsi="宋体"/>
          <w:sz w:val="24"/>
        </w:rPr>
        <w:t>1.1 本招标文件仅适用于本次招标采购项目。</w:t>
      </w:r>
    </w:p>
    <w:p>
      <w:pPr>
        <w:spacing w:line="400" w:lineRule="exact"/>
        <w:ind w:firstLine="480" w:firstLineChars="200"/>
        <w:rPr>
          <w:rFonts w:hAnsi="宋体"/>
          <w:sz w:val="24"/>
        </w:rPr>
      </w:pPr>
      <w:bookmarkStart w:id="56" w:name="_Toc183582206"/>
      <w:bookmarkStart w:id="57" w:name="_Toc183682343"/>
      <w:bookmarkStart w:id="58" w:name="_Toc217446035"/>
      <w:r>
        <w:rPr>
          <w:rFonts w:hint="eastAsia" w:hAnsi="宋体"/>
          <w:sz w:val="24"/>
        </w:rPr>
        <w:t xml:space="preserve">2. </w:t>
      </w:r>
      <w:bookmarkEnd w:id="56"/>
      <w:bookmarkEnd w:id="57"/>
      <w:r>
        <w:rPr>
          <w:rFonts w:hint="eastAsia" w:hAnsi="宋体"/>
          <w:sz w:val="24"/>
        </w:rPr>
        <w:t>有关定义</w:t>
      </w:r>
      <w:bookmarkEnd w:id="58"/>
    </w:p>
    <w:p>
      <w:pPr>
        <w:tabs>
          <w:tab w:val="left" w:pos="7665"/>
        </w:tabs>
        <w:spacing w:line="400" w:lineRule="exact"/>
        <w:ind w:firstLine="480" w:firstLineChars="200"/>
        <w:rPr>
          <w:rFonts w:hAnsi="宋体"/>
          <w:sz w:val="24"/>
        </w:rPr>
      </w:pPr>
      <w:r>
        <w:rPr>
          <w:rFonts w:hint="eastAsia" w:hAnsi="宋体"/>
          <w:sz w:val="24"/>
        </w:rPr>
        <w:t>2.1 “采购人”系指依法进行政府采购的国家机关、事业单位、团体组织。本次招标的采购人是</w:t>
      </w:r>
      <w:r>
        <w:rPr>
          <w:rFonts w:hint="eastAsia" w:ascii="新宋体" w:hAnsi="新宋体" w:eastAsia="新宋体"/>
          <w:sz w:val="24"/>
          <w:szCs w:val="22"/>
          <w:u w:val="single"/>
        </w:rPr>
        <w:t>成都市双流区发展和改革局</w:t>
      </w:r>
      <w:r>
        <w:rPr>
          <w:rFonts w:hint="eastAsia" w:hAnsi="宋体"/>
          <w:sz w:val="24"/>
        </w:rPr>
        <w:t>。</w:t>
      </w:r>
    </w:p>
    <w:p>
      <w:pPr>
        <w:tabs>
          <w:tab w:val="left" w:pos="7665"/>
        </w:tabs>
        <w:spacing w:line="400" w:lineRule="exact"/>
        <w:ind w:firstLine="480" w:firstLineChars="200"/>
        <w:rPr>
          <w:rFonts w:hAnsi="宋体"/>
          <w:sz w:val="24"/>
        </w:rPr>
      </w:pPr>
      <w:r>
        <w:rPr>
          <w:rFonts w:hint="eastAsia" w:hAnsi="宋体"/>
          <w:sz w:val="24"/>
        </w:rPr>
        <w:t>2.2 “采购代理机构”系指根据采购人的委托依法办理招标事宜的采购机构。本次招标的采购代理机构是</w:t>
      </w:r>
      <w:r>
        <w:rPr>
          <w:rFonts w:hint="eastAsia" w:ascii="新宋体" w:hAnsi="新宋体" w:eastAsia="新宋体"/>
          <w:sz w:val="24"/>
          <w:u w:val="single"/>
        </w:rPr>
        <w:t>四川成化工程项目管理有限公司</w:t>
      </w:r>
      <w:r>
        <w:rPr>
          <w:rFonts w:hint="eastAsia" w:hAnsi="宋体"/>
          <w:sz w:val="24"/>
        </w:rPr>
        <w:t>。</w:t>
      </w:r>
    </w:p>
    <w:p>
      <w:pPr>
        <w:tabs>
          <w:tab w:val="left" w:pos="7665"/>
        </w:tabs>
        <w:spacing w:line="400" w:lineRule="exact"/>
        <w:ind w:firstLine="480" w:firstLineChars="200"/>
        <w:rPr>
          <w:rFonts w:hAnsi="宋体"/>
          <w:sz w:val="24"/>
        </w:rPr>
      </w:pPr>
      <w:r>
        <w:rPr>
          <w:rFonts w:hint="eastAsia" w:hAnsi="宋体"/>
          <w:sz w:val="24"/>
        </w:rPr>
        <w:t>2.3 “招标采购单位”系指“采购人”和“采购代理机构”的统称。</w:t>
      </w:r>
    </w:p>
    <w:p>
      <w:pPr>
        <w:tabs>
          <w:tab w:val="left" w:pos="7665"/>
        </w:tabs>
        <w:spacing w:line="400" w:lineRule="exact"/>
        <w:ind w:firstLine="480" w:firstLineChars="200"/>
        <w:rPr>
          <w:rFonts w:hAnsi="宋体"/>
          <w:sz w:val="24"/>
        </w:rPr>
      </w:pPr>
      <w:r>
        <w:rPr>
          <w:rFonts w:hint="eastAsia" w:hAnsi="宋体"/>
          <w:sz w:val="24"/>
        </w:rPr>
        <w:t>2.4 “投标人”系指购买了招标文件拟参加投标和向采购人提供相应服务的供应商。</w:t>
      </w:r>
    </w:p>
    <w:p>
      <w:pPr>
        <w:spacing w:line="400" w:lineRule="exact"/>
        <w:ind w:firstLine="480" w:firstLineChars="200"/>
        <w:rPr>
          <w:rFonts w:hAnsi="宋体"/>
          <w:sz w:val="24"/>
        </w:rPr>
      </w:pPr>
      <w:bookmarkStart w:id="59" w:name="_Toc183582207"/>
      <w:bookmarkStart w:id="60" w:name="_Toc217446036"/>
      <w:bookmarkStart w:id="61" w:name="_Toc217390843"/>
      <w:bookmarkStart w:id="62" w:name="_Toc183682344"/>
      <w:r>
        <w:rPr>
          <w:rFonts w:hint="eastAsia" w:hAnsi="宋体"/>
          <w:sz w:val="24"/>
        </w:rPr>
        <w:t>3. 合格的投标人</w:t>
      </w:r>
      <w:bookmarkEnd w:id="59"/>
      <w:bookmarkEnd w:id="60"/>
      <w:bookmarkEnd w:id="61"/>
      <w:bookmarkEnd w:id="62"/>
      <w:r>
        <w:rPr>
          <w:rFonts w:hint="eastAsia" w:hAnsi="宋体"/>
          <w:sz w:val="24"/>
        </w:rPr>
        <w:t>（实质性要求）</w:t>
      </w:r>
    </w:p>
    <w:p>
      <w:pPr>
        <w:tabs>
          <w:tab w:val="left" w:pos="7665"/>
        </w:tabs>
        <w:spacing w:line="400" w:lineRule="exact"/>
        <w:ind w:firstLine="480" w:firstLineChars="200"/>
        <w:rPr>
          <w:rFonts w:hAnsi="宋体"/>
          <w:sz w:val="24"/>
        </w:rPr>
      </w:pPr>
      <w:r>
        <w:rPr>
          <w:rFonts w:hint="eastAsia" w:hAnsi="宋体"/>
          <w:sz w:val="24"/>
        </w:rPr>
        <w:t>合格的投标人应具备以下条件：</w:t>
      </w:r>
    </w:p>
    <w:p>
      <w:pPr>
        <w:tabs>
          <w:tab w:val="left" w:pos="7665"/>
        </w:tabs>
        <w:spacing w:line="400" w:lineRule="exact"/>
        <w:ind w:firstLine="480" w:firstLineChars="200"/>
        <w:rPr>
          <w:rFonts w:hAnsi="宋体"/>
          <w:spacing w:val="-4"/>
          <w:sz w:val="24"/>
        </w:rPr>
      </w:pPr>
      <w:r>
        <w:rPr>
          <w:rFonts w:hint="eastAsia" w:hAnsi="宋体"/>
          <w:sz w:val="24"/>
        </w:rPr>
        <w:t>（1）本招标文件规定的供应商资格条件</w:t>
      </w:r>
      <w:r>
        <w:rPr>
          <w:rFonts w:hint="eastAsia" w:hAnsi="宋体"/>
          <w:spacing w:val="-4"/>
          <w:sz w:val="24"/>
        </w:rPr>
        <w:t>；</w:t>
      </w:r>
    </w:p>
    <w:p>
      <w:pPr>
        <w:tabs>
          <w:tab w:val="left" w:pos="7665"/>
        </w:tabs>
        <w:spacing w:line="400" w:lineRule="exact"/>
        <w:ind w:firstLine="480" w:firstLineChars="200"/>
        <w:rPr>
          <w:rFonts w:hAnsi="宋体"/>
          <w:sz w:val="24"/>
        </w:rPr>
      </w:pPr>
      <w:r>
        <w:rPr>
          <w:rFonts w:hint="eastAsia" w:hAnsi="宋体"/>
          <w:sz w:val="24"/>
        </w:rPr>
        <w:t>（2）遵守国家有关的法律、法规、规章和其他政策制度；</w:t>
      </w:r>
    </w:p>
    <w:p>
      <w:pPr>
        <w:tabs>
          <w:tab w:val="left" w:pos="7665"/>
        </w:tabs>
        <w:spacing w:line="400" w:lineRule="exact"/>
        <w:ind w:firstLine="480" w:firstLineChars="200"/>
        <w:rPr>
          <w:rFonts w:hAnsi="宋体"/>
          <w:sz w:val="24"/>
        </w:rPr>
      </w:pPr>
      <w:r>
        <w:rPr>
          <w:rFonts w:hint="eastAsia" w:hAnsi="宋体"/>
          <w:sz w:val="24"/>
        </w:rPr>
        <w:t>（3）向采购代理机构购买了招标文件。</w:t>
      </w:r>
    </w:p>
    <w:p>
      <w:pPr>
        <w:spacing w:line="400" w:lineRule="exact"/>
        <w:ind w:firstLine="480" w:firstLineChars="200"/>
        <w:rPr>
          <w:rFonts w:hAnsi="宋体"/>
          <w:sz w:val="24"/>
        </w:rPr>
      </w:pPr>
      <w:bookmarkStart w:id="63" w:name="_Toc183682345"/>
      <w:bookmarkStart w:id="64" w:name="_Toc217446037"/>
      <w:bookmarkStart w:id="65" w:name="_Toc183582208"/>
      <w:r>
        <w:rPr>
          <w:rFonts w:hint="eastAsia" w:hAnsi="宋体"/>
          <w:sz w:val="24"/>
        </w:rPr>
        <w:t>4. 投标费用</w:t>
      </w:r>
      <w:bookmarkEnd w:id="63"/>
      <w:bookmarkEnd w:id="64"/>
      <w:bookmarkEnd w:id="65"/>
      <w:r>
        <w:rPr>
          <w:rFonts w:hint="eastAsia" w:hAnsi="宋体"/>
          <w:sz w:val="24"/>
        </w:rPr>
        <w:t>（实质性要求）</w:t>
      </w:r>
    </w:p>
    <w:p>
      <w:pPr>
        <w:tabs>
          <w:tab w:val="left" w:pos="7665"/>
        </w:tabs>
        <w:spacing w:line="400" w:lineRule="exact"/>
        <w:ind w:firstLine="480"/>
        <w:rPr>
          <w:rFonts w:hAnsi="宋体"/>
          <w:sz w:val="24"/>
        </w:rPr>
      </w:pPr>
      <w:r>
        <w:rPr>
          <w:rFonts w:hint="eastAsia" w:hAnsi="宋体"/>
          <w:sz w:val="24"/>
        </w:rPr>
        <w:t>投标人参加投标的有关费用由投标人自行承担。</w:t>
      </w:r>
    </w:p>
    <w:p>
      <w:pPr>
        <w:spacing w:line="400" w:lineRule="exact"/>
        <w:ind w:firstLine="480" w:firstLineChars="200"/>
        <w:rPr>
          <w:rFonts w:hAnsi="宋体"/>
          <w:sz w:val="24"/>
        </w:rPr>
      </w:pPr>
      <w:r>
        <w:rPr>
          <w:rFonts w:hint="eastAsia" w:hAnsi="宋体"/>
          <w:sz w:val="24"/>
        </w:rPr>
        <w:t>5、充分、公平竞争保障措施（实质性要求）</w:t>
      </w:r>
    </w:p>
    <w:p>
      <w:pPr>
        <w:pStyle w:val="179"/>
        <w:spacing w:line="400" w:lineRule="exact"/>
        <w:ind w:left="1" w:firstLine="480" w:firstLineChars="200"/>
        <w:rPr>
          <w:rFonts w:hAnsi="宋体"/>
          <w:sz w:val="28"/>
          <w:szCs w:val="28"/>
        </w:rPr>
      </w:pPr>
      <w:bookmarkStart w:id="66" w:name="_Toc183582209"/>
      <w:bookmarkStart w:id="67" w:name="_Toc217446038"/>
      <w:bookmarkStart w:id="68" w:name="_Toc77400779"/>
      <w:bookmarkStart w:id="69" w:name="_Toc89075875"/>
      <w:bookmarkStart w:id="70" w:name="_Toc183682346"/>
      <w:bookmarkStart w:id="71" w:name="_Toc2495"/>
      <w:r>
        <w:rPr>
          <w:rFonts w:hint="eastAsia" w:hAnsi="宋体"/>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179"/>
        <w:spacing w:line="400" w:lineRule="exact"/>
        <w:ind w:left="1" w:firstLine="480" w:firstLineChars="200"/>
        <w:rPr>
          <w:rFonts w:hAnsi="宋体"/>
          <w:sz w:val="24"/>
        </w:rPr>
      </w:pPr>
      <w:r>
        <w:rPr>
          <w:rFonts w:hint="eastAsia" w:hAnsi="宋体"/>
          <w:sz w:val="24"/>
        </w:rPr>
        <w:t>5.2利害关系授权代表处理。两家以上的供应商不得在同一合同项下的采购项目中，委托同一个自然人、同一家庭的人员、同一单位的人员作为其授权代表，否则，其响应文件作为无效处理。</w:t>
      </w:r>
    </w:p>
    <w:p>
      <w:pPr>
        <w:pStyle w:val="179"/>
        <w:spacing w:line="400" w:lineRule="exact"/>
        <w:ind w:left="1" w:firstLine="480" w:firstLineChars="200"/>
        <w:rPr>
          <w:rFonts w:hint="eastAsia" w:hAnsi="宋体" w:eastAsia="宋体"/>
          <w:sz w:val="24"/>
          <w:lang w:eastAsia="zh-CN"/>
        </w:rPr>
      </w:pPr>
      <w:r>
        <w:rPr>
          <w:rFonts w:hint="eastAsia" w:hAnsi="宋体"/>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前期参与供应商</w:t>
      </w:r>
      <w:r>
        <w:rPr>
          <w:rFonts w:hint="eastAsia" w:hAnsi="宋体"/>
          <w:sz w:val="24"/>
          <w:lang w:eastAsia="zh-CN"/>
        </w:rPr>
        <w:t>名单：无。</w:t>
      </w:r>
    </w:p>
    <w:p>
      <w:pPr>
        <w:pStyle w:val="179"/>
        <w:spacing w:line="400" w:lineRule="exact"/>
        <w:ind w:firstLine="480" w:firstLineChars="200"/>
        <w:rPr>
          <w:rFonts w:hAnsi="宋体"/>
          <w:sz w:val="24"/>
        </w:rPr>
      </w:pPr>
      <w:r>
        <w:rPr>
          <w:rFonts w:hint="eastAsia" w:hAnsi="宋体"/>
          <w:sz w:val="24"/>
          <w:szCs w:val="22"/>
        </w:rPr>
        <w:t>5.4提供相同品牌产品处理</w:t>
      </w:r>
      <w:r>
        <w:rPr>
          <w:rFonts w:hint="eastAsia" w:hAnsi="宋体"/>
          <w:sz w:val="24"/>
          <w:szCs w:val="22"/>
          <w:lang w:eastAsia="zh-CN"/>
        </w:rPr>
        <w:t>（本项目不适用）</w:t>
      </w:r>
      <w:r>
        <w:rPr>
          <w:rFonts w:hint="eastAsia" w:hAnsi="宋体"/>
          <w:sz w:val="24"/>
          <w:szCs w:val="22"/>
        </w:rPr>
        <w:t>。提供相同品牌产品且通过资格审查、符合性审查的不同投标人参加同一合同项下投标的，按一家投标人计算，评审后得分最高的同品牌投标人获得中标人推荐资格；评审得分相同的，由评标委员会采取随机抽取的方式确定一个投标人获得中标人推荐资格，其他同品牌投标人不作为中标候选人。</w:t>
      </w:r>
    </w:p>
    <w:p>
      <w:pPr>
        <w:pStyle w:val="179"/>
        <w:spacing w:line="400" w:lineRule="exact"/>
        <w:ind w:left="1" w:firstLine="480" w:firstLineChars="200"/>
        <w:rPr>
          <w:rFonts w:hAnsi="宋体"/>
          <w:sz w:val="24"/>
        </w:rPr>
      </w:pPr>
      <w:r>
        <w:rPr>
          <w:rFonts w:hint="eastAsia" w:hAnsi="宋体"/>
          <w:sz w:val="24"/>
        </w:rPr>
        <w:t>5.5供应商实际控制人或者中高级管理人员，同时是采购代理机构工作人员，不得参与本项目政府采购活动。</w:t>
      </w:r>
    </w:p>
    <w:p>
      <w:pPr>
        <w:spacing w:line="400" w:lineRule="exact"/>
        <w:ind w:firstLine="480" w:firstLineChars="200"/>
        <w:rPr>
          <w:rFonts w:hAnsi="宋体"/>
          <w:sz w:val="24"/>
        </w:rPr>
      </w:pPr>
      <w:r>
        <w:rPr>
          <w:rFonts w:hint="eastAsia" w:hAnsi="宋体"/>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hAnsi="宋体"/>
          <w:sz w:val="24"/>
        </w:rPr>
      </w:pPr>
      <w:r>
        <w:rPr>
          <w:rFonts w:hint="eastAsia" w:hAnsi="宋体"/>
          <w:sz w:val="24"/>
        </w:rPr>
        <w:t>5.7供应商与采购代理机构存在关联关系，或者是采购代理机构的母公司或子公司，不得参加本项目政府采购活动。</w:t>
      </w:r>
    </w:p>
    <w:p>
      <w:pPr>
        <w:pStyle w:val="179"/>
        <w:spacing w:line="400" w:lineRule="exact"/>
        <w:ind w:left="1" w:firstLine="480" w:firstLineChars="200"/>
        <w:rPr>
          <w:rFonts w:hAnsi="宋体"/>
          <w:sz w:val="24"/>
        </w:rPr>
      </w:pPr>
      <w:r>
        <w:rPr>
          <w:rFonts w:hint="eastAsia" w:hAnsi="宋体"/>
          <w:sz w:val="24"/>
        </w:rPr>
        <w:t>5.8回避。政府采购活动中，采购人员及相关人员与供应商有下列利害关系之一的，应当回避：</w:t>
      </w:r>
    </w:p>
    <w:p>
      <w:pPr>
        <w:pStyle w:val="179"/>
        <w:spacing w:line="400" w:lineRule="exact"/>
        <w:ind w:left="1" w:firstLine="480" w:firstLineChars="200"/>
        <w:rPr>
          <w:rFonts w:hAnsi="宋体"/>
          <w:sz w:val="24"/>
        </w:rPr>
      </w:pPr>
      <w:r>
        <w:rPr>
          <w:rFonts w:hint="eastAsia" w:hAnsi="宋体"/>
          <w:sz w:val="24"/>
        </w:rPr>
        <w:t>（1）参加采购活动前3年内与供应商存在劳动关系；</w:t>
      </w:r>
    </w:p>
    <w:p>
      <w:pPr>
        <w:pStyle w:val="179"/>
        <w:spacing w:line="400" w:lineRule="exact"/>
        <w:ind w:left="1" w:firstLine="480" w:firstLineChars="200"/>
        <w:rPr>
          <w:rFonts w:hAnsi="宋体"/>
          <w:sz w:val="24"/>
        </w:rPr>
      </w:pPr>
      <w:r>
        <w:rPr>
          <w:rFonts w:hint="eastAsia" w:hAnsi="宋体"/>
          <w:sz w:val="24"/>
        </w:rPr>
        <w:t>（2）参加采购活动前3年内担任供应商的董事、监事；</w:t>
      </w:r>
    </w:p>
    <w:p>
      <w:pPr>
        <w:pStyle w:val="179"/>
        <w:spacing w:line="400" w:lineRule="exact"/>
        <w:ind w:left="1" w:firstLine="480" w:firstLineChars="200"/>
        <w:rPr>
          <w:rFonts w:hAnsi="宋体"/>
          <w:sz w:val="24"/>
        </w:rPr>
      </w:pPr>
      <w:r>
        <w:rPr>
          <w:rFonts w:hint="eastAsia" w:hAnsi="宋体"/>
          <w:sz w:val="24"/>
        </w:rPr>
        <w:t>（3）参加采购活动前3年内是供应商的控股股东或者实际控制人；</w:t>
      </w:r>
    </w:p>
    <w:p>
      <w:pPr>
        <w:pStyle w:val="179"/>
        <w:spacing w:line="400" w:lineRule="exact"/>
        <w:ind w:left="1" w:firstLine="480" w:firstLineChars="200"/>
        <w:rPr>
          <w:rFonts w:hAnsi="宋体"/>
          <w:sz w:val="24"/>
        </w:rPr>
      </w:pPr>
      <w:r>
        <w:rPr>
          <w:rFonts w:hint="eastAsia" w:hAnsi="宋体"/>
          <w:sz w:val="24"/>
        </w:rPr>
        <w:t>（4）与供应商的法定代表人或者负责人有夫妻、直系血亲、三代以内旁系血亲或者近姻亲关系；</w:t>
      </w:r>
    </w:p>
    <w:p>
      <w:pPr>
        <w:pStyle w:val="179"/>
        <w:spacing w:line="400" w:lineRule="exact"/>
        <w:ind w:left="1" w:firstLine="480" w:firstLineChars="200"/>
        <w:rPr>
          <w:rFonts w:hAnsi="宋体"/>
          <w:sz w:val="24"/>
        </w:rPr>
      </w:pPr>
      <w:r>
        <w:rPr>
          <w:rFonts w:hint="eastAsia" w:hAnsi="宋体"/>
          <w:sz w:val="24"/>
        </w:rPr>
        <w:t>（5）与供应商有其他可能影响政府采购活动公平、公正进行的关系。</w:t>
      </w:r>
    </w:p>
    <w:p>
      <w:pPr>
        <w:pStyle w:val="179"/>
        <w:spacing w:line="400" w:lineRule="exact"/>
        <w:ind w:left="1" w:firstLine="480" w:firstLineChars="200"/>
        <w:rPr>
          <w:rFonts w:hAnsi="宋体"/>
          <w:sz w:val="24"/>
        </w:rPr>
      </w:pPr>
      <w:r>
        <w:rPr>
          <w:rFonts w:hint="eastAsia" w:hAnsi="宋体"/>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委员会成员。</w:t>
      </w:r>
    </w:p>
    <w:p>
      <w:pPr>
        <w:pStyle w:val="179"/>
        <w:spacing w:line="400" w:lineRule="exact"/>
        <w:ind w:left="1" w:firstLine="480" w:firstLineChars="200"/>
        <w:rPr>
          <w:rFonts w:hAnsi="宋体"/>
          <w:sz w:val="24"/>
        </w:rPr>
      </w:pPr>
      <w:r>
        <w:rPr>
          <w:rFonts w:hint="eastAsia" w:hAnsi="宋体"/>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spacing w:line="400" w:lineRule="exact"/>
        <w:ind w:firstLine="560" w:firstLineChars="200"/>
        <w:jc w:val="center"/>
        <w:rPr>
          <w:rFonts w:hAnsi="宋体"/>
          <w:sz w:val="28"/>
          <w:szCs w:val="28"/>
        </w:rPr>
      </w:pPr>
      <w:r>
        <w:rPr>
          <w:rFonts w:hint="eastAsia" w:hAnsi="宋体"/>
          <w:sz w:val="28"/>
          <w:szCs w:val="28"/>
        </w:rPr>
        <w:t>三、招标文件</w:t>
      </w:r>
      <w:bookmarkEnd w:id="66"/>
      <w:bookmarkEnd w:id="67"/>
      <w:bookmarkEnd w:id="68"/>
      <w:bookmarkEnd w:id="69"/>
      <w:bookmarkEnd w:id="70"/>
      <w:bookmarkEnd w:id="71"/>
    </w:p>
    <w:p>
      <w:pPr>
        <w:spacing w:line="400" w:lineRule="exact"/>
        <w:ind w:firstLine="480" w:firstLineChars="200"/>
        <w:rPr>
          <w:rFonts w:hAnsi="宋体"/>
          <w:sz w:val="24"/>
        </w:rPr>
      </w:pPr>
      <w:bookmarkStart w:id="72" w:name="_Toc183682347"/>
      <w:bookmarkStart w:id="73" w:name="_Toc183582210"/>
      <w:bookmarkStart w:id="74" w:name="_Toc217446039"/>
      <w:r>
        <w:rPr>
          <w:rFonts w:hint="eastAsia" w:hAnsi="宋体"/>
          <w:sz w:val="24"/>
        </w:rPr>
        <w:t>6．招标文件的构成</w:t>
      </w:r>
      <w:bookmarkEnd w:id="72"/>
      <w:bookmarkEnd w:id="73"/>
      <w:bookmarkEnd w:id="74"/>
    </w:p>
    <w:p>
      <w:pPr>
        <w:tabs>
          <w:tab w:val="left" w:pos="7665"/>
        </w:tabs>
        <w:spacing w:line="400" w:lineRule="exact"/>
        <w:ind w:firstLine="480" w:firstLineChars="200"/>
        <w:rPr>
          <w:rFonts w:hAnsi="宋体"/>
          <w:sz w:val="24"/>
        </w:rPr>
      </w:pPr>
      <w:r>
        <w:rPr>
          <w:rFonts w:hint="eastAsia" w:hAnsi="宋体"/>
          <w:sz w:val="24"/>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hAnsi="宋体"/>
          <w:sz w:val="24"/>
        </w:rPr>
      </w:pPr>
      <w:r>
        <w:rPr>
          <w:rFonts w:hint="eastAsia" w:hAnsi="宋体"/>
          <w:sz w:val="24"/>
        </w:rPr>
        <w:t>（一）投标邀请；</w:t>
      </w:r>
    </w:p>
    <w:p>
      <w:pPr>
        <w:tabs>
          <w:tab w:val="left" w:pos="720"/>
        </w:tabs>
        <w:spacing w:line="400" w:lineRule="exact"/>
        <w:ind w:firstLine="480" w:firstLineChars="200"/>
        <w:rPr>
          <w:rFonts w:hAnsi="宋体"/>
          <w:sz w:val="24"/>
        </w:rPr>
      </w:pPr>
      <w:r>
        <w:rPr>
          <w:rFonts w:hint="eastAsia" w:hAnsi="宋体"/>
          <w:sz w:val="24"/>
        </w:rPr>
        <w:t>（二）投标人须知；</w:t>
      </w:r>
    </w:p>
    <w:p>
      <w:pPr>
        <w:tabs>
          <w:tab w:val="left" w:pos="720"/>
        </w:tabs>
        <w:spacing w:line="400" w:lineRule="exact"/>
        <w:ind w:firstLine="480" w:firstLineChars="200"/>
        <w:rPr>
          <w:rFonts w:hAnsi="宋体"/>
          <w:sz w:val="24"/>
        </w:rPr>
      </w:pPr>
      <w:r>
        <w:rPr>
          <w:rFonts w:hint="eastAsia" w:hAnsi="宋体"/>
          <w:sz w:val="24"/>
        </w:rPr>
        <w:t>（三）投标文件格式；</w:t>
      </w:r>
    </w:p>
    <w:p>
      <w:pPr>
        <w:tabs>
          <w:tab w:val="left" w:pos="720"/>
        </w:tabs>
        <w:spacing w:line="400" w:lineRule="exact"/>
        <w:ind w:firstLine="480" w:firstLineChars="200"/>
        <w:rPr>
          <w:rFonts w:hAnsi="宋体"/>
          <w:sz w:val="24"/>
        </w:rPr>
      </w:pPr>
      <w:r>
        <w:rPr>
          <w:rFonts w:hint="eastAsia" w:hAnsi="宋体"/>
          <w:sz w:val="24"/>
        </w:rPr>
        <w:t>（四）投标人和投标产品的资格、资质性及其他类似效力要求；</w:t>
      </w:r>
    </w:p>
    <w:p>
      <w:pPr>
        <w:tabs>
          <w:tab w:val="left" w:pos="720"/>
        </w:tabs>
        <w:spacing w:line="400" w:lineRule="exact"/>
        <w:ind w:firstLine="480" w:firstLineChars="200"/>
        <w:rPr>
          <w:rFonts w:hAnsi="宋体"/>
          <w:sz w:val="24"/>
        </w:rPr>
      </w:pPr>
      <w:r>
        <w:rPr>
          <w:rFonts w:hint="eastAsia" w:hAnsi="宋体"/>
          <w:sz w:val="24"/>
        </w:rPr>
        <w:t>（五）投标人应当提供的资格、资质性及其他类似效力要求的相关证明材料；</w:t>
      </w:r>
    </w:p>
    <w:p>
      <w:pPr>
        <w:tabs>
          <w:tab w:val="left" w:pos="720"/>
        </w:tabs>
        <w:spacing w:line="400" w:lineRule="exact"/>
        <w:ind w:firstLine="480" w:firstLineChars="200"/>
        <w:rPr>
          <w:rFonts w:hAnsi="宋体"/>
          <w:sz w:val="24"/>
        </w:rPr>
      </w:pPr>
      <w:r>
        <w:rPr>
          <w:rFonts w:hint="eastAsia" w:hAnsi="宋体"/>
          <w:sz w:val="24"/>
        </w:rPr>
        <w:t>（六）招标项目技术、服务、政府采购合同内容条款及其他商务要求；</w:t>
      </w:r>
    </w:p>
    <w:p>
      <w:pPr>
        <w:tabs>
          <w:tab w:val="left" w:pos="720"/>
        </w:tabs>
        <w:spacing w:line="400" w:lineRule="exact"/>
        <w:ind w:firstLine="480" w:firstLineChars="200"/>
        <w:rPr>
          <w:rFonts w:hAnsi="宋体"/>
          <w:sz w:val="24"/>
        </w:rPr>
      </w:pPr>
      <w:r>
        <w:rPr>
          <w:rFonts w:hint="eastAsia" w:hAnsi="宋体"/>
          <w:sz w:val="24"/>
        </w:rPr>
        <w:t>（七）评标办法；</w:t>
      </w:r>
    </w:p>
    <w:p>
      <w:pPr>
        <w:tabs>
          <w:tab w:val="left" w:pos="720"/>
        </w:tabs>
        <w:spacing w:line="400" w:lineRule="exact"/>
        <w:ind w:firstLine="480" w:firstLineChars="200"/>
        <w:rPr>
          <w:rFonts w:hAnsi="宋体"/>
          <w:sz w:val="24"/>
        </w:rPr>
      </w:pPr>
      <w:r>
        <w:rPr>
          <w:rFonts w:hint="eastAsia" w:hAnsi="宋体"/>
          <w:sz w:val="24"/>
        </w:rPr>
        <w:t>（八）合同主要条款。</w:t>
      </w:r>
    </w:p>
    <w:p>
      <w:pPr>
        <w:spacing w:line="400" w:lineRule="exact"/>
        <w:ind w:firstLine="480" w:firstLineChars="200"/>
        <w:rPr>
          <w:rFonts w:hAnsi="宋体"/>
          <w:sz w:val="24"/>
        </w:rPr>
      </w:pPr>
      <w:bookmarkStart w:id="75" w:name="_Toc183582211"/>
      <w:bookmarkStart w:id="76" w:name="_Toc183682348"/>
      <w:bookmarkStart w:id="77" w:name="_Toc217446040"/>
      <w:r>
        <w:rPr>
          <w:rFonts w:hint="eastAsia" w:hAnsi="宋体"/>
          <w:sz w:val="24"/>
        </w:rPr>
        <w:t>7. 招标文件的澄清</w:t>
      </w:r>
      <w:bookmarkEnd w:id="75"/>
      <w:bookmarkEnd w:id="76"/>
      <w:r>
        <w:rPr>
          <w:rFonts w:hint="eastAsia" w:hAnsi="宋体"/>
          <w:sz w:val="24"/>
        </w:rPr>
        <w:t>和修改</w:t>
      </w:r>
      <w:bookmarkEnd w:id="77"/>
    </w:p>
    <w:p>
      <w:pPr>
        <w:tabs>
          <w:tab w:val="left" w:pos="7665"/>
        </w:tabs>
        <w:spacing w:line="400" w:lineRule="exact"/>
        <w:ind w:firstLine="480" w:firstLineChars="200"/>
        <w:rPr>
          <w:rFonts w:hAnsi="宋体"/>
          <w:sz w:val="24"/>
        </w:rPr>
      </w:pPr>
      <w:r>
        <w:rPr>
          <w:rFonts w:hint="eastAsia" w:hAnsi="宋体"/>
          <w:sz w:val="24"/>
        </w:rPr>
        <w:t>7.1招标采购单位可以依法对招标文件进行澄清或者修改。</w:t>
      </w:r>
    </w:p>
    <w:p>
      <w:pPr>
        <w:tabs>
          <w:tab w:val="left" w:pos="7665"/>
        </w:tabs>
        <w:spacing w:line="400" w:lineRule="exact"/>
        <w:ind w:firstLine="480" w:firstLineChars="200"/>
        <w:rPr>
          <w:rFonts w:hAnsi="宋体"/>
          <w:sz w:val="24"/>
        </w:rPr>
      </w:pPr>
      <w:r>
        <w:rPr>
          <w:rFonts w:hint="eastAsia" w:hAnsi="宋体"/>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15日前、提交资格预审申请文件截止时间至少3日前；不足上述时间的，应当顺延提交投标文件、资格预审申请文件的截止时间。</w:t>
      </w:r>
    </w:p>
    <w:p>
      <w:pPr>
        <w:tabs>
          <w:tab w:val="left" w:pos="7665"/>
        </w:tabs>
        <w:spacing w:line="400" w:lineRule="exact"/>
        <w:ind w:firstLine="480" w:firstLineChars="200"/>
        <w:rPr>
          <w:rFonts w:hAnsi="宋体"/>
          <w:sz w:val="24"/>
        </w:rPr>
      </w:pPr>
      <w:r>
        <w:rPr>
          <w:rFonts w:hint="eastAsia" w:hAnsi="宋体"/>
          <w:sz w:val="24"/>
        </w:rPr>
        <w:t>7.3 投标人认为需要对招标文件进行澄清或者修改的，可以以书面形式向招标采购单位构提出申请，但招标采购单位可以决定是否采纳投标人的申请事项。</w:t>
      </w:r>
    </w:p>
    <w:p>
      <w:pPr>
        <w:spacing w:line="400" w:lineRule="exact"/>
        <w:ind w:firstLine="480" w:firstLineChars="200"/>
        <w:rPr>
          <w:rFonts w:hAnsi="宋体"/>
          <w:sz w:val="24"/>
        </w:rPr>
      </w:pPr>
      <w:bookmarkStart w:id="78" w:name="_Toc217446041"/>
      <w:bookmarkStart w:id="79" w:name="_Toc208848971"/>
      <w:r>
        <w:rPr>
          <w:rFonts w:hint="eastAsia" w:hAnsi="宋体"/>
          <w:sz w:val="24"/>
        </w:rPr>
        <w:t>8. 答疑会和现场考察</w:t>
      </w:r>
      <w:bookmarkEnd w:id="78"/>
      <w:bookmarkEnd w:id="79"/>
    </w:p>
    <w:p>
      <w:pPr>
        <w:tabs>
          <w:tab w:val="left" w:pos="7665"/>
        </w:tabs>
        <w:spacing w:line="400" w:lineRule="exact"/>
        <w:ind w:firstLine="480" w:firstLineChars="200"/>
        <w:rPr>
          <w:sz w:val="24"/>
        </w:rPr>
      </w:pPr>
      <w:r>
        <w:rPr>
          <w:rFonts w:hint="eastAsia" w:hAnsi="宋体"/>
          <w:sz w:val="24"/>
        </w:rPr>
        <w:t xml:space="preserve">8.1 </w:t>
      </w:r>
      <w:r>
        <w:rPr>
          <w:rFonts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hAnsi="宋体"/>
          <w:sz w:val="24"/>
        </w:rPr>
      </w:pPr>
      <w:r>
        <w:rPr>
          <w:rFonts w:hint="eastAsia"/>
          <w:sz w:val="24"/>
        </w:rPr>
        <w:t>8.2 供应商考察现场所发生的一切费用由供应商自己承担。</w:t>
      </w:r>
    </w:p>
    <w:p>
      <w:pPr>
        <w:spacing w:line="400" w:lineRule="exact"/>
        <w:ind w:firstLine="560" w:firstLineChars="200"/>
        <w:jc w:val="center"/>
        <w:rPr>
          <w:rFonts w:hAnsi="宋体"/>
          <w:sz w:val="28"/>
          <w:szCs w:val="28"/>
        </w:rPr>
      </w:pPr>
      <w:bookmarkStart w:id="80" w:name="_Toc183582214"/>
      <w:bookmarkStart w:id="81" w:name="_Toc77400780"/>
      <w:bookmarkStart w:id="82" w:name="_Toc217446042"/>
      <w:bookmarkStart w:id="83" w:name="_Toc183682351"/>
      <w:bookmarkStart w:id="84" w:name="_Toc89075876"/>
      <w:bookmarkStart w:id="85" w:name="_Toc30477"/>
    </w:p>
    <w:p>
      <w:pPr>
        <w:spacing w:line="400" w:lineRule="exact"/>
        <w:ind w:firstLine="560" w:firstLineChars="200"/>
        <w:jc w:val="center"/>
        <w:rPr>
          <w:rFonts w:hAnsi="宋体"/>
          <w:sz w:val="28"/>
          <w:szCs w:val="28"/>
        </w:rPr>
      </w:pPr>
      <w:r>
        <w:rPr>
          <w:rFonts w:hint="eastAsia" w:hAnsi="宋体"/>
          <w:sz w:val="28"/>
          <w:szCs w:val="28"/>
        </w:rPr>
        <w:t>四、投标文件</w:t>
      </w:r>
      <w:bookmarkEnd w:id="80"/>
      <w:bookmarkEnd w:id="81"/>
      <w:bookmarkEnd w:id="82"/>
      <w:bookmarkEnd w:id="83"/>
      <w:bookmarkEnd w:id="84"/>
      <w:bookmarkEnd w:id="85"/>
    </w:p>
    <w:p>
      <w:pPr>
        <w:spacing w:line="400" w:lineRule="exact"/>
        <w:ind w:firstLine="480" w:firstLineChars="200"/>
        <w:rPr>
          <w:sz w:val="24"/>
        </w:rPr>
      </w:pPr>
      <w:bookmarkStart w:id="86" w:name="_Toc183682352"/>
      <w:bookmarkStart w:id="87" w:name="_Toc183582215"/>
      <w:bookmarkStart w:id="88" w:name="_Toc217446043"/>
      <w:r>
        <w:rPr>
          <w:rFonts w:hint="eastAsia"/>
          <w:sz w:val="24"/>
        </w:rPr>
        <w:t>9．投标文件的语言</w:t>
      </w:r>
      <w:bookmarkEnd w:id="86"/>
      <w:bookmarkEnd w:id="87"/>
      <w:bookmarkEnd w:id="88"/>
      <w:r>
        <w:rPr>
          <w:rFonts w:hint="eastAsia"/>
          <w:sz w:val="24"/>
        </w:rPr>
        <w:t>（实质性要求）</w:t>
      </w:r>
    </w:p>
    <w:p>
      <w:pPr>
        <w:tabs>
          <w:tab w:val="left" w:pos="1134"/>
        </w:tabs>
        <w:spacing w:line="400" w:lineRule="exact"/>
        <w:ind w:firstLine="480" w:firstLineChars="200"/>
        <w:jc w:val="left"/>
        <w:rPr>
          <w:sz w:val="24"/>
        </w:rPr>
      </w:pPr>
      <w:bookmarkStart w:id="89" w:name="_Toc183682353"/>
      <w:bookmarkStart w:id="90" w:name="_Toc183582216"/>
      <w:bookmarkStart w:id="91" w:name="_Toc217446044"/>
      <w:r>
        <w:rPr>
          <w:rFonts w:hint="eastAsia"/>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供应商的法定代表人为外籍人士的，法定代表人的签字和护照除外。）</w:t>
      </w:r>
    </w:p>
    <w:p>
      <w:pPr>
        <w:tabs>
          <w:tab w:val="left" w:pos="1134"/>
        </w:tabs>
        <w:spacing w:line="400" w:lineRule="exact"/>
        <w:ind w:firstLine="480" w:firstLineChars="200"/>
        <w:jc w:val="left"/>
        <w:rPr>
          <w:sz w:val="24"/>
        </w:rPr>
      </w:pPr>
      <w:r>
        <w:rPr>
          <w:rFonts w:hint="eastAsia"/>
          <w:sz w:val="24"/>
        </w:rPr>
        <w:t>9.2 翻译的中文资料与外文资料如果出现差异和矛盾时，以中文为准。涉嫌虚假响应的按照相关法律法规处理。</w:t>
      </w:r>
    </w:p>
    <w:p>
      <w:pPr>
        <w:spacing w:line="400" w:lineRule="exact"/>
        <w:ind w:firstLine="480" w:firstLineChars="200"/>
        <w:rPr>
          <w:sz w:val="24"/>
        </w:rPr>
      </w:pPr>
      <w:r>
        <w:rPr>
          <w:rFonts w:hint="eastAsia"/>
          <w:sz w:val="24"/>
        </w:rPr>
        <w:t>10．计量单位</w:t>
      </w:r>
      <w:bookmarkEnd w:id="89"/>
      <w:bookmarkEnd w:id="90"/>
      <w:bookmarkEnd w:id="91"/>
      <w:r>
        <w:rPr>
          <w:rFonts w:hint="eastAsia"/>
          <w:sz w:val="24"/>
        </w:rPr>
        <w:t>（实质性要求）</w:t>
      </w:r>
    </w:p>
    <w:p>
      <w:pPr>
        <w:spacing w:line="400" w:lineRule="exact"/>
        <w:ind w:firstLine="470" w:firstLineChars="196"/>
        <w:rPr>
          <w:rFonts w:hAnsi="宋体"/>
          <w:sz w:val="24"/>
        </w:rPr>
      </w:pPr>
      <w:r>
        <w:rPr>
          <w:rFonts w:hint="eastAsia" w:hAnsi="宋体"/>
          <w:sz w:val="24"/>
        </w:rPr>
        <w:t>除招标文件中另有规定外，本次采购项目所有合同项下的投标均采用国家法定计量单位。</w:t>
      </w:r>
    </w:p>
    <w:p>
      <w:pPr>
        <w:spacing w:line="400" w:lineRule="exact"/>
        <w:ind w:firstLine="480" w:firstLineChars="200"/>
        <w:rPr>
          <w:rFonts w:hAnsi="宋体"/>
          <w:sz w:val="24"/>
        </w:rPr>
      </w:pPr>
      <w:bookmarkStart w:id="92" w:name="_Toc217446045"/>
      <w:r>
        <w:rPr>
          <w:rFonts w:hint="eastAsia" w:hAnsi="宋体"/>
          <w:sz w:val="24"/>
        </w:rPr>
        <w:t>11. 投标货币</w:t>
      </w:r>
      <w:bookmarkEnd w:id="92"/>
    </w:p>
    <w:p>
      <w:pPr>
        <w:tabs>
          <w:tab w:val="left" w:pos="7665"/>
        </w:tabs>
        <w:spacing w:line="400" w:lineRule="exact"/>
        <w:ind w:left="13" w:hanging="118"/>
        <w:rPr>
          <w:rFonts w:hAnsi="宋体"/>
          <w:sz w:val="24"/>
        </w:rPr>
      </w:pPr>
      <w:r>
        <w:rPr>
          <w:rFonts w:hint="eastAsia" w:hAnsi="宋体"/>
          <w:sz w:val="24"/>
        </w:rPr>
        <w:t>本次招标项目的投标均以</w:t>
      </w:r>
      <w:r>
        <w:rPr>
          <w:rFonts w:hint="eastAsia" w:hAnsi="宋体"/>
          <w:sz w:val="24"/>
          <w:lang w:eastAsia="zh-CN"/>
        </w:rPr>
        <w:t>费率的形式进行</w:t>
      </w:r>
      <w:r>
        <w:rPr>
          <w:rFonts w:hint="eastAsia" w:hAnsi="宋体"/>
          <w:sz w:val="24"/>
        </w:rPr>
        <w:t>报价。</w:t>
      </w:r>
    </w:p>
    <w:p>
      <w:pPr>
        <w:spacing w:line="400" w:lineRule="exact"/>
        <w:ind w:firstLine="480" w:firstLineChars="200"/>
        <w:rPr>
          <w:rFonts w:hAnsi="宋体"/>
          <w:sz w:val="24"/>
          <w:szCs w:val="22"/>
        </w:rPr>
      </w:pPr>
      <w:bookmarkStart w:id="93" w:name="_Toc217446046"/>
      <w:r>
        <w:rPr>
          <w:rFonts w:hint="eastAsia" w:hAnsi="宋体"/>
          <w:sz w:val="24"/>
        </w:rPr>
        <w:t>12. 联合</w:t>
      </w:r>
      <w:r>
        <w:rPr>
          <w:rFonts w:hint="eastAsia" w:hAnsi="宋体"/>
          <w:sz w:val="24"/>
          <w:szCs w:val="22"/>
        </w:rPr>
        <w:t>体投标</w:t>
      </w:r>
      <w:bookmarkEnd w:id="93"/>
      <w:r>
        <w:rPr>
          <w:rFonts w:hint="eastAsia" w:hAnsi="宋体"/>
          <w:sz w:val="24"/>
          <w:szCs w:val="22"/>
        </w:rPr>
        <w:t>（</w:t>
      </w:r>
      <w:r>
        <w:rPr>
          <w:rFonts w:hint="eastAsia" w:hAnsi="宋体"/>
          <w:sz w:val="24"/>
          <w:szCs w:val="22"/>
          <w:lang w:eastAsia="zh-CN"/>
        </w:rPr>
        <w:t>不接受联合体投标</w:t>
      </w:r>
      <w:r>
        <w:rPr>
          <w:rFonts w:hint="eastAsia" w:hAnsi="宋体"/>
          <w:sz w:val="24"/>
          <w:szCs w:val="22"/>
        </w:rPr>
        <w:t>）</w:t>
      </w:r>
      <w:bookmarkStart w:id="94" w:name="_Toc217446047"/>
    </w:p>
    <w:p>
      <w:pPr>
        <w:spacing w:line="400" w:lineRule="exact"/>
        <w:ind w:firstLine="480" w:firstLineChars="200"/>
        <w:rPr>
          <w:rFonts w:hAnsi="宋体"/>
          <w:sz w:val="24"/>
          <w:szCs w:val="22"/>
        </w:rPr>
      </w:pPr>
      <w:bookmarkStart w:id="95" w:name="_Toc308164797"/>
      <w:r>
        <w:rPr>
          <w:rFonts w:hint="eastAsia" w:hAnsi="宋体"/>
          <w:sz w:val="24"/>
          <w:szCs w:val="22"/>
        </w:rPr>
        <w:t>13. 知识产权</w:t>
      </w:r>
      <w:bookmarkEnd w:id="94"/>
      <w:bookmarkEnd w:id="95"/>
      <w:r>
        <w:rPr>
          <w:rFonts w:hint="eastAsia" w:hAnsi="宋体"/>
          <w:sz w:val="24"/>
          <w:szCs w:val="22"/>
        </w:rPr>
        <w:t>（实质性要求）</w:t>
      </w:r>
    </w:p>
    <w:p>
      <w:pPr>
        <w:pStyle w:val="19"/>
        <w:spacing w:line="400" w:lineRule="exact"/>
        <w:ind w:firstLine="480" w:firstLineChars="200"/>
        <w:rPr>
          <w:rFonts w:hAnsi="宋体"/>
          <w:sz w:val="24"/>
          <w:szCs w:val="24"/>
        </w:rPr>
      </w:pPr>
      <w:r>
        <w:rPr>
          <w:rFonts w:hint="eastAsia" w:hAnsi="宋体"/>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9"/>
        <w:spacing w:line="400" w:lineRule="exact"/>
        <w:ind w:firstLine="480" w:firstLineChars="200"/>
        <w:rPr>
          <w:rFonts w:hAnsi="宋体"/>
          <w:sz w:val="24"/>
          <w:szCs w:val="24"/>
        </w:rPr>
      </w:pPr>
      <w:r>
        <w:rPr>
          <w:rFonts w:hint="eastAsia" w:hAnsi="宋体"/>
          <w:sz w:val="24"/>
          <w:szCs w:val="24"/>
        </w:rPr>
        <w:t>13.2 采购人享有本项目实施过程中产生的知识成果及知识产权。</w:t>
      </w:r>
    </w:p>
    <w:p>
      <w:pPr>
        <w:spacing w:line="400" w:lineRule="exact"/>
        <w:ind w:firstLine="480" w:firstLineChars="200"/>
        <w:rPr>
          <w:rFonts w:hAnsi="宋体"/>
          <w:sz w:val="24"/>
        </w:rPr>
      </w:pPr>
      <w:r>
        <w:rPr>
          <w:rFonts w:hint="eastAsia" w:hAnsi="宋体"/>
          <w:sz w:val="24"/>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hAnsi="宋体"/>
          <w:sz w:val="24"/>
        </w:rPr>
      </w:pPr>
      <w:r>
        <w:rPr>
          <w:rFonts w:hint="eastAsia" w:hAnsi="宋体"/>
          <w:sz w:val="24"/>
        </w:rPr>
        <w:t>13.4 如采用投标人所不拥有的知识产权，则在投标报价中必须包括合法获取该知识产权的相关费用。</w:t>
      </w:r>
    </w:p>
    <w:p>
      <w:pPr>
        <w:spacing w:line="240" w:lineRule="auto"/>
        <w:ind w:firstLine="480" w:firstLineChars="200"/>
        <w:rPr>
          <w:rFonts w:hAnsi="宋体"/>
          <w:color w:val="auto"/>
          <w:sz w:val="24"/>
        </w:rPr>
      </w:pPr>
      <w:bookmarkStart w:id="96" w:name="_Toc217446048"/>
      <w:bookmarkStart w:id="97" w:name="_Toc183582217"/>
      <w:bookmarkStart w:id="98" w:name="_Toc183682354"/>
      <w:bookmarkStart w:id="99" w:name="_Toc308164798"/>
      <w:r>
        <w:rPr>
          <w:rFonts w:hint="eastAsia" w:hAnsi="宋体"/>
          <w:color w:val="auto"/>
          <w:sz w:val="24"/>
        </w:rPr>
        <w:t>14．投标文件的组成</w:t>
      </w:r>
      <w:bookmarkEnd w:id="96"/>
      <w:bookmarkEnd w:id="97"/>
      <w:bookmarkEnd w:id="98"/>
      <w:bookmarkEnd w:id="99"/>
    </w:p>
    <w:p>
      <w:pPr>
        <w:spacing w:line="240" w:lineRule="auto"/>
        <w:ind w:firstLine="480" w:firstLineChars="200"/>
        <w:rPr>
          <w:rFonts w:hint="eastAsia" w:hAnsi="宋体"/>
          <w:color w:val="auto"/>
          <w:sz w:val="24"/>
        </w:rPr>
      </w:pPr>
      <w:r>
        <w:rPr>
          <w:rFonts w:hint="eastAsia" w:hAnsi="宋体"/>
          <w:color w:val="auto"/>
          <w:sz w:val="24"/>
        </w:rPr>
        <w:t>投标人应按照招标文件的规定和要求编制投标文件。投标人拟在中标后将中标项目的非主体、非关键性工作交由他人分包完成的，应当在投标文件中载明。</w:t>
      </w:r>
    </w:p>
    <w:p>
      <w:pPr>
        <w:spacing w:line="240" w:lineRule="auto"/>
        <w:ind w:firstLine="480" w:firstLineChars="200"/>
        <w:rPr>
          <w:rFonts w:hint="eastAsia" w:hAnsi="宋体"/>
          <w:color w:val="FF0000"/>
          <w:sz w:val="24"/>
        </w:rPr>
      </w:pPr>
      <w:r>
        <w:rPr>
          <w:rFonts w:hint="eastAsia" w:hAnsi="宋体"/>
          <w:color w:val="auto"/>
          <w:sz w:val="24"/>
        </w:rPr>
        <w:t>投标人编写的投标文件应包括下列部分：</w:t>
      </w:r>
    </w:p>
    <w:p>
      <w:pPr>
        <w:spacing w:line="240" w:lineRule="auto"/>
        <w:ind w:firstLine="480" w:firstLineChars="200"/>
        <w:rPr>
          <w:rFonts w:hint="eastAsia" w:hAnsi="宋体"/>
          <w:color w:val="auto"/>
          <w:sz w:val="24"/>
        </w:rPr>
      </w:pPr>
      <w:r>
        <w:rPr>
          <w:rFonts w:hint="eastAsia" w:hAnsi="宋体"/>
          <w:color w:val="auto"/>
          <w:sz w:val="24"/>
        </w:rPr>
        <w:t>14.1 报价部分。</w:t>
      </w:r>
      <w:r>
        <w:rPr>
          <w:rFonts w:hint="eastAsia" w:hAnsi="宋体"/>
          <w:bCs/>
          <w:color w:val="auto"/>
          <w:sz w:val="24"/>
        </w:rPr>
        <w:t>投标人</w:t>
      </w:r>
      <w:r>
        <w:rPr>
          <w:rFonts w:hint="eastAsia" w:hAnsi="宋体"/>
          <w:color w:val="auto"/>
          <w:sz w:val="24"/>
        </w:rPr>
        <w:t>按照招标文件要求填写的“开标一览表”（实质性要求）。</w:t>
      </w:r>
    </w:p>
    <w:p>
      <w:pPr>
        <w:spacing w:line="240" w:lineRule="auto"/>
        <w:ind w:firstLine="480" w:firstLineChars="200"/>
        <w:rPr>
          <w:rFonts w:hint="eastAsia" w:hAnsi="宋体"/>
          <w:color w:val="auto"/>
          <w:sz w:val="24"/>
          <w:szCs w:val="22"/>
        </w:rPr>
      </w:pPr>
      <w:r>
        <w:rPr>
          <w:rFonts w:hint="eastAsia" w:hAnsi="宋体"/>
          <w:color w:val="auto"/>
          <w:sz w:val="24"/>
        </w:rPr>
        <w:t>本次招标</w:t>
      </w:r>
      <w:r>
        <w:rPr>
          <w:rFonts w:hint="eastAsia" w:hAnsi="宋体"/>
          <w:color w:val="auto"/>
          <w:sz w:val="24"/>
          <w:szCs w:val="22"/>
        </w:rPr>
        <w:t>报价要求：</w:t>
      </w:r>
    </w:p>
    <w:p>
      <w:pPr>
        <w:spacing w:line="240" w:lineRule="auto"/>
        <w:ind w:firstLine="480" w:firstLineChars="200"/>
        <w:rPr>
          <w:rFonts w:hint="eastAsia" w:hAnsi="宋体"/>
          <w:color w:val="auto"/>
          <w:sz w:val="24"/>
          <w:szCs w:val="22"/>
        </w:rPr>
      </w:pPr>
      <w:r>
        <w:rPr>
          <w:rFonts w:hint="eastAsia" w:hAnsi="宋体"/>
          <w:color w:val="auto"/>
          <w:sz w:val="24"/>
          <w:szCs w:val="22"/>
        </w:rPr>
        <w:t>（1）投标人的报价是投标人响应招标项目要求的全部工作内容的价格体现，包括投标人完成本项目所需的一切费用（实质性要求）。</w:t>
      </w:r>
    </w:p>
    <w:p>
      <w:pPr>
        <w:spacing w:line="240" w:lineRule="auto"/>
        <w:ind w:left="0" w:firstLine="480" w:firstLineChars="200"/>
        <w:rPr>
          <w:rFonts w:hint="eastAsia" w:hAnsi="宋体"/>
          <w:color w:val="auto"/>
          <w:sz w:val="24"/>
          <w:szCs w:val="22"/>
        </w:rPr>
      </w:pPr>
      <w:r>
        <w:rPr>
          <w:rFonts w:hint="eastAsia" w:hAnsi="宋体"/>
          <w:color w:val="auto"/>
          <w:sz w:val="24"/>
          <w:szCs w:val="22"/>
        </w:rPr>
        <w:t>（2）</w:t>
      </w:r>
      <w:r>
        <w:rPr>
          <w:rFonts w:hint="eastAsia" w:hAnsi="宋体" w:eastAsia="宋体" w:cs="Times New Roman"/>
          <w:color w:val="auto"/>
          <w:sz w:val="24"/>
          <w:szCs w:val="22"/>
        </w:rPr>
        <w:t>投标人投标价格只允许有一个报价，并且在合同履行过程中是固定不变的，任何有选择或可调整的报价将不予接受，并按无效投标处理。</w:t>
      </w:r>
      <w:r>
        <w:rPr>
          <w:rFonts w:hint="eastAsia" w:hAnsi="宋体"/>
          <w:color w:val="auto"/>
          <w:sz w:val="24"/>
          <w:szCs w:val="22"/>
        </w:rPr>
        <w:t>（实质性要求）。</w:t>
      </w:r>
    </w:p>
    <w:p>
      <w:pPr>
        <w:spacing w:line="240" w:lineRule="auto"/>
        <w:ind w:firstLine="480" w:firstLineChars="200"/>
        <w:rPr>
          <w:rFonts w:hint="eastAsia" w:hAnsi="宋体"/>
          <w:bCs/>
          <w:color w:val="auto"/>
          <w:sz w:val="24"/>
          <w:szCs w:val="22"/>
        </w:rPr>
      </w:pPr>
      <w:r>
        <w:rPr>
          <w:rFonts w:hint="eastAsia" w:hAnsi="宋体"/>
          <w:color w:val="auto"/>
          <w:sz w:val="24"/>
        </w:rPr>
        <w:t xml:space="preserve">14.2 </w:t>
      </w:r>
      <w:r>
        <w:rPr>
          <w:rFonts w:hint="eastAsia" w:hAnsi="宋体"/>
          <w:color w:val="auto"/>
          <w:sz w:val="24"/>
          <w:lang w:eastAsia="zh-CN"/>
        </w:rPr>
        <w:t>技术</w:t>
      </w:r>
      <w:r>
        <w:rPr>
          <w:rFonts w:hint="eastAsia" w:hAnsi="宋体"/>
          <w:color w:val="auto"/>
          <w:sz w:val="24"/>
        </w:rPr>
        <w:t>服务</w:t>
      </w:r>
      <w:r>
        <w:rPr>
          <w:rFonts w:hint="eastAsia" w:hAnsi="宋体"/>
          <w:color w:val="auto"/>
          <w:sz w:val="24"/>
          <w:lang w:eastAsia="zh-CN"/>
        </w:rPr>
        <w:t>性响应文件</w:t>
      </w:r>
      <w:r>
        <w:rPr>
          <w:rFonts w:hint="eastAsia" w:hAnsi="宋体"/>
          <w:color w:val="auto"/>
          <w:sz w:val="24"/>
        </w:rPr>
        <w:t>部分。</w:t>
      </w:r>
    </w:p>
    <w:p>
      <w:pPr>
        <w:spacing w:line="240" w:lineRule="auto"/>
        <w:ind w:firstLine="480" w:firstLineChars="200"/>
        <w:rPr>
          <w:rFonts w:hint="eastAsia" w:hAnsi="宋体"/>
          <w:bCs/>
          <w:color w:val="auto"/>
          <w:sz w:val="24"/>
          <w:szCs w:val="22"/>
        </w:rPr>
      </w:pPr>
      <w:r>
        <w:rPr>
          <w:rFonts w:hint="eastAsia" w:hAnsi="宋体"/>
          <w:bCs/>
          <w:color w:val="auto"/>
          <w:sz w:val="24"/>
          <w:szCs w:val="22"/>
        </w:rPr>
        <w:t>投标人的</w:t>
      </w:r>
      <w:r>
        <w:rPr>
          <w:rFonts w:hint="eastAsia" w:hAnsi="宋体"/>
          <w:color w:val="auto"/>
          <w:sz w:val="24"/>
          <w:lang w:eastAsia="zh-CN"/>
        </w:rPr>
        <w:t>技术</w:t>
      </w:r>
      <w:r>
        <w:rPr>
          <w:rFonts w:hint="eastAsia" w:hAnsi="宋体"/>
          <w:color w:val="auto"/>
          <w:sz w:val="24"/>
        </w:rPr>
        <w:t>服务</w:t>
      </w:r>
      <w:r>
        <w:rPr>
          <w:rFonts w:hint="eastAsia" w:hAnsi="宋体"/>
          <w:color w:val="auto"/>
          <w:sz w:val="24"/>
          <w:lang w:eastAsia="zh-CN"/>
        </w:rPr>
        <w:t>性响应文件</w:t>
      </w:r>
      <w:r>
        <w:rPr>
          <w:rFonts w:hint="eastAsia" w:hAnsi="宋体"/>
          <w:bCs/>
          <w:color w:val="auto"/>
          <w:sz w:val="24"/>
          <w:szCs w:val="22"/>
        </w:rPr>
        <w:t>包括下列内容：</w:t>
      </w:r>
    </w:p>
    <w:p>
      <w:pPr>
        <w:spacing w:line="240" w:lineRule="auto"/>
        <w:ind w:firstLine="480" w:firstLineChars="200"/>
        <w:rPr>
          <w:rFonts w:hint="eastAsia" w:hAnsi="宋体" w:eastAsia="宋体" w:cs="Times New Roman"/>
          <w:bCs/>
          <w:color w:val="auto"/>
          <w:sz w:val="24"/>
          <w:szCs w:val="22"/>
        </w:rPr>
      </w:pPr>
      <w:r>
        <w:rPr>
          <w:rFonts w:hint="eastAsia" w:hAnsi="宋体" w:eastAsia="宋体" w:cs="Times New Roman"/>
          <w:bCs/>
          <w:color w:val="auto"/>
          <w:sz w:val="24"/>
          <w:szCs w:val="22"/>
        </w:rPr>
        <w:t>（1）投标人简介</w:t>
      </w:r>
      <w:r>
        <w:rPr>
          <w:rFonts w:hint="eastAsia" w:hAnsi="宋体" w:cs="Times New Roman"/>
          <w:bCs/>
          <w:color w:val="auto"/>
          <w:sz w:val="24"/>
          <w:szCs w:val="22"/>
          <w:lang w:eastAsia="zh-CN"/>
        </w:rPr>
        <w:t>（自拟）</w:t>
      </w:r>
      <w:r>
        <w:rPr>
          <w:rFonts w:hint="eastAsia" w:hAnsi="宋体"/>
          <w:color w:val="auto"/>
          <w:sz w:val="24"/>
          <w:lang w:eastAsia="zh-CN"/>
        </w:rPr>
        <w:t>；</w:t>
      </w:r>
    </w:p>
    <w:p>
      <w:pPr>
        <w:spacing w:line="240" w:lineRule="auto"/>
        <w:ind w:firstLine="480" w:firstLineChars="200"/>
        <w:rPr>
          <w:rFonts w:hint="eastAsia" w:hAnsi="宋体" w:eastAsia="宋体" w:cs="Times New Roman"/>
          <w:bCs/>
          <w:color w:val="auto"/>
          <w:sz w:val="24"/>
          <w:szCs w:val="22"/>
        </w:rPr>
      </w:pPr>
      <w:r>
        <w:rPr>
          <w:rFonts w:hint="eastAsia" w:hAnsi="宋体" w:eastAsia="宋体" w:cs="Times New Roman"/>
          <w:bCs/>
          <w:color w:val="auto"/>
          <w:sz w:val="24"/>
          <w:szCs w:val="22"/>
        </w:rPr>
        <w:t>（2）投标人基本情况表；</w:t>
      </w:r>
    </w:p>
    <w:p>
      <w:pPr>
        <w:spacing w:line="240" w:lineRule="auto"/>
        <w:ind w:firstLine="480" w:firstLineChars="200"/>
        <w:rPr>
          <w:rFonts w:hint="eastAsia" w:hAnsi="宋体" w:eastAsia="宋体" w:cs="Times New Roman"/>
          <w:bCs/>
          <w:color w:val="auto"/>
          <w:sz w:val="24"/>
          <w:szCs w:val="22"/>
        </w:rPr>
      </w:pPr>
      <w:r>
        <w:rPr>
          <w:rFonts w:hint="eastAsia" w:hAnsi="宋体" w:eastAsia="宋体" w:cs="Times New Roman"/>
          <w:bCs/>
          <w:color w:val="auto"/>
          <w:sz w:val="24"/>
          <w:szCs w:val="22"/>
        </w:rPr>
        <w:t>（3）项目实施方案；</w:t>
      </w:r>
    </w:p>
    <w:p>
      <w:pPr>
        <w:spacing w:line="240" w:lineRule="auto"/>
        <w:ind w:firstLine="480" w:firstLineChars="200"/>
        <w:rPr>
          <w:rFonts w:hint="eastAsia" w:hAnsi="宋体" w:eastAsia="宋体" w:cs="Times New Roman"/>
          <w:bCs/>
          <w:color w:val="auto"/>
          <w:sz w:val="24"/>
          <w:szCs w:val="22"/>
        </w:rPr>
      </w:pPr>
      <w:r>
        <w:rPr>
          <w:rFonts w:hint="eastAsia" w:hAnsi="宋体" w:eastAsia="宋体" w:cs="Times New Roman"/>
          <w:bCs/>
          <w:color w:val="auto"/>
          <w:sz w:val="24"/>
          <w:szCs w:val="22"/>
        </w:rPr>
        <w:t>（</w:t>
      </w:r>
      <w:r>
        <w:rPr>
          <w:rFonts w:hint="eastAsia" w:hAnsi="宋体" w:cs="Times New Roman"/>
          <w:bCs/>
          <w:color w:val="auto"/>
          <w:sz w:val="24"/>
          <w:szCs w:val="22"/>
          <w:lang w:eastAsia="zh-CN"/>
        </w:rPr>
        <w:t>4</w:t>
      </w:r>
      <w:r>
        <w:rPr>
          <w:rFonts w:hint="eastAsia" w:hAnsi="宋体" w:eastAsia="宋体" w:cs="Times New Roman"/>
          <w:bCs/>
          <w:color w:val="auto"/>
          <w:sz w:val="24"/>
          <w:szCs w:val="22"/>
        </w:rPr>
        <w:t>）服务应答表；</w:t>
      </w:r>
    </w:p>
    <w:p>
      <w:pPr>
        <w:spacing w:line="240" w:lineRule="auto"/>
        <w:ind w:firstLine="480" w:firstLineChars="200"/>
        <w:rPr>
          <w:rFonts w:hint="eastAsia" w:hAnsi="宋体" w:eastAsia="宋体" w:cs="Times New Roman"/>
          <w:bCs/>
          <w:color w:val="auto"/>
          <w:sz w:val="24"/>
          <w:szCs w:val="22"/>
        </w:rPr>
      </w:pPr>
      <w:r>
        <w:rPr>
          <w:rFonts w:hint="eastAsia" w:hAnsi="宋体" w:eastAsia="宋体" w:cs="Times New Roman"/>
          <w:bCs/>
          <w:color w:val="auto"/>
          <w:sz w:val="24"/>
          <w:szCs w:val="22"/>
        </w:rPr>
        <w:t>（</w:t>
      </w:r>
      <w:r>
        <w:rPr>
          <w:rFonts w:hint="eastAsia" w:hAnsi="宋体" w:cs="Times New Roman"/>
          <w:bCs/>
          <w:color w:val="auto"/>
          <w:sz w:val="24"/>
          <w:szCs w:val="22"/>
          <w:lang w:eastAsia="zh-CN"/>
        </w:rPr>
        <w:t>5</w:t>
      </w:r>
      <w:r>
        <w:rPr>
          <w:rFonts w:hint="eastAsia" w:hAnsi="宋体" w:eastAsia="宋体" w:cs="Times New Roman"/>
          <w:bCs/>
          <w:color w:val="auto"/>
          <w:sz w:val="24"/>
          <w:szCs w:val="22"/>
        </w:rPr>
        <w:t>）项目验收标准和验收方法；</w:t>
      </w:r>
    </w:p>
    <w:p>
      <w:pPr>
        <w:spacing w:line="240" w:lineRule="auto"/>
        <w:ind w:firstLine="480" w:firstLineChars="200"/>
        <w:rPr>
          <w:rFonts w:hint="eastAsia" w:hAnsi="宋体" w:eastAsia="宋体" w:cs="Times New Roman"/>
          <w:bCs/>
          <w:color w:val="auto"/>
          <w:sz w:val="24"/>
          <w:szCs w:val="22"/>
        </w:rPr>
      </w:pPr>
      <w:r>
        <w:rPr>
          <w:rFonts w:hint="eastAsia" w:hAnsi="宋体" w:eastAsia="宋体" w:cs="Times New Roman"/>
          <w:bCs/>
          <w:color w:val="auto"/>
          <w:sz w:val="24"/>
          <w:szCs w:val="22"/>
        </w:rPr>
        <w:t>（</w:t>
      </w:r>
      <w:r>
        <w:rPr>
          <w:rFonts w:hint="eastAsia" w:hAnsi="宋体" w:cs="Times New Roman"/>
          <w:bCs/>
          <w:color w:val="auto"/>
          <w:sz w:val="24"/>
          <w:szCs w:val="22"/>
          <w:lang w:eastAsia="zh-CN"/>
        </w:rPr>
        <w:t>6</w:t>
      </w:r>
      <w:r>
        <w:rPr>
          <w:rFonts w:hint="eastAsia" w:hAnsi="宋体" w:eastAsia="宋体" w:cs="Times New Roman"/>
          <w:bCs/>
          <w:color w:val="auto"/>
          <w:sz w:val="24"/>
          <w:szCs w:val="22"/>
        </w:rPr>
        <w:t>）商务</w:t>
      </w:r>
      <w:r>
        <w:rPr>
          <w:rFonts w:hint="eastAsia" w:hAnsi="宋体" w:cs="Times New Roman"/>
          <w:bCs/>
          <w:color w:val="auto"/>
          <w:sz w:val="24"/>
          <w:szCs w:val="22"/>
          <w:lang w:eastAsia="zh-CN"/>
        </w:rPr>
        <w:t>应答表</w:t>
      </w:r>
      <w:r>
        <w:rPr>
          <w:rFonts w:hint="eastAsia" w:hAnsi="宋体" w:eastAsia="宋体" w:cs="Times New Roman"/>
          <w:bCs/>
          <w:color w:val="auto"/>
          <w:sz w:val="24"/>
          <w:szCs w:val="22"/>
        </w:rPr>
        <w:t>；</w:t>
      </w:r>
    </w:p>
    <w:p>
      <w:pPr>
        <w:spacing w:line="240" w:lineRule="auto"/>
        <w:ind w:firstLine="480" w:firstLineChars="200"/>
        <w:rPr>
          <w:rFonts w:hint="eastAsia" w:hAnsi="宋体" w:eastAsia="宋体" w:cs="Times New Roman"/>
          <w:bCs/>
          <w:color w:val="auto"/>
          <w:sz w:val="24"/>
          <w:szCs w:val="22"/>
        </w:rPr>
      </w:pPr>
      <w:r>
        <w:rPr>
          <w:rFonts w:hint="eastAsia" w:hAnsi="宋体" w:eastAsia="宋体" w:cs="Times New Roman"/>
          <w:bCs/>
          <w:color w:val="auto"/>
          <w:sz w:val="24"/>
          <w:szCs w:val="22"/>
        </w:rPr>
        <w:t>（</w:t>
      </w:r>
      <w:r>
        <w:rPr>
          <w:rFonts w:hint="eastAsia" w:hAnsi="宋体" w:cs="Times New Roman"/>
          <w:bCs/>
          <w:color w:val="auto"/>
          <w:sz w:val="24"/>
          <w:szCs w:val="22"/>
          <w:lang w:eastAsia="zh-CN"/>
        </w:rPr>
        <w:t>7</w:t>
      </w:r>
      <w:r>
        <w:rPr>
          <w:rFonts w:hint="eastAsia" w:hAnsi="宋体" w:eastAsia="宋体" w:cs="Times New Roman"/>
          <w:bCs/>
          <w:color w:val="auto"/>
          <w:sz w:val="24"/>
          <w:szCs w:val="22"/>
        </w:rPr>
        <w:t>）</w:t>
      </w:r>
      <w:r>
        <w:rPr>
          <w:rFonts w:hint="eastAsia" w:hAnsi="宋体"/>
          <w:b w:val="0"/>
          <w:bCs/>
          <w:color w:val="auto"/>
          <w:sz w:val="24"/>
          <w:szCs w:val="22"/>
        </w:rPr>
        <w:t>投标人本项目管理、技术、服务人员情况表</w:t>
      </w:r>
      <w:r>
        <w:rPr>
          <w:rFonts w:hint="eastAsia" w:hAnsi="宋体" w:eastAsia="宋体" w:cs="Times New Roman"/>
          <w:bCs/>
          <w:color w:val="auto"/>
          <w:sz w:val="24"/>
          <w:szCs w:val="22"/>
        </w:rPr>
        <w:t>。</w:t>
      </w:r>
    </w:p>
    <w:p>
      <w:pPr>
        <w:spacing w:line="240" w:lineRule="auto"/>
        <w:ind w:firstLine="480" w:firstLineChars="200"/>
        <w:rPr>
          <w:rFonts w:hint="eastAsia" w:hAnsi="宋体" w:eastAsia="宋体" w:cs="Times New Roman"/>
          <w:bCs/>
          <w:color w:val="auto"/>
          <w:sz w:val="24"/>
          <w:szCs w:val="22"/>
        </w:rPr>
      </w:pPr>
      <w:r>
        <w:rPr>
          <w:rFonts w:hint="eastAsia" w:hAnsi="宋体" w:eastAsia="宋体" w:cs="Times New Roman"/>
          <w:bCs/>
          <w:color w:val="auto"/>
          <w:sz w:val="24"/>
          <w:szCs w:val="22"/>
        </w:rPr>
        <w:t>（9）</w:t>
      </w:r>
      <w:r>
        <w:rPr>
          <w:rFonts w:hint="eastAsia" w:hAnsi="宋体"/>
          <w:b w:val="0"/>
          <w:bCs/>
          <w:color w:val="auto"/>
          <w:sz w:val="24"/>
          <w:szCs w:val="22"/>
        </w:rPr>
        <w:t>投标人类似项目业绩一览表</w:t>
      </w:r>
      <w:r>
        <w:rPr>
          <w:rFonts w:hint="eastAsia" w:hAnsi="宋体"/>
          <w:b w:val="0"/>
          <w:bCs/>
          <w:color w:val="auto"/>
          <w:sz w:val="24"/>
          <w:szCs w:val="22"/>
          <w:lang w:eastAsia="zh-CN"/>
        </w:rPr>
        <w:t>；</w:t>
      </w:r>
    </w:p>
    <w:p>
      <w:pPr>
        <w:spacing w:line="240" w:lineRule="auto"/>
        <w:ind w:left="0" w:leftChars="0" w:firstLine="480" w:firstLineChars="200"/>
        <w:rPr>
          <w:rFonts w:hint="eastAsia" w:hAnsi="宋体" w:cs="Times New Roman"/>
          <w:bCs/>
          <w:color w:val="auto"/>
          <w:sz w:val="24"/>
          <w:szCs w:val="22"/>
        </w:rPr>
      </w:pPr>
      <w:r>
        <w:rPr>
          <w:rFonts w:hint="eastAsia" w:hAnsi="宋体" w:cs="Times New Roman"/>
          <w:bCs/>
          <w:color w:val="auto"/>
          <w:sz w:val="24"/>
          <w:szCs w:val="22"/>
        </w:rPr>
        <w:t>（10）</w:t>
      </w:r>
      <w:r>
        <w:rPr>
          <w:rFonts w:hint="eastAsia" w:hAnsi="宋体"/>
          <w:b w:val="0"/>
          <w:bCs/>
          <w:color w:val="auto"/>
          <w:sz w:val="24"/>
          <w:szCs w:val="22"/>
        </w:rPr>
        <w:t>其他投标人认为需要提供的文件和资料</w:t>
      </w:r>
      <w:r>
        <w:rPr>
          <w:rFonts w:hint="eastAsia" w:hAnsi="宋体" w:eastAsia="宋体" w:cs="Times New Roman"/>
          <w:bCs/>
          <w:color w:val="auto"/>
          <w:sz w:val="24"/>
          <w:szCs w:val="22"/>
        </w:rPr>
        <w:t>。</w:t>
      </w:r>
    </w:p>
    <w:p>
      <w:pPr>
        <w:spacing w:line="240" w:lineRule="auto"/>
        <w:ind w:firstLine="480" w:firstLineChars="200"/>
        <w:rPr>
          <w:rFonts w:hAnsi="宋体"/>
          <w:bCs/>
          <w:color w:val="auto"/>
          <w:sz w:val="24"/>
        </w:rPr>
      </w:pPr>
      <w:r>
        <w:rPr>
          <w:rFonts w:hint="eastAsia" w:hAnsi="宋体"/>
          <w:color w:val="auto"/>
          <w:sz w:val="24"/>
        </w:rPr>
        <w:t xml:space="preserve">14.3 </w:t>
      </w:r>
      <w:r>
        <w:rPr>
          <w:rFonts w:hint="eastAsia" w:hAnsi="宋体"/>
          <w:color w:val="auto"/>
          <w:sz w:val="24"/>
          <w:lang w:eastAsia="zh-CN"/>
        </w:rPr>
        <w:t>资格性响应文件</w:t>
      </w:r>
      <w:r>
        <w:rPr>
          <w:rFonts w:hint="eastAsia" w:hAnsi="宋体"/>
          <w:color w:val="auto"/>
          <w:sz w:val="24"/>
        </w:rPr>
        <w:t>部分。</w:t>
      </w:r>
      <w:r>
        <w:rPr>
          <w:rFonts w:hint="eastAsia" w:hAnsi="宋体"/>
          <w:bCs/>
          <w:color w:val="auto"/>
          <w:sz w:val="24"/>
        </w:rPr>
        <w:t>包括以下内容：</w:t>
      </w:r>
    </w:p>
    <w:p>
      <w:pPr>
        <w:spacing w:line="240" w:lineRule="auto"/>
        <w:ind w:left="0" w:leftChars="0" w:firstLine="480" w:firstLineChars="200"/>
        <w:rPr>
          <w:rFonts w:hAnsi="宋体"/>
          <w:color w:val="auto"/>
          <w:sz w:val="24"/>
        </w:rPr>
      </w:pPr>
      <w:r>
        <w:rPr>
          <w:rFonts w:hint="eastAsia" w:hAnsi="宋体"/>
          <w:color w:val="auto"/>
          <w:sz w:val="24"/>
        </w:rPr>
        <w:t>（1）投标函；</w:t>
      </w:r>
    </w:p>
    <w:p>
      <w:pPr>
        <w:spacing w:line="240" w:lineRule="auto"/>
        <w:ind w:left="0" w:leftChars="0" w:firstLine="480" w:firstLineChars="200"/>
        <w:rPr>
          <w:rFonts w:hAnsi="宋体"/>
          <w:color w:val="auto"/>
          <w:sz w:val="24"/>
        </w:rPr>
      </w:pPr>
      <w:r>
        <w:rPr>
          <w:rFonts w:hint="eastAsia" w:hAnsi="宋体"/>
          <w:color w:val="auto"/>
          <w:sz w:val="24"/>
        </w:rPr>
        <w:t>（2）投标人企业法人营业执照副本复印件（三证合一或五证合一，未完成证照合并的，需提供合法有效的营业执照副本、税务登记证副本、组织机构代码副本；事业单位提供法人证书及组织机构代码证副本复印件；自然人提供本人身份证复印件）</w:t>
      </w:r>
      <w:r>
        <w:rPr>
          <w:rFonts w:hint="eastAsia" w:hAnsi="宋体"/>
          <w:color w:val="auto"/>
          <w:sz w:val="24"/>
          <w:lang w:eastAsia="zh-CN"/>
        </w:rPr>
        <w:t>；</w:t>
      </w:r>
    </w:p>
    <w:p>
      <w:pPr>
        <w:spacing w:line="240" w:lineRule="auto"/>
        <w:ind w:left="0" w:leftChars="0" w:firstLine="480" w:firstLineChars="200"/>
        <w:rPr>
          <w:rFonts w:hAnsi="宋体"/>
          <w:color w:val="auto"/>
          <w:sz w:val="24"/>
        </w:rPr>
      </w:pPr>
      <w:r>
        <w:rPr>
          <w:rFonts w:hint="eastAsia" w:hAnsi="宋体"/>
          <w:color w:val="auto"/>
          <w:sz w:val="24"/>
        </w:rPr>
        <w:t>（3）法定代表人授权书原件</w:t>
      </w:r>
      <w:r>
        <w:rPr>
          <w:rFonts w:hAnsi="宋体"/>
          <w:color w:val="auto"/>
          <w:sz w:val="24"/>
        </w:rPr>
        <w:t>（非</w:t>
      </w:r>
      <w:r>
        <w:rPr>
          <w:rFonts w:hint="eastAsia" w:hAnsi="宋体"/>
          <w:color w:val="auto"/>
          <w:sz w:val="24"/>
        </w:rPr>
        <w:t>法定代表人</w:t>
      </w:r>
      <w:r>
        <w:rPr>
          <w:rFonts w:hAnsi="宋体"/>
          <w:color w:val="auto"/>
          <w:sz w:val="24"/>
        </w:rPr>
        <w:t>直接投标适用），</w:t>
      </w:r>
      <w:r>
        <w:rPr>
          <w:rFonts w:hint="eastAsia" w:hAnsi="宋体"/>
          <w:color w:val="auto"/>
          <w:sz w:val="24"/>
        </w:rPr>
        <w:t>供应商为自然人的</w:t>
      </w:r>
      <w:r>
        <w:rPr>
          <w:rFonts w:hAnsi="宋体"/>
          <w:color w:val="auto"/>
          <w:sz w:val="24"/>
        </w:rPr>
        <w:t>可不提供</w:t>
      </w:r>
      <w:r>
        <w:rPr>
          <w:rFonts w:hint="eastAsia" w:hAnsi="宋体"/>
          <w:color w:val="auto"/>
          <w:sz w:val="24"/>
        </w:rPr>
        <w:t>；</w:t>
      </w:r>
    </w:p>
    <w:p>
      <w:pPr>
        <w:spacing w:line="240" w:lineRule="auto"/>
        <w:ind w:left="0" w:leftChars="0" w:firstLine="480" w:firstLineChars="200"/>
        <w:rPr>
          <w:rFonts w:hAnsi="宋体"/>
          <w:color w:val="auto"/>
          <w:sz w:val="24"/>
        </w:rPr>
      </w:pPr>
      <w:r>
        <w:rPr>
          <w:rFonts w:hint="eastAsia" w:hAnsi="宋体"/>
          <w:color w:val="auto"/>
          <w:sz w:val="24"/>
        </w:rPr>
        <w:t>（4）法定代表人及授权代表身份证复印件；</w:t>
      </w:r>
    </w:p>
    <w:p>
      <w:pPr>
        <w:spacing w:line="240" w:lineRule="auto"/>
        <w:ind w:left="0" w:leftChars="0" w:firstLine="480" w:firstLineChars="200"/>
        <w:rPr>
          <w:rFonts w:hAnsi="宋体"/>
          <w:color w:val="auto"/>
          <w:sz w:val="24"/>
        </w:rPr>
      </w:pPr>
      <w:r>
        <w:rPr>
          <w:rFonts w:hint="eastAsia" w:hAnsi="宋体"/>
          <w:color w:val="auto"/>
          <w:sz w:val="24"/>
        </w:rPr>
        <w:t>（5）投标人符合招标文件规定的资格、资质性及其他具有类似效力要求的相关证明材料</w:t>
      </w:r>
      <w:r>
        <w:rPr>
          <w:rFonts w:hint="eastAsia" w:hAnsi="宋体"/>
          <w:color w:val="auto"/>
          <w:sz w:val="24"/>
          <w:lang w:eastAsia="zh-CN"/>
        </w:rPr>
        <w:t>（详见第五章</w:t>
      </w:r>
      <w:r>
        <w:rPr>
          <w:rFonts w:hint="eastAsia" w:hAnsi="宋体"/>
          <w:color w:val="auto"/>
          <w:sz w:val="24"/>
        </w:rPr>
        <w:t>）；</w:t>
      </w:r>
    </w:p>
    <w:p>
      <w:pPr>
        <w:spacing w:line="240" w:lineRule="auto"/>
        <w:ind w:left="0" w:leftChars="0" w:firstLine="480" w:firstLineChars="200"/>
        <w:rPr>
          <w:rFonts w:hAnsi="宋体"/>
          <w:color w:val="auto"/>
          <w:sz w:val="24"/>
        </w:rPr>
      </w:pPr>
      <w:r>
        <w:rPr>
          <w:rFonts w:hint="eastAsia" w:hAnsi="宋体"/>
          <w:color w:val="auto"/>
          <w:sz w:val="24"/>
        </w:rPr>
        <w:t>（6）投标人承诺给予招标采购单位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p>
    <w:p>
      <w:pPr>
        <w:spacing w:line="240" w:lineRule="auto"/>
        <w:ind w:left="0" w:leftChars="0" w:firstLine="480" w:firstLineChars="200"/>
        <w:rPr>
          <w:rFonts w:hint="eastAsia" w:hAnsi="宋体" w:eastAsia="宋体"/>
          <w:color w:val="auto"/>
          <w:sz w:val="24"/>
          <w:lang w:eastAsia="zh-CN"/>
        </w:rPr>
      </w:pPr>
      <w:r>
        <w:rPr>
          <w:rFonts w:hint="eastAsia" w:hAnsi="宋体"/>
          <w:color w:val="auto"/>
          <w:sz w:val="24"/>
        </w:rPr>
        <w:t>（7）</w:t>
      </w:r>
      <w:r>
        <w:rPr>
          <w:rFonts w:hint="eastAsia" w:ascii="宋体" w:hAnsi="宋体" w:eastAsia="宋体" w:cs="Times New Roman"/>
          <w:i w:val="0"/>
          <w:iCs w:val="0"/>
          <w:caps w:val="0"/>
          <w:color w:val="auto"/>
          <w:spacing w:val="0"/>
          <w:sz w:val="24"/>
          <w:szCs w:val="20"/>
          <w:shd w:val="clear"/>
        </w:rPr>
        <w:t>中小企业(监狱企业、残疾人福利性单位均视同</w:t>
      </w:r>
      <w:r>
        <w:rPr>
          <w:rFonts w:hint="eastAsia" w:ascii="宋体" w:hAnsi="宋体" w:eastAsia="宋体" w:cs="Times New Roman"/>
          <w:i w:val="0"/>
          <w:iCs w:val="0"/>
          <w:caps w:val="0"/>
          <w:color w:val="auto"/>
          <w:spacing w:val="0"/>
          <w:sz w:val="24"/>
          <w:szCs w:val="20"/>
          <w:shd w:val="clear"/>
          <w:lang w:eastAsia="zh-CN"/>
        </w:rPr>
        <w:t>中</w:t>
      </w:r>
      <w:r>
        <w:rPr>
          <w:rFonts w:hint="eastAsia" w:ascii="宋体" w:hAnsi="宋体" w:eastAsia="宋体" w:cs="Times New Roman"/>
          <w:i w:val="0"/>
          <w:iCs w:val="0"/>
          <w:caps w:val="0"/>
          <w:color w:val="auto"/>
          <w:spacing w:val="0"/>
          <w:sz w:val="24"/>
          <w:szCs w:val="20"/>
          <w:shd w:val="clear"/>
        </w:rPr>
        <w:t>小微企业)</w:t>
      </w:r>
      <w:r>
        <w:rPr>
          <w:rFonts w:hint="eastAsia" w:ascii="宋体" w:hAnsi="宋体" w:eastAsia="宋体" w:cs="Times New Roman"/>
          <w:i w:val="0"/>
          <w:iCs w:val="0"/>
          <w:caps w:val="0"/>
          <w:color w:val="auto"/>
          <w:spacing w:val="0"/>
          <w:sz w:val="24"/>
          <w:szCs w:val="20"/>
          <w:shd w:val="clear"/>
          <w:lang w:eastAsia="zh-CN"/>
        </w:rPr>
        <w:t>证明文件</w:t>
      </w:r>
      <w:r>
        <w:rPr>
          <w:rFonts w:hint="eastAsia" w:hAnsi="宋体" w:cs="Times New Roman"/>
          <w:i w:val="0"/>
          <w:iCs w:val="0"/>
          <w:caps w:val="0"/>
          <w:color w:val="auto"/>
          <w:spacing w:val="0"/>
          <w:sz w:val="24"/>
          <w:szCs w:val="20"/>
          <w:shd w:val="clear"/>
          <w:lang w:eastAsia="zh-CN"/>
        </w:rPr>
        <w:t>；</w:t>
      </w:r>
    </w:p>
    <w:p>
      <w:pPr>
        <w:spacing w:line="240" w:lineRule="auto"/>
        <w:ind w:left="0" w:leftChars="0" w:firstLine="480" w:firstLineChars="200"/>
        <w:rPr>
          <w:rFonts w:hint="eastAsia" w:hAnsi="宋体"/>
          <w:color w:val="auto"/>
          <w:sz w:val="24"/>
        </w:rPr>
      </w:pPr>
      <w:r>
        <w:rPr>
          <w:rFonts w:hint="eastAsia" w:hAnsi="宋体"/>
          <w:color w:val="auto"/>
          <w:sz w:val="24"/>
          <w:lang w:eastAsia="zh-CN"/>
        </w:rPr>
        <w:t>（</w:t>
      </w:r>
      <w:r>
        <w:rPr>
          <w:rFonts w:hint="eastAsia" w:hAnsi="宋体"/>
          <w:color w:val="auto"/>
          <w:sz w:val="24"/>
          <w:lang w:val="en-US" w:eastAsia="zh-CN"/>
        </w:rPr>
        <w:t>8</w:t>
      </w:r>
      <w:r>
        <w:rPr>
          <w:rFonts w:hint="eastAsia" w:hAnsi="宋体"/>
          <w:color w:val="auto"/>
          <w:sz w:val="24"/>
          <w:lang w:eastAsia="zh-CN"/>
        </w:rPr>
        <w:t>）</w:t>
      </w:r>
      <w:r>
        <w:rPr>
          <w:rFonts w:hint="eastAsia" w:hAnsi="宋体"/>
          <w:color w:val="auto"/>
          <w:sz w:val="24"/>
        </w:rPr>
        <w:t>其他投标人认为需要提供的文件和资料。</w:t>
      </w:r>
      <w:bookmarkStart w:id="100" w:name="_Toc183682355"/>
      <w:bookmarkStart w:id="101" w:name="_Toc217446049"/>
      <w:bookmarkStart w:id="102" w:name="_Toc183582218"/>
      <w:bookmarkStart w:id="103" w:name="_Toc308164799"/>
    </w:p>
    <w:p>
      <w:pPr>
        <w:spacing w:line="390" w:lineRule="exact"/>
        <w:ind w:firstLine="480" w:firstLineChars="200"/>
        <w:rPr>
          <w:rFonts w:hAnsi="宋体"/>
          <w:sz w:val="24"/>
        </w:rPr>
      </w:pPr>
      <w:r>
        <w:rPr>
          <w:rFonts w:hint="eastAsia" w:hAnsi="宋体"/>
          <w:sz w:val="24"/>
        </w:rPr>
        <w:t>15．投标文件格式</w:t>
      </w:r>
      <w:bookmarkEnd w:id="100"/>
      <w:bookmarkEnd w:id="101"/>
      <w:bookmarkEnd w:id="102"/>
      <w:bookmarkEnd w:id="103"/>
    </w:p>
    <w:p>
      <w:pPr>
        <w:tabs>
          <w:tab w:val="left" w:pos="7665"/>
        </w:tabs>
        <w:spacing w:line="390" w:lineRule="exact"/>
        <w:ind w:left="20" w:leftChars="6" w:firstLine="480" w:firstLineChars="200"/>
        <w:rPr>
          <w:rFonts w:hAnsi="宋体"/>
          <w:sz w:val="24"/>
        </w:rPr>
      </w:pPr>
      <w:r>
        <w:rPr>
          <w:rFonts w:hint="eastAsia" w:hAnsi="宋体"/>
          <w:sz w:val="24"/>
        </w:rPr>
        <w:t>15.1 投标人应执行招标文件第三章的规定要求。</w:t>
      </w:r>
    </w:p>
    <w:p>
      <w:pPr>
        <w:tabs>
          <w:tab w:val="left" w:pos="7665"/>
        </w:tabs>
        <w:spacing w:line="390" w:lineRule="exact"/>
        <w:ind w:left="20" w:leftChars="6" w:firstLine="480" w:firstLineChars="200"/>
        <w:rPr>
          <w:rFonts w:hAnsi="宋体"/>
          <w:sz w:val="24"/>
        </w:rPr>
      </w:pPr>
      <w:r>
        <w:rPr>
          <w:rFonts w:hint="eastAsia" w:hAnsi="宋体"/>
          <w:sz w:val="24"/>
        </w:rPr>
        <w:t>15.2 对于没有格式要求的投标文件由投标人自行编写。</w:t>
      </w:r>
    </w:p>
    <w:p>
      <w:pPr>
        <w:tabs>
          <w:tab w:val="left" w:pos="7665"/>
        </w:tabs>
        <w:spacing w:line="390" w:lineRule="exact"/>
        <w:ind w:left="20" w:leftChars="6" w:firstLine="480" w:firstLineChars="200"/>
        <w:rPr>
          <w:rFonts w:hAnsi="宋体"/>
          <w:sz w:val="24"/>
        </w:rPr>
      </w:pPr>
      <w:r>
        <w:rPr>
          <w:rFonts w:hint="eastAsia" w:hAnsi="宋体"/>
          <w:sz w:val="24"/>
        </w:rPr>
        <w:t xml:space="preserve">15.3 </w:t>
      </w:r>
      <w:r>
        <w:rPr>
          <w:rFonts w:hint="eastAsia" w:ascii="新宋体" w:hAnsi="新宋体" w:eastAsia="新宋体"/>
          <w:sz w:val="24"/>
        </w:rPr>
        <w:t>第三章中格式所附的“注”均对投标人具备法律约束力。</w:t>
      </w:r>
    </w:p>
    <w:p>
      <w:pPr>
        <w:spacing w:line="390" w:lineRule="exact"/>
        <w:ind w:firstLine="480" w:firstLineChars="200"/>
        <w:rPr>
          <w:rFonts w:hAnsi="宋体"/>
          <w:sz w:val="24"/>
        </w:rPr>
      </w:pPr>
      <w:bookmarkStart w:id="104" w:name="_Toc217446050"/>
      <w:bookmarkStart w:id="105" w:name="_Toc183582223"/>
      <w:bookmarkStart w:id="106" w:name="_Toc308164800"/>
      <w:bookmarkStart w:id="107" w:name="_Toc183682360"/>
      <w:r>
        <w:rPr>
          <w:rFonts w:hint="eastAsia" w:hAnsi="宋体"/>
          <w:sz w:val="24"/>
        </w:rPr>
        <w:t>16．投标保证金</w:t>
      </w:r>
      <w:bookmarkEnd w:id="104"/>
      <w:bookmarkEnd w:id="105"/>
      <w:bookmarkEnd w:id="106"/>
      <w:bookmarkEnd w:id="107"/>
      <w:r>
        <w:rPr>
          <w:rFonts w:hint="eastAsia" w:hAnsi="宋体"/>
          <w:sz w:val="24"/>
        </w:rPr>
        <w:t>（根据《</w:t>
      </w:r>
      <w:r>
        <w:rPr>
          <w:rFonts w:hAnsi="宋体"/>
          <w:sz w:val="24"/>
        </w:rPr>
        <w:t>四川省财政厅关于进一步做好疫情防控期间政府采购工作有关事项的通知</w:t>
      </w:r>
      <w:r>
        <w:rPr>
          <w:rFonts w:hint="eastAsia" w:hAnsi="宋体"/>
          <w:sz w:val="24"/>
        </w:rPr>
        <w:t>》要求，本项目不收取。）</w:t>
      </w:r>
    </w:p>
    <w:p>
      <w:pPr>
        <w:spacing w:line="390" w:lineRule="exact"/>
        <w:ind w:firstLine="480" w:firstLineChars="200"/>
        <w:jc w:val="left"/>
        <w:rPr>
          <w:rFonts w:hAnsi="宋体"/>
          <w:sz w:val="24"/>
        </w:rPr>
      </w:pPr>
      <w:bookmarkStart w:id="108" w:name="_Toc183582224"/>
      <w:bookmarkStart w:id="109" w:name="_Toc217446051"/>
      <w:bookmarkStart w:id="110" w:name="_Toc183682361"/>
      <w:bookmarkStart w:id="111" w:name="_Toc308164801"/>
      <w:r>
        <w:rPr>
          <w:rFonts w:hint="eastAsia" w:hAnsi="宋体"/>
          <w:sz w:val="24"/>
        </w:rPr>
        <w:t>16.1 本项目不收取</w:t>
      </w:r>
      <w:r>
        <w:rPr>
          <w:rFonts w:hint="eastAsia" w:hAnsi="宋体"/>
          <w:sz w:val="24"/>
          <w:lang w:eastAsia="zh-CN"/>
        </w:rPr>
        <w:t>投标保证金</w:t>
      </w:r>
      <w:r>
        <w:rPr>
          <w:rFonts w:hint="eastAsia" w:hAnsi="宋体"/>
          <w:sz w:val="24"/>
        </w:rPr>
        <w:t>。</w:t>
      </w:r>
    </w:p>
    <w:p>
      <w:pPr>
        <w:spacing w:line="390" w:lineRule="exact"/>
        <w:ind w:firstLine="480" w:firstLineChars="200"/>
        <w:jc w:val="left"/>
        <w:rPr>
          <w:rFonts w:hAnsi="宋体"/>
          <w:sz w:val="24"/>
        </w:rPr>
      </w:pPr>
      <w:r>
        <w:rPr>
          <w:rFonts w:hint="eastAsia" w:hAnsi="宋体"/>
          <w:sz w:val="24"/>
        </w:rPr>
        <w:t>16.2投标保证金交款方式：详见投标人须知前附表。</w:t>
      </w:r>
    </w:p>
    <w:p>
      <w:pPr>
        <w:spacing w:line="390" w:lineRule="exact"/>
        <w:ind w:firstLine="480" w:firstLineChars="200"/>
        <w:jc w:val="left"/>
        <w:rPr>
          <w:rFonts w:hAnsi="宋体"/>
          <w:sz w:val="24"/>
        </w:rPr>
      </w:pPr>
      <w:r>
        <w:rPr>
          <w:rFonts w:hint="eastAsia" w:hAnsi="宋体"/>
          <w:sz w:val="24"/>
        </w:rPr>
        <w:t>16.3未中标人的投标保证金，将在中标通知书发出后5个工作日内全额退还。中标人的投标保证金，在合同签订生效并递交至采购代理机构后5个工作日内全额退还（注：①因投标人自身原因造成的保证金延迟退还或者投标人和采购代理机构书面协商可以延迟退还的，采购代理机构不承担相应责任；②供应商因涉嫌违法违规，按照规定应当不予退还保证金的，有关部门处理认定违法违规行为期间不计入退还保证金时限之内。）</w:t>
      </w:r>
    </w:p>
    <w:p>
      <w:pPr>
        <w:spacing w:line="390" w:lineRule="exact"/>
        <w:ind w:left="728" w:leftChars="169" w:hanging="153" w:hangingChars="64"/>
        <w:rPr>
          <w:rFonts w:hAnsi="宋体"/>
          <w:sz w:val="24"/>
        </w:rPr>
      </w:pPr>
      <w:r>
        <w:rPr>
          <w:rFonts w:hint="eastAsia" w:hAnsi="宋体"/>
          <w:sz w:val="24"/>
        </w:rPr>
        <w:t>16.4发生下列情形之一的，采购代理机构将不予退还投标保证金：</w:t>
      </w:r>
    </w:p>
    <w:p>
      <w:pPr>
        <w:spacing w:line="390" w:lineRule="exact"/>
        <w:ind w:left="728" w:leftChars="169" w:hanging="153" w:hangingChars="64"/>
        <w:rPr>
          <w:rFonts w:hAnsi="宋体"/>
          <w:sz w:val="24"/>
        </w:rPr>
      </w:pPr>
      <w:r>
        <w:rPr>
          <w:rFonts w:hint="eastAsia" w:hAnsi="宋体"/>
          <w:sz w:val="24"/>
        </w:rPr>
        <w:t>（1）在招标文件规定的投标截止时间后撤回投标的；</w:t>
      </w:r>
    </w:p>
    <w:p>
      <w:pPr>
        <w:spacing w:line="390" w:lineRule="exact"/>
        <w:ind w:left="728" w:leftChars="169" w:hanging="153" w:hangingChars="64"/>
        <w:rPr>
          <w:rFonts w:hAnsi="宋体"/>
          <w:sz w:val="24"/>
        </w:rPr>
      </w:pPr>
      <w:r>
        <w:rPr>
          <w:rFonts w:hint="eastAsia" w:hAnsi="宋体"/>
          <w:sz w:val="24"/>
        </w:rPr>
        <w:t>（2）在采购人确定中标人以前放弃中标候选资格的；</w:t>
      </w:r>
    </w:p>
    <w:p>
      <w:pPr>
        <w:spacing w:line="390" w:lineRule="exact"/>
        <w:ind w:left="728" w:leftChars="169" w:hanging="153" w:hangingChars="64"/>
        <w:rPr>
          <w:rFonts w:hAnsi="宋体"/>
          <w:sz w:val="24"/>
        </w:rPr>
      </w:pPr>
      <w:r>
        <w:rPr>
          <w:rFonts w:hint="eastAsia" w:hAnsi="宋体"/>
          <w:sz w:val="24"/>
        </w:rPr>
        <w:t>（3）中标后放弃中标、不领取或者不接收中标通知书的；</w:t>
      </w:r>
    </w:p>
    <w:p>
      <w:pPr>
        <w:spacing w:line="390" w:lineRule="exact"/>
        <w:ind w:left="728" w:leftChars="169" w:hanging="153" w:hangingChars="64"/>
        <w:rPr>
          <w:rFonts w:hAnsi="宋体"/>
          <w:sz w:val="24"/>
        </w:rPr>
      </w:pPr>
      <w:r>
        <w:rPr>
          <w:rFonts w:hint="eastAsia" w:hAnsi="宋体"/>
          <w:sz w:val="24"/>
        </w:rPr>
        <w:t>（4）由于中标人的原因未能按照招标文件的规定与采购人签订合同的；</w:t>
      </w:r>
    </w:p>
    <w:p>
      <w:pPr>
        <w:spacing w:line="390" w:lineRule="exact"/>
        <w:ind w:left="728" w:leftChars="169" w:hanging="153" w:hangingChars="64"/>
        <w:rPr>
          <w:rFonts w:hAnsi="宋体"/>
          <w:sz w:val="24"/>
        </w:rPr>
      </w:pPr>
      <w:r>
        <w:rPr>
          <w:rFonts w:hint="eastAsia" w:hAnsi="宋体"/>
          <w:sz w:val="24"/>
        </w:rPr>
        <w:t>（5）由于中标人的原因未能按照招标文件的规定交纳履约保证金的；</w:t>
      </w:r>
    </w:p>
    <w:p>
      <w:pPr>
        <w:spacing w:line="390" w:lineRule="exact"/>
        <w:ind w:left="728" w:leftChars="169" w:hanging="153" w:hangingChars="64"/>
        <w:rPr>
          <w:rFonts w:hAnsi="宋体"/>
          <w:sz w:val="24"/>
        </w:rPr>
      </w:pPr>
      <w:r>
        <w:rPr>
          <w:rFonts w:hint="eastAsia" w:hAnsi="宋体"/>
          <w:sz w:val="24"/>
        </w:rPr>
        <w:t>（6）投标人提供虚假资料的；</w:t>
      </w:r>
    </w:p>
    <w:p>
      <w:pPr>
        <w:spacing w:line="390" w:lineRule="exact"/>
        <w:ind w:firstLine="480" w:firstLineChars="200"/>
        <w:rPr>
          <w:rFonts w:hAnsi="宋体"/>
          <w:sz w:val="24"/>
        </w:rPr>
      </w:pPr>
      <w:r>
        <w:rPr>
          <w:rFonts w:hint="eastAsia" w:hAnsi="宋体"/>
          <w:sz w:val="24"/>
        </w:rPr>
        <w:t>（7）投标有效期内，投标人在政府采购活动中有违法、违规、违纪行为。</w:t>
      </w:r>
    </w:p>
    <w:p>
      <w:pPr>
        <w:spacing w:line="390" w:lineRule="exact"/>
        <w:ind w:firstLine="480" w:firstLineChars="200"/>
        <w:rPr>
          <w:rFonts w:hAnsi="宋体"/>
          <w:sz w:val="24"/>
        </w:rPr>
      </w:pPr>
      <w:r>
        <w:rPr>
          <w:rFonts w:hint="eastAsia" w:hAnsi="宋体"/>
          <w:sz w:val="24"/>
        </w:rPr>
        <w:t>17．投标有效期</w:t>
      </w:r>
      <w:bookmarkEnd w:id="108"/>
      <w:bookmarkEnd w:id="109"/>
      <w:bookmarkEnd w:id="110"/>
      <w:bookmarkEnd w:id="111"/>
      <w:r>
        <w:rPr>
          <w:rFonts w:hint="eastAsia" w:hAnsi="宋体"/>
          <w:sz w:val="24"/>
        </w:rPr>
        <w:t>（实质性要求）</w:t>
      </w:r>
    </w:p>
    <w:p>
      <w:pPr>
        <w:tabs>
          <w:tab w:val="left" w:pos="7665"/>
        </w:tabs>
        <w:spacing w:line="390" w:lineRule="exact"/>
        <w:ind w:left="20" w:leftChars="6" w:firstLine="480" w:firstLineChars="200"/>
        <w:rPr>
          <w:rFonts w:hAnsi="宋体"/>
          <w:sz w:val="24"/>
        </w:rPr>
      </w:pPr>
      <w:r>
        <w:rPr>
          <w:rFonts w:hint="eastAsia" w:hAnsi="宋体"/>
          <w:sz w:val="24"/>
        </w:rPr>
        <w:t>17.1 本项目投标有效期为投标截止时间届满后90天。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390" w:lineRule="exact"/>
        <w:ind w:left="20" w:leftChars="6" w:firstLine="360" w:firstLineChars="150"/>
        <w:rPr>
          <w:rFonts w:hAnsi="宋体"/>
          <w:sz w:val="24"/>
        </w:rPr>
      </w:pPr>
      <w:r>
        <w:rPr>
          <w:rFonts w:hint="eastAsia" w:hAnsi="宋体"/>
          <w:sz w:val="24"/>
        </w:rPr>
        <w:t xml:space="preserve"> 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tabs>
          <w:tab w:val="left" w:pos="7665"/>
        </w:tabs>
        <w:spacing w:line="390" w:lineRule="exact"/>
        <w:ind w:left="20" w:leftChars="6" w:firstLine="360" w:firstLineChars="150"/>
        <w:rPr>
          <w:rFonts w:hAnsi="宋体"/>
          <w:sz w:val="24"/>
        </w:rPr>
      </w:pPr>
      <w:r>
        <w:rPr>
          <w:rFonts w:hint="eastAsia" w:hAnsi="宋体"/>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spacing w:line="390" w:lineRule="exact"/>
        <w:ind w:firstLine="480" w:firstLineChars="200"/>
        <w:rPr>
          <w:rFonts w:hAnsi="宋体"/>
          <w:sz w:val="24"/>
        </w:rPr>
      </w:pPr>
      <w:bookmarkStart w:id="112" w:name="_Toc217446052"/>
      <w:bookmarkStart w:id="113" w:name="_Toc183582225"/>
      <w:bookmarkStart w:id="114" w:name="_Toc183682362"/>
      <w:bookmarkStart w:id="115" w:name="_Toc308164802"/>
      <w:r>
        <w:rPr>
          <w:rFonts w:hint="eastAsia" w:hAnsi="宋体"/>
          <w:sz w:val="24"/>
        </w:rPr>
        <w:t>18．投标文件的印制和签署</w:t>
      </w:r>
      <w:bookmarkEnd w:id="112"/>
      <w:bookmarkEnd w:id="113"/>
      <w:bookmarkEnd w:id="114"/>
      <w:bookmarkEnd w:id="115"/>
    </w:p>
    <w:p>
      <w:pPr>
        <w:tabs>
          <w:tab w:val="left" w:pos="1080"/>
        </w:tabs>
        <w:spacing w:line="390" w:lineRule="exact"/>
        <w:ind w:firstLine="460" w:firstLineChars="192"/>
        <w:rPr>
          <w:rFonts w:hAnsi="宋体"/>
          <w:sz w:val="24"/>
        </w:rPr>
      </w:pPr>
      <w:r>
        <w:rPr>
          <w:rFonts w:hint="eastAsia" w:hAnsi="宋体"/>
          <w:sz w:val="24"/>
        </w:rPr>
        <w:t>18.1 投标人应按准备投标文件正本1份</w:t>
      </w:r>
      <w:r>
        <w:rPr>
          <w:rFonts w:hint="eastAsia" w:hAnsi="宋体"/>
          <w:sz w:val="24"/>
          <w:szCs w:val="22"/>
        </w:rPr>
        <w:t>、副本2份</w:t>
      </w:r>
      <w:r>
        <w:rPr>
          <w:rFonts w:hint="eastAsia" w:hAnsi="宋体"/>
          <w:sz w:val="24"/>
          <w:szCs w:val="22"/>
          <w:lang w:eastAsia="zh-CN"/>
        </w:rPr>
        <w:t>（包含</w:t>
      </w:r>
      <w:r>
        <w:rPr>
          <w:rFonts w:hint="eastAsia" w:hAnsi="宋体"/>
          <w:color w:val="auto"/>
          <w:sz w:val="24"/>
          <w:lang w:eastAsia="zh-CN"/>
        </w:rPr>
        <w:t>技术</w:t>
      </w:r>
      <w:r>
        <w:rPr>
          <w:rFonts w:hint="eastAsia" w:hAnsi="宋体"/>
          <w:color w:val="auto"/>
          <w:sz w:val="24"/>
        </w:rPr>
        <w:t>服务</w:t>
      </w:r>
      <w:r>
        <w:rPr>
          <w:rFonts w:hint="eastAsia" w:hAnsi="宋体"/>
          <w:color w:val="auto"/>
          <w:sz w:val="24"/>
          <w:lang w:eastAsia="zh-CN"/>
        </w:rPr>
        <w:t>性响应</w:t>
      </w:r>
      <w:r>
        <w:rPr>
          <w:rFonts w:hint="eastAsia" w:hAnsi="宋体"/>
          <w:sz w:val="24"/>
        </w:rPr>
        <w:t>文件正本1份</w:t>
      </w:r>
      <w:r>
        <w:rPr>
          <w:rFonts w:hint="eastAsia" w:hAnsi="宋体"/>
          <w:sz w:val="24"/>
          <w:szCs w:val="22"/>
        </w:rPr>
        <w:t>、副本2份</w:t>
      </w:r>
      <w:r>
        <w:rPr>
          <w:rFonts w:hint="eastAsia" w:hAnsi="宋体"/>
          <w:sz w:val="24"/>
          <w:szCs w:val="22"/>
          <w:lang w:eastAsia="zh-CN"/>
        </w:rPr>
        <w:t>，</w:t>
      </w:r>
      <w:r>
        <w:rPr>
          <w:rFonts w:hint="eastAsia" w:hAnsi="宋体"/>
          <w:color w:val="auto"/>
          <w:sz w:val="24"/>
          <w:lang w:eastAsia="zh-CN"/>
        </w:rPr>
        <w:t>资格性响应</w:t>
      </w:r>
      <w:r>
        <w:rPr>
          <w:rFonts w:hint="eastAsia" w:hAnsi="宋体"/>
          <w:sz w:val="24"/>
        </w:rPr>
        <w:t>文件正本1份</w:t>
      </w:r>
      <w:r>
        <w:rPr>
          <w:rFonts w:hint="eastAsia" w:hAnsi="宋体"/>
          <w:sz w:val="24"/>
          <w:szCs w:val="22"/>
        </w:rPr>
        <w:t>、副本2份</w:t>
      </w:r>
      <w:r>
        <w:rPr>
          <w:rFonts w:hint="eastAsia" w:hAnsi="宋体"/>
          <w:sz w:val="24"/>
          <w:szCs w:val="22"/>
          <w:lang w:eastAsia="zh-CN"/>
        </w:rPr>
        <w:t>）</w:t>
      </w:r>
      <w:r>
        <w:rPr>
          <w:rFonts w:hint="eastAsia" w:hAnsi="宋体"/>
          <w:sz w:val="24"/>
          <w:szCs w:val="22"/>
        </w:rPr>
        <w:t>、“开标一览</w:t>
      </w:r>
      <w:r>
        <w:rPr>
          <w:rFonts w:hint="eastAsia" w:hAnsi="宋体"/>
          <w:sz w:val="24"/>
        </w:rPr>
        <w:t>表”1份</w:t>
      </w:r>
      <w:r>
        <w:rPr>
          <w:rFonts w:hint="eastAsia" w:hAnsi="宋体"/>
          <w:sz w:val="24"/>
          <w:lang w:eastAsia="zh-CN"/>
        </w:rPr>
        <w:t>，</w:t>
      </w:r>
      <w:r>
        <w:rPr>
          <w:rFonts w:hint="eastAsia" w:hAnsi="宋体"/>
          <w:sz w:val="24"/>
        </w:rPr>
        <w:t>电子文档一份，</w:t>
      </w:r>
      <w:r>
        <w:rPr>
          <w:rFonts w:hint="eastAsia"/>
          <w:sz w:val="24"/>
        </w:rPr>
        <w:t>电子文档以U盘或光盘形式提供，</w:t>
      </w:r>
      <w:r>
        <w:rPr>
          <w:rFonts w:hint="eastAsia" w:hAnsi="宋体"/>
          <w:sz w:val="24"/>
        </w:rPr>
        <w:t>电子文档应包括与投标文件原件一致的WORD版本或投标文件正本原件的扫描件。投标文件的正本和副本应在其封面右上角清楚地标明“正本”或“副本”字样。若正本和副本有不一致的内容，以正本书面投标文件为准。</w:t>
      </w:r>
    </w:p>
    <w:p>
      <w:pPr>
        <w:tabs>
          <w:tab w:val="left" w:pos="1095"/>
        </w:tabs>
        <w:spacing w:line="390" w:lineRule="exact"/>
        <w:ind w:firstLine="460" w:firstLineChars="192"/>
        <w:rPr>
          <w:rFonts w:hAnsi="宋体"/>
          <w:sz w:val="24"/>
        </w:rPr>
      </w:pPr>
      <w:r>
        <w:rPr>
          <w:rFonts w:hint="eastAsia" w:hAnsi="宋体"/>
          <w:sz w:val="24"/>
        </w:rPr>
        <w:t>18.2 投标文件的正本和副本均需打印或用不褪色、不变质的墨水书写，并由投标人的法定代表人或其授权代表在规定签章处签字或盖章。投标文件副本可采用正本的复印件，用于开标唱标单独提交的“开标一览表”应为原件。</w:t>
      </w:r>
    </w:p>
    <w:p>
      <w:pPr>
        <w:tabs>
          <w:tab w:val="left" w:pos="1095"/>
        </w:tabs>
        <w:spacing w:line="390" w:lineRule="exact"/>
        <w:ind w:firstLine="460" w:firstLineChars="192"/>
        <w:rPr>
          <w:rFonts w:hAnsi="宋体"/>
          <w:sz w:val="24"/>
        </w:rPr>
      </w:pPr>
      <w:r>
        <w:rPr>
          <w:rFonts w:hint="eastAsia" w:hAnsi="宋体"/>
          <w:sz w:val="24"/>
        </w:rPr>
        <w:t>18.3 投标文件的打印和书写应清楚工整，任何行间插字、涂改或增删，必须由投标人的法定代表人或其授权代表签字或盖个人印鉴。</w:t>
      </w:r>
    </w:p>
    <w:p>
      <w:pPr>
        <w:tabs>
          <w:tab w:val="left" w:pos="1080"/>
        </w:tabs>
        <w:spacing w:line="390" w:lineRule="exact"/>
        <w:ind w:firstLine="460" w:firstLineChars="192"/>
        <w:rPr>
          <w:rFonts w:hAnsi="宋体"/>
          <w:sz w:val="24"/>
        </w:rPr>
      </w:pPr>
      <w:r>
        <w:rPr>
          <w:rFonts w:hint="eastAsia" w:hAnsi="宋体"/>
          <w:sz w:val="24"/>
        </w:rPr>
        <w:t>18.4 投标文件正本和副本应当采取胶装方式装订成册，不得散装或者合页装订。</w:t>
      </w:r>
    </w:p>
    <w:p>
      <w:pPr>
        <w:tabs>
          <w:tab w:val="left" w:pos="1080"/>
        </w:tabs>
        <w:spacing w:line="390" w:lineRule="exact"/>
        <w:ind w:firstLine="460" w:firstLineChars="192"/>
        <w:rPr>
          <w:rFonts w:hAnsi="宋体"/>
          <w:sz w:val="24"/>
        </w:rPr>
      </w:pPr>
      <w:r>
        <w:rPr>
          <w:rFonts w:hint="eastAsia" w:hAnsi="宋体"/>
          <w:sz w:val="24"/>
        </w:rPr>
        <w:t>18.5 投标文件应根据招标文件的要求制作，签署、盖章和内容应完整。</w:t>
      </w:r>
    </w:p>
    <w:p>
      <w:pPr>
        <w:spacing w:line="390" w:lineRule="exact"/>
        <w:ind w:firstLine="480" w:firstLineChars="200"/>
        <w:rPr>
          <w:rFonts w:hint="eastAsia" w:hAnsi="宋体"/>
          <w:sz w:val="24"/>
          <w:szCs w:val="22"/>
        </w:rPr>
      </w:pPr>
      <w:r>
        <w:rPr>
          <w:rFonts w:hint="eastAsia" w:hAnsi="宋体"/>
          <w:sz w:val="24"/>
        </w:rPr>
        <w:t>18.6 投标文件统一用</w:t>
      </w:r>
      <w:r>
        <w:rPr>
          <w:rFonts w:hint="eastAsia" w:hAnsi="宋体"/>
          <w:sz w:val="24"/>
          <w:szCs w:val="22"/>
        </w:rPr>
        <w:t>A4幅面纸印制，逐页编码。</w:t>
      </w:r>
    </w:p>
    <w:p>
      <w:pPr>
        <w:spacing w:line="390" w:lineRule="exact"/>
        <w:ind w:firstLine="480" w:firstLineChars="200"/>
        <w:rPr>
          <w:rFonts w:hint="eastAsia" w:hAnsi="宋体"/>
          <w:sz w:val="24"/>
          <w:szCs w:val="22"/>
        </w:rPr>
      </w:pPr>
      <w:bookmarkStart w:id="116" w:name="_Toc77400781"/>
      <w:bookmarkStart w:id="117" w:name="_Toc89075877"/>
      <w:bookmarkStart w:id="118" w:name="_Toc183582226"/>
      <w:bookmarkStart w:id="119" w:name="_Toc183682363"/>
      <w:bookmarkStart w:id="120" w:name="_Toc308164803"/>
      <w:bookmarkStart w:id="121" w:name="_Toc217446053"/>
      <w:r>
        <w:rPr>
          <w:rFonts w:hint="eastAsia" w:hAnsi="宋体"/>
          <w:sz w:val="24"/>
          <w:szCs w:val="22"/>
        </w:rPr>
        <w:t>19.投标文件的密封和标</w:t>
      </w:r>
      <w:bookmarkEnd w:id="116"/>
      <w:bookmarkEnd w:id="117"/>
      <w:bookmarkEnd w:id="118"/>
      <w:bookmarkEnd w:id="119"/>
      <w:r>
        <w:rPr>
          <w:rFonts w:hint="eastAsia" w:hAnsi="宋体"/>
          <w:sz w:val="24"/>
          <w:szCs w:val="22"/>
        </w:rPr>
        <w:t>注</w:t>
      </w:r>
      <w:bookmarkEnd w:id="120"/>
      <w:bookmarkEnd w:id="121"/>
    </w:p>
    <w:p>
      <w:pPr>
        <w:spacing w:line="390" w:lineRule="exact"/>
        <w:ind w:firstLine="480" w:firstLineChars="200"/>
        <w:rPr>
          <w:rFonts w:hint="eastAsia" w:hAnsi="宋体"/>
          <w:sz w:val="24"/>
          <w:szCs w:val="22"/>
        </w:rPr>
      </w:pPr>
      <w:r>
        <w:rPr>
          <w:rFonts w:hint="eastAsia" w:hAnsi="宋体"/>
          <w:sz w:val="24"/>
          <w:szCs w:val="22"/>
        </w:rPr>
        <w:t>19.1投标人应在投标文件正本和所有副本的封面上注明投标人名称、招标编号、项目名称及分包号（如有分包）。</w:t>
      </w:r>
    </w:p>
    <w:p>
      <w:pPr>
        <w:tabs>
          <w:tab w:val="left" w:pos="1080"/>
        </w:tabs>
        <w:spacing w:line="390" w:lineRule="exact"/>
        <w:ind w:firstLine="460" w:firstLineChars="192"/>
        <w:rPr>
          <w:rFonts w:hAnsi="宋体"/>
          <w:sz w:val="24"/>
        </w:rPr>
      </w:pPr>
      <w:r>
        <w:rPr>
          <w:rFonts w:hint="eastAsia" w:hAnsi="宋体"/>
          <w:sz w:val="24"/>
        </w:rPr>
        <w:t>19.2 投标文件包括正本、副本和用于开标唱标单独提交的“开标一览表”。投标文件应当密封，其中，“开标一览表”单独密封。投标文件的密封袋上应当注明投标人名称、招标编号、项目名称及分包号（如有分包）。</w:t>
      </w:r>
    </w:p>
    <w:p>
      <w:pPr>
        <w:tabs>
          <w:tab w:val="left" w:pos="1080"/>
        </w:tabs>
        <w:spacing w:line="390" w:lineRule="exact"/>
        <w:ind w:firstLine="460" w:firstLineChars="192"/>
        <w:rPr>
          <w:rFonts w:hAnsi="宋体"/>
          <w:sz w:val="24"/>
        </w:rPr>
      </w:pPr>
      <w:r>
        <w:rPr>
          <w:rFonts w:hAnsi="宋体"/>
          <w:sz w:val="24"/>
        </w:rPr>
        <w:t>19.</w:t>
      </w:r>
      <w:r>
        <w:rPr>
          <w:rFonts w:hint="eastAsia" w:hAnsi="宋体"/>
          <w:sz w:val="24"/>
        </w:rPr>
        <w:t>3</w:t>
      </w:r>
      <w:r>
        <w:rPr>
          <w:rFonts w:hAnsi="宋体"/>
          <w:sz w:val="24"/>
        </w:rPr>
        <w:t>密封后的封口上加盖供应商公章，报价前不得启封。</w:t>
      </w:r>
    </w:p>
    <w:p>
      <w:pPr>
        <w:tabs>
          <w:tab w:val="left" w:pos="1080"/>
        </w:tabs>
        <w:spacing w:line="390" w:lineRule="exact"/>
        <w:ind w:firstLine="460" w:firstLineChars="192"/>
        <w:rPr>
          <w:color w:val="auto"/>
        </w:rPr>
      </w:pPr>
      <w:r>
        <w:rPr>
          <w:rFonts w:hAnsi="宋体"/>
          <w:sz w:val="24"/>
        </w:rPr>
        <w:t>19.</w:t>
      </w:r>
      <w:r>
        <w:rPr>
          <w:rFonts w:hint="eastAsia" w:hAnsi="宋体"/>
          <w:sz w:val="24"/>
        </w:rPr>
        <w:t>4</w:t>
      </w:r>
      <w:r>
        <w:rPr>
          <w:rFonts w:hAnsi="宋体"/>
          <w:sz w:val="24"/>
        </w:rPr>
        <w:t>每一密封信封上注明“于20</w:t>
      </w:r>
      <w:r>
        <w:rPr>
          <w:rFonts w:hint="eastAsia" w:hAnsi="宋体"/>
          <w:sz w:val="24"/>
        </w:rPr>
        <w:t>2</w:t>
      </w:r>
      <w:r>
        <w:rPr>
          <w:rFonts w:hint="eastAsia" w:hAnsi="宋体"/>
          <w:sz w:val="24"/>
          <w:lang w:val="en-US" w:eastAsia="zh-CN"/>
        </w:rPr>
        <w:t>1</w:t>
      </w:r>
      <w:r>
        <w:rPr>
          <w:rFonts w:hAnsi="宋体"/>
          <w:sz w:val="24"/>
        </w:rPr>
        <w:t>年</w:t>
      </w:r>
      <w:r>
        <w:rPr>
          <w:rFonts w:hint="eastAsia" w:hAnsi="宋体"/>
          <w:sz w:val="24"/>
        </w:rPr>
        <w:t xml:space="preserve">  </w:t>
      </w:r>
      <w:r>
        <w:rPr>
          <w:rFonts w:hAnsi="宋体"/>
          <w:sz w:val="24"/>
        </w:rPr>
        <w:t>月</w:t>
      </w:r>
      <w:r>
        <w:rPr>
          <w:rFonts w:hint="eastAsia" w:hAnsi="宋体"/>
          <w:sz w:val="24"/>
        </w:rPr>
        <w:t xml:space="preserve">  </w:t>
      </w:r>
      <w:r>
        <w:rPr>
          <w:rFonts w:hAnsi="宋体"/>
          <w:sz w:val="24"/>
        </w:rPr>
        <w:t>日</w:t>
      </w:r>
      <w:r>
        <w:rPr>
          <w:rFonts w:hint="eastAsia" w:hAnsi="宋体"/>
          <w:sz w:val="24"/>
          <w:lang w:val="en-US" w:eastAsia="zh-CN"/>
        </w:rPr>
        <w:t xml:space="preserve">   </w:t>
      </w:r>
      <w:r>
        <w:rPr>
          <w:rFonts w:hAnsi="宋体"/>
          <w:sz w:val="24"/>
        </w:rPr>
        <w:t>:</w:t>
      </w:r>
      <w:r>
        <w:rPr>
          <w:rFonts w:hint="eastAsia" w:hAnsi="宋体"/>
          <w:sz w:val="24"/>
          <w:lang w:val="en-US" w:eastAsia="zh-CN"/>
        </w:rPr>
        <w:t xml:space="preserve">   </w:t>
      </w:r>
      <w:r>
        <w:rPr>
          <w:rFonts w:hAnsi="宋体"/>
          <w:sz w:val="24"/>
        </w:rPr>
        <w:t>（北京时间）（递交截止时间）之前不准启封”的字样。</w:t>
      </w:r>
    </w:p>
    <w:p>
      <w:pPr>
        <w:tabs>
          <w:tab w:val="left" w:pos="1080"/>
        </w:tabs>
        <w:spacing w:line="390" w:lineRule="exact"/>
        <w:ind w:firstLine="460" w:firstLineChars="192"/>
        <w:rPr>
          <w:rFonts w:hAnsi="宋体"/>
          <w:sz w:val="24"/>
        </w:rPr>
      </w:pPr>
      <w:r>
        <w:rPr>
          <w:rFonts w:hint="eastAsia" w:ascii="新宋体" w:hAnsi="新宋体" w:eastAsia="新宋体"/>
          <w:sz w:val="24"/>
        </w:rPr>
        <w:t>19.5</w:t>
      </w:r>
      <w:r>
        <w:rPr>
          <w:rFonts w:hint="eastAsia" w:hAnsi="宋体"/>
          <w:sz w:val="24"/>
        </w:rPr>
        <w:t>未按以上要求进行密封和标注的投标文件导致供应商投标内容泄漏由供应商承担。</w:t>
      </w:r>
    </w:p>
    <w:p>
      <w:pPr>
        <w:spacing w:line="390" w:lineRule="exact"/>
        <w:ind w:firstLine="480" w:firstLineChars="200"/>
        <w:rPr>
          <w:rFonts w:hAnsi="宋体"/>
          <w:sz w:val="24"/>
        </w:rPr>
      </w:pPr>
      <w:bookmarkStart w:id="122" w:name="_Toc183582227"/>
      <w:bookmarkStart w:id="123" w:name="_Toc183682364"/>
      <w:bookmarkStart w:id="124" w:name="_Toc308164804"/>
      <w:bookmarkStart w:id="125" w:name="_Toc217446054"/>
      <w:r>
        <w:rPr>
          <w:rFonts w:hint="eastAsia" w:hAnsi="宋体"/>
          <w:sz w:val="24"/>
        </w:rPr>
        <w:t>20．投标文件的</w:t>
      </w:r>
      <w:bookmarkEnd w:id="122"/>
      <w:bookmarkEnd w:id="123"/>
      <w:r>
        <w:rPr>
          <w:rFonts w:hint="eastAsia" w:hAnsi="宋体"/>
          <w:sz w:val="24"/>
        </w:rPr>
        <w:t>递交</w:t>
      </w:r>
      <w:bookmarkEnd w:id="124"/>
      <w:bookmarkEnd w:id="125"/>
    </w:p>
    <w:p>
      <w:pPr>
        <w:tabs>
          <w:tab w:val="left" w:pos="1095"/>
        </w:tabs>
        <w:spacing w:line="390" w:lineRule="exact"/>
        <w:ind w:firstLine="460" w:firstLineChars="192"/>
        <w:rPr>
          <w:rFonts w:hAnsi="宋体"/>
          <w:sz w:val="24"/>
        </w:rPr>
      </w:pPr>
      <w:r>
        <w:rPr>
          <w:rFonts w:hint="eastAsia" w:hAnsi="宋体"/>
          <w:sz w:val="24"/>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hAnsi="宋体"/>
          <w:sz w:val="24"/>
        </w:rPr>
      </w:pPr>
      <w:r>
        <w:rPr>
          <w:rFonts w:hint="eastAsia" w:hAnsi="宋体"/>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hAnsi="宋体"/>
          <w:sz w:val="24"/>
        </w:rPr>
      </w:pPr>
      <w:r>
        <w:rPr>
          <w:rFonts w:hint="eastAsia" w:hAnsi="宋体"/>
          <w:sz w:val="24"/>
        </w:rPr>
        <w:t>20.3本次招标不接收邮寄的投标文件。</w:t>
      </w:r>
    </w:p>
    <w:p>
      <w:pPr>
        <w:spacing w:line="400" w:lineRule="exact"/>
        <w:ind w:firstLine="480" w:firstLineChars="200"/>
        <w:rPr>
          <w:rFonts w:hAnsi="宋体"/>
          <w:sz w:val="24"/>
        </w:rPr>
      </w:pPr>
      <w:bookmarkStart w:id="126" w:name="_Toc183682365"/>
      <w:bookmarkStart w:id="127" w:name="_Toc183582228"/>
      <w:bookmarkStart w:id="128" w:name="_Toc217446055"/>
      <w:r>
        <w:rPr>
          <w:rFonts w:hint="eastAsia" w:hAnsi="宋体"/>
          <w:sz w:val="24"/>
        </w:rPr>
        <w:t>21．投标文件的修改和撤</w:t>
      </w:r>
      <w:bookmarkEnd w:id="126"/>
      <w:bookmarkEnd w:id="127"/>
      <w:r>
        <w:rPr>
          <w:rFonts w:hint="eastAsia" w:hAnsi="宋体"/>
          <w:sz w:val="24"/>
        </w:rPr>
        <w:t>回</w:t>
      </w:r>
      <w:bookmarkEnd w:id="128"/>
    </w:p>
    <w:p>
      <w:pPr>
        <w:spacing w:line="400" w:lineRule="exact"/>
        <w:ind w:firstLine="470" w:firstLineChars="196"/>
        <w:rPr>
          <w:rFonts w:hAnsi="宋体"/>
          <w:sz w:val="24"/>
        </w:rPr>
      </w:pPr>
      <w:r>
        <w:rPr>
          <w:rFonts w:hint="eastAsia" w:hAnsi="宋体"/>
          <w:sz w:val="24"/>
        </w:rPr>
        <w:t>21.1 投标人在递交了投标文件后，可以修改或撤回其投标文件，但必须在规定的投标截止时间前，以书面形式通知采购代理机构。</w:t>
      </w:r>
    </w:p>
    <w:p>
      <w:pPr>
        <w:spacing w:line="400" w:lineRule="exact"/>
        <w:ind w:firstLine="470" w:firstLineChars="196"/>
        <w:rPr>
          <w:rFonts w:hAnsi="宋体"/>
          <w:sz w:val="24"/>
        </w:rPr>
      </w:pPr>
      <w:r>
        <w:rPr>
          <w:rFonts w:hint="eastAsia" w:hAnsi="宋体"/>
          <w:sz w:val="24"/>
        </w:rPr>
        <w:t>21.2 投标人的修改书或撤回通知书，应由其法定代表人或授权代表签署并盖单位印章。修改书应按第19条规定进行密封和标注，并在密封袋上标注“修改”字样。</w:t>
      </w:r>
    </w:p>
    <w:p>
      <w:pPr>
        <w:spacing w:line="400" w:lineRule="exact"/>
        <w:ind w:firstLine="480"/>
        <w:rPr>
          <w:rFonts w:hAnsi="宋体"/>
          <w:sz w:val="24"/>
        </w:rPr>
      </w:pPr>
      <w:r>
        <w:rPr>
          <w:rFonts w:hint="eastAsia" w:hAnsi="宋体"/>
          <w:sz w:val="24"/>
        </w:rPr>
        <w:t>21.3 在投标截止时间之后，投标人不得对其递交的投标文件做任何修改，撤回投标的，将按照有关规定进行相应处理。</w:t>
      </w:r>
    </w:p>
    <w:p>
      <w:pPr>
        <w:spacing w:line="400" w:lineRule="exact"/>
        <w:ind w:firstLine="560" w:firstLineChars="200"/>
        <w:jc w:val="center"/>
        <w:rPr>
          <w:rFonts w:hAnsi="宋体"/>
          <w:sz w:val="28"/>
          <w:szCs w:val="28"/>
        </w:rPr>
      </w:pPr>
      <w:bookmarkStart w:id="129" w:name="_Toc89075878"/>
      <w:bookmarkStart w:id="130" w:name="_Toc8049"/>
      <w:bookmarkStart w:id="131" w:name="_Toc183582231"/>
      <w:bookmarkStart w:id="132" w:name="_Toc77400782"/>
      <w:bookmarkStart w:id="133" w:name="_Toc308164805"/>
      <w:bookmarkStart w:id="134" w:name="_Toc217446056"/>
      <w:bookmarkStart w:id="135" w:name="_Toc183682368"/>
      <w:r>
        <w:rPr>
          <w:rFonts w:hint="eastAsia" w:hAnsi="宋体"/>
          <w:sz w:val="28"/>
          <w:szCs w:val="28"/>
        </w:rPr>
        <w:t>五、开标和中标</w:t>
      </w:r>
      <w:bookmarkEnd w:id="129"/>
      <w:bookmarkEnd w:id="130"/>
      <w:bookmarkEnd w:id="131"/>
      <w:bookmarkEnd w:id="132"/>
      <w:bookmarkEnd w:id="133"/>
      <w:bookmarkEnd w:id="134"/>
      <w:bookmarkEnd w:id="135"/>
    </w:p>
    <w:p>
      <w:pPr>
        <w:spacing w:line="400" w:lineRule="exact"/>
        <w:ind w:firstLine="480" w:firstLineChars="200"/>
        <w:rPr>
          <w:rFonts w:hAnsi="宋体"/>
          <w:sz w:val="24"/>
        </w:rPr>
      </w:pPr>
      <w:bookmarkStart w:id="136" w:name="_Toc308164806"/>
      <w:bookmarkStart w:id="137" w:name="_Toc183682369"/>
      <w:bookmarkStart w:id="138" w:name="_Toc183582232"/>
      <w:bookmarkStart w:id="139" w:name="_Toc217446057"/>
      <w:r>
        <w:rPr>
          <w:rFonts w:hint="eastAsia" w:hAnsi="宋体"/>
          <w:sz w:val="24"/>
        </w:rPr>
        <w:t>22．开标</w:t>
      </w:r>
      <w:bookmarkEnd w:id="136"/>
      <w:bookmarkEnd w:id="137"/>
      <w:bookmarkEnd w:id="138"/>
      <w:bookmarkEnd w:id="139"/>
    </w:p>
    <w:p>
      <w:pPr>
        <w:spacing w:before="120" w:line="400" w:lineRule="exact"/>
        <w:ind w:firstLine="480" w:firstLineChars="200"/>
        <w:rPr>
          <w:rFonts w:hAnsi="宋体"/>
          <w:sz w:val="24"/>
        </w:rPr>
      </w:pPr>
      <w:r>
        <w:rPr>
          <w:rFonts w:hint="eastAsia" w:hAnsi="宋体"/>
          <w:sz w:val="24"/>
        </w:rPr>
        <w:t>22.1 开标在招标文件规定的时间和地点公开进行，采购人、投标人须派代表参加并签到以证明其出席。开标由采购代理机构主持，采购人、投标人代表参加。评标专家不参加开标活动。</w:t>
      </w:r>
    </w:p>
    <w:p>
      <w:pPr>
        <w:spacing w:line="400" w:lineRule="exact"/>
        <w:ind w:firstLine="480" w:firstLineChars="200"/>
        <w:rPr>
          <w:rFonts w:hAnsi="宋体"/>
          <w:sz w:val="24"/>
        </w:rPr>
      </w:pPr>
      <w:r>
        <w:rPr>
          <w:rFonts w:hint="eastAsia" w:hAnsi="宋体"/>
          <w:sz w:val="24"/>
        </w:rPr>
        <w:t>22.2 开标时，可能根据具体情况邀请有关监督管理部门对开标活动进行现场监督。</w:t>
      </w:r>
    </w:p>
    <w:p>
      <w:pPr>
        <w:spacing w:line="400" w:lineRule="exact"/>
        <w:ind w:firstLine="480" w:firstLineChars="200"/>
        <w:rPr>
          <w:rFonts w:hAnsi="宋体"/>
          <w:sz w:val="24"/>
        </w:rPr>
      </w:pPr>
      <w:r>
        <w:rPr>
          <w:rFonts w:hint="eastAsia" w:hAnsi="宋体"/>
          <w:sz w:val="24"/>
        </w:rPr>
        <w:t>22.3 开标时，由投标人或者其推选的代表先检查其自己递交的投标文件的密封情况，经确认无误后，由招标工作人员将投标人单独递交的“开标一览表”当众拆封，并由唱标人员按照招标文件规定的内容进行宣读。</w:t>
      </w:r>
    </w:p>
    <w:p>
      <w:pPr>
        <w:spacing w:line="400" w:lineRule="exact"/>
        <w:ind w:firstLine="480" w:firstLineChars="200"/>
        <w:rPr>
          <w:rFonts w:hAnsi="宋体"/>
          <w:sz w:val="24"/>
        </w:rPr>
      </w:pPr>
      <w:r>
        <w:rPr>
          <w:rFonts w:hint="eastAsia" w:hAnsi="宋体"/>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开标主持人或者现场监督人员，要求开标现场记录人员予以记录，并在评标时予以认定处理，但不得干扰、阻挠开标工作的正常进行。</w:t>
      </w:r>
    </w:p>
    <w:p>
      <w:pPr>
        <w:spacing w:line="400" w:lineRule="exact"/>
        <w:ind w:firstLine="480" w:firstLineChars="200"/>
        <w:rPr>
          <w:rFonts w:hAnsi="宋体"/>
          <w:sz w:val="24"/>
        </w:rPr>
      </w:pPr>
      <w:r>
        <w:rPr>
          <w:rFonts w:hint="eastAsia" w:hAnsi="宋体"/>
          <w:sz w:val="24"/>
        </w:rPr>
        <w:t>22.4 开标时，“开标一览表”中的大写金额与小写金额不一致的，以大写金额为准；总价金额与按单价计算的汇总金额不一致的，以单价计算的汇总金额为准；单价金额有明显小数点错误的，以总价为准，并修改单价。</w:t>
      </w:r>
    </w:p>
    <w:p>
      <w:pPr>
        <w:spacing w:line="400" w:lineRule="exact"/>
        <w:ind w:firstLine="480" w:firstLineChars="200"/>
        <w:rPr>
          <w:rFonts w:hAnsi="宋体"/>
          <w:sz w:val="24"/>
        </w:rPr>
      </w:pPr>
      <w:r>
        <w:rPr>
          <w:rFonts w:hint="eastAsia" w:hAnsi="宋体"/>
          <w:sz w:val="24"/>
        </w:rPr>
        <w:t>22.5 投标文件中相关内容与“开标一览表”不一致的，以“开标一览表”为准。对不同文字文本投标文件的解释发生异议的，以中文文本为准。</w:t>
      </w:r>
    </w:p>
    <w:p>
      <w:pPr>
        <w:spacing w:line="400" w:lineRule="exact"/>
        <w:ind w:firstLine="480" w:firstLineChars="200"/>
        <w:rPr>
          <w:rFonts w:hAnsi="宋体"/>
          <w:sz w:val="24"/>
        </w:rPr>
      </w:pPr>
      <w:r>
        <w:rPr>
          <w:rFonts w:hint="eastAsia" w:hAnsi="宋体"/>
          <w:sz w:val="24"/>
        </w:rPr>
        <w:t>22.6 所有投标唱标完毕，如投标人代表对宣读的“开标一览表”上的内容有异议的，应在获得开标会主持人同意后当场提出。如确实属于唱标人员宣读错了的，经现场监督人员核实后，当场予以更正。</w:t>
      </w:r>
    </w:p>
    <w:p>
      <w:pPr>
        <w:spacing w:line="400" w:lineRule="exact"/>
        <w:ind w:firstLine="480" w:firstLineChars="200"/>
        <w:rPr>
          <w:rFonts w:hAnsi="宋体"/>
          <w:sz w:val="24"/>
        </w:rPr>
      </w:pPr>
      <w:bookmarkStart w:id="140" w:name="_Toc217446058"/>
      <w:bookmarkStart w:id="141" w:name="_Toc308164807"/>
      <w:r>
        <w:rPr>
          <w:rFonts w:hint="eastAsia" w:hAnsi="宋体"/>
          <w:sz w:val="24"/>
        </w:rPr>
        <w:t>23. 开标程序</w:t>
      </w:r>
      <w:bookmarkEnd w:id="140"/>
      <w:bookmarkEnd w:id="141"/>
    </w:p>
    <w:p>
      <w:pPr>
        <w:spacing w:line="400" w:lineRule="exact"/>
        <w:ind w:firstLine="480" w:firstLineChars="200"/>
        <w:rPr>
          <w:rFonts w:hAnsi="宋体"/>
          <w:sz w:val="24"/>
        </w:rPr>
      </w:pPr>
      <w:r>
        <w:rPr>
          <w:rFonts w:hint="eastAsia" w:hAnsi="宋体"/>
          <w:sz w:val="24"/>
        </w:rPr>
        <w:t>23.1 开标会主持人按照招标文件规定的开标时间宣布开标，按照规定要求主持开标会。开标将按以下程序进行：</w:t>
      </w:r>
    </w:p>
    <w:p>
      <w:pPr>
        <w:spacing w:line="400" w:lineRule="exact"/>
        <w:ind w:firstLine="480" w:firstLineChars="200"/>
        <w:rPr>
          <w:rFonts w:hAnsi="宋体"/>
          <w:sz w:val="24"/>
        </w:rPr>
      </w:pPr>
      <w:r>
        <w:rPr>
          <w:rFonts w:hint="eastAsia" w:hAnsi="宋体"/>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hAnsi="宋体"/>
          <w:sz w:val="24"/>
        </w:rPr>
      </w:pPr>
      <w:r>
        <w:rPr>
          <w:rFonts w:hint="eastAsia" w:hAnsi="宋体"/>
          <w:sz w:val="24"/>
        </w:rPr>
        <w:t>（2）根据投标人或者其推选的代表对投标文件密封的检查结果，当众宣布投标文件的密封情况。</w:t>
      </w:r>
    </w:p>
    <w:p>
      <w:pPr>
        <w:spacing w:line="400" w:lineRule="exact"/>
        <w:ind w:firstLine="480" w:firstLineChars="200"/>
        <w:rPr>
          <w:rFonts w:hAnsi="宋体"/>
          <w:sz w:val="24"/>
        </w:rPr>
      </w:pPr>
      <w:r>
        <w:rPr>
          <w:rFonts w:hint="eastAsia" w:hAnsi="宋体"/>
          <w:sz w:val="24"/>
        </w:rPr>
        <w:t>（3）开标唱标。主持人宣布开标后，由现场工作人员按任意顺序对投标人的“开标一览表”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hAnsi="宋体"/>
          <w:sz w:val="24"/>
        </w:rPr>
      </w:pPr>
      <w:r>
        <w:rPr>
          <w:rFonts w:hint="eastAsia" w:hAnsi="宋体"/>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spacing w:line="400" w:lineRule="exact"/>
        <w:ind w:firstLine="480" w:firstLineChars="200"/>
        <w:rPr>
          <w:rFonts w:hAnsi="宋体"/>
          <w:sz w:val="24"/>
        </w:rPr>
      </w:pPr>
      <w:bookmarkStart w:id="142" w:name="_Toc183682375"/>
      <w:bookmarkStart w:id="143" w:name="_Toc183582238"/>
      <w:bookmarkStart w:id="144" w:name="_Toc217446063"/>
      <w:bookmarkStart w:id="145" w:name="_Toc308164809"/>
      <w:r>
        <w:rPr>
          <w:rFonts w:hint="eastAsia" w:hAnsi="宋体"/>
          <w:sz w:val="24"/>
        </w:rPr>
        <w:t>24．开评标过程存档</w:t>
      </w:r>
    </w:p>
    <w:p>
      <w:pPr>
        <w:spacing w:line="400" w:lineRule="exact"/>
        <w:ind w:firstLine="480" w:firstLineChars="200"/>
        <w:rPr>
          <w:rFonts w:hAnsi="宋体"/>
          <w:sz w:val="24"/>
        </w:rPr>
      </w:pPr>
      <w:r>
        <w:rPr>
          <w:rFonts w:hint="eastAsia" w:hAnsi="宋体"/>
          <w:sz w:val="24"/>
        </w:rPr>
        <w:t>开标和评标过程进行全过程电子监控，并将电子监控资料存储介质留存归档。</w:t>
      </w:r>
    </w:p>
    <w:p>
      <w:pPr>
        <w:spacing w:line="400" w:lineRule="exact"/>
        <w:ind w:firstLine="480" w:firstLineChars="200"/>
        <w:rPr>
          <w:rFonts w:hAnsi="宋体"/>
          <w:sz w:val="24"/>
        </w:rPr>
      </w:pPr>
      <w:r>
        <w:rPr>
          <w:rFonts w:hint="eastAsia" w:hAnsi="宋体"/>
          <w:sz w:val="24"/>
        </w:rPr>
        <w:t>25.评标情况公告</w:t>
      </w:r>
    </w:p>
    <w:p>
      <w:pPr>
        <w:spacing w:line="400" w:lineRule="exact"/>
        <w:ind w:firstLine="480" w:firstLineChars="200"/>
        <w:rPr>
          <w:rFonts w:hAnsi="宋体"/>
          <w:sz w:val="24"/>
        </w:rPr>
      </w:pPr>
      <w:r>
        <w:rPr>
          <w:rFonts w:hint="eastAsia" w:hAnsi="宋体"/>
          <w:sz w:val="24"/>
        </w:rPr>
        <w:t>所有供应商投标文件资格性、符合性检查情况、采用综合评分法时的总得分和分项汇总得分情况、评标结果等将在四川政府采购网上采购结果公告栏中予以公告。</w:t>
      </w:r>
    </w:p>
    <w:p>
      <w:pPr>
        <w:spacing w:line="400" w:lineRule="exact"/>
        <w:ind w:firstLine="480" w:firstLineChars="200"/>
        <w:rPr>
          <w:rFonts w:hAnsi="宋体"/>
          <w:sz w:val="24"/>
        </w:rPr>
      </w:pPr>
      <w:r>
        <w:rPr>
          <w:rFonts w:hint="eastAsia" w:hAnsi="宋体"/>
          <w:sz w:val="24"/>
        </w:rPr>
        <w:t>26.中标通知</w:t>
      </w:r>
      <w:bookmarkEnd w:id="142"/>
      <w:bookmarkEnd w:id="143"/>
      <w:r>
        <w:rPr>
          <w:rFonts w:hint="eastAsia" w:hAnsi="宋体"/>
          <w:sz w:val="24"/>
        </w:rPr>
        <w:t>书</w:t>
      </w:r>
      <w:bookmarkEnd w:id="144"/>
      <w:bookmarkEnd w:id="145"/>
    </w:p>
    <w:p>
      <w:pPr>
        <w:tabs>
          <w:tab w:val="left" w:pos="7665"/>
        </w:tabs>
        <w:spacing w:line="400" w:lineRule="exact"/>
        <w:ind w:firstLine="480" w:firstLineChars="200"/>
        <w:rPr>
          <w:rFonts w:hAnsi="宋体"/>
          <w:sz w:val="24"/>
        </w:rPr>
      </w:pPr>
      <w:r>
        <w:rPr>
          <w:rFonts w:hint="eastAsia" w:hAnsi="宋体"/>
          <w:sz w:val="24"/>
        </w:rPr>
        <w:t>26</w:t>
      </w:r>
      <w:r>
        <w:rPr>
          <w:rFonts w:hint="eastAsia" w:hAnsi="宋体"/>
          <w:bCs/>
          <w:sz w:val="24"/>
        </w:rPr>
        <w:t>.</w:t>
      </w:r>
      <w:r>
        <w:rPr>
          <w:rFonts w:hint="eastAsia" w:hAnsi="宋体"/>
          <w:sz w:val="24"/>
        </w:rPr>
        <w:t>1 中标通知书为签订政府采购合同的依据之一，是合同的有效组成部分。</w:t>
      </w:r>
    </w:p>
    <w:p>
      <w:pPr>
        <w:tabs>
          <w:tab w:val="left" w:pos="7665"/>
        </w:tabs>
        <w:spacing w:line="400" w:lineRule="exact"/>
        <w:ind w:firstLine="480" w:firstLineChars="200"/>
        <w:rPr>
          <w:rFonts w:hAnsi="宋体"/>
          <w:sz w:val="24"/>
        </w:rPr>
      </w:pPr>
      <w:r>
        <w:rPr>
          <w:rFonts w:hint="eastAsia" w:hAnsi="宋体"/>
          <w:sz w:val="24"/>
        </w:rPr>
        <w:t>26.2 投标人中标后，拒绝领取中标通知书的，招标采购单位将于中标供应商确定之日起两个工作日内采取邮寄、快递方式按照投标人投标文件中的地址发出中标通知书。</w:t>
      </w:r>
    </w:p>
    <w:p>
      <w:pPr>
        <w:tabs>
          <w:tab w:val="left" w:pos="7665"/>
        </w:tabs>
        <w:spacing w:line="400" w:lineRule="exact"/>
        <w:ind w:firstLine="480"/>
        <w:rPr>
          <w:rFonts w:hAnsi="宋体"/>
          <w:sz w:val="24"/>
        </w:rPr>
      </w:pPr>
      <w:r>
        <w:rPr>
          <w:rFonts w:hint="eastAsia" w:hAnsi="宋体"/>
          <w:sz w:val="24"/>
        </w:rPr>
        <w:t>26.3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hAnsi="宋体"/>
          <w:sz w:val="24"/>
        </w:rPr>
      </w:pPr>
      <w:r>
        <w:rPr>
          <w:rFonts w:hint="eastAsia" w:hAnsi="宋体"/>
          <w:sz w:val="24"/>
        </w:rPr>
        <w:t>26.4 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hAnsi="宋体"/>
          <w:sz w:val="24"/>
        </w:rPr>
      </w:pPr>
      <w:r>
        <w:rPr>
          <w:rFonts w:hint="eastAsia" w:hAnsi="宋体"/>
          <w:sz w:val="24"/>
        </w:rPr>
        <w:t>26.5中标公告发出后，中标供应商自行领取中标通知书的，可凭有效身份证明证件到四川成化工程项目管理有限公司领取中标通知书。联系人：</w:t>
      </w:r>
      <w:r>
        <w:rPr>
          <w:rFonts w:hint="eastAsia" w:hAnsi="宋体"/>
          <w:sz w:val="24"/>
          <w:lang w:eastAsia="zh-CN"/>
        </w:rPr>
        <w:t>陈</w:t>
      </w:r>
      <w:r>
        <w:rPr>
          <w:rFonts w:hint="eastAsia" w:hAnsi="宋体"/>
          <w:sz w:val="24"/>
        </w:rPr>
        <w:t>先生，联系电话：</w:t>
      </w:r>
      <w:r>
        <w:rPr>
          <w:rFonts w:hint="eastAsia" w:hAnsi="宋体" w:cs="宋体"/>
          <w:sz w:val="24"/>
          <w:lang w:val="en-US" w:eastAsia="zh-CN"/>
        </w:rPr>
        <w:t>028-85001368</w:t>
      </w:r>
      <w:r>
        <w:rPr>
          <w:rFonts w:hint="eastAsia" w:hAnsi="宋体"/>
          <w:sz w:val="24"/>
        </w:rPr>
        <w:t>。</w:t>
      </w:r>
    </w:p>
    <w:p>
      <w:pPr>
        <w:pStyle w:val="61"/>
        <w:rPr>
          <w:color w:val="auto"/>
        </w:rPr>
      </w:pPr>
    </w:p>
    <w:p>
      <w:pPr>
        <w:spacing w:line="400" w:lineRule="exact"/>
        <w:ind w:firstLine="560" w:firstLineChars="200"/>
        <w:jc w:val="center"/>
        <w:rPr>
          <w:rFonts w:hAnsi="宋体"/>
          <w:sz w:val="28"/>
          <w:szCs w:val="28"/>
        </w:rPr>
      </w:pPr>
      <w:bookmarkStart w:id="146" w:name="_Toc308164810"/>
      <w:bookmarkStart w:id="147" w:name="_Toc217446064"/>
      <w:bookmarkStart w:id="148" w:name="_Toc30156"/>
      <w:bookmarkStart w:id="149" w:name="_Toc183582240"/>
      <w:bookmarkStart w:id="150" w:name="_Toc183682377"/>
      <w:r>
        <w:rPr>
          <w:rFonts w:hint="eastAsia" w:hAnsi="宋体"/>
          <w:sz w:val="28"/>
          <w:szCs w:val="28"/>
        </w:rPr>
        <w:t>六、签订及履行合同和验收</w:t>
      </w:r>
      <w:bookmarkEnd w:id="146"/>
      <w:bookmarkEnd w:id="147"/>
      <w:bookmarkEnd w:id="148"/>
    </w:p>
    <w:p>
      <w:pPr>
        <w:spacing w:line="400" w:lineRule="exact"/>
        <w:ind w:firstLine="480" w:firstLineChars="200"/>
        <w:rPr>
          <w:rFonts w:hAnsi="宋体"/>
          <w:sz w:val="24"/>
        </w:rPr>
      </w:pPr>
      <w:bookmarkStart w:id="151" w:name="_Toc217446065"/>
      <w:bookmarkStart w:id="152" w:name="_Toc308164811"/>
      <w:r>
        <w:rPr>
          <w:rFonts w:hint="eastAsia" w:hAnsi="宋体"/>
          <w:sz w:val="24"/>
        </w:rPr>
        <w:t>27. 签订合同</w:t>
      </w:r>
      <w:bookmarkEnd w:id="151"/>
      <w:bookmarkEnd w:id="152"/>
    </w:p>
    <w:p>
      <w:pPr>
        <w:spacing w:line="400" w:lineRule="exact"/>
        <w:ind w:firstLine="480" w:firstLineChars="200"/>
        <w:rPr>
          <w:rFonts w:hAnsi="宋体"/>
          <w:sz w:val="24"/>
        </w:rPr>
      </w:pPr>
      <w:r>
        <w:rPr>
          <w:rFonts w:hint="eastAsia" w:hAnsi="宋体"/>
          <w:sz w:val="24"/>
        </w:rPr>
        <w:t>27.1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hAnsi="宋体"/>
          <w:sz w:val="24"/>
        </w:rPr>
      </w:pPr>
      <w:r>
        <w:rPr>
          <w:rFonts w:hint="eastAsia" w:hAnsi="宋体"/>
          <w:sz w:val="24"/>
        </w:rPr>
        <w:t>27.2 采购人不得向中标人提出任何不合理的要求，作为签订合同的条件，不得与中标人私下订立背离合同实质性内容的任何协议，所签订的合同不得对招标文件和中标人投标文件确定的事项进行修改。</w:t>
      </w:r>
    </w:p>
    <w:p>
      <w:pPr>
        <w:spacing w:line="400" w:lineRule="exact"/>
        <w:ind w:firstLine="420" w:firstLineChars="175"/>
        <w:rPr>
          <w:rFonts w:hAnsi="宋体"/>
          <w:sz w:val="24"/>
        </w:rPr>
      </w:pPr>
      <w:r>
        <w:rPr>
          <w:rFonts w:hint="eastAsia" w:hAnsi="宋体"/>
          <w:sz w:val="24"/>
        </w:rPr>
        <w:t>27.3 中标人因不可抗力原因不能履行采购合同或放弃中标的，采购人可以与排在中标人之后第一位的中标候选人签订采购合同，以此类推。</w:t>
      </w:r>
    </w:p>
    <w:p>
      <w:pPr>
        <w:spacing w:line="400" w:lineRule="exact"/>
        <w:ind w:firstLine="420" w:firstLineChars="175"/>
        <w:rPr>
          <w:rFonts w:hAnsi="宋体"/>
          <w:sz w:val="24"/>
        </w:rPr>
      </w:pPr>
      <w:r>
        <w:rPr>
          <w:rFonts w:hint="eastAsia" w:hAnsi="宋体"/>
          <w:sz w:val="24"/>
        </w:rPr>
        <w:t>27.4 中标人在合同签订之后1个工作日内，将签订的合同送招标代理公司。联系人：陈先生，联系电话：</w:t>
      </w:r>
      <w:r>
        <w:rPr>
          <w:rFonts w:hint="eastAsia" w:hAnsi="宋体" w:cs="宋体"/>
          <w:sz w:val="24"/>
        </w:rPr>
        <w:t>028-85001368</w:t>
      </w:r>
      <w:r>
        <w:rPr>
          <w:rFonts w:hint="eastAsia" w:hAnsi="宋体"/>
          <w:sz w:val="24"/>
        </w:rPr>
        <w:t>。</w:t>
      </w:r>
    </w:p>
    <w:p>
      <w:pPr>
        <w:spacing w:line="400" w:lineRule="exact"/>
        <w:ind w:firstLine="480" w:firstLineChars="200"/>
        <w:rPr>
          <w:rFonts w:hAnsi="宋体"/>
          <w:sz w:val="24"/>
        </w:rPr>
      </w:pPr>
      <w:bookmarkStart w:id="153" w:name="_Toc217446066"/>
      <w:r>
        <w:rPr>
          <w:rFonts w:hint="eastAsia" w:hAnsi="宋体"/>
          <w:sz w:val="24"/>
        </w:rPr>
        <w:t>28. 合同分包（实质性要求）</w:t>
      </w:r>
    </w:p>
    <w:p>
      <w:pPr>
        <w:spacing w:line="400" w:lineRule="exact"/>
        <w:ind w:firstLine="420" w:firstLineChars="175"/>
        <w:rPr>
          <w:rFonts w:hAnsi="宋体"/>
          <w:sz w:val="24"/>
        </w:rPr>
      </w:pPr>
      <w:r>
        <w:rPr>
          <w:rFonts w:hint="eastAsia" w:hAnsi="宋体"/>
          <w:sz w:val="24"/>
        </w:rPr>
        <w:t>28.1 本项目禁止分包，否则，应由承包人承担违约责任。</w:t>
      </w:r>
    </w:p>
    <w:p>
      <w:pPr>
        <w:spacing w:line="400" w:lineRule="exact"/>
        <w:ind w:firstLine="480" w:firstLineChars="200"/>
        <w:rPr>
          <w:rFonts w:hAnsi="宋体"/>
          <w:sz w:val="24"/>
        </w:rPr>
      </w:pPr>
      <w:r>
        <w:rPr>
          <w:rFonts w:hint="eastAsia" w:hAnsi="宋体"/>
          <w:sz w:val="24"/>
        </w:rPr>
        <w:t>29.合同转包（实质性要求）</w:t>
      </w:r>
    </w:p>
    <w:p>
      <w:pPr>
        <w:spacing w:line="400" w:lineRule="exact"/>
        <w:ind w:firstLine="540" w:firstLineChars="225"/>
        <w:rPr>
          <w:rFonts w:hAnsi="宋体"/>
          <w:sz w:val="24"/>
        </w:rPr>
      </w:pPr>
      <w:r>
        <w:rPr>
          <w:rFonts w:hint="eastAsia" w:hAnsi="宋体"/>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hAnsi="宋体"/>
          <w:sz w:val="24"/>
        </w:rPr>
      </w:pPr>
      <w:r>
        <w:rPr>
          <w:rFonts w:hint="eastAsia" w:hAnsi="宋体"/>
          <w:sz w:val="24"/>
        </w:rPr>
        <w:t>中标人转包的，视同拒绝履行政府采购合同义务，将依法追究法律责任。</w:t>
      </w:r>
    </w:p>
    <w:p>
      <w:pPr>
        <w:spacing w:line="400" w:lineRule="exact"/>
        <w:ind w:firstLine="480" w:firstLineChars="200"/>
        <w:rPr>
          <w:rFonts w:hAnsi="宋体"/>
          <w:sz w:val="24"/>
        </w:rPr>
      </w:pPr>
      <w:r>
        <w:rPr>
          <w:rFonts w:hint="eastAsia" w:hAnsi="宋体"/>
          <w:sz w:val="24"/>
        </w:rPr>
        <w:t>30.</w:t>
      </w:r>
      <w:bookmarkEnd w:id="153"/>
      <w:r>
        <w:rPr>
          <w:rFonts w:hint="eastAsia" w:hAnsi="宋体"/>
          <w:sz w:val="24"/>
        </w:rPr>
        <w:t>补充合同</w:t>
      </w:r>
    </w:p>
    <w:p>
      <w:pPr>
        <w:spacing w:line="400" w:lineRule="exact"/>
        <w:ind w:firstLine="480" w:firstLineChars="200"/>
        <w:rPr>
          <w:rFonts w:hAnsi="宋体"/>
          <w:sz w:val="24"/>
        </w:rPr>
      </w:pPr>
      <w:r>
        <w:rPr>
          <w:rFonts w:hint="eastAsia" w:hAnsi="宋体"/>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numPr>
          <w:ilvl w:val="0"/>
          <w:numId w:val="2"/>
        </w:numPr>
        <w:spacing w:line="400" w:lineRule="exact"/>
        <w:ind w:firstLine="480" w:firstLineChars="200"/>
        <w:rPr>
          <w:rFonts w:hAnsi="宋体"/>
          <w:sz w:val="24"/>
        </w:rPr>
      </w:pPr>
      <w:bookmarkStart w:id="154" w:name="_Toc308164812"/>
      <w:bookmarkStart w:id="155" w:name="_Toc217446068"/>
      <w:r>
        <w:rPr>
          <w:rFonts w:hint="eastAsia" w:hAnsi="宋体"/>
          <w:sz w:val="24"/>
        </w:rPr>
        <w:t>履约保证金</w:t>
      </w:r>
      <w:bookmarkEnd w:id="154"/>
      <w:bookmarkEnd w:id="155"/>
    </w:p>
    <w:p>
      <w:pPr>
        <w:spacing w:line="400" w:lineRule="exact"/>
        <w:ind w:firstLine="480" w:firstLineChars="200"/>
        <w:rPr>
          <w:rFonts w:hAnsi="宋体"/>
          <w:sz w:val="24"/>
        </w:rPr>
      </w:pPr>
      <w:r>
        <w:rPr>
          <w:rFonts w:hint="eastAsia" w:hAnsi="宋体"/>
          <w:sz w:val="24"/>
        </w:rPr>
        <w:t>31.1 中标人应在合同签订之前交纳招标文件规定数额的履约保证金。</w:t>
      </w:r>
    </w:p>
    <w:p>
      <w:pPr>
        <w:spacing w:line="400" w:lineRule="exact"/>
        <w:ind w:firstLine="480" w:firstLineChars="200"/>
        <w:rPr>
          <w:rFonts w:hAnsi="宋体"/>
          <w:sz w:val="24"/>
        </w:rPr>
      </w:pPr>
      <w:r>
        <w:rPr>
          <w:rFonts w:hint="eastAsia" w:hAnsi="宋体"/>
          <w:sz w:val="24"/>
        </w:rPr>
        <w:t>31.2 如果中标人在规定的合同签订时间内，没有按照招标文件的规定交纳履约保证金，且又无正当理由的，将视为放弃中标。</w:t>
      </w:r>
    </w:p>
    <w:p>
      <w:pPr>
        <w:spacing w:line="400" w:lineRule="exact"/>
        <w:ind w:firstLine="480" w:firstLineChars="200"/>
        <w:rPr>
          <w:rFonts w:hAnsi="宋体"/>
          <w:sz w:val="24"/>
        </w:rPr>
      </w:pPr>
      <w:bookmarkStart w:id="156" w:name="_Toc217446069"/>
      <w:bookmarkStart w:id="157" w:name="_Toc308164813"/>
      <w:r>
        <w:rPr>
          <w:rFonts w:hint="eastAsia" w:hAnsi="宋体"/>
          <w:sz w:val="24"/>
        </w:rPr>
        <w:t>32.合同公告</w:t>
      </w:r>
    </w:p>
    <w:p>
      <w:pPr>
        <w:spacing w:line="360" w:lineRule="auto"/>
        <w:ind w:firstLine="480" w:firstLineChars="200"/>
        <w:rPr>
          <w:rFonts w:hint="eastAsia" w:hAnsi="宋体"/>
          <w:sz w:val="24"/>
          <w:szCs w:val="22"/>
        </w:rPr>
      </w:pPr>
      <w:r>
        <w:rPr>
          <w:rFonts w:hint="eastAsia" w:hAnsi="宋体"/>
          <w:sz w:val="24"/>
        </w:rPr>
        <w:t>采购人应当自政府采购合同签订（双方当事人均已签字盖章）之日起2个工作日内，将政府采购合同</w:t>
      </w:r>
      <w:r>
        <w:rPr>
          <w:rFonts w:hint="eastAsia" w:hAnsi="宋体"/>
          <w:sz w:val="24"/>
          <w:szCs w:val="22"/>
        </w:rPr>
        <w:t>在省级以上人民政府财政部门指定的媒体上公告（四川政府采购网），但政府采购合同中涉及国家秘密、商业秘密的内容除外。</w:t>
      </w:r>
    </w:p>
    <w:p>
      <w:pPr>
        <w:spacing w:line="360" w:lineRule="auto"/>
        <w:ind w:firstLine="480" w:firstLineChars="200"/>
        <w:rPr>
          <w:rFonts w:hint="eastAsia" w:hAnsi="宋体"/>
          <w:sz w:val="24"/>
          <w:szCs w:val="22"/>
        </w:rPr>
      </w:pPr>
      <w:r>
        <w:rPr>
          <w:rFonts w:hint="eastAsia" w:hAnsi="宋体"/>
          <w:sz w:val="24"/>
          <w:szCs w:val="22"/>
        </w:rPr>
        <w:t>33、合同备案</w:t>
      </w:r>
    </w:p>
    <w:p>
      <w:pPr>
        <w:spacing w:line="360" w:lineRule="auto"/>
        <w:ind w:firstLine="480" w:firstLineChars="200"/>
        <w:rPr>
          <w:rFonts w:hint="eastAsia" w:hAnsi="宋体"/>
          <w:sz w:val="24"/>
          <w:szCs w:val="22"/>
        </w:rPr>
      </w:pPr>
      <w:r>
        <w:rPr>
          <w:rFonts w:hint="eastAsia" w:hAnsi="宋体"/>
          <w:sz w:val="24"/>
          <w:szCs w:val="22"/>
        </w:rPr>
        <w:t>采购人应当将政府采购合同副本自签订（双方当事人均已签字盖章）之日起七个工作日内通过四川政府采购网报同级财政部门备案。</w:t>
      </w:r>
    </w:p>
    <w:p>
      <w:pPr>
        <w:spacing w:line="360" w:lineRule="auto"/>
        <w:ind w:firstLine="480" w:firstLineChars="200"/>
        <w:rPr>
          <w:rFonts w:hint="eastAsia" w:hAnsi="宋体"/>
          <w:sz w:val="24"/>
          <w:szCs w:val="22"/>
        </w:rPr>
      </w:pPr>
      <w:r>
        <w:rPr>
          <w:rFonts w:hint="eastAsia" w:hAnsi="宋体"/>
          <w:sz w:val="24"/>
          <w:szCs w:val="22"/>
        </w:rPr>
        <w:t>34. 履行合同</w:t>
      </w:r>
      <w:bookmarkEnd w:id="156"/>
      <w:bookmarkEnd w:id="157"/>
    </w:p>
    <w:p>
      <w:pPr>
        <w:spacing w:line="360" w:lineRule="auto"/>
        <w:ind w:firstLine="480" w:firstLineChars="200"/>
        <w:rPr>
          <w:rFonts w:hint="eastAsia" w:hAnsi="宋体"/>
          <w:sz w:val="24"/>
          <w:szCs w:val="22"/>
        </w:rPr>
      </w:pPr>
      <w:r>
        <w:rPr>
          <w:rFonts w:hint="eastAsia" w:hAnsi="宋体"/>
          <w:sz w:val="24"/>
          <w:szCs w:val="22"/>
        </w:rPr>
        <w:t>34.1 中标人与采购人签订合同后，合同双方应严格执行合同条款，履行合同规定的义务，保证合同的顺利完成。</w:t>
      </w:r>
    </w:p>
    <w:p>
      <w:pPr>
        <w:spacing w:line="360" w:lineRule="auto"/>
        <w:ind w:firstLine="480" w:firstLineChars="200"/>
        <w:rPr>
          <w:rFonts w:hint="eastAsia" w:hAnsi="宋体"/>
          <w:sz w:val="24"/>
          <w:szCs w:val="22"/>
        </w:rPr>
      </w:pPr>
      <w:r>
        <w:rPr>
          <w:rFonts w:hint="eastAsia" w:hAnsi="宋体"/>
          <w:sz w:val="24"/>
          <w:szCs w:val="22"/>
        </w:rPr>
        <w:t>34.2 在合同履行过程中，如发生合同纠纷，合同双方应按照《中华人民共和国民法典》的有关规定进行处理。</w:t>
      </w:r>
    </w:p>
    <w:p>
      <w:pPr>
        <w:spacing w:line="360" w:lineRule="auto"/>
        <w:ind w:firstLine="480" w:firstLineChars="200"/>
        <w:rPr>
          <w:rFonts w:hint="eastAsia" w:hAnsi="宋体"/>
          <w:sz w:val="24"/>
          <w:szCs w:val="22"/>
        </w:rPr>
      </w:pPr>
      <w:bookmarkStart w:id="158" w:name="_Toc217446070"/>
      <w:bookmarkStart w:id="159" w:name="_Toc308164814"/>
      <w:r>
        <w:rPr>
          <w:rFonts w:hint="eastAsia" w:hAnsi="宋体"/>
          <w:sz w:val="24"/>
          <w:szCs w:val="22"/>
        </w:rPr>
        <w:t>35. 验收</w:t>
      </w:r>
      <w:bookmarkEnd w:id="158"/>
      <w:bookmarkEnd w:id="159"/>
      <w:r>
        <w:rPr>
          <w:rFonts w:hint="eastAsia" w:hAnsi="宋体"/>
          <w:sz w:val="24"/>
          <w:szCs w:val="22"/>
        </w:rPr>
        <w:t>（实质性要求）</w:t>
      </w:r>
    </w:p>
    <w:p>
      <w:pPr>
        <w:spacing w:line="360" w:lineRule="auto"/>
        <w:ind w:firstLine="480" w:firstLineChars="200"/>
        <w:rPr>
          <w:rFonts w:hint="eastAsia" w:hAnsi="宋体"/>
          <w:sz w:val="24"/>
          <w:szCs w:val="22"/>
        </w:rPr>
      </w:pPr>
      <w:bookmarkStart w:id="160" w:name="_Toc217446077"/>
      <w:bookmarkStart w:id="161" w:name="_Toc308164818"/>
      <w:bookmarkStart w:id="162" w:name="_Toc217446071"/>
      <w:r>
        <w:rPr>
          <w:rFonts w:hint="eastAsia" w:hAnsi="宋体"/>
          <w:sz w:val="24"/>
          <w:szCs w:val="22"/>
        </w:rPr>
        <w:t>按国家有关规定</w:t>
      </w:r>
      <w:r>
        <w:rPr>
          <w:rFonts w:hint="eastAsia" w:hAnsi="宋体"/>
          <w:sz w:val="24"/>
          <w:szCs w:val="22"/>
          <w:lang w:eastAsia="zh-CN"/>
        </w:rPr>
        <w:t>（</w:t>
      </w:r>
      <w:r>
        <w:rPr>
          <w:rFonts w:hint="eastAsia" w:hAnsi="宋体"/>
          <w:sz w:val="24"/>
          <w:szCs w:val="22"/>
        </w:rPr>
        <w:t>财库〔2016〕205 号</w:t>
      </w:r>
      <w:r>
        <w:rPr>
          <w:rFonts w:hint="eastAsia" w:hAnsi="宋体"/>
          <w:sz w:val="24"/>
          <w:szCs w:val="22"/>
          <w:lang w:eastAsia="zh-CN"/>
        </w:rPr>
        <w:t>）</w:t>
      </w:r>
      <w:r>
        <w:rPr>
          <w:rFonts w:hint="eastAsia" w:hAnsi="宋体"/>
          <w:sz w:val="24"/>
          <w:szCs w:val="22"/>
        </w:rPr>
        <w:t>以及采购文件的质量要求和技术指标、供应商的投标文件及承诺与本合同约定标准进行验收。</w:t>
      </w:r>
    </w:p>
    <w:p>
      <w:pPr>
        <w:spacing w:line="360" w:lineRule="auto"/>
        <w:ind w:firstLine="480" w:firstLineChars="200"/>
        <w:rPr>
          <w:rFonts w:hint="eastAsia" w:hAnsi="宋体"/>
          <w:sz w:val="24"/>
          <w:szCs w:val="22"/>
        </w:rPr>
      </w:pPr>
      <w:r>
        <w:rPr>
          <w:rFonts w:hint="eastAsia" w:hAnsi="宋体"/>
          <w:sz w:val="24"/>
          <w:szCs w:val="22"/>
        </w:rPr>
        <w:t>36.资金支付</w:t>
      </w:r>
      <w:bookmarkEnd w:id="160"/>
      <w:bookmarkEnd w:id="161"/>
    </w:p>
    <w:p>
      <w:pPr>
        <w:pStyle w:val="61"/>
        <w:tabs>
          <w:tab w:val="left" w:pos="1134"/>
        </w:tabs>
        <w:spacing w:line="360" w:lineRule="auto"/>
        <w:ind w:firstLine="480" w:firstLineChars="200"/>
        <w:rPr>
          <w:rFonts w:ascii="宋体" w:hAnsi="宋体" w:eastAsia="宋体"/>
          <w:color w:val="auto"/>
        </w:rPr>
      </w:pPr>
      <w:r>
        <w:rPr>
          <w:rFonts w:hint="eastAsia" w:ascii="宋体" w:hAnsi="宋体" w:eastAsia="宋体"/>
          <w:color w:val="auto"/>
        </w:rPr>
        <w:t>采购人将按照政府采购合同规定，及时向中标供应商支付采购资金。</w:t>
      </w:r>
    </w:p>
    <w:p>
      <w:pPr>
        <w:spacing w:line="400" w:lineRule="exact"/>
        <w:ind w:firstLine="480" w:firstLineChars="200"/>
        <w:rPr>
          <w:rFonts w:hAnsi="宋体"/>
          <w:sz w:val="24"/>
        </w:rPr>
      </w:pPr>
    </w:p>
    <w:bookmarkEnd w:id="149"/>
    <w:bookmarkEnd w:id="150"/>
    <w:bookmarkEnd w:id="162"/>
    <w:p>
      <w:pPr>
        <w:spacing w:line="400" w:lineRule="exact"/>
        <w:ind w:firstLine="560" w:firstLineChars="200"/>
        <w:jc w:val="center"/>
        <w:rPr>
          <w:rFonts w:hAnsi="宋体"/>
          <w:sz w:val="28"/>
          <w:szCs w:val="28"/>
        </w:rPr>
      </w:pPr>
      <w:bookmarkStart w:id="163" w:name="_Toc308164815"/>
      <w:bookmarkStart w:id="164" w:name="_Toc25301"/>
      <w:bookmarkStart w:id="165" w:name="_Toc217446074"/>
      <w:bookmarkStart w:id="166" w:name="_Toc183582243"/>
      <w:bookmarkStart w:id="167" w:name="_Toc183682380"/>
      <w:r>
        <w:rPr>
          <w:rFonts w:hint="eastAsia" w:hAnsi="宋体"/>
          <w:sz w:val="28"/>
          <w:szCs w:val="28"/>
        </w:rPr>
        <w:t>七、投标纪律要求</w:t>
      </w:r>
      <w:bookmarkEnd w:id="163"/>
      <w:bookmarkEnd w:id="164"/>
      <w:bookmarkEnd w:id="165"/>
    </w:p>
    <w:p>
      <w:pPr>
        <w:spacing w:line="400" w:lineRule="exact"/>
        <w:ind w:firstLine="480" w:firstLineChars="200"/>
        <w:rPr>
          <w:rFonts w:hAnsi="宋体"/>
          <w:bCs/>
          <w:sz w:val="24"/>
        </w:rPr>
      </w:pPr>
      <w:bookmarkStart w:id="168" w:name="_Toc217446075"/>
      <w:bookmarkStart w:id="169" w:name="_Toc308164816"/>
      <w:r>
        <w:rPr>
          <w:rFonts w:hint="eastAsia" w:hAnsi="宋体"/>
          <w:sz w:val="24"/>
        </w:rPr>
        <w:t xml:space="preserve">37. </w:t>
      </w:r>
      <w:r>
        <w:rPr>
          <w:rFonts w:hint="eastAsia" w:hAnsi="宋体"/>
          <w:bCs/>
          <w:sz w:val="24"/>
        </w:rPr>
        <w:t>投标人不得具有的情形</w:t>
      </w:r>
      <w:bookmarkEnd w:id="168"/>
      <w:bookmarkEnd w:id="169"/>
    </w:p>
    <w:p>
      <w:pPr>
        <w:pStyle w:val="14"/>
        <w:spacing w:line="400" w:lineRule="exact"/>
        <w:ind w:firstLine="480"/>
        <w:rPr>
          <w:rFonts w:hAnsi="宋体"/>
          <w:sz w:val="24"/>
        </w:rPr>
      </w:pPr>
      <w:r>
        <w:rPr>
          <w:rFonts w:hint="eastAsia" w:hAnsi="宋体"/>
          <w:sz w:val="24"/>
        </w:rPr>
        <w:t>投标人参加本项目投标不得有下列情形：</w:t>
      </w:r>
    </w:p>
    <w:p>
      <w:pPr>
        <w:spacing w:line="400" w:lineRule="exact"/>
        <w:ind w:firstLine="460" w:firstLineChars="192"/>
        <w:rPr>
          <w:rFonts w:hAnsi="宋体"/>
          <w:sz w:val="24"/>
        </w:rPr>
      </w:pPr>
      <w:r>
        <w:rPr>
          <w:rFonts w:hint="eastAsia" w:hAnsi="宋体"/>
          <w:sz w:val="24"/>
        </w:rPr>
        <w:t>（1）提供虚假材料谋取中标；</w:t>
      </w:r>
    </w:p>
    <w:p>
      <w:pPr>
        <w:spacing w:line="400" w:lineRule="exact"/>
        <w:ind w:firstLine="460" w:firstLineChars="192"/>
        <w:rPr>
          <w:rFonts w:hAnsi="宋体"/>
          <w:sz w:val="24"/>
        </w:rPr>
      </w:pPr>
      <w:r>
        <w:rPr>
          <w:rFonts w:hint="eastAsia" w:hAnsi="宋体"/>
          <w:sz w:val="24"/>
        </w:rPr>
        <w:t>（2）采取不正当手段诋毁、排挤其他投标人；</w:t>
      </w:r>
    </w:p>
    <w:p>
      <w:pPr>
        <w:spacing w:line="400" w:lineRule="exact"/>
        <w:ind w:firstLine="480" w:firstLineChars="200"/>
        <w:rPr>
          <w:rFonts w:hAnsi="宋体"/>
          <w:sz w:val="24"/>
        </w:rPr>
      </w:pPr>
      <w:r>
        <w:rPr>
          <w:rFonts w:hint="eastAsia" w:hAnsi="宋体"/>
          <w:sz w:val="24"/>
        </w:rPr>
        <w:t>（3）与招标采购单位、其他投标人恶意串通；</w:t>
      </w:r>
    </w:p>
    <w:p>
      <w:pPr>
        <w:spacing w:line="400" w:lineRule="exact"/>
        <w:ind w:left="425" w:leftChars="125"/>
        <w:rPr>
          <w:rFonts w:hAnsi="宋体"/>
          <w:sz w:val="24"/>
        </w:rPr>
      </w:pPr>
      <w:r>
        <w:rPr>
          <w:rFonts w:hint="eastAsia" w:hAnsi="宋体"/>
          <w:sz w:val="24"/>
        </w:rPr>
        <w:t>（4）向招标采购单位、评标委员会成员行贿或者提供其他不正当利益；</w:t>
      </w:r>
    </w:p>
    <w:p>
      <w:pPr>
        <w:spacing w:line="400" w:lineRule="exact"/>
        <w:ind w:firstLine="460" w:firstLineChars="192"/>
        <w:rPr>
          <w:rFonts w:hAnsi="宋体"/>
          <w:sz w:val="24"/>
        </w:rPr>
      </w:pPr>
      <w:r>
        <w:rPr>
          <w:rFonts w:hint="eastAsia" w:hAnsi="宋体"/>
          <w:sz w:val="24"/>
        </w:rPr>
        <w:t>（5）在招标过程中与招标采购单位进行协商谈判；</w:t>
      </w:r>
    </w:p>
    <w:p>
      <w:pPr>
        <w:spacing w:line="400" w:lineRule="exact"/>
        <w:ind w:firstLine="460" w:firstLineChars="192"/>
        <w:rPr>
          <w:rFonts w:hAnsi="宋体"/>
          <w:sz w:val="24"/>
        </w:rPr>
      </w:pPr>
      <w:r>
        <w:rPr>
          <w:rFonts w:hint="eastAsia" w:hAnsi="宋体"/>
          <w:sz w:val="24"/>
        </w:rPr>
        <w:t>（6）中标或者成交后无正当理由拒不与采购人签订政府采购合同；</w:t>
      </w:r>
    </w:p>
    <w:p>
      <w:pPr>
        <w:spacing w:line="400" w:lineRule="exact"/>
        <w:ind w:firstLine="480" w:firstLineChars="200"/>
        <w:rPr>
          <w:rFonts w:hAnsi="宋体"/>
          <w:sz w:val="24"/>
        </w:rPr>
      </w:pPr>
      <w:r>
        <w:rPr>
          <w:rFonts w:hint="eastAsia" w:hAnsi="宋体"/>
          <w:sz w:val="24"/>
        </w:rPr>
        <w:t>（7）未按照采购文件确定的事项签订政府采购合同；</w:t>
      </w:r>
    </w:p>
    <w:p>
      <w:pPr>
        <w:spacing w:line="400" w:lineRule="exact"/>
        <w:ind w:firstLine="480" w:firstLineChars="200"/>
        <w:rPr>
          <w:rFonts w:hAnsi="宋体"/>
          <w:sz w:val="24"/>
        </w:rPr>
      </w:pPr>
      <w:r>
        <w:rPr>
          <w:rFonts w:hint="eastAsia" w:hAnsi="宋体"/>
          <w:sz w:val="24"/>
        </w:rPr>
        <w:t>（8）将政府采购合同转包或者违规分包；</w:t>
      </w:r>
    </w:p>
    <w:p>
      <w:pPr>
        <w:spacing w:line="400" w:lineRule="exact"/>
        <w:ind w:firstLine="480" w:firstLineChars="200"/>
        <w:rPr>
          <w:rFonts w:hAnsi="宋体"/>
          <w:sz w:val="24"/>
        </w:rPr>
      </w:pPr>
      <w:r>
        <w:rPr>
          <w:rFonts w:hint="eastAsia" w:hAnsi="宋体"/>
          <w:sz w:val="24"/>
        </w:rPr>
        <w:t>（9）提供假冒伪劣产品；</w:t>
      </w:r>
    </w:p>
    <w:p>
      <w:pPr>
        <w:spacing w:line="400" w:lineRule="exact"/>
        <w:ind w:firstLine="480" w:firstLineChars="200"/>
        <w:rPr>
          <w:rFonts w:hAnsi="宋体"/>
          <w:sz w:val="24"/>
        </w:rPr>
      </w:pPr>
      <w:r>
        <w:rPr>
          <w:rFonts w:hint="eastAsia" w:hAnsi="宋体"/>
          <w:sz w:val="24"/>
        </w:rPr>
        <w:t>（10）擅自变更、中止或者终止政府采购合同；</w:t>
      </w:r>
    </w:p>
    <w:p>
      <w:pPr>
        <w:spacing w:line="400" w:lineRule="exact"/>
        <w:ind w:firstLine="460" w:firstLineChars="192"/>
        <w:rPr>
          <w:rFonts w:hAnsi="宋体"/>
          <w:sz w:val="24"/>
        </w:rPr>
      </w:pPr>
      <w:r>
        <w:rPr>
          <w:rFonts w:hint="eastAsia" w:hAnsi="宋体"/>
          <w:sz w:val="24"/>
        </w:rPr>
        <w:t>（11）拒绝有关部门的监督检查或者向监督检查部门提供虚假情况；</w:t>
      </w:r>
    </w:p>
    <w:p>
      <w:pPr>
        <w:spacing w:line="400" w:lineRule="exact"/>
        <w:ind w:firstLine="460" w:firstLineChars="192"/>
        <w:rPr>
          <w:rFonts w:hAnsi="宋体"/>
          <w:sz w:val="24"/>
        </w:rPr>
      </w:pPr>
      <w:r>
        <w:rPr>
          <w:rFonts w:hint="eastAsia" w:hAnsi="宋体"/>
          <w:sz w:val="24"/>
        </w:rPr>
        <w:t>（12）为本招标项目前期准备提供设计或咨询服务的；</w:t>
      </w:r>
    </w:p>
    <w:p>
      <w:pPr>
        <w:spacing w:line="400" w:lineRule="exact"/>
        <w:ind w:firstLine="460" w:firstLineChars="192"/>
        <w:rPr>
          <w:rFonts w:hAnsi="宋体"/>
          <w:sz w:val="24"/>
        </w:rPr>
      </w:pPr>
      <w:r>
        <w:rPr>
          <w:rFonts w:hint="eastAsia" w:hAnsi="宋体"/>
          <w:sz w:val="24"/>
        </w:rPr>
        <w:t>（13）为本招标项目的招标代理单位；</w:t>
      </w:r>
    </w:p>
    <w:p>
      <w:pPr>
        <w:spacing w:line="400" w:lineRule="exact"/>
        <w:ind w:firstLine="460" w:firstLineChars="192"/>
        <w:rPr>
          <w:rFonts w:hAnsi="宋体"/>
          <w:sz w:val="24"/>
        </w:rPr>
      </w:pPr>
      <w:r>
        <w:rPr>
          <w:rFonts w:hint="eastAsia" w:hAnsi="宋体"/>
          <w:sz w:val="24"/>
        </w:rPr>
        <w:t>（14）为本招标项目的监理单位；</w:t>
      </w:r>
    </w:p>
    <w:p>
      <w:pPr>
        <w:spacing w:line="400" w:lineRule="exact"/>
        <w:ind w:firstLine="460" w:firstLineChars="192"/>
        <w:rPr>
          <w:rFonts w:hAnsi="宋体"/>
          <w:sz w:val="24"/>
        </w:rPr>
      </w:pPr>
      <w:r>
        <w:rPr>
          <w:rFonts w:hint="eastAsia" w:hAnsi="宋体"/>
          <w:sz w:val="24"/>
        </w:rPr>
        <w:t>（15）为本招标项目的代建单位；</w:t>
      </w:r>
    </w:p>
    <w:p>
      <w:pPr>
        <w:spacing w:line="400" w:lineRule="exact"/>
        <w:ind w:firstLine="460" w:firstLineChars="192"/>
        <w:rPr>
          <w:rFonts w:hAnsi="宋体"/>
          <w:sz w:val="24"/>
        </w:rPr>
      </w:pPr>
      <w:r>
        <w:rPr>
          <w:rFonts w:hint="eastAsia" w:hAnsi="宋体"/>
          <w:sz w:val="24"/>
        </w:rPr>
        <w:t>（16）与以上单位同为一个法定代表人的；</w:t>
      </w:r>
    </w:p>
    <w:p>
      <w:pPr>
        <w:spacing w:line="400" w:lineRule="exact"/>
        <w:ind w:firstLine="460" w:firstLineChars="192"/>
        <w:rPr>
          <w:rFonts w:hAnsi="宋体"/>
          <w:sz w:val="24"/>
        </w:rPr>
      </w:pPr>
      <w:r>
        <w:rPr>
          <w:rFonts w:hint="eastAsia" w:hAnsi="宋体"/>
          <w:sz w:val="24"/>
        </w:rPr>
        <w:t>（17）与以上单位相互控股或参股的；</w:t>
      </w:r>
    </w:p>
    <w:p>
      <w:pPr>
        <w:spacing w:line="400" w:lineRule="exact"/>
        <w:ind w:firstLine="460" w:firstLineChars="192"/>
        <w:rPr>
          <w:rFonts w:hAnsi="宋体"/>
          <w:sz w:val="24"/>
        </w:rPr>
      </w:pPr>
      <w:r>
        <w:rPr>
          <w:rFonts w:hint="eastAsia" w:hAnsi="宋体"/>
          <w:sz w:val="24"/>
        </w:rPr>
        <w:t>（18）参加本政府采购项目前三年内，在经营活动中有重大违法记录的；</w:t>
      </w:r>
    </w:p>
    <w:p>
      <w:pPr>
        <w:spacing w:line="400" w:lineRule="exact"/>
        <w:ind w:firstLine="460" w:firstLineChars="192"/>
        <w:rPr>
          <w:rFonts w:hAnsi="宋体"/>
          <w:sz w:val="24"/>
        </w:rPr>
      </w:pPr>
      <w:r>
        <w:rPr>
          <w:rFonts w:hint="eastAsia" w:hAnsi="宋体"/>
          <w:sz w:val="24"/>
        </w:rPr>
        <w:t>（19）单位负责人为同一人或者存在直接控股、管理关系的不同单位，不得参加同一包投标或者在未分包的同一招标项目中投标。</w:t>
      </w:r>
    </w:p>
    <w:p>
      <w:pPr>
        <w:spacing w:line="400" w:lineRule="exact"/>
        <w:ind w:firstLine="460" w:firstLineChars="192"/>
        <w:rPr>
          <w:rFonts w:hAnsi="宋体"/>
          <w:sz w:val="24"/>
        </w:rPr>
      </w:pPr>
      <w:r>
        <w:rPr>
          <w:rFonts w:hint="eastAsia" w:hAnsi="宋体"/>
          <w:sz w:val="24"/>
        </w:rPr>
        <w:t>（20）为采购人的附属机构，或与采购人存在利害关系可能影响招标公正性的；</w:t>
      </w:r>
    </w:p>
    <w:p>
      <w:pPr>
        <w:spacing w:line="400" w:lineRule="exact"/>
        <w:ind w:firstLine="460" w:firstLineChars="192"/>
        <w:rPr>
          <w:rFonts w:hAnsi="宋体"/>
          <w:sz w:val="24"/>
        </w:rPr>
      </w:pPr>
      <w:r>
        <w:rPr>
          <w:rFonts w:hint="eastAsia" w:hAnsi="宋体"/>
          <w:sz w:val="24"/>
        </w:rPr>
        <w:t>（21）法律法规规定的其他情形。</w:t>
      </w:r>
    </w:p>
    <w:p>
      <w:pPr>
        <w:spacing w:line="400" w:lineRule="exact"/>
        <w:ind w:firstLine="480" w:firstLineChars="200"/>
        <w:rPr>
          <w:rFonts w:hAnsi="宋体"/>
          <w:sz w:val="24"/>
        </w:rPr>
      </w:pPr>
      <w:r>
        <w:rPr>
          <w:rFonts w:hint="eastAsia" w:hAnsi="宋体"/>
          <w:sz w:val="24"/>
        </w:rPr>
        <w:t>投标人有上述情形的，按照规定追究法律责任，具备（1）-（10）条情形之一的，同时将取消中标资格或者认定中标无效。</w:t>
      </w:r>
    </w:p>
    <w:p>
      <w:pPr>
        <w:spacing w:line="400" w:lineRule="exact"/>
        <w:ind w:firstLine="560" w:firstLineChars="200"/>
        <w:jc w:val="center"/>
        <w:rPr>
          <w:rFonts w:hAnsi="宋体"/>
          <w:sz w:val="28"/>
          <w:szCs w:val="28"/>
        </w:rPr>
      </w:pPr>
      <w:bookmarkStart w:id="170" w:name="_Toc308164819"/>
      <w:bookmarkStart w:id="171" w:name="_Toc28512"/>
      <w:bookmarkStart w:id="172" w:name="_Toc217446078"/>
      <w:r>
        <w:rPr>
          <w:rFonts w:hint="eastAsia" w:hAnsi="宋体"/>
          <w:sz w:val="28"/>
          <w:szCs w:val="28"/>
        </w:rPr>
        <w:t>八、询问、质疑和投诉</w:t>
      </w:r>
      <w:bookmarkEnd w:id="170"/>
      <w:bookmarkEnd w:id="171"/>
      <w:bookmarkEnd w:id="172"/>
      <w:bookmarkStart w:id="173" w:name="_Toc217446079"/>
    </w:p>
    <w:bookmarkEnd w:id="166"/>
    <w:bookmarkEnd w:id="167"/>
    <w:bookmarkEnd w:id="173"/>
    <w:p>
      <w:pPr>
        <w:widowControl/>
        <w:spacing w:line="360" w:lineRule="atLeast"/>
        <w:ind w:firstLine="470" w:firstLineChars="196"/>
        <w:jc w:val="left"/>
        <w:rPr>
          <w:rFonts w:hAnsi="宋体"/>
          <w:sz w:val="24"/>
        </w:rPr>
      </w:pPr>
      <w:r>
        <w:rPr>
          <w:rFonts w:hint="eastAsia" w:hAnsi="宋体"/>
          <w:sz w:val="24"/>
        </w:rPr>
        <w:t>38.询问、质疑、投诉的接收和处理严格按照《中华人</w:t>
      </w:r>
      <w:r>
        <w:rPr>
          <w:rFonts w:hint="eastAsia" w:hAnsi="宋体"/>
          <w:sz w:val="24"/>
          <w:lang w:eastAsia="zh-CN"/>
        </w:rPr>
        <w:t>民</w:t>
      </w:r>
      <w:r>
        <w:rPr>
          <w:rFonts w:hint="eastAsia" w:hAnsi="宋体"/>
          <w:sz w:val="24"/>
        </w:rPr>
        <w:t>共和国政府采购法》、《中华人民共和国政府采购法实施条例》、《政府采购货物和服务招标投标管理办法》、《政府采购</w:t>
      </w:r>
      <w:r>
        <w:rPr>
          <w:rFonts w:hint="eastAsia" w:hAnsi="宋体"/>
          <w:sz w:val="24"/>
          <w:lang w:eastAsia="zh-CN"/>
        </w:rPr>
        <w:t>质疑和</w:t>
      </w:r>
      <w:r>
        <w:rPr>
          <w:rFonts w:hint="eastAsia" w:hAnsi="宋体"/>
          <w:sz w:val="24"/>
        </w:rPr>
        <w:t>投诉办法》</w:t>
      </w:r>
      <w:r>
        <w:rPr>
          <w:rFonts w:hint="eastAsia" w:hAnsi="宋体"/>
          <w:sz w:val="24"/>
          <w:lang w:eastAsia="zh-CN"/>
        </w:rPr>
        <w:t>等法律法规相关</w:t>
      </w:r>
      <w:r>
        <w:rPr>
          <w:rFonts w:hint="eastAsia" w:hAnsi="宋体"/>
          <w:sz w:val="24"/>
        </w:rPr>
        <w:t>规定办理（详细规定请在四川政府采购网政策法规模块查询）。</w:t>
      </w:r>
    </w:p>
    <w:p>
      <w:pPr>
        <w:pStyle w:val="61"/>
        <w:rPr>
          <w:color w:val="auto"/>
        </w:rPr>
      </w:pPr>
    </w:p>
    <w:p>
      <w:pPr>
        <w:spacing w:line="400" w:lineRule="exact"/>
        <w:jc w:val="center"/>
        <w:rPr>
          <w:rFonts w:hAnsi="宋体"/>
          <w:sz w:val="28"/>
          <w:szCs w:val="28"/>
        </w:rPr>
      </w:pPr>
      <w:bookmarkStart w:id="174" w:name="_Toc8952"/>
      <w:r>
        <w:rPr>
          <w:rFonts w:hint="eastAsia" w:hAnsi="宋体"/>
          <w:sz w:val="28"/>
          <w:szCs w:val="28"/>
        </w:rPr>
        <w:t>九、其他</w:t>
      </w:r>
      <w:bookmarkEnd w:id="174"/>
    </w:p>
    <w:p>
      <w:pPr>
        <w:widowControl/>
        <w:spacing w:line="360" w:lineRule="atLeast"/>
        <w:ind w:firstLine="480" w:firstLineChars="200"/>
        <w:jc w:val="left"/>
        <w:rPr>
          <w:rFonts w:hAnsi="宋体"/>
          <w:b/>
          <w:sz w:val="24"/>
        </w:rPr>
      </w:pPr>
      <w:r>
        <w:rPr>
          <w:rFonts w:hint="eastAsia" w:hAnsi="宋体"/>
          <w:sz w:val="24"/>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bookmarkStart w:id="175" w:name="_Toc217446083"/>
    </w:p>
    <w:p>
      <w:pPr>
        <w:spacing w:line="240" w:lineRule="atLeast"/>
        <w:jc w:val="center"/>
        <w:outlineLvl w:val="0"/>
        <w:rPr>
          <w:rFonts w:hAnsi="宋体"/>
          <w:sz w:val="36"/>
          <w:szCs w:val="36"/>
        </w:rPr>
      </w:pPr>
      <w:r>
        <w:rPr>
          <w:rFonts w:hAnsi="宋体"/>
          <w:b/>
          <w:bCs/>
          <w:sz w:val="36"/>
          <w:szCs w:val="36"/>
        </w:rPr>
        <w:br w:type="page"/>
      </w:r>
      <w:bookmarkStart w:id="176" w:name="_Toc10285"/>
      <w:bookmarkStart w:id="177" w:name="_Toc510520084"/>
      <w:bookmarkStart w:id="178" w:name="_Toc16980"/>
      <w:bookmarkStart w:id="179" w:name="_Toc16737"/>
      <w:bookmarkStart w:id="180" w:name="_Toc11112"/>
      <w:bookmarkStart w:id="181" w:name="_Toc20401"/>
      <w:bookmarkStart w:id="182" w:name="_Toc10013"/>
      <w:bookmarkStart w:id="183" w:name="_Toc16370"/>
      <w:r>
        <w:rPr>
          <w:rFonts w:hint="eastAsia" w:hAnsi="宋体"/>
          <w:sz w:val="36"/>
          <w:szCs w:val="36"/>
        </w:rPr>
        <w:t>第三章投标文件格式</w:t>
      </w:r>
      <w:bookmarkEnd w:id="176"/>
      <w:bookmarkEnd w:id="177"/>
      <w:bookmarkEnd w:id="178"/>
      <w:bookmarkEnd w:id="179"/>
      <w:bookmarkEnd w:id="180"/>
      <w:bookmarkEnd w:id="181"/>
      <w:bookmarkEnd w:id="182"/>
      <w:bookmarkEnd w:id="183"/>
      <w:bookmarkStart w:id="184" w:name="_Toc217446082"/>
      <w:bookmarkStart w:id="185" w:name="_Toc308164821"/>
    </w:p>
    <w:p>
      <w:pPr>
        <w:widowControl/>
        <w:spacing w:line="360" w:lineRule="atLeast"/>
        <w:rPr>
          <w:rFonts w:hAnsi="宋体"/>
          <w:sz w:val="24"/>
        </w:rPr>
      </w:pPr>
    </w:p>
    <w:p>
      <w:pPr>
        <w:widowControl/>
        <w:spacing w:line="360" w:lineRule="atLeast"/>
        <w:ind w:firstLine="480" w:firstLineChars="200"/>
        <w:rPr>
          <w:rFonts w:hAnsi="宋体"/>
          <w:sz w:val="24"/>
        </w:rPr>
      </w:pPr>
      <w:r>
        <w:rPr>
          <w:rFonts w:hint="eastAsia" w:hAnsi="宋体"/>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widowControl/>
        <w:spacing w:line="360" w:lineRule="atLeast"/>
        <w:ind w:firstLine="470" w:firstLineChars="196"/>
        <w:rPr>
          <w:rFonts w:hAnsi="宋体"/>
          <w:sz w:val="24"/>
        </w:rPr>
      </w:pPr>
      <w:r>
        <w:rPr>
          <w:rFonts w:hint="eastAsia" w:hAnsi="宋体"/>
          <w:sz w:val="24"/>
        </w:rPr>
        <w:t>二、本章所制投标文件格式有关表格中的备注栏，由投标人根据自身投标情况作解释性说明，不作为必填项。</w:t>
      </w:r>
    </w:p>
    <w:p>
      <w:pPr>
        <w:widowControl/>
        <w:spacing w:line="360" w:lineRule="atLeast"/>
        <w:ind w:firstLine="470" w:firstLineChars="196"/>
        <w:rPr>
          <w:rFonts w:hAnsi="宋体"/>
          <w:sz w:val="24"/>
        </w:rPr>
      </w:pPr>
      <w:r>
        <w:rPr>
          <w:rFonts w:hint="eastAsia" w:hAnsi="宋体"/>
          <w:sz w:val="24"/>
        </w:rPr>
        <w:t>三、本章所制投标文件格式中需要填写的相关内容事项，可能会与本采购项目无关，在不改变投标文件原义、不影响本项目采购需求的情况下，投标人可以不予填写，但应当注明。</w:t>
      </w:r>
    </w:p>
    <w:p>
      <w:pPr>
        <w:widowControl/>
        <w:spacing w:line="360" w:lineRule="atLeast"/>
        <w:ind w:firstLine="470" w:firstLineChars="196"/>
        <w:rPr>
          <w:rFonts w:hAnsi="宋体"/>
          <w:sz w:val="24"/>
        </w:rPr>
      </w:pPr>
    </w:p>
    <w:p>
      <w:pPr>
        <w:widowControl/>
        <w:spacing w:line="360" w:lineRule="atLeast"/>
        <w:ind w:firstLine="470" w:firstLineChars="196"/>
        <w:rPr>
          <w:rFonts w:hAnsi="宋体"/>
          <w:sz w:val="24"/>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jc w:val="center"/>
        <w:rPr>
          <w:rFonts w:hAnsi="宋体"/>
          <w:b/>
          <w:sz w:val="32"/>
          <w:szCs w:val="32"/>
        </w:rPr>
      </w:pPr>
    </w:p>
    <w:p>
      <w:pPr>
        <w:widowControl/>
        <w:spacing w:line="360" w:lineRule="atLeast"/>
        <w:rPr>
          <w:rFonts w:hAnsi="宋体"/>
          <w:b/>
          <w:sz w:val="52"/>
          <w:szCs w:val="52"/>
        </w:rPr>
      </w:pPr>
      <w:r>
        <w:rPr>
          <w:rFonts w:hint="eastAsia" w:hAnsi="宋体"/>
          <w:b/>
          <w:sz w:val="52"/>
          <w:szCs w:val="52"/>
        </w:rPr>
        <w:t>封面：</w:t>
      </w:r>
    </w:p>
    <w:p>
      <w:pPr>
        <w:pStyle w:val="61"/>
        <w:rPr>
          <w:rFonts w:ascii="宋体" w:hAnsi="宋体"/>
          <w:b/>
          <w:color w:val="auto"/>
          <w:sz w:val="52"/>
          <w:szCs w:val="52"/>
        </w:rPr>
      </w:pPr>
    </w:p>
    <w:p>
      <w:pPr>
        <w:rPr>
          <w:rFonts w:hint="eastAsia" w:hAnsi="宋体" w:cs="宋体"/>
          <w:sz w:val="44"/>
          <w:szCs w:val="44"/>
        </w:rPr>
      </w:pPr>
      <w:r>
        <w:rPr>
          <w:rFonts w:hint="eastAsia" w:hAnsi="宋体" w:cs="宋体"/>
          <w:sz w:val="44"/>
          <w:szCs w:val="44"/>
        </w:rPr>
        <w:t>项目名称：</w:t>
      </w:r>
    </w:p>
    <w:p>
      <w:pPr>
        <w:rPr>
          <w:rFonts w:hint="eastAsia" w:hAnsi="宋体" w:cs="宋体"/>
          <w:sz w:val="44"/>
          <w:szCs w:val="44"/>
        </w:rPr>
      </w:pPr>
      <w:r>
        <w:rPr>
          <w:rFonts w:hint="eastAsia" w:hAnsi="宋体" w:cs="宋体"/>
          <w:sz w:val="44"/>
          <w:szCs w:val="44"/>
        </w:rPr>
        <w:t>项目编号：</w:t>
      </w:r>
    </w:p>
    <w:p>
      <w:pPr>
        <w:rPr>
          <w:rFonts w:hint="eastAsia" w:ascii="宋体" w:hAnsi="宋体" w:eastAsia="宋体" w:cs="宋体"/>
          <w:color w:val="auto"/>
          <w:sz w:val="52"/>
          <w:szCs w:val="52"/>
          <w:lang w:eastAsia="zh-CN"/>
        </w:rPr>
      </w:pPr>
      <w:r>
        <w:rPr>
          <w:rFonts w:hint="eastAsia" w:hAnsi="宋体" w:cs="宋体"/>
          <w:sz w:val="44"/>
          <w:szCs w:val="44"/>
          <w:lang w:eastAsia="zh-CN"/>
        </w:rPr>
        <w:t>包件号：</w:t>
      </w:r>
    </w:p>
    <w:p>
      <w:pPr>
        <w:pStyle w:val="61"/>
        <w:rPr>
          <w:rFonts w:ascii="宋体" w:hAnsi="宋体" w:eastAsia="宋体" w:cs="宋体"/>
          <w:color w:val="auto"/>
          <w:sz w:val="52"/>
          <w:szCs w:val="52"/>
        </w:rPr>
      </w:pPr>
    </w:p>
    <w:p>
      <w:pPr>
        <w:pStyle w:val="61"/>
        <w:rPr>
          <w:rFonts w:ascii="宋体" w:hAnsi="宋体" w:eastAsia="宋体" w:cs="宋体"/>
          <w:color w:val="auto"/>
          <w:sz w:val="52"/>
          <w:szCs w:val="52"/>
        </w:rPr>
      </w:pPr>
    </w:p>
    <w:p>
      <w:pPr>
        <w:jc w:val="center"/>
        <w:rPr>
          <w:rFonts w:hAnsi="宋体" w:cs="宋体"/>
          <w:sz w:val="72"/>
          <w:szCs w:val="72"/>
        </w:rPr>
      </w:pPr>
      <w:r>
        <w:rPr>
          <w:rFonts w:hint="eastAsia" w:hAnsi="宋体" w:cs="宋体"/>
          <w:sz w:val="72"/>
          <w:szCs w:val="72"/>
        </w:rPr>
        <w:t>投</w:t>
      </w:r>
    </w:p>
    <w:p>
      <w:pPr>
        <w:jc w:val="center"/>
        <w:rPr>
          <w:rFonts w:hAnsi="宋体" w:cs="宋体"/>
          <w:sz w:val="72"/>
          <w:szCs w:val="72"/>
        </w:rPr>
      </w:pPr>
      <w:r>
        <w:rPr>
          <w:rFonts w:hint="eastAsia" w:hAnsi="宋体" w:cs="宋体"/>
          <w:sz w:val="72"/>
          <w:szCs w:val="72"/>
        </w:rPr>
        <w:t>标</w:t>
      </w:r>
    </w:p>
    <w:p>
      <w:pPr>
        <w:jc w:val="center"/>
        <w:rPr>
          <w:rFonts w:hAnsi="宋体" w:cs="宋体"/>
          <w:sz w:val="72"/>
          <w:szCs w:val="72"/>
        </w:rPr>
      </w:pPr>
      <w:r>
        <w:rPr>
          <w:rFonts w:hint="eastAsia" w:hAnsi="宋体" w:cs="宋体"/>
          <w:sz w:val="72"/>
          <w:szCs w:val="72"/>
        </w:rPr>
        <w:t>文</w:t>
      </w:r>
    </w:p>
    <w:p>
      <w:pPr>
        <w:jc w:val="center"/>
        <w:rPr>
          <w:rFonts w:hint="eastAsia" w:hAnsi="宋体" w:cs="宋体"/>
          <w:sz w:val="72"/>
          <w:szCs w:val="72"/>
        </w:rPr>
      </w:pPr>
      <w:r>
        <w:rPr>
          <w:rFonts w:hint="eastAsia" w:hAnsi="宋体" w:cs="宋体"/>
          <w:sz w:val="72"/>
          <w:szCs w:val="72"/>
        </w:rPr>
        <w:t>件</w:t>
      </w:r>
    </w:p>
    <w:p>
      <w:pPr>
        <w:jc w:val="center"/>
        <w:rPr>
          <w:rFonts w:hint="eastAsia" w:hAnsi="宋体" w:cs="宋体"/>
          <w:sz w:val="36"/>
          <w:szCs w:val="36"/>
          <w:lang w:eastAsia="zh-CN"/>
        </w:rPr>
      </w:pPr>
    </w:p>
    <w:p>
      <w:pPr>
        <w:jc w:val="center"/>
        <w:rPr>
          <w:rFonts w:hint="eastAsia" w:hAnsi="宋体" w:cs="宋体"/>
          <w:sz w:val="36"/>
          <w:szCs w:val="36"/>
        </w:rPr>
      </w:pPr>
      <w:r>
        <w:rPr>
          <w:rFonts w:hint="eastAsia" w:hAnsi="宋体" w:cs="宋体"/>
          <w:color w:val="auto"/>
          <w:sz w:val="36"/>
          <w:szCs w:val="36"/>
          <w:lang w:eastAsia="zh-CN"/>
        </w:rPr>
        <w:t>（技术</w:t>
      </w:r>
      <w:r>
        <w:rPr>
          <w:rFonts w:hint="eastAsia" w:hAnsi="宋体" w:cs="宋体"/>
          <w:color w:val="auto"/>
          <w:sz w:val="36"/>
          <w:szCs w:val="36"/>
        </w:rPr>
        <w:t>服务</w:t>
      </w:r>
      <w:r>
        <w:rPr>
          <w:rFonts w:hint="eastAsia" w:hAnsi="宋体" w:cs="宋体"/>
          <w:color w:val="auto"/>
          <w:sz w:val="36"/>
          <w:szCs w:val="36"/>
          <w:lang w:eastAsia="zh-CN"/>
        </w:rPr>
        <w:t>性响应文件</w:t>
      </w:r>
      <w:r>
        <w:rPr>
          <w:rFonts w:hint="eastAsia" w:hAnsi="宋体" w:cs="宋体"/>
          <w:sz w:val="36"/>
          <w:szCs w:val="36"/>
          <w:lang w:eastAsia="zh-CN"/>
        </w:rPr>
        <w:t>或</w:t>
      </w:r>
      <w:r>
        <w:rPr>
          <w:rFonts w:hint="eastAsia" w:hAnsi="宋体" w:cs="宋体"/>
          <w:color w:val="auto"/>
          <w:sz w:val="36"/>
          <w:szCs w:val="36"/>
          <w:lang w:eastAsia="zh-CN"/>
        </w:rPr>
        <w:t>资格性响应</w:t>
      </w:r>
      <w:r>
        <w:rPr>
          <w:rFonts w:hint="eastAsia" w:hAnsi="宋体" w:cs="宋体"/>
          <w:sz w:val="36"/>
          <w:szCs w:val="36"/>
        </w:rPr>
        <w:t>文件</w:t>
      </w:r>
      <w:r>
        <w:rPr>
          <w:rFonts w:hint="eastAsia" w:hAnsi="宋体" w:cs="宋体"/>
          <w:color w:val="auto"/>
          <w:sz w:val="36"/>
          <w:szCs w:val="36"/>
          <w:lang w:eastAsia="zh-CN"/>
        </w:rPr>
        <w:t>）</w:t>
      </w:r>
    </w:p>
    <w:p>
      <w:pPr>
        <w:pStyle w:val="61"/>
        <w:rPr>
          <w:rFonts w:ascii="宋体" w:hAnsi="宋体" w:eastAsia="宋体" w:cs="宋体"/>
          <w:color w:val="auto"/>
          <w:sz w:val="52"/>
          <w:szCs w:val="52"/>
        </w:rPr>
      </w:pPr>
    </w:p>
    <w:p>
      <w:pPr>
        <w:pStyle w:val="61"/>
        <w:rPr>
          <w:rFonts w:ascii="宋体" w:hAnsi="宋体" w:eastAsia="宋体" w:cs="宋体"/>
          <w:color w:val="auto"/>
          <w:sz w:val="52"/>
          <w:szCs w:val="52"/>
        </w:rPr>
      </w:pPr>
    </w:p>
    <w:p>
      <w:pPr>
        <w:pStyle w:val="61"/>
        <w:rPr>
          <w:color w:val="auto"/>
        </w:rPr>
      </w:pPr>
    </w:p>
    <w:p>
      <w:pPr>
        <w:rPr>
          <w:rFonts w:hAnsi="宋体" w:cs="宋体"/>
          <w:sz w:val="36"/>
          <w:szCs w:val="36"/>
          <w:u w:val="single"/>
        </w:rPr>
      </w:pPr>
      <w:r>
        <w:rPr>
          <w:rFonts w:hint="eastAsia" w:hAnsi="宋体" w:cs="宋体"/>
          <w:sz w:val="36"/>
          <w:szCs w:val="36"/>
        </w:rPr>
        <w:t>投标人名称（全称并加盖公章）：</w:t>
      </w:r>
    </w:p>
    <w:p>
      <w:pPr>
        <w:pStyle w:val="61"/>
        <w:rPr>
          <w:color w:val="auto"/>
        </w:rPr>
      </w:pPr>
    </w:p>
    <w:p>
      <w:pPr>
        <w:rPr>
          <w:rFonts w:hAnsi="宋体" w:cs="宋体"/>
          <w:sz w:val="36"/>
          <w:szCs w:val="36"/>
          <w:u w:val="single"/>
        </w:rPr>
      </w:pPr>
      <w:r>
        <w:rPr>
          <w:rFonts w:hint="eastAsia" w:hAnsi="宋体" w:cs="宋体"/>
          <w:sz w:val="36"/>
          <w:szCs w:val="36"/>
        </w:rPr>
        <w:t>法定代表人姓名（签章）：</w:t>
      </w:r>
    </w:p>
    <w:p>
      <w:pPr>
        <w:pStyle w:val="61"/>
        <w:rPr>
          <w:color w:val="auto"/>
        </w:rPr>
      </w:pPr>
    </w:p>
    <w:p>
      <w:pPr>
        <w:jc w:val="center"/>
        <w:rPr>
          <w:rFonts w:hAnsi="宋体" w:cs="宋体"/>
          <w:sz w:val="36"/>
          <w:szCs w:val="36"/>
        </w:rPr>
      </w:pPr>
      <w:r>
        <w:rPr>
          <w:rFonts w:hint="eastAsia" w:hAnsi="宋体" w:cs="宋体"/>
          <w:sz w:val="36"/>
          <w:szCs w:val="36"/>
        </w:rPr>
        <w:t>日期：</w:t>
      </w:r>
      <w:r>
        <w:rPr>
          <w:rFonts w:hint="eastAsia" w:hAnsi="宋体" w:cs="宋体"/>
          <w:sz w:val="36"/>
          <w:szCs w:val="36"/>
          <w:lang w:val="en-US" w:eastAsia="zh-CN"/>
        </w:rPr>
        <w:t xml:space="preserve">  </w:t>
      </w:r>
      <w:r>
        <w:rPr>
          <w:rFonts w:hint="eastAsia" w:hAnsi="宋体" w:cs="宋体"/>
          <w:sz w:val="36"/>
          <w:szCs w:val="36"/>
        </w:rPr>
        <w:t>年</w:t>
      </w:r>
      <w:r>
        <w:rPr>
          <w:rFonts w:hint="eastAsia" w:hAnsi="宋体" w:cs="宋体"/>
          <w:sz w:val="36"/>
          <w:szCs w:val="36"/>
          <w:lang w:val="en-US" w:eastAsia="zh-CN"/>
        </w:rPr>
        <w:t xml:space="preserve">  </w:t>
      </w:r>
      <w:r>
        <w:rPr>
          <w:rFonts w:hint="eastAsia" w:hAnsi="宋体" w:cs="宋体"/>
          <w:sz w:val="36"/>
          <w:szCs w:val="36"/>
        </w:rPr>
        <w:t>月</w:t>
      </w:r>
      <w:r>
        <w:rPr>
          <w:rFonts w:hint="eastAsia" w:hAnsi="宋体" w:cs="宋体"/>
          <w:sz w:val="36"/>
          <w:szCs w:val="36"/>
          <w:lang w:val="en-US" w:eastAsia="zh-CN"/>
        </w:rPr>
        <w:t xml:space="preserve">   </w:t>
      </w:r>
      <w:r>
        <w:rPr>
          <w:rFonts w:hint="eastAsia" w:hAnsi="宋体" w:cs="宋体"/>
          <w:sz w:val="36"/>
          <w:szCs w:val="36"/>
        </w:rPr>
        <w:t>日</w:t>
      </w:r>
    </w:p>
    <w:p>
      <w:pPr>
        <w:widowControl/>
        <w:spacing w:line="360" w:lineRule="atLeast"/>
        <w:jc w:val="center"/>
        <w:rPr>
          <w:rFonts w:hAnsi="宋体"/>
          <w:b/>
          <w:sz w:val="32"/>
          <w:szCs w:val="32"/>
        </w:rPr>
      </w:pPr>
      <w:r>
        <w:rPr>
          <w:rFonts w:hint="eastAsia" w:hAnsi="宋体" w:cs="宋体"/>
          <w:b/>
          <w:sz w:val="52"/>
          <w:szCs w:val="52"/>
        </w:rPr>
        <w:br w:type="page"/>
      </w:r>
      <w:r>
        <w:rPr>
          <w:rFonts w:hint="eastAsia" w:hAnsi="宋体"/>
          <w:b/>
          <w:sz w:val="32"/>
          <w:szCs w:val="32"/>
        </w:rPr>
        <w:t>一、投标函</w:t>
      </w:r>
      <w:bookmarkEnd w:id="184"/>
      <w:bookmarkEnd w:id="185"/>
    </w:p>
    <w:p>
      <w:pPr>
        <w:widowControl/>
        <w:spacing w:line="360" w:lineRule="atLeast"/>
        <w:jc w:val="center"/>
        <w:rPr>
          <w:rFonts w:hAnsi="宋体"/>
          <w:b/>
          <w:sz w:val="24"/>
        </w:rPr>
      </w:pPr>
    </w:p>
    <w:p>
      <w:pPr>
        <w:widowControl/>
        <w:spacing w:line="360" w:lineRule="atLeast"/>
        <w:jc w:val="left"/>
        <w:rPr>
          <w:rFonts w:hAnsi="宋体"/>
          <w:sz w:val="24"/>
        </w:rPr>
      </w:pPr>
      <w:r>
        <w:rPr>
          <w:rFonts w:hint="eastAsia" w:hAnsi="宋体"/>
          <w:sz w:val="24"/>
        </w:rPr>
        <w:t>四川成化工程项目管理有限公司：</w:t>
      </w:r>
    </w:p>
    <w:p>
      <w:pPr>
        <w:widowControl/>
        <w:spacing w:line="240" w:lineRule="auto"/>
        <w:ind w:firstLine="0" w:firstLineChars="0"/>
        <w:jc w:val="left"/>
        <w:rPr>
          <w:rFonts w:hAnsi="宋体"/>
          <w:sz w:val="24"/>
        </w:rPr>
      </w:pPr>
      <w:r>
        <w:rPr>
          <w:rFonts w:hint="eastAsia" w:hAnsi="宋体"/>
          <w:sz w:val="24"/>
        </w:rPr>
        <w:t xml:space="preserve">我方全面研究了“  </w:t>
      </w:r>
      <w:r>
        <w:rPr>
          <w:rFonts w:hint="eastAsia" w:hAnsi="宋体"/>
          <w:sz w:val="24"/>
          <w:lang w:val="en-US" w:eastAsia="zh-CN"/>
        </w:rPr>
        <w:t xml:space="preserve">   </w:t>
      </w:r>
      <w:r>
        <w:rPr>
          <w:rFonts w:hint="eastAsia" w:hAnsi="宋体"/>
          <w:sz w:val="24"/>
        </w:rPr>
        <w:t xml:space="preserve"> ”项目（招标编</w:t>
      </w:r>
      <w:r>
        <w:rPr>
          <w:rFonts w:hint="eastAsia" w:hAnsi="宋体"/>
          <w:sz w:val="24"/>
          <w:szCs w:val="22"/>
        </w:rPr>
        <w:t>号：）</w:t>
      </w:r>
      <w:r>
        <w:rPr>
          <w:rFonts w:hint="eastAsia" w:hAnsi="宋体"/>
          <w:sz w:val="24"/>
          <w:szCs w:val="22"/>
          <w:lang w:eastAsia="zh-CN"/>
        </w:rPr>
        <w:t>（</w:t>
      </w:r>
      <w:r>
        <w:rPr>
          <w:rFonts w:hint="eastAsia" w:hAnsi="宋体" w:cs="Times New Roman"/>
          <w:sz w:val="24"/>
          <w:szCs w:val="22"/>
          <w:lang w:eastAsia="zh-CN"/>
        </w:rPr>
        <w:t>包件号：</w:t>
      </w:r>
      <w:r>
        <w:rPr>
          <w:rFonts w:hint="eastAsia" w:hAnsi="宋体" w:cs="Times New Roman"/>
          <w:sz w:val="24"/>
          <w:szCs w:val="22"/>
          <w:lang w:val="en-US" w:eastAsia="zh-CN"/>
        </w:rPr>
        <w:t xml:space="preserve">  </w:t>
      </w:r>
      <w:r>
        <w:rPr>
          <w:rFonts w:hint="eastAsia" w:hAnsi="宋体"/>
          <w:sz w:val="24"/>
          <w:szCs w:val="22"/>
          <w:lang w:eastAsia="zh-CN"/>
        </w:rPr>
        <w:t>）</w:t>
      </w:r>
      <w:r>
        <w:rPr>
          <w:rFonts w:hint="eastAsia" w:hAnsi="宋体"/>
          <w:sz w:val="24"/>
          <w:szCs w:val="22"/>
        </w:rPr>
        <w:t>招</w:t>
      </w:r>
      <w:r>
        <w:rPr>
          <w:rFonts w:hint="eastAsia" w:hAnsi="宋体"/>
          <w:sz w:val="24"/>
        </w:rPr>
        <w:t xml:space="preserve">标文件，决定参加贵单位组织的本项目投标。我方授权  （姓名、职务）代表我方   </w:t>
      </w:r>
      <w:r>
        <w:rPr>
          <w:rFonts w:hint="eastAsia" w:hAnsi="宋体"/>
          <w:sz w:val="24"/>
          <w:lang w:val="en-US" w:eastAsia="zh-CN"/>
        </w:rPr>
        <w:t xml:space="preserve">  </w:t>
      </w:r>
      <w:r>
        <w:rPr>
          <w:rFonts w:hint="eastAsia" w:hAnsi="宋体"/>
          <w:sz w:val="24"/>
        </w:rPr>
        <w:t>（投标单位的名称）全权处理本项目投标的有关事宜。</w:t>
      </w:r>
    </w:p>
    <w:p>
      <w:pPr>
        <w:widowControl/>
        <w:spacing w:line="360" w:lineRule="atLeast"/>
        <w:ind w:firstLine="470" w:firstLineChars="196"/>
        <w:jc w:val="left"/>
        <w:rPr>
          <w:rFonts w:hint="eastAsia" w:hAnsi="宋体"/>
          <w:sz w:val="24"/>
          <w:szCs w:val="22"/>
        </w:rPr>
      </w:pPr>
      <w:r>
        <w:rPr>
          <w:rFonts w:hint="eastAsia" w:hAnsi="宋体"/>
          <w:sz w:val="24"/>
        </w:rPr>
        <w:t>一、我方自愿按照</w:t>
      </w:r>
      <w:r>
        <w:rPr>
          <w:rFonts w:hint="eastAsia" w:hAnsi="宋体"/>
          <w:sz w:val="24"/>
          <w:szCs w:val="22"/>
        </w:rPr>
        <w:t>招标文件规定的各项要求向采购人提供所需服务，投标</w:t>
      </w:r>
      <w:r>
        <w:rPr>
          <w:rFonts w:hint="eastAsia" w:hAnsi="宋体"/>
          <w:sz w:val="24"/>
          <w:szCs w:val="22"/>
          <w:lang w:eastAsia="zh-CN"/>
        </w:rPr>
        <w:t>报价</w:t>
      </w:r>
      <w:r>
        <w:rPr>
          <w:rFonts w:hint="eastAsia" w:hAnsi="宋体"/>
          <w:sz w:val="24"/>
          <w:szCs w:val="22"/>
        </w:rPr>
        <w:t>为</w:t>
      </w:r>
      <w:r>
        <w:rPr>
          <w:rFonts w:hint="eastAsia" w:hAnsi="宋体"/>
          <w:sz w:val="24"/>
          <w:szCs w:val="22"/>
          <w:lang w:eastAsia="zh-CN"/>
        </w:rPr>
        <w:t>最高限价的</w:t>
      </w:r>
      <w:r>
        <w:rPr>
          <w:rFonts w:hint="eastAsia" w:hAnsi="宋体"/>
          <w:sz w:val="24"/>
          <w:szCs w:val="22"/>
          <w:lang w:val="en-US" w:eastAsia="zh-CN"/>
        </w:rPr>
        <w:t xml:space="preserve">     %报价</w:t>
      </w:r>
      <w:r>
        <w:rPr>
          <w:rFonts w:hint="eastAsia" w:hAnsi="宋体"/>
          <w:sz w:val="24"/>
          <w:szCs w:val="22"/>
        </w:rPr>
        <w:t>。</w:t>
      </w:r>
    </w:p>
    <w:p>
      <w:pPr>
        <w:widowControl/>
        <w:spacing w:line="360" w:lineRule="atLeast"/>
        <w:ind w:firstLine="470" w:firstLineChars="196"/>
        <w:jc w:val="left"/>
        <w:rPr>
          <w:rFonts w:hint="eastAsia" w:hAnsi="宋体"/>
          <w:sz w:val="24"/>
          <w:szCs w:val="22"/>
        </w:rPr>
      </w:pPr>
      <w:r>
        <w:rPr>
          <w:rFonts w:hint="eastAsia" w:hAnsi="宋体"/>
          <w:sz w:val="24"/>
          <w:szCs w:val="22"/>
        </w:rPr>
        <w:t>二、一旦我方中标，我方将严格履行政府采购合同规定的责任和义务。</w:t>
      </w:r>
    </w:p>
    <w:p>
      <w:pPr>
        <w:widowControl/>
        <w:spacing w:line="360" w:lineRule="atLeast"/>
        <w:ind w:firstLine="470" w:firstLineChars="196"/>
        <w:jc w:val="left"/>
        <w:rPr>
          <w:rFonts w:hint="eastAsia" w:hAnsi="宋体"/>
          <w:sz w:val="24"/>
          <w:szCs w:val="22"/>
        </w:rPr>
      </w:pPr>
      <w:r>
        <w:rPr>
          <w:rFonts w:hint="eastAsia" w:hAnsi="宋体"/>
          <w:sz w:val="24"/>
          <w:szCs w:val="22"/>
        </w:rPr>
        <w:t>三、我方为本项目提交的投标文件正本1份，副本  份，用于开标唱标的“开标一览表”  份，电子文档  份。</w:t>
      </w:r>
    </w:p>
    <w:p>
      <w:pPr>
        <w:widowControl/>
        <w:spacing w:line="360" w:lineRule="atLeast"/>
        <w:ind w:firstLine="470" w:firstLineChars="196"/>
        <w:jc w:val="left"/>
        <w:rPr>
          <w:rFonts w:hint="eastAsia" w:hAnsi="宋体"/>
          <w:sz w:val="24"/>
          <w:szCs w:val="22"/>
        </w:rPr>
      </w:pPr>
      <w:r>
        <w:rPr>
          <w:rFonts w:hint="eastAsia" w:hAnsi="宋体"/>
          <w:sz w:val="24"/>
          <w:szCs w:val="22"/>
        </w:rPr>
        <w:t>四、我方同意本次招标的投标有效期为投标截止时间届满后   天。</w:t>
      </w:r>
    </w:p>
    <w:p>
      <w:pPr>
        <w:widowControl/>
        <w:spacing w:line="360" w:lineRule="atLeast"/>
        <w:ind w:firstLine="470" w:firstLineChars="196"/>
        <w:jc w:val="left"/>
        <w:rPr>
          <w:rFonts w:hint="eastAsia" w:hAnsi="宋体"/>
          <w:sz w:val="24"/>
          <w:szCs w:val="22"/>
        </w:rPr>
      </w:pPr>
      <w:r>
        <w:rPr>
          <w:rFonts w:hint="eastAsia" w:hAnsi="宋体"/>
          <w:sz w:val="24"/>
          <w:szCs w:val="22"/>
        </w:rPr>
        <w:t>五、我方愿意提供贵</w:t>
      </w:r>
      <w:r>
        <w:rPr>
          <w:rFonts w:hint="eastAsia" w:hAnsi="宋体"/>
          <w:sz w:val="24"/>
          <w:szCs w:val="22"/>
          <w:lang w:eastAsia="zh-CN"/>
        </w:rPr>
        <w:t>单位</w:t>
      </w:r>
      <w:r>
        <w:rPr>
          <w:rFonts w:hint="eastAsia" w:hAnsi="宋体"/>
          <w:sz w:val="24"/>
          <w:szCs w:val="22"/>
        </w:rPr>
        <w:t>可能另外要求的，与投标有关的文件资料，并保证我方已提供和将要提供的文件资料是真实、准确的。</w:t>
      </w:r>
    </w:p>
    <w:p>
      <w:pPr>
        <w:widowControl/>
        <w:spacing w:line="360" w:lineRule="atLeast"/>
        <w:ind w:firstLine="470" w:firstLineChars="196"/>
        <w:jc w:val="left"/>
        <w:rPr>
          <w:rFonts w:hint="eastAsia" w:hAnsi="宋体"/>
          <w:sz w:val="24"/>
          <w:szCs w:val="22"/>
        </w:rPr>
      </w:pPr>
      <w:r>
        <w:rPr>
          <w:rFonts w:hint="eastAsia" w:hAnsi="宋体"/>
          <w:sz w:val="24"/>
          <w:szCs w:val="22"/>
        </w:rPr>
        <w:t>六、我方承诺由我方按招标文件规定支付招标代理服务费。</w:t>
      </w:r>
    </w:p>
    <w:p>
      <w:pPr>
        <w:widowControl/>
        <w:spacing w:line="360" w:lineRule="atLeast"/>
        <w:ind w:firstLine="470" w:firstLineChars="196"/>
        <w:jc w:val="left"/>
        <w:rPr>
          <w:rFonts w:ascii="新宋体" w:hAnsi="新宋体" w:eastAsia="新宋体"/>
          <w:bCs/>
          <w:sz w:val="24"/>
        </w:rPr>
      </w:pPr>
    </w:p>
    <w:p>
      <w:pPr>
        <w:widowControl/>
        <w:spacing w:line="360" w:lineRule="atLeast"/>
        <w:ind w:firstLine="470" w:firstLineChars="196"/>
        <w:jc w:val="left"/>
        <w:rPr>
          <w:rFonts w:ascii="新宋体" w:hAnsi="新宋体" w:eastAsia="新宋体"/>
          <w:bCs/>
          <w:sz w:val="24"/>
        </w:rPr>
      </w:pPr>
    </w:p>
    <w:p>
      <w:pPr>
        <w:widowControl/>
        <w:spacing w:line="360" w:lineRule="atLeast"/>
        <w:ind w:firstLine="470" w:firstLineChars="196"/>
        <w:jc w:val="left"/>
        <w:rPr>
          <w:rFonts w:ascii="新宋体" w:hAnsi="新宋体" w:eastAsia="新宋体"/>
          <w:bCs/>
          <w:sz w:val="24"/>
        </w:rPr>
      </w:pPr>
    </w:p>
    <w:p>
      <w:pPr>
        <w:widowControl/>
        <w:spacing w:line="360" w:lineRule="atLeast"/>
        <w:ind w:firstLine="470" w:firstLineChars="196"/>
        <w:jc w:val="left"/>
        <w:rPr>
          <w:rFonts w:hAnsi="宋体"/>
          <w:sz w:val="24"/>
        </w:rPr>
      </w:pPr>
    </w:p>
    <w:p>
      <w:pPr>
        <w:widowControl/>
        <w:spacing w:line="360" w:lineRule="atLeast"/>
        <w:ind w:firstLine="470" w:firstLineChars="196"/>
        <w:jc w:val="left"/>
        <w:rPr>
          <w:rFonts w:hAnsi="宋体"/>
          <w:sz w:val="24"/>
        </w:rPr>
      </w:pPr>
      <w:r>
        <w:rPr>
          <w:rFonts w:hint="eastAsia" w:hAnsi="宋体"/>
          <w:sz w:val="24"/>
        </w:rPr>
        <w:t>投标人名称：（单位公章）</w:t>
      </w:r>
    </w:p>
    <w:p>
      <w:pPr>
        <w:widowControl/>
        <w:spacing w:line="360" w:lineRule="atLeast"/>
        <w:ind w:firstLine="470" w:firstLineChars="196"/>
        <w:jc w:val="left"/>
        <w:rPr>
          <w:rFonts w:hAnsi="宋体"/>
          <w:sz w:val="24"/>
          <w:u w:val="single"/>
        </w:rPr>
      </w:pPr>
      <w:r>
        <w:rPr>
          <w:rFonts w:hint="eastAsia" w:hAnsi="宋体"/>
          <w:sz w:val="24"/>
        </w:rPr>
        <w:t>法定代表人或授权代表（签字或加盖个人名章）：</w:t>
      </w:r>
    </w:p>
    <w:p>
      <w:pPr>
        <w:widowControl/>
        <w:spacing w:line="360" w:lineRule="atLeast"/>
        <w:ind w:firstLine="470" w:firstLineChars="196"/>
        <w:jc w:val="left"/>
        <w:rPr>
          <w:rFonts w:hAnsi="宋体"/>
          <w:sz w:val="24"/>
          <w:u w:val="single"/>
        </w:rPr>
      </w:pPr>
      <w:r>
        <w:rPr>
          <w:rFonts w:hint="eastAsia" w:hAnsi="宋体"/>
          <w:sz w:val="24"/>
        </w:rPr>
        <w:t>通讯地址：</w:t>
      </w:r>
    </w:p>
    <w:p>
      <w:pPr>
        <w:widowControl/>
        <w:spacing w:line="360" w:lineRule="atLeast"/>
        <w:ind w:firstLine="470" w:firstLineChars="196"/>
        <w:jc w:val="left"/>
        <w:rPr>
          <w:rFonts w:hAnsi="宋体"/>
          <w:sz w:val="24"/>
        </w:rPr>
      </w:pPr>
      <w:r>
        <w:rPr>
          <w:rFonts w:hint="eastAsia" w:hAnsi="宋体"/>
          <w:sz w:val="24"/>
        </w:rPr>
        <w:t>邮政编码：</w:t>
      </w:r>
    </w:p>
    <w:p>
      <w:pPr>
        <w:widowControl/>
        <w:spacing w:line="360" w:lineRule="atLeast"/>
        <w:ind w:firstLine="470" w:firstLineChars="196"/>
        <w:jc w:val="left"/>
        <w:rPr>
          <w:rFonts w:hAnsi="宋体"/>
          <w:sz w:val="24"/>
        </w:rPr>
      </w:pPr>
      <w:r>
        <w:rPr>
          <w:rFonts w:hint="eastAsia" w:hAnsi="宋体"/>
          <w:sz w:val="24"/>
        </w:rPr>
        <w:t>联系电话：</w:t>
      </w:r>
    </w:p>
    <w:p>
      <w:pPr>
        <w:widowControl/>
        <w:spacing w:line="360" w:lineRule="atLeast"/>
        <w:ind w:firstLine="470" w:firstLineChars="196"/>
        <w:jc w:val="left"/>
        <w:rPr>
          <w:rFonts w:hAnsi="宋体"/>
          <w:sz w:val="24"/>
          <w:u w:val="single"/>
        </w:rPr>
      </w:pPr>
      <w:r>
        <w:rPr>
          <w:rFonts w:hint="eastAsia" w:hAnsi="宋体"/>
          <w:sz w:val="24"/>
        </w:rPr>
        <w:t>传真：</w:t>
      </w:r>
    </w:p>
    <w:p>
      <w:pPr>
        <w:widowControl/>
        <w:spacing w:line="360" w:lineRule="atLeast"/>
        <w:ind w:firstLine="470" w:firstLineChars="196"/>
        <w:jc w:val="left"/>
        <w:rPr>
          <w:rFonts w:hAnsi="宋体"/>
          <w:b/>
          <w:sz w:val="24"/>
        </w:rPr>
      </w:pPr>
      <w:r>
        <w:rPr>
          <w:rFonts w:hint="eastAsia" w:hAnsi="宋体"/>
          <w:sz w:val="24"/>
        </w:rPr>
        <w:t>日期：</w:t>
      </w:r>
      <w:r>
        <w:rPr>
          <w:rFonts w:hint="eastAsia" w:hAnsi="宋体"/>
          <w:sz w:val="24"/>
          <w:lang w:val="en-US" w:eastAsia="zh-CN"/>
        </w:rPr>
        <w:t xml:space="preserve">   </w:t>
      </w:r>
      <w:r>
        <w:rPr>
          <w:rFonts w:hint="eastAsia" w:hAnsi="宋体"/>
          <w:sz w:val="24"/>
        </w:rPr>
        <w:t>年</w:t>
      </w:r>
      <w:r>
        <w:rPr>
          <w:rFonts w:hint="eastAsia" w:hAnsi="宋体"/>
          <w:sz w:val="24"/>
          <w:lang w:val="en-US" w:eastAsia="zh-CN"/>
        </w:rPr>
        <w:t xml:space="preserve">  </w:t>
      </w:r>
      <w:r>
        <w:rPr>
          <w:rFonts w:hint="eastAsia" w:hAnsi="宋体"/>
          <w:sz w:val="24"/>
        </w:rPr>
        <w:t>月</w:t>
      </w:r>
      <w:r>
        <w:rPr>
          <w:rFonts w:hint="eastAsia" w:hAnsi="宋体"/>
          <w:sz w:val="24"/>
          <w:lang w:val="en-US" w:eastAsia="zh-CN"/>
        </w:rPr>
        <w:t xml:space="preserve">  </w:t>
      </w:r>
      <w:r>
        <w:rPr>
          <w:rFonts w:hint="eastAsia" w:hAnsi="宋体"/>
          <w:sz w:val="24"/>
        </w:rPr>
        <w:t>日</w:t>
      </w:r>
    </w:p>
    <w:p>
      <w:pPr>
        <w:widowControl/>
        <w:spacing w:line="360" w:lineRule="atLeast"/>
        <w:ind w:firstLine="472" w:firstLineChars="196"/>
        <w:jc w:val="left"/>
        <w:rPr>
          <w:rFonts w:hAnsi="宋体"/>
          <w:b/>
          <w:sz w:val="24"/>
        </w:rPr>
      </w:pPr>
    </w:p>
    <w:p>
      <w:pPr>
        <w:widowControl/>
        <w:spacing w:line="360" w:lineRule="atLeast"/>
        <w:jc w:val="left"/>
        <w:rPr>
          <w:rFonts w:hAnsi="宋体"/>
          <w:sz w:val="24"/>
        </w:rPr>
      </w:pPr>
      <w:bookmarkStart w:id="186" w:name="_Toc308164824"/>
    </w:p>
    <w:p>
      <w:pPr>
        <w:widowControl/>
        <w:spacing w:line="360" w:lineRule="atLeast"/>
        <w:jc w:val="center"/>
      </w:pPr>
      <w:r>
        <w:rPr>
          <w:rFonts w:hAnsi="宋体"/>
          <w:b/>
          <w:sz w:val="32"/>
          <w:szCs w:val="32"/>
        </w:rPr>
        <w:br w:type="page"/>
      </w:r>
      <w:bookmarkEnd w:id="186"/>
      <w:r>
        <w:rPr>
          <w:rFonts w:hAnsi="宋体"/>
          <w:b/>
          <w:sz w:val="32"/>
          <w:szCs w:val="32"/>
        </w:rPr>
        <w:t>二</w:t>
      </w:r>
      <w:r>
        <w:rPr>
          <w:rFonts w:hint="eastAsia" w:hAnsi="宋体"/>
          <w:b/>
          <w:sz w:val="32"/>
          <w:szCs w:val="32"/>
        </w:rPr>
        <w:t>、承诺函</w:t>
      </w:r>
    </w:p>
    <w:p>
      <w:pPr>
        <w:widowControl/>
        <w:spacing w:line="360" w:lineRule="atLeast"/>
        <w:jc w:val="center"/>
        <w:rPr>
          <w:rFonts w:hAnsi="宋体"/>
          <w:b/>
          <w:sz w:val="24"/>
        </w:rPr>
      </w:pPr>
    </w:p>
    <w:p>
      <w:pPr>
        <w:widowControl/>
        <w:spacing w:line="360" w:lineRule="atLeast"/>
        <w:jc w:val="left"/>
        <w:rPr>
          <w:rFonts w:hAnsi="宋体"/>
          <w:sz w:val="24"/>
        </w:rPr>
      </w:pPr>
      <w:r>
        <w:rPr>
          <w:rFonts w:hint="eastAsia" w:hAnsi="宋体"/>
          <w:sz w:val="24"/>
        </w:rPr>
        <w:t>四川成化工程项目管理有限公司：</w:t>
      </w:r>
    </w:p>
    <w:p>
      <w:pPr>
        <w:widowControl/>
        <w:spacing w:line="360" w:lineRule="atLeast"/>
        <w:ind w:firstLine="480" w:firstLineChars="200"/>
        <w:jc w:val="left"/>
        <w:rPr>
          <w:rFonts w:hAnsi="宋体"/>
          <w:sz w:val="24"/>
        </w:rPr>
      </w:pPr>
      <w:r>
        <w:rPr>
          <w:rFonts w:hint="eastAsia" w:hAnsi="宋体"/>
          <w:sz w:val="24"/>
        </w:rPr>
        <w:t>我公司作为本次采购项目的投标人，根据招标文件要求，现郑重承诺如下：</w:t>
      </w:r>
    </w:p>
    <w:p>
      <w:pPr>
        <w:widowControl/>
        <w:spacing w:line="360" w:lineRule="atLeast"/>
        <w:ind w:firstLine="480" w:firstLineChars="200"/>
        <w:jc w:val="left"/>
        <w:rPr>
          <w:rFonts w:hAnsi="宋体"/>
          <w:sz w:val="24"/>
        </w:rPr>
      </w:pPr>
      <w:r>
        <w:rPr>
          <w:rFonts w:hint="eastAsia" w:hAnsi="宋体"/>
          <w:sz w:val="24"/>
        </w:rPr>
        <w:t>一、具备《中华人民共和国政府采购法》第二十二条第一款和本项目规定的条件：</w:t>
      </w:r>
    </w:p>
    <w:p>
      <w:pPr>
        <w:widowControl/>
        <w:spacing w:line="360" w:lineRule="atLeast"/>
        <w:ind w:firstLine="480" w:firstLineChars="200"/>
        <w:jc w:val="left"/>
        <w:rPr>
          <w:rFonts w:hAnsi="宋体"/>
          <w:sz w:val="24"/>
        </w:rPr>
      </w:pPr>
      <w:r>
        <w:rPr>
          <w:rFonts w:hint="eastAsia" w:hAnsi="宋体"/>
          <w:sz w:val="24"/>
        </w:rPr>
        <w:t>（一）具有独立承担民事责任的能力；</w:t>
      </w:r>
      <w:r>
        <w:rPr>
          <w:rFonts w:hint="eastAsia" w:hAnsi="宋体"/>
          <w:sz w:val="24"/>
        </w:rPr>
        <w:br w:type="textWrapping"/>
      </w:r>
      <w:r>
        <w:rPr>
          <w:rFonts w:hint="eastAsia" w:hAnsi="宋体"/>
          <w:sz w:val="24"/>
        </w:rPr>
        <w:t>　　（二）具有良好的商业信誉和健全的财务会计制度；</w:t>
      </w:r>
      <w:r>
        <w:rPr>
          <w:rFonts w:hint="eastAsia" w:hAnsi="宋体"/>
          <w:sz w:val="24"/>
        </w:rPr>
        <w:br w:type="textWrapping"/>
      </w:r>
      <w:r>
        <w:rPr>
          <w:rFonts w:hint="eastAsia" w:hAnsi="宋体"/>
          <w:sz w:val="24"/>
        </w:rPr>
        <w:t>　　（三）具有履行合同所必需的设备和专业技术能力；</w:t>
      </w:r>
      <w:r>
        <w:rPr>
          <w:rFonts w:hint="eastAsia" w:hAnsi="宋体"/>
          <w:sz w:val="24"/>
        </w:rPr>
        <w:br w:type="textWrapping"/>
      </w:r>
      <w:r>
        <w:rPr>
          <w:rFonts w:hint="eastAsia" w:hAnsi="宋体"/>
          <w:sz w:val="24"/>
        </w:rPr>
        <w:t>　　（四）有依法缴纳税收和社会保障资金的良好记录</w:t>
      </w:r>
      <w:r>
        <w:rPr>
          <w:rFonts w:hint="eastAsia" w:hAnsi="宋体"/>
          <w:sz w:val="24"/>
        </w:rPr>
        <w:br w:type="textWrapping"/>
      </w:r>
      <w:r>
        <w:rPr>
          <w:rFonts w:hint="eastAsia" w:hAnsi="宋体"/>
          <w:sz w:val="24"/>
        </w:rPr>
        <w:t>　　（五）参加政府采购活动前三年内，在经营活动中没有重大违法记录；</w:t>
      </w:r>
    </w:p>
    <w:p>
      <w:pPr>
        <w:widowControl/>
        <w:spacing w:line="360" w:lineRule="atLeast"/>
        <w:ind w:firstLine="480" w:firstLineChars="200"/>
        <w:jc w:val="left"/>
        <w:rPr>
          <w:rFonts w:hAnsi="宋体"/>
          <w:sz w:val="24"/>
        </w:rPr>
      </w:pPr>
      <w:r>
        <w:rPr>
          <w:rFonts w:hint="eastAsia" w:hAnsi="宋体"/>
          <w:sz w:val="24"/>
        </w:rPr>
        <w:t>（六）法律、行政法规规定的其他条件；</w:t>
      </w:r>
    </w:p>
    <w:p>
      <w:pPr>
        <w:widowControl/>
        <w:spacing w:line="360" w:lineRule="atLeast"/>
        <w:ind w:firstLine="480" w:firstLineChars="200"/>
        <w:jc w:val="left"/>
        <w:rPr>
          <w:rFonts w:hAnsi="宋体"/>
          <w:sz w:val="24"/>
        </w:rPr>
      </w:pPr>
      <w:r>
        <w:rPr>
          <w:rFonts w:hint="eastAsia" w:hAnsi="宋体"/>
          <w:sz w:val="24"/>
        </w:rPr>
        <w:t>（七）根据项目特殊要求设置的特定条件</w:t>
      </w:r>
      <w:r>
        <w:rPr>
          <w:rFonts w:hAnsi="宋体"/>
          <w:sz w:val="24"/>
        </w:rPr>
        <w:t>。</w:t>
      </w:r>
    </w:p>
    <w:p>
      <w:pPr>
        <w:widowControl/>
        <w:spacing w:line="360" w:lineRule="atLeast"/>
        <w:ind w:firstLine="480" w:firstLineChars="200"/>
        <w:jc w:val="left"/>
        <w:rPr>
          <w:rFonts w:hAnsi="宋体"/>
          <w:sz w:val="24"/>
        </w:rPr>
      </w:pPr>
      <w:r>
        <w:rPr>
          <w:rFonts w:hAnsi="宋体"/>
          <w:sz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widowControl/>
        <w:spacing w:line="360" w:lineRule="atLeast"/>
        <w:ind w:firstLine="480" w:firstLineChars="200"/>
        <w:jc w:val="left"/>
        <w:rPr>
          <w:rFonts w:hAnsi="宋体"/>
          <w:sz w:val="24"/>
        </w:rPr>
      </w:pPr>
      <w:r>
        <w:rPr>
          <w:rFonts w:hint="eastAsia" w:hAnsi="宋体"/>
          <w:sz w:val="24"/>
        </w:rPr>
        <w:t>三、参加本次招标采购活动，不存在与单位负责人为同一人或者存在直接控股、管理关系的其他供应商参与同一合同项下的政府采购活动的行为。</w:t>
      </w:r>
    </w:p>
    <w:p>
      <w:pPr>
        <w:widowControl/>
        <w:spacing w:line="360" w:lineRule="atLeast"/>
        <w:ind w:firstLine="480" w:firstLineChars="200"/>
        <w:jc w:val="left"/>
        <w:rPr>
          <w:rFonts w:hint="eastAsia" w:hAnsi="宋体"/>
          <w:sz w:val="24"/>
          <w:szCs w:val="22"/>
        </w:rPr>
      </w:pPr>
      <w:r>
        <w:rPr>
          <w:rFonts w:hint="eastAsia" w:hAnsi="宋体"/>
          <w:sz w:val="24"/>
        </w:rPr>
        <w:t>四、参加本次招标采购活动，不存在和其他供应商在同一合</w:t>
      </w:r>
      <w:r>
        <w:rPr>
          <w:rFonts w:hint="eastAsia" w:hAnsi="宋体"/>
          <w:sz w:val="24"/>
          <w:szCs w:val="22"/>
        </w:rPr>
        <w:t>同项下的采购项目中，同时委托同一个自然人、同一家庭的人员、同一单位的人员作为代理人的行为。</w:t>
      </w:r>
    </w:p>
    <w:p>
      <w:pPr>
        <w:widowControl/>
        <w:spacing w:line="360" w:lineRule="atLeast"/>
        <w:ind w:firstLine="480" w:firstLineChars="200"/>
        <w:jc w:val="left"/>
        <w:rPr>
          <w:rFonts w:hint="eastAsia" w:hAnsi="宋体"/>
          <w:sz w:val="24"/>
          <w:szCs w:val="22"/>
        </w:rPr>
      </w:pPr>
      <w:r>
        <w:rPr>
          <w:rFonts w:hint="eastAsia" w:hAnsi="宋体"/>
          <w:sz w:val="24"/>
          <w:szCs w:val="22"/>
        </w:rPr>
        <w:t>五、</w:t>
      </w:r>
      <w:r>
        <w:rPr>
          <w:rFonts w:hint="eastAsia" w:hAnsi="宋体"/>
          <w:color w:val="auto"/>
          <w:sz w:val="24"/>
          <w:szCs w:val="22"/>
          <w:highlight w:val="none"/>
        </w:rPr>
        <w:t>如果有记入诚信档案的失信行为，将在投标文件中全面如实反映。</w:t>
      </w:r>
    </w:p>
    <w:p>
      <w:pPr>
        <w:widowControl/>
        <w:spacing w:line="360" w:lineRule="atLeast"/>
        <w:ind w:firstLine="480" w:firstLineChars="200"/>
        <w:jc w:val="left"/>
        <w:rPr>
          <w:rFonts w:hAnsi="宋体" w:cs="宋体"/>
          <w:sz w:val="24"/>
        </w:rPr>
      </w:pPr>
      <w:r>
        <w:rPr>
          <w:rFonts w:hint="eastAsia" w:hAnsi="宋体"/>
          <w:sz w:val="24"/>
        </w:rPr>
        <w:t>六、投标文件中提供的能够给予我公司带来优惠、好处的任何材料资料和技术、服务、商务等响应承诺情况都是真实的、有效的、合法的。</w:t>
      </w:r>
    </w:p>
    <w:p>
      <w:pPr>
        <w:widowControl/>
        <w:spacing w:line="360" w:lineRule="atLeast"/>
        <w:ind w:firstLine="480" w:firstLineChars="200"/>
        <w:jc w:val="left"/>
        <w:rPr>
          <w:rFonts w:hAnsi="宋体"/>
          <w:sz w:val="24"/>
        </w:rPr>
      </w:pPr>
      <w:r>
        <w:rPr>
          <w:rFonts w:hint="eastAsia" w:hAnsi="宋体" w:cs="宋体"/>
          <w:sz w:val="24"/>
        </w:rPr>
        <w:t>七、我单位、我单位</w:t>
      </w:r>
      <w:r>
        <w:rPr>
          <w:rFonts w:hint="eastAsia" w:hAnsi="宋体"/>
          <w:sz w:val="24"/>
        </w:rPr>
        <w:t>法定代表人/主要负责人在前3年内不具有行贿犯罪记录。</w:t>
      </w:r>
    </w:p>
    <w:p>
      <w:pPr>
        <w:widowControl/>
        <w:spacing w:line="360" w:lineRule="atLeast"/>
        <w:ind w:firstLine="480" w:firstLineChars="200"/>
        <w:jc w:val="left"/>
        <w:rPr>
          <w:rFonts w:hAnsi="宋体"/>
          <w:sz w:val="24"/>
        </w:rPr>
      </w:pPr>
      <w:r>
        <w:rPr>
          <w:rFonts w:hint="eastAsia" w:hAnsi="宋体"/>
          <w:sz w:val="24"/>
        </w:rPr>
        <w:t>八、若有幸中标，将在领取中标通知书之前向贵公司缴纳足额的中标服务费。</w:t>
      </w:r>
    </w:p>
    <w:p>
      <w:pPr>
        <w:widowControl/>
        <w:spacing w:line="360" w:lineRule="atLeast"/>
        <w:ind w:firstLine="480" w:firstLineChars="200"/>
        <w:jc w:val="left"/>
        <w:rPr>
          <w:rFonts w:hAnsi="宋体"/>
          <w:sz w:val="24"/>
        </w:rPr>
      </w:pPr>
      <w:r>
        <w:rPr>
          <w:rFonts w:hint="eastAsia" w:hAnsi="宋体"/>
          <w:sz w:val="24"/>
        </w:rPr>
        <w:t>本公司对上述承诺的内容事项真实性负责。如经查实上述承诺的内容事项存在虚假，我公司愿意接受以提供虚假材料谋取中标追究法律责任。</w:t>
      </w:r>
    </w:p>
    <w:p>
      <w:pPr>
        <w:widowControl/>
        <w:spacing w:line="360" w:lineRule="atLeast"/>
        <w:jc w:val="left"/>
        <w:rPr>
          <w:rFonts w:hAnsi="宋体"/>
          <w:sz w:val="24"/>
        </w:rPr>
      </w:pPr>
    </w:p>
    <w:p>
      <w:pPr>
        <w:widowControl/>
        <w:spacing w:line="360" w:lineRule="atLeast"/>
        <w:ind w:firstLine="470" w:firstLineChars="196"/>
        <w:jc w:val="left"/>
        <w:rPr>
          <w:rFonts w:hAnsi="宋体"/>
          <w:sz w:val="24"/>
        </w:rPr>
      </w:pPr>
      <w:r>
        <w:rPr>
          <w:rFonts w:hint="eastAsia" w:hAnsi="宋体"/>
          <w:sz w:val="24"/>
        </w:rPr>
        <w:t>投标人名称：（单位公章）</w:t>
      </w:r>
    </w:p>
    <w:p>
      <w:pPr>
        <w:widowControl/>
        <w:spacing w:line="360" w:lineRule="atLeast"/>
        <w:ind w:firstLine="470" w:firstLineChars="196"/>
        <w:jc w:val="left"/>
        <w:rPr>
          <w:rFonts w:hAnsi="宋体"/>
          <w:sz w:val="24"/>
          <w:u w:val="single"/>
        </w:rPr>
      </w:pPr>
      <w:r>
        <w:rPr>
          <w:rFonts w:hint="eastAsia" w:hAnsi="宋体"/>
          <w:sz w:val="24"/>
        </w:rPr>
        <w:t>法定代表人或授权代表（签字或加盖个人名章）：</w:t>
      </w:r>
    </w:p>
    <w:p>
      <w:pPr>
        <w:widowControl/>
        <w:spacing w:line="360" w:lineRule="atLeast"/>
        <w:ind w:firstLine="470" w:firstLineChars="196"/>
        <w:jc w:val="left"/>
        <w:rPr>
          <w:rFonts w:hAnsi="宋体"/>
          <w:sz w:val="24"/>
          <w:u w:val="single"/>
        </w:rPr>
      </w:pPr>
      <w:r>
        <w:rPr>
          <w:rFonts w:hint="eastAsia" w:hAnsi="宋体"/>
          <w:sz w:val="24"/>
        </w:rPr>
        <w:t>日期：</w:t>
      </w:r>
    </w:p>
    <w:p>
      <w:pPr>
        <w:widowControl/>
        <w:spacing w:line="360" w:lineRule="atLeast"/>
        <w:jc w:val="center"/>
        <w:rPr>
          <w:rFonts w:hAnsi="宋体"/>
          <w:b/>
          <w:sz w:val="24"/>
        </w:rPr>
      </w:pPr>
    </w:p>
    <w:p>
      <w:pPr>
        <w:widowControl/>
        <w:spacing w:line="360" w:lineRule="atLeast"/>
        <w:jc w:val="center"/>
        <w:rPr>
          <w:rFonts w:hAnsi="宋体"/>
          <w:b/>
          <w:sz w:val="24"/>
        </w:rPr>
      </w:pPr>
    </w:p>
    <w:p>
      <w:pPr>
        <w:widowControl/>
        <w:spacing w:line="360" w:lineRule="atLeast"/>
        <w:jc w:val="center"/>
        <w:rPr>
          <w:rFonts w:hAnsi="宋体"/>
          <w:b/>
          <w:sz w:val="32"/>
          <w:szCs w:val="32"/>
        </w:rPr>
      </w:pPr>
      <w:r>
        <w:rPr>
          <w:rFonts w:hAnsi="宋体"/>
          <w:b/>
          <w:sz w:val="32"/>
          <w:szCs w:val="32"/>
        </w:rPr>
        <w:br w:type="page"/>
      </w:r>
      <w:r>
        <w:rPr>
          <w:rFonts w:hint="eastAsia" w:hAnsi="宋体"/>
          <w:b/>
          <w:sz w:val="32"/>
          <w:szCs w:val="32"/>
        </w:rPr>
        <w:t>三、法定代表人授权书</w:t>
      </w:r>
      <w:bookmarkEnd w:id="175"/>
    </w:p>
    <w:p>
      <w:pPr>
        <w:widowControl/>
        <w:spacing w:line="360" w:lineRule="atLeast"/>
        <w:ind w:firstLine="472" w:firstLineChars="196"/>
        <w:jc w:val="left"/>
        <w:rPr>
          <w:rFonts w:hAnsi="宋体"/>
          <w:b/>
          <w:sz w:val="24"/>
        </w:rPr>
      </w:pPr>
    </w:p>
    <w:p>
      <w:pPr>
        <w:widowControl/>
        <w:spacing w:line="360" w:lineRule="atLeast"/>
        <w:ind w:firstLine="472" w:firstLineChars="196"/>
        <w:jc w:val="left"/>
        <w:rPr>
          <w:rFonts w:hAnsi="宋体"/>
          <w:b/>
          <w:sz w:val="24"/>
        </w:rPr>
      </w:pPr>
    </w:p>
    <w:p>
      <w:pPr>
        <w:widowControl/>
        <w:spacing w:line="360" w:lineRule="atLeast"/>
        <w:jc w:val="left"/>
        <w:rPr>
          <w:rFonts w:hAnsi="宋体"/>
          <w:sz w:val="24"/>
        </w:rPr>
      </w:pPr>
      <w:r>
        <w:rPr>
          <w:rFonts w:hint="eastAsia" w:hAnsi="宋体"/>
          <w:sz w:val="24"/>
        </w:rPr>
        <w:t>四川成化工程项目管理有限公司：</w:t>
      </w:r>
    </w:p>
    <w:p>
      <w:pPr>
        <w:widowControl/>
        <w:spacing w:line="360" w:lineRule="atLeast"/>
        <w:ind w:firstLine="470" w:firstLineChars="196"/>
        <w:jc w:val="left"/>
        <w:rPr>
          <w:rFonts w:hAnsi="宋体"/>
          <w:sz w:val="24"/>
        </w:rPr>
      </w:pPr>
      <w:r>
        <w:rPr>
          <w:rFonts w:hint="eastAsia" w:hAnsi="宋体"/>
          <w:sz w:val="24"/>
        </w:rPr>
        <w:t>本授权声明：   （投标人名称）（法定代表人姓名、职务）授权（被授权人姓名、职务）为我方“      ”项目（招标编号：    ）</w:t>
      </w:r>
      <w:r>
        <w:rPr>
          <w:rFonts w:hint="eastAsia" w:hAnsi="宋体"/>
          <w:sz w:val="24"/>
          <w:szCs w:val="22"/>
          <w:lang w:eastAsia="zh-CN"/>
        </w:rPr>
        <w:t>（</w:t>
      </w:r>
      <w:r>
        <w:rPr>
          <w:rFonts w:hint="eastAsia" w:hAnsi="宋体" w:cs="Times New Roman"/>
          <w:sz w:val="24"/>
          <w:szCs w:val="22"/>
          <w:lang w:eastAsia="zh-CN"/>
        </w:rPr>
        <w:t>包件号：</w:t>
      </w:r>
      <w:r>
        <w:rPr>
          <w:rFonts w:hint="eastAsia" w:hAnsi="宋体" w:cs="Times New Roman"/>
          <w:sz w:val="24"/>
          <w:szCs w:val="22"/>
          <w:lang w:val="en-US" w:eastAsia="zh-CN"/>
        </w:rPr>
        <w:t xml:space="preserve">  </w:t>
      </w:r>
      <w:r>
        <w:rPr>
          <w:rFonts w:hint="eastAsia" w:hAnsi="宋体"/>
          <w:sz w:val="24"/>
          <w:szCs w:val="22"/>
          <w:lang w:eastAsia="zh-CN"/>
        </w:rPr>
        <w:t>）</w:t>
      </w:r>
      <w:r>
        <w:rPr>
          <w:rFonts w:hint="eastAsia" w:hAnsi="宋体"/>
          <w:sz w:val="24"/>
        </w:rPr>
        <w:t>投标活动的合法代表，以我方名义全权处理该项目有关投标、签订合同以及执行合同等一切事宜。</w:t>
      </w:r>
    </w:p>
    <w:p>
      <w:pPr>
        <w:widowControl/>
        <w:spacing w:line="360" w:lineRule="atLeast"/>
        <w:ind w:firstLine="470" w:firstLineChars="196"/>
        <w:jc w:val="left"/>
        <w:rPr>
          <w:rFonts w:hAnsi="宋体"/>
          <w:sz w:val="24"/>
        </w:rPr>
      </w:pPr>
      <w:r>
        <w:rPr>
          <w:rFonts w:hint="eastAsia" w:hAnsi="宋体"/>
          <w:sz w:val="24"/>
        </w:rPr>
        <w:t>特此声明。</w:t>
      </w:r>
    </w:p>
    <w:p>
      <w:pPr>
        <w:widowControl/>
        <w:spacing w:line="360" w:lineRule="atLeast"/>
        <w:ind w:firstLine="470" w:firstLineChars="196"/>
        <w:jc w:val="left"/>
        <w:rPr>
          <w:rFonts w:hAnsi="宋体"/>
          <w:sz w:val="24"/>
        </w:rPr>
      </w:pPr>
    </w:p>
    <w:p>
      <w:pPr>
        <w:widowControl/>
        <w:spacing w:line="360" w:lineRule="atLeast"/>
        <w:ind w:firstLine="470" w:firstLineChars="196"/>
        <w:jc w:val="left"/>
        <w:rPr>
          <w:rFonts w:hAnsi="宋体"/>
          <w:sz w:val="24"/>
        </w:rPr>
      </w:pPr>
    </w:p>
    <w:p>
      <w:pPr>
        <w:widowControl/>
        <w:spacing w:line="360" w:lineRule="atLeast"/>
        <w:ind w:firstLine="470" w:firstLineChars="196"/>
        <w:jc w:val="left"/>
        <w:rPr>
          <w:rFonts w:hAnsi="宋体"/>
          <w:sz w:val="24"/>
        </w:rPr>
      </w:pPr>
    </w:p>
    <w:p>
      <w:pPr>
        <w:widowControl/>
        <w:spacing w:line="360" w:lineRule="atLeast"/>
        <w:ind w:firstLine="470" w:firstLineChars="196"/>
        <w:jc w:val="left"/>
        <w:rPr>
          <w:rFonts w:hAnsi="宋体"/>
          <w:sz w:val="24"/>
          <w:u w:val="single"/>
        </w:rPr>
      </w:pPr>
      <w:r>
        <w:rPr>
          <w:rFonts w:hint="eastAsia" w:hAnsi="宋体"/>
          <w:sz w:val="24"/>
        </w:rPr>
        <w:t>法定代表人签字或者加盖个人名章：</w:t>
      </w:r>
    </w:p>
    <w:p>
      <w:pPr>
        <w:widowControl/>
        <w:spacing w:line="360" w:lineRule="atLeast"/>
        <w:ind w:firstLine="470" w:firstLineChars="196"/>
        <w:jc w:val="left"/>
        <w:rPr>
          <w:rFonts w:hAnsi="宋体"/>
          <w:sz w:val="24"/>
          <w:u w:val="single"/>
        </w:rPr>
      </w:pPr>
      <w:r>
        <w:rPr>
          <w:rFonts w:hint="eastAsia" w:hAnsi="宋体"/>
          <w:sz w:val="24"/>
        </w:rPr>
        <w:t>授权代表签字：</w:t>
      </w:r>
    </w:p>
    <w:p>
      <w:pPr>
        <w:widowControl/>
        <w:spacing w:line="360" w:lineRule="atLeast"/>
        <w:ind w:firstLine="470" w:firstLineChars="196"/>
        <w:jc w:val="left"/>
        <w:rPr>
          <w:rFonts w:hAnsi="宋体"/>
          <w:sz w:val="24"/>
        </w:rPr>
      </w:pPr>
      <w:r>
        <w:rPr>
          <w:rFonts w:hint="eastAsia" w:hAnsi="宋体"/>
          <w:sz w:val="24"/>
        </w:rPr>
        <w:t>投标人名称：（单位盖章）</w:t>
      </w:r>
    </w:p>
    <w:p>
      <w:pPr>
        <w:widowControl/>
        <w:spacing w:line="360" w:lineRule="atLeast"/>
        <w:ind w:firstLine="470" w:firstLineChars="196"/>
        <w:jc w:val="left"/>
        <w:rPr>
          <w:rFonts w:hAnsi="宋体"/>
          <w:sz w:val="24"/>
          <w:u w:val="single"/>
        </w:rPr>
      </w:pPr>
      <w:r>
        <w:rPr>
          <w:rFonts w:hint="eastAsia" w:hAnsi="宋体"/>
          <w:sz w:val="24"/>
        </w:rPr>
        <w:t>日期：</w:t>
      </w:r>
    </w:p>
    <w:p>
      <w:pPr>
        <w:widowControl/>
        <w:spacing w:line="360" w:lineRule="atLeast"/>
        <w:jc w:val="left"/>
        <w:rPr>
          <w:rFonts w:hAnsi="宋体"/>
          <w:b/>
          <w:sz w:val="28"/>
          <w:szCs w:val="28"/>
        </w:rPr>
      </w:pPr>
      <w:bookmarkStart w:id="187" w:name="_Toc217446084"/>
    </w:p>
    <w:p>
      <w:pPr>
        <w:widowControl/>
        <w:spacing w:line="360" w:lineRule="atLeast"/>
        <w:jc w:val="left"/>
        <w:rPr>
          <w:rFonts w:hAnsi="宋体"/>
          <w:b/>
          <w:sz w:val="28"/>
          <w:szCs w:val="28"/>
        </w:rPr>
      </w:pPr>
    </w:p>
    <w:p>
      <w:pPr>
        <w:widowControl/>
        <w:spacing w:line="360" w:lineRule="atLeast"/>
        <w:ind w:firstLine="470" w:firstLineChars="196"/>
        <w:jc w:val="left"/>
        <w:rPr>
          <w:rFonts w:hAnsi="宋体"/>
          <w:sz w:val="24"/>
        </w:rPr>
      </w:pPr>
      <w:bookmarkStart w:id="188" w:name="_Toc6969"/>
      <w:bookmarkStart w:id="189" w:name="_Toc1712"/>
      <w:bookmarkStart w:id="190" w:name="_Toc7823"/>
      <w:bookmarkStart w:id="191" w:name="_Toc23666"/>
      <w:r>
        <w:rPr>
          <w:rFonts w:hint="eastAsia" w:hAnsi="宋体"/>
          <w:sz w:val="24"/>
        </w:rPr>
        <w:t>附：1、法定代表人身份证</w:t>
      </w:r>
      <w:bookmarkEnd w:id="188"/>
      <w:bookmarkEnd w:id="189"/>
      <w:bookmarkEnd w:id="190"/>
      <w:bookmarkEnd w:id="191"/>
    </w:p>
    <w:p>
      <w:pPr>
        <w:widowControl/>
        <w:spacing w:line="360" w:lineRule="atLeast"/>
        <w:ind w:firstLine="470" w:firstLineChars="196"/>
        <w:jc w:val="left"/>
        <w:rPr>
          <w:rFonts w:hAnsi="宋体"/>
          <w:sz w:val="24"/>
        </w:rPr>
      </w:pPr>
      <w:bookmarkStart w:id="192" w:name="_Toc14553"/>
      <w:r>
        <w:rPr>
          <w:rFonts w:hint="eastAsia" w:hAnsi="宋体"/>
          <w:sz w:val="24"/>
        </w:rPr>
        <w:t>2、授权代表身份证</w:t>
      </w:r>
      <w:bookmarkEnd w:id="192"/>
    </w:p>
    <w:p>
      <w:pPr>
        <w:widowControl/>
        <w:spacing w:line="360" w:lineRule="atLeast"/>
        <w:ind w:firstLine="470" w:firstLineChars="196"/>
        <w:jc w:val="left"/>
        <w:rPr>
          <w:rFonts w:hAnsi="宋体"/>
          <w:sz w:val="24"/>
        </w:rPr>
      </w:pPr>
      <w:bookmarkStart w:id="193" w:name="_Toc16773"/>
      <w:r>
        <w:rPr>
          <w:rFonts w:hint="eastAsia" w:hAnsi="宋体"/>
          <w:sz w:val="24"/>
        </w:rPr>
        <w:t>（注：身份证应双面复印或扫描，复印或扫描页盖有供应商鲜章）</w:t>
      </w:r>
      <w:bookmarkEnd w:id="193"/>
    </w:p>
    <w:p>
      <w:pPr>
        <w:widowControl/>
        <w:spacing w:line="360" w:lineRule="atLeast"/>
        <w:jc w:val="left"/>
        <w:rPr>
          <w:rFonts w:hAnsi="宋体"/>
          <w:b/>
          <w:sz w:val="28"/>
          <w:szCs w:val="28"/>
        </w:rPr>
      </w:pPr>
    </w:p>
    <w:bookmarkEnd w:id="187"/>
    <w:p>
      <w:pPr>
        <w:rPr>
          <w:rFonts w:ascii="黑体" w:eastAsia="黑体"/>
          <w:b/>
          <w:sz w:val="32"/>
          <w:szCs w:val="32"/>
        </w:rPr>
      </w:pPr>
      <w:r>
        <w:rPr>
          <w:rFonts w:hint="eastAsia" w:ascii="黑体" w:eastAsia="黑体"/>
          <w:b/>
          <w:sz w:val="32"/>
          <w:szCs w:val="32"/>
        </w:rPr>
        <w:br w:type="page"/>
      </w:r>
    </w:p>
    <w:p>
      <w:pPr>
        <w:widowControl/>
        <w:spacing w:line="360" w:lineRule="atLeast"/>
        <w:jc w:val="center"/>
        <w:outlineLvl w:val="1"/>
        <w:rPr>
          <w:rFonts w:ascii="黑体" w:eastAsia="黑体"/>
          <w:b/>
          <w:sz w:val="32"/>
          <w:szCs w:val="32"/>
        </w:rPr>
      </w:pPr>
      <w:r>
        <w:rPr>
          <w:rFonts w:hint="eastAsia" w:ascii="黑体" w:eastAsia="黑体"/>
          <w:b/>
          <w:sz w:val="32"/>
          <w:szCs w:val="32"/>
        </w:rPr>
        <w:t>四、开标一览表</w:t>
      </w:r>
    </w:p>
    <w:p>
      <w:pPr>
        <w:widowControl/>
        <w:spacing w:line="360" w:lineRule="atLeast"/>
        <w:ind w:firstLine="472" w:firstLineChars="196"/>
        <w:jc w:val="left"/>
        <w:outlineLvl w:val="9"/>
        <w:rPr>
          <w:b/>
          <w:sz w:val="24"/>
        </w:rPr>
      </w:pPr>
    </w:p>
    <w:p>
      <w:pPr>
        <w:widowControl/>
        <w:spacing w:line="360" w:lineRule="atLeast"/>
        <w:ind w:firstLine="470" w:firstLineChars="196"/>
        <w:jc w:val="left"/>
        <w:outlineLvl w:val="1"/>
        <w:rPr>
          <w:rFonts w:hint="eastAsia"/>
          <w:sz w:val="24"/>
          <w:szCs w:val="22"/>
        </w:rPr>
      </w:pPr>
      <w:r>
        <w:rPr>
          <w:rFonts w:hint="eastAsia"/>
          <w:sz w:val="24"/>
        </w:rPr>
        <w:t>项目名</w:t>
      </w:r>
      <w:r>
        <w:rPr>
          <w:rFonts w:hint="eastAsia"/>
          <w:sz w:val="24"/>
          <w:szCs w:val="22"/>
        </w:rPr>
        <w:t>称：</w:t>
      </w:r>
    </w:p>
    <w:p>
      <w:pPr>
        <w:widowControl/>
        <w:spacing w:line="360" w:lineRule="atLeast"/>
        <w:ind w:firstLine="470" w:firstLineChars="196"/>
        <w:jc w:val="left"/>
        <w:outlineLvl w:val="1"/>
        <w:rPr>
          <w:rFonts w:hint="eastAsia"/>
          <w:sz w:val="24"/>
          <w:szCs w:val="22"/>
        </w:rPr>
      </w:pPr>
      <w:r>
        <w:rPr>
          <w:rFonts w:hint="eastAsia"/>
          <w:sz w:val="24"/>
          <w:szCs w:val="22"/>
        </w:rPr>
        <w:t>招标编号：</w:t>
      </w:r>
    </w:p>
    <w:p>
      <w:pPr>
        <w:widowControl/>
        <w:spacing w:line="360" w:lineRule="atLeast"/>
        <w:ind w:firstLine="470" w:firstLineChars="196"/>
        <w:outlineLvl w:val="1"/>
        <w:rPr>
          <w:rFonts w:hint="eastAsia"/>
          <w:color w:val="auto"/>
          <w:sz w:val="24"/>
          <w:szCs w:val="22"/>
        </w:rPr>
      </w:pPr>
      <w:r>
        <w:rPr>
          <w:rFonts w:hint="eastAsia" w:hAnsi="Times New Roman" w:cs="Times New Roman"/>
          <w:sz w:val="24"/>
          <w:szCs w:val="22"/>
          <w:lang w:eastAsia="zh-CN"/>
        </w:rPr>
        <w:t>包件号：</w:t>
      </w:r>
      <w:r>
        <w:rPr>
          <w:rFonts w:hint="eastAsia" w:hAnsi="Times New Roman" w:cs="Times New Roman"/>
          <w:sz w:val="24"/>
          <w:szCs w:val="22"/>
          <w:lang w:val="en-US" w:eastAsia="zh-CN"/>
        </w:rPr>
        <w:t xml:space="preserve">  </w:t>
      </w:r>
    </w:p>
    <w:p>
      <w:pPr>
        <w:pStyle w:val="61"/>
        <w:rPr>
          <w:color w:val="auto"/>
        </w:rPr>
      </w:pPr>
    </w:p>
    <w:tbl>
      <w:tblPr>
        <w:tblStyle w:val="47"/>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252"/>
        <w:gridCol w:w="1937"/>
        <w:gridCol w:w="2386"/>
        <w:gridCol w:w="1176"/>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96" w:type="dxa"/>
            <w:vAlign w:val="center"/>
          </w:tcPr>
          <w:p>
            <w:pPr>
              <w:pStyle w:val="270"/>
              <w:jc w:val="center"/>
              <w:rPr>
                <w:rFonts w:hAnsi="宋体" w:eastAsia="宋体" w:cs="宋体"/>
                <w:sz w:val="24"/>
              </w:rPr>
            </w:pPr>
            <w:bookmarkStart w:id="194" w:name="_Toc489628343"/>
            <w:bookmarkStart w:id="195" w:name="_Toc489628644"/>
            <w:bookmarkStart w:id="196" w:name="_Toc489628425"/>
            <w:r>
              <w:rPr>
                <w:rFonts w:hint="eastAsia" w:hAnsi="宋体" w:eastAsia="宋体" w:cs="宋体"/>
                <w:sz w:val="24"/>
              </w:rPr>
              <w:t>序号</w:t>
            </w:r>
            <w:bookmarkEnd w:id="194"/>
            <w:bookmarkEnd w:id="195"/>
            <w:bookmarkEnd w:id="196"/>
          </w:p>
        </w:tc>
        <w:tc>
          <w:tcPr>
            <w:tcW w:w="2252" w:type="dxa"/>
            <w:vAlign w:val="center"/>
          </w:tcPr>
          <w:p>
            <w:pPr>
              <w:pStyle w:val="270"/>
              <w:jc w:val="center"/>
              <w:rPr>
                <w:rFonts w:hAnsi="宋体" w:eastAsia="宋体" w:cs="宋体"/>
                <w:sz w:val="24"/>
              </w:rPr>
            </w:pPr>
            <w:bookmarkStart w:id="197" w:name="_Toc489628344"/>
            <w:bookmarkStart w:id="198" w:name="_Toc489628645"/>
            <w:bookmarkStart w:id="199" w:name="_Toc489628426"/>
            <w:r>
              <w:rPr>
                <w:rFonts w:hint="eastAsia" w:hAnsi="宋体" w:eastAsia="宋体" w:cs="宋体"/>
                <w:sz w:val="24"/>
              </w:rPr>
              <w:t>项目</w:t>
            </w:r>
            <w:bookmarkEnd w:id="197"/>
            <w:bookmarkEnd w:id="198"/>
            <w:bookmarkEnd w:id="199"/>
            <w:bookmarkStart w:id="200" w:name="_Toc489628646"/>
            <w:bookmarkStart w:id="201" w:name="_Toc489628427"/>
            <w:bookmarkStart w:id="202" w:name="_Toc489628345"/>
            <w:r>
              <w:rPr>
                <w:rFonts w:hint="eastAsia" w:hAnsi="宋体" w:eastAsia="宋体" w:cs="宋体"/>
                <w:sz w:val="24"/>
              </w:rPr>
              <w:t>名称</w:t>
            </w:r>
            <w:bookmarkEnd w:id="200"/>
            <w:bookmarkEnd w:id="201"/>
            <w:bookmarkEnd w:id="202"/>
          </w:p>
        </w:tc>
        <w:tc>
          <w:tcPr>
            <w:tcW w:w="1937" w:type="dxa"/>
            <w:vAlign w:val="center"/>
          </w:tcPr>
          <w:p>
            <w:pPr>
              <w:pStyle w:val="270"/>
              <w:jc w:val="center"/>
              <w:rPr>
                <w:rFonts w:hint="eastAsia" w:hAnsi="宋体" w:eastAsia="宋体" w:cs="宋体"/>
                <w:sz w:val="24"/>
                <w:lang w:eastAsia="zh-CN"/>
              </w:rPr>
            </w:pPr>
            <w:r>
              <w:rPr>
                <w:rFonts w:hint="eastAsia" w:hAnsi="宋体" w:eastAsia="宋体" w:cs="宋体"/>
                <w:sz w:val="24"/>
                <w:lang w:eastAsia="zh-CN"/>
              </w:rPr>
              <w:t>采购</w:t>
            </w:r>
            <w:r>
              <w:rPr>
                <w:rFonts w:hint="eastAsia" w:hAnsi="宋体" w:eastAsia="宋体" w:cs="宋体"/>
                <w:sz w:val="24"/>
              </w:rPr>
              <w:t>服务</w:t>
            </w:r>
            <w:r>
              <w:rPr>
                <w:rFonts w:hint="eastAsia" w:hAnsi="宋体" w:eastAsia="宋体" w:cs="宋体"/>
                <w:sz w:val="24"/>
                <w:lang w:eastAsia="zh-CN"/>
              </w:rPr>
              <w:t>范围</w:t>
            </w:r>
          </w:p>
        </w:tc>
        <w:tc>
          <w:tcPr>
            <w:tcW w:w="2386" w:type="dxa"/>
            <w:vAlign w:val="center"/>
          </w:tcPr>
          <w:p>
            <w:pPr>
              <w:pStyle w:val="270"/>
              <w:jc w:val="center"/>
              <w:rPr>
                <w:rFonts w:hAnsi="宋体" w:eastAsia="宋体" w:cs="宋体"/>
                <w:sz w:val="24"/>
              </w:rPr>
            </w:pPr>
            <w:bookmarkStart w:id="203" w:name="_Toc489628349"/>
            <w:bookmarkStart w:id="204" w:name="_Toc489628650"/>
            <w:bookmarkStart w:id="205" w:name="_Toc489628431"/>
            <w:r>
              <w:rPr>
                <w:rFonts w:hint="eastAsia" w:hAnsi="宋体" w:eastAsia="宋体" w:cs="宋体"/>
                <w:sz w:val="24"/>
              </w:rPr>
              <w:t>投标</w:t>
            </w:r>
            <w:bookmarkEnd w:id="203"/>
            <w:bookmarkEnd w:id="204"/>
            <w:bookmarkEnd w:id="205"/>
            <w:r>
              <w:rPr>
                <w:rFonts w:hint="eastAsia" w:hAnsi="宋体" w:eastAsia="宋体" w:cs="宋体"/>
                <w:sz w:val="24"/>
              </w:rPr>
              <w:t>报价</w:t>
            </w:r>
          </w:p>
        </w:tc>
        <w:tc>
          <w:tcPr>
            <w:tcW w:w="1176" w:type="dxa"/>
            <w:vAlign w:val="center"/>
          </w:tcPr>
          <w:p>
            <w:pPr>
              <w:pStyle w:val="270"/>
              <w:jc w:val="center"/>
              <w:rPr>
                <w:rFonts w:hAnsi="宋体" w:eastAsia="宋体" w:cs="宋体"/>
                <w:sz w:val="24"/>
              </w:rPr>
            </w:pPr>
            <w:r>
              <w:rPr>
                <w:rFonts w:hint="eastAsia" w:hAnsi="宋体" w:eastAsia="宋体" w:cs="宋体"/>
                <w:sz w:val="24"/>
              </w:rPr>
              <w:t>服务期限</w:t>
            </w:r>
          </w:p>
        </w:tc>
        <w:tc>
          <w:tcPr>
            <w:tcW w:w="1150" w:type="dxa"/>
            <w:vAlign w:val="center"/>
          </w:tcPr>
          <w:p>
            <w:pPr>
              <w:pStyle w:val="270"/>
              <w:jc w:val="center"/>
              <w:rPr>
                <w:rFonts w:hAnsi="宋体" w:eastAsia="宋体" w:cs="宋体"/>
                <w:sz w:val="24"/>
              </w:rPr>
            </w:pPr>
            <w:bookmarkStart w:id="206" w:name="_Toc489628657"/>
            <w:bookmarkStart w:id="207" w:name="_Toc489628438"/>
            <w:bookmarkStart w:id="208" w:name="_Toc489628356"/>
            <w:r>
              <w:rPr>
                <w:rFonts w:hint="eastAsia" w:hAnsi="宋体" w:eastAsia="宋体" w:cs="宋体"/>
                <w:sz w:val="24"/>
              </w:rPr>
              <w:t>备注</w:t>
            </w:r>
            <w:bookmarkEnd w:id="206"/>
            <w:bookmarkEnd w:id="207"/>
            <w:bookmarkEnd w:id="2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96" w:type="dxa"/>
          </w:tcPr>
          <w:p>
            <w:pPr>
              <w:pStyle w:val="270"/>
              <w:jc w:val="center"/>
              <w:rPr>
                <w:rFonts w:hAnsi="宋体" w:eastAsia="宋体" w:cs="宋体"/>
                <w:sz w:val="24"/>
              </w:rPr>
            </w:pPr>
          </w:p>
        </w:tc>
        <w:tc>
          <w:tcPr>
            <w:tcW w:w="2252" w:type="dxa"/>
            <w:vAlign w:val="center"/>
          </w:tcPr>
          <w:p>
            <w:pPr>
              <w:pStyle w:val="270"/>
              <w:jc w:val="center"/>
              <w:rPr>
                <w:rFonts w:hAnsi="宋体" w:eastAsia="宋体" w:cs="宋体"/>
                <w:sz w:val="24"/>
              </w:rPr>
            </w:pPr>
          </w:p>
        </w:tc>
        <w:tc>
          <w:tcPr>
            <w:tcW w:w="1937" w:type="dxa"/>
            <w:vAlign w:val="center"/>
          </w:tcPr>
          <w:p>
            <w:pPr>
              <w:pStyle w:val="270"/>
              <w:jc w:val="center"/>
              <w:rPr>
                <w:rFonts w:hAnsi="宋体" w:eastAsia="宋体" w:cs="宋体"/>
                <w:sz w:val="24"/>
              </w:rPr>
            </w:pPr>
          </w:p>
        </w:tc>
        <w:tc>
          <w:tcPr>
            <w:tcW w:w="2386" w:type="dxa"/>
            <w:vAlign w:val="center"/>
          </w:tcPr>
          <w:p>
            <w:pPr>
              <w:pStyle w:val="270"/>
              <w:jc w:val="center"/>
              <w:rPr>
                <w:rFonts w:hAnsi="宋体" w:eastAsia="宋体" w:cs="宋体"/>
                <w:sz w:val="24"/>
              </w:rPr>
            </w:pPr>
            <w:r>
              <w:rPr>
                <w:rFonts w:hint="eastAsia" w:hAnsi="宋体" w:eastAsia="宋体" w:cs="宋体"/>
                <w:sz w:val="24"/>
                <w:lang w:eastAsia="zh-CN"/>
              </w:rPr>
              <w:t>最高限价的</w:t>
            </w:r>
            <w:r>
              <w:rPr>
                <w:rFonts w:hint="eastAsia" w:hAnsi="宋体" w:eastAsia="宋体" w:cs="宋体"/>
                <w:sz w:val="24"/>
                <w:lang w:val="en-US" w:eastAsia="zh-CN"/>
              </w:rPr>
              <w:t xml:space="preserve">     %</w:t>
            </w:r>
          </w:p>
        </w:tc>
        <w:tc>
          <w:tcPr>
            <w:tcW w:w="1176" w:type="dxa"/>
            <w:vAlign w:val="center"/>
          </w:tcPr>
          <w:p>
            <w:pPr>
              <w:pStyle w:val="270"/>
              <w:jc w:val="center"/>
              <w:rPr>
                <w:rFonts w:hAnsi="宋体" w:eastAsia="宋体" w:cs="宋体"/>
                <w:sz w:val="24"/>
              </w:rPr>
            </w:pPr>
          </w:p>
        </w:tc>
        <w:tc>
          <w:tcPr>
            <w:tcW w:w="1150" w:type="dxa"/>
            <w:vAlign w:val="center"/>
          </w:tcPr>
          <w:p>
            <w:pPr>
              <w:pStyle w:val="270"/>
              <w:jc w:val="center"/>
              <w:rPr>
                <w:rFonts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96" w:type="dxa"/>
          </w:tcPr>
          <w:p>
            <w:pPr>
              <w:pStyle w:val="270"/>
              <w:jc w:val="center"/>
              <w:rPr>
                <w:rFonts w:hAnsi="宋体" w:eastAsia="宋体" w:cs="宋体"/>
                <w:sz w:val="24"/>
              </w:rPr>
            </w:pPr>
          </w:p>
        </w:tc>
        <w:tc>
          <w:tcPr>
            <w:tcW w:w="2252" w:type="dxa"/>
            <w:vAlign w:val="center"/>
          </w:tcPr>
          <w:p>
            <w:pPr>
              <w:pStyle w:val="270"/>
              <w:jc w:val="center"/>
              <w:rPr>
                <w:rFonts w:hAnsi="宋体" w:eastAsia="宋体" w:cs="宋体"/>
                <w:sz w:val="24"/>
              </w:rPr>
            </w:pPr>
          </w:p>
        </w:tc>
        <w:tc>
          <w:tcPr>
            <w:tcW w:w="1937" w:type="dxa"/>
            <w:vAlign w:val="center"/>
          </w:tcPr>
          <w:p>
            <w:pPr>
              <w:pStyle w:val="270"/>
              <w:jc w:val="center"/>
              <w:rPr>
                <w:rFonts w:hAnsi="宋体" w:eastAsia="宋体" w:cs="宋体"/>
                <w:sz w:val="24"/>
              </w:rPr>
            </w:pPr>
          </w:p>
        </w:tc>
        <w:tc>
          <w:tcPr>
            <w:tcW w:w="2386" w:type="dxa"/>
            <w:vAlign w:val="center"/>
          </w:tcPr>
          <w:p>
            <w:pPr>
              <w:pStyle w:val="270"/>
              <w:jc w:val="center"/>
              <w:rPr>
                <w:rFonts w:hAnsi="宋体" w:eastAsia="宋体" w:cs="宋体"/>
                <w:sz w:val="24"/>
              </w:rPr>
            </w:pPr>
          </w:p>
        </w:tc>
        <w:tc>
          <w:tcPr>
            <w:tcW w:w="1176" w:type="dxa"/>
            <w:vAlign w:val="center"/>
          </w:tcPr>
          <w:p>
            <w:pPr>
              <w:pStyle w:val="270"/>
              <w:jc w:val="center"/>
              <w:rPr>
                <w:rFonts w:hAnsi="宋体" w:eastAsia="宋体" w:cs="宋体"/>
                <w:sz w:val="24"/>
              </w:rPr>
            </w:pPr>
          </w:p>
        </w:tc>
        <w:tc>
          <w:tcPr>
            <w:tcW w:w="1150" w:type="dxa"/>
            <w:vAlign w:val="center"/>
          </w:tcPr>
          <w:p>
            <w:pPr>
              <w:pStyle w:val="270"/>
              <w:jc w:val="center"/>
              <w:rPr>
                <w:rFonts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96" w:type="dxa"/>
          </w:tcPr>
          <w:p>
            <w:pPr>
              <w:pStyle w:val="270"/>
              <w:jc w:val="center"/>
              <w:rPr>
                <w:rFonts w:hAnsi="宋体" w:eastAsia="宋体" w:cs="宋体"/>
                <w:sz w:val="24"/>
              </w:rPr>
            </w:pPr>
          </w:p>
        </w:tc>
        <w:tc>
          <w:tcPr>
            <w:tcW w:w="2252" w:type="dxa"/>
            <w:vAlign w:val="center"/>
          </w:tcPr>
          <w:p>
            <w:pPr>
              <w:pStyle w:val="270"/>
              <w:jc w:val="center"/>
              <w:rPr>
                <w:rFonts w:hAnsi="宋体" w:eastAsia="宋体" w:cs="宋体"/>
                <w:sz w:val="24"/>
              </w:rPr>
            </w:pPr>
          </w:p>
        </w:tc>
        <w:tc>
          <w:tcPr>
            <w:tcW w:w="1937" w:type="dxa"/>
            <w:vAlign w:val="center"/>
          </w:tcPr>
          <w:p>
            <w:pPr>
              <w:pStyle w:val="270"/>
              <w:jc w:val="center"/>
              <w:rPr>
                <w:rFonts w:hAnsi="宋体" w:eastAsia="宋体" w:cs="宋体"/>
                <w:sz w:val="24"/>
              </w:rPr>
            </w:pPr>
          </w:p>
        </w:tc>
        <w:tc>
          <w:tcPr>
            <w:tcW w:w="2386" w:type="dxa"/>
            <w:vAlign w:val="center"/>
          </w:tcPr>
          <w:p>
            <w:pPr>
              <w:pStyle w:val="270"/>
              <w:jc w:val="center"/>
              <w:rPr>
                <w:rFonts w:hAnsi="宋体" w:eastAsia="宋体" w:cs="宋体"/>
                <w:sz w:val="24"/>
              </w:rPr>
            </w:pPr>
          </w:p>
        </w:tc>
        <w:tc>
          <w:tcPr>
            <w:tcW w:w="1176" w:type="dxa"/>
            <w:vAlign w:val="center"/>
          </w:tcPr>
          <w:p>
            <w:pPr>
              <w:pStyle w:val="270"/>
              <w:jc w:val="center"/>
              <w:rPr>
                <w:rFonts w:hAnsi="宋体" w:eastAsia="宋体" w:cs="宋体"/>
                <w:sz w:val="24"/>
              </w:rPr>
            </w:pPr>
          </w:p>
        </w:tc>
        <w:tc>
          <w:tcPr>
            <w:tcW w:w="1150" w:type="dxa"/>
            <w:vAlign w:val="center"/>
          </w:tcPr>
          <w:p>
            <w:pPr>
              <w:pStyle w:val="270"/>
              <w:jc w:val="center"/>
              <w:rPr>
                <w:rFonts w:hAnsi="宋体" w:eastAsia="宋体" w:cs="宋体"/>
                <w:sz w:val="24"/>
              </w:rPr>
            </w:pPr>
          </w:p>
        </w:tc>
      </w:tr>
    </w:tbl>
    <w:p>
      <w:pPr>
        <w:widowControl/>
        <w:spacing w:line="360" w:lineRule="atLeast"/>
        <w:jc w:val="left"/>
        <w:outlineLvl w:val="9"/>
        <w:rPr>
          <w:sz w:val="24"/>
        </w:rPr>
      </w:pPr>
    </w:p>
    <w:p>
      <w:pPr>
        <w:widowControl/>
        <w:spacing w:line="360" w:lineRule="atLeast"/>
        <w:ind w:firstLine="470" w:firstLineChars="196"/>
        <w:jc w:val="left"/>
        <w:outlineLvl w:val="1"/>
        <w:rPr>
          <w:sz w:val="24"/>
        </w:rPr>
      </w:pPr>
      <w:r>
        <w:rPr>
          <w:rFonts w:hint="eastAsia"/>
          <w:sz w:val="24"/>
        </w:rPr>
        <w:t>注：</w:t>
      </w:r>
      <w:r>
        <w:rPr>
          <w:rFonts w:hint="eastAsia"/>
          <w:sz w:val="24"/>
          <w:szCs w:val="22"/>
        </w:rPr>
        <w:t xml:space="preserve">1. </w:t>
      </w:r>
      <w:r>
        <w:rPr>
          <w:rFonts w:hint="eastAsia" w:hAnsi="宋体"/>
          <w:color w:val="auto"/>
          <w:sz w:val="24"/>
          <w:szCs w:val="22"/>
        </w:rPr>
        <w:t>报价是投标人响应招标项目要求的全部工作内容的价格体现，包括投标人完成本项目所需的一切费用</w:t>
      </w:r>
      <w:r>
        <w:rPr>
          <w:rFonts w:hint="eastAsia"/>
          <w:sz w:val="24"/>
        </w:rPr>
        <w:t>。</w:t>
      </w:r>
    </w:p>
    <w:p>
      <w:pPr>
        <w:widowControl/>
        <w:spacing w:line="360" w:lineRule="atLeast"/>
        <w:ind w:firstLine="470" w:firstLineChars="196"/>
        <w:jc w:val="left"/>
        <w:outlineLvl w:val="1"/>
        <w:rPr>
          <w:sz w:val="24"/>
        </w:rPr>
      </w:pPr>
      <w:r>
        <w:rPr>
          <w:rFonts w:hint="eastAsia"/>
          <w:sz w:val="24"/>
        </w:rPr>
        <w:t>2.“开标一览表”为多页的，每页均需由法定代表人或授权代表签字并盖投标人印章。</w:t>
      </w:r>
    </w:p>
    <w:p>
      <w:pPr>
        <w:widowControl/>
        <w:spacing w:line="360" w:lineRule="atLeast"/>
        <w:ind w:firstLine="470" w:firstLineChars="196"/>
        <w:jc w:val="left"/>
        <w:outlineLvl w:val="9"/>
        <w:rPr>
          <w:sz w:val="24"/>
        </w:rPr>
      </w:pPr>
    </w:p>
    <w:p>
      <w:pPr>
        <w:widowControl/>
        <w:spacing w:line="360" w:lineRule="atLeast"/>
        <w:ind w:firstLine="470" w:firstLineChars="196"/>
        <w:jc w:val="left"/>
        <w:outlineLvl w:val="1"/>
        <w:rPr>
          <w:sz w:val="24"/>
        </w:rPr>
      </w:pPr>
      <w:r>
        <w:rPr>
          <w:rFonts w:hint="eastAsia"/>
          <w:sz w:val="24"/>
        </w:rPr>
        <w:t>投标人名称：（单位公章）</w:t>
      </w:r>
    </w:p>
    <w:p>
      <w:pPr>
        <w:widowControl/>
        <w:spacing w:line="360" w:lineRule="atLeast"/>
        <w:ind w:firstLine="470" w:firstLineChars="196"/>
        <w:jc w:val="left"/>
        <w:outlineLvl w:val="1"/>
        <w:rPr>
          <w:sz w:val="24"/>
        </w:rPr>
      </w:pPr>
      <w:r>
        <w:rPr>
          <w:rFonts w:hint="eastAsia"/>
          <w:sz w:val="24"/>
        </w:rPr>
        <w:t>法定代表人或授权代表（签字或加盖个人名章）：</w:t>
      </w:r>
    </w:p>
    <w:p>
      <w:pPr>
        <w:widowControl/>
        <w:spacing w:line="360" w:lineRule="atLeast"/>
        <w:ind w:firstLine="470" w:firstLineChars="196"/>
        <w:jc w:val="left"/>
        <w:outlineLvl w:val="1"/>
        <w:rPr>
          <w:b/>
          <w:sz w:val="24"/>
        </w:rPr>
        <w:sectPr>
          <w:pgSz w:w="11907" w:h="16840"/>
          <w:pgMar w:top="1440" w:right="1173" w:bottom="1440" w:left="1274" w:header="851" w:footer="992" w:gutter="0"/>
          <w:cols w:space="720" w:num="1"/>
          <w:docGrid w:linePitch="312" w:charSpace="0"/>
        </w:sectPr>
      </w:pPr>
      <w:r>
        <w:rPr>
          <w:rFonts w:hint="eastAsia"/>
          <w:sz w:val="24"/>
        </w:rPr>
        <w:t>投标日期：</w:t>
      </w:r>
    </w:p>
    <w:p>
      <w:pPr>
        <w:widowControl/>
        <w:spacing w:line="360" w:lineRule="atLeast"/>
        <w:jc w:val="center"/>
        <w:rPr>
          <w:rFonts w:hAnsi="宋体"/>
          <w:b/>
          <w:sz w:val="32"/>
          <w:szCs w:val="32"/>
        </w:rPr>
      </w:pPr>
      <w:bookmarkStart w:id="209" w:name="_Toc217446087"/>
      <w:r>
        <w:rPr>
          <w:rFonts w:hint="eastAsia" w:hAnsi="宋体"/>
          <w:b/>
          <w:sz w:val="32"/>
          <w:szCs w:val="32"/>
          <w:lang w:eastAsia="zh-CN"/>
        </w:rPr>
        <w:t>五</w:t>
      </w:r>
      <w:r>
        <w:rPr>
          <w:rFonts w:hint="eastAsia" w:hAnsi="宋体"/>
          <w:b/>
          <w:sz w:val="32"/>
          <w:szCs w:val="32"/>
        </w:rPr>
        <w:t>、商务应答表</w:t>
      </w:r>
      <w:bookmarkEnd w:id="209"/>
    </w:p>
    <w:p>
      <w:pPr>
        <w:widowControl/>
        <w:spacing w:line="360" w:lineRule="atLeast"/>
        <w:ind w:firstLine="472" w:firstLineChars="196"/>
        <w:jc w:val="left"/>
        <w:rPr>
          <w:rFonts w:hint="eastAsia" w:hAnsi="宋体"/>
          <w:b/>
          <w:sz w:val="24"/>
          <w:szCs w:val="22"/>
        </w:rPr>
      </w:pPr>
      <w:r>
        <w:rPr>
          <w:rFonts w:hint="eastAsia" w:hAnsi="宋体"/>
          <w:b/>
          <w:sz w:val="24"/>
        </w:rPr>
        <w:t>项目</w:t>
      </w:r>
      <w:r>
        <w:rPr>
          <w:rFonts w:hint="eastAsia" w:hAnsi="宋体"/>
          <w:b/>
          <w:sz w:val="24"/>
          <w:szCs w:val="22"/>
        </w:rPr>
        <w:t>名称：</w:t>
      </w:r>
    </w:p>
    <w:p>
      <w:pPr>
        <w:widowControl/>
        <w:spacing w:line="360" w:lineRule="atLeast"/>
        <w:ind w:firstLine="472" w:firstLineChars="196"/>
        <w:jc w:val="left"/>
        <w:rPr>
          <w:rFonts w:hint="eastAsia" w:hAnsi="宋体"/>
          <w:b/>
          <w:sz w:val="24"/>
          <w:szCs w:val="22"/>
        </w:rPr>
      </w:pPr>
      <w:r>
        <w:rPr>
          <w:rFonts w:hint="eastAsia" w:hAnsi="宋体"/>
          <w:b/>
          <w:sz w:val="24"/>
          <w:szCs w:val="22"/>
        </w:rPr>
        <w:t>招标编号：</w:t>
      </w:r>
    </w:p>
    <w:p>
      <w:pPr>
        <w:widowControl/>
        <w:spacing w:line="360" w:lineRule="atLeast"/>
        <w:ind w:firstLine="472" w:firstLineChars="196"/>
        <w:jc w:val="left"/>
      </w:pPr>
      <w:r>
        <w:rPr>
          <w:rFonts w:hint="eastAsia" w:hAnsi="宋体" w:cs="Times New Roman"/>
          <w:b/>
          <w:sz w:val="24"/>
          <w:szCs w:val="22"/>
          <w:lang w:eastAsia="zh-CN"/>
        </w:rPr>
        <w:t>包件号：</w:t>
      </w:r>
    </w:p>
    <w:tbl>
      <w:tblPr>
        <w:tblStyle w:val="47"/>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widowControl/>
              <w:spacing w:line="360" w:lineRule="atLeast"/>
              <w:jc w:val="left"/>
              <w:rPr>
                <w:rFonts w:hAnsi="宋体"/>
                <w:sz w:val="24"/>
              </w:rPr>
            </w:pPr>
            <w:r>
              <w:rPr>
                <w:rFonts w:hint="eastAsia" w:hAnsi="宋体"/>
                <w:sz w:val="24"/>
              </w:rPr>
              <w:t>序号</w:t>
            </w:r>
          </w:p>
        </w:tc>
        <w:tc>
          <w:tcPr>
            <w:tcW w:w="956" w:type="dxa"/>
            <w:vAlign w:val="center"/>
          </w:tcPr>
          <w:p>
            <w:pPr>
              <w:widowControl/>
              <w:spacing w:line="360" w:lineRule="atLeast"/>
              <w:jc w:val="left"/>
              <w:rPr>
                <w:rFonts w:hAnsi="宋体"/>
                <w:sz w:val="24"/>
              </w:rPr>
            </w:pPr>
            <w:r>
              <w:rPr>
                <w:rFonts w:hint="eastAsia" w:hAnsi="宋体"/>
                <w:sz w:val="24"/>
              </w:rPr>
              <w:t>包号</w:t>
            </w:r>
          </w:p>
        </w:tc>
        <w:tc>
          <w:tcPr>
            <w:tcW w:w="1516" w:type="dxa"/>
            <w:vAlign w:val="center"/>
          </w:tcPr>
          <w:p>
            <w:pPr>
              <w:widowControl/>
              <w:spacing w:line="360" w:lineRule="atLeast"/>
              <w:jc w:val="left"/>
              <w:rPr>
                <w:rFonts w:hAnsi="宋体"/>
                <w:sz w:val="24"/>
              </w:rPr>
            </w:pPr>
            <w:r>
              <w:rPr>
                <w:rFonts w:hint="eastAsia" w:hAnsi="宋体"/>
                <w:sz w:val="24"/>
              </w:rPr>
              <w:t>招标要求</w:t>
            </w:r>
          </w:p>
        </w:tc>
        <w:tc>
          <w:tcPr>
            <w:tcW w:w="4852" w:type="dxa"/>
            <w:vAlign w:val="center"/>
          </w:tcPr>
          <w:p>
            <w:pPr>
              <w:widowControl/>
              <w:spacing w:line="360" w:lineRule="atLeast"/>
              <w:ind w:firstLine="470" w:firstLineChars="196"/>
              <w:jc w:val="left"/>
              <w:rPr>
                <w:rFonts w:hAnsi="宋体"/>
                <w:sz w:val="24"/>
              </w:rPr>
            </w:pPr>
            <w:r>
              <w:rPr>
                <w:rFonts w:hint="eastAsia" w:hAnsi="宋体"/>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widowControl/>
              <w:spacing w:line="360" w:lineRule="atLeast"/>
              <w:ind w:firstLine="470" w:firstLineChars="196"/>
              <w:jc w:val="left"/>
              <w:rPr>
                <w:rFonts w:hAnsi="宋体"/>
                <w:sz w:val="24"/>
              </w:rPr>
            </w:pPr>
          </w:p>
        </w:tc>
        <w:tc>
          <w:tcPr>
            <w:tcW w:w="956" w:type="dxa"/>
          </w:tcPr>
          <w:p>
            <w:pPr>
              <w:widowControl/>
              <w:spacing w:line="360" w:lineRule="atLeast"/>
              <w:ind w:firstLine="470" w:firstLineChars="196"/>
              <w:jc w:val="left"/>
              <w:rPr>
                <w:rFonts w:hAnsi="宋体"/>
                <w:sz w:val="24"/>
              </w:rPr>
            </w:pPr>
          </w:p>
        </w:tc>
        <w:tc>
          <w:tcPr>
            <w:tcW w:w="1516" w:type="dxa"/>
          </w:tcPr>
          <w:p>
            <w:pPr>
              <w:widowControl/>
              <w:spacing w:line="360" w:lineRule="atLeast"/>
              <w:ind w:firstLine="470" w:firstLineChars="196"/>
              <w:jc w:val="left"/>
              <w:rPr>
                <w:rFonts w:hAnsi="宋体"/>
                <w:sz w:val="24"/>
              </w:rPr>
            </w:pPr>
          </w:p>
        </w:tc>
        <w:tc>
          <w:tcPr>
            <w:tcW w:w="4852" w:type="dxa"/>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widowControl/>
              <w:spacing w:line="360" w:lineRule="atLeast"/>
              <w:ind w:firstLine="470" w:firstLineChars="196"/>
              <w:jc w:val="left"/>
              <w:rPr>
                <w:rFonts w:hAnsi="宋体"/>
                <w:sz w:val="24"/>
              </w:rPr>
            </w:pPr>
          </w:p>
        </w:tc>
        <w:tc>
          <w:tcPr>
            <w:tcW w:w="956" w:type="dxa"/>
          </w:tcPr>
          <w:p>
            <w:pPr>
              <w:widowControl/>
              <w:spacing w:line="360" w:lineRule="atLeast"/>
              <w:ind w:firstLine="470" w:firstLineChars="196"/>
              <w:jc w:val="left"/>
              <w:rPr>
                <w:rFonts w:hAnsi="宋体"/>
                <w:sz w:val="24"/>
              </w:rPr>
            </w:pPr>
          </w:p>
        </w:tc>
        <w:tc>
          <w:tcPr>
            <w:tcW w:w="1516" w:type="dxa"/>
          </w:tcPr>
          <w:p>
            <w:pPr>
              <w:widowControl/>
              <w:spacing w:line="360" w:lineRule="atLeast"/>
              <w:ind w:firstLine="470" w:firstLineChars="196"/>
              <w:jc w:val="left"/>
              <w:rPr>
                <w:rFonts w:hAnsi="宋体"/>
                <w:sz w:val="24"/>
              </w:rPr>
            </w:pPr>
          </w:p>
        </w:tc>
        <w:tc>
          <w:tcPr>
            <w:tcW w:w="4852" w:type="dxa"/>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widowControl/>
              <w:spacing w:line="360" w:lineRule="atLeast"/>
              <w:ind w:firstLine="470" w:firstLineChars="196"/>
              <w:jc w:val="left"/>
              <w:rPr>
                <w:rFonts w:hAnsi="宋体"/>
                <w:sz w:val="24"/>
              </w:rPr>
            </w:pPr>
          </w:p>
        </w:tc>
        <w:tc>
          <w:tcPr>
            <w:tcW w:w="956" w:type="dxa"/>
          </w:tcPr>
          <w:p>
            <w:pPr>
              <w:widowControl/>
              <w:spacing w:line="360" w:lineRule="atLeast"/>
              <w:ind w:firstLine="470" w:firstLineChars="196"/>
              <w:jc w:val="left"/>
              <w:rPr>
                <w:rFonts w:hAnsi="宋体"/>
                <w:sz w:val="24"/>
              </w:rPr>
            </w:pPr>
          </w:p>
        </w:tc>
        <w:tc>
          <w:tcPr>
            <w:tcW w:w="1516" w:type="dxa"/>
          </w:tcPr>
          <w:p>
            <w:pPr>
              <w:widowControl/>
              <w:spacing w:line="360" w:lineRule="atLeast"/>
              <w:ind w:firstLine="470" w:firstLineChars="196"/>
              <w:jc w:val="left"/>
              <w:rPr>
                <w:rFonts w:hAnsi="宋体"/>
                <w:sz w:val="24"/>
              </w:rPr>
            </w:pPr>
          </w:p>
        </w:tc>
        <w:tc>
          <w:tcPr>
            <w:tcW w:w="4852" w:type="dxa"/>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widowControl/>
              <w:spacing w:line="360" w:lineRule="atLeast"/>
              <w:ind w:firstLine="470" w:firstLineChars="196"/>
              <w:jc w:val="left"/>
              <w:rPr>
                <w:rFonts w:hAnsi="宋体"/>
                <w:sz w:val="24"/>
              </w:rPr>
            </w:pPr>
          </w:p>
        </w:tc>
        <w:tc>
          <w:tcPr>
            <w:tcW w:w="956" w:type="dxa"/>
          </w:tcPr>
          <w:p>
            <w:pPr>
              <w:widowControl/>
              <w:spacing w:line="360" w:lineRule="atLeast"/>
              <w:ind w:firstLine="470" w:firstLineChars="196"/>
              <w:jc w:val="left"/>
              <w:rPr>
                <w:rFonts w:hAnsi="宋体"/>
                <w:sz w:val="24"/>
              </w:rPr>
            </w:pPr>
          </w:p>
        </w:tc>
        <w:tc>
          <w:tcPr>
            <w:tcW w:w="1516" w:type="dxa"/>
          </w:tcPr>
          <w:p>
            <w:pPr>
              <w:widowControl/>
              <w:spacing w:line="360" w:lineRule="atLeast"/>
              <w:ind w:firstLine="470" w:firstLineChars="196"/>
              <w:jc w:val="left"/>
              <w:rPr>
                <w:rFonts w:hAnsi="宋体"/>
                <w:sz w:val="24"/>
              </w:rPr>
            </w:pPr>
          </w:p>
        </w:tc>
        <w:tc>
          <w:tcPr>
            <w:tcW w:w="4852" w:type="dxa"/>
          </w:tcPr>
          <w:p>
            <w:pPr>
              <w:widowControl/>
              <w:spacing w:line="360" w:lineRule="atLeast"/>
              <w:ind w:firstLine="470" w:firstLineChars="196"/>
              <w:jc w:val="left"/>
              <w:rPr>
                <w:rFonts w:hAnsi="宋体"/>
                <w:sz w:val="24"/>
              </w:rPr>
            </w:pPr>
          </w:p>
        </w:tc>
      </w:tr>
    </w:tbl>
    <w:p>
      <w:pPr>
        <w:widowControl/>
        <w:spacing w:line="360" w:lineRule="atLeast"/>
        <w:ind w:firstLine="470" w:firstLineChars="196"/>
        <w:jc w:val="left"/>
        <w:rPr>
          <w:rFonts w:hint="eastAsia" w:hAnsi="宋体"/>
          <w:sz w:val="24"/>
        </w:rPr>
      </w:pPr>
      <w:r>
        <w:rPr>
          <w:rFonts w:hint="eastAsia" w:hAnsi="宋体"/>
          <w:sz w:val="24"/>
        </w:rPr>
        <w:t>注：</w:t>
      </w:r>
    </w:p>
    <w:p>
      <w:pPr>
        <w:widowControl/>
        <w:numPr>
          <w:ilvl w:val="0"/>
          <w:numId w:val="3"/>
        </w:numPr>
        <w:spacing w:line="360" w:lineRule="atLeast"/>
        <w:ind w:firstLine="470" w:firstLineChars="196"/>
        <w:jc w:val="left"/>
        <w:rPr>
          <w:rFonts w:hint="eastAsia" w:hAnsi="宋体"/>
          <w:sz w:val="24"/>
        </w:rPr>
      </w:pPr>
      <w:r>
        <w:rPr>
          <w:rFonts w:hint="eastAsia" w:hAnsi="宋体" w:cs="Times New Roman"/>
          <w:sz w:val="24"/>
          <w:szCs w:val="20"/>
        </w:rPr>
        <w:t>本表只填写响应文件中与</w:t>
      </w:r>
      <w:r>
        <w:rPr>
          <w:rFonts w:hint="eastAsia" w:hAnsi="宋体" w:cs="Times New Roman"/>
          <w:sz w:val="24"/>
          <w:szCs w:val="20"/>
          <w:lang w:eastAsia="zh-CN"/>
        </w:rPr>
        <w:t>招标</w:t>
      </w:r>
      <w:r>
        <w:rPr>
          <w:rFonts w:hint="eastAsia" w:hAnsi="宋体" w:cs="Times New Roman"/>
          <w:sz w:val="24"/>
          <w:szCs w:val="20"/>
        </w:rPr>
        <w:t>文件</w:t>
      </w:r>
      <w:r>
        <w:rPr>
          <w:rFonts w:hint="eastAsia" w:hAnsi="宋体"/>
          <w:sz w:val="24"/>
        </w:rPr>
        <w:t>第六章</w:t>
      </w:r>
      <w:r>
        <w:rPr>
          <w:rFonts w:hint="eastAsia" w:hAnsi="宋体" w:cs="Times New Roman"/>
          <w:b w:val="0"/>
          <w:sz w:val="24"/>
          <w:szCs w:val="20"/>
          <w:lang w:eastAsia="zh-CN"/>
        </w:rPr>
        <w:t>商务</w:t>
      </w:r>
      <w:r>
        <w:rPr>
          <w:rFonts w:hint="eastAsia" w:ascii="宋体" w:hAnsi="宋体" w:eastAsia="宋体" w:cs="Times New Roman"/>
          <w:b w:val="0"/>
          <w:sz w:val="24"/>
          <w:szCs w:val="20"/>
        </w:rPr>
        <w:t>要求</w:t>
      </w:r>
      <w:r>
        <w:rPr>
          <w:rFonts w:hint="eastAsia" w:hAnsi="宋体" w:cs="Times New Roman"/>
          <w:sz w:val="24"/>
          <w:szCs w:val="20"/>
        </w:rPr>
        <w:t>有偏离（负偏离）的内容，响应文件中</w:t>
      </w:r>
      <w:r>
        <w:rPr>
          <w:rFonts w:hint="eastAsia" w:hAnsi="宋体" w:cs="Times New Roman"/>
          <w:b w:val="0"/>
          <w:sz w:val="24"/>
          <w:szCs w:val="20"/>
          <w:lang w:eastAsia="zh-CN"/>
        </w:rPr>
        <w:t>商务应答</w:t>
      </w:r>
      <w:r>
        <w:rPr>
          <w:rFonts w:hint="eastAsia" w:hAnsi="宋体" w:cs="Times New Roman"/>
          <w:sz w:val="24"/>
          <w:szCs w:val="20"/>
        </w:rPr>
        <w:t>响应与</w:t>
      </w:r>
      <w:r>
        <w:rPr>
          <w:rFonts w:hint="eastAsia" w:hAnsi="宋体" w:cs="Times New Roman"/>
          <w:sz w:val="24"/>
          <w:szCs w:val="20"/>
          <w:lang w:eastAsia="zh-CN"/>
        </w:rPr>
        <w:t>招标</w:t>
      </w:r>
      <w:r>
        <w:rPr>
          <w:rFonts w:hint="eastAsia" w:hAnsi="宋体" w:cs="Times New Roman"/>
          <w:sz w:val="24"/>
          <w:szCs w:val="20"/>
        </w:rPr>
        <w:t>文件要求完全一致的，可以不用在此</w:t>
      </w:r>
      <w:r>
        <w:rPr>
          <w:rFonts w:hint="eastAsia" w:hAnsi="宋体" w:cs="Times New Roman"/>
          <w:sz w:val="24"/>
          <w:szCs w:val="20"/>
          <w:lang w:eastAsia="zh-CN"/>
        </w:rPr>
        <w:t>表</w:t>
      </w:r>
      <w:r>
        <w:rPr>
          <w:rFonts w:hint="eastAsia" w:hAnsi="宋体" w:cs="Times New Roman"/>
          <w:sz w:val="24"/>
          <w:szCs w:val="20"/>
        </w:rPr>
        <w:t>中列出</w:t>
      </w:r>
      <w:r>
        <w:rPr>
          <w:rFonts w:hint="eastAsia" w:hAnsi="宋体" w:cs="Times New Roman"/>
          <w:sz w:val="24"/>
          <w:szCs w:val="20"/>
          <w:lang w:eastAsia="zh-CN"/>
        </w:rPr>
        <w:t>，视同响应招标文件要求</w:t>
      </w:r>
      <w:r>
        <w:rPr>
          <w:rFonts w:hint="eastAsia" w:hAnsi="宋体"/>
          <w:sz w:val="24"/>
        </w:rPr>
        <w:t>。</w:t>
      </w:r>
    </w:p>
    <w:p>
      <w:pPr>
        <w:widowControl/>
        <w:numPr>
          <w:ilvl w:val="-1"/>
          <w:numId w:val="0"/>
        </w:numPr>
        <w:spacing w:line="360" w:lineRule="atLeast"/>
        <w:ind w:left="0" w:firstLine="470" w:firstLineChars="196"/>
        <w:jc w:val="left"/>
        <w:rPr>
          <w:rFonts w:hAnsi="宋体"/>
          <w:sz w:val="24"/>
        </w:rPr>
      </w:pPr>
      <w:r>
        <w:rPr>
          <w:rFonts w:hint="eastAsia" w:hAnsi="宋体"/>
          <w:sz w:val="24"/>
          <w:lang w:val="en-US" w:eastAsia="zh-CN"/>
        </w:rPr>
        <w:t>2.</w:t>
      </w:r>
      <w:r>
        <w:rPr>
          <w:rFonts w:hint="eastAsia" w:hAnsi="宋体"/>
          <w:sz w:val="24"/>
        </w:rPr>
        <w:t>供应商必须据实填写，不得虚假应答，否则将取消其投标或中标资格。</w:t>
      </w:r>
    </w:p>
    <w:p>
      <w:pPr>
        <w:widowControl/>
        <w:spacing w:line="360" w:lineRule="atLeast"/>
        <w:ind w:firstLine="470" w:firstLineChars="196"/>
        <w:jc w:val="left"/>
        <w:rPr>
          <w:rFonts w:hAnsi="宋体"/>
          <w:sz w:val="24"/>
        </w:rPr>
      </w:pPr>
    </w:p>
    <w:p>
      <w:pPr>
        <w:widowControl/>
        <w:spacing w:line="360" w:lineRule="atLeast"/>
        <w:ind w:firstLine="470" w:firstLineChars="196"/>
        <w:jc w:val="left"/>
        <w:rPr>
          <w:rFonts w:hAnsi="宋体"/>
          <w:sz w:val="24"/>
        </w:rPr>
      </w:pPr>
    </w:p>
    <w:p>
      <w:pPr>
        <w:widowControl/>
        <w:spacing w:line="360" w:lineRule="atLeast"/>
        <w:ind w:firstLine="480" w:firstLineChars="200"/>
        <w:jc w:val="left"/>
        <w:rPr>
          <w:rFonts w:hAnsi="宋体"/>
          <w:sz w:val="24"/>
        </w:rPr>
      </w:pPr>
      <w:r>
        <w:rPr>
          <w:rFonts w:hint="eastAsia" w:hAnsi="宋体"/>
          <w:sz w:val="24"/>
        </w:rPr>
        <w:t>投标人名称：（单位盖章）</w:t>
      </w:r>
    </w:p>
    <w:p>
      <w:pPr>
        <w:widowControl/>
        <w:spacing w:line="360" w:lineRule="atLeast"/>
        <w:ind w:firstLine="480" w:firstLineChars="200"/>
        <w:jc w:val="left"/>
        <w:rPr>
          <w:rFonts w:hAnsi="宋体"/>
          <w:sz w:val="24"/>
          <w:u w:val="single"/>
        </w:rPr>
      </w:pPr>
      <w:r>
        <w:rPr>
          <w:rFonts w:hint="eastAsia" w:hAnsi="宋体"/>
          <w:sz w:val="24"/>
        </w:rPr>
        <w:t>法定代表人或授权代表（签字或加盖个人名章）：</w:t>
      </w:r>
    </w:p>
    <w:p>
      <w:pPr>
        <w:widowControl/>
        <w:spacing w:line="360" w:lineRule="atLeast"/>
        <w:ind w:firstLine="480" w:firstLineChars="200"/>
        <w:jc w:val="left"/>
        <w:rPr>
          <w:rFonts w:hAnsi="宋体"/>
          <w:sz w:val="24"/>
          <w:u w:val="single"/>
        </w:rPr>
      </w:pPr>
      <w:r>
        <w:rPr>
          <w:rFonts w:hint="eastAsia" w:hAnsi="宋体"/>
          <w:sz w:val="24"/>
        </w:rPr>
        <w:t xml:space="preserve">投标日期: </w:t>
      </w: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widowControl/>
        <w:spacing w:line="360" w:lineRule="atLeast"/>
        <w:jc w:val="center"/>
        <w:rPr>
          <w:rFonts w:hAnsi="宋体"/>
          <w:b/>
          <w:sz w:val="32"/>
          <w:szCs w:val="32"/>
        </w:rPr>
      </w:pPr>
      <w:bookmarkStart w:id="210" w:name="_Toc217446088"/>
      <w:r>
        <w:rPr>
          <w:rFonts w:hint="eastAsia" w:hAnsi="宋体"/>
          <w:b/>
          <w:sz w:val="32"/>
          <w:szCs w:val="32"/>
          <w:lang w:eastAsia="zh-CN"/>
        </w:rPr>
        <w:t>六</w:t>
      </w:r>
      <w:r>
        <w:rPr>
          <w:rFonts w:hint="eastAsia" w:hAnsi="宋体"/>
          <w:b/>
          <w:sz w:val="32"/>
          <w:szCs w:val="32"/>
        </w:rPr>
        <w:t>、投标人基本情况表</w:t>
      </w:r>
      <w:bookmarkEnd w:id="210"/>
    </w:p>
    <w:p>
      <w:pPr>
        <w:widowControl/>
        <w:spacing w:line="360" w:lineRule="atLeast"/>
        <w:ind w:firstLine="472" w:firstLineChars="196"/>
        <w:jc w:val="left"/>
        <w:rPr>
          <w:rFonts w:hAnsi="宋体"/>
          <w:b/>
          <w:sz w:val="24"/>
        </w:rPr>
      </w:pPr>
    </w:p>
    <w:tbl>
      <w:tblPr>
        <w:tblStyle w:val="47"/>
        <w:tblW w:w="8500"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807"/>
        <w:gridCol w:w="957"/>
        <w:gridCol w:w="1239"/>
        <w:gridCol w:w="1241"/>
        <w:gridCol w:w="1326"/>
        <w:gridCol w:w="517"/>
        <w:gridCol w:w="333"/>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07" w:type="dxa"/>
            <w:vAlign w:val="center"/>
          </w:tcPr>
          <w:p>
            <w:pPr>
              <w:widowControl/>
              <w:spacing w:line="360" w:lineRule="atLeast"/>
              <w:jc w:val="left"/>
              <w:rPr>
                <w:rFonts w:hAnsi="宋体"/>
                <w:sz w:val="24"/>
              </w:rPr>
            </w:pPr>
            <w:r>
              <w:rPr>
                <w:rFonts w:hint="eastAsia" w:hAnsi="宋体"/>
                <w:sz w:val="24"/>
              </w:rPr>
              <w:t>投标人名称</w:t>
            </w:r>
          </w:p>
        </w:tc>
        <w:tc>
          <w:tcPr>
            <w:tcW w:w="6693" w:type="dxa"/>
            <w:gridSpan w:val="7"/>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07" w:type="dxa"/>
            <w:vAlign w:val="center"/>
          </w:tcPr>
          <w:p>
            <w:pPr>
              <w:widowControl/>
              <w:spacing w:line="360" w:lineRule="atLeast"/>
              <w:jc w:val="left"/>
              <w:rPr>
                <w:rFonts w:hAnsi="宋体"/>
                <w:sz w:val="24"/>
              </w:rPr>
            </w:pPr>
            <w:r>
              <w:rPr>
                <w:rFonts w:hint="eastAsia" w:hAnsi="宋体"/>
                <w:sz w:val="24"/>
              </w:rPr>
              <w:t>注册地址</w:t>
            </w:r>
          </w:p>
        </w:tc>
        <w:tc>
          <w:tcPr>
            <w:tcW w:w="3437" w:type="dxa"/>
            <w:gridSpan w:val="3"/>
            <w:vAlign w:val="center"/>
          </w:tcPr>
          <w:p>
            <w:pPr>
              <w:widowControl/>
              <w:spacing w:line="360" w:lineRule="atLeast"/>
              <w:ind w:firstLine="470" w:firstLineChars="196"/>
              <w:jc w:val="left"/>
              <w:rPr>
                <w:rFonts w:hAnsi="宋体"/>
                <w:sz w:val="24"/>
              </w:rPr>
            </w:pPr>
          </w:p>
        </w:tc>
        <w:tc>
          <w:tcPr>
            <w:tcW w:w="1326" w:type="dxa"/>
            <w:vAlign w:val="center"/>
          </w:tcPr>
          <w:p>
            <w:pPr>
              <w:widowControl/>
              <w:spacing w:line="360" w:lineRule="atLeast"/>
              <w:jc w:val="left"/>
              <w:rPr>
                <w:rFonts w:hAnsi="宋体"/>
                <w:sz w:val="24"/>
              </w:rPr>
            </w:pPr>
            <w:r>
              <w:rPr>
                <w:rFonts w:hint="eastAsia" w:hAnsi="宋体"/>
                <w:sz w:val="24"/>
              </w:rPr>
              <w:t>邮政编码</w:t>
            </w:r>
          </w:p>
        </w:tc>
        <w:tc>
          <w:tcPr>
            <w:tcW w:w="1930" w:type="dxa"/>
            <w:gridSpan w:val="3"/>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07" w:type="dxa"/>
            <w:vMerge w:val="restart"/>
            <w:vAlign w:val="center"/>
          </w:tcPr>
          <w:p>
            <w:pPr>
              <w:widowControl/>
              <w:spacing w:line="360" w:lineRule="atLeast"/>
              <w:jc w:val="left"/>
              <w:rPr>
                <w:rFonts w:hAnsi="宋体"/>
                <w:sz w:val="24"/>
              </w:rPr>
            </w:pPr>
            <w:r>
              <w:rPr>
                <w:rFonts w:hint="eastAsia" w:hAnsi="宋体"/>
                <w:sz w:val="24"/>
              </w:rPr>
              <w:t>联系方式</w:t>
            </w:r>
          </w:p>
        </w:tc>
        <w:tc>
          <w:tcPr>
            <w:tcW w:w="957" w:type="dxa"/>
            <w:vAlign w:val="center"/>
          </w:tcPr>
          <w:p>
            <w:pPr>
              <w:widowControl/>
              <w:spacing w:line="360" w:lineRule="atLeast"/>
              <w:jc w:val="left"/>
              <w:rPr>
                <w:rFonts w:hAnsi="宋体"/>
                <w:sz w:val="24"/>
              </w:rPr>
            </w:pPr>
            <w:r>
              <w:rPr>
                <w:rFonts w:hint="eastAsia" w:hAnsi="宋体"/>
                <w:sz w:val="24"/>
              </w:rPr>
              <w:t>联系人</w:t>
            </w:r>
          </w:p>
        </w:tc>
        <w:tc>
          <w:tcPr>
            <w:tcW w:w="2480" w:type="dxa"/>
            <w:gridSpan w:val="2"/>
            <w:vAlign w:val="center"/>
          </w:tcPr>
          <w:p>
            <w:pPr>
              <w:widowControl/>
              <w:spacing w:line="360" w:lineRule="atLeast"/>
              <w:ind w:firstLine="470" w:firstLineChars="196"/>
              <w:jc w:val="left"/>
              <w:rPr>
                <w:rFonts w:hAnsi="宋体"/>
                <w:sz w:val="24"/>
              </w:rPr>
            </w:pPr>
          </w:p>
        </w:tc>
        <w:tc>
          <w:tcPr>
            <w:tcW w:w="1326" w:type="dxa"/>
            <w:vAlign w:val="center"/>
          </w:tcPr>
          <w:p>
            <w:pPr>
              <w:widowControl/>
              <w:spacing w:line="360" w:lineRule="atLeast"/>
              <w:ind w:firstLine="470" w:firstLineChars="196"/>
              <w:jc w:val="left"/>
              <w:rPr>
                <w:rFonts w:hAnsi="宋体"/>
                <w:sz w:val="24"/>
              </w:rPr>
            </w:pPr>
            <w:r>
              <w:rPr>
                <w:rFonts w:hint="eastAsia" w:hAnsi="宋体"/>
                <w:sz w:val="24"/>
              </w:rPr>
              <w:t>电话</w:t>
            </w:r>
          </w:p>
        </w:tc>
        <w:tc>
          <w:tcPr>
            <w:tcW w:w="1930" w:type="dxa"/>
            <w:gridSpan w:val="3"/>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807" w:type="dxa"/>
            <w:vMerge w:val="continue"/>
            <w:vAlign w:val="center"/>
          </w:tcPr>
          <w:p>
            <w:pPr>
              <w:rPr>
                <w:rFonts w:hAnsi="宋体"/>
              </w:rPr>
            </w:pPr>
          </w:p>
        </w:tc>
        <w:tc>
          <w:tcPr>
            <w:tcW w:w="957" w:type="dxa"/>
            <w:vAlign w:val="center"/>
          </w:tcPr>
          <w:p>
            <w:pPr>
              <w:widowControl/>
              <w:spacing w:line="360" w:lineRule="atLeast"/>
              <w:jc w:val="left"/>
              <w:rPr>
                <w:rFonts w:hAnsi="宋体"/>
                <w:sz w:val="24"/>
              </w:rPr>
            </w:pPr>
            <w:r>
              <w:rPr>
                <w:rFonts w:hint="eastAsia" w:hAnsi="宋体"/>
                <w:sz w:val="24"/>
              </w:rPr>
              <w:t>传真</w:t>
            </w:r>
          </w:p>
        </w:tc>
        <w:tc>
          <w:tcPr>
            <w:tcW w:w="2480" w:type="dxa"/>
            <w:gridSpan w:val="2"/>
            <w:vAlign w:val="center"/>
          </w:tcPr>
          <w:p>
            <w:pPr>
              <w:widowControl/>
              <w:spacing w:line="360" w:lineRule="atLeast"/>
              <w:ind w:firstLine="470" w:firstLineChars="196"/>
              <w:jc w:val="left"/>
              <w:rPr>
                <w:rFonts w:hAnsi="宋体"/>
                <w:sz w:val="24"/>
              </w:rPr>
            </w:pPr>
          </w:p>
        </w:tc>
        <w:tc>
          <w:tcPr>
            <w:tcW w:w="1326" w:type="dxa"/>
            <w:vAlign w:val="center"/>
          </w:tcPr>
          <w:p>
            <w:pPr>
              <w:widowControl/>
              <w:spacing w:line="360" w:lineRule="atLeast"/>
              <w:ind w:firstLine="470" w:firstLineChars="196"/>
              <w:jc w:val="left"/>
              <w:rPr>
                <w:rFonts w:hAnsi="宋体"/>
                <w:sz w:val="24"/>
              </w:rPr>
            </w:pPr>
            <w:r>
              <w:rPr>
                <w:rFonts w:hint="eastAsia" w:hAnsi="宋体"/>
                <w:sz w:val="24"/>
              </w:rPr>
              <w:t>网址</w:t>
            </w:r>
          </w:p>
        </w:tc>
        <w:tc>
          <w:tcPr>
            <w:tcW w:w="1930" w:type="dxa"/>
            <w:gridSpan w:val="3"/>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07" w:type="dxa"/>
            <w:vAlign w:val="center"/>
          </w:tcPr>
          <w:p>
            <w:pPr>
              <w:widowControl/>
              <w:spacing w:line="360" w:lineRule="atLeast"/>
              <w:jc w:val="left"/>
              <w:rPr>
                <w:rFonts w:hAnsi="宋体"/>
                <w:sz w:val="24"/>
              </w:rPr>
            </w:pPr>
            <w:r>
              <w:rPr>
                <w:rFonts w:hint="eastAsia" w:hAnsi="宋体"/>
                <w:sz w:val="24"/>
              </w:rPr>
              <w:t>组织结构</w:t>
            </w:r>
          </w:p>
        </w:tc>
        <w:tc>
          <w:tcPr>
            <w:tcW w:w="6693" w:type="dxa"/>
            <w:gridSpan w:val="7"/>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807" w:type="dxa"/>
            <w:vAlign w:val="center"/>
          </w:tcPr>
          <w:p>
            <w:pPr>
              <w:widowControl/>
              <w:spacing w:line="360" w:lineRule="atLeast"/>
              <w:jc w:val="left"/>
              <w:rPr>
                <w:rFonts w:hAnsi="宋体"/>
                <w:sz w:val="24"/>
              </w:rPr>
            </w:pPr>
            <w:r>
              <w:rPr>
                <w:rFonts w:hint="eastAsia" w:hAnsi="宋体"/>
                <w:sz w:val="24"/>
              </w:rPr>
              <w:t>法定代表人</w:t>
            </w:r>
          </w:p>
        </w:tc>
        <w:tc>
          <w:tcPr>
            <w:tcW w:w="957" w:type="dxa"/>
            <w:vAlign w:val="center"/>
          </w:tcPr>
          <w:p>
            <w:pPr>
              <w:widowControl/>
              <w:spacing w:line="360" w:lineRule="atLeast"/>
              <w:jc w:val="left"/>
              <w:rPr>
                <w:rFonts w:hAnsi="宋体"/>
                <w:sz w:val="24"/>
              </w:rPr>
            </w:pPr>
            <w:r>
              <w:rPr>
                <w:rFonts w:hint="eastAsia" w:hAnsi="宋体"/>
                <w:sz w:val="24"/>
              </w:rPr>
              <w:t>姓名</w:t>
            </w:r>
          </w:p>
        </w:tc>
        <w:tc>
          <w:tcPr>
            <w:tcW w:w="1239" w:type="dxa"/>
            <w:vAlign w:val="center"/>
          </w:tcPr>
          <w:p>
            <w:pPr>
              <w:widowControl/>
              <w:spacing w:line="360" w:lineRule="atLeast"/>
              <w:ind w:firstLine="470" w:firstLineChars="196"/>
              <w:jc w:val="left"/>
              <w:rPr>
                <w:rFonts w:hAnsi="宋体"/>
                <w:sz w:val="24"/>
              </w:rPr>
            </w:pPr>
          </w:p>
        </w:tc>
        <w:tc>
          <w:tcPr>
            <w:tcW w:w="1241" w:type="dxa"/>
            <w:vAlign w:val="center"/>
          </w:tcPr>
          <w:p>
            <w:pPr>
              <w:widowControl/>
              <w:spacing w:line="360" w:lineRule="atLeast"/>
              <w:jc w:val="left"/>
              <w:rPr>
                <w:rFonts w:hAnsi="宋体"/>
                <w:sz w:val="24"/>
              </w:rPr>
            </w:pPr>
            <w:r>
              <w:rPr>
                <w:rFonts w:hint="eastAsia" w:hAnsi="宋体"/>
                <w:sz w:val="24"/>
              </w:rPr>
              <w:t>技术职称</w:t>
            </w:r>
          </w:p>
        </w:tc>
        <w:tc>
          <w:tcPr>
            <w:tcW w:w="1326" w:type="dxa"/>
            <w:vAlign w:val="center"/>
          </w:tcPr>
          <w:p>
            <w:pPr>
              <w:widowControl/>
              <w:spacing w:line="360" w:lineRule="atLeast"/>
              <w:ind w:firstLine="470" w:firstLineChars="196"/>
              <w:jc w:val="left"/>
              <w:rPr>
                <w:rFonts w:hAnsi="宋体"/>
                <w:sz w:val="24"/>
              </w:rPr>
            </w:pPr>
          </w:p>
        </w:tc>
        <w:tc>
          <w:tcPr>
            <w:tcW w:w="850" w:type="dxa"/>
            <w:gridSpan w:val="2"/>
            <w:vAlign w:val="center"/>
          </w:tcPr>
          <w:p>
            <w:pPr>
              <w:widowControl/>
              <w:spacing w:line="360" w:lineRule="atLeast"/>
              <w:jc w:val="left"/>
              <w:rPr>
                <w:rFonts w:hAnsi="宋体"/>
                <w:sz w:val="24"/>
              </w:rPr>
            </w:pPr>
            <w:r>
              <w:rPr>
                <w:rFonts w:hint="eastAsia" w:hAnsi="宋体"/>
                <w:sz w:val="24"/>
              </w:rPr>
              <w:t>电话</w:t>
            </w:r>
          </w:p>
        </w:tc>
        <w:tc>
          <w:tcPr>
            <w:tcW w:w="1080" w:type="dxa"/>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807" w:type="dxa"/>
            <w:vAlign w:val="center"/>
          </w:tcPr>
          <w:p>
            <w:pPr>
              <w:widowControl/>
              <w:spacing w:line="360" w:lineRule="atLeast"/>
              <w:jc w:val="left"/>
              <w:rPr>
                <w:rFonts w:hAnsi="宋体"/>
                <w:sz w:val="24"/>
              </w:rPr>
            </w:pPr>
            <w:r>
              <w:rPr>
                <w:rFonts w:hint="eastAsia" w:hAnsi="宋体"/>
                <w:sz w:val="24"/>
              </w:rPr>
              <w:t>技术负责人</w:t>
            </w:r>
          </w:p>
        </w:tc>
        <w:tc>
          <w:tcPr>
            <w:tcW w:w="957" w:type="dxa"/>
            <w:vAlign w:val="center"/>
          </w:tcPr>
          <w:p>
            <w:pPr>
              <w:widowControl/>
              <w:spacing w:line="360" w:lineRule="atLeast"/>
              <w:jc w:val="left"/>
              <w:rPr>
                <w:rFonts w:hAnsi="宋体"/>
                <w:sz w:val="24"/>
              </w:rPr>
            </w:pPr>
            <w:r>
              <w:rPr>
                <w:rFonts w:hint="eastAsia" w:hAnsi="宋体"/>
                <w:sz w:val="24"/>
              </w:rPr>
              <w:t>姓名</w:t>
            </w:r>
          </w:p>
        </w:tc>
        <w:tc>
          <w:tcPr>
            <w:tcW w:w="1239" w:type="dxa"/>
            <w:vAlign w:val="center"/>
          </w:tcPr>
          <w:p>
            <w:pPr>
              <w:widowControl/>
              <w:spacing w:line="360" w:lineRule="atLeast"/>
              <w:ind w:firstLine="470" w:firstLineChars="196"/>
              <w:jc w:val="left"/>
              <w:rPr>
                <w:rFonts w:hAnsi="宋体"/>
                <w:sz w:val="24"/>
              </w:rPr>
            </w:pPr>
          </w:p>
        </w:tc>
        <w:tc>
          <w:tcPr>
            <w:tcW w:w="1241" w:type="dxa"/>
            <w:vAlign w:val="center"/>
          </w:tcPr>
          <w:p>
            <w:pPr>
              <w:widowControl/>
              <w:spacing w:line="360" w:lineRule="atLeast"/>
              <w:jc w:val="left"/>
              <w:rPr>
                <w:rFonts w:hAnsi="宋体"/>
                <w:sz w:val="24"/>
              </w:rPr>
            </w:pPr>
            <w:r>
              <w:rPr>
                <w:rFonts w:hint="eastAsia" w:hAnsi="宋体"/>
                <w:sz w:val="24"/>
              </w:rPr>
              <w:t>技术职称</w:t>
            </w:r>
          </w:p>
        </w:tc>
        <w:tc>
          <w:tcPr>
            <w:tcW w:w="1326" w:type="dxa"/>
            <w:vAlign w:val="center"/>
          </w:tcPr>
          <w:p>
            <w:pPr>
              <w:widowControl/>
              <w:spacing w:line="360" w:lineRule="atLeast"/>
              <w:ind w:firstLine="470" w:firstLineChars="196"/>
              <w:jc w:val="left"/>
              <w:rPr>
                <w:rFonts w:hAnsi="宋体"/>
                <w:sz w:val="24"/>
              </w:rPr>
            </w:pPr>
          </w:p>
        </w:tc>
        <w:tc>
          <w:tcPr>
            <w:tcW w:w="850" w:type="dxa"/>
            <w:gridSpan w:val="2"/>
            <w:vAlign w:val="center"/>
          </w:tcPr>
          <w:p>
            <w:pPr>
              <w:widowControl/>
              <w:spacing w:line="360" w:lineRule="atLeast"/>
              <w:jc w:val="left"/>
              <w:rPr>
                <w:rFonts w:hAnsi="宋体"/>
                <w:sz w:val="24"/>
              </w:rPr>
            </w:pPr>
            <w:r>
              <w:rPr>
                <w:rFonts w:hint="eastAsia" w:hAnsi="宋体"/>
                <w:sz w:val="24"/>
              </w:rPr>
              <w:t>电话</w:t>
            </w:r>
          </w:p>
        </w:tc>
        <w:tc>
          <w:tcPr>
            <w:tcW w:w="1080" w:type="dxa"/>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07" w:type="dxa"/>
            <w:vAlign w:val="center"/>
          </w:tcPr>
          <w:p>
            <w:pPr>
              <w:widowControl/>
              <w:spacing w:line="360" w:lineRule="atLeast"/>
              <w:jc w:val="left"/>
              <w:rPr>
                <w:rFonts w:hAnsi="宋体"/>
                <w:sz w:val="24"/>
              </w:rPr>
            </w:pPr>
            <w:r>
              <w:rPr>
                <w:rFonts w:hint="eastAsia" w:hAnsi="宋体"/>
                <w:sz w:val="24"/>
              </w:rPr>
              <w:t>成立时间</w:t>
            </w:r>
          </w:p>
        </w:tc>
        <w:tc>
          <w:tcPr>
            <w:tcW w:w="2196" w:type="dxa"/>
            <w:gridSpan w:val="2"/>
            <w:vAlign w:val="center"/>
          </w:tcPr>
          <w:p>
            <w:pPr>
              <w:widowControl/>
              <w:spacing w:line="360" w:lineRule="atLeast"/>
              <w:ind w:firstLine="470" w:firstLineChars="196"/>
              <w:jc w:val="left"/>
              <w:rPr>
                <w:rFonts w:hAnsi="宋体"/>
                <w:sz w:val="24"/>
              </w:rPr>
            </w:pPr>
          </w:p>
        </w:tc>
        <w:tc>
          <w:tcPr>
            <w:tcW w:w="4497" w:type="dxa"/>
            <w:gridSpan w:val="5"/>
            <w:vAlign w:val="center"/>
          </w:tcPr>
          <w:p>
            <w:pPr>
              <w:widowControl/>
              <w:spacing w:line="360" w:lineRule="atLeast"/>
              <w:jc w:val="left"/>
              <w:rPr>
                <w:rFonts w:hAnsi="宋体"/>
                <w:sz w:val="24"/>
              </w:rPr>
            </w:pPr>
            <w:r>
              <w:rPr>
                <w:rFonts w:hint="eastAsia" w:hAnsi="宋体"/>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07" w:type="dxa"/>
            <w:vAlign w:val="center"/>
          </w:tcPr>
          <w:p>
            <w:pPr>
              <w:widowControl/>
              <w:spacing w:line="360" w:lineRule="atLeast"/>
              <w:jc w:val="left"/>
              <w:rPr>
                <w:rFonts w:hAnsi="宋体"/>
                <w:sz w:val="24"/>
              </w:rPr>
            </w:pPr>
            <w:r>
              <w:rPr>
                <w:rFonts w:hint="eastAsia" w:hAnsi="宋体"/>
                <w:sz w:val="24"/>
              </w:rPr>
              <w:t>企业资质等级</w:t>
            </w:r>
          </w:p>
        </w:tc>
        <w:tc>
          <w:tcPr>
            <w:tcW w:w="2196" w:type="dxa"/>
            <w:gridSpan w:val="2"/>
            <w:vAlign w:val="center"/>
          </w:tcPr>
          <w:p>
            <w:pPr>
              <w:widowControl/>
              <w:spacing w:line="360" w:lineRule="atLeast"/>
              <w:ind w:firstLine="470" w:firstLineChars="196"/>
              <w:jc w:val="left"/>
              <w:rPr>
                <w:rFonts w:hAnsi="宋体"/>
                <w:sz w:val="24"/>
              </w:rPr>
            </w:pPr>
          </w:p>
        </w:tc>
        <w:tc>
          <w:tcPr>
            <w:tcW w:w="1241" w:type="dxa"/>
            <w:vMerge w:val="restart"/>
            <w:vAlign w:val="center"/>
          </w:tcPr>
          <w:p>
            <w:pPr>
              <w:widowControl/>
              <w:spacing w:line="360" w:lineRule="atLeast"/>
              <w:ind w:firstLine="470" w:firstLineChars="196"/>
              <w:jc w:val="left"/>
              <w:rPr>
                <w:rFonts w:hAnsi="宋体"/>
                <w:sz w:val="24"/>
              </w:rPr>
            </w:pPr>
            <w:r>
              <w:rPr>
                <w:rFonts w:hint="eastAsia" w:hAnsi="宋体"/>
                <w:sz w:val="24"/>
              </w:rPr>
              <w:t>其中</w:t>
            </w:r>
          </w:p>
        </w:tc>
        <w:tc>
          <w:tcPr>
            <w:tcW w:w="1843" w:type="dxa"/>
            <w:gridSpan w:val="2"/>
            <w:vAlign w:val="center"/>
          </w:tcPr>
          <w:p>
            <w:pPr>
              <w:widowControl/>
              <w:spacing w:line="360" w:lineRule="atLeast"/>
              <w:jc w:val="left"/>
              <w:rPr>
                <w:rFonts w:hAnsi="宋体"/>
                <w:sz w:val="24"/>
              </w:rPr>
            </w:pPr>
            <w:r>
              <w:rPr>
                <w:rFonts w:hint="eastAsia" w:hAnsi="宋体"/>
                <w:sz w:val="24"/>
              </w:rPr>
              <w:t>项目经理</w:t>
            </w:r>
          </w:p>
        </w:tc>
        <w:tc>
          <w:tcPr>
            <w:tcW w:w="1413" w:type="dxa"/>
            <w:gridSpan w:val="2"/>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07" w:type="dxa"/>
            <w:vAlign w:val="center"/>
          </w:tcPr>
          <w:p>
            <w:pPr>
              <w:widowControl/>
              <w:spacing w:line="360" w:lineRule="atLeast"/>
              <w:jc w:val="left"/>
              <w:rPr>
                <w:rFonts w:hAnsi="宋体"/>
                <w:sz w:val="24"/>
              </w:rPr>
            </w:pPr>
            <w:r>
              <w:rPr>
                <w:rFonts w:hint="eastAsia" w:hAnsi="宋体"/>
                <w:sz w:val="24"/>
              </w:rPr>
              <w:t>营业执照号</w:t>
            </w:r>
          </w:p>
        </w:tc>
        <w:tc>
          <w:tcPr>
            <w:tcW w:w="2196" w:type="dxa"/>
            <w:gridSpan w:val="2"/>
            <w:vAlign w:val="center"/>
          </w:tcPr>
          <w:p>
            <w:pPr>
              <w:widowControl/>
              <w:spacing w:line="360" w:lineRule="atLeast"/>
              <w:ind w:firstLine="470" w:firstLineChars="196"/>
              <w:jc w:val="left"/>
              <w:rPr>
                <w:rFonts w:hAnsi="宋体"/>
                <w:sz w:val="24"/>
              </w:rPr>
            </w:pPr>
          </w:p>
        </w:tc>
        <w:tc>
          <w:tcPr>
            <w:tcW w:w="1241" w:type="dxa"/>
            <w:vMerge w:val="continue"/>
            <w:vAlign w:val="center"/>
          </w:tcPr>
          <w:p>
            <w:pPr>
              <w:rPr>
                <w:rFonts w:hAnsi="宋体"/>
              </w:rPr>
            </w:pPr>
          </w:p>
        </w:tc>
        <w:tc>
          <w:tcPr>
            <w:tcW w:w="1843" w:type="dxa"/>
            <w:gridSpan w:val="2"/>
            <w:vAlign w:val="center"/>
          </w:tcPr>
          <w:p>
            <w:pPr>
              <w:widowControl/>
              <w:spacing w:line="360" w:lineRule="atLeast"/>
              <w:jc w:val="left"/>
              <w:rPr>
                <w:rFonts w:hAnsi="宋体"/>
                <w:sz w:val="24"/>
              </w:rPr>
            </w:pPr>
            <w:r>
              <w:rPr>
                <w:rFonts w:hint="eastAsia" w:hAnsi="宋体"/>
                <w:sz w:val="24"/>
              </w:rPr>
              <w:t>高级职称人员</w:t>
            </w:r>
          </w:p>
        </w:tc>
        <w:tc>
          <w:tcPr>
            <w:tcW w:w="1413" w:type="dxa"/>
            <w:gridSpan w:val="2"/>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07" w:type="dxa"/>
            <w:vAlign w:val="center"/>
          </w:tcPr>
          <w:p>
            <w:pPr>
              <w:widowControl/>
              <w:spacing w:line="360" w:lineRule="atLeast"/>
              <w:jc w:val="left"/>
              <w:rPr>
                <w:rFonts w:hAnsi="宋体"/>
                <w:sz w:val="24"/>
              </w:rPr>
            </w:pPr>
            <w:r>
              <w:rPr>
                <w:rFonts w:hint="eastAsia" w:hAnsi="宋体"/>
                <w:sz w:val="24"/>
              </w:rPr>
              <w:t>注册资金</w:t>
            </w:r>
          </w:p>
        </w:tc>
        <w:tc>
          <w:tcPr>
            <w:tcW w:w="2196" w:type="dxa"/>
            <w:gridSpan w:val="2"/>
            <w:vAlign w:val="center"/>
          </w:tcPr>
          <w:p>
            <w:pPr>
              <w:widowControl/>
              <w:spacing w:line="360" w:lineRule="atLeast"/>
              <w:ind w:firstLine="470" w:firstLineChars="196"/>
              <w:jc w:val="left"/>
              <w:rPr>
                <w:rFonts w:hAnsi="宋体"/>
                <w:sz w:val="24"/>
              </w:rPr>
            </w:pPr>
          </w:p>
        </w:tc>
        <w:tc>
          <w:tcPr>
            <w:tcW w:w="1241" w:type="dxa"/>
            <w:vMerge w:val="continue"/>
            <w:vAlign w:val="center"/>
          </w:tcPr>
          <w:p>
            <w:pPr>
              <w:rPr>
                <w:rFonts w:hAnsi="宋体"/>
              </w:rPr>
            </w:pPr>
          </w:p>
        </w:tc>
        <w:tc>
          <w:tcPr>
            <w:tcW w:w="1843" w:type="dxa"/>
            <w:gridSpan w:val="2"/>
            <w:vAlign w:val="center"/>
          </w:tcPr>
          <w:p>
            <w:pPr>
              <w:widowControl/>
              <w:spacing w:line="360" w:lineRule="atLeast"/>
              <w:jc w:val="left"/>
              <w:rPr>
                <w:rFonts w:hAnsi="宋体"/>
                <w:sz w:val="24"/>
              </w:rPr>
            </w:pPr>
            <w:r>
              <w:rPr>
                <w:rFonts w:hint="eastAsia" w:hAnsi="宋体"/>
                <w:sz w:val="24"/>
              </w:rPr>
              <w:t>中级职称人员</w:t>
            </w:r>
          </w:p>
        </w:tc>
        <w:tc>
          <w:tcPr>
            <w:tcW w:w="1413" w:type="dxa"/>
            <w:gridSpan w:val="2"/>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07" w:type="dxa"/>
            <w:vAlign w:val="center"/>
          </w:tcPr>
          <w:p>
            <w:pPr>
              <w:widowControl/>
              <w:spacing w:line="360" w:lineRule="atLeast"/>
              <w:jc w:val="left"/>
              <w:rPr>
                <w:rFonts w:hAnsi="宋体"/>
                <w:sz w:val="24"/>
              </w:rPr>
            </w:pPr>
            <w:r>
              <w:rPr>
                <w:rFonts w:hint="eastAsia" w:hAnsi="宋体"/>
                <w:sz w:val="24"/>
              </w:rPr>
              <w:t>开户银行</w:t>
            </w:r>
          </w:p>
        </w:tc>
        <w:tc>
          <w:tcPr>
            <w:tcW w:w="2196" w:type="dxa"/>
            <w:gridSpan w:val="2"/>
            <w:vAlign w:val="center"/>
          </w:tcPr>
          <w:p>
            <w:pPr>
              <w:widowControl/>
              <w:spacing w:line="360" w:lineRule="atLeast"/>
              <w:ind w:firstLine="470" w:firstLineChars="196"/>
              <w:jc w:val="left"/>
              <w:rPr>
                <w:rFonts w:hAnsi="宋体"/>
                <w:sz w:val="24"/>
              </w:rPr>
            </w:pPr>
          </w:p>
        </w:tc>
        <w:tc>
          <w:tcPr>
            <w:tcW w:w="1241" w:type="dxa"/>
            <w:vMerge w:val="continue"/>
            <w:vAlign w:val="center"/>
          </w:tcPr>
          <w:p>
            <w:pPr>
              <w:rPr>
                <w:rFonts w:hAnsi="宋体"/>
              </w:rPr>
            </w:pPr>
          </w:p>
        </w:tc>
        <w:tc>
          <w:tcPr>
            <w:tcW w:w="1843" w:type="dxa"/>
            <w:gridSpan w:val="2"/>
            <w:vAlign w:val="center"/>
          </w:tcPr>
          <w:p>
            <w:pPr>
              <w:widowControl/>
              <w:spacing w:line="360" w:lineRule="atLeast"/>
              <w:jc w:val="left"/>
              <w:rPr>
                <w:rFonts w:hAnsi="宋体"/>
                <w:sz w:val="24"/>
              </w:rPr>
            </w:pPr>
            <w:r>
              <w:rPr>
                <w:rFonts w:hint="eastAsia" w:hAnsi="宋体"/>
                <w:sz w:val="24"/>
              </w:rPr>
              <w:t>初级职称人员</w:t>
            </w:r>
          </w:p>
        </w:tc>
        <w:tc>
          <w:tcPr>
            <w:tcW w:w="1413" w:type="dxa"/>
            <w:gridSpan w:val="2"/>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07" w:type="dxa"/>
            <w:vAlign w:val="center"/>
          </w:tcPr>
          <w:p>
            <w:pPr>
              <w:widowControl/>
              <w:spacing w:line="360" w:lineRule="atLeast"/>
              <w:ind w:firstLine="470" w:firstLineChars="196"/>
              <w:jc w:val="left"/>
              <w:rPr>
                <w:rFonts w:hAnsi="宋体"/>
                <w:sz w:val="24"/>
              </w:rPr>
            </w:pPr>
            <w:r>
              <w:rPr>
                <w:rFonts w:hint="eastAsia" w:hAnsi="宋体"/>
                <w:sz w:val="24"/>
              </w:rPr>
              <w:t>账号</w:t>
            </w:r>
          </w:p>
        </w:tc>
        <w:tc>
          <w:tcPr>
            <w:tcW w:w="2196" w:type="dxa"/>
            <w:gridSpan w:val="2"/>
            <w:vAlign w:val="center"/>
          </w:tcPr>
          <w:p>
            <w:pPr>
              <w:widowControl/>
              <w:spacing w:line="360" w:lineRule="atLeast"/>
              <w:ind w:firstLine="470" w:firstLineChars="196"/>
              <w:jc w:val="left"/>
              <w:rPr>
                <w:rFonts w:hAnsi="宋体"/>
                <w:sz w:val="24"/>
              </w:rPr>
            </w:pPr>
          </w:p>
        </w:tc>
        <w:tc>
          <w:tcPr>
            <w:tcW w:w="1241" w:type="dxa"/>
            <w:vMerge w:val="continue"/>
            <w:vAlign w:val="center"/>
          </w:tcPr>
          <w:p>
            <w:pPr>
              <w:rPr>
                <w:rFonts w:hAnsi="宋体"/>
              </w:rPr>
            </w:pPr>
          </w:p>
        </w:tc>
        <w:tc>
          <w:tcPr>
            <w:tcW w:w="1843" w:type="dxa"/>
            <w:gridSpan w:val="2"/>
            <w:vAlign w:val="center"/>
          </w:tcPr>
          <w:p>
            <w:pPr>
              <w:widowControl/>
              <w:spacing w:line="360" w:lineRule="atLeast"/>
              <w:ind w:firstLine="470" w:firstLineChars="196"/>
              <w:jc w:val="left"/>
              <w:rPr>
                <w:rFonts w:hAnsi="宋体"/>
                <w:sz w:val="24"/>
              </w:rPr>
            </w:pPr>
            <w:r>
              <w:rPr>
                <w:rFonts w:hint="eastAsia" w:hAnsi="宋体"/>
                <w:sz w:val="24"/>
              </w:rPr>
              <w:t>技工</w:t>
            </w:r>
          </w:p>
        </w:tc>
        <w:tc>
          <w:tcPr>
            <w:tcW w:w="1413" w:type="dxa"/>
            <w:gridSpan w:val="2"/>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640" w:hRule="atLeast"/>
          <w:jc w:val="center"/>
        </w:trPr>
        <w:tc>
          <w:tcPr>
            <w:tcW w:w="1807" w:type="dxa"/>
            <w:vAlign w:val="center"/>
          </w:tcPr>
          <w:p>
            <w:pPr>
              <w:widowControl/>
              <w:spacing w:line="360" w:lineRule="atLeast"/>
              <w:jc w:val="left"/>
              <w:rPr>
                <w:rFonts w:hAnsi="宋体"/>
                <w:sz w:val="24"/>
              </w:rPr>
            </w:pPr>
            <w:r>
              <w:rPr>
                <w:rFonts w:hint="eastAsia" w:hAnsi="宋体"/>
                <w:sz w:val="24"/>
              </w:rPr>
              <w:t>经营范围</w:t>
            </w:r>
          </w:p>
        </w:tc>
        <w:tc>
          <w:tcPr>
            <w:tcW w:w="6693" w:type="dxa"/>
            <w:gridSpan w:val="7"/>
            <w:vAlign w:val="center"/>
          </w:tcPr>
          <w:p>
            <w:pPr>
              <w:widowControl/>
              <w:spacing w:line="360" w:lineRule="atLeast"/>
              <w:ind w:firstLine="470" w:firstLineChars="196"/>
              <w:jc w:val="left"/>
              <w:rPr>
                <w:rFonts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807" w:type="dxa"/>
          </w:tcPr>
          <w:p>
            <w:pPr>
              <w:widowControl/>
              <w:spacing w:line="360" w:lineRule="atLeast"/>
              <w:ind w:firstLine="470" w:firstLineChars="196"/>
              <w:jc w:val="left"/>
              <w:rPr>
                <w:rFonts w:hAnsi="宋体"/>
                <w:sz w:val="24"/>
              </w:rPr>
            </w:pPr>
            <w:r>
              <w:rPr>
                <w:rFonts w:hint="eastAsia" w:hAnsi="宋体"/>
                <w:sz w:val="24"/>
              </w:rPr>
              <w:t>备注</w:t>
            </w:r>
          </w:p>
        </w:tc>
        <w:tc>
          <w:tcPr>
            <w:tcW w:w="6693" w:type="dxa"/>
            <w:gridSpan w:val="7"/>
          </w:tcPr>
          <w:p>
            <w:pPr>
              <w:widowControl/>
              <w:spacing w:line="360" w:lineRule="atLeast"/>
              <w:ind w:firstLine="470" w:firstLineChars="196"/>
              <w:jc w:val="left"/>
              <w:rPr>
                <w:rFonts w:hAnsi="宋体"/>
                <w:sz w:val="24"/>
              </w:rPr>
            </w:pPr>
          </w:p>
        </w:tc>
      </w:tr>
    </w:tbl>
    <w:p>
      <w:pPr>
        <w:widowControl/>
        <w:spacing w:line="360" w:lineRule="atLeast"/>
        <w:jc w:val="left"/>
        <w:rPr>
          <w:rFonts w:hAnsi="宋体"/>
          <w:sz w:val="24"/>
        </w:rPr>
      </w:pPr>
      <w:r>
        <w:rPr>
          <w:rFonts w:hint="eastAsia" w:hAnsi="宋体"/>
          <w:sz w:val="24"/>
        </w:rPr>
        <w:t>投标人名称：（单位盖章）</w:t>
      </w:r>
    </w:p>
    <w:p>
      <w:pPr>
        <w:widowControl/>
        <w:spacing w:line="360" w:lineRule="atLeast"/>
        <w:jc w:val="left"/>
        <w:rPr>
          <w:rFonts w:hAnsi="宋体"/>
          <w:sz w:val="24"/>
          <w:u w:val="single"/>
        </w:rPr>
      </w:pPr>
      <w:r>
        <w:rPr>
          <w:rFonts w:hint="eastAsia" w:hAnsi="宋体"/>
          <w:sz w:val="24"/>
        </w:rPr>
        <w:t>法定代表人或授权代表（签字或加盖个人名章）：</w:t>
      </w:r>
    </w:p>
    <w:p>
      <w:pPr>
        <w:widowControl/>
        <w:spacing w:line="360" w:lineRule="atLeast"/>
        <w:jc w:val="left"/>
        <w:rPr>
          <w:rFonts w:hAnsi="宋体"/>
          <w:b/>
          <w:sz w:val="24"/>
        </w:rPr>
      </w:pPr>
      <w:r>
        <w:rPr>
          <w:rFonts w:hint="eastAsia" w:hAnsi="宋体"/>
          <w:sz w:val="24"/>
        </w:rPr>
        <w:t xml:space="preserve">投标日期: </w:t>
      </w:r>
      <w:bookmarkStart w:id="211" w:name="_Toc217446089"/>
    </w:p>
    <w:p>
      <w:pPr>
        <w:widowControl/>
        <w:spacing w:line="360" w:lineRule="atLeast"/>
        <w:jc w:val="center"/>
        <w:rPr>
          <w:rFonts w:hAnsi="宋体"/>
          <w:b/>
          <w:sz w:val="36"/>
          <w:szCs w:val="36"/>
        </w:rPr>
      </w:pPr>
      <w:r>
        <w:rPr>
          <w:rFonts w:hAnsi="宋体"/>
          <w:b/>
          <w:sz w:val="36"/>
          <w:szCs w:val="36"/>
        </w:rPr>
        <w:br w:type="page"/>
      </w:r>
      <w:r>
        <w:rPr>
          <w:rFonts w:hint="eastAsia" w:hAnsi="宋体"/>
          <w:b/>
          <w:sz w:val="36"/>
          <w:szCs w:val="36"/>
          <w:lang w:eastAsia="zh-CN"/>
        </w:rPr>
        <w:t>七</w:t>
      </w:r>
      <w:r>
        <w:rPr>
          <w:rFonts w:hint="eastAsia" w:hAnsi="宋体"/>
          <w:b/>
          <w:sz w:val="36"/>
          <w:szCs w:val="36"/>
        </w:rPr>
        <w:t>、投标人类似项目业绩一览表</w:t>
      </w:r>
      <w:bookmarkEnd w:id="211"/>
    </w:p>
    <w:p>
      <w:pPr>
        <w:widowControl/>
        <w:spacing w:line="360" w:lineRule="atLeast"/>
        <w:ind w:firstLine="472" w:firstLineChars="196"/>
        <w:jc w:val="left"/>
        <w:rPr>
          <w:rFonts w:hAnsi="宋体"/>
          <w:b/>
          <w:sz w:val="24"/>
        </w:rPr>
      </w:pPr>
    </w:p>
    <w:tbl>
      <w:tblPr>
        <w:tblStyle w:val="47"/>
        <w:tblW w:w="856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34"/>
        <w:gridCol w:w="10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hAnsi="宋体"/>
                <w:sz w:val="24"/>
              </w:rPr>
            </w:pPr>
            <w:r>
              <w:rPr>
                <w:rFonts w:hint="eastAsia" w:hAnsi="宋体"/>
                <w:sz w:val="24"/>
              </w:rPr>
              <w:t>年份</w:t>
            </w:r>
          </w:p>
        </w:tc>
        <w:tc>
          <w:tcPr>
            <w:tcW w:w="1440" w:type="dxa"/>
            <w:vAlign w:val="center"/>
          </w:tcPr>
          <w:p>
            <w:pPr>
              <w:widowControl/>
              <w:spacing w:line="360" w:lineRule="atLeast"/>
              <w:jc w:val="left"/>
              <w:rPr>
                <w:rFonts w:hAnsi="宋体"/>
                <w:sz w:val="24"/>
              </w:rPr>
            </w:pPr>
            <w:r>
              <w:rPr>
                <w:rFonts w:hint="eastAsia" w:hAnsi="宋体"/>
                <w:sz w:val="24"/>
              </w:rPr>
              <w:t>用户名称</w:t>
            </w:r>
          </w:p>
        </w:tc>
        <w:tc>
          <w:tcPr>
            <w:tcW w:w="1320" w:type="dxa"/>
            <w:vAlign w:val="center"/>
          </w:tcPr>
          <w:p>
            <w:pPr>
              <w:widowControl/>
              <w:spacing w:line="360" w:lineRule="atLeast"/>
              <w:jc w:val="left"/>
              <w:rPr>
                <w:rFonts w:hAnsi="宋体"/>
                <w:sz w:val="24"/>
              </w:rPr>
            </w:pPr>
            <w:r>
              <w:rPr>
                <w:rFonts w:hint="eastAsia" w:hAnsi="宋体"/>
                <w:sz w:val="24"/>
              </w:rPr>
              <w:t>项目名称</w:t>
            </w:r>
          </w:p>
        </w:tc>
        <w:tc>
          <w:tcPr>
            <w:tcW w:w="1161" w:type="dxa"/>
            <w:vAlign w:val="center"/>
          </w:tcPr>
          <w:p>
            <w:pPr>
              <w:widowControl/>
              <w:spacing w:line="360" w:lineRule="atLeast"/>
              <w:jc w:val="left"/>
              <w:rPr>
                <w:rFonts w:hAnsi="宋体"/>
                <w:sz w:val="24"/>
              </w:rPr>
            </w:pPr>
            <w:r>
              <w:rPr>
                <w:rFonts w:hint="eastAsia" w:hAnsi="宋体"/>
                <w:sz w:val="24"/>
              </w:rPr>
              <w:t>完成时间</w:t>
            </w:r>
          </w:p>
        </w:tc>
        <w:tc>
          <w:tcPr>
            <w:tcW w:w="1260" w:type="dxa"/>
            <w:vAlign w:val="center"/>
          </w:tcPr>
          <w:p>
            <w:pPr>
              <w:widowControl/>
              <w:spacing w:line="360" w:lineRule="atLeast"/>
              <w:jc w:val="left"/>
              <w:rPr>
                <w:rFonts w:hAnsi="宋体"/>
                <w:sz w:val="24"/>
              </w:rPr>
            </w:pPr>
            <w:r>
              <w:rPr>
                <w:rFonts w:hint="eastAsia" w:hAnsi="宋体"/>
                <w:sz w:val="24"/>
              </w:rPr>
              <w:t>合同金额</w:t>
            </w:r>
          </w:p>
        </w:tc>
        <w:tc>
          <w:tcPr>
            <w:tcW w:w="1643" w:type="dxa"/>
            <w:gridSpan w:val="2"/>
            <w:tcBorders>
              <w:right w:val="single" w:color="auto" w:sz="4" w:space="0"/>
            </w:tcBorders>
            <w:vAlign w:val="center"/>
          </w:tcPr>
          <w:p>
            <w:pPr>
              <w:widowControl/>
              <w:spacing w:line="360" w:lineRule="atLeast"/>
              <w:jc w:val="left"/>
              <w:rPr>
                <w:rFonts w:hAnsi="宋体"/>
                <w:sz w:val="24"/>
              </w:rPr>
            </w:pPr>
            <w:r>
              <w:rPr>
                <w:rFonts w:hint="eastAsia" w:hAnsi="宋体"/>
                <w:sz w:val="24"/>
              </w:rPr>
              <w:t>是否通过验收</w:t>
            </w:r>
          </w:p>
        </w:tc>
        <w:tc>
          <w:tcPr>
            <w:tcW w:w="1022" w:type="dxa"/>
            <w:tcBorders>
              <w:left w:val="single" w:color="auto" w:sz="4" w:space="0"/>
            </w:tcBorders>
            <w:vAlign w:val="center"/>
          </w:tcPr>
          <w:p>
            <w:pPr>
              <w:widowControl/>
              <w:spacing w:line="360" w:lineRule="atLeast"/>
              <w:jc w:val="left"/>
              <w:rPr>
                <w:rFonts w:hAnsi="宋体"/>
                <w:sz w:val="24"/>
              </w:rPr>
            </w:pPr>
            <w:r>
              <w:rPr>
                <w:rFonts w:hint="eastAsia"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Ansi="宋体"/>
                <w:sz w:val="24"/>
              </w:rPr>
            </w:pPr>
          </w:p>
        </w:tc>
        <w:tc>
          <w:tcPr>
            <w:tcW w:w="1440" w:type="dxa"/>
            <w:vAlign w:val="center"/>
          </w:tcPr>
          <w:p>
            <w:pPr>
              <w:widowControl/>
              <w:spacing w:line="360" w:lineRule="atLeast"/>
              <w:ind w:firstLine="470" w:firstLineChars="196"/>
              <w:jc w:val="left"/>
              <w:rPr>
                <w:rFonts w:hAnsi="宋体"/>
                <w:sz w:val="24"/>
              </w:rPr>
            </w:pPr>
          </w:p>
        </w:tc>
        <w:tc>
          <w:tcPr>
            <w:tcW w:w="1320" w:type="dxa"/>
            <w:vAlign w:val="center"/>
          </w:tcPr>
          <w:p>
            <w:pPr>
              <w:widowControl/>
              <w:spacing w:line="360" w:lineRule="atLeast"/>
              <w:ind w:firstLine="470" w:firstLineChars="196"/>
              <w:jc w:val="left"/>
              <w:rPr>
                <w:rFonts w:hAnsi="宋体"/>
                <w:sz w:val="24"/>
              </w:rPr>
            </w:pPr>
          </w:p>
        </w:tc>
        <w:tc>
          <w:tcPr>
            <w:tcW w:w="1161" w:type="dxa"/>
            <w:vAlign w:val="center"/>
          </w:tcPr>
          <w:p>
            <w:pPr>
              <w:widowControl/>
              <w:spacing w:line="360" w:lineRule="atLeast"/>
              <w:ind w:firstLine="470" w:firstLineChars="196"/>
              <w:jc w:val="left"/>
              <w:rPr>
                <w:rFonts w:hAnsi="宋体"/>
                <w:sz w:val="24"/>
              </w:rPr>
            </w:pPr>
          </w:p>
        </w:tc>
        <w:tc>
          <w:tcPr>
            <w:tcW w:w="1260" w:type="dxa"/>
            <w:vAlign w:val="center"/>
          </w:tcPr>
          <w:p>
            <w:pPr>
              <w:widowControl/>
              <w:spacing w:line="360" w:lineRule="atLeast"/>
              <w:ind w:firstLine="470" w:firstLineChars="196"/>
              <w:jc w:val="left"/>
              <w:rPr>
                <w:rFonts w:hAnsi="宋体"/>
                <w:sz w:val="24"/>
              </w:rPr>
            </w:pPr>
          </w:p>
        </w:tc>
        <w:tc>
          <w:tcPr>
            <w:tcW w:w="1643" w:type="dxa"/>
            <w:gridSpan w:val="2"/>
            <w:tcBorders>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left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Ansi="宋体"/>
                <w:sz w:val="24"/>
              </w:rPr>
            </w:pPr>
          </w:p>
        </w:tc>
        <w:tc>
          <w:tcPr>
            <w:tcW w:w="1440" w:type="dxa"/>
            <w:vAlign w:val="center"/>
          </w:tcPr>
          <w:p>
            <w:pPr>
              <w:widowControl/>
              <w:spacing w:line="360" w:lineRule="atLeast"/>
              <w:ind w:firstLine="470" w:firstLineChars="196"/>
              <w:jc w:val="left"/>
              <w:rPr>
                <w:rFonts w:hAnsi="宋体"/>
                <w:sz w:val="24"/>
              </w:rPr>
            </w:pPr>
          </w:p>
        </w:tc>
        <w:tc>
          <w:tcPr>
            <w:tcW w:w="1320" w:type="dxa"/>
            <w:vAlign w:val="center"/>
          </w:tcPr>
          <w:p>
            <w:pPr>
              <w:widowControl/>
              <w:spacing w:line="360" w:lineRule="atLeast"/>
              <w:ind w:firstLine="470" w:firstLineChars="196"/>
              <w:jc w:val="left"/>
              <w:rPr>
                <w:rFonts w:hAnsi="宋体"/>
                <w:sz w:val="24"/>
              </w:rPr>
            </w:pPr>
          </w:p>
        </w:tc>
        <w:tc>
          <w:tcPr>
            <w:tcW w:w="1161" w:type="dxa"/>
            <w:vAlign w:val="center"/>
          </w:tcPr>
          <w:p>
            <w:pPr>
              <w:widowControl/>
              <w:spacing w:line="360" w:lineRule="atLeast"/>
              <w:ind w:firstLine="470" w:firstLineChars="196"/>
              <w:jc w:val="left"/>
              <w:rPr>
                <w:rFonts w:hAnsi="宋体"/>
                <w:sz w:val="24"/>
              </w:rPr>
            </w:pPr>
          </w:p>
        </w:tc>
        <w:tc>
          <w:tcPr>
            <w:tcW w:w="1260" w:type="dxa"/>
            <w:vAlign w:val="center"/>
          </w:tcPr>
          <w:p>
            <w:pPr>
              <w:widowControl/>
              <w:spacing w:line="360" w:lineRule="atLeast"/>
              <w:ind w:firstLine="470" w:firstLineChars="196"/>
              <w:jc w:val="left"/>
              <w:rPr>
                <w:rFonts w:hAnsi="宋体"/>
                <w:sz w:val="24"/>
              </w:rPr>
            </w:pPr>
          </w:p>
        </w:tc>
        <w:tc>
          <w:tcPr>
            <w:tcW w:w="1643" w:type="dxa"/>
            <w:gridSpan w:val="2"/>
            <w:tcBorders>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left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Ansi="宋体"/>
                <w:sz w:val="24"/>
              </w:rPr>
            </w:pPr>
          </w:p>
        </w:tc>
        <w:tc>
          <w:tcPr>
            <w:tcW w:w="1440" w:type="dxa"/>
            <w:vAlign w:val="center"/>
          </w:tcPr>
          <w:p>
            <w:pPr>
              <w:widowControl/>
              <w:spacing w:line="360" w:lineRule="atLeast"/>
              <w:ind w:firstLine="470" w:firstLineChars="196"/>
              <w:jc w:val="left"/>
              <w:rPr>
                <w:rFonts w:hAnsi="宋体"/>
                <w:sz w:val="24"/>
              </w:rPr>
            </w:pPr>
          </w:p>
        </w:tc>
        <w:tc>
          <w:tcPr>
            <w:tcW w:w="1320" w:type="dxa"/>
            <w:vAlign w:val="center"/>
          </w:tcPr>
          <w:p>
            <w:pPr>
              <w:widowControl/>
              <w:spacing w:line="360" w:lineRule="atLeast"/>
              <w:ind w:firstLine="470" w:firstLineChars="196"/>
              <w:jc w:val="left"/>
              <w:rPr>
                <w:rFonts w:hAnsi="宋体"/>
                <w:sz w:val="24"/>
              </w:rPr>
            </w:pPr>
          </w:p>
        </w:tc>
        <w:tc>
          <w:tcPr>
            <w:tcW w:w="1161" w:type="dxa"/>
            <w:vAlign w:val="center"/>
          </w:tcPr>
          <w:p>
            <w:pPr>
              <w:widowControl/>
              <w:spacing w:line="360" w:lineRule="atLeast"/>
              <w:ind w:firstLine="470" w:firstLineChars="196"/>
              <w:jc w:val="left"/>
              <w:rPr>
                <w:rFonts w:hAnsi="宋体"/>
                <w:sz w:val="24"/>
              </w:rPr>
            </w:pPr>
          </w:p>
        </w:tc>
        <w:tc>
          <w:tcPr>
            <w:tcW w:w="1260" w:type="dxa"/>
            <w:vAlign w:val="center"/>
          </w:tcPr>
          <w:p>
            <w:pPr>
              <w:widowControl/>
              <w:spacing w:line="360" w:lineRule="atLeast"/>
              <w:ind w:firstLine="470" w:firstLineChars="196"/>
              <w:jc w:val="left"/>
              <w:rPr>
                <w:rFonts w:hAnsi="宋体"/>
                <w:sz w:val="24"/>
              </w:rPr>
            </w:pPr>
          </w:p>
        </w:tc>
        <w:tc>
          <w:tcPr>
            <w:tcW w:w="1643" w:type="dxa"/>
            <w:gridSpan w:val="2"/>
            <w:tcBorders>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left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Ansi="宋体"/>
                <w:sz w:val="24"/>
              </w:rPr>
            </w:pPr>
          </w:p>
        </w:tc>
        <w:tc>
          <w:tcPr>
            <w:tcW w:w="1440" w:type="dxa"/>
            <w:tcBorders>
              <w:right w:val="single" w:color="auto" w:sz="4" w:space="0"/>
            </w:tcBorders>
            <w:vAlign w:val="center"/>
          </w:tcPr>
          <w:p>
            <w:pPr>
              <w:widowControl/>
              <w:spacing w:line="360" w:lineRule="atLeast"/>
              <w:ind w:firstLine="470" w:firstLineChars="196"/>
              <w:jc w:val="left"/>
              <w:rPr>
                <w:rFonts w:hAnsi="宋体"/>
                <w:sz w:val="24"/>
              </w:rPr>
            </w:pPr>
          </w:p>
        </w:tc>
        <w:tc>
          <w:tcPr>
            <w:tcW w:w="1320" w:type="dxa"/>
            <w:tcBorders>
              <w:left w:val="single" w:color="auto" w:sz="4" w:space="0"/>
            </w:tcBorders>
            <w:vAlign w:val="center"/>
          </w:tcPr>
          <w:p>
            <w:pPr>
              <w:widowControl/>
              <w:spacing w:line="360" w:lineRule="atLeast"/>
              <w:ind w:firstLine="470" w:firstLineChars="196"/>
              <w:jc w:val="left"/>
              <w:rPr>
                <w:rFonts w:hAnsi="宋体"/>
                <w:sz w:val="24"/>
              </w:rPr>
            </w:pPr>
          </w:p>
        </w:tc>
        <w:tc>
          <w:tcPr>
            <w:tcW w:w="1161" w:type="dxa"/>
            <w:vAlign w:val="center"/>
          </w:tcPr>
          <w:p>
            <w:pPr>
              <w:widowControl/>
              <w:spacing w:line="360" w:lineRule="atLeast"/>
              <w:ind w:firstLine="470" w:firstLineChars="196"/>
              <w:jc w:val="left"/>
              <w:rPr>
                <w:rFonts w:hAnsi="宋体"/>
                <w:sz w:val="24"/>
              </w:rPr>
            </w:pPr>
          </w:p>
        </w:tc>
        <w:tc>
          <w:tcPr>
            <w:tcW w:w="1260" w:type="dxa"/>
            <w:vAlign w:val="center"/>
          </w:tcPr>
          <w:p>
            <w:pPr>
              <w:widowControl/>
              <w:spacing w:line="360" w:lineRule="atLeast"/>
              <w:ind w:firstLine="470" w:firstLineChars="196"/>
              <w:jc w:val="left"/>
              <w:rPr>
                <w:rFonts w:hAnsi="宋体"/>
                <w:sz w:val="24"/>
              </w:rPr>
            </w:pPr>
          </w:p>
        </w:tc>
        <w:tc>
          <w:tcPr>
            <w:tcW w:w="1643" w:type="dxa"/>
            <w:gridSpan w:val="2"/>
            <w:tcBorders>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left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hAnsi="宋体"/>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634" w:type="dxa"/>
            <w:tcBorders>
              <w:left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left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Ansi="宋体"/>
                <w:sz w:val="24"/>
              </w:rPr>
            </w:pPr>
          </w:p>
        </w:tc>
        <w:tc>
          <w:tcPr>
            <w:tcW w:w="1440" w:type="dxa"/>
            <w:vAlign w:val="center"/>
          </w:tcPr>
          <w:p>
            <w:pPr>
              <w:widowControl/>
              <w:spacing w:line="360" w:lineRule="atLeast"/>
              <w:ind w:firstLine="470" w:firstLineChars="196"/>
              <w:jc w:val="left"/>
              <w:rPr>
                <w:rFonts w:hAnsi="宋体"/>
                <w:sz w:val="24"/>
              </w:rPr>
            </w:pPr>
          </w:p>
        </w:tc>
        <w:tc>
          <w:tcPr>
            <w:tcW w:w="1320" w:type="dxa"/>
            <w:vAlign w:val="center"/>
          </w:tcPr>
          <w:p>
            <w:pPr>
              <w:widowControl/>
              <w:spacing w:line="360" w:lineRule="atLeast"/>
              <w:ind w:firstLine="470" w:firstLineChars="196"/>
              <w:jc w:val="left"/>
              <w:rPr>
                <w:rFonts w:hAnsi="宋体"/>
                <w:sz w:val="24"/>
              </w:rPr>
            </w:pPr>
          </w:p>
        </w:tc>
        <w:tc>
          <w:tcPr>
            <w:tcW w:w="1161" w:type="dxa"/>
            <w:vAlign w:val="center"/>
          </w:tcPr>
          <w:p>
            <w:pPr>
              <w:widowControl/>
              <w:spacing w:line="360" w:lineRule="atLeast"/>
              <w:ind w:firstLine="470" w:firstLineChars="196"/>
              <w:jc w:val="left"/>
              <w:rPr>
                <w:rFonts w:hAnsi="宋体"/>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hAnsi="宋体"/>
                <w:sz w:val="24"/>
              </w:rPr>
            </w:pPr>
          </w:p>
        </w:tc>
        <w:tc>
          <w:tcPr>
            <w:tcW w:w="1634" w:type="dxa"/>
            <w:tcBorders>
              <w:left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left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Ansi="宋体"/>
                <w:sz w:val="24"/>
              </w:rPr>
            </w:pPr>
          </w:p>
        </w:tc>
        <w:tc>
          <w:tcPr>
            <w:tcW w:w="1440" w:type="dxa"/>
            <w:vAlign w:val="center"/>
          </w:tcPr>
          <w:p>
            <w:pPr>
              <w:widowControl/>
              <w:spacing w:line="360" w:lineRule="atLeast"/>
              <w:ind w:firstLine="470" w:firstLineChars="196"/>
              <w:jc w:val="left"/>
              <w:rPr>
                <w:rFonts w:hAnsi="宋体"/>
                <w:sz w:val="24"/>
              </w:rPr>
            </w:pPr>
          </w:p>
        </w:tc>
        <w:tc>
          <w:tcPr>
            <w:tcW w:w="1320" w:type="dxa"/>
            <w:vAlign w:val="center"/>
          </w:tcPr>
          <w:p>
            <w:pPr>
              <w:widowControl/>
              <w:spacing w:line="360" w:lineRule="atLeast"/>
              <w:ind w:firstLine="470" w:firstLineChars="196"/>
              <w:jc w:val="left"/>
              <w:rPr>
                <w:rFonts w:hAnsi="宋体"/>
                <w:sz w:val="24"/>
              </w:rPr>
            </w:pPr>
          </w:p>
        </w:tc>
        <w:tc>
          <w:tcPr>
            <w:tcW w:w="1161" w:type="dxa"/>
            <w:vAlign w:val="center"/>
          </w:tcPr>
          <w:p>
            <w:pPr>
              <w:widowControl/>
              <w:spacing w:line="360" w:lineRule="atLeast"/>
              <w:ind w:firstLine="470" w:firstLineChars="196"/>
              <w:jc w:val="left"/>
              <w:rPr>
                <w:rFonts w:hAnsi="宋体"/>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hAnsi="宋体"/>
                <w:sz w:val="24"/>
              </w:rPr>
            </w:pPr>
          </w:p>
        </w:tc>
        <w:tc>
          <w:tcPr>
            <w:tcW w:w="1634" w:type="dxa"/>
            <w:tcBorders>
              <w:left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left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Ansi="宋体"/>
                <w:sz w:val="24"/>
              </w:rPr>
            </w:pPr>
          </w:p>
        </w:tc>
        <w:tc>
          <w:tcPr>
            <w:tcW w:w="1440" w:type="dxa"/>
            <w:vAlign w:val="center"/>
          </w:tcPr>
          <w:p>
            <w:pPr>
              <w:widowControl/>
              <w:spacing w:line="360" w:lineRule="atLeast"/>
              <w:ind w:firstLine="470" w:firstLineChars="196"/>
              <w:jc w:val="left"/>
              <w:rPr>
                <w:rFonts w:hAnsi="宋体"/>
                <w:sz w:val="24"/>
              </w:rPr>
            </w:pPr>
          </w:p>
        </w:tc>
        <w:tc>
          <w:tcPr>
            <w:tcW w:w="1320" w:type="dxa"/>
            <w:vAlign w:val="center"/>
          </w:tcPr>
          <w:p>
            <w:pPr>
              <w:widowControl/>
              <w:spacing w:line="360" w:lineRule="atLeast"/>
              <w:ind w:firstLine="470" w:firstLineChars="196"/>
              <w:jc w:val="left"/>
              <w:rPr>
                <w:rFonts w:hAnsi="宋体"/>
                <w:sz w:val="24"/>
              </w:rPr>
            </w:pPr>
          </w:p>
        </w:tc>
        <w:tc>
          <w:tcPr>
            <w:tcW w:w="1161" w:type="dxa"/>
            <w:vAlign w:val="center"/>
          </w:tcPr>
          <w:p>
            <w:pPr>
              <w:widowControl/>
              <w:spacing w:line="360" w:lineRule="atLeast"/>
              <w:ind w:firstLine="470" w:firstLineChars="196"/>
              <w:jc w:val="left"/>
              <w:rPr>
                <w:rFonts w:hAnsi="宋体"/>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hAnsi="宋体"/>
                <w:sz w:val="24"/>
              </w:rPr>
            </w:pPr>
          </w:p>
        </w:tc>
        <w:tc>
          <w:tcPr>
            <w:tcW w:w="1634" w:type="dxa"/>
            <w:tcBorders>
              <w:left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left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hAnsi="宋体"/>
                <w:sz w:val="24"/>
              </w:rPr>
            </w:pPr>
          </w:p>
        </w:tc>
        <w:tc>
          <w:tcPr>
            <w:tcW w:w="1440" w:type="dxa"/>
            <w:tcBorders>
              <w:bottom w:val="single" w:color="auto" w:sz="4" w:space="0"/>
            </w:tcBorders>
            <w:vAlign w:val="center"/>
          </w:tcPr>
          <w:p>
            <w:pPr>
              <w:widowControl/>
              <w:spacing w:line="360" w:lineRule="atLeast"/>
              <w:ind w:firstLine="470" w:firstLineChars="196"/>
              <w:jc w:val="left"/>
              <w:rPr>
                <w:rFonts w:hAnsi="宋体"/>
                <w:sz w:val="24"/>
              </w:rPr>
            </w:pPr>
          </w:p>
        </w:tc>
        <w:tc>
          <w:tcPr>
            <w:tcW w:w="1320" w:type="dxa"/>
            <w:tcBorders>
              <w:bottom w:val="single" w:color="auto" w:sz="4" w:space="0"/>
            </w:tcBorders>
            <w:vAlign w:val="center"/>
          </w:tcPr>
          <w:p>
            <w:pPr>
              <w:widowControl/>
              <w:spacing w:line="360" w:lineRule="atLeast"/>
              <w:ind w:firstLine="470" w:firstLineChars="196"/>
              <w:jc w:val="left"/>
              <w:rPr>
                <w:rFonts w:hAnsi="宋体"/>
                <w:sz w:val="24"/>
              </w:rPr>
            </w:pPr>
          </w:p>
        </w:tc>
        <w:tc>
          <w:tcPr>
            <w:tcW w:w="1161" w:type="dxa"/>
            <w:tcBorders>
              <w:bottom w:val="single" w:color="auto" w:sz="4" w:space="0"/>
            </w:tcBorders>
            <w:vAlign w:val="center"/>
          </w:tcPr>
          <w:p>
            <w:pPr>
              <w:widowControl/>
              <w:spacing w:line="360" w:lineRule="atLeast"/>
              <w:ind w:firstLine="470" w:firstLineChars="196"/>
              <w:jc w:val="left"/>
              <w:rPr>
                <w:rFonts w:hAnsi="宋体"/>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634"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left w:val="single" w:color="auto" w:sz="4" w:space="0"/>
              <w:bottom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634"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634"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hAnsi="宋体"/>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634"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hAnsi="宋体"/>
                <w:sz w:val="24"/>
              </w:rPr>
            </w:pPr>
          </w:p>
        </w:tc>
        <w:tc>
          <w:tcPr>
            <w:tcW w:w="1440" w:type="dxa"/>
            <w:tcBorders>
              <w:top w:val="single" w:color="auto" w:sz="4" w:space="0"/>
            </w:tcBorders>
            <w:vAlign w:val="center"/>
          </w:tcPr>
          <w:p>
            <w:pPr>
              <w:widowControl/>
              <w:spacing w:line="360" w:lineRule="atLeast"/>
              <w:ind w:firstLine="470" w:firstLineChars="196"/>
              <w:jc w:val="left"/>
              <w:rPr>
                <w:rFonts w:hAnsi="宋体"/>
                <w:sz w:val="24"/>
              </w:rPr>
            </w:pPr>
          </w:p>
        </w:tc>
        <w:tc>
          <w:tcPr>
            <w:tcW w:w="1320" w:type="dxa"/>
            <w:tcBorders>
              <w:top w:val="single" w:color="auto" w:sz="4" w:space="0"/>
            </w:tcBorders>
            <w:vAlign w:val="center"/>
          </w:tcPr>
          <w:p>
            <w:pPr>
              <w:widowControl/>
              <w:spacing w:line="360" w:lineRule="atLeast"/>
              <w:ind w:firstLine="470" w:firstLineChars="196"/>
              <w:jc w:val="left"/>
              <w:rPr>
                <w:rFonts w:hAnsi="宋体"/>
                <w:sz w:val="24"/>
              </w:rPr>
            </w:pPr>
          </w:p>
        </w:tc>
        <w:tc>
          <w:tcPr>
            <w:tcW w:w="1161" w:type="dxa"/>
            <w:tcBorders>
              <w:top w:val="single" w:color="auto" w:sz="4" w:space="0"/>
            </w:tcBorders>
            <w:vAlign w:val="center"/>
          </w:tcPr>
          <w:p>
            <w:pPr>
              <w:widowControl/>
              <w:spacing w:line="360" w:lineRule="atLeast"/>
              <w:ind w:firstLine="470" w:firstLineChars="196"/>
              <w:jc w:val="left"/>
              <w:rPr>
                <w:rFonts w:hAnsi="宋体"/>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634"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hAnsi="宋体"/>
                <w:sz w:val="24"/>
              </w:rPr>
            </w:pPr>
          </w:p>
        </w:tc>
        <w:tc>
          <w:tcPr>
            <w:tcW w:w="1022" w:type="dxa"/>
            <w:tcBorders>
              <w:top w:val="single" w:color="auto" w:sz="4" w:space="0"/>
              <w:left w:val="single" w:color="auto" w:sz="4" w:space="0"/>
            </w:tcBorders>
            <w:vAlign w:val="center"/>
          </w:tcPr>
          <w:p>
            <w:pPr>
              <w:widowControl/>
              <w:spacing w:line="360" w:lineRule="atLeast"/>
              <w:ind w:firstLine="470" w:firstLineChars="196"/>
              <w:jc w:val="left"/>
              <w:rPr>
                <w:rFonts w:hAnsi="宋体"/>
                <w:sz w:val="24"/>
              </w:rPr>
            </w:pPr>
          </w:p>
        </w:tc>
      </w:tr>
    </w:tbl>
    <w:p>
      <w:pPr>
        <w:widowControl/>
        <w:spacing w:line="360" w:lineRule="atLeast"/>
        <w:ind w:firstLine="470" w:firstLineChars="196"/>
        <w:jc w:val="left"/>
        <w:rPr>
          <w:rFonts w:hAnsi="宋体"/>
          <w:sz w:val="24"/>
        </w:rPr>
      </w:pPr>
    </w:p>
    <w:p>
      <w:pPr>
        <w:widowControl/>
        <w:spacing w:line="360" w:lineRule="atLeast"/>
        <w:ind w:firstLine="470" w:firstLineChars="196"/>
        <w:jc w:val="left"/>
        <w:rPr>
          <w:rFonts w:hAnsi="宋体"/>
          <w:sz w:val="24"/>
        </w:rPr>
      </w:pPr>
      <w:r>
        <w:rPr>
          <w:rFonts w:hint="eastAsia" w:hAnsi="宋体"/>
          <w:sz w:val="24"/>
        </w:rPr>
        <w:t>注：投标人（仅限于投标人自己实施的）以上业绩需提供有关书面证明材料。</w:t>
      </w:r>
    </w:p>
    <w:p>
      <w:pPr>
        <w:widowControl/>
        <w:spacing w:line="360" w:lineRule="atLeast"/>
        <w:ind w:firstLine="470" w:firstLineChars="196"/>
        <w:jc w:val="left"/>
        <w:rPr>
          <w:rFonts w:hAnsi="宋体"/>
          <w:sz w:val="24"/>
        </w:rPr>
      </w:pPr>
    </w:p>
    <w:p>
      <w:pPr>
        <w:widowControl/>
        <w:spacing w:line="360" w:lineRule="atLeast"/>
        <w:ind w:firstLine="470" w:firstLineChars="196"/>
        <w:jc w:val="left"/>
        <w:rPr>
          <w:rFonts w:hAnsi="宋体"/>
          <w:sz w:val="24"/>
        </w:rPr>
      </w:pPr>
    </w:p>
    <w:p>
      <w:pPr>
        <w:widowControl/>
        <w:spacing w:line="360" w:lineRule="atLeast"/>
        <w:ind w:firstLine="470" w:firstLineChars="196"/>
        <w:jc w:val="left"/>
        <w:rPr>
          <w:rFonts w:hAnsi="宋体"/>
          <w:sz w:val="24"/>
        </w:rPr>
      </w:pPr>
      <w:r>
        <w:rPr>
          <w:rFonts w:hint="eastAsia" w:hAnsi="宋体"/>
          <w:sz w:val="24"/>
        </w:rPr>
        <w:t>投标人名称：（单位盖章）</w:t>
      </w:r>
    </w:p>
    <w:p>
      <w:pPr>
        <w:widowControl/>
        <w:spacing w:line="360" w:lineRule="atLeast"/>
        <w:ind w:firstLine="470" w:firstLineChars="196"/>
        <w:jc w:val="left"/>
        <w:rPr>
          <w:rFonts w:hAnsi="宋体"/>
          <w:sz w:val="24"/>
          <w:u w:val="single"/>
        </w:rPr>
      </w:pPr>
      <w:r>
        <w:rPr>
          <w:rFonts w:hint="eastAsia" w:hAnsi="宋体"/>
          <w:sz w:val="24"/>
        </w:rPr>
        <w:t>法定代表人或授权代表（签字或加盖个人名章）：</w:t>
      </w:r>
    </w:p>
    <w:p>
      <w:pPr>
        <w:widowControl/>
        <w:spacing w:line="360" w:lineRule="atLeast"/>
        <w:ind w:firstLine="470" w:firstLineChars="196"/>
        <w:jc w:val="left"/>
        <w:rPr>
          <w:rFonts w:hAnsi="宋体"/>
          <w:sz w:val="24"/>
        </w:rPr>
      </w:pPr>
      <w:r>
        <w:rPr>
          <w:rFonts w:hint="eastAsia" w:hAnsi="宋体"/>
          <w:sz w:val="24"/>
        </w:rPr>
        <w:t xml:space="preserve">投标日期:  </w:t>
      </w: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widowControl/>
        <w:spacing w:line="360" w:lineRule="atLeast"/>
        <w:jc w:val="center"/>
        <w:rPr>
          <w:rFonts w:hAnsi="宋体"/>
          <w:b/>
          <w:sz w:val="32"/>
          <w:szCs w:val="32"/>
        </w:rPr>
      </w:pPr>
      <w:bookmarkStart w:id="212" w:name="_Toc217446090"/>
      <w:r>
        <w:rPr>
          <w:rFonts w:hint="eastAsia" w:hAnsi="宋体"/>
          <w:b/>
          <w:sz w:val="32"/>
          <w:szCs w:val="32"/>
          <w:lang w:eastAsia="zh-CN"/>
        </w:rPr>
        <w:t>八</w:t>
      </w:r>
      <w:r>
        <w:rPr>
          <w:rFonts w:hint="eastAsia" w:hAnsi="宋体"/>
          <w:b/>
          <w:sz w:val="32"/>
          <w:szCs w:val="32"/>
        </w:rPr>
        <w:t>、</w:t>
      </w:r>
      <w:bookmarkEnd w:id="212"/>
      <w:r>
        <w:rPr>
          <w:rFonts w:hint="eastAsia" w:hAnsi="宋体"/>
          <w:b/>
          <w:sz w:val="32"/>
          <w:szCs w:val="32"/>
        </w:rPr>
        <w:t>技术及服务响应表</w:t>
      </w:r>
    </w:p>
    <w:p>
      <w:pPr>
        <w:widowControl/>
        <w:spacing w:line="360" w:lineRule="atLeast"/>
        <w:ind w:firstLine="472" w:firstLineChars="196"/>
        <w:jc w:val="left"/>
        <w:rPr>
          <w:rFonts w:hint="eastAsia" w:hAnsi="宋体"/>
          <w:b/>
          <w:sz w:val="24"/>
          <w:szCs w:val="22"/>
        </w:rPr>
      </w:pPr>
      <w:r>
        <w:rPr>
          <w:rFonts w:hint="eastAsia" w:hAnsi="宋体"/>
          <w:b/>
          <w:sz w:val="24"/>
        </w:rPr>
        <w:t>项目</w:t>
      </w:r>
      <w:r>
        <w:rPr>
          <w:rFonts w:hint="eastAsia" w:hAnsi="宋体"/>
          <w:b/>
          <w:sz w:val="24"/>
          <w:szCs w:val="22"/>
        </w:rPr>
        <w:t>名称：</w:t>
      </w:r>
    </w:p>
    <w:p>
      <w:pPr>
        <w:widowControl/>
        <w:spacing w:line="360" w:lineRule="atLeast"/>
        <w:ind w:firstLine="472" w:firstLineChars="196"/>
        <w:jc w:val="left"/>
        <w:rPr>
          <w:rFonts w:hint="eastAsia" w:hAnsi="宋体"/>
          <w:b/>
          <w:sz w:val="24"/>
          <w:szCs w:val="22"/>
        </w:rPr>
      </w:pPr>
      <w:r>
        <w:rPr>
          <w:rFonts w:hint="eastAsia" w:hAnsi="宋体"/>
          <w:b/>
          <w:sz w:val="24"/>
          <w:szCs w:val="22"/>
        </w:rPr>
        <w:t>招标编号：</w:t>
      </w:r>
    </w:p>
    <w:p>
      <w:pPr>
        <w:widowControl/>
        <w:spacing w:line="360" w:lineRule="atLeast"/>
        <w:ind w:firstLine="472" w:firstLineChars="196"/>
        <w:jc w:val="left"/>
        <w:rPr>
          <w:rFonts w:hint="eastAsia" w:hAnsi="宋体"/>
          <w:b/>
          <w:sz w:val="24"/>
          <w:szCs w:val="22"/>
        </w:rPr>
      </w:pPr>
      <w:r>
        <w:rPr>
          <w:rFonts w:hint="eastAsia" w:hAnsi="宋体" w:cs="Times New Roman"/>
          <w:b/>
          <w:sz w:val="24"/>
          <w:szCs w:val="22"/>
          <w:lang w:eastAsia="zh-CN"/>
        </w:rPr>
        <w:t>包件号：</w:t>
      </w:r>
    </w:p>
    <w:tbl>
      <w:tblPr>
        <w:tblStyle w:val="47"/>
        <w:tblW w:w="9540"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2264"/>
        <w:gridCol w:w="2681"/>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117" w:type="dxa"/>
            <w:vAlign w:val="center"/>
          </w:tcPr>
          <w:p>
            <w:pPr>
              <w:pStyle w:val="14"/>
              <w:tabs>
                <w:tab w:val="left" w:pos="6880"/>
              </w:tabs>
              <w:spacing w:line="360" w:lineRule="auto"/>
              <w:ind w:firstLine="0" w:firstLineChars="0"/>
              <w:jc w:val="center"/>
              <w:rPr>
                <w:rFonts w:hAnsi="宋体" w:cs="宋体"/>
                <w:b/>
                <w:sz w:val="24"/>
              </w:rPr>
            </w:pPr>
            <w:r>
              <w:rPr>
                <w:rFonts w:hint="eastAsia" w:hAnsi="宋体" w:cs="宋体"/>
                <w:b/>
                <w:sz w:val="24"/>
              </w:rPr>
              <w:t>序号</w:t>
            </w:r>
          </w:p>
        </w:tc>
        <w:tc>
          <w:tcPr>
            <w:tcW w:w="2264" w:type="dxa"/>
            <w:vAlign w:val="center"/>
          </w:tcPr>
          <w:p>
            <w:pPr>
              <w:pStyle w:val="14"/>
              <w:tabs>
                <w:tab w:val="left" w:pos="6880"/>
              </w:tabs>
              <w:spacing w:line="360" w:lineRule="auto"/>
              <w:ind w:firstLine="0" w:firstLineChars="0"/>
              <w:jc w:val="center"/>
              <w:rPr>
                <w:rFonts w:hAnsi="宋体" w:cs="宋体"/>
                <w:b/>
                <w:sz w:val="24"/>
              </w:rPr>
            </w:pPr>
            <w:r>
              <w:rPr>
                <w:rFonts w:hAnsi="宋体" w:cs="宋体"/>
                <w:b/>
                <w:sz w:val="24"/>
              </w:rPr>
              <w:t>招标文件条目号</w:t>
            </w:r>
          </w:p>
        </w:tc>
        <w:tc>
          <w:tcPr>
            <w:tcW w:w="2681" w:type="dxa"/>
            <w:vAlign w:val="center"/>
          </w:tcPr>
          <w:p>
            <w:pPr>
              <w:pStyle w:val="14"/>
              <w:tabs>
                <w:tab w:val="left" w:pos="6880"/>
              </w:tabs>
              <w:spacing w:line="360" w:lineRule="auto"/>
              <w:ind w:firstLine="0" w:firstLineChars="0"/>
              <w:jc w:val="center"/>
              <w:rPr>
                <w:rFonts w:hAnsi="宋体" w:cs="宋体"/>
                <w:b/>
                <w:sz w:val="24"/>
              </w:rPr>
            </w:pPr>
            <w:r>
              <w:rPr>
                <w:rFonts w:hint="eastAsia" w:hAnsi="宋体" w:cs="宋体"/>
                <w:b/>
                <w:sz w:val="24"/>
              </w:rPr>
              <w:t>招标文件要求</w:t>
            </w:r>
          </w:p>
        </w:tc>
        <w:tc>
          <w:tcPr>
            <w:tcW w:w="3478" w:type="dxa"/>
            <w:vAlign w:val="center"/>
          </w:tcPr>
          <w:p>
            <w:pPr>
              <w:pStyle w:val="14"/>
              <w:tabs>
                <w:tab w:val="left" w:pos="6880"/>
              </w:tabs>
              <w:spacing w:line="360" w:lineRule="auto"/>
              <w:ind w:firstLine="0" w:firstLineChars="0"/>
              <w:jc w:val="center"/>
              <w:rPr>
                <w:rFonts w:hAnsi="宋体" w:cs="宋体"/>
                <w:b/>
                <w:sz w:val="24"/>
              </w:rPr>
            </w:pPr>
            <w:r>
              <w:rPr>
                <w:rFonts w:hint="eastAsia" w:hAnsi="宋体" w:cs="宋体"/>
                <w:b/>
                <w:sz w:val="24"/>
              </w:rPr>
              <w:t>投标文件的应答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117" w:type="dxa"/>
            <w:vAlign w:val="center"/>
          </w:tcPr>
          <w:p>
            <w:pPr>
              <w:pStyle w:val="14"/>
              <w:tabs>
                <w:tab w:val="left" w:pos="34"/>
              </w:tabs>
              <w:spacing w:line="360" w:lineRule="auto"/>
              <w:ind w:left="-108" w:firstLine="480"/>
              <w:jc w:val="center"/>
              <w:rPr>
                <w:rFonts w:hAnsi="宋体" w:cs="宋体"/>
                <w:sz w:val="24"/>
              </w:rPr>
            </w:pPr>
            <w:r>
              <w:rPr>
                <w:rFonts w:hint="eastAsia" w:hAnsi="宋体" w:cs="宋体"/>
                <w:sz w:val="24"/>
              </w:rPr>
              <w:t>1</w:t>
            </w:r>
          </w:p>
        </w:tc>
        <w:tc>
          <w:tcPr>
            <w:tcW w:w="2264" w:type="dxa"/>
            <w:vAlign w:val="center"/>
          </w:tcPr>
          <w:p>
            <w:pPr>
              <w:pStyle w:val="14"/>
              <w:tabs>
                <w:tab w:val="left" w:pos="6880"/>
              </w:tabs>
              <w:spacing w:line="360" w:lineRule="auto"/>
              <w:ind w:firstLine="480"/>
              <w:jc w:val="center"/>
              <w:rPr>
                <w:rFonts w:hAnsi="宋体" w:cs="宋体"/>
                <w:sz w:val="24"/>
              </w:rPr>
            </w:pPr>
          </w:p>
        </w:tc>
        <w:tc>
          <w:tcPr>
            <w:tcW w:w="2681" w:type="dxa"/>
            <w:vAlign w:val="center"/>
          </w:tcPr>
          <w:p>
            <w:pPr>
              <w:pStyle w:val="14"/>
              <w:tabs>
                <w:tab w:val="left" w:pos="6880"/>
              </w:tabs>
              <w:spacing w:line="360" w:lineRule="auto"/>
              <w:ind w:firstLine="480"/>
              <w:rPr>
                <w:rFonts w:hAnsi="宋体" w:cs="宋体"/>
                <w:sz w:val="24"/>
              </w:rPr>
            </w:pPr>
          </w:p>
        </w:tc>
        <w:tc>
          <w:tcPr>
            <w:tcW w:w="3478" w:type="dxa"/>
            <w:vAlign w:val="center"/>
          </w:tcPr>
          <w:p>
            <w:pPr>
              <w:pStyle w:val="14"/>
              <w:tabs>
                <w:tab w:val="left" w:pos="6880"/>
              </w:tabs>
              <w:spacing w:line="360" w:lineRule="auto"/>
              <w:ind w:firstLine="480"/>
              <w:rPr>
                <w:rFonts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117" w:type="dxa"/>
            <w:vAlign w:val="center"/>
          </w:tcPr>
          <w:p>
            <w:pPr>
              <w:pStyle w:val="14"/>
              <w:tabs>
                <w:tab w:val="left" w:pos="34"/>
              </w:tabs>
              <w:spacing w:line="360" w:lineRule="auto"/>
              <w:ind w:left="-108" w:firstLine="480"/>
              <w:jc w:val="center"/>
              <w:rPr>
                <w:rFonts w:hAnsi="宋体" w:cs="宋体"/>
                <w:sz w:val="24"/>
              </w:rPr>
            </w:pPr>
            <w:r>
              <w:rPr>
                <w:rFonts w:hint="eastAsia" w:hAnsi="宋体" w:cs="宋体"/>
                <w:sz w:val="24"/>
              </w:rPr>
              <w:t>2</w:t>
            </w:r>
          </w:p>
        </w:tc>
        <w:tc>
          <w:tcPr>
            <w:tcW w:w="2264" w:type="dxa"/>
            <w:vAlign w:val="center"/>
          </w:tcPr>
          <w:p>
            <w:pPr>
              <w:pStyle w:val="14"/>
              <w:tabs>
                <w:tab w:val="left" w:pos="6880"/>
              </w:tabs>
              <w:spacing w:line="360" w:lineRule="auto"/>
              <w:ind w:firstLine="480"/>
              <w:jc w:val="center"/>
              <w:rPr>
                <w:rFonts w:hAnsi="宋体" w:cs="宋体"/>
                <w:sz w:val="24"/>
              </w:rPr>
            </w:pPr>
          </w:p>
        </w:tc>
        <w:tc>
          <w:tcPr>
            <w:tcW w:w="2681" w:type="dxa"/>
            <w:vAlign w:val="center"/>
          </w:tcPr>
          <w:p>
            <w:pPr>
              <w:pStyle w:val="14"/>
              <w:tabs>
                <w:tab w:val="left" w:pos="6880"/>
              </w:tabs>
              <w:spacing w:line="360" w:lineRule="auto"/>
              <w:ind w:firstLine="480"/>
              <w:rPr>
                <w:rFonts w:hAnsi="宋体" w:cs="宋体"/>
                <w:sz w:val="24"/>
              </w:rPr>
            </w:pPr>
          </w:p>
        </w:tc>
        <w:tc>
          <w:tcPr>
            <w:tcW w:w="3478" w:type="dxa"/>
            <w:vAlign w:val="center"/>
          </w:tcPr>
          <w:p>
            <w:pPr>
              <w:pStyle w:val="14"/>
              <w:tabs>
                <w:tab w:val="left" w:pos="6880"/>
              </w:tabs>
              <w:spacing w:line="360" w:lineRule="auto"/>
              <w:ind w:firstLine="480"/>
              <w:rPr>
                <w:rFonts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117" w:type="dxa"/>
            <w:vAlign w:val="center"/>
          </w:tcPr>
          <w:p>
            <w:pPr>
              <w:pStyle w:val="14"/>
              <w:tabs>
                <w:tab w:val="left" w:pos="34"/>
              </w:tabs>
              <w:spacing w:line="360" w:lineRule="auto"/>
              <w:ind w:left="-108" w:firstLine="480"/>
              <w:jc w:val="center"/>
              <w:rPr>
                <w:rFonts w:hAnsi="宋体" w:cs="宋体"/>
                <w:sz w:val="24"/>
              </w:rPr>
            </w:pPr>
            <w:r>
              <w:rPr>
                <w:rFonts w:hint="eastAsia" w:hAnsi="宋体" w:cs="宋体"/>
                <w:sz w:val="24"/>
              </w:rPr>
              <w:t>3</w:t>
            </w:r>
          </w:p>
        </w:tc>
        <w:tc>
          <w:tcPr>
            <w:tcW w:w="2264" w:type="dxa"/>
            <w:vAlign w:val="center"/>
          </w:tcPr>
          <w:p>
            <w:pPr>
              <w:pStyle w:val="14"/>
              <w:tabs>
                <w:tab w:val="left" w:pos="6880"/>
              </w:tabs>
              <w:spacing w:line="360" w:lineRule="auto"/>
              <w:ind w:firstLine="480"/>
              <w:jc w:val="center"/>
              <w:rPr>
                <w:rFonts w:hAnsi="宋体" w:cs="宋体"/>
                <w:sz w:val="24"/>
              </w:rPr>
            </w:pPr>
          </w:p>
        </w:tc>
        <w:tc>
          <w:tcPr>
            <w:tcW w:w="2681" w:type="dxa"/>
            <w:vAlign w:val="center"/>
          </w:tcPr>
          <w:p>
            <w:pPr>
              <w:pStyle w:val="14"/>
              <w:tabs>
                <w:tab w:val="left" w:pos="6880"/>
              </w:tabs>
              <w:spacing w:line="360" w:lineRule="auto"/>
              <w:ind w:firstLine="480"/>
              <w:rPr>
                <w:rFonts w:hAnsi="宋体" w:cs="宋体"/>
                <w:sz w:val="24"/>
              </w:rPr>
            </w:pPr>
          </w:p>
        </w:tc>
        <w:tc>
          <w:tcPr>
            <w:tcW w:w="3478" w:type="dxa"/>
            <w:vAlign w:val="center"/>
          </w:tcPr>
          <w:p>
            <w:pPr>
              <w:pStyle w:val="14"/>
              <w:tabs>
                <w:tab w:val="left" w:pos="6880"/>
              </w:tabs>
              <w:spacing w:line="360" w:lineRule="auto"/>
              <w:ind w:firstLine="480"/>
              <w:rPr>
                <w:rFonts w:hAnsi="宋体" w:cs="宋体"/>
                <w:sz w:val="24"/>
              </w:rPr>
            </w:pPr>
          </w:p>
        </w:tc>
      </w:tr>
    </w:tbl>
    <w:p>
      <w:pPr>
        <w:widowControl/>
        <w:spacing w:line="360" w:lineRule="atLeast"/>
        <w:ind w:firstLine="470" w:firstLineChars="196"/>
        <w:jc w:val="left"/>
        <w:rPr>
          <w:rFonts w:hAnsi="宋体"/>
          <w:sz w:val="24"/>
        </w:rPr>
      </w:pPr>
    </w:p>
    <w:p>
      <w:pPr>
        <w:widowControl/>
        <w:spacing w:line="360" w:lineRule="atLeast"/>
        <w:ind w:firstLine="470" w:firstLineChars="196"/>
        <w:jc w:val="left"/>
        <w:rPr>
          <w:rFonts w:hint="eastAsia" w:hAnsi="宋体"/>
          <w:sz w:val="24"/>
        </w:rPr>
      </w:pPr>
      <w:r>
        <w:rPr>
          <w:rFonts w:hint="eastAsia" w:hAnsi="宋体"/>
          <w:sz w:val="24"/>
        </w:rPr>
        <w:t>注：</w:t>
      </w:r>
    </w:p>
    <w:p>
      <w:pPr>
        <w:widowControl/>
        <w:spacing w:line="360" w:lineRule="atLeast"/>
        <w:ind w:firstLine="470" w:firstLineChars="196"/>
        <w:jc w:val="left"/>
        <w:rPr>
          <w:rFonts w:hint="eastAsia" w:hAnsi="宋体" w:eastAsia="宋体"/>
          <w:sz w:val="24"/>
          <w:lang w:eastAsia="zh-CN"/>
        </w:rPr>
      </w:pPr>
      <w:r>
        <w:rPr>
          <w:rFonts w:hint="eastAsia" w:hAnsi="宋体"/>
          <w:sz w:val="24"/>
        </w:rPr>
        <w:t xml:space="preserve">1. </w:t>
      </w:r>
      <w:r>
        <w:rPr>
          <w:rFonts w:hint="eastAsia" w:hAnsi="宋体" w:cs="Times New Roman"/>
          <w:sz w:val="24"/>
          <w:szCs w:val="20"/>
        </w:rPr>
        <w:t>本表只填写响应文件中与</w:t>
      </w:r>
      <w:r>
        <w:rPr>
          <w:rFonts w:hint="eastAsia" w:hAnsi="宋体" w:cs="Times New Roman"/>
          <w:sz w:val="24"/>
          <w:szCs w:val="20"/>
          <w:lang w:eastAsia="zh-CN"/>
        </w:rPr>
        <w:t>招标</w:t>
      </w:r>
      <w:r>
        <w:rPr>
          <w:rFonts w:hint="eastAsia" w:hAnsi="宋体" w:cs="Times New Roman"/>
          <w:sz w:val="24"/>
          <w:szCs w:val="20"/>
        </w:rPr>
        <w:t>文件</w:t>
      </w:r>
      <w:r>
        <w:rPr>
          <w:rFonts w:hint="eastAsia" w:hAnsi="宋体"/>
          <w:sz w:val="24"/>
        </w:rPr>
        <w:t>第六章</w:t>
      </w:r>
      <w:r>
        <w:rPr>
          <w:rFonts w:hint="eastAsia" w:ascii="宋体" w:hAnsi="宋体" w:eastAsia="宋体" w:cs="Times New Roman"/>
          <w:b w:val="0"/>
          <w:sz w:val="24"/>
          <w:szCs w:val="20"/>
        </w:rPr>
        <w:t>技术、服务要求</w:t>
      </w:r>
      <w:r>
        <w:rPr>
          <w:rFonts w:hint="eastAsia" w:hAnsi="宋体" w:cs="Times New Roman"/>
          <w:sz w:val="24"/>
          <w:szCs w:val="20"/>
        </w:rPr>
        <w:t>有偏离（负偏离）的内容，响应文件中</w:t>
      </w:r>
      <w:r>
        <w:rPr>
          <w:rFonts w:hint="eastAsia" w:ascii="宋体" w:hAnsi="宋体" w:eastAsia="宋体" w:cs="Times New Roman"/>
          <w:b w:val="0"/>
          <w:sz w:val="24"/>
          <w:szCs w:val="20"/>
        </w:rPr>
        <w:t>技术、服务</w:t>
      </w:r>
      <w:r>
        <w:rPr>
          <w:rFonts w:hint="eastAsia" w:hAnsi="宋体" w:cs="Times New Roman"/>
          <w:b w:val="0"/>
          <w:sz w:val="24"/>
          <w:szCs w:val="20"/>
          <w:lang w:eastAsia="zh-CN"/>
        </w:rPr>
        <w:t>应答</w:t>
      </w:r>
      <w:r>
        <w:rPr>
          <w:rFonts w:hint="eastAsia" w:hAnsi="宋体" w:cs="Times New Roman"/>
          <w:sz w:val="24"/>
          <w:szCs w:val="20"/>
        </w:rPr>
        <w:t>响应与</w:t>
      </w:r>
      <w:r>
        <w:rPr>
          <w:rFonts w:hint="eastAsia" w:hAnsi="宋体" w:cs="Times New Roman"/>
          <w:sz w:val="24"/>
          <w:szCs w:val="20"/>
          <w:lang w:eastAsia="zh-CN"/>
        </w:rPr>
        <w:t>招标</w:t>
      </w:r>
      <w:r>
        <w:rPr>
          <w:rFonts w:hint="eastAsia" w:hAnsi="宋体" w:cs="Times New Roman"/>
          <w:sz w:val="24"/>
          <w:szCs w:val="20"/>
        </w:rPr>
        <w:t>文件要求完全一致的，可以不用在此</w:t>
      </w:r>
      <w:r>
        <w:rPr>
          <w:rFonts w:hint="eastAsia" w:hAnsi="宋体" w:cs="Times New Roman"/>
          <w:sz w:val="24"/>
          <w:szCs w:val="20"/>
          <w:lang w:eastAsia="zh-CN"/>
        </w:rPr>
        <w:t>表</w:t>
      </w:r>
      <w:r>
        <w:rPr>
          <w:rFonts w:hint="eastAsia" w:hAnsi="宋体" w:cs="Times New Roman"/>
          <w:sz w:val="24"/>
          <w:szCs w:val="20"/>
        </w:rPr>
        <w:t>中列出</w:t>
      </w:r>
      <w:r>
        <w:rPr>
          <w:rFonts w:hint="eastAsia" w:hAnsi="宋体" w:cs="Times New Roman"/>
          <w:sz w:val="24"/>
          <w:szCs w:val="20"/>
          <w:lang w:eastAsia="zh-CN"/>
        </w:rPr>
        <w:t>，视同响应招标文件要求。</w:t>
      </w:r>
    </w:p>
    <w:p>
      <w:pPr>
        <w:widowControl/>
        <w:numPr>
          <w:ilvl w:val="0"/>
          <w:numId w:val="4"/>
        </w:numPr>
        <w:spacing w:line="360" w:lineRule="atLeast"/>
        <w:ind w:firstLine="470" w:firstLineChars="196"/>
        <w:jc w:val="left"/>
        <w:rPr>
          <w:rFonts w:hAnsi="宋体"/>
          <w:sz w:val="24"/>
        </w:rPr>
      </w:pPr>
      <w:r>
        <w:rPr>
          <w:rFonts w:hint="eastAsia" w:hAnsi="宋体"/>
          <w:sz w:val="24"/>
        </w:rPr>
        <w:t>供应商必须据实填写，不得虚假填写，否则将取消其投标或中标资格。</w:t>
      </w:r>
    </w:p>
    <w:p>
      <w:pPr>
        <w:widowControl/>
        <w:spacing w:line="360" w:lineRule="atLeast"/>
        <w:jc w:val="left"/>
        <w:rPr>
          <w:rFonts w:hAnsi="宋体"/>
          <w:sz w:val="24"/>
        </w:rPr>
      </w:pPr>
    </w:p>
    <w:p>
      <w:pPr>
        <w:widowControl/>
        <w:spacing w:line="360" w:lineRule="atLeast"/>
        <w:ind w:firstLine="470" w:firstLineChars="196"/>
        <w:jc w:val="left"/>
        <w:rPr>
          <w:rFonts w:hAnsi="宋体"/>
          <w:sz w:val="24"/>
        </w:rPr>
      </w:pPr>
      <w:r>
        <w:rPr>
          <w:rFonts w:hint="eastAsia" w:hAnsi="宋体"/>
          <w:sz w:val="24"/>
        </w:rPr>
        <w:t>投标人名称：（单位盖章）</w:t>
      </w:r>
    </w:p>
    <w:p>
      <w:pPr>
        <w:widowControl/>
        <w:spacing w:line="360" w:lineRule="atLeast"/>
        <w:ind w:firstLine="470" w:firstLineChars="196"/>
        <w:jc w:val="left"/>
        <w:rPr>
          <w:rFonts w:hAnsi="宋体"/>
          <w:sz w:val="24"/>
          <w:u w:val="single"/>
        </w:rPr>
      </w:pPr>
      <w:r>
        <w:rPr>
          <w:rFonts w:hint="eastAsia" w:hAnsi="宋体"/>
          <w:sz w:val="24"/>
        </w:rPr>
        <w:t>法定代表人或授权代表（签字或加盖个人名章）：</w:t>
      </w:r>
    </w:p>
    <w:p>
      <w:pPr>
        <w:widowControl/>
        <w:spacing w:line="360" w:lineRule="atLeast"/>
        <w:ind w:firstLine="470" w:firstLineChars="196"/>
        <w:jc w:val="left"/>
        <w:rPr>
          <w:rFonts w:hAnsi="宋体"/>
          <w:sz w:val="24"/>
        </w:rPr>
      </w:pPr>
      <w:r>
        <w:rPr>
          <w:rFonts w:hint="eastAsia" w:hAnsi="宋体"/>
          <w:sz w:val="24"/>
        </w:rPr>
        <w:t xml:space="preserve">投标日期: </w:t>
      </w:r>
    </w:p>
    <w:p>
      <w:pPr>
        <w:widowControl/>
        <w:spacing w:line="360" w:lineRule="atLeast"/>
        <w:ind w:firstLine="470" w:firstLineChars="196"/>
        <w:jc w:val="left"/>
        <w:rPr>
          <w:rFonts w:hAnsi="宋体"/>
          <w:sz w:val="24"/>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pStyle w:val="61"/>
        <w:rPr>
          <w:rFonts w:ascii="宋体" w:hAnsi="宋体"/>
          <w:color w:val="auto"/>
        </w:rPr>
      </w:pPr>
    </w:p>
    <w:p>
      <w:pPr>
        <w:widowControl/>
        <w:spacing w:line="360" w:lineRule="atLeast"/>
        <w:jc w:val="center"/>
        <w:rPr>
          <w:rFonts w:hAnsi="宋体"/>
          <w:b/>
          <w:sz w:val="32"/>
          <w:szCs w:val="32"/>
        </w:rPr>
      </w:pPr>
    </w:p>
    <w:p>
      <w:pPr>
        <w:widowControl/>
        <w:numPr>
          <w:ilvl w:val="0"/>
          <w:numId w:val="5"/>
        </w:numPr>
        <w:spacing w:line="360" w:lineRule="atLeast"/>
        <w:jc w:val="center"/>
        <w:rPr>
          <w:rFonts w:hint="eastAsia" w:hAnsi="宋体"/>
          <w:b/>
          <w:sz w:val="30"/>
          <w:szCs w:val="30"/>
        </w:rPr>
      </w:pPr>
      <w:r>
        <w:rPr>
          <w:rFonts w:hint="eastAsia" w:hAnsi="宋体"/>
          <w:b/>
          <w:sz w:val="30"/>
          <w:szCs w:val="30"/>
        </w:rPr>
        <w:t>投标人本项目管理、技术、服务人员情况表</w:t>
      </w:r>
    </w:p>
    <w:p>
      <w:pPr>
        <w:widowControl/>
        <w:spacing w:line="360" w:lineRule="atLeast"/>
        <w:ind w:firstLine="472" w:firstLineChars="196"/>
        <w:jc w:val="left"/>
        <w:rPr>
          <w:rFonts w:hint="eastAsia" w:hAnsi="宋体"/>
          <w:b/>
          <w:sz w:val="24"/>
          <w:szCs w:val="22"/>
        </w:rPr>
      </w:pPr>
      <w:r>
        <w:rPr>
          <w:rFonts w:hint="eastAsia" w:hAnsi="宋体"/>
          <w:b/>
          <w:sz w:val="24"/>
        </w:rPr>
        <w:t>项目</w:t>
      </w:r>
      <w:r>
        <w:rPr>
          <w:rFonts w:hint="eastAsia" w:hAnsi="宋体"/>
          <w:b/>
          <w:sz w:val="24"/>
          <w:szCs w:val="22"/>
        </w:rPr>
        <w:t>名称：</w:t>
      </w:r>
    </w:p>
    <w:p>
      <w:pPr>
        <w:widowControl/>
        <w:spacing w:line="360" w:lineRule="atLeast"/>
        <w:ind w:firstLine="472" w:firstLineChars="196"/>
        <w:jc w:val="left"/>
        <w:rPr>
          <w:rFonts w:hint="eastAsia" w:hAnsi="宋体"/>
          <w:b/>
          <w:sz w:val="24"/>
          <w:szCs w:val="22"/>
        </w:rPr>
      </w:pPr>
      <w:r>
        <w:rPr>
          <w:rFonts w:hint="eastAsia" w:hAnsi="宋体"/>
          <w:b/>
          <w:sz w:val="24"/>
          <w:szCs w:val="22"/>
        </w:rPr>
        <w:t>招标编号：</w:t>
      </w:r>
    </w:p>
    <w:p>
      <w:pPr>
        <w:widowControl/>
        <w:spacing w:line="360" w:lineRule="atLeast"/>
        <w:ind w:firstLine="472" w:firstLineChars="196"/>
        <w:jc w:val="left"/>
      </w:pPr>
      <w:r>
        <w:rPr>
          <w:rFonts w:hint="eastAsia" w:hAnsi="宋体" w:cs="Times New Roman"/>
          <w:b/>
          <w:sz w:val="24"/>
          <w:szCs w:val="22"/>
          <w:lang w:eastAsia="zh-CN"/>
        </w:rPr>
        <w:t>包件号：</w:t>
      </w:r>
    </w:p>
    <w:tbl>
      <w:tblPr>
        <w:tblStyle w:val="47"/>
        <w:tblW w:w="9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901"/>
        <w:gridCol w:w="901"/>
        <w:gridCol w:w="901"/>
        <w:gridCol w:w="901"/>
        <w:gridCol w:w="1318"/>
        <w:gridCol w:w="1126"/>
        <w:gridCol w:w="106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065" w:type="dxa"/>
            <w:vMerge w:val="restart"/>
            <w:vAlign w:val="center"/>
          </w:tcPr>
          <w:p>
            <w:pPr>
              <w:spacing w:line="400" w:lineRule="exact"/>
              <w:jc w:val="center"/>
              <w:rPr>
                <w:rFonts w:hAnsi="宋体" w:cs="Arial"/>
                <w:sz w:val="24"/>
                <w:szCs w:val="24"/>
              </w:rPr>
            </w:pPr>
            <w:r>
              <w:rPr>
                <w:rFonts w:hint="eastAsia" w:hAnsi="宋体" w:cs="Arial"/>
                <w:sz w:val="24"/>
                <w:szCs w:val="24"/>
              </w:rPr>
              <w:t>类别</w:t>
            </w:r>
          </w:p>
        </w:tc>
        <w:tc>
          <w:tcPr>
            <w:tcW w:w="901" w:type="dxa"/>
            <w:vMerge w:val="restart"/>
            <w:vAlign w:val="center"/>
          </w:tcPr>
          <w:p>
            <w:pPr>
              <w:spacing w:line="400" w:lineRule="exact"/>
              <w:jc w:val="center"/>
              <w:rPr>
                <w:rFonts w:hAnsi="宋体" w:cs="Arial"/>
                <w:sz w:val="24"/>
                <w:szCs w:val="24"/>
              </w:rPr>
            </w:pPr>
            <w:r>
              <w:rPr>
                <w:rFonts w:hint="eastAsia" w:hAnsi="宋体" w:cs="Arial"/>
                <w:sz w:val="24"/>
                <w:szCs w:val="24"/>
              </w:rPr>
              <w:t>职务</w:t>
            </w:r>
          </w:p>
        </w:tc>
        <w:tc>
          <w:tcPr>
            <w:tcW w:w="901" w:type="dxa"/>
            <w:vMerge w:val="restart"/>
            <w:vAlign w:val="center"/>
          </w:tcPr>
          <w:p>
            <w:pPr>
              <w:spacing w:line="400" w:lineRule="exact"/>
              <w:jc w:val="center"/>
              <w:rPr>
                <w:rFonts w:hAnsi="宋体" w:cs="Arial"/>
                <w:sz w:val="24"/>
                <w:szCs w:val="24"/>
              </w:rPr>
            </w:pPr>
            <w:r>
              <w:rPr>
                <w:rFonts w:hint="eastAsia" w:hAnsi="宋体" w:cs="Arial"/>
                <w:sz w:val="24"/>
                <w:szCs w:val="24"/>
              </w:rPr>
              <w:t>姓名</w:t>
            </w:r>
          </w:p>
        </w:tc>
        <w:tc>
          <w:tcPr>
            <w:tcW w:w="901" w:type="dxa"/>
            <w:vMerge w:val="restart"/>
            <w:vAlign w:val="center"/>
          </w:tcPr>
          <w:p>
            <w:pPr>
              <w:spacing w:line="400" w:lineRule="exact"/>
              <w:jc w:val="center"/>
              <w:rPr>
                <w:rFonts w:hAnsi="宋体" w:cs="Arial"/>
                <w:sz w:val="24"/>
                <w:szCs w:val="24"/>
              </w:rPr>
            </w:pPr>
            <w:r>
              <w:rPr>
                <w:rFonts w:hint="eastAsia" w:hAnsi="宋体" w:cs="Arial"/>
                <w:sz w:val="24"/>
                <w:szCs w:val="24"/>
              </w:rPr>
              <w:t>职称</w:t>
            </w:r>
          </w:p>
        </w:tc>
        <w:tc>
          <w:tcPr>
            <w:tcW w:w="901" w:type="dxa"/>
            <w:vMerge w:val="restart"/>
            <w:vAlign w:val="center"/>
          </w:tcPr>
          <w:p>
            <w:pPr>
              <w:spacing w:line="400" w:lineRule="exact"/>
              <w:jc w:val="center"/>
              <w:rPr>
                <w:rFonts w:hAnsi="宋体" w:cs="Arial"/>
                <w:sz w:val="24"/>
                <w:szCs w:val="24"/>
              </w:rPr>
            </w:pPr>
            <w:r>
              <w:rPr>
                <w:rFonts w:hint="eastAsia" w:hAnsi="宋体" w:cs="Arial"/>
                <w:sz w:val="24"/>
                <w:szCs w:val="24"/>
              </w:rPr>
              <w:t>常住地</w:t>
            </w:r>
          </w:p>
        </w:tc>
        <w:tc>
          <w:tcPr>
            <w:tcW w:w="4649" w:type="dxa"/>
            <w:gridSpan w:val="4"/>
            <w:vAlign w:val="center"/>
          </w:tcPr>
          <w:p>
            <w:pPr>
              <w:spacing w:line="400" w:lineRule="exact"/>
              <w:jc w:val="center"/>
              <w:rPr>
                <w:rFonts w:hAnsi="宋体" w:cs="Arial"/>
                <w:sz w:val="24"/>
                <w:szCs w:val="24"/>
              </w:rPr>
            </w:pPr>
            <w:r>
              <w:rPr>
                <w:rFonts w:hint="eastAsia" w:hAnsi="宋体" w:cs="Arial"/>
                <w:sz w:val="24"/>
                <w:szCs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065" w:type="dxa"/>
            <w:vMerge w:val="continue"/>
            <w:vAlign w:val="center"/>
          </w:tcPr>
          <w:p>
            <w:pPr>
              <w:spacing w:line="400" w:lineRule="exact"/>
              <w:jc w:val="center"/>
              <w:rPr>
                <w:rFonts w:hAnsi="宋体" w:cs="Arial"/>
                <w:sz w:val="24"/>
                <w:szCs w:val="24"/>
              </w:rPr>
            </w:pPr>
          </w:p>
        </w:tc>
        <w:tc>
          <w:tcPr>
            <w:tcW w:w="901" w:type="dxa"/>
            <w:vMerge w:val="continue"/>
            <w:vAlign w:val="center"/>
          </w:tcPr>
          <w:p>
            <w:pPr>
              <w:spacing w:line="400" w:lineRule="exact"/>
              <w:jc w:val="center"/>
              <w:rPr>
                <w:rFonts w:hAnsi="宋体" w:cs="Arial"/>
                <w:sz w:val="24"/>
                <w:szCs w:val="24"/>
              </w:rPr>
            </w:pPr>
          </w:p>
        </w:tc>
        <w:tc>
          <w:tcPr>
            <w:tcW w:w="901" w:type="dxa"/>
            <w:vMerge w:val="continue"/>
            <w:vAlign w:val="center"/>
          </w:tcPr>
          <w:p>
            <w:pPr>
              <w:spacing w:line="400" w:lineRule="exact"/>
              <w:jc w:val="center"/>
              <w:rPr>
                <w:rFonts w:hAnsi="宋体" w:cs="Arial"/>
                <w:sz w:val="24"/>
                <w:szCs w:val="24"/>
              </w:rPr>
            </w:pPr>
          </w:p>
        </w:tc>
        <w:tc>
          <w:tcPr>
            <w:tcW w:w="901" w:type="dxa"/>
            <w:vMerge w:val="continue"/>
            <w:vAlign w:val="center"/>
          </w:tcPr>
          <w:p>
            <w:pPr>
              <w:spacing w:line="400" w:lineRule="exact"/>
              <w:jc w:val="center"/>
              <w:rPr>
                <w:rFonts w:hAnsi="宋体" w:cs="Arial"/>
                <w:sz w:val="24"/>
                <w:szCs w:val="24"/>
              </w:rPr>
            </w:pPr>
          </w:p>
        </w:tc>
        <w:tc>
          <w:tcPr>
            <w:tcW w:w="901" w:type="dxa"/>
            <w:vMerge w:val="continue"/>
            <w:vAlign w:val="center"/>
          </w:tcPr>
          <w:p>
            <w:pPr>
              <w:spacing w:line="400" w:lineRule="exact"/>
              <w:jc w:val="center"/>
              <w:rPr>
                <w:rFonts w:hAnsi="宋体" w:cs="Arial"/>
                <w:sz w:val="24"/>
                <w:szCs w:val="24"/>
              </w:rPr>
            </w:pPr>
          </w:p>
        </w:tc>
        <w:tc>
          <w:tcPr>
            <w:tcW w:w="1318" w:type="dxa"/>
            <w:vAlign w:val="center"/>
          </w:tcPr>
          <w:p>
            <w:pPr>
              <w:spacing w:line="400" w:lineRule="exact"/>
              <w:jc w:val="center"/>
              <w:rPr>
                <w:rFonts w:hAnsi="宋体" w:cs="Arial"/>
                <w:sz w:val="24"/>
                <w:szCs w:val="24"/>
              </w:rPr>
            </w:pPr>
            <w:r>
              <w:rPr>
                <w:rFonts w:hint="eastAsia" w:hAnsi="宋体" w:cs="Arial"/>
                <w:sz w:val="24"/>
                <w:szCs w:val="24"/>
              </w:rPr>
              <w:t>证书名称</w:t>
            </w:r>
          </w:p>
        </w:tc>
        <w:tc>
          <w:tcPr>
            <w:tcW w:w="1126" w:type="dxa"/>
            <w:vAlign w:val="center"/>
          </w:tcPr>
          <w:p>
            <w:pPr>
              <w:spacing w:line="400" w:lineRule="exact"/>
              <w:jc w:val="center"/>
              <w:rPr>
                <w:rFonts w:hAnsi="宋体" w:cs="Arial"/>
                <w:sz w:val="24"/>
                <w:szCs w:val="24"/>
              </w:rPr>
            </w:pPr>
            <w:r>
              <w:rPr>
                <w:rFonts w:hint="eastAsia" w:hAnsi="宋体" w:cs="Arial"/>
                <w:sz w:val="24"/>
                <w:szCs w:val="24"/>
              </w:rPr>
              <w:t>级别</w:t>
            </w:r>
          </w:p>
        </w:tc>
        <w:tc>
          <w:tcPr>
            <w:tcW w:w="1065" w:type="dxa"/>
            <w:vAlign w:val="center"/>
          </w:tcPr>
          <w:p>
            <w:pPr>
              <w:spacing w:line="400" w:lineRule="exact"/>
              <w:jc w:val="center"/>
              <w:rPr>
                <w:rFonts w:hAnsi="宋体" w:cs="Arial"/>
                <w:sz w:val="24"/>
                <w:szCs w:val="24"/>
              </w:rPr>
            </w:pPr>
            <w:r>
              <w:rPr>
                <w:rFonts w:hint="eastAsia" w:hAnsi="宋体" w:cs="Arial"/>
                <w:sz w:val="24"/>
                <w:szCs w:val="24"/>
              </w:rPr>
              <w:t>证号</w:t>
            </w:r>
          </w:p>
        </w:tc>
        <w:tc>
          <w:tcPr>
            <w:tcW w:w="1140" w:type="dxa"/>
            <w:vAlign w:val="center"/>
          </w:tcPr>
          <w:p>
            <w:pPr>
              <w:spacing w:line="400" w:lineRule="exact"/>
              <w:jc w:val="center"/>
              <w:rPr>
                <w:rFonts w:hAnsi="宋体" w:cs="Arial"/>
                <w:sz w:val="24"/>
                <w:szCs w:val="24"/>
              </w:rPr>
            </w:pPr>
            <w:r>
              <w:rPr>
                <w:rFonts w:hint="eastAsia" w:hAnsi="宋体" w:cs="Arial"/>
                <w:sz w:val="24"/>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065" w:type="dxa"/>
            <w:vMerge w:val="restart"/>
          </w:tcPr>
          <w:p>
            <w:pPr>
              <w:spacing w:line="400" w:lineRule="exact"/>
              <w:jc w:val="center"/>
              <w:rPr>
                <w:rFonts w:hAnsi="宋体" w:cs="Arial"/>
                <w:sz w:val="24"/>
                <w:szCs w:val="24"/>
              </w:rPr>
            </w:pPr>
            <w:r>
              <w:rPr>
                <w:rFonts w:hint="eastAsia" w:hAnsi="宋体" w:cs="Arial"/>
                <w:sz w:val="24"/>
                <w:szCs w:val="24"/>
              </w:rPr>
              <w:t>管</w:t>
            </w:r>
          </w:p>
          <w:p>
            <w:pPr>
              <w:spacing w:line="400" w:lineRule="exact"/>
              <w:jc w:val="center"/>
              <w:rPr>
                <w:rFonts w:hAnsi="宋体" w:cs="Arial"/>
                <w:sz w:val="24"/>
                <w:szCs w:val="24"/>
              </w:rPr>
            </w:pPr>
            <w:r>
              <w:rPr>
                <w:rFonts w:hint="eastAsia" w:hAnsi="宋体" w:cs="Arial"/>
                <w:sz w:val="24"/>
                <w:szCs w:val="24"/>
              </w:rPr>
              <w:t>理</w:t>
            </w:r>
          </w:p>
          <w:p>
            <w:pPr>
              <w:spacing w:line="400" w:lineRule="exact"/>
              <w:jc w:val="center"/>
              <w:rPr>
                <w:rFonts w:hAnsi="宋体" w:cs="Arial"/>
                <w:sz w:val="24"/>
                <w:szCs w:val="24"/>
              </w:rPr>
            </w:pPr>
            <w:r>
              <w:rPr>
                <w:rFonts w:hint="eastAsia" w:hAnsi="宋体" w:cs="Arial"/>
                <w:sz w:val="24"/>
                <w:szCs w:val="24"/>
              </w:rPr>
              <w:t>人</w:t>
            </w:r>
          </w:p>
          <w:p>
            <w:pPr>
              <w:spacing w:line="400" w:lineRule="exact"/>
              <w:jc w:val="center"/>
              <w:rPr>
                <w:rFonts w:hAnsi="宋体" w:cs="Arial"/>
                <w:sz w:val="24"/>
                <w:szCs w:val="24"/>
              </w:rPr>
            </w:pPr>
            <w:r>
              <w:rPr>
                <w:rFonts w:hint="eastAsia" w:hAnsi="宋体" w:cs="Arial"/>
                <w:sz w:val="24"/>
                <w:szCs w:val="24"/>
              </w:rPr>
              <w:t>员</w:t>
            </w: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1318" w:type="dxa"/>
          </w:tcPr>
          <w:p>
            <w:pPr>
              <w:spacing w:line="400" w:lineRule="exact"/>
              <w:jc w:val="center"/>
              <w:rPr>
                <w:rFonts w:hAnsi="宋体" w:cs="Arial"/>
                <w:sz w:val="24"/>
                <w:szCs w:val="24"/>
              </w:rPr>
            </w:pPr>
          </w:p>
        </w:tc>
        <w:tc>
          <w:tcPr>
            <w:tcW w:w="1126" w:type="dxa"/>
          </w:tcPr>
          <w:p>
            <w:pPr>
              <w:spacing w:line="400" w:lineRule="exact"/>
              <w:jc w:val="center"/>
              <w:rPr>
                <w:rFonts w:hAnsi="宋体" w:cs="Arial"/>
                <w:sz w:val="24"/>
                <w:szCs w:val="24"/>
              </w:rPr>
            </w:pPr>
          </w:p>
        </w:tc>
        <w:tc>
          <w:tcPr>
            <w:tcW w:w="1065" w:type="dxa"/>
          </w:tcPr>
          <w:p>
            <w:pPr>
              <w:spacing w:line="400" w:lineRule="exact"/>
              <w:jc w:val="center"/>
              <w:rPr>
                <w:rFonts w:hAnsi="宋体" w:cs="Arial"/>
                <w:sz w:val="24"/>
                <w:szCs w:val="24"/>
              </w:rPr>
            </w:pPr>
          </w:p>
        </w:tc>
        <w:tc>
          <w:tcPr>
            <w:tcW w:w="1140" w:type="dxa"/>
          </w:tcPr>
          <w:p>
            <w:pPr>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065" w:type="dxa"/>
            <w:vMerge w:val="continue"/>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1318" w:type="dxa"/>
          </w:tcPr>
          <w:p>
            <w:pPr>
              <w:spacing w:line="400" w:lineRule="exact"/>
              <w:jc w:val="center"/>
              <w:rPr>
                <w:rFonts w:hAnsi="宋体" w:cs="Arial"/>
                <w:sz w:val="24"/>
                <w:szCs w:val="24"/>
              </w:rPr>
            </w:pPr>
          </w:p>
        </w:tc>
        <w:tc>
          <w:tcPr>
            <w:tcW w:w="1126" w:type="dxa"/>
          </w:tcPr>
          <w:p>
            <w:pPr>
              <w:spacing w:line="400" w:lineRule="exact"/>
              <w:jc w:val="center"/>
              <w:rPr>
                <w:rFonts w:hAnsi="宋体" w:cs="Arial"/>
                <w:sz w:val="24"/>
                <w:szCs w:val="24"/>
              </w:rPr>
            </w:pPr>
          </w:p>
        </w:tc>
        <w:tc>
          <w:tcPr>
            <w:tcW w:w="1065" w:type="dxa"/>
          </w:tcPr>
          <w:p>
            <w:pPr>
              <w:spacing w:line="400" w:lineRule="exact"/>
              <w:jc w:val="center"/>
              <w:rPr>
                <w:rFonts w:hAnsi="宋体" w:cs="Arial"/>
                <w:sz w:val="24"/>
                <w:szCs w:val="24"/>
              </w:rPr>
            </w:pPr>
          </w:p>
        </w:tc>
        <w:tc>
          <w:tcPr>
            <w:tcW w:w="1140" w:type="dxa"/>
          </w:tcPr>
          <w:p>
            <w:pPr>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065" w:type="dxa"/>
            <w:vMerge w:val="continue"/>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1318" w:type="dxa"/>
          </w:tcPr>
          <w:p>
            <w:pPr>
              <w:spacing w:line="400" w:lineRule="exact"/>
              <w:jc w:val="center"/>
              <w:rPr>
                <w:rFonts w:hAnsi="宋体" w:cs="Arial"/>
                <w:sz w:val="24"/>
                <w:szCs w:val="24"/>
              </w:rPr>
            </w:pPr>
          </w:p>
        </w:tc>
        <w:tc>
          <w:tcPr>
            <w:tcW w:w="1126" w:type="dxa"/>
          </w:tcPr>
          <w:p>
            <w:pPr>
              <w:spacing w:line="400" w:lineRule="exact"/>
              <w:jc w:val="center"/>
              <w:rPr>
                <w:rFonts w:hAnsi="宋体" w:cs="Arial"/>
                <w:sz w:val="24"/>
                <w:szCs w:val="24"/>
              </w:rPr>
            </w:pPr>
          </w:p>
        </w:tc>
        <w:tc>
          <w:tcPr>
            <w:tcW w:w="1065" w:type="dxa"/>
          </w:tcPr>
          <w:p>
            <w:pPr>
              <w:spacing w:line="400" w:lineRule="exact"/>
              <w:jc w:val="center"/>
              <w:rPr>
                <w:rFonts w:hAnsi="宋体" w:cs="Arial"/>
                <w:sz w:val="24"/>
                <w:szCs w:val="24"/>
              </w:rPr>
            </w:pPr>
          </w:p>
        </w:tc>
        <w:tc>
          <w:tcPr>
            <w:tcW w:w="1140" w:type="dxa"/>
          </w:tcPr>
          <w:p>
            <w:pPr>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065" w:type="dxa"/>
            <w:vMerge w:val="restart"/>
          </w:tcPr>
          <w:p>
            <w:pPr>
              <w:spacing w:line="400" w:lineRule="exact"/>
              <w:jc w:val="center"/>
              <w:rPr>
                <w:rFonts w:hAnsi="宋体" w:cs="Arial"/>
                <w:sz w:val="24"/>
                <w:szCs w:val="24"/>
              </w:rPr>
            </w:pPr>
            <w:r>
              <w:rPr>
                <w:rFonts w:hint="eastAsia" w:hAnsi="宋体" w:cs="Arial"/>
                <w:sz w:val="24"/>
                <w:szCs w:val="24"/>
              </w:rPr>
              <w:t>技</w:t>
            </w:r>
          </w:p>
          <w:p>
            <w:pPr>
              <w:spacing w:line="400" w:lineRule="exact"/>
              <w:jc w:val="center"/>
              <w:rPr>
                <w:rFonts w:hAnsi="宋体" w:cs="Arial"/>
                <w:sz w:val="24"/>
                <w:szCs w:val="24"/>
              </w:rPr>
            </w:pPr>
            <w:r>
              <w:rPr>
                <w:rFonts w:hint="eastAsia" w:hAnsi="宋体" w:cs="Arial"/>
                <w:sz w:val="24"/>
                <w:szCs w:val="24"/>
              </w:rPr>
              <w:t>术</w:t>
            </w:r>
          </w:p>
          <w:p>
            <w:pPr>
              <w:spacing w:line="400" w:lineRule="exact"/>
              <w:jc w:val="center"/>
              <w:rPr>
                <w:rFonts w:hAnsi="宋体" w:cs="Arial"/>
                <w:sz w:val="24"/>
                <w:szCs w:val="24"/>
              </w:rPr>
            </w:pPr>
            <w:r>
              <w:rPr>
                <w:rFonts w:hint="eastAsia" w:hAnsi="宋体" w:cs="Arial"/>
                <w:sz w:val="24"/>
                <w:szCs w:val="24"/>
              </w:rPr>
              <w:t>人</w:t>
            </w:r>
          </w:p>
          <w:p>
            <w:pPr>
              <w:spacing w:line="400" w:lineRule="exact"/>
              <w:jc w:val="center"/>
              <w:rPr>
                <w:rFonts w:hAnsi="宋体" w:cs="Arial"/>
                <w:sz w:val="24"/>
                <w:szCs w:val="24"/>
              </w:rPr>
            </w:pPr>
            <w:r>
              <w:rPr>
                <w:rFonts w:hint="eastAsia" w:hAnsi="宋体" w:cs="Arial"/>
                <w:sz w:val="24"/>
                <w:szCs w:val="24"/>
              </w:rPr>
              <w:t>员</w:t>
            </w: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1318" w:type="dxa"/>
          </w:tcPr>
          <w:p>
            <w:pPr>
              <w:spacing w:line="400" w:lineRule="exact"/>
              <w:jc w:val="center"/>
              <w:rPr>
                <w:rFonts w:hAnsi="宋体" w:cs="Arial"/>
                <w:sz w:val="24"/>
                <w:szCs w:val="24"/>
              </w:rPr>
            </w:pPr>
          </w:p>
        </w:tc>
        <w:tc>
          <w:tcPr>
            <w:tcW w:w="1126" w:type="dxa"/>
          </w:tcPr>
          <w:p>
            <w:pPr>
              <w:spacing w:line="400" w:lineRule="exact"/>
              <w:jc w:val="center"/>
              <w:rPr>
                <w:rFonts w:hAnsi="宋体" w:cs="Arial"/>
                <w:sz w:val="24"/>
                <w:szCs w:val="24"/>
              </w:rPr>
            </w:pPr>
          </w:p>
        </w:tc>
        <w:tc>
          <w:tcPr>
            <w:tcW w:w="1065" w:type="dxa"/>
          </w:tcPr>
          <w:p>
            <w:pPr>
              <w:spacing w:line="400" w:lineRule="exact"/>
              <w:jc w:val="center"/>
              <w:rPr>
                <w:rFonts w:hAnsi="宋体" w:cs="Arial"/>
                <w:sz w:val="24"/>
                <w:szCs w:val="24"/>
              </w:rPr>
            </w:pPr>
          </w:p>
        </w:tc>
        <w:tc>
          <w:tcPr>
            <w:tcW w:w="1140" w:type="dxa"/>
          </w:tcPr>
          <w:p>
            <w:pPr>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065" w:type="dxa"/>
            <w:vMerge w:val="continue"/>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1318" w:type="dxa"/>
          </w:tcPr>
          <w:p>
            <w:pPr>
              <w:spacing w:line="400" w:lineRule="exact"/>
              <w:jc w:val="center"/>
              <w:rPr>
                <w:rFonts w:hAnsi="宋体" w:cs="Arial"/>
                <w:sz w:val="24"/>
                <w:szCs w:val="24"/>
              </w:rPr>
            </w:pPr>
          </w:p>
        </w:tc>
        <w:tc>
          <w:tcPr>
            <w:tcW w:w="1126" w:type="dxa"/>
          </w:tcPr>
          <w:p>
            <w:pPr>
              <w:spacing w:line="400" w:lineRule="exact"/>
              <w:jc w:val="center"/>
              <w:rPr>
                <w:rFonts w:hAnsi="宋体" w:cs="Arial"/>
                <w:sz w:val="24"/>
                <w:szCs w:val="24"/>
              </w:rPr>
            </w:pPr>
          </w:p>
        </w:tc>
        <w:tc>
          <w:tcPr>
            <w:tcW w:w="1065" w:type="dxa"/>
          </w:tcPr>
          <w:p>
            <w:pPr>
              <w:spacing w:line="400" w:lineRule="exact"/>
              <w:jc w:val="center"/>
              <w:rPr>
                <w:rFonts w:hAnsi="宋体" w:cs="Arial"/>
                <w:sz w:val="24"/>
                <w:szCs w:val="24"/>
              </w:rPr>
            </w:pPr>
          </w:p>
        </w:tc>
        <w:tc>
          <w:tcPr>
            <w:tcW w:w="1140" w:type="dxa"/>
          </w:tcPr>
          <w:p>
            <w:pPr>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065" w:type="dxa"/>
            <w:vMerge w:val="continue"/>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1318" w:type="dxa"/>
          </w:tcPr>
          <w:p>
            <w:pPr>
              <w:spacing w:line="400" w:lineRule="exact"/>
              <w:jc w:val="center"/>
              <w:rPr>
                <w:rFonts w:hAnsi="宋体" w:cs="Arial"/>
                <w:sz w:val="24"/>
                <w:szCs w:val="24"/>
              </w:rPr>
            </w:pPr>
          </w:p>
        </w:tc>
        <w:tc>
          <w:tcPr>
            <w:tcW w:w="1126" w:type="dxa"/>
          </w:tcPr>
          <w:p>
            <w:pPr>
              <w:spacing w:line="400" w:lineRule="exact"/>
              <w:jc w:val="center"/>
              <w:rPr>
                <w:rFonts w:hAnsi="宋体" w:cs="Arial"/>
                <w:sz w:val="24"/>
                <w:szCs w:val="24"/>
              </w:rPr>
            </w:pPr>
          </w:p>
        </w:tc>
        <w:tc>
          <w:tcPr>
            <w:tcW w:w="1065" w:type="dxa"/>
          </w:tcPr>
          <w:p>
            <w:pPr>
              <w:spacing w:line="400" w:lineRule="exact"/>
              <w:jc w:val="center"/>
              <w:rPr>
                <w:rFonts w:hAnsi="宋体" w:cs="Arial"/>
                <w:sz w:val="24"/>
                <w:szCs w:val="24"/>
              </w:rPr>
            </w:pPr>
          </w:p>
        </w:tc>
        <w:tc>
          <w:tcPr>
            <w:tcW w:w="1140" w:type="dxa"/>
          </w:tcPr>
          <w:p>
            <w:pPr>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065" w:type="dxa"/>
            <w:vMerge w:val="restart"/>
          </w:tcPr>
          <w:p>
            <w:pPr>
              <w:spacing w:line="400" w:lineRule="exact"/>
              <w:jc w:val="center"/>
              <w:rPr>
                <w:rFonts w:hAnsi="宋体" w:cs="Arial"/>
                <w:sz w:val="24"/>
                <w:szCs w:val="24"/>
              </w:rPr>
            </w:pPr>
            <w:r>
              <w:rPr>
                <w:rFonts w:hint="eastAsia" w:hAnsi="宋体" w:cs="Arial"/>
                <w:sz w:val="24"/>
                <w:szCs w:val="24"/>
              </w:rPr>
              <w:t>售后</w:t>
            </w:r>
          </w:p>
          <w:p>
            <w:pPr>
              <w:spacing w:line="400" w:lineRule="exact"/>
              <w:jc w:val="center"/>
              <w:rPr>
                <w:rFonts w:hAnsi="宋体" w:cs="Arial"/>
                <w:sz w:val="24"/>
                <w:szCs w:val="24"/>
              </w:rPr>
            </w:pPr>
            <w:r>
              <w:rPr>
                <w:rFonts w:hint="eastAsia" w:hAnsi="宋体" w:cs="Arial"/>
                <w:sz w:val="24"/>
                <w:szCs w:val="24"/>
              </w:rPr>
              <w:t>服务</w:t>
            </w:r>
          </w:p>
          <w:p>
            <w:pPr>
              <w:spacing w:line="400" w:lineRule="exact"/>
              <w:jc w:val="center"/>
              <w:rPr>
                <w:rFonts w:hAnsi="宋体" w:cs="Arial"/>
                <w:sz w:val="24"/>
                <w:szCs w:val="24"/>
              </w:rPr>
            </w:pPr>
            <w:r>
              <w:rPr>
                <w:rFonts w:hint="eastAsia" w:hAnsi="宋体" w:cs="Arial"/>
                <w:sz w:val="24"/>
                <w:szCs w:val="24"/>
              </w:rPr>
              <w:t>人员</w:t>
            </w: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1318" w:type="dxa"/>
          </w:tcPr>
          <w:p>
            <w:pPr>
              <w:spacing w:line="400" w:lineRule="exact"/>
              <w:jc w:val="center"/>
              <w:rPr>
                <w:rFonts w:hAnsi="宋体" w:cs="Arial"/>
                <w:sz w:val="24"/>
                <w:szCs w:val="24"/>
              </w:rPr>
            </w:pPr>
          </w:p>
        </w:tc>
        <w:tc>
          <w:tcPr>
            <w:tcW w:w="1126" w:type="dxa"/>
          </w:tcPr>
          <w:p>
            <w:pPr>
              <w:spacing w:line="400" w:lineRule="exact"/>
              <w:jc w:val="center"/>
              <w:rPr>
                <w:rFonts w:hAnsi="宋体" w:cs="Arial"/>
                <w:sz w:val="24"/>
                <w:szCs w:val="24"/>
              </w:rPr>
            </w:pPr>
          </w:p>
        </w:tc>
        <w:tc>
          <w:tcPr>
            <w:tcW w:w="1065" w:type="dxa"/>
          </w:tcPr>
          <w:p>
            <w:pPr>
              <w:spacing w:line="400" w:lineRule="exact"/>
              <w:jc w:val="center"/>
              <w:rPr>
                <w:rFonts w:hAnsi="宋体" w:cs="Arial"/>
                <w:sz w:val="24"/>
                <w:szCs w:val="24"/>
              </w:rPr>
            </w:pPr>
          </w:p>
        </w:tc>
        <w:tc>
          <w:tcPr>
            <w:tcW w:w="1140" w:type="dxa"/>
          </w:tcPr>
          <w:p>
            <w:pPr>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065" w:type="dxa"/>
            <w:vMerge w:val="continue"/>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b/>
                <w:bCs/>
                <w:sz w:val="24"/>
                <w:szCs w:val="24"/>
              </w:rPr>
            </w:pPr>
          </w:p>
        </w:tc>
        <w:tc>
          <w:tcPr>
            <w:tcW w:w="901" w:type="dxa"/>
          </w:tcPr>
          <w:p>
            <w:pPr>
              <w:spacing w:line="400" w:lineRule="exact"/>
              <w:jc w:val="center"/>
              <w:rPr>
                <w:rFonts w:hAnsi="宋体" w:cs="Arial"/>
                <w:b/>
                <w:bCs/>
                <w:sz w:val="24"/>
                <w:szCs w:val="24"/>
              </w:rPr>
            </w:pPr>
          </w:p>
        </w:tc>
        <w:tc>
          <w:tcPr>
            <w:tcW w:w="901" w:type="dxa"/>
          </w:tcPr>
          <w:p>
            <w:pPr>
              <w:spacing w:line="400" w:lineRule="exact"/>
              <w:jc w:val="center"/>
              <w:rPr>
                <w:rFonts w:hAnsi="宋体" w:cs="Arial"/>
                <w:b/>
                <w:bCs/>
                <w:sz w:val="24"/>
                <w:szCs w:val="24"/>
              </w:rPr>
            </w:pPr>
          </w:p>
        </w:tc>
        <w:tc>
          <w:tcPr>
            <w:tcW w:w="1318" w:type="dxa"/>
          </w:tcPr>
          <w:p>
            <w:pPr>
              <w:spacing w:line="400" w:lineRule="exact"/>
              <w:jc w:val="center"/>
              <w:rPr>
                <w:rFonts w:hAnsi="宋体" w:cs="Arial"/>
                <w:b/>
                <w:bCs/>
                <w:sz w:val="24"/>
                <w:szCs w:val="24"/>
              </w:rPr>
            </w:pPr>
          </w:p>
        </w:tc>
        <w:tc>
          <w:tcPr>
            <w:tcW w:w="1126" w:type="dxa"/>
          </w:tcPr>
          <w:p>
            <w:pPr>
              <w:spacing w:line="400" w:lineRule="exact"/>
              <w:jc w:val="center"/>
              <w:rPr>
                <w:rFonts w:hAnsi="宋体" w:cs="Arial"/>
                <w:b/>
                <w:bCs/>
                <w:sz w:val="24"/>
                <w:szCs w:val="24"/>
              </w:rPr>
            </w:pPr>
          </w:p>
        </w:tc>
        <w:tc>
          <w:tcPr>
            <w:tcW w:w="1065" w:type="dxa"/>
          </w:tcPr>
          <w:p>
            <w:pPr>
              <w:spacing w:line="400" w:lineRule="exact"/>
              <w:jc w:val="center"/>
              <w:rPr>
                <w:rFonts w:hAnsi="宋体" w:cs="Arial"/>
                <w:b/>
                <w:bCs/>
                <w:sz w:val="24"/>
                <w:szCs w:val="24"/>
              </w:rPr>
            </w:pPr>
          </w:p>
        </w:tc>
        <w:tc>
          <w:tcPr>
            <w:tcW w:w="1140" w:type="dxa"/>
          </w:tcPr>
          <w:p>
            <w:pPr>
              <w:spacing w:line="400" w:lineRule="exact"/>
              <w:jc w:val="center"/>
              <w:rPr>
                <w:rFonts w:hAnsi="宋体" w:cs="Arial"/>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065" w:type="dxa"/>
            <w:vMerge w:val="continue"/>
          </w:tcPr>
          <w:p>
            <w:pPr>
              <w:spacing w:line="400" w:lineRule="exact"/>
              <w:jc w:val="center"/>
              <w:rPr>
                <w:rFonts w:hAnsi="宋体" w:cs="Arial"/>
                <w:sz w:val="24"/>
                <w:szCs w:val="24"/>
              </w:rPr>
            </w:pPr>
          </w:p>
        </w:tc>
        <w:tc>
          <w:tcPr>
            <w:tcW w:w="901" w:type="dxa"/>
          </w:tcPr>
          <w:p>
            <w:pPr>
              <w:spacing w:line="400" w:lineRule="exact"/>
              <w:jc w:val="center"/>
              <w:rPr>
                <w:rFonts w:hAnsi="宋体" w:cs="Arial"/>
                <w:sz w:val="24"/>
                <w:szCs w:val="24"/>
              </w:rPr>
            </w:pPr>
          </w:p>
        </w:tc>
        <w:tc>
          <w:tcPr>
            <w:tcW w:w="901" w:type="dxa"/>
          </w:tcPr>
          <w:p>
            <w:pPr>
              <w:spacing w:line="400" w:lineRule="exact"/>
              <w:jc w:val="center"/>
              <w:rPr>
                <w:rFonts w:hAnsi="宋体" w:cs="Arial"/>
                <w:b/>
                <w:bCs/>
                <w:sz w:val="24"/>
                <w:szCs w:val="24"/>
              </w:rPr>
            </w:pPr>
          </w:p>
        </w:tc>
        <w:tc>
          <w:tcPr>
            <w:tcW w:w="901" w:type="dxa"/>
          </w:tcPr>
          <w:p>
            <w:pPr>
              <w:spacing w:line="400" w:lineRule="exact"/>
              <w:jc w:val="center"/>
              <w:rPr>
                <w:rFonts w:hAnsi="宋体" w:cs="Arial"/>
                <w:b/>
                <w:bCs/>
                <w:sz w:val="24"/>
                <w:szCs w:val="24"/>
              </w:rPr>
            </w:pPr>
          </w:p>
        </w:tc>
        <w:tc>
          <w:tcPr>
            <w:tcW w:w="901" w:type="dxa"/>
          </w:tcPr>
          <w:p>
            <w:pPr>
              <w:spacing w:line="400" w:lineRule="exact"/>
              <w:jc w:val="center"/>
              <w:rPr>
                <w:rFonts w:hAnsi="宋体" w:cs="Arial"/>
                <w:b/>
                <w:bCs/>
                <w:sz w:val="24"/>
                <w:szCs w:val="24"/>
              </w:rPr>
            </w:pPr>
          </w:p>
        </w:tc>
        <w:tc>
          <w:tcPr>
            <w:tcW w:w="1318" w:type="dxa"/>
          </w:tcPr>
          <w:p>
            <w:pPr>
              <w:spacing w:line="400" w:lineRule="exact"/>
              <w:jc w:val="center"/>
              <w:rPr>
                <w:rFonts w:hAnsi="宋体" w:cs="Arial"/>
                <w:b/>
                <w:bCs/>
                <w:sz w:val="24"/>
                <w:szCs w:val="24"/>
              </w:rPr>
            </w:pPr>
          </w:p>
        </w:tc>
        <w:tc>
          <w:tcPr>
            <w:tcW w:w="1126" w:type="dxa"/>
          </w:tcPr>
          <w:p>
            <w:pPr>
              <w:spacing w:line="400" w:lineRule="exact"/>
              <w:jc w:val="center"/>
              <w:rPr>
                <w:rFonts w:hAnsi="宋体" w:cs="Arial"/>
                <w:b/>
                <w:bCs/>
                <w:sz w:val="24"/>
                <w:szCs w:val="24"/>
              </w:rPr>
            </w:pPr>
          </w:p>
        </w:tc>
        <w:tc>
          <w:tcPr>
            <w:tcW w:w="1065" w:type="dxa"/>
          </w:tcPr>
          <w:p>
            <w:pPr>
              <w:spacing w:line="400" w:lineRule="exact"/>
              <w:jc w:val="center"/>
              <w:rPr>
                <w:rFonts w:hAnsi="宋体" w:cs="Arial"/>
                <w:b/>
                <w:bCs/>
                <w:sz w:val="24"/>
                <w:szCs w:val="24"/>
              </w:rPr>
            </w:pPr>
          </w:p>
        </w:tc>
        <w:tc>
          <w:tcPr>
            <w:tcW w:w="1140" w:type="dxa"/>
          </w:tcPr>
          <w:p>
            <w:pPr>
              <w:spacing w:line="400" w:lineRule="exact"/>
              <w:jc w:val="center"/>
              <w:rPr>
                <w:rFonts w:hAnsi="宋体" w:cs="Arial"/>
                <w:b/>
                <w:bCs/>
                <w:sz w:val="24"/>
                <w:szCs w:val="24"/>
              </w:rPr>
            </w:pPr>
          </w:p>
        </w:tc>
      </w:tr>
    </w:tbl>
    <w:p>
      <w:pPr>
        <w:spacing w:line="400" w:lineRule="exact"/>
        <w:jc w:val="center"/>
        <w:rPr>
          <w:rFonts w:hAnsi="宋体" w:cs="Arial"/>
          <w:b/>
          <w:bCs/>
          <w:sz w:val="28"/>
        </w:rPr>
      </w:pPr>
    </w:p>
    <w:p>
      <w:pPr>
        <w:spacing w:line="400" w:lineRule="exact"/>
        <w:jc w:val="center"/>
        <w:rPr>
          <w:rFonts w:hAnsi="宋体" w:cs="Arial"/>
          <w:b/>
          <w:bCs/>
          <w:sz w:val="28"/>
        </w:rPr>
      </w:pPr>
    </w:p>
    <w:p>
      <w:pPr>
        <w:spacing w:line="400" w:lineRule="exact"/>
        <w:jc w:val="center"/>
        <w:rPr>
          <w:rFonts w:hAnsi="宋体" w:cs="Arial"/>
          <w:b/>
          <w:bCs/>
          <w:sz w:val="28"/>
        </w:rPr>
      </w:pPr>
    </w:p>
    <w:p>
      <w:pPr>
        <w:spacing w:line="400" w:lineRule="exact"/>
        <w:jc w:val="center"/>
        <w:rPr>
          <w:rFonts w:hAnsi="宋体" w:cs="Arial"/>
          <w:b/>
          <w:bCs/>
          <w:sz w:val="28"/>
        </w:rPr>
      </w:pPr>
    </w:p>
    <w:p>
      <w:pPr>
        <w:spacing w:line="400" w:lineRule="exact"/>
        <w:jc w:val="center"/>
        <w:rPr>
          <w:rFonts w:hAnsi="宋体" w:cs="Arial"/>
          <w:b/>
          <w:bCs/>
          <w:sz w:val="28"/>
        </w:rPr>
      </w:pPr>
    </w:p>
    <w:p>
      <w:pPr>
        <w:adjustRightInd w:val="0"/>
        <w:spacing w:line="500" w:lineRule="exact"/>
        <w:ind w:firstLine="240" w:firstLineChars="100"/>
        <w:jc w:val="left"/>
        <w:rPr>
          <w:rFonts w:hAnsi="宋体"/>
          <w:sz w:val="24"/>
        </w:rPr>
      </w:pPr>
      <w:r>
        <w:rPr>
          <w:rFonts w:hint="eastAsia" w:hAnsi="宋体"/>
          <w:sz w:val="24"/>
        </w:rPr>
        <w:t>投标人名称：（加盖公章）</w:t>
      </w:r>
    </w:p>
    <w:p>
      <w:pPr>
        <w:adjustRightInd w:val="0"/>
        <w:spacing w:line="500" w:lineRule="exact"/>
        <w:ind w:firstLine="240" w:firstLineChars="100"/>
        <w:jc w:val="left"/>
        <w:rPr>
          <w:rFonts w:hAnsi="宋体"/>
          <w:sz w:val="24"/>
        </w:rPr>
      </w:pPr>
      <w:r>
        <w:rPr>
          <w:rFonts w:hint="eastAsia" w:hAnsi="宋体"/>
          <w:sz w:val="24"/>
        </w:rPr>
        <w:t>法定代表人或委托代理人：（盖章</w:t>
      </w:r>
      <w:r>
        <w:rPr>
          <w:rFonts w:hAnsi="宋体"/>
          <w:sz w:val="24"/>
        </w:rPr>
        <w:t>或</w:t>
      </w:r>
      <w:r>
        <w:rPr>
          <w:rFonts w:hint="eastAsia" w:hAnsi="宋体"/>
          <w:sz w:val="24"/>
        </w:rPr>
        <w:t>签字）</w:t>
      </w:r>
    </w:p>
    <w:p>
      <w:pPr>
        <w:adjustRightInd w:val="0"/>
        <w:spacing w:line="500" w:lineRule="exact"/>
        <w:ind w:firstLine="240" w:firstLineChars="100"/>
        <w:jc w:val="left"/>
        <w:rPr>
          <w:rFonts w:hAnsi="宋体"/>
          <w:sz w:val="24"/>
          <w:u w:val="single"/>
        </w:rPr>
      </w:pPr>
      <w:r>
        <w:rPr>
          <w:rFonts w:hint="eastAsia" w:hAnsi="宋体"/>
          <w:sz w:val="24"/>
        </w:rPr>
        <w:t>日期：</w:t>
      </w:r>
    </w:p>
    <w:p>
      <w:pPr>
        <w:pStyle w:val="61"/>
        <w:rPr>
          <w:rFonts w:ascii="宋体" w:hAnsi="宋体"/>
          <w:color w:val="auto"/>
          <w:u w:val="single"/>
        </w:rPr>
      </w:pPr>
    </w:p>
    <w:p>
      <w:pPr>
        <w:pStyle w:val="61"/>
        <w:rPr>
          <w:rFonts w:ascii="宋体" w:hAnsi="宋体"/>
          <w:color w:val="auto"/>
          <w:u w:val="single"/>
        </w:rPr>
      </w:pPr>
    </w:p>
    <w:p>
      <w:pPr>
        <w:jc w:val="center"/>
        <w:rPr>
          <w:rFonts w:hAnsi="宋体"/>
          <w:sz w:val="32"/>
        </w:rPr>
      </w:pPr>
      <w:r>
        <w:rPr>
          <w:rFonts w:hint="eastAsia" w:hAnsi="宋体"/>
          <w:b/>
          <w:sz w:val="32"/>
          <w:szCs w:val="32"/>
        </w:rPr>
        <w:t>十、中小企业声明函（如涉及）</w:t>
      </w:r>
    </w:p>
    <w:p>
      <w:pPr>
        <w:spacing w:line="360" w:lineRule="auto"/>
        <w:ind w:firstLine="480" w:firstLineChars="200"/>
        <w:jc w:val="left"/>
        <w:rPr>
          <w:rFonts w:asciiTheme="minorEastAsia" w:hAnsiTheme="minorEastAsia" w:eastAsiaTheme="minorEastAsia" w:cstheme="minorEastAsia"/>
          <w:sz w:val="24"/>
          <w:szCs w:val="24"/>
        </w:rPr>
      </w:pP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i w:val="0"/>
          <w:color w:val="auto"/>
          <w:sz w:val="21"/>
          <w:szCs w:val="21"/>
          <w:highlight w:val="none"/>
        </w:rPr>
      </w:pPr>
      <w:r>
        <w:rPr>
          <w:rFonts w:hint="eastAsia" w:asciiTheme="minorEastAsia" w:hAnsiTheme="minorEastAsia" w:eastAsiaTheme="minorEastAsia" w:cstheme="minorEastAsia"/>
          <w:i w:val="0"/>
          <w:color w:val="auto"/>
          <w:kern w:val="0"/>
          <w:sz w:val="21"/>
          <w:szCs w:val="21"/>
          <w:highlight w:val="none"/>
          <w:lang w:val="en-US" w:eastAsia="zh-CN" w:bidi="ar"/>
        </w:rPr>
        <w:t>本公司（联合体）郑重声明，根据《政府采购促进中小企业发展管理办法》（财库﹝2020﹞46 号）的规定，本公司 （联合体）参加</w:t>
      </w:r>
      <w:r>
        <w:rPr>
          <w:rFonts w:hint="eastAsia" w:asciiTheme="minorEastAsia" w:hAnsiTheme="minorEastAsia" w:eastAsiaTheme="minorEastAsia" w:cstheme="minorEastAsia"/>
          <w:b/>
          <w:bCs/>
          <w:color w:val="auto"/>
          <w:kern w:val="0"/>
          <w:sz w:val="21"/>
          <w:szCs w:val="21"/>
          <w:highlight w:val="none"/>
          <w:u w:val="single"/>
          <w:lang w:bidi="ar"/>
        </w:rPr>
        <w:t>成都市双流区发展和改革局</w:t>
      </w:r>
      <w:r>
        <w:rPr>
          <w:rFonts w:hint="eastAsia" w:asciiTheme="minorEastAsia" w:hAnsiTheme="minorEastAsia" w:eastAsiaTheme="minorEastAsia" w:cstheme="minorEastAsia"/>
          <w:b/>
          <w:bCs/>
          <w:i w:val="0"/>
          <w:color w:val="auto"/>
          <w:kern w:val="0"/>
          <w:sz w:val="21"/>
          <w:szCs w:val="21"/>
          <w:highlight w:val="none"/>
          <w:u w:val="single"/>
          <w:lang w:val="en-US" w:eastAsia="zh-CN" w:bidi="ar"/>
        </w:rPr>
        <w:t>（单位名称）</w:t>
      </w:r>
      <w:r>
        <w:rPr>
          <w:rFonts w:hint="eastAsia" w:asciiTheme="minorEastAsia" w:hAnsiTheme="minorEastAsia" w:eastAsiaTheme="minorEastAsia" w:cstheme="minorEastAsia"/>
          <w:i w:val="0"/>
          <w:color w:val="auto"/>
          <w:kern w:val="0"/>
          <w:sz w:val="21"/>
          <w:szCs w:val="21"/>
          <w:highlight w:val="none"/>
          <w:lang w:val="en-US" w:eastAsia="zh-CN" w:bidi="ar"/>
        </w:rPr>
        <w:t>的</w:t>
      </w:r>
      <w:r>
        <w:rPr>
          <w:rFonts w:hint="eastAsia" w:asciiTheme="minorEastAsia" w:hAnsiTheme="minorEastAsia" w:eastAsiaTheme="minorEastAsia" w:cstheme="minorEastAsia"/>
          <w:b/>
          <w:bCs/>
          <w:color w:val="auto"/>
          <w:sz w:val="21"/>
          <w:szCs w:val="21"/>
          <w:highlight w:val="none"/>
          <w:u w:val="single"/>
          <w:lang w:val="en-US" w:eastAsia="zh-CN" w:bidi="ar"/>
        </w:rPr>
        <w:t>成都市双流区发展和改革局2021年政府性工程建设项目可行性研究报告（项目建议书）评审服务采购项目（第二次）</w:t>
      </w:r>
      <w:r>
        <w:rPr>
          <w:rFonts w:hint="eastAsia" w:asciiTheme="minorEastAsia" w:hAnsiTheme="minorEastAsia" w:eastAsiaTheme="minorEastAsia" w:cstheme="minorEastAsia"/>
          <w:i w:val="0"/>
          <w:color w:val="auto"/>
          <w:kern w:val="0"/>
          <w:sz w:val="21"/>
          <w:szCs w:val="21"/>
          <w:highlight w:val="none"/>
          <w:lang w:val="en-US" w:eastAsia="zh-CN" w:bidi="ar"/>
        </w:rPr>
        <w:t>采购活动，服务全部由符合政策要求的中小企业承接。相关企业（含联合体中的中小企业、签订分包意向协议的中小企业）的具体情况如下：</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i w:val="0"/>
          <w:color w:val="auto"/>
          <w:sz w:val="21"/>
          <w:szCs w:val="21"/>
          <w:highlight w:val="none"/>
        </w:rPr>
      </w:pPr>
      <w:r>
        <w:rPr>
          <w:rFonts w:hint="eastAsia" w:asciiTheme="minorEastAsia" w:hAnsiTheme="minorEastAsia" w:eastAsiaTheme="minorEastAsia" w:cstheme="minorEastAsia"/>
          <w:i w:val="0"/>
          <w:color w:val="auto"/>
          <w:kern w:val="0"/>
          <w:sz w:val="21"/>
          <w:szCs w:val="21"/>
          <w:highlight w:val="none"/>
          <w:lang w:val="en-US" w:eastAsia="zh-CN" w:bidi="ar"/>
        </w:rPr>
        <w:t xml:space="preserve">1. </w:t>
      </w:r>
      <w:r>
        <w:rPr>
          <w:rFonts w:hint="eastAsia" w:asciiTheme="minorEastAsia" w:hAnsiTheme="minorEastAsia" w:eastAsiaTheme="minorEastAsia" w:cstheme="minorEastAsia"/>
          <w:i w:val="0"/>
          <w:color w:val="auto"/>
          <w:kern w:val="0"/>
          <w:sz w:val="21"/>
          <w:szCs w:val="21"/>
          <w:highlight w:val="none"/>
          <w:u w:val="single"/>
          <w:lang w:val="en-US" w:eastAsia="zh-CN" w:bidi="ar"/>
        </w:rPr>
        <w:t>（标的名称）</w:t>
      </w:r>
      <w:r>
        <w:rPr>
          <w:rFonts w:hint="eastAsia" w:asciiTheme="minorEastAsia" w:hAnsiTheme="minorEastAsia" w:eastAsiaTheme="minorEastAsia" w:cstheme="minorEastAsia"/>
          <w:i w:val="0"/>
          <w:color w:val="auto"/>
          <w:kern w:val="0"/>
          <w:sz w:val="21"/>
          <w:szCs w:val="21"/>
          <w:highlight w:val="none"/>
          <w:lang w:val="en-US" w:eastAsia="zh-CN" w:bidi="ar"/>
        </w:rPr>
        <w:t xml:space="preserve"> ，属于</w:t>
      </w:r>
      <w:r>
        <w:rPr>
          <w:rFonts w:hint="eastAsia" w:asciiTheme="minorEastAsia" w:hAnsiTheme="minorEastAsia" w:eastAsiaTheme="minorEastAsia" w:cstheme="minorEastAsia"/>
          <w:i w:val="0"/>
          <w:color w:val="auto"/>
          <w:kern w:val="0"/>
          <w:sz w:val="21"/>
          <w:szCs w:val="21"/>
          <w:highlight w:val="none"/>
          <w:u w:val="single"/>
          <w:lang w:val="en-US" w:eastAsia="zh-CN" w:bidi="ar"/>
        </w:rPr>
        <w:t xml:space="preserve">       （行业类别）（采购文件中明确的所属行业）</w:t>
      </w:r>
      <w:r>
        <w:rPr>
          <w:rFonts w:hint="eastAsia" w:asciiTheme="minorEastAsia" w:hAnsiTheme="minorEastAsia" w:eastAsiaTheme="minorEastAsia" w:cstheme="minorEastAsia"/>
          <w:i w:val="0"/>
          <w:color w:val="auto"/>
          <w:kern w:val="0"/>
          <w:sz w:val="21"/>
          <w:szCs w:val="21"/>
          <w:highlight w:val="none"/>
          <w:lang w:val="en-US" w:eastAsia="zh-CN" w:bidi="ar"/>
        </w:rPr>
        <w:t>；承建（承接）企业为</w:t>
      </w:r>
      <w:r>
        <w:rPr>
          <w:rFonts w:hint="eastAsia" w:asciiTheme="minorEastAsia" w:hAnsiTheme="minorEastAsia" w:eastAsiaTheme="minorEastAsia" w:cstheme="minorEastAsia"/>
          <w:i w:val="0"/>
          <w:color w:val="auto"/>
          <w:kern w:val="0"/>
          <w:sz w:val="21"/>
          <w:szCs w:val="21"/>
          <w:highlight w:val="none"/>
          <w:u w:val="single"/>
          <w:lang w:val="en-US" w:eastAsia="zh-CN" w:bidi="ar"/>
        </w:rPr>
        <w:t>（企业名称）</w:t>
      </w:r>
      <w:r>
        <w:rPr>
          <w:rFonts w:hint="eastAsia" w:asciiTheme="minorEastAsia" w:hAnsiTheme="minorEastAsia" w:eastAsiaTheme="minorEastAsia" w:cstheme="minorEastAsia"/>
          <w:i w:val="0"/>
          <w:color w:val="auto"/>
          <w:kern w:val="0"/>
          <w:sz w:val="21"/>
          <w:szCs w:val="21"/>
          <w:highlight w:val="none"/>
          <w:lang w:val="en-US" w:eastAsia="zh-CN" w:bidi="ar"/>
        </w:rPr>
        <w:t>，从业人员</w:t>
      </w:r>
      <w:r>
        <w:rPr>
          <w:rFonts w:hint="eastAsia" w:asciiTheme="minorEastAsia" w:hAnsiTheme="minorEastAsia" w:eastAsiaTheme="minorEastAsia" w:cstheme="minorEastAsia"/>
          <w:i w:val="0"/>
          <w:color w:val="auto"/>
          <w:kern w:val="0"/>
          <w:sz w:val="21"/>
          <w:szCs w:val="21"/>
          <w:highlight w:val="none"/>
          <w:u w:val="single"/>
          <w:lang w:val="en-US" w:eastAsia="zh-CN" w:bidi="ar"/>
        </w:rPr>
        <w:t xml:space="preserve">    </w:t>
      </w:r>
      <w:r>
        <w:rPr>
          <w:rFonts w:hint="eastAsia" w:asciiTheme="minorEastAsia" w:hAnsiTheme="minorEastAsia" w:eastAsiaTheme="minorEastAsia" w:cstheme="minorEastAsia"/>
          <w:i w:val="0"/>
          <w:color w:val="auto"/>
          <w:kern w:val="0"/>
          <w:sz w:val="21"/>
          <w:szCs w:val="21"/>
          <w:highlight w:val="none"/>
          <w:lang w:val="en-US" w:eastAsia="zh-CN" w:bidi="ar"/>
        </w:rPr>
        <w:t>人，营业收入为</w:t>
      </w:r>
      <w:r>
        <w:rPr>
          <w:rFonts w:hint="eastAsia" w:asciiTheme="minorEastAsia" w:hAnsiTheme="minorEastAsia" w:eastAsiaTheme="minorEastAsia" w:cstheme="minorEastAsia"/>
          <w:i w:val="0"/>
          <w:color w:val="auto"/>
          <w:kern w:val="0"/>
          <w:sz w:val="21"/>
          <w:szCs w:val="21"/>
          <w:highlight w:val="none"/>
          <w:u w:val="single"/>
          <w:lang w:val="en-US" w:eastAsia="zh-CN" w:bidi="ar"/>
        </w:rPr>
        <w:t xml:space="preserve">    </w:t>
      </w:r>
      <w:r>
        <w:rPr>
          <w:rFonts w:hint="eastAsia" w:asciiTheme="minorEastAsia" w:hAnsiTheme="minorEastAsia" w:eastAsiaTheme="minorEastAsia" w:cstheme="minorEastAsia"/>
          <w:i w:val="0"/>
          <w:color w:val="auto"/>
          <w:kern w:val="0"/>
          <w:sz w:val="21"/>
          <w:szCs w:val="21"/>
          <w:highlight w:val="none"/>
          <w:lang w:val="en-US" w:eastAsia="zh-CN" w:bidi="ar"/>
        </w:rPr>
        <w:t>万元，资产总额为</w:t>
      </w:r>
      <w:r>
        <w:rPr>
          <w:rFonts w:hint="eastAsia" w:asciiTheme="minorEastAsia" w:hAnsiTheme="minorEastAsia" w:eastAsiaTheme="minorEastAsia" w:cstheme="minorEastAsia"/>
          <w:i w:val="0"/>
          <w:color w:val="auto"/>
          <w:kern w:val="0"/>
          <w:sz w:val="21"/>
          <w:szCs w:val="21"/>
          <w:highlight w:val="none"/>
          <w:u w:val="single"/>
          <w:lang w:val="en-US" w:eastAsia="zh-CN" w:bidi="ar"/>
        </w:rPr>
        <w:t xml:space="preserve">    </w:t>
      </w:r>
      <w:r>
        <w:rPr>
          <w:rFonts w:hint="eastAsia" w:asciiTheme="minorEastAsia" w:hAnsiTheme="minorEastAsia" w:eastAsiaTheme="minorEastAsia" w:cstheme="minorEastAsia"/>
          <w:i w:val="0"/>
          <w:color w:val="auto"/>
          <w:kern w:val="0"/>
          <w:sz w:val="21"/>
          <w:szCs w:val="21"/>
          <w:highlight w:val="none"/>
          <w:lang w:val="en-US" w:eastAsia="zh-CN" w:bidi="ar"/>
        </w:rPr>
        <w:t>万元</w:t>
      </w:r>
      <w:r>
        <w:rPr>
          <w:rFonts w:hint="eastAsia" w:asciiTheme="minorEastAsia" w:hAnsiTheme="minorEastAsia" w:eastAsiaTheme="minorEastAsia" w:cstheme="minorEastAsia"/>
          <w:i w:val="0"/>
          <w:color w:val="auto"/>
          <w:kern w:val="0"/>
          <w:sz w:val="21"/>
          <w:szCs w:val="21"/>
          <w:highlight w:val="none"/>
          <w:vertAlign w:val="superscript"/>
          <w:lang w:val="en-US" w:eastAsia="zh-CN" w:bidi="ar"/>
        </w:rPr>
        <w:t>1</w:t>
      </w:r>
      <w:r>
        <w:rPr>
          <w:rFonts w:hint="eastAsia" w:asciiTheme="minorEastAsia" w:hAnsiTheme="minorEastAsia" w:eastAsiaTheme="minorEastAsia" w:cstheme="minorEastAsia"/>
          <w:i w:val="0"/>
          <w:color w:val="auto"/>
          <w:kern w:val="0"/>
          <w:sz w:val="21"/>
          <w:szCs w:val="21"/>
          <w:highlight w:val="none"/>
          <w:lang w:val="en-US" w:eastAsia="zh-CN" w:bidi="ar"/>
        </w:rPr>
        <w:t>，属于</w:t>
      </w:r>
      <w:r>
        <w:rPr>
          <w:rFonts w:hint="eastAsia" w:asciiTheme="minorEastAsia" w:hAnsiTheme="minorEastAsia" w:eastAsiaTheme="minorEastAsia" w:cstheme="minorEastAsia"/>
          <w:i w:val="0"/>
          <w:color w:val="auto"/>
          <w:kern w:val="0"/>
          <w:sz w:val="21"/>
          <w:szCs w:val="21"/>
          <w:highlight w:val="none"/>
          <w:u w:val="single"/>
          <w:lang w:val="en-US" w:eastAsia="zh-CN" w:bidi="ar"/>
        </w:rPr>
        <w:t>（中型企业、小型企业、微型企业）</w:t>
      </w:r>
      <w:r>
        <w:rPr>
          <w:rFonts w:hint="eastAsia" w:asciiTheme="minorEastAsia" w:hAnsiTheme="minorEastAsia" w:eastAsiaTheme="minorEastAsia" w:cstheme="minorEastAsia"/>
          <w:i w:val="0"/>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i w:val="0"/>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i w:val="0"/>
          <w:color w:val="auto"/>
          <w:sz w:val="21"/>
          <w:szCs w:val="21"/>
          <w:highlight w:val="none"/>
        </w:rPr>
      </w:pPr>
      <w:r>
        <w:rPr>
          <w:rFonts w:hint="eastAsia" w:asciiTheme="minorEastAsia" w:hAnsiTheme="minorEastAsia" w:eastAsiaTheme="minorEastAsia" w:cstheme="minorEastAsia"/>
          <w:i w:val="0"/>
          <w:color w:val="auto"/>
          <w:kern w:val="0"/>
          <w:sz w:val="21"/>
          <w:szCs w:val="21"/>
          <w:highlight w:val="none"/>
          <w:lang w:val="en-US" w:eastAsia="zh-CN" w:bidi="ar"/>
        </w:rPr>
        <w:t>以上企业，不属于大企业的分支机构，不存在控股股东为大企业的情形，也不存在与大企业的负责人为同一人的情形。</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i w:val="0"/>
          <w:color w:val="auto"/>
          <w:sz w:val="21"/>
          <w:szCs w:val="21"/>
          <w:highlight w:val="none"/>
        </w:rPr>
      </w:pPr>
      <w:r>
        <w:rPr>
          <w:rFonts w:hint="eastAsia" w:asciiTheme="minorEastAsia" w:hAnsiTheme="minorEastAsia" w:eastAsiaTheme="minorEastAsia" w:cstheme="minorEastAsia"/>
          <w:i w:val="0"/>
          <w:color w:val="auto"/>
          <w:kern w:val="0"/>
          <w:sz w:val="21"/>
          <w:szCs w:val="21"/>
          <w:highlight w:val="none"/>
          <w:lang w:val="en-US" w:eastAsia="zh-CN" w:bidi="ar"/>
        </w:rPr>
        <w:t xml:space="preserve">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i w:val="0"/>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i w:val="0"/>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i w:val="0"/>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i w:val="0"/>
          <w:color w:val="auto"/>
          <w:sz w:val="21"/>
          <w:szCs w:val="21"/>
          <w:highlight w:val="none"/>
        </w:rPr>
      </w:pPr>
      <w:r>
        <w:rPr>
          <w:rFonts w:hint="eastAsia" w:asciiTheme="minorEastAsia" w:hAnsiTheme="minorEastAsia" w:eastAsiaTheme="minorEastAsia" w:cstheme="minorEastAsia"/>
          <w:i w:val="0"/>
          <w:color w:val="auto"/>
          <w:kern w:val="0"/>
          <w:sz w:val="21"/>
          <w:szCs w:val="21"/>
          <w:highlight w:val="none"/>
          <w:lang w:val="en-US" w:eastAsia="zh-CN" w:bidi="ar"/>
        </w:rPr>
        <w:t xml:space="preserve">企业名称（盖章）： </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color w:val="auto"/>
          <w:kern w:val="0"/>
          <w:sz w:val="21"/>
          <w:szCs w:val="21"/>
          <w:highlight w:val="none"/>
          <w:lang w:val="en-US" w:eastAsia="zh-CN" w:bidi="ar"/>
        </w:rPr>
        <w:t xml:space="preserve">日 期： </w:t>
      </w:r>
    </w:p>
    <w:p>
      <w:pPr>
        <w:keepNext w:val="0"/>
        <w:keepLines w:val="0"/>
        <w:widowControl/>
        <w:suppressLineNumbers w:val="0"/>
        <w:jc w:val="left"/>
        <w:rPr>
          <w:rFonts w:hint="eastAsia" w:ascii="宋体" w:hAnsi="宋体" w:eastAsia="宋体" w:cs="宋体"/>
          <w:color w:val="auto"/>
          <w:kern w:val="0"/>
          <w:sz w:val="18"/>
          <w:szCs w:val="18"/>
          <w:highlight w:val="none"/>
          <w:lang w:val="en-US" w:eastAsia="zh-CN" w:bidi="ar"/>
        </w:rPr>
      </w:pPr>
    </w:p>
    <w:p>
      <w:pPr>
        <w:keepNext w:val="0"/>
        <w:keepLines w:val="0"/>
        <w:widowControl/>
        <w:suppressLineNumbers w:val="0"/>
        <w:jc w:val="left"/>
        <w:rPr>
          <w:rFonts w:hint="eastAsia" w:ascii="宋体" w:hAnsi="宋体" w:eastAsia="宋体" w:cs="宋体"/>
          <w:color w:val="auto"/>
          <w:kern w:val="0"/>
          <w:sz w:val="18"/>
          <w:szCs w:val="18"/>
          <w:highlight w:val="none"/>
          <w:lang w:val="en-US" w:eastAsia="zh-CN" w:bidi="ar"/>
        </w:rPr>
      </w:pPr>
    </w:p>
    <w:p>
      <w:pPr>
        <w:pStyle w:val="61"/>
        <w:rPr>
          <w:rFonts w:hint="eastAsia" w:ascii="宋体" w:hAnsi="宋体" w:eastAsia="宋体" w:cs="宋体"/>
          <w:color w:val="auto"/>
          <w:kern w:val="0"/>
          <w:sz w:val="18"/>
          <w:szCs w:val="18"/>
          <w:highlight w:val="none"/>
          <w:lang w:val="en-US" w:eastAsia="zh-CN" w:bidi="ar"/>
        </w:rPr>
      </w:pPr>
    </w:p>
    <w:p>
      <w:pPr>
        <w:pStyle w:val="61"/>
        <w:rPr>
          <w:rFonts w:hint="eastAsia" w:ascii="宋体" w:hAnsi="宋体" w:eastAsia="宋体" w:cs="宋体"/>
          <w:color w:val="auto"/>
          <w:kern w:val="0"/>
          <w:sz w:val="18"/>
          <w:szCs w:val="18"/>
          <w:highlight w:val="none"/>
          <w:lang w:val="en-US" w:eastAsia="zh-CN" w:bidi="ar"/>
        </w:rPr>
      </w:pPr>
    </w:p>
    <w:p>
      <w:pPr>
        <w:keepNext w:val="0"/>
        <w:keepLines w:val="0"/>
        <w:widowControl/>
        <w:suppressLineNumbers w:val="0"/>
        <w:jc w:val="left"/>
        <w:rPr>
          <w:rFonts w:hint="eastAsia" w:ascii="宋体" w:hAnsi="宋体" w:eastAsia="宋体" w:cs="宋体"/>
          <w:color w:val="auto"/>
          <w:kern w:val="0"/>
          <w:sz w:val="18"/>
          <w:szCs w:val="18"/>
          <w:highlight w:val="none"/>
          <w:lang w:val="en-US" w:eastAsia="zh-CN" w:bidi="ar"/>
        </w:rPr>
      </w:pPr>
    </w:p>
    <w:p>
      <w:pPr>
        <w:keepNext w:val="0"/>
        <w:keepLines w:val="0"/>
        <w:widowControl/>
        <w:suppressLineNumbers w:val="0"/>
        <w:jc w:val="left"/>
      </w:pPr>
      <w:r>
        <w:rPr>
          <w:rFonts w:hint="eastAsia" w:hAnsi="宋体" w:cs="宋体"/>
          <w:color w:val="auto"/>
          <w:kern w:val="0"/>
          <w:sz w:val="18"/>
          <w:szCs w:val="18"/>
          <w:highlight w:val="none"/>
          <w:lang w:val="en-US" w:eastAsia="zh-CN" w:bidi="ar"/>
        </w:rPr>
        <w:t>注：</w:t>
      </w:r>
      <w:r>
        <w:rPr>
          <w:rFonts w:hint="eastAsia" w:hAnsi="宋体" w:cs="宋体"/>
          <w:color w:val="auto"/>
          <w:kern w:val="0"/>
          <w:sz w:val="18"/>
          <w:szCs w:val="18"/>
          <w:highlight w:val="none"/>
          <w:vertAlign w:val="superscript"/>
          <w:lang w:val="en-US" w:eastAsia="zh-CN" w:bidi="ar"/>
        </w:rPr>
        <w:t>1</w:t>
      </w:r>
      <w:r>
        <w:rPr>
          <w:rFonts w:hint="eastAsia" w:ascii="宋体" w:hAnsi="宋体" w:eastAsia="宋体" w:cs="宋体"/>
          <w:color w:val="auto"/>
          <w:kern w:val="0"/>
          <w:sz w:val="18"/>
          <w:szCs w:val="18"/>
          <w:highlight w:val="none"/>
          <w:lang w:val="en-US" w:eastAsia="zh-CN" w:bidi="ar"/>
        </w:rPr>
        <w:t>从业人员、营业收入、资产总额填报上一年度数据，无上一年度数据的新成立企业可不填报。</w:t>
      </w:r>
      <w:r>
        <w:rPr>
          <w:rFonts w:hint="eastAsia" w:ascii="宋体" w:hAnsi="宋体" w:eastAsia="宋体" w:cs="宋体"/>
          <w:color w:val="auto"/>
          <w:sz w:val="18"/>
          <w:szCs w:val="18"/>
          <w:highlight w:val="none"/>
          <w:lang w:bidi="ar"/>
        </w:rPr>
        <w:t>投标人根据《工业和信息化部、国家统计局、国家发展和改革委员会、财政部关于印发中小企业划型标准规定的通知》（工信部联企业[2011]300号）规定的划分标准填写中小企业声明函</w:t>
      </w:r>
      <w:r>
        <w:rPr>
          <w:rFonts w:hint="eastAsia" w:ascii="宋体" w:hAnsi="宋体" w:eastAsia="宋体" w:cs="宋体"/>
          <w:color w:val="000000"/>
          <w:kern w:val="0"/>
          <w:sz w:val="18"/>
          <w:szCs w:val="18"/>
          <w:lang w:val="en-US" w:eastAsia="zh-CN" w:bidi="ar"/>
        </w:rPr>
        <w:t>。</w:t>
      </w:r>
    </w:p>
    <w:p>
      <w:pPr>
        <w:pStyle w:val="61"/>
        <w:rPr>
          <w:rFonts w:hint="eastAsia" w:asciiTheme="minorEastAsia" w:hAnsiTheme="minorEastAsia" w:eastAsiaTheme="minorEastAsia" w:cstheme="minorEastAsia"/>
          <w:sz w:val="24"/>
          <w:szCs w:val="24"/>
        </w:rPr>
      </w:pPr>
    </w:p>
    <w:p>
      <w:pPr>
        <w:spacing w:line="360" w:lineRule="auto"/>
        <w:jc w:val="left"/>
        <w:rPr>
          <w:rFonts w:hAnsi="宋体" w:cs="宋体"/>
          <w:sz w:val="24"/>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ageBreakBefore/>
        <w:jc w:val="center"/>
        <w:rPr>
          <w:rFonts w:hAnsi="宋体"/>
          <w:sz w:val="32"/>
        </w:rPr>
      </w:pPr>
      <w:r>
        <w:rPr>
          <w:rFonts w:hint="eastAsia" w:hAnsi="宋体"/>
          <w:b/>
          <w:sz w:val="32"/>
          <w:szCs w:val="32"/>
        </w:rPr>
        <w:t>十</w:t>
      </w:r>
      <w:r>
        <w:rPr>
          <w:rFonts w:hint="eastAsia" w:hAnsi="宋体"/>
          <w:b/>
          <w:sz w:val="32"/>
          <w:szCs w:val="32"/>
          <w:lang w:eastAsia="zh-CN"/>
        </w:rPr>
        <w:t>一</w:t>
      </w:r>
      <w:r>
        <w:rPr>
          <w:rFonts w:hint="eastAsia" w:hAnsi="宋体"/>
          <w:b/>
          <w:sz w:val="32"/>
          <w:szCs w:val="32"/>
        </w:rPr>
        <w:t>、残疾人福利性单位声明函（如涉及）</w:t>
      </w:r>
    </w:p>
    <w:p>
      <w:pPr>
        <w:spacing w:line="360" w:lineRule="auto"/>
        <w:ind w:firstLine="480" w:firstLineChars="200"/>
        <w:jc w:val="left"/>
        <w:rPr>
          <w:rFonts w:hAnsi="宋体"/>
          <w:sz w:val="24"/>
        </w:rPr>
      </w:pPr>
      <w:r>
        <w:rPr>
          <w:rFonts w:hint="eastAsia" w:hAnsi="宋体"/>
          <w:sz w:val="24"/>
        </w:rPr>
        <w:t>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jc w:val="left"/>
        <w:rPr>
          <w:rFonts w:hAnsi="宋体"/>
          <w:sz w:val="24"/>
        </w:rPr>
      </w:pPr>
      <w:r>
        <w:rPr>
          <w:rFonts w:hint="eastAsia" w:hAnsi="宋体"/>
          <w:sz w:val="24"/>
        </w:rPr>
        <w:t>本单位对上述声明的真实性负责。如有虚假，将依法承担相应责任。</w:t>
      </w:r>
    </w:p>
    <w:p>
      <w:pPr>
        <w:pStyle w:val="61"/>
        <w:spacing w:line="360" w:lineRule="auto"/>
        <w:rPr>
          <w:color w:val="auto"/>
        </w:rPr>
      </w:pPr>
    </w:p>
    <w:p>
      <w:pPr>
        <w:spacing w:line="360" w:lineRule="auto"/>
        <w:jc w:val="left"/>
        <w:rPr>
          <w:rFonts w:hAnsi="宋体"/>
          <w:sz w:val="24"/>
        </w:rPr>
      </w:pPr>
      <w:r>
        <w:rPr>
          <w:rFonts w:hint="eastAsia" w:hAnsi="宋体"/>
          <w:sz w:val="24"/>
        </w:rPr>
        <w:t>注：如未提供残疾人福利性单位声明函证明材料的，则其评审中的残疾人福利性单位不能享受招标文件规定的价格扣除，但不影响投标文件的有效性。</w:t>
      </w:r>
    </w:p>
    <w:p>
      <w:pPr>
        <w:pStyle w:val="61"/>
        <w:spacing w:line="360" w:lineRule="auto"/>
        <w:rPr>
          <w:rFonts w:ascii="宋体" w:hAnsi="宋体" w:eastAsia="宋体"/>
          <w:color w:val="auto"/>
          <w:szCs w:val="24"/>
        </w:rPr>
      </w:pPr>
    </w:p>
    <w:p>
      <w:pPr>
        <w:pStyle w:val="61"/>
        <w:spacing w:line="360" w:lineRule="auto"/>
        <w:rPr>
          <w:rFonts w:ascii="宋体" w:hAnsi="宋体" w:eastAsia="宋体"/>
          <w:color w:val="auto"/>
          <w:szCs w:val="24"/>
        </w:rPr>
      </w:pPr>
    </w:p>
    <w:p>
      <w:pPr>
        <w:spacing w:line="360" w:lineRule="auto"/>
        <w:jc w:val="left"/>
        <w:rPr>
          <w:rFonts w:hAnsi="宋体"/>
          <w:sz w:val="24"/>
        </w:rPr>
      </w:pPr>
      <w:r>
        <w:rPr>
          <w:rFonts w:hint="eastAsia" w:hAnsi="宋体"/>
          <w:sz w:val="24"/>
        </w:rPr>
        <w:t>单位名称：（盖单位公章）</w:t>
      </w:r>
    </w:p>
    <w:p>
      <w:pPr>
        <w:spacing w:line="360" w:lineRule="auto"/>
        <w:jc w:val="left"/>
        <w:rPr>
          <w:rFonts w:hAnsi="宋体"/>
          <w:sz w:val="24"/>
          <w:u w:val="single"/>
        </w:rPr>
      </w:pPr>
      <w:r>
        <w:rPr>
          <w:rFonts w:hint="eastAsia" w:hAnsi="宋体"/>
          <w:sz w:val="24"/>
        </w:rPr>
        <w:t>法定代表人或授权代表（签字）：</w:t>
      </w:r>
    </w:p>
    <w:p>
      <w:pPr>
        <w:spacing w:line="360" w:lineRule="auto"/>
        <w:jc w:val="left"/>
        <w:rPr>
          <w:rFonts w:hAnsi="宋体"/>
          <w:sz w:val="24"/>
          <w:u w:val="single"/>
        </w:rPr>
      </w:pPr>
      <w:r>
        <w:rPr>
          <w:rFonts w:hint="eastAsia" w:hAnsi="宋体"/>
          <w:sz w:val="24"/>
        </w:rPr>
        <w:t>日期：</w:t>
      </w: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ageBreakBefore/>
        <w:jc w:val="center"/>
        <w:rPr>
          <w:rFonts w:hAnsi="宋体"/>
          <w:sz w:val="32"/>
        </w:rPr>
      </w:pPr>
      <w:r>
        <w:rPr>
          <w:rFonts w:hint="eastAsia" w:hAnsi="宋体"/>
          <w:b/>
          <w:sz w:val="32"/>
          <w:szCs w:val="32"/>
        </w:rPr>
        <w:t>十</w:t>
      </w:r>
      <w:r>
        <w:rPr>
          <w:rFonts w:hint="eastAsia" w:hAnsi="宋体"/>
          <w:b/>
          <w:sz w:val="32"/>
          <w:szCs w:val="32"/>
          <w:lang w:eastAsia="zh-CN"/>
        </w:rPr>
        <w:t>二</w:t>
      </w:r>
      <w:r>
        <w:rPr>
          <w:rFonts w:hint="eastAsia" w:hAnsi="宋体"/>
          <w:b/>
          <w:sz w:val="32"/>
          <w:szCs w:val="32"/>
        </w:rPr>
        <w:t>、监狱企业单位相关证明材料（如涉及）</w:t>
      </w:r>
    </w:p>
    <w:p>
      <w:pPr>
        <w:pStyle w:val="61"/>
        <w:rPr>
          <w:color w:val="auto"/>
        </w:rPr>
      </w:pPr>
    </w:p>
    <w:p>
      <w:pPr>
        <w:jc w:val="left"/>
        <w:rPr>
          <w:rFonts w:hAnsi="宋体"/>
          <w:sz w:val="24"/>
        </w:rPr>
      </w:pPr>
      <w:r>
        <w:rPr>
          <w:rFonts w:hint="eastAsia" w:hAnsi="宋体"/>
          <w:sz w:val="24"/>
        </w:rPr>
        <w:t>说明：监狱企业参加政府采购活动时，应当提供由省级以上监狱管理局、戒毒管理局（含新疆生产建设兵团）出具的属于监狱企业的证明文件</w:t>
      </w:r>
    </w:p>
    <w:p>
      <w:pPr>
        <w:rPr>
          <w:sz w:val="24"/>
        </w:rPr>
      </w:pPr>
      <w:r>
        <w:rPr>
          <w:rFonts w:hint="eastAsia" w:hAnsi="宋体"/>
          <w:sz w:val="24"/>
        </w:rPr>
        <w:t xml:space="preserve"> </w:t>
      </w: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Style w:val="61"/>
        <w:rPr>
          <w:rFonts w:ascii="宋体" w:hAnsi="宋体"/>
          <w:color w:val="auto"/>
          <w:u w:val="single"/>
        </w:rPr>
      </w:pPr>
    </w:p>
    <w:p>
      <w:pPr>
        <w:pageBreakBefore/>
        <w:jc w:val="center"/>
        <w:rPr>
          <w:rFonts w:hAnsi="宋体"/>
          <w:b/>
          <w:sz w:val="32"/>
          <w:szCs w:val="32"/>
        </w:rPr>
      </w:pPr>
      <w:r>
        <w:rPr>
          <w:rFonts w:hint="eastAsia" w:hAnsi="宋体"/>
          <w:b/>
          <w:sz w:val="32"/>
          <w:szCs w:val="32"/>
        </w:rPr>
        <w:t>十</w:t>
      </w:r>
      <w:r>
        <w:rPr>
          <w:rFonts w:hint="eastAsia" w:hAnsi="宋体"/>
          <w:b/>
          <w:sz w:val="32"/>
          <w:szCs w:val="32"/>
          <w:lang w:eastAsia="zh-CN"/>
        </w:rPr>
        <w:t>三</w:t>
      </w:r>
      <w:r>
        <w:rPr>
          <w:rFonts w:hint="eastAsia" w:hAnsi="宋体"/>
          <w:b/>
          <w:sz w:val="32"/>
          <w:szCs w:val="32"/>
        </w:rPr>
        <w:t xml:space="preserve">、 </w:t>
      </w:r>
      <w:r>
        <w:rPr>
          <w:rFonts w:hint="eastAsia" w:hAnsi="宋体"/>
          <w:b/>
          <w:sz w:val="32"/>
          <w:szCs w:val="32"/>
          <w:lang w:eastAsia="zh-CN"/>
        </w:rPr>
        <w:t>项目实施</w:t>
      </w:r>
      <w:r>
        <w:rPr>
          <w:rFonts w:hint="eastAsia" w:hAnsi="宋体"/>
          <w:b/>
          <w:sz w:val="32"/>
          <w:szCs w:val="32"/>
        </w:rPr>
        <w:t>方案</w:t>
      </w:r>
    </w:p>
    <w:p>
      <w:pPr>
        <w:pStyle w:val="61"/>
        <w:rPr>
          <w:rFonts w:ascii="宋体" w:hAnsi="宋体" w:eastAsia="宋体" w:cs="宋体"/>
          <w:bCs/>
          <w:color w:val="auto"/>
          <w:sz w:val="30"/>
          <w:szCs w:val="30"/>
        </w:rPr>
      </w:pPr>
      <w:r>
        <w:rPr>
          <w:rFonts w:hint="eastAsia" w:ascii="宋体" w:hAnsi="宋体" w:eastAsia="宋体" w:cs="宋体"/>
          <w:bCs/>
          <w:color w:val="auto"/>
          <w:sz w:val="30"/>
          <w:szCs w:val="30"/>
        </w:rPr>
        <w:t>注：格式自拟</w:t>
      </w: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ageBreakBefore/>
        <w:jc w:val="center"/>
        <w:rPr>
          <w:rFonts w:hAnsi="宋体"/>
          <w:b/>
          <w:sz w:val="32"/>
          <w:szCs w:val="32"/>
        </w:rPr>
      </w:pPr>
      <w:r>
        <w:rPr>
          <w:rFonts w:hint="eastAsia" w:hAnsi="宋体"/>
          <w:b/>
          <w:sz w:val="32"/>
          <w:szCs w:val="32"/>
        </w:rPr>
        <w:t>十</w:t>
      </w:r>
      <w:r>
        <w:rPr>
          <w:rFonts w:hint="eastAsia" w:hAnsi="宋体"/>
          <w:b/>
          <w:sz w:val="32"/>
          <w:szCs w:val="32"/>
          <w:lang w:eastAsia="zh-CN"/>
        </w:rPr>
        <w:t>四</w:t>
      </w:r>
      <w:r>
        <w:rPr>
          <w:rFonts w:hint="eastAsia" w:hAnsi="宋体"/>
          <w:b/>
          <w:sz w:val="32"/>
          <w:szCs w:val="32"/>
        </w:rPr>
        <w:t>、其他投标人认为需要提供的文件和资料</w:t>
      </w:r>
    </w:p>
    <w:p>
      <w:pPr>
        <w:pStyle w:val="61"/>
        <w:rPr>
          <w:rFonts w:ascii="宋体" w:hAnsi="宋体"/>
          <w:b/>
          <w:color w:val="auto"/>
          <w:sz w:val="32"/>
          <w:szCs w:val="32"/>
        </w:rPr>
      </w:pPr>
    </w:p>
    <w:p>
      <w:pPr>
        <w:pStyle w:val="61"/>
        <w:rPr>
          <w:rFonts w:ascii="宋体" w:hAnsi="宋体" w:eastAsia="宋体" w:cs="宋体"/>
          <w:bCs/>
          <w:color w:val="auto"/>
          <w:sz w:val="30"/>
          <w:szCs w:val="30"/>
        </w:rPr>
      </w:pPr>
      <w:r>
        <w:rPr>
          <w:rFonts w:hint="eastAsia" w:ascii="宋体" w:hAnsi="宋体" w:eastAsia="宋体" w:cs="宋体"/>
          <w:bCs/>
          <w:color w:val="auto"/>
          <w:sz w:val="30"/>
          <w:szCs w:val="30"/>
        </w:rPr>
        <w:t>注：格式自拟</w:t>
      </w: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pStyle w:val="61"/>
        <w:rPr>
          <w:rFonts w:ascii="宋体" w:hAnsi="宋体" w:eastAsia="宋体" w:cs="宋体"/>
          <w:bCs/>
          <w:color w:val="auto"/>
          <w:sz w:val="30"/>
          <w:szCs w:val="30"/>
        </w:rPr>
      </w:pPr>
    </w:p>
    <w:p>
      <w:pPr>
        <w:adjustRightInd/>
        <w:spacing w:line="240" w:lineRule="auto"/>
        <w:jc w:val="left"/>
        <w:outlineLvl w:val="9"/>
        <w:rPr>
          <w:rFonts w:hint="eastAsia" w:hAnsi="宋体"/>
          <w:sz w:val="36"/>
          <w:szCs w:val="36"/>
        </w:rPr>
      </w:pPr>
      <w:bookmarkStart w:id="213" w:name="_Toc16712"/>
      <w:bookmarkStart w:id="214" w:name="_Toc510520085"/>
      <w:r>
        <w:rPr>
          <w:rFonts w:hint="eastAsia" w:hAnsi="宋体"/>
          <w:sz w:val="36"/>
          <w:szCs w:val="36"/>
        </w:rPr>
        <w:br w:type="page"/>
      </w:r>
    </w:p>
    <w:p>
      <w:pPr>
        <w:adjustRightInd w:val="0"/>
        <w:spacing w:line="400" w:lineRule="exact"/>
        <w:jc w:val="center"/>
        <w:outlineLvl w:val="0"/>
        <w:rPr>
          <w:rFonts w:hAnsi="宋体"/>
          <w:sz w:val="36"/>
          <w:szCs w:val="36"/>
        </w:rPr>
      </w:pPr>
      <w:r>
        <w:rPr>
          <w:rFonts w:hint="eastAsia" w:hAnsi="宋体"/>
          <w:sz w:val="36"/>
          <w:szCs w:val="36"/>
        </w:rPr>
        <w:t>第四章</w:t>
      </w:r>
      <w:r>
        <w:rPr>
          <w:rFonts w:hint="eastAsia" w:hAnsi="宋体"/>
          <w:sz w:val="36"/>
          <w:szCs w:val="36"/>
          <w:lang w:val="en-US" w:eastAsia="zh-CN"/>
        </w:rPr>
        <w:t xml:space="preserve">  </w:t>
      </w:r>
      <w:r>
        <w:rPr>
          <w:rFonts w:hint="eastAsia" w:hAnsi="宋体"/>
          <w:sz w:val="36"/>
          <w:szCs w:val="36"/>
        </w:rPr>
        <w:t>投标人和投标产品的资格、资质性及其他类似效力要求</w:t>
      </w:r>
      <w:bookmarkEnd w:id="213"/>
      <w:bookmarkEnd w:id="214"/>
    </w:p>
    <w:p>
      <w:pPr>
        <w:spacing w:line="360" w:lineRule="auto"/>
        <w:jc w:val="left"/>
        <w:rPr>
          <w:rFonts w:hAnsi="宋体"/>
          <w:sz w:val="24"/>
        </w:rPr>
      </w:pPr>
      <w:r>
        <w:rPr>
          <w:rFonts w:hint="eastAsia" w:hAnsi="宋体"/>
          <w:sz w:val="24"/>
        </w:rPr>
        <w:t>一、投标人资格、资质性及其他类似效力要求</w:t>
      </w:r>
    </w:p>
    <w:p>
      <w:pPr>
        <w:spacing w:line="360" w:lineRule="auto"/>
        <w:jc w:val="left"/>
        <w:rPr>
          <w:rFonts w:hint="eastAsia" w:hAnsi="宋体"/>
          <w:sz w:val="24"/>
          <w:szCs w:val="22"/>
        </w:rPr>
      </w:pPr>
      <w:r>
        <w:rPr>
          <w:rFonts w:hint="eastAsia" w:hAnsi="宋体"/>
          <w:sz w:val="24"/>
        </w:rPr>
        <w:t>（一）符合</w:t>
      </w:r>
      <w:r>
        <w:rPr>
          <w:rFonts w:hint="eastAsia" w:hAnsi="宋体"/>
          <w:sz w:val="24"/>
          <w:szCs w:val="22"/>
        </w:rPr>
        <w:t>《中华人民共和国政府采购法》第二十二条规定的条件：</w:t>
      </w:r>
    </w:p>
    <w:p>
      <w:pPr>
        <w:spacing w:line="360" w:lineRule="auto"/>
        <w:jc w:val="left"/>
        <w:rPr>
          <w:rFonts w:hint="eastAsia" w:hAnsi="宋体"/>
          <w:sz w:val="24"/>
          <w:szCs w:val="22"/>
        </w:rPr>
      </w:pPr>
      <w:r>
        <w:rPr>
          <w:rFonts w:hint="eastAsia" w:hAnsi="宋体"/>
          <w:sz w:val="24"/>
          <w:szCs w:val="22"/>
        </w:rPr>
        <w:t>1．具有独立承担民事责任的能力；</w:t>
      </w:r>
    </w:p>
    <w:p>
      <w:pPr>
        <w:spacing w:line="360" w:lineRule="auto"/>
        <w:jc w:val="left"/>
        <w:rPr>
          <w:rFonts w:hint="eastAsia" w:hAnsi="宋体"/>
          <w:sz w:val="24"/>
          <w:szCs w:val="22"/>
        </w:rPr>
      </w:pPr>
      <w:r>
        <w:rPr>
          <w:rFonts w:hint="eastAsia" w:hAnsi="宋体"/>
          <w:sz w:val="24"/>
          <w:szCs w:val="22"/>
        </w:rPr>
        <w:t>2．具有良好的商业信誉和健全的财务会计制度；</w:t>
      </w:r>
    </w:p>
    <w:p>
      <w:pPr>
        <w:spacing w:line="360" w:lineRule="auto"/>
        <w:jc w:val="left"/>
        <w:rPr>
          <w:rFonts w:hint="eastAsia" w:hAnsi="宋体"/>
          <w:sz w:val="24"/>
          <w:szCs w:val="22"/>
        </w:rPr>
      </w:pPr>
      <w:r>
        <w:rPr>
          <w:rFonts w:hint="eastAsia" w:hAnsi="宋体"/>
          <w:sz w:val="24"/>
          <w:szCs w:val="22"/>
        </w:rPr>
        <w:t>3．具有履行合同所必</w:t>
      </w:r>
      <w:r>
        <w:rPr>
          <w:rFonts w:hint="eastAsia" w:hAnsi="宋体"/>
          <w:sz w:val="24"/>
          <w:szCs w:val="22"/>
          <w:lang w:eastAsia="zh-CN"/>
        </w:rPr>
        <w:t>需</w:t>
      </w:r>
      <w:r>
        <w:rPr>
          <w:rFonts w:hint="eastAsia" w:hAnsi="宋体"/>
          <w:sz w:val="24"/>
          <w:szCs w:val="22"/>
        </w:rPr>
        <w:t>的设备和专业技术能力；</w:t>
      </w:r>
    </w:p>
    <w:p>
      <w:pPr>
        <w:spacing w:line="360" w:lineRule="auto"/>
        <w:jc w:val="left"/>
        <w:rPr>
          <w:rFonts w:hint="eastAsia" w:hAnsi="宋体"/>
          <w:sz w:val="24"/>
          <w:szCs w:val="22"/>
        </w:rPr>
      </w:pPr>
      <w:r>
        <w:rPr>
          <w:rFonts w:hint="eastAsia" w:hAnsi="宋体"/>
          <w:sz w:val="24"/>
          <w:szCs w:val="22"/>
        </w:rPr>
        <w:t>4．具有依法缴纳税收和社会保障资金的良好记录；</w:t>
      </w:r>
    </w:p>
    <w:p>
      <w:pPr>
        <w:spacing w:line="360" w:lineRule="auto"/>
        <w:jc w:val="left"/>
        <w:rPr>
          <w:rFonts w:hint="eastAsia" w:hAnsi="宋体"/>
          <w:sz w:val="24"/>
          <w:szCs w:val="22"/>
        </w:rPr>
      </w:pPr>
      <w:r>
        <w:rPr>
          <w:rFonts w:hint="eastAsia" w:hAnsi="宋体"/>
          <w:sz w:val="24"/>
          <w:szCs w:val="22"/>
        </w:rPr>
        <w:t>5．参加本次政府采购活动前三年内，在经营活动中没有重大违法记录；</w:t>
      </w:r>
    </w:p>
    <w:p>
      <w:pPr>
        <w:spacing w:line="360" w:lineRule="auto"/>
        <w:jc w:val="left"/>
        <w:rPr>
          <w:rFonts w:hint="eastAsia" w:hAnsi="宋体"/>
          <w:sz w:val="24"/>
          <w:szCs w:val="22"/>
        </w:rPr>
      </w:pPr>
      <w:r>
        <w:rPr>
          <w:rFonts w:hint="eastAsia" w:hAnsi="宋体"/>
          <w:sz w:val="24"/>
          <w:szCs w:val="22"/>
        </w:rPr>
        <w:t>6.法律、行政法规规定的其他条件；</w:t>
      </w:r>
    </w:p>
    <w:p>
      <w:pPr>
        <w:spacing w:line="360" w:lineRule="auto"/>
        <w:jc w:val="left"/>
        <w:rPr>
          <w:rFonts w:hint="eastAsia" w:hAnsi="宋体"/>
          <w:sz w:val="24"/>
          <w:szCs w:val="22"/>
        </w:rPr>
      </w:pPr>
      <w:r>
        <w:rPr>
          <w:rFonts w:hint="eastAsia" w:hAnsi="宋体"/>
          <w:sz w:val="24"/>
          <w:szCs w:val="22"/>
        </w:rPr>
        <w:t>7.本项目</w:t>
      </w:r>
      <w:r>
        <w:rPr>
          <w:rFonts w:hint="eastAsia" w:hAnsi="宋体"/>
          <w:sz w:val="24"/>
          <w:szCs w:val="22"/>
          <w:lang w:eastAsia="zh-CN"/>
        </w:rPr>
        <w:t>不</w:t>
      </w:r>
      <w:r>
        <w:rPr>
          <w:rFonts w:hint="eastAsia" w:hAnsi="宋体"/>
          <w:sz w:val="24"/>
          <w:szCs w:val="22"/>
        </w:rPr>
        <w:t>接受联合体投标。</w:t>
      </w:r>
    </w:p>
    <w:p>
      <w:pPr>
        <w:spacing w:line="360" w:lineRule="auto"/>
        <w:jc w:val="left"/>
        <w:rPr>
          <w:rFonts w:hint="eastAsia" w:hAnsi="宋体"/>
          <w:sz w:val="24"/>
          <w:szCs w:val="22"/>
        </w:rPr>
      </w:pPr>
      <w:r>
        <w:rPr>
          <w:rFonts w:hint="eastAsia" w:ascii="宋体" w:hAnsi="宋体" w:eastAsia="宋体" w:cs="Times New Roman"/>
          <w:sz w:val="24"/>
          <w:szCs w:val="22"/>
          <w:lang w:eastAsia="zh-CN"/>
        </w:rPr>
        <w:t>（二）</w:t>
      </w:r>
      <w:r>
        <w:rPr>
          <w:rFonts w:hint="eastAsia" w:ascii="宋体" w:hAnsi="宋体" w:eastAsia="宋体" w:cs="Times New Roman"/>
          <w:sz w:val="24"/>
          <w:szCs w:val="22"/>
        </w:rPr>
        <w:t>落实政府釆购政策需满足的资格要求：</w:t>
      </w:r>
      <w:r>
        <w:rPr>
          <w:rFonts w:hint="eastAsia" w:ascii="宋体" w:hAnsi="宋体" w:eastAsia="宋体" w:cs="Times New Roman"/>
          <w:i w:val="0"/>
          <w:iCs w:val="0"/>
          <w:caps w:val="0"/>
          <w:spacing w:val="0"/>
          <w:sz w:val="24"/>
          <w:szCs w:val="22"/>
          <w:shd w:val="clear"/>
        </w:rPr>
        <w:t>本项目专门面向中小企业采购(监狱企业、残疾人福利性单位均视同</w:t>
      </w:r>
      <w:r>
        <w:rPr>
          <w:rFonts w:hint="eastAsia" w:ascii="宋体" w:hAnsi="宋体" w:eastAsia="宋体" w:cs="Times New Roman"/>
          <w:i w:val="0"/>
          <w:iCs w:val="0"/>
          <w:caps w:val="0"/>
          <w:spacing w:val="0"/>
          <w:sz w:val="24"/>
          <w:szCs w:val="22"/>
          <w:shd w:val="clear"/>
          <w:lang w:eastAsia="zh-CN"/>
        </w:rPr>
        <w:t>中</w:t>
      </w:r>
      <w:r>
        <w:rPr>
          <w:rFonts w:hint="eastAsia" w:ascii="宋体" w:hAnsi="宋体" w:eastAsia="宋体" w:cs="Times New Roman"/>
          <w:i w:val="0"/>
          <w:iCs w:val="0"/>
          <w:caps w:val="0"/>
          <w:spacing w:val="0"/>
          <w:sz w:val="24"/>
          <w:szCs w:val="22"/>
          <w:shd w:val="clear"/>
        </w:rPr>
        <w:t>小微企业)，非中小企业参与的将视为无效投标</w:t>
      </w:r>
      <w:r>
        <w:rPr>
          <w:rFonts w:hint="eastAsia" w:ascii="宋体" w:hAnsi="宋体" w:eastAsia="宋体" w:cs="Times New Roman"/>
          <w:sz w:val="24"/>
          <w:szCs w:val="22"/>
          <w:lang w:eastAsia="zh-CN"/>
        </w:rPr>
        <w:t>。</w:t>
      </w:r>
    </w:p>
    <w:p>
      <w:pPr>
        <w:spacing w:line="360" w:lineRule="auto"/>
        <w:jc w:val="left"/>
        <w:rPr>
          <w:rFonts w:hint="eastAsia" w:hAnsi="宋体"/>
          <w:sz w:val="24"/>
          <w:szCs w:val="22"/>
        </w:rPr>
      </w:pPr>
      <w:r>
        <w:rPr>
          <w:rFonts w:hint="eastAsia" w:hAnsi="宋体"/>
          <w:sz w:val="24"/>
          <w:szCs w:val="22"/>
          <w:lang w:val="en-US" w:eastAsia="zh-CN"/>
        </w:rPr>
        <w:t>（三）、</w:t>
      </w:r>
      <w:r>
        <w:rPr>
          <w:rFonts w:hint="eastAsia" w:hAnsi="宋体"/>
          <w:sz w:val="24"/>
          <w:szCs w:val="22"/>
        </w:rPr>
        <w:t>本项目的特定资格要求：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8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包件号</w:t>
            </w:r>
          </w:p>
        </w:tc>
        <w:tc>
          <w:tcPr>
            <w:tcW w:w="8454"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包件1</w:t>
            </w:r>
          </w:p>
        </w:tc>
        <w:tc>
          <w:tcPr>
            <w:tcW w:w="8454"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通过全国投资项目在线审批监管平台备案的工程咨询企业且具备电力（含火电、水电、核电、新能源）专业，服务范围包括评估咨询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包件2</w:t>
            </w:r>
          </w:p>
        </w:tc>
        <w:tc>
          <w:tcPr>
            <w:tcW w:w="8454"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通过全国投资项目在线审批监管平台备案的工程咨询企业且具备水利水电专业，服务范围包括评估咨询</w:t>
            </w:r>
          </w:p>
        </w:tc>
      </w:tr>
    </w:tbl>
    <w:p>
      <w:pPr>
        <w:spacing w:line="360" w:lineRule="auto"/>
        <w:jc w:val="left"/>
        <w:rPr>
          <w:rFonts w:hAnsi="宋体"/>
          <w:sz w:val="24"/>
        </w:rPr>
      </w:pPr>
      <w:r>
        <w:rPr>
          <w:rFonts w:hint="eastAsia" w:hAnsi="宋体"/>
          <w:sz w:val="24"/>
        </w:rPr>
        <w:t>二、投标产品的资格、资质性及其他类似效力要求：</w:t>
      </w:r>
    </w:p>
    <w:p>
      <w:pPr>
        <w:spacing w:line="360" w:lineRule="auto"/>
        <w:jc w:val="left"/>
        <w:rPr>
          <w:rFonts w:hAnsi="宋体"/>
          <w:sz w:val="24"/>
          <w:szCs w:val="22"/>
        </w:rPr>
      </w:pPr>
      <w:r>
        <w:rPr>
          <w:rFonts w:hint="eastAsia" w:hAnsi="宋体"/>
          <w:sz w:val="24"/>
          <w:szCs w:val="22"/>
          <w:lang w:bidi="ar"/>
        </w:rPr>
        <w:t>无</w:t>
      </w:r>
      <w:r>
        <w:rPr>
          <w:rFonts w:hint="eastAsia" w:hAnsi="宋体"/>
          <w:sz w:val="24"/>
          <w:szCs w:val="22"/>
        </w:rPr>
        <w:t>。</w:t>
      </w:r>
    </w:p>
    <w:p>
      <w:pPr>
        <w:spacing w:line="360" w:lineRule="auto"/>
        <w:jc w:val="left"/>
        <w:rPr>
          <w:rFonts w:hint="eastAsia" w:hAnsi="宋体"/>
          <w:sz w:val="24"/>
          <w:szCs w:val="22"/>
        </w:rPr>
      </w:pPr>
      <w:r>
        <w:rPr>
          <w:rFonts w:hint="eastAsia" w:hAnsi="宋体"/>
          <w:sz w:val="24"/>
          <w:szCs w:val="22"/>
        </w:rPr>
        <w:t>注：</w:t>
      </w:r>
    </w:p>
    <w:p>
      <w:pPr>
        <w:spacing w:line="360" w:lineRule="auto"/>
        <w:jc w:val="left"/>
        <w:rPr>
          <w:rFonts w:hAnsi="宋体"/>
          <w:sz w:val="24"/>
          <w:szCs w:val="22"/>
        </w:rPr>
      </w:pPr>
      <w:r>
        <w:rPr>
          <w:rFonts w:hint="eastAsia" w:hAnsi="宋体"/>
          <w:sz w:val="24"/>
          <w:szCs w:val="22"/>
        </w:rPr>
        <w:t>1、重大违法记录是指供应商因违法经营受到刑事处罚或者责令停产停业、吊销许可证或者执照、较大数额罚款等行政处罚。</w:t>
      </w:r>
    </w:p>
    <w:p>
      <w:pPr>
        <w:spacing w:line="360" w:lineRule="auto"/>
        <w:jc w:val="left"/>
        <w:rPr>
          <w:rFonts w:hint="eastAsia" w:hAnsi="宋体"/>
          <w:sz w:val="24"/>
          <w:szCs w:val="22"/>
        </w:rPr>
      </w:pPr>
      <w:r>
        <w:rPr>
          <w:rFonts w:hint="eastAsia" w:hAnsi="宋体"/>
          <w:sz w:val="24"/>
          <w:szCs w:val="22"/>
        </w:rPr>
        <w:t>2、</w:t>
      </w:r>
      <w:r>
        <w:rPr>
          <w:rFonts w:hint="eastAsia" w:hAnsi="宋体"/>
          <w:sz w:val="24"/>
          <w:szCs w:val="22"/>
          <w:highlight w:val="none"/>
        </w:rPr>
        <w:t>本项目确定供应商重大违法记录中较大数额罚款的金额标准为：对在经营活动中的违法行为处以罚款或者没收财产5万元以上。</w:t>
      </w:r>
    </w:p>
    <w:p>
      <w:pPr>
        <w:spacing w:line="360" w:lineRule="auto"/>
        <w:jc w:val="left"/>
        <w:rPr>
          <w:rFonts w:hAnsi="宋体"/>
          <w:sz w:val="24"/>
        </w:rPr>
      </w:pPr>
      <w:r>
        <w:rPr>
          <w:rFonts w:hint="eastAsia" w:hAnsi="宋体"/>
          <w:sz w:val="24"/>
          <w:szCs w:val="22"/>
        </w:rPr>
        <w:t>3、供应商在参加政府采购活动前，被纳入法院、工商行政管理部门、税务部门、银行认定的失信名</w:t>
      </w:r>
      <w:r>
        <w:rPr>
          <w:rFonts w:hint="eastAsia" w:hAnsi="宋体"/>
          <w:sz w:val="24"/>
        </w:rPr>
        <w:t>单且在有效期内，或者在前三年政府采购合同履约过程中及其他经营活动履约过程中未依法履约被有关行政部门处罚（处理）的，本项目不认定其具有良好的商业信誉。</w:t>
      </w:r>
    </w:p>
    <w:p>
      <w:pPr>
        <w:pStyle w:val="61"/>
        <w:rPr>
          <w:color w:val="auto"/>
        </w:rPr>
      </w:pPr>
    </w:p>
    <w:p>
      <w:pPr>
        <w:spacing w:line="240" w:lineRule="auto"/>
        <w:jc w:val="center"/>
        <w:outlineLvl w:val="9"/>
        <w:rPr>
          <w:rFonts w:hAnsi="宋体"/>
          <w:sz w:val="36"/>
          <w:szCs w:val="36"/>
        </w:rPr>
      </w:pPr>
      <w:bookmarkStart w:id="215" w:name="_Toc510520086"/>
      <w:bookmarkStart w:id="216" w:name="_Toc14191"/>
      <w:bookmarkStart w:id="217" w:name="_Toc12466"/>
      <w:bookmarkStart w:id="218" w:name="_Toc27124"/>
      <w:bookmarkStart w:id="219" w:name="_Toc3252"/>
      <w:bookmarkStart w:id="220" w:name="_Toc2232"/>
      <w:bookmarkStart w:id="221" w:name="_Toc5714"/>
      <w:bookmarkStart w:id="222" w:name="_Toc29598"/>
      <w:r>
        <w:rPr>
          <w:rFonts w:hint="eastAsia" w:hAnsi="宋体"/>
          <w:sz w:val="36"/>
          <w:szCs w:val="36"/>
        </w:rPr>
        <w:t>第五章 投标人应当提供的资格、资质性及其他类似效力要求的相关证明材料</w:t>
      </w:r>
      <w:bookmarkEnd w:id="215"/>
      <w:bookmarkEnd w:id="216"/>
      <w:bookmarkEnd w:id="217"/>
      <w:bookmarkEnd w:id="218"/>
      <w:bookmarkEnd w:id="219"/>
      <w:bookmarkEnd w:id="220"/>
      <w:bookmarkEnd w:id="221"/>
      <w:bookmarkEnd w:id="222"/>
    </w:p>
    <w:p>
      <w:pPr>
        <w:pStyle w:val="61"/>
        <w:rPr>
          <w:color w:val="auto"/>
        </w:rPr>
      </w:pPr>
    </w:p>
    <w:p>
      <w:pPr>
        <w:spacing w:line="420" w:lineRule="exact"/>
        <w:jc w:val="left"/>
        <w:rPr>
          <w:rFonts w:hAnsi="宋体"/>
          <w:sz w:val="24"/>
        </w:rPr>
      </w:pPr>
      <w:r>
        <w:rPr>
          <w:rFonts w:hint="eastAsia" w:hAnsi="宋体"/>
          <w:sz w:val="24"/>
        </w:rPr>
        <w:t>一、应当提供的投标人资格、资质性及其他类似效力要求的相关证明材料</w:t>
      </w:r>
    </w:p>
    <w:p>
      <w:pPr>
        <w:spacing w:line="420" w:lineRule="exact"/>
        <w:jc w:val="left"/>
        <w:rPr>
          <w:rFonts w:hAnsi="宋体"/>
          <w:sz w:val="24"/>
        </w:rPr>
      </w:pPr>
      <w:r>
        <w:rPr>
          <w:rFonts w:hint="eastAsia" w:hAnsi="宋体"/>
          <w:sz w:val="24"/>
        </w:rPr>
        <w:t>（一）《中华人民共和国政府采购法》第二十二条第一款第（一）至（五）规定的条件：</w:t>
      </w:r>
    </w:p>
    <w:p>
      <w:pPr>
        <w:spacing w:line="420" w:lineRule="exact"/>
        <w:jc w:val="left"/>
        <w:rPr>
          <w:rFonts w:hAnsi="宋体"/>
          <w:sz w:val="24"/>
        </w:rPr>
      </w:pPr>
      <w:r>
        <w:rPr>
          <w:rFonts w:hAnsi="宋体"/>
          <w:sz w:val="24"/>
        </w:rPr>
        <w:t xml:space="preserve">1. </w:t>
      </w:r>
      <w:r>
        <w:rPr>
          <w:rFonts w:hint="eastAsia" w:hAnsi="宋体"/>
          <w:sz w:val="24"/>
        </w:rPr>
        <w:t>具有独立承担民事责任的能力：</w:t>
      </w:r>
    </w:p>
    <w:p>
      <w:pPr>
        <w:spacing w:line="420" w:lineRule="exact"/>
        <w:jc w:val="left"/>
        <w:rPr>
          <w:rFonts w:hAnsi="宋体"/>
          <w:sz w:val="24"/>
        </w:rPr>
      </w:pPr>
      <w:r>
        <w:rPr>
          <w:rFonts w:hint="eastAsia" w:hAnsi="宋体"/>
          <w:sz w:val="24"/>
        </w:rPr>
        <w:t>注：①供应商若为企业法人：提供</w:t>
      </w:r>
      <w:r>
        <w:rPr>
          <w:rFonts w:hAnsi="宋体"/>
          <w:sz w:val="24"/>
        </w:rPr>
        <w:t>“</w:t>
      </w:r>
      <w:r>
        <w:rPr>
          <w:rFonts w:hint="eastAsia" w:hAnsi="宋体"/>
          <w:sz w:val="24"/>
        </w:rPr>
        <w:t>统一社会信用代码营业执照</w:t>
      </w:r>
      <w:r>
        <w:rPr>
          <w:rFonts w:hAnsi="宋体"/>
          <w:sz w:val="24"/>
        </w:rPr>
        <w:t>”</w:t>
      </w:r>
      <w:r>
        <w:rPr>
          <w:rFonts w:hint="eastAsia" w:hAnsi="宋体"/>
          <w:sz w:val="24"/>
        </w:rPr>
        <w:t>；未换证的提供</w:t>
      </w:r>
      <w:r>
        <w:rPr>
          <w:rFonts w:hAnsi="宋体"/>
          <w:sz w:val="24"/>
        </w:rPr>
        <w:t>“</w:t>
      </w:r>
      <w:r>
        <w:rPr>
          <w:rFonts w:hint="eastAsia" w:hAnsi="宋体"/>
          <w:sz w:val="24"/>
        </w:rPr>
        <w:t>营业执照、税务登记证、组织机构代码证</w:t>
      </w:r>
      <w:r>
        <w:rPr>
          <w:rFonts w:hAnsi="宋体"/>
          <w:sz w:val="24"/>
        </w:rPr>
        <w:t>”</w:t>
      </w:r>
      <w:r>
        <w:rPr>
          <w:rFonts w:hint="eastAsia" w:hAnsi="宋体"/>
          <w:sz w:val="24"/>
        </w:rPr>
        <w:t>；②若为事业法人：提供</w:t>
      </w:r>
      <w:r>
        <w:rPr>
          <w:rFonts w:hAnsi="宋体"/>
          <w:sz w:val="24"/>
        </w:rPr>
        <w:t>“</w:t>
      </w:r>
      <w:r>
        <w:rPr>
          <w:rFonts w:hint="eastAsia" w:hAnsi="宋体"/>
          <w:sz w:val="24"/>
        </w:rPr>
        <w:t>统一社会信用代码法人登记证书</w:t>
      </w:r>
      <w:r>
        <w:rPr>
          <w:rFonts w:hAnsi="宋体"/>
          <w:sz w:val="24"/>
        </w:rPr>
        <w:t>”</w:t>
      </w:r>
      <w:r>
        <w:rPr>
          <w:rFonts w:hint="eastAsia" w:hAnsi="宋体"/>
          <w:sz w:val="24"/>
        </w:rPr>
        <w:t>；未换证的提交</w:t>
      </w:r>
      <w:r>
        <w:rPr>
          <w:rFonts w:hAnsi="宋体"/>
          <w:sz w:val="24"/>
        </w:rPr>
        <w:t>“</w:t>
      </w:r>
      <w:r>
        <w:rPr>
          <w:rFonts w:hint="eastAsia" w:hAnsi="宋体"/>
          <w:sz w:val="24"/>
        </w:rPr>
        <w:t>事业法人登记证书、组织机构代码证</w:t>
      </w:r>
      <w:r>
        <w:rPr>
          <w:rFonts w:hAnsi="宋体"/>
          <w:sz w:val="24"/>
        </w:rPr>
        <w:t>”</w:t>
      </w:r>
      <w:r>
        <w:rPr>
          <w:rFonts w:hint="eastAsia" w:hAnsi="宋体"/>
          <w:sz w:val="24"/>
        </w:rPr>
        <w:t>；③若为其他组织：提供</w:t>
      </w:r>
      <w:r>
        <w:rPr>
          <w:rFonts w:hAnsi="宋体"/>
          <w:sz w:val="24"/>
        </w:rPr>
        <w:t>“</w:t>
      </w:r>
      <w:r>
        <w:rPr>
          <w:rFonts w:hint="eastAsia" w:hAnsi="宋体"/>
          <w:sz w:val="24"/>
        </w:rPr>
        <w:t>对应主管部门颁发的准许执业证明文件或营业执照</w:t>
      </w:r>
      <w:r>
        <w:rPr>
          <w:rFonts w:hAnsi="宋体"/>
          <w:sz w:val="24"/>
        </w:rPr>
        <w:t>”</w:t>
      </w:r>
      <w:r>
        <w:rPr>
          <w:rFonts w:hint="eastAsia" w:hAnsi="宋体"/>
          <w:sz w:val="24"/>
        </w:rPr>
        <w:t>；④若为自然人：提供</w:t>
      </w:r>
      <w:r>
        <w:rPr>
          <w:rFonts w:hAnsi="宋体"/>
          <w:sz w:val="24"/>
        </w:rPr>
        <w:t>“</w:t>
      </w:r>
      <w:r>
        <w:rPr>
          <w:rFonts w:hint="eastAsia" w:hAnsi="宋体"/>
          <w:sz w:val="24"/>
        </w:rPr>
        <w:t>身份证明文件</w:t>
      </w:r>
      <w:r>
        <w:rPr>
          <w:rFonts w:hAnsi="宋体"/>
          <w:sz w:val="24"/>
        </w:rPr>
        <w:t>”</w:t>
      </w:r>
      <w:r>
        <w:rPr>
          <w:rFonts w:hint="eastAsia" w:hAnsi="宋体"/>
          <w:sz w:val="24"/>
        </w:rPr>
        <w:t>。以上均提供复印件</w:t>
      </w:r>
    </w:p>
    <w:p>
      <w:pPr>
        <w:autoSpaceDE w:val="0"/>
        <w:autoSpaceDN w:val="0"/>
        <w:adjustRightInd w:val="0"/>
        <w:spacing w:line="420" w:lineRule="exact"/>
        <w:jc w:val="left"/>
        <w:rPr>
          <w:rFonts w:hint="eastAsia" w:hAnsi="宋体"/>
          <w:sz w:val="24"/>
          <w:szCs w:val="21"/>
        </w:rPr>
      </w:pPr>
    </w:p>
    <w:p>
      <w:pPr>
        <w:autoSpaceDE w:val="0"/>
        <w:autoSpaceDN w:val="0"/>
        <w:adjustRightInd w:val="0"/>
        <w:spacing w:line="420" w:lineRule="exact"/>
        <w:jc w:val="left"/>
        <w:rPr>
          <w:rFonts w:hAnsi="宋体"/>
          <w:sz w:val="24"/>
          <w:szCs w:val="21"/>
        </w:rPr>
      </w:pPr>
      <w:r>
        <w:rPr>
          <w:rFonts w:hint="eastAsia" w:hAnsi="宋体"/>
          <w:sz w:val="24"/>
          <w:szCs w:val="21"/>
        </w:rPr>
        <w:t>2.具有良好的商业信誉和健全的财务会计制度提供以下证明材料：</w:t>
      </w:r>
    </w:p>
    <w:p>
      <w:pPr>
        <w:spacing w:line="420" w:lineRule="exact"/>
        <w:jc w:val="left"/>
        <w:rPr>
          <w:rFonts w:hAnsi="宋体"/>
          <w:sz w:val="24"/>
        </w:rPr>
      </w:pPr>
      <w:r>
        <w:rPr>
          <w:rFonts w:hint="eastAsia" w:hAnsi="宋体"/>
          <w:sz w:val="24"/>
        </w:rPr>
        <w:t>（</w:t>
      </w:r>
      <w:r>
        <w:rPr>
          <w:rFonts w:hAnsi="宋体"/>
          <w:sz w:val="24"/>
        </w:rPr>
        <w:t>1）具备健全的财务</w:t>
      </w:r>
      <w:r>
        <w:rPr>
          <w:rFonts w:hint="eastAsia" w:hAnsi="宋体"/>
          <w:sz w:val="24"/>
          <w:szCs w:val="22"/>
        </w:rPr>
        <w:t>会计制度的证明材料。注：①可提供</w:t>
      </w:r>
      <w:r>
        <w:rPr>
          <w:rFonts w:hAnsi="宋体"/>
          <w:sz w:val="24"/>
          <w:szCs w:val="22"/>
        </w:rPr>
        <w:t>201</w:t>
      </w:r>
      <w:r>
        <w:rPr>
          <w:rFonts w:hint="eastAsia" w:hAnsi="宋体"/>
          <w:sz w:val="24"/>
          <w:szCs w:val="22"/>
          <w:lang w:val="en-US" w:eastAsia="zh-CN"/>
        </w:rPr>
        <w:t>9年</w:t>
      </w:r>
      <w:r>
        <w:rPr>
          <w:rFonts w:hAnsi="宋体"/>
          <w:sz w:val="24"/>
          <w:szCs w:val="22"/>
        </w:rPr>
        <w:t>或20</w:t>
      </w:r>
      <w:r>
        <w:rPr>
          <w:rFonts w:hint="eastAsia" w:hAnsi="宋体"/>
          <w:sz w:val="24"/>
          <w:szCs w:val="22"/>
          <w:lang w:val="en-US" w:eastAsia="zh-CN"/>
        </w:rPr>
        <w:t>20</w:t>
      </w:r>
      <w:r>
        <w:rPr>
          <w:rFonts w:hAnsi="宋体"/>
          <w:sz w:val="24"/>
          <w:szCs w:val="22"/>
        </w:rPr>
        <w:t>年</w:t>
      </w:r>
      <w:r>
        <w:rPr>
          <w:rFonts w:hint="eastAsia" w:hAnsi="宋体"/>
          <w:sz w:val="24"/>
          <w:szCs w:val="22"/>
          <w:lang w:eastAsia="zh-CN"/>
        </w:rPr>
        <w:t>或</w:t>
      </w:r>
      <w:r>
        <w:rPr>
          <w:rFonts w:hint="eastAsia" w:hAnsi="宋体"/>
          <w:sz w:val="24"/>
          <w:szCs w:val="22"/>
          <w:lang w:val="en-US" w:eastAsia="zh-CN"/>
        </w:rPr>
        <w:t>2021年任一年度</w:t>
      </w:r>
      <w:r>
        <w:rPr>
          <w:rFonts w:hAnsi="宋体"/>
          <w:sz w:val="24"/>
          <w:szCs w:val="22"/>
        </w:rPr>
        <w:t>经审计的财务报告复印件（包含审计报告和审计报告中所涉及的财务报表和报表附注），②可提供截至响应文件递交截止日一年内银行出具的资信证明（复印件），③供应商注册时间截至响应文件递交截止日不足一年的，也可提供加盖工商备案主管部门印章的公司章程复印件</w:t>
      </w:r>
      <w:r>
        <w:rPr>
          <w:rFonts w:hint="eastAsia" w:hAnsi="宋体"/>
          <w:sz w:val="24"/>
        </w:rPr>
        <w:t>或提供“健全的财务会计制度”承诺书【格式自拟】</w:t>
      </w:r>
      <w:r>
        <w:rPr>
          <w:rFonts w:hint="eastAsia" w:hAnsi="宋体"/>
          <w:sz w:val="24"/>
          <w:lang w:eastAsia="zh-CN"/>
        </w:rPr>
        <w:t>，也可提供供应商内部财务报表（至少包含资产负债表）</w:t>
      </w:r>
      <w:r>
        <w:rPr>
          <w:rFonts w:hint="eastAsia" w:hAnsi="宋体"/>
          <w:sz w:val="24"/>
          <w:szCs w:val="22"/>
        </w:rPr>
        <w:t>。不得要求提供证明财务报告中签字签章人或者第三方机构的身份证明、财务报告中数据信息真实性有效性的证明材料</w:t>
      </w:r>
      <w:r>
        <w:rPr>
          <w:rFonts w:hint="eastAsia" w:hAnsi="宋体"/>
          <w:sz w:val="24"/>
        </w:rPr>
        <w:t>。</w:t>
      </w:r>
    </w:p>
    <w:p>
      <w:pPr>
        <w:spacing w:line="420" w:lineRule="exact"/>
        <w:jc w:val="left"/>
        <w:rPr>
          <w:rFonts w:hAnsi="宋体"/>
          <w:sz w:val="24"/>
        </w:rPr>
      </w:pPr>
      <w:r>
        <w:rPr>
          <w:rFonts w:hint="eastAsia" w:hAnsi="宋体"/>
          <w:sz w:val="24"/>
        </w:rPr>
        <w:t>（</w:t>
      </w:r>
      <w:r>
        <w:rPr>
          <w:rFonts w:hAnsi="宋体"/>
          <w:sz w:val="24"/>
        </w:rPr>
        <w:t>2）具有良好商业信誉的证明材料。提供“良好的商业信誉”承诺书【格式自拟】。</w:t>
      </w:r>
    </w:p>
    <w:p>
      <w:pPr>
        <w:spacing w:line="420" w:lineRule="exact"/>
        <w:jc w:val="left"/>
        <w:rPr>
          <w:rFonts w:hAnsi="宋体"/>
          <w:sz w:val="24"/>
        </w:rPr>
      </w:pPr>
    </w:p>
    <w:p>
      <w:pPr>
        <w:spacing w:line="420" w:lineRule="exact"/>
        <w:jc w:val="left"/>
        <w:rPr>
          <w:rFonts w:hAnsi="宋体"/>
          <w:sz w:val="24"/>
        </w:rPr>
      </w:pPr>
      <w:r>
        <w:rPr>
          <w:rFonts w:hAnsi="宋体"/>
          <w:sz w:val="24"/>
        </w:rPr>
        <w:t>3.具有履行合同所必</w:t>
      </w:r>
      <w:r>
        <w:rPr>
          <w:rFonts w:hint="eastAsia" w:hAnsi="宋体"/>
          <w:sz w:val="24"/>
          <w:lang w:eastAsia="zh-CN"/>
        </w:rPr>
        <w:t>需</w:t>
      </w:r>
      <w:r>
        <w:rPr>
          <w:rFonts w:hAnsi="宋体"/>
          <w:sz w:val="24"/>
        </w:rPr>
        <w:t>的设备和专业技术能力的证明材料：</w:t>
      </w:r>
    </w:p>
    <w:p>
      <w:pPr>
        <w:spacing w:line="420" w:lineRule="exact"/>
        <w:jc w:val="left"/>
        <w:rPr>
          <w:rFonts w:hAnsi="宋体"/>
          <w:sz w:val="24"/>
        </w:rPr>
      </w:pPr>
      <w:r>
        <w:rPr>
          <w:rFonts w:hint="eastAsia" w:hAnsi="宋体"/>
          <w:sz w:val="24"/>
        </w:rPr>
        <w:t>（</w:t>
      </w:r>
      <w:r>
        <w:rPr>
          <w:rFonts w:hAnsi="宋体"/>
          <w:sz w:val="24"/>
        </w:rPr>
        <w:t>1）供应商提供承诺函。</w:t>
      </w:r>
    </w:p>
    <w:p>
      <w:pPr>
        <w:spacing w:line="420" w:lineRule="exact"/>
        <w:jc w:val="left"/>
        <w:rPr>
          <w:rFonts w:hAnsi="宋体"/>
          <w:sz w:val="24"/>
        </w:rPr>
      </w:pPr>
    </w:p>
    <w:p>
      <w:pPr>
        <w:spacing w:line="420" w:lineRule="exact"/>
        <w:jc w:val="left"/>
        <w:rPr>
          <w:rFonts w:hAnsi="宋体"/>
          <w:sz w:val="24"/>
        </w:rPr>
      </w:pPr>
      <w:r>
        <w:rPr>
          <w:rFonts w:hAnsi="宋体"/>
          <w:sz w:val="24"/>
        </w:rPr>
        <w:t>4.有依法缴纳税收和社会保障资金的良好记录：</w:t>
      </w:r>
    </w:p>
    <w:p>
      <w:pPr>
        <w:spacing w:line="420" w:lineRule="exact"/>
        <w:jc w:val="left"/>
        <w:rPr>
          <w:rFonts w:hAnsi="宋体"/>
          <w:sz w:val="24"/>
        </w:rPr>
      </w:pPr>
      <w:r>
        <w:rPr>
          <w:rFonts w:hAnsi="宋体"/>
          <w:sz w:val="24"/>
        </w:rPr>
        <w:t>(1)缴纳税收证明材料：</w:t>
      </w:r>
    </w:p>
    <w:p>
      <w:pPr>
        <w:spacing w:line="420" w:lineRule="exact"/>
        <w:jc w:val="left"/>
        <w:rPr>
          <w:rFonts w:hAnsi="宋体"/>
          <w:sz w:val="24"/>
        </w:rPr>
      </w:pPr>
      <w:r>
        <w:rPr>
          <w:rFonts w:hint="eastAsia" w:hAnsi="宋体"/>
          <w:sz w:val="24"/>
        </w:rPr>
        <w:t>投标人提供</w:t>
      </w:r>
      <w:r>
        <w:rPr>
          <w:rFonts w:hAnsi="宋体"/>
          <w:sz w:val="24"/>
        </w:rPr>
        <w:t>2020年1月1日以来任意一月缴纳税收的银行电子回单或者税务部门出具的纳税证明或完税证明（注：复印件加盖公章）。</w:t>
      </w:r>
    </w:p>
    <w:p>
      <w:pPr>
        <w:spacing w:line="420" w:lineRule="exact"/>
        <w:jc w:val="left"/>
        <w:rPr>
          <w:rFonts w:hAnsi="宋体"/>
          <w:sz w:val="24"/>
        </w:rPr>
      </w:pPr>
      <w:r>
        <w:rPr>
          <w:rFonts w:hAnsi="宋体"/>
          <w:sz w:val="24"/>
        </w:rPr>
        <w:t>(2)缴纳社会保障资金：</w:t>
      </w:r>
    </w:p>
    <w:p>
      <w:pPr>
        <w:spacing w:line="420" w:lineRule="exact"/>
        <w:jc w:val="left"/>
        <w:rPr>
          <w:rFonts w:hAnsi="宋体"/>
          <w:sz w:val="24"/>
        </w:rPr>
      </w:pPr>
      <w:r>
        <w:rPr>
          <w:rFonts w:hint="eastAsia" w:hAnsi="宋体"/>
          <w:sz w:val="24"/>
        </w:rPr>
        <w:t>投标人提供</w:t>
      </w:r>
      <w:r>
        <w:rPr>
          <w:rFonts w:hAnsi="宋体"/>
          <w:sz w:val="24"/>
        </w:rPr>
        <w:t>2020年1月1日以来任意一月社保缴纳的证明材料（注：1.缴纳的银行电子回单或以社保</w:t>
      </w:r>
      <w:r>
        <w:rPr>
          <w:rFonts w:hint="eastAsia" w:hAnsi="宋体"/>
          <w:sz w:val="24"/>
          <w:lang w:eastAsia="zh-CN"/>
        </w:rPr>
        <w:t>或税务</w:t>
      </w:r>
      <w:r>
        <w:rPr>
          <w:rFonts w:hAnsi="宋体"/>
          <w:sz w:val="24"/>
        </w:rPr>
        <w:t>部门出具的社保证明为准；2.复印件）。</w:t>
      </w:r>
    </w:p>
    <w:p>
      <w:pPr>
        <w:spacing w:line="420" w:lineRule="exact"/>
        <w:jc w:val="left"/>
        <w:rPr>
          <w:rFonts w:hAnsi="宋体"/>
          <w:sz w:val="24"/>
        </w:rPr>
      </w:pPr>
    </w:p>
    <w:p>
      <w:pPr>
        <w:spacing w:line="420" w:lineRule="exact"/>
        <w:jc w:val="left"/>
        <w:rPr>
          <w:rFonts w:hAnsi="宋体"/>
          <w:sz w:val="24"/>
        </w:rPr>
      </w:pPr>
      <w:r>
        <w:rPr>
          <w:rFonts w:hAnsi="宋体"/>
          <w:sz w:val="24"/>
        </w:rPr>
        <w:t>5.参加政府采购活动前三年内，在经营活动中没有重大违法记录提供以下证明材料：提供承诺函。</w:t>
      </w:r>
    </w:p>
    <w:p>
      <w:pPr>
        <w:spacing w:line="420" w:lineRule="exact"/>
        <w:jc w:val="left"/>
        <w:rPr>
          <w:rFonts w:hAnsi="宋体"/>
          <w:sz w:val="24"/>
        </w:rPr>
      </w:pPr>
    </w:p>
    <w:p>
      <w:pPr>
        <w:numPr>
          <w:ilvl w:val="0"/>
          <w:numId w:val="6"/>
        </w:numPr>
        <w:spacing w:line="420" w:lineRule="exact"/>
        <w:jc w:val="left"/>
        <w:rPr>
          <w:rFonts w:hint="default" w:hAnsi="宋体"/>
          <w:sz w:val="24"/>
          <w:szCs w:val="20"/>
          <w:lang w:eastAsia="zh-CN"/>
        </w:rPr>
      </w:pPr>
      <w:r>
        <w:rPr>
          <w:rFonts w:hAnsi="宋体"/>
          <w:sz w:val="24"/>
        </w:rPr>
        <w:t>法律、行政法规规定的</w:t>
      </w:r>
      <w:r>
        <w:rPr>
          <w:rFonts w:hAnsi="宋体"/>
          <w:sz w:val="24"/>
          <w:szCs w:val="20"/>
        </w:rPr>
        <w:t>其他条件：</w:t>
      </w:r>
      <w:r>
        <w:rPr>
          <w:rFonts w:hint="default" w:hAnsi="宋体"/>
          <w:sz w:val="24"/>
          <w:szCs w:val="20"/>
          <w:lang w:eastAsia="zh-CN"/>
        </w:rPr>
        <w:t>无。</w:t>
      </w:r>
    </w:p>
    <w:p>
      <w:pPr>
        <w:numPr>
          <w:ilvl w:val="-1"/>
          <w:numId w:val="0"/>
        </w:numPr>
        <w:spacing w:line="420" w:lineRule="exact"/>
        <w:rPr>
          <w:rFonts w:hint="default" w:hAnsi="宋体"/>
          <w:sz w:val="24"/>
          <w:lang w:eastAsia="zh-CN"/>
        </w:rPr>
      </w:pPr>
    </w:p>
    <w:p>
      <w:pPr>
        <w:numPr>
          <w:ilvl w:val="0"/>
          <w:numId w:val="6"/>
        </w:numPr>
        <w:spacing w:line="420" w:lineRule="exact"/>
        <w:jc w:val="left"/>
        <w:rPr>
          <w:rFonts w:hint="default" w:hAnsi="宋体"/>
          <w:sz w:val="24"/>
          <w:szCs w:val="20"/>
          <w:lang w:val="en-US" w:eastAsia="zh-CN"/>
        </w:rPr>
      </w:pPr>
      <w:r>
        <w:rPr>
          <w:rFonts w:hint="default" w:ascii="宋体" w:hAnsi="宋体" w:eastAsia="宋体" w:cs="Times New Roman"/>
          <w:sz w:val="24"/>
          <w:szCs w:val="20"/>
        </w:rPr>
        <w:t>落实政府釆购政策需满足的资格要求：</w:t>
      </w:r>
      <w:r>
        <w:rPr>
          <w:rFonts w:hint="default" w:ascii="宋体" w:hAnsi="宋体" w:eastAsia="宋体" w:cs="Times New Roman"/>
          <w:i w:val="0"/>
          <w:iCs w:val="0"/>
          <w:caps w:val="0"/>
          <w:spacing w:val="0"/>
          <w:sz w:val="24"/>
          <w:szCs w:val="20"/>
          <w:shd w:val="clear"/>
        </w:rPr>
        <w:t>本项目专门面向中小企业采购(监狱企业、残疾人福利性单位均视同</w:t>
      </w:r>
      <w:r>
        <w:rPr>
          <w:rFonts w:hint="default" w:ascii="宋体" w:hAnsi="宋体" w:eastAsia="宋体" w:cs="Times New Roman"/>
          <w:i w:val="0"/>
          <w:iCs w:val="0"/>
          <w:caps w:val="0"/>
          <w:spacing w:val="0"/>
          <w:sz w:val="24"/>
          <w:szCs w:val="20"/>
          <w:shd w:val="clear"/>
          <w:lang w:eastAsia="zh-CN"/>
        </w:rPr>
        <w:t>中</w:t>
      </w:r>
      <w:r>
        <w:rPr>
          <w:rFonts w:hint="default" w:ascii="宋体" w:hAnsi="宋体" w:eastAsia="宋体" w:cs="Times New Roman"/>
          <w:i w:val="0"/>
          <w:iCs w:val="0"/>
          <w:caps w:val="0"/>
          <w:spacing w:val="0"/>
          <w:sz w:val="24"/>
          <w:szCs w:val="20"/>
          <w:shd w:val="clear"/>
        </w:rPr>
        <w:t>小微企业)，非中小企业参与的将视为无效投标</w:t>
      </w:r>
      <w:r>
        <w:rPr>
          <w:rFonts w:hint="default" w:hAnsi="宋体" w:cs="Times New Roman"/>
          <w:i w:val="0"/>
          <w:iCs w:val="0"/>
          <w:caps w:val="0"/>
          <w:spacing w:val="0"/>
          <w:sz w:val="24"/>
          <w:szCs w:val="20"/>
          <w:shd w:val="clear"/>
          <w:lang w:eastAsia="zh-CN"/>
        </w:rPr>
        <w:t>。供应商提供</w:t>
      </w:r>
      <w:r>
        <w:rPr>
          <w:rFonts w:hint="default" w:hAnsi="宋体"/>
          <w:b w:val="0"/>
          <w:sz w:val="24"/>
          <w:szCs w:val="20"/>
        </w:rPr>
        <w:t>中小企业声明函</w:t>
      </w:r>
      <w:r>
        <w:rPr>
          <w:rFonts w:hint="default" w:hAnsi="宋体"/>
          <w:b w:val="0"/>
          <w:sz w:val="24"/>
          <w:szCs w:val="20"/>
          <w:lang w:eastAsia="zh-CN"/>
        </w:rPr>
        <w:t>或</w:t>
      </w:r>
      <w:r>
        <w:rPr>
          <w:rFonts w:hint="default" w:hAnsi="宋体"/>
          <w:b w:val="0"/>
          <w:sz w:val="24"/>
          <w:szCs w:val="20"/>
        </w:rPr>
        <w:t>残疾人福利性单位声明函</w:t>
      </w:r>
      <w:r>
        <w:rPr>
          <w:rFonts w:hint="default" w:hAnsi="宋体"/>
          <w:b w:val="0"/>
          <w:sz w:val="24"/>
          <w:szCs w:val="20"/>
          <w:lang w:eastAsia="zh-CN"/>
        </w:rPr>
        <w:t>或</w:t>
      </w:r>
      <w:r>
        <w:rPr>
          <w:rFonts w:hint="default" w:hAnsi="宋体"/>
          <w:b w:val="0"/>
          <w:sz w:val="24"/>
          <w:szCs w:val="20"/>
        </w:rPr>
        <w:t>监狱企业单位相关证明材料</w:t>
      </w:r>
      <w:r>
        <w:rPr>
          <w:rFonts w:hint="default" w:hAnsi="宋体"/>
          <w:b w:val="0"/>
          <w:sz w:val="24"/>
          <w:szCs w:val="20"/>
          <w:lang w:eastAsia="zh-CN"/>
        </w:rPr>
        <w:t>。</w:t>
      </w:r>
    </w:p>
    <w:p>
      <w:pPr>
        <w:numPr>
          <w:ilvl w:val="-1"/>
          <w:numId w:val="0"/>
        </w:numPr>
        <w:spacing w:line="420" w:lineRule="exact"/>
        <w:jc w:val="left"/>
        <w:rPr>
          <w:rFonts w:hint="default" w:hAnsi="宋体"/>
          <w:sz w:val="24"/>
          <w:szCs w:val="20"/>
          <w:lang w:val="en-US" w:eastAsia="zh-CN"/>
        </w:rPr>
      </w:pPr>
    </w:p>
    <w:p>
      <w:pPr>
        <w:numPr>
          <w:ilvl w:val="0"/>
          <w:numId w:val="6"/>
        </w:numPr>
        <w:spacing w:line="420" w:lineRule="exact"/>
        <w:jc w:val="left"/>
        <w:rPr>
          <w:rFonts w:hint="default" w:hAnsi="宋体"/>
          <w:sz w:val="24"/>
          <w:szCs w:val="20"/>
          <w:lang w:val="en-US" w:eastAsia="zh-CN"/>
        </w:rPr>
      </w:pPr>
      <w:r>
        <w:rPr>
          <w:rFonts w:hint="default" w:hAnsi="宋体"/>
          <w:sz w:val="24"/>
          <w:szCs w:val="20"/>
          <w:lang w:val="en-US" w:eastAsia="zh-CN"/>
        </w:rPr>
        <w:t>根据项目提出的特定资格要求的证明文件：</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5758"/>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包件号</w:t>
            </w:r>
          </w:p>
        </w:tc>
        <w:tc>
          <w:tcPr>
            <w:tcW w:w="5758"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资格要求</w:t>
            </w:r>
          </w:p>
        </w:tc>
        <w:tc>
          <w:tcPr>
            <w:tcW w:w="269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包件1</w:t>
            </w:r>
          </w:p>
        </w:tc>
        <w:tc>
          <w:tcPr>
            <w:tcW w:w="5758"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通过全国投资项目在线审批监管平台备案的工程咨询企业且具备电力（含火电、水电、核电、新能源）专业，服务范围包括评估咨询</w:t>
            </w:r>
          </w:p>
        </w:tc>
        <w:tc>
          <w:tcPr>
            <w:tcW w:w="2696" w:type="dxa"/>
            <w:vMerge w:val="restart"/>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供应商通过“全国投资项目在线审批监管平台”系统打印的工程咨询单位备案文件或提供全国投资项目在线审批监管平台工程咨询单位名录网页查询截图（截图应体现供应商单位名称，专业和服务范围等供资格审查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包件2</w:t>
            </w:r>
          </w:p>
        </w:tc>
        <w:tc>
          <w:tcPr>
            <w:tcW w:w="5758"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通过全国投资项目在线审批监管平台备案的工程咨询企业且具备水利水电专业，服务范围包括评估咨询</w:t>
            </w:r>
          </w:p>
        </w:tc>
        <w:tc>
          <w:tcPr>
            <w:tcW w:w="2696" w:type="dxa"/>
            <w:vMerge w:val="continue"/>
            <w:vAlign w:val="center"/>
          </w:tcPr>
          <w:p>
            <w:pPr>
              <w:rPr>
                <w:rFonts w:hint="eastAsia" w:asciiTheme="minorEastAsia" w:hAnsiTheme="minorEastAsia" w:eastAsiaTheme="minorEastAsia" w:cstheme="minorEastAsia"/>
                <w:sz w:val="21"/>
                <w:szCs w:val="21"/>
                <w:lang w:val="en-US" w:eastAsia="zh-CN"/>
              </w:rPr>
            </w:pPr>
          </w:p>
        </w:tc>
      </w:tr>
    </w:tbl>
    <w:p>
      <w:pPr>
        <w:spacing w:line="430" w:lineRule="exact"/>
        <w:jc w:val="left"/>
        <w:rPr>
          <w:rFonts w:hAnsi="宋体"/>
          <w:sz w:val="24"/>
        </w:rPr>
      </w:pPr>
      <w:r>
        <w:rPr>
          <w:rFonts w:hint="eastAsia" w:hAnsi="宋体"/>
          <w:sz w:val="24"/>
        </w:rPr>
        <w:t>（二）其他类似效力要求相关证明材料</w:t>
      </w:r>
    </w:p>
    <w:p>
      <w:pPr>
        <w:spacing w:line="430" w:lineRule="exact"/>
        <w:jc w:val="left"/>
        <w:rPr>
          <w:rFonts w:hint="eastAsia" w:hAnsi="宋体"/>
          <w:sz w:val="24"/>
          <w:szCs w:val="22"/>
        </w:rPr>
      </w:pPr>
      <w:r>
        <w:rPr>
          <w:rFonts w:hint="eastAsia" w:hAnsi="宋体"/>
          <w:sz w:val="24"/>
        </w:rPr>
        <w:t>（1）法定代表人身份证复印件或护照</w:t>
      </w:r>
      <w:r>
        <w:rPr>
          <w:rFonts w:hint="eastAsia" w:hAnsi="宋体"/>
          <w:sz w:val="24"/>
          <w:szCs w:val="22"/>
        </w:rPr>
        <w:t>复印件［注：①法定代表人身份证复印件（在有效期内、两面均应复印）或护照复印件（法定代表人为外籍人士的，按此提供）；②复印件加盖公章]。</w:t>
      </w:r>
    </w:p>
    <w:p>
      <w:pPr>
        <w:spacing w:line="430" w:lineRule="exact"/>
        <w:jc w:val="left"/>
        <w:rPr>
          <w:rFonts w:hint="eastAsia" w:hAnsi="宋体"/>
          <w:sz w:val="24"/>
          <w:szCs w:val="22"/>
        </w:rPr>
      </w:pPr>
      <w:r>
        <w:rPr>
          <w:rFonts w:hint="eastAsia" w:hAnsi="宋体"/>
          <w:sz w:val="24"/>
          <w:szCs w:val="22"/>
        </w:rPr>
        <w:t>（2）授权代表身份证复印件（身份证两面均应复印）（注：①在有效期内；②复印件加盖公章；③由投标人法定代表人签署所有响应文件并参加投标的，则可不提供）。</w:t>
      </w:r>
    </w:p>
    <w:p>
      <w:pPr>
        <w:spacing w:line="430" w:lineRule="exact"/>
        <w:jc w:val="left"/>
        <w:rPr>
          <w:rFonts w:hint="eastAsia" w:hAnsi="宋体"/>
          <w:sz w:val="24"/>
          <w:szCs w:val="22"/>
        </w:rPr>
      </w:pPr>
      <w:r>
        <w:rPr>
          <w:rFonts w:hint="eastAsia" w:hAnsi="宋体"/>
          <w:sz w:val="24"/>
          <w:szCs w:val="22"/>
        </w:rPr>
        <w:t>（3）法定代表人授权书原件（法定代表人不参与投标而委托授权代表投标适用）或法定代表人身份证明原件（法定代表人投标而非委托授权代表投标适用）。</w:t>
      </w:r>
    </w:p>
    <w:p>
      <w:pPr>
        <w:spacing w:line="430" w:lineRule="exact"/>
        <w:jc w:val="left"/>
        <w:rPr>
          <w:rFonts w:hint="eastAsia" w:hAnsi="宋体"/>
          <w:sz w:val="24"/>
          <w:szCs w:val="22"/>
        </w:rPr>
      </w:pPr>
      <w:r>
        <w:rPr>
          <w:rFonts w:hint="eastAsia" w:hAnsi="宋体"/>
          <w:sz w:val="24"/>
          <w:szCs w:val="22"/>
        </w:rPr>
        <w:t>（4）本项目参加政府采购活动的供应商、法定责任人、主要负责人在前三年内不得具有行贿犯罪记录（提供承诺函，若发现虚假承诺，作无效投标处理）；</w:t>
      </w:r>
    </w:p>
    <w:p>
      <w:pPr>
        <w:spacing w:line="430" w:lineRule="exact"/>
        <w:jc w:val="left"/>
        <w:rPr>
          <w:rFonts w:hint="eastAsia" w:hAnsi="宋体"/>
          <w:sz w:val="24"/>
        </w:rPr>
      </w:pPr>
    </w:p>
    <w:p>
      <w:pPr>
        <w:spacing w:line="430" w:lineRule="exact"/>
        <w:jc w:val="left"/>
        <w:rPr>
          <w:rFonts w:hAnsi="宋体"/>
          <w:sz w:val="24"/>
        </w:rPr>
      </w:pPr>
      <w:r>
        <w:rPr>
          <w:rFonts w:hint="eastAsia" w:hAnsi="宋体"/>
          <w:sz w:val="24"/>
        </w:rPr>
        <w:t>二、应当提供的投标产品的资格、资质性及其他类似效力要求的相关证明材料</w:t>
      </w:r>
    </w:p>
    <w:p>
      <w:pPr>
        <w:widowControl/>
        <w:jc w:val="left"/>
        <w:rPr>
          <w:rFonts w:hAnsi="宋体" w:cs="宋体"/>
          <w:sz w:val="24"/>
          <w:szCs w:val="24"/>
          <w:lang w:bidi="ar"/>
        </w:rPr>
      </w:pPr>
      <w:r>
        <w:rPr>
          <w:rFonts w:hint="eastAsia" w:hAnsi="宋体" w:cs="宋体"/>
          <w:sz w:val="24"/>
          <w:szCs w:val="24"/>
          <w:lang w:bidi="ar"/>
        </w:rPr>
        <w:t>无。</w:t>
      </w:r>
    </w:p>
    <w:p>
      <w:pPr>
        <w:spacing w:line="430" w:lineRule="exact"/>
        <w:jc w:val="left"/>
        <w:rPr>
          <w:rFonts w:hAnsi="宋体"/>
          <w:sz w:val="24"/>
        </w:rPr>
      </w:pPr>
    </w:p>
    <w:p>
      <w:pPr>
        <w:spacing w:line="430" w:lineRule="exact"/>
        <w:jc w:val="left"/>
        <w:rPr>
          <w:rFonts w:hAnsi="宋体"/>
          <w:sz w:val="24"/>
        </w:rPr>
      </w:pPr>
      <w:r>
        <w:rPr>
          <w:rFonts w:hAnsi="宋体"/>
          <w:sz w:val="24"/>
        </w:rPr>
        <w:t>注：1、本章要求提供的相关证明材料应当与第四章的规定要求对应，除投标人自愿以外，不能要求投标人提供额外的证明材料。如果要求提供额外的证明材料，投标人有权不予提供，且不影响投标文件的有效性和完整性。</w:t>
      </w:r>
    </w:p>
    <w:p>
      <w:pPr>
        <w:spacing w:line="430" w:lineRule="exact"/>
        <w:jc w:val="left"/>
        <w:rPr>
          <w:rFonts w:hAnsi="宋体"/>
          <w:sz w:val="24"/>
        </w:rPr>
      </w:pPr>
      <w:r>
        <w:rPr>
          <w:rFonts w:hAnsi="宋体"/>
          <w:sz w:val="24"/>
        </w:rPr>
        <w:t>2、本章要求提供的相关证明材料应当结合采购项目具体情况和投标人的组织机构性质确定，不得一概而论。</w:t>
      </w:r>
    </w:p>
    <w:p>
      <w:pPr>
        <w:pStyle w:val="61"/>
        <w:rPr>
          <w:color w:val="auto"/>
        </w:rPr>
      </w:pPr>
    </w:p>
    <w:p>
      <w:pPr>
        <w:pStyle w:val="61"/>
        <w:rPr>
          <w:color w:val="auto"/>
        </w:rPr>
      </w:pPr>
    </w:p>
    <w:p>
      <w:pPr>
        <w:rPr>
          <w:rFonts w:hint="eastAsia" w:hAnsi="宋体"/>
          <w:sz w:val="36"/>
          <w:szCs w:val="36"/>
        </w:rPr>
      </w:pPr>
      <w:bookmarkStart w:id="223" w:name="_Toc510520087"/>
      <w:bookmarkStart w:id="224" w:name="_Toc17577"/>
      <w:bookmarkStart w:id="225" w:name="_Toc18056"/>
      <w:bookmarkStart w:id="226" w:name="_Toc29958"/>
      <w:bookmarkStart w:id="227" w:name="_Toc15402"/>
      <w:bookmarkStart w:id="228" w:name="_Toc217446093"/>
      <w:bookmarkStart w:id="229" w:name="_Toc8430"/>
      <w:bookmarkStart w:id="230" w:name="_Toc28000"/>
      <w:r>
        <w:rPr>
          <w:rFonts w:hint="eastAsia" w:hAnsi="宋体"/>
          <w:sz w:val="36"/>
          <w:szCs w:val="36"/>
        </w:rPr>
        <w:br w:type="page"/>
      </w:r>
    </w:p>
    <w:p>
      <w:pPr>
        <w:spacing w:line="240" w:lineRule="atLeast"/>
        <w:jc w:val="center"/>
        <w:outlineLvl w:val="0"/>
        <w:rPr>
          <w:rFonts w:hAnsi="宋体"/>
          <w:sz w:val="36"/>
          <w:szCs w:val="36"/>
        </w:rPr>
      </w:pPr>
      <w:bookmarkStart w:id="231" w:name="_Toc7980"/>
      <w:r>
        <w:rPr>
          <w:rFonts w:hint="eastAsia" w:hAnsi="宋体"/>
          <w:sz w:val="36"/>
          <w:szCs w:val="36"/>
        </w:rPr>
        <w:t>第六章 招标项目技术、服务、政府采购合同内容条款及其他商务要求</w:t>
      </w:r>
      <w:bookmarkEnd w:id="223"/>
      <w:bookmarkEnd w:id="224"/>
      <w:bookmarkEnd w:id="225"/>
      <w:bookmarkEnd w:id="226"/>
      <w:bookmarkEnd w:id="227"/>
      <w:bookmarkEnd w:id="228"/>
      <w:bookmarkEnd w:id="229"/>
      <w:bookmarkEnd w:id="230"/>
      <w:bookmarkEnd w:id="231"/>
    </w:p>
    <w:p>
      <w:pPr>
        <w:pStyle w:val="185"/>
        <w:keepNext w:val="0"/>
        <w:keepLines w:val="0"/>
        <w:pageBreakBefore w:val="0"/>
        <w:kinsoku/>
        <w:wordWrap/>
        <w:overflowPunct/>
        <w:topLinePunct w:val="0"/>
        <w:autoSpaceDE/>
        <w:autoSpaceDN/>
        <w:bidi w:val="0"/>
        <w:adjustRightInd/>
        <w:snapToGrid w:val="0"/>
        <w:spacing w:line="240" w:lineRule="auto"/>
        <w:ind w:firstLine="422" w:firstLineChars="200"/>
        <w:rPr>
          <w:rFonts w:asciiTheme="minorEastAsia" w:hAnsiTheme="minorEastAsia" w:eastAsiaTheme="minorEastAsia" w:cstheme="minorEastAsia"/>
          <w:b/>
          <w:sz w:val="21"/>
          <w:szCs w:val="21"/>
        </w:rPr>
      </w:pPr>
      <w:bookmarkStart w:id="232" w:name="_Toc18315"/>
      <w:bookmarkStart w:id="233" w:name="_Toc32377"/>
      <w:bookmarkStart w:id="234" w:name="_Toc23474"/>
      <w:bookmarkStart w:id="235" w:name="_Toc510520088"/>
      <w:bookmarkStart w:id="236" w:name="_Toc13814"/>
      <w:bookmarkStart w:id="237" w:name="_Toc24285"/>
      <w:r>
        <w:rPr>
          <w:rFonts w:hint="eastAsia" w:asciiTheme="minorEastAsia" w:hAnsiTheme="minorEastAsia" w:eastAsiaTheme="minorEastAsia" w:cstheme="minorEastAsia"/>
          <w:b/>
          <w:sz w:val="21"/>
          <w:szCs w:val="21"/>
        </w:rPr>
        <w:t>一、项目概况</w:t>
      </w:r>
    </w:p>
    <w:p>
      <w:pPr>
        <w:keepNext w:val="0"/>
        <w:keepLines w:val="0"/>
        <w:pageBreakBefore w:val="0"/>
        <w:kinsoku/>
        <w:wordWrap/>
        <w:overflowPunct/>
        <w:topLinePunct w:val="0"/>
        <w:autoSpaceDE/>
        <w:autoSpaceDN/>
        <w:bidi w:val="0"/>
        <w:adjustRightInd/>
        <w:spacing w:line="240" w:lineRule="auto"/>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为进一步加强成都市双流区政府性投资项目的可行性研究报告</w:t>
      </w:r>
      <w:r>
        <w:rPr>
          <w:rFonts w:hint="eastAsia" w:asciiTheme="minorEastAsia" w:hAnsiTheme="minorEastAsia" w:eastAsiaTheme="minorEastAsia" w:cstheme="minorEastAsia"/>
          <w:sz w:val="21"/>
          <w:szCs w:val="21"/>
          <w:lang w:eastAsia="zh-CN"/>
        </w:rPr>
        <w:t>（项目建议书）</w:t>
      </w:r>
      <w:r>
        <w:rPr>
          <w:rFonts w:hint="eastAsia" w:asciiTheme="minorEastAsia" w:hAnsiTheme="minorEastAsia" w:eastAsiaTheme="minorEastAsia" w:cstheme="minorEastAsia"/>
          <w:sz w:val="21"/>
          <w:szCs w:val="21"/>
        </w:rPr>
        <w:t>及其调整、项目后评价、其他的工程咨询类事项的评审管理工作，确保评审质量，提高评审效率，提升政府投资效益，成都市双流区发展和改革局拟对符合条件的工程咨询机构进行公开招标采购，中标的工程咨询机构</w:t>
      </w:r>
      <w:r>
        <w:rPr>
          <w:rFonts w:hint="eastAsia" w:asciiTheme="minorEastAsia" w:hAnsiTheme="minorEastAsia" w:eastAsiaTheme="minorEastAsia" w:cstheme="minorEastAsia"/>
          <w:b/>
          <w:sz w:val="21"/>
          <w:szCs w:val="21"/>
        </w:rPr>
        <w:t>按各包件</w:t>
      </w:r>
      <w:r>
        <w:rPr>
          <w:rFonts w:hint="eastAsia" w:asciiTheme="minorEastAsia" w:hAnsiTheme="minorEastAsia" w:eastAsiaTheme="minorEastAsia" w:cstheme="minorEastAsia"/>
          <w:b/>
          <w:sz w:val="21"/>
          <w:szCs w:val="21"/>
          <w:lang w:eastAsia="zh-CN"/>
        </w:rPr>
        <w:t>服务</w:t>
      </w:r>
      <w:r>
        <w:rPr>
          <w:rFonts w:hint="eastAsia" w:asciiTheme="minorEastAsia" w:hAnsiTheme="minorEastAsia" w:eastAsiaTheme="minorEastAsia" w:cstheme="minorEastAsia"/>
          <w:sz w:val="21"/>
          <w:szCs w:val="21"/>
          <w:lang w:eastAsia="zh-CN"/>
        </w:rPr>
        <w:t>范围</w:t>
      </w:r>
      <w:r>
        <w:rPr>
          <w:rFonts w:hint="eastAsia" w:asciiTheme="minorEastAsia" w:hAnsiTheme="minorEastAsia" w:eastAsiaTheme="minorEastAsia" w:cstheme="minorEastAsia"/>
          <w:sz w:val="21"/>
          <w:szCs w:val="21"/>
        </w:rPr>
        <w:t>承担成都市双流区2021年</w:t>
      </w:r>
      <w:r>
        <w:rPr>
          <w:rFonts w:hint="eastAsia" w:asciiTheme="minorEastAsia" w:hAnsiTheme="minorEastAsia" w:eastAsiaTheme="minorEastAsia" w:cstheme="minorEastAsia"/>
          <w:sz w:val="21"/>
          <w:szCs w:val="21"/>
          <w:lang w:val="en-US" w:eastAsia="zh-CN"/>
        </w:rPr>
        <w:t>或2022年</w:t>
      </w:r>
      <w:r>
        <w:rPr>
          <w:rFonts w:hint="eastAsia" w:asciiTheme="minorEastAsia" w:hAnsiTheme="minorEastAsia" w:eastAsiaTheme="minorEastAsia" w:cstheme="minorEastAsia"/>
          <w:sz w:val="21"/>
          <w:szCs w:val="21"/>
        </w:rPr>
        <w:t>相应的政府性投资项目可行性研究报告</w:t>
      </w:r>
      <w:r>
        <w:rPr>
          <w:rFonts w:hint="eastAsia" w:asciiTheme="minorEastAsia" w:hAnsiTheme="minorEastAsia" w:eastAsiaTheme="minorEastAsia" w:cstheme="minorEastAsia"/>
          <w:sz w:val="21"/>
          <w:szCs w:val="21"/>
          <w:lang w:eastAsia="zh-CN"/>
        </w:rPr>
        <w:t>（项目建议书）</w:t>
      </w:r>
      <w:r>
        <w:rPr>
          <w:rFonts w:hint="eastAsia" w:asciiTheme="minorEastAsia" w:hAnsiTheme="minorEastAsia" w:eastAsiaTheme="minorEastAsia" w:cstheme="minorEastAsia"/>
          <w:sz w:val="21"/>
          <w:szCs w:val="21"/>
        </w:rPr>
        <w:t>评估（评审）咨询服务。</w:t>
      </w:r>
    </w:p>
    <w:p>
      <w:pPr>
        <w:pStyle w:val="185"/>
        <w:keepNext w:val="0"/>
        <w:keepLines w:val="0"/>
        <w:pageBreakBefore w:val="0"/>
        <w:numPr>
          <w:ilvl w:val="0"/>
          <w:numId w:val="7"/>
        </w:numPr>
        <w:kinsoku/>
        <w:wordWrap/>
        <w:overflowPunct/>
        <w:topLinePunct w:val="0"/>
        <w:autoSpaceDE/>
        <w:autoSpaceDN/>
        <w:bidi w:val="0"/>
        <w:adjustRightInd/>
        <w:snapToGrid w:val="0"/>
        <w:spacing w:line="240" w:lineRule="auto"/>
        <w:ind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项目清单</w:t>
      </w:r>
    </w:p>
    <w:tbl>
      <w:tblPr>
        <w:tblStyle w:val="47"/>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918"/>
        <w:gridCol w:w="5475"/>
        <w:gridCol w:w="1342"/>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4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9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包号</w:t>
            </w:r>
          </w:p>
        </w:tc>
        <w:tc>
          <w:tcPr>
            <w:tcW w:w="547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采购</w:t>
            </w:r>
            <w:r>
              <w:rPr>
                <w:rFonts w:hint="eastAsia" w:asciiTheme="minorEastAsia" w:hAnsiTheme="minorEastAsia" w:eastAsiaTheme="minorEastAsia" w:cstheme="minorEastAsia"/>
                <w:sz w:val="21"/>
                <w:szCs w:val="21"/>
              </w:rPr>
              <w:t>服务</w:t>
            </w:r>
            <w:r>
              <w:rPr>
                <w:rFonts w:hint="eastAsia" w:asciiTheme="minorEastAsia" w:hAnsiTheme="minorEastAsia" w:eastAsiaTheme="minorEastAsia" w:cstheme="minorEastAsia"/>
                <w:sz w:val="21"/>
                <w:szCs w:val="21"/>
                <w:lang w:eastAsia="zh-CN"/>
              </w:rPr>
              <w:t>范围</w:t>
            </w:r>
          </w:p>
        </w:tc>
        <w:tc>
          <w:tcPr>
            <w:tcW w:w="268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9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547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2021年</w:t>
            </w:r>
          </w:p>
        </w:tc>
        <w:tc>
          <w:tcPr>
            <w:tcW w:w="13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9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包件</w:t>
            </w:r>
            <w:r>
              <w:rPr>
                <w:rFonts w:hint="eastAsia" w:asciiTheme="minorEastAsia" w:hAnsiTheme="minorEastAsia" w:eastAsiaTheme="minorEastAsia" w:cstheme="minorEastAsia"/>
                <w:sz w:val="21"/>
                <w:szCs w:val="21"/>
                <w:lang w:val="en-US" w:eastAsia="zh-CN"/>
              </w:rPr>
              <w:t>1</w:t>
            </w:r>
          </w:p>
        </w:tc>
        <w:tc>
          <w:tcPr>
            <w:tcW w:w="5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双流区新科局牵头实施的</w:t>
            </w:r>
            <w:r>
              <w:rPr>
                <w:rFonts w:hint="eastAsia" w:asciiTheme="minorEastAsia" w:hAnsiTheme="minorEastAsia" w:eastAsiaTheme="minorEastAsia" w:cstheme="minorEastAsia"/>
                <w:sz w:val="21"/>
                <w:szCs w:val="21"/>
                <w:lang w:eastAsia="zh-CN"/>
              </w:rPr>
              <w:t>政府性工程建设项目</w:t>
            </w:r>
            <w:r>
              <w:rPr>
                <w:rFonts w:hint="eastAsia" w:asciiTheme="minorEastAsia" w:hAnsiTheme="minorEastAsia" w:eastAsiaTheme="minorEastAsia" w:cstheme="minorEastAsia"/>
                <w:sz w:val="21"/>
                <w:szCs w:val="21"/>
              </w:rPr>
              <w:t>的可行性研究报告或项目建议书的评审</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根据年度计划和</w:t>
            </w:r>
            <w:r>
              <w:rPr>
                <w:rFonts w:hint="eastAsia" w:asciiTheme="minorEastAsia" w:hAnsiTheme="minorEastAsia" w:eastAsiaTheme="minorEastAsia" w:cstheme="minorEastAsia"/>
                <w:sz w:val="21"/>
                <w:szCs w:val="21"/>
              </w:rPr>
              <w:t>实际实施情况确定</w:t>
            </w:r>
          </w:p>
        </w:tc>
        <w:tc>
          <w:tcPr>
            <w:tcW w:w="13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根据年度计划和</w:t>
            </w:r>
            <w:r>
              <w:rPr>
                <w:rFonts w:hint="eastAsia" w:asciiTheme="minorEastAsia" w:hAnsiTheme="minorEastAsia" w:eastAsiaTheme="minorEastAsia" w:cstheme="minorEastAsia"/>
                <w:sz w:val="21"/>
                <w:szCs w:val="21"/>
              </w:rPr>
              <w:t>实际实施情况确定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9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包件</w:t>
            </w:r>
            <w:r>
              <w:rPr>
                <w:rFonts w:hint="eastAsia" w:asciiTheme="minorEastAsia" w:hAnsiTheme="minorEastAsia" w:eastAsiaTheme="minorEastAsia" w:cstheme="minorEastAsia"/>
                <w:sz w:val="21"/>
                <w:szCs w:val="21"/>
                <w:lang w:val="en-US" w:eastAsia="zh-CN"/>
              </w:rPr>
              <w:t>2</w:t>
            </w:r>
          </w:p>
        </w:tc>
        <w:tc>
          <w:tcPr>
            <w:tcW w:w="5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双流区水务局牵头实施的</w:t>
            </w:r>
            <w:r>
              <w:rPr>
                <w:rFonts w:hint="eastAsia" w:asciiTheme="minorEastAsia" w:hAnsiTheme="minorEastAsia" w:eastAsiaTheme="minorEastAsia" w:cstheme="minorEastAsia"/>
                <w:sz w:val="21"/>
                <w:szCs w:val="21"/>
                <w:lang w:eastAsia="zh-CN"/>
              </w:rPr>
              <w:t>政府性工程建设项目</w:t>
            </w:r>
            <w:r>
              <w:rPr>
                <w:rFonts w:hint="eastAsia" w:asciiTheme="minorEastAsia" w:hAnsiTheme="minorEastAsia" w:eastAsiaTheme="minorEastAsia" w:cstheme="minorEastAsia"/>
                <w:sz w:val="21"/>
                <w:szCs w:val="21"/>
              </w:rPr>
              <w:t>的可行性研究报告或项目建议书的评审</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根据年度计划和</w:t>
            </w:r>
            <w:r>
              <w:rPr>
                <w:rFonts w:hint="eastAsia" w:asciiTheme="minorEastAsia" w:hAnsiTheme="minorEastAsia" w:eastAsiaTheme="minorEastAsia" w:cstheme="minorEastAsia"/>
                <w:sz w:val="21"/>
                <w:szCs w:val="21"/>
              </w:rPr>
              <w:t>实际实施情况确定</w:t>
            </w:r>
          </w:p>
        </w:tc>
        <w:tc>
          <w:tcPr>
            <w:tcW w:w="13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根据年度计划和</w:t>
            </w:r>
            <w:r>
              <w:rPr>
                <w:rFonts w:hint="eastAsia" w:asciiTheme="minorEastAsia" w:hAnsiTheme="minorEastAsia" w:eastAsiaTheme="minorEastAsia" w:cstheme="minorEastAsia"/>
                <w:sz w:val="21"/>
                <w:szCs w:val="21"/>
              </w:rPr>
              <w:t>实际实施情况确定</w:t>
            </w:r>
          </w:p>
        </w:tc>
      </w:tr>
    </w:tbl>
    <w:p>
      <w:pPr>
        <w:pStyle w:val="185"/>
        <w:keepNext w:val="0"/>
        <w:keepLines w:val="0"/>
        <w:pageBreakBefore w:val="0"/>
        <w:numPr>
          <w:ilvl w:val="0"/>
          <w:numId w:val="0"/>
        </w:numPr>
        <w:kinsoku/>
        <w:wordWrap/>
        <w:overflowPunct/>
        <w:topLinePunct w:val="0"/>
        <w:autoSpaceDE/>
        <w:autoSpaceDN/>
        <w:bidi w:val="0"/>
        <w:adjustRightInd/>
        <w:snapToGrid w:val="0"/>
        <w:spacing w:line="240" w:lineRule="auto"/>
        <w:ind w:firstLine="422" w:firstLineChars="200"/>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注：项目清单中“年度计划”是指政府性工程建设项目实施计划，采购人按双流区政府性工程建设项目实施计划载明的牵头部门和相应包件中标的供应商签订具体工程项目的评审任务委托，委托单格式见附表</w:t>
      </w:r>
      <w:r>
        <w:rPr>
          <w:rFonts w:hint="eastAsia" w:asciiTheme="minorEastAsia" w:hAnsiTheme="minorEastAsia" w:eastAsiaTheme="minorEastAsia" w:cstheme="minorEastAsia"/>
          <w:b/>
          <w:sz w:val="21"/>
          <w:szCs w:val="21"/>
          <w:lang w:val="en-US" w:eastAsia="zh-CN"/>
        </w:rPr>
        <w:t>1</w:t>
      </w:r>
      <w:r>
        <w:rPr>
          <w:rFonts w:hint="eastAsia" w:asciiTheme="minorEastAsia" w:hAnsiTheme="minorEastAsia" w:eastAsiaTheme="minorEastAsia" w:cstheme="minorEastAsia"/>
          <w:b/>
          <w:sz w:val="21"/>
          <w:szCs w:val="21"/>
          <w:lang w:eastAsia="zh-CN"/>
        </w:rPr>
        <w:t>双流区发展和改革局委托项目评审任务单。</w:t>
      </w:r>
    </w:p>
    <w:p>
      <w:pPr>
        <w:pStyle w:val="185"/>
        <w:keepNext w:val="0"/>
        <w:keepLines w:val="0"/>
        <w:pageBreakBefore w:val="0"/>
        <w:numPr>
          <w:ilvl w:val="0"/>
          <w:numId w:val="0"/>
        </w:numPr>
        <w:kinsoku/>
        <w:wordWrap/>
        <w:overflowPunct/>
        <w:topLinePunct w:val="0"/>
        <w:autoSpaceDE/>
        <w:autoSpaceDN/>
        <w:bidi w:val="0"/>
        <w:adjustRightInd/>
        <w:snapToGrid w:val="0"/>
        <w:spacing w:line="240" w:lineRule="auto"/>
        <w:ind w:firstLine="0" w:firstLineChars="0"/>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br w:type="page"/>
      </w:r>
    </w:p>
    <w:p>
      <w:pPr>
        <w:pStyle w:val="185"/>
        <w:keepNext w:val="0"/>
        <w:keepLines w:val="0"/>
        <w:pageBreakBefore w:val="0"/>
        <w:numPr>
          <w:ilvl w:val="0"/>
          <w:numId w:val="7"/>
        </w:numPr>
        <w:kinsoku/>
        <w:wordWrap/>
        <w:overflowPunct/>
        <w:topLinePunct w:val="0"/>
        <w:autoSpaceDE/>
        <w:autoSpaceDN/>
        <w:bidi w:val="0"/>
        <w:adjustRightInd/>
        <w:snapToGrid w:val="0"/>
        <w:spacing w:line="240" w:lineRule="auto"/>
        <w:ind w:firstLine="422" w:firstLineChars="200"/>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技术、服务要求</w:t>
      </w:r>
      <w:ins w:id="0" w:author="Administrator" w:date="2021-08-06T13:59:46Z">
        <w:r>
          <w:rPr>
            <w:rFonts w:hint="eastAsia" w:asciiTheme="minorEastAsia" w:hAnsiTheme="minorEastAsia" w:eastAsiaTheme="minorEastAsia" w:cstheme="minorEastAsia"/>
            <w:b/>
            <w:bCs w:val="0"/>
            <w:sz w:val="21"/>
            <w:szCs w:val="21"/>
            <w:lang w:val="en-US" w:eastAsia="zh-CN"/>
          </w:rPr>
          <w:t>*</w:t>
        </w:r>
      </w:ins>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（一）、服务内容：</w:t>
      </w:r>
    </w:p>
    <w:p>
      <w:pPr>
        <w:keepNext w:val="0"/>
        <w:keepLines w:val="0"/>
        <w:pageBreakBefore w:val="0"/>
        <w:kinsoku/>
        <w:wordWrap/>
        <w:overflowPunct/>
        <w:topLinePunct w:val="0"/>
        <w:autoSpaceDE/>
        <w:autoSpaceDN/>
        <w:bidi w:val="0"/>
        <w:adjustRightInd/>
        <w:spacing w:line="240" w:lineRule="auto"/>
        <w:ind w:firstLine="422"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包件</w:t>
      </w:r>
      <w:r>
        <w:rPr>
          <w:rFonts w:hint="eastAsia" w:asciiTheme="minorEastAsia" w:hAnsiTheme="minorEastAsia" w:eastAsiaTheme="minorEastAsia" w:cstheme="minorEastAsia"/>
          <w:b/>
          <w:bCs/>
          <w:sz w:val="21"/>
          <w:szCs w:val="21"/>
          <w:lang w:val="en-US" w:eastAsia="zh-CN"/>
        </w:rPr>
        <w:t>1</w:t>
      </w:r>
      <w:r>
        <w:rPr>
          <w:rFonts w:hint="eastAsia" w:asciiTheme="minorEastAsia" w:hAnsiTheme="minorEastAsia" w:eastAsiaTheme="minorEastAsia" w:cstheme="minorEastAsia"/>
          <w:b/>
          <w:bCs/>
          <w:sz w:val="21"/>
          <w:szCs w:val="21"/>
        </w:rPr>
        <w:t>：</w:t>
      </w:r>
      <w:r>
        <w:rPr>
          <w:rFonts w:hint="eastAsia" w:asciiTheme="minorEastAsia" w:hAnsiTheme="minorEastAsia" w:eastAsiaTheme="minorEastAsia" w:cstheme="minorEastAsia"/>
          <w:sz w:val="21"/>
          <w:szCs w:val="21"/>
        </w:rPr>
        <w:t>双流区新科局牵头实施的</w:t>
      </w:r>
      <w:r>
        <w:rPr>
          <w:rFonts w:hint="eastAsia" w:asciiTheme="minorEastAsia" w:hAnsiTheme="minorEastAsia" w:eastAsiaTheme="minorEastAsia" w:cstheme="minorEastAsia"/>
          <w:sz w:val="21"/>
          <w:szCs w:val="21"/>
          <w:lang w:eastAsia="zh-CN"/>
        </w:rPr>
        <w:t>政府性工程建设项目</w:t>
      </w:r>
      <w:r>
        <w:rPr>
          <w:rFonts w:hint="eastAsia" w:asciiTheme="minorEastAsia" w:hAnsiTheme="minorEastAsia" w:eastAsiaTheme="minorEastAsia" w:cstheme="minorEastAsia"/>
          <w:sz w:val="21"/>
          <w:szCs w:val="21"/>
        </w:rPr>
        <w:t>的可行性研究报告或项目建议书的评审</w:t>
      </w:r>
      <w:r>
        <w:rPr>
          <w:rFonts w:hint="eastAsia" w:asciiTheme="minorEastAsia" w:hAnsiTheme="minorEastAsia" w:eastAsiaTheme="minorEastAsia" w:cstheme="minorEastAsia"/>
          <w:sz w:val="21"/>
          <w:szCs w:val="21"/>
          <w:lang w:eastAsia="zh-CN"/>
        </w:rPr>
        <w:t>。其主要工程类型为电力工程，</w:t>
      </w:r>
      <w:r>
        <w:rPr>
          <w:rFonts w:hint="eastAsia" w:asciiTheme="minorEastAsia" w:hAnsiTheme="minorEastAsia" w:eastAsiaTheme="minorEastAsia" w:cstheme="minorEastAsia"/>
          <w:sz w:val="21"/>
          <w:szCs w:val="21"/>
        </w:rPr>
        <w:t>中标的供应商</w:t>
      </w:r>
      <w:r>
        <w:rPr>
          <w:rFonts w:hint="eastAsia" w:asciiTheme="minorEastAsia" w:hAnsiTheme="minorEastAsia" w:eastAsiaTheme="minorEastAsia" w:cstheme="minorEastAsia"/>
          <w:sz w:val="21"/>
          <w:szCs w:val="21"/>
          <w:lang w:eastAsia="zh-CN"/>
        </w:rPr>
        <w:t>须完成</w:t>
      </w:r>
      <w:r>
        <w:rPr>
          <w:rFonts w:hint="eastAsia" w:asciiTheme="minorEastAsia" w:hAnsiTheme="minorEastAsia" w:eastAsiaTheme="minorEastAsia" w:cstheme="minorEastAsia"/>
          <w:sz w:val="21"/>
          <w:szCs w:val="21"/>
        </w:rPr>
        <w:t>双流区新科局牵头实施的</w:t>
      </w:r>
      <w:r>
        <w:rPr>
          <w:rFonts w:hint="eastAsia" w:asciiTheme="minorEastAsia" w:hAnsiTheme="minorEastAsia" w:eastAsiaTheme="minorEastAsia" w:cstheme="minorEastAsia"/>
          <w:sz w:val="21"/>
          <w:szCs w:val="21"/>
          <w:lang w:eastAsia="zh-CN"/>
        </w:rPr>
        <w:t>政府性工程建设项目</w:t>
      </w:r>
      <w:r>
        <w:rPr>
          <w:rFonts w:hint="eastAsia" w:asciiTheme="minorEastAsia" w:hAnsiTheme="minorEastAsia" w:eastAsiaTheme="minorEastAsia" w:cstheme="minorEastAsia"/>
          <w:sz w:val="21"/>
          <w:szCs w:val="21"/>
        </w:rPr>
        <w:t>的可行性研究报告或项目建议书的评审。</w:t>
      </w:r>
    </w:p>
    <w:p>
      <w:pPr>
        <w:keepNext w:val="0"/>
        <w:keepLines w:val="0"/>
        <w:pageBreakBefore w:val="0"/>
        <w:kinsoku/>
        <w:wordWrap/>
        <w:overflowPunct/>
        <w:topLinePunct w:val="0"/>
        <w:autoSpaceDE/>
        <w:autoSpaceDN/>
        <w:bidi w:val="0"/>
        <w:adjustRightInd/>
        <w:spacing w:line="240" w:lineRule="auto"/>
        <w:ind w:firstLine="422"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包件</w:t>
      </w:r>
      <w:r>
        <w:rPr>
          <w:rFonts w:hint="eastAsia" w:asciiTheme="minorEastAsia" w:hAnsiTheme="minorEastAsia" w:eastAsiaTheme="minorEastAsia" w:cstheme="minorEastAsia"/>
          <w:b/>
          <w:bCs/>
          <w:sz w:val="21"/>
          <w:szCs w:val="21"/>
          <w:lang w:val="en-US" w:eastAsia="zh-CN"/>
        </w:rPr>
        <w:t>2</w:t>
      </w:r>
      <w:r>
        <w:rPr>
          <w:rFonts w:hint="eastAsia" w:asciiTheme="minorEastAsia" w:hAnsiTheme="minorEastAsia" w:eastAsiaTheme="minorEastAsia" w:cstheme="minorEastAsia"/>
          <w:b/>
          <w:bCs/>
          <w:sz w:val="21"/>
          <w:szCs w:val="21"/>
        </w:rPr>
        <w:t>：</w:t>
      </w:r>
      <w:r>
        <w:rPr>
          <w:rFonts w:hint="eastAsia" w:asciiTheme="minorEastAsia" w:hAnsiTheme="minorEastAsia" w:eastAsiaTheme="minorEastAsia" w:cstheme="minorEastAsia"/>
          <w:sz w:val="21"/>
          <w:szCs w:val="21"/>
        </w:rPr>
        <w:t>双流区水务局牵头实施的</w:t>
      </w:r>
      <w:r>
        <w:rPr>
          <w:rFonts w:hint="eastAsia" w:asciiTheme="minorEastAsia" w:hAnsiTheme="minorEastAsia" w:eastAsiaTheme="minorEastAsia" w:cstheme="minorEastAsia"/>
          <w:sz w:val="21"/>
          <w:szCs w:val="21"/>
          <w:lang w:eastAsia="zh-CN"/>
        </w:rPr>
        <w:t>政府性工程建设项目</w:t>
      </w:r>
      <w:r>
        <w:rPr>
          <w:rFonts w:hint="eastAsia" w:asciiTheme="minorEastAsia" w:hAnsiTheme="minorEastAsia" w:eastAsiaTheme="minorEastAsia" w:cstheme="minorEastAsia"/>
          <w:sz w:val="21"/>
          <w:szCs w:val="21"/>
        </w:rPr>
        <w:t>的可行性研究报告或项目建议书的评审</w:t>
      </w:r>
      <w:r>
        <w:rPr>
          <w:rFonts w:hint="eastAsia" w:asciiTheme="minorEastAsia" w:hAnsiTheme="minorEastAsia" w:eastAsiaTheme="minorEastAsia" w:cstheme="minorEastAsia"/>
          <w:sz w:val="21"/>
          <w:szCs w:val="21"/>
          <w:lang w:eastAsia="zh-CN"/>
        </w:rPr>
        <w:t>。其主要工程类型为水利工程，</w:t>
      </w:r>
      <w:r>
        <w:rPr>
          <w:rFonts w:hint="eastAsia" w:asciiTheme="minorEastAsia" w:hAnsiTheme="minorEastAsia" w:eastAsiaTheme="minorEastAsia" w:cstheme="minorEastAsia"/>
          <w:sz w:val="21"/>
          <w:szCs w:val="21"/>
        </w:rPr>
        <w:t>中标的供应商</w:t>
      </w:r>
      <w:r>
        <w:rPr>
          <w:rFonts w:hint="eastAsia" w:asciiTheme="minorEastAsia" w:hAnsiTheme="minorEastAsia" w:eastAsiaTheme="minorEastAsia" w:cstheme="minorEastAsia"/>
          <w:sz w:val="21"/>
          <w:szCs w:val="21"/>
          <w:lang w:eastAsia="zh-CN"/>
        </w:rPr>
        <w:t>须完成</w:t>
      </w:r>
      <w:r>
        <w:rPr>
          <w:rFonts w:hint="eastAsia" w:asciiTheme="minorEastAsia" w:hAnsiTheme="minorEastAsia" w:eastAsiaTheme="minorEastAsia" w:cstheme="minorEastAsia"/>
          <w:sz w:val="21"/>
          <w:szCs w:val="21"/>
        </w:rPr>
        <w:t>双流区水务局牵头实施的</w:t>
      </w:r>
      <w:r>
        <w:rPr>
          <w:rFonts w:hint="eastAsia" w:asciiTheme="minorEastAsia" w:hAnsiTheme="minorEastAsia" w:eastAsiaTheme="minorEastAsia" w:cstheme="minorEastAsia"/>
          <w:sz w:val="21"/>
          <w:szCs w:val="21"/>
          <w:lang w:eastAsia="zh-CN"/>
        </w:rPr>
        <w:t>政府性工程建设项目</w:t>
      </w:r>
      <w:r>
        <w:rPr>
          <w:rFonts w:hint="eastAsia" w:asciiTheme="minorEastAsia" w:hAnsiTheme="minorEastAsia" w:eastAsiaTheme="minorEastAsia" w:cstheme="minorEastAsia"/>
          <w:sz w:val="21"/>
          <w:szCs w:val="21"/>
        </w:rPr>
        <w:t>的可行性研究报告或项目建议书的评审。</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（二）、服务要求</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咨询成果质量和技术指标要求：咨询成果质量和技术指标符合国家</w:t>
      </w:r>
      <w:r>
        <w:rPr>
          <w:rFonts w:hint="eastAsia" w:asciiTheme="minorEastAsia" w:hAnsiTheme="minorEastAsia" w:eastAsiaTheme="minorEastAsia" w:cstheme="minorEastAsia"/>
          <w:sz w:val="21"/>
          <w:szCs w:val="21"/>
          <w:lang w:eastAsia="zh-CN"/>
        </w:rPr>
        <w:t>及行业</w:t>
      </w:r>
      <w:r>
        <w:rPr>
          <w:rFonts w:hint="eastAsia" w:asciiTheme="minorEastAsia" w:hAnsiTheme="minorEastAsia" w:eastAsiaTheme="minorEastAsia" w:cstheme="minorEastAsia"/>
          <w:sz w:val="21"/>
          <w:szCs w:val="21"/>
        </w:rPr>
        <w:t>有关规定和要求</w:t>
      </w:r>
      <w:r>
        <w:rPr>
          <w:rFonts w:hint="eastAsia" w:asciiTheme="minorEastAsia" w:hAnsiTheme="minorEastAsia" w:eastAsiaTheme="minorEastAsia" w:cstheme="minorEastAsia"/>
          <w:sz w:val="21"/>
          <w:szCs w:val="21"/>
          <w:lang w:eastAsia="zh-CN"/>
        </w:rPr>
        <w:t>。</w:t>
      </w:r>
      <w:r>
        <w:rPr>
          <w:rStyle w:val="49"/>
          <w:rFonts w:hint="eastAsia" w:asciiTheme="minorEastAsia" w:hAnsiTheme="minorEastAsia" w:eastAsiaTheme="minorEastAsia" w:cstheme="minorEastAsia"/>
          <w:sz w:val="21"/>
          <w:szCs w:val="21"/>
          <w:lang w:val="en-US" w:eastAsia="zh-CN"/>
        </w:rPr>
        <w:t xml:space="preserve"> </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eastAsia="zh-CN"/>
        </w:rPr>
        <w:t>咨询机构</w:t>
      </w:r>
      <w:r>
        <w:rPr>
          <w:rFonts w:hint="eastAsia" w:asciiTheme="minorEastAsia" w:hAnsiTheme="minorEastAsia" w:eastAsiaTheme="minorEastAsia" w:cstheme="minorEastAsia"/>
          <w:sz w:val="21"/>
          <w:szCs w:val="21"/>
        </w:rPr>
        <w:t>在接受评估任务后，评估机构应当确定项目负责人，成立评估小组，制定评估工作计划，定期反馈评估工作进度，在规定时限内提交评估报告。项目负责人应当是经执业登记的咨询工程师（投资）。参加评估小组的人员应当熟悉国家和行业发展有关政策法规规划、技术标准规范，评估小组应当具有一定数量的本专业高级技术职称人员</w:t>
      </w:r>
      <w:r>
        <w:rPr>
          <w:rFonts w:hint="eastAsia" w:asciiTheme="minorEastAsia" w:hAnsiTheme="minorEastAsia" w:eastAsiaTheme="minorEastAsia" w:cstheme="minorEastAsia"/>
          <w:sz w:val="21"/>
          <w:szCs w:val="21"/>
          <w:lang w:eastAsia="zh-CN"/>
        </w:rPr>
        <w:t>。</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咨询评估的完成时限</w:t>
      </w:r>
      <w:r>
        <w:rPr>
          <w:rFonts w:hint="eastAsia" w:asciiTheme="minorEastAsia" w:hAnsiTheme="minorEastAsia" w:eastAsiaTheme="minorEastAsia" w:cstheme="minorEastAsia"/>
          <w:sz w:val="21"/>
          <w:szCs w:val="21"/>
          <w:lang w:eastAsia="zh-CN"/>
        </w:rPr>
        <w:t>：项目建议书评审</w:t>
      </w:r>
      <w:r>
        <w:rPr>
          <w:rFonts w:hint="eastAsia" w:asciiTheme="minorEastAsia" w:hAnsiTheme="minorEastAsia" w:eastAsiaTheme="minorEastAsia" w:cstheme="minorEastAsia"/>
          <w:sz w:val="21"/>
          <w:szCs w:val="21"/>
        </w:rPr>
        <w:t>不超过</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个工作日</w:t>
      </w:r>
      <w:r>
        <w:rPr>
          <w:rFonts w:hint="eastAsia" w:asciiTheme="minorEastAsia" w:hAnsiTheme="minorEastAsia" w:eastAsiaTheme="minorEastAsia" w:cstheme="minorEastAsia"/>
          <w:sz w:val="21"/>
          <w:szCs w:val="21"/>
          <w:lang w:eastAsia="zh-CN"/>
        </w:rPr>
        <w:t>，可行性研究报告评审</w:t>
      </w:r>
      <w:r>
        <w:rPr>
          <w:rFonts w:hint="eastAsia" w:asciiTheme="minorEastAsia" w:hAnsiTheme="minorEastAsia" w:eastAsiaTheme="minorEastAsia" w:cstheme="minorEastAsia"/>
          <w:sz w:val="21"/>
          <w:szCs w:val="21"/>
        </w:rPr>
        <w:t>不超过</w:t>
      </w:r>
      <w:r>
        <w:rPr>
          <w:rFonts w:hint="eastAsia" w:asciiTheme="minorEastAsia" w:hAnsiTheme="minorEastAsia" w:eastAsiaTheme="minorEastAsia" w:cstheme="minorEastAsia"/>
          <w:sz w:val="21"/>
          <w:szCs w:val="21"/>
          <w:lang w:val="en-US" w:eastAsia="zh-CN"/>
        </w:rPr>
        <w:t>15</w:t>
      </w:r>
      <w:r>
        <w:rPr>
          <w:rFonts w:hint="eastAsia" w:asciiTheme="minorEastAsia" w:hAnsiTheme="minorEastAsia" w:eastAsiaTheme="minorEastAsia" w:cstheme="minorEastAsia"/>
          <w:sz w:val="21"/>
          <w:szCs w:val="21"/>
        </w:rPr>
        <w:t>个工作日。评估</w:t>
      </w:r>
      <w:r>
        <w:rPr>
          <w:rFonts w:hint="eastAsia" w:asciiTheme="minorEastAsia" w:hAnsiTheme="minorEastAsia" w:eastAsiaTheme="minorEastAsia" w:cstheme="minorEastAsia"/>
          <w:sz w:val="21"/>
          <w:szCs w:val="21"/>
          <w:lang w:eastAsia="zh-CN"/>
        </w:rPr>
        <w:t>咨询</w:t>
      </w:r>
      <w:r>
        <w:rPr>
          <w:rFonts w:hint="eastAsia" w:asciiTheme="minorEastAsia" w:hAnsiTheme="minorEastAsia" w:eastAsiaTheme="minorEastAsia" w:cstheme="minorEastAsia"/>
          <w:sz w:val="21"/>
          <w:szCs w:val="21"/>
        </w:rPr>
        <w:t>机构因特殊情况确实难以在规定时限内完成的，应在规定时限到期日的</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个工作日之前向</w:t>
      </w:r>
      <w:r>
        <w:rPr>
          <w:rFonts w:hint="eastAsia" w:asciiTheme="minorEastAsia" w:hAnsiTheme="minorEastAsia" w:eastAsiaTheme="minorEastAsia" w:cstheme="minorEastAsia"/>
          <w:sz w:val="21"/>
          <w:szCs w:val="21"/>
          <w:lang w:eastAsia="zh-CN"/>
        </w:rPr>
        <w:t>采购人</w:t>
      </w:r>
      <w:r>
        <w:rPr>
          <w:rFonts w:hint="eastAsia" w:asciiTheme="minorEastAsia" w:hAnsiTheme="minorEastAsia" w:eastAsiaTheme="minorEastAsia" w:cstheme="minorEastAsia"/>
          <w:sz w:val="21"/>
          <w:szCs w:val="21"/>
        </w:rPr>
        <w:t>书面报告有关情况，征得</w:t>
      </w:r>
      <w:r>
        <w:rPr>
          <w:rFonts w:hint="eastAsia" w:asciiTheme="minorEastAsia" w:hAnsiTheme="minorEastAsia" w:eastAsiaTheme="minorEastAsia" w:cstheme="minorEastAsia"/>
          <w:sz w:val="21"/>
          <w:szCs w:val="21"/>
          <w:lang w:eastAsia="zh-CN"/>
        </w:rPr>
        <w:t>采购人</w:t>
      </w:r>
      <w:r>
        <w:rPr>
          <w:rFonts w:hint="eastAsia" w:asciiTheme="minorEastAsia" w:hAnsiTheme="minorEastAsia" w:eastAsiaTheme="minorEastAsia" w:cstheme="minorEastAsia"/>
          <w:sz w:val="21"/>
          <w:szCs w:val="21"/>
        </w:rPr>
        <w:t>书面同意后，可以延长完成时限，但延长的期限不超过</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个工作日</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 xml:space="preserve"> </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涉密项目的咨询评估任务应按照《保守国家秘密法》及相关规定，由采购人通过与评估机构签订保密协议并监督执行的方式进行保密管理。</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eastAsia="zh-CN"/>
        </w:rPr>
        <w:t>评审报告的内容应包括：标题及文号、目录、摘要、正文、附件等。评估报告应当附具项目负责人及评估小组成员名单，并加盖评估机构公章和项目负责人的咨询工程师（投资）执业专用章。评审报告份数：</w:t>
      </w:r>
      <w:r>
        <w:rPr>
          <w:rFonts w:hint="eastAsia" w:asciiTheme="minorEastAsia" w:hAnsiTheme="minorEastAsia" w:eastAsiaTheme="minorEastAsia" w:cstheme="minorEastAsia"/>
          <w:sz w:val="21"/>
          <w:szCs w:val="21"/>
          <w:lang w:val="en-US" w:eastAsia="zh-CN"/>
        </w:rPr>
        <w:t>至少4份纸质的评审报告。</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lang w:eastAsia="zh-CN"/>
        </w:rPr>
        <w:t>评估机构应不断改进内部管理机制，优化评估工作流程，完善评估专家库，保证独立、公正、客观、科学地开展评估工作，提高评估工作水平和质量。</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lang w:eastAsia="zh-CN"/>
        </w:rPr>
        <w:t>工程咨询机构出具的评审意见未达到要求或有重大缺陷的，应按要求修改完善或重新进行评审。</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lang w:eastAsia="zh-CN"/>
        </w:rPr>
        <w:t>评审咨询机构有下列情形之一的，采购人可以对其提出警告、扣减咨询费用、终止合同、向有管理权限的部门（双流区财政局）通报、禁止其有限期甚至无限期从事我区政府投资项目工程咨询评审工作：</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①咨询评估报告有重大失误或质量低劣；</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②评审工作完成时间严重超出评审工作时限要求；</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③因自身工作过失造成重大损失；</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④咨询评估过程中未经允许私自向业主单位透露评审情况或信息；</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⑤无正当理由一年内两次拒绝接受委托评审咨询任务；</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⑥机构或其人员徇私舞弊，向被评审项目相关单位或个人索要财物；</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⑦违反《工程咨询行业管理办法》有关规定或其他违反法律法规的行为。</w:t>
      </w:r>
    </w:p>
    <w:p>
      <w:pPr>
        <w:keepNext w:val="0"/>
        <w:keepLines w:val="0"/>
        <w:pageBreakBefore w:val="0"/>
        <w:kinsoku/>
        <w:wordWrap/>
        <w:overflowPunct/>
        <w:topLinePunct w:val="0"/>
        <w:autoSpaceDE/>
        <w:autoSpaceDN/>
        <w:bidi w:val="0"/>
        <w:adjustRightInd/>
        <w:spacing w:line="240" w:lineRule="auto"/>
        <w:ind w:firstLine="422" w:firstLineChars="200"/>
        <w:rPr>
          <w:rFonts w:hint="eastAsia" w:asciiTheme="minorEastAsia" w:hAnsiTheme="minorEastAsia" w:eastAsiaTheme="minorEastAsia" w:cstheme="minorEastAsia"/>
          <w:b/>
          <w:bCs w:val="0"/>
          <w:sz w:val="21"/>
          <w:szCs w:val="21"/>
          <w:lang w:val="en-US" w:eastAsia="zh-CN"/>
          <w:rPrChange w:id="1" w:author="Administrator" w:date="2021-08-06T13:41:42Z">
            <w:rPr>
              <w:rFonts w:hint="eastAsia" w:asciiTheme="minorEastAsia" w:hAnsiTheme="minorEastAsia" w:eastAsiaTheme="minorEastAsia" w:cstheme="minorEastAsia"/>
              <w:sz w:val="21"/>
              <w:szCs w:val="21"/>
              <w:lang w:val="en-US" w:eastAsia="zh-CN"/>
            </w:rPr>
          </w:rPrChange>
        </w:rPr>
      </w:pPr>
      <w:r>
        <w:rPr>
          <w:rFonts w:hint="eastAsia" w:asciiTheme="minorEastAsia" w:hAnsiTheme="minorEastAsia" w:eastAsiaTheme="minorEastAsia" w:cstheme="minorEastAsia"/>
          <w:b/>
          <w:bCs w:val="0"/>
          <w:sz w:val="21"/>
          <w:szCs w:val="21"/>
          <w:lang w:val="en-US" w:eastAsia="zh-CN"/>
          <w:rPrChange w:id="2" w:author="Administrator" w:date="2021-08-06T13:41:42Z">
            <w:rPr>
              <w:rFonts w:hint="eastAsia" w:asciiTheme="minorEastAsia" w:hAnsiTheme="minorEastAsia" w:eastAsiaTheme="minorEastAsia" w:cstheme="minorEastAsia"/>
              <w:sz w:val="21"/>
              <w:szCs w:val="21"/>
              <w:lang w:val="en-US" w:eastAsia="zh-CN"/>
            </w:rPr>
          </w:rPrChange>
        </w:rPr>
        <w:t>9、供应商履行合同的专业技术人员应是其投标文件配备的专业技术人员，且拟派的专业技术人员应是投标供应商本单位的人员（提供劳动合同或社保证明或聘书或承诺书或其他证明文件）。同一供应商参与同一项目多个包件投标的，应根据所投包件的主要工程类型合理和分别配备项目评估小组，不得以同一项目班子技术人员承接多个包件的评估任务</w:t>
      </w:r>
      <w:r>
        <w:rPr>
          <w:rFonts w:hint="eastAsia" w:asciiTheme="minorEastAsia" w:hAnsiTheme="minorEastAsia" w:eastAsiaTheme="minorEastAsia" w:cstheme="minorEastAsia"/>
          <w:b/>
          <w:bCs w:val="0"/>
          <w:sz w:val="21"/>
          <w:szCs w:val="21"/>
          <w:lang w:eastAsia="zh-CN"/>
          <w:rPrChange w:id="3" w:author="Administrator" w:date="2021-08-06T13:41:42Z">
            <w:rPr>
              <w:rFonts w:hint="eastAsia" w:asciiTheme="minorEastAsia" w:hAnsiTheme="minorEastAsia" w:eastAsiaTheme="minorEastAsia" w:cstheme="minorEastAsia"/>
              <w:sz w:val="21"/>
              <w:szCs w:val="21"/>
              <w:lang w:eastAsia="zh-CN"/>
            </w:rPr>
          </w:rPrChange>
        </w:rPr>
        <w:t>。</w:t>
      </w:r>
      <w:ins w:id="4" w:author="Administrator" w:date="2021-08-06T13:41:56Z">
        <w:r>
          <w:rPr>
            <w:rFonts w:hint="eastAsia" w:asciiTheme="minorEastAsia" w:hAnsiTheme="minorEastAsia" w:eastAsiaTheme="minorEastAsia" w:cstheme="minorEastAsia"/>
            <w:b/>
            <w:bCs w:val="0"/>
            <w:sz w:val="21"/>
            <w:szCs w:val="21"/>
            <w:lang w:eastAsia="zh-CN"/>
          </w:rPr>
          <w:t>在</w:t>
        </w:r>
      </w:ins>
      <w:ins w:id="5" w:author="Administrator" w:date="2021-08-06T13:41:57Z">
        <w:r>
          <w:rPr>
            <w:rFonts w:hint="eastAsia" w:asciiTheme="minorEastAsia" w:hAnsiTheme="minorEastAsia" w:eastAsiaTheme="minorEastAsia" w:cstheme="minorEastAsia"/>
            <w:b/>
            <w:bCs w:val="0"/>
            <w:sz w:val="21"/>
            <w:szCs w:val="21"/>
            <w:lang w:eastAsia="zh-CN"/>
          </w:rPr>
          <w:t>第一次</w:t>
        </w:r>
      </w:ins>
      <w:ins w:id="6" w:author="Administrator" w:date="2021-08-06T13:41:59Z">
        <w:r>
          <w:rPr>
            <w:rFonts w:hint="eastAsia" w:asciiTheme="minorEastAsia" w:hAnsiTheme="minorEastAsia" w:eastAsiaTheme="minorEastAsia" w:cstheme="minorEastAsia"/>
            <w:b/>
            <w:bCs w:val="0"/>
            <w:sz w:val="21"/>
            <w:szCs w:val="21"/>
            <w:lang w:eastAsia="zh-CN"/>
          </w:rPr>
          <w:t>招标</w:t>
        </w:r>
      </w:ins>
      <w:ins w:id="7" w:author="Administrator" w:date="2021-08-06T13:42:00Z">
        <w:r>
          <w:rPr>
            <w:rFonts w:hint="eastAsia" w:asciiTheme="minorEastAsia" w:hAnsiTheme="minorEastAsia" w:eastAsiaTheme="minorEastAsia" w:cstheme="minorEastAsia"/>
            <w:b/>
            <w:bCs w:val="0"/>
            <w:sz w:val="21"/>
            <w:szCs w:val="21"/>
            <w:lang w:eastAsia="zh-CN"/>
          </w:rPr>
          <w:t>采购</w:t>
        </w:r>
      </w:ins>
      <w:ins w:id="8" w:author="Administrator" w:date="2021-08-06T13:42:02Z">
        <w:r>
          <w:rPr>
            <w:rFonts w:hint="eastAsia" w:asciiTheme="minorEastAsia" w:hAnsiTheme="minorEastAsia" w:eastAsiaTheme="minorEastAsia" w:cstheme="minorEastAsia"/>
            <w:b/>
            <w:bCs w:val="0"/>
            <w:sz w:val="21"/>
            <w:szCs w:val="21"/>
            <w:lang w:eastAsia="zh-CN"/>
          </w:rPr>
          <w:t>活动</w:t>
        </w:r>
      </w:ins>
      <w:ins w:id="9" w:author="Administrator" w:date="2021-08-06T13:42:03Z">
        <w:r>
          <w:rPr>
            <w:rFonts w:hint="eastAsia" w:asciiTheme="minorEastAsia" w:hAnsiTheme="minorEastAsia" w:eastAsiaTheme="minorEastAsia" w:cstheme="minorEastAsia"/>
            <w:b/>
            <w:bCs w:val="0"/>
            <w:sz w:val="21"/>
            <w:szCs w:val="21"/>
            <w:lang w:eastAsia="zh-CN"/>
          </w:rPr>
          <w:t>中</w:t>
        </w:r>
      </w:ins>
      <w:ins w:id="10" w:author="Administrator" w:date="2021-08-06T13:38:53Z">
        <w:r>
          <w:rPr>
            <w:rFonts w:hint="eastAsia" w:asciiTheme="minorEastAsia" w:hAnsiTheme="minorEastAsia" w:eastAsiaTheme="minorEastAsia" w:cstheme="minorEastAsia"/>
            <w:b/>
            <w:bCs w:val="0"/>
            <w:sz w:val="21"/>
            <w:szCs w:val="21"/>
            <w:lang w:eastAsia="zh-CN"/>
            <w:rPrChange w:id="11" w:author="Administrator" w:date="2021-08-06T13:41:42Z">
              <w:rPr>
                <w:rFonts w:hint="eastAsia" w:asciiTheme="minorEastAsia" w:hAnsiTheme="minorEastAsia" w:eastAsiaTheme="minorEastAsia" w:cstheme="minorEastAsia"/>
                <w:sz w:val="21"/>
                <w:szCs w:val="21"/>
                <w:lang w:eastAsia="zh-CN"/>
              </w:rPr>
            </w:rPrChange>
          </w:rPr>
          <w:t>已</w:t>
        </w:r>
      </w:ins>
      <w:ins w:id="13" w:author="Administrator" w:date="2021-08-06T13:38:54Z">
        <w:r>
          <w:rPr>
            <w:rFonts w:hint="eastAsia" w:asciiTheme="minorEastAsia" w:hAnsiTheme="minorEastAsia" w:eastAsiaTheme="minorEastAsia" w:cstheme="minorEastAsia"/>
            <w:b/>
            <w:bCs w:val="0"/>
            <w:sz w:val="21"/>
            <w:szCs w:val="21"/>
            <w:lang w:eastAsia="zh-CN"/>
            <w:rPrChange w:id="14" w:author="Administrator" w:date="2021-08-06T13:41:42Z">
              <w:rPr>
                <w:rFonts w:hint="eastAsia" w:asciiTheme="minorEastAsia" w:hAnsiTheme="minorEastAsia" w:eastAsiaTheme="minorEastAsia" w:cstheme="minorEastAsia"/>
                <w:sz w:val="21"/>
                <w:szCs w:val="21"/>
                <w:lang w:eastAsia="zh-CN"/>
              </w:rPr>
            </w:rPrChange>
          </w:rPr>
          <w:t>经</w:t>
        </w:r>
      </w:ins>
      <w:ins w:id="16" w:author="Administrator" w:date="2021-08-06T13:39:04Z">
        <w:r>
          <w:rPr>
            <w:rFonts w:hint="eastAsia" w:asciiTheme="minorEastAsia" w:hAnsiTheme="minorEastAsia" w:eastAsiaTheme="minorEastAsia" w:cstheme="minorEastAsia"/>
            <w:b/>
            <w:bCs w:val="0"/>
            <w:sz w:val="21"/>
            <w:szCs w:val="21"/>
            <w:lang w:eastAsia="zh-CN"/>
            <w:rPrChange w:id="17" w:author="Administrator" w:date="2021-08-06T13:41:42Z">
              <w:rPr>
                <w:rFonts w:hint="eastAsia" w:asciiTheme="minorEastAsia" w:hAnsiTheme="minorEastAsia" w:eastAsiaTheme="minorEastAsia" w:cstheme="minorEastAsia"/>
                <w:sz w:val="21"/>
                <w:szCs w:val="21"/>
                <w:lang w:eastAsia="zh-CN"/>
              </w:rPr>
            </w:rPrChange>
          </w:rPr>
          <w:t>中标</w:t>
        </w:r>
      </w:ins>
      <w:ins w:id="19" w:author="Administrator" w:date="2021-08-06T13:40:20Z">
        <w:r>
          <w:rPr>
            <w:rFonts w:hint="eastAsia" w:asciiTheme="minorEastAsia" w:hAnsiTheme="minorEastAsia" w:eastAsiaTheme="minorEastAsia" w:cstheme="minorEastAsia"/>
            <w:b/>
            <w:bCs w:val="0"/>
            <w:sz w:val="21"/>
            <w:szCs w:val="21"/>
            <w:lang w:eastAsia="zh-CN"/>
            <w:rPrChange w:id="20" w:author="Administrator" w:date="2021-08-06T13:41:42Z">
              <w:rPr>
                <w:rFonts w:hint="eastAsia" w:asciiTheme="minorEastAsia" w:hAnsiTheme="minorEastAsia" w:eastAsiaTheme="minorEastAsia" w:cstheme="minorEastAsia"/>
                <w:sz w:val="21"/>
                <w:szCs w:val="21"/>
                <w:lang w:eastAsia="zh-CN"/>
              </w:rPr>
            </w:rPrChange>
          </w:rPr>
          <w:t>（</w:t>
        </w:r>
      </w:ins>
      <w:ins w:id="22" w:author="Administrator" w:date="2021-08-06T13:40:22Z">
        <w:r>
          <w:rPr>
            <w:rFonts w:hint="eastAsia" w:asciiTheme="minorEastAsia" w:hAnsiTheme="minorEastAsia" w:eastAsiaTheme="minorEastAsia" w:cstheme="minorEastAsia"/>
            <w:b/>
            <w:bCs w:val="0"/>
            <w:sz w:val="21"/>
            <w:szCs w:val="21"/>
            <w:lang w:eastAsia="zh-CN"/>
            <w:rPrChange w:id="23" w:author="Administrator" w:date="2021-08-06T13:41:42Z">
              <w:rPr>
                <w:rFonts w:hint="eastAsia" w:asciiTheme="minorEastAsia" w:hAnsiTheme="minorEastAsia" w:eastAsiaTheme="minorEastAsia" w:cstheme="minorEastAsia"/>
                <w:sz w:val="21"/>
                <w:szCs w:val="21"/>
                <w:lang w:eastAsia="zh-CN"/>
              </w:rPr>
            </w:rPrChange>
          </w:rPr>
          <w:t>或承接</w:t>
        </w:r>
      </w:ins>
      <w:ins w:id="25" w:author="Administrator" w:date="2021-08-06T13:40:20Z">
        <w:r>
          <w:rPr>
            <w:rFonts w:hint="eastAsia" w:asciiTheme="minorEastAsia" w:hAnsiTheme="minorEastAsia" w:eastAsiaTheme="minorEastAsia" w:cstheme="minorEastAsia"/>
            <w:b/>
            <w:bCs w:val="0"/>
            <w:sz w:val="21"/>
            <w:szCs w:val="21"/>
            <w:lang w:eastAsia="zh-CN"/>
            <w:rPrChange w:id="26" w:author="Administrator" w:date="2021-08-06T13:41:42Z">
              <w:rPr>
                <w:rFonts w:hint="eastAsia" w:asciiTheme="minorEastAsia" w:hAnsiTheme="minorEastAsia" w:eastAsiaTheme="minorEastAsia" w:cstheme="minorEastAsia"/>
                <w:sz w:val="21"/>
                <w:szCs w:val="21"/>
                <w:lang w:eastAsia="zh-CN"/>
              </w:rPr>
            </w:rPrChange>
          </w:rPr>
          <w:t>）</w:t>
        </w:r>
      </w:ins>
      <w:ins w:id="28" w:author="Administrator" w:date="2021-08-06T13:39:09Z">
        <w:r>
          <w:rPr>
            <w:rFonts w:hint="eastAsia" w:asciiTheme="minorEastAsia" w:hAnsiTheme="minorEastAsia" w:eastAsiaTheme="minorEastAsia" w:cstheme="minorEastAsia"/>
            <w:b/>
            <w:bCs w:val="0"/>
            <w:sz w:val="21"/>
            <w:szCs w:val="21"/>
            <w:lang w:eastAsia="zh-CN"/>
            <w:rPrChange w:id="29" w:author="Administrator" w:date="2021-08-06T13:41:42Z">
              <w:rPr>
                <w:rFonts w:hint="eastAsia" w:asciiTheme="minorEastAsia" w:hAnsiTheme="minorEastAsia" w:eastAsiaTheme="minorEastAsia" w:cstheme="minorEastAsia"/>
                <w:sz w:val="21"/>
                <w:szCs w:val="21"/>
                <w:lang w:eastAsia="zh-CN"/>
              </w:rPr>
            </w:rPrChange>
          </w:rPr>
          <w:t>其他</w:t>
        </w:r>
      </w:ins>
      <w:ins w:id="31" w:author="Administrator" w:date="2021-08-06T13:40:09Z">
        <w:r>
          <w:rPr>
            <w:rFonts w:hint="eastAsia" w:asciiTheme="minorEastAsia" w:hAnsiTheme="minorEastAsia" w:eastAsiaTheme="minorEastAsia" w:cstheme="minorEastAsia"/>
            <w:b/>
            <w:bCs w:val="0"/>
            <w:sz w:val="21"/>
            <w:szCs w:val="21"/>
            <w:lang w:eastAsia="zh-CN"/>
            <w:rPrChange w:id="32" w:author="Administrator" w:date="2021-08-06T13:41:42Z">
              <w:rPr>
                <w:rFonts w:hint="eastAsia" w:asciiTheme="minorEastAsia" w:hAnsiTheme="minorEastAsia" w:eastAsiaTheme="minorEastAsia" w:cstheme="minorEastAsia"/>
                <w:sz w:val="21"/>
                <w:szCs w:val="21"/>
                <w:lang w:eastAsia="zh-CN"/>
              </w:rPr>
            </w:rPrChange>
          </w:rPr>
          <w:t>招标</w:t>
        </w:r>
      </w:ins>
      <w:ins w:id="34" w:author="Administrator" w:date="2021-08-06T13:40:12Z">
        <w:r>
          <w:rPr>
            <w:rFonts w:hint="eastAsia" w:asciiTheme="minorEastAsia" w:hAnsiTheme="minorEastAsia" w:eastAsiaTheme="minorEastAsia" w:cstheme="minorEastAsia"/>
            <w:b/>
            <w:bCs w:val="0"/>
            <w:sz w:val="21"/>
            <w:szCs w:val="21"/>
            <w:lang w:eastAsia="zh-CN"/>
            <w:rPrChange w:id="35" w:author="Administrator" w:date="2021-08-06T13:41:42Z">
              <w:rPr>
                <w:rFonts w:hint="eastAsia" w:asciiTheme="minorEastAsia" w:hAnsiTheme="minorEastAsia" w:eastAsiaTheme="minorEastAsia" w:cstheme="minorEastAsia"/>
                <w:sz w:val="21"/>
                <w:szCs w:val="21"/>
                <w:lang w:eastAsia="zh-CN"/>
              </w:rPr>
            </w:rPrChange>
          </w:rPr>
          <w:t>采购</w:t>
        </w:r>
      </w:ins>
      <w:ins w:id="37" w:author="Administrator" w:date="2021-08-06T13:39:12Z">
        <w:r>
          <w:rPr>
            <w:rFonts w:hint="eastAsia" w:asciiTheme="minorEastAsia" w:hAnsiTheme="minorEastAsia" w:eastAsiaTheme="minorEastAsia" w:cstheme="minorEastAsia"/>
            <w:b/>
            <w:bCs w:val="0"/>
            <w:sz w:val="21"/>
            <w:szCs w:val="21"/>
            <w:lang w:eastAsia="zh-CN"/>
            <w:rPrChange w:id="38" w:author="Administrator" w:date="2021-08-06T13:41:42Z">
              <w:rPr>
                <w:rFonts w:hint="eastAsia" w:asciiTheme="minorEastAsia" w:hAnsiTheme="minorEastAsia" w:eastAsiaTheme="minorEastAsia" w:cstheme="minorEastAsia"/>
                <w:sz w:val="21"/>
                <w:szCs w:val="21"/>
                <w:lang w:eastAsia="zh-CN"/>
              </w:rPr>
            </w:rPrChange>
          </w:rPr>
          <w:t>包件</w:t>
        </w:r>
      </w:ins>
      <w:ins w:id="40" w:author="Administrator" w:date="2021-08-06T13:48:26Z">
        <w:r>
          <w:rPr>
            <w:rFonts w:hint="eastAsia" w:asciiTheme="minorEastAsia" w:hAnsiTheme="minorEastAsia" w:eastAsiaTheme="minorEastAsia" w:cstheme="minorEastAsia"/>
            <w:b/>
            <w:bCs w:val="0"/>
            <w:sz w:val="21"/>
            <w:szCs w:val="21"/>
            <w:lang w:eastAsia="zh-CN"/>
          </w:rPr>
          <w:t>（</w:t>
        </w:r>
      </w:ins>
      <w:ins w:id="41" w:author="Administrator" w:date="2021-08-06T13:49:07Z">
        <w:r>
          <w:rPr>
            <w:rFonts w:hint="eastAsia" w:asciiTheme="minorEastAsia" w:hAnsiTheme="minorEastAsia" w:eastAsiaTheme="minorEastAsia" w:cstheme="minorEastAsia"/>
            <w:b/>
            <w:bCs w:val="0"/>
            <w:sz w:val="21"/>
            <w:szCs w:val="21"/>
            <w:lang w:eastAsia="zh-CN"/>
          </w:rPr>
          <w:t>即</w:t>
        </w:r>
      </w:ins>
      <w:ins w:id="42" w:author="Administrator" w:date="2021-08-06T13:48:28Z">
        <w:r>
          <w:rPr>
            <w:rFonts w:hint="eastAsia" w:asciiTheme="minorEastAsia" w:hAnsiTheme="minorEastAsia" w:eastAsiaTheme="minorEastAsia" w:cstheme="minorEastAsia"/>
            <w:b/>
            <w:bCs w:val="0"/>
            <w:sz w:val="21"/>
            <w:szCs w:val="21"/>
            <w:lang w:eastAsia="zh-CN"/>
          </w:rPr>
          <w:t>第一次</w:t>
        </w:r>
      </w:ins>
      <w:ins w:id="43" w:author="Administrator" w:date="2021-08-06T13:49:26Z">
        <w:r>
          <w:rPr>
            <w:rFonts w:hint="eastAsia" w:asciiTheme="minorEastAsia" w:hAnsiTheme="minorEastAsia" w:eastAsiaTheme="minorEastAsia" w:cstheme="minorEastAsia"/>
            <w:b/>
            <w:bCs w:val="0"/>
            <w:sz w:val="21"/>
            <w:szCs w:val="21"/>
            <w:lang w:eastAsia="zh-CN"/>
          </w:rPr>
          <w:t>采购</w:t>
        </w:r>
      </w:ins>
      <w:ins w:id="44" w:author="Administrator" w:date="2021-08-06T13:48:29Z">
        <w:r>
          <w:rPr>
            <w:rFonts w:hint="eastAsia" w:asciiTheme="minorEastAsia" w:hAnsiTheme="minorEastAsia" w:eastAsiaTheme="minorEastAsia" w:cstheme="minorEastAsia"/>
            <w:b/>
            <w:bCs w:val="0"/>
            <w:sz w:val="21"/>
            <w:szCs w:val="21"/>
            <w:lang w:eastAsia="zh-CN"/>
          </w:rPr>
          <w:t>招标</w:t>
        </w:r>
      </w:ins>
      <w:ins w:id="45" w:author="Administrator" w:date="2021-08-06T13:49:00Z">
        <w:r>
          <w:rPr>
            <w:rFonts w:hint="eastAsia" w:asciiTheme="minorEastAsia" w:hAnsiTheme="minorEastAsia" w:eastAsiaTheme="minorEastAsia" w:cstheme="minorEastAsia"/>
            <w:b/>
            <w:bCs w:val="0"/>
            <w:sz w:val="21"/>
            <w:szCs w:val="21"/>
            <w:lang w:eastAsia="zh-CN"/>
          </w:rPr>
          <w:t>文件</w:t>
        </w:r>
      </w:ins>
      <w:ins w:id="46" w:author="Administrator" w:date="2021-08-06T13:48:33Z">
        <w:r>
          <w:rPr>
            <w:rFonts w:hint="eastAsia" w:asciiTheme="minorEastAsia" w:hAnsiTheme="minorEastAsia" w:eastAsiaTheme="minorEastAsia" w:cstheme="minorEastAsia"/>
            <w:b/>
            <w:bCs w:val="0"/>
            <w:sz w:val="21"/>
            <w:szCs w:val="21"/>
            <w:lang w:eastAsia="zh-CN"/>
          </w:rPr>
          <w:t>的</w:t>
        </w:r>
      </w:ins>
      <w:ins w:id="47" w:author="Administrator" w:date="2021-08-06T13:48:37Z">
        <w:r>
          <w:rPr>
            <w:rFonts w:hint="eastAsia" w:asciiTheme="minorEastAsia" w:hAnsiTheme="minorEastAsia" w:eastAsiaTheme="minorEastAsia" w:cstheme="minorEastAsia"/>
            <w:b/>
            <w:bCs w:val="0"/>
            <w:sz w:val="21"/>
            <w:szCs w:val="21"/>
            <w:lang w:eastAsia="zh-CN"/>
          </w:rPr>
          <w:t>包</w:t>
        </w:r>
      </w:ins>
      <w:ins w:id="48" w:author="Administrator" w:date="2021-08-06T13:48:38Z">
        <w:r>
          <w:rPr>
            <w:rFonts w:hint="eastAsia" w:asciiTheme="minorEastAsia" w:hAnsiTheme="minorEastAsia" w:eastAsiaTheme="minorEastAsia" w:cstheme="minorEastAsia"/>
            <w:b/>
            <w:bCs w:val="0"/>
            <w:sz w:val="21"/>
            <w:szCs w:val="21"/>
            <w:lang w:val="en-US" w:eastAsia="zh-CN"/>
          </w:rPr>
          <w:t>1</w:t>
        </w:r>
      </w:ins>
      <w:ins w:id="49" w:author="Administrator" w:date="2021-08-06T13:48:44Z">
        <w:r>
          <w:rPr>
            <w:rFonts w:hint="eastAsia" w:asciiTheme="minorEastAsia" w:hAnsiTheme="minorEastAsia" w:eastAsiaTheme="minorEastAsia" w:cstheme="minorEastAsia"/>
            <w:b/>
            <w:bCs w:val="0"/>
            <w:sz w:val="21"/>
            <w:szCs w:val="21"/>
            <w:lang w:val="en-US" w:eastAsia="zh-CN"/>
          </w:rPr>
          <w:t>、</w:t>
        </w:r>
      </w:ins>
      <w:ins w:id="50" w:author="Administrator" w:date="2021-08-06T13:48:40Z">
        <w:r>
          <w:rPr>
            <w:rFonts w:hint="eastAsia" w:asciiTheme="minorEastAsia" w:hAnsiTheme="minorEastAsia" w:eastAsiaTheme="minorEastAsia" w:cstheme="minorEastAsia"/>
            <w:b/>
            <w:bCs w:val="0"/>
            <w:sz w:val="21"/>
            <w:szCs w:val="21"/>
            <w:lang w:val="en-US" w:eastAsia="zh-CN"/>
          </w:rPr>
          <w:t>2</w:t>
        </w:r>
      </w:ins>
      <w:ins w:id="51" w:author="Administrator" w:date="2021-08-06T13:48:46Z">
        <w:r>
          <w:rPr>
            <w:rFonts w:hint="eastAsia" w:asciiTheme="minorEastAsia" w:hAnsiTheme="minorEastAsia" w:eastAsiaTheme="minorEastAsia" w:cstheme="minorEastAsia"/>
            <w:b/>
            <w:bCs w:val="0"/>
            <w:sz w:val="21"/>
            <w:szCs w:val="21"/>
            <w:lang w:val="en-US" w:eastAsia="zh-CN"/>
          </w:rPr>
          <w:t>、</w:t>
        </w:r>
      </w:ins>
      <w:ins w:id="52" w:author="Administrator" w:date="2021-08-06T13:48:41Z">
        <w:r>
          <w:rPr>
            <w:rFonts w:hint="eastAsia" w:asciiTheme="minorEastAsia" w:hAnsiTheme="minorEastAsia" w:eastAsiaTheme="minorEastAsia" w:cstheme="minorEastAsia"/>
            <w:b/>
            <w:bCs w:val="0"/>
            <w:sz w:val="21"/>
            <w:szCs w:val="21"/>
            <w:lang w:val="en-US" w:eastAsia="zh-CN"/>
          </w:rPr>
          <w:t>3</w:t>
        </w:r>
      </w:ins>
      <w:ins w:id="53" w:author="Administrator" w:date="2021-08-06T13:48:47Z">
        <w:r>
          <w:rPr>
            <w:rFonts w:hint="eastAsia" w:asciiTheme="minorEastAsia" w:hAnsiTheme="minorEastAsia" w:eastAsiaTheme="minorEastAsia" w:cstheme="minorEastAsia"/>
            <w:b/>
            <w:bCs w:val="0"/>
            <w:sz w:val="21"/>
            <w:szCs w:val="21"/>
            <w:lang w:val="en-US" w:eastAsia="zh-CN"/>
          </w:rPr>
          <w:t>、</w:t>
        </w:r>
      </w:ins>
      <w:ins w:id="54" w:author="Administrator" w:date="2021-08-06T13:48:49Z">
        <w:r>
          <w:rPr>
            <w:rFonts w:hint="eastAsia" w:asciiTheme="minorEastAsia" w:hAnsiTheme="minorEastAsia" w:eastAsiaTheme="minorEastAsia" w:cstheme="minorEastAsia"/>
            <w:b/>
            <w:bCs w:val="0"/>
            <w:sz w:val="21"/>
            <w:szCs w:val="21"/>
            <w:lang w:val="en-US" w:eastAsia="zh-CN"/>
          </w:rPr>
          <w:t>6</w:t>
        </w:r>
      </w:ins>
      <w:ins w:id="55" w:author="Administrator" w:date="2021-08-06T13:48:53Z">
        <w:r>
          <w:rPr>
            <w:rFonts w:hint="eastAsia" w:asciiTheme="minorEastAsia" w:hAnsiTheme="minorEastAsia" w:eastAsiaTheme="minorEastAsia" w:cstheme="minorEastAsia"/>
            <w:b/>
            <w:bCs w:val="0"/>
            <w:sz w:val="21"/>
            <w:szCs w:val="21"/>
            <w:lang w:val="en-US" w:eastAsia="zh-CN"/>
          </w:rPr>
          <w:t>、</w:t>
        </w:r>
      </w:ins>
      <w:ins w:id="56" w:author="Administrator" w:date="2021-08-06T13:48:50Z">
        <w:r>
          <w:rPr>
            <w:rFonts w:hint="eastAsia" w:asciiTheme="minorEastAsia" w:hAnsiTheme="minorEastAsia" w:eastAsiaTheme="minorEastAsia" w:cstheme="minorEastAsia"/>
            <w:b/>
            <w:bCs w:val="0"/>
            <w:sz w:val="21"/>
            <w:szCs w:val="21"/>
            <w:lang w:val="en-US" w:eastAsia="zh-CN"/>
          </w:rPr>
          <w:t>7</w:t>
        </w:r>
      </w:ins>
      <w:ins w:id="57" w:author="Administrator" w:date="2021-08-06T13:48:26Z">
        <w:r>
          <w:rPr>
            <w:rFonts w:hint="eastAsia" w:asciiTheme="minorEastAsia" w:hAnsiTheme="minorEastAsia" w:eastAsiaTheme="minorEastAsia" w:cstheme="minorEastAsia"/>
            <w:b/>
            <w:bCs w:val="0"/>
            <w:sz w:val="21"/>
            <w:szCs w:val="21"/>
            <w:lang w:eastAsia="zh-CN"/>
          </w:rPr>
          <w:t>）</w:t>
        </w:r>
      </w:ins>
      <w:ins w:id="58" w:author="Administrator" w:date="2021-08-06T13:41:18Z">
        <w:r>
          <w:rPr>
            <w:rFonts w:hint="eastAsia" w:asciiTheme="minorEastAsia" w:hAnsiTheme="minorEastAsia" w:eastAsiaTheme="minorEastAsia" w:cstheme="minorEastAsia"/>
            <w:b/>
            <w:bCs w:val="0"/>
            <w:sz w:val="21"/>
            <w:szCs w:val="21"/>
            <w:lang w:eastAsia="zh-CN"/>
            <w:rPrChange w:id="59" w:author="Administrator" w:date="2021-08-06T13:41:42Z">
              <w:rPr>
                <w:rFonts w:hint="eastAsia" w:asciiTheme="minorEastAsia" w:hAnsiTheme="minorEastAsia" w:eastAsiaTheme="minorEastAsia" w:cstheme="minorEastAsia"/>
                <w:sz w:val="21"/>
                <w:szCs w:val="21"/>
                <w:lang w:eastAsia="zh-CN"/>
              </w:rPr>
            </w:rPrChange>
          </w:rPr>
          <w:t>的</w:t>
        </w:r>
      </w:ins>
      <w:ins w:id="61" w:author="Administrator" w:date="2021-08-06T13:41:20Z">
        <w:r>
          <w:rPr>
            <w:rFonts w:hint="eastAsia" w:asciiTheme="minorEastAsia" w:hAnsiTheme="minorEastAsia" w:eastAsiaTheme="minorEastAsia" w:cstheme="minorEastAsia"/>
            <w:b/>
            <w:bCs w:val="0"/>
            <w:sz w:val="21"/>
            <w:szCs w:val="21"/>
            <w:lang w:eastAsia="zh-CN"/>
            <w:rPrChange w:id="62" w:author="Administrator" w:date="2021-08-06T13:41:42Z">
              <w:rPr>
                <w:rFonts w:hint="eastAsia" w:asciiTheme="minorEastAsia" w:hAnsiTheme="minorEastAsia" w:eastAsiaTheme="minorEastAsia" w:cstheme="minorEastAsia"/>
                <w:sz w:val="21"/>
                <w:szCs w:val="21"/>
                <w:lang w:eastAsia="zh-CN"/>
              </w:rPr>
            </w:rPrChange>
          </w:rPr>
          <w:t>供应商</w:t>
        </w:r>
      </w:ins>
      <w:ins w:id="64" w:author="Administrator" w:date="2021-08-06T13:41:29Z">
        <w:r>
          <w:rPr>
            <w:rFonts w:hint="eastAsia" w:asciiTheme="minorEastAsia" w:hAnsiTheme="minorEastAsia" w:eastAsiaTheme="minorEastAsia" w:cstheme="minorEastAsia"/>
            <w:b/>
            <w:bCs w:val="0"/>
            <w:sz w:val="21"/>
            <w:szCs w:val="21"/>
            <w:lang w:eastAsia="zh-CN"/>
            <w:rPrChange w:id="65" w:author="Administrator" w:date="2021-08-06T13:41:42Z">
              <w:rPr>
                <w:rFonts w:hint="eastAsia" w:asciiTheme="minorEastAsia" w:hAnsiTheme="minorEastAsia" w:eastAsiaTheme="minorEastAsia" w:cstheme="minorEastAsia"/>
                <w:sz w:val="21"/>
                <w:szCs w:val="21"/>
                <w:lang w:eastAsia="zh-CN"/>
              </w:rPr>
            </w:rPrChange>
          </w:rPr>
          <w:t>参与</w:t>
        </w:r>
      </w:ins>
      <w:ins w:id="67" w:author="Administrator" w:date="2021-08-06T13:42:19Z">
        <w:r>
          <w:rPr>
            <w:rFonts w:hint="eastAsia" w:asciiTheme="minorEastAsia" w:hAnsiTheme="minorEastAsia" w:eastAsiaTheme="minorEastAsia" w:cstheme="minorEastAsia"/>
            <w:b/>
            <w:bCs w:val="0"/>
            <w:sz w:val="21"/>
            <w:szCs w:val="21"/>
            <w:lang w:eastAsia="zh-CN"/>
          </w:rPr>
          <w:t>本次</w:t>
        </w:r>
      </w:ins>
      <w:ins w:id="68" w:author="Administrator" w:date="2021-08-06T13:42:22Z">
        <w:r>
          <w:rPr>
            <w:rFonts w:hint="eastAsia" w:asciiTheme="minorEastAsia" w:hAnsiTheme="minorEastAsia" w:eastAsiaTheme="minorEastAsia" w:cstheme="minorEastAsia"/>
            <w:b/>
            <w:bCs w:val="0"/>
            <w:sz w:val="21"/>
            <w:szCs w:val="21"/>
            <w:lang w:eastAsia="zh-CN"/>
          </w:rPr>
          <w:t>投标的</w:t>
        </w:r>
      </w:ins>
      <w:ins w:id="69" w:author="Administrator" w:date="2021-08-06T13:42:23Z">
        <w:r>
          <w:rPr>
            <w:rFonts w:hint="eastAsia" w:asciiTheme="minorEastAsia" w:hAnsiTheme="minorEastAsia" w:eastAsiaTheme="minorEastAsia" w:cstheme="minorEastAsia"/>
            <w:b/>
            <w:bCs w:val="0"/>
            <w:sz w:val="21"/>
            <w:szCs w:val="21"/>
            <w:lang w:eastAsia="zh-CN"/>
          </w:rPr>
          <w:t>，</w:t>
        </w:r>
      </w:ins>
      <w:ins w:id="70" w:author="Administrator" w:date="2021-08-06T13:42:45Z">
        <w:r>
          <w:rPr>
            <w:rFonts w:hint="eastAsia" w:asciiTheme="minorEastAsia" w:hAnsiTheme="minorEastAsia" w:eastAsiaTheme="minorEastAsia" w:cstheme="minorEastAsia"/>
            <w:b/>
            <w:bCs w:val="0"/>
            <w:sz w:val="21"/>
            <w:szCs w:val="21"/>
            <w:lang w:eastAsia="zh-CN"/>
          </w:rPr>
          <w:t>项目</w:t>
        </w:r>
      </w:ins>
      <w:ins w:id="71" w:author="Administrator" w:date="2021-08-06T13:42:46Z">
        <w:r>
          <w:rPr>
            <w:rFonts w:hint="eastAsia" w:asciiTheme="minorEastAsia" w:hAnsiTheme="minorEastAsia" w:eastAsiaTheme="minorEastAsia" w:cstheme="minorEastAsia"/>
            <w:b/>
            <w:bCs w:val="0"/>
            <w:sz w:val="21"/>
            <w:szCs w:val="21"/>
            <w:lang w:eastAsia="zh-CN"/>
          </w:rPr>
          <w:t>班子</w:t>
        </w:r>
      </w:ins>
      <w:ins w:id="72" w:author="Administrator" w:date="2021-08-06T13:42:49Z">
        <w:r>
          <w:rPr>
            <w:rFonts w:hint="eastAsia" w:asciiTheme="minorEastAsia" w:hAnsiTheme="minorEastAsia" w:eastAsiaTheme="minorEastAsia" w:cstheme="minorEastAsia"/>
            <w:b/>
            <w:bCs w:val="0"/>
            <w:sz w:val="21"/>
            <w:szCs w:val="21"/>
            <w:lang w:eastAsia="zh-CN"/>
          </w:rPr>
          <w:t>技术</w:t>
        </w:r>
      </w:ins>
      <w:ins w:id="73" w:author="Administrator" w:date="2021-08-06T13:42:50Z">
        <w:r>
          <w:rPr>
            <w:rFonts w:hint="eastAsia" w:asciiTheme="minorEastAsia" w:hAnsiTheme="minorEastAsia" w:eastAsiaTheme="minorEastAsia" w:cstheme="minorEastAsia"/>
            <w:b/>
            <w:bCs w:val="0"/>
            <w:sz w:val="21"/>
            <w:szCs w:val="21"/>
            <w:lang w:eastAsia="zh-CN"/>
          </w:rPr>
          <w:t>人员</w:t>
        </w:r>
      </w:ins>
      <w:ins w:id="74" w:author="Administrator" w:date="2021-08-06T13:42:54Z">
        <w:r>
          <w:rPr>
            <w:rFonts w:hint="eastAsia" w:asciiTheme="minorEastAsia" w:hAnsiTheme="minorEastAsia" w:eastAsiaTheme="minorEastAsia" w:cstheme="minorEastAsia"/>
            <w:b/>
            <w:bCs w:val="0"/>
            <w:sz w:val="21"/>
            <w:szCs w:val="21"/>
            <w:lang w:eastAsia="zh-CN"/>
          </w:rPr>
          <w:t>不</w:t>
        </w:r>
      </w:ins>
      <w:ins w:id="75" w:author="Administrator" w:date="2021-08-06T13:42:59Z">
        <w:r>
          <w:rPr>
            <w:rFonts w:hint="eastAsia" w:asciiTheme="minorEastAsia" w:hAnsiTheme="minorEastAsia" w:eastAsiaTheme="minorEastAsia" w:cstheme="minorEastAsia"/>
            <w:b/>
            <w:bCs w:val="0"/>
            <w:sz w:val="21"/>
            <w:szCs w:val="21"/>
            <w:lang w:eastAsia="zh-CN"/>
          </w:rPr>
          <w:t>得</w:t>
        </w:r>
      </w:ins>
      <w:ins w:id="76" w:author="Administrator" w:date="2021-08-06T13:42:54Z">
        <w:r>
          <w:rPr>
            <w:rFonts w:hint="eastAsia" w:asciiTheme="minorEastAsia" w:hAnsiTheme="minorEastAsia" w:eastAsiaTheme="minorEastAsia" w:cstheme="minorEastAsia"/>
            <w:b/>
            <w:bCs w:val="0"/>
            <w:sz w:val="21"/>
            <w:szCs w:val="21"/>
            <w:lang w:eastAsia="zh-CN"/>
          </w:rPr>
          <w:t>是</w:t>
        </w:r>
      </w:ins>
      <w:ins w:id="77" w:author="Administrator" w:date="2021-08-06T13:43:07Z">
        <w:r>
          <w:rPr>
            <w:rFonts w:hint="eastAsia" w:asciiTheme="minorEastAsia" w:hAnsiTheme="minorEastAsia" w:eastAsiaTheme="minorEastAsia" w:cstheme="minorEastAsia"/>
            <w:b/>
            <w:bCs w:val="0"/>
            <w:sz w:val="21"/>
            <w:szCs w:val="21"/>
            <w:lang w:eastAsia="zh-CN"/>
          </w:rPr>
          <w:t>已</w:t>
        </w:r>
      </w:ins>
      <w:ins w:id="78" w:author="Administrator" w:date="2021-08-06T13:43:11Z">
        <w:r>
          <w:rPr>
            <w:rFonts w:hint="eastAsia" w:asciiTheme="minorEastAsia" w:hAnsiTheme="minorEastAsia" w:eastAsiaTheme="minorEastAsia" w:cstheme="minorEastAsia"/>
            <w:b/>
            <w:bCs w:val="0"/>
            <w:sz w:val="21"/>
            <w:szCs w:val="21"/>
            <w:lang w:eastAsia="zh-CN"/>
          </w:rPr>
          <w:t>中标</w:t>
        </w:r>
      </w:ins>
      <w:ins w:id="79" w:author="Administrator" w:date="2021-08-06T13:43:47Z">
        <w:r>
          <w:rPr>
            <w:rFonts w:hint="eastAsia" w:asciiTheme="minorEastAsia" w:hAnsiTheme="minorEastAsia" w:eastAsiaTheme="minorEastAsia" w:cstheme="minorEastAsia"/>
            <w:b/>
            <w:bCs w:val="0"/>
            <w:sz w:val="21"/>
            <w:szCs w:val="21"/>
            <w:lang w:eastAsia="zh-CN"/>
          </w:rPr>
          <w:t>包件的</w:t>
        </w:r>
      </w:ins>
      <w:ins w:id="80" w:author="Administrator" w:date="2021-08-06T13:44:14Z">
        <w:r>
          <w:rPr>
            <w:rFonts w:hint="eastAsia" w:asciiTheme="minorEastAsia" w:hAnsiTheme="minorEastAsia" w:eastAsiaTheme="minorEastAsia" w:cstheme="minorEastAsia"/>
            <w:b/>
            <w:bCs w:val="0"/>
            <w:sz w:val="21"/>
            <w:szCs w:val="21"/>
            <w:lang w:val="en-US" w:eastAsia="zh-CN"/>
          </w:rPr>
          <w:t>项目班子技术人员</w:t>
        </w:r>
      </w:ins>
      <w:ins w:id="81" w:author="Administrator" w:date="2021-08-06T13:45:21Z">
        <w:r>
          <w:rPr>
            <w:rFonts w:hint="eastAsia" w:asciiTheme="minorEastAsia" w:hAnsiTheme="minorEastAsia" w:eastAsiaTheme="minorEastAsia" w:cstheme="minorEastAsia"/>
            <w:b/>
            <w:bCs w:val="0"/>
            <w:sz w:val="21"/>
            <w:szCs w:val="21"/>
            <w:lang w:val="en-US" w:eastAsia="zh-CN"/>
          </w:rPr>
          <w:t>，</w:t>
        </w:r>
      </w:ins>
      <w:ins w:id="82" w:author="Administrator" w:date="2021-08-06T13:45:22Z">
        <w:r>
          <w:rPr>
            <w:rFonts w:hint="eastAsia" w:asciiTheme="minorEastAsia" w:hAnsiTheme="minorEastAsia" w:eastAsiaTheme="minorEastAsia" w:cstheme="minorEastAsia"/>
            <w:b/>
            <w:bCs w:val="0"/>
            <w:sz w:val="21"/>
            <w:szCs w:val="21"/>
            <w:lang w:val="en-US" w:eastAsia="zh-CN"/>
          </w:rPr>
          <w:t>否则</w:t>
        </w:r>
      </w:ins>
      <w:ins w:id="83" w:author="Administrator" w:date="2021-08-06T13:45:23Z">
        <w:r>
          <w:rPr>
            <w:rFonts w:hint="eastAsia" w:asciiTheme="minorEastAsia" w:hAnsiTheme="minorEastAsia" w:eastAsiaTheme="minorEastAsia" w:cstheme="minorEastAsia"/>
            <w:b/>
            <w:bCs w:val="0"/>
            <w:sz w:val="21"/>
            <w:szCs w:val="21"/>
            <w:lang w:val="en-US" w:eastAsia="zh-CN"/>
          </w:rPr>
          <w:t>按</w:t>
        </w:r>
      </w:ins>
      <w:ins w:id="84" w:author="Administrator" w:date="2021-08-06T13:45:24Z">
        <w:r>
          <w:rPr>
            <w:rFonts w:hint="eastAsia" w:asciiTheme="minorEastAsia" w:hAnsiTheme="minorEastAsia" w:eastAsiaTheme="minorEastAsia" w:cstheme="minorEastAsia"/>
            <w:b/>
            <w:bCs w:val="0"/>
            <w:sz w:val="21"/>
            <w:szCs w:val="21"/>
            <w:lang w:val="en-US" w:eastAsia="zh-CN"/>
          </w:rPr>
          <w:t>无</w:t>
        </w:r>
      </w:ins>
      <w:ins w:id="85" w:author="Administrator" w:date="2021-08-06T13:45:29Z">
        <w:r>
          <w:rPr>
            <w:rFonts w:hint="eastAsia" w:asciiTheme="minorEastAsia" w:hAnsiTheme="minorEastAsia" w:eastAsiaTheme="minorEastAsia" w:cstheme="minorEastAsia"/>
            <w:b/>
            <w:bCs w:val="0"/>
            <w:sz w:val="21"/>
            <w:szCs w:val="21"/>
            <w:lang w:val="en-US" w:eastAsia="zh-CN"/>
          </w:rPr>
          <w:t>效</w:t>
        </w:r>
      </w:ins>
      <w:ins w:id="86" w:author="Administrator" w:date="2021-08-06T13:45:30Z">
        <w:r>
          <w:rPr>
            <w:rFonts w:hint="eastAsia" w:asciiTheme="minorEastAsia" w:hAnsiTheme="minorEastAsia" w:eastAsiaTheme="minorEastAsia" w:cstheme="minorEastAsia"/>
            <w:b/>
            <w:bCs w:val="0"/>
            <w:sz w:val="21"/>
            <w:szCs w:val="21"/>
            <w:lang w:val="en-US" w:eastAsia="zh-CN"/>
          </w:rPr>
          <w:t>投标</w:t>
        </w:r>
      </w:ins>
      <w:ins w:id="87" w:author="Administrator" w:date="2021-08-06T13:45:31Z">
        <w:r>
          <w:rPr>
            <w:rFonts w:hint="eastAsia" w:asciiTheme="minorEastAsia" w:hAnsiTheme="minorEastAsia" w:eastAsiaTheme="minorEastAsia" w:cstheme="minorEastAsia"/>
            <w:b/>
            <w:bCs w:val="0"/>
            <w:sz w:val="21"/>
            <w:szCs w:val="21"/>
            <w:lang w:val="en-US" w:eastAsia="zh-CN"/>
          </w:rPr>
          <w:t>处理</w:t>
        </w:r>
      </w:ins>
      <w:ins w:id="88" w:author="Administrator" w:date="2021-08-06T13:43:54Z">
        <w:r>
          <w:rPr>
            <w:rFonts w:hint="eastAsia" w:asciiTheme="minorEastAsia" w:hAnsiTheme="minorEastAsia" w:eastAsiaTheme="minorEastAsia" w:cstheme="minorEastAsia"/>
            <w:b/>
            <w:bCs w:val="0"/>
            <w:sz w:val="21"/>
            <w:szCs w:val="21"/>
            <w:lang w:eastAsia="zh-CN"/>
          </w:rPr>
          <w:t>。</w:t>
        </w:r>
      </w:ins>
      <w:ins w:id="89" w:author="Administrator" w:date="2021-08-06T14:00:03Z">
        <w:r>
          <w:rPr>
            <w:rFonts w:hint="eastAsia" w:asciiTheme="minorEastAsia" w:hAnsiTheme="minorEastAsia" w:eastAsiaTheme="minorEastAsia" w:cstheme="minorEastAsia"/>
            <w:b/>
            <w:bCs w:val="0"/>
            <w:sz w:val="21"/>
            <w:szCs w:val="21"/>
            <w:lang w:eastAsia="zh-CN"/>
          </w:rPr>
          <w:t>（</w:t>
        </w:r>
      </w:ins>
      <w:ins w:id="90" w:author="Administrator" w:date="2021-08-06T14:00:06Z">
        <w:r>
          <w:rPr>
            <w:rFonts w:hint="eastAsia" w:ascii="宋体"/>
            <w:b/>
            <w:bCs/>
            <w:color w:val="000000"/>
            <w:sz w:val="21"/>
            <w:szCs w:val="21"/>
          </w:rPr>
          <w:t>实质性要求</w:t>
        </w:r>
      </w:ins>
      <w:ins w:id="91" w:author="Administrator" w:date="2021-08-06T14:00:03Z">
        <w:r>
          <w:rPr>
            <w:rFonts w:hint="eastAsia" w:asciiTheme="minorEastAsia" w:hAnsiTheme="minorEastAsia" w:eastAsiaTheme="minorEastAsia" w:cstheme="minorEastAsia"/>
            <w:b/>
            <w:bCs w:val="0"/>
            <w:sz w:val="21"/>
            <w:szCs w:val="21"/>
            <w:lang w:eastAsia="zh-CN"/>
          </w:rPr>
          <w:t>）</w:t>
        </w:r>
      </w:ins>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w:t>
      </w:r>
      <w:r>
        <w:rPr>
          <w:rFonts w:hint="eastAsia" w:asciiTheme="minorEastAsia" w:hAnsiTheme="minorEastAsia" w:eastAsiaTheme="minorEastAsia" w:cstheme="minorEastAsia"/>
          <w:sz w:val="21"/>
          <w:szCs w:val="21"/>
          <w:lang w:eastAsia="zh-CN"/>
        </w:rPr>
        <w:t>接受并服从采购人制定或修订的相关管理办法及工作质量考核办法。</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11、</w:t>
      </w:r>
      <w:r>
        <w:rPr>
          <w:rFonts w:hint="eastAsia" w:asciiTheme="minorEastAsia" w:hAnsiTheme="minorEastAsia" w:eastAsiaTheme="minorEastAsia" w:cstheme="minorEastAsia"/>
          <w:sz w:val="21"/>
          <w:szCs w:val="21"/>
          <w:lang w:eastAsia="zh-CN"/>
        </w:rPr>
        <w:t>中标人在服务期间，可能因国家政策变化或其他原因导致无具体业务执行，采购人不保证中标人的具体业务量，均按实际发生业务结算。请投标人考虑此风险的情况下自主决定是否参与本项目。</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eastAsia="zh-CN"/>
        </w:rPr>
        <w:t>评审执行回避原则，承担同一项目可行性研究报告或项目建议书编制的咨询单位不得承担同一项目可行性研究报告或项目建议书评审任务，承担评估任务的工程咨询机构，与同一事项的编制单位、项目业主单位之间不存在控股、管理关系或负责人为同一人的重大关联关系。</w:t>
      </w:r>
    </w:p>
    <w:p>
      <w:pPr>
        <w:pStyle w:val="185"/>
        <w:keepNext w:val="0"/>
        <w:keepLines w:val="0"/>
        <w:pageBreakBefore w:val="0"/>
        <w:kinsoku/>
        <w:wordWrap/>
        <w:overflowPunct/>
        <w:topLinePunct w:val="0"/>
        <w:autoSpaceDE/>
        <w:autoSpaceDN/>
        <w:bidi w:val="0"/>
        <w:adjustRightInd/>
        <w:snapToGrid w:val="0"/>
        <w:spacing w:line="240" w:lineRule="auto"/>
        <w:ind w:firstLine="422" w:firstLineChars="200"/>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w:t>
      </w:r>
      <w:r>
        <w:rPr>
          <w:rFonts w:hint="eastAsia" w:asciiTheme="minorEastAsia" w:hAnsiTheme="minorEastAsia" w:eastAsiaTheme="minorEastAsia" w:cstheme="minorEastAsia"/>
          <w:b/>
          <w:sz w:val="21"/>
          <w:szCs w:val="21"/>
        </w:rPr>
        <w:t>三、商务要求</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1、服务期：</w:t>
      </w:r>
      <w:r>
        <w:rPr>
          <w:rFonts w:hint="eastAsia" w:asciiTheme="minorEastAsia" w:hAnsiTheme="minorEastAsia" w:eastAsiaTheme="minorEastAsia" w:cstheme="minorEastAsia"/>
          <w:sz w:val="21"/>
          <w:szCs w:val="21"/>
          <w:lang w:eastAsia="zh-CN"/>
        </w:rPr>
        <w:t>自合同签订之日起</w:t>
      </w:r>
      <w:r>
        <w:rPr>
          <w:rFonts w:hint="eastAsia" w:asciiTheme="minorEastAsia" w:hAnsiTheme="minorEastAsia" w:eastAsiaTheme="minorEastAsia" w:cstheme="minorEastAsia"/>
          <w:sz w:val="21"/>
          <w:szCs w:val="21"/>
          <w:lang w:val="en-US" w:eastAsia="zh-CN"/>
        </w:rPr>
        <w:t>1年</w:t>
      </w:r>
      <w:r>
        <w:rPr>
          <w:rFonts w:hint="eastAsia" w:asciiTheme="minorEastAsia" w:hAnsiTheme="minorEastAsia" w:eastAsiaTheme="minorEastAsia" w:cstheme="minorEastAsia"/>
          <w:sz w:val="21"/>
          <w:szCs w:val="21"/>
        </w:rPr>
        <w:t>。</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2、合同签订要求：收到中标通知书之日起30日内签订合同。</w:t>
      </w:r>
    </w:p>
    <w:p>
      <w:pPr>
        <w:keepNext w:val="0"/>
        <w:keepLines w:val="0"/>
        <w:pageBreakBefore w:val="0"/>
        <w:kinsoku/>
        <w:wordWrap/>
        <w:overflowPunct/>
        <w:topLinePunct w:val="0"/>
        <w:autoSpaceDE/>
        <w:autoSpaceDN/>
        <w:bidi w:val="0"/>
        <w:adjustRightInd/>
        <w:spacing w:line="240" w:lineRule="auto"/>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3、最高限价=费用基准价×行业调整系数×投资规模调整系数×评审工作质量调整系数×</w:t>
      </w:r>
      <w:r>
        <w:rPr>
          <w:rFonts w:hint="eastAsia" w:asciiTheme="minorEastAsia" w:hAnsiTheme="minorEastAsia" w:eastAsiaTheme="minorEastAsia" w:cstheme="minorEastAsia"/>
          <w:sz w:val="21"/>
          <w:szCs w:val="21"/>
          <w:lang w:eastAsia="zh-CN"/>
        </w:rPr>
        <w:t>工程复杂程度调整系数，具体计算方法详见附件一。评审咨询费</w:t>
      </w:r>
      <w:r>
        <w:rPr>
          <w:rFonts w:hint="eastAsia" w:asciiTheme="minorEastAsia" w:hAnsiTheme="minorEastAsia" w:eastAsiaTheme="minorEastAsia" w:cstheme="minorEastAsia"/>
          <w:sz w:val="21"/>
          <w:szCs w:val="21"/>
        </w:rPr>
        <w:t>支付标准：采购人依据</w:t>
      </w:r>
      <w:r>
        <w:rPr>
          <w:rFonts w:hint="eastAsia" w:asciiTheme="minorEastAsia" w:hAnsiTheme="minorEastAsia" w:eastAsiaTheme="minorEastAsia" w:cstheme="minorEastAsia"/>
          <w:sz w:val="21"/>
          <w:szCs w:val="21"/>
          <w:lang w:eastAsia="zh-CN"/>
        </w:rPr>
        <w:t>最高限价计算方法</w:t>
      </w:r>
      <w:r>
        <w:rPr>
          <w:rFonts w:hint="eastAsia" w:asciiTheme="minorEastAsia" w:hAnsiTheme="minorEastAsia" w:eastAsiaTheme="minorEastAsia" w:cstheme="minorEastAsia"/>
          <w:sz w:val="21"/>
          <w:szCs w:val="21"/>
        </w:rPr>
        <w:t>和中标人报价比例，对委托评审项目费用进行计算</w:t>
      </w:r>
      <w:r>
        <w:rPr>
          <w:rFonts w:hint="eastAsia" w:asciiTheme="minorEastAsia" w:hAnsiTheme="minorEastAsia" w:eastAsiaTheme="minorEastAsia" w:cstheme="minorEastAsia"/>
          <w:sz w:val="21"/>
          <w:szCs w:val="21"/>
          <w:lang w:eastAsia="zh-CN"/>
        </w:rPr>
        <w:t>；即</w:t>
      </w:r>
      <w:r>
        <w:rPr>
          <w:rFonts w:hint="eastAsia" w:asciiTheme="minorEastAsia" w:hAnsiTheme="minorEastAsia" w:eastAsiaTheme="minorEastAsia" w:cstheme="minorEastAsia"/>
          <w:sz w:val="21"/>
          <w:szCs w:val="21"/>
        </w:rPr>
        <w:t>实际支付评审费=费用基准价×行业调整系数×投资规模调整系数×评审工作质量调整系数×</w:t>
      </w:r>
      <w:r>
        <w:rPr>
          <w:rFonts w:hint="eastAsia" w:asciiTheme="minorEastAsia" w:hAnsiTheme="minorEastAsia" w:eastAsiaTheme="minorEastAsia" w:cstheme="minorEastAsia"/>
          <w:sz w:val="21"/>
          <w:szCs w:val="21"/>
          <w:lang w:eastAsia="zh-CN"/>
        </w:rPr>
        <w:t>工程复杂程度调整系数</w:t>
      </w:r>
      <w:r>
        <w:rPr>
          <w:rFonts w:hint="eastAsia" w:asciiTheme="minorEastAsia" w:hAnsiTheme="minorEastAsia" w:eastAsiaTheme="minorEastAsia" w:cstheme="minorEastAsia"/>
          <w:sz w:val="21"/>
          <w:szCs w:val="21"/>
        </w:rPr>
        <w:t>×中标人报价比例。</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咨询费支付：中标</w:t>
      </w:r>
      <w:r>
        <w:rPr>
          <w:rFonts w:hint="eastAsia" w:asciiTheme="minorEastAsia" w:hAnsiTheme="minorEastAsia" w:eastAsiaTheme="minorEastAsia" w:cstheme="minorEastAsia"/>
          <w:sz w:val="21"/>
          <w:szCs w:val="21"/>
          <w:lang w:val="en-US" w:eastAsia="zh-CN"/>
        </w:rPr>
        <w:t>供应商按照采购方要求，完成项目可行性研究报告（项目建议书）评审任务后，按合同约定的报价计取费用并出具正式发票给采购人，由采购人按双流区财政相关管理规定申请该项全额费用。</w:t>
      </w:r>
    </w:p>
    <w:p>
      <w:pPr>
        <w:keepNext w:val="0"/>
        <w:keepLines w:val="0"/>
        <w:pageBreakBefore w:val="0"/>
        <w:kinsoku/>
        <w:wordWrap/>
        <w:overflowPunct/>
        <w:topLinePunct w:val="0"/>
        <w:autoSpaceDE/>
        <w:autoSpaceDN/>
        <w:bidi w:val="0"/>
        <w:adjustRightInd/>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验收：按照《财政部关于进一步加强政府采购需求和履约验收管理的指导意见》(财库〔2016〕205 号)的要求进行。</w:t>
      </w:r>
    </w:p>
    <w:p>
      <w:pPr>
        <w:spacing w:line="360" w:lineRule="auto"/>
        <w:ind w:firstLine="420" w:firstLineChars="200"/>
        <w:rPr>
          <w:rFonts w:hint="eastAsia" w:asciiTheme="minorEastAsia" w:hAnsiTheme="minorEastAsia" w:eastAsiaTheme="minorEastAsia" w:cstheme="minorEastAsia"/>
          <w:sz w:val="21"/>
          <w:szCs w:val="21"/>
        </w:rPr>
      </w:pPr>
    </w:p>
    <w:p>
      <w:pPr>
        <w:spacing w:line="360" w:lineRule="auto"/>
        <w:ind w:firstLine="420" w:firstLineChars="200"/>
        <w:rPr>
          <w:rFonts w:hint="eastAsia" w:asciiTheme="minorEastAsia" w:hAnsiTheme="minorEastAsia" w:eastAsiaTheme="minorEastAsia" w:cstheme="minorEastAsia"/>
          <w:sz w:val="21"/>
          <w:szCs w:val="21"/>
        </w:rPr>
      </w:pPr>
    </w:p>
    <w:p>
      <w:pPr>
        <w:pStyle w:val="14"/>
        <w:spacing w:line="400" w:lineRule="exact"/>
        <w:ind w:firstLine="369" w:firstLineChars="175"/>
        <w:rPr>
          <w:rFonts w:asciiTheme="minorEastAsia" w:hAnsiTheme="minorEastAsia" w:eastAsiaTheme="minorEastAsia" w:cstheme="minorEastAsia"/>
          <w:sz w:val="21"/>
          <w:szCs w:val="21"/>
        </w:rPr>
      </w:pPr>
      <w:r>
        <w:rPr>
          <w:rFonts w:hint="eastAsia" w:ascii="宋体"/>
          <w:b/>
          <w:bCs/>
          <w:color w:val="000000"/>
          <w:sz w:val="21"/>
          <w:szCs w:val="21"/>
        </w:rPr>
        <w:t>注意：以上打*号的为本次招标项目的实质性要求，不允许有负偏离。</w:t>
      </w:r>
      <w:r>
        <w:rPr>
          <w:rFonts w:hint="eastAsia" w:asciiTheme="minorEastAsia" w:hAnsiTheme="minorEastAsia" w:eastAsiaTheme="minorEastAsia" w:cstheme="minorEastAsia"/>
          <w:sz w:val="21"/>
          <w:szCs w:val="21"/>
        </w:rPr>
        <w:br w:type="page"/>
      </w:r>
    </w:p>
    <w:p>
      <w:pPr>
        <w:rPr>
          <w:rFonts w:cs="方正仿宋_GBK" w:asciiTheme="minorEastAsia" w:hAnsiTheme="minorEastAsia" w:eastAsiaTheme="minorEastAsia"/>
          <w:b/>
          <w:sz w:val="21"/>
          <w:szCs w:val="21"/>
        </w:rPr>
      </w:pPr>
      <w:r>
        <w:rPr>
          <w:rFonts w:cs="方正仿宋_GBK" w:asciiTheme="minorEastAsia" w:hAnsiTheme="minorEastAsia" w:eastAsiaTheme="minorEastAsia"/>
          <w:b/>
          <w:sz w:val="21"/>
          <w:szCs w:val="21"/>
        </w:rPr>
        <w:t>附件一</w:t>
      </w:r>
    </w:p>
    <w:p>
      <w:pPr>
        <w:ind w:firstLine="420" w:firstLineChars="200"/>
        <w:rPr>
          <w:rFonts w:hint="eastAsia" w:cs="方正仿宋_GBK" w:asciiTheme="minorEastAsia" w:hAnsiTheme="minorEastAsia" w:eastAsiaTheme="minorEastAsia"/>
          <w:sz w:val="21"/>
          <w:szCs w:val="21"/>
        </w:rPr>
      </w:pPr>
      <w:r>
        <w:rPr>
          <w:rFonts w:hint="eastAsia" w:cs="方正仿宋_GBK" w:asciiTheme="minorEastAsia" w:hAnsiTheme="minorEastAsia" w:eastAsiaTheme="minorEastAsia"/>
          <w:sz w:val="21"/>
          <w:szCs w:val="21"/>
        </w:rPr>
        <w:t>工程咨询类评审服务费用参照《建设项目前期工作咨询收费暂行规定》（计价格〔1999〕1283号）、《关于转发国家计委《印发建设项目前期工作咨询收费暂行规定的通知》的通知》（川价字费〔2000〕35号），</w:t>
      </w:r>
    </w:p>
    <w:p>
      <w:pPr>
        <w:ind w:firstLine="420" w:firstLineChars="200"/>
        <w:rPr>
          <w:rFonts w:hint="eastAsia" w:cs="方正仿宋_GBK" w:asciiTheme="minorEastAsia" w:hAnsiTheme="minorEastAsia" w:eastAsiaTheme="minorEastAsia"/>
          <w:sz w:val="21"/>
          <w:szCs w:val="21"/>
        </w:rPr>
      </w:pPr>
      <w:r>
        <w:rPr>
          <w:rFonts w:hint="eastAsia" w:cs="方正仿宋_GBK" w:asciiTheme="minorEastAsia" w:hAnsiTheme="minorEastAsia" w:eastAsiaTheme="minorEastAsia"/>
          <w:sz w:val="21"/>
          <w:szCs w:val="21"/>
        </w:rPr>
        <w:t>最高限价=费用基准价×行业调整系数×投资规模调整系数×评审工作质量调整系数×</w:t>
      </w:r>
      <w:r>
        <w:rPr>
          <w:rFonts w:hint="eastAsia" w:cs="方正仿宋_GBK" w:asciiTheme="minorEastAsia" w:hAnsiTheme="minorEastAsia" w:eastAsiaTheme="minorEastAsia"/>
          <w:sz w:val="21"/>
          <w:szCs w:val="21"/>
          <w:lang w:eastAsia="zh-CN"/>
        </w:rPr>
        <w:t>工程复杂程度调整系数；</w:t>
      </w:r>
    </w:p>
    <w:p>
      <w:pPr>
        <w:ind w:firstLine="420" w:firstLineChars="200"/>
        <w:rPr>
          <w:rFonts w:hint="eastAsia" w:cs="方正仿宋_GBK" w:asciiTheme="minorEastAsia" w:hAnsiTheme="minorEastAsia" w:eastAsiaTheme="minorEastAsia"/>
          <w:sz w:val="21"/>
          <w:szCs w:val="21"/>
          <w:lang w:eastAsia="zh-CN"/>
        </w:rPr>
      </w:pPr>
      <w:r>
        <w:rPr>
          <w:rFonts w:hint="eastAsia" w:asciiTheme="minorEastAsia" w:hAnsiTheme="minorEastAsia" w:eastAsiaTheme="minorEastAsia" w:cstheme="minorEastAsia"/>
          <w:sz w:val="21"/>
          <w:szCs w:val="21"/>
        </w:rPr>
        <w:t>实际支付评审费=费用基准价×行业调整系数×投资规模调整系数×评审工作质量调整系数×</w:t>
      </w:r>
      <w:r>
        <w:rPr>
          <w:rFonts w:hint="eastAsia" w:asciiTheme="minorEastAsia" w:hAnsiTheme="minorEastAsia" w:eastAsiaTheme="minorEastAsia" w:cstheme="minorEastAsia"/>
          <w:sz w:val="21"/>
          <w:szCs w:val="21"/>
          <w:lang w:eastAsia="zh-CN"/>
        </w:rPr>
        <w:t>工程复杂程度调整系数</w:t>
      </w:r>
      <w:r>
        <w:rPr>
          <w:rFonts w:hint="eastAsia" w:asciiTheme="minorEastAsia" w:hAnsiTheme="minorEastAsia" w:eastAsiaTheme="minorEastAsia" w:cstheme="minorEastAsia"/>
          <w:sz w:val="21"/>
          <w:szCs w:val="21"/>
        </w:rPr>
        <w:t>×中标人报价比例</w:t>
      </w:r>
      <w:r>
        <w:rPr>
          <w:rFonts w:hint="eastAsia" w:asciiTheme="minorEastAsia" w:hAnsiTheme="minorEastAsia" w:eastAsiaTheme="minorEastAsia" w:cstheme="minorEastAsia"/>
          <w:sz w:val="21"/>
          <w:szCs w:val="21"/>
          <w:lang w:eastAsia="zh-CN"/>
        </w:rPr>
        <w:t>；</w:t>
      </w:r>
    </w:p>
    <w:p>
      <w:pPr>
        <w:adjustRightInd w:val="0"/>
        <w:snapToGrid w:val="0"/>
        <w:ind w:firstLine="420" w:firstLineChars="200"/>
        <w:rPr>
          <w:rFonts w:cs="方正仿宋_GBK" w:asciiTheme="minorEastAsia" w:hAnsiTheme="minorEastAsia" w:eastAsiaTheme="minorEastAsia"/>
          <w:sz w:val="21"/>
          <w:szCs w:val="21"/>
        </w:rPr>
      </w:pPr>
      <w:r>
        <w:rPr>
          <w:rFonts w:hint="eastAsia" w:cs="方正仿宋_GBK" w:asciiTheme="minorEastAsia" w:hAnsiTheme="minorEastAsia" w:eastAsiaTheme="minorEastAsia"/>
          <w:sz w:val="21"/>
          <w:szCs w:val="21"/>
        </w:rPr>
        <w:t>1、费用基准价</w:t>
      </w:r>
    </w:p>
    <w:p>
      <w:pPr>
        <w:adjustRightInd w:val="0"/>
        <w:snapToGrid w:val="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单位：万元</w:t>
      </w:r>
    </w:p>
    <w:tbl>
      <w:tblPr>
        <w:tblStyle w:val="48"/>
        <w:tblW w:w="10284" w:type="dxa"/>
        <w:tblInd w:w="-23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7"/>
        <w:gridCol w:w="1043"/>
        <w:gridCol w:w="1421"/>
        <w:gridCol w:w="1211"/>
        <w:gridCol w:w="1037"/>
        <w:gridCol w:w="1037"/>
        <w:gridCol w:w="1164"/>
        <w:gridCol w:w="13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2" w:hRule="atLeast"/>
        </w:trPr>
        <w:tc>
          <w:tcPr>
            <w:tcW w:w="1987" w:type="dxa"/>
            <w:tcBorders>
              <w:tl2br w:val="single" w:color="000000" w:themeColor="text1" w:sz="4" w:space="0"/>
            </w:tcBorders>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估算投资额</w:t>
            </w:r>
          </w:p>
          <w:p>
            <w:pPr>
              <w:adjustRightInd w:val="0"/>
              <w:snapToGrid w:val="0"/>
              <w:ind w:firstLine="420" w:firstLineChars="200"/>
              <w:jc w:val="center"/>
              <w:rPr>
                <w:rFonts w:asciiTheme="minorEastAsia" w:hAnsiTheme="minorEastAsia" w:eastAsiaTheme="minorEastAsia" w:cstheme="minorBidi"/>
                <w:sz w:val="21"/>
                <w:szCs w:val="21"/>
              </w:rPr>
            </w:pPr>
          </w:p>
          <w:p>
            <w:pPr>
              <w:adjustRightInd w:val="0"/>
              <w:snapToGrid w:val="0"/>
              <w:ind w:firstLine="420" w:firstLineChars="200"/>
              <w:jc w:val="center"/>
              <w:rPr>
                <w:rFonts w:asciiTheme="minorEastAsia" w:hAnsiTheme="minorEastAsia" w:eastAsiaTheme="minorEastAsia" w:cstheme="minorBidi"/>
                <w:sz w:val="21"/>
                <w:szCs w:val="21"/>
              </w:rPr>
            </w:pPr>
          </w:p>
          <w:p>
            <w:pPr>
              <w:adjustRightInd w:val="0"/>
              <w:snapToGrid w:val="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评审服务项目</w:t>
            </w:r>
          </w:p>
        </w:tc>
        <w:tc>
          <w:tcPr>
            <w:tcW w:w="1043" w:type="dxa"/>
            <w:vAlign w:val="center"/>
          </w:tcPr>
          <w:p>
            <w:pPr>
              <w:adjustRightInd w:val="0"/>
              <w:snapToGrid w:val="0"/>
              <w:jc w:val="center"/>
              <w:rPr>
                <w:rFonts w:asciiTheme="minorEastAsia" w:hAnsiTheme="minorEastAsia" w:eastAsiaTheme="minorEastAsia" w:cstheme="minorBidi"/>
                <w:w w:val="90"/>
                <w:sz w:val="21"/>
                <w:szCs w:val="21"/>
              </w:rPr>
            </w:pPr>
            <w:r>
              <w:rPr>
                <w:rFonts w:hint="eastAsia" w:asciiTheme="minorEastAsia" w:hAnsiTheme="minorEastAsia" w:eastAsiaTheme="minorEastAsia" w:cstheme="minorBidi"/>
                <w:w w:val="90"/>
                <w:sz w:val="21"/>
                <w:szCs w:val="21"/>
              </w:rPr>
              <w:t>1000万元以下</w:t>
            </w:r>
          </w:p>
        </w:tc>
        <w:tc>
          <w:tcPr>
            <w:tcW w:w="1421"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1000万元—3000万元</w:t>
            </w:r>
          </w:p>
        </w:tc>
        <w:tc>
          <w:tcPr>
            <w:tcW w:w="1211"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3000万元—1亿元</w:t>
            </w:r>
          </w:p>
        </w:tc>
        <w:tc>
          <w:tcPr>
            <w:tcW w:w="1037"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1亿元—5亿元</w:t>
            </w:r>
          </w:p>
        </w:tc>
        <w:tc>
          <w:tcPr>
            <w:tcW w:w="1037"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5亿元—10亿元</w:t>
            </w:r>
          </w:p>
        </w:tc>
        <w:tc>
          <w:tcPr>
            <w:tcW w:w="1164"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10亿元—50亿元</w:t>
            </w:r>
          </w:p>
        </w:tc>
        <w:tc>
          <w:tcPr>
            <w:tcW w:w="1384"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50亿元以上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3" w:hRule="atLeast"/>
        </w:trPr>
        <w:tc>
          <w:tcPr>
            <w:tcW w:w="1987"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评审项目建议书</w:t>
            </w:r>
          </w:p>
        </w:tc>
        <w:tc>
          <w:tcPr>
            <w:tcW w:w="1043"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0.8-1.5</w:t>
            </w:r>
          </w:p>
        </w:tc>
        <w:tc>
          <w:tcPr>
            <w:tcW w:w="1421" w:type="dxa"/>
            <w:vAlign w:val="center"/>
          </w:tcPr>
          <w:p>
            <w:pPr>
              <w:adjustRightInd w:val="0"/>
              <w:snapToGrid w:val="0"/>
              <w:ind w:firstLine="420" w:firstLineChars="2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1.5-3</w:t>
            </w:r>
          </w:p>
        </w:tc>
        <w:tc>
          <w:tcPr>
            <w:tcW w:w="1211"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4-8</w:t>
            </w:r>
          </w:p>
        </w:tc>
        <w:tc>
          <w:tcPr>
            <w:tcW w:w="1037"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8-12</w:t>
            </w:r>
          </w:p>
        </w:tc>
        <w:tc>
          <w:tcPr>
            <w:tcW w:w="1037"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12-15</w:t>
            </w:r>
          </w:p>
        </w:tc>
        <w:tc>
          <w:tcPr>
            <w:tcW w:w="1164"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15-17</w:t>
            </w:r>
          </w:p>
        </w:tc>
        <w:tc>
          <w:tcPr>
            <w:tcW w:w="1384"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17-20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3" w:hRule="atLeast"/>
        </w:trPr>
        <w:tc>
          <w:tcPr>
            <w:tcW w:w="1987"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评审可研报告</w:t>
            </w:r>
          </w:p>
        </w:tc>
        <w:tc>
          <w:tcPr>
            <w:tcW w:w="1043"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1-2</w:t>
            </w:r>
          </w:p>
        </w:tc>
        <w:tc>
          <w:tcPr>
            <w:tcW w:w="1421"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2-4</w:t>
            </w:r>
          </w:p>
        </w:tc>
        <w:tc>
          <w:tcPr>
            <w:tcW w:w="1211"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5-10</w:t>
            </w:r>
          </w:p>
        </w:tc>
        <w:tc>
          <w:tcPr>
            <w:tcW w:w="1037"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10-15</w:t>
            </w:r>
          </w:p>
        </w:tc>
        <w:tc>
          <w:tcPr>
            <w:tcW w:w="1037"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15-20</w:t>
            </w:r>
          </w:p>
        </w:tc>
        <w:tc>
          <w:tcPr>
            <w:tcW w:w="1164"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20-25</w:t>
            </w:r>
          </w:p>
        </w:tc>
        <w:tc>
          <w:tcPr>
            <w:tcW w:w="1384" w:type="dxa"/>
            <w:vAlign w:val="center"/>
          </w:tcPr>
          <w:p>
            <w:pPr>
              <w:adjustRightInd w:val="0"/>
              <w:snapToGrid w:val="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25-35</w:t>
            </w:r>
          </w:p>
        </w:tc>
      </w:tr>
    </w:tbl>
    <w:p>
      <w:pPr>
        <w:adjustRightInd w:val="0"/>
        <w:snapToGrid w:val="0"/>
        <w:ind w:firstLine="420" w:firstLineChars="200"/>
        <w:rPr>
          <w:rFonts w:cs="方正仿宋_GBK" w:asciiTheme="minorEastAsia" w:hAnsiTheme="minorEastAsia" w:eastAsiaTheme="minorEastAsia"/>
          <w:sz w:val="21"/>
          <w:szCs w:val="21"/>
        </w:rPr>
      </w:pPr>
      <w:r>
        <w:rPr>
          <w:rFonts w:hint="eastAsia" w:cs="方正仿宋_GBK" w:asciiTheme="minorEastAsia" w:hAnsiTheme="minorEastAsia" w:eastAsiaTheme="minorEastAsia"/>
          <w:sz w:val="21"/>
          <w:szCs w:val="21"/>
        </w:rPr>
        <w:t>2、行业调整系数</w:t>
      </w:r>
    </w:p>
    <w:tbl>
      <w:tblPr>
        <w:tblStyle w:val="48"/>
        <w:tblW w:w="959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60"/>
        <w:gridCol w:w="21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5" w:hRule="atLeast"/>
        </w:trPr>
        <w:tc>
          <w:tcPr>
            <w:tcW w:w="7460"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行业</w:t>
            </w:r>
          </w:p>
        </w:tc>
        <w:tc>
          <w:tcPr>
            <w:tcW w:w="2130"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调整系数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95" w:hRule="atLeast"/>
        </w:trPr>
        <w:tc>
          <w:tcPr>
            <w:tcW w:w="7460" w:type="dxa"/>
          </w:tcPr>
          <w:p>
            <w:pPr>
              <w:tabs>
                <w:tab w:val="left" w:pos="3075"/>
              </w:tabs>
              <w:adjustRightInd w:val="0"/>
              <w:snapToGrid w:val="0"/>
              <w:ind w:firstLine="420" w:firstLineChars="2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1、石化、化工、钢铁</w:t>
            </w:r>
            <w:r>
              <w:rPr>
                <w:rFonts w:asciiTheme="minorEastAsia" w:hAnsiTheme="minorEastAsia" w:eastAsiaTheme="minorEastAsia" w:cstheme="minorBidi"/>
                <w:sz w:val="21"/>
                <w:szCs w:val="21"/>
              </w:rPr>
              <w:tab/>
            </w:r>
          </w:p>
          <w:p>
            <w:pPr>
              <w:tabs>
                <w:tab w:val="left" w:pos="3075"/>
              </w:tabs>
              <w:adjustRightInd w:val="0"/>
              <w:snapToGrid w:val="0"/>
              <w:ind w:firstLine="420" w:firstLineChars="2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2、石油、天然气、水利、水电、交通（水运）、化纤</w:t>
            </w:r>
          </w:p>
          <w:p>
            <w:pPr>
              <w:tabs>
                <w:tab w:val="left" w:pos="3075"/>
              </w:tabs>
              <w:adjustRightInd w:val="0"/>
              <w:snapToGrid w:val="0"/>
              <w:ind w:firstLine="420" w:firstLineChars="2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3、有色、黄金、纺织、轻工、邮电、广播电视、医药、煤炭、火电（含核电）、机械（含船舶、航空、航天、兵器）</w:t>
            </w:r>
          </w:p>
          <w:p>
            <w:pPr>
              <w:tabs>
                <w:tab w:val="left" w:pos="3075"/>
              </w:tabs>
              <w:adjustRightInd w:val="0"/>
              <w:snapToGrid w:val="0"/>
              <w:ind w:firstLine="420" w:firstLineChars="2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4、林业、商业、粮食、建筑</w:t>
            </w:r>
          </w:p>
          <w:p>
            <w:pPr>
              <w:tabs>
                <w:tab w:val="left" w:pos="3075"/>
              </w:tabs>
              <w:adjustRightInd w:val="0"/>
              <w:snapToGrid w:val="0"/>
              <w:ind w:firstLine="420" w:firstLineChars="2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5、建材、交通（公路）、铁道、市政公用工程</w:t>
            </w:r>
          </w:p>
        </w:tc>
        <w:tc>
          <w:tcPr>
            <w:tcW w:w="2130" w:type="dxa"/>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1.3</w:t>
            </w:r>
          </w:p>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1.2</w:t>
            </w:r>
          </w:p>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1.0</w:t>
            </w:r>
          </w:p>
          <w:p>
            <w:pPr>
              <w:adjustRightInd w:val="0"/>
              <w:snapToGrid w:val="0"/>
              <w:ind w:firstLine="420" w:firstLineChars="200"/>
              <w:jc w:val="center"/>
              <w:rPr>
                <w:rFonts w:asciiTheme="minorEastAsia" w:hAnsiTheme="minorEastAsia" w:eastAsiaTheme="minorEastAsia" w:cstheme="minorBidi"/>
                <w:sz w:val="21"/>
                <w:szCs w:val="21"/>
              </w:rPr>
            </w:pPr>
          </w:p>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0.8</w:t>
            </w:r>
          </w:p>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0.7</w:t>
            </w:r>
          </w:p>
        </w:tc>
      </w:tr>
    </w:tbl>
    <w:p>
      <w:pPr>
        <w:adjustRightInd w:val="0"/>
        <w:snapToGrid w:val="0"/>
        <w:ind w:firstLine="420" w:firstLineChars="200"/>
        <w:rPr>
          <w:rFonts w:cs="方正仿宋_GBK" w:asciiTheme="minorEastAsia" w:hAnsiTheme="minorEastAsia" w:eastAsiaTheme="minorEastAsia"/>
          <w:sz w:val="21"/>
          <w:szCs w:val="21"/>
        </w:rPr>
      </w:pPr>
      <w:r>
        <w:rPr>
          <w:rFonts w:hint="eastAsia" w:cs="方正仿宋_GBK" w:asciiTheme="minorEastAsia" w:hAnsiTheme="minorEastAsia" w:eastAsiaTheme="minorEastAsia"/>
          <w:sz w:val="21"/>
          <w:szCs w:val="21"/>
        </w:rPr>
        <w:t>3、投资规模调整系数</w:t>
      </w:r>
    </w:p>
    <w:tbl>
      <w:tblPr>
        <w:tblStyle w:val="48"/>
        <w:tblW w:w="961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54"/>
        <w:gridCol w:w="21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投资规模V（万元）区间</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调整系数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V</w:t>
            </w:r>
            <w:r>
              <w:rPr>
                <w:rFonts w:hint="eastAsia" w:cs="宋体" w:asciiTheme="minorEastAsia" w:hAnsiTheme="minorEastAsia" w:eastAsiaTheme="minorEastAsia"/>
                <w:sz w:val="21"/>
                <w:szCs w:val="21"/>
              </w:rPr>
              <w:t>≦3000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3000</w:t>
            </w:r>
            <w:r>
              <w:rPr>
                <w:rFonts w:hint="eastAsia" w:cs="宋体" w:asciiTheme="minorEastAsia" w:hAnsiTheme="minorEastAsia" w:eastAsiaTheme="minorEastAsia"/>
                <w:sz w:val="21"/>
                <w:szCs w:val="21"/>
              </w:rPr>
              <w:t>﹤V≦10000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0.9-0.8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10000</w:t>
            </w:r>
            <w:r>
              <w:rPr>
                <w:rFonts w:hint="eastAsia" w:cs="宋体" w:asciiTheme="minorEastAsia" w:hAnsiTheme="minorEastAsia" w:eastAsiaTheme="minorEastAsia"/>
                <w:sz w:val="21"/>
                <w:szCs w:val="21"/>
              </w:rPr>
              <w:t>﹤V≦50000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0.8-0.7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50000</w:t>
            </w:r>
            <w:r>
              <w:rPr>
                <w:rFonts w:hint="eastAsia" w:cs="宋体" w:asciiTheme="minorEastAsia" w:hAnsiTheme="minorEastAsia" w:eastAsiaTheme="minorEastAsia"/>
                <w:sz w:val="21"/>
                <w:szCs w:val="21"/>
              </w:rPr>
              <w:t>﹤V≦100000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0.7-0.6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100000</w:t>
            </w:r>
            <w:r>
              <w:rPr>
                <w:rFonts w:hint="eastAsia" w:cs="宋体" w:asciiTheme="minorEastAsia" w:hAnsiTheme="minorEastAsia" w:eastAsiaTheme="minorEastAsia"/>
                <w:sz w:val="21"/>
                <w:szCs w:val="21"/>
              </w:rPr>
              <w:t>﹤V≦500000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0.6-0.5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1"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500000</w:t>
            </w:r>
            <w:r>
              <w:rPr>
                <w:rFonts w:hint="eastAsia" w:cs="宋体" w:asciiTheme="minorEastAsia" w:hAnsiTheme="minorEastAsia" w:eastAsiaTheme="minorEastAsia"/>
                <w:sz w:val="21"/>
                <w:szCs w:val="21"/>
              </w:rPr>
              <w:t>﹤V</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0.5</w:t>
            </w:r>
          </w:p>
        </w:tc>
      </w:tr>
    </w:tbl>
    <w:p>
      <w:pPr>
        <w:adjustRightInd w:val="0"/>
        <w:snapToGrid w:val="0"/>
        <w:ind w:firstLine="420" w:firstLineChars="200"/>
        <w:rPr>
          <w:rFonts w:hint="eastAsia" w:cs="方正仿宋_GBK" w:asciiTheme="minorEastAsia" w:hAnsiTheme="minorEastAsia" w:eastAsiaTheme="minorEastAsia"/>
          <w:sz w:val="21"/>
          <w:szCs w:val="21"/>
          <w:lang w:eastAsia="zh-CN"/>
        </w:rPr>
      </w:pPr>
      <w:r>
        <w:rPr>
          <w:rFonts w:hint="eastAsia" w:cs="方正仿宋_GBK" w:asciiTheme="minorEastAsia" w:hAnsiTheme="minorEastAsia" w:eastAsiaTheme="minorEastAsia"/>
          <w:sz w:val="21"/>
          <w:szCs w:val="21"/>
        </w:rPr>
        <w:t>4、评审工作质量调整系数</w:t>
      </w:r>
      <w:r>
        <w:rPr>
          <w:rFonts w:hint="eastAsia" w:cs="方正仿宋_GBK" w:asciiTheme="minorEastAsia" w:hAnsiTheme="minorEastAsia" w:eastAsiaTheme="minorEastAsia"/>
          <w:sz w:val="21"/>
          <w:szCs w:val="21"/>
          <w:lang w:eastAsia="zh-CN"/>
        </w:rPr>
        <w:t>（</w:t>
      </w:r>
      <w:r>
        <w:rPr>
          <w:rFonts w:hint="eastAsia" w:asciiTheme="minorEastAsia" w:hAnsiTheme="minorEastAsia" w:eastAsiaTheme="minorEastAsia" w:cstheme="minorBidi"/>
          <w:sz w:val="21"/>
          <w:szCs w:val="21"/>
        </w:rPr>
        <w:t>评审工作质量考核</w:t>
      </w:r>
      <w:r>
        <w:rPr>
          <w:rFonts w:hint="eastAsia" w:cs="方正仿宋_GBK" w:asciiTheme="minorEastAsia" w:hAnsiTheme="minorEastAsia" w:eastAsiaTheme="minorEastAsia"/>
          <w:sz w:val="21"/>
          <w:szCs w:val="21"/>
          <w:lang w:eastAsia="zh-CN"/>
        </w:rPr>
        <w:t>见附表</w:t>
      </w:r>
      <w:r>
        <w:rPr>
          <w:rFonts w:hint="eastAsia" w:cs="方正仿宋_GBK" w:asciiTheme="minorEastAsia" w:hAnsiTheme="minorEastAsia" w:eastAsiaTheme="minorEastAsia"/>
          <w:sz w:val="21"/>
          <w:szCs w:val="21"/>
          <w:lang w:val="en-US" w:eastAsia="zh-CN"/>
        </w:rPr>
        <w:t xml:space="preserve">2 </w:t>
      </w:r>
      <w:r>
        <w:rPr>
          <w:rFonts w:hint="eastAsia" w:cs="方正仿宋_GBK" w:asciiTheme="minorEastAsia" w:hAnsiTheme="minorEastAsia" w:eastAsiaTheme="minorEastAsia"/>
          <w:sz w:val="21"/>
          <w:szCs w:val="21"/>
          <w:lang w:eastAsia="zh-CN"/>
        </w:rPr>
        <w:t>）</w:t>
      </w:r>
    </w:p>
    <w:tbl>
      <w:tblPr>
        <w:tblStyle w:val="48"/>
        <w:tblW w:w="963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54"/>
        <w:gridCol w:w="21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评审工作质量考核得分（W）</w:t>
            </w:r>
          </w:p>
        </w:tc>
        <w:tc>
          <w:tcPr>
            <w:tcW w:w="2185"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调整系数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W</w:t>
            </w:r>
            <w:r>
              <w:rPr>
                <w:rFonts w:hint="eastAsia" w:cs="宋体" w:asciiTheme="minorEastAsia" w:hAnsiTheme="minorEastAsia" w:eastAsiaTheme="minorEastAsia"/>
                <w:sz w:val="21"/>
                <w:szCs w:val="21"/>
              </w:rPr>
              <w:t>﹤</w:t>
            </w:r>
            <w:r>
              <w:rPr>
                <w:rFonts w:hint="eastAsia" w:cs="宋体" w:asciiTheme="minorEastAsia" w:hAnsiTheme="minorEastAsia" w:eastAsiaTheme="minorEastAsia"/>
                <w:sz w:val="21"/>
                <w:szCs w:val="21"/>
                <w:lang w:val="en-US" w:eastAsia="zh-CN"/>
              </w:rPr>
              <w:t>7</w:t>
            </w:r>
            <w:r>
              <w:rPr>
                <w:rFonts w:hint="eastAsia" w:cs="宋体" w:asciiTheme="minorEastAsia" w:hAnsiTheme="minorEastAsia" w:eastAsiaTheme="minorEastAsia"/>
                <w:sz w:val="21"/>
                <w:szCs w:val="21"/>
              </w:rPr>
              <w:t>0</w:t>
            </w:r>
          </w:p>
        </w:tc>
        <w:tc>
          <w:tcPr>
            <w:tcW w:w="2185" w:type="dxa"/>
            <w:vAlign w:val="center"/>
          </w:tcPr>
          <w:p>
            <w:pPr>
              <w:adjustRightInd w:val="0"/>
              <w:snapToGrid w:val="0"/>
              <w:ind w:firstLine="420" w:firstLineChars="200"/>
              <w:jc w:val="center"/>
              <w:rPr>
                <w:rFonts w:hint="eastAsia"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7454" w:type="dxa"/>
            <w:vAlign w:val="center"/>
          </w:tcPr>
          <w:p>
            <w:pPr>
              <w:adjustRightInd w:val="0"/>
              <w:snapToGrid w:val="0"/>
              <w:ind w:firstLine="420" w:firstLineChars="200"/>
              <w:jc w:val="center"/>
              <w:rPr>
                <w:rFonts w:hint="default" w:asciiTheme="minorEastAsia" w:hAnsiTheme="minorEastAsia" w:eastAsiaTheme="minorEastAsia" w:cstheme="minorBidi"/>
                <w:sz w:val="21"/>
                <w:szCs w:val="21"/>
                <w:lang w:val="en-US" w:eastAsia="zh-CN"/>
              </w:rPr>
            </w:pPr>
            <w:r>
              <w:rPr>
                <w:rFonts w:hint="eastAsia" w:asciiTheme="minorEastAsia" w:hAnsiTheme="minorEastAsia" w:eastAsiaTheme="minorEastAsia" w:cstheme="minorBidi"/>
                <w:sz w:val="21"/>
                <w:szCs w:val="21"/>
                <w:lang w:val="en-US" w:eastAsia="zh-CN"/>
              </w:rPr>
              <w:t>7</w:t>
            </w:r>
            <w:r>
              <w:rPr>
                <w:rFonts w:hint="eastAsia" w:asciiTheme="minorEastAsia" w:hAnsiTheme="minorEastAsia" w:eastAsiaTheme="minorEastAsia" w:cstheme="minorBidi"/>
                <w:sz w:val="21"/>
                <w:szCs w:val="21"/>
              </w:rPr>
              <w:t>0</w:t>
            </w:r>
            <w:r>
              <w:rPr>
                <w:rFonts w:hint="eastAsia" w:cs="宋体" w:asciiTheme="minorEastAsia" w:hAnsiTheme="minorEastAsia" w:eastAsiaTheme="minorEastAsia"/>
                <w:sz w:val="21"/>
                <w:szCs w:val="21"/>
              </w:rPr>
              <w:t>≦</w:t>
            </w:r>
            <w:r>
              <w:rPr>
                <w:rFonts w:hint="eastAsia" w:asciiTheme="minorEastAsia" w:hAnsiTheme="minorEastAsia" w:eastAsiaTheme="minorEastAsia" w:cstheme="minorBidi"/>
                <w:sz w:val="21"/>
                <w:szCs w:val="21"/>
              </w:rPr>
              <w:t>W</w:t>
            </w:r>
            <w:r>
              <w:rPr>
                <w:rFonts w:hint="eastAsia" w:cs="宋体" w:asciiTheme="minorEastAsia" w:hAnsiTheme="minorEastAsia" w:eastAsiaTheme="minorEastAsia"/>
                <w:sz w:val="21"/>
                <w:szCs w:val="21"/>
              </w:rPr>
              <w:t>﹤</w:t>
            </w:r>
            <w:r>
              <w:rPr>
                <w:rFonts w:hint="eastAsia" w:cs="宋体" w:asciiTheme="minorEastAsia" w:hAnsiTheme="minorEastAsia" w:eastAsiaTheme="minorEastAsia"/>
                <w:sz w:val="21"/>
                <w:szCs w:val="21"/>
                <w:lang w:val="en-US" w:eastAsia="zh-CN"/>
              </w:rPr>
              <w:t>80</w:t>
            </w:r>
          </w:p>
        </w:tc>
        <w:tc>
          <w:tcPr>
            <w:tcW w:w="2185" w:type="dxa"/>
            <w:vAlign w:val="center"/>
          </w:tcPr>
          <w:p>
            <w:pPr>
              <w:adjustRightInd w:val="0"/>
              <w:snapToGrid w:val="0"/>
              <w:ind w:firstLine="420" w:firstLineChars="200"/>
              <w:jc w:val="center"/>
              <w:rPr>
                <w:rFonts w:hint="eastAsia"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7454" w:type="dxa"/>
            <w:vAlign w:val="center"/>
          </w:tcPr>
          <w:p>
            <w:pPr>
              <w:adjustRightInd w:val="0"/>
              <w:snapToGrid w:val="0"/>
              <w:ind w:firstLine="420" w:firstLineChars="200"/>
              <w:jc w:val="center"/>
              <w:rPr>
                <w:rFonts w:hint="default" w:asciiTheme="minorEastAsia" w:hAnsiTheme="minorEastAsia" w:eastAsiaTheme="minorEastAsia" w:cstheme="minorBidi"/>
                <w:sz w:val="21"/>
                <w:szCs w:val="21"/>
                <w:lang w:val="en-US" w:eastAsia="zh-CN"/>
              </w:rPr>
            </w:pPr>
            <w:r>
              <w:rPr>
                <w:rFonts w:hint="eastAsia" w:asciiTheme="minorEastAsia" w:hAnsiTheme="minorEastAsia" w:eastAsiaTheme="minorEastAsia" w:cstheme="minorBidi"/>
                <w:sz w:val="21"/>
                <w:szCs w:val="21"/>
                <w:lang w:val="en-US" w:eastAsia="zh-CN"/>
              </w:rPr>
              <w:t>80</w:t>
            </w:r>
            <w:r>
              <w:rPr>
                <w:rFonts w:hint="eastAsia" w:cs="宋体" w:asciiTheme="minorEastAsia" w:hAnsiTheme="minorEastAsia" w:eastAsiaTheme="minorEastAsia"/>
                <w:sz w:val="21"/>
                <w:szCs w:val="21"/>
              </w:rPr>
              <w:t>≦</w:t>
            </w:r>
            <w:r>
              <w:rPr>
                <w:rFonts w:hint="eastAsia" w:asciiTheme="minorEastAsia" w:hAnsiTheme="minorEastAsia" w:eastAsiaTheme="minorEastAsia" w:cstheme="minorBidi"/>
                <w:sz w:val="21"/>
                <w:szCs w:val="21"/>
              </w:rPr>
              <w:t>W</w:t>
            </w:r>
            <w:r>
              <w:rPr>
                <w:rFonts w:hint="eastAsia" w:cs="宋体" w:asciiTheme="minorEastAsia" w:hAnsiTheme="minorEastAsia" w:eastAsiaTheme="minorEastAsia"/>
                <w:sz w:val="21"/>
                <w:szCs w:val="21"/>
              </w:rPr>
              <w:t>﹤</w:t>
            </w:r>
            <w:r>
              <w:rPr>
                <w:rFonts w:hint="eastAsia" w:cs="宋体" w:asciiTheme="minorEastAsia" w:hAnsiTheme="minorEastAsia" w:eastAsiaTheme="minorEastAsia"/>
                <w:sz w:val="21"/>
                <w:szCs w:val="21"/>
                <w:lang w:val="en-US" w:eastAsia="zh-CN"/>
              </w:rPr>
              <w:t>90</w:t>
            </w:r>
          </w:p>
        </w:tc>
        <w:tc>
          <w:tcPr>
            <w:tcW w:w="2185" w:type="dxa"/>
            <w:vAlign w:val="center"/>
          </w:tcPr>
          <w:p>
            <w:pPr>
              <w:adjustRightInd w:val="0"/>
              <w:snapToGrid w:val="0"/>
              <w:ind w:firstLine="420" w:firstLineChars="200"/>
              <w:jc w:val="center"/>
              <w:rPr>
                <w:rFonts w:hint="eastAsia"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5" w:hRule="atLeast"/>
        </w:trPr>
        <w:tc>
          <w:tcPr>
            <w:tcW w:w="7454" w:type="dxa"/>
            <w:vAlign w:val="center"/>
          </w:tcPr>
          <w:p>
            <w:pPr>
              <w:adjustRightInd w:val="0"/>
              <w:snapToGrid w:val="0"/>
              <w:ind w:firstLine="420" w:firstLineChars="200"/>
              <w:jc w:val="center"/>
              <w:rPr>
                <w:rFonts w:hint="default" w:asciiTheme="minorEastAsia" w:hAnsiTheme="minorEastAsia" w:eastAsiaTheme="minorEastAsia" w:cstheme="minorBidi"/>
                <w:sz w:val="21"/>
                <w:szCs w:val="21"/>
                <w:lang w:val="en-US" w:eastAsia="zh-CN"/>
              </w:rPr>
            </w:pPr>
            <w:r>
              <w:rPr>
                <w:rFonts w:hint="eastAsia" w:asciiTheme="minorEastAsia" w:hAnsiTheme="minorEastAsia" w:eastAsiaTheme="minorEastAsia" w:cstheme="minorBidi"/>
                <w:sz w:val="21"/>
                <w:szCs w:val="21"/>
              </w:rPr>
              <w:t>W≥</w:t>
            </w:r>
            <w:r>
              <w:rPr>
                <w:rFonts w:hint="eastAsia" w:cs="宋体" w:asciiTheme="minorEastAsia" w:hAnsiTheme="minorEastAsia" w:eastAsiaTheme="minorEastAsia"/>
                <w:sz w:val="21"/>
                <w:szCs w:val="21"/>
                <w:lang w:val="en-US" w:eastAsia="zh-CN"/>
              </w:rPr>
              <w:t>90</w:t>
            </w:r>
          </w:p>
        </w:tc>
        <w:tc>
          <w:tcPr>
            <w:tcW w:w="2185" w:type="dxa"/>
            <w:vAlign w:val="center"/>
          </w:tcPr>
          <w:p>
            <w:pPr>
              <w:adjustRightInd w:val="0"/>
              <w:snapToGrid w:val="0"/>
              <w:ind w:firstLine="420" w:firstLineChars="200"/>
              <w:jc w:val="center"/>
              <w:rPr>
                <w:rFonts w:hint="eastAsia"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w:t>
            </w:r>
          </w:p>
        </w:tc>
      </w:tr>
    </w:tbl>
    <w:p>
      <w:pPr>
        <w:adjustRightInd w:val="0"/>
        <w:snapToGrid w:val="0"/>
        <w:ind w:firstLine="420" w:firstLineChars="200"/>
        <w:rPr>
          <w:rFonts w:hint="default" w:cs="方正仿宋_GBK" w:asciiTheme="minorEastAsia" w:hAnsiTheme="minorEastAsia" w:eastAsiaTheme="minorEastAsia"/>
          <w:sz w:val="21"/>
          <w:szCs w:val="21"/>
          <w:lang w:val="en-US" w:eastAsia="zh-CN"/>
        </w:rPr>
      </w:pPr>
      <w:r>
        <w:rPr>
          <w:rFonts w:hint="eastAsia" w:cs="方正仿宋_GBK" w:asciiTheme="minorEastAsia" w:hAnsiTheme="minorEastAsia" w:eastAsiaTheme="minorEastAsia"/>
          <w:bCs w:val="0"/>
          <w:sz w:val="21"/>
          <w:szCs w:val="21"/>
          <w:lang w:val="en-US" w:eastAsia="zh-CN"/>
        </w:rPr>
        <w:t>5、工程复杂程度调整系数：0.8-1.2</w:t>
      </w:r>
    </w:p>
    <w:p>
      <w:pPr>
        <w:rPr>
          <w:rFonts w:hAnsi="宋体"/>
          <w:bCs/>
          <w:sz w:val="36"/>
          <w:szCs w:val="36"/>
        </w:rPr>
      </w:pPr>
      <w:r>
        <w:rPr>
          <w:rFonts w:hAnsi="宋体"/>
          <w:bCs/>
          <w:sz w:val="36"/>
          <w:szCs w:val="36"/>
        </w:rPr>
        <w:br w:type="page"/>
      </w:r>
    </w:p>
    <w:p>
      <w:pPr>
        <w:tabs>
          <w:tab w:val="left" w:pos="9141"/>
        </w:tabs>
        <w:spacing w:line="600" w:lineRule="atLeast"/>
        <w:jc w:val="left"/>
        <w:rPr>
          <w:rFonts w:hint="eastAsia" w:ascii="仿宋_GB2312" w:eastAsia="仿宋_GB2312"/>
          <w:sz w:val="24"/>
        </w:rPr>
      </w:pPr>
      <w:r>
        <w:rPr>
          <w:rFonts w:hint="eastAsia" w:ascii="仿宋_GB2312" w:eastAsia="仿宋_GB2312"/>
          <w:sz w:val="24"/>
        </w:rPr>
        <w:t>附</w:t>
      </w:r>
      <w:r>
        <w:rPr>
          <w:rFonts w:hint="eastAsia" w:ascii="仿宋_GB2312" w:eastAsia="仿宋_GB2312"/>
          <w:sz w:val="24"/>
          <w:lang w:eastAsia="zh-CN"/>
        </w:rPr>
        <w:t>表</w:t>
      </w:r>
      <w:r>
        <w:rPr>
          <w:rFonts w:hint="eastAsia" w:ascii="仿宋_GB2312" w:eastAsia="仿宋_GB2312"/>
          <w:sz w:val="24"/>
        </w:rPr>
        <w:t>1：</w:t>
      </w:r>
    </w:p>
    <w:p>
      <w:pPr>
        <w:tabs>
          <w:tab w:val="left" w:pos="9141"/>
        </w:tabs>
        <w:spacing w:line="600" w:lineRule="atLeast"/>
        <w:jc w:val="center"/>
        <w:rPr>
          <w:rFonts w:hint="eastAsia" w:ascii="宋体" w:hAnsi="宋体" w:eastAsia="宋体" w:cs="宋体"/>
          <w:strike w:val="0"/>
          <w:sz w:val="36"/>
          <w:szCs w:val="36"/>
        </w:rPr>
      </w:pPr>
      <w:r>
        <w:rPr>
          <w:rFonts w:hint="eastAsia" w:ascii="宋体" w:hAnsi="宋体" w:eastAsia="宋体" w:cs="宋体"/>
          <w:strike w:val="0"/>
          <w:sz w:val="36"/>
          <w:szCs w:val="36"/>
        </w:rPr>
        <w:t>双流</w:t>
      </w:r>
      <w:r>
        <w:rPr>
          <w:rFonts w:hint="eastAsia" w:ascii="宋体" w:hAnsi="宋体" w:eastAsia="宋体" w:cs="宋体"/>
          <w:strike w:val="0"/>
          <w:sz w:val="36"/>
          <w:szCs w:val="36"/>
          <w:lang w:eastAsia="zh-CN"/>
        </w:rPr>
        <w:t>区</w:t>
      </w:r>
      <w:r>
        <w:rPr>
          <w:rFonts w:hint="eastAsia" w:ascii="宋体" w:hAnsi="宋体" w:eastAsia="宋体" w:cs="宋体"/>
          <w:strike w:val="0"/>
          <w:sz w:val="36"/>
          <w:szCs w:val="36"/>
        </w:rPr>
        <w:t>发展和改革局委托项目评审任务单</w:t>
      </w:r>
    </w:p>
    <w:tbl>
      <w:tblPr>
        <w:tblStyle w:val="47"/>
        <w:tblpPr w:leftFromText="180" w:rightFromText="180" w:vertAnchor="text" w:horzAnchor="margin" w:tblpXSpec="center" w:tblpY="562"/>
        <w:tblW w:w="9363" w:type="dxa"/>
        <w:tblInd w:w="382" w:type="dxa"/>
        <w:tblLayout w:type="fixed"/>
        <w:tblCellMar>
          <w:top w:w="0" w:type="dxa"/>
          <w:left w:w="108" w:type="dxa"/>
          <w:bottom w:w="0" w:type="dxa"/>
          <w:right w:w="108" w:type="dxa"/>
        </w:tblCellMar>
      </w:tblPr>
      <w:tblGrid>
        <w:gridCol w:w="1711"/>
        <w:gridCol w:w="2797"/>
        <w:gridCol w:w="180"/>
        <w:gridCol w:w="1670"/>
        <w:gridCol w:w="3005"/>
      </w:tblGrid>
      <w:tr>
        <w:trPr>
          <w:trHeight w:val="558" w:hRule="atLeast"/>
        </w:trPr>
        <w:tc>
          <w:tcPr>
            <w:tcW w:w="1711" w:type="dxa"/>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项目名称</w:t>
            </w:r>
          </w:p>
        </w:tc>
        <w:tc>
          <w:tcPr>
            <w:tcW w:w="7652" w:type="dxa"/>
            <w:gridSpan w:val="4"/>
            <w:tcBorders>
              <w:top w:val="single" w:color="auto" w:sz="4" w:space="0"/>
              <w:left w:val="nil"/>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000000"/>
                <w:kern w:val="0"/>
                <w:sz w:val="21"/>
                <w:szCs w:val="21"/>
              </w:rPr>
            </w:pPr>
          </w:p>
        </w:tc>
      </w:tr>
      <w:tr>
        <w:tblPrEx>
          <w:tblCellMar>
            <w:top w:w="0" w:type="dxa"/>
            <w:left w:w="108" w:type="dxa"/>
            <w:bottom w:w="0" w:type="dxa"/>
            <w:right w:w="108" w:type="dxa"/>
          </w:tblCellMar>
        </w:tblPrEx>
        <w:trPr>
          <w:trHeight w:val="558" w:hRule="atLeast"/>
        </w:trPr>
        <w:tc>
          <w:tcPr>
            <w:tcW w:w="1711" w:type="dxa"/>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任务单编号</w:t>
            </w:r>
          </w:p>
        </w:tc>
        <w:tc>
          <w:tcPr>
            <w:tcW w:w="7652" w:type="dxa"/>
            <w:gridSpan w:val="4"/>
            <w:tcBorders>
              <w:top w:val="single" w:color="auto" w:sz="4" w:space="0"/>
              <w:left w:val="nil"/>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000000"/>
                <w:kern w:val="0"/>
                <w:sz w:val="21"/>
                <w:szCs w:val="21"/>
              </w:rPr>
            </w:pPr>
          </w:p>
        </w:tc>
      </w:tr>
      <w:tr>
        <w:tblPrEx>
          <w:tblCellMar>
            <w:top w:w="0" w:type="dxa"/>
            <w:left w:w="108" w:type="dxa"/>
            <w:bottom w:w="0" w:type="dxa"/>
            <w:right w:w="108" w:type="dxa"/>
          </w:tblCellMar>
        </w:tblPrEx>
        <w:trPr>
          <w:trHeight w:val="501"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咨询机构</w:t>
            </w:r>
          </w:p>
        </w:tc>
        <w:tc>
          <w:tcPr>
            <w:tcW w:w="7652" w:type="dxa"/>
            <w:gridSpan w:val="4"/>
            <w:tcBorders>
              <w:top w:val="nil"/>
              <w:left w:val="nil"/>
              <w:bottom w:val="single" w:color="auto" w:sz="4" w:space="0"/>
              <w:right w:val="single" w:color="auto" w:sz="4" w:space="0"/>
            </w:tcBorders>
            <w:noWrap/>
            <w:vAlign w:val="center"/>
          </w:tcPr>
          <w:p>
            <w:pPr>
              <w:widowControl/>
              <w:tabs>
                <w:tab w:val="left" w:pos="9141"/>
              </w:tabs>
              <w:spacing w:line="480" w:lineRule="exact"/>
              <w:jc w:val="both"/>
              <w:rPr>
                <w:rFonts w:hint="eastAsia" w:asciiTheme="minorEastAsia" w:hAnsiTheme="minorEastAsia" w:eastAsiaTheme="minorEastAsia" w:cstheme="minorEastAsia"/>
                <w:color w:val="000000"/>
                <w:kern w:val="0"/>
                <w:sz w:val="21"/>
                <w:szCs w:val="21"/>
              </w:rPr>
            </w:pPr>
          </w:p>
        </w:tc>
      </w:tr>
      <w:tr>
        <w:tblPrEx>
          <w:tblCellMar>
            <w:top w:w="0" w:type="dxa"/>
            <w:left w:w="108" w:type="dxa"/>
            <w:bottom w:w="0" w:type="dxa"/>
            <w:right w:w="108" w:type="dxa"/>
          </w:tblCellMar>
        </w:tblPrEx>
        <w:trPr>
          <w:trHeight w:val="501"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牵头实施单位</w:t>
            </w:r>
          </w:p>
        </w:tc>
        <w:tc>
          <w:tcPr>
            <w:tcW w:w="7652" w:type="dxa"/>
            <w:gridSpan w:val="4"/>
            <w:tcBorders>
              <w:top w:val="nil"/>
              <w:left w:val="nil"/>
              <w:bottom w:val="single" w:color="auto" w:sz="4" w:space="0"/>
              <w:right w:val="single" w:color="auto" w:sz="4" w:space="0"/>
            </w:tcBorders>
            <w:noWrap/>
            <w:vAlign w:val="center"/>
          </w:tcPr>
          <w:p>
            <w:pPr>
              <w:widowControl/>
              <w:tabs>
                <w:tab w:val="left" w:pos="9141"/>
              </w:tabs>
              <w:spacing w:line="480" w:lineRule="exact"/>
              <w:jc w:val="both"/>
              <w:rPr>
                <w:rFonts w:hint="eastAsia" w:asciiTheme="minorEastAsia" w:hAnsiTheme="minorEastAsia" w:eastAsiaTheme="minorEastAsia" w:cstheme="minorEastAsia"/>
                <w:color w:val="000000"/>
                <w:kern w:val="0"/>
                <w:sz w:val="21"/>
                <w:szCs w:val="21"/>
              </w:rPr>
            </w:pPr>
          </w:p>
        </w:tc>
      </w:tr>
      <w:tr>
        <w:tblPrEx>
          <w:tblCellMar>
            <w:top w:w="0" w:type="dxa"/>
            <w:left w:w="108" w:type="dxa"/>
            <w:bottom w:w="0" w:type="dxa"/>
            <w:right w:w="108" w:type="dxa"/>
          </w:tblCellMar>
        </w:tblPrEx>
        <w:trPr>
          <w:trHeight w:val="375"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评审类别</w:t>
            </w:r>
          </w:p>
        </w:tc>
        <w:tc>
          <w:tcPr>
            <w:tcW w:w="2797" w:type="dxa"/>
            <w:tcBorders>
              <w:top w:val="nil"/>
              <w:left w:val="nil"/>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 xml:space="preserve">　   </w:t>
            </w:r>
          </w:p>
        </w:tc>
        <w:tc>
          <w:tcPr>
            <w:tcW w:w="1850" w:type="dxa"/>
            <w:gridSpan w:val="2"/>
            <w:tcBorders>
              <w:top w:val="nil"/>
              <w:left w:val="nil"/>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评审时限</w:t>
            </w:r>
          </w:p>
        </w:tc>
        <w:tc>
          <w:tcPr>
            <w:tcW w:w="3005" w:type="dxa"/>
            <w:tcBorders>
              <w:top w:val="nil"/>
              <w:left w:val="nil"/>
              <w:bottom w:val="single" w:color="auto" w:sz="4" w:space="0"/>
              <w:right w:val="single" w:color="auto" w:sz="4" w:space="0"/>
            </w:tcBorders>
            <w:noWrap/>
            <w:vAlign w:val="center"/>
          </w:tcPr>
          <w:p>
            <w:pPr>
              <w:widowControl/>
              <w:tabs>
                <w:tab w:val="left" w:pos="9141"/>
              </w:tabs>
              <w:ind w:right="560" w:firstLine="105" w:firstLineChars="5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 xml:space="preserve">   至 </w:t>
            </w:r>
          </w:p>
        </w:tc>
      </w:tr>
      <w:tr>
        <w:tblPrEx>
          <w:tblCellMar>
            <w:top w:w="0" w:type="dxa"/>
            <w:left w:w="108" w:type="dxa"/>
            <w:bottom w:w="0" w:type="dxa"/>
            <w:right w:w="108" w:type="dxa"/>
          </w:tblCellMar>
        </w:tblPrEx>
        <w:trPr>
          <w:trHeight w:val="375"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报审金额</w:t>
            </w:r>
          </w:p>
        </w:tc>
        <w:tc>
          <w:tcPr>
            <w:tcW w:w="2797" w:type="dxa"/>
            <w:tcBorders>
              <w:top w:val="nil"/>
              <w:left w:val="nil"/>
              <w:bottom w:val="single" w:color="auto" w:sz="4" w:space="0"/>
              <w:right w:val="single" w:color="auto" w:sz="4" w:space="0"/>
            </w:tcBorders>
            <w:noWrap/>
            <w:vAlign w:val="center"/>
          </w:tcPr>
          <w:p>
            <w:pPr>
              <w:widowControl/>
              <w:tabs>
                <w:tab w:val="left" w:pos="9141"/>
              </w:tabs>
              <w:ind w:firstLine="525" w:firstLineChars="250"/>
              <w:rPr>
                <w:rFonts w:hint="eastAsia" w:asciiTheme="minorEastAsia" w:hAnsiTheme="minorEastAsia" w:eastAsiaTheme="minorEastAsia" w:cstheme="minorEastAsia"/>
                <w:color w:val="000000"/>
                <w:kern w:val="0"/>
                <w:sz w:val="21"/>
                <w:szCs w:val="21"/>
              </w:rPr>
            </w:pPr>
          </w:p>
        </w:tc>
        <w:tc>
          <w:tcPr>
            <w:tcW w:w="1850" w:type="dxa"/>
            <w:gridSpan w:val="2"/>
            <w:tcBorders>
              <w:top w:val="nil"/>
              <w:left w:val="nil"/>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评审咨询费用</w:t>
            </w:r>
          </w:p>
        </w:tc>
        <w:tc>
          <w:tcPr>
            <w:tcW w:w="3005" w:type="dxa"/>
            <w:tcBorders>
              <w:top w:val="nil"/>
              <w:left w:val="nil"/>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p>
        </w:tc>
      </w:tr>
      <w:tr>
        <w:tblPrEx>
          <w:tblCellMar>
            <w:top w:w="0" w:type="dxa"/>
            <w:left w:w="108" w:type="dxa"/>
            <w:bottom w:w="0" w:type="dxa"/>
            <w:right w:w="108" w:type="dxa"/>
          </w:tblCellMar>
        </w:tblPrEx>
        <w:trPr>
          <w:trHeight w:val="2696"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项目基本情况</w:t>
            </w:r>
          </w:p>
        </w:tc>
        <w:tc>
          <w:tcPr>
            <w:tcW w:w="7652" w:type="dxa"/>
            <w:gridSpan w:val="4"/>
            <w:tcBorders>
              <w:top w:val="single" w:color="auto" w:sz="4" w:space="0"/>
              <w:left w:val="nil"/>
              <w:bottom w:val="single" w:color="auto" w:sz="4" w:space="0"/>
              <w:right w:val="single" w:color="000000" w:sz="4" w:space="0"/>
            </w:tcBorders>
            <w:noWrap/>
            <w:vAlign w:val="top"/>
          </w:tcPr>
          <w:p>
            <w:pPr>
              <w:widowControl/>
              <w:tabs>
                <w:tab w:val="left" w:pos="9141"/>
              </w:tabs>
              <w:spacing w:line="400" w:lineRule="exact"/>
              <w:rPr>
                <w:rFonts w:hint="eastAsia" w:asciiTheme="minorEastAsia" w:hAnsiTheme="minorEastAsia" w:eastAsiaTheme="minorEastAsia" w:cstheme="minorEastAsia"/>
                <w:color w:val="000000"/>
                <w:kern w:val="0"/>
                <w:sz w:val="21"/>
                <w:szCs w:val="21"/>
              </w:rPr>
            </w:pPr>
          </w:p>
        </w:tc>
      </w:tr>
      <w:tr>
        <w:tblPrEx>
          <w:tblCellMar>
            <w:top w:w="0" w:type="dxa"/>
            <w:left w:w="108" w:type="dxa"/>
            <w:bottom w:w="0" w:type="dxa"/>
            <w:right w:w="108" w:type="dxa"/>
          </w:tblCellMar>
        </w:tblPrEx>
        <w:trPr>
          <w:trHeight w:val="2833"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工作要求</w:t>
            </w:r>
          </w:p>
        </w:tc>
        <w:tc>
          <w:tcPr>
            <w:tcW w:w="7652" w:type="dxa"/>
            <w:gridSpan w:val="4"/>
            <w:tcBorders>
              <w:top w:val="single" w:color="auto" w:sz="4" w:space="0"/>
              <w:left w:val="nil"/>
              <w:bottom w:val="single" w:color="auto" w:sz="4" w:space="0"/>
              <w:right w:val="single" w:color="000000" w:sz="4" w:space="0"/>
            </w:tcBorders>
            <w:noWrap/>
            <w:vAlign w:val="top"/>
          </w:tcPr>
          <w:p>
            <w:pPr>
              <w:widowControl/>
              <w:tabs>
                <w:tab w:val="left" w:pos="9141"/>
              </w:tabs>
              <w:spacing w:line="400" w:lineRule="exac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 xml:space="preserve"> </w:t>
            </w:r>
          </w:p>
        </w:tc>
      </w:tr>
      <w:tr>
        <w:tblPrEx>
          <w:tblCellMar>
            <w:top w:w="0" w:type="dxa"/>
            <w:left w:w="108" w:type="dxa"/>
            <w:bottom w:w="0" w:type="dxa"/>
            <w:right w:w="108" w:type="dxa"/>
          </w:tblCellMar>
        </w:tblPrEx>
        <w:trPr>
          <w:trHeight w:val="435" w:hRule="atLeast"/>
        </w:trPr>
        <w:tc>
          <w:tcPr>
            <w:tcW w:w="4688" w:type="dxa"/>
            <w:gridSpan w:val="3"/>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委托方：</w:t>
            </w:r>
            <w:r>
              <w:rPr>
                <w:rFonts w:hint="eastAsia" w:asciiTheme="minorEastAsia" w:hAnsiTheme="minorEastAsia" w:eastAsiaTheme="minorEastAsia" w:cstheme="minorEastAsia"/>
                <w:color w:val="000000"/>
                <w:kern w:val="0"/>
                <w:sz w:val="21"/>
                <w:szCs w:val="21"/>
                <w:lang w:eastAsia="zh-CN"/>
              </w:rPr>
              <w:t>成都市</w:t>
            </w:r>
            <w:r>
              <w:rPr>
                <w:rFonts w:hint="eastAsia" w:asciiTheme="minorEastAsia" w:hAnsiTheme="minorEastAsia" w:eastAsiaTheme="minorEastAsia" w:cstheme="minorEastAsia"/>
                <w:color w:val="000000"/>
                <w:kern w:val="0"/>
                <w:sz w:val="21"/>
                <w:szCs w:val="21"/>
              </w:rPr>
              <w:t>双流</w:t>
            </w:r>
            <w:r>
              <w:rPr>
                <w:rFonts w:hint="eastAsia" w:asciiTheme="minorEastAsia" w:hAnsiTheme="minorEastAsia" w:eastAsiaTheme="minorEastAsia" w:cstheme="minorEastAsia"/>
                <w:color w:val="000000"/>
                <w:kern w:val="0"/>
                <w:sz w:val="21"/>
                <w:szCs w:val="21"/>
                <w:lang w:eastAsia="zh-CN"/>
              </w:rPr>
              <w:t>区</w:t>
            </w:r>
            <w:r>
              <w:rPr>
                <w:rFonts w:hint="eastAsia" w:asciiTheme="minorEastAsia" w:hAnsiTheme="minorEastAsia" w:eastAsiaTheme="minorEastAsia" w:cstheme="minorEastAsia"/>
                <w:color w:val="000000"/>
                <w:kern w:val="0"/>
                <w:sz w:val="21"/>
                <w:szCs w:val="21"/>
              </w:rPr>
              <w:t>发展和改革局</w:t>
            </w:r>
          </w:p>
        </w:tc>
        <w:tc>
          <w:tcPr>
            <w:tcW w:w="4675" w:type="dxa"/>
            <w:gridSpan w:val="2"/>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受托方：</w:t>
            </w:r>
          </w:p>
        </w:tc>
      </w:tr>
      <w:tr>
        <w:tblPrEx>
          <w:tblCellMar>
            <w:top w:w="0" w:type="dxa"/>
            <w:left w:w="108" w:type="dxa"/>
            <w:bottom w:w="0" w:type="dxa"/>
            <w:right w:w="108" w:type="dxa"/>
          </w:tblCellMar>
        </w:tblPrEx>
        <w:trPr>
          <w:trHeight w:val="645" w:hRule="atLeast"/>
        </w:trPr>
        <w:tc>
          <w:tcPr>
            <w:tcW w:w="4688" w:type="dxa"/>
            <w:gridSpan w:val="3"/>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 xml:space="preserve"> （盖章）</w:t>
            </w:r>
          </w:p>
        </w:tc>
        <w:tc>
          <w:tcPr>
            <w:tcW w:w="4675" w:type="dxa"/>
            <w:gridSpan w:val="2"/>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 xml:space="preserve"> （盖章）</w:t>
            </w:r>
          </w:p>
        </w:tc>
      </w:tr>
      <w:tr>
        <w:tblPrEx>
          <w:tblCellMar>
            <w:top w:w="0" w:type="dxa"/>
            <w:left w:w="108" w:type="dxa"/>
            <w:bottom w:w="0" w:type="dxa"/>
            <w:right w:w="108" w:type="dxa"/>
          </w:tblCellMar>
        </w:tblPrEx>
        <w:trPr>
          <w:trHeight w:val="397" w:hRule="atLeast"/>
        </w:trPr>
        <w:tc>
          <w:tcPr>
            <w:tcW w:w="4688" w:type="dxa"/>
            <w:gridSpan w:val="3"/>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联系人：</w:t>
            </w:r>
          </w:p>
        </w:tc>
        <w:tc>
          <w:tcPr>
            <w:tcW w:w="4675" w:type="dxa"/>
            <w:gridSpan w:val="2"/>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联系人：</w:t>
            </w:r>
          </w:p>
        </w:tc>
      </w:tr>
      <w:tr>
        <w:tblPrEx>
          <w:tblCellMar>
            <w:top w:w="0" w:type="dxa"/>
            <w:left w:w="108" w:type="dxa"/>
            <w:bottom w:w="0" w:type="dxa"/>
            <w:right w:w="108" w:type="dxa"/>
          </w:tblCellMar>
        </w:tblPrEx>
        <w:trPr>
          <w:trHeight w:val="375" w:hRule="atLeast"/>
        </w:trPr>
        <w:tc>
          <w:tcPr>
            <w:tcW w:w="4688" w:type="dxa"/>
            <w:gridSpan w:val="3"/>
            <w:tcBorders>
              <w:top w:val="single" w:color="auto" w:sz="4" w:space="0"/>
              <w:left w:val="single" w:color="auto" w:sz="4" w:space="0"/>
              <w:bottom w:val="single" w:color="auto" w:sz="4" w:space="0"/>
              <w:right w:val="single" w:color="000000" w:sz="4" w:space="0"/>
            </w:tcBorders>
            <w:noWrap/>
            <w:vAlign w:val="center"/>
          </w:tcPr>
          <w:p>
            <w:pPr>
              <w:widowControl/>
              <w:tabs>
                <w:tab w:val="left" w:pos="9141"/>
              </w:tabs>
              <w:jc w:val="righ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 xml:space="preserve">   年   月   日</w:t>
            </w:r>
          </w:p>
        </w:tc>
        <w:tc>
          <w:tcPr>
            <w:tcW w:w="4675" w:type="dxa"/>
            <w:gridSpan w:val="2"/>
            <w:tcBorders>
              <w:top w:val="single" w:color="auto" w:sz="4" w:space="0"/>
              <w:left w:val="nil"/>
              <w:bottom w:val="single" w:color="auto" w:sz="4" w:space="0"/>
              <w:right w:val="single" w:color="000000" w:sz="4" w:space="0"/>
            </w:tcBorders>
            <w:noWrap/>
            <w:vAlign w:val="center"/>
          </w:tcPr>
          <w:p>
            <w:pPr>
              <w:widowControl/>
              <w:tabs>
                <w:tab w:val="left" w:pos="9141"/>
              </w:tabs>
              <w:jc w:val="righ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 xml:space="preserve">   年   月   日</w:t>
            </w:r>
          </w:p>
        </w:tc>
      </w:tr>
    </w:tbl>
    <w:p>
      <w:pPr>
        <w:ind w:left="258" w:leftChars="76" w:firstLine="9120" w:firstLineChars="3800"/>
        <w:rPr>
          <w:rFonts w:hint="eastAsia" w:ascii="宋体" w:hAnsi="宋体"/>
          <w:sz w:val="24"/>
        </w:rPr>
      </w:pPr>
      <w:r>
        <w:rPr>
          <w:rFonts w:hint="eastAsia" w:ascii="宋体" w:hAnsi="宋体"/>
          <w:sz w:val="24"/>
        </w:rPr>
        <w:t xml:space="preserve"> 项目经办人：             </w:t>
      </w:r>
      <w:r>
        <w:rPr>
          <w:rFonts w:hint="eastAsia" w:hAnsi="宋体"/>
          <w:sz w:val="24"/>
          <w:lang w:val="en-US" w:eastAsia="zh-CN"/>
        </w:rPr>
        <w:t xml:space="preserve">   </w:t>
      </w:r>
      <w:r>
        <w:rPr>
          <w:rFonts w:hint="eastAsia" w:ascii="宋体" w:hAnsi="宋体"/>
          <w:sz w:val="24"/>
        </w:rPr>
        <w:t xml:space="preserve"> 科室负责人：                   日期：</w:t>
      </w:r>
    </w:p>
    <w:p>
      <w:pPr>
        <w:rPr>
          <w:rFonts w:eastAsia="仿宋_GB2312"/>
          <w:sz w:val="24"/>
        </w:rPr>
        <w:sectPr>
          <w:footerReference r:id="rId7" w:type="default"/>
          <w:footerReference r:id="rId8" w:type="even"/>
          <w:pgSz w:w="11906" w:h="16838"/>
          <w:pgMar w:top="1418" w:right="1134" w:bottom="1418" w:left="1134" w:header="885" w:footer="1860" w:gutter="0"/>
          <w:cols w:space="720" w:num="1"/>
          <w:docGrid w:type="lines" w:linePitch="312" w:charSpace="0"/>
        </w:sectPr>
      </w:pPr>
    </w:p>
    <w:p>
      <w:pPr>
        <w:jc w:val="center"/>
        <w:rPr>
          <w:rFonts w:ascii="黑体" w:eastAsia="黑体"/>
          <w:sz w:val="44"/>
          <w:szCs w:val="44"/>
        </w:rPr>
      </w:pPr>
      <w:r>
        <w:rPr>
          <w:rFonts w:hint="eastAsia" w:ascii="黑体" w:eastAsia="黑体"/>
          <w:sz w:val="44"/>
          <w:szCs w:val="44"/>
          <w:lang w:eastAsia="zh-CN"/>
        </w:rPr>
        <w:t>附表</w:t>
      </w:r>
      <w:r>
        <w:rPr>
          <w:rFonts w:hint="eastAsia" w:ascii="黑体" w:eastAsia="黑体"/>
          <w:sz w:val="44"/>
          <w:szCs w:val="44"/>
          <w:lang w:val="en-US" w:eastAsia="zh-CN"/>
        </w:rPr>
        <w:t xml:space="preserve">2   </w:t>
      </w:r>
      <w:r>
        <w:rPr>
          <w:rFonts w:hint="eastAsia" w:ascii="黑体" w:eastAsia="黑体"/>
          <w:sz w:val="44"/>
          <w:szCs w:val="44"/>
        </w:rPr>
        <w:t>项目评审工作质量考核评分表</w:t>
      </w:r>
    </w:p>
    <w:p>
      <w:pPr>
        <w:jc w:val="center"/>
        <w:rPr>
          <w:rFonts w:ascii="黑体" w:eastAsia="黑体"/>
          <w:sz w:val="44"/>
          <w:szCs w:val="44"/>
        </w:rPr>
      </w:pPr>
    </w:p>
    <w:p>
      <w:pPr>
        <w:ind w:left="-1377" w:leftChars="-405" w:firstLine="600" w:firstLineChars="250"/>
        <w:rPr>
          <w:rFonts w:hAnsi="宋体"/>
          <w:sz w:val="24"/>
        </w:rPr>
      </w:pPr>
      <w:r>
        <w:rPr>
          <w:rFonts w:hint="eastAsia" w:hAnsi="宋体"/>
          <w:sz w:val="24"/>
        </w:rPr>
        <w:t xml:space="preserve">评审任务单号：                          评审项目名称：                                     咨询机构名称：  </w:t>
      </w:r>
    </w:p>
    <w:tbl>
      <w:tblPr>
        <w:tblStyle w:val="47"/>
        <w:tblW w:w="15362" w:type="dxa"/>
        <w:tblInd w:w="-743" w:type="dxa"/>
        <w:tblLayout w:type="fixed"/>
        <w:tblCellMar>
          <w:top w:w="0" w:type="dxa"/>
          <w:left w:w="108" w:type="dxa"/>
          <w:bottom w:w="0" w:type="dxa"/>
          <w:right w:w="108" w:type="dxa"/>
        </w:tblCellMar>
      </w:tblPr>
      <w:tblGrid>
        <w:gridCol w:w="775"/>
        <w:gridCol w:w="2363"/>
        <w:gridCol w:w="1921"/>
        <w:gridCol w:w="2746"/>
        <w:gridCol w:w="1734"/>
        <w:gridCol w:w="2089"/>
        <w:gridCol w:w="2567"/>
        <w:gridCol w:w="1167"/>
      </w:tblGrid>
      <w:tr>
        <w:tblPrEx>
          <w:tblCellMar>
            <w:top w:w="0" w:type="dxa"/>
            <w:left w:w="108" w:type="dxa"/>
            <w:bottom w:w="0" w:type="dxa"/>
            <w:right w:w="108" w:type="dxa"/>
          </w:tblCellMar>
        </w:tblPrEx>
        <w:trPr>
          <w:trHeight w:val="718" w:hRule="atLeast"/>
        </w:trPr>
        <w:tc>
          <w:tcPr>
            <w:tcW w:w="7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考核指标</w:t>
            </w:r>
          </w:p>
        </w:tc>
        <w:tc>
          <w:tcPr>
            <w:tcW w:w="2363"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技术力量投入（20分）</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技术准备和现场踏勘（15分）</w:t>
            </w:r>
          </w:p>
        </w:tc>
        <w:tc>
          <w:tcPr>
            <w:tcW w:w="2746"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评审会议（20分）</w:t>
            </w:r>
          </w:p>
        </w:tc>
        <w:tc>
          <w:tcPr>
            <w:tcW w:w="1734"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评估工作质量（20分）</w:t>
            </w:r>
          </w:p>
        </w:tc>
        <w:tc>
          <w:tcPr>
            <w:tcW w:w="2089"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成果文件编制质量（10分）</w:t>
            </w:r>
          </w:p>
        </w:tc>
        <w:tc>
          <w:tcPr>
            <w:tcW w:w="2567"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工作效能（15分）</w:t>
            </w:r>
          </w:p>
        </w:tc>
        <w:tc>
          <w:tcPr>
            <w:tcW w:w="1167"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（100分）</w:t>
            </w:r>
          </w:p>
        </w:tc>
      </w:tr>
      <w:tr>
        <w:tblPrEx>
          <w:tblCellMar>
            <w:top w:w="0" w:type="dxa"/>
            <w:left w:w="108" w:type="dxa"/>
            <w:bottom w:w="0" w:type="dxa"/>
            <w:right w:w="108" w:type="dxa"/>
          </w:tblCellMar>
        </w:tblPrEx>
        <w:trPr>
          <w:trHeight w:val="1956" w:hRule="atLeast"/>
        </w:trPr>
        <w:tc>
          <w:tcPr>
            <w:tcW w:w="775" w:type="dxa"/>
            <w:tcBorders>
              <w:top w:val="nil"/>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     内容</w:t>
            </w:r>
          </w:p>
        </w:tc>
        <w:tc>
          <w:tcPr>
            <w:tcW w:w="2363"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项目经理</w:t>
            </w:r>
            <w:r>
              <w:rPr>
                <w:rFonts w:hint="eastAsia" w:asciiTheme="minorEastAsia" w:hAnsiTheme="minorEastAsia" w:eastAsiaTheme="minorEastAsia" w:cstheme="minorEastAsia"/>
                <w:sz w:val="21"/>
                <w:szCs w:val="21"/>
                <w:lang w:eastAsia="zh-CN"/>
              </w:rPr>
              <w:t>（负责人）</w:t>
            </w:r>
            <w:r>
              <w:rPr>
                <w:rFonts w:hint="eastAsia" w:asciiTheme="minorEastAsia" w:hAnsiTheme="minorEastAsia" w:eastAsiaTheme="minorEastAsia" w:cstheme="minorEastAsia"/>
                <w:sz w:val="21"/>
                <w:szCs w:val="21"/>
              </w:rPr>
              <w:t>技术管理是否得力、专业技术人员、咨询专家专业与数量配置是否合理</w:t>
            </w:r>
          </w:p>
        </w:tc>
        <w:tc>
          <w:tcPr>
            <w:tcW w:w="1921"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技术准备是否充分、现场踏勘了解情况及技术交流是否深入，踏勘效果</w:t>
            </w:r>
          </w:p>
        </w:tc>
        <w:tc>
          <w:tcPr>
            <w:tcW w:w="2746"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会议组织是否充分。会议成果是否全面有效、重点突出、对下一步工作有较好的指导作用</w:t>
            </w:r>
          </w:p>
        </w:tc>
        <w:tc>
          <w:tcPr>
            <w:tcW w:w="1734"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参见《工程咨询成果质量评价办法》</w:t>
            </w:r>
            <w:r>
              <w:rPr>
                <w:rFonts w:hint="eastAsia" w:asciiTheme="minorEastAsia" w:hAnsiTheme="minorEastAsia" w:eastAsiaTheme="minorEastAsia" w:cstheme="minorEastAsia"/>
                <w:sz w:val="21"/>
                <w:szCs w:val="21"/>
                <w:lang w:eastAsia="zh-CN"/>
              </w:rPr>
              <w:t>进行考核</w:t>
            </w:r>
          </w:p>
        </w:tc>
        <w:tc>
          <w:tcPr>
            <w:tcW w:w="2089"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报告是否规范，附件是否齐全，装订是否工整</w:t>
            </w:r>
          </w:p>
        </w:tc>
        <w:tc>
          <w:tcPr>
            <w:tcW w:w="2567"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是否在规定时限内提交符合要求的评估报告、是否积极协调和工作主动</w:t>
            </w:r>
          </w:p>
        </w:tc>
        <w:tc>
          <w:tcPr>
            <w:tcW w:w="1167" w:type="dxa"/>
            <w:vMerge w:val="restart"/>
            <w:tcBorders>
              <w:top w:val="nil"/>
              <w:left w:val="single" w:color="auto" w:sz="4" w:space="0"/>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r>
      <w:tr>
        <w:tblPrEx>
          <w:tblCellMar>
            <w:top w:w="0" w:type="dxa"/>
            <w:left w:w="108" w:type="dxa"/>
            <w:bottom w:w="0" w:type="dxa"/>
            <w:right w:w="108" w:type="dxa"/>
          </w:tblCellMar>
        </w:tblPrEx>
        <w:trPr>
          <w:trHeight w:val="1303" w:hRule="atLeast"/>
        </w:trPr>
        <w:tc>
          <w:tcPr>
            <w:tcW w:w="775" w:type="dxa"/>
            <w:vMerge w:val="restart"/>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评分标准</w:t>
            </w:r>
          </w:p>
        </w:tc>
        <w:tc>
          <w:tcPr>
            <w:tcW w:w="2363" w:type="dxa"/>
            <w:vMerge w:val="restart"/>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管理得力，配置合理</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 xml:space="preserve">15－20分         </w:t>
            </w:r>
          </w:p>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管理一般，配置一般</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 xml:space="preserve">8－14分         </w:t>
            </w:r>
          </w:p>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管理较差，配置不足</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0－7分</w:t>
            </w:r>
          </w:p>
        </w:tc>
        <w:tc>
          <w:tcPr>
            <w:tcW w:w="1921" w:type="dxa"/>
            <w:vMerge w:val="restart"/>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准备充分，情况了解深入，效果较好</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10－15分</w:t>
            </w:r>
          </w:p>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准备一般，情况了解一般，效果一般</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 xml:space="preserve">5－9分 </w:t>
            </w:r>
          </w:p>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准备不足，情况了解较差，效果较差</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0－4分</w:t>
            </w:r>
          </w:p>
        </w:tc>
        <w:tc>
          <w:tcPr>
            <w:tcW w:w="2746"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会议组织：5分，从拟订参会单位、人员出席情况，会场布置及设备准备等方面酌情计分</w:t>
            </w:r>
          </w:p>
        </w:tc>
        <w:tc>
          <w:tcPr>
            <w:tcW w:w="1734"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优秀：15－20分     良好：7－14分合格：1－6分  不合格：0分</w:t>
            </w:r>
          </w:p>
        </w:tc>
        <w:tc>
          <w:tcPr>
            <w:tcW w:w="2089"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规范，齐全，工整：</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 xml:space="preserve">7－10分    </w:t>
            </w:r>
          </w:p>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较规范，齐全，工整：</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 xml:space="preserve">4－7分     </w:t>
            </w:r>
          </w:p>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编制质量较差：</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0－3分</w:t>
            </w:r>
          </w:p>
        </w:tc>
        <w:tc>
          <w:tcPr>
            <w:tcW w:w="2567"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工作效果较好，满足时限要求，组织协调较好，工作主动</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10－15分</w:t>
            </w:r>
          </w:p>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工作效果一般，基本满足时限要求，组织协调一般，工作较主动</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5－9分</w:t>
            </w:r>
          </w:p>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工作效果较低，不满足时限要求，组织协调较差，工作被动</w:t>
            </w:r>
            <w:r>
              <w:rPr>
                <w:rFonts w:hint="eastAsia" w:asciiTheme="minorEastAsia" w:hAnsiTheme="minorEastAsia" w:eastAsiaTheme="minorEastAsia" w:cstheme="minorEastAsia"/>
                <w:sz w:val="21"/>
                <w:szCs w:val="21"/>
                <w:lang w:eastAsia="zh-CN"/>
              </w:rPr>
              <w:t>得</w:t>
            </w:r>
            <w:r>
              <w:rPr>
                <w:rFonts w:hint="eastAsia" w:asciiTheme="minorEastAsia" w:hAnsiTheme="minorEastAsia" w:eastAsiaTheme="minorEastAsia" w:cstheme="minorEastAsia"/>
                <w:sz w:val="21"/>
                <w:szCs w:val="21"/>
              </w:rPr>
              <w:t>0－4分</w:t>
            </w: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1614" w:hRule="atLeast"/>
        </w:trPr>
        <w:tc>
          <w:tcPr>
            <w:tcW w:w="775"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c>
          <w:tcPr>
            <w:tcW w:w="236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c>
          <w:tcPr>
            <w:tcW w:w="192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c>
          <w:tcPr>
            <w:tcW w:w="2746"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会议成果：15分，从成果是否全面有效、重点突出、对下一步工作有较好的指导作用等方面酌情计分</w:t>
            </w:r>
          </w:p>
        </w:tc>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c>
          <w:tcPr>
            <w:tcW w:w="2089"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c>
          <w:tcPr>
            <w:tcW w:w="25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57" w:hRule="atLeast"/>
        </w:trPr>
        <w:tc>
          <w:tcPr>
            <w:tcW w:w="775" w:type="dxa"/>
            <w:tcBorders>
              <w:top w:val="nil"/>
              <w:left w:val="single" w:color="auto" w:sz="4" w:space="0"/>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得分</w:t>
            </w:r>
          </w:p>
        </w:tc>
        <w:tc>
          <w:tcPr>
            <w:tcW w:w="2363"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1921"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2746"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1734"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2089"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2567"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64" w:hRule="atLeast"/>
        </w:trPr>
        <w:tc>
          <w:tcPr>
            <w:tcW w:w="775" w:type="dxa"/>
            <w:tcBorders>
              <w:top w:val="nil"/>
              <w:left w:val="single" w:color="auto" w:sz="4" w:space="0"/>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c>
          <w:tcPr>
            <w:tcW w:w="2363"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1921"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2746"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1734"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2089"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2567"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sz w:val="21"/>
                <w:szCs w:val="21"/>
              </w:rPr>
            </w:pPr>
          </w:p>
        </w:tc>
      </w:tr>
    </w:tbl>
    <w:p>
      <w:pPr>
        <w:ind w:left="-1377" w:leftChars="-405" w:firstLine="720" w:firstLineChars="300"/>
        <w:rPr>
          <w:rFonts w:hAnsi="宋体"/>
          <w:sz w:val="24"/>
        </w:rPr>
      </w:pPr>
      <w:r>
        <w:rPr>
          <w:rFonts w:hint="eastAsia" w:hAnsi="宋体"/>
          <w:sz w:val="24"/>
        </w:rPr>
        <w:t>项目经办人：                             科室负责人：                                       考核日期：</w:t>
      </w:r>
    </w:p>
    <w:p>
      <w:pPr>
        <w:tabs>
          <w:tab w:val="center" w:pos="4819"/>
        </w:tabs>
        <w:jc w:val="left"/>
        <w:rPr>
          <w:rFonts w:hAnsi="宋体"/>
          <w:bCs/>
          <w:sz w:val="36"/>
          <w:szCs w:val="36"/>
        </w:rPr>
        <w:sectPr>
          <w:headerReference r:id="rId9" w:type="default"/>
          <w:footerReference r:id="rId10" w:type="default"/>
          <w:pgSz w:w="16838" w:h="11906" w:orient="landscape"/>
          <w:pgMar w:top="1417" w:right="1417" w:bottom="1417" w:left="1417" w:header="851" w:footer="1417" w:gutter="0"/>
          <w:cols w:space="720" w:num="1"/>
          <w:docGrid w:linePitch="462" w:charSpace="0"/>
        </w:sectPr>
      </w:pPr>
    </w:p>
    <w:p>
      <w:pPr>
        <w:tabs>
          <w:tab w:val="center" w:pos="4819"/>
        </w:tabs>
        <w:jc w:val="left"/>
        <w:rPr>
          <w:rFonts w:hAnsi="宋体"/>
          <w:bCs/>
          <w:sz w:val="36"/>
          <w:szCs w:val="36"/>
        </w:rPr>
      </w:pPr>
      <w:r>
        <w:rPr>
          <w:rFonts w:hint="eastAsia" w:hAnsi="宋体"/>
          <w:bCs/>
          <w:sz w:val="36"/>
          <w:szCs w:val="36"/>
        </w:rPr>
        <w:tab/>
      </w:r>
    </w:p>
    <w:p>
      <w:pPr>
        <w:ind w:firstLine="412"/>
        <w:jc w:val="center"/>
        <w:outlineLvl w:val="0"/>
        <w:rPr>
          <w:rFonts w:hAnsi="宋体"/>
          <w:bCs/>
          <w:sz w:val="36"/>
          <w:szCs w:val="36"/>
        </w:rPr>
      </w:pPr>
      <w:bookmarkStart w:id="238" w:name="_Toc14720"/>
      <w:r>
        <w:rPr>
          <w:rFonts w:hint="eastAsia" w:hAnsi="宋体"/>
          <w:bCs/>
          <w:sz w:val="36"/>
          <w:szCs w:val="36"/>
        </w:rPr>
        <w:t>第七章　评标办法</w:t>
      </w:r>
      <w:bookmarkEnd w:id="232"/>
      <w:bookmarkEnd w:id="233"/>
      <w:bookmarkEnd w:id="234"/>
      <w:bookmarkEnd w:id="235"/>
      <w:bookmarkEnd w:id="236"/>
      <w:bookmarkEnd w:id="237"/>
      <w:bookmarkEnd w:id="238"/>
      <w:bookmarkStart w:id="239" w:name="_Hlt101846155"/>
      <w:bookmarkEnd w:id="239"/>
      <w:bookmarkStart w:id="240" w:name="_Toc217446097"/>
      <w:bookmarkStart w:id="241" w:name="_Toc183582280"/>
      <w:bookmarkStart w:id="242" w:name="_Toc208849007"/>
      <w:bookmarkStart w:id="243" w:name="_Toc183682415"/>
    </w:p>
    <w:p>
      <w:pPr>
        <w:spacing w:line="434" w:lineRule="exact"/>
        <w:ind w:firstLine="480" w:firstLineChars="200"/>
        <w:rPr>
          <w:rFonts w:hAnsi="宋体"/>
          <w:bCs/>
          <w:szCs w:val="32"/>
        </w:rPr>
      </w:pPr>
      <w:bookmarkStart w:id="244" w:name="_Toc25884"/>
      <w:r>
        <w:rPr>
          <w:rFonts w:hint="eastAsia" w:hAnsi="宋体"/>
          <w:sz w:val="24"/>
        </w:rPr>
        <w:t>1、总则</w:t>
      </w:r>
      <w:bookmarkEnd w:id="240"/>
      <w:bookmarkEnd w:id="241"/>
      <w:bookmarkEnd w:id="242"/>
      <w:bookmarkEnd w:id="243"/>
      <w:bookmarkEnd w:id="244"/>
    </w:p>
    <w:p>
      <w:pPr>
        <w:spacing w:line="434" w:lineRule="exact"/>
        <w:ind w:firstLine="480" w:firstLineChars="200"/>
        <w:rPr>
          <w:rFonts w:hAnsi="宋体"/>
          <w:sz w:val="24"/>
        </w:rPr>
      </w:pPr>
      <w:r>
        <w:rPr>
          <w:rFonts w:hint="eastAsia" w:hAnsi="宋体"/>
          <w:sz w:val="24"/>
        </w:rPr>
        <w:t>1.1 根据《中华人民共和国政府采购法》、《中华人民共和国政府采购法实施条例》、《政府采购货物和服务招标投标管理办法》等法律制度，结合采购项目特点制定本评标办法。</w:t>
      </w:r>
    </w:p>
    <w:p>
      <w:pPr>
        <w:spacing w:line="434" w:lineRule="exact"/>
        <w:ind w:firstLine="480" w:firstLineChars="200"/>
        <w:rPr>
          <w:rFonts w:hAnsi="宋体"/>
          <w:sz w:val="24"/>
        </w:rPr>
      </w:pPr>
      <w:r>
        <w:rPr>
          <w:rFonts w:hint="eastAsia" w:hAnsi="宋体"/>
          <w:sz w:val="24"/>
        </w:rPr>
        <w:t xml:space="preserve">1.2 </w:t>
      </w:r>
      <w:r>
        <w:rPr>
          <w:rFonts w:hint="eastAsia" w:hAnsi="宋体"/>
          <w:bCs/>
          <w:sz w:val="24"/>
        </w:rPr>
        <w:t>评标工作由采购代理机构负责组织，具体评标事务由采购代理机构依法组建的评标委员会负责。评标委员会由采购人代表和有关技术、经济、法律等方面的专家组成。</w:t>
      </w:r>
    </w:p>
    <w:p>
      <w:pPr>
        <w:spacing w:line="434" w:lineRule="exact"/>
        <w:ind w:firstLine="480" w:firstLineChars="200"/>
        <w:rPr>
          <w:rFonts w:hAnsi="宋体"/>
          <w:sz w:val="24"/>
        </w:rPr>
      </w:pPr>
      <w:r>
        <w:rPr>
          <w:rFonts w:hint="eastAsia" w:hAnsi="宋体"/>
          <w:sz w:val="24"/>
        </w:rPr>
        <w:t>1.3 评标工作应遵循公平、公正、科学及择优的原则，并以相同的评标程序和标准对待所有的投标人。</w:t>
      </w:r>
    </w:p>
    <w:p>
      <w:pPr>
        <w:spacing w:line="434" w:lineRule="exact"/>
        <w:ind w:firstLine="480" w:firstLineChars="200"/>
        <w:rPr>
          <w:rFonts w:hAnsi="宋体"/>
          <w:sz w:val="24"/>
        </w:rPr>
      </w:pPr>
      <w:r>
        <w:rPr>
          <w:rFonts w:hint="eastAsia" w:hAnsi="宋体"/>
          <w:sz w:val="24"/>
        </w:rPr>
        <w:t>1.4 评标委员会按照招标文件规定的评标方法和标准进行评标，并独立履行下列职责：</w:t>
      </w:r>
    </w:p>
    <w:p>
      <w:pPr>
        <w:spacing w:line="434" w:lineRule="exact"/>
        <w:ind w:firstLine="480" w:firstLineChars="200"/>
        <w:rPr>
          <w:rFonts w:hAnsi="宋体"/>
          <w:sz w:val="24"/>
        </w:rPr>
      </w:pPr>
      <w:bookmarkStart w:id="245" w:name="_Toc217446098"/>
      <w:r>
        <w:rPr>
          <w:rFonts w:hint="eastAsia" w:hAnsi="宋体"/>
          <w:sz w:val="24"/>
        </w:rPr>
        <w:t>（一）熟悉和理解招标文件；</w:t>
      </w:r>
    </w:p>
    <w:p>
      <w:pPr>
        <w:spacing w:line="434" w:lineRule="exact"/>
        <w:ind w:firstLine="480" w:firstLineChars="200"/>
        <w:rPr>
          <w:rFonts w:hAnsi="宋体"/>
          <w:sz w:val="24"/>
        </w:rPr>
      </w:pPr>
      <w:r>
        <w:rPr>
          <w:rFonts w:hint="eastAsia" w:hAnsi="宋体"/>
          <w:sz w:val="24"/>
        </w:rPr>
        <w:t>（二）审查供应商投标文件等是否满足招标文件要求，并作出评价；</w:t>
      </w:r>
    </w:p>
    <w:p>
      <w:pPr>
        <w:spacing w:line="434" w:lineRule="exact"/>
        <w:ind w:firstLine="480" w:firstLineChars="200"/>
        <w:rPr>
          <w:rFonts w:hAnsi="宋体"/>
          <w:sz w:val="24"/>
        </w:rPr>
      </w:pPr>
      <w:r>
        <w:rPr>
          <w:rFonts w:hint="eastAsia" w:hAnsi="宋体"/>
          <w:sz w:val="24"/>
        </w:rPr>
        <w:t>（三）根据需要要求招标采购单位对招标文件作出解释；根据需要要求供应商对投标文件有关事项作出澄清、说明或者更正；</w:t>
      </w:r>
    </w:p>
    <w:p>
      <w:pPr>
        <w:spacing w:line="434" w:lineRule="exact"/>
        <w:ind w:firstLine="480" w:firstLineChars="200"/>
        <w:rPr>
          <w:rFonts w:hAnsi="宋体"/>
          <w:sz w:val="24"/>
        </w:rPr>
      </w:pPr>
      <w:r>
        <w:rPr>
          <w:rFonts w:hint="eastAsia" w:hAnsi="宋体"/>
          <w:sz w:val="24"/>
        </w:rPr>
        <w:t>（四）推荐中标候选供应商，或者受采购人委托确定中标供应商；</w:t>
      </w:r>
    </w:p>
    <w:p>
      <w:pPr>
        <w:spacing w:line="434" w:lineRule="exact"/>
        <w:ind w:firstLine="480" w:firstLineChars="200"/>
        <w:rPr>
          <w:rFonts w:hAnsi="宋体"/>
          <w:sz w:val="24"/>
        </w:rPr>
      </w:pPr>
      <w:r>
        <w:rPr>
          <w:rFonts w:hint="eastAsia" w:hAnsi="宋体"/>
          <w:sz w:val="24"/>
        </w:rPr>
        <w:t>（五）起草评标报告并进行签署；</w:t>
      </w:r>
    </w:p>
    <w:p>
      <w:pPr>
        <w:spacing w:line="434" w:lineRule="exact"/>
        <w:ind w:firstLine="480" w:firstLineChars="200"/>
        <w:rPr>
          <w:rFonts w:hAnsi="宋体"/>
          <w:sz w:val="24"/>
        </w:rPr>
      </w:pPr>
      <w:r>
        <w:rPr>
          <w:rFonts w:hint="eastAsia" w:hAnsi="宋体"/>
          <w:sz w:val="24"/>
        </w:rPr>
        <w:t>（六）向招标采购单位、财政部门或者其他监督部门报告非法干预评标工作的行为；</w:t>
      </w:r>
    </w:p>
    <w:p>
      <w:pPr>
        <w:spacing w:line="434" w:lineRule="exact"/>
        <w:ind w:firstLine="480" w:firstLineChars="200"/>
        <w:rPr>
          <w:rFonts w:hAnsi="宋体"/>
          <w:sz w:val="24"/>
        </w:rPr>
      </w:pPr>
      <w:r>
        <w:rPr>
          <w:rFonts w:hint="eastAsia" w:hAnsi="宋体"/>
          <w:sz w:val="24"/>
        </w:rPr>
        <w:t>（七）法律、法规和规章规定的其他职责。</w:t>
      </w:r>
    </w:p>
    <w:p>
      <w:pPr>
        <w:spacing w:line="434" w:lineRule="exact"/>
        <w:ind w:firstLine="480" w:firstLineChars="200"/>
        <w:rPr>
          <w:rFonts w:hAnsi="宋体"/>
          <w:sz w:val="24"/>
        </w:rPr>
      </w:pPr>
      <w:r>
        <w:rPr>
          <w:rFonts w:hint="eastAsia" w:hAnsi="宋体"/>
          <w:sz w:val="24"/>
        </w:rPr>
        <w:t>1.5 评标过程独立、保密。投标人非法干预评标过程的行为将导致其投标文件作为无效处理。</w:t>
      </w:r>
    </w:p>
    <w:p>
      <w:pPr>
        <w:spacing w:line="434" w:lineRule="exact"/>
        <w:ind w:firstLine="480" w:firstLineChars="200"/>
        <w:rPr>
          <w:rFonts w:hAnsi="宋体"/>
          <w:sz w:val="24"/>
        </w:rPr>
      </w:pPr>
      <w:r>
        <w:rPr>
          <w:rFonts w:hint="eastAsia" w:hAnsi="宋体"/>
          <w:sz w:val="24"/>
        </w:rPr>
        <w:t>1.6评标委员会评价投标文件的响应性，对于投标人而言，除评标委员会要求其澄清、说明或者更正而提供的资料外，仅依据投标文件本身的内容，不寻求其他外部证据。</w:t>
      </w:r>
    </w:p>
    <w:p>
      <w:pPr>
        <w:spacing w:line="434" w:lineRule="exact"/>
        <w:ind w:firstLine="480" w:firstLineChars="200"/>
        <w:rPr>
          <w:rFonts w:hAnsi="宋体"/>
          <w:sz w:val="24"/>
        </w:rPr>
      </w:pPr>
      <w:bookmarkStart w:id="246" w:name="_Toc458"/>
      <w:r>
        <w:rPr>
          <w:rFonts w:hint="eastAsia" w:hAnsi="宋体"/>
          <w:sz w:val="24"/>
        </w:rPr>
        <w:t>2、评标方法</w:t>
      </w:r>
      <w:bookmarkEnd w:id="246"/>
    </w:p>
    <w:p>
      <w:pPr>
        <w:spacing w:line="434" w:lineRule="exact"/>
        <w:ind w:firstLine="480" w:firstLineChars="200"/>
        <w:rPr>
          <w:rFonts w:hAnsi="宋体"/>
          <w:sz w:val="24"/>
        </w:rPr>
      </w:pPr>
      <w:r>
        <w:rPr>
          <w:rFonts w:hint="eastAsia" w:hAnsi="宋体"/>
          <w:sz w:val="24"/>
        </w:rPr>
        <w:t>本项目评标方法为：综合评分法。</w:t>
      </w:r>
    </w:p>
    <w:p>
      <w:pPr>
        <w:spacing w:line="434" w:lineRule="exact"/>
        <w:ind w:firstLine="480" w:firstLineChars="200"/>
        <w:rPr>
          <w:rFonts w:hAnsi="宋体"/>
          <w:b/>
          <w:sz w:val="24"/>
        </w:rPr>
      </w:pPr>
      <w:bookmarkStart w:id="247" w:name="_Toc28250"/>
      <w:r>
        <w:rPr>
          <w:rFonts w:hint="eastAsia" w:hAnsi="宋体"/>
          <w:sz w:val="24"/>
        </w:rPr>
        <w:t>3、评标程序</w:t>
      </w:r>
      <w:bookmarkEnd w:id="245"/>
      <w:bookmarkEnd w:id="247"/>
    </w:p>
    <w:p>
      <w:pPr>
        <w:spacing w:line="434" w:lineRule="exact"/>
        <w:ind w:firstLine="480" w:firstLineChars="200"/>
        <w:rPr>
          <w:rFonts w:hAnsi="宋体"/>
          <w:sz w:val="24"/>
        </w:rPr>
      </w:pPr>
      <w:bookmarkStart w:id="248" w:name="_Toc217446103"/>
      <w:bookmarkStart w:id="249" w:name="_Toc217446099"/>
      <w:r>
        <w:rPr>
          <w:rFonts w:hint="eastAsia" w:hAnsi="宋体"/>
          <w:sz w:val="24"/>
        </w:rPr>
        <w:t>3.1熟悉和理解招标文件和停止评标</w:t>
      </w:r>
    </w:p>
    <w:p>
      <w:pPr>
        <w:spacing w:line="434" w:lineRule="exact"/>
        <w:ind w:firstLine="480" w:firstLineChars="200"/>
        <w:rPr>
          <w:rFonts w:hint="default" w:hAnsi="宋体" w:eastAsia="宋体"/>
          <w:sz w:val="24"/>
          <w:lang w:val="en-US" w:eastAsia="zh-CN"/>
        </w:rPr>
      </w:pPr>
      <w:r>
        <w:rPr>
          <w:rFonts w:hint="eastAsia" w:hAnsi="宋体"/>
          <w:sz w:val="24"/>
        </w:rPr>
        <w:t>3.1.1评标委员会正式评标前，应当对招标文件进行熟悉和理解，内容主要包括招标文件中投标人资格条件要求、采购项目技术、服务和商务要求、评标方法和标准以及可能涉及签订政府采购合同的内容等。</w:t>
      </w:r>
      <w:ins w:id="92" w:author="Administrator" w:date="2021-08-06T12:03:37Z">
        <w:r>
          <w:rPr>
            <w:rFonts w:hint="eastAsia" w:hAnsi="宋体"/>
            <w:sz w:val="24"/>
            <w:lang w:eastAsia="zh-CN"/>
          </w:rPr>
          <w:t>评标</w:t>
        </w:r>
      </w:ins>
      <w:ins w:id="93" w:author="Administrator" w:date="2021-08-06T12:03:38Z">
        <w:r>
          <w:rPr>
            <w:rFonts w:hint="eastAsia" w:hAnsi="宋体"/>
            <w:sz w:val="24"/>
            <w:lang w:eastAsia="zh-CN"/>
          </w:rPr>
          <w:t>委员会</w:t>
        </w:r>
      </w:ins>
      <w:ins w:id="94" w:author="Administrator" w:date="2021-08-06T12:03:40Z">
        <w:r>
          <w:rPr>
            <w:rFonts w:hint="eastAsia" w:hAnsi="宋体"/>
            <w:sz w:val="24"/>
            <w:lang w:eastAsia="zh-CN"/>
          </w:rPr>
          <w:t>先</w:t>
        </w:r>
      </w:ins>
      <w:ins w:id="95" w:author="Administrator" w:date="2021-08-06T12:03:49Z">
        <w:r>
          <w:rPr>
            <w:rFonts w:hint="eastAsia" w:hAnsi="宋体"/>
            <w:sz w:val="24"/>
            <w:lang w:eastAsia="zh-CN"/>
          </w:rPr>
          <w:t>评</w:t>
        </w:r>
      </w:ins>
      <w:ins w:id="96" w:author="Administrator" w:date="2021-08-06T12:03:50Z">
        <w:r>
          <w:rPr>
            <w:rFonts w:hint="eastAsia" w:hAnsi="宋体"/>
            <w:sz w:val="24"/>
            <w:lang w:eastAsia="zh-CN"/>
          </w:rPr>
          <w:t>审</w:t>
        </w:r>
      </w:ins>
      <w:ins w:id="97" w:author="Administrator" w:date="2021-08-06T12:03:53Z">
        <w:r>
          <w:rPr>
            <w:rFonts w:hint="eastAsia" w:hAnsi="宋体"/>
            <w:sz w:val="24"/>
            <w:lang w:eastAsia="zh-CN"/>
          </w:rPr>
          <w:t>包</w:t>
        </w:r>
      </w:ins>
      <w:ins w:id="98" w:author="Administrator" w:date="2021-08-06T12:03:54Z">
        <w:r>
          <w:rPr>
            <w:rFonts w:hint="eastAsia" w:hAnsi="宋体"/>
            <w:sz w:val="24"/>
            <w:lang w:val="en-US" w:eastAsia="zh-CN"/>
          </w:rPr>
          <w:t>1</w:t>
        </w:r>
      </w:ins>
      <w:ins w:id="99" w:author="Administrator" w:date="2021-08-06T12:03:55Z">
        <w:r>
          <w:rPr>
            <w:rFonts w:hint="eastAsia" w:hAnsi="宋体"/>
            <w:sz w:val="24"/>
            <w:lang w:val="en-US" w:eastAsia="zh-CN"/>
          </w:rPr>
          <w:t>，</w:t>
        </w:r>
      </w:ins>
      <w:ins w:id="100" w:author="Administrator" w:date="2021-08-06T12:03:56Z">
        <w:r>
          <w:rPr>
            <w:rFonts w:hint="eastAsia" w:hAnsi="宋体"/>
            <w:sz w:val="24"/>
            <w:lang w:val="en-US" w:eastAsia="zh-CN"/>
          </w:rPr>
          <w:t>再</w:t>
        </w:r>
      </w:ins>
      <w:ins w:id="101" w:author="Administrator" w:date="2021-08-06T12:03:58Z">
        <w:r>
          <w:rPr>
            <w:rFonts w:hint="eastAsia" w:hAnsi="宋体"/>
            <w:sz w:val="24"/>
            <w:lang w:val="en-US" w:eastAsia="zh-CN"/>
          </w:rPr>
          <w:t>评审</w:t>
        </w:r>
      </w:ins>
      <w:ins w:id="102" w:author="Administrator" w:date="2021-08-06T12:04:00Z">
        <w:r>
          <w:rPr>
            <w:rFonts w:hint="eastAsia" w:hAnsi="宋体"/>
            <w:sz w:val="24"/>
            <w:lang w:val="en-US" w:eastAsia="zh-CN"/>
          </w:rPr>
          <w:t>包</w:t>
        </w:r>
      </w:ins>
      <w:ins w:id="103" w:author="Administrator" w:date="2021-08-06T12:04:01Z">
        <w:r>
          <w:rPr>
            <w:rFonts w:hint="eastAsia" w:hAnsi="宋体"/>
            <w:sz w:val="24"/>
            <w:lang w:val="en-US" w:eastAsia="zh-CN"/>
          </w:rPr>
          <w:t>2</w:t>
        </w:r>
      </w:ins>
      <w:ins w:id="104" w:author="Administrator" w:date="2021-08-06T12:04:04Z">
        <w:r>
          <w:rPr>
            <w:rFonts w:hint="eastAsia" w:hAnsi="宋体"/>
            <w:sz w:val="24"/>
            <w:lang w:val="en-US" w:eastAsia="zh-CN"/>
          </w:rPr>
          <w:t>。</w:t>
        </w:r>
      </w:ins>
    </w:p>
    <w:p>
      <w:pPr>
        <w:spacing w:line="434" w:lineRule="exact"/>
        <w:ind w:firstLine="480" w:firstLineChars="200"/>
        <w:rPr>
          <w:rFonts w:hAnsi="宋体"/>
          <w:sz w:val="24"/>
        </w:rPr>
      </w:pPr>
      <w:r>
        <w:rPr>
          <w:rFonts w:hint="eastAsia" w:hAnsi="宋体"/>
          <w:sz w:val="24"/>
        </w:rPr>
        <w:t>3.1.2评标委员会熟悉和理解招标文件以及评标过程中，发现本招标文件有下列情形之一的，评标委员会应当停止评标：</w:t>
      </w:r>
    </w:p>
    <w:p>
      <w:pPr>
        <w:spacing w:line="434" w:lineRule="exact"/>
        <w:ind w:firstLine="480" w:firstLineChars="200"/>
        <w:rPr>
          <w:rFonts w:hAnsi="宋体"/>
          <w:sz w:val="24"/>
        </w:rPr>
      </w:pPr>
      <w:r>
        <w:rPr>
          <w:rFonts w:hint="eastAsia" w:hAnsi="宋体"/>
          <w:sz w:val="24"/>
        </w:rPr>
        <w:t>（1）招标文件的规定存在歧义、重大缺陷的；</w:t>
      </w:r>
    </w:p>
    <w:p>
      <w:pPr>
        <w:spacing w:line="434" w:lineRule="exact"/>
        <w:ind w:firstLine="480" w:firstLineChars="200"/>
        <w:rPr>
          <w:rFonts w:hAnsi="宋体"/>
          <w:sz w:val="24"/>
        </w:rPr>
      </w:pPr>
      <w:r>
        <w:rPr>
          <w:rFonts w:hint="eastAsia" w:hAnsi="宋体"/>
          <w:sz w:val="24"/>
        </w:rPr>
        <w:t>（2）招标文件明显以不合理条件对供应商实行差别待遇或者歧视待遇的；</w:t>
      </w:r>
    </w:p>
    <w:p>
      <w:pPr>
        <w:spacing w:line="434" w:lineRule="exact"/>
        <w:ind w:firstLine="480" w:firstLineChars="200"/>
        <w:rPr>
          <w:rFonts w:hAnsi="宋体"/>
          <w:sz w:val="24"/>
        </w:rPr>
      </w:pPr>
      <w:r>
        <w:rPr>
          <w:rFonts w:hint="eastAsia" w:hAnsi="宋体"/>
          <w:sz w:val="24"/>
        </w:rPr>
        <w:t>（3）采购项目属于国家规定的优先、强制采购范围，但是招标文件未依法体现优先、强制采购相关规定的；</w:t>
      </w:r>
    </w:p>
    <w:p>
      <w:pPr>
        <w:spacing w:line="434" w:lineRule="exact"/>
        <w:ind w:firstLine="480" w:firstLineChars="200"/>
        <w:rPr>
          <w:rFonts w:hAnsi="宋体"/>
          <w:sz w:val="24"/>
        </w:rPr>
      </w:pPr>
      <w:r>
        <w:rPr>
          <w:rFonts w:hint="eastAsia" w:hAnsi="宋体"/>
          <w:sz w:val="24"/>
        </w:rPr>
        <w:t>（4）采购项目属于政府采购促进中小企业发展的范围，但是招标文件未依法体现促进中小企业发展相关规定的；</w:t>
      </w:r>
    </w:p>
    <w:p>
      <w:pPr>
        <w:spacing w:line="434" w:lineRule="exact"/>
        <w:ind w:firstLine="480" w:firstLineChars="200"/>
        <w:rPr>
          <w:rFonts w:hAnsi="宋体"/>
          <w:sz w:val="24"/>
        </w:rPr>
      </w:pPr>
      <w:r>
        <w:rPr>
          <w:rFonts w:hint="eastAsia" w:hAnsi="宋体"/>
          <w:sz w:val="24"/>
        </w:rPr>
        <w:t>（5）招标文件规定的评标方法是综合评分法之外的评标方法，或者虽然名称为综合评分法，但实际上不符合国家规定；</w:t>
      </w:r>
    </w:p>
    <w:p>
      <w:pPr>
        <w:spacing w:line="434" w:lineRule="exact"/>
        <w:ind w:firstLine="480" w:firstLineChars="200"/>
        <w:rPr>
          <w:rFonts w:hAnsi="宋体"/>
          <w:sz w:val="24"/>
        </w:rPr>
      </w:pPr>
      <w:r>
        <w:rPr>
          <w:rFonts w:hint="eastAsia" w:hAnsi="宋体"/>
          <w:sz w:val="24"/>
        </w:rPr>
        <w:t>（6）招标文件将投标人的资格条件列为评分因素的；</w:t>
      </w:r>
    </w:p>
    <w:p>
      <w:pPr>
        <w:spacing w:line="434" w:lineRule="exact"/>
        <w:ind w:firstLine="480" w:firstLineChars="200"/>
        <w:rPr>
          <w:rFonts w:hAnsi="宋体"/>
          <w:sz w:val="24"/>
        </w:rPr>
      </w:pPr>
      <w:r>
        <w:rPr>
          <w:rFonts w:hint="eastAsia" w:hAnsi="宋体"/>
          <w:sz w:val="24"/>
        </w:rPr>
        <w:t>（7）招标文件有违反国家其他有关强制性规定的情形。</w:t>
      </w:r>
    </w:p>
    <w:p>
      <w:pPr>
        <w:spacing w:line="434" w:lineRule="exact"/>
        <w:ind w:firstLine="480" w:firstLineChars="200"/>
        <w:rPr>
          <w:rFonts w:hAnsi="宋体"/>
          <w:sz w:val="24"/>
        </w:rPr>
      </w:pPr>
      <w:r>
        <w:rPr>
          <w:rFonts w:hint="eastAsia" w:hAnsi="宋体"/>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34" w:lineRule="exact"/>
        <w:ind w:firstLine="480" w:firstLineChars="200"/>
        <w:rPr>
          <w:rFonts w:hAnsi="宋体"/>
          <w:sz w:val="24"/>
        </w:rPr>
      </w:pPr>
      <w:r>
        <w:rPr>
          <w:rFonts w:hint="eastAsia" w:hAnsi="宋体"/>
          <w:sz w:val="24"/>
        </w:rPr>
        <w:t>3.2资格性检查</w:t>
      </w:r>
    </w:p>
    <w:p>
      <w:pPr>
        <w:spacing w:line="434" w:lineRule="exact"/>
        <w:ind w:firstLine="480" w:firstLineChars="200"/>
        <w:rPr>
          <w:rFonts w:hAnsi="宋体"/>
          <w:sz w:val="24"/>
        </w:rPr>
      </w:pPr>
      <w:r>
        <w:rPr>
          <w:rFonts w:hint="eastAsia" w:hAnsi="宋体"/>
          <w:sz w:val="24"/>
        </w:rPr>
        <w:t>采购人代表或者采购代理机构应依据法律法规和本招标文件的规定，对投标文件是否按照规定要求提供资格性证明材料、是否属于禁止参加投标的供应商等进行审查，以确定投标供应商是否具备投标资格。</w:t>
      </w:r>
    </w:p>
    <w:p>
      <w:pPr>
        <w:spacing w:line="434" w:lineRule="exact"/>
        <w:ind w:firstLine="480" w:firstLineChars="200"/>
        <w:rPr>
          <w:rFonts w:hAnsi="宋体"/>
          <w:sz w:val="24"/>
        </w:rPr>
      </w:pPr>
      <w:r>
        <w:rPr>
          <w:rFonts w:hint="eastAsia" w:hAnsi="宋体"/>
          <w:sz w:val="24"/>
        </w:rPr>
        <w:t>3.3符合性检查</w:t>
      </w:r>
    </w:p>
    <w:p>
      <w:pPr>
        <w:spacing w:line="434" w:lineRule="exact"/>
        <w:ind w:firstLine="480" w:firstLineChars="200"/>
        <w:rPr>
          <w:rFonts w:hAnsi="宋体"/>
          <w:sz w:val="24"/>
        </w:rPr>
      </w:pPr>
      <w:r>
        <w:rPr>
          <w:rFonts w:hint="eastAsia" w:hAnsi="宋体"/>
          <w:sz w:val="24"/>
        </w:rPr>
        <w:t>3.3.1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34" w:lineRule="exact"/>
        <w:ind w:firstLine="480" w:firstLineChars="200"/>
        <w:rPr>
          <w:rFonts w:hAnsi="宋体"/>
          <w:sz w:val="24"/>
        </w:rPr>
      </w:pPr>
      <w:r>
        <w:rPr>
          <w:rFonts w:hint="eastAsia" w:hAnsi="宋体"/>
          <w:sz w:val="24"/>
        </w:rPr>
        <w:t>3.3.2投标文件（包括单独递交的开标一览表）有下列情形的，本项目不作为实质性要求进行规定，即不作为符合性审查事项，不得作为无效投标处理：</w:t>
      </w:r>
    </w:p>
    <w:p>
      <w:pPr>
        <w:spacing w:line="434" w:lineRule="exact"/>
        <w:ind w:firstLine="480" w:firstLineChars="200"/>
        <w:rPr>
          <w:rFonts w:hAnsi="宋体"/>
          <w:sz w:val="24"/>
        </w:rPr>
      </w:pPr>
      <w:r>
        <w:rPr>
          <w:rFonts w:hint="eastAsia" w:hAnsi="宋体"/>
          <w:sz w:val="24"/>
        </w:rPr>
        <w:t>（一）正副本数量齐全、密封完好，只是未按照招标文件要求进行分装或者统装的；</w:t>
      </w:r>
    </w:p>
    <w:p>
      <w:pPr>
        <w:spacing w:line="434" w:lineRule="exact"/>
        <w:ind w:firstLine="480" w:firstLineChars="200"/>
        <w:rPr>
          <w:rFonts w:hAnsi="宋体"/>
          <w:sz w:val="24"/>
        </w:rPr>
      </w:pPr>
      <w:r>
        <w:rPr>
          <w:rFonts w:hint="eastAsia" w:hAnsi="宋体"/>
          <w:sz w:val="24"/>
        </w:rPr>
        <w:t>（二）存在个别地方（不超过2个）没有法定代表人签字，但有法定代表人的私人印章或者有效授权代理人签字的；</w:t>
      </w:r>
    </w:p>
    <w:p>
      <w:pPr>
        <w:spacing w:line="434" w:lineRule="exact"/>
        <w:ind w:firstLine="480" w:firstLineChars="200"/>
        <w:rPr>
          <w:rFonts w:hAnsi="宋体"/>
          <w:sz w:val="24"/>
        </w:rPr>
      </w:pPr>
      <w:r>
        <w:rPr>
          <w:rFonts w:hint="eastAsia" w:hAnsi="宋体"/>
          <w:sz w:val="24"/>
        </w:rPr>
        <w:t>（三）除招标文件明确要求加盖单位(法人)公章的以外，其他地方以相关专用章加盖的；</w:t>
      </w:r>
    </w:p>
    <w:p>
      <w:pPr>
        <w:spacing w:line="434" w:lineRule="exact"/>
        <w:ind w:firstLine="480" w:firstLineChars="200"/>
        <w:rPr>
          <w:rFonts w:hAnsi="宋体"/>
          <w:sz w:val="24"/>
        </w:rPr>
      </w:pPr>
      <w:r>
        <w:rPr>
          <w:rFonts w:hint="eastAsia" w:hAnsi="宋体"/>
          <w:sz w:val="24"/>
        </w:rPr>
        <w:t>（四）以骑缝章的形式代替投标文件内容逐页盖章的（但是骑缝章模糊不清，印章名称无法辨认的除外）；</w:t>
      </w:r>
    </w:p>
    <w:p>
      <w:pPr>
        <w:spacing w:line="434" w:lineRule="exact"/>
        <w:ind w:firstLine="480" w:firstLineChars="200"/>
        <w:rPr>
          <w:rFonts w:hAnsi="宋体"/>
          <w:sz w:val="24"/>
        </w:rPr>
      </w:pPr>
      <w:r>
        <w:rPr>
          <w:rFonts w:hint="eastAsia" w:hAnsi="宋体"/>
          <w:sz w:val="24"/>
        </w:rPr>
        <w:t>（五）其他不影响采购项目实质性要求的情形。</w:t>
      </w:r>
    </w:p>
    <w:p>
      <w:pPr>
        <w:spacing w:line="434" w:lineRule="exact"/>
        <w:ind w:firstLine="480" w:firstLineChars="200"/>
        <w:rPr>
          <w:rFonts w:hAnsi="宋体"/>
          <w:sz w:val="24"/>
        </w:rPr>
      </w:pPr>
      <w:r>
        <w:rPr>
          <w:rFonts w:hint="eastAsia" w:hAnsi="宋体"/>
          <w:sz w:val="24"/>
        </w:rPr>
        <w:t>3.3.3除政府采购法律制度规定的情形外，本项目投标人或者其投标文件有下列情形之一的，作为无效投标处理：</w:t>
      </w:r>
    </w:p>
    <w:p>
      <w:pPr>
        <w:spacing w:line="434" w:lineRule="exact"/>
        <w:ind w:firstLine="480" w:firstLineChars="200"/>
        <w:rPr>
          <w:rFonts w:hAnsi="宋体"/>
          <w:sz w:val="24"/>
        </w:rPr>
      </w:pPr>
      <w:r>
        <w:rPr>
          <w:rFonts w:hint="eastAsia" w:hAnsi="宋体"/>
          <w:sz w:val="24"/>
        </w:rPr>
        <w:t>（一）投标文件正副本数量不足的；</w:t>
      </w:r>
    </w:p>
    <w:p>
      <w:pPr>
        <w:spacing w:line="434" w:lineRule="exact"/>
        <w:ind w:firstLine="480" w:firstLineChars="200"/>
        <w:rPr>
          <w:rFonts w:hAnsi="宋体"/>
          <w:sz w:val="24"/>
        </w:rPr>
      </w:pPr>
      <w:r>
        <w:rPr>
          <w:rFonts w:hint="eastAsia" w:hAnsi="宋体"/>
          <w:sz w:val="24"/>
        </w:rPr>
        <w:t>（二）投标文件组成明显不符合招标文件的规定要求，影响评标委员会评判的；</w:t>
      </w:r>
    </w:p>
    <w:p>
      <w:pPr>
        <w:spacing w:line="434" w:lineRule="exact"/>
        <w:ind w:firstLine="480" w:firstLineChars="200"/>
        <w:rPr>
          <w:rFonts w:hAnsi="宋体"/>
          <w:sz w:val="24"/>
        </w:rPr>
      </w:pPr>
      <w:r>
        <w:rPr>
          <w:rFonts w:hint="eastAsia" w:hAnsi="宋体"/>
          <w:sz w:val="24"/>
        </w:rPr>
        <w:t>（三）投标文件的格式、语言、计量单位、报价货币、知识产权、投标有效期等不符合招标文件的规定，影响评标委员会评判的；</w:t>
      </w:r>
    </w:p>
    <w:p>
      <w:pPr>
        <w:spacing w:line="434" w:lineRule="exact"/>
        <w:ind w:firstLine="480" w:firstLineChars="200"/>
        <w:rPr>
          <w:rFonts w:hAnsi="宋体"/>
          <w:sz w:val="24"/>
        </w:rPr>
      </w:pPr>
      <w:r>
        <w:rPr>
          <w:rFonts w:hint="eastAsia" w:hAnsi="宋体"/>
          <w:sz w:val="24"/>
        </w:rPr>
        <w:t>（四）投标报价不符合招标文件规定的价格标底和其他报价规定的；</w:t>
      </w:r>
    </w:p>
    <w:p>
      <w:pPr>
        <w:spacing w:line="434" w:lineRule="exact"/>
        <w:ind w:firstLine="480" w:firstLineChars="200"/>
        <w:rPr>
          <w:rFonts w:hAnsi="宋体"/>
          <w:sz w:val="24"/>
        </w:rPr>
      </w:pPr>
      <w:r>
        <w:rPr>
          <w:rFonts w:hint="eastAsia" w:hAnsi="宋体"/>
          <w:sz w:val="24"/>
        </w:rPr>
        <w:t>（五）服务、商务应答内容没有完全响应招标文件的实质性要求的；</w:t>
      </w:r>
    </w:p>
    <w:p>
      <w:pPr>
        <w:spacing w:line="434" w:lineRule="exact"/>
        <w:ind w:firstLine="480" w:firstLineChars="200"/>
        <w:rPr>
          <w:rFonts w:hAnsi="宋体"/>
          <w:sz w:val="24"/>
        </w:rPr>
      </w:pPr>
      <w:r>
        <w:rPr>
          <w:rFonts w:hint="eastAsia" w:hAnsi="宋体"/>
          <w:sz w:val="24"/>
        </w:rPr>
        <w:t>（六）招标文件有明确要求，但投标文件未载明或者载明的采购项目履约时间、方式、数量与招标文件要求不一致的。</w:t>
      </w:r>
    </w:p>
    <w:p>
      <w:pPr>
        <w:spacing w:line="434" w:lineRule="exact"/>
        <w:ind w:firstLine="480" w:firstLineChars="200"/>
        <w:rPr>
          <w:rFonts w:hAnsi="宋体"/>
          <w:sz w:val="24"/>
        </w:rPr>
      </w:pPr>
      <w:r>
        <w:rPr>
          <w:rFonts w:hint="eastAsia" w:hAnsi="宋体"/>
          <w:sz w:val="24"/>
        </w:rPr>
        <w:t>3.4比较与评价</w:t>
      </w:r>
    </w:p>
    <w:p>
      <w:pPr>
        <w:spacing w:line="434" w:lineRule="exact"/>
        <w:ind w:firstLine="480" w:firstLineChars="200"/>
        <w:rPr>
          <w:rFonts w:hAnsi="宋体"/>
          <w:sz w:val="24"/>
        </w:rPr>
      </w:pPr>
      <w:r>
        <w:rPr>
          <w:rFonts w:hint="eastAsia" w:hAnsi="宋体"/>
          <w:sz w:val="24"/>
        </w:rPr>
        <w:t>按招标文件中规定的评标方法和标准，对未作无效投标处理的投标文件进行报价、服务、商务等方面评估，综合比较与评价。</w:t>
      </w:r>
    </w:p>
    <w:p>
      <w:pPr>
        <w:spacing w:line="434" w:lineRule="exact"/>
        <w:ind w:firstLine="480" w:firstLineChars="200"/>
        <w:rPr>
          <w:rFonts w:hAnsi="宋体"/>
          <w:sz w:val="24"/>
        </w:rPr>
      </w:pPr>
      <w:r>
        <w:rPr>
          <w:rFonts w:hint="eastAsia" w:hAnsi="宋体"/>
          <w:sz w:val="24"/>
        </w:rPr>
        <w:t>3.5复核</w:t>
      </w:r>
    </w:p>
    <w:p>
      <w:pPr>
        <w:spacing w:line="434" w:lineRule="exact"/>
        <w:ind w:firstLine="480" w:firstLineChars="200"/>
        <w:rPr>
          <w:rFonts w:hAnsi="宋体"/>
          <w:sz w:val="24"/>
        </w:rPr>
      </w:pPr>
      <w:r>
        <w:rPr>
          <w:rFonts w:hint="eastAsia" w:hAnsi="宋体"/>
          <w:sz w:val="24"/>
        </w:rPr>
        <w:t>评分汇总结束后，评标委员会应当进行复核，特别要对拟推荐为中标候选供应商的、报价最低的、投标文件被认定为无效的进行重点复核。</w:t>
      </w:r>
    </w:p>
    <w:p>
      <w:pPr>
        <w:spacing w:line="434" w:lineRule="exact"/>
        <w:ind w:firstLine="480" w:firstLineChars="200"/>
        <w:rPr>
          <w:rFonts w:hAnsi="宋体"/>
          <w:sz w:val="24"/>
        </w:rPr>
      </w:pPr>
      <w:r>
        <w:rPr>
          <w:rFonts w:hint="eastAsia" w:hAnsi="宋体"/>
          <w:sz w:val="24"/>
        </w:rPr>
        <w:t>3.6推荐中标候选供应商</w:t>
      </w:r>
    </w:p>
    <w:p>
      <w:pPr>
        <w:spacing w:line="434" w:lineRule="exact"/>
        <w:ind w:firstLine="480" w:firstLineChars="200"/>
        <w:rPr>
          <w:rFonts w:hAnsi="宋体"/>
          <w:sz w:val="24"/>
        </w:rPr>
      </w:pPr>
      <w:r>
        <w:rPr>
          <w:rFonts w:hint="eastAsia" w:hAnsi="宋体"/>
          <w:sz w:val="24"/>
        </w:rPr>
        <w:t>中标候选供应商应当排序。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pPr>
        <w:spacing w:line="434" w:lineRule="exact"/>
        <w:ind w:firstLine="480" w:firstLineChars="200"/>
        <w:rPr>
          <w:rFonts w:hAnsi="宋体"/>
          <w:sz w:val="24"/>
        </w:rPr>
      </w:pPr>
      <w:r>
        <w:rPr>
          <w:rFonts w:hint="eastAsia" w:hAnsi="宋体"/>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34" w:lineRule="exact"/>
        <w:ind w:firstLine="480" w:firstLineChars="200"/>
        <w:rPr>
          <w:rFonts w:hAnsi="宋体"/>
          <w:sz w:val="24"/>
        </w:rPr>
      </w:pPr>
      <w:r>
        <w:rPr>
          <w:rFonts w:hint="eastAsia" w:hAnsi="宋体"/>
          <w:sz w:val="24"/>
        </w:rPr>
        <w:t>3.7出具评标报告</w:t>
      </w:r>
    </w:p>
    <w:p>
      <w:pPr>
        <w:spacing w:line="434" w:lineRule="exact"/>
        <w:ind w:firstLine="480" w:firstLineChars="200"/>
        <w:rPr>
          <w:rFonts w:hAnsi="宋体"/>
          <w:sz w:val="24"/>
        </w:rPr>
      </w:pPr>
      <w:r>
        <w:rPr>
          <w:rFonts w:hint="eastAsia" w:hAnsi="宋体"/>
          <w:sz w:val="24"/>
        </w:rPr>
        <w:t>评标委员会推荐中标候选供应商后，应当向招标采购单位出具评标报告。评标报告应当包括下列内容：</w:t>
      </w:r>
    </w:p>
    <w:p>
      <w:pPr>
        <w:spacing w:line="434" w:lineRule="exact"/>
        <w:ind w:firstLine="480" w:firstLineChars="200"/>
        <w:rPr>
          <w:rFonts w:hAnsi="宋体"/>
          <w:sz w:val="24"/>
        </w:rPr>
      </w:pPr>
      <w:r>
        <w:rPr>
          <w:rFonts w:hint="eastAsia" w:hAnsi="宋体"/>
          <w:sz w:val="24"/>
        </w:rPr>
        <w:t>（一）招标公告刊登的媒体名称、开标日期和地点；</w:t>
      </w:r>
    </w:p>
    <w:p>
      <w:pPr>
        <w:spacing w:line="434" w:lineRule="exact"/>
        <w:ind w:firstLine="480" w:firstLineChars="200"/>
        <w:rPr>
          <w:rFonts w:hAnsi="宋体"/>
          <w:sz w:val="24"/>
        </w:rPr>
      </w:pPr>
      <w:r>
        <w:rPr>
          <w:rFonts w:hint="eastAsia" w:hAnsi="宋体"/>
          <w:sz w:val="24"/>
        </w:rPr>
        <w:t>（二）获取招标文件的投标人名单和评标委员会成员名单；</w:t>
      </w:r>
    </w:p>
    <w:p>
      <w:pPr>
        <w:spacing w:line="434" w:lineRule="exact"/>
        <w:ind w:firstLine="480" w:firstLineChars="200"/>
        <w:rPr>
          <w:rFonts w:hAnsi="宋体"/>
          <w:sz w:val="24"/>
        </w:rPr>
      </w:pPr>
      <w:r>
        <w:rPr>
          <w:rFonts w:hint="eastAsia" w:hAnsi="宋体"/>
          <w:sz w:val="24"/>
        </w:rPr>
        <w:t>（三）评标方法和标准；</w:t>
      </w:r>
    </w:p>
    <w:p>
      <w:pPr>
        <w:spacing w:line="434" w:lineRule="exact"/>
        <w:ind w:firstLine="480" w:firstLineChars="200"/>
        <w:rPr>
          <w:rFonts w:hAnsi="宋体"/>
          <w:sz w:val="24"/>
        </w:rPr>
      </w:pPr>
      <w:r>
        <w:rPr>
          <w:rFonts w:hint="eastAsia" w:hAnsi="宋体"/>
          <w:sz w:val="24"/>
        </w:rPr>
        <w:t>（四）开标记录和评标情况及说明，包括无效投标人名单及原因；</w:t>
      </w:r>
    </w:p>
    <w:p>
      <w:pPr>
        <w:spacing w:line="434" w:lineRule="exact"/>
        <w:ind w:firstLine="480" w:firstLineChars="200"/>
        <w:rPr>
          <w:rFonts w:hAnsi="宋体"/>
          <w:sz w:val="24"/>
        </w:rPr>
      </w:pPr>
      <w:r>
        <w:rPr>
          <w:rFonts w:hint="eastAsia" w:hAnsi="宋体"/>
          <w:sz w:val="24"/>
        </w:rPr>
        <w:t>（五）评标结果和中标候选供应商排序表；</w:t>
      </w:r>
    </w:p>
    <w:p>
      <w:pPr>
        <w:spacing w:line="434" w:lineRule="exact"/>
        <w:ind w:firstLine="480" w:firstLineChars="200"/>
        <w:rPr>
          <w:rFonts w:hAnsi="宋体"/>
          <w:sz w:val="24"/>
        </w:rPr>
      </w:pPr>
      <w:r>
        <w:rPr>
          <w:rFonts w:hint="eastAsia" w:hAnsi="宋体"/>
          <w:sz w:val="24"/>
        </w:rPr>
        <w:t>（六）评标委员会授标建议；</w:t>
      </w:r>
    </w:p>
    <w:p>
      <w:pPr>
        <w:spacing w:line="434" w:lineRule="exact"/>
        <w:ind w:firstLine="480" w:firstLineChars="200"/>
        <w:rPr>
          <w:rFonts w:hAnsi="宋体"/>
          <w:sz w:val="24"/>
        </w:rPr>
      </w:pPr>
      <w:r>
        <w:rPr>
          <w:rFonts w:hint="eastAsia" w:hAnsi="宋体"/>
          <w:sz w:val="24"/>
        </w:rPr>
        <w:t>（七）报价最高的投标人为中标候选人的，评标委员会应当对其报价的合理性予以特别说明。</w:t>
      </w:r>
    </w:p>
    <w:p>
      <w:pPr>
        <w:spacing w:line="434" w:lineRule="exact"/>
        <w:ind w:firstLine="480" w:firstLineChars="200"/>
        <w:rPr>
          <w:rFonts w:hAnsi="宋体"/>
          <w:sz w:val="24"/>
        </w:rPr>
      </w:pPr>
      <w:r>
        <w:rPr>
          <w:rFonts w:hint="eastAsia" w:hAnsi="宋体"/>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34" w:lineRule="exact"/>
        <w:ind w:firstLine="480" w:firstLineChars="200"/>
        <w:rPr>
          <w:rFonts w:hAnsi="宋体"/>
          <w:sz w:val="24"/>
        </w:rPr>
      </w:pPr>
      <w:r>
        <w:rPr>
          <w:rFonts w:hint="eastAsia" w:hAnsi="宋体"/>
          <w:sz w:val="24"/>
        </w:rPr>
        <w:t>3.8评标争议处理规则</w:t>
      </w:r>
    </w:p>
    <w:p>
      <w:pPr>
        <w:spacing w:line="434" w:lineRule="exact"/>
        <w:ind w:firstLine="480" w:firstLineChars="200"/>
        <w:rPr>
          <w:rFonts w:hAnsi="宋体"/>
          <w:sz w:val="24"/>
        </w:rPr>
      </w:pPr>
      <w:r>
        <w:rPr>
          <w:rFonts w:hint="eastAsia" w:hAnsi="宋体"/>
          <w:sz w:val="24"/>
        </w:rPr>
        <w:t>评标委员会在评审过程中，对于资格性审查、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34" w:lineRule="exact"/>
        <w:ind w:firstLine="480" w:firstLineChars="200"/>
        <w:rPr>
          <w:rFonts w:hAnsi="宋体"/>
          <w:sz w:val="24"/>
        </w:rPr>
      </w:pPr>
      <w:r>
        <w:rPr>
          <w:rFonts w:hint="eastAsia" w:hAnsi="宋体"/>
          <w:sz w:val="24"/>
        </w:rPr>
        <w:t>3.9供应商应当书面澄清、说明或者更正。</w:t>
      </w:r>
    </w:p>
    <w:p>
      <w:pPr>
        <w:spacing w:line="434" w:lineRule="exact"/>
        <w:ind w:firstLine="480" w:firstLineChars="200"/>
        <w:rPr>
          <w:rFonts w:hAnsi="宋体"/>
          <w:sz w:val="24"/>
        </w:rPr>
      </w:pPr>
      <w:r>
        <w:rPr>
          <w:rFonts w:hint="eastAsia" w:hAnsi="宋体"/>
          <w:sz w:val="24"/>
        </w:rPr>
        <w:t>3.9.1在评标过程中，供应商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34" w:lineRule="exact"/>
        <w:ind w:firstLine="480" w:firstLineChars="200"/>
        <w:rPr>
          <w:rFonts w:hAnsi="宋体"/>
          <w:sz w:val="24"/>
        </w:rPr>
      </w:pPr>
      <w:r>
        <w:rPr>
          <w:rFonts w:hint="eastAsia" w:hAnsi="宋体"/>
          <w:sz w:val="24"/>
        </w:rPr>
        <w:t>3.9.2供应商应当书面澄清、说明或者更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34" w:lineRule="exact"/>
        <w:ind w:firstLine="480" w:firstLineChars="200"/>
        <w:rPr>
          <w:rFonts w:hAnsi="宋体"/>
          <w:sz w:val="24"/>
        </w:rPr>
      </w:pPr>
      <w:r>
        <w:rPr>
          <w:rFonts w:hint="eastAsia" w:hAnsi="宋体"/>
          <w:sz w:val="24"/>
        </w:rPr>
        <w:t>3.9.3评标委员会要求供应商澄清、说明或者更正，不得超出招标文件的范围，不得以此让供应商实质改变投标文件的内容，不得影响供应商公平竞争。本项目下列内容不得澄清：</w:t>
      </w:r>
    </w:p>
    <w:p>
      <w:pPr>
        <w:spacing w:line="434" w:lineRule="exact"/>
        <w:ind w:firstLine="480" w:firstLineChars="200"/>
        <w:rPr>
          <w:rFonts w:hAnsi="宋体"/>
          <w:sz w:val="24"/>
        </w:rPr>
      </w:pPr>
      <w:r>
        <w:rPr>
          <w:rFonts w:hint="eastAsia" w:hAnsi="宋体"/>
          <w:sz w:val="24"/>
        </w:rPr>
        <w:t>（一）按财政部规定应当在评标时不予承认的投标文件内容事项；</w:t>
      </w:r>
    </w:p>
    <w:p>
      <w:pPr>
        <w:spacing w:line="434" w:lineRule="exact"/>
        <w:ind w:firstLine="480" w:firstLineChars="200"/>
        <w:rPr>
          <w:rFonts w:hAnsi="宋体"/>
          <w:sz w:val="24"/>
        </w:rPr>
      </w:pPr>
      <w:r>
        <w:rPr>
          <w:rFonts w:hint="eastAsia" w:hAnsi="宋体"/>
          <w:sz w:val="24"/>
        </w:rPr>
        <w:t>（二）投标文件中已经明确的内容事项；</w:t>
      </w:r>
    </w:p>
    <w:p>
      <w:pPr>
        <w:spacing w:line="434" w:lineRule="exact"/>
        <w:ind w:firstLine="480" w:firstLineChars="200"/>
        <w:rPr>
          <w:rFonts w:hAnsi="宋体"/>
          <w:sz w:val="24"/>
        </w:rPr>
      </w:pPr>
      <w:r>
        <w:rPr>
          <w:rFonts w:hint="eastAsia" w:hAnsi="宋体"/>
          <w:sz w:val="24"/>
        </w:rPr>
        <w:t>（三）投标文件未提供的材料。</w:t>
      </w:r>
    </w:p>
    <w:p>
      <w:pPr>
        <w:spacing w:line="434" w:lineRule="exact"/>
        <w:ind w:firstLine="480" w:firstLineChars="200"/>
        <w:rPr>
          <w:rFonts w:hAnsi="宋体"/>
          <w:sz w:val="24"/>
        </w:rPr>
      </w:pPr>
      <w:r>
        <w:rPr>
          <w:rFonts w:hint="eastAsia" w:hAnsi="宋体"/>
          <w:sz w:val="24"/>
        </w:rPr>
        <w:t>3.9.4 本项目采购过程中，投标文件出现下列情况的，不需要供应商澄清、说明或者更正，按照以下原则处理：</w:t>
      </w:r>
    </w:p>
    <w:p>
      <w:pPr>
        <w:spacing w:line="434" w:lineRule="exact"/>
        <w:ind w:firstLine="480" w:firstLineChars="200"/>
        <w:rPr>
          <w:rFonts w:hAnsi="宋体"/>
          <w:sz w:val="24"/>
        </w:rPr>
      </w:pPr>
      <w:r>
        <w:rPr>
          <w:rFonts w:hint="eastAsia" w:hAnsi="宋体"/>
          <w:sz w:val="24"/>
        </w:rPr>
        <w:t>（一）投标文件的大写金额和小写金额不一致的，以大写金额为准，但大写金额出现文字错误，导致金额无法判断的除外；</w:t>
      </w:r>
    </w:p>
    <w:p>
      <w:pPr>
        <w:spacing w:line="434" w:lineRule="exact"/>
        <w:ind w:firstLine="480" w:firstLineChars="200"/>
        <w:rPr>
          <w:rFonts w:hAnsi="宋体"/>
          <w:sz w:val="24"/>
        </w:rPr>
      </w:pPr>
      <w:r>
        <w:rPr>
          <w:rFonts w:hint="eastAsia" w:hAnsi="宋体"/>
          <w:sz w:val="24"/>
        </w:rPr>
        <w:t>（二）总价金额与按单价汇总金额不一致的，以单价汇总金额计算结果为准，但是单价金额出现计算错误、明显人为工作失误的除外；</w:t>
      </w:r>
    </w:p>
    <w:p>
      <w:pPr>
        <w:spacing w:line="434" w:lineRule="exact"/>
        <w:ind w:firstLine="480" w:firstLineChars="200"/>
        <w:rPr>
          <w:rFonts w:hAnsi="宋体"/>
          <w:sz w:val="24"/>
        </w:rPr>
      </w:pPr>
      <w:r>
        <w:rPr>
          <w:rFonts w:hint="eastAsia" w:hAnsi="宋体"/>
          <w:sz w:val="24"/>
        </w:rPr>
        <w:t>（三）单价金额小数点有明显错位的，应以总价为准，并修改单价；</w:t>
      </w:r>
    </w:p>
    <w:p>
      <w:pPr>
        <w:spacing w:line="434" w:lineRule="exact"/>
        <w:ind w:firstLine="480" w:firstLineChars="200"/>
        <w:rPr>
          <w:rFonts w:hAnsi="宋体"/>
          <w:sz w:val="24"/>
        </w:rPr>
      </w:pPr>
      <w:r>
        <w:rPr>
          <w:rFonts w:hint="eastAsia" w:hAnsi="宋体"/>
          <w:sz w:val="24"/>
        </w:rPr>
        <w:t>（四）对不同语言文本投标文件的解释发生异议的，以中文文本为准。</w:t>
      </w:r>
    </w:p>
    <w:p>
      <w:pPr>
        <w:spacing w:line="434" w:lineRule="exact"/>
        <w:ind w:firstLine="480" w:firstLineChars="200"/>
        <w:rPr>
          <w:rFonts w:hAnsi="宋体"/>
          <w:sz w:val="24"/>
        </w:rPr>
      </w:pPr>
      <w:r>
        <w:rPr>
          <w:rFonts w:hint="eastAsia" w:hAnsi="宋体"/>
          <w:sz w:val="24"/>
        </w:rPr>
        <w:t>出现本条第（二）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spacing w:line="434" w:lineRule="exact"/>
        <w:ind w:firstLine="482" w:firstLineChars="200"/>
        <w:rPr>
          <w:rFonts w:hAnsi="宋体"/>
          <w:b/>
          <w:sz w:val="24"/>
        </w:rPr>
      </w:pPr>
      <w:r>
        <w:rPr>
          <w:rFonts w:hint="eastAsia" w:hAnsi="宋体"/>
          <w:b/>
          <w:sz w:val="24"/>
        </w:rPr>
        <w:t>注：评标委员应当积极履行澄清、说明或者更正的职责，不得滥用权力。供应商的投标文件可以要求澄清、说明或者更正的，不得未经澄清、说明或者更正而直接作无效投标处理。</w:t>
      </w:r>
    </w:p>
    <w:p>
      <w:pPr>
        <w:spacing w:line="434" w:lineRule="exact"/>
        <w:ind w:firstLine="480" w:firstLineChars="200"/>
        <w:rPr>
          <w:rFonts w:hAnsi="宋体"/>
          <w:sz w:val="24"/>
        </w:rPr>
      </w:pPr>
      <w:r>
        <w:rPr>
          <w:rFonts w:hint="eastAsia" w:hAnsi="宋体"/>
          <w:sz w:val="24"/>
        </w:rPr>
        <w:t>3.10 低于成本价投标处理</w:t>
      </w:r>
    </w:p>
    <w:p>
      <w:pPr>
        <w:spacing w:line="434" w:lineRule="exact"/>
        <w:ind w:firstLine="480" w:firstLineChars="200"/>
        <w:rPr>
          <w:rFonts w:hAnsi="宋体"/>
          <w:sz w:val="24"/>
        </w:rPr>
      </w:pPr>
      <w:r>
        <w:rPr>
          <w:rFonts w:hint="eastAsia" w:hAnsi="宋体"/>
          <w:sz w:val="24"/>
        </w:rPr>
        <w:t>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投标人书面说明应当按照国家财务会计制度的规定要求，逐项就供应商提供的货物、工程和服务的主营业务成本（应根据供应商企业类型予以区别）、税金及附加、销售费用、管理费用、财务费用等成本构成事项详细陈述。</w:t>
      </w:r>
    </w:p>
    <w:p>
      <w:pPr>
        <w:spacing w:line="434" w:lineRule="exact"/>
        <w:ind w:firstLine="480" w:firstLineChars="200"/>
        <w:rPr>
          <w:rFonts w:hAnsi="宋体"/>
          <w:sz w:val="24"/>
        </w:rPr>
      </w:pPr>
      <w:r>
        <w:rPr>
          <w:rFonts w:hint="eastAsia" w:hAnsi="宋体"/>
          <w:sz w:val="24"/>
        </w:rPr>
        <w:t>投标人书面说明应当签字确认或者加盖公章，否则无效。书面说明的签字确认，供应商为法人的，由其法定代表人或者代理人签字确认；供应商为其他组织的，由其主要负责人或者代理人签字确认；投标人为自然人的，由其本人或者代理人签字确认。</w:t>
      </w:r>
    </w:p>
    <w:p>
      <w:pPr>
        <w:spacing w:line="434" w:lineRule="exact"/>
        <w:ind w:firstLine="480" w:firstLineChars="200"/>
        <w:rPr>
          <w:rFonts w:hAnsi="宋体"/>
          <w:sz w:val="24"/>
        </w:rPr>
      </w:pPr>
      <w:r>
        <w:rPr>
          <w:rFonts w:hint="eastAsia" w:hAnsi="宋体"/>
          <w:sz w:val="24"/>
        </w:rPr>
        <w:t>投标人提供书面说明后，评标委员会应当结合采购项目采购需求、专业实际情况、供应商财务状况报告、与其他供应商比较情况等就投标人书面说明进行审查评价。投标人拒绝或者变相拒绝提供有效书面说明或者书面说明不能证明其报价合理性的，评标委员会应当将其投标文件作为无效处理。</w:t>
      </w:r>
    </w:p>
    <w:p>
      <w:pPr>
        <w:spacing w:line="434" w:lineRule="exact"/>
        <w:ind w:firstLine="480" w:firstLineChars="200"/>
        <w:rPr>
          <w:rFonts w:hAnsi="宋体"/>
          <w:sz w:val="24"/>
        </w:rPr>
      </w:pPr>
      <w:r>
        <w:rPr>
          <w:rFonts w:hint="eastAsia" w:hAnsi="宋体"/>
          <w:sz w:val="24"/>
        </w:rPr>
        <w:t>3.11招标采购单位现场复核评标结果</w:t>
      </w:r>
    </w:p>
    <w:p>
      <w:pPr>
        <w:spacing w:line="434" w:lineRule="exact"/>
        <w:ind w:firstLine="480" w:firstLineChars="200"/>
        <w:rPr>
          <w:rFonts w:hAnsi="宋体"/>
          <w:sz w:val="24"/>
        </w:rPr>
      </w:pPr>
      <w:r>
        <w:rPr>
          <w:rFonts w:hint="eastAsia" w:hAnsi="宋体"/>
          <w:sz w:val="24"/>
        </w:rPr>
        <w:t>3.11.1评标结果汇总完成后，评标委员会拟出具评标报告前，招标采购单位应当组织2名以上的本单位工作人员，在采购现场监督人员的监督之下，依据有关的法律制度和采购文件对评标结果进行复核，出具复核报告。存在下列情形之一的，招标采购单位应当根据情况书面建议评标委员会现场修改评标结果或者重新评标：</w:t>
      </w:r>
    </w:p>
    <w:p>
      <w:pPr>
        <w:spacing w:line="434" w:lineRule="exact"/>
        <w:ind w:firstLine="480" w:firstLineChars="200"/>
        <w:rPr>
          <w:rFonts w:hAnsi="宋体"/>
          <w:sz w:val="24"/>
        </w:rPr>
      </w:pPr>
      <w:r>
        <w:rPr>
          <w:rFonts w:hint="eastAsia" w:hAnsi="宋体"/>
          <w:sz w:val="24"/>
        </w:rPr>
        <w:t>（一）分值汇总计算错误的；</w:t>
      </w:r>
    </w:p>
    <w:p>
      <w:pPr>
        <w:spacing w:line="434" w:lineRule="exact"/>
        <w:ind w:firstLine="480" w:firstLineChars="200"/>
        <w:rPr>
          <w:rFonts w:hAnsi="宋体"/>
          <w:sz w:val="24"/>
        </w:rPr>
      </w:pPr>
      <w:r>
        <w:rPr>
          <w:rFonts w:hint="eastAsia" w:hAnsi="宋体"/>
          <w:sz w:val="24"/>
        </w:rPr>
        <w:t>（二）分项评分超出评分标准范围的；</w:t>
      </w:r>
    </w:p>
    <w:p>
      <w:pPr>
        <w:spacing w:line="434" w:lineRule="exact"/>
        <w:ind w:firstLine="480" w:firstLineChars="200"/>
        <w:rPr>
          <w:rFonts w:hAnsi="宋体"/>
          <w:sz w:val="24"/>
        </w:rPr>
      </w:pPr>
      <w:r>
        <w:rPr>
          <w:rFonts w:hint="eastAsia" w:hAnsi="宋体"/>
          <w:sz w:val="24"/>
        </w:rPr>
        <w:t>（三）评标委员会成员对客观评审因素评分不一致的；</w:t>
      </w:r>
    </w:p>
    <w:p>
      <w:pPr>
        <w:spacing w:line="434" w:lineRule="exact"/>
        <w:ind w:firstLine="480" w:firstLineChars="200"/>
        <w:rPr>
          <w:rFonts w:hAnsi="宋体"/>
          <w:sz w:val="24"/>
        </w:rPr>
      </w:pPr>
      <w:r>
        <w:rPr>
          <w:rFonts w:hint="eastAsia" w:hAnsi="宋体"/>
          <w:sz w:val="24"/>
        </w:rPr>
        <w:t>（四）经评标委员会认定评分畸高、畸低的。</w:t>
      </w:r>
    </w:p>
    <w:p>
      <w:pPr>
        <w:spacing w:line="434" w:lineRule="exact"/>
        <w:ind w:firstLine="480" w:firstLineChars="200"/>
        <w:rPr>
          <w:rFonts w:hAnsi="宋体"/>
          <w:sz w:val="24"/>
        </w:rPr>
      </w:pPr>
      <w:r>
        <w:rPr>
          <w:rFonts w:hint="eastAsia" w:hAnsi="宋体"/>
          <w:sz w:val="24"/>
        </w:rPr>
        <w:t>存在本条上述规定情形的，由评标委员会自主决定是否采纳招标采购单位的书面建议，并承担独立评审责任。评标委员会采纳招标采购单位书面建议的，应当按照规定现场修改评标结果或者重新评标，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spacing w:line="434" w:lineRule="exact"/>
        <w:ind w:firstLine="480" w:firstLineChars="200"/>
        <w:rPr>
          <w:rFonts w:hAnsi="宋体"/>
          <w:sz w:val="24"/>
        </w:rPr>
      </w:pPr>
      <w:r>
        <w:rPr>
          <w:rFonts w:hint="eastAsia" w:hAnsi="宋体"/>
          <w:sz w:val="24"/>
        </w:rPr>
        <w:t>3.11.2有下列情形之一的，不得修改评标结果或者重新评标：</w:t>
      </w:r>
    </w:p>
    <w:p>
      <w:pPr>
        <w:spacing w:line="434" w:lineRule="exact"/>
        <w:ind w:firstLine="480" w:firstLineChars="200"/>
        <w:rPr>
          <w:rFonts w:hAnsi="宋体"/>
          <w:sz w:val="24"/>
        </w:rPr>
      </w:pPr>
      <w:r>
        <w:rPr>
          <w:rFonts w:hint="eastAsia" w:hAnsi="宋体"/>
          <w:sz w:val="24"/>
        </w:rPr>
        <w:t>（一）评标委员会已经出具评标报告并且离开评标现场的；</w:t>
      </w:r>
    </w:p>
    <w:p>
      <w:pPr>
        <w:spacing w:line="434" w:lineRule="exact"/>
        <w:ind w:firstLine="480" w:firstLineChars="200"/>
        <w:rPr>
          <w:rFonts w:hAnsi="宋体"/>
          <w:sz w:val="24"/>
        </w:rPr>
      </w:pPr>
      <w:r>
        <w:rPr>
          <w:rFonts w:hint="eastAsia" w:hAnsi="宋体"/>
          <w:sz w:val="24"/>
        </w:rPr>
        <w:t>（二）招标采购单位现场复核时，复核工作人员数量不足的；</w:t>
      </w:r>
    </w:p>
    <w:p>
      <w:pPr>
        <w:spacing w:line="434" w:lineRule="exact"/>
        <w:ind w:firstLine="480" w:firstLineChars="200"/>
        <w:rPr>
          <w:rFonts w:hAnsi="宋体"/>
          <w:sz w:val="24"/>
        </w:rPr>
      </w:pPr>
      <w:r>
        <w:rPr>
          <w:rFonts w:hint="eastAsia" w:hAnsi="宋体"/>
          <w:sz w:val="24"/>
        </w:rPr>
        <w:t>（三）招标采购单位现场复核时，没有采购监督人员现场监督的；</w:t>
      </w:r>
    </w:p>
    <w:p>
      <w:pPr>
        <w:spacing w:line="434" w:lineRule="exact"/>
        <w:ind w:firstLine="480" w:firstLineChars="200"/>
        <w:rPr>
          <w:rFonts w:hAnsi="宋体"/>
          <w:sz w:val="24"/>
        </w:rPr>
      </w:pPr>
      <w:r>
        <w:rPr>
          <w:rFonts w:hint="eastAsia" w:hAnsi="宋体"/>
          <w:sz w:val="24"/>
        </w:rPr>
        <w:t>（四）招标采购单位现场复核内容超出规定范围的；</w:t>
      </w:r>
    </w:p>
    <w:p>
      <w:pPr>
        <w:spacing w:line="434" w:lineRule="exact"/>
        <w:ind w:firstLine="480" w:firstLineChars="200"/>
        <w:rPr>
          <w:rFonts w:hAnsi="宋体"/>
          <w:sz w:val="24"/>
        </w:rPr>
      </w:pPr>
      <w:r>
        <w:rPr>
          <w:rFonts w:hint="eastAsia" w:hAnsi="宋体"/>
          <w:sz w:val="24"/>
        </w:rPr>
        <w:t>（五）招标采购单位未提供书面建议的。</w:t>
      </w:r>
    </w:p>
    <w:p>
      <w:pPr>
        <w:spacing w:line="434" w:lineRule="exact"/>
        <w:ind w:firstLine="480" w:firstLineChars="200"/>
        <w:rPr>
          <w:rFonts w:hAnsi="宋体"/>
          <w:sz w:val="24"/>
        </w:rPr>
      </w:pPr>
      <w:bookmarkStart w:id="250" w:name="_Toc27342"/>
      <w:r>
        <w:rPr>
          <w:rFonts w:hint="eastAsia" w:hAnsi="宋体"/>
          <w:sz w:val="24"/>
        </w:rPr>
        <w:t>4、评标细则及标准</w:t>
      </w:r>
      <w:bookmarkEnd w:id="248"/>
      <w:bookmarkEnd w:id="250"/>
    </w:p>
    <w:p>
      <w:pPr>
        <w:spacing w:line="434" w:lineRule="exact"/>
        <w:ind w:firstLine="480" w:firstLineChars="200"/>
        <w:rPr>
          <w:rFonts w:hAnsi="宋体" w:cs="宋体"/>
          <w:sz w:val="24"/>
          <w:szCs w:val="24"/>
        </w:rPr>
      </w:pPr>
      <w:r>
        <w:rPr>
          <w:rFonts w:hint="eastAsia" w:hAnsi="宋体"/>
          <w:sz w:val="24"/>
        </w:rPr>
        <w:t>4.1本次综合评分的因素是：报价、</w:t>
      </w:r>
      <w:r>
        <w:rPr>
          <w:rFonts w:hint="eastAsia" w:hAnsi="宋体"/>
          <w:sz w:val="24"/>
          <w:szCs w:val="24"/>
        </w:rPr>
        <w:t>技术部分</w:t>
      </w:r>
      <w:r>
        <w:rPr>
          <w:rFonts w:hint="eastAsia" w:hAnsi="宋体"/>
          <w:sz w:val="24"/>
        </w:rPr>
        <w:t>、商务部分、扶持不发达地区和少数民族地区</w:t>
      </w:r>
      <w:r>
        <w:rPr>
          <w:rFonts w:hint="eastAsia" w:hAnsi="宋体" w:cs="宋体"/>
          <w:sz w:val="24"/>
          <w:szCs w:val="24"/>
        </w:rPr>
        <w:t>等。</w:t>
      </w:r>
    </w:p>
    <w:p>
      <w:pPr>
        <w:spacing w:line="434" w:lineRule="exact"/>
        <w:ind w:firstLine="480" w:firstLineChars="200"/>
        <w:rPr>
          <w:rFonts w:hAnsi="宋体"/>
          <w:sz w:val="24"/>
          <w:szCs w:val="22"/>
        </w:rPr>
      </w:pPr>
      <w:r>
        <w:rPr>
          <w:rFonts w:hint="eastAsia" w:hAnsi="宋体"/>
          <w:sz w:val="24"/>
        </w:rPr>
        <w:t xml:space="preserve">4.2 </w:t>
      </w:r>
      <w:r>
        <w:rPr>
          <w:rFonts w:hint="eastAsia" w:hAnsi="宋体"/>
          <w:sz w:val="24"/>
          <w:szCs w:val="22"/>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spacing w:line="434" w:lineRule="exact"/>
        <w:ind w:firstLine="480" w:firstLineChars="200"/>
        <w:rPr>
          <w:rFonts w:hAnsi="宋体"/>
          <w:sz w:val="24"/>
        </w:rPr>
      </w:pPr>
      <w:r>
        <w:rPr>
          <w:rFonts w:hint="eastAsia" w:hAnsi="宋体"/>
          <w:sz w:val="24"/>
        </w:rPr>
        <w:t>4.3综合评分明细表</w:t>
      </w:r>
    </w:p>
    <w:p>
      <w:pPr>
        <w:pStyle w:val="19"/>
        <w:tabs>
          <w:tab w:val="left" w:pos="600"/>
        </w:tabs>
        <w:spacing w:line="400" w:lineRule="exact"/>
        <w:ind w:firstLine="480" w:firstLineChars="200"/>
        <w:rPr>
          <w:sz w:val="24"/>
          <w:szCs w:val="24"/>
        </w:rPr>
      </w:pPr>
      <w:r>
        <w:rPr>
          <w:rFonts w:hint="eastAsia"/>
          <w:sz w:val="24"/>
          <w:szCs w:val="24"/>
        </w:rPr>
        <w:t>4.3.1综合评分明细表的制定以科学合理、降低评委会自由裁量权为原则。</w:t>
      </w:r>
    </w:p>
    <w:p>
      <w:pPr>
        <w:pStyle w:val="19"/>
        <w:widowControl/>
        <w:tabs>
          <w:tab w:val="left" w:pos="600"/>
        </w:tabs>
        <w:spacing w:line="400" w:lineRule="exact"/>
        <w:ind w:firstLine="480" w:firstLineChars="200"/>
        <w:jc w:val="left"/>
        <w:rPr>
          <w:sz w:val="24"/>
          <w:szCs w:val="24"/>
        </w:rPr>
      </w:pPr>
      <w:r>
        <w:rPr>
          <w:sz w:val="24"/>
          <w:szCs w:val="24"/>
        </w:rPr>
        <w:t>4.3.2</w:t>
      </w:r>
      <w:r>
        <w:rPr>
          <w:rFonts w:hint="eastAsia"/>
          <w:sz w:val="24"/>
          <w:szCs w:val="24"/>
        </w:rPr>
        <w:t>对记入诚信档案的且在有效期内的失信供应商，在参加政府采购活动中实行10%的报价加成、以加成后报价作为该供应商报价评标，且供应商失信行为惩戒实行无限制累加制，因其失信行为进行报价加成惩戒后报价超过政府采购预算的，其投标文件按照无效处理。</w:t>
      </w:r>
    </w:p>
    <w:p>
      <w:pPr>
        <w:spacing w:line="434" w:lineRule="exact"/>
        <w:ind w:firstLine="480" w:firstLineChars="200"/>
        <w:rPr>
          <w:rFonts w:hint="eastAsia" w:hAnsi="宋体" w:eastAsia="宋体"/>
          <w:sz w:val="24"/>
          <w:szCs w:val="22"/>
          <w:lang w:eastAsia="zh-CN"/>
        </w:rPr>
      </w:pPr>
      <w:r>
        <w:rPr>
          <w:rFonts w:hint="eastAsia" w:hAnsi="宋体"/>
          <w:sz w:val="24"/>
          <w:szCs w:val="22"/>
        </w:rPr>
        <w:t>4.3.3综合评分明细表</w:t>
      </w:r>
      <w:r>
        <w:rPr>
          <w:rFonts w:hint="eastAsia" w:hAnsi="宋体"/>
          <w:sz w:val="24"/>
          <w:szCs w:val="22"/>
          <w:lang w:eastAsia="zh-CN"/>
        </w:rPr>
        <w:t>（适用于</w:t>
      </w:r>
      <w:r>
        <w:rPr>
          <w:rFonts w:hint="eastAsia" w:hAnsi="宋体"/>
          <w:sz w:val="24"/>
          <w:szCs w:val="22"/>
          <w:lang w:val="en-US" w:eastAsia="zh-CN"/>
        </w:rPr>
        <w:t>1-2包，有特别说明的按各包件注明的条款评分</w:t>
      </w:r>
      <w:r>
        <w:rPr>
          <w:rFonts w:hint="eastAsia" w:hAnsi="宋体"/>
          <w:sz w:val="24"/>
          <w:szCs w:val="22"/>
          <w:lang w:eastAsia="zh-CN"/>
        </w:rPr>
        <w:t>）</w:t>
      </w:r>
    </w:p>
    <w:tbl>
      <w:tblPr>
        <w:tblStyle w:val="47"/>
        <w:tblW w:w="1048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57" w:type="dxa"/>
          <w:left w:w="108" w:type="dxa"/>
          <w:bottom w:w="0" w:type="dxa"/>
          <w:right w:w="108" w:type="dxa"/>
        </w:tblCellMar>
      </w:tblPr>
      <w:tblGrid>
        <w:gridCol w:w="1184"/>
        <w:gridCol w:w="1507"/>
        <w:gridCol w:w="5229"/>
        <w:gridCol w:w="750"/>
        <w:gridCol w:w="181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57" w:type="dxa"/>
            <w:left w:w="108" w:type="dxa"/>
            <w:bottom w:w="0" w:type="dxa"/>
            <w:right w:w="108" w:type="dxa"/>
          </w:tblCellMar>
        </w:tblPrEx>
        <w:trPr>
          <w:trHeight w:val="561" w:hRule="atLeast"/>
          <w:jc w:val="center"/>
        </w:trPr>
        <w:tc>
          <w:tcPr>
            <w:tcW w:w="1184" w:type="dxa"/>
            <w:tcBorders>
              <w:right w:val="single" w:color="auto" w:sz="4" w:space="0"/>
            </w:tcBorders>
            <w:vAlign w:val="center"/>
          </w:tcPr>
          <w:p>
            <w:pPr>
              <w:adjustRightInd w:val="0"/>
              <w:snapToGrid w:val="0"/>
              <w:jc w:val="center"/>
              <w:rPr>
                <w:rFonts w:hAnsi="宋体" w:cs="宋体"/>
                <w:b/>
                <w:sz w:val="24"/>
              </w:rPr>
            </w:pPr>
            <w:bookmarkStart w:id="251" w:name="_Toc25614"/>
            <w:bookmarkStart w:id="252" w:name="_Toc217446060"/>
            <w:r>
              <w:rPr>
                <w:rFonts w:hint="eastAsia" w:hAnsi="宋体" w:cs="宋体"/>
                <w:b/>
                <w:sz w:val="24"/>
              </w:rPr>
              <w:t>评分项目</w:t>
            </w:r>
          </w:p>
        </w:tc>
        <w:tc>
          <w:tcPr>
            <w:tcW w:w="6736" w:type="dxa"/>
            <w:gridSpan w:val="2"/>
            <w:tcBorders>
              <w:left w:val="single" w:color="auto" w:sz="4" w:space="0"/>
              <w:right w:val="single" w:color="auto" w:sz="8" w:space="0"/>
            </w:tcBorders>
            <w:vAlign w:val="center"/>
          </w:tcPr>
          <w:p>
            <w:pPr>
              <w:adjustRightInd w:val="0"/>
              <w:snapToGrid w:val="0"/>
              <w:jc w:val="center"/>
              <w:rPr>
                <w:rFonts w:hAnsi="宋体" w:cs="宋体"/>
                <w:b/>
                <w:sz w:val="24"/>
              </w:rPr>
            </w:pPr>
            <w:r>
              <w:rPr>
                <w:rFonts w:hint="eastAsia" w:hAnsi="宋体" w:cs="宋体"/>
                <w:b/>
                <w:sz w:val="24"/>
              </w:rPr>
              <w:t>评  审  条  件</w:t>
            </w:r>
          </w:p>
        </w:tc>
        <w:tc>
          <w:tcPr>
            <w:tcW w:w="750" w:type="dxa"/>
            <w:tcBorders>
              <w:left w:val="single" w:color="auto" w:sz="8" w:space="0"/>
            </w:tcBorders>
            <w:vAlign w:val="center"/>
          </w:tcPr>
          <w:p>
            <w:pPr>
              <w:adjustRightInd w:val="0"/>
              <w:snapToGrid w:val="0"/>
              <w:jc w:val="center"/>
              <w:rPr>
                <w:rFonts w:hAnsi="宋体" w:cs="宋体"/>
                <w:b/>
                <w:sz w:val="24"/>
              </w:rPr>
            </w:pPr>
            <w:r>
              <w:rPr>
                <w:rFonts w:hint="eastAsia" w:hAnsi="宋体" w:cs="宋体"/>
                <w:b/>
                <w:sz w:val="24"/>
              </w:rPr>
              <w:t>分值</w:t>
            </w:r>
          </w:p>
        </w:tc>
        <w:tc>
          <w:tcPr>
            <w:tcW w:w="1818" w:type="dxa"/>
            <w:tcBorders>
              <w:left w:val="single" w:color="auto" w:sz="8" w:space="0"/>
            </w:tcBorders>
            <w:vAlign w:val="center"/>
          </w:tcPr>
          <w:p>
            <w:pPr>
              <w:adjustRightInd w:val="0"/>
              <w:snapToGrid w:val="0"/>
              <w:rPr>
                <w:rFonts w:hAnsi="宋体" w:cs="宋体"/>
                <w:b/>
                <w:sz w:val="24"/>
              </w:rPr>
            </w:pPr>
            <w:r>
              <w:rPr>
                <w:rFonts w:hint="eastAsia" w:hAnsi="宋体" w:cs="宋体"/>
                <w:b/>
                <w:sz w:val="24"/>
              </w:rPr>
              <w:t>说明</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57" w:type="dxa"/>
            <w:left w:w="108" w:type="dxa"/>
            <w:bottom w:w="0" w:type="dxa"/>
            <w:right w:w="108" w:type="dxa"/>
          </w:tblCellMar>
        </w:tblPrEx>
        <w:trPr>
          <w:trHeight w:val="1290" w:hRule="atLeast"/>
          <w:jc w:val="center"/>
        </w:trPr>
        <w:tc>
          <w:tcPr>
            <w:tcW w:w="1184" w:type="dxa"/>
            <w:tcBorders>
              <w:right w:val="single" w:color="auto" w:sz="4" w:space="0"/>
            </w:tcBorders>
            <w:vAlign w:val="center"/>
          </w:tcPr>
          <w:p>
            <w:pPr>
              <w:adjustRightInd w:val="0"/>
              <w:snapToGrid w:val="0"/>
              <w:spacing w:line="320" w:lineRule="exact"/>
              <w:jc w:val="center"/>
              <w:rPr>
                <w:rFonts w:hAnsi="宋体" w:cs="宋体"/>
                <w:sz w:val="24"/>
              </w:rPr>
            </w:pPr>
            <w:r>
              <w:rPr>
                <w:rFonts w:hint="eastAsia" w:hAnsi="宋体" w:cs="宋体"/>
                <w:sz w:val="24"/>
              </w:rPr>
              <w:t>价格部分</w:t>
            </w:r>
          </w:p>
          <w:p>
            <w:pPr>
              <w:adjustRightInd w:val="0"/>
              <w:snapToGrid w:val="0"/>
              <w:spacing w:line="320" w:lineRule="exact"/>
              <w:jc w:val="center"/>
              <w:rPr>
                <w:rFonts w:hAnsi="宋体" w:cs="宋体"/>
                <w:sz w:val="24"/>
              </w:rPr>
            </w:pPr>
            <w:r>
              <w:rPr>
                <w:rFonts w:hint="eastAsia" w:hAnsi="宋体" w:cs="宋体"/>
                <w:sz w:val="24"/>
              </w:rPr>
              <w:t>（</w:t>
            </w:r>
            <w:r>
              <w:rPr>
                <w:rFonts w:hint="eastAsia" w:hAnsi="宋体" w:cs="宋体"/>
                <w:sz w:val="24"/>
                <w:lang w:val="en-US" w:eastAsia="zh-CN"/>
              </w:rPr>
              <w:t>1</w:t>
            </w:r>
            <w:r>
              <w:rPr>
                <w:rFonts w:hint="eastAsia" w:hAnsi="宋体" w:cs="宋体"/>
                <w:sz w:val="24"/>
              </w:rPr>
              <w:t>0分）</w:t>
            </w:r>
          </w:p>
        </w:tc>
        <w:tc>
          <w:tcPr>
            <w:tcW w:w="6736" w:type="dxa"/>
            <w:gridSpan w:val="2"/>
            <w:tcBorders>
              <w:left w:val="single" w:color="auto" w:sz="4" w:space="0"/>
              <w:right w:val="single" w:color="auto" w:sz="8" w:space="0"/>
            </w:tcBorders>
            <w:vAlign w:val="center"/>
          </w:tcPr>
          <w:p>
            <w:pPr>
              <w:spacing w:line="300" w:lineRule="exact"/>
              <w:jc w:val="left"/>
              <w:rPr>
                <w:rFonts w:hAnsi="宋体"/>
                <w:bCs/>
                <w:spacing w:val="-6"/>
                <w:sz w:val="24"/>
                <w:lang w:val="zh-CN"/>
              </w:rPr>
            </w:pPr>
            <w:r>
              <w:rPr>
                <w:rFonts w:hint="eastAsia" w:hAnsi="宋体" w:cs="宋体"/>
                <w:sz w:val="24"/>
                <w:szCs w:val="24"/>
              </w:rPr>
              <w:t>以本次有效的最低投标报价为</w:t>
            </w:r>
            <w:r>
              <w:rPr>
                <w:rFonts w:hint="eastAsia" w:hAnsi="宋体" w:cs="宋体"/>
                <w:sz w:val="24"/>
                <w:szCs w:val="24"/>
                <w:lang w:eastAsia="zh-CN"/>
              </w:rPr>
              <w:t>评标</w:t>
            </w:r>
            <w:r>
              <w:rPr>
                <w:rFonts w:hint="eastAsia" w:hAnsi="宋体" w:cs="宋体"/>
                <w:sz w:val="24"/>
                <w:szCs w:val="24"/>
              </w:rPr>
              <w:t>基准价，投标报价得分</w:t>
            </w:r>
            <w:r>
              <w:rPr>
                <w:rFonts w:hAnsi="宋体" w:cs="宋体"/>
                <w:sz w:val="24"/>
                <w:szCs w:val="24"/>
              </w:rPr>
              <w:t>=(</w:t>
            </w:r>
            <w:r>
              <w:rPr>
                <w:rFonts w:hint="eastAsia" w:hAnsi="宋体" w:cs="宋体"/>
                <w:sz w:val="24"/>
                <w:szCs w:val="24"/>
                <w:lang w:eastAsia="zh-CN"/>
              </w:rPr>
              <w:t>评标</w:t>
            </w:r>
            <w:r>
              <w:rPr>
                <w:rFonts w:hAnsi="宋体" w:cs="宋体"/>
                <w:sz w:val="24"/>
                <w:szCs w:val="24"/>
              </w:rPr>
              <w:t>基准价／投标报价)*</w:t>
            </w:r>
            <w:r>
              <w:rPr>
                <w:rFonts w:hint="eastAsia" w:hAnsi="宋体" w:cs="宋体"/>
                <w:sz w:val="24"/>
                <w:szCs w:val="24"/>
                <w:lang w:val="en-US" w:eastAsia="zh-CN"/>
              </w:rPr>
              <w:t>100*10%</w:t>
            </w:r>
          </w:p>
        </w:tc>
        <w:tc>
          <w:tcPr>
            <w:tcW w:w="750" w:type="dxa"/>
            <w:tcBorders>
              <w:left w:val="single" w:color="auto" w:sz="8" w:space="0"/>
            </w:tcBorders>
            <w:vAlign w:val="center"/>
          </w:tcPr>
          <w:p>
            <w:pPr>
              <w:adjustRightInd w:val="0"/>
              <w:snapToGrid w:val="0"/>
              <w:spacing w:line="360" w:lineRule="auto"/>
              <w:jc w:val="center"/>
              <w:rPr>
                <w:rFonts w:hAnsi="宋体" w:cs="宋体"/>
                <w:sz w:val="24"/>
              </w:rPr>
            </w:pPr>
            <w:r>
              <w:rPr>
                <w:rFonts w:hint="eastAsia" w:hAnsi="宋体" w:cs="宋体"/>
                <w:sz w:val="24"/>
                <w:lang w:val="en-US" w:eastAsia="zh-CN"/>
              </w:rPr>
              <w:t>1</w:t>
            </w:r>
            <w:r>
              <w:rPr>
                <w:rFonts w:hint="eastAsia" w:hAnsi="宋体" w:cs="宋体"/>
                <w:sz w:val="24"/>
              </w:rPr>
              <w:t>0</w:t>
            </w:r>
            <w:r>
              <w:rPr>
                <w:rFonts w:hint="eastAsia" w:hAnsi="宋体" w:cs="宋体"/>
                <w:sz w:val="24"/>
                <w:lang w:val="en-US" w:eastAsia="zh-CN"/>
              </w:rPr>
              <w:t>%</w:t>
            </w:r>
          </w:p>
        </w:tc>
        <w:tc>
          <w:tcPr>
            <w:tcW w:w="1818" w:type="dxa"/>
            <w:tcBorders>
              <w:left w:val="single" w:color="auto" w:sz="8" w:space="0"/>
            </w:tcBorders>
            <w:vAlign w:val="center"/>
          </w:tcPr>
          <w:p>
            <w:pPr>
              <w:adjustRightInd w:val="0"/>
              <w:snapToGrid w:val="0"/>
              <w:spacing w:line="360" w:lineRule="auto"/>
              <w:jc w:val="center"/>
              <w:rPr>
                <w:rFonts w:hAnsi="宋体" w:cs="宋体"/>
                <w:sz w:val="24"/>
              </w:rPr>
            </w:pPr>
            <w:r>
              <w:rPr>
                <w:rFonts w:hint="eastAsia"/>
                <w:sz w:val="24"/>
              </w:rPr>
              <w:t>共同评分因素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57" w:type="dxa"/>
            <w:left w:w="108" w:type="dxa"/>
            <w:bottom w:w="0" w:type="dxa"/>
            <w:right w:w="108" w:type="dxa"/>
          </w:tblCellMar>
        </w:tblPrEx>
        <w:trPr>
          <w:trHeight w:val="20" w:hRule="atLeast"/>
          <w:jc w:val="center"/>
        </w:trPr>
        <w:tc>
          <w:tcPr>
            <w:tcW w:w="1184" w:type="dxa"/>
            <w:vMerge w:val="restart"/>
            <w:vAlign w:val="center"/>
          </w:tcPr>
          <w:p>
            <w:pPr>
              <w:adjustRightInd w:val="0"/>
              <w:snapToGrid w:val="0"/>
              <w:spacing w:line="320" w:lineRule="exact"/>
              <w:jc w:val="center"/>
              <w:rPr>
                <w:rFonts w:hAnsi="宋体" w:cs="宋体"/>
                <w:sz w:val="24"/>
              </w:rPr>
            </w:pPr>
            <w:r>
              <w:rPr>
                <w:rFonts w:hint="eastAsia" w:hAnsi="宋体" w:cs="宋体"/>
                <w:sz w:val="24"/>
              </w:rPr>
              <w:t>商务部分</w:t>
            </w:r>
          </w:p>
          <w:p>
            <w:pPr>
              <w:adjustRightInd w:val="0"/>
              <w:snapToGrid w:val="0"/>
              <w:spacing w:line="320" w:lineRule="exact"/>
              <w:jc w:val="center"/>
              <w:rPr>
                <w:rFonts w:hAnsi="宋体" w:cs="宋体"/>
                <w:sz w:val="24"/>
              </w:rPr>
            </w:pPr>
            <w:r>
              <w:rPr>
                <w:rFonts w:hint="eastAsia" w:hAnsi="宋体" w:cs="宋体"/>
                <w:sz w:val="24"/>
              </w:rPr>
              <w:t>（</w:t>
            </w:r>
            <w:r>
              <w:rPr>
                <w:rFonts w:hint="eastAsia" w:hAnsi="宋体" w:cs="宋体"/>
                <w:sz w:val="24"/>
                <w:lang w:val="en-US" w:eastAsia="zh-CN"/>
              </w:rPr>
              <w:t>38</w:t>
            </w:r>
            <w:r>
              <w:rPr>
                <w:rFonts w:hint="eastAsia" w:hAnsi="宋体" w:cs="宋体"/>
                <w:sz w:val="24"/>
              </w:rPr>
              <w:t>分）</w:t>
            </w:r>
          </w:p>
        </w:tc>
        <w:tc>
          <w:tcPr>
            <w:tcW w:w="1507" w:type="dxa"/>
            <w:tcBorders>
              <w:right w:val="single" w:color="auto" w:sz="4" w:space="0"/>
            </w:tcBorders>
            <w:vAlign w:val="center"/>
          </w:tcPr>
          <w:p>
            <w:pPr>
              <w:adjustRightInd w:val="0"/>
              <w:snapToGrid w:val="0"/>
              <w:spacing w:line="320" w:lineRule="exact"/>
              <w:jc w:val="center"/>
              <w:rPr>
                <w:rFonts w:hAnsi="宋体"/>
                <w:bCs/>
                <w:spacing w:val="-6"/>
                <w:sz w:val="24"/>
              </w:rPr>
            </w:pPr>
            <w:r>
              <w:rPr>
                <w:rFonts w:hint="eastAsia" w:hAnsi="宋体"/>
                <w:bCs/>
                <w:spacing w:val="-6"/>
                <w:sz w:val="24"/>
              </w:rPr>
              <w:t>投标人</w:t>
            </w:r>
            <w:r>
              <w:rPr>
                <w:rFonts w:hAnsi="宋体"/>
                <w:bCs/>
                <w:spacing w:val="-6"/>
                <w:sz w:val="24"/>
              </w:rPr>
              <w:t>履约能力</w:t>
            </w:r>
          </w:p>
          <w:p>
            <w:pPr>
              <w:adjustRightInd w:val="0"/>
              <w:snapToGrid w:val="0"/>
              <w:spacing w:line="320" w:lineRule="exact"/>
              <w:jc w:val="center"/>
              <w:rPr>
                <w:rFonts w:ascii="宋体" w:hAnsi="宋体" w:eastAsia="宋体" w:cs="Times New Roman"/>
                <w:bCs/>
                <w:spacing w:val="-6"/>
                <w:sz w:val="24"/>
                <w:lang w:val="en-US" w:eastAsia="zh-CN" w:bidi="ar-SA"/>
              </w:rPr>
            </w:pPr>
            <w:r>
              <w:rPr>
                <w:rFonts w:hint="eastAsia" w:hAnsi="宋体"/>
                <w:bCs/>
                <w:spacing w:val="-6"/>
                <w:sz w:val="24"/>
              </w:rPr>
              <w:t>（</w:t>
            </w:r>
            <w:r>
              <w:rPr>
                <w:rFonts w:hint="eastAsia" w:hAnsi="宋体"/>
                <w:bCs/>
                <w:spacing w:val="-6"/>
                <w:sz w:val="24"/>
                <w:lang w:val="en-US" w:eastAsia="zh-CN"/>
              </w:rPr>
              <w:t>20</w:t>
            </w:r>
            <w:r>
              <w:rPr>
                <w:rFonts w:hint="eastAsia" w:hAnsi="宋体"/>
                <w:bCs/>
                <w:spacing w:val="-6"/>
                <w:sz w:val="24"/>
              </w:rPr>
              <w:t>分）</w:t>
            </w:r>
          </w:p>
        </w:tc>
        <w:tc>
          <w:tcPr>
            <w:tcW w:w="5229" w:type="dxa"/>
            <w:tcBorders>
              <w:left w:val="single" w:color="auto" w:sz="4" w:space="0"/>
              <w:right w:val="single" w:color="auto" w:sz="8" w:space="0"/>
            </w:tcBorders>
            <w:vAlign w:val="center"/>
          </w:tcPr>
          <w:p>
            <w:pPr>
              <w:adjustRightInd w:val="0"/>
              <w:snapToGrid w:val="0"/>
              <w:spacing w:line="320" w:lineRule="exact"/>
              <w:jc w:val="left"/>
              <w:rPr>
                <w:rFonts w:hint="eastAsia" w:hAnsi="宋体" w:cs="宋体"/>
                <w:sz w:val="24"/>
                <w:szCs w:val="22"/>
                <w:lang w:eastAsia="zh-CN"/>
              </w:rPr>
            </w:pPr>
          </w:p>
          <w:p>
            <w:pPr>
              <w:adjustRightInd w:val="0"/>
              <w:snapToGrid w:val="0"/>
              <w:spacing w:line="320" w:lineRule="exact"/>
              <w:jc w:val="left"/>
              <w:rPr>
                <w:rFonts w:hint="eastAsia" w:hAnsi="宋体" w:cs="宋体"/>
                <w:sz w:val="24"/>
                <w:szCs w:val="22"/>
              </w:rPr>
            </w:pPr>
            <w:r>
              <w:rPr>
                <w:rFonts w:hint="eastAsia" w:hAnsi="宋体" w:cs="宋体"/>
                <w:sz w:val="24"/>
                <w:szCs w:val="22"/>
                <w:lang w:eastAsia="zh-CN"/>
              </w:rPr>
              <w:t>包件</w:t>
            </w:r>
            <w:r>
              <w:rPr>
                <w:rFonts w:hint="eastAsia" w:hAnsi="宋体" w:cs="宋体"/>
                <w:sz w:val="24"/>
                <w:szCs w:val="22"/>
                <w:lang w:val="en-US" w:eastAsia="zh-CN"/>
              </w:rPr>
              <w:t>1：</w:t>
            </w:r>
            <w:r>
              <w:rPr>
                <w:rFonts w:hint="eastAsia" w:hAnsi="宋体" w:cs="宋体"/>
                <w:sz w:val="24"/>
                <w:szCs w:val="22"/>
              </w:rPr>
              <w:t>近3年（2018至今），供应商每提供1个同类项目业绩得</w:t>
            </w:r>
            <w:r>
              <w:rPr>
                <w:rFonts w:hint="eastAsia" w:hAnsi="宋体" w:cs="宋体"/>
                <w:sz w:val="24"/>
                <w:szCs w:val="22"/>
                <w:lang w:val="en-US" w:eastAsia="zh-CN"/>
                <w:rPrChange w:id="105" w:author="Administrator" w:date="2021-08-06T13:56:10Z">
                  <w:rPr>
                    <w:rFonts w:hint="eastAsia" w:hAnsi="宋体" w:cs="宋体"/>
                    <w:sz w:val="24"/>
                    <w:szCs w:val="22"/>
                    <w:lang w:val="en-US" w:eastAsia="zh-CN"/>
                  </w:rPr>
                </w:rPrChange>
              </w:rPr>
              <w:t>4</w:t>
            </w:r>
            <w:r>
              <w:rPr>
                <w:rFonts w:hint="eastAsia" w:hAnsi="宋体" w:cs="宋体"/>
                <w:sz w:val="24"/>
                <w:szCs w:val="22"/>
              </w:rPr>
              <w:t>分，最多得</w:t>
            </w:r>
            <w:r>
              <w:rPr>
                <w:rFonts w:hint="eastAsia" w:hAnsi="宋体" w:cs="宋体"/>
                <w:sz w:val="24"/>
                <w:szCs w:val="22"/>
                <w:lang w:val="en-US" w:eastAsia="zh-CN"/>
                <w:rPrChange w:id="106" w:author="Administrator" w:date="2021-08-06T13:56:10Z">
                  <w:rPr>
                    <w:rFonts w:hint="eastAsia" w:hAnsi="宋体" w:cs="宋体"/>
                    <w:sz w:val="24"/>
                    <w:szCs w:val="22"/>
                    <w:lang w:val="en-US" w:eastAsia="zh-CN"/>
                  </w:rPr>
                </w:rPrChange>
              </w:rPr>
              <w:t>20</w:t>
            </w:r>
            <w:r>
              <w:rPr>
                <w:rFonts w:hint="eastAsia" w:hAnsi="宋体" w:cs="宋体"/>
                <w:sz w:val="24"/>
                <w:szCs w:val="22"/>
              </w:rPr>
              <w:t>分。同类项目业绩是</w:t>
            </w:r>
            <w:r>
              <w:rPr>
                <w:rFonts w:hint="eastAsia" w:hAnsi="宋体" w:cs="宋体"/>
                <w:sz w:val="24"/>
                <w:szCs w:val="22"/>
                <w:rPrChange w:id="107" w:author="Administrator" w:date="2021-08-06T13:56:10Z">
                  <w:rPr>
                    <w:rFonts w:hint="eastAsia" w:hAnsi="宋体" w:cs="宋体"/>
                    <w:color w:val="FF0000"/>
                    <w:sz w:val="24"/>
                    <w:szCs w:val="22"/>
                  </w:rPr>
                </w:rPrChange>
              </w:rPr>
              <w:t>指</w:t>
            </w:r>
            <w:r>
              <w:rPr>
                <w:rFonts w:hint="eastAsia" w:hAnsi="宋体" w:cs="宋体"/>
                <w:sz w:val="24"/>
                <w:szCs w:val="22"/>
                <w:lang w:eastAsia="zh-CN"/>
                <w:rPrChange w:id="108" w:author="Administrator" w:date="2021-08-06T13:56:10Z">
                  <w:rPr>
                    <w:rFonts w:hint="eastAsia" w:hAnsi="宋体" w:cs="宋体"/>
                    <w:color w:val="FF0000"/>
                    <w:sz w:val="24"/>
                    <w:szCs w:val="22"/>
                    <w:lang w:eastAsia="zh-CN"/>
                  </w:rPr>
                </w:rPrChange>
              </w:rPr>
              <w:t>电力能源类</w:t>
            </w:r>
            <w:r>
              <w:rPr>
                <w:rFonts w:hint="eastAsia" w:hAnsi="宋体" w:cs="宋体"/>
                <w:sz w:val="24"/>
                <w:szCs w:val="22"/>
                <w:rPrChange w:id="109" w:author="Administrator" w:date="2021-08-06T13:56:10Z">
                  <w:rPr>
                    <w:rFonts w:hint="eastAsia" w:hAnsi="宋体" w:cs="宋体"/>
                    <w:color w:val="FF0000"/>
                    <w:sz w:val="24"/>
                    <w:szCs w:val="22"/>
                  </w:rPr>
                </w:rPrChange>
              </w:rPr>
              <w:t>工程咨询</w:t>
            </w:r>
            <w:r>
              <w:rPr>
                <w:rFonts w:hint="eastAsia" w:hAnsi="宋体" w:cs="宋体"/>
                <w:sz w:val="24"/>
                <w:szCs w:val="22"/>
                <w:lang w:eastAsia="zh-CN"/>
                <w:rPrChange w:id="110" w:author="Administrator" w:date="2021-08-06T13:56:10Z">
                  <w:rPr>
                    <w:rFonts w:hint="eastAsia" w:hAnsi="宋体" w:cs="宋体"/>
                    <w:color w:val="FF0000"/>
                    <w:sz w:val="24"/>
                    <w:szCs w:val="22"/>
                    <w:lang w:eastAsia="zh-CN"/>
                  </w:rPr>
                </w:rPrChange>
              </w:rPr>
              <w:t>评估咨询</w:t>
            </w:r>
            <w:r>
              <w:rPr>
                <w:rFonts w:hint="eastAsia" w:hAnsi="宋体" w:cs="宋体"/>
                <w:sz w:val="24"/>
                <w:szCs w:val="22"/>
                <w:rPrChange w:id="111" w:author="Administrator" w:date="2021-08-06T13:56:10Z">
                  <w:rPr>
                    <w:rFonts w:hint="eastAsia" w:hAnsi="宋体" w:cs="宋体"/>
                    <w:color w:val="FF0000"/>
                    <w:sz w:val="24"/>
                    <w:szCs w:val="22"/>
                  </w:rPr>
                </w:rPrChange>
              </w:rPr>
              <w:t>业绩</w:t>
            </w:r>
            <w:r>
              <w:rPr>
                <w:rFonts w:hint="eastAsia" w:hAnsi="宋体" w:cs="宋体"/>
                <w:sz w:val="24"/>
                <w:szCs w:val="22"/>
              </w:rPr>
              <w:t>。</w:t>
            </w:r>
          </w:p>
          <w:p>
            <w:pPr>
              <w:adjustRightInd w:val="0"/>
              <w:snapToGrid w:val="0"/>
              <w:spacing w:line="320" w:lineRule="exact"/>
              <w:jc w:val="left"/>
              <w:rPr>
                <w:rFonts w:hint="eastAsia" w:hAnsi="宋体" w:cs="宋体"/>
                <w:sz w:val="24"/>
                <w:szCs w:val="22"/>
                <w:lang w:eastAsia="zh-CN"/>
                <w:rPrChange w:id="112" w:author="Administrator" w:date="2021-08-06T13:56:10Z">
                  <w:rPr>
                    <w:rFonts w:hint="eastAsia" w:hAnsi="宋体" w:cs="宋体"/>
                    <w:sz w:val="24"/>
                    <w:szCs w:val="22"/>
                    <w:lang w:eastAsia="zh-CN"/>
                  </w:rPr>
                </w:rPrChange>
              </w:rPr>
            </w:pPr>
          </w:p>
          <w:p>
            <w:pPr>
              <w:adjustRightInd w:val="0"/>
              <w:snapToGrid w:val="0"/>
              <w:spacing w:line="320" w:lineRule="exact"/>
              <w:jc w:val="left"/>
              <w:rPr>
                <w:rFonts w:hint="eastAsia" w:hAnsi="宋体" w:cs="宋体"/>
                <w:sz w:val="24"/>
                <w:szCs w:val="22"/>
              </w:rPr>
            </w:pPr>
            <w:r>
              <w:rPr>
                <w:rFonts w:hint="eastAsia" w:hAnsi="宋体" w:cs="宋体"/>
                <w:sz w:val="24"/>
                <w:szCs w:val="22"/>
                <w:lang w:eastAsia="zh-CN"/>
                <w:rPrChange w:id="113" w:author="Administrator" w:date="2021-08-06T13:56:10Z">
                  <w:rPr>
                    <w:rFonts w:hint="eastAsia" w:hAnsi="宋体" w:cs="宋体"/>
                    <w:sz w:val="24"/>
                    <w:szCs w:val="22"/>
                    <w:lang w:eastAsia="zh-CN"/>
                  </w:rPr>
                </w:rPrChange>
              </w:rPr>
              <w:t>包件</w:t>
            </w:r>
            <w:r>
              <w:rPr>
                <w:rFonts w:hint="eastAsia" w:hAnsi="宋体" w:cs="宋体"/>
                <w:sz w:val="24"/>
                <w:szCs w:val="22"/>
                <w:lang w:val="en-US" w:eastAsia="zh-CN"/>
                <w:rPrChange w:id="114" w:author="Administrator" w:date="2021-08-06T13:56:10Z">
                  <w:rPr>
                    <w:rFonts w:hint="eastAsia" w:hAnsi="宋体" w:cs="宋体"/>
                    <w:sz w:val="24"/>
                    <w:szCs w:val="22"/>
                    <w:lang w:val="en-US" w:eastAsia="zh-CN"/>
                  </w:rPr>
                </w:rPrChange>
              </w:rPr>
              <w:t>2：</w:t>
            </w:r>
            <w:r>
              <w:rPr>
                <w:rFonts w:hint="eastAsia" w:hAnsi="宋体" w:cs="宋体"/>
                <w:sz w:val="24"/>
                <w:szCs w:val="22"/>
              </w:rPr>
              <w:t>近3年（2018至今），供应商每提供1个同类项目业绩得</w:t>
            </w:r>
            <w:r>
              <w:rPr>
                <w:rFonts w:hint="eastAsia" w:hAnsi="宋体" w:cs="宋体"/>
                <w:sz w:val="24"/>
                <w:szCs w:val="22"/>
                <w:lang w:val="en-US" w:eastAsia="zh-CN"/>
                <w:rPrChange w:id="115" w:author="Administrator" w:date="2021-08-06T13:56:10Z">
                  <w:rPr>
                    <w:rFonts w:hint="eastAsia" w:hAnsi="宋体" w:cs="宋体"/>
                    <w:sz w:val="24"/>
                    <w:szCs w:val="22"/>
                    <w:lang w:val="en-US" w:eastAsia="zh-CN"/>
                  </w:rPr>
                </w:rPrChange>
              </w:rPr>
              <w:t>4</w:t>
            </w:r>
            <w:r>
              <w:rPr>
                <w:rFonts w:hint="eastAsia" w:hAnsi="宋体" w:cs="宋体"/>
                <w:sz w:val="24"/>
                <w:szCs w:val="22"/>
              </w:rPr>
              <w:t>分，最多得</w:t>
            </w:r>
            <w:r>
              <w:rPr>
                <w:rFonts w:hint="eastAsia" w:hAnsi="宋体" w:cs="宋体"/>
                <w:sz w:val="24"/>
                <w:szCs w:val="22"/>
                <w:lang w:val="en-US" w:eastAsia="zh-CN"/>
                <w:rPrChange w:id="116" w:author="Administrator" w:date="2021-08-06T13:56:10Z">
                  <w:rPr>
                    <w:rFonts w:hint="eastAsia" w:hAnsi="宋体" w:cs="宋体"/>
                    <w:sz w:val="24"/>
                    <w:szCs w:val="22"/>
                    <w:lang w:val="en-US" w:eastAsia="zh-CN"/>
                  </w:rPr>
                </w:rPrChange>
              </w:rPr>
              <w:t>20</w:t>
            </w:r>
            <w:r>
              <w:rPr>
                <w:rFonts w:hint="eastAsia" w:hAnsi="宋体" w:cs="宋体"/>
                <w:sz w:val="24"/>
                <w:szCs w:val="22"/>
              </w:rPr>
              <w:t>分。同类项目业绩是</w:t>
            </w:r>
            <w:r>
              <w:rPr>
                <w:rFonts w:hint="eastAsia" w:hAnsi="宋体" w:cs="宋体"/>
                <w:sz w:val="24"/>
                <w:szCs w:val="22"/>
                <w:rPrChange w:id="117" w:author="Administrator" w:date="2021-08-06T13:56:10Z">
                  <w:rPr>
                    <w:rFonts w:hint="eastAsia" w:hAnsi="宋体" w:cs="宋体"/>
                    <w:color w:val="FF0000"/>
                    <w:sz w:val="24"/>
                    <w:szCs w:val="22"/>
                  </w:rPr>
                </w:rPrChange>
              </w:rPr>
              <w:t>指</w:t>
            </w:r>
            <w:r>
              <w:rPr>
                <w:rFonts w:hint="eastAsia" w:hAnsi="宋体" w:cs="宋体"/>
                <w:sz w:val="24"/>
                <w:szCs w:val="22"/>
                <w:lang w:eastAsia="zh-CN"/>
                <w:rPrChange w:id="118" w:author="Administrator" w:date="2021-08-06T13:56:10Z">
                  <w:rPr>
                    <w:rFonts w:hint="eastAsia" w:hAnsi="宋体" w:cs="宋体"/>
                    <w:color w:val="FF0000"/>
                    <w:sz w:val="24"/>
                    <w:szCs w:val="22"/>
                    <w:lang w:eastAsia="zh-CN"/>
                  </w:rPr>
                </w:rPrChange>
              </w:rPr>
              <w:t>水利工程类</w:t>
            </w:r>
            <w:r>
              <w:rPr>
                <w:rFonts w:hint="eastAsia" w:hAnsi="宋体" w:cs="宋体"/>
                <w:sz w:val="24"/>
                <w:szCs w:val="22"/>
                <w:rPrChange w:id="119" w:author="Administrator" w:date="2021-08-06T13:56:10Z">
                  <w:rPr>
                    <w:rFonts w:hint="eastAsia" w:hAnsi="宋体" w:cs="宋体"/>
                    <w:color w:val="FF0000"/>
                    <w:sz w:val="24"/>
                    <w:szCs w:val="22"/>
                  </w:rPr>
                </w:rPrChange>
              </w:rPr>
              <w:t>工程咨询</w:t>
            </w:r>
            <w:r>
              <w:rPr>
                <w:rFonts w:hint="eastAsia" w:hAnsi="宋体" w:cs="宋体"/>
                <w:sz w:val="24"/>
                <w:szCs w:val="22"/>
                <w:lang w:eastAsia="zh-CN"/>
                <w:rPrChange w:id="120" w:author="Administrator" w:date="2021-08-06T13:56:10Z">
                  <w:rPr>
                    <w:rFonts w:hint="eastAsia" w:hAnsi="宋体" w:cs="宋体"/>
                    <w:color w:val="FF0000"/>
                    <w:sz w:val="24"/>
                    <w:szCs w:val="22"/>
                    <w:lang w:eastAsia="zh-CN"/>
                  </w:rPr>
                </w:rPrChange>
              </w:rPr>
              <w:t>评估咨询</w:t>
            </w:r>
            <w:r>
              <w:rPr>
                <w:rFonts w:hint="eastAsia" w:hAnsi="宋体" w:cs="宋体"/>
                <w:sz w:val="24"/>
                <w:szCs w:val="22"/>
                <w:rPrChange w:id="121" w:author="Administrator" w:date="2021-08-06T13:56:10Z">
                  <w:rPr>
                    <w:rFonts w:hint="eastAsia" w:hAnsi="宋体" w:cs="宋体"/>
                    <w:color w:val="FF0000"/>
                    <w:sz w:val="24"/>
                    <w:szCs w:val="22"/>
                  </w:rPr>
                </w:rPrChange>
              </w:rPr>
              <w:t>业绩。</w:t>
            </w:r>
          </w:p>
          <w:p>
            <w:pPr>
              <w:adjustRightInd w:val="0"/>
              <w:snapToGrid w:val="0"/>
              <w:spacing w:line="320" w:lineRule="exact"/>
              <w:jc w:val="left"/>
              <w:rPr>
                <w:rFonts w:hint="eastAsia" w:hAnsi="宋体" w:cs="宋体"/>
                <w:sz w:val="24"/>
                <w:szCs w:val="22"/>
                <w:lang w:eastAsia="zh-CN"/>
              </w:rPr>
            </w:pPr>
          </w:p>
          <w:p>
            <w:pPr>
              <w:adjustRightInd w:val="0"/>
              <w:snapToGrid w:val="0"/>
              <w:spacing w:line="320" w:lineRule="exact"/>
              <w:jc w:val="left"/>
              <w:rPr>
                <w:rFonts w:ascii="宋体" w:hAnsi="宋体" w:eastAsia="宋体" w:cs="宋体"/>
                <w:sz w:val="24"/>
                <w:lang w:val="en-US" w:eastAsia="zh-CN" w:bidi="ar-SA"/>
              </w:rPr>
            </w:pPr>
            <w:r>
              <w:rPr>
                <w:rFonts w:hint="eastAsia" w:hAnsi="宋体" w:cs="宋体"/>
                <w:sz w:val="24"/>
                <w:szCs w:val="22"/>
              </w:rPr>
              <w:t>注：提供合同关键页或中标（选）</w:t>
            </w:r>
            <w:r>
              <w:rPr>
                <w:rFonts w:hint="eastAsia" w:hAnsi="宋体" w:cs="宋体"/>
                <w:sz w:val="24"/>
                <w:szCs w:val="22"/>
                <w:lang w:eastAsia="zh-CN"/>
              </w:rPr>
              <w:t>（成交）</w:t>
            </w:r>
            <w:r>
              <w:rPr>
                <w:rFonts w:hint="eastAsia" w:hAnsi="宋体" w:cs="宋体"/>
                <w:sz w:val="24"/>
                <w:szCs w:val="22"/>
              </w:rPr>
              <w:t>通知书</w:t>
            </w:r>
            <w:ins w:id="122" w:author="Administrator" w:date="2021-08-06T11:21:02Z">
              <w:r>
                <w:rPr>
                  <w:rFonts w:hint="eastAsia" w:hAnsi="宋体" w:cs="宋体"/>
                  <w:sz w:val="24"/>
                  <w:szCs w:val="22"/>
                  <w:lang w:eastAsia="zh-CN"/>
                </w:rPr>
                <w:t>，</w:t>
              </w:r>
            </w:ins>
            <w:ins w:id="123" w:author="Administrator" w:date="2021-08-06T11:21:04Z">
              <w:r>
                <w:rPr>
                  <w:rFonts w:hint="eastAsia" w:hAnsi="宋体" w:cs="宋体"/>
                  <w:sz w:val="24"/>
                  <w:szCs w:val="22"/>
                  <w:lang w:eastAsia="zh-CN"/>
                </w:rPr>
                <w:t>若</w:t>
              </w:r>
            </w:ins>
            <w:ins w:id="124" w:author="Administrator" w:date="2021-08-06T11:23:25Z">
              <w:r>
                <w:rPr>
                  <w:rFonts w:hint="eastAsia" w:hAnsi="宋体" w:cs="宋体"/>
                  <w:sz w:val="24"/>
                  <w:szCs w:val="22"/>
                  <w:lang w:eastAsia="zh-CN"/>
                </w:rPr>
                <w:t>为</w:t>
              </w:r>
            </w:ins>
            <w:ins w:id="125" w:author="Administrator" w:date="2021-08-06T11:21:08Z">
              <w:r>
                <w:rPr>
                  <w:rFonts w:hint="eastAsia" w:hAnsi="宋体" w:cs="宋体"/>
                  <w:sz w:val="24"/>
                  <w:szCs w:val="22"/>
                  <w:lang w:eastAsia="zh-CN"/>
                </w:rPr>
                <w:t>框架</w:t>
              </w:r>
            </w:ins>
            <w:ins w:id="126" w:author="Administrator" w:date="2021-08-06T11:21:11Z">
              <w:r>
                <w:rPr>
                  <w:rFonts w:hint="eastAsia" w:hAnsi="宋体" w:cs="宋体"/>
                  <w:sz w:val="24"/>
                  <w:szCs w:val="22"/>
                  <w:lang w:eastAsia="zh-CN"/>
                </w:rPr>
                <w:t>合同</w:t>
              </w:r>
            </w:ins>
            <w:ins w:id="127" w:author="Administrator" w:date="2021-08-06T14:07:01Z">
              <w:r>
                <w:rPr>
                  <w:rFonts w:hint="eastAsia" w:hAnsi="宋体" w:cs="宋体"/>
                  <w:sz w:val="24"/>
                  <w:szCs w:val="22"/>
                  <w:lang w:eastAsia="zh-CN"/>
                </w:rPr>
                <w:t>包含</w:t>
              </w:r>
            </w:ins>
            <w:ins w:id="128" w:author="Administrator" w:date="2021-08-06T11:23:38Z">
              <w:r>
                <w:rPr>
                  <w:rFonts w:hint="eastAsia" w:hAnsi="宋体" w:cs="宋体"/>
                  <w:sz w:val="24"/>
                  <w:szCs w:val="22"/>
                  <w:lang w:eastAsia="zh-CN"/>
                </w:rPr>
                <w:t>多个</w:t>
              </w:r>
            </w:ins>
            <w:ins w:id="129" w:author="Administrator" w:date="2021-08-06T14:06:50Z">
              <w:r>
                <w:rPr>
                  <w:rFonts w:hint="eastAsia" w:hAnsi="宋体" w:cs="宋体"/>
                  <w:sz w:val="24"/>
                  <w:szCs w:val="22"/>
                  <w:lang w:eastAsia="zh-CN"/>
                </w:rPr>
                <w:t>项目</w:t>
              </w:r>
            </w:ins>
            <w:del w:id="130" w:author="Administrator" w:date="2021-08-06T11:20:59Z">
              <w:r>
                <w:rPr>
                  <w:rFonts w:hint="eastAsia" w:hAnsi="宋体" w:cs="宋体"/>
                  <w:sz w:val="24"/>
                  <w:szCs w:val="22"/>
                  <w:lang w:eastAsia="zh-CN"/>
                </w:rPr>
                <w:delText>或</w:delText>
              </w:r>
            </w:del>
            <w:r>
              <w:rPr>
                <w:rFonts w:hint="eastAsia" w:hAnsi="宋体" w:cs="宋体"/>
                <w:sz w:val="24"/>
                <w:szCs w:val="22"/>
                <w:lang w:eastAsia="zh-CN"/>
              </w:rPr>
              <w:t>评审任务委托</w:t>
            </w:r>
            <w:ins w:id="131" w:author="Administrator" w:date="2021-08-06T14:07:08Z">
              <w:r>
                <w:rPr>
                  <w:rFonts w:hint="eastAsia" w:hAnsi="宋体" w:cs="宋体"/>
                  <w:sz w:val="24"/>
                  <w:szCs w:val="22"/>
                  <w:lang w:eastAsia="zh-CN"/>
                </w:rPr>
                <w:t>的</w:t>
              </w:r>
            </w:ins>
            <w:del w:id="132" w:author="Administrator" w:date="2021-08-06T14:07:07Z">
              <w:r>
                <w:rPr>
                  <w:rFonts w:hint="eastAsia" w:hAnsi="宋体" w:cs="宋体"/>
                  <w:sz w:val="24"/>
                  <w:szCs w:val="22"/>
                  <w:lang w:eastAsia="zh-CN"/>
                </w:rPr>
                <w:delText>书</w:delText>
              </w:r>
            </w:del>
            <w:del w:id="133" w:author="Administrator" w:date="2021-08-06T12:23:20Z">
              <w:r>
                <w:rPr>
                  <w:rFonts w:hint="eastAsia" w:hAnsi="宋体" w:cs="宋体"/>
                  <w:sz w:val="24"/>
                  <w:szCs w:val="22"/>
                  <w:lang w:eastAsia="zh-CN"/>
                </w:rPr>
                <w:delText>等</w:delText>
              </w:r>
            </w:del>
            <w:ins w:id="134" w:author="Administrator" w:date="2021-08-06T11:23:42Z">
              <w:r>
                <w:rPr>
                  <w:rFonts w:hint="eastAsia" w:hAnsi="宋体" w:cs="宋体"/>
                  <w:sz w:val="24"/>
                  <w:szCs w:val="22"/>
                  <w:lang w:eastAsia="zh-CN"/>
                </w:rPr>
                <w:t>，</w:t>
              </w:r>
            </w:ins>
            <w:ins w:id="135" w:author="Administrator" w:date="2021-08-06T11:24:03Z">
              <w:r>
                <w:rPr>
                  <w:rFonts w:hint="eastAsia" w:hAnsi="宋体" w:cs="宋体"/>
                  <w:sz w:val="24"/>
                  <w:szCs w:val="22"/>
                  <w:lang w:eastAsia="zh-CN"/>
                </w:rPr>
                <w:t>附</w:t>
              </w:r>
            </w:ins>
            <w:ins w:id="136" w:author="Administrator" w:date="2021-08-06T11:24:10Z">
              <w:r>
                <w:rPr>
                  <w:rFonts w:hint="eastAsia" w:hAnsi="宋体" w:cs="宋体"/>
                  <w:sz w:val="24"/>
                  <w:szCs w:val="22"/>
                  <w:lang w:eastAsia="zh-CN"/>
                </w:rPr>
                <w:t>框架</w:t>
              </w:r>
            </w:ins>
            <w:ins w:id="137" w:author="Administrator" w:date="2021-08-06T11:24:12Z">
              <w:r>
                <w:rPr>
                  <w:rFonts w:hint="eastAsia" w:hAnsi="宋体" w:cs="宋体"/>
                  <w:sz w:val="24"/>
                  <w:szCs w:val="22"/>
                  <w:lang w:eastAsia="zh-CN"/>
                </w:rPr>
                <w:t>合同</w:t>
              </w:r>
            </w:ins>
            <w:ins w:id="138" w:author="Administrator" w:date="2021-08-06T11:29:22Z">
              <w:r>
                <w:rPr>
                  <w:rFonts w:hint="eastAsia" w:hAnsi="宋体" w:cs="宋体"/>
                  <w:sz w:val="24"/>
                  <w:szCs w:val="22"/>
                  <w:lang w:eastAsia="zh-CN"/>
                </w:rPr>
                <w:t>关键</w:t>
              </w:r>
            </w:ins>
            <w:ins w:id="139" w:author="Administrator" w:date="2021-08-06T11:29:23Z">
              <w:r>
                <w:rPr>
                  <w:rFonts w:hint="eastAsia" w:hAnsi="宋体" w:cs="宋体"/>
                  <w:sz w:val="24"/>
                  <w:szCs w:val="22"/>
                  <w:lang w:eastAsia="zh-CN"/>
                </w:rPr>
                <w:t>页</w:t>
              </w:r>
            </w:ins>
            <w:ins w:id="140" w:author="Administrator" w:date="2021-08-06T11:24:16Z">
              <w:r>
                <w:rPr>
                  <w:rFonts w:hint="eastAsia" w:hAnsi="宋体" w:cs="宋体"/>
                  <w:sz w:val="24"/>
                  <w:szCs w:val="22"/>
                  <w:lang w:eastAsia="zh-CN"/>
                </w:rPr>
                <w:t>和</w:t>
              </w:r>
            </w:ins>
            <w:ins w:id="141" w:author="Administrator" w:date="2021-08-06T11:24:23Z">
              <w:r>
                <w:rPr>
                  <w:rFonts w:hint="eastAsia" w:hAnsi="宋体" w:cs="宋体"/>
                  <w:sz w:val="24"/>
                  <w:szCs w:val="22"/>
                  <w:lang w:eastAsia="zh-CN"/>
                </w:rPr>
                <w:t>评审任务委托书</w:t>
              </w:r>
            </w:ins>
            <w:ins w:id="142" w:author="Administrator" w:date="2021-08-06T11:24:25Z">
              <w:r>
                <w:rPr>
                  <w:rFonts w:hint="eastAsia" w:hAnsi="宋体" w:cs="宋体"/>
                  <w:sz w:val="24"/>
                  <w:szCs w:val="22"/>
                  <w:lang w:eastAsia="zh-CN"/>
                </w:rPr>
                <w:t>，</w:t>
              </w:r>
            </w:ins>
            <w:ins w:id="143" w:author="Administrator" w:date="2021-08-06T11:24:45Z">
              <w:r>
                <w:rPr>
                  <w:rFonts w:hint="eastAsia" w:hAnsi="宋体" w:cs="宋体"/>
                  <w:sz w:val="24"/>
                  <w:szCs w:val="22"/>
                  <w:lang w:eastAsia="zh-CN"/>
                </w:rPr>
                <w:t>按</w:t>
              </w:r>
            </w:ins>
            <w:ins w:id="144" w:author="Administrator" w:date="2021-08-06T11:24:47Z">
              <w:r>
                <w:rPr>
                  <w:rFonts w:hint="eastAsia" w:hAnsi="宋体" w:cs="宋体"/>
                  <w:sz w:val="24"/>
                  <w:szCs w:val="22"/>
                  <w:lang w:eastAsia="zh-CN"/>
                </w:rPr>
                <w:t>评审</w:t>
              </w:r>
            </w:ins>
            <w:ins w:id="145" w:author="Administrator" w:date="2021-08-06T11:24:48Z">
              <w:r>
                <w:rPr>
                  <w:rFonts w:hint="eastAsia" w:hAnsi="宋体" w:cs="宋体"/>
                  <w:sz w:val="24"/>
                  <w:szCs w:val="22"/>
                  <w:lang w:eastAsia="zh-CN"/>
                </w:rPr>
                <w:t>任务</w:t>
              </w:r>
            </w:ins>
            <w:ins w:id="146" w:author="Administrator" w:date="2021-08-06T11:24:51Z">
              <w:r>
                <w:rPr>
                  <w:rFonts w:hint="eastAsia" w:hAnsi="宋体" w:cs="宋体"/>
                  <w:sz w:val="24"/>
                  <w:szCs w:val="22"/>
                  <w:lang w:eastAsia="zh-CN"/>
                </w:rPr>
                <w:t>委托书</w:t>
              </w:r>
            </w:ins>
            <w:ins w:id="147" w:author="Administrator" w:date="2021-08-06T11:24:57Z">
              <w:r>
                <w:rPr>
                  <w:rFonts w:hint="eastAsia" w:hAnsi="宋体" w:cs="宋体"/>
                  <w:sz w:val="24"/>
                  <w:szCs w:val="22"/>
                  <w:lang w:eastAsia="zh-CN"/>
                </w:rPr>
                <w:t>的</w:t>
              </w:r>
            </w:ins>
            <w:ins w:id="148" w:author="Administrator" w:date="2021-08-06T11:24:58Z">
              <w:r>
                <w:rPr>
                  <w:rFonts w:hint="eastAsia" w:hAnsi="宋体" w:cs="宋体"/>
                  <w:sz w:val="24"/>
                  <w:szCs w:val="22"/>
                  <w:lang w:eastAsia="zh-CN"/>
                </w:rPr>
                <w:t>项目</w:t>
              </w:r>
            </w:ins>
            <w:ins w:id="149" w:author="Administrator" w:date="2021-08-06T11:25:03Z">
              <w:r>
                <w:rPr>
                  <w:rFonts w:hint="eastAsia" w:hAnsi="宋体" w:cs="宋体"/>
                  <w:sz w:val="24"/>
                  <w:szCs w:val="22"/>
                  <w:lang w:eastAsia="zh-CN"/>
                </w:rPr>
                <w:t>认定</w:t>
              </w:r>
            </w:ins>
            <w:ins w:id="150" w:author="Administrator" w:date="2021-08-06T11:25:09Z">
              <w:r>
                <w:rPr>
                  <w:rFonts w:hint="eastAsia" w:hAnsi="宋体" w:cs="宋体"/>
                  <w:sz w:val="24"/>
                  <w:szCs w:val="22"/>
                  <w:lang w:eastAsia="zh-CN"/>
                </w:rPr>
                <w:t>业绩</w:t>
              </w:r>
            </w:ins>
            <w:ins w:id="151" w:author="Administrator" w:date="2021-08-06T11:25:12Z">
              <w:r>
                <w:rPr>
                  <w:rFonts w:hint="eastAsia" w:hAnsi="宋体" w:cs="宋体"/>
                  <w:sz w:val="24"/>
                  <w:szCs w:val="22"/>
                  <w:lang w:eastAsia="zh-CN"/>
                </w:rPr>
                <w:t>个数</w:t>
              </w:r>
            </w:ins>
            <w:ins w:id="152" w:author="Administrator" w:date="2021-08-06T11:25:15Z">
              <w:r>
                <w:rPr>
                  <w:rFonts w:hint="eastAsia" w:hAnsi="宋体" w:cs="宋体"/>
                  <w:sz w:val="24"/>
                  <w:szCs w:val="22"/>
                  <w:lang w:eastAsia="zh-CN"/>
                </w:rPr>
                <w:t>。</w:t>
              </w:r>
            </w:ins>
            <w:ins w:id="153" w:author="Administrator" w:date="2021-08-06T11:25:24Z">
              <w:r>
                <w:rPr>
                  <w:rFonts w:hint="eastAsia" w:hAnsi="宋体" w:cs="宋体"/>
                  <w:sz w:val="24"/>
                  <w:szCs w:val="22"/>
                  <w:lang w:eastAsia="zh-CN"/>
                </w:rPr>
                <w:t>提供</w:t>
              </w:r>
            </w:ins>
            <w:ins w:id="154" w:author="Administrator" w:date="2021-08-06T11:25:25Z">
              <w:r>
                <w:rPr>
                  <w:rFonts w:hint="eastAsia" w:hAnsi="宋体" w:cs="宋体"/>
                  <w:sz w:val="24"/>
                  <w:szCs w:val="22"/>
                  <w:lang w:eastAsia="zh-CN"/>
                </w:rPr>
                <w:t>的</w:t>
              </w:r>
            </w:ins>
            <w:r>
              <w:rPr>
                <w:rFonts w:hint="eastAsia" w:hAnsi="宋体" w:cs="宋体"/>
                <w:sz w:val="24"/>
                <w:szCs w:val="22"/>
                <w:lang w:eastAsia="zh-CN"/>
              </w:rPr>
              <w:t>证明材料</w:t>
            </w:r>
            <w:del w:id="155" w:author="Administrator" w:date="2021-08-06T13:56:58Z">
              <w:r>
                <w:rPr>
                  <w:rFonts w:hint="eastAsia" w:hAnsi="宋体" w:cs="宋体"/>
                  <w:sz w:val="24"/>
                  <w:szCs w:val="22"/>
                </w:rPr>
                <w:delText>复印件</w:delText>
              </w:r>
            </w:del>
            <w:del w:id="156" w:author="Administrator" w:date="2021-08-06T11:25:35Z">
              <w:r>
                <w:rPr>
                  <w:rFonts w:hint="eastAsia" w:hAnsi="宋体" w:cs="宋体"/>
                  <w:sz w:val="24"/>
                  <w:szCs w:val="22"/>
                </w:rPr>
                <w:delText>，</w:delText>
              </w:r>
            </w:del>
            <w:r>
              <w:rPr>
                <w:rFonts w:hint="eastAsia" w:hAnsi="宋体" w:cs="宋体"/>
                <w:sz w:val="24"/>
                <w:szCs w:val="22"/>
              </w:rPr>
              <w:t>加盖投标人鲜章，否则不得分。</w:t>
            </w:r>
          </w:p>
        </w:tc>
        <w:tc>
          <w:tcPr>
            <w:tcW w:w="750" w:type="dxa"/>
            <w:tcBorders>
              <w:left w:val="single" w:color="auto" w:sz="8" w:space="0"/>
            </w:tcBorders>
            <w:vAlign w:val="center"/>
          </w:tcPr>
          <w:p>
            <w:pPr>
              <w:adjustRightInd w:val="0"/>
              <w:snapToGrid w:val="0"/>
              <w:spacing w:line="320" w:lineRule="exact"/>
              <w:jc w:val="center"/>
              <w:rPr>
                <w:rFonts w:hint="eastAsia" w:ascii="宋体" w:hAnsi="宋体" w:eastAsia="宋体" w:cs="宋体"/>
                <w:sz w:val="24"/>
                <w:lang w:val="en-US" w:eastAsia="zh-CN" w:bidi="ar-SA"/>
              </w:rPr>
            </w:pPr>
            <w:r>
              <w:rPr>
                <w:rFonts w:hint="eastAsia" w:hAnsi="宋体" w:cs="宋体"/>
                <w:sz w:val="24"/>
                <w:lang w:val="en-US" w:eastAsia="zh-CN"/>
              </w:rPr>
              <w:t>20%</w:t>
            </w:r>
          </w:p>
        </w:tc>
        <w:tc>
          <w:tcPr>
            <w:tcW w:w="1818" w:type="dxa"/>
            <w:tcBorders>
              <w:left w:val="single" w:color="auto" w:sz="8" w:space="0"/>
            </w:tcBorders>
            <w:vAlign w:val="center"/>
          </w:tcPr>
          <w:p>
            <w:pPr>
              <w:adjustRightInd w:val="0"/>
              <w:snapToGrid w:val="0"/>
              <w:spacing w:line="320" w:lineRule="exact"/>
              <w:jc w:val="center"/>
              <w:rPr>
                <w:rFonts w:ascii="宋体" w:hAnsi="宋体" w:eastAsia="宋体" w:cs="宋体"/>
                <w:sz w:val="24"/>
                <w:lang w:val="en-US" w:eastAsia="zh-CN" w:bidi="ar-SA"/>
              </w:rPr>
            </w:pPr>
            <w:r>
              <w:rPr>
                <w:rFonts w:hint="eastAsia"/>
                <w:sz w:val="24"/>
              </w:rPr>
              <w:t>共同评分因素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57" w:type="dxa"/>
            <w:left w:w="108" w:type="dxa"/>
            <w:bottom w:w="0" w:type="dxa"/>
            <w:right w:w="108" w:type="dxa"/>
          </w:tblCellMar>
        </w:tblPrEx>
        <w:trPr>
          <w:trHeight w:val="20" w:hRule="atLeast"/>
          <w:jc w:val="center"/>
        </w:trPr>
        <w:tc>
          <w:tcPr>
            <w:tcW w:w="1184" w:type="dxa"/>
            <w:vMerge w:val="continue"/>
            <w:vAlign w:val="center"/>
          </w:tcPr>
          <w:p>
            <w:pPr>
              <w:adjustRightInd w:val="0"/>
              <w:snapToGrid w:val="0"/>
              <w:spacing w:line="320" w:lineRule="exact"/>
              <w:jc w:val="center"/>
              <w:rPr>
                <w:rFonts w:hAnsi="宋体" w:cs="宋体"/>
                <w:sz w:val="24"/>
              </w:rPr>
            </w:pPr>
          </w:p>
        </w:tc>
        <w:tc>
          <w:tcPr>
            <w:tcW w:w="1507" w:type="dxa"/>
            <w:tcBorders>
              <w:top w:val="single" w:color="auto" w:sz="4" w:space="0"/>
              <w:right w:val="single" w:color="auto" w:sz="4" w:space="0"/>
            </w:tcBorders>
            <w:vAlign w:val="center"/>
          </w:tcPr>
          <w:p>
            <w:pPr>
              <w:adjustRightInd w:val="0"/>
              <w:snapToGrid w:val="0"/>
              <w:spacing w:line="320" w:lineRule="exact"/>
              <w:jc w:val="center"/>
              <w:rPr>
                <w:rFonts w:ascii="宋体" w:hAnsi="Times New Roman" w:eastAsia="宋体" w:cs="Times New Roman"/>
                <w:sz w:val="34"/>
                <w:lang w:val="en-US" w:eastAsia="zh-CN" w:bidi="ar-SA"/>
              </w:rPr>
            </w:pPr>
            <w:r>
              <w:rPr>
                <w:rFonts w:hint="eastAsia" w:hAnsi="宋体"/>
                <w:bCs/>
                <w:spacing w:val="-6"/>
                <w:sz w:val="24"/>
              </w:rPr>
              <w:t>拟派专业技术团队（</w:t>
            </w:r>
            <w:r>
              <w:rPr>
                <w:rFonts w:hint="eastAsia" w:hAnsi="宋体"/>
                <w:bCs/>
                <w:spacing w:val="-6"/>
                <w:sz w:val="24"/>
                <w:lang w:val="en-US" w:eastAsia="zh-CN"/>
              </w:rPr>
              <w:t>18</w:t>
            </w:r>
            <w:r>
              <w:rPr>
                <w:rFonts w:hint="eastAsia" w:hAnsi="宋体"/>
                <w:bCs/>
                <w:spacing w:val="-6"/>
                <w:sz w:val="24"/>
              </w:rPr>
              <w:t>分）</w:t>
            </w:r>
          </w:p>
        </w:tc>
        <w:tc>
          <w:tcPr>
            <w:tcW w:w="5229" w:type="dxa"/>
            <w:tcBorders>
              <w:left w:val="single" w:color="auto" w:sz="4" w:space="0"/>
              <w:right w:val="single" w:color="auto" w:sz="8" w:space="0"/>
            </w:tcBorders>
            <w:vAlign w:val="center"/>
          </w:tcPr>
          <w:p>
            <w:pPr>
              <w:adjustRightInd w:val="0"/>
              <w:snapToGrid w:val="0"/>
              <w:spacing w:line="320" w:lineRule="exact"/>
              <w:jc w:val="left"/>
              <w:rPr>
                <w:rFonts w:hAnsi="宋体" w:cs="宋体"/>
                <w:sz w:val="24"/>
                <w:szCs w:val="22"/>
              </w:rPr>
            </w:pPr>
            <w:r>
              <w:rPr>
                <w:rFonts w:hint="eastAsia" w:hAnsi="宋体" w:cs="宋体"/>
                <w:sz w:val="24"/>
                <w:szCs w:val="22"/>
              </w:rPr>
              <w:t>①项目负责人（2人）：具有咨询工程师（投资）得</w:t>
            </w:r>
            <w:r>
              <w:rPr>
                <w:rFonts w:hint="eastAsia" w:hAnsi="宋体" w:cs="宋体"/>
                <w:sz w:val="24"/>
                <w:szCs w:val="22"/>
                <w:lang w:val="en-US" w:eastAsia="zh-CN"/>
              </w:rPr>
              <w:t>2</w:t>
            </w:r>
            <w:r>
              <w:rPr>
                <w:rFonts w:hint="eastAsia" w:hAnsi="宋体" w:cs="宋体"/>
                <w:sz w:val="24"/>
                <w:szCs w:val="22"/>
              </w:rPr>
              <w:t>分，具有工程或工程经济类高级及以上技术职称得</w:t>
            </w:r>
            <w:r>
              <w:rPr>
                <w:rFonts w:hint="eastAsia" w:hAnsi="宋体" w:cs="宋体"/>
                <w:sz w:val="24"/>
                <w:szCs w:val="22"/>
                <w:lang w:val="en-US" w:eastAsia="zh-CN"/>
              </w:rPr>
              <w:t>1</w:t>
            </w:r>
            <w:r>
              <w:rPr>
                <w:rFonts w:hint="eastAsia" w:hAnsi="宋体" w:cs="宋体"/>
                <w:sz w:val="24"/>
                <w:szCs w:val="22"/>
              </w:rPr>
              <w:t>分；每人单独计分，此项最多得</w:t>
            </w:r>
            <w:r>
              <w:rPr>
                <w:rFonts w:hint="eastAsia" w:hAnsi="宋体" w:cs="宋体"/>
                <w:sz w:val="24"/>
                <w:szCs w:val="22"/>
                <w:lang w:val="en-US" w:eastAsia="zh-CN"/>
              </w:rPr>
              <w:t>6</w:t>
            </w:r>
            <w:r>
              <w:rPr>
                <w:rFonts w:hint="eastAsia" w:hAnsi="宋体" w:cs="宋体"/>
                <w:sz w:val="24"/>
                <w:szCs w:val="22"/>
              </w:rPr>
              <w:t>分。</w:t>
            </w:r>
          </w:p>
          <w:p>
            <w:pPr>
              <w:adjustRightInd w:val="0"/>
              <w:snapToGrid w:val="0"/>
              <w:spacing w:line="320" w:lineRule="exact"/>
              <w:jc w:val="left"/>
              <w:rPr>
                <w:rFonts w:hAnsi="宋体" w:cs="宋体"/>
                <w:sz w:val="24"/>
                <w:szCs w:val="22"/>
              </w:rPr>
            </w:pPr>
            <w:r>
              <w:rPr>
                <w:rFonts w:hint="eastAsia" w:hAnsi="宋体" w:cs="宋体"/>
                <w:sz w:val="24"/>
                <w:szCs w:val="22"/>
              </w:rPr>
              <w:t>②技术负责人（1人）：具有咨询工程师（投资）得</w:t>
            </w:r>
            <w:r>
              <w:rPr>
                <w:rFonts w:hint="eastAsia" w:hAnsi="宋体" w:cs="宋体"/>
                <w:sz w:val="24"/>
                <w:szCs w:val="22"/>
                <w:lang w:val="en-US" w:eastAsia="zh-CN"/>
              </w:rPr>
              <w:t>1</w:t>
            </w:r>
            <w:r>
              <w:rPr>
                <w:rFonts w:hint="eastAsia" w:hAnsi="宋体" w:cs="宋体"/>
                <w:sz w:val="24"/>
                <w:szCs w:val="22"/>
              </w:rPr>
              <w:t>分，具有工程或工程经济类高级及以上技术职称得</w:t>
            </w:r>
            <w:r>
              <w:rPr>
                <w:rFonts w:hint="eastAsia" w:hAnsi="宋体" w:cs="宋体"/>
                <w:sz w:val="24"/>
                <w:szCs w:val="22"/>
                <w:lang w:val="en-US" w:eastAsia="zh-CN"/>
              </w:rPr>
              <w:t>1</w:t>
            </w:r>
            <w:r>
              <w:rPr>
                <w:rFonts w:hint="eastAsia" w:hAnsi="宋体" w:cs="宋体"/>
                <w:sz w:val="24"/>
                <w:szCs w:val="22"/>
              </w:rPr>
              <w:t>分，此项最多得</w:t>
            </w:r>
            <w:r>
              <w:rPr>
                <w:rFonts w:hint="eastAsia" w:hAnsi="宋体" w:cs="宋体"/>
                <w:sz w:val="24"/>
                <w:szCs w:val="22"/>
                <w:lang w:val="en-US" w:eastAsia="zh-CN"/>
              </w:rPr>
              <w:t>2</w:t>
            </w:r>
            <w:r>
              <w:rPr>
                <w:rFonts w:hint="eastAsia" w:hAnsi="宋体" w:cs="宋体"/>
                <w:sz w:val="24"/>
                <w:szCs w:val="22"/>
              </w:rPr>
              <w:t>分。</w:t>
            </w:r>
          </w:p>
          <w:p>
            <w:pPr>
              <w:adjustRightInd w:val="0"/>
              <w:snapToGrid w:val="0"/>
              <w:spacing w:line="320" w:lineRule="exact"/>
              <w:jc w:val="left"/>
              <w:rPr>
                <w:rFonts w:hAnsi="宋体" w:cs="宋体"/>
                <w:sz w:val="24"/>
                <w:szCs w:val="22"/>
              </w:rPr>
            </w:pPr>
            <w:r>
              <w:rPr>
                <w:rFonts w:hint="eastAsia" w:hAnsi="宋体" w:cs="宋体"/>
                <w:sz w:val="24"/>
                <w:szCs w:val="22"/>
              </w:rPr>
              <w:t>③专业技术人员（10人）：每有一人具有咨询工程师（投资）得1分，最多得10分。</w:t>
            </w:r>
          </w:p>
          <w:p>
            <w:pPr>
              <w:adjustRightInd w:val="0"/>
              <w:snapToGrid w:val="0"/>
              <w:spacing w:line="300" w:lineRule="exact"/>
              <w:jc w:val="left"/>
              <w:rPr>
                <w:rFonts w:ascii="宋体" w:hAnsi="宋体" w:eastAsia="宋体" w:cs="宋体"/>
                <w:sz w:val="24"/>
                <w:lang w:val="en-US" w:eastAsia="zh-CN" w:bidi="ar-SA"/>
              </w:rPr>
            </w:pPr>
            <w:r>
              <w:rPr>
                <w:rFonts w:hint="eastAsia" w:hAnsi="宋体" w:cs="宋体"/>
                <w:sz w:val="24"/>
                <w:szCs w:val="22"/>
              </w:rPr>
              <w:t>注：拟派专业技术团队的人数可多报或少报，多报</w:t>
            </w:r>
            <w:r>
              <w:rPr>
                <w:rFonts w:hint="eastAsia" w:hAnsi="宋体" w:cs="宋体"/>
                <w:sz w:val="24"/>
                <w:szCs w:val="22"/>
                <w:lang w:eastAsia="zh-CN"/>
              </w:rPr>
              <w:t>的</w:t>
            </w:r>
            <w:r>
              <w:rPr>
                <w:rFonts w:hint="eastAsia" w:hAnsi="宋体" w:cs="宋体"/>
                <w:sz w:val="24"/>
                <w:szCs w:val="22"/>
              </w:rPr>
              <w:t>人员不计分，少报的相应项不得分</w:t>
            </w:r>
            <w:r>
              <w:rPr>
                <w:rFonts w:hint="eastAsia" w:hAnsi="宋体" w:cs="宋体"/>
                <w:sz w:val="24"/>
                <w:szCs w:val="22"/>
                <w:lang w:eastAsia="zh-CN"/>
              </w:rPr>
              <w:t>，人员不重复计分</w:t>
            </w:r>
            <w:r>
              <w:rPr>
                <w:rFonts w:hint="eastAsia" w:hAnsi="宋体" w:cs="宋体"/>
                <w:sz w:val="24"/>
                <w:szCs w:val="22"/>
              </w:rPr>
              <w:t>。</w:t>
            </w:r>
          </w:p>
        </w:tc>
        <w:tc>
          <w:tcPr>
            <w:tcW w:w="750" w:type="dxa"/>
            <w:tcBorders>
              <w:left w:val="single" w:color="auto" w:sz="8" w:space="0"/>
            </w:tcBorders>
            <w:vAlign w:val="center"/>
          </w:tcPr>
          <w:p>
            <w:pPr>
              <w:adjustRightInd w:val="0"/>
              <w:snapToGrid w:val="0"/>
              <w:spacing w:line="320" w:lineRule="exact"/>
              <w:jc w:val="center"/>
              <w:rPr>
                <w:rFonts w:ascii="宋体" w:hAnsi="宋体" w:eastAsia="宋体" w:cs="宋体"/>
                <w:sz w:val="24"/>
                <w:lang w:val="en-US" w:eastAsia="zh-CN" w:bidi="ar-SA"/>
              </w:rPr>
            </w:pPr>
            <w:r>
              <w:rPr>
                <w:rFonts w:hint="eastAsia" w:hAnsi="宋体" w:cs="宋体"/>
                <w:sz w:val="24"/>
                <w:lang w:val="en-US" w:eastAsia="zh-CN"/>
              </w:rPr>
              <w:t>18%</w:t>
            </w:r>
          </w:p>
        </w:tc>
        <w:tc>
          <w:tcPr>
            <w:tcW w:w="1818" w:type="dxa"/>
            <w:tcBorders>
              <w:left w:val="single" w:color="auto" w:sz="8" w:space="0"/>
            </w:tcBorders>
            <w:vAlign w:val="center"/>
          </w:tcPr>
          <w:p>
            <w:pPr>
              <w:adjustRightInd w:val="0"/>
              <w:snapToGrid w:val="0"/>
              <w:spacing w:line="320" w:lineRule="exact"/>
              <w:jc w:val="center"/>
              <w:rPr>
                <w:rFonts w:ascii="宋体" w:hAnsi="宋体" w:eastAsia="宋体" w:cs="宋体"/>
                <w:sz w:val="24"/>
                <w:lang w:val="en-US" w:eastAsia="zh-CN" w:bidi="ar-SA"/>
              </w:rPr>
            </w:pPr>
            <w:r>
              <w:rPr>
                <w:rFonts w:hint="eastAsia"/>
                <w:sz w:val="24"/>
              </w:rPr>
              <w:t>共同评分因素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57" w:type="dxa"/>
            <w:left w:w="108" w:type="dxa"/>
            <w:bottom w:w="0" w:type="dxa"/>
            <w:right w:w="108" w:type="dxa"/>
          </w:tblCellMar>
        </w:tblPrEx>
        <w:trPr>
          <w:trHeight w:val="1213" w:hRule="atLeast"/>
          <w:jc w:val="center"/>
        </w:trPr>
        <w:tc>
          <w:tcPr>
            <w:tcW w:w="1184" w:type="dxa"/>
            <w:tcBorders>
              <w:top w:val="single" w:color="auto" w:sz="4" w:space="0"/>
            </w:tcBorders>
            <w:vAlign w:val="center"/>
          </w:tcPr>
          <w:p>
            <w:pPr>
              <w:adjustRightInd w:val="0"/>
              <w:snapToGrid w:val="0"/>
              <w:spacing w:line="320" w:lineRule="exact"/>
              <w:jc w:val="center"/>
              <w:rPr>
                <w:rFonts w:hAnsi="宋体" w:cs="宋体"/>
                <w:sz w:val="24"/>
              </w:rPr>
            </w:pPr>
            <w:r>
              <w:rPr>
                <w:rFonts w:hint="eastAsia" w:hAnsi="宋体" w:cs="宋体"/>
                <w:sz w:val="24"/>
              </w:rPr>
              <w:t>技术部分</w:t>
            </w:r>
          </w:p>
          <w:p>
            <w:pPr>
              <w:adjustRightInd w:val="0"/>
              <w:snapToGrid w:val="0"/>
              <w:spacing w:line="320" w:lineRule="exact"/>
              <w:jc w:val="center"/>
              <w:rPr>
                <w:rFonts w:hAnsi="宋体" w:cs="宋体"/>
                <w:sz w:val="24"/>
              </w:rPr>
            </w:pPr>
            <w:r>
              <w:rPr>
                <w:rFonts w:hint="eastAsia" w:hAnsi="宋体" w:cs="宋体"/>
                <w:sz w:val="24"/>
              </w:rPr>
              <w:t>（</w:t>
            </w:r>
            <w:r>
              <w:rPr>
                <w:rFonts w:hint="eastAsia" w:hAnsi="宋体" w:cs="宋体"/>
                <w:sz w:val="24"/>
                <w:lang w:val="en-US" w:eastAsia="zh-CN"/>
              </w:rPr>
              <w:t>49</w:t>
            </w:r>
            <w:r>
              <w:rPr>
                <w:rFonts w:hint="eastAsia" w:hAnsi="宋体" w:cs="宋体"/>
                <w:sz w:val="24"/>
              </w:rPr>
              <w:t>分）</w:t>
            </w:r>
          </w:p>
        </w:tc>
        <w:tc>
          <w:tcPr>
            <w:tcW w:w="1507" w:type="dxa"/>
            <w:tcBorders>
              <w:right w:val="single" w:color="auto" w:sz="4" w:space="0"/>
            </w:tcBorders>
            <w:vAlign w:val="center"/>
          </w:tcPr>
          <w:p>
            <w:pPr>
              <w:adjustRightInd w:val="0"/>
              <w:snapToGrid w:val="0"/>
              <w:spacing w:line="320" w:lineRule="exact"/>
              <w:jc w:val="center"/>
              <w:rPr>
                <w:rFonts w:hAnsi="宋体"/>
                <w:bCs/>
                <w:spacing w:val="-6"/>
                <w:sz w:val="24"/>
                <w:szCs w:val="22"/>
              </w:rPr>
            </w:pPr>
            <w:r>
              <w:rPr>
                <w:rFonts w:hint="eastAsia" w:hAnsi="宋体"/>
                <w:bCs/>
                <w:spacing w:val="-6"/>
                <w:sz w:val="24"/>
                <w:szCs w:val="22"/>
              </w:rPr>
              <w:t>实施方案（</w:t>
            </w:r>
            <w:r>
              <w:rPr>
                <w:rFonts w:hint="eastAsia" w:hAnsi="宋体"/>
                <w:bCs/>
                <w:spacing w:val="-6"/>
                <w:sz w:val="24"/>
                <w:szCs w:val="22"/>
                <w:lang w:val="en-US" w:eastAsia="zh-CN"/>
              </w:rPr>
              <w:t>49</w:t>
            </w:r>
            <w:r>
              <w:rPr>
                <w:rFonts w:hint="eastAsia" w:hAnsi="宋体"/>
                <w:bCs/>
                <w:spacing w:val="-6"/>
                <w:sz w:val="24"/>
                <w:szCs w:val="22"/>
              </w:rPr>
              <w:t>分）</w:t>
            </w:r>
          </w:p>
        </w:tc>
        <w:tc>
          <w:tcPr>
            <w:tcW w:w="5229" w:type="dxa"/>
            <w:tcBorders>
              <w:left w:val="single" w:color="auto" w:sz="4" w:space="0"/>
              <w:right w:val="single" w:color="auto" w:sz="8" w:space="0"/>
            </w:tcBorders>
            <w:vAlign w:val="center"/>
          </w:tcPr>
          <w:p>
            <w:pPr>
              <w:widowControl/>
              <w:jc w:val="left"/>
              <w:rPr>
                <w:rFonts w:hAnsi="宋体" w:cs="宋体"/>
                <w:color w:val="000000"/>
                <w:sz w:val="24"/>
                <w:szCs w:val="24"/>
              </w:rPr>
            </w:pPr>
            <w:r>
              <w:rPr>
                <w:rFonts w:hint="eastAsia" w:hAnsi="宋体" w:cs="宋体"/>
                <w:color w:val="000000"/>
                <w:sz w:val="24"/>
                <w:szCs w:val="24"/>
                <w:lang w:eastAsia="zh-CN"/>
              </w:rPr>
              <w:t>投标人应结合所投标包件的工程类别的评审任务编制实施方案，评标委员会</w:t>
            </w:r>
            <w:r>
              <w:rPr>
                <w:rFonts w:hint="eastAsia" w:hAnsi="宋体" w:cs="宋体"/>
                <w:color w:val="000000"/>
                <w:sz w:val="24"/>
                <w:szCs w:val="24"/>
              </w:rPr>
              <w:t>根据投标人提供的工程咨询评估实施方案进行评审，方案内容主要体现在以下七个方面：</w:t>
            </w:r>
          </w:p>
          <w:p>
            <w:pPr>
              <w:widowControl/>
              <w:jc w:val="left"/>
              <w:rPr>
                <w:rFonts w:hAnsi="宋体" w:cs="宋体"/>
                <w:color w:val="000000"/>
                <w:sz w:val="24"/>
                <w:szCs w:val="24"/>
              </w:rPr>
            </w:pPr>
            <w:r>
              <w:rPr>
                <w:rFonts w:hint="eastAsia" w:hAnsi="宋体" w:cs="宋体"/>
                <w:color w:val="000000"/>
                <w:sz w:val="24"/>
                <w:szCs w:val="24"/>
              </w:rPr>
              <w:t>①组织机构与岗位职责；</w:t>
            </w:r>
          </w:p>
          <w:p>
            <w:pPr>
              <w:widowControl/>
              <w:jc w:val="left"/>
              <w:rPr>
                <w:rFonts w:hAnsi="宋体" w:cs="宋体"/>
                <w:color w:val="000000"/>
                <w:sz w:val="24"/>
                <w:szCs w:val="24"/>
              </w:rPr>
            </w:pPr>
            <w:r>
              <w:rPr>
                <w:rFonts w:hint="eastAsia" w:hAnsi="宋体" w:cs="宋体"/>
                <w:color w:val="000000"/>
                <w:sz w:val="24"/>
                <w:szCs w:val="24"/>
              </w:rPr>
              <w:t>②踏勘现场和评估会议、前期预审和会后续审；</w:t>
            </w:r>
          </w:p>
          <w:p>
            <w:pPr>
              <w:widowControl/>
              <w:jc w:val="left"/>
              <w:rPr>
                <w:rFonts w:hAnsi="宋体" w:cs="宋体"/>
                <w:color w:val="000000"/>
                <w:sz w:val="24"/>
                <w:szCs w:val="24"/>
              </w:rPr>
            </w:pPr>
            <w:r>
              <w:rPr>
                <w:rFonts w:hint="eastAsia" w:hAnsi="宋体" w:cs="宋体"/>
                <w:color w:val="000000"/>
                <w:sz w:val="24"/>
                <w:szCs w:val="24"/>
              </w:rPr>
              <w:t>③评估工作关键事项和易分歧问题的处理；</w:t>
            </w:r>
          </w:p>
          <w:p>
            <w:pPr>
              <w:widowControl/>
              <w:jc w:val="left"/>
              <w:rPr>
                <w:rFonts w:hAnsi="宋体" w:cs="宋体"/>
                <w:color w:val="000000"/>
                <w:sz w:val="24"/>
                <w:szCs w:val="24"/>
              </w:rPr>
            </w:pPr>
            <w:r>
              <w:rPr>
                <w:rFonts w:hint="eastAsia" w:hAnsi="宋体" w:cs="宋体"/>
                <w:color w:val="000000"/>
                <w:sz w:val="24"/>
                <w:szCs w:val="24"/>
              </w:rPr>
              <w:t>④工程咨询质量控制和效率控制措施；</w:t>
            </w:r>
          </w:p>
          <w:p>
            <w:pPr>
              <w:widowControl/>
              <w:jc w:val="left"/>
              <w:rPr>
                <w:rFonts w:hAnsi="宋体" w:cs="宋体"/>
                <w:color w:val="000000"/>
                <w:sz w:val="24"/>
                <w:szCs w:val="24"/>
              </w:rPr>
            </w:pPr>
            <w:r>
              <w:rPr>
                <w:rFonts w:hint="eastAsia" w:hAnsi="宋体" w:cs="宋体"/>
                <w:color w:val="000000"/>
                <w:sz w:val="24"/>
                <w:szCs w:val="24"/>
              </w:rPr>
              <w:t>⑤咨询人员职业操守和廉洁措施；</w:t>
            </w:r>
          </w:p>
          <w:p>
            <w:pPr>
              <w:widowControl/>
              <w:jc w:val="left"/>
              <w:rPr>
                <w:rFonts w:hAnsi="宋体" w:cs="宋体"/>
                <w:color w:val="000000"/>
                <w:sz w:val="24"/>
                <w:szCs w:val="24"/>
              </w:rPr>
            </w:pPr>
            <w:r>
              <w:rPr>
                <w:rFonts w:hint="eastAsia" w:hAnsi="宋体" w:cs="宋体"/>
                <w:color w:val="000000"/>
                <w:sz w:val="24"/>
                <w:szCs w:val="24"/>
              </w:rPr>
              <w:t>⑥保密管理和档案管理措施；</w:t>
            </w:r>
          </w:p>
          <w:p>
            <w:pPr>
              <w:widowControl/>
              <w:jc w:val="left"/>
              <w:rPr>
                <w:rFonts w:hAnsi="宋体" w:cs="宋体"/>
                <w:color w:val="000000"/>
                <w:sz w:val="24"/>
                <w:szCs w:val="24"/>
              </w:rPr>
            </w:pPr>
            <w:r>
              <w:rPr>
                <w:rFonts w:hint="eastAsia" w:hAnsi="宋体" w:cs="宋体"/>
                <w:color w:val="000000"/>
                <w:sz w:val="24"/>
                <w:szCs w:val="24"/>
              </w:rPr>
              <w:t>⑦合理化建议及其他。</w:t>
            </w:r>
          </w:p>
          <w:p>
            <w:pPr>
              <w:widowControl/>
              <w:numPr>
                <w:ilvl w:val="0"/>
                <w:numId w:val="8"/>
              </w:numPr>
              <w:jc w:val="left"/>
              <w:rPr>
                <w:rFonts w:hAnsi="宋体" w:cs="宋体"/>
                <w:color w:val="000000"/>
                <w:sz w:val="24"/>
                <w:szCs w:val="24"/>
              </w:rPr>
            </w:pPr>
            <w:r>
              <w:rPr>
                <w:rFonts w:hint="eastAsia" w:hAnsi="宋体" w:cs="宋体"/>
                <w:color w:val="000000"/>
                <w:sz w:val="24"/>
                <w:szCs w:val="24"/>
              </w:rPr>
              <w:t>实施方案有以上七个方面内容得</w:t>
            </w:r>
            <w:r>
              <w:rPr>
                <w:rFonts w:hint="eastAsia" w:hAnsi="宋体" w:cs="宋体"/>
                <w:color w:val="000000"/>
                <w:sz w:val="24"/>
                <w:szCs w:val="24"/>
                <w:lang w:val="en-US" w:eastAsia="zh-CN"/>
              </w:rPr>
              <w:t>28</w:t>
            </w:r>
            <w:r>
              <w:rPr>
                <w:rFonts w:hint="eastAsia" w:hAnsi="宋体" w:cs="宋体"/>
                <w:color w:val="000000"/>
                <w:sz w:val="24"/>
                <w:szCs w:val="24"/>
              </w:rPr>
              <w:t>分，每有一项内容缺失或内容错误扣</w:t>
            </w:r>
            <w:r>
              <w:rPr>
                <w:rFonts w:hint="eastAsia" w:hAnsi="宋体" w:cs="宋体"/>
                <w:color w:val="000000"/>
                <w:sz w:val="24"/>
                <w:szCs w:val="24"/>
                <w:lang w:val="en-US" w:eastAsia="zh-CN"/>
              </w:rPr>
              <w:t>4</w:t>
            </w:r>
            <w:r>
              <w:rPr>
                <w:rFonts w:hint="eastAsia" w:hAnsi="宋体" w:cs="宋体"/>
                <w:color w:val="000000"/>
                <w:sz w:val="24"/>
                <w:szCs w:val="24"/>
              </w:rPr>
              <w:t>分，本项扣完为止。注：内容错误是指项目名称、实施地点、涉及的实施方案内容与本项目</w:t>
            </w:r>
            <w:r>
              <w:rPr>
                <w:rFonts w:hint="eastAsia" w:hAnsi="宋体" w:cs="宋体"/>
                <w:color w:val="000000"/>
                <w:sz w:val="24"/>
                <w:szCs w:val="24"/>
                <w:lang w:eastAsia="zh-CN"/>
              </w:rPr>
              <w:t>（所投包件）</w:t>
            </w:r>
            <w:r>
              <w:rPr>
                <w:rFonts w:hint="eastAsia" w:hAnsi="宋体" w:cs="宋体"/>
                <w:color w:val="000000"/>
                <w:sz w:val="24"/>
                <w:szCs w:val="24"/>
              </w:rPr>
              <w:t>实际需求不符合或方案内容凭空编造、逻辑漏洞、原理错误等。</w:t>
            </w:r>
          </w:p>
          <w:p>
            <w:pPr>
              <w:adjustRightInd w:val="0"/>
              <w:snapToGrid w:val="0"/>
              <w:spacing w:line="320" w:lineRule="exact"/>
              <w:jc w:val="left"/>
              <w:rPr>
                <w:rFonts w:hAnsi="宋体"/>
                <w:bCs/>
                <w:spacing w:val="-6"/>
                <w:sz w:val="24"/>
                <w:szCs w:val="22"/>
              </w:rPr>
            </w:pPr>
            <w:r>
              <w:rPr>
                <w:rFonts w:hint="eastAsia" w:hAnsi="宋体" w:cs="宋体"/>
                <w:color w:val="000000"/>
                <w:sz w:val="24"/>
                <w:szCs w:val="24"/>
                <w:lang w:val="en-US" w:eastAsia="zh-CN"/>
              </w:rPr>
              <w:t>2</w:t>
            </w:r>
            <w:r>
              <w:rPr>
                <w:rFonts w:hint="eastAsia" w:hAnsi="宋体" w:cs="宋体"/>
                <w:color w:val="000000"/>
                <w:sz w:val="24"/>
                <w:szCs w:val="24"/>
              </w:rPr>
              <w:t>、上述实施方案每有1项内容在符合本项目</w:t>
            </w:r>
            <w:r>
              <w:rPr>
                <w:rFonts w:hint="eastAsia" w:hAnsi="宋体" w:cs="宋体"/>
                <w:color w:val="000000"/>
                <w:sz w:val="24"/>
                <w:szCs w:val="24"/>
                <w:lang w:eastAsia="zh-CN"/>
              </w:rPr>
              <w:t>（所投包件）</w:t>
            </w:r>
            <w:r>
              <w:rPr>
                <w:rFonts w:hint="eastAsia" w:hAnsi="宋体" w:cs="宋体"/>
                <w:color w:val="000000"/>
                <w:sz w:val="24"/>
                <w:szCs w:val="24"/>
              </w:rPr>
              <w:t>实际需求的基础上，目标更加具有针对性和操作性，利于项目</w:t>
            </w:r>
            <w:r>
              <w:rPr>
                <w:rFonts w:hint="eastAsia" w:hAnsi="宋体" w:cs="宋体"/>
                <w:color w:val="000000"/>
                <w:sz w:val="24"/>
                <w:szCs w:val="24"/>
                <w:lang w:eastAsia="zh-CN"/>
              </w:rPr>
              <w:t>（所投包件）</w:t>
            </w:r>
            <w:r>
              <w:rPr>
                <w:rFonts w:hint="eastAsia" w:hAnsi="宋体" w:cs="宋体"/>
                <w:color w:val="000000"/>
                <w:sz w:val="24"/>
                <w:szCs w:val="24"/>
              </w:rPr>
              <w:t>实施的加</w:t>
            </w:r>
            <w:r>
              <w:rPr>
                <w:rFonts w:hint="eastAsia" w:hAnsi="宋体" w:cs="宋体"/>
                <w:color w:val="000000"/>
                <w:sz w:val="24"/>
                <w:szCs w:val="24"/>
                <w:lang w:val="en-US" w:eastAsia="zh-CN"/>
              </w:rPr>
              <w:t>3</w:t>
            </w:r>
            <w:r>
              <w:rPr>
                <w:rFonts w:hint="eastAsia" w:hAnsi="宋体" w:cs="宋体"/>
                <w:color w:val="000000"/>
                <w:sz w:val="24"/>
                <w:szCs w:val="24"/>
              </w:rPr>
              <w:t>分，本项最多加</w:t>
            </w:r>
            <w:r>
              <w:rPr>
                <w:rFonts w:hint="eastAsia" w:hAnsi="宋体" w:cs="宋体"/>
                <w:color w:val="000000"/>
                <w:sz w:val="24"/>
                <w:szCs w:val="24"/>
                <w:lang w:val="en-US" w:eastAsia="zh-CN"/>
              </w:rPr>
              <w:t>21</w:t>
            </w:r>
            <w:r>
              <w:rPr>
                <w:rFonts w:hint="eastAsia" w:hAnsi="宋体" w:cs="宋体"/>
                <w:color w:val="000000"/>
                <w:sz w:val="24"/>
                <w:szCs w:val="24"/>
              </w:rPr>
              <w:t>分。</w:t>
            </w:r>
          </w:p>
        </w:tc>
        <w:tc>
          <w:tcPr>
            <w:tcW w:w="750" w:type="dxa"/>
            <w:tcBorders>
              <w:left w:val="single" w:color="auto" w:sz="8" w:space="0"/>
            </w:tcBorders>
            <w:vAlign w:val="center"/>
          </w:tcPr>
          <w:p>
            <w:pPr>
              <w:pStyle w:val="65"/>
              <w:ind w:left="0" w:firstLine="0" w:firstLineChars="0"/>
              <w:jc w:val="center"/>
              <w:rPr>
                <w:rFonts w:hint="eastAsia" w:ascii="宋体" w:hAnsi="宋体" w:eastAsia="宋体"/>
                <w:sz w:val="24"/>
                <w:lang w:eastAsia="zh-CN"/>
              </w:rPr>
            </w:pPr>
            <w:r>
              <w:rPr>
                <w:rFonts w:hint="eastAsia" w:ascii="宋体" w:hAnsi="宋体"/>
                <w:sz w:val="24"/>
                <w:lang w:val="en-US" w:eastAsia="zh-CN"/>
              </w:rPr>
              <w:t>4</w:t>
            </w:r>
            <w:del w:id="157" w:author="Administrator" w:date="2021-08-06T14:08:07Z">
              <w:r>
                <w:rPr>
                  <w:rFonts w:hint="default" w:ascii="宋体" w:hAnsi="宋体"/>
                  <w:sz w:val="24"/>
                  <w:lang w:val="en-US" w:eastAsia="zh-CN"/>
                </w:rPr>
                <w:delText>2</w:delText>
              </w:r>
            </w:del>
            <w:ins w:id="158" w:author="Administrator" w:date="2021-08-06T14:08:07Z">
              <w:r>
                <w:rPr>
                  <w:rFonts w:hint="eastAsia" w:ascii="宋体" w:hAnsi="宋体"/>
                  <w:sz w:val="24"/>
                  <w:lang w:val="en-US" w:eastAsia="zh-CN"/>
                </w:rPr>
                <w:t>9</w:t>
              </w:r>
            </w:ins>
            <w:r>
              <w:rPr>
                <w:rFonts w:hint="eastAsia" w:ascii="宋体" w:hAnsi="宋体"/>
                <w:sz w:val="24"/>
                <w:lang w:val="en-US" w:eastAsia="zh-CN"/>
              </w:rPr>
              <w:t>%</w:t>
            </w:r>
          </w:p>
        </w:tc>
        <w:tc>
          <w:tcPr>
            <w:tcW w:w="1818" w:type="dxa"/>
            <w:tcBorders>
              <w:left w:val="single" w:color="auto" w:sz="8" w:space="0"/>
            </w:tcBorders>
            <w:vAlign w:val="center"/>
          </w:tcPr>
          <w:p>
            <w:pPr>
              <w:pStyle w:val="65"/>
              <w:ind w:left="0" w:firstLine="0" w:firstLineChars="0"/>
              <w:jc w:val="center"/>
              <w:rPr>
                <w:rFonts w:ascii="宋体" w:hAnsi="宋体"/>
                <w:sz w:val="24"/>
              </w:rPr>
            </w:pPr>
            <w:r>
              <w:rPr>
                <w:rFonts w:hint="eastAsia" w:ascii="宋体"/>
                <w:sz w:val="24"/>
              </w:rPr>
              <w:t>技术类评分因素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57" w:type="dxa"/>
            <w:left w:w="108" w:type="dxa"/>
            <w:bottom w:w="0" w:type="dxa"/>
            <w:right w:w="108" w:type="dxa"/>
          </w:tblCellMar>
        </w:tblPrEx>
        <w:trPr>
          <w:trHeight w:val="20" w:hRule="atLeast"/>
          <w:jc w:val="center"/>
        </w:trPr>
        <w:tc>
          <w:tcPr>
            <w:tcW w:w="1184" w:type="dxa"/>
            <w:vMerge w:val="restart"/>
            <w:vAlign w:val="center"/>
          </w:tcPr>
          <w:p>
            <w:pPr>
              <w:adjustRightInd w:val="0"/>
              <w:snapToGrid w:val="0"/>
              <w:spacing w:line="320" w:lineRule="exact"/>
              <w:jc w:val="center"/>
              <w:rPr>
                <w:rFonts w:hAnsi="宋体" w:cs="宋体"/>
                <w:sz w:val="24"/>
              </w:rPr>
            </w:pPr>
            <w:r>
              <w:rPr>
                <w:rFonts w:hint="eastAsia" w:hAnsi="宋体" w:cs="宋体"/>
                <w:sz w:val="24"/>
              </w:rPr>
              <w:t>其它部分</w:t>
            </w:r>
          </w:p>
          <w:p>
            <w:pPr>
              <w:adjustRightInd w:val="0"/>
              <w:snapToGrid w:val="0"/>
              <w:spacing w:line="320" w:lineRule="exact"/>
              <w:jc w:val="center"/>
              <w:rPr>
                <w:rFonts w:hAnsi="宋体" w:cs="宋体"/>
                <w:sz w:val="24"/>
              </w:rPr>
            </w:pPr>
            <w:r>
              <w:rPr>
                <w:rFonts w:hint="eastAsia" w:hAnsi="宋体" w:cs="宋体"/>
                <w:sz w:val="24"/>
              </w:rPr>
              <w:t>（</w:t>
            </w:r>
            <w:r>
              <w:rPr>
                <w:rFonts w:hint="eastAsia" w:hAnsi="宋体" w:cs="宋体"/>
                <w:sz w:val="24"/>
                <w:lang w:val="en-US" w:eastAsia="zh-CN"/>
              </w:rPr>
              <w:t>3</w:t>
            </w:r>
            <w:r>
              <w:rPr>
                <w:rFonts w:hint="eastAsia" w:hAnsi="宋体" w:cs="宋体"/>
                <w:sz w:val="24"/>
              </w:rPr>
              <w:t>分）</w:t>
            </w:r>
          </w:p>
        </w:tc>
        <w:tc>
          <w:tcPr>
            <w:tcW w:w="1507" w:type="dxa"/>
            <w:tcBorders>
              <w:right w:val="single" w:color="auto" w:sz="4" w:space="0"/>
            </w:tcBorders>
            <w:vAlign w:val="center"/>
          </w:tcPr>
          <w:p>
            <w:pPr>
              <w:adjustRightInd w:val="0"/>
              <w:snapToGrid w:val="0"/>
              <w:spacing w:line="320" w:lineRule="exact"/>
              <w:jc w:val="left"/>
              <w:rPr>
                <w:rFonts w:hAnsi="宋体" w:cs="宋体"/>
                <w:sz w:val="24"/>
                <w:szCs w:val="22"/>
              </w:rPr>
            </w:pPr>
            <w:r>
              <w:rPr>
                <w:rFonts w:hint="eastAsia" w:hAnsi="宋体" w:cs="宋体"/>
                <w:sz w:val="24"/>
                <w:szCs w:val="22"/>
              </w:rPr>
              <w:t>扶持不发达地区和少数民族地区（1分）</w:t>
            </w:r>
          </w:p>
        </w:tc>
        <w:tc>
          <w:tcPr>
            <w:tcW w:w="5229" w:type="dxa"/>
            <w:tcBorders>
              <w:left w:val="single" w:color="auto" w:sz="4" w:space="0"/>
              <w:right w:val="single" w:color="auto" w:sz="8" w:space="0"/>
            </w:tcBorders>
            <w:vAlign w:val="center"/>
          </w:tcPr>
          <w:p>
            <w:pPr>
              <w:adjustRightInd w:val="0"/>
              <w:snapToGrid w:val="0"/>
              <w:spacing w:line="320" w:lineRule="exact"/>
              <w:jc w:val="left"/>
              <w:rPr>
                <w:rFonts w:hAnsi="宋体" w:cs="宋体"/>
                <w:sz w:val="24"/>
                <w:szCs w:val="22"/>
              </w:rPr>
            </w:pPr>
            <w:r>
              <w:rPr>
                <w:rFonts w:hint="eastAsia" w:hAnsi="宋体" w:cs="宋体"/>
                <w:sz w:val="24"/>
                <w:szCs w:val="22"/>
              </w:rPr>
              <w:t>投标人为不发达地区或少数民族地区企业的得1分。提供不发达地区企业的相关证明材料或投标人注册地为少数民族地区。</w:t>
            </w:r>
          </w:p>
        </w:tc>
        <w:tc>
          <w:tcPr>
            <w:tcW w:w="750" w:type="dxa"/>
            <w:tcBorders>
              <w:left w:val="single" w:color="auto" w:sz="8" w:space="0"/>
            </w:tcBorders>
            <w:vAlign w:val="center"/>
          </w:tcPr>
          <w:p>
            <w:pPr>
              <w:adjustRightInd w:val="0"/>
              <w:snapToGrid w:val="0"/>
              <w:spacing w:line="320" w:lineRule="exact"/>
              <w:jc w:val="center"/>
              <w:rPr>
                <w:rFonts w:hint="eastAsia" w:hAnsi="宋体" w:eastAsia="宋体" w:cs="宋体"/>
                <w:sz w:val="24"/>
                <w:lang w:eastAsia="zh-CN"/>
              </w:rPr>
            </w:pPr>
            <w:r>
              <w:rPr>
                <w:rFonts w:hint="eastAsia" w:hAnsi="宋体" w:cs="宋体"/>
                <w:sz w:val="24"/>
              </w:rPr>
              <w:t>1</w:t>
            </w:r>
            <w:r>
              <w:rPr>
                <w:rFonts w:hint="eastAsia" w:hAnsi="宋体" w:cs="宋体"/>
                <w:sz w:val="24"/>
                <w:lang w:val="en-US" w:eastAsia="zh-CN"/>
              </w:rPr>
              <w:t>%</w:t>
            </w:r>
          </w:p>
        </w:tc>
        <w:tc>
          <w:tcPr>
            <w:tcW w:w="1818" w:type="dxa"/>
            <w:tcBorders>
              <w:left w:val="single" w:color="auto" w:sz="8" w:space="0"/>
            </w:tcBorders>
            <w:vAlign w:val="center"/>
          </w:tcPr>
          <w:p>
            <w:pPr>
              <w:adjustRightInd w:val="0"/>
              <w:snapToGrid w:val="0"/>
              <w:spacing w:line="320" w:lineRule="exact"/>
              <w:jc w:val="center"/>
              <w:rPr>
                <w:rFonts w:hAnsi="宋体" w:cs="宋体"/>
                <w:sz w:val="24"/>
              </w:rPr>
            </w:pPr>
            <w:r>
              <w:rPr>
                <w:rFonts w:hint="eastAsia"/>
                <w:sz w:val="24"/>
              </w:rPr>
              <w:t>共同评分因素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57" w:type="dxa"/>
            <w:left w:w="108" w:type="dxa"/>
            <w:bottom w:w="0" w:type="dxa"/>
            <w:right w:w="108" w:type="dxa"/>
          </w:tblCellMar>
        </w:tblPrEx>
        <w:trPr>
          <w:trHeight w:val="20" w:hRule="atLeast"/>
          <w:jc w:val="center"/>
        </w:trPr>
        <w:tc>
          <w:tcPr>
            <w:tcW w:w="1184" w:type="dxa"/>
            <w:vMerge w:val="continue"/>
            <w:vAlign w:val="center"/>
          </w:tcPr>
          <w:p>
            <w:pPr>
              <w:adjustRightInd w:val="0"/>
              <w:snapToGrid w:val="0"/>
              <w:spacing w:line="320" w:lineRule="exact"/>
              <w:jc w:val="center"/>
              <w:rPr>
                <w:rFonts w:hAnsi="宋体" w:cs="宋体"/>
                <w:sz w:val="24"/>
              </w:rPr>
            </w:pPr>
          </w:p>
        </w:tc>
        <w:tc>
          <w:tcPr>
            <w:tcW w:w="1507" w:type="dxa"/>
            <w:tcBorders>
              <w:right w:val="single" w:color="auto" w:sz="4" w:space="0"/>
            </w:tcBorders>
            <w:vAlign w:val="center"/>
          </w:tcPr>
          <w:p>
            <w:pPr>
              <w:adjustRightInd w:val="0"/>
              <w:snapToGrid w:val="0"/>
              <w:spacing w:line="320" w:lineRule="exact"/>
              <w:jc w:val="center"/>
              <w:rPr>
                <w:rFonts w:hAnsi="宋体" w:cs="宋体"/>
                <w:sz w:val="24"/>
              </w:rPr>
            </w:pPr>
            <w:r>
              <w:rPr>
                <w:rFonts w:hAnsi="宋体" w:cs="宋体"/>
                <w:sz w:val="24"/>
                <w:lang w:val="zh-TW" w:eastAsia="zh-TW"/>
              </w:rPr>
              <w:t>投标文件的规范性</w:t>
            </w:r>
          </w:p>
          <w:p>
            <w:pPr>
              <w:adjustRightInd w:val="0"/>
              <w:snapToGrid w:val="0"/>
              <w:spacing w:line="320" w:lineRule="exact"/>
              <w:jc w:val="center"/>
              <w:rPr>
                <w:rFonts w:hAnsi="宋体"/>
                <w:bCs/>
                <w:spacing w:val="-6"/>
                <w:sz w:val="24"/>
              </w:rPr>
            </w:pPr>
            <w:r>
              <w:rPr>
                <w:rFonts w:hint="eastAsia" w:hAnsi="宋体" w:cs="宋体"/>
                <w:sz w:val="24"/>
              </w:rPr>
              <w:t>（</w:t>
            </w:r>
            <w:r>
              <w:rPr>
                <w:rFonts w:hint="eastAsia" w:hAnsi="宋体" w:cs="宋体"/>
                <w:sz w:val="24"/>
                <w:lang w:val="en-US" w:eastAsia="zh-CN"/>
              </w:rPr>
              <w:t>2</w:t>
            </w:r>
            <w:r>
              <w:rPr>
                <w:rFonts w:hAnsi="宋体" w:cs="宋体"/>
                <w:sz w:val="24"/>
                <w:lang w:val="zh-TW" w:eastAsia="zh-TW"/>
              </w:rPr>
              <w:t>分</w:t>
            </w:r>
            <w:r>
              <w:rPr>
                <w:rFonts w:hint="eastAsia" w:hAnsi="宋体" w:cs="宋体"/>
                <w:sz w:val="24"/>
                <w:lang w:val="zh-TW"/>
              </w:rPr>
              <w:t>）</w:t>
            </w:r>
          </w:p>
        </w:tc>
        <w:tc>
          <w:tcPr>
            <w:tcW w:w="5229" w:type="dxa"/>
            <w:tcBorders>
              <w:left w:val="single" w:color="auto" w:sz="4" w:space="0"/>
              <w:right w:val="single" w:color="auto" w:sz="8" w:space="0"/>
            </w:tcBorders>
            <w:vAlign w:val="center"/>
          </w:tcPr>
          <w:p>
            <w:pPr>
              <w:adjustRightInd w:val="0"/>
              <w:snapToGrid w:val="0"/>
              <w:spacing w:line="320" w:lineRule="exact"/>
              <w:jc w:val="left"/>
              <w:rPr>
                <w:rFonts w:hAnsi="宋体" w:cs="宋体"/>
                <w:sz w:val="24"/>
              </w:rPr>
            </w:pPr>
            <w:r>
              <w:rPr>
                <w:rFonts w:hint="eastAsia" w:hAnsi="宋体"/>
                <w:sz w:val="24"/>
              </w:rPr>
              <w:t>投标文件制作规范，没有细微偏差情形的得</w:t>
            </w:r>
            <w:r>
              <w:rPr>
                <w:rFonts w:hint="eastAsia" w:hAnsi="宋体"/>
                <w:sz w:val="24"/>
                <w:lang w:val="en-US" w:eastAsia="zh-CN"/>
              </w:rPr>
              <w:t>2</w:t>
            </w:r>
            <w:r>
              <w:rPr>
                <w:rFonts w:hint="eastAsia" w:hAnsi="宋体"/>
                <w:sz w:val="24"/>
              </w:rPr>
              <w:t>分；有一项细微偏差扣</w:t>
            </w:r>
            <w:r>
              <w:rPr>
                <w:rFonts w:hint="eastAsia" w:hAnsi="宋体"/>
                <w:sz w:val="24"/>
                <w:lang w:val="en-US" w:eastAsia="zh-CN"/>
              </w:rPr>
              <w:t>0.5</w:t>
            </w:r>
            <w:r>
              <w:rPr>
                <w:rFonts w:hint="eastAsia" w:hAnsi="宋体"/>
                <w:sz w:val="24"/>
              </w:rPr>
              <w:t>分，直至该项分值扣完为止。</w:t>
            </w:r>
          </w:p>
        </w:tc>
        <w:tc>
          <w:tcPr>
            <w:tcW w:w="750" w:type="dxa"/>
            <w:tcBorders>
              <w:left w:val="single" w:color="auto" w:sz="8" w:space="0"/>
            </w:tcBorders>
            <w:vAlign w:val="center"/>
          </w:tcPr>
          <w:p>
            <w:pPr>
              <w:adjustRightInd w:val="0"/>
              <w:snapToGrid w:val="0"/>
              <w:spacing w:line="320" w:lineRule="exact"/>
              <w:jc w:val="center"/>
              <w:rPr>
                <w:rFonts w:hint="eastAsia" w:hAnsi="宋体" w:eastAsia="宋体" w:cs="宋体"/>
                <w:sz w:val="24"/>
                <w:lang w:eastAsia="zh-CN"/>
              </w:rPr>
            </w:pPr>
            <w:r>
              <w:rPr>
                <w:rFonts w:hint="eastAsia" w:hAnsi="宋体" w:cs="宋体"/>
                <w:sz w:val="24"/>
                <w:lang w:val="en-US" w:eastAsia="zh-CN"/>
              </w:rPr>
              <w:t>2%</w:t>
            </w:r>
          </w:p>
        </w:tc>
        <w:tc>
          <w:tcPr>
            <w:tcW w:w="1818" w:type="dxa"/>
            <w:tcBorders>
              <w:left w:val="single" w:color="auto" w:sz="8" w:space="0"/>
            </w:tcBorders>
            <w:vAlign w:val="center"/>
          </w:tcPr>
          <w:p>
            <w:pPr>
              <w:adjustRightInd w:val="0"/>
              <w:snapToGrid w:val="0"/>
              <w:spacing w:line="320" w:lineRule="exact"/>
              <w:jc w:val="center"/>
              <w:rPr>
                <w:rFonts w:hAnsi="宋体" w:cs="宋体"/>
                <w:sz w:val="24"/>
              </w:rPr>
            </w:pPr>
            <w:r>
              <w:rPr>
                <w:rFonts w:hint="eastAsia"/>
                <w:sz w:val="24"/>
              </w:rPr>
              <w:t>共同评分因素</w:t>
            </w:r>
          </w:p>
        </w:tc>
      </w:tr>
    </w:tbl>
    <w:p>
      <w:pPr>
        <w:spacing w:line="400" w:lineRule="exact"/>
        <w:ind w:firstLine="480" w:firstLineChars="200"/>
        <w:rPr>
          <w:rFonts w:hAnsi="宋体"/>
          <w:sz w:val="24"/>
        </w:rPr>
      </w:pPr>
      <w:r>
        <w:rPr>
          <w:rFonts w:hint="eastAsia" w:hAnsi="宋体"/>
          <w:sz w:val="24"/>
        </w:rPr>
        <w:t>5、废标</w:t>
      </w:r>
      <w:bookmarkEnd w:id="251"/>
    </w:p>
    <w:p>
      <w:pPr>
        <w:spacing w:line="400" w:lineRule="exact"/>
        <w:ind w:firstLine="480" w:firstLineChars="200"/>
        <w:rPr>
          <w:rFonts w:hAnsi="宋体"/>
          <w:sz w:val="24"/>
        </w:rPr>
      </w:pPr>
      <w:r>
        <w:rPr>
          <w:rFonts w:hint="eastAsia" w:hAnsi="宋体"/>
          <w:sz w:val="24"/>
        </w:rPr>
        <w:t>5.1本次政府采购活动中，出现下列情形之一的，予以废标：</w:t>
      </w:r>
    </w:p>
    <w:p>
      <w:pPr>
        <w:spacing w:line="400" w:lineRule="exact"/>
        <w:ind w:firstLine="480" w:firstLineChars="200"/>
        <w:rPr>
          <w:rFonts w:hAnsi="宋体"/>
          <w:sz w:val="24"/>
        </w:rPr>
      </w:pPr>
      <w:r>
        <w:rPr>
          <w:rFonts w:hint="eastAsia" w:hAnsi="宋体"/>
          <w:sz w:val="24"/>
        </w:rPr>
        <w:t>（1）符合专业条件的供应商或者对招标文件作实质响应的供应商不足三家的；</w:t>
      </w:r>
    </w:p>
    <w:p>
      <w:pPr>
        <w:spacing w:line="400" w:lineRule="exact"/>
        <w:ind w:firstLine="480" w:firstLineChars="200"/>
        <w:rPr>
          <w:rFonts w:hAnsi="宋体"/>
          <w:sz w:val="24"/>
        </w:rPr>
      </w:pPr>
      <w:r>
        <w:rPr>
          <w:rFonts w:hint="eastAsia" w:hAnsi="宋体"/>
          <w:sz w:val="24"/>
        </w:rPr>
        <w:t>（2）出现影响采购公正的违法、违规行为的；</w:t>
      </w:r>
    </w:p>
    <w:p>
      <w:pPr>
        <w:spacing w:line="400" w:lineRule="exact"/>
        <w:ind w:firstLine="480" w:firstLineChars="200"/>
        <w:rPr>
          <w:rFonts w:hAnsi="宋体"/>
          <w:sz w:val="24"/>
        </w:rPr>
      </w:pPr>
      <w:r>
        <w:rPr>
          <w:rFonts w:hint="eastAsia" w:hAnsi="宋体"/>
          <w:sz w:val="24"/>
        </w:rPr>
        <w:t>（3）投标人的报价均超过了采购预算，采购人不能支付的；</w:t>
      </w:r>
    </w:p>
    <w:p>
      <w:pPr>
        <w:spacing w:line="400" w:lineRule="exact"/>
        <w:ind w:firstLine="480" w:firstLineChars="200"/>
        <w:rPr>
          <w:rFonts w:hAnsi="宋体"/>
          <w:sz w:val="24"/>
        </w:rPr>
      </w:pPr>
      <w:r>
        <w:rPr>
          <w:rFonts w:hint="eastAsia" w:hAnsi="宋体"/>
          <w:sz w:val="24"/>
        </w:rPr>
        <w:t>（4）因重大变故，采购任务取消的。</w:t>
      </w:r>
    </w:p>
    <w:p>
      <w:pPr>
        <w:spacing w:line="400" w:lineRule="exact"/>
        <w:ind w:firstLine="480" w:firstLineChars="200"/>
        <w:rPr>
          <w:rFonts w:hAnsi="宋体"/>
          <w:sz w:val="24"/>
        </w:rPr>
      </w:pPr>
      <w:r>
        <w:rPr>
          <w:rFonts w:hint="eastAsia" w:hAnsi="宋体"/>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hAnsi="宋体"/>
          <w:sz w:val="24"/>
        </w:rPr>
      </w:pPr>
      <w:r>
        <w:rPr>
          <w:rFonts w:hint="eastAsia" w:hAnsi="宋体"/>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hAnsi="宋体"/>
          <w:sz w:val="24"/>
        </w:rPr>
      </w:pPr>
      <w:bookmarkStart w:id="253" w:name="_Toc3319"/>
      <w:r>
        <w:rPr>
          <w:rFonts w:hint="eastAsia" w:hAnsi="宋体"/>
          <w:sz w:val="24"/>
        </w:rPr>
        <w:t>6、定标</w:t>
      </w:r>
      <w:bookmarkEnd w:id="252"/>
      <w:bookmarkEnd w:id="253"/>
      <w:bookmarkStart w:id="254" w:name="_Toc217446061"/>
    </w:p>
    <w:p>
      <w:pPr>
        <w:spacing w:line="400" w:lineRule="exact"/>
        <w:ind w:firstLine="480" w:firstLineChars="200"/>
        <w:rPr>
          <w:rFonts w:hAnsi="宋体"/>
          <w:sz w:val="24"/>
        </w:rPr>
      </w:pPr>
      <w:r>
        <w:rPr>
          <w:rFonts w:hint="eastAsia" w:hAnsi="宋体"/>
          <w:sz w:val="24"/>
        </w:rPr>
        <w:t>6.1. 定标原则</w:t>
      </w:r>
      <w:bookmarkEnd w:id="254"/>
      <w:r>
        <w:rPr>
          <w:rFonts w:hint="eastAsia" w:hAnsi="宋体"/>
          <w:sz w:val="24"/>
        </w:rPr>
        <w:t>：本项目根据评标委员会推荐的中标候选供应商名单，按顺序确定中标供应商。</w:t>
      </w:r>
    </w:p>
    <w:p>
      <w:pPr>
        <w:spacing w:line="400" w:lineRule="exact"/>
        <w:ind w:firstLine="480" w:firstLineChars="200"/>
        <w:rPr>
          <w:rFonts w:hAnsi="宋体"/>
          <w:sz w:val="24"/>
        </w:rPr>
      </w:pPr>
      <w:bookmarkStart w:id="255" w:name="_Toc217446062"/>
      <w:r>
        <w:rPr>
          <w:rFonts w:hint="eastAsia" w:hAnsi="宋体"/>
          <w:sz w:val="24"/>
        </w:rPr>
        <w:t>6.2. 定标程序</w:t>
      </w:r>
      <w:bookmarkEnd w:id="255"/>
    </w:p>
    <w:p>
      <w:pPr>
        <w:spacing w:line="400" w:lineRule="exact"/>
        <w:ind w:firstLine="480" w:firstLineChars="200"/>
        <w:rPr>
          <w:rFonts w:hAnsi="宋体"/>
          <w:sz w:val="24"/>
        </w:rPr>
      </w:pPr>
      <w:r>
        <w:rPr>
          <w:rFonts w:hint="eastAsia" w:hAnsi="宋体"/>
          <w:sz w:val="24"/>
        </w:rPr>
        <w:t>6.2.1 评标委员会将评标情况写出书面报告，推荐中标候选供应商。</w:t>
      </w:r>
    </w:p>
    <w:p>
      <w:pPr>
        <w:spacing w:line="400" w:lineRule="exact"/>
        <w:ind w:firstLine="480" w:firstLineChars="200"/>
        <w:rPr>
          <w:rFonts w:hAnsi="宋体"/>
          <w:sz w:val="24"/>
        </w:rPr>
      </w:pPr>
      <w:r>
        <w:rPr>
          <w:rFonts w:hint="eastAsia" w:hAnsi="宋体"/>
          <w:sz w:val="24"/>
        </w:rPr>
        <w:t>6.2.2 采购代理机构在评标结束后2个工作日内将评标报告送采购人。</w:t>
      </w:r>
    </w:p>
    <w:p>
      <w:pPr>
        <w:spacing w:line="400" w:lineRule="exact"/>
        <w:ind w:firstLine="480" w:firstLineChars="200"/>
        <w:rPr>
          <w:rFonts w:hAnsi="宋体"/>
          <w:sz w:val="24"/>
        </w:rPr>
      </w:pPr>
      <w:r>
        <w:rPr>
          <w:rFonts w:hint="eastAsia" w:hAnsi="宋体"/>
          <w:sz w:val="24"/>
        </w:rPr>
        <w:t>6.2.3 采购人在收到评标报告后5个工作日内，按照评标报告中推荐的中标候选供应商顺序确定中标供应商。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pPr>
        <w:spacing w:line="400" w:lineRule="exact"/>
        <w:ind w:firstLine="482" w:firstLineChars="200"/>
        <w:rPr>
          <w:rFonts w:hAnsi="宋体"/>
          <w:b/>
          <w:sz w:val="24"/>
        </w:rPr>
      </w:pPr>
      <w:r>
        <w:rPr>
          <w:rFonts w:hint="eastAsia" w:hAnsi="宋体"/>
          <w:b/>
          <w:sz w:val="24"/>
        </w:rPr>
        <w:t>注意，采购人按照推荐的中标候选供应商顺序确定中标供应商，不能认为采购人只能确定第一中标候选供应商为中标供应商，采购人有正当理由的，可以确定后一顺序中标候选供应商为中标供应商，依次类推。</w:t>
      </w:r>
    </w:p>
    <w:p>
      <w:pPr>
        <w:spacing w:line="400" w:lineRule="exact"/>
        <w:ind w:firstLine="480" w:firstLineChars="200"/>
        <w:rPr>
          <w:rFonts w:hAnsi="宋体"/>
          <w:sz w:val="24"/>
        </w:rPr>
      </w:pPr>
      <w:r>
        <w:rPr>
          <w:rFonts w:hint="eastAsia" w:hAnsi="宋体"/>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hAnsi="宋体"/>
          <w:sz w:val="24"/>
        </w:rPr>
      </w:pPr>
      <w:r>
        <w:rPr>
          <w:rFonts w:hint="eastAsia" w:hAnsi="宋体"/>
          <w:sz w:val="24"/>
        </w:rPr>
        <w:t>6.2.5 招标采购单位不退回投标人投标文件和其他投标资料。</w:t>
      </w:r>
    </w:p>
    <w:bookmarkEnd w:id="249"/>
    <w:p>
      <w:pPr>
        <w:spacing w:line="400" w:lineRule="exact"/>
        <w:ind w:firstLine="480" w:firstLineChars="200"/>
        <w:rPr>
          <w:rFonts w:hAnsi="宋体"/>
          <w:sz w:val="24"/>
        </w:rPr>
      </w:pPr>
      <w:bookmarkStart w:id="256" w:name="_Toc183682432"/>
      <w:bookmarkStart w:id="257" w:name="_Toc183582297"/>
      <w:bookmarkStart w:id="258" w:name="_Toc217446105"/>
      <w:bookmarkStart w:id="259" w:name="_Toc208849022"/>
      <w:bookmarkStart w:id="260" w:name="_Toc4862"/>
      <w:r>
        <w:rPr>
          <w:rFonts w:hint="eastAsia" w:hAnsi="宋体"/>
          <w:sz w:val="24"/>
        </w:rPr>
        <w:t>7</w:t>
      </w:r>
      <w:bookmarkEnd w:id="256"/>
      <w:bookmarkEnd w:id="257"/>
      <w:bookmarkEnd w:id="258"/>
      <w:bookmarkEnd w:id="259"/>
      <w:r>
        <w:rPr>
          <w:rFonts w:hint="eastAsia" w:hAnsi="宋体"/>
          <w:sz w:val="24"/>
        </w:rPr>
        <w:t>、评标专家在政府采购活动中承担以下义务：</w:t>
      </w:r>
      <w:bookmarkEnd w:id="260"/>
    </w:p>
    <w:p>
      <w:pPr>
        <w:spacing w:line="400" w:lineRule="exact"/>
        <w:ind w:firstLine="480" w:firstLineChars="200"/>
        <w:rPr>
          <w:rFonts w:hAnsi="宋体"/>
          <w:sz w:val="24"/>
        </w:rPr>
      </w:pPr>
      <w:r>
        <w:rPr>
          <w:rFonts w:hint="eastAsia" w:hAnsi="宋体"/>
          <w:sz w:val="24"/>
        </w:rPr>
        <w:t>（一）遵守评审工作纪律；</w:t>
      </w:r>
    </w:p>
    <w:p>
      <w:pPr>
        <w:spacing w:line="400" w:lineRule="exact"/>
        <w:ind w:firstLine="480" w:firstLineChars="200"/>
        <w:rPr>
          <w:rFonts w:hAnsi="宋体"/>
          <w:sz w:val="24"/>
        </w:rPr>
      </w:pPr>
      <w:r>
        <w:rPr>
          <w:rFonts w:hint="eastAsia" w:hAnsi="宋体"/>
          <w:sz w:val="24"/>
        </w:rPr>
        <w:t>（二）按照客观、公正、审慎的原则，根据采购文件规定的评审程序、评审方法和评审标准进行独立评审；</w:t>
      </w:r>
    </w:p>
    <w:p>
      <w:pPr>
        <w:spacing w:line="400" w:lineRule="exact"/>
        <w:ind w:firstLine="480" w:firstLineChars="200"/>
        <w:rPr>
          <w:rFonts w:hAnsi="宋体"/>
          <w:sz w:val="24"/>
        </w:rPr>
      </w:pPr>
      <w:r>
        <w:rPr>
          <w:rFonts w:hint="eastAsia" w:hAnsi="宋体"/>
          <w:sz w:val="24"/>
        </w:rPr>
        <w:t>（三）不得泄露评审文件、评审情况和在评审过程中获悉的商业秘密；</w:t>
      </w:r>
    </w:p>
    <w:p>
      <w:pPr>
        <w:spacing w:line="400" w:lineRule="exact"/>
        <w:ind w:firstLine="480" w:firstLineChars="200"/>
        <w:rPr>
          <w:rFonts w:hAnsi="宋体"/>
          <w:sz w:val="24"/>
        </w:rPr>
      </w:pPr>
      <w:r>
        <w:rPr>
          <w:rFonts w:hint="eastAsia" w:hAnsi="宋体"/>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hAnsi="宋体"/>
          <w:sz w:val="24"/>
        </w:rPr>
      </w:pPr>
      <w:r>
        <w:rPr>
          <w:rFonts w:hint="eastAsia" w:hAnsi="宋体"/>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hAnsi="宋体"/>
          <w:sz w:val="24"/>
        </w:rPr>
      </w:pPr>
      <w:r>
        <w:rPr>
          <w:rFonts w:hint="eastAsia" w:hAnsi="宋体"/>
          <w:sz w:val="24"/>
        </w:rPr>
        <w:t>（六）配合答复处理供应商的询问、质疑和投诉等事项；</w:t>
      </w:r>
    </w:p>
    <w:p>
      <w:pPr>
        <w:spacing w:line="400" w:lineRule="exact"/>
        <w:ind w:firstLine="480" w:firstLineChars="200"/>
        <w:rPr>
          <w:rFonts w:hAnsi="宋体"/>
          <w:sz w:val="24"/>
        </w:rPr>
      </w:pPr>
      <w:r>
        <w:rPr>
          <w:rFonts w:hint="eastAsia" w:hAnsi="宋体"/>
          <w:sz w:val="24"/>
        </w:rPr>
        <w:t>（七）法律、法规和规章规定的其他义务。</w:t>
      </w:r>
    </w:p>
    <w:p>
      <w:pPr>
        <w:spacing w:line="400" w:lineRule="exact"/>
        <w:ind w:firstLine="480" w:firstLineChars="200"/>
        <w:rPr>
          <w:rFonts w:hAnsi="宋体"/>
          <w:sz w:val="24"/>
        </w:rPr>
      </w:pPr>
      <w:bookmarkStart w:id="261" w:name="_Toc20435"/>
      <w:r>
        <w:rPr>
          <w:rFonts w:hint="eastAsia" w:hAnsi="宋体"/>
          <w:sz w:val="24"/>
        </w:rPr>
        <w:t>8、评标专家在政府采购活动中应当遵守以下工作纪律：</w:t>
      </w:r>
      <w:bookmarkEnd w:id="261"/>
    </w:p>
    <w:p>
      <w:pPr>
        <w:spacing w:line="400" w:lineRule="exact"/>
        <w:ind w:firstLine="480" w:firstLineChars="200"/>
        <w:rPr>
          <w:rFonts w:hAnsi="宋体"/>
          <w:sz w:val="24"/>
        </w:rPr>
      </w:pPr>
      <w:r>
        <w:rPr>
          <w:rFonts w:hint="eastAsia" w:hAnsi="宋体"/>
          <w:sz w:val="24"/>
        </w:rPr>
        <w:t>（一）遵行《政府采购法》第十二条和《政府采购法实施条例》第九条及财政部关于回避的规定。</w:t>
      </w:r>
    </w:p>
    <w:p>
      <w:pPr>
        <w:spacing w:line="400" w:lineRule="exact"/>
        <w:ind w:firstLine="480" w:firstLineChars="200"/>
        <w:rPr>
          <w:rFonts w:hAnsi="宋体"/>
          <w:sz w:val="24"/>
        </w:rPr>
      </w:pPr>
      <w:r>
        <w:rPr>
          <w:rFonts w:hint="eastAsia" w:hAnsi="宋体"/>
          <w:sz w:val="24"/>
        </w:rPr>
        <w:t>（二）评标前，应当将通讯工具或者相关电子设备交由招标采购单位统一保管。</w:t>
      </w:r>
    </w:p>
    <w:p>
      <w:pPr>
        <w:spacing w:line="400" w:lineRule="exact"/>
        <w:ind w:firstLine="480" w:firstLineChars="200"/>
        <w:rPr>
          <w:rFonts w:hAnsi="宋体"/>
          <w:sz w:val="24"/>
        </w:rPr>
      </w:pPr>
      <w:r>
        <w:rPr>
          <w:rFonts w:hint="eastAsia" w:hAnsi="宋体"/>
          <w:sz w:val="24"/>
        </w:rPr>
        <w:t>（三）评标过程中，不得与外界联系，因发生不可预见情况，确实需要与外界联系的，应当在监督人员监督之下办理。</w:t>
      </w:r>
    </w:p>
    <w:p>
      <w:pPr>
        <w:spacing w:line="400" w:lineRule="exact"/>
        <w:ind w:firstLine="480" w:firstLineChars="200"/>
        <w:rPr>
          <w:rFonts w:hAnsi="宋体"/>
          <w:sz w:val="24"/>
        </w:rPr>
      </w:pPr>
      <w:r>
        <w:rPr>
          <w:rFonts w:hint="eastAsia" w:hAnsi="宋体"/>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hAnsi="宋体"/>
          <w:sz w:val="24"/>
        </w:rPr>
      </w:pPr>
      <w:r>
        <w:rPr>
          <w:rFonts w:hint="eastAsia" w:hAnsi="宋体"/>
          <w:sz w:val="24"/>
        </w:rPr>
        <w:t>（五）在评标过程中和评标结束后，不得记录、复制或带走任何评标资料，除因规定的义务外，不得向外界透露评标内容。</w:t>
      </w:r>
    </w:p>
    <w:p>
      <w:pPr>
        <w:spacing w:line="400" w:lineRule="exact"/>
        <w:ind w:firstLine="480" w:firstLineChars="200"/>
        <w:rPr>
          <w:rFonts w:hAnsi="宋体"/>
          <w:sz w:val="24"/>
        </w:rPr>
      </w:pPr>
      <w:r>
        <w:rPr>
          <w:rFonts w:hint="eastAsia" w:hAnsi="宋体"/>
          <w:sz w:val="24"/>
        </w:rPr>
        <w:t>（六）服从评标现场招标采购单位的现场秩序管理，接受评标现场监督人员的合法监督。</w:t>
      </w:r>
    </w:p>
    <w:p>
      <w:pPr>
        <w:spacing w:line="400" w:lineRule="exact"/>
        <w:ind w:firstLine="480" w:firstLineChars="200"/>
        <w:rPr>
          <w:rFonts w:hAnsi="宋体"/>
          <w:sz w:val="24"/>
        </w:rPr>
      </w:pPr>
      <w:r>
        <w:rPr>
          <w:rFonts w:hint="eastAsia" w:hAnsi="宋体"/>
          <w:sz w:val="24"/>
        </w:rPr>
        <w:t>（七）遵守有关廉洁自律规定，不得私下接触供应商，不得收受供应商及有关业务单位和个人的财物或好处，不得接受采购组织单位的请托。</w:t>
      </w:r>
    </w:p>
    <w:p>
      <w:pPr>
        <w:spacing w:line="240" w:lineRule="atLeast"/>
        <w:jc w:val="center"/>
        <w:outlineLvl w:val="0"/>
        <w:rPr>
          <w:rFonts w:hAnsi="宋体"/>
          <w:sz w:val="36"/>
          <w:szCs w:val="36"/>
        </w:rPr>
      </w:pPr>
      <w:r>
        <w:rPr>
          <w:rFonts w:hAnsi="宋体"/>
          <w:sz w:val="36"/>
          <w:szCs w:val="36"/>
        </w:rPr>
        <w:br w:type="page"/>
      </w:r>
      <w:bookmarkStart w:id="262" w:name="_Toc30987"/>
      <w:bookmarkStart w:id="263" w:name="_Toc3460"/>
      <w:bookmarkStart w:id="264" w:name="_Toc9651"/>
      <w:bookmarkStart w:id="265" w:name="_Toc13975"/>
      <w:bookmarkStart w:id="266" w:name="_Toc20002"/>
      <w:bookmarkStart w:id="267" w:name="_Toc9600"/>
      <w:bookmarkStart w:id="268" w:name="_Toc510520089"/>
      <w:bookmarkStart w:id="269" w:name="_Toc3454"/>
      <w:r>
        <w:rPr>
          <w:rFonts w:hint="eastAsia" w:hAnsi="宋体"/>
          <w:sz w:val="36"/>
          <w:szCs w:val="36"/>
        </w:rPr>
        <w:t>第八章</w:t>
      </w:r>
      <w:ins w:id="159" w:author="Administrator" w:date="2021-08-06T14:09:04Z">
        <w:r>
          <w:rPr>
            <w:rFonts w:hint="eastAsia" w:hAnsi="宋体"/>
            <w:sz w:val="36"/>
            <w:szCs w:val="36"/>
            <w:lang w:val="en-US" w:eastAsia="zh-CN"/>
          </w:rPr>
          <w:t xml:space="preserve">  </w:t>
        </w:r>
      </w:ins>
      <w:bookmarkStart w:id="270" w:name="_GoBack"/>
      <w:bookmarkEnd w:id="270"/>
      <w:r>
        <w:rPr>
          <w:rFonts w:hint="eastAsia" w:hAnsi="宋体"/>
          <w:sz w:val="36"/>
          <w:szCs w:val="36"/>
        </w:rPr>
        <w:t>政府采购合同</w:t>
      </w:r>
      <w:bookmarkEnd w:id="262"/>
      <w:bookmarkEnd w:id="263"/>
      <w:bookmarkEnd w:id="264"/>
      <w:bookmarkEnd w:id="265"/>
      <w:bookmarkEnd w:id="266"/>
      <w:bookmarkEnd w:id="267"/>
      <w:bookmarkEnd w:id="268"/>
      <w:bookmarkEnd w:id="269"/>
    </w:p>
    <w:p>
      <w:pPr>
        <w:pStyle w:val="2"/>
        <w:shd w:val="clear" w:color="auto" w:fill="auto"/>
        <w:spacing w:before="0" w:line="360" w:lineRule="auto"/>
        <w:ind w:firstLine="480" w:firstLineChars="200"/>
        <w:jc w:val="center"/>
        <w:rPr>
          <w:rFonts w:hAnsi="宋体"/>
          <w:spacing w:val="0"/>
          <w:sz w:val="24"/>
          <w:szCs w:val="24"/>
        </w:rPr>
        <w:pPrChange w:id="160" w:author="Administrator" w:date="2021-08-06T14:09:01Z">
          <w:pPr>
            <w:pStyle w:val="2"/>
            <w:shd w:val="clear" w:color="auto" w:fill="auto"/>
            <w:spacing w:before="0" w:line="360" w:lineRule="auto"/>
            <w:ind w:firstLine="480" w:firstLineChars="200"/>
            <w:jc w:val="left"/>
          </w:pPr>
        </w:pPrChange>
      </w:pPr>
      <w:r>
        <w:rPr>
          <w:rStyle w:val="209"/>
          <w:rFonts w:hint="eastAsia" w:hAnsi="宋体"/>
          <w:spacing w:val="0"/>
          <w:sz w:val="24"/>
          <w:lang w:val="zh-TW" w:eastAsia="zh-TW"/>
        </w:rPr>
        <w:t>合同主要条款(中标人可与采购人关于具体部分协商调整。</w:t>
      </w:r>
      <w:r>
        <w:rPr>
          <w:rStyle w:val="209"/>
          <w:rFonts w:hint="eastAsia" w:hAnsi="宋体"/>
          <w:spacing w:val="0"/>
          <w:sz w:val="24"/>
        </w:rPr>
        <w:t>）</w:t>
      </w:r>
    </w:p>
    <w:p>
      <w:pPr>
        <w:jc w:val="center"/>
        <w:rPr>
          <w:rFonts w:hint="eastAsia" w:asciiTheme="minorEastAsia" w:hAnsiTheme="minorEastAsia" w:eastAsiaTheme="minorEastAsia" w:cstheme="minorEastAsia"/>
          <w:b/>
          <w:bCs/>
          <w:color w:val="auto"/>
          <w:sz w:val="24"/>
          <w:szCs w:val="24"/>
          <w:highlight w:val="none"/>
        </w:rPr>
      </w:pPr>
    </w:p>
    <w:p>
      <w:pPr>
        <w:jc w:val="center"/>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b/>
          <w:bCs/>
          <w:color w:val="auto"/>
          <w:sz w:val="24"/>
          <w:szCs w:val="24"/>
          <w:highlight w:val="none"/>
        </w:rPr>
        <w:t>2021年政府性工程建设项目可行性研究报告（项目建议书）评审服务</w:t>
      </w:r>
      <w:r>
        <w:rPr>
          <w:rFonts w:hint="eastAsia" w:asciiTheme="minorEastAsia" w:hAnsiTheme="minorEastAsia" w:eastAsiaTheme="minorEastAsia" w:cstheme="minorEastAsia"/>
          <w:b/>
          <w:bCs/>
          <w:color w:val="auto"/>
          <w:sz w:val="24"/>
          <w:szCs w:val="24"/>
          <w:highlight w:val="none"/>
          <w:lang w:val="en-US" w:eastAsia="zh-Hans"/>
        </w:rPr>
        <w:t>合同</w:t>
      </w:r>
    </w:p>
    <w:p>
      <w:pPr>
        <w:adjustRightInd w:val="0"/>
        <w:snapToGrid w:val="0"/>
        <w:spacing w:beforeLines="0" w:line="240" w:lineRule="auto"/>
        <w:ind w:firstLine="403" w:firstLineChars="192"/>
        <w:jc w:val="left"/>
        <w:rPr>
          <w:rFonts w:hint="eastAsia" w:ascii="宋体" w:hAnsi="宋体" w:eastAsia="宋体" w:cs="宋体"/>
          <w:sz w:val="21"/>
          <w:szCs w:val="21"/>
        </w:rPr>
      </w:pPr>
    </w:p>
    <w:p>
      <w:pPr>
        <w:adjustRightInd w:val="0"/>
        <w:snapToGrid w:val="0"/>
        <w:spacing w:beforeLines="0" w:line="240" w:lineRule="auto"/>
        <w:ind w:firstLine="403" w:firstLineChars="192"/>
        <w:jc w:val="left"/>
        <w:rPr>
          <w:rFonts w:hint="eastAsia" w:ascii="宋体" w:hAnsi="宋体" w:eastAsia="宋体" w:cs="宋体"/>
          <w:sz w:val="21"/>
          <w:szCs w:val="21"/>
        </w:rPr>
      </w:pPr>
      <w:r>
        <w:rPr>
          <w:rFonts w:hint="eastAsia" w:ascii="宋体" w:hAnsi="宋体" w:eastAsia="宋体" w:cs="宋体"/>
          <w:sz w:val="21"/>
          <w:szCs w:val="21"/>
        </w:rPr>
        <w:t>甲方： 成都市双流区发展和改革局</w:t>
      </w:r>
    </w:p>
    <w:p>
      <w:pPr>
        <w:adjustRightInd w:val="0"/>
        <w:snapToGrid w:val="0"/>
        <w:spacing w:beforeLines="0" w:line="240" w:lineRule="auto"/>
        <w:ind w:firstLine="403" w:firstLineChars="192"/>
        <w:jc w:val="left"/>
        <w:rPr>
          <w:rFonts w:hint="eastAsia" w:ascii="宋体" w:hAnsi="宋体" w:eastAsia="宋体" w:cs="宋体"/>
          <w:sz w:val="21"/>
          <w:szCs w:val="21"/>
        </w:rPr>
      </w:pPr>
      <w:r>
        <w:rPr>
          <w:rFonts w:hint="eastAsia" w:ascii="宋体" w:hAnsi="宋体" w:eastAsia="宋体" w:cs="宋体"/>
          <w:sz w:val="21"/>
          <w:szCs w:val="21"/>
        </w:rPr>
        <w:t>法定代表人或者授权代表：</w:t>
      </w:r>
    </w:p>
    <w:p>
      <w:pPr>
        <w:adjustRightInd w:val="0"/>
        <w:snapToGrid w:val="0"/>
        <w:spacing w:beforeLines="0" w:line="240" w:lineRule="auto"/>
        <w:ind w:firstLine="403" w:firstLineChars="192"/>
        <w:jc w:val="left"/>
        <w:rPr>
          <w:rFonts w:hint="eastAsia" w:ascii="宋体" w:hAnsi="宋体" w:eastAsia="宋体" w:cs="宋体"/>
          <w:sz w:val="21"/>
          <w:szCs w:val="21"/>
        </w:rPr>
      </w:pPr>
      <w:r>
        <w:rPr>
          <w:rFonts w:hint="eastAsia" w:ascii="宋体" w:hAnsi="宋体" w:eastAsia="宋体" w:cs="宋体"/>
          <w:sz w:val="21"/>
          <w:szCs w:val="21"/>
        </w:rPr>
        <w:t>住   所：  </w:t>
      </w:r>
    </w:p>
    <w:p>
      <w:pPr>
        <w:adjustRightInd w:val="0"/>
        <w:snapToGrid w:val="0"/>
        <w:spacing w:beforeLines="0" w:line="240" w:lineRule="auto"/>
        <w:ind w:firstLine="403" w:firstLineChars="192"/>
        <w:jc w:val="left"/>
        <w:rPr>
          <w:rFonts w:hint="eastAsia" w:ascii="宋体" w:hAnsi="宋体" w:eastAsia="宋体" w:cs="宋体"/>
          <w:sz w:val="21"/>
          <w:szCs w:val="21"/>
        </w:rPr>
      </w:pPr>
      <w:r>
        <w:rPr>
          <w:rFonts w:hint="eastAsia" w:ascii="宋体" w:hAnsi="宋体" w:eastAsia="宋体" w:cs="宋体"/>
          <w:sz w:val="21"/>
          <w:szCs w:val="21"/>
        </w:rPr>
        <w:t>联系电话：</w:t>
      </w:r>
    </w:p>
    <w:p>
      <w:pPr>
        <w:adjustRightInd w:val="0"/>
        <w:snapToGrid w:val="0"/>
        <w:spacing w:beforeLines="0" w:line="240" w:lineRule="auto"/>
        <w:ind w:firstLine="403" w:firstLineChars="192"/>
        <w:jc w:val="left"/>
        <w:rPr>
          <w:rFonts w:hint="eastAsia" w:ascii="宋体" w:hAnsi="宋体" w:eastAsia="宋体" w:cs="宋体"/>
          <w:sz w:val="21"/>
          <w:szCs w:val="21"/>
          <w:u w:val="single"/>
        </w:rPr>
      </w:pPr>
      <w:r>
        <w:rPr>
          <w:rFonts w:hint="eastAsia" w:ascii="宋体" w:hAnsi="宋体" w:eastAsia="宋体" w:cs="宋体"/>
          <w:sz w:val="21"/>
          <w:szCs w:val="21"/>
        </w:rPr>
        <w:t>乙方：</w:t>
      </w:r>
    </w:p>
    <w:p>
      <w:pPr>
        <w:adjustRightInd w:val="0"/>
        <w:snapToGrid w:val="0"/>
        <w:spacing w:beforeLines="0" w:line="240" w:lineRule="auto"/>
        <w:ind w:firstLine="403" w:firstLineChars="192"/>
        <w:jc w:val="left"/>
        <w:rPr>
          <w:rFonts w:hint="eastAsia" w:ascii="宋体" w:hAnsi="宋体" w:eastAsia="宋体" w:cs="宋体"/>
          <w:sz w:val="21"/>
          <w:szCs w:val="21"/>
        </w:rPr>
      </w:pPr>
      <w:r>
        <w:rPr>
          <w:rFonts w:hint="eastAsia" w:ascii="宋体" w:hAnsi="宋体" w:eastAsia="宋体" w:cs="宋体"/>
          <w:sz w:val="21"/>
          <w:szCs w:val="21"/>
        </w:rPr>
        <w:t>法定代表人或者授权代表（签字）：</w:t>
      </w:r>
    </w:p>
    <w:p>
      <w:pPr>
        <w:adjustRightInd w:val="0"/>
        <w:snapToGrid w:val="0"/>
        <w:spacing w:beforeLines="0" w:line="240" w:lineRule="auto"/>
        <w:ind w:firstLine="403" w:firstLineChars="192"/>
        <w:jc w:val="left"/>
        <w:rPr>
          <w:rFonts w:hint="eastAsia" w:ascii="宋体" w:hAnsi="宋体" w:eastAsia="宋体" w:cs="宋体"/>
          <w:sz w:val="21"/>
          <w:szCs w:val="21"/>
        </w:rPr>
      </w:pPr>
      <w:r>
        <w:rPr>
          <w:rFonts w:hint="eastAsia" w:ascii="宋体" w:hAnsi="宋体" w:eastAsia="宋体" w:cs="宋体"/>
          <w:sz w:val="21"/>
          <w:szCs w:val="21"/>
        </w:rPr>
        <w:t>住    所：</w:t>
      </w:r>
    </w:p>
    <w:p>
      <w:pPr>
        <w:adjustRightInd w:val="0"/>
        <w:snapToGrid w:val="0"/>
        <w:spacing w:beforeLines="0" w:line="240" w:lineRule="auto"/>
        <w:ind w:firstLine="403" w:firstLineChars="192"/>
        <w:jc w:val="left"/>
        <w:rPr>
          <w:rFonts w:hint="eastAsia" w:ascii="宋体" w:hAnsi="宋体" w:eastAsia="宋体" w:cs="宋体"/>
          <w:sz w:val="21"/>
          <w:szCs w:val="21"/>
        </w:rPr>
      </w:pPr>
      <w:r>
        <w:rPr>
          <w:rFonts w:hint="eastAsia" w:ascii="宋体" w:hAnsi="宋体" w:eastAsia="宋体" w:cs="宋体"/>
          <w:sz w:val="21"/>
          <w:szCs w:val="21"/>
        </w:rPr>
        <w:t>公司联系电话：</w:t>
      </w:r>
    </w:p>
    <w:p>
      <w:pPr>
        <w:adjustRightInd w:val="0"/>
        <w:snapToGrid w:val="0"/>
        <w:spacing w:beforeLines="0" w:line="240" w:lineRule="auto"/>
        <w:ind w:firstLine="403" w:firstLineChars="192"/>
        <w:jc w:val="left"/>
        <w:rPr>
          <w:rFonts w:hint="eastAsia" w:ascii="宋体" w:hAnsi="宋体" w:eastAsia="宋体" w:cs="宋体"/>
          <w:sz w:val="21"/>
          <w:szCs w:val="21"/>
        </w:rPr>
      </w:pPr>
      <w:r>
        <w:rPr>
          <w:rFonts w:hint="eastAsia" w:ascii="宋体" w:hAnsi="宋体" w:eastAsia="宋体" w:cs="宋体"/>
          <w:sz w:val="21"/>
          <w:szCs w:val="21"/>
        </w:rPr>
        <w:t>甲方就</w:t>
      </w:r>
      <w:r>
        <w:rPr>
          <w:rFonts w:hint="eastAsia" w:hAnsi="宋体" w:cs="宋体"/>
          <w:sz w:val="21"/>
          <w:szCs w:val="21"/>
          <w:lang w:eastAsia="zh-CN"/>
        </w:rPr>
        <w:t>成都市双流区发展和改革局2021年政府性工程建设项目可行性研究报告（项目建议书）评审服务采购项目（第二次）</w:t>
      </w:r>
      <w:r>
        <w:rPr>
          <w:rFonts w:hint="eastAsia" w:ascii="宋体" w:hAnsi="宋体" w:eastAsia="宋体" w:cs="宋体"/>
          <w:sz w:val="21"/>
          <w:szCs w:val="21"/>
          <w:lang w:eastAsia="zh-Hans"/>
        </w:rPr>
        <w:t>进行公开招标</w:t>
      </w:r>
      <w:r>
        <w:rPr>
          <w:rFonts w:hint="eastAsia" w:ascii="宋体" w:hAnsi="宋体" w:eastAsia="宋体" w:cs="宋体"/>
          <w:sz w:val="21"/>
          <w:szCs w:val="21"/>
        </w:rPr>
        <w:t>，乙方为中标</w:t>
      </w:r>
      <w:r>
        <w:rPr>
          <w:rFonts w:hint="eastAsia" w:ascii="宋体" w:hAnsi="宋体" w:eastAsia="宋体" w:cs="宋体"/>
          <w:sz w:val="21"/>
          <w:szCs w:val="21"/>
          <w:lang w:eastAsia="zh-Hans"/>
        </w:rPr>
        <w:t>供应商</w:t>
      </w:r>
      <w:r>
        <w:rPr>
          <w:rFonts w:hint="eastAsia" w:ascii="宋体" w:hAnsi="宋体" w:eastAsia="宋体" w:cs="宋体"/>
          <w:sz w:val="21"/>
          <w:szCs w:val="21"/>
        </w:rPr>
        <w:t>。现甲、乙双方在自愿、平等、协商一致的基础上,依据《中华人民共和国</w:t>
      </w:r>
      <w:r>
        <w:rPr>
          <w:rFonts w:hint="eastAsia" w:ascii="宋体" w:hAnsi="宋体" w:eastAsia="宋体" w:cs="宋体"/>
          <w:sz w:val="21"/>
          <w:szCs w:val="21"/>
          <w:lang w:eastAsia="zh-Hans"/>
        </w:rPr>
        <w:t>民法典</w:t>
      </w:r>
      <w:r>
        <w:rPr>
          <w:rFonts w:hint="eastAsia" w:ascii="宋体" w:hAnsi="宋体" w:eastAsia="宋体" w:cs="宋体"/>
          <w:sz w:val="21"/>
          <w:szCs w:val="21"/>
        </w:rPr>
        <w:t>》《中华人民共和国政府采购法》</w:t>
      </w:r>
      <w:r>
        <w:rPr>
          <w:rFonts w:hint="eastAsia" w:ascii="宋体" w:hAnsi="宋体" w:eastAsia="宋体" w:cs="宋体"/>
          <w:sz w:val="21"/>
          <w:szCs w:val="21"/>
          <w:lang w:eastAsia="zh-Hans"/>
        </w:rPr>
        <w:t>等</w:t>
      </w:r>
      <w:r>
        <w:rPr>
          <w:rFonts w:hint="eastAsia" w:ascii="宋体" w:hAnsi="宋体" w:eastAsia="宋体" w:cs="宋体"/>
          <w:sz w:val="21"/>
          <w:szCs w:val="21"/>
        </w:rPr>
        <w:t>法律法规以及本项目（编号：双流区政采招〔2021〕号）的《招标文件》，乙方的《投标文件》及《中标通知书》，订立本合同。</w:t>
      </w:r>
    </w:p>
    <w:p>
      <w:pPr>
        <w:adjustRightInd w:val="0"/>
        <w:snapToGrid w:val="0"/>
        <w:spacing w:beforeLines="0" w:line="240" w:lineRule="auto"/>
        <w:ind w:firstLine="405" w:firstLineChars="192"/>
        <w:jc w:val="left"/>
        <w:rPr>
          <w:rFonts w:hint="eastAsia" w:ascii="宋体" w:hAnsi="宋体" w:eastAsia="宋体" w:cs="宋体"/>
          <w:sz w:val="21"/>
          <w:szCs w:val="21"/>
        </w:rPr>
      </w:pPr>
      <w:r>
        <w:rPr>
          <w:rFonts w:hint="eastAsia" w:ascii="宋体" w:hAnsi="宋体" w:eastAsia="宋体" w:cs="宋体"/>
          <w:b/>
          <w:bCs/>
          <w:sz w:val="21"/>
          <w:szCs w:val="21"/>
        </w:rPr>
        <w:t xml:space="preserve">第一条  </w:t>
      </w:r>
      <w:r>
        <w:rPr>
          <w:rFonts w:hint="eastAsia" w:ascii="宋体" w:hAnsi="宋体" w:eastAsia="宋体" w:cs="宋体"/>
          <w:b/>
          <w:bCs/>
          <w:sz w:val="21"/>
          <w:szCs w:val="21"/>
          <w:lang w:eastAsia="zh-Hans"/>
        </w:rPr>
        <w:t>项目</w:t>
      </w:r>
      <w:r>
        <w:rPr>
          <w:rFonts w:hint="eastAsia" w:ascii="宋体" w:hAnsi="宋体" w:eastAsia="宋体" w:cs="宋体"/>
          <w:b/>
          <w:bCs/>
          <w:sz w:val="21"/>
          <w:szCs w:val="21"/>
        </w:rPr>
        <w:t>基本情况    </w:t>
      </w:r>
      <w:r>
        <w:rPr>
          <w:rFonts w:hint="eastAsia" w:ascii="宋体" w:hAnsi="宋体" w:eastAsia="宋体" w:cs="宋体"/>
          <w:sz w:val="21"/>
          <w:szCs w:val="21"/>
        </w:rPr>
        <w:t>         </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为进一步加强成都市双流区政府性投资项目的可行性研究报告（项目建议书）及其调整、项目后评价、其他的工程咨询类事项的评审管理工作，确保评审质量，提高评审效率，提升政府投资效益，成都市双流区发展和改革局对符合条件的工程咨询机构进行公开招标采购，中标的工程咨询机构按各包件服务范围承担成都市双流区2021年度</w:t>
      </w:r>
      <w:r>
        <w:rPr>
          <w:rFonts w:hint="eastAsia" w:ascii="宋体" w:hAnsi="宋体" w:eastAsia="宋体" w:cs="宋体"/>
          <w:kern w:val="0"/>
          <w:sz w:val="21"/>
          <w:szCs w:val="21"/>
          <w:lang w:val="en-US" w:eastAsia="zh-CN"/>
        </w:rPr>
        <w:t>或2022年度</w:t>
      </w:r>
      <w:r>
        <w:rPr>
          <w:rFonts w:hint="eastAsia" w:ascii="宋体" w:hAnsi="宋体" w:eastAsia="宋体" w:cs="宋体"/>
          <w:kern w:val="0"/>
          <w:sz w:val="21"/>
          <w:szCs w:val="21"/>
          <w:lang w:val="en-US" w:eastAsia="zh-Hans"/>
        </w:rPr>
        <w:t>相应的政府性投资项目可行性研究报告（项目建议书）评估（评审）咨询服务。</w:t>
      </w:r>
    </w:p>
    <w:p>
      <w:pPr>
        <w:numPr>
          <w:ilvl w:val="-1"/>
          <w:numId w:val="0"/>
        </w:numPr>
        <w:spacing w:beforeLines="0" w:line="240" w:lineRule="auto"/>
        <w:ind w:firstLine="422" w:firstLineChars="200"/>
        <w:rPr>
          <w:rFonts w:hint="eastAsia" w:ascii="宋体" w:hAnsi="宋体" w:eastAsia="宋体" w:cs="宋体"/>
          <w:kern w:val="0"/>
          <w:sz w:val="21"/>
          <w:szCs w:val="21"/>
          <w:lang w:val="en-US" w:eastAsia="zh-Hans"/>
        </w:rPr>
      </w:pPr>
      <w:r>
        <w:rPr>
          <w:rFonts w:hint="eastAsia" w:hAnsi="宋体" w:cs="宋体"/>
          <w:b/>
          <w:bCs/>
          <w:kern w:val="0"/>
          <w:sz w:val="21"/>
          <w:szCs w:val="21"/>
          <w:lang w:val="en-US" w:eastAsia="zh-CN"/>
        </w:rPr>
        <w:t>中标</w:t>
      </w:r>
      <w:r>
        <w:rPr>
          <w:rFonts w:hint="eastAsia" w:ascii="宋体" w:hAnsi="宋体" w:eastAsia="宋体" w:cs="宋体"/>
          <w:b/>
          <w:bCs/>
          <w:kern w:val="0"/>
          <w:sz w:val="21"/>
          <w:szCs w:val="21"/>
          <w:lang w:val="en-US" w:eastAsia="zh-CN"/>
        </w:rPr>
        <w:t>服务范围</w:t>
      </w:r>
      <w:r>
        <w:rPr>
          <w:rFonts w:hint="eastAsia" w:hAnsi="宋体" w:cs="宋体"/>
          <w:b/>
          <w:bCs/>
          <w:kern w:val="0"/>
          <w:sz w:val="21"/>
          <w:szCs w:val="21"/>
          <w:lang w:val="en-US" w:eastAsia="zh-CN"/>
        </w:rPr>
        <w:t>：</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color w:val="0000FF"/>
          <w:kern w:val="0"/>
          <w:sz w:val="21"/>
          <w:szCs w:val="21"/>
          <w:lang w:val="en-US" w:eastAsia="zh-Hans"/>
        </w:rPr>
        <w:t>包件</w:t>
      </w:r>
      <w:r>
        <w:rPr>
          <w:rFonts w:hint="eastAsia" w:hAnsi="宋体" w:cs="宋体"/>
          <w:color w:val="0000FF"/>
          <w:kern w:val="0"/>
          <w:sz w:val="21"/>
          <w:szCs w:val="21"/>
          <w:lang w:val="en-US" w:eastAsia="zh-CN"/>
        </w:rPr>
        <w:t>1</w:t>
      </w:r>
      <w:r>
        <w:rPr>
          <w:rFonts w:hint="eastAsia" w:ascii="宋体" w:hAnsi="宋体" w:eastAsia="宋体" w:cs="宋体"/>
          <w:color w:val="0000FF"/>
          <w:kern w:val="0"/>
          <w:sz w:val="21"/>
          <w:szCs w:val="21"/>
          <w:lang w:val="en-US" w:eastAsia="zh-Hans"/>
        </w:rPr>
        <w:t>：</w:t>
      </w:r>
      <w:r>
        <w:rPr>
          <w:rFonts w:hint="eastAsia" w:ascii="宋体" w:hAnsi="宋体" w:eastAsia="宋体" w:cs="宋体"/>
          <w:kern w:val="0"/>
          <w:sz w:val="21"/>
          <w:szCs w:val="21"/>
          <w:lang w:val="en-US" w:eastAsia="zh-Hans"/>
        </w:rPr>
        <w:t>双流区新科局牵头实施的政府性工程建设项目的可行性研究报告或项目建议书的评审。其主要工程类型为电力工程，中标的供应商须完成双流区新科局牵头实施的政府性工程建设项目的可行性研究报告或项目建议书的评审。</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color w:val="0000FF"/>
          <w:kern w:val="0"/>
          <w:sz w:val="21"/>
          <w:szCs w:val="21"/>
          <w:lang w:val="en-US" w:eastAsia="zh-Hans"/>
        </w:rPr>
        <w:t>包件</w:t>
      </w:r>
      <w:r>
        <w:rPr>
          <w:rFonts w:hint="eastAsia" w:hAnsi="宋体" w:cs="宋体"/>
          <w:color w:val="0000FF"/>
          <w:kern w:val="0"/>
          <w:sz w:val="21"/>
          <w:szCs w:val="21"/>
          <w:lang w:val="en-US" w:eastAsia="zh-CN"/>
        </w:rPr>
        <w:t>2</w:t>
      </w:r>
      <w:r>
        <w:rPr>
          <w:rFonts w:hint="eastAsia" w:ascii="宋体" w:hAnsi="宋体" w:eastAsia="宋体" w:cs="宋体"/>
          <w:color w:val="0000FF"/>
          <w:kern w:val="0"/>
          <w:sz w:val="21"/>
          <w:szCs w:val="21"/>
          <w:lang w:val="en-US" w:eastAsia="zh-Hans"/>
        </w:rPr>
        <w:t>：</w:t>
      </w:r>
      <w:r>
        <w:rPr>
          <w:rFonts w:hint="eastAsia" w:ascii="宋体" w:hAnsi="宋体" w:eastAsia="宋体" w:cs="宋体"/>
          <w:kern w:val="0"/>
          <w:sz w:val="21"/>
          <w:szCs w:val="21"/>
          <w:lang w:val="en-US" w:eastAsia="zh-Hans"/>
        </w:rPr>
        <w:t>双流区水务局牵头实施的政府性工程建设项目的可行性研究报告或项目建议书的评审。其主要工程类型为水利工程，中标的供应商须完成双流区水务局牵头实施的政府性工程建设项目的可行性研究报告或项目建议书的评审。</w:t>
      </w:r>
    </w:p>
    <w:p>
      <w:pPr>
        <w:numPr>
          <w:ilvl w:val="-1"/>
          <w:numId w:val="0"/>
        </w:numPr>
        <w:spacing w:beforeLines="0" w:line="240" w:lineRule="auto"/>
        <w:ind w:firstLine="422" w:firstLineChars="200"/>
        <w:rPr>
          <w:rFonts w:hint="eastAsia" w:ascii="宋体" w:hAnsi="宋体" w:eastAsia="宋体" w:cs="宋体"/>
          <w:b/>
          <w:bCs/>
          <w:kern w:val="0"/>
          <w:sz w:val="21"/>
          <w:szCs w:val="21"/>
          <w:lang w:val="en-US" w:eastAsia="zh-Hans"/>
        </w:rPr>
      </w:pPr>
      <w:r>
        <w:rPr>
          <w:rFonts w:hint="eastAsia" w:ascii="宋体" w:hAnsi="宋体" w:eastAsia="宋体" w:cs="宋体"/>
          <w:b/>
          <w:bCs/>
          <w:kern w:val="0"/>
          <w:sz w:val="21"/>
          <w:szCs w:val="21"/>
          <w:lang w:val="en-US" w:eastAsia="zh-Hans"/>
        </w:rPr>
        <w:t>服务要求</w:t>
      </w:r>
    </w:p>
    <w:p>
      <w:pPr>
        <w:numPr>
          <w:ilvl w:val="0"/>
          <w:numId w:val="0"/>
        </w:num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 xml:space="preserve">1、咨询成果质量和技术指标要求：咨询成果质量和技术指标符合国家及行业有关规定和要求。 </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2、咨询机构在接受评估任务后，评估机构应当确定项目负责人，成立评估小组，制定评估工作计划，定期反馈评估工作进度，在规定时限内提交评估报告。项目负责人应当是经执业登记的咨询工程师（投资）。参加评估小组的人员应当熟悉国家和行业发展有关政策法规规划、技术标准规范，评估小组应当具有一定数量的本专业高级技术职称人员。</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 xml:space="preserve">3、咨询评估的完成时限：项目建议书评审不超过7个工作日，可行性研究报告评审不超过15个工作日。评估咨询机构因特殊情况确实难以在规定时限内完成的，应在规定时限到期日的3个工作日之前向采购人书面报告有关情况，征得采购人书面同意后，可以延长完成时限，但延长的期限不超过5个工作日。 </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4、涉密项目的咨询评估任务应按照《保守国家秘密法》及相关规定，由采购人通过与评估机构签订保密协议并监督执行的方式进行保密管理。</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5、评审报告的内容应包括：标题及文号、目录、摘要、正文、附件等。评估报告应当附具项目负责人及评估小组成员名单，并加盖评估机构公章和项目负责人的咨询工程师（投资）执业专用章。评审报告份数：至少4份纸质的评审报告。</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6、评估机构应不断改进内部管理机制，优化评估工作流程，完善评估专家库，保证独立、公正、客观、科学地开展评估工作，提高评估工作水平和质量。</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7、工程咨询机构出具的评审意见未达到要求或有重大缺陷的，应按要求修改完善或重新进行评审。</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8、评审咨询机构有下列情形之一的，采购人可以对其提出警告、扣减咨询费用、终止合同、向有管理权限的部门（双流区财政局）通报、禁止其有限期甚至无限期从事我区政府投资项目工程咨询评审工作：</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①咨询评估报告有重大失误或质量低劣；</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②评审工作完成时间严重超出评审工作时限要求；</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③因自身工作过失造成重大损失；</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④咨询评估过程中未经允许私自向业主单位透露评审情况或信息；</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⑤无正当理由一年内两次拒绝接受委托评审咨询任务；</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⑥机构或其人员徇私舞弊，向被评审项目相关单位或个人索要财物；</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⑦违反《工程咨询行业管理办法》有关规定或其他违反法律法规的行为。</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9、供应商履行合同的专业技术人员应是其投标文件配备的专业技术人员，且拟派的专业技术人员应是投标供应商本单位的人员（提供劳动合同或社保证明或聘书或承诺书或其他证明文件）。同一供应商参与同一项目多个包件投标的，应根据所投包件的主要工程类型合理和分别配备项目评估小组，不得以同一项目班子技术人员承接多个包件的评估任务。</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10、接受并服从采购人制定或修订的相关管理办法及工作质量考核办法。</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11、中标人在服务期间，可能因国家政策变化或其他原因导致无具体业务执行，采购人不保证中标人的具体业务量，均按实际发生业务结算。请投标人考虑此风险的情况下自主决定是否参与本项目。</w:t>
      </w:r>
    </w:p>
    <w:p>
      <w:pPr>
        <w:spacing w:beforeLines="0" w:line="240" w:lineRule="auto"/>
        <w:ind w:firstLine="420" w:firstLineChars="200"/>
        <w:rPr>
          <w:rFonts w:hint="eastAsia" w:ascii="宋体" w:hAnsi="宋体" w:eastAsia="宋体" w:cs="宋体"/>
          <w:sz w:val="21"/>
          <w:szCs w:val="21"/>
        </w:rPr>
      </w:pPr>
      <w:r>
        <w:rPr>
          <w:rFonts w:hint="eastAsia" w:ascii="宋体" w:hAnsi="宋体" w:eastAsia="宋体" w:cs="宋体"/>
          <w:kern w:val="0"/>
          <w:sz w:val="21"/>
          <w:szCs w:val="21"/>
          <w:lang w:val="en-US" w:eastAsia="zh-Hans"/>
        </w:rPr>
        <w:t>12、评审执行回避原则，承担同一项目可行性研究报告或项目建议书编制的咨询单位不得承担同一项目可行性研究报告或项目建议书评审任务，承担评估任务的工程咨询机构，与同一事项的编制单位、项目业主单位之间不存在控股、管理关系或负责人为同一人的重大关联关系。</w:t>
      </w:r>
    </w:p>
    <w:p>
      <w:pPr>
        <w:numPr>
          <w:ilvl w:val="0"/>
          <w:numId w:val="9"/>
        </w:numPr>
        <w:spacing w:beforeLines="0" w:line="240" w:lineRule="auto"/>
        <w:ind w:firstLine="422" w:firstLineChars="200"/>
        <w:rPr>
          <w:rFonts w:hint="eastAsia" w:ascii="宋体" w:hAnsi="宋体" w:eastAsia="宋体" w:cs="宋体"/>
          <w:b/>
          <w:bCs/>
          <w:kern w:val="0"/>
          <w:sz w:val="21"/>
          <w:szCs w:val="21"/>
          <w:lang w:eastAsia="zh-Hans"/>
        </w:rPr>
      </w:pPr>
      <w:r>
        <w:rPr>
          <w:rFonts w:hint="eastAsia" w:ascii="宋体" w:hAnsi="宋体" w:eastAsia="宋体" w:cs="宋体"/>
          <w:b/>
          <w:bCs/>
          <w:kern w:val="0"/>
          <w:sz w:val="21"/>
          <w:szCs w:val="21"/>
          <w:lang w:eastAsia="zh-Hans"/>
        </w:rPr>
        <w:t xml:space="preserve"> 服务期限</w:t>
      </w:r>
    </w:p>
    <w:p>
      <w:pPr>
        <w:spacing w:beforeLines="0" w:line="24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lang w:eastAsia="zh-Hans"/>
        </w:rPr>
        <w:t>本</w:t>
      </w:r>
      <w:r>
        <w:rPr>
          <w:rFonts w:hint="eastAsia" w:ascii="宋体" w:hAnsi="宋体" w:eastAsia="宋体" w:cs="宋体"/>
          <w:kern w:val="0"/>
          <w:sz w:val="21"/>
          <w:szCs w:val="21"/>
          <w:lang w:val="en-US" w:eastAsia="zh-Hans"/>
        </w:rPr>
        <w:t>协议自签订生效之日起</w:t>
      </w:r>
      <w:r>
        <w:rPr>
          <w:rFonts w:hint="eastAsia" w:ascii="宋体" w:hAnsi="宋体" w:eastAsia="宋体" w:cs="宋体"/>
          <w:kern w:val="0"/>
          <w:sz w:val="21"/>
          <w:szCs w:val="21"/>
          <w:lang w:eastAsia="zh-Hans"/>
        </w:rPr>
        <w:t>1</w:t>
      </w:r>
      <w:r>
        <w:rPr>
          <w:rFonts w:hint="eastAsia" w:ascii="宋体" w:hAnsi="宋体" w:eastAsia="宋体" w:cs="宋体"/>
          <w:kern w:val="0"/>
          <w:sz w:val="21"/>
          <w:szCs w:val="21"/>
          <w:lang w:val="en-US" w:eastAsia="zh-Hans"/>
        </w:rPr>
        <w:t>年内有效。</w:t>
      </w:r>
    </w:p>
    <w:p>
      <w:pPr>
        <w:numPr>
          <w:ilvl w:val="0"/>
          <w:numId w:val="9"/>
        </w:numPr>
        <w:spacing w:beforeLines="0"/>
        <w:ind w:firstLine="422" w:firstLineChars="200"/>
        <w:rPr>
          <w:rFonts w:hint="eastAsia" w:ascii="宋体" w:hAnsi="宋体" w:eastAsia="宋体" w:cs="宋体"/>
          <w:b/>
          <w:bCs/>
          <w:kern w:val="0"/>
          <w:sz w:val="21"/>
          <w:szCs w:val="21"/>
          <w:lang w:eastAsia="zh-Hans"/>
        </w:rPr>
      </w:pPr>
      <w:r>
        <w:rPr>
          <w:rFonts w:hint="eastAsia" w:ascii="宋体" w:hAnsi="宋体" w:eastAsia="宋体" w:cs="宋体"/>
          <w:b/>
          <w:bCs/>
          <w:kern w:val="0"/>
          <w:sz w:val="21"/>
          <w:szCs w:val="21"/>
          <w:lang w:eastAsia="zh-Hans"/>
        </w:rPr>
        <w:t xml:space="preserve"> 费用支付</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支付标准：</w:t>
      </w:r>
      <w:r>
        <w:rPr>
          <w:rFonts w:hint="eastAsia" w:ascii="宋体" w:hAnsi="宋体" w:eastAsia="宋体" w:cs="宋体"/>
          <w:sz w:val="21"/>
          <w:szCs w:val="21"/>
          <w:lang w:eastAsia="zh-Hans"/>
        </w:rPr>
        <w:t>费用基准价×行业调整系数×投资规模调整系数×评审工作质量调整系数×工程复杂程度调整系数×</w:t>
      </w:r>
      <w:r>
        <w:rPr>
          <w:rFonts w:hint="eastAsia" w:ascii="宋体" w:hAnsi="宋体" w:eastAsia="宋体" w:cs="宋体"/>
          <w:sz w:val="21"/>
          <w:szCs w:val="21"/>
          <w:u w:val="single"/>
          <w:lang w:eastAsia="zh-Hans"/>
        </w:rPr>
        <w:t>中标人</w:t>
      </w:r>
      <w:r>
        <w:rPr>
          <w:rFonts w:hint="eastAsia" w:ascii="宋体" w:hAnsi="宋体" w:eastAsia="宋体" w:cs="宋体"/>
          <w:sz w:val="21"/>
          <w:szCs w:val="21"/>
          <w:u w:val="single"/>
          <w:lang w:eastAsia="zh-CN"/>
        </w:rPr>
        <w:t>投标</w:t>
      </w:r>
      <w:r>
        <w:rPr>
          <w:rFonts w:hint="eastAsia" w:ascii="宋体" w:hAnsi="宋体" w:eastAsia="宋体" w:cs="宋体"/>
          <w:sz w:val="21"/>
          <w:szCs w:val="21"/>
          <w:u w:val="single"/>
          <w:lang w:eastAsia="zh-Hans"/>
        </w:rPr>
        <w:t>报价比例</w:t>
      </w:r>
      <w:r>
        <w:rPr>
          <w:rFonts w:hint="eastAsia" w:ascii="宋体" w:hAnsi="宋体" w:eastAsia="宋体" w:cs="宋体"/>
          <w:kern w:val="0"/>
          <w:sz w:val="21"/>
          <w:szCs w:val="21"/>
          <w:lang w:val="en-US" w:eastAsia="zh-Hans"/>
        </w:rPr>
        <w:t>。（</w:t>
      </w:r>
      <w:r>
        <w:rPr>
          <w:rFonts w:hint="eastAsia" w:ascii="宋体" w:hAnsi="宋体" w:eastAsia="宋体" w:cs="宋体"/>
          <w:kern w:val="0"/>
          <w:sz w:val="21"/>
          <w:szCs w:val="21"/>
          <w:lang w:val="en-US" w:eastAsia="zh-CN"/>
        </w:rPr>
        <w:t>计算方法</w:t>
      </w:r>
      <w:r>
        <w:rPr>
          <w:rFonts w:hint="eastAsia" w:ascii="宋体" w:hAnsi="宋体" w:eastAsia="宋体" w:cs="宋体"/>
          <w:kern w:val="0"/>
          <w:sz w:val="21"/>
          <w:szCs w:val="21"/>
          <w:lang w:val="en-US" w:eastAsia="zh-Hans"/>
        </w:rPr>
        <w:t>详见附件</w:t>
      </w:r>
      <w:r>
        <w:rPr>
          <w:rFonts w:hint="eastAsia" w:ascii="宋体" w:hAnsi="宋体" w:eastAsia="宋体" w:cs="宋体"/>
          <w:kern w:val="0"/>
          <w:sz w:val="21"/>
          <w:szCs w:val="21"/>
          <w:lang w:val="en-US" w:eastAsia="zh-CN"/>
        </w:rPr>
        <w:t>一</w:t>
      </w:r>
      <w:r>
        <w:rPr>
          <w:rFonts w:hint="eastAsia" w:ascii="宋体" w:hAnsi="宋体" w:eastAsia="宋体" w:cs="宋体"/>
          <w:kern w:val="0"/>
          <w:sz w:val="21"/>
          <w:szCs w:val="21"/>
          <w:lang w:val="en-US" w:eastAsia="zh-Hans"/>
        </w:rPr>
        <w:t>）</w:t>
      </w:r>
    </w:p>
    <w:p>
      <w:pPr>
        <w:spacing w:beforeLines="0" w:line="240" w:lineRule="auto"/>
        <w:ind w:firstLine="420" w:firstLineChars="200"/>
        <w:rPr>
          <w:rFonts w:hint="eastAsia" w:ascii="宋体" w:hAnsi="宋体" w:eastAsia="宋体" w:cs="宋体"/>
          <w:sz w:val="21"/>
          <w:szCs w:val="21"/>
          <w:lang w:val="en-US" w:eastAsia="zh-Hans"/>
        </w:rPr>
      </w:pPr>
      <w:r>
        <w:rPr>
          <w:rFonts w:hint="eastAsia" w:ascii="宋体" w:hAnsi="宋体" w:eastAsia="宋体" w:cs="宋体"/>
          <w:kern w:val="0"/>
          <w:sz w:val="21"/>
          <w:szCs w:val="21"/>
          <w:lang w:val="en-US" w:eastAsia="zh-Hans"/>
        </w:rPr>
        <w:t>支付方式：乙方按照采购方要求，完成项目可行性研究报告（项目建议书）评审任务后，按合同约定的报价计取费用并出具正式发票给甲方，由甲方按双流区财政相关管理规定申请该项全额费用。</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甲方每次付款前，乙方应提交合法有效的增值税发票，否则，甲方有权不付款且不承担任何违约责任。</w:t>
      </w:r>
    </w:p>
    <w:p>
      <w:pPr>
        <w:snapToGrid w:val="0"/>
        <w:spacing w:before="0" w:beforeLines="0" w:line="240" w:lineRule="auto"/>
        <w:ind w:firstLine="422" w:firstLineChars="200"/>
        <w:rPr>
          <w:rFonts w:hint="eastAsia" w:ascii="宋体" w:hAnsi="宋体" w:eastAsia="宋体" w:cs="宋体"/>
          <w:b/>
          <w:bCs/>
          <w:sz w:val="21"/>
          <w:szCs w:val="21"/>
          <w:lang w:eastAsia="zh-Hans"/>
        </w:rPr>
      </w:pPr>
      <w:r>
        <w:rPr>
          <w:rFonts w:hint="eastAsia" w:ascii="宋体" w:hAnsi="宋体" w:eastAsia="宋体" w:cs="宋体"/>
          <w:b/>
          <w:bCs/>
          <w:kern w:val="0"/>
          <w:sz w:val="21"/>
          <w:szCs w:val="21"/>
          <w:lang w:eastAsia="zh-Hans"/>
        </w:rPr>
        <w:t>第四条 验收标准和方法</w:t>
      </w:r>
    </w:p>
    <w:p>
      <w:pPr>
        <w:spacing w:beforeLines="0" w:line="240" w:lineRule="auto"/>
        <w:ind w:firstLine="420" w:firstLineChars="200"/>
        <w:rPr>
          <w:rFonts w:hint="eastAsia" w:ascii="宋体" w:hAnsi="宋体" w:eastAsia="宋体" w:cs="宋体"/>
          <w:kern w:val="0"/>
          <w:sz w:val="21"/>
          <w:szCs w:val="21"/>
          <w:lang w:val="en-US" w:eastAsia="zh-Hans"/>
        </w:rPr>
      </w:pPr>
      <w:r>
        <w:rPr>
          <w:rFonts w:hint="eastAsia" w:ascii="宋体" w:hAnsi="宋体" w:eastAsia="宋体" w:cs="宋体"/>
          <w:kern w:val="0"/>
          <w:sz w:val="21"/>
          <w:szCs w:val="21"/>
          <w:lang w:val="en-US" w:eastAsia="zh-Hans"/>
        </w:rPr>
        <w:t>按照《财政部关于进一步加强政府采购需求和履约验收管理的指导意见》(财库〔2016〕205 号)的要求进行。</w:t>
      </w:r>
    </w:p>
    <w:p>
      <w:pPr>
        <w:snapToGrid w:val="0"/>
        <w:spacing w:before="0" w:beforeLines="0" w:line="240" w:lineRule="auto"/>
        <w:ind w:firstLine="422" w:firstLineChars="200"/>
        <w:rPr>
          <w:rFonts w:hint="eastAsia" w:ascii="宋体" w:hAnsi="宋体" w:eastAsia="宋体" w:cs="宋体"/>
          <w:b/>
          <w:bCs/>
          <w:kern w:val="0"/>
          <w:sz w:val="21"/>
          <w:szCs w:val="21"/>
        </w:rPr>
      </w:pPr>
      <w:r>
        <w:rPr>
          <w:rFonts w:hint="eastAsia" w:ascii="宋体" w:hAnsi="宋体" w:eastAsia="宋体" w:cs="宋体"/>
          <w:b/>
          <w:bCs/>
          <w:kern w:val="0"/>
          <w:sz w:val="21"/>
          <w:szCs w:val="21"/>
        </w:rPr>
        <w:t> 第五条  甲、乙双方相关的权利义务</w:t>
      </w:r>
    </w:p>
    <w:p>
      <w:pPr>
        <w:spacing w:beforeLines="0" w:line="24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（一） 甲方相关的权利义务：</w:t>
      </w:r>
    </w:p>
    <w:p>
      <w:pPr>
        <w:spacing w:beforeLines="0" w:line="24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1、甲方有权对合同规定范围内乙方的服务行为进行监督和检查，拥有监管权。对甲方认为不合理的部分有权下达整改通知书，并要求乙方限期整改。</w:t>
      </w:r>
    </w:p>
    <w:p>
      <w:pPr>
        <w:spacing w:beforeLines="0" w:line="24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2、甲方有权依据</w:t>
      </w:r>
      <w:r>
        <w:rPr>
          <w:rFonts w:hint="eastAsia" w:ascii="宋体" w:hAnsi="宋体" w:eastAsia="宋体" w:cs="宋体"/>
          <w:kern w:val="0"/>
          <w:sz w:val="21"/>
          <w:szCs w:val="21"/>
          <w:lang w:val="en-US" w:eastAsia="zh-Hans"/>
        </w:rPr>
        <w:t>考核评分表（详见附件）</w:t>
      </w:r>
      <w:r>
        <w:rPr>
          <w:rFonts w:hint="eastAsia" w:ascii="宋体" w:hAnsi="宋体" w:eastAsia="宋体" w:cs="宋体"/>
          <w:kern w:val="0"/>
          <w:sz w:val="21"/>
          <w:szCs w:val="21"/>
        </w:rPr>
        <w:t>对乙方提供的服务进行定期考评。当考评结果未达到标准时，有权扣除</w:t>
      </w:r>
      <w:r>
        <w:rPr>
          <w:rFonts w:hint="eastAsia" w:ascii="宋体" w:hAnsi="宋体" w:eastAsia="宋体" w:cs="宋体"/>
          <w:kern w:val="0"/>
          <w:sz w:val="21"/>
          <w:szCs w:val="21"/>
          <w:lang w:val="en-US" w:eastAsia="zh-Hans"/>
        </w:rPr>
        <w:t>费用</w:t>
      </w:r>
      <w:r>
        <w:rPr>
          <w:rFonts w:hint="eastAsia" w:ascii="宋体" w:hAnsi="宋体" w:eastAsia="宋体" w:cs="宋体"/>
          <w:kern w:val="0"/>
          <w:sz w:val="21"/>
          <w:szCs w:val="21"/>
        </w:rPr>
        <w:t>。</w:t>
      </w:r>
    </w:p>
    <w:p>
      <w:pPr>
        <w:spacing w:beforeLines="0" w:line="24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3、负责检查监督乙方管理工作的实施及制度的执行情况。</w:t>
      </w:r>
    </w:p>
    <w:p>
      <w:pPr>
        <w:spacing w:beforeLines="0" w:line="24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4、根据本合同约定，按时向乙方支付应付服务费用。</w:t>
      </w:r>
    </w:p>
    <w:p>
      <w:pPr>
        <w:spacing w:beforeLines="0" w:line="24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5、甲方按本合同实际履行情况，依照相关法律、法规或政策规定，酌情考虑乙方合同以外的必要费用补贴。</w:t>
      </w:r>
    </w:p>
    <w:p>
      <w:pPr>
        <w:spacing w:beforeLines="0" w:line="24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6、国家法律、法规所规定由甲方承担的其它责任。</w:t>
      </w:r>
    </w:p>
    <w:p>
      <w:pPr>
        <w:spacing w:beforeLines="0" w:line="24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（二）乙方相关的权利义务：</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1、对本合同规定的服务范围内的项目享有管理权，并承担服务义务。</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2、根据本合同的规定向甲方收取相关服务费用，并有权在本项目管理范围内管理及合理使用。</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3、及时向甲方通告本项目服务范围内有关服务的重大事项，及时配合处理投诉。</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4、接受项目行业管理部门及政府有关部门的指导，接受甲方的监督。</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5、国家法律、法规所规定由乙方承担的其它责任。</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6、不得将本项目分包、转包给任何第三方。</w:t>
      </w:r>
    </w:p>
    <w:p>
      <w:pPr>
        <w:snapToGrid w:val="0"/>
        <w:spacing w:before="0" w:beforeLines="0" w:line="240" w:lineRule="auto"/>
        <w:ind w:firstLine="422" w:firstLineChars="200"/>
        <w:rPr>
          <w:rFonts w:hint="eastAsia" w:ascii="宋体" w:hAnsi="宋体" w:eastAsia="宋体" w:cs="宋体"/>
          <w:b/>
          <w:bCs/>
          <w:kern w:val="0"/>
          <w:sz w:val="21"/>
          <w:szCs w:val="21"/>
          <w:lang w:eastAsia="zh-Hans"/>
        </w:rPr>
      </w:pPr>
      <w:r>
        <w:rPr>
          <w:rFonts w:hint="eastAsia" w:ascii="宋体" w:hAnsi="宋体" w:eastAsia="宋体" w:cs="宋体"/>
          <w:b/>
          <w:bCs/>
          <w:kern w:val="0"/>
          <w:sz w:val="21"/>
          <w:szCs w:val="21"/>
          <w:lang w:eastAsia="zh-Hans"/>
        </w:rPr>
        <w:t>第六条   违约责任约定</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1、乙方的服务达不到本合同约定的服务内容及标准的，甲方有权要求乙方限期整改并达到合同约定；逾期未整改的，或整改不符合合同约定的，甲方有权终止合同。甲方对于乙方在服务过程中出现的一般性问题，甲方多次要求乙方限期整改，乙方未作整改并造成恶劣影响的，甲方有权解除合同。</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3、若乙方将本项目分包给第三方，应向甲方承担本合同总金额20%的违约金。</w:t>
      </w:r>
    </w:p>
    <w:p>
      <w:pPr>
        <w:spacing w:beforeLines="0" w:line="240" w:lineRule="auto"/>
        <w:ind w:firstLine="420" w:firstLineChars="200"/>
        <w:rPr>
          <w:rFonts w:hint="eastAsia" w:ascii="宋体" w:hAnsi="宋体" w:eastAsia="宋体" w:cs="宋体"/>
          <w:sz w:val="21"/>
          <w:szCs w:val="21"/>
          <w:lang w:eastAsia="zh-Hans"/>
        </w:rPr>
      </w:pPr>
      <w:r>
        <w:rPr>
          <w:rFonts w:hint="eastAsia" w:ascii="宋体" w:hAnsi="宋体" w:eastAsia="宋体" w:cs="宋体"/>
          <w:kern w:val="0"/>
          <w:sz w:val="21"/>
          <w:szCs w:val="21"/>
          <w:lang w:eastAsia="zh-Hans"/>
        </w:rPr>
        <w:t>4、因乙方违反本协议约定或法律法规规定，导致甲方解除合同的，乙方应支付合同金额20%的违约金。</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5、乙方应支付的违约金、赔偿金等，甲方有权在应付未付乙方服务费中直接予以扣除。</w:t>
      </w:r>
    </w:p>
    <w:p>
      <w:pPr>
        <w:snapToGrid w:val="0"/>
        <w:spacing w:before="0" w:beforeLines="0" w:line="240" w:lineRule="auto"/>
        <w:ind w:firstLine="422" w:firstLineChars="200"/>
        <w:rPr>
          <w:rFonts w:hint="eastAsia" w:ascii="宋体" w:hAnsi="宋体" w:eastAsia="宋体" w:cs="宋体"/>
          <w:b/>
          <w:bCs/>
          <w:kern w:val="0"/>
          <w:sz w:val="21"/>
          <w:szCs w:val="21"/>
          <w:lang w:eastAsia="zh-Hans"/>
        </w:rPr>
      </w:pPr>
      <w:r>
        <w:rPr>
          <w:rFonts w:hint="eastAsia" w:ascii="宋体" w:hAnsi="宋体" w:eastAsia="宋体" w:cs="宋体"/>
          <w:b/>
          <w:bCs/>
          <w:kern w:val="0"/>
          <w:sz w:val="21"/>
          <w:szCs w:val="21"/>
          <w:lang w:eastAsia="zh-Hans"/>
        </w:rPr>
        <w:t>第七条  不可抗力</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本协议执行过程中，如遇上级重大政策调整、自然灾害包括但不限于地震、台风、洪水、海啸等不可抗力因素影响本协议部分或全部不能履行不负违约责任，应当采取一切必要的措施以防止或减少不可抗力造成的损失。</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遇有不可抗力的一方，应在 5个工作日内将事件的情况以特快专递信件、电传、传真等书面形式通知另一方，并且在事件发生后5个工作日内，向另一方提交不能履行或部分不能履行或需要延期履行理由的报告及相关证明材料。双方应就不可抗力导致的不能履行或部分不能履行的善后事宜进行协商。</w:t>
      </w:r>
    </w:p>
    <w:p>
      <w:pPr>
        <w:snapToGrid w:val="0"/>
        <w:spacing w:before="0" w:beforeLines="0" w:line="240" w:lineRule="auto"/>
        <w:ind w:firstLine="422" w:firstLineChars="200"/>
        <w:rPr>
          <w:rFonts w:hint="eastAsia" w:ascii="宋体" w:hAnsi="宋体" w:eastAsia="宋体" w:cs="宋体"/>
          <w:b/>
          <w:bCs/>
          <w:kern w:val="0"/>
          <w:sz w:val="21"/>
          <w:szCs w:val="21"/>
          <w:lang w:eastAsia="zh-Hans"/>
        </w:rPr>
      </w:pPr>
      <w:r>
        <w:rPr>
          <w:rFonts w:hint="eastAsia" w:ascii="宋体" w:hAnsi="宋体" w:eastAsia="宋体" w:cs="宋体"/>
          <w:b/>
          <w:bCs/>
          <w:kern w:val="0"/>
          <w:sz w:val="21"/>
          <w:szCs w:val="21"/>
          <w:lang w:eastAsia="zh-Hans"/>
        </w:rPr>
        <w:t>第八条 送达条款</w:t>
      </w:r>
    </w:p>
    <w:p>
      <w:pPr>
        <w:pStyle w:val="2"/>
        <w:snapToGrid w:val="0"/>
        <w:spacing w:before="0" w:beforeLines="0" w:after="0" w:line="240" w:lineRule="auto"/>
        <w:ind w:firstLine="50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任何一方发出的与本协议相关的所有通知均应为书面形式送达对方，通知地址以本协议载明为准。通知可通过当面递交、传真、信函等方式送达；如经传真发送（需证明已向相关传真号码发送完整的未中断的传真），于下一个工作日视为送达；如经信函发送，寄出日（以邮戳为准）后的第五个工作日视为送达；如当面递交，对方签收之时视为送达。任何一方联系方式变更的，应及时书面通知对方，否则另一方按照本协议所载地址递交通知的视为送达。</w:t>
      </w:r>
    </w:p>
    <w:p>
      <w:pPr>
        <w:snapToGrid w:val="0"/>
        <w:spacing w:before="0" w:beforeLines="0" w:line="240" w:lineRule="auto"/>
        <w:ind w:firstLine="422" w:firstLineChars="200"/>
        <w:rPr>
          <w:rFonts w:hint="eastAsia" w:ascii="宋体" w:hAnsi="宋体" w:eastAsia="宋体" w:cs="宋体"/>
          <w:b/>
          <w:bCs/>
          <w:kern w:val="0"/>
          <w:sz w:val="21"/>
          <w:szCs w:val="21"/>
          <w:lang w:eastAsia="zh-Hans"/>
        </w:rPr>
      </w:pPr>
      <w:r>
        <w:rPr>
          <w:rFonts w:hint="eastAsia" w:ascii="宋体" w:hAnsi="宋体" w:eastAsia="宋体" w:cs="宋体"/>
          <w:b/>
          <w:bCs/>
          <w:kern w:val="0"/>
          <w:sz w:val="21"/>
          <w:szCs w:val="21"/>
          <w:lang w:eastAsia="zh-Hans"/>
        </w:rPr>
        <w:t>第九条 合同争议解决</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在执行本合同中发生的或与本合同有关的争端，双方应通过友好协商解决，协商不成的，任何一方可向甲方所在地人民法院起诉。</w:t>
      </w:r>
    </w:p>
    <w:p>
      <w:pPr>
        <w:snapToGrid w:val="0"/>
        <w:spacing w:before="0" w:beforeLines="0" w:line="240" w:lineRule="auto"/>
        <w:ind w:firstLine="422" w:firstLineChars="200"/>
        <w:rPr>
          <w:rFonts w:hint="eastAsia" w:ascii="宋体" w:hAnsi="宋体" w:eastAsia="宋体" w:cs="宋体"/>
          <w:b/>
          <w:bCs/>
          <w:kern w:val="0"/>
          <w:sz w:val="21"/>
          <w:szCs w:val="21"/>
          <w:lang w:eastAsia="zh-Hans"/>
        </w:rPr>
      </w:pPr>
      <w:r>
        <w:rPr>
          <w:rFonts w:hint="eastAsia" w:ascii="宋体" w:hAnsi="宋体" w:eastAsia="宋体" w:cs="宋体"/>
          <w:b/>
          <w:bCs/>
          <w:kern w:val="0"/>
          <w:sz w:val="21"/>
          <w:szCs w:val="21"/>
          <w:lang w:eastAsia="zh-Hans"/>
        </w:rPr>
        <w:t>第十条 其他 </w:t>
      </w:r>
    </w:p>
    <w:p>
      <w:pPr>
        <w:spacing w:beforeLines="0" w:line="240" w:lineRule="auto"/>
        <w:ind w:firstLine="420" w:firstLineChars="200"/>
        <w:rPr>
          <w:rFonts w:hint="eastAsia" w:ascii="宋体" w:hAnsi="宋体" w:eastAsia="宋体" w:cs="宋体"/>
          <w:sz w:val="21"/>
          <w:szCs w:val="21"/>
          <w:lang w:eastAsia="zh-Hans"/>
        </w:rPr>
      </w:pPr>
      <w:r>
        <w:rPr>
          <w:rFonts w:hint="eastAsia" w:ascii="宋体" w:hAnsi="宋体" w:eastAsia="宋体" w:cs="宋体"/>
          <w:kern w:val="0"/>
          <w:sz w:val="21"/>
          <w:szCs w:val="21"/>
          <w:lang w:eastAsia="zh-Hans"/>
        </w:rPr>
        <w:t>1、 该项目《招标文件》、《投标文件》、《中标通知书》和《双流区发展和改革局委托项目评审任务单》《项目评审工作质量考核评分表》为本合同的有效组成部分，本合同未约定的，根据上述有效组成部分执行。如有效组成部分与本合同有冲突的，以本合同约定为准。其他未尽事宜，甲、乙双方可另行以书面形式签订补充协议。</w:t>
      </w:r>
    </w:p>
    <w:p>
      <w:pPr>
        <w:spacing w:beforeLines="0" w:line="240" w:lineRule="auto"/>
        <w:ind w:firstLine="420" w:firstLineChars="200"/>
        <w:rPr>
          <w:rFonts w:hint="eastAsia" w:ascii="宋体" w:hAnsi="宋体" w:eastAsia="宋体" w:cs="宋体"/>
          <w:kern w:val="0"/>
          <w:sz w:val="21"/>
          <w:szCs w:val="21"/>
          <w:lang w:eastAsia="zh-Hans"/>
        </w:rPr>
      </w:pPr>
      <w:r>
        <w:rPr>
          <w:rFonts w:hint="eastAsia" w:ascii="宋体" w:hAnsi="宋体" w:eastAsia="宋体" w:cs="宋体"/>
          <w:kern w:val="0"/>
          <w:sz w:val="21"/>
          <w:szCs w:val="21"/>
          <w:lang w:eastAsia="zh-Hans"/>
        </w:rPr>
        <w:t>2、 补充协议及本合同的附件均与本合同具有同等法律效力。本合同、本合同的附件及补充协议中未规定的事宜，均遵照中华人民共和国有关法律、法规和规章执行。</w:t>
      </w:r>
    </w:p>
    <w:p>
      <w:pPr>
        <w:spacing w:beforeLines="0" w:line="240" w:lineRule="auto"/>
        <w:ind w:firstLine="420" w:firstLineChars="200"/>
        <w:rPr>
          <w:rFonts w:hint="eastAsia" w:asciiTheme="minorEastAsia" w:hAnsiTheme="minorEastAsia" w:eastAsiaTheme="minorEastAsia" w:cstheme="minorEastAsia"/>
          <w:kern w:val="0"/>
          <w:sz w:val="24"/>
          <w:szCs w:val="24"/>
          <w:lang w:eastAsia="zh-Hans"/>
        </w:rPr>
      </w:pPr>
      <w:r>
        <w:rPr>
          <w:rFonts w:hint="eastAsia" w:ascii="宋体" w:hAnsi="宋体" w:eastAsia="宋体" w:cs="宋体"/>
          <w:kern w:val="0"/>
          <w:sz w:val="21"/>
          <w:szCs w:val="21"/>
          <w:lang w:eastAsia="zh-Hans"/>
        </w:rPr>
        <w:t>3、本合同自双方法定代表人或授权代表签字并加盖公章</w:t>
      </w:r>
      <w:r>
        <w:rPr>
          <w:rFonts w:hint="eastAsia" w:ascii="宋体" w:hAnsi="宋体" w:eastAsia="宋体" w:cs="宋体"/>
          <w:kern w:val="0"/>
          <w:sz w:val="21"/>
          <w:szCs w:val="21"/>
          <w:lang w:val="en-US" w:eastAsia="zh-Hans"/>
        </w:rPr>
        <w:t>之</w:t>
      </w:r>
      <w:r>
        <w:rPr>
          <w:rFonts w:hint="eastAsia" w:ascii="宋体" w:hAnsi="宋体" w:eastAsia="宋体" w:cs="宋体"/>
          <w:kern w:val="0"/>
          <w:sz w:val="21"/>
          <w:szCs w:val="21"/>
          <w:lang w:eastAsia="zh-Hans"/>
        </w:rPr>
        <w:t>日起生效。本合同正本一式</w:t>
      </w:r>
      <w:r>
        <w:rPr>
          <w:rFonts w:hint="eastAsia" w:ascii="宋体" w:hAnsi="宋体" w:eastAsia="宋体" w:cs="宋体"/>
          <w:kern w:val="0"/>
          <w:sz w:val="21"/>
          <w:szCs w:val="21"/>
          <w:lang w:val="en-US" w:eastAsia="zh-Hans"/>
        </w:rPr>
        <w:t>陆</w:t>
      </w:r>
      <w:r>
        <w:rPr>
          <w:rFonts w:hint="eastAsia" w:ascii="宋体" w:hAnsi="宋体" w:eastAsia="宋体" w:cs="宋体"/>
          <w:kern w:val="0"/>
          <w:sz w:val="21"/>
          <w:szCs w:val="21"/>
          <w:lang w:eastAsia="zh-Hans"/>
        </w:rPr>
        <w:t>份，甲乙双方各执</w:t>
      </w:r>
      <w:r>
        <w:rPr>
          <w:rFonts w:hint="eastAsia" w:ascii="宋体" w:hAnsi="宋体" w:eastAsia="宋体" w:cs="宋体"/>
          <w:kern w:val="0"/>
          <w:sz w:val="21"/>
          <w:szCs w:val="21"/>
          <w:lang w:val="en-US" w:eastAsia="zh-Hans"/>
        </w:rPr>
        <w:t>贰</w:t>
      </w:r>
      <w:r>
        <w:rPr>
          <w:rFonts w:hint="eastAsia" w:ascii="宋体" w:hAnsi="宋体" w:eastAsia="宋体" w:cs="宋体"/>
          <w:kern w:val="0"/>
          <w:sz w:val="21"/>
          <w:szCs w:val="21"/>
          <w:lang w:eastAsia="zh-Hans"/>
        </w:rPr>
        <w:t>份，政府采购代理机构壹份，同级财政部门备案壹份，具有同等法律效力。</w:t>
      </w:r>
    </w:p>
    <w:p>
      <w:pPr>
        <w:pStyle w:val="2"/>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kern w:val="0"/>
          <w:sz w:val="24"/>
          <w:szCs w:val="24"/>
          <w:lang w:eastAsia="zh-Hans"/>
        </w:rPr>
        <w:br w:type="page"/>
      </w:r>
      <w:r>
        <w:rPr>
          <w:rFonts w:hint="eastAsia" w:asciiTheme="minorEastAsia" w:hAnsiTheme="minorEastAsia" w:eastAsiaTheme="minorEastAsia" w:cstheme="minorEastAsia"/>
          <w:kern w:val="0"/>
          <w:sz w:val="24"/>
          <w:szCs w:val="24"/>
          <w:lang w:eastAsia="zh-Hans"/>
        </w:rPr>
        <w:t>附件：1、《双流区发展和改革局委托项目评审任务单》；</w:t>
      </w:r>
    </w:p>
    <w:p>
      <w:pPr>
        <w:pStyle w:val="2"/>
        <w:ind w:firstLine="840" w:firstLineChars="300"/>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kern w:val="0"/>
          <w:sz w:val="24"/>
          <w:szCs w:val="24"/>
          <w:lang w:eastAsia="zh-Hans"/>
        </w:rPr>
        <w:t>2、《项目评审工作质量考核评分表》；</w:t>
      </w:r>
    </w:p>
    <w:p>
      <w:pPr>
        <w:spacing w:line="480" w:lineRule="exact"/>
        <w:ind w:firstLine="480" w:firstLineChars="200"/>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kern w:val="0"/>
          <w:sz w:val="24"/>
          <w:szCs w:val="24"/>
          <w:lang w:eastAsia="zh-Hans"/>
        </w:rPr>
        <w:t>  </w:t>
      </w:r>
    </w:p>
    <w:p>
      <w:pPr>
        <w:pStyle w:val="2"/>
        <w:rPr>
          <w:rFonts w:hint="eastAsia" w:asciiTheme="minorEastAsia" w:hAnsiTheme="minorEastAsia" w:eastAsiaTheme="minorEastAsia" w:cstheme="minorEastAsia"/>
          <w:sz w:val="24"/>
          <w:szCs w:val="24"/>
          <w:lang w:eastAsia="zh-Hans"/>
        </w:rPr>
      </w:pPr>
    </w:p>
    <w:p>
      <w:pPr>
        <w:spacing w:line="480" w:lineRule="exact"/>
        <w:ind w:firstLine="480" w:firstLineChars="200"/>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kern w:val="0"/>
          <w:sz w:val="24"/>
          <w:szCs w:val="24"/>
          <w:lang w:eastAsia="zh-Hans"/>
        </w:rPr>
        <w:t>甲方：           </w:t>
      </w:r>
    </w:p>
    <w:p>
      <w:pPr>
        <w:spacing w:line="480" w:lineRule="exact"/>
        <w:ind w:firstLine="480" w:firstLineChars="200"/>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kern w:val="0"/>
          <w:sz w:val="24"/>
          <w:szCs w:val="24"/>
          <w:lang w:eastAsia="zh-Hans"/>
        </w:rPr>
        <w:t>法定代表人或者授权代表（签字）：                    </w:t>
      </w:r>
    </w:p>
    <w:p>
      <w:pPr>
        <w:spacing w:line="480" w:lineRule="exact"/>
        <w:ind w:firstLine="480" w:firstLineChars="200"/>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kern w:val="0"/>
          <w:sz w:val="24"/>
          <w:szCs w:val="24"/>
          <w:lang w:eastAsia="zh-Hans"/>
        </w:rPr>
        <w:t> 日期：20</w:t>
      </w:r>
      <w:r>
        <w:rPr>
          <w:rFonts w:hint="eastAsia" w:asciiTheme="minorEastAsia" w:hAnsiTheme="minorEastAsia" w:eastAsiaTheme="minorEastAsia" w:cstheme="minorEastAsia"/>
          <w:kern w:val="0"/>
          <w:sz w:val="24"/>
          <w:szCs w:val="24"/>
        </w:rPr>
        <w:t>21</w:t>
      </w:r>
      <w:r>
        <w:rPr>
          <w:rFonts w:hint="eastAsia" w:asciiTheme="minorEastAsia" w:hAnsiTheme="minorEastAsia" w:eastAsiaTheme="minorEastAsia" w:cstheme="minorEastAsia"/>
          <w:kern w:val="0"/>
          <w:sz w:val="24"/>
          <w:szCs w:val="24"/>
          <w:lang w:eastAsia="zh-Hans"/>
        </w:rPr>
        <w:t>年</w:t>
      </w:r>
      <w:r>
        <w:rPr>
          <w:rFonts w:hint="eastAsia" w:asciiTheme="minorEastAsia" w:hAnsiTheme="minorEastAsia" w:eastAsiaTheme="minorEastAsia" w:cstheme="minorEastAsia"/>
          <w:kern w:val="0"/>
          <w:sz w:val="24"/>
          <w:szCs w:val="24"/>
        </w:rPr>
        <w:t xml:space="preserve">  </w:t>
      </w:r>
      <w:r>
        <w:rPr>
          <w:rFonts w:hint="eastAsia" w:asciiTheme="minorEastAsia" w:hAnsiTheme="minorEastAsia" w:eastAsiaTheme="minorEastAsia" w:cstheme="minorEastAsia"/>
          <w:kern w:val="0"/>
          <w:sz w:val="24"/>
          <w:szCs w:val="24"/>
          <w:lang w:eastAsia="zh-Hans"/>
        </w:rPr>
        <w:t>月</w:t>
      </w:r>
      <w:r>
        <w:rPr>
          <w:rFonts w:hint="eastAsia" w:asciiTheme="minorEastAsia" w:hAnsiTheme="minorEastAsia" w:eastAsiaTheme="minorEastAsia" w:cstheme="minorEastAsia"/>
          <w:kern w:val="0"/>
          <w:sz w:val="24"/>
          <w:szCs w:val="24"/>
        </w:rPr>
        <w:t xml:space="preserve">  </w:t>
      </w:r>
      <w:r>
        <w:rPr>
          <w:rFonts w:hint="eastAsia" w:asciiTheme="minorEastAsia" w:hAnsiTheme="minorEastAsia" w:eastAsiaTheme="minorEastAsia" w:cstheme="minorEastAsia"/>
          <w:kern w:val="0"/>
          <w:sz w:val="24"/>
          <w:szCs w:val="24"/>
          <w:lang w:eastAsia="zh-Hans"/>
        </w:rPr>
        <w:t>日</w:t>
      </w:r>
    </w:p>
    <w:p>
      <w:pPr>
        <w:spacing w:line="480" w:lineRule="exact"/>
        <w:ind w:firstLine="480" w:firstLineChars="200"/>
        <w:rPr>
          <w:rFonts w:hint="eastAsia" w:asciiTheme="minorEastAsia" w:hAnsiTheme="minorEastAsia" w:eastAsiaTheme="minorEastAsia" w:cstheme="minorEastAsia"/>
          <w:kern w:val="0"/>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spacing w:line="480" w:lineRule="exact"/>
        <w:ind w:firstLine="480" w:firstLineChars="200"/>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kern w:val="0"/>
          <w:sz w:val="24"/>
          <w:szCs w:val="24"/>
          <w:lang w:eastAsia="zh-Hans"/>
        </w:rPr>
        <w:t xml:space="preserve">乙方： </w:t>
      </w:r>
    </w:p>
    <w:p>
      <w:pPr>
        <w:spacing w:line="480" w:lineRule="exact"/>
        <w:ind w:firstLine="480" w:firstLineChars="200"/>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kern w:val="0"/>
          <w:sz w:val="24"/>
          <w:szCs w:val="24"/>
          <w:lang w:eastAsia="zh-Hans"/>
        </w:rPr>
        <w:t xml:space="preserve">法定代表人或者授权代表（签字）：                  </w:t>
      </w:r>
    </w:p>
    <w:p>
      <w:pPr>
        <w:spacing w:line="480" w:lineRule="exact"/>
        <w:ind w:firstLine="480" w:firstLineChars="200"/>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kern w:val="0"/>
          <w:sz w:val="24"/>
          <w:szCs w:val="24"/>
          <w:lang w:eastAsia="zh-Hans"/>
        </w:rPr>
        <w:t>日期：20</w:t>
      </w:r>
      <w:r>
        <w:rPr>
          <w:rFonts w:hint="eastAsia" w:asciiTheme="minorEastAsia" w:hAnsiTheme="minorEastAsia" w:eastAsiaTheme="minorEastAsia" w:cstheme="minorEastAsia"/>
          <w:kern w:val="0"/>
          <w:sz w:val="24"/>
          <w:szCs w:val="24"/>
        </w:rPr>
        <w:t>21</w:t>
      </w:r>
      <w:r>
        <w:rPr>
          <w:rFonts w:hint="eastAsia" w:asciiTheme="minorEastAsia" w:hAnsiTheme="minorEastAsia" w:eastAsiaTheme="minorEastAsia" w:cstheme="minorEastAsia"/>
          <w:kern w:val="0"/>
          <w:sz w:val="24"/>
          <w:szCs w:val="24"/>
          <w:lang w:eastAsia="zh-Hans"/>
        </w:rPr>
        <w:t>年  </w:t>
      </w:r>
      <w:r>
        <w:rPr>
          <w:rFonts w:hint="eastAsia" w:asciiTheme="minorEastAsia" w:hAnsiTheme="minorEastAsia" w:eastAsiaTheme="minorEastAsia" w:cstheme="minorEastAsia"/>
          <w:kern w:val="0"/>
          <w:sz w:val="24"/>
          <w:szCs w:val="24"/>
        </w:rPr>
        <w:t xml:space="preserve">  </w:t>
      </w:r>
      <w:r>
        <w:rPr>
          <w:rFonts w:hint="eastAsia" w:asciiTheme="minorEastAsia" w:hAnsiTheme="minorEastAsia" w:eastAsiaTheme="minorEastAsia" w:cstheme="minorEastAsia"/>
          <w:kern w:val="0"/>
          <w:sz w:val="24"/>
          <w:szCs w:val="24"/>
          <w:lang w:eastAsia="zh-Hans"/>
        </w:rPr>
        <w:t>月</w:t>
      </w:r>
      <w:r>
        <w:rPr>
          <w:rFonts w:hint="eastAsia" w:asciiTheme="minorEastAsia" w:hAnsiTheme="minorEastAsia" w:eastAsiaTheme="minorEastAsia" w:cstheme="minorEastAsia"/>
          <w:kern w:val="0"/>
          <w:sz w:val="24"/>
          <w:szCs w:val="24"/>
        </w:rPr>
        <w:t xml:space="preserve">  </w:t>
      </w:r>
      <w:r>
        <w:rPr>
          <w:rFonts w:hint="eastAsia" w:asciiTheme="minorEastAsia" w:hAnsiTheme="minorEastAsia" w:eastAsiaTheme="minorEastAsia" w:cstheme="minorEastAsia"/>
          <w:kern w:val="0"/>
          <w:sz w:val="24"/>
          <w:szCs w:val="24"/>
          <w:lang w:eastAsia="zh-Hans"/>
        </w:rPr>
        <w:t>日</w:t>
      </w:r>
    </w:p>
    <w:p>
      <w:pPr>
        <w:spacing w:line="240" w:lineRule="auto"/>
        <w:ind w:firstLine="0" w:firstLineChars="0"/>
        <w:rPr>
          <w:rFonts w:hint="eastAsia" w:asciiTheme="minorEastAsia" w:hAnsiTheme="minorEastAsia" w:eastAsiaTheme="minorEastAsia" w:cstheme="minorEastAsia"/>
          <w:kern w:val="0"/>
          <w:sz w:val="24"/>
          <w:szCs w:val="24"/>
          <w:lang w:eastAsia="zh-Hans"/>
        </w:rPr>
      </w:pPr>
      <w:r>
        <w:rPr>
          <w:rFonts w:hint="eastAsia" w:asciiTheme="minorEastAsia" w:hAnsiTheme="minorEastAsia" w:eastAsiaTheme="minorEastAsia" w:cstheme="minorEastAsia"/>
          <w:kern w:val="0"/>
          <w:sz w:val="24"/>
          <w:szCs w:val="24"/>
          <w:lang w:eastAsia="zh-Hans"/>
        </w:rPr>
        <w:br w:type="page"/>
      </w:r>
    </w:p>
    <w:p>
      <w:pPr>
        <w:rPr>
          <w:rFonts w:cs="方正仿宋_GBK" w:asciiTheme="minorEastAsia" w:hAnsiTheme="minorEastAsia" w:eastAsiaTheme="minorEastAsia"/>
          <w:b/>
          <w:color w:val="auto"/>
          <w:sz w:val="21"/>
          <w:szCs w:val="21"/>
          <w:highlight w:val="none"/>
        </w:rPr>
      </w:pPr>
      <w:r>
        <w:rPr>
          <w:rFonts w:cs="方正仿宋_GBK" w:asciiTheme="minorEastAsia" w:hAnsiTheme="minorEastAsia" w:eastAsiaTheme="minorEastAsia"/>
          <w:b/>
          <w:color w:val="auto"/>
          <w:sz w:val="21"/>
          <w:szCs w:val="21"/>
          <w:highlight w:val="none"/>
        </w:rPr>
        <w:t>附件一</w:t>
      </w:r>
    </w:p>
    <w:p>
      <w:pPr>
        <w:ind w:firstLine="420" w:firstLineChars="200"/>
        <w:rPr>
          <w:rFonts w:hint="eastAsia" w:cs="方正仿宋_GBK" w:asciiTheme="minorEastAsia" w:hAnsiTheme="minorEastAsia" w:eastAsiaTheme="minorEastAsia"/>
          <w:color w:val="auto"/>
          <w:sz w:val="21"/>
          <w:szCs w:val="21"/>
          <w:highlight w:val="none"/>
        </w:rPr>
      </w:pPr>
      <w:r>
        <w:rPr>
          <w:rFonts w:hint="eastAsia" w:cs="方正仿宋_GBK" w:asciiTheme="minorEastAsia" w:hAnsiTheme="minorEastAsia" w:eastAsiaTheme="minorEastAsia"/>
          <w:color w:val="auto"/>
          <w:sz w:val="21"/>
          <w:szCs w:val="21"/>
          <w:highlight w:val="none"/>
        </w:rPr>
        <w:t>工程咨询类评审服务费用参照《建设项目前期工作咨询收费暂行规定》（计价格〔1999〕1283号）、《关于转发国家计委《印发建设项目前期工作咨询收费暂行规定的通知》的通知》（川价字费〔2000〕35号），</w:t>
      </w:r>
    </w:p>
    <w:p>
      <w:pPr>
        <w:ind w:firstLine="420" w:firstLineChars="200"/>
        <w:rPr>
          <w:rFonts w:hint="eastAsia" w:cs="方正仿宋_GBK" w:asciiTheme="minorEastAsia" w:hAnsiTheme="minorEastAsia" w:eastAsiaTheme="minorEastAsia"/>
          <w:color w:val="auto"/>
          <w:sz w:val="21"/>
          <w:szCs w:val="21"/>
          <w:highlight w:val="none"/>
        </w:rPr>
      </w:pPr>
      <w:r>
        <w:rPr>
          <w:rFonts w:hint="eastAsia" w:cs="方正仿宋_GBK" w:asciiTheme="minorEastAsia" w:hAnsiTheme="minorEastAsia" w:eastAsiaTheme="minorEastAsia"/>
          <w:color w:val="auto"/>
          <w:sz w:val="21"/>
          <w:szCs w:val="21"/>
          <w:highlight w:val="none"/>
        </w:rPr>
        <w:t>最高限价=费用基准价×行业调整系数×投资规模调整系数×评审工作质量调整系数×</w:t>
      </w:r>
      <w:r>
        <w:rPr>
          <w:rFonts w:hint="eastAsia" w:cs="方正仿宋_GBK" w:asciiTheme="minorEastAsia" w:hAnsiTheme="minorEastAsia" w:eastAsiaTheme="minorEastAsia"/>
          <w:color w:val="auto"/>
          <w:sz w:val="21"/>
          <w:szCs w:val="21"/>
          <w:highlight w:val="none"/>
          <w:lang w:eastAsia="zh-CN"/>
        </w:rPr>
        <w:t>工程复杂程度调整系数；</w:t>
      </w:r>
    </w:p>
    <w:p>
      <w:pPr>
        <w:ind w:firstLine="422" w:firstLineChars="200"/>
        <w:rPr>
          <w:rFonts w:hint="eastAsia" w:cs="方正仿宋_GBK" w:asciiTheme="minorEastAsia" w:hAnsiTheme="minorEastAsia" w:eastAsia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rPr>
        <w:t>实际支付评审费=费用基准价×行业调整系数×投资规模调整系数×评审工作质量调整系数×</w:t>
      </w:r>
      <w:r>
        <w:rPr>
          <w:rFonts w:hint="eastAsia" w:asciiTheme="minorEastAsia" w:hAnsiTheme="minorEastAsia" w:eastAsiaTheme="minorEastAsia" w:cstheme="minorEastAsia"/>
          <w:b/>
          <w:bCs/>
          <w:color w:val="auto"/>
          <w:sz w:val="21"/>
          <w:szCs w:val="21"/>
          <w:highlight w:val="none"/>
          <w:lang w:eastAsia="zh-CN"/>
        </w:rPr>
        <w:t>工程复杂程度调整系数</w:t>
      </w:r>
      <w:r>
        <w:rPr>
          <w:rFonts w:hint="eastAsia" w:asciiTheme="minorEastAsia" w:hAnsiTheme="minorEastAsia" w:eastAsiaTheme="minorEastAsia" w:cstheme="minorEastAsia"/>
          <w:b/>
          <w:bCs/>
          <w:color w:val="auto"/>
          <w:sz w:val="21"/>
          <w:szCs w:val="21"/>
          <w:highlight w:val="none"/>
        </w:rPr>
        <w:t>×中标人报价比例</w:t>
      </w:r>
      <w:r>
        <w:rPr>
          <w:rFonts w:hint="eastAsia" w:asciiTheme="minorEastAsia" w:hAnsiTheme="minorEastAsia" w:eastAsiaTheme="minorEastAsia" w:cstheme="minorEastAsia"/>
          <w:b/>
          <w:bCs/>
          <w:color w:val="auto"/>
          <w:sz w:val="21"/>
          <w:szCs w:val="21"/>
          <w:highlight w:val="none"/>
          <w:lang w:eastAsia="zh-CN"/>
        </w:rPr>
        <w:t>；</w:t>
      </w:r>
    </w:p>
    <w:p>
      <w:pPr>
        <w:adjustRightInd w:val="0"/>
        <w:snapToGrid w:val="0"/>
        <w:ind w:firstLine="420" w:firstLineChars="200"/>
        <w:rPr>
          <w:rFonts w:cs="方正仿宋_GBK" w:asciiTheme="minorEastAsia" w:hAnsiTheme="minorEastAsia" w:eastAsiaTheme="minorEastAsia"/>
          <w:color w:val="auto"/>
          <w:sz w:val="21"/>
          <w:szCs w:val="21"/>
          <w:highlight w:val="none"/>
        </w:rPr>
      </w:pPr>
      <w:r>
        <w:rPr>
          <w:rFonts w:hint="eastAsia" w:cs="方正仿宋_GBK" w:asciiTheme="minorEastAsia" w:hAnsiTheme="minorEastAsia" w:eastAsiaTheme="minorEastAsia"/>
          <w:color w:val="auto"/>
          <w:sz w:val="21"/>
          <w:szCs w:val="21"/>
          <w:highlight w:val="none"/>
        </w:rPr>
        <w:t>1、费用基准价</w:t>
      </w:r>
    </w:p>
    <w:p>
      <w:pPr>
        <w:adjustRightInd w:val="0"/>
        <w:snapToGrid w:val="0"/>
        <w:ind w:firstLine="420" w:firstLineChars="20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                                                                         单位：万元</w:t>
      </w:r>
    </w:p>
    <w:tbl>
      <w:tblPr>
        <w:tblStyle w:val="48"/>
        <w:tblW w:w="10284" w:type="dxa"/>
        <w:tblInd w:w="-23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7"/>
        <w:gridCol w:w="1043"/>
        <w:gridCol w:w="1421"/>
        <w:gridCol w:w="1211"/>
        <w:gridCol w:w="1037"/>
        <w:gridCol w:w="1037"/>
        <w:gridCol w:w="1164"/>
        <w:gridCol w:w="13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2" w:hRule="atLeast"/>
        </w:trPr>
        <w:tc>
          <w:tcPr>
            <w:tcW w:w="1987" w:type="dxa"/>
            <w:tcBorders>
              <w:tl2br w:val="single" w:color="000000" w:themeColor="text1" w:sz="4" w:space="0"/>
            </w:tcBorders>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估算投资额</w:t>
            </w:r>
          </w:p>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p>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p>
          <w:p>
            <w:pPr>
              <w:adjustRightInd w:val="0"/>
              <w:snapToGrid w:val="0"/>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评审服务项目</w:t>
            </w:r>
          </w:p>
        </w:tc>
        <w:tc>
          <w:tcPr>
            <w:tcW w:w="1043" w:type="dxa"/>
            <w:vAlign w:val="center"/>
          </w:tcPr>
          <w:p>
            <w:pPr>
              <w:adjustRightInd w:val="0"/>
              <w:snapToGrid w:val="0"/>
              <w:jc w:val="center"/>
              <w:rPr>
                <w:rFonts w:asciiTheme="minorEastAsia" w:hAnsiTheme="minorEastAsia" w:eastAsiaTheme="minorEastAsia" w:cstheme="minorBidi"/>
                <w:color w:val="auto"/>
                <w:w w:val="90"/>
                <w:sz w:val="21"/>
                <w:szCs w:val="21"/>
                <w:highlight w:val="none"/>
              </w:rPr>
            </w:pPr>
            <w:r>
              <w:rPr>
                <w:rFonts w:hint="eastAsia" w:asciiTheme="minorEastAsia" w:hAnsiTheme="minorEastAsia" w:eastAsiaTheme="minorEastAsia" w:cstheme="minorBidi"/>
                <w:color w:val="auto"/>
                <w:w w:val="90"/>
                <w:sz w:val="21"/>
                <w:szCs w:val="21"/>
                <w:highlight w:val="none"/>
              </w:rPr>
              <w:t>1000万元以下</w:t>
            </w:r>
          </w:p>
        </w:tc>
        <w:tc>
          <w:tcPr>
            <w:tcW w:w="1421"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1000万元—3000万元</w:t>
            </w:r>
          </w:p>
        </w:tc>
        <w:tc>
          <w:tcPr>
            <w:tcW w:w="1211"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3000万元—1亿元</w:t>
            </w:r>
          </w:p>
        </w:tc>
        <w:tc>
          <w:tcPr>
            <w:tcW w:w="1037"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1亿元—5亿元</w:t>
            </w:r>
          </w:p>
        </w:tc>
        <w:tc>
          <w:tcPr>
            <w:tcW w:w="1037"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5亿元—10亿元</w:t>
            </w:r>
          </w:p>
        </w:tc>
        <w:tc>
          <w:tcPr>
            <w:tcW w:w="1164"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10亿元—50亿元</w:t>
            </w:r>
          </w:p>
        </w:tc>
        <w:tc>
          <w:tcPr>
            <w:tcW w:w="1384"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50亿元以上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3" w:hRule="atLeast"/>
        </w:trPr>
        <w:tc>
          <w:tcPr>
            <w:tcW w:w="1987"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评审项目建议书</w:t>
            </w:r>
          </w:p>
        </w:tc>
        <w:tc>
          <w:tcPr>
            <w:tcW w:w="1043"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0.8-1.5</w:t>
            </w:r>
          </w:p>
        </w:tc>
        <w:tc>
          <w:tcPr>
            <w:tcW w:w="1421" w:type="dxa"/>
            <w:vAlign w:val="center"/>
          </w:tcPr>
          <w:p>
            <w:pPr>
              <w:adjustRightInd w:val="0"/>
              <w:snapToGrid w:val="0"/>
              <w:ind w:firstLine="420" w:firstLineChars="200"/>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1.5-3</w:t>
            </w:r>
          </w:p>
        </w:tc>
        <w:tc>
          <w:tcPr>
            <w:tcW w:w="1211"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4-8</w:t>
            </w:r>
          </w:p>
        </w:tc>
        <w:tc>
          <w:tcPr>
            <w:tcW w:w="1037"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8-12</w:t>
            </w:r>
          </w:p>
        </w:tc>
        <w:tc>
          <w:tcPr>
            <w:tcW w:w="1037"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12-15</w:t>
            </w:r>
          </w:p>
        </w:tc>
        <w:tc>
          <w:tcPr>
            <w:tcW w:w="1164"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15-17</w:t>
            </w:r>
          </w:p>
        </w:tc>
        <w:tc>
          <w:tcPr>
            <w:tcW w:w="1384"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17-20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3" w:hRule="atLeast"/>
        </w:trPr>
        <w:tc>
          <w:tcPr>
            <w:tcW w:w="1987"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评审可研报告</w:t>
            </w:r>
          </w:p>
        </w:tc>
        <w:tc>
          <w:tcPr>
            <w:tcW w:w="1043"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1-2</w:t>
            </w:r>
          </w:p>
        </w:tc>
        <w:tc>
          <w:tcPr>
            <w:tcW w:w="1421"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2-4</w:t>
            </w:r>
          </w:p>
        </w:tc>
        <w:tc>
          <w:tcPr>
            <w:tcW w:w="1211"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5-10</w:t>
            </w:r>
          </w:p>
        </w:tc>
        <w:tc>
          <w:tcPr>
            <w:tcW w:w="1037"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10-15</w:t>
            </w:r>
          </w:p>
        </w:tc>
        <w:tc>
          <w:tcPr>
            <w:tcW w:w="1037"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15-20</w:t>
            </w:r>
          </w:p>
        </w:tc>
        <w:tc>
          <w:tcPr>
            <w:tcW w:w="1164"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20-25</w:t>
            </w:r>
          </w:p>
        </w:tc>
        <w:tc>
          <w:tcPr>
            <w:tcW w:w="1384" w:type="dxa"/>
            <w:vAlign w:val="center"/>
          </w:tcPr>
          <w:p>
            <w:pPr>
              <w:adjustRightInd w:val="0"/>
              <w:snapToGrid w:val="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25-35</w:t>
            </w:r>
          </w:p>
        </w:tc>
      </w:tr>
    </w:tbl>
    <w:p>
      <w:pPr>
        <w:adjustRightInd w:val="0"/>
        <w:snapToGrid w:val="0"/>
        <w:ind w:firstLine="420" w:firstLineChars="200"/>
        <w:rPr>
          <w:rFonts w:cs="方正仿宋_GBK" w:asciiTheme="minorEastAsia" w:hAnsiTheme="minorEastAsia" w:eastAsiaTheme="minorEastAsia"/>
          <w:color w:val="auto"/>
          <w:sz w:val="21"/>
          <w:szCs w:val="21"/>
          <w:highlight w:val="none"/>
        </w:rPr>
      </w:pPr>
      <w:r>
        <w:rPr>
          <w:rFonts w:hint="eastAsia" w:cs="方正仿宋_GBK" w:asciiTheme="minorEastAsia" w:hAnsiTheme="minorEastAsia" w:eastAsiaTheme="minorEastAsia"/>
          <w:color w:val="auto"/>
          <w:sz w:val="21"/>
          <w:szCs w:val="21"/>
          <w:highlight w:val="none"/>
        </w:rPr>
        <w:t>2、行业调整系数</w:t>
      </w:r>
    </w:p>
    <w:tbl>
      <w:tblPr>
        <w:tblStyle w:val="48"/>
        <w:tblW w:w="959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60"/>
        <w:gridCol w:w="21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5" w:hRule="atLeast"/>
        </w:trPr>
        <w:tc>
          <w:tcPr>
            <w:tcW w:w="7460"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行业</w:t>
            </w:r>
          </w:p>
        </w:tc>
        <w:tc>
          <w:tcPr>
            <w:tcW w:w="2130"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调整系数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95" w:hRule="atLeast"/>
        </w:trPr>
        <w:tc>
          <w:tcPr>
            <w:tcW w:w="7460" w:type="dxa"/>
          </w:tcPr>
          <w:p>
            <w:pPr>
              <w:tabs>
                <w:tab w:val="left" w:pos="3075"/>
              </w:tabs>
              <w:adjustRightInd w:val="0"/>
              <w:snapToGrid w:val="0"/>
              <w:ind w:firstLine="420" w:firstLineChars="200"/>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1、石化、化工、钢铁</w:t>
            </w:r>
            <w:r>
              <w:rPr>
                <w:rFonts w:asciiTheme="minorEastAsia" w:hAnsiTheme="minorEastAsia" w:eastAsiaTheme="minorEastAsia" w:cstheme="minorBidi"/>
                <w:color w:val="auto"/>
                <w:sz w:val="21"/>
                <w:szCs w:val="21"/>
                <w:highlight w:val="none"/>
              </w:rPr>
              <w:tab/>
            </w:r>
          </w:p>
          <w:p>
            <w:pPr>
              <w:tabs>
                <w:tab w:val="left" w:pos="3075"/>
              </w:tabs>
              <w:adjustRightInd w:val="0"/>
              <w:snapToGrid w:val="0"/>
              <w:ind w:firstLine="420" w:firstLineChars="200"/>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2、石油、天然气、水利、水电、交通（水运）、化纤</w:t>
            </w:r>
          </w:p>
          <w:p>
            <w:pPr>
              <w:tabs>
                <w:tab w:val="left" w:pos="3075"/>
              </w:tabs>
              <w:adjustRightInd w:val="0"/>
              <w:snapToGrid w:val="0"/>
              <w:ind w:firstLine="420" w:firstLineChars="200"/>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3、有色、黄金、纺织、轻工、邮电、广播电视、医药、煤炭、火电（含核电）、机械（含船舶、航空、航天、兵器）</w:t>
            </w:r>
          </w:p>
          <w:p>
            <w:pPr>
              <w:tabs>
                <w:tab w:val="left" w:pos="3075"/>
              </w:tabs>
              <w:adjustRightInd w:val="0"/>
              <w:snapToGrid w:val="0"/>
              <w:ind w:firstLine="420" w:firstLineChars="200"/>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4、林业、商业、粮食、建筑</w:t>
            </w:r>
          </w:p>
          <w:p>
            <w:pPr>
              <w:tabs>
                <w:tab w:val="left" w:pos="3075"/>
              </w:tabs>
              <w:adjustRightInd w:val="0"/>
              <w:snapToGrid w:val="0"/>
              <w:ind w:firstLine="420" w:firstLineChars="200"/>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5、建材、交通（公路）、铁道、市政公用工程</w:t>
            </w:r>
          </w:p>
        </w:tc>
        <w:tc>
          <w:tcPr>
            <w:tcW w:w="2130" w:type="dxa"/>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1.3</w:t>
            </w:r>
          </w:p>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1.2</w:t>
            </w:r>
          </w:p>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1.0</w:t>
            </w:r>
          </w:p>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p>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0.8</w:t>
            </w:r>
          </w:p>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0.7</w:t>
            </w:r>
          </w:p>
        </w:tc>
      </w:tr>
    </w:tbl>
    <w:p>
      <w:pPr>
        <w:adjustRightInd w:val="0"/>
        <w:snapToGrid w:val="0"/>
        <w:ind w:firstLine="420" w:firstLineChars="200"/>
        <w:rPr>
          <w:rFonts w:cs="方正仿宋_GBK" w:asciiTheme="minorEastAsia" w:hAnsiTheme="minorEastAsia" w:eastAsiaTheme="minorEastAsia"/>
          <w:color w:val="auto"/>
          <w:sz w:val="21"/>
          <w:szCs w:val="21"/>
          <w:highlight w:val="none"/>
        </w:rPr>
      </w:pPr>
      <w:r>
        <w:rPr>
          <w:rFonts w:hint="eastAsia" w:cs="方正仿宋_GBK" w:asciiTheme="minorEastAsia" w:hAnsiTheme="minorEastAsia" w:eastAsiaTheme="minorEastAsia"/>
          <w:color w:val="auto"/>
          <w:sz w:val="21"/>
          <w:szCs w:val="21"/>
          <w:highlight w:val="none"/>
        </w:rPr>
        <w:t>3、投资规模调整系数</w:t>
      </w:r>
    </w:p>
    <w:tbl>
      <w:tblPr>
        <w:tblStyle w:val="48"/>
        <w:tblW w:w="961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54"/>
        <w:gridCol w:w="21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投资规模V（万元）区间</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调整系数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V</w:t>
            </w:r>
            <w:r>
              <w:rPr>
                <w:rFonts w:hint="eastAsia" w:cs="宋体" w:asciiTheme="minorEastAsia" w:hAnsiTheme="minorEastAsia" w:eastAsiaTheme="minorEastAsia"/>
                <w:color w:val="auto"/>
                <w:sz w:val="21"/>
                <w:szCs w:val="21"/>
                <w:highlight w:val="none"/>
              </w:rPr>
              <w:t>≦3000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3000</w:t>
            </w:r>
            <w:r>
              <w:rPr>
                <w:rFonts w:hint="eastAsia" w:cs="宋体" w:asciiTheme="minorEastAsia" w:hAnsiTheme="minorEastAsia" w:eastAsiaTheme="minorEastAsia"/>
                <w:color w:val="auto"/>
                <w:sz w:val="21"/>
                <w:szCs w:val="21"/>
                <w:highlight w:val="none"/>
              </w:rPr>
              <w:t>﹤V≦10000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0.9-0.8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10000</w:t>
            </w:r>
            <w:r>
              <w:rPr>
                <w:rFonts w:hint="eastAsia" w:cs="宋体" w:asciiTheme="minorEastAsia" w:hAnsiTheme="minorEastAsia" w:eastAsiaTheme="minorEastAsia"/>
                <w:color w:val="auto"/>
                <w:sz w:val="21"/>
                <w:szCs w:val="21"/>
                <w:highlight w:val="none"/>
              </w:rPr>
              <w:t>﹤V≦50000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0.8-0.7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50000</w:t>
            </w:r>
            <w:r>
              <w:rPr>
                <w:rFonts w:hint="eastAsia" w:cs="宋体" w:asciiTheme="minorEastAsia" w:hAnsiTheme="minorEastAsia" w:eastAsiaTheme="minorEastAsia"/>
                <w:color w:val="auto"/>
                <w:sz w:val="21"/>
                <w:szCs w:val="21"/>
                <w:highlight w:val="none"/>
              </w:rPr>
              <w:t>﹤V≦100000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0.7-0.6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2"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100000</w:t>
            </w:r>
            <w:r>
              <w:rPr>
                <w:rFonts w:hint="eastAsia" w:cs="宋体" w:asciiTheme="minorEastAsia" w:hAnsiTheme="minorEastAsia" w:eastAsiaTheme="minorEastAsia"/>
                <w:color w:val="auto"/>
                <w:sz w:val="21"/>
                <w:szCs w:val="21"/>
                <w:highlight w:val="none"/>
              </w:rPr>
              <w:t>﹤V≦500000</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0.6-0.5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1"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500000</w:t>
            </w:r>
            <w:r>
              <w:rPr>
                <w:rFonts w:hint="eastAsia" w:cs="宋体" w:asciiTheme="minorEastAsia" w:hAnsiTheme="minorEastAsia" w:eastAsiaTheme="minorEastAsia"/>
                <w:color w:val="auto"/>
                <w:sz w:val="21"/>
                <w:szCs w:val="21"/>
                <w:highlight w:val="none"/>
              </w:rPr>
              <w:t>﹤V</w:t>
            </w:r>
          </w:p>
        </w:tc>
        <w:tc>
          <w:tcPr>
            <w:tcW w:w="2165"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0.5</w:t>
            </w:r>
          </w:p>
        </w:tc>
      </w:tr>
    </w:tbl>
    <w:p>
      <w:pPr>
        <w:adjustRightInd w:val="0"/>
        <w:snapToGrid w:val="0"/>
        <w:ind w:firstLine="420" w:firstLineChars="200"/>
        <w:rPr>
          <w:rFonts w:hint="eastAsia" w:cs="方正仿宋_GBK" w:asciiTheme="minorEastAsia" w:hAnsiTheme="minorEastAsia" w:eastAsiaTheme="minorEastAsia"/>
          <w:color w:val="auto"/>
          <w:sz w:val="21"/>
          <w:szCs w:val="21"/>
          <w:highlight w:val="none"/>
          <w:lang w:eastAsia="zh-CN"/>
        </w:rPr>
      </w:pPr>
      <w:r>
        <w:rPr>
          <w:rFonts w:hint="eastAsia" w:cs="方正仿宋_GBK" w:asciiTheme="minorEastAsia" w:hAnsiTheme="minorEastAsia" w:eastAsiaTheme="minorEastAsia"/>
          <w:color w:val="auto"/>
          <w:sz w:val="21"/>
          <w:szCs w:val="21"/>
          <w:highlight w:val="none"/>
        </w:rPr>
        <w:t>4、评审工作质量调整系数</w:t>
      </w:r>
      <w:r>
        <w:rPr>
          <w:rFonts w:hint="eastAsia" w:cs="方正仿宋_GBK"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stheme="minorBidi"/>
          <w:color w:val="auto"/>
          <w:sz w:val="21"/>
          <w:szCs w:val="21"/>
          <w:highlight w:val="none"/>
        </w:rPr>
        <w:t>评审工作质量考核</w:t>
      </w:r>
      <w:r>
        <w:rPr>
          <w:rFonts w:hint="eastAsia" w:cs="方正仿宋_GBK" w:asciiTheme="minorEastAsia" w:hAnsiTheme="minorEastAsia" w:eastAsiaTheme="minorEastAsia"/>
          <w:color w:val="auto"/>
          <w:sz w:val="21"/>
          <w:szCs w:val="21"/>
          <w:highlight w:val="none"/>
          <w:lang w:eastAsia="zh-CN"/>
        </w:rPr>
        <w:t>见附表</w:t>
      </w:r>
      <w:r>
        <w:rPr>
          <w:rFonts w:hint="eastAsia" w:cs="方正仿宋_GBK" w:asciiTheme="minorEastAsia" w:hAnsiTheme="minorEastAsia" w:eastAsiaTheme="minorEastAsia"/>
          <w:color w:val="auto"/>
          <w:sz w:val="21"/>
          <w:szCs w:val="21"/>
          <w:highlight w:val="none"/>
          <w:lang w:val="en-US" w:eastAsia="zh-CN"/>
        </w:rPr>
        <w:t xml:space="preserve">2 </w:t>
      </w:r>
      <w:r>
        <w:rPr>
          <w:rFonts w:hint="eastAsia" w:cs="方正仿宋_GBK" w:asciiTheme="minorEastAsia" w:hAnsiTheme="minorEastAsia" w:eastAsiaTheme="minorEastAsia"/>
          <w:color w:val="auto"/>
          <w:sz w:val="21"/>
          <w:szCs w:val="21"/>
          <w:highlight w:val="none"/>
          <w:lang w:eastAsia="zh-CN"/>
        </w:rPr>
        <w:t>）</w:t>
      </w:r>
    </w:p>
    <w:tbl>
      <w:tblPr>
        <w:tblStyle w:val="48"/>
        <w:tblW w:w="963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54"/>
        <w:gridCol w:w="21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评审工作质量考核得分（W）</w:t>
            </w:r>
          </w:p>
        </w:tc>
        <w:tc>
          <w:tcPr>
            <w:tcW w:w="2185"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调整系数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7454" w:type="dxa"/>
            <w:vAlign w:val="center"/>
          </w:tcPr>
          <w:p>
            <w:pPr>
              <w:adjustRightInd w:val="0"/>
              <w:snapToGrid w:val="0"/>
              <w:ind w:firstLine="420" w:firstLineChars="200"/>
              <w:jc w:val="center"/>
              <w:rPr>
                <w:rFonts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W</w:t>
            </w: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color w:val="auto"/>
                <w:sz w:val="21"/>
                <w:szCs w:val="21"/>
                <w:highlight w:val="none"/>
                <w:lang w:val="en-US" w:eastAsia="zh-CN"/>
              </w:rPr>
              <w:t>7</w:t>
            </w:r>
            <w:r>
              <w:rPr>
                <w:rFonts w:hint="eastAsia" w:cs="宋体" w:asciiTheme="minorEastAsia" w:hAnsiTheme="minorEastAsia" w:eastAsiaTheme="minorEastAsia"/>
                <w:color w:val="auto"/>
                <w:sz w:val="21"/>
                <w:szCs w:val="21"/>
                <w:highlight w:val="none"/>
              </w:rPr>
              <w:t>0</w:t>
            </w:r>
          </w:p>
        </w:tc>
        <w:tc>
          <w:tcPr>
            <w:tcW w:w="2185" w:type="dxa"/>
            <w:vAlign w:val="center"/>
          </w:tcPr>
          <w:p>
            <w:pPr>
              <w:adjustRightInd w:val="0"/>
              <w:snapToGrid w:val="0"/>
              <w:ind w:firstLine="420" w:firstLineChars="200"/>
              <w:jc w:val="center"/>
              <w:rPr>
                <w:rFonts w:hint="eastAsia"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7454" w:type="dxa"/>
            <w:vAlign w:val="center"/>
          </w:tcPr>
          <w:p>
            <w:pPr>
              <w:adjustRightInd w:val="0"/>
              <w:snapToGrid w:val="0"/>
              <w:ind w:firstLine="420" w:firstLineChars="200"/>
              <w:jc w:val="center"/>
              <w:rPr>
                <w:rFonts w:hint="default" w:asciiTheme="minorEastAsia" w:hAnsiTheme="minorEastAsia" w:eastAsiaTheme="minorEastAsia" w:cstheme="minorBidi"/>
                <w:color w:val="auto"/>
                <w:sz w:val="21"/>
                <w:szCs w:val="21"/>
                <w:highlight w:val="none"/>
                <w:lang w:val="en-US" w:eastAsia="zh-CN"/>
              </w:rPr>
            </w:pPr>
            <w:r>
              <w:rPr>
                <w:rFonts w:hint="eastAsia" w:asciiTheme="minorEastAsia" w:hAnsiTheme="minorEastAsia" w:eastAsiaTheme="minorEastAsia" w:cstheme="minorBidi"/>
                <w:color w:val="auto"/>
                <w:sz w:val="21"/>
                <w:szCs w:val="21"/>
                <w:highlight w:val="none"/>
                <w:lang w:val="en-US" w:eastAsia="zh-CN"/>
              </w:rPr>
              <w:t>7</w:t>
            </w:r>
            <w:r>
              <w:rPr>
                <w:rFonts w:hint="eastAsia" w:asciiTheme="minorEastAsia" w:hAnsiTheme="minorEastAsia" w:eastAsiaTheme="minorEastAsia" w:cstheme="minorBidi"/>
                <w:color w:val="auto"/>
                <w:sz w:val="21"/>
                <w:szCs w:val="21"/>
                <w:highlight w:val="none"/>
              </w:rPr>
              <w:t>0</w:t>
            </w:r>
            <w:r>
              <w:rPr>
                <w:rFonts w:hint="eastAsia" w:cs="宋体" w:asciiTheme="minorEastAsia" w:hAnsiTheme="minorEastAsia" w:eastAsiaTheme="minorEastAsia"/>
                <w:color w:val="auto"/>
                <w:sz w:val="21"/>
                <w:szCs w:val="21"/>
                <w:highlight w:val="none"/>
              </w:rPr>
              <w:t>≦</w:t>
            </w:r>
            <w:r>
              <w:rPr>
                <w:rFonts w:hint="eastAsia" w:asciiTheme="minorEastAsia" w:hAnsiTheme="minorEastAsia" w:eastAsiaTheme="minorEastAsia" w:cstheme="minorBidi"/>
                <w:color w:val="auto"/>
                <w:sz w:val="21"/>
                <w:szCs w:val="21"/>
                <w:highlight w:val="none"/>
              </w:rPr>
              <w:t>W</w:t>
            </w: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color w:val="auto"/>
                <w:sz w:val="21"/>
                <w:szCs w:val="21"/>
                <w:highlight w:val="none"/>
                <w:lang w:val="en-US" w:eastAsia="zh-CN"/>
              </w:rPr>
              <w:t>80</w:t>
            </w:r>
          </w:p>
        </w:tc>
        <w:tc>
          <w:tcPr>
            <w:tcW w:w="2185" w:type="dxa"/>
            <w:vAlign w:val="center"/>
          </w:tcPr>
          <w:p>
            <w:pPr>
              <w:adjustRightInd w:val="0"/>
              <w:snapToGrid w:val="0"/>
              <w:ind w:firstLine="420" w:firstLineChars="200"/>
              <w:jc w:val="center"/>
              <w:rPr>
                <w:rFonts w:hint="eastAsia"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7454" w:type="dxa"/>
            <w:vAlign w:val="center"/>
          </w:tcPr>
          <w:p>
            <w:pPr>
              <w:adjustRightInd w:val="0"/>
              <w:snapToGrid w:val="0"/>
              <w:ind w:firstLine="420" w:firstLineChars="200"/>
              <w:jc w:val="center"/>
              <w:rPr>
                <w:rFonts w:hint="default" w:asciiTheme="minorEastAsia" w:hAnsiTheme="minorEastAsia" w:eastAsiaTheme="minorEastAsia" w:cstheme="minorBidi"/>
                <w:color w:val="auto"/>
                <w:sz w:val="21"/>
                <w:szCs w:val="21"/>
                <w:highlight w:val="none"/>
                <w:lang w:val="en-US" w:eastAsia="zh-CN"/>
              </w:rPr>
            </w:pPr>
            <w:r>
              <w:rPr>
                <w:rFonts w:hint="eastAsia" w:asciiTheme="minorEastAsia" w:hAnsiTheme="minorEastAsia" w:eastAsiaTheme="minorEastAsia" w:cstheme="minorBidi"/>
                <w:color w:val="auto"/>
                <w:sz w:val="21"/>
                <w:szCs w:val="21"/>
                <w:highlight w:val="none"/>
                <w:lang w:val="en-US" w:eastAsia="zh-CN"/>
              </w:rPr>
              <w:t>80</w:t>
            </w:r>
            <w:r>
              <w:rPr>
                <w:rFonts w:hint="eastAsia" w:cs="宋体" w:asciiTheme="minorEastAsia" w:hAnsiTheme="minorEastAsia" w:eastAsiaTheme="minorEastAsia"/>
                <w:color w:val="auto"/>
                <w:sz w:val="21"/>
                <w:szCs w:val="21"/>
                <w:highlight w:val="none"/>
              </w:rPr>
              <w:t>≦</w:t>
            </w:r>
            <w:r>
              <w:rPr>
                <w:rFonts w:hint="eastAsia" w:asciiTheme="minorEastAsia" w:hAnsiTheme="minorEastAsia" w:eastAsiaTheme="minorEastAsia" w:cstheme="minorBidi"/>
                <w:color w:val="auto"/>
                <w:sz w:val="21"/>
                <w:szCs w:val="21"/>
                <w:highlight w:val="none"/>
              </w:rPr>
              <w:t>W</w:t>
            </w: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color w:val="auto"/>
                <w:sz w:val="21"/>
                <w:szCs w:val="21"/>
                <w:highlight w:val="none"/>
                <w:lang w:val="en-US" w:eastAsia="zh-CN"/>
              </w:rPr>
              <w:t>90</w:t>
            </w:r>
          </w:p>
        </w:tc>
        <w:tc>
          <w:tcPr>
            <w:tcW w:w="2185" w:type="dxa"/>
            <w:vAlign w:val="center"/>
          </w:tcPr>
          <w:p>
            <w:pPr>
              <w:adjustRightInd w:val="0"/>
              <w:snapToGrid w:val="0"/>
              <w:ind w:firstLine="420" w:firstLineChars="200"/>
              <w:jc w:val="center"/>
              <w:rPr>
                <w:rFonts w:hint="eastAsia"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5" w:hRule="atLeast"/>
        </w:trPr>
        <w:tc>
          <w:tcPr>
            <w:tcW w:w="7454" w:type="dxa"/>
            <w:vAlign w:val="center"/>
          </w:tcPr>
          <w:p>
            <w:pPr>
              <w:adjustRightInd w:val="0"/>
              <w:snapToGrid w:val="0"/>
              <w:ind w:firstLine="420" w:firstLineChars="200"/>
              <w:jc w:val="center"/>
              <w:rPr>
                <w:rFonts w:hint="default" w:asciiTheme="minorEastAsia" w:hAnsiTheme="minorEastAsia" w:eastAsiaTheme="minorEastAsia" w:cstheme="minorBidi"/>
                <w:color w:val="auto"/>
                <w:sz w:val="21"/>
                <w:szCs w:val="21"/>
                <w:highlight w:val="none"/>
                <w:lang w:val="en-US" w:eastAsia="zh-CN"/>
              </w:rPr>
            </w:pPr>
            <w:r>
              <w:rPr>
                <w:rFonts w:hint="eastAsia" w:asciiTheme="minorEastAsia" w:hAnsiTheme="minorEastAsia" w:eastAsiaTheme="minorEastAsia" w:cstheme="minorBidi"/>
                <w:color w:val="auto"/>
                <w:sz w:val="21"/>
                <w:szCs w:val="21"/>
                <w:highlight w:val="none"/>
              </w:rPr>
              <w:t>W≥</w:t>
            </w:r>
            <w:r>
              <w:rPr>
                <w:rFonts w:hint="eastAsia" w:cs="宋体" w:asciiTheme="minorEastAsia" w:hAnsiTheme="minorEastAsia" w:eastAsiaTheme="minorEastAsia"/>
                <w:color w:val="auto"/>
                <w:sz w:val="21"/>
                <w:szCs w:val="21"/>
                <w:highlight w:val="none"/>
                <w:lang w:val="en-US" w:eastAsia="zh-CN"/>
              </w:rPr>
              <w:t>90</w:t>
            </w:r>
          </w:p>
        </w:tc>
        <w:tc>
          <w:tcPr>
            <w:tcW w:w="2185" w:type="dxa"/>
            <w:vAlign w:val="center"/>
          </w:tcPr>
          <w:p>
            <w:pPr>
              <w:adjustRightInd w:val="0"/>
              <w:snapToGrid w:val="0"/>
              <w:ind w:firstLine="420" w:firstLineChars="200"/>
              <w:jc w:val="center"/>
              <w:rPr>
                <w:rFonts w:hint="eastAsia" w:asciiTheme="minorEastAsia" w:hAnsiTheme="minorEastAsia" w:eastAsiaTheme="minorEastAsia" w:cstheme="minorBidi"/>
                <w:color w:val="auto"/>
                <w:sz w:val="21"/>
                <w:szCs w:val="21"/>
                <w:highlight w:val="none"/>
              </w:rPr>
            </w:pPr>
            <w:r>
              <w:rPr>
                <w:rFonts w:hint="eastAsia" w:asciiTheme="minorEastAsia" w:hAnsiTheme="minorEastAsia" w:eastAsiaTheme="minorEastAsia" w:cstheme="minorBidi"/>
                <w:color w:val="auto"/>
                <w:sz w:val="21"/>
                <w:szCs w:val="21"/>
                <w:highlight w:val="none"/>
              </w:rPr>
              <w:t>1</w:t>
            </w:r>
          </w:p>
        </w:tc>
      </w:tr>
    </w:tbl>
    <w:p>
      <w:pPr>
        <w:adjustRightInd w:val="0"/>
        <w:snapToGrid w:val="0"/>
        <w:ind w:firstLine="420" w:firstLineChars="200"/>
        <w:rPr>
          <w:rFonts w:hint="default" w:cs="方正仿宋_GBK" w:asciiTheme="minorEastAsia" w:hAnsiTheme="minorEastAsia" w:eastAsiaTheme="minorEastAsia"/>
          <w:color w:val="auto"/>
          <w:sz w:val="21"/>
          <w:szCs w:val="21"/>
          <w:highlight w:val="none"/>
          <w:lang w:val="en-US" w:eastAsia="zh-CN"/>
        </w:rPr>
      </w:pPr>
      <w:r>
        <w:rPr>
          <w:rFonts w:hint="eastAsia" w:cs="方正仿宋_GBK" w:asciiTheme="minorEastAsia" w:hAnsiTheme="minorEastAsia" w:eastAsiaTheme="minorEastAsia"/>
          <w:bCs w:val="0"/>
          <w:color w:val="auto"/>
          <w:sz w:val="21"/>
          <w:szCs w:val="21"/>
          <w:highlight w:val="none"/>
          <w:lang w:val="en-US" w:eastAsia="zh-CN"/>
        </w:rPr>
        <w:t>5、工程复杂程度调整系数：0.8-1.2</w:t>
      </w:r>
    </w:p>
    <w:p>
      <w:pPr>
        <w:rPr>
          <w:rFonts w:hAnsi="宋体"/>
          <w:bCs/>
          <w:color w:val="auto"/>
          <w:sz w:val="36"/>
          <w:szCs w:val="36"/>
          <w:highlight w:val="none"/>
        </w:rPr>
      </w:pPr>
      <w:r>
        <w:rPr>
          <w:rFonts w:hAnsi="宋体"/>
          <w:bCs/>
          <w:color w:val="auto"/>
          <w:sz w:val="36"/>
          <w:szCs w:val="36"/>
          <w:highlight w:val="none"/>
        </w:rPr>
        <w:br w:type="page"/>
      </w:r>
    </w:p>
    <w:p>
      <w:pPr>
        <w:tabs>
          <w:tab w:val="left" w:pos="9141"/>
        </w:tabs>
        <w:spacing w:line="600" w:lineRule="atLeast"/>
        <w:jc w:val="left"/>
        <w:rPr>
          <w:rFonts w:hint="eastAsia" w:ascii="仿宋_GB2312" w:eastAsia="仿宋_GB2312"/>
          <w:color w:val="auto"/>
          <w:sz w:val="24"/>
          <w:highlight w:val="none"/>
        </w:rPr>
      </w:pPr>
      <w:r>
        <w:rPr>
          <w:rFonts w:hint="eastAsia" w:ascii="仿宋_GB2312" w:eastAsia="仿宋_GB2312"/>
          <w:color w:val="auto"/>
          <w:sz w:val="24"/>
          <w:highlight w:val="none"/>
        </w:rPr>
        <w:t>附</w:t>
      </w:r>
      <w:r>
        <w:rPr>
          <w:rFonts w:hint="eastAsia" w:ascii="仿宋_GB2312" w:eastAsia="仿宋_GB2312"/>
          <w:color w:val="auto"/>
          <w:sz w:val="24"/>
          <w:highlight w:val="none"/>
          <w:lang w:eastAsia="zh-CN"/>
        </w:rPr>
        <w:t>表</w:t>
      </w:r>
      <w:r>
        <w:rPr>
          <w:rFonts w:hint="eastAsia" w:ascii="仿宋_GB2312" w:eastAsia="仿宋_GB2312"/>
          <w:color w:val="auto"/>
          <w:sz w:val="24"/>
          <w:highlight w:val="none"/>
        </w:rPr>
        <w:t>1：</w:t>
      </w:r>
    </w:p>
    <w:p>
      <w:pPr>
        <w:tabs>
          <w:tab w:val="left" w:pos="9141"/>
        </w:tabs>
        <w:spacing w:line="600" w:lineRule="atLeast"/>
        <w:jc w:val="center"/>
        <w:rPr>
          <w:rFonts w:ascii="方正小标宋简体" w:eastAsia="方正小标宋简体"/>
          <w:color w:val="auto"/>
          <w:sz w:val="36"/>
          <w:szCs w:val="36"/>
          <w:highlight w:val="none"/>
        </w:rPr>
      </w:pPr>
      <w:r>
        <w:rPr>
          <w:rFonts w:hint="eastAsia" w:ascii="方正小标宋简体" w:eastAsia="方正小标宋简体"/>
          <w:color w:val="auto"/>
          <w:sz w:val="36"/>
          <w:szCs w:val="36"/>
          <w:highlight w:val="none"/>
        </w:rPr>
        <w:t>双流</w:t>
      </w:r>
      <w:r>
        <w:rPr>
          <w:rFonts w:hint="eastAsia" w:ascii="方正小标宋简体" w:eastAsia="方正小标宋简体"/>
          <w:color w:val="auto"/>
          <w:sz w:val="36"/>
          <w:szCs w:val="36"/>
          <w:highlight w:val="none"/>
          <w:lang w:eastAsia="zh-CN"/>
        </w:rPr>
        <w:t>区</w:t>
      </w:r>
      <w:r>
        <w:rPr>
          <w:rFonts w:hint="eastAsia" w:ascii="方正小标宋简体" w:eastAsia="方正小标宋简体"/>
          <w:color w:val="auto"/>
          <w:sz w:val="36"/>
          <w:szCs w:val="36"/>
          <w:highlight w:val="none"/>
        </w:rPr>
        <w:t>发展和改革局委托项目评审任务单</w:t>
      </w:r>
    </w:p>
    <w:tbl>
      <w:tblPr>
        <w:tblStyle w:val="47"/>
        <w:tblpPr w:leftFromText="180" w:rightFromText="180" w:vertAnchor="text" w:horzAnchor="margin" w:tblpXSpec="center" w:tblpY="562"/>
        <w:tblW w:w="9363" w:type="dxa"/>
        <w:tblInd w:w="382" w:type="dxa"/>
        <w:tblLayout w:type="fixed"/>
        <w:tblCellMar>
          <w:top w:w="0" w:type="dxa"/>
          <w:left w:w="108" w:type="dxa"/>
          <w:bottom w:w="0" w:type="dxa"/>
          <w:right w:w="108" w:type="dxa"/>
        </w:tblCellMar>
      </w:tblPr>
      <w:tblGrid>
        <w:gridCol w:w="1711"/>
        <w:gridCol w:w="2797"/>
        <w:gridCol w:w="180"/>
        <w:gridCol w:w="1670"/>
        <w:gridCol w:w="3005"/>
      </w:tblGrid>
      <w:tr>
        <w:tblPrEx>
          <w:tblCellMar>
            <w:top w:w="0" w:type="dxa"/>
            <w:left w:w="108" w:type="dxa"/>
            <w:bottom w:w="0" w:type="dxa"/>
            <w:right w:w="108" w:type="dxa"/>
          </w:tblCellMar>
        </w:tblPrEx>
        <w:trPr>
          <w:trHeight w:val="558" w:hRule="atLeast"/>
        </w:trPr>
        <w:tc>
          <w:tcPr>
            <w:tcW w:w="1711" w:type="dxa"/>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项目名称</w:t>
            </w:r>
          </w:p>
        </w:tc>
        <w:tc>
          <w:tcPr>
            <w:tcW w:w="7652" w:type="dxa"/>
            <w:gridSpan w:val="4"/>
            <w:tcBorders>
              <w:top w:val="single" w:color="auto" w:sz="4" w:space="0"/>
              <w:left w:val="nil"/>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auto"/>
                <w:kern w:val="0"/>
                <w:sz w:val="21"/>
                <w:szCs w:val="21"/>
                <w:highlight w:val="none"/>
              </w:rPr>
            </w:pPr>
          </w:p>
        </w:tc>
      </w:tr>
      <w:tr>
        <w:tblPrEx>
          <w:tblCellMar>
            <w:top w:w="0" w:type="dxa"/>
            <w:left w:w="108" w:type="dxa"/>
            <w:bottom w:w="0" w:type="dxa"/>
            <w:right w:w="108" w:type="dxa"/>
          </w:tblCellMar>
        </w:tblPrEx>
        <w:trPr>
          <w:trHeight w:val="558" w:hRule="atLeast"/>
        </w:trPr>
        <w:tc>
          <w:tcPr>
            <w:tcW w:w="1711" w:type="dxa"/>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任务单编号</w:t>
            </w:r>
          </w:p>
        </w:tc>
        <w:tc>
          <w:tcPr>
            <w:tcW w:w="7652" w:type="dxa"/>
            <w:gridSpan w:val="4"/>
            <w:tcBorders>
              <w:top w:val="single" w:color="auto" w:sz="4" w:space="0"/>
              <w:left w:val="nil"/>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auto"/>
                <w:kern w:val="0"/>
                <w:sz w:val="21"/>
                <w:szCs w:val="21"/>
                <w:highlight w:val="none"/>
              </w:rPr>
            </w:pPr>
          </w:p>
        </w:tc>
      </w:tr>
      <w:tr>
        <w:tblPrEx>
          <w:tblCellMar>
            <w:top w:w="0" w:type="dxa"/>
            <w:left w:w="108" w:type="dxa"/>
            <w:bottom w:w="0" w:type="dxa"/>
            <w:right w:w="108" w:type="dxa"/>
          </w:tblCellMar>
        </w:tblPrEx>
        <w:trPr>
          <w:trHeight w:val="501"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咨询机构</w:t>
            </w:r>
          </w:p>
        </w:tc>
        <w:tc>
          <w:tcPr>
            <w:tcW w:w="7652" w:type="dxa"/>
            <w:gridSpan w:val="4"/>
            <w:tcBorders>
              <w:top w:val="nil"/>
              <w:left w:val="nil"/>
              <w:bottom w:val="single" w:color="auto" w:sz="4" w:space="0"/>
              <w:right w:val="single" w:color="auto" w:sz="4" w:space="0"/>
            </w:tcBorders>
            <w:noWrap/>
            <w:vAlign w:val="center"/>
          </w:tcPr>
          <w:p>
            <w:pPr>
              <w:widowControl/>
              <w:tabs>
                <w:tab w:val="left" w:pos="9141"/>
              </w:tabs>
              <w:spacing w:line="480" w:lineRule="exact"/>
              <w:jc w:val="both"/>
              <w:rPr>
                <w:rFonts w:hint="eastAsia" w:asciiTheme="minorEastAsia" w:hAnsiTheme="minorEastAsia" w:eastAsiaTheme="minorEastAsia" w:cstheme="minorEastAsia"/>
                <w:color w:val="auto"/>
                <w:kern w:val="0"/>
                <w:sz w:val="21"/>
                <w:szCs w:val="21"/>
                <w:highlight w:val="none"/>
              </w:rPr>
            </w:pPr>
          </w:p>
        </w:tc>
      </w:tr>
      <w:tr>
        <w:tblPrEx>
          <w:tblCellMar>
            <w:top w:w="0" w:type="dxa"/>
            <w:left w:w="108" w:type="dxa"/>
            <w:bottom w:w="0" w:type="dxa"/>
            <w:right w:w="108" w:type="dxa"/>
          </w:tblCellMar>
        </w:tblPrEx>
        <w:trPr>
          <w:trHeight w:val="501"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牵头实施单位</w:t>
            </w:r>
          </w:p>
        </w:tc>
        <w:tc>
          <w:tcPr>
            <w:tcW w:w="7652" w:type="dxa"/>
            <w:gridSpan w:val="4"/>
            <w:tcBorders>
              <w:top w:val="nil"/>
              <w:left w:val="nil"/>
              <w:bottom w:val="single" w:color="auto" w:sz="4" w:space="0"/>
              <w:right w:val="single" w:color="auto" w:sz="4" w:space="0"/>
            </w:tcBorders>
            <w:noWrap/>
            <w:vAlign w:val="center"/>
          </w:tcPr>
          <w:p>
            <w:pPr>
              <w:widowControl/>
              <w:tabs>
                <w:tab w:val="left" w:pos="9141"/>
              </w:tabs>
              <w:spacing w:line="480" w:lineRule="exact"/>
              <w:jc w:val="both"/>
              <w:rPr>
                <w:rFonts w:hint="eastAsia" w:asciiTheme="minorEastAsia" w:hAnsiTheme="minorEastAsia" w:eastAsiaTheme="minorEastAsia" w:cstheme="minorEastAsia"/>
                <w:color w:val="auto"/>
                <w:kern w:val="0"/>
                <w:sz w:val="21"/>
                <w:szCs w:val="21"/>
                <w:highlight w:val="none"/>
              </w:rPr>
            </w:pPr>
          </w:p>
        </w:tc>
      </w:tr>
      <w:tr>
        <w:tblPrEx>
          <w:tblCellMar>
            <w:top w:w="0" w:type="dxa"/>
            <w:left w:w="108" w:type="dxa"/>
            <w:bottom w:w="0" w:type="dxa"/>
            <w:right w:w="108" w:type="dxa"/>
          </w:tblCellMar>
        </w:tblPrEx>
        <w:trPr>
          <w:trHeight w:val="375"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评审类别</w:t>
            </w:r>
          </w:p>
        </w:tc>
        <w:tc>
          <w:tcPr>
            <w:tcW w:w="2797" w:type="dxa"/>
            <w:tcBorders>
              <w:top w:val="nil"/>
              <w:left w:val="nil"/>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w:t>
            </w:r>
          </w:p>
        </w:tc>
        <w:tc>
          <w:tcPr>
            <w:tcW w:w="1850" w:type="dxa"/>
            <w:gridSpan w:val="2"/>
            <w:tcBorders>
              <w:top w:val="nil"/>
              <w:left w:val="nil"/>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评审时限</w:t>
            </w:r>
          </w:p>
        </w:tc>
        <w:tc>
          <w:tcPr>
            <w:tcW w:w="3005" w:type="dxa"/>
            <w:tcBorders>
              <w:top w:val="nil"/>
              <w:left w:val="nil"/>
              <w:bottom w:val="single" w:color="auto" w:sz="4" w:space="0"/>
              <w:right w:val="single" w:color="auto" w:sz="4" w:space="0"/>
            </w:tcBorders>
            <w:noWrap/>
            <w:vAlign w:val="center"/>
          </w:tcPr>
          <w:p>
            <w:pPr>
              <w:widowControl/>
              <w:tabs>
                <w:tab w:val="left" w:pos="9141"/>
              </w:tabs>
              <w:ind w:right="560" w:firstLine="105" w:firstLineChars="5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至 </w:t>
            </w:r>
          </w:p>
        </w:tc>
      </w:tr>
      <w:tr>
        <w:tblPrEx>
          <w:tblCellMar>
            <w:top w:w="0" w:type="dxa"/>
            <w:left w:w="108" w:type="dxa"/>
            <w:bottom w:w="0" w:type="dxa"/>
            <w:right w:w="108" w:type="dxa"/>
          </w:tblCellMar>
        </w:tblPrEx>
        <w:trPr>
          <w:trHeight w:val="375"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报审金额</w:t>
            </w:r>
          </w:p>
        </w:tc>
        <w:tc>
          <w:tcPr>
            <w:tcW w:w="2797" w:type="dxa"/>
            <w:tcBorders>
              <w:top w:val="nil"/>
              <w:left w:val="nil"/>
              <w:bottom w:val="single" w:color="auto" w:sz="4" w:space="0"/>
              <w:right w:val="single" w:color="auto" w:sz="4" w:space="0"/>
            </w:tcBorders>
            <w:noWrap/>
            <w:vAlign w:val="center"/>
          </w:tcPr>
          <w:p>
            <w:pPr>
              <w:widowControl/>
              <w:tabs>
                <w:tab w:val="left" w:pos="9141"/>
              </w:tabs>
              <w:ind w:firstLine="525" w:firstLineChars="250"/>
              <w:rPr>
                <w:rFonts w:hint="eastAsia" w:asciiTheme="minorEastAsia" w:hAnsiTheme="minorEastAsia" w:eastAsiaTheme="minorEastAsia" w:cstheme="minorEastAsia"/>
                <w:color w:val="auto"/>
                <w:kern w:val="0"/>
                <w:sz w:val="21"/>
                <w:szCs w:val="21"/>
                <w:highlight w:val="none"/>
              </w:rPr>
            </w:pPr>
          </w:p>
        </w:tc>
        <w:tc>
          <w:tcPr>
            <w:tcW w:w="1850" w:type="dxa"/>
            <w:gridSpan w:val="2"/>
            <w:tcBorders>
              <w:top w:val="nil"/>
              <w:left w:val="nil"/>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评审咨询费用</w:t>
            </w:r>
          </w:p>
        </w:tc>
        <w:tc>
          <w:tcPr>
            <w:tcW w:w="3005" w:type="dxa"/>
            <w:tcBorders>
              <w:top w:val="nil"/>
              <w:left w:val="nil"/>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p>
        </w:tc>
      </w:tr>
      <w:tr>
        <w:tblPrEx>
          <w:tblCellMar>
            <w:top w:w="0" w:type="dxa"/>
            <w:left w:w="108" w:type="dxa"/>
            <w:bottom w:w="0" w:type="dxa"/>
            <w:right w:w="108" w:type="dxa"/>
          </w:tblCellMar>
        </w:tblPrEx>
        <w:trPr>
          <w:trHeight w:val="2696"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项目基本情况</w:t>
            </w:r>
          </w:p>
        </w:tc>
        <w:tc>
          <w:tcPr>
            <w:tcW w:w="7652" w:type="dxa"/>
            <w:gridSpan w:val="4"/>
            <w:tcBorders>
              <w:top w:val="single" w:color="auto" w:sz="4" w:space="0"/>
              <w:left w:val="nil"/>
              <w:bottom w:val="single" w:color="auto" w:sz="4" w:space="0"/>
              <w:right w:val="single" w:color="000000" w:sz="4" w:space="0"/>
            </w:tcBorders>
            <w:noWrap/>
            <w:vAlign w:val="top"/>
          </w:tcPr>
          <w:p>
            <w:pPr>
              <w:widowControl/>
              <w:tabs>
                <w:tab w:val="left" w:pos="9141"/>
              </w:tabs>
              <w:spacing w:line="400" w:lineRule="exact"/>
              <w:rPr>
                <w:rFonts w:hint="eastAsia" w:asciiTheme="minorEastAsia" w:hAnsiTheme="minorEastAsia" w:eastAsiaTheme="minorEastAsia" w:cstheme="minorEastAsia"/>
                <w:color w:val="auto"/>
                <w:kern w:val="0"/>
                <w:sz w:val="21"/>
                <w:szCs w:val="21"/>
                <w:highlight w:val="none"/>
              </w:rPr>
            </w:pPr>
          </w:p>
        </w:tc>
      </w:tr>
      <w:tr>
        <w:tblPrEx>
          <w:tblCellMar>
            <w:top w:w="0" w:type="dxa"/>
            <w:left w:w="108" w:type="dxa"/>
            <w:bottom w:w="0" w:type="dxa"/>
            <w:right w:w="108" w:type="dxa"/>
          </w:tblCellMar>
        </w:tblPrEx>
        <w:trPr>
          <w:trHeight w:val="2833" w:hRule="atLeast"/>
        </w:trPr>
        <w:tc>
          <w:tcPr>
            <w:tcW w:w="1711" w:type="dxa"/>
            <w:tcBorders>
              <w:top w:val="nil"/>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工作要求</w:t>
            </w:r>
          </w:p>
        </w:tc>
        <w:tc>
          <w:tcPr>
            <w:tcW w:w="7652" w:type="dxa"/>
            <w:gridSpan w:val="4"/>
            <w:tcBorders>
              <w:top w:val="single" w:color="auto" w:sz="4" w:space="0"/>
              <w:left w:val="nil"/>
              <w:bottom w:val="single" w:color="auto" w:sz="4" w:space="0"/>
              <w:right w:val="single" w:color="000000" w:sz="4" w:space="0"/>
            </w:tcBorders>
            <w:noWrap/>
            <w:vAlign w:val="top"/>
          </w:tcPr>
          <w:p>
            <w:pPr>
              <w:widowControl/>
              <w:tabs>
                <w:tab w:val="left" w:pos="9141"/>
              </w:tabs>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w:t>
            </w:r>
          </w:p>
        </w:tc>
      </w:tr>
      <w:tr>
        <w:tblPrEx>
          <w:tblCellMar>
            <w:top w:w="0" w:type="dxa"/>
            <w:left w:w="108" w:type="dxa"/>
            <w:bottom w:w="0" w:type="dxa"/>
            <w:right w:w="108" w:type="dxa"/>
          </w:tblCellMar>
        </w:tblPrEx>
        <w:trPr>
          <w:trHeight w:val="435" w:hRule="atLeast"/>
        </w:trPr>
        <w:tc>
          <w:tcPr>
            <w:tcW w:w="4688" w:type="dxa"/>
            <w:gridSpan w:val="3"/>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委托方：</w:t>
            </w:r>
            <w:r>
              <w:rPr>
                <w:rFonts w:hint="eastAsia" w:asciiTheme="minorEastAsia" w:hAnsiTheme="minorEastAsia" w:eastAsiaTheme="minorEastAsia" w:cstheme="minorEastAsia"/>
                <w:color w:val="auto"/>
                <w:kern w:val="0"/>
                <w:sz w:val="21"/>
                <w:szCs w:val="21"/>
                <w:highlight w:val="none"/>
                <w:lang w:eastAsia="zh-CN"/>
              </w:rPr>
              <w:t>成都市</w:t>
            </w:r>
            <w:r>
              <w:rPr>
                <w:rFonts w:hint="eastAsia" w:asciiTheme="minorEastAsia" w:hAnsiTheme="minorEastAsia" w:eastAsiaTheme="minorEastAsia" w:cstheme="minorEastAsia"/>
                <w:color w:val="auto"/>
                <w:kern w:val="0"/>
                <w:sz w:val="21"/>
                <w:szCs w:val="21"/>
                <w:highlight w:val="none"/>
              </w:rPr>
              <w:t>双流</w:t>
            </w:r>
            <w:r>
              <w:rPr>
                <w:rFonts w:hint="eastAsia" w:asciiTheme="minorEastAsia" w:hAnsiTheme="minorEastAsia" w:eastAsiaTheme="minorEastAsia" w:cstheme="minorEastAsia"/>
                <w:color w:val="auto"/>
                <w:kern w:val="0"/>
                <w:sz w:val="21"/>
                <w:szCs w:val="21"/>
                <w:highlight w:val="none"/>
                <w:lang w:eastAsia="zh-CN"/>
              </w:rPr>
              <w:t>区</w:t>
            </w:r>
            <w:r>
              <w:rPr>
                <w:rFonts w:hint="eastAsia" w:asciiTheme="minorEastAsia" w:hAnsiTheme="minorEastAsia" w:eastAsiaTheme="minorEastAsia" w:cstheme="minorEastAsia"/>
                <w:color w:val="auto"/>
                <w:kern w:val="0"/>
                <w:sz w:val="21"/>
                <w:szCs w:val="21"/>
                <w:highlight w:val="none"/>
              </w:rPr>
              <w:t>发展和改革局</w:t>
            </w:r>
          </w:p>
        </w:tc>
        <w:tc>
          <w:tcPr>
            <w:tcW w:w="4675" w:type="dxa"/>
            <w:gridSpan w:val="2"/>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受托方：</w:t>
            </w:r>
          </w:p>
        </w:tc>
      </w:tr>
      <w:tr>
        <w:tblPrEx>
          <w:tblCellMar>
            <w:top w:w="0" w:type="dxa"/>
            <w:left w:w="108" w:type="dxa"/>
            <w:bottom w:w="0" w:type="dxa"/>
            <w:right w:w="108" w:type="dxa"/>
          </w:tblCellMar>
        </w:tblPrEx>
        <w:trPr>
          <w:trHeight w:val="645" w:hRule="atLeast"/>
        </w:trPr>
        <w:tc>
          <w:tcPr>
            <w:tcW w:w="4688" w:type="dxa"/>
            <w:gridSpan w:val="3"/>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（盖章）</w:t>
            </w:r>
          </w:p>
        </w:tc>
        <w:tc>
          <w:tcPr>
            <w:tcW w:w="4675" w:type="dxa"/>
            <w:gridSpan w:val="2"/>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（盖章）</w:t>
            </w:r>
          </w:p>
        </w:tc>
      </w:tr>
      <w:tr>
        <w:tblPrEx>
          <w:tblCellMar>
            <w:top w:w="0" w:type="dxa"/>
            <w:left w:w="108" w:type="dxa"/>
            <w:bottom w:w="0" w:type="dxa"/>
            <w:right w:w="108" w:type="dxa"/>
          </w:tblCellMar>
        </w:tblPrEx>
        <w:trPr>
          <w:trHeight w:val="397" w:hRule="atLeast"/>
        </w:trPr>
        <w:tc>
          <w:tcPr>
            <w:tcW w:w="4688" w:type="dxa"/>
            <w:gridSpan w:val="3"/>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联系人：</w:t>
            </w:r>
          </w:p>
        </w:tc>
        <w:tc>
          <w:tcPr>
            <w:tcW w:w="4675" w:type="dxa"/>
            <w:gridSpan w:val="2"/>
            <w:tcBorders>
              <w:top w:val="single" w:color="auto" w:sz="4" w:space="0"/>
              <w:left w:val="single" w:color="auto" w:sz="4" w:space="0"/>
              <w:bottom w:val="single" w:color="auto" w:sz="4" w:space="0"/>
              <w:right w:val="single" w:color="auto" w:sz="4" w:space="0"/>
            </w:tcBorders>
            <w:noWrap/>
            <w:vAlign w:val="center"/>
          </w:tcPr>
          <w:p>
            <w:pPr>
              <w:widowControl/>
              <w:tabs>
                <w:tab w:val="left" w:pos="9141"/>
              </w:tabs>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联系人：</w:t>
            </w:r>
          </w:p>
        </w:tc>
      </w:tr>
      <w:tr>
        <w:tblPrEx>
          <w:tblCellMar>
            <w:top w:w="0" w:type="dxa"/>
            <w:left w:w="108" w:type="dxa"/>
            <w:bottom w:w="0" w:type="dxa"/>
            <w:right w:w="108" w:type="dxa"/>
          </w:tblCellMar>
        </w:tblPrEx>
        <w:trPr>
          <w:trHeight w:val="375" w:hRule="atLeast"/>
        </w:trPr>
        <w:tc>
          <w:tcPr>
            <w:tcW w:w="4688" w:type="dxa"/>
            <w:gridSpan w:val="3"/>
            <w:tcBorders>
              <w:top w:val="single" w:color="auto" w:sz="4" w:space="0"/>
              <w:left w:val="single" w:color="auto" w:sz="4" w:space="0"/>
              <w:bottom w:val="single" w:color="auto" w:sz="4" w:space="0"/>
              <w:right w:val="single" w:color="000000" w:sz="4" w:space="0"/>
            </w:tcBorders>
            <w:noWrap/>
            <w:vAlign w:val="center"/>
          </w:tcPr>
          <w:p>
            <w:pPr>
              <w:widowControl/>
              <w:tabs>
                <w:tab w:val="left" w:pos="9141"/>
              </w:tabs>
              <w:jc w:val="righ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年   月   日</w:t>
            </w:r>
          </w:p>
        </w:tc>
        <w:tc>
          <w:tcPr>
            <w:tcW w:w="4675" w:type="dxa"/>
            <w:gridSpan w:val="2"/>
            <w:tcBorders>
              <w:top w:val="single" w:color="auto" w:sz="4" w:space="0"/>
              <w:left w:val="nil"/>
              <w:bottom w:val="single" w:color="auto" w:sz="4" w:space="0"/>
              <w:right w:val="single" w:color="000000" w:sz="4" w:space="0"/>
            </w:tcBorders>
            <w:noWrap/>
            <w:vAlign w:val="center"/>
          </w:tcPr>
          <w:p>
            <w:pPr>
              <w:widowControl/>
              <w:tabs>
                <w:tab w:val="left" w:pos="9141"/>
              </w:tabs>
              <w:jc w:val="righ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年   月   日</w:t>
            </w:r>
          </w:p>
        </w:tc>
      </w:tr>
    </w:tbl>
    <w:p>
      <w:pPr>
        <w:ind w:left="258" w:leftChars="76" w:firstLine="9120" w:firstLineChars="3800"/>
        <w:rPr>
          <w:rFonts w:hint="eastAsia" w:ascii="宋体" w:hAnsi="宋体"/>
          <w:color w:val="auto"/>
          <w:sz w:val="24"/>
          <w:highlight w:val="none"/>
        </w:rPr>
      </w:pPr>
      <w:r>
        <w:rPr>
          <w:rFonts w:hint="eastAsia" w:ascii="宋体" w:hAnsi="宋体"/>
          <w:color w:val="auto"/>
          <w:sz w:val="24"/>
          <w:highlight w:val="none"/>
        </w:rPr>
        <w:t xml:space="preserve"> 项目经办人：             </w:t>
      </w:r>
      <w:r>
        <w:rPr>
          <w:rFonts w:hint="eastAsia" w:hAnsi="宋体"/>
          <w:color w:val="auto"/>
          <w:sz w:val="24"/>
          <w:highlight w:val="none"/>
          <w:lang w:val="en-US" w:eastAsia="zh-CN"/>
        </w:rPr>
        <w:t xml:space="preserve">   </w:t>
      </w:r>
      <w:r>
        <w:rPr>
          <w:rFonts w:hint="eastAsia" w:ascii="宋体" w:hAnsi="宋体"/>
          <w:color w:val="auto"/>
          <w:sz w:val="24"/>
          <w:highlight w:val="none"/>
        </w:rPr>
        <w:t xml:space="preserve"> 科室负责人：                   日期：</w:t>
      </w:r>
    </w:p>
    <w:p>
      <w:pPr>
        <w:rPr>
          <w:rFonts w:eastAsia="仿宋_GB2312"/>
          <w:color w:val="auto"/>
          <w:sz w:val="24"/>
          <w:highlight w:val="none"/>
        </w:rPr>
        <w:sectPr>
          <w:footerReference r:id="rId11" w:type="default"/>
          <w:footerReference r:id="rId12" w:type="even"/>
          <w:pgSz w:w="11906" w:h="16838"/>
          <w:pgMar w:top="1418" w:right="1134" w:bottom="1418" w:left="1134" w:header="885" w:footer="1860" w:gutter="0"/>
          <w:cols w:space="720" w:num="1"/>
          <w:docGrid w:type="lines" w:linePitch="312" w:charSpace="0"/>
        </w:sectPr>
      </w:pPr>
    </w:p>
    <w:p>
      <w:pPr>
        <w:jc w:val="center"/>
        <w:rPr>
          <w:rFonts w:ascii="黑体" w:eastAsia="黑体"/>
          <w:color w:val="auto"/>
          <w:sz w:val="44"/>
          <w:szCs w:val="44"/>
          <w:highlight w:val="none"/>
        </w:rPr>
      </w:pPr>
      <w:r>
        <w:rPr>
          <w:rFonts w:hint="eastAsia" w:ascii="黑体" w:eastAsia="黑体"/>
          <w:color w:val="auto"/>
          <w:sz w:val="44"/>
          <w:szCs w:val="44"/>
          <w:highlight w:val="none"/>
          <w:lang w:eastAsia="zh-CN"/>
        </w:rPr>
        <w:t>附表</w:t>
      </w:r>
      <w:r>
        <w:rPr>
          <w:rFonts w:hint="eastAsia" w:ascii="黑体" w:eastAsia="黑体"/>
          <w:color w:val="auto"/>
          <w:sz w:val="44"/>
          <w:szCs w:val="44"/>
          <w:highlight w:val="none"/>
          <w:lang w:val="en-US" w:eastAsia="zh-CN"/>
        </w:rPr>
        <w:t xml:space="preserve">2   </w:t>
      </w:r>
      <w:r>
        <w:rPr>
          <w:rFonts w:hint="eastAsia" w:ascii="黑体" w:eastAsia="黑体"/>
          <w:color w:val="auto"/>
          <w:sz w:val="44"/>
          <w:szCs w:val="44"/>
          <w:highlight w:val="none"/>
        </w:rPr>
        <w:t>项目评审工作质量考核评分表</w:t>
      </w:r>
    </w:p>
    <w:p>
      <w:pPr>
        <w:jc w:val="center"/>
        <w:rPr>
          <w:rFonts w:ascii="黑体" w:eastAsia="黑体"/>
          <w:color w:val="auto"/>
          <w:sz w:val="44"/>
          <w:szCs w:val="44"/>
          <w:highlight w:val="none"/>
        </w:rPr>
      </w:pPr>
    </w:p>
    <w:p>
      <w:pPr>
        <w:ind w:left="-1377" w:leftChars="-405" w:firstLine="600" w:firstLineChars="250"/>
        <w:rPr>
          <w:rFonts w:hAnsi="宋体"/>
          <w:color w:val="auto"/>
          <w:sz w:val="24"/>
          <w:highlight w:val="none"/>
        </w:rPr>
      </w:pPr>
      <w:r>
        <w:rPr>
          <w:rFonts w:hint="eastAsia" w:hAnsi="宋体"/>
          <w:color w:val="auto"/>
          <w:sz w:val="24"/>
          <w:highlight w:val="none"/>
        </w:rPr>
        <w:t xml:space="preserve">评审任务单号：                          评审项目名称：                                     咨询机构名称：  </w:t>
      </w:r>
    </w:p>
    <w:tbl>
      <w:tblPr>
        <w:tblStyle w:val="47"/>
        <w:tblW w:w="15362" w:type="dxa"/>
        <w:tblInd w:w="-743" w:type="dxa"/>
        <w:tblLayout w:type="fixed"/>
        <w:tblCellMar>
          <w:top w:w="0" w:type="dxa"/>
          <w:left w:w="108" w:type="dxa"/>
          <w:bottom w:w="0" w:type="dxa"/>
          <w:right w:w="108" w:type="dxa"/>
        </w:tblCellMar>
      </w:tblPr>
      <w:tblGrid>
        <w:gridCol w:w="775"/>
        <w:gridCol w:w="2363"/>
        <w:gridCol w:w="1921"/>
        <w:gridCol w:w="2746"/>
        <w:gridCol w:w="1734"/>
        <w:gridCol w:w="2089"/>
        <w:gridCol w:w="2567"/>
        <w:gridCol w:w="1167"/>
      </w:tblGrid>
      <w:tr>
        <w:tblPrEx>
          <w:tblCellMar>
            <w:top w:w="0" w:type="dxa"/>
            <w:left w:w="108" w:type="dxa"/>
            <w:bottom w:w="0" w:type="dxa"/>
            <w:right w:w="108" w:type="dxa"/>
          </w:tblCellMar>
        </w:tblPrEx>
        <w:trPr>
          <w:trHeight w:val="718" w:hRule="atLeast"/>
        </w:trPr>
        <w:tc>
          <w:tcPr>
            <w:tcW w:w="7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考核指标</w:t>
            </w:r>
          </w:p>
        </w:tc>
        <w:tc>
          <w:tcPr>
            <w:tcW w:w="2363"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技术力量投入（20分）</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技术准备和现场踏勘（15分）</w:t>
            </w:r>
          </w:p>
        </w:tc>
        <w:tc>
          <w:tcPr>
            <w:tcW w:w="2746"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评审会议（20分）</w:t>
            </w:r>
          </w:p>
        </w:tc>
        <w:tc>
          <w:tcPr>
            <w:tcW w:w="1734"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评估工作质量（20分）</w:t>
            </w:r>
          </w:p>
        </w:tc>
        <w:tc>
          <w:tcPr>
            <w:tcW w:w="2089"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成果文件编制质量（10分）</w:t>
            </w:r>
          </w:p>
        </w:tc>
        <w:tc>
          <w:tcPr>
            <w:tcW w:w="2567"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工作效能（15分）</w:t>
            </w:r>
          </w:p>
        </w:tc>
        <w:tc>
          <w:tcPr>
            <w:tcW w:w="1167" w:type="dxa"/>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合计</w:t>
            </w:r>
          </w:p>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（100分）</w:t>
            </w:r>
          </w:p>
        </w:tc>
      </w:tr>
      <w:tr>
        <w:tblPrEx>
          <w:tblCellMar>
            <w:top w:w="0" w:type="dxa"/>
            <w:left w:w="108" w:type="dxa"/>
            <w:bottom w:w="0" w:type="dxa"/>
            <w:right w:w="108" w:type="dxa"/>
          </w:tblCellMar>
        </w:tblPrEx>
        <w:trPr>
          <w:trHeight w:val="1956" w:hRule="atLeast"/>
        </w:trPr>
        <w:tc>
          <w:tcPr>
            <w:tcW w:w="775" w:type="dxa"/>
            <w:tcBorders>
              <w:top w:val="nil"/>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考核     内容</w:t>
            </w:r>
          </w:p>
        </w:tc>
        <w:tc>
          <w:tcPr>
            <w:tcW w:w="2363"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项目经理</w:t>
            </w:r>
            <w:r>
              <w:rPr>
                <w:rFonts w:hint="eastAsia" w:asciiTheme="minorEastAsia" w:hAnsiTheme="minorEastAsia" w:eastAsiaTheme="minorEastAsia" w:cstheme="minorEastAsia"/>
                <w:color w:val="auto"/>
                <w:sz w:val="21"/>
                <w:szCs w:val="21"/>
                <w:highlight w:val="none"/>
                <w:lang w:eastAsia="zh-CN"/>
              </w:rPr>
              <w:t>（负责人）</w:t>
            </w:r>
            <w:r>
              <w:rPr>
                <w:rFonts w:hint="eastAsia" w:asciiTheme="minorEastAsia" w:hAnsiTheme="minorEastAsia" w:eastAsiaTheme="minorEastAsia" w:cstheme="minorEastAsia"/>
                <w:color w:val="auto"/>
                <w:sz w:val="21"/>
                <w:szCs w:val="21"/>
                <w:highlight w:val="none"/>
              </w:rPr>
              <w:t>技术管理是否得力、专业技术人员、咨询专家专业与数量配置是否合理</w:t>
            </w:r>
          </w:p>
        </w:tc>
        <w:tc>
          <w:tcPr>
            <w:tcW w:w="1921"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技术准备是否充分、现场踏勘了解情况及技术交流是否深入，踏勘效果</w:t>
            </w:r>
          </w:p>
        </w:tc>
        <w:tc>
          <w:tcPr>
            <w:tcW w:w="2746"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会议组织是否充分。会议成果是否全面有效、重点突出、对下一步工作有较好的指导作用</w:t>
            </w:r>
          </w:p>
        </w:tc>
        <w:tc>
          <w:tcPr>
            <w:tcW w:w="1734"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参见《工程咨询成果质量评价办法》</w:t>
            </w:r>
            <w:r>
              <w:rPr>
                <w:rFonts w:hint="eastAsia" w:asciiTheme="minorEastAsia" w:hAnsiTheme="minorEastAsia" w:eastAsiaTheme="minorEastAsia" w:cstheme="minorEastAsia"/>
                <w:color w:val="auto"/>
                <w:sz w:val="21"/>
                <w:szCs w:val="21"/>
                <w:highlight w:val="none"/>
                <w:lang w:eastAsia="zh-CN"/>
              </w:rPr>
              <w:t>进行考核</w:t>
            </w:r>
          </w:p>
        </w:tc>
        <w:tc>
          <w:tcPr>
            <w:tcW w:w="2089"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报告是否规范，附件是否齐全，装订是否工整</w:t>
            </w:r>
          </w:p>
        </w:tc>
        <w:tc>
          <w:tcPr>
            <w:tcW w:w="2567"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是否在规定时限内提交符合要求的评估报告、是否积极协调和工作主动</w:t>
            </w:r>
          </w:p>
        </w:tc>
        <w:tc>
          <w:tcPr>
            <w:tcW w:w="1167" w:type="dxa"/>
            <w:vMerge w:val="restart"/>
            <w:tcBorders>
              <w:top w:val="nil"/>
              <w:left w:val="single" w:color="auto" w:sz="4" w:space="0"/>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r>
      <w:tr>
        <w:tblPrEx>
          <w:tblCellMar>
            <w:top w:w="0" w:type="dxa"/>
            <w:left w:w="108" w:type="dxa"/>
            <w:bottom w:w="0" w:type="dxa"/>
            <w:right w:w="108" w:type="dxa"/>
          </w:tblCellMar>
        </w:tblPrEx>
        <w:trPr>
          <w:trHeight w:val="1303" w:hRule="atLeast"/>
        </w:trPr>
        <w:tc>
          <w:tcPr>
            <w:tcW w:w="775" w:type="dxa"/>
            <w:vMerge w:val="restart"/>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评分标准</w:t>
            </w:r>
          </w:p>
        </w:tc>
        <w:tc>
          <w:tcPr>
            <w:tcW w:w="2363" w:type="dxa"/>
            <w:vMerge w:val="restart"/>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管理得力，配置合理</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 xml:space="preserve">15－20分         </w:t>
            </w:r>
          </w:p>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管理一般，配置一般</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 xml:space="preserve">8－14分         </w:t>
            </w:r>
          </w:p>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管理较差，配置不足</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0－7分</w:t>
            </w:r>
          </w:p>
        </w:tc>
        <w:tc>
          <w:tcPr>
            <w:tcW w:w="1921" w:type="dxa"/>
            <w:vMerge w:val="restart"/>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准备充分，情况了解深入，效果较好</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10－15分</w:t>
            </w:r>
          </w:p>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准备一般，情况了解一般，效果一般</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 xml:space="preserve">5－9分 </w:t>
            </w:r>
          </w:p>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准备不足，情况了解较差，效果较差</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0－4分</w:t>
            </w:r>
          </w:p>
        </w:tc>
        <w:tc>
          <w:tcPr>
            <w:tcW w:w="2746"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会议组织：5分，从拟订参会单位、人员出席情况，会场布置及设备准备等方面酌情计分</w:t>
            </w:r>
          </w:p>
        </w:tc>
        <w:tc>
          <w:tcPr>
            <w:tcW w:w="1734"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优秀：15－20分     良好：7－14分合格：1－6分  不合格：0分</w:t>
            </w:r>
          </w:p>
        </w:tc>
        <w:tc>
          <w:tcPr>
            <w:tcW w:w="2089"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规范，齐全，工整：</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 xml:space="preserve">7－10分    </w:t>
            </w:r>
          </w:p>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较规范，齐全，工整：</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 xml:space="preserve">4－7分     </w:t>
            </w:r>
          </w:p>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编制质量较差：</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0－3分</w:t>
            </w:r>
          </w:p>
        </w:tc>
        <w:tc>
          <w:tcPr>
            <w:tcW w:w="2567"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工作效果较好，满足时限要求，组织协调较好，工作主动</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10－15分</w:t>
            </w:r>
          </w:p>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工作效果一般，基本满足时限要求，组织协调一般，工作较主动</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5－9分</w:t>
            </w:r>
          </w:p>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工作效果较低，不满足时限要求，组织协调较差，工作被动</w:t>
            </w:r>
            <w:r>
              <w:rPr>
                <w:rFonts w:hint="eastAsia" w:asciiTheme="minorEastAsia" w:hAnsiTheme="minorEastAsia" w:eastAsiaTheme="minorEastAsia" w:cstheme="minorEastAsia"/>
                <w:color w:val="auto"/>
                <w:sz w:val="21"/>
                <w:szCs w:val="21"/>
                <w:highlight w:val="none"/>
                <w:lang w:eastAsia="zh-CN"/>
              </w:rPr>
              <w:t>得</w:t>
            </w:r>
            <w:r>
              <w:rPr>
                <w:rFonts w:hint="eastAsia" w:asciiTheme="minorEastAsia" w:hAnsiTheme="minorEastAsia" w:eastAsiaTheme="minorEastAsia" w:cstheme="minorEastAsia"/>
                <w:color w:val="auto"/>
                <w:sz w:val="21"/>
                <w:szCs w:val="21"/>
                <w:highlight w:val="none"/>
              </w:rPr>
              <w:t>0－4分</w:t>
            </w: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r>
      <w:tr>
        <w:tblPrEx>
          <w:tblCellMar>
            <w:top w:w="0" w:type="dxa"/>
            <w:left w:w="108" w:type="dxa"/>
            <w:bottom w:w="0" w:type="dxa"/>
            <w:right w:w="108" w:type="dxa"/>
          </w:tblCellMar>
        </w:tblPrEx>
        <w:trPr>
          <w:trHeight w:val="1614" w:hRule="atLeast"/>
        </w:trPr>
        <w:tc>
          <w:tcPr>
            <w:tcW w:w="775"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c>
          <w:tcPr>
            <w:tcW w:w="236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c>
          <w:tcPr>
            <w:tcW w:w="192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c>
          <w:tcPr>
            <w:tcW w:w="2746"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会议成果：15分，从成果是否全面有效、重点突出、对下一步工作有较好的指导作用等方面酌情计分</w:t>
            </w:r>
          </w:p>
        </w:tc>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c>
          <w:tcPr>
            <w:tcW w:w="2089"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c>
          <w:tcPr>
            <w:tcW w:w="25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r>
      <w:tr>
        <w:tblPrEx>
          <w:tblCellMar>
            <w:top w:w="0" w:type="dxa"/>
            <w:left w:w="108" w:type="dxa"/>
            <w:bottom w:w="0" w:type="dxa"/>
            <w:right w:w="108" w:type="dxa"/>
          </w:tblCellMar>
        </w:tblPrEx>
        <w:trPr>
          <w:trHeight w:val="557" w:hRule="atLeast"/>
        </w:trPr>
        <w:tc>
          <w:tcPr>
            <w:tcW w:w="775" w:type="dxa"/>
            <w:tcBorders>
              <w:top w:val="nil"/>
              <w:left w:val="single" w:color="auto" w:sz="4" w:space="0"/>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得分</w:t>
            </w:r>
          </w:p>
        </w:tc>
        <w:tc>
          <w:tcPr>
            <w:tcW w:w="2363"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1921"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2746"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1734"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2089"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2567"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r>
      <w:tr>
        <w:tblPrEx>
          <w:tblCellMar>
            <w:top w:w="0" w:type="dxa"/>
            <w:left w:w="108" w:type="dxa"/>
            <w:bottom w:w="0" w:type="dxa"/>
            <w:right w:w="108" w:type="dxa"/>
          </w:tblCellMar>
        </w:tblPrEx>
        <w:trPr>
          <w:trHeight w:val="564" w:hRule="atLeast"/>
        </w:trPr>
        <w:tc>
          <w:tcPr>
            <w:tcW w:w="775" w:type="dxa"/>
            <w:tcBorders>
              <w:top w:val="nil"/>
              <w:left w:val="single" w:color="auto" w:sz="4" w:space="0"/>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备注</w:t>
            </w:r>
          </w:p>
        </w:tc>
        <w:tc>
          <w:tcPr>
            <w:tcW w:w="2363"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1921"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2746"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1734"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2089"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2567" w:type="dxa"/>
            <w:tcBorders>
              <w:top w:val="nil"/>
              <w:left w:val="nil"/>
              <w:bottom w:val="single" w:color="auto" w:sz="4" w:space="0"/>
              <w:right w:val="single" w:color="auto" w:sz="4" w:space="0"/>
            </w:tcBorders>
            <w:noWrap/>
            <w:vAlign w:val="center"/>
          </w:tcPr>
          <w:p>
            <w:pPr>
              <w:widowControl/>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color w:val="auto"/>
                <w:sz w:val="21"/>
                <w:szCs w:val="21"/>
                <w:highlight w:val="none"/>
              </w:rPr>
            </w:pPr>
          </w:p>
        </w:tc>
      </w:tr>
    </w:tbl>
    <w:p>
      <w:pPr>
        <w:ind w:left="-1377" w:leftChars="-405" w:firstLine="720" w:firstLineChars="300"/>
        <w:jc w:val="left"/>
        <w:rPr>
          <w:rFonts w:hAnsi="宋体"/>
          <w:bCs/>
          <w:color w:val="auto"/>
          <w:sz w:val="36"/>
          <w:szCs w:val="36"/>
          <w:highlight w:val="none"/>
        </w:rPr>
        <w:sectPr>
          <w:headerReference r:id="rId13" w:type="default"/>
          <w:footerReference r:id="rId14" w:type="default"/>
          <w:pgSz w:w="16838" w:h="11906" w:orient="landscape"/>
          <w:pgMar w:top="1417" w:right="1417" w:bottom="1417" w:left="1417" w:header="851" w:footer="1417" w:gutter="0"/>
          <w:cols w:space="720" w:num="1"/>
          <w:docGrid w:linePitch="462" w:charSpace="0"/>
        </w:sectPr>
      </w:pPr>
      <w:r>
        <w:rPr>
          <w:rFonts w:hint="eastAsia" w:hAnsi="宋体"/>
          <w:color w:val="auto"/>
          <w:sz w:val="24"/>
          <w:highlight w:val="none"/>
        </w:rPr>
        <w:t>项目经办人：                             科室负责人：                                       考核日期：</w:t>
      </w:r>
    </w:p>
    <w:p>
      <w:pPr>
        <w:rPr>
          <w:color w:val="auto"/>
          <w:sz w:val="21"/>
          <w:szCs w:val="21"/>
        </w:rPr>
      </w:pPr>
      <w:r>
        <w:rPr>
          <w:rFonts w:hint="default"/>
          <w:color w:val="auto"/>
          <w:sz w:val="21"/>
          <w:szCs w:val="21"/>
        </w:rPr>
        <w:t>附件：成都市范围内政府采购项目中标（成交）的中小微企业可向开展政府采购信用融资业务的银行提出融资申请（详细操作流程见“成财采[2019]17号”）</w:t>
      </w:r>
    </w:p>
    <w:p>
      <w:pPr>
        <w:pStyle w:val="61"/>
        <w:rPr>
          <w:color w:val="auto"/>
        </w:rPr>
      </w:pPr>
      <w:r>
        <w:rPr>
          <w:rFonts w:hint="eastAsia"/>
          <w:color w:val="auto"/>
        </w:rPr>
        <w:drawing>
          <wp:inline distT="0" distB="0" distL="114300" distR="114300">
            <wp:extent cx="4919345" cy="7994015"/>
            <wp:effectExtent l="0" t="0" r="14605" b="6985"/>
            <wp:docPr id="19" name="图片 19" descr="9f43b0742c4445f28eeea6f7aaf0b3bc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f43b0742c4445f28eeea6f7aaf0b3bc_页面_01"/>
                    <pic:cNvPicPr>
                      <a:picLocks noChangeAspect="1"/>
                    </pic:cNvPicPr>
                  </pic:nvPicPr>
                  <pic:blipFill>
                    <a:blip r:embed="rId16"/>
                    <a:srcRect t="7597" r="19620"/>
                    <a:stretch>
                      <a:fillRect/>
                    </a:stretch>
                  </pic:blipFill>
                  <pic:spPr>
                    <a:xfrm>
                      <a:off x="0" y="0"/>
                      <a:ext cx="4919345" cy="7994015"/>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18" name="图片 18" descr="9f43b0742c4445f28eeea6f7aaf0b3bc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f43b0742c4445f28eeea6f7aaf0b3bc_页面_02"/>
                    <pic:cNvPicPr>
                      <a:picLocks noChangeAspect="1"/>
                    </pic:cNvPicPr>
                  </pic:nvPicPr>
                  <pic:blipFill>
                    <a:blip r:embed="rId17"/>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17" name="图片 17" descr="9f43b0742c4445f28eeea6f7aaf0b3bc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f43b0742c4445f28eeea6f7aaf0b3bc_页面_03"/>
                    <pic:cNvPicPr>
                      <a:picLocks noChangeAspect="1"/>
                    </pic:cNvPicPr>
                  </pic:nvPicPr>
                  <pic:blipFill>
                    <a:blip r:embed="rId18"/>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16" name="图片 16" descr="9f43b0742c4445f28eeea6f7aaf0b3bc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f43b0742c4445f28eeea6f7aaf0b3bc_页面_04"/>
                    <pic:cNvPicPr>
                      <a:picLocks noChangeAspect="1"/>
                    </pic:cNvPicPr>
                  </pic:nvPicPr>
                  <pic:blipFill>
                    <a:blip r:embed="rId19"/>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15" name="图片 15" descr="9f43b0742c4445f28eeea6f7aaf0b3bc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f43b0742c4445f28eeea6f7aaf0b3bc_页面_05"/>
                    <pic:cNvPicPr>
                      <a:picLocks noChangeAspect="1"/>
                    </pic:cNvPicPr>
                  </pic:nvPicPr>
                  <pic:blipFill>
                    <a:blip r:embed="rId20"/>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14" name="图片 14" descr="9f43b0742c4445f28eeea6f7aaf0b3bc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f43b0742c4445f28eeea6f7aaf0b3bc_页面_06"/>
                    <pic:cNvPicPr>
                      <a:picLocks noChangeAspect="1"/>
                    </pic:cNvPicPr>
                  </pic:nvPicPr>
                  <pic:blipFill>
                    <a:blip r:embed="rId21"/>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13" name="图片 13" descr="9f43b0742c4445f28eeea6f7aaf0b3bc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f43b0742c4445f28eeea6f7aaf0b3bc_页面_07"/>
                    <pic:cNvPicPr>
                      <a:picLocks noChangeAspect="1"/>
                    </pic:cNvPicPr>
                  </pic:nvPicPr>
                  <pic:blipFill>
                    <a:blip r:embed="rId22"/>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12" name="图片 12" descr="9f43b0742c4445f28eeea6f7aaf0b3bc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f43b0742c4445f28eeea6f7aaf0b3bc_页面_08"/>
                    <pic:cNvPicPr>
                      <a:picLocks noChangeAspect="1"/>
                    </pic:cNvPicPr>
                  </pic:nvPicPr>
                  <pic:blipFill>
                    <a:blip r:embed="rId23"/>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11" name="图片 11" descr="9f43b0742c4445f28eeea6f7aaf0b3bc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f43b0742c4445f28eeea6f7aaf0b3bc_页面_09"/>
                    <pic:cNvPicPr>
                      <a:picLocks noChangeAspect="1"/>
                    </pic:cNvPicPr>
                  </pic:nvPicPr>
                  <pic:blipFill>
                    <a:blip r:embed="rId24"/>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10" name="图片 10" descr="9f43b0742c4445f28eeea6f7aaf0b3bc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f43b0742c4445f28eeea6f7aaf0b3bc_页面_10"/>
                    <pic:cNvPicPr>
                      <a:picLocks noChangeAspect="1"/>
                    </pic:cNvPicPr>
                  </pic:nvPicPr>
                  <pic:blipFill>
                    <a:blip r:embed="rId25"/>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9" name="图片 9" descr="9f43b0742c4445f28eeea6f7aaf0b3bc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f43b0742c4445f28eeea6f7aaf0b3bc_页面_11"/>
                    <pic:cNvPicPr>
                      <a:picLocks noChangeAspect="1"/>
                    </pic:cNvPicPr>
                  </pic:nvPicPr>
                  <pic:blipFill>
                    <a:blip r:embed="rId26"/>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8" name="图片 8" descr="9f43b0742c4445f28eeea6f7aaf0b3bc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f43b0742c4445f28eeea6f7aaf0b3bc_页面_12"/>
                    <pic:cNvPicPr>
                      <a:picLocks noChangeAspect="1"/>
                    </pic:cNvPicPr>
                  </pic:nvPicPr>
                  <pic:blipFill>
                    <a:blip r:embed="rId27"/>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7" name="图片 7" descr="9f43b0742c4445f28eeea6f7aaf0b3bc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f43b0742c4445f28eeea6f7aaf0b3bc_页面_13"/>
                    <pic:cNvPicPr>
                      <a:picLocks noChangeAspect="1"/>
                    </pic:cNvPicPr>
                  </pic:nvPicPr>
                  <pic:blipFill>
                    <a:blip r:embed="rId28"/>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6" name="图片 6" descr="9f43b0742c4445f28eeea6f7aaf0b3bc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f43b0742c4445f28eeea6f7aaf0b3bc_页面_14"/>
                    <pic:cNvPicPr>
                      <a:picLocks noChangeAspect="1"/>
                    </pic:cNvPicPr>
                  </pic:nvPicPr>
                  <pic:blipFill>
                    <a:blip r:embed="rId29"/>
                    <a:stretch>
                      <a:fillRect/>
                    </a:stretch>
                  </pic:blipFill>
                  <pic:spPr>
                    <a:xfrm>
                      <a:off x="0" y="0"/>
                      <a:ext cx="6120130" cy="8651240"/>
                    </a:xfrm>
                    <a:prstGeom prst="rect">
                      <a:avLst/>
                    </a:prstGeom>
                  </pic:spPr>
                </pic:pic>
              </a:graphicData>
            </a:graphic>
          </wp:inline>
        </w:drawing>
      </w:r>
      <w:r>
        <w:rPr>
          <w:rFonts w:hint="eastAsia"/>
          <w:color w:val="auto"/>
        </w:rPr>
        <w:drawing>
          <wp:inline distT="0" distB="0" distL="114300" distR="114300">
            <wp:extent cx="6120130" cy="8651240"/>
            <wp:effectExtent l="0" t="0" r="13970" b="16510"/>
            <wp:docPr id="20" name="图片 20" descr="9f43b0742c4445f28eeea6f7aaf0b3bc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f43b0742c4445f28eeea6f7aaf0b3bc_页面_15"/>
                    <pic:cNvPicPr>
                      <a:picLocks noChangeAspect="1"/>
                    </pic:cNvPicPr>
                  </pic:nvPicPr>
                  <pic:blipFill>
                    <a:blip r:embed="rId30"/>
                    <a:stretch>
                      <a:fillRect/>
                    </a:stretch>
                  </pic:blipFill>
                  <pic:spPr>
                    <a:xfrm>
                      <a:off x="0" y="0"/>
                      <a:ext cx="6120130" cy="8651240"/>
                    </a:xfrm>
                    <a:prstGeom prst="rect">
                      <a:avLst/>
                    </a:prstGeom>
                  </pic:spPr>
                </pic:pic>
              </a:graphicData>
            </a:graphic>
          </wp:inline>
        </w:drawing>
      </w:r>
    </w:p>
    <w:sectPr>
      <w:pgSz w:w="11906" w:h="16838"/>
      <w:pgMar w:top="1417" w:right="1417" w:bottom="1417" w:left="1417" w:header="851" w:footer="1417"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楷体à.ā">
    <w:altName w:val="黑体"/>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方正小标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黑体_GBK">
    <w:altName w:val="微软雅黑"/>
    <w:panose1 w:val="00000000000000000000"/>
    <w:charset w:val="00"/>
    <w:family w:val="auto"/>
    <w:pitch w:val="default"/>
    <w:sig w:usb0="00000000" w:usb1="00000000" w:usb2="00000000" w:usb3="00000000" w:csb0="00000000" w:csb1="00000000"/>
  </w:font>
  <w:font w:name="方正仿宋_GBK">
    <w:altName w:val="微软雅黑"/>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69BDAE"/>
    <w:multiLevelType w:val="singleLevel"/>
    <w:tmpl w:val="AD69BDAE"/>
    <w:lvl w:ilvl="0" w:tentative="0">
      <w:start w:val="1"/>
      <w:numFmt w:val="decimal"/>
      <w:suff w:val="nothing"/>
      <w:lvlText w:val="%1、"/>
      <w:lvlJc w:val="left"/>
    </w:lvl>
  </w:abstractNum>
  <w:abstractNum w:abstractNumId="1">
    <w:nsid w:val="C5D1B195"/>
    <w:multiLevelType w:val="singleLevel"/>
    <w:tmpl w:val="C5D1B195"/>
    <w:lvl w:ilvl="0" w:tentative="0">
      <w:start w:val="2"/>
      <w:numFmt w:val="chineseCounting"/>
      <w:suff w:val="nothing"/>
      <w:lvlText w:val="%1、"/>
      <w:lvlJc w:val="left"/>
      <w:rPr>
        <w:rFonts w:hint="eastAsia"/>
      </w:rPr>
    </w:lvl>
  </w:abstractNum>
  <w:abstractNum w:abstractNumId="2">
    <w:nsid w:val="05A86700"/>
    <w:multiLevelType w:val="singleLevel"/>
    <w:tmpl w:val="05A86700"/>
    <w:lvl w:ilvl="0" w:tentative="0">
      <w:start w:val="1"/>
      <w:numFmt w:val="decimal"/>
      <w:lvlText w:val="%1."/>
      <w:lvlJc w:val="left"/>
      <w:pPr>
        <w:tabs>
          <w:tab w:val="left" w:pos="312"/>
        </w:tabs>
      </w:pPr>
    </w:lvl>
  </w:abstractNum>
  <w:abstractNum w:abstractNumId="3">
    <w:nsid w:val="087DF7E4"/>
    <w:multiLevelType w:val="singleLevel"/>
    <w:tmpl w:val="087DF7E4"/>
    <w:lvl w:ilvl="0" w:tentative="0">
      <w:start w:val="9"/>
      <w:numFmt w:val="chineseCounting"/>
      <w:suff w:val="nothing"/>
      <w:lvlText w:val="%1、"/>
      <w:lvlJc w:val="left"/>
      <w:rPr>
        <w:rFonts w:hint="eastAsia"/>
      </w:rPr>
    </w:lvl>
  </w:abstractNum>
  <w:abstractNum w:abstractNumId="4">
    <w:nsid w:val="15B638C8"/>
    <w:multiLevelType w:val="singleLevel"/>
    <w:tmpl w:val="15B638C8"/>
    <w:lvl w:ilvl="0" w:tentative="0">
      <w:start w:val="6"/>
      <w:numFmt w:val="decimal"/>
      <w:suff w:val="nothing"/>
      <w:lvlText w:val="%1、"/>
      <w:lvlJc w:val="left"/>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62"/>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58E603F4"/>
    <w:multiLevelType w:val="singleLevel"/>
    <w:tmpl w:val="58E603F4"/>
    <w:lvl w:ilvl="0" w:tentative="0">
      <w:start w:val="2"/>
      <w:numFmt w:val="decimal"/>
      <w:suff w:val="nothing"/>
      <w:lvlText w:val="%1．"/>
      <w:lvlJc w:val="left"/>
    </w:lvl>
  </w:abstractNum>
  <w:abstractNum w:abstractNumId="7">
    <w:nsid w:val="5AAB4618"/>
    <w:multiLevelType w:val="singleLevel"/>
    <w:tmpl w:val="5AAB4618"/>
    <w:lvl w:ilvl="0" w:tentative="0">
      <w:start w:val="31"/>
      <w:numFmt w:val="decimal"/>
      <w:suff w:val="space"/>
      <w:lvlText w:val="%1."/>
      <w:lvlJc w:val="left"/>
    </w:lvl>
  </w:abstractNum>
  <w:abstractNum w:abstractNumId="8">
    <w:nsid w:val="609D230F"/>
    <w:multiLevelType w:val="singleLevel"/>
    <w:tmpl w:val="609D230F"/>
    <w:lvl w:ilvl="0" w:tentative="0">
      <w:start w:val="2"/>
      <w:numFmt w:val="chineseCounting"/>
      <w:suff w:val="nothing"/>
      <w:lvlText w:val="第%1条"/>
      <w:lvlJc w:val="left"/>
    </w:lvl>
  </w:abstractNum>
  <w:num w:numId="1">
    <w:abstractNumId w:val="5"/>
  </w:num>
  <w:num w:numId="2">
    <w:abstractNumId w:val="7"/>
  </w:num>
  <w:num w:numId="3">
    <w:abstractNumId w:val="2"/>
  </w:num>
  <w:num w:numId="4">
    <w:abstractNumId w:val="6"/>
  </w:num>
  <w:num w:numId="5">
    <w:abstractNumId w:val="3"/>
  </w:num>
  <w:num w:numId="6">
    <w:abstractNumId w:val="4"/>
  </w:num>
  <w:num w:numId="7">
    <w:abstractNumId w:val="1"/>
  </w:num>
  <w:num w:numId="8">
    <w:abstractNumId w:val="0"/>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revisionView w:markup="0"/>
  <w:trackRevisions w:val="1"/>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045"/>
    <w:rsid w:val="00007240"/>
    <w:rsid w:val="00085D36"/>
    <w:rsid w:val="000C4E03"/>
    <w:rsid w:val="000E7394"/>
    <w:rsid w:val="0014052F"/>
    <w:rsid w:val="00156DBD"/>
    <w:rsid w:val="00161D9E"/>
    <w:rsid w:val="001663E7"/>
    <w:rsid w:val="00183060"/>
    <w:rsid w:val="001878BD"/>
    <w:rsid w:val="00190904"/>
    <w:rsid w:val="001E504B"/>
    <w:rsid w:val="001F7E42"/>
    <w:rsid w:val="0020233D"/>
    <w:rsid w:val="00204D38"/>
    <w:rsid w:val="00213E7E"/>
    <w:rsid w:val="00250635"/>
    <w:rsid w:val="00255204"/>
    <w:rsid w:val="002A527F"/>
    <w:rsid w:val="002A6470"/>
    <w:rsid w:val="002B2AF4"/>
    <w:rsid w:val="002B2CD6"/>
    <w:rsid w:val="002B56F2"/>
    <w:rsid w:val="00307925"/>
    <w:rsid w:val="0032776D"/>
    <w:rsid w:val="00344AA8"/>
    <w:rsid w:val="003831B8"/>
    <w:rsid w:val="00386EEB"/>
    <w:rsid w:val="003948EF"/>
    <w:rsid w:val="003C63F1"/>
    <w:rsid w:val="003E5E82"/>
    <w:rsid w:val="003F13E2"/>
    <w:rsid w:val="00400550"/>
    <w:rsid w:val="00412EFE"/>
    <w:rsid w:val="00427518"/>
    <w:rsid w:val="00433175"/>
    <w:rsid w:val="0043509E"/>
    <w:rsid w:val="0047069B"/>
    <w:rsid w:val="004912AA"/>
    <w:rsid w:val="004F297A"/>
    <w:rsid w:val="00546EAF"/>
    <w:rsid w:val="00550D22"/>
    <w:rsid w:val="005E41AB"/>
    <w:rsid w:val="005E5C7F"/>
    <w:rsid w:val="005E66C8"/>
    <w:rsid w:val="005F0A99"/>
    <w:rsid w:val="005F32CF"/>
    <w:rsid w:val="005F6658"/>
    <w:rsid w:val="00613A91"/>
    <w:rsid w:val="006343CA"/>
    <w:rsid w:val="00641414"/>
    <w:rsid w:val="006B1279"/>
    <w:rsid w:val="0072364F"/>
    <w:rsid w:val="0072439F"/>
    <w:rsid w:val="00731136"/>
    <w:rsid w:val="007356D2"/>
    <w:rsid w:val="007441E7"/>
    <w:rsid w:val="0074553B"/>
    <w:rsid w:val="00770566"/>
    <w:rsid w:val="00775366"/>
    <w:rsid w:val="007A59FD"/>
    <w:rsid w:val="007E47E6"/>
    <w:rsid w:val="007E66ED"/>
    <w:rsid w:val="00827035"/>
    <w:rsid w:val="0090035F"/>
    <w:rsid w:val="00934646"/>
    <w:rsid w:val="0094129C"/>
    <w:rsid w:val="00944E12"/>
    <w:rsid w:val="0098226A"/>
    <w:rsid w:val="009A0798"/>
    <w:rsid w:val="009A7845"/>
    <w:rsid w:val="009C666B"/>
    <w:rsid w:val="009D4DEA"/>
    <w:rsid w:val="009E3DC8"/>
    <w:rsid w:val="00A06FF6"/>
    <w:rsid w:val="00A11ABA"/>
    <w:rsid w:val="00A15045"/>
    <w:rsid w:val="00A17BB6"/>
    <w:rsid w:val="00A359D1"/>
    <w:rsid w:val="00A36818"/>
    <w:rsid w:val="00AA2C92"/>
    <w:rsid w:val="00AC5844"/>
    <w:rsid w:val="00AD6A6D"/>
    <w:rsid w:val="00B05D31"/>
    <w:rsid w:val="00B070D6"/>
    <w:rsid w:val="00B25BAE"/>
    <w:rsid w:val="00B55D8A"/>
    <w:rsid w:val="00B605EE"/>
    <w:rsid w:val="00B63987"/>
    <w:rsid w:val="00B7067D"/>
    <w:rsid w:val="00B81626"/>
    <w:rsid w:val="00BA2F90"/>
    <w:rsid w:val="00BD2B55"/>
    <w:rsid w:val="00BE0D9C"/>
    <w:rsid w:val="00C03D07"/>
    <w:rsid w:val="00C05280"/>
    <w:rsid w:val="00C375FA"/>
    <w:rsid w:val="00C6489C"/>
    <w:rsid w:val="00CA0CB7"/>
    <w:rsid w:val="00CB79C3"/>
    <w:rsid w:val="00CE2E95"/>
    <w:rsid w:val="00D06167"/>
    <w:rsid w:val="00D20715"/>
    <w:rsid w:val="00DA4552"/>
    <w:rsid w:val="00DD1BCD"/>
    <w:rsid w:val="00DE3478"/>
    <w:rsid w:val="00DF141D"/>
    <w:rsid w:val="00E1699F"/>
    <w:rsid w:val="00E70A93"/>
    <w:rsid w:val="00EA4F84"/>
    <w:rsid w:val="00EE3AAD"/>
    <w:rsid w:val="00F370B6"/>
    <w:rsid w:val="00F7684B"/>
    <w:rsid w:val="00F81BC7"/>
    <w:rsid w:val="00F84904"/>
    <w:rsid w:val="00F941C3"/>
    <w:rsid w:val="00F97E37"/>
    <w:rsid w:val="00FB5FCD"/>
    <w:rsid w:val="00FF1138"/>
    <w:rsid w:val="01983778"/>
    <w:rsid w:val="02366780"/>
    <w:rsid w:val="023A7C92"/>
    <w:rsid w:val="024D2D77"/>
    <w:rsid w:val="02DF551F"/>
    <w:rsid w:val="03241052"/>
    <w:rsid w:val="034D4D58"/>
    <w:rsid w:val="041F1F21"/>
    <w:rsid w:val="044B4063"/>
    <w:rsid w:val="044B47D2"/>
    <w:rsid w:val="047C53C6"/>
    <w:rsid w:val="04B262BE"/>
    <w:rsid w:val="0747599A"/>
    <w:rsid w:val="082C423F"/>
    <w:rsid w:val="08A47182"/>
    <w:rsid w:val="092F04C7"/>
    <w:rsid w:val="09C75B97"/>
    <w:rsid w:val="09DC40BE"/>
    <w:rsid w:val="0AFC052B"/>
    <w:rsid w:val="0B136A2F"/>
    <w:rsid w:val="0C245D48"/>
    <w:rsid w:val="0C8016A3"/>
    <w:rsid w:val="0CB937D5"/>
    <w:rsid w:val="0D122146"/>
    <w:rsid w:val="0D802166"/>
    <w:rsid w:val="0DBB1A0C"/>
    <w:rsid w:val="0E8A379E"/>
    <w:rsid w:val="0EBD0C8A"/>
    <w:rsid w:val="0ECA35E4"/>
    <w:rsid w:val="0F651E7F"/>
    <w:rsid w:val="0F940811"/>
    <w:rsid w:val="0FED3330"/>
    <w:rsid w:val="104C2DED"/>
    <w:rsid w:val="10B15EB6"/>
    <w:rsid w:val="10DB63A9"/>
    <w:rsid w:val="112B2287"/>
    <w:rsid w:val="114F0958"/>
    <w:rsid w:val="11FD10E7"/>
    <w:rsid w:val="12217C34"/>
    <w:rsid w:val="12913A4F"/>
    <w:rsid w:val="12B43872"/>
    <w:rsid w:val="12DE432E"/>
    <w:rsid w:val="12EB095B"/>
    <w:rsid w:val="137C75EB"/>
    <w:rsid w:val="13A043AC"/>
    <w:rsid w:val="13E87501"/>
    <w:rsid w:val="143C66AD"/>
    <w:rsid w:val="14B236E3"/>
    <w:rsid w:val="14C33312"/>
    <w:rsid w:val="15193684"/>
    <w:rsid w:val="151943F7"/>
    <w:rsid w:val="15496E2B"/>
    <w:rsid w:val="15B109D5"/>
    <w:rsid w:val="165946DB"/>
    <w:rsid w:val="165B26A4"/>
    <w:rsid w:val="16E7230D"/>
    <w:rsid w:val="17281849"/>
    <w:rsid w:val="17352534"/>
    <w:rsid w:val="173C1FFB"/>
    <w:rsid w:val="183B3045"/>
    <w:rsid w:val="185B5795"/>
    <w:rsid w:val="18DD52E0"/>
    <w:rsid w:val="19106ADA"/>
    <w:rsid w:val="19620CF5"/>
    <w:rsid w:val="19C41DD4"/>
    <w:rsid w:val="1A1118B9"/>
    <w:rsid w:val="1B5D75F5"/>
    <w:rsid w:val="1BE54EBD"/>
    <w:rsid w:val="1C5520B0"/>
    <w:rsid w:val="1C5974AC"/>
    <w:rsid w:val="1C703129"/>
    <w:rsid w:val="1C9345A1"/>
    <w:rsid w:val="1D0E3C4E"/>
    <w:rsid w:val="1D113991"/>
    <w:rsid w:val="1DA906F5"/>
    <w:rsid w:val="1DB26293"/>
    <w:rsid w:val="1E663B76"/>
    <w:rsid w:val="1ED0178D"/>
    <w:rsid w:val="1F1B53E3"/>
    <w:rsid w:val="1F277F07"/>
    <w:rsid w:val="20D22253"/>
    <w:rsid w:val="20F30C50"/>
    <w:rsid w:val="21632325"/>
    <w:rsid w:val="22301809"/>
    <w:rsid w:val="2235642A"/>
    <w:rsid w:val="2248297F"/>
    <w:rsid w:val="22546EDA"/>
    <w:rsid w:val="225B0071"/>
    <w:rsid w:val="225B1742"/>
    <w:rsid w:val="22E67E14"/>
    <w:rsid w:val="22F22242"/>
    <w:rsid w:val="234A1271"/>
    <w:rsid w:val="237A4585"/>
    <w:rsid w:val="23DF78F9"/>
    <w:rsid w:val="23FF0EAC"/>
    <w:rsid w:val="240170D2"/>
    <w:rsid w:val="241D2195"/>
    <w:rsid w:val="24E06297"/>
    <w:rsid w:val="258135A4"/>
    <w:rsid w:val="25A62BA9"/>
    <w:rsid w:val="25F15EC9"/>
    <w:rsid w:val="26A83FD5"/>
    <w:rsid w:val="27B843E7"/>
    <w:rsid w:val="27C31F60"/>
    <w:rsid w:val="281353ED"/>
    <w:rsid w:val="284E5FFC"/>
    <w:rsid w:val="28564C68"/>
    <w:rsid w:val="288B6A54"/>
    <w:rsid w:val="2950363A"/>
    <w:rsid w:val="298D332F"/>
    <w:rsid w:val="29B94DC1"/>
    <w:rsid w:val="2A20278C"/>
    <w:rsid w:val="2A2D4869"/>
    <w:rsid w:val="2A821965"/>
    <w:rsid w:val="2A9432A3"/>
    <w:rsid w:val="2ABC50A5"/>
    <w:rsid w:val="2AED559C"/>
    <w:rsid w:val="2B13239C"/>
    <w:rsid w:val="2B56293B"/>
    <w:rsid w:val="2CBD5006"/>
    <w:rsid w:val="2E417B40"/>
    <w:rsid w:val="2E501EC4"/>
    <w:rsid w:val="2E643EEA"/>
    <w:rsid w:val="2EA57CCF"/>
    <w:rsid w:val="2ED43034"/>
    <w:rsid w:val="2F2E26E1"/>
    <w:rsid w:val="2F900A90"/>
    <w:rsid w:val="30317E2E"/>
    <w:rsid w:val="30B03664"/>
    <w:rsid w:val="30E12D09"/>
    <w:rsid w:val="30EC0FD1"/>
    <w:rsid w:val="30F57FCE"/>
    <w:rsid w:val="311E66C2"/>
    <w:rsid w:val="311F0405"/>
    <w:rsid w:val="31405A6B"/>
    <w:rsid w:val="315F20D3"/>
    <w:rsid w:val="31704A8D"/>
    <w:rsid w:val="32303FA9"/>
    <w:rsid w:val="326D29E7"/>
    <w:rsid w:val="32DD39E7"/>
    <w:rsid w:val="33FF25B4"/>
    <w:rsid w:val="34373C49"/>
    <w:rsid w:val="344B0145"/>
    <w:rsid w:val="34864C6E"/>
    <w:rsid w:val="35340005"/>
    <w:rsid w:val="35C821B5"/>
    <w:rsid w:val="36152788"/>
    <w:rsid w:val="3683441E"/>
    <w:rsid w:val="369B38E7"/>
    <w:rsid w:val="369E465E"/>
    <w:rsid w:val="37954DBC"/>
    <w:rsid w:val="38397A52"/>
    <w:rsid w:val="388502DE"/>
    <w:rsid w:val="38E10E8D"/>
    <w:rsid w:val="38F963E7"/>
    <w:rsid w:val="393A33DC"/>
    <w:rsid w:val="398113D2"/>
    <w:rsid w:val="39F40D93"/>
    <w:rsid w:val="3A931D2F"/>
    <w:rsid w:val="3A98027E"/>
    <w:rsid w:val="3AEB797C"/>
    <w:rsid w:val="3AF8654B"/>
    <w:rsid w:val="3B3D6268"/>
    <w:rsid w:val="3BA91604"/>
    <w:rsid w:val="3BB85D04"/>
    <w:rsid w:val="3CC763A6"/>
    <w:rsid w:val="3E42322B"/>
    <w:rsid w:val="3E913EB8"/>
    <w:rsid w:val="3F897E9C"/>
    <w:rsid w:val="3FB63ADD"/>
    <w:rsid w:val="41241827"/>
    <w:rsid w:val="41A71A3F"/>
    <w:rsid w:val="41A97560"/>
    <w:rsid w:val="41AF2FB4"/>
    <w:rsid w:val="41BE0D5E"/>
    <w:rsid w:val="41D31D6F"/>
    <w:rsid w:val="42BA3328"/>
    <w:rsid w:val="433D373E"/>
    <w:rsid w:val="4367019A"/>
    <w:rsid w:val="445A1C18"/>
    <w:rsid w:val="445A59FC"/>
    <w:rsid w:val="44E90059"/>
    <w:rsid w:val="44F05548"/>
    <w:rsid w:val="45131CD8"/>
    <w:rsid w:val="451B1632"/>
    <w:rsid w:val="459A48D1"/>
    <w:rsid w:val="46230ABE"/>
    <w:rsid w:val="462B29AF"/>
    <w:rsid w:val="467B77CE"/>
    <w:rsid w:val="468D3FB0"/>
    <w:rsid w:val="47870A8E"/>
    <w:rsid w:val="47B57DF9"/>
    <w:rsid w:val="482C6FEA"/>
    <w:rsid w:val="48A52D00"/>
    <w:rsid w:val="48BB4107"/>
    <w:rsid w:val="48E40CB8"/>
    <w:rsid w:val="48F84070"/>
    <w:rsid w:val="497E7286"/>
    <w:rsid w:val="4A063116"/>
    <w:rsid w:val="4AC32211"/>
    <w:rsid w:val="4AED1585"/>
    <w:rsid w:val="4BAE254A"/>
    <w:rsid w:val="4C106B5E"/>
    <w:rsid w:val="4C433876"/>
    <w:rsid w:val="4CEE6CE8"/>
    <w:rsid w:val="4D9E4FDE"/>
    <w:rsid w:val="4DED5106"/>
    <w:rsid w:val="4E361E0A"/>
    <w:rsid w:val="4F042974"/>
    <w:rsid w:val="4F106C36"/>
    <w:rsid w:val="4FBF0D52"/>
    <w:rsid w:val="509D19E6"/>
    <w:rsid w:val="50E0198B"/>
    <w:rsid w:val="51002EFE"/>
    <w:rsid w:val="51B149DC"/>
    <w:rsid w:val="543F14F3"/>
    <w:rsid w:val="548A3891"/>
    <w:rsid w:val="55A65539"/>
    <w:rsid w:val="55E54DB6"/>
    <w:rsid w:val="55E67CCF"/>
    <w:rsid w:val="56FF7218"/>
    <w:rsid w:val="57730872"/>
    <w:rsid w:val="57A370C1"/>
    <w:rsid w:val="57B82978"/>
    <w:rsid w:val="57D55090"/>
    <w:rsid w:val="580B153E"/>
    <w:rsid w:val="585F63CB"/>
    <w:rsid w:val="58D06A6D"/>
    <w:rsid w:val="59220D7E"/>
    <w:rsid w:val="5A733A4D"/>
    <w:rsid w:val="5AD07876"/>
    <w:rsid w:val="5AD84AB2"/>
    <w:rsid w:val="5B0E2528"/>
    <w:rsid w:val="5BAC58EB"/>
    <w:rsid w:val="5BC0415B"/>
    <w:rsid w:val="5BF560D2"/>
    <w:rsid w:val="5C6118FE"/>
    <w:rsid w:val="5CA11356"/>
    <w:rsid w:val="5CD55B1F"/>
    <w:rsid w:val="5D301BF3"/>
    <w:rsid w:val="5D604783"/>
    <w:rsid w:val="5DC325E2"/>
    <w:rsid w:val="5E2179FA"/>
    <w:rsid w:val="5E4D539D"/>
    <w:rsid w:val="5E710F0A"/>
    <w:rsid w:val="5F4F33F2"/>
    <w:rsid w:val="5F6422FC"/>
    <w:rsid w:val="605526F8"/>
    <w:rsid w:val="615B60F1"/>
    <w:rsid w:val="619B49E5"/>
    <w:rsid w:val="619F6C39"/>
    <w:rsid w:val="61AC7509"/>
    <w:rsid w:val="61B14381"/>
    <w:rsid w:val="61F11D6E"/>
    <w:rsid w:val="61FE54AE"/>
    <w:rsid w:val="62496E6E"/>
    <w:rsid w:val="627A650E"/>
    <w:rsid w:val="62B1254B"/>
    <w:rsid w:val="62C10470"/>
    <w:rsid w:val="62D86E18"/>
    <w:rsid w:val="630A3D93"/>
    <w:rsid w:val="63292E17"/>
    <w:rsid w:val="635874D9"/>
    <w:rsid w:val="63F91BC9"/>
    <w:rsid w:val="64BC2A79"/>
    <w:rsid w:val="650C6C0E"/>
    <w:rsid w:val="65436627"/>
    <w:rsid w:val="65A0104E"/>
    <w:rsid w:val="65DE4984"/>
    <w:rsid w:val="66460943"/>
    <w:rsid w:val="66C124F2"/>
    <w:rsid w:val="67426029"/>
    <w:rsid w:val="67C159A0"/>
    <w:rsid w:val="683B18AF"/>
    <w:rsid w:val="69616267"/>
    <w:rsid w:val="6988433F"/>
    <w:rsid w:val="69D82485"/>
    <w:rsid w:val="69EB49E2"/>
    <w:rsid w:val="6A02794D"/>
    <w:rsid w:val="6A3E002D"/>
    <w:rsid w:val="6AA66D9B"/>
    <w:rsid w:val="6BF92CFB"/>
    <w:rsid w:val="6C3277E3"/>
    <w:rsid w:val="6C66160F"/>
    <w:rsid w:val="6C661D7F"/>
    <w:rsid w:val="6CB80903"/>
    <w:rsid w:val="6CC86957"/>
    <w:rsid w:val="6D4734F3"/>
    <w:rsid w:val="6D4F144A"/>
    <w:rsid w:val="6D806E6F"/>
    <w:rsid w:val="6D8715C8"/>
    <w:rsid w:val="6D971E41"/>
    <w:rsid w:val="6DB35DF6"/>
    <w:rsid w:val="6E4608AC"/>
    <w:rsid w:val="6F092AAE"/>
    <w:rsid w:val="6F7861A0"/>
    <w:rsid w:val="700870B8"/>
    <w:rsid w:val="703278AE"/>
    <w:rsid w:val="7083284C"/>
    <w:rsid w:val="70BA510A"/>
    <w:rsid w:val="70F112E6"/>
    <w:rsid w:val="716967D5"/>
    <w:rsid w:val="723D5213"/>
    <w:rsid w:val="728869E2"/>
    <w:rsid w:val="73C5682B"/>
    <w:rsid w:val="746A6851"/>
    <w:rsid w:val="74BC261B"/>
    <w:rsid w:val="74CF424A"/>
    <w:rsid w:val="753A77F3"/>
    <w:rsid w:val="753B427E"/>
    <w:rsid w:val="754B368D"/>
    <w:rsid w:val="75EA7BCF"/>
    <w:rsid w:val="760F7B7D"/>
    <w:rsid w:val="7663562A"/>
    <w:rsid w:val="76740EFC"/>
    <w:rsid w:val="76942A79"/>
    <w:rsid w:val="76EE743F"/>
    <w:rsid w:val="770470FC"/>
    <w:rsid w:val="770C7D1C"/>
    <w:rsid w:val="776236CA"/>
    <w:rsid w:val="77E97BFB"/>
    <w:rsid w:val="78E608E6"/>
    <w:rsid w:val="79036ACE"/>
    <w:rsid w:val="795E4667"/>
    <w:rsid w:val="797779F5"/>
    <w:rsid w:val="79C04976"/>
    <w:rsid w:val="7A1F4980"/>
    <w:rsid w:val="7A53571C"/>
    <w:rsid w:val="7A607BB0"/>
    <w:rsid w:val="7A6D1A09"/>
    <w:rsid w:val="7A734FDE"/>
    <w:rsid w:val="7B0E3AC0"/>
    <w:rsid w:val="7B605124"/>
    <w:rsid w:val="7BA11D53"/>
    <w:rsid w:val="7C385EE6"/>
    <w:rsid w:val="7CCD5730"/>
    <w:rsid w:val="7CD01E4F"/>
    <w:rsid w:val="7D0E6286"/>
    <w:rsid w:val="7D571564"/>
    <w:rsid w:val="7D8D24AE"/>
    <w:rsid w:val="7DC527CD"/>
    <w:rsid w:val="7ED85196"/>
    <w:rsid w:val="7F0C50E5"/>
    <w:rsid w:val="7F282A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0"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99"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242"/>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260"/>
    <w:qFormat/>
    <w:uiPriority w:val="99"/>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227"/>
    <w:qFormat/>
    <w:uiPriority w:val="99"/>
    <w:pPr>
      <w:keepNext/>
      <w:keepLines/>
      <w:spacing w:before="260" w:after="260" w:line="415" w:lineRule="auto"/>
      <w:outlineLvl w:val="2"/>
    </w:pPr>
    <w:rPr>
      <w:b/>
      <w:bCs/>
      <w:sz w:val="32"/>
      <w:szCs w:val="32"/>
    </w:rPr>
  </w:style>
  <w:style w:type="paragraph" w:styleId="6">
    <w:name w:val="heading 4"/>
    <w:basedOn w:val="1"/>
    <w:next w:val="1"/>
    <w:link w:val="204"/>
    <w:qFormat/>
    <w:uiPriority w:val="99"/>
    <w:pPr>
      <w:keepNext/>
      <w:keepLines/>
      <w:spacing w:before="280" w:after="290" w:line="376" w:lineRule="auto"/>
      <w:outlineLvl w:val="3"/>
    </w:pPr>
    <w:rPr>
      <w:rFonts w:ascii="Cambria" w:hAnsi="Cambria"/>
      <w:b/>
      <w:bCs/>
      <w:sz w:val="28"/>
      <w:szCs w:val="28"/>
    </w:rPr>
  </w:style>
  <w:style w:type="paragraph" w:styleId="7">
    <w:name w:val="heading 5"/>
    <w:basedOn w:val="1"/>
    <w:next w:val="1"/>
    <w:link w:val="197"/>
    <w:qFormat/>
    <w:uiPriority w:val="99"/>
    <w:pPr>
      <w:keepNext/>
      <w:keepLines/>
      <w:spacing w:before="280" w:after="290" w:line="376" w:lineRule="auto"/>
      <w:outlineLvl w:val="4"/>
    </w:pPr>
    <w:rPr>
      <w:b/>
      <w:bCs/>
      <w:sz w:val="28"/>
      <w:szCs w:val="28"/>
    </w:rPr>
  </w:style>
  <w:style w:type="paragraph" w:styleId="8">
    <w:name w:val="heading 6"/>
    <w:basedOn w:val="1"/>
    <w:next w:val="1"/>
    <w:link w:val="205"/>
    <w:qFormat/>
    <w:uiPriority w:val="99"/>
    <w:pPr>
      <w:keepNext/>
      <w:keepLines/>
      <w:spacing w:before="240" w:after="64" w:line="320" w:lineRule="auto"/>
      <w:outlineLvl w:val="5"/>
    </w:pPr>
    <w:rPr>
      <w:rFonts w:ascii="Cambria" w:hAnsi="Cambria"/>
      <w:b/>
      <w:bCs/>
      <w:sz w:val="24"/>
    </w:rPr>
  </w:style>
  <w:style w:type="paragraph" w:styleId="9">
    <w:name w:val="heading 7"/>
    <w:basedOn w:val="1"/>
    <w:next w:val="10"/>
    <w:link w:val="253"/>
    <w:qFormat/>
    <w:uiPriority w:val="99"/>
    <w:pPr>
      <w:keepNext/>
      <w:keepLines/>
      <w:tabs>
        <w:tab w:val="left" w:pos="1296"/>
      </w:tabs>
      <w:spacing w:before="240" w:after="64" w:line="312" w:lineRule="auto"/>
      <w:ind w:left="1296" w:hanging="1296"/>
      <w:outlineLvl w:val="6"/>
    </w:pPr>
    <w:rPr>
      <w:b/>
      <w:bCs/>
      <w:sz w:val="24"/>
    </w:rPr>
  </w:style>
  <w:style w:type="paragraph" w:styleId="11">
    <w:name w:val="heading 8"/>
    <w:basedOn w:val="1"/>
    <w:next w:val="10"/>
    <w:link w:val="210"/>
    <w:qFormat/>
    <w:uiPriority w:val="99"/>
    <w:pPr>
      <w:keepNext/>
      <w:keepLines/>
      <w:tabs>
        <w:tab w:val="left" w:pos="1440"/>
      </w:tabs>
      <w:spacing w:before="240" w:after="64" w:line="312" w:lineRule="auto"/>
      <w:ind w:left="1440" w:hanging="1440"/>
      <w:outlineLvl w:val="7"/>
    </w:pPr>
    <w:rPr>
      <w:rFonts w:ascii="Arial" w:hAnsi="Arial" w:eastAsia="黑体"/>
      <w:sz w:val="24"/>
    </w:rPr>
  </w:style>
  <w:style w:type="paragraph" w:styleId="12">
    <w:name w:val="heading 9"/>
    <w:basedOn w:val="1"/>
    <w:next w:val="10"/>
    <w:link w:val="263"/>
    <w:qFormat/>
    <w:uiPriority w:val="99"/>
    <w:pPr>
      <w:keepNext/>
      <w:keepLines/>
      <w:tabs>
        <w:tab w:val="left" w:pos="1584"/>
      </w:tabs>
      <w:spacing w:before="240" w:after="64" w:line="312" w:lineRule="auto"/>
      <w:ind w:left="1584" w:hanging="1584"/>
      <w:outlineLvl w:val="8"/>
    </w:pPr>
    <w:rPr>
      <w:rFonts w:ascii="Arial" w:hAnsi="Arial" w:eastAsia="黑体"/>
      <w:sz w:val="24"/>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36"/>
    <w:qFormat/>
    <w:uiPriority w:val="99"/>
    <w:pPr>
      <w:shd w:val="clear" w:color="auto" w:fill="FFFFFF"/>
      <w:spacing w:before="720" w:line="398" w:lineRule="exact"/>
    </w:pPr>
    <w:rPr>
      <w:rFonts w:hAnsi="Calibri"/>
      <w:spacing w:val="20"/>
      <w:sz w:val="23"/>
      <w:szCs w:val="23"/>
    </w:rPr>
  </w:style>
  <w:style w:type="paragraph" w:styleId="10">
    <w:name w:val="Body Text First Indent"/>
    <w:basedOn w:val="2"/>
    <w:link w:val="256"/>
    <w:qFormat/>
    <w:uiPriority w:val="99"/>
    <w:pPr>
      <w:shd w:val="clear" w:color="auto" w:fill="auto"/>
      <w:spacing w:before="0" w:after="120" w:line="240" w:lineRule="auto"/>
      <w:ind w:firstLine="420" w:firstLineChars="100"/>
    </w:pPr>
    <w:rPr>
      <w:rFonts w:ascii="Times New Roman" w:hAnsi="Times New Roman"/>
      <w:spacing w:val="0"/>
      <w:sz w:val="21"/>
      <w:szCs w:val="24"/>
    </w:rPr>
  </w:style>
  <w:style w:type="paragraph" w:styleId="13">
    <w:name w:val="toc 7"/>
    <w:basedOn w:val="1"/>
    <w:next w:val="1"/>
    <w:qFormat/>
    <w:uiPriority w:val="99"/>
    <w:pPr>
      <w:spacing w:line="360" w:lineRule="auto"/>
      <w:ind w:left="1440"/>
      <w:jc w:val="left"/>
    </w:pPr>
    <w:rPr>
      <w:sz w:val="18"/>
      <w:szCs w:val="18"/>
    </w:rPr>
  </w:style>
  <w:style w:type="paragraph" w:styleId="14">
    <w:name w:val="Normal Indent"/>
    <w:basedOn w:val="1"/>
    <w:link w:val="196"/>
    <w:qFormat/>
    <w:uiPriority w:val="99"/>
    <w:pPr>
      <w:ind w:firstLine="200" w:firstLineChars="200"/>
    </w:pPr>
  </w:style>
  <w:style w:type="paragraph" w:styleId="15">
    <w:name w:val="caption"/>
    <w:basedOn w:val="1"/>
    <w:next w:val="1"/>
    <w:qFormat/>
    <w:uiPriority w:val="99"/>
    <w:rPr>
      <w:rFonts w:ascii="Arial" w:hAnsi="Arial" w:eastAsia="黑体" w:cs="Arial"/>
      <w:sz w:val="20"/>
    </w:rPr>
  </w:style>
  <w:style w:type="paragraph" w:styleId="16">
    <w:name w:val="List Bullet"/>
    <w:basedOn w:val="1"/>
    <w:qFormat/>
    <w:uiPriority w:val="99"/>
    <w:pPr>
      <w:tabs>
        <w:tab w:val="left" w:pos="1320"/>
      </w:tabs>
      <w:spacing w:line="360" w:lineRule="auto"/>
      <w:ind w:left="1320" w:hanging="420"/>
    </w:pPr>
    <w:rPr>
      <w:sz w:val="24"/>
    </w:rPr>
  </w:style>
  <w:style w:type="paragraph" w:styleId="17">
    <w:name w:val="Document Map"/>
    <w:basedOn w:val="1"/>
    <w:link w:val="262"/>
    <w:qFormat/>
    <w:uiPriority w:val="99"/>
    <w:pPr>
      <w:shd w:val="clear" w:color="auto" w:fill="000080"/>
    </w:pPr>
  </w:style>
  <w:style w:type="paragraph" w:styleId="18">
    <w:name w:val="annotation text"/>
    <w:basedOn w:val="1"/>
    <w:link w:val="246"/>
    <w:qFormat/>
    <w:uiPriority w:val="0"/>
    <w:pPr>
      <w:spacing w:line="360" w:lineRule="auto"/>
      <w:jc w:val="left"/>
    </w:pPr>
    <w:rPr>
      <w:sz w:val="24"/>
      <w:lang w:val="zh-CN"/>
    </w:rPr>
  </w:style>
  <w:style w:type="paragraph" w:styleId="19">
    <w:name w:val="Body Text Indent"/>
    <w:basedOn w:val="1"/>
    <w:link w:val="211"/>
    <w:qFormat/>
    <w:uiPriority w:val="99"/>
    <w:pPr>
      <w:ind w:firstLine="630"/>
    </w:pPr>
    <w:rPr>
      <w:sz w:val="32"/>
    </w:rPr>
  </w:style>
  <w:style w:type="paragraph" w:styleId="20">
    <w:name w:val="Block Text"/>
    <w:basedOn w:val="1"/>
    <w:qFormat/>
    <w:uiPriority w:val="99"/>
    <w:pPr>
      <w:tabs>
        <w:tab w:val="left" w:pos="8280"/>
      </w:tabs>
      <w:ind w:left="87" w:leftChars="87" w:right="-6" w:firstLine="196" w:firstLineChars="196"/>
      <w:outlineLvl w:val="0"/>
    </w:pPr>
    <w:rPr>
      <w:b/>
      <w:bCs/>
      <w:sz w:val="28"/>
    </w:rPr>
  </w:style>
  <w:style w:type="paragraph" w:styleId="21">
    <w:name w:val="HTML Address"/>
    <w:basedOn w:val="1"/>
    <w:link w:val="257"/>
    <w:qFormat/>
    <w:uiPriority w:val="99"/>
    <w:rPr>
      <w:i/>
    </w:rPr>
  </w:style>
  <w:style w:type="paragraph" w:styleId="22">
    <w:name w:val="toc 5"/>
    <w:basedOn w:val="1"/>
    <w:next w:val="1"/>
    <w:qFormat/>
    <w:uiPriority w:val="99"/>
    <w:pPr>
      <w:spacing w:line="360" w:lineRule="auto"/>
      <w:ind w:left="960"/>
      <w:jc w:val="left"/>
    </w:pPr>
    <w:rPr>
      <w:sz w:val="18"/>
      <w:szCs w:val="18"/>
    </w:rPr>
  </w:style>
  <w:style w:type="paragraph" w:styleId="23">
    <w:name w:val="toc 3"/>
    <w:basedOn w:val="1"/>
    <w:next w:val="1"/>
    <w:qFormat/>
    <w:uiPriority w:val="99"/>
    <w:pPr>
      <w:spacing w:line="360" w:lineRule="auto"/>
      <w:ind w:left="480"/>
      <w:jc w:val="left"/>
    </w:pPr>
    <w:rPr>
      <w:i/>
      <w:iCs/>
      <w:sz w:val="20"/>
    </w:rPr>
  </w:style>
  <w:style w:type="paragraph" w:styleId="24">
    <w:name w:val="Plain Text"/>
    <w:basedOn w:val="1"/>
    <w:link w:val="219"/>
    <w:qFormat/>
    <w:uiPriority w:val="99"/>
    <w:pPr>
      <w:spacing w:line="360" w:lineRule="auto"/>
    </w:pPr>
    <w:rPr>
      <w:rFonts w:hAnsi="Courier New"/>
      <w:kern w:val="2"/>
      <w:sz w:val="24"/>
      <w:szCs w:val="24"/>
    </w:rPr>
  </w:style>
  <w:style w:type="paragraph" w:styleId="25">
    <w:name w:val="toc 8"/>
    <w:basedOn w:val="1"/>
    <w:next w:val="1"/>
    <w:qFormat/>
    <w:uiPriority w:val="99"/>
    <w:pPr>
      <w:spacing w:line="360" w:lineRule="auto"/>
      <w:ind w:left="1680"/>
      <w:jc w:val="left"/>
    </w:pPr>
    <w:rPr>
      <w:sz w:val="18"/>
      <w:szCs w:val="18"/>
    </w:rPr>
  </w:style>
  <w:style w:type="paragraph" w:styleId="26">
    <w:name w:val="Date"/>
    <w:basedOn w:val="1"/>
    <w:next w:val="1"/>
    <w:link w:val="247"/>
    <w:qFormat/>
    <w:uiPriority w:val="99"/>
    <w:pPr>
      <w:ind w:left="100" w:leftChars="2500"/>
    </w:pPr>
  </w:style>
  <w:style w:type="paragraph" w:styleId="27">
    <w:name w:val="Body Text Indent 2"/>
    <w:basedOn w:val="1"/>
    <w:link w:val="234"/>
    <w:qFormat/>
    <w:uiPriority w:val="99"/>
    <w:pPr>
      <w:spacing w:after="120" w:line="480" w:lineRule="auto"/>
      <w:ind w:left="200" w:leftChars="200"/>
    </w:pPr>
  </w:style>
  <w:style w:type="paragraph" w:styleId="28">
    <w:name w:val="Balloon Text"/>
    <w:basedOn w:val="1"/>
    <w:link w:val="240"/>
    <w:qFormat/>
    <w:uiPriority w:val="99"/>
    <w:rPr>
      <w:sz w:val="18"/>
      <w:szCs w:val="18"/>
    </w:rPr>
  </w:style>
  <w:style w:type="paragraph" w:styleId="29">
    <w:name w:val="footer"/>
    <w:basedOn w:val="1"/>
    <w:link w:val="216"/>
    <w:qFormat/>
    <w:uiPriority w:val="99"/>
    <w:pPr>
      <w:tabs>
        <w:tab w:val="center" w:pos="4153"/>
        <w:tab w:val="right" w:pos="8306"/>
      </w:tabs>
      <w:snapToGrid w:val="0"/>
      <w:jc w:val="left"/>
    </w:pPr>
    <w:rPr>
      <w:sz w:val="18"/>
    </w:rPr>
  </w:style>
  <w:style w:type="paragraph" w:styleId="30">
    <w:name w:val="header"/>
    <w:basedOn w:val="1"/>
    <w:link w:val="243"/>
    <w:qFormat/>
    <w:uiPriority w:val="99"/>
    <w:pPr>
      <w:pBdr>
        <w:bottom w:val="single" w:color="auto" w:sz="6" w:space="1"/>
      </w:pBdr>
      <w:tabs>
        <w:tab w:val="center" w:pos="4153"/>
        <w:tab w:val="right" w:pos="8306"/>
      </w:tabs>
      <w:snapToGrid w:val="0"/>
      <w:jc w:val="center"/>
    </w:pPr>
    <w:rPr>
      <w:sz w:val="18"/>
    </w:rPr>
  </w:style>
  <w:style w:type="paragraph" w:styleId="31">
    <w:name w:val="toc 1"/>
    <w:basedOn w:val="1"/>
    <w:next w:val="1"/>
    <w:qFormat/>
    <w:uiPriority w:val="99"/>
  </w:style>
  <w:style w:type="paragraph" w:styleId="32">
    <w:name w:val="toc 4"/>
    <w:basedOn w:val="1"/>
    <w:next w:val="1"/>
    <w:qFormat/>
    <w:uiPriority w:val="99"/>
    <w:pPr>
      <w:spacing w:line="360" w:lineRule="auto"/>
      <w:ind w:left="720"/>
      <w:jc w:val="left"/>
    </w:pPr>
    <w:rPr>
      <w:sz w:val="18"/>
      <w:szCs w:val="18"/>
    </w:rPr>
  </w:style>
  <w:style w:type="paragraph" w:styleId="33">
    <w:name w:val="footnote text"/>
    <w:basedOn w:val="1"/>
    <w:link w:val="190"/>
    <w:qFormat/>
    <w:uiPriority w:val="99"/>
    <w:pPr>
      <w:snapToGrid w:val="0"/>
      <w:spacing w:line="360" w:lineRule="auto"/>
      <w:jc w:val="left"/>
    </w:pPr>
    <w:rPr>
      <w:sz w:val="18"/>
      <w:szCs w:val="18"/>
      <w:lang w:val="zh-CN"/>
    </w:rPr>
  </w:style>
  <w:style w:type="paragraph" w:styleId="34">
    <w:name w:val="toc 6"/>
    <w:basedOn w:val="1"/>
    <w:next w:val="1"/>
    <w:qFormat/>
    <w:uiPriority w:val="99"/>
    <w:pPr>
      <w:spacing w:line="360" w:lineRule="auto"/>
      <w:ind w:left="1200"/>
      <w:jc w:val="left"/>
    </w:pPr>
    <w:rPr>
      <w:sz w:val="18"/>
      <w:szCs w:val="18"/>
    </w:rPr>
  </w:style>
  <w:style w:type="paragraph" w:styleId="35">
    <w:name w:val="Body Text Indent 3"/>
    <w:basedOn w:val="1"/>
    <w:link w:val="194"/>
    <w:qFormat/>
    <w:uiPriority w:val="99"/>
    <w:pPr>
      <w:spacing w:after="120"/>
      <w:ind w:left="200" w:leftChars="200"/>
    </w:pPr>
    <w:rPr>
      <w:sz w:val="16"/>
      <w:szCs w:val="16"/>
    </w:rPr>
  </w:style>
  <w:style w:type="paragraph" w:styleId="36">
    <w:name w:val="index 9"/>
    <w:basedOn w:val="1"/>
    <w:next w:val="1"/>
    <w:qFormat/>
    <w:uiPriority w:val="99"/>
    <w:pPr>
      <w:spacing w:line="360" w:lineRule="auto"/>
      <w:ind w:left="3360"/>
    </w:pPr>
    <w:rPr>
      <w:sz w:val="24"/>
    </w:rPr>
  </w:style>
  <w:style w:type="paragraph" w:styleId="37">
    <w:name w:val="table of figures"/>
    <w:basedOn w:val="1"/>
    <w:next w:val="1"/>
    <w:qFormat/>
    <w:uiPriority w:val="99"/>
    <w:pPr>
      <w:spacing w:line="360" w:lineRule="auto"/>
      <w:ind w:left="400" w:leftChars="200" w:hanging="200" w:hangingChars="200"/>
    </w:pPr>
    <w:rPr>
      <w:sz w:val="24"/>
    </w:rPr>
  </w:style>
  <w:style w:type="paragraph" w:styleId="38">
    <w:name w:val="toc 2"/>
    <w:basedOn w:val="1"/>
    <w:next w:val="1"/>
    <w:qFormat/>
    <w:uiPriority w:val="99"/>
    <w:pPr>
      <w:ind w:left="420" w:leftChars="200"/>
    </w:pPr>
  </w:style>
  <w:style w:type="paragraph" w:styleId="39">
    <w:name w:val="toc 9"/>
    <w:basedOn w:val="1"/>
    <w:next w:val="1"/>
    <w:qFormat/>
    <w:uiPriority w:val="99"/>
    <w:pPr>
      <w:spacing w:line="360" w:lineRule="auto"/>
      <w:ind w:left="1920"/>
      <w:jc w:val="left"/>
    </w:pPr>
    <w:rPr>
      <w:sz w:val="18"/>
      <w:szCs w:val="18"/>
    </w:rPr>
  </w:style>
  <w:style w:type="paragraph" w:styleId="40">
    <w:name w:val="Body Text 2"/>
    <w:basedOn w:val="1"/>
    <w:link w:val="235"/>
    <w:qFormat/>
    <w:uiPriority w:val="99"/>
    <w:pPr>
      <w:spacing w:after="120" w:line="480" w:lineRule="auto"/>
    </w:pPr>
    <w:rPr>
      <w:sz w:val="24"/>
      <w:lang w:val="zh-CN"/>
    </w:rPr>
  </w:style>
  <w:style w:type="paragraph" w:styleId="4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 w:val="24"/>
      <w:szCs w:val="24"/>
    </w:rPr>
  </w:style>
  <w:style w:type="paragraph" w:styleId="42">
    <w:name w:val="Normal (Web)"/>
    <w:basedOn w:val="1"/>
    <w:qFormat/>
    <w:uiPriority w:val="99"/>
    <w:pPr>
      <w:widowControl/>
      <w:spacing w:before="100" w:beforeAutospacing="1" w:after="100" w:afterAutospacing="1"/>
      <w:jc w:val="left"/>
    </w:pPr>
    <w:rPr>
      <w:sz w:val="18"/>
      <w:szCs w:val="18"/>
    </w:rPr>
  </w:style>
  <w:style w:type="paragraph" w:styleId="43">
    <w:name w:val="index 1"/>
    <w:basedOn w:val="1"/>
    <w:next w:val="1"/>
    <w:qFormat/>
    <w:uiPriority w:val="99"/>
  </w:style>
  <w:style w:type="paragraph" w:styleId="44">
    <w:name w:val="Title"/>
    <w:basedOn w:val="1"/>
    <w:next w:val="1"/>
    <w:link w:val="200"/>
    <w:qFormat/>
    <w:uiPriority w:val="99"/>
    <w:pPr>
      <w:spacing w:before="240" w:after="60"/>
      <w:jc w:val="left"/>
      <w:outlineLvl w:val="0"/>
    </w:pPr>
    <w:rPr>
      <w:rFonts w:ascii="Cambria" w:hAnsi="Cambria"/>
      <w:b/>
      <w:bCs/>
      <w:sz w:val="28"/>
      <w:szCs w:val="28"/>
    </w:rPr>
  </w:style>
  <w:style w:type="paragraph" w:styleId="45">
    <w:name w:val="annotation subject"/>
    <w:basedOn w:val="18"/>
    <w:next w:val="18"/>
    <w:link w:val="229"/>
    <w:qFormat/>
    <w:uiPriority w:val="99"/>
    <w:rPr>
      <w:b/>
      <w:bCs/>
    </w:rPr>
  </w:style>
  <w:style w:type="paragraph" w:styleId="46">
    <w:name w:val="Body Text First Indent 2"/>
    <w:basedOn w:val="19"/>
    <w:link w:val="208"/>
    <w:qFormat/>
    <w:uiPriority w:val="99"/>
    <w:pPr>
      <w:adjustRightInd w:val="0"/>
      <w:snapToGrid w:val="0"/>
      <w:spacing w:line="360" w:lineRule="auto"/>
      <w:ind w:firstLine="200" w:firstLineChars="200"/>
    </w:pPr>
    <w:rPr>
      <w:rFonts w:ascii="仿宋_GB2312" w:eastAsia="仿宋_GB2312"/>
    </w:rPr>
  </w:style>
  <w:style w:type="table" w:styleId="48">
    <w:name w:val="Table Grid"/>
    <w:basedOn w:val="47"/>
    <w:qFormat/>
    <w:uiPriority w:val="59"/>
    <w:rPr>
      <w:rFonts w:asciiTheme="minorHAnsi" w:hAnsiTheme="minorHAnsi" w:eastAsiaTheme="minorEastAsia" w:cstheme="minorBid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50">
    <w:name w:val="Strong"/>
    <w:qFormat/>
    <w:uiPriority w:val="99"/>
    <w:rPr>
      <w:b/>
      <w:bCs/>
      <w:szCs w:val="24"/>
    </w:rPr>
  </w:style>
  <w:style w:type="character" w:styleId="51">
    <w:name w:val="page number"/>
    <w:basedOn w:val="49"/>
    <w:qFormat/>
    <w:uiPriority w:val="99"/>
  </w:style>
  <w:style w:type="character" w:styleId="52">
    <w:name w:val="FollowedHyperlink"/>
    <w:qFormat/>
    <w:uiPriority w:val="0"/>
    <w:rPr>
      <w:color w:val="333333"/>
      <w:u w:val="none"/>
    </w:rPr>
  </w:style>
  <w:style w:type="character" w:styleId="53">
    <w:name w:val="Emphasis"/>
    <w:qFormat/>
    <w:uiPriority w:val="0"/>
  </w:style>
  <w:style w:type="character" w:styleId="54">
    <w:name w:val="HTML Definition"/>
    <w:qFormat/>
    <w:uiPriority w:val="0"/>
  </w:style>
  <w:style w:type="character" w:styleId="55">
    <w:name w:val="HTML Variable"/>
    <w:qFormat/>
    <w:uiPriority w:val="0"/>
  </w:style>
  <w:style w:type="character" w:styleId="56">
    <w:name w:val="Hyperlink"/>
    <w:unhideWhenUsed/>
    <w:qFormat/>
    <w:uiPriority w:val="99"/>
    <w:rPr>
      <w:color w:val="333333"/>
      <w:u w:val="none"/>
    </w:rPr>
  </w:style>
  <w:style w:type="character" w:styleId="57">
    <w:name w:val="HTML Code"/>
    <w:qFormat/>
    <w:uiPriority w:val="0"/>
    <w:rPr>
      <w:rFonts w:ascii="Courier New" w:hAnsi="Courier New"/>
      <w:sz w:val="20"/>
    </w:rPr>
  </w:style>
  <w:style w:type="character" w:styleId="58">
    <w:name w:val="annotation reference"/>
    <w:qFormat/>
    <w:uiPriority w:val="0"/>
    <w:rPr>
      <w:rFonts w:cs="Times New Roman"/>
      <w:sz w:val="21"/>
    </w:rPr>
  </w:style>
  <w:style w:type="character" w:styleId="59">
    <w:name w:val="HTML Cite"/>
    <w:qFormat/>
    <w:uiPriority w:val="0"/>
  </w:style>
  <w:style w:type="character" w:styleId="60">
    <w:name w:val="footnote reference"/>
    <w:qFormat/>
    <w:uiPriority w:val="99"/>
    <w:rPr>
      <w:rFonts w:cs="Times New Roman"/>
      <w:vertAlign w:val="superscript"/>
    </w:rPr>
  </w:style>
  <w:style w:type="paragraph" w:customStyle="1" w:styleId="61">
    <w:name w:val="Default"/>
    <w:qFormat/>
    <w:uiPriority w:val="0"/>
    <w:pPr>
      <w:widowControl w:val="0"/>
      <w:autoSpaceDE w:val="0"/>
      <w:autoSpaceDN w:val="0"/>
      <w:adjustRightInd w:val="0"/>
    </w:pPr>
    <w:rPr>
      <w:rFonts w:ascii="楷体à.ā" w:hAnsi="Times New Roman" w:eastAsia="楷体à.ā" w:cs="Times New Roman"/>
      <w:color w:val="000000"/>
      <w:sz w:val="24"/>
      <w:szCs w:val="22"/>
      <w:lang w:val="en-US" w:eastAsia="zh-CN" w:bidi="ar-SA"/>
    </w:rPr>
  </w:style>
  <w:style w:type="paragraph" w:customStyle="1" w:styleId="62">
    <w:name w:val="标题 5（有编号）（绿盟科技）"/>
    <w:basedOn w:val="1"/>
    <w:next w:val="63"/>
    <w:qFormat/>
    <w:uiPriority w:val="99"/>
    <w:pPr>
      <w:keepNext/>
      <w:keepLines/>
      <w:numPr>
        <w:ilvl w:val="4"/>
        <w:numId w:val="1"/>
      </w:numPr>
      <w:spacing w:before="280" w:after="156" w:line="377" w:lineRule="auto"/>
      <w:outlineLvl w:val="4"/>
    </w:pPr>
    <w:rPr>
      <w:rFonts w:ascii="Arial" w:hAnsi="Arial" w:eastAsia="黑体" w:cs="Arial"/>
      <w:b/>
      <w:bCs/>
    </w:rPr>
  </w:style>
  <w:style w:type="paragraph" w:customStyle="1" w:styleId="63">
    <w:name w:val="正文（绿盟科技）"/>
    <w:qFormat/>
    <w:uiPriority w:val="99"/>
    <w:pPr>
      <w:spacing w:line="300" w:lineRule="auto"/>
    </w:pPr>
    <w:rPr>
      <w:rFonts w:ascii="Arial" w:hAnsi="Arial" w:eastAsia="宋体" w:cs="Arial"/>
      <w:sz w:val="21"/>
      <w:szCs w:val="21"/>
      <w:lang w:val="en-US" w:eastAsia="zh-CN" w:bidi="ar-SA"/>
    </w:rPr>
  </w:style>
  <w:style w:type="paragraph" w:customStyle="1" w:styleId="64">
    <w:name w:val="列出段落1"/>
    <w:basedOn w:val="1"/>
    <w:qFormat/>
    <w:uiPriority w:val="34"/>
    <w:pPr>
      <w:ind w:firstLine="420" w:firstLineChars="200"/>
    </w:pPr>
    <w:rPr>
      <w:rFonts w:ascii="Calibri" w:hAnsi="Calibri"/>
      <w:szCs w:val="22"/>
    </w:rPr>
  </w:style>
  <w:style w:type="paragraph" w:customStyle="1" w:styleId="65">
    <w:name w:val="样式 样式 左侧:  2 字符 + 左侧:  0.85 厘米 首行缩进:  2 字符1"/>
    <w:basedOn w:val="1"/>
    <w:qFormat/>
    <w:uiPriority w:val="0"/>
    <w:pPr>
      <w:ind w:left="482" w:firstLine="200" w:firstLineChars="200"/>
    </w:pPr>
    <w:rPr>
      <w:rFonts w:ascii="Times New Roman" w:cs="宋体"/>
    </w:rPr>
  </w:style>
  <w:style w:type="paragraph" w:customStyle="1" w:styleId="66">
    <w:name w:val="样式 标题 3"/>
    <w:basedOn w:val="5"/>
    <w:next w:val="1"/>
    <w:link w:val="192"/>
    <w:qFormat/>
    <w:uiPriority w:val="99"/>
    <w:pPr>
      <w:tabs>
        <w:tab w:val="left" w:pos="432"/>
      </w:tabs>
      <w:jc w:val="left"/>
    </w:pPr>
    <w:rPr>
      <w:rFonts w:hAnsi="宋体"/>
      <w:lang w:val="zh-CN"/>
    </w:rPr>
  </w:style>
  <w:style w:type="paragraph" w:customStyle="1" w:styleId="67">
    <w:name w:val="方案正文"/>
    <w:basedOn w:val="10"/>
    <w:link w:val="193"/>
    <w:qFormat/>
    <w:uiPriority w:val="99"/>
    <w:pPr>
      <w:spacing w:after="0" w:line="360" w:lineRule="auto"/>
      <w:ind w:firstLine="200" w:firstLineChars="200"/>
    </w:pPr>
    <w:rPr>
      <w:rFonts w:ascii="宋体" w:hAnsi="宋体"/>
      <w:kern w:val="2"/>
      <w:sz w:val="24"/>
    </w:rPr>
  </w:style>
  <w:style w:type="paragraph" w:customStyle="1" w:styleId="68">
    <w:name w:val="List Paragraph1"/>
    <w:basedOn w:val="1"/>
    <w:link w:val="195"/>
    <w:qFormat/>
    <w:uiPriority w:val="99"/>
    <w:pPr>
      <w:ind w:firstLine="420" w:firstLineChars="200"/>
    </w:pPr>
    <w:rPr>
      <w:rFonts w:ascii="Calibri" w:hAnsi="Calibri"/>
      <w:szCs w:val="22"/>
    </w:rPr>
  </w:style>
  <w:style w:type="paragraph" w:customStyle="1" w:styleId="69">
    <w:name w:val="正文字体"/>
    <w:basedOn w:val="1"/>
    <w:next w:val="1"/>
    <w:link w:val="215"/>
    <w:qFormat/>
    <w:uiPriority w:val="99"/>
    <w:pPr>
      <w:spacing w:afterLines="50" w:line="360" w:lineRule="auto"/>
      <w:ind w:firstLine="482"/>
    </w:pPr>
    <w:rPr>
      <w:rFonts w:eastAsia="仿宋"/>
      <w:sz w:val="24"/>
      <w:lang w:val="zh-CN"/>
    </w:rPr>
  </w:style>
  <w:style w:type="paragraph" w:customStyle="1" w:styleId="70">
    <w:name w:val="正文 首行缩进"/>
    <w:basedOn w:val="1"/>
    <w:link w:val="221"/>
    <w:qFormat/>
    <w:uiPriority w:val="99"/>
    <w:pPr>
      <w:spacing w:line="360" w:lineRule="auto"/>
      <w:ind w:firstLine="200" w:firstLineChars="200"/>
    </w:pPr>
    <w:rPr>
      <w:rFonts w:hAnsi="宋体" w:eastAsia="仿宋"/>
      <w:sz w:val="24"/>
    </w:rPr>
  </w:style>
  <w:style w:type="paragraph" w:customStyle="1" w:styleId="71">
    <w:name w:val="正文缩进2字符"/>
    <w:basedOn w:val="1"/>
    <w:link w:val="230"/>
    <w:qFormat/>
    <w:uiPriority w:val="99"/>
    <w:pPr>
      <w:spacing w:line="360" w:lineRule="auto"/>
      <w:ind w:firstLine="200" w:firstLineChars="200"/>
    </w:pPr>
    <w:rPr>
      <w:sz w:val="24"/>
      <w:lang w:val="zh-CN"/>
    </w:rPr>
  </w:style>
  <w:style w:type="paragraph" w:customStyle="1" w:styleId="72">
    <w:name w:val="Heading #5"/>
    <w:basedOn w:val="1"/>
    <w:link w:val="249"/>
    <w:qFormat/>
    <w:uiPriority w:val="99"/>
    <w:pPr>
      <w:shd w:val="clear" w:color="auto" w:fill="FFFFFF"/>
      <w:spacing w:line="562" w:lineRule="exact"/>
      <w:ind w:hanging="600"/>
      <w:outlineLvl w:val="4"/>
    </w:pPr>
    <w:rPr>
      <w:rFonts w:hAnsi="Calibri"/>
      <w:b/>
      <w:bCs/>
      <w:spacing w:val="20"/>
      <w:sz w:val="30"/>
      <w:szCs w:val="30"/>
    </w:rPr>
  </w:style>
  <w:style w:type="paragraph" w:customStyle="1" w:styleId="73">
    <w:name w:val="Body text (4)"/>
    <w:basedOn w:val="1"/>
    <w:link w:val="255"/>
    <w:qFormat/>
    <w:uiPriority w:val="99"/>
    <w:pPr>
      <w:shd w:val="clear" w:color="auto" w:fill="FFFFFF"/>
      <w:spacing w:line="240" w:lineRule="atLeast"/>
      <w:jc w:val="center"/>
    </w:pPr>
    <w:rPr>
      <w:rFonts w:hAnsi="宋体"/>
      <w:sz w:val="22"/>
      <w:szCs w:val="22"/>
    </w:rPr>
  </w:style>
  <w:style w:type="paragraph" w:customStyle="1" w:styleId="74">
    <w:name w:val="样式2"/>
    <w:basedOn w:val="1"/>
    <w:link w:val="265"/>
    <w:qFormat/>
    <w:uiPriority w:val="99"/>
    <w:pPr>
      <w:spacing w:line="360" w:lineRule="auto"/>
    </w:pPr>
    <w:rPr>
      <w:sz w:val="28"/>
    </w:rPr>
  </w:style>
  <w:style w:type="paragraph" w:customStyle="1" w:styleId="75">
    <w:name w:val="li正文"/>
    <w:basedOn w:val="1"/>
    <w:link w:val="266"/>
    <w:qFormat/>
    <w:uiPriority w:val="99"/>
    <w:pPr>
      <w:widowControl/>
      <w:spacing w:line="360" w:lineRule="auto"/>
      <w:ind w:firstLine="200" w:firstLineChars="200"/>
      <w:jc w:val="left"/>
    </w:pPr>
    <w:rPr>
      <w:rFonts w:eastAsia="幼圆"/>
      <w:sz w:val="24"/>
    </w:rPr>
  </w:style>
  <w:style w:type="paragraph" w:customStyle="1" w:styleId="76">
    <w:name w:val="项目"/>
    <w:basedOn w:val="1"/>
    <w:qFormat/>
    <w:uiPriority w:val="99"/>
    <w:pPr>
      <w:tabs>
        <w:tab w:val="left" w:pos="892"/>
      </w:tabs>
      <w:adjustRightInd w:val="0"/>
      <w:spacing w:beforeLines="50" w:line="317" w:lineRule="atLeast"/>
      <w:ind w:left="892" w:firstLine="200" w:firstLineChars="200"/>
      <w:textAlignment w:val="baseline"/>
    </w:pPr>
    <w:rPr>
      <w:sz w:val="24"/>
    </w:rPr>
  </w:style>
  <w:style w:type="paragraph" w:customStyle="1" w:styleId="77">
    <w:name w:val="_Style 1"/>
    <w:basedOn w:val="1"/>
    <w:qFormat/>
    <w:uiPriority w:val="0"/>
    <w:pPr>
      <w:ind w:firstLine="420" w:firstLineChars="200"/>
    </w:pPr>
    <w:rPr>
      <w:rFonts w:ascii="Calibri" w:hAnsi="Calibri"/>
      <w:kern w:val="2"/>
      <w:sz w:val="21"/>
      <w:szCs w:val="22"/>
    </w:rPr>
  </w:style>
  <w:style w:type="paragraph" w:customStyle="1" w:styleId="78">
    <w:name w:val="默认段落字体 Para Char"/>
    <w:basedOn w:val="1"/>
    <w:qFormat/>
    <w:uiPriority w:val="99"/>
    <w:rPr>
      <w:rFonts w:ascii="Tahoma" w:hAnsi="Tahoma"/>
      <w:sz w:val="24"/>
    </w:rPr>
  </w:style>
  <w:style w:type="paragraph" w:customStyle="1" w:styleId="79">
    <w:name w:val="样式 标题 4H4PIM 4h444headingbulletblbbsect 1.2.3.4Ref Hea..."/>
    <w:basedOn w:val="6"/>
    <w:next w:val="46"/>
    <w:qFormat/>
    <w:uiPriority w:val="99"/>
    <w:pPr>
      <w:tabs>
        <w:tab w:val="left" w:pos="432"/>
      </w:tabs>
      <w:spacing w:line="372" w:lineRule="auto"/>
    </w:pPr>
    <w:rPr>
      <w:rFonts w:ascii="宋体" w:hAnsi="Arial"/>
      <w:sz w:val="32"/>
      <w:lang w:val="zh-CN"/>
    </w:rPr>
  </w:style>
  <w:style w:type="paragraph" w:customStyle="1" w:styleId="80">
    <w:name w:val="正文文字"/>
    <w:basedOn w:val="1"/>
    <w:qFormat/>
    <w:uiPriority w:val="99"/>
    <w:pPr>
      <w:spacing w:after="120"/>
    </w:pPr>
    <w:rPr>
      <w:sz w:val="24"/>
    </w:rPr>
  </w:style>
  <w:style w:type="paragraph" w:customStyle="1" w:styleId="81">
    <w:name w:val="Char1"/>
    <w:basedOn w:val="1"/>
    <w:qFormat/>
    <w:uiPriority w:val="99"/>
    <w:pPr>
      <w:spacing w:line="240" w:lineRule="atLeast"/>
      <w:ind w:left="420" w:firstLine="420"/>
    </w:pPr>
    <w:rPr>
      <w:szCs w:val="21"/>
    </w:rPr>
  </w:style>
  <w:style w:type="paragraph" w:customStyle="1" w:styleId="82">
    <w:name w:val="5"/>
    <w:basedOn w:val="1"/>
    <w:next w:val="14"/>
    <w:qFormat/>
    <w:uiPriority w:val="99"/>
    <w:pPr>
      <w:ind w:firstLine="200" w:firstLineChars="200"/>
    </w:pPr>
    <w:rPr>
      <w:rFonts w:ascii="Verdana" w:hAnsi="Verdana"/>
      <w:sz w:val="24"/>
    </w:rPr>
  </w:style>
  <w:style w:type="paragraph" w:customStyle="1" w:styleId="83">
    <w:name w:val="Char Char Char Char Char Char Char Char Char Char Char Char Char"/>
    <w:basedOn w:val="1"/>
    <w:qFormat/>
    <w:uiPriority w:val="99"/>
    <w:pPr>
      <w:spacing w:line="240" w:lineRule="atLeast"/>
      <w:ind w:left="420" w:firstLine="420"/>
    </w:pPr>
    <w:rPr>
      <w:szCs w:val="21"/>
    </w:rPr>
  </w:style>
  <w:style w:type="paragraph" w:customStyle="1" w:styleId="84">
    <w:name w:val="样式 标题 3 + 段前: 6 磅 段后: 6 磅 行距: 1.5 倍行距"/>
    <w:basedOn w:val="5"/>
    <w:qFormat/>
    <w:uiPriority w:val="99"/>
    <w:pPr>
      <w:tabs>
        <w:tab w:val="left" w:pos="432"/>
        <w:tab w:val="left" w:pos="720"/>
      </w:tabs>
      <w:spacing w:before="120" w:after="120" w:line="360" w:lineRule="auto"/>
    </w:pPr>
    <w:rPr>
      <w:rFonts w:cs="宋体"/>
      <w:szCs w:val="20"/>
      <w:lang w:val="zh-CN"/>
    </w:rPr>
  </w:style>
  <w:style w:type="paragraph" w:customStyle="1" w:styleId="85">
    <w:name w:val="普通(网站)1"/>
    <w:basedOn w:val="1"/>
    <w:qFormat/>
    <w:uiPriority w:val="2"/>
    <w:pPr>
      <w:widowControl/>
      <w:spacing w:before="100" w:after="100"/>
      <w:jc w:val="left"/>
    </w:pPr>
    <w:rPr>
      <w:rFonts w:ascii="Arial Unicode MS" w:hAnsi="Arial Unicode MS" w:eastAsia="Arial Unicode MS" w:cs="Arial Unicode MS"/>
      <w:sz w:val="24"/>
    </w:rPr>
  </w:style>
  <w:style w:type="paragraph" w:customStyle="1" w:styleId="86">
    <w:name w:val="16"/>
    <w:basedOn w:val="1"/>
    <w:qFormat/>
    <w:uiPriority w:val="99"/>
    <w:pPr>
      <w:widowControl/>
      <w:snapToGrid w:val="0"/>
      <w:spacing w:before="100" w:beforeAutospacing="1" w:after="100" w:afterAutospacing="1" w:line="480" w:lineRule="atLeast"/>
      <w:ind w:hanging="10304"/>
    </w:pPr>
    <w:rPr>
      <w:rFonts w:cs="宋体"/>
      <w:sz w:val="28"/>
      <w:szCs w:val="28"/>
    </w:rPr>
  </w:style>
  <w:style w:type="paragraph" w:customStyle="1" w:styleId="87">
    <w:name w:val="font6"/>
    <w:basedOn w:val="1"/>
    <w:qFormat/>
    <w:uiPriority w:val="99"/>
    <w:pPr>
      <w:widowControl/>
      <w:spacing w:before="100" w:beforeAutospacing="1" w:after="100" w:afterAutospacing="1"/>
      <w:jc w:val="left"/>
    </w:pPr>
    <w:rPr>
      <w:szCs w:val="21"/>
    </w:rPr>
  </w:style>
  <w:style w:type="paragraph" w:customStyle="1" w:styleId="88">
    <w:name w:val="xl35"/>
    <w:basedOn w:val="1"/>
    <w:qFormat/>
    <w:uiPriority w:val="99"/>
    <w:pPr>
      <w:widowControl/>
      <w:pBdr>
        <w:left w:val="single" w:color="auto" w:sz="8" w:space="0"/>
        <w:right w:val="single" w:color="auto" w:sz="8" w:space="0"/>
      </w:pBdr>
      <w:spacing w:before="100" w:beforeAutospacing="1" w:after="100" w:afterAutospacing="1"/>
      <w:textAlignment w:val="top"/>
    </w:pPr>
    <w:rPr>
      <w:color w:val="FF0000"/>
      <w:szCs w:val="21"/>
    </w:rPr>
  </w:style>
  <w:style w:type="paragraph" w:customStyle="1" w:styleId="89">
    <w:name w:val="xl39"/>
    <w:basedOn w:val="1"/>
    <w:qFormat/>
    <w:uiPriority w:val="99"/>
    <w:pPr>
      <w:widowControl/>
      <w:spacing w:before="100" w:beforeAutospacing="1" w:after="100" w:afterAutospacing="1"/>
      <w:jc w:val="left"/>
    </w:pPr>
    <w:rPr>
      <w:rFonts w:cs="宋体"/>
      <w:sz w:val="24"/>
    </w:rPr>
  </w:style>
  <w:style w:type="paragraph" w:customStyle="1" w:styleId="90">
    <w:name w:val="三级条标题"/>
    <w:basedOn w:val="91"/>
    <w:next w:val="94"/>
    <w:qFormat/>
    <w:uiPriority w:val="99"/>
    <w:pPr>
      <w:tabs>
        <w:tab w:val="left" w:pos="0"/>
        <w:tab w:val="left" w:pos="840"/>
      </w:tabs>
      <w:outlineLvl w:val="4"/>
    </w:pPr>
  </w:style>
  <w:style w:type="paragraph" w:customStyle="1" w:styleId="91">
    <w:name w:val="二级条标题"/>
    <w:basedOn w:val="92"/>
    <w:next w:val="94"/>
    <w:qFormat/>
    <w:uiPriority w:val="99"/>
    <w:pPr>
      <w:tabs>
        <w:tab w:val="left" w:pos="0"/>
        <w:tab w:val="left" w:pos="840"/>
      </w:tabs>
      <w:outlineLvl w:val="3"/>
    </w:pPr>
  </w:style>
  <w:style w:type="paragraph" w:customStyle="1" w:styleId="92">
    <w:name w:val="一级条标题"/>
    <w:basedOn w:val="93"/>
    <w:next w:val="94"/>
    <w:qFormat/>
    <w:uiPriority w:val="99"/>
    <w:pPr>
      <w:tabs>
        <w:tab w:val="left" w:pos="0"/>
        <w:tab w:val="left" w:pos="840"/>
      </w:tabs>
      <w:spacing w:before="0" w:after="0"/>
      <w:ind w:left="0" w:firstLine="0"/>
      <w:outlineLvl w:val="2"/>
    </w:pPr>
  </w:style>
  <w:style w:type="paragraph" w:customStyle="1" w:styleId="93">
    <w:name w:val="章标题"/>
    <w:next w:val="94"/>
    <w:qFormat/>
    <w:uiPriority w:val="99"/>
    <w:pPr>
      <w:tabs>
        <w:tab w:val="left" w:pos="840"/>
      </w:tabs>
      <w:spacing w:before="50" w:after="50"/>
      <w:ind w:left="840" w:hanging="420"/>
      <w:jc w:val="both"/>
      <w:outlineLvl w:val="1"/>
    </w:pPr>
    <w:rPr>
      <w:rFonts w:ascii="黑体" w:hAnsi="黑体" w:eastAsia="宋体" w:cs="Times New Roman"/>
      <w:sz w:val="21"/>
      <w:lang w:val="en-US" w:eastAsia="zh-CN" w:bidi="ar-SA"/>
    </w:rPr>
  </w:style>
  <w:style w:type="paragraph" w:customStyle="1" w:styleId="94">
    <w:name w:val="段"/>
    <w:qFormat/>
    <w:uiPriority w:val="99"/>
    <w:pPr>
      <w:tabs>
        <w:tab w:val="left" w:pos="0"/>
      </w:tabs>
      <w:autoSpaceDE w:val="0"/>
      <w:autoSpaceDN w:val="0"/>
      <w:ind w:firstLine="200"/>
      <w:jc w:val="both"/>
    </w:pPr>
    <w:rPr>
      <w:rFonts w:ascii="宋体" w:hAnsi="Times New Roman" w:eastAsia="宋体" w:cs="Times New Roman"/>
      <w:sz w:val="21"/>
      <w:lang w:val="en-US" w:eastAsia="zh-CN" w:bidi="ar-SA"/>
    </w:rPr>
  </w:style>
  <w:style w:type="paragraph" w:customStyle="1" w:styleId="95">
    <w:name w:val="Char Char1 Char Char Char Char Char Char1"/>
    <w:basedOn w:val="1"/>
    <w:qFormat/>
    <w:uiPriority w:val="99"/>
    <w:rPr>
      <w:rFonts w:ascii="Tahoma" w:hAnsi="Tahoma"/>
      <w:sz w:val="24"/>
    </w:rPr>
  </w:style>
  <w:style w:type="paragraph" w:customStyle="1" w:styleId="96">
    <w:name w:val="xl24"/>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szCs w:val="21"/>
    </w:rPr>
  </w:style>
  <w:style w:type="paragraph" w:customStyle="1" w:styleId="97">
    <w:name w:val="0"/>
    <w:basedOn w:val="1"/>
    <w:qFormat/>
    <w:uiPriority w:val="99"/>
    <w:pPr>
      <w:widowControl/>
      <w:snapToGrid w:val="0"/>
      <w:jc w:val="left"/>
    </w:pPr>
    <w:rPr>
      <w:szCs w:val="21"/>
    </w:rPr>
  </w:style>
  <w:style w:type="paragraph" w:customStyle="1" w:styleId="98">
    <w:name w:val="默认段落字体 Para Char Char Char1 Char"/>
    <w:basedOn w:val="1"/>
    <w:qFormat/>
    <w:uiPriority w:val="99"/>
    <w:pPr>
      <w:spacing w:line="360" w:lineRule="auto"/>
      <w:ind w:left="420" w:firstLine="420"/>
      <w:jc w:val="center"/>
    </w:pPr>
    <w:rPr>
      <w:szCs w:val="21"/>
    </w:rPr>
  </w:style>
  <w:style w:type="paragraph" w:customStyle="1" w:styleId="99">
    <w:name w:val="p15"/>
    <w:basedOn w:val="1"/>
    <w:qFormat/>
    <w:uiPriority w:val="99"/>
    <w:pPr>
      <w:widowControl/>
      <w:spacing w:line="360" w:lineRule="auto"/>
    </w:pPr>
    <w:rPr>
      <w:sz w:val="24"/>
    </w:rPr>
  </w:style>
  <w:style w:type="paragraph" w:customStyle="1" w:styleId="100">
    <w:name w:val="样式 (西文) 宋体 首行缩进:  0.85 厘米"/>
    <w:qFormat/>
    <w:uiPriority w:val="99"/>
    <w:pPr>
      <w:widowControl w:val="0"/>
      <w:spacing w:line="360" w:lineRule="auto"/>
      <w:ind w:firstLine="200" w:firstLineChars="200"/>
      <w:jc w:val="both"/>
    </w:pPr>
    <w:rPr>
      <w:rFonts w:ascii="宋体" w:hAnsi="Times New Roman" w:eastAsia="宋体" w:cs="宋体"/>
      <w:kern w:val="2"/>
      <w:sz w:val="24"/>
      <w:lang w:val="en-US" w:eastAsia="zh-CN" w:bidi="ar-SA"/>
    </w:rPr>
  </w:style>
  <w:style w:type="paragraph" w:customStyle="1" w:styleId="101">
    <w:name w:val="样式 标题 4"/>
    <w:basedOn w:val="6"/>
    <w:next w:val="1"/>
    <w:qFormat/>
    <w:uiPriority w:val="99"/>
    <w:pPr>
      <w:tabs>
        <w:tab w:val="left" w:pos="432"/>
      </w:tabs>
      <w:spacing w:line="377" w:lineRule="auto"/>
      <w:jc w:val="left"/>
    </w:pPr>
    <w:rPr>
      <w:rFonts w:ascii="宋体" w:hAnsi="宋体" w:eastAsia="黑体"/>
      <w:lang w:val="zh-CN"/>
    </w:rPr>
  </w:style>
  <w:style w:type="paragraph" w:customStyle="1" w:styleId="102">
    <w:name w:val="正文缩进1"/>
    <w:basedOn w:val="1"/>
    <w:qFormat/>
    <w:uiPriority w:val="99"/>
    <w:pPr>
      <w:widowControl/>
      <w:spacing w:line="360" w:lineRule="auto"/>
      <w:ind w:firstLine="420" w:firstLineChars="200"/>
      <w:jc w:val="left"/>
    </w:pPr>
    <w:rPr>
      <w:rFonts w:ascii="Calibri" w:hAnsi="Calibri" w:eastAsia="幼圆"/>
      <w:sz w:val="24"/>
    </w:rPr>
  </w:style>
  <w:style w:type="paragraph" w:customStyle="1" w:styleId="103">
    <w:name w:val="自定义正文"/>
    <w:basedOn w:val="1"/>
    <w:qFormat/>
    <w:uiPriority w:val="99"/>
    <w:pPr>
      <w:spacing w:line="360" w:lineRule="auto"/>
      <w:ind w:firstLine="200" w:firstLineChars="200"/>
    </w:pPr>
    <w:rPr>
      <w:sz w:val="24"/>
    </w:rPr>
  </w:style>
  <w:style w:type="paragraph" w:customStyle="1" w:styleId="104">
    <w:name w:val="_Style 5"/>
    <w:basedOn w:val="1"/>
    <w:qFormat/>
    <w:uiPriority w:val="34"/>
    <w:pPr>
      <w:ind w:firstLine="420"/>
    </w:pPr>
  </w:style>
  <w:style w:type="paragraph" w:customStyle="1" w:styleId="105">
    <w:name w:val="xl36"/>
    <w:basedOn w:val="1"/>
    <w:qFormat/>
    <w:uiPriority w:val="99"/>
    <w:pPr>
      <w:widowControl/>
      <w:pBdr>
        <w:right w:val="single" w:color="auto" w:sz="8" w:space="0"/>
      </w:pBdr>
      <w:spacing w:before="100" w:beforeAutospacing="1" w:after="100" w:afterAutospacing="1"/>
      <w:textAlignment w:val="top"/>
    </w:pPr>
    <w:rPr>
      <w:rFonts w:cs="宋体"/>
      <w:color w:val="FF0000"/>
      <w:szCs w:val="21"/>
    </w:rPr>
  </w:style>
  <w:style w:type="paragraph" w:customStyle="1" w:styleId="106">
    <w:name w:val="Char Char Char Char Char Char Char Char Char Char Char Char Char Char Char Char Char Char Char Char Char Char Char"/>
    <w:basedOn w:val="1"/>
    <w:qFormat/>
    <w:uiPriority w:val="99"/>
    <w:pPr>
      <w:spacing w:line="240" w:lineRule="atLeast"/>
      <w:ind w:left="420" w:firstLine="420"/>
    </w:pPr>
    <w:rPr>
      <w:szCs w:val="21"/>
    </w:rPr>
  </w:style>
  <w:style w:type="paragraph" w:customStyle="1" w:styleId="107">
    <w:name w:val="xl37"/>
    <w:basedOn w:val="1"/>
    <w:qFormat/>
    <w:uiPriority w:val="99"/>
    <w:pPr>
      <w:widowControl/>
      <w:pBdr>
        <w:right w:val="single" w:color="auto" w:sz="8" w:space="0"/>
      </w:pBdr>
      <w:spacing w:before="100" w:beforeAutospacing="1" w:after="100" w:afterAutospacing="1"/>
      <w:textAlignment w:val="top"/>
    </w:pPr>
    <w:rPr>
      <w:color w:val="FF0000"/>
      <w:szCs w:val="21"/>
    </w:rPr>
  </w:style>
  <w:style w:type="paragraph" w:customStyle="1" w:styleId="108">
    <w:name w:val="文档正文"/>
    <w:qFormat/>
    <w:uiPriority w:val="99"/>
    <w:pPr>
      <w:widowControl w:val="0"/>
      <w:adjustRightInd w:val="0"/>
      <w:spacing w:line="360" w:lineRule="auto"/>
      <w:ind w:firstLine="561"/>
      <w:jc w:val="both"/>
      <w:textAlignment w:val="baseline"/>
    </w:pPr>
    <w:rPr>
      <w:rFonts w:ascii="Arial Narrow" w:hAnsi="Arial Narrow" w:eastAsia="宋体" w:cs="Times New Roman"/>
      <w:sz w:val="24"/>
      <w:szCs w:val="24"/>
      <w:lang w:val="en-US" w:eastAsia="zh-CN" w:bidi="ar-SA"/>
    </w:rPr>
  </w:style>
  <w:style w:type="paragraph" w:customStyle="1" w:styleId="109">
    <w:name w:val="样式 首行缩进:  0.85 厘米"/>
    <w:basedOn w:val="1"/>
    <w:qFormat/>
    <w:uiPriority w:val="99"/>
    <w:pPr>
      <w:spacing w:line="360" w:lineRule="auto"/>
      <w:ind w:firstLine="200" w:firstLineChars="200"/>
    </w:pPr>
    <w:rPr>
      <w:rFonts w:cs="宋体"/>
      <w:sz w:val="24"/>
    </w:rPr>
  </w:style>
  <w:style w:type="paragraph" w:customStyle="1" w:styleId="110">
    <w:name w:val="南充正文"/>
    <w:basedOn w:val="24"/>
    <w:next w:val="24"/>
    <w:qFormat/>
    <w:uiPriority w:val="0"/>
    <w:pPr>
      <w:ind w:firstLine="420" w:firstLineChars="200"/>
    </w:pPr>
    <w:rPr>
      <w:rFonts w:hAnsi="宋体"/>
      <w:sz w:val="28"/>
      <w:szCs w:val="22"/>
    </w:rPr>
  </w:style>
  <w:style w:type="paragraph" w:customStyle="1" w:styleId="111">
    <w:name w:val="正文标准格式"/>
    <w:qFormat/>
    <w:uiPriority w:val="0"/>
    <w:pPr>
      <w:spacing w:line="360" w:lineRule="auto"/>
      <w:ind w:firstLine="420" w:firstLineChars="200"/>
      <w:jc w:val="center"/>
    </w:pPr>
    <w:rPr>
      <w:rFonts w:ascii="华文细黑" w:hAnsi="华文细黑" w:eastAsia="华文细黑" w:cs="Times New Roman"/>
      <w:kern w:val="2"/>
      <w:sz w:val="21"/>
      <w:szCs w:val="21"/>
      <w:lang w:val="en-US" w:eastAsia="zh-CN" w:bidi="ar-SA"/>
    </w:rPr>
  </w:style>
  <w:style w:type="paragraph" w:customStyle="1" w:styleId="112">
    <w:name w:val="xl38"/>
    <w:basedOn w:val="1"/>
    <w:qFormat/>
    <w:uiPriority w:val="99"/>
    <w:pPr>
      <w:widowControl/>
      <w:pBdr>
        <w:top w:val="single" w:color="auto" w:sz="4" w:space="0"/>
        <w:bottom w:val="single" w:color="auto" w:sz="4" w:space="0"/>
      </w:pBdr>
      <w:spacing w:before="100" w:beforeAutospacing="1" w:after="100" w:afterAutospacing="1"/>
      <w:jc w:val="left"/>
      <w:textAlignment w:val="top"/>
    </w:pPr>
    <w:rPr>
      <w:rFonts w:cs="宋体"/>
      <w:szCs w:val="21"/>
    </w:rPr>
  </w:style>
  <w:style w:type="paragraph" w:customStyle="1" w:styleId="113">
    <w:name w:val="缩进正文"/>
    <w:basedOn w:val="1"/>
    <w:qFormat/>
    <w:uiPriority w:val="99"/>
    <w:pPr>
      <w:widowControl/>
      <w:spacing w:line="360" w:lineRule="auto"/>
      <w:ind w:firstLine="200" w:firstLineChars="200"/>
      <w:jc w:val="left"/>
    </w:pPr>
    <w:rPr>
      <w:rFonts w:eastAsia="楷体_GB2312"/>
      <w:sz w:val="24"/>
    </w:rPr>
  </w:style>
  <w:style w:type="paragraph" w:customStyle="1" w:styleId="114">
    <w:name w:val="font5"/>
    <w:basedOn w:val="1"/>
    <w:qFormat/>
    <w:uiPriority w:val="99"/>
    <w:pPr>
      <w:widowControl/>
      <w:spacing w:before="100" w:beforeAutospacing="1" w:after="100" w:afterAutospacing="1"/>
      <w:jc w:val="left"/>
    </w:pPr>
    <w:rPr>
      <w:rFonts w:cs="宋体"/>
      <w:sz w:val="18"/>
      <w:szCs w:val="18"/>
    </w:rPr>
  </w:style>
  <w:style w:type="paragraph" w:customStyle="1" w:styleId="115">
    <w:name w:val="xl33"/>
    <w:basedOn w:val="1"/>
    <w:qFormat/>
    <w:uiPriority w:val="99"/>
    <w:pPr>
      <w:widowControl/>
      <w:pBdr>
        <w:left w:val="single" w:color="auto" w:sz="8" w:space="0"/>
        <w:bottom w:val="single" w:color="auto" w:sz="8" w:space="0"/>
        <w:right w:val="single" w:color="auto" w:sz="8" w:space="0"/>
      </w:pBdr>
      <w:spacing w:before="100" w:beforeAutospacing="1" w:after="100" w:afterAutospacing="1"/>
      <w:textAlignment w:val="top"/>
    </w:pPr>
    <w:rPr>
      <w:rFonts w:cs="宋体"/>
      <w:szCs w:val="21"/>
    </w:rPr>
  </w:style>
  <w:style w:type="paragraph" w:customStyle="1" w:styleId="116">
    <w:name w:val="样式 正文首行缩进 + 首行缩进:  0 字符"/>
    <w:basedOn w:val="10"/>
    <w:qFormat/>
    <w:uiPriority w:val="99"/>
    <w:pPr>
      <w:spacing w:after="0" w:line="360" w:lineRule="auto"/>
      <w:ind w:firstLine="0" w:firstLineChars="0"/>
    </w:pPr>
    <w:rPr>
      <w:rFonts w:cs="宋体"/>
      <w:sz w:val="24"/>
      <w:szCs w:val="20"/>
      <w:lang w:val="zh-CN"/>
    </w:rPr>
  </w:style>
  <w:style w:type="paragraph" w:customStyle="1" w:styleId="117">
    <w:name w:val="样式1"/>
    <w:next w:val="17"/>
    <w:qFormat/>
    <w:uiPriority w:val="99"/>
    <w:pPr>
      <w:widowControl w:val="0"/>
      <w:ind w:firstLine="200" w:firstLineChars="200"/>
      <w:jc w:val="both"/>
    </w:pPr>
    <w:rPr>
      <w:rFonts w:ascii="Times New Roman" w:hAnsi="Times New Roman" w:eastAsia="仿宋_GB2312" w:cs="Times New Roman"/>
      <w:kern w:val="2"/>
      <w:sz w:val="32"/>
      <w:lang w:val="en-US" w:eastAsia="zh-CN" w:bidi="ar-SA"/>
    </w:rPr>
  </w:style>
  <w:style w:type="paragraph" w:customStyle="1" w:styleId="118">
    <w:name w:val="Char Char4 Char Char"/>
    <w:basedOn w:val="1"/>
    <w:qFormat/>
    <w:uiPriority w:val="99"/>
    <w:pPr>
      <w:widowControl/>
      <w:adjustRightInd w:val="0"/>
      <w:spacing w:line="360" w:lineRule="auto"/>
      <w:jc w:val="left"/>
    </w:pPr>
    <w:rPr>
      <w:rFonts w:hAnsi="宋体" w:cs="宋体"/>
      <w:sz w:val="24"/>
    </w:rPr>
  </w:style>
  <w:style w:type="paragraph" w:customStyle="1" w:styleId="119">
    <w:name w:val="xl26"/>
    <w:basedOn w:val="1"/>
    <w:qFormat/>
    <w:uiPriority w:val="99"/>
    <w:pPr>
      <w:widowControl/>
      <w:pBdr>
        <w:top w:val="single" w:color="auto" w:sz="8" w:space="0"/>
        <w:bottom w:val="single" w:color="auto" w:sz="8" w:space="0"/>
        <w:right w:val="single" w:color="auto" w:sz="8" w:space="0"/>
      </w:pBdr>
      <w:spacing w:before="100" w:beforeAutospacing="1" w:after="100" w:afterAutospacing="1"/>
      <w:textAlignment w:val="top"/>
    </w:pPr>
    <w:rPr>
      <w:szCs w:val="21"/>
    </w:rPr>
  </w:style>
  <w:style w:type="paragraph" w:customStyle="1" w:styleId="120">
    <w:name w:val="样式 宋体 小四 行距: 1.5 倍行距"/>
    <w:qFormat/>
    <w:uiPriority w:val="99"/>
    <w:pPr>
      <w:widowControl w:val="0"/>
      <w:spacing w:before="100" w:beforeAutospacing="1" w:after="100" w:afterAutospacing="1" w:line="360" w:lineRule="auto"/>
      <w:ind w:firstLine="200" w:firstLineChars="200"/>
      <w:jc w:val="both"/>
    </w:pPr>
    <w:rPr>
      <w:rFonts w:ascii="宋体" w:hAnsi="Times New Roman" w:eastAsia="宋体" w:cs="宋体"/>
      <w:kern w:val="2"/>
      <w:sz w:val="24"/>
      <w:lang w:val="en-US" w:eastAsia="zh-CN" w:bidi="ar-SA"/>
    </w:rPr>
  </w:style>
  <w:style w:type="paragraph" w:customStyle="1" w:styleId="121">
    <w:name w:val="Char Char1 Char Char Char Char Char Char Char Char Char Char Char Char Char Char Char"/>
    <w:basedOn w:val="1"/>
    <w:qFormat/>
    <w:uiPriority w:val="99"/>
    <w:pPr>
      <w:widowControl/>
      <w:spacing w:after="160" w:line="240" w:lineRule="exact"/>
      <w:jc w:val="left"/>
    </w:pPr>
    <w:rPr>
      <w:rFonts w:ascii="Verdana" w:hAnsi="Verdana"/>
      <w:sz w:val="20"/>
    </w:rPr>
  </w:style>
  <w:style w:type="paragraph" w:customStyle="1" w:styleId="122">
    <w:name w:val="p0"/>
    <w:basedOn w:val="1"/>
    <w:qFormat/>
    <w:uiPriority w:val="99"/>
    <w:pPr>
      <w:widowControl/>
      <w:spacing w:before="100" w:beforeAutospacing="1" w:after="100" w:afterAutospacing="1"/>
      <w:jc w:val="left"/>
    </w:pPr>
    <w:rPr>
      <w:rFonts w:hAnsi="宋体" w:cs="宋体"/>
      <w:sz w:val="24"/>
    </w:rPr>
  </w:style>
  <w:style w:type="paragraph" w:customStyle="1" w:styleId="123">
    <w:name w:val="Char Char Char Char1 Char Char"/>
    <w:basedOn w:val="1"/>
    <w:qFormat/>
    <w:uiPriority w:val="99"/>
    <w:pPr>
      <w:spacing w:line="240" w:lineRule="atLeast"/>
      <w:ind w:left="420" w:firstLine="420"/>
    </w:pPr>
    <w:rPr>
      <w:szCs w:val="21"/>
    </w:rPr>
  </w:style>
  <w:style w:type="paragraph" w:customStyle="1" w:styleId="124">
    <w:name w:val="Char Char Char Char Char Char1 Char"/>
    <w:basedOn w:val="1"/>
    <w:qFormat/>
    <w:uiPriority w:val="99"/>
    <w:pPr>
      <w:widowControl/>
      <w:spacing w:after="160" w:line="240" w:lineRule="exact"/>
      <w:jc w:val="left"/>
    </w:pPr>
    <w:rPr>
      <w:rFonts w:ascii="Verdana" w:hAnsi="Verdana"/>
    </w:rPr>
  </w:style>
  <w:style w:type="paragraph" w:customStyle="1" w:styleId="125">
    <w:name w:val="样式 样式 宋体 小四 行距: 1.5 倍行距 + ?? o???"/>
    <w:basedOn w:val="46"/>
    <w:qFormat/>
    <w:uiPriority w:val="99"/>
    <w:rPr>
      <w:rFonts w:ascii="??" w:hAnsi="??"/>
      <w:color w:val="000000"/>
    </w:rPr>
  </w:style>
  <w:style w:type="paragraph" w:customStyle="1" w:styleId="126">
    <w:name w:val="项目2"/>
    <w:basedOn w:val="1"/>
    <w:qFormat/>
    <w:uiPriority w:val="99"/>
    <w:pPr>
      <w:tabs>
        <w:tab w:val="left" w:pos="432"/>
      </w:tabs>
      <w:spacing w:before="60" w:after="60" w:line="300" w:lineRule="auto"/>
      <w:ind w:left="432" w:hanging="432"/>
    </w:pPr>
    <w:rPr>
      <w:sz w:val="24"/>
    </w:rPr>
  </w:style>
  <w:style w:type="paragraph" w:customStyle="1" w:styleId="127">
    <w:name w:val="WPSOffice手动目录 1"/>
    <w:qFormat/>
    <w:uiPriority w:val="0"/>
    <w:rPr>
      <w:rFonts w:ascii="Times New Roman" w:hAnsi="Times New Roman" w:eastAsia="宋体" w:cs="Times New Roman"/>
      <w:lang w:val="en-US" w:eastAsia="zh-CN" w:bidi="ar-SA"/>
    </w:rPr>
  </w:style>
  <w:style w:type="paragraph" w:customStyle="1" w:styleId="128">
    <w:name w:val="中等深浅网格 1 - 着色 21"/>
    <w:next w:val="98"/>
    <w:qFormat/>
    <w:uiPriority w:val="99"/>
    <w:pPr>
      <w:widowControl w:val="0"/>
      <w:ind w:firstLine="200" w:firstLineChars="200"/>
      <w:jc w:val="both"/>
    </w:pPr>
    <w:rPr>
      <w:rFonts w:ascii="Calibri" w:hAnsi="Calibri" w:eastAsia="宋体" w:cs="Times New Roman"/>
      <w:kern w:val="2"/>
      <w:sz w:val="21"/>
      <w:szCs w:val="22"/>
      <w:lang w:val="en-US" w:eastAsia="zh-CN" w:bidi="ar-SA"/>
    </w:rPr>
  </w:style>
  <w:style w:type="paragraph" w:customStyle="1" w:styleId="129">
    <w:name w:val="Bullet"/>
    <w:qFormat/>
    <w:uiPriority w:val="99"/>
    <w:pPr>
      <w:widowControl w:val="0"/>
      <w:autoSpaceDE w:val="0"/>
      <w:autoSpaceDN w:val="0"/>
      <w:ind w:left="288" w:hanging="288"/>
    </w:pPr>
    <w:rPr>
      <w:rFonts w:ascii="Times New Roman" w:hAnsi="Times New Roman" w:eastAsia="宋体" w:cs="Times New Roman"/>
      <w:color w:val="000000"/>
      <w:sz w:val="24"/>
      <w:lang w:val="en-US" w:eastAsia="zh-CN" w:bidi="ar-SA"/>
    </w:rPr>
  </w:style>
  <w:style w:type="paragraph" w:customStyle="1" w:styleId="130">
    <w:name w:val="样式5"/>
    <w:qFormat/>
    <w:uiPriority w:val="99"/>
    <w:pPr>
      <w:widowControl w:val="0"/>
      <w:spacing w:line="360" w:lineRule="auto"/>
      <w:ind w:firstLine="200" w:firstLineChars="200"/>
      <w:jc w:val="both"/>
    </w:pPr>
    <w:rPr>
      <w:rFonts w:ascii="仿宋_GB2312" w:hAnsi="Times New Roman" w:eastAsia="仿宋_GB2312" w:cs="Times New Roman"/>
      <w:kern w:val="2"/>
      <w:sz w:val="28"/>
      <w:szCs w:val="24"/>
      <w:lang w:val="en-US" w:eastAsia="zh-CN" w:bidi="ar-SA"/>
    </w:rPr>
  </w:style>
  <w:style w:type="paragraph" w:customStyle="1" w:styleId="131">
    <w:name w:val="font7"/>
    <w:basedOn w:val="1"/>
    <w:qFormat/>
    <w:uiPriority w:val="99"/>
    <w:pPr>
      <w:widowControl/>
      <w:spacing w:before="100" w:beforeAutospacing="1" w:after="100" w:afterAutospacing="1"/>
      <w:jc w:val="left"/>
    </w:pPr>
    <w:rPr>
      <w:rFonts w:cs="宋体"/>
      <w:szCs w:val="21"/>
    </w:rPr>
  </w:style>
  <w:style w:type="paragraph" w:customStyle="1" w:styleId="132">
    <w:name w:val="xl30"/>
    <w:basedOn w:val="1"/>
    <w:qFormat/>
    <w:uiPriority w:val="99"/>
    <w:pPr>
      <w:widowControl/>
      <w:pBdr>
        <w:left w:val="single" w:color="auto" w:sz="8" w:space="0"/>
        <w:bottom w:val="single" w:color="auto" w:sz="8" w:space="0"/>
        <w:right w:val="single" w:color="auto" w:sz="8" w:space="0"/>
      </w:pBdr>
      <w:spacing w:before="100" w:beforeAutospacing="1" w:after="100" w:afterAutospacing="1"/>
      <w:textAlignment w:val="top"/>
    </w:pPr>
    <w:rPr>
      <w:color w:val="FF0000"/>
      <w:szCs w:val="21"/>
    </w:rPr>
  </w:style>
  <w:style w:type="paragraph" w:customStyle="1" w:styleId="133">
    <w:name w:val="样式 行距: 最小值 25 磅 首行缩进:  2 字符1"/>
    <w:basedOn w:val="1"/>
    <w:qFormat/>
    <w:uiPriority w:val="99"/>
    <w:pPr>
      <w:spacing w:after="120" w:line="360" w:lineRule="auto"/>
      <w:ind w:firstLine="200" w:firstLineChars="200"/>
      <w:contextualSpacing/>
    </w:pPr>
    <w:rPr>
      <w:rFonts w:cs="宋体"/>
      <w:sz w:val="24"/>
    </w:rPr>
  </w:style>
  <w:style w:type="paragraph" w:customStyle="1" w:styleId="134">
    <w:name w:val="15"/>
    <w:basedOn w:val="1"/>
    <w:qFormat/>
    <w:uiPriority w:val="99"/>
    <w:pPr>
      <w:widowControl/>
      <w:snapToGrid w:val="0"/>
      <w:spacing w:before="100" w:beforeAutospacing="1" w:after="100" w:afterAutospacing="1" w:line="360" w:lineRule="auto"/>
      <w:ind w:hanging="10304"/>
    </w:pPr>
    <w:rPr>
      <w:rFonts w:cs="宋体"/>
      <w:sz w:val="24"/>
    </w:rPr>
  </w:style>
  <w:style w:type="paragraph" w:customStyle="1" w:styleId="135">
    <w:name w:val="xl29"/>
    <w:basedOn w:val="1"/>
    <w:qFormat/>
    <w:uiPriority w:val="99"/>
    <w:pPr>
      <w:widowControl/>
      <w:pBdr>
        <w:bottom w:val="single" w:color="auto" w:sz="8" w:space="0"/>
        <w:right w:val="single" w:color="auto" w:sz="8" w:space="0"/>
      </w:pBdr>
      <w:spacing w:before="100" w:beforeAutospacing="1" w:after="100" w:afterAutospacing="1"/>
      <w:textAlignment w:val="top"/>
    </w:pPr>
    <w:rPr>
      <w:szCs w:val="21"/>
    </w:rPr>
  </w:style>
  <w:style w:type="paragraph" w:customStyle="1" w:styleId="136">
    <w:name w:val="Char4 Char Char1 Char"/>
    <w:basedOn w:val="1"/>
    <w:qFormat/>
    <w:uiPriority w:val="99"/>
    <w:rPr>
      <w:rFonts w:ascii="Tahoma" w:hAnsi="Tahoma"/>
      <w:sz w:val="24"/>
    </w:rPr>
  </w:style>
  <w:style w:type="paragraph" w:customStyle="1" w:styleId="137">
    <w:name w:val="四级条标题"/>
    <w:basedOn w:val="90"/>
    <w:next w:val="94"/>
    <w:qFormat/>
    <w:uiPriority w:val="99"/>
    <w:pPr>
      <w:outlineLvl w:val="5"/>
    </w:pPr>
  </w:style>
  <w:style w:type="paragraph" w:customStyle="1" w:styleId="138">
    <w:name w:val="Char Char Char Char Char Char Char Char Char Char Char Char Char Char1 Char Char Char Char"/>
    <w:basedOn w:val="1"/>
    <w:qFormat/>
    <w:uiPriority w:val="0"/>
    <w:rPr>
      <w:szCs w:val="21"/>
    </w:rPr>
  </w:style>
  <w:style w:type="paragraph" w:customStyle="1" w:styleId="139">
    <w:name w:val="列出段落2"/>
    <w:basedOn w:val="1"/>
    <w:qFormat/>
    <w:uiPriority w:val="34"/>
    <w:pPr>
      <w:spacing w:line="360" w:lineRule="auto"/>
      <w:ind w:firstLine="420" w:firstLineChars="200"/>
    </w:pPr>
    <w:rPr>
      <w:sz w:val="24"/>
    </w:rPr>
  </w:style>
  <w:style w:type="paragraph" w:customStyle="1" w:styleId="140">
    <w:name w:val="样式 首行缩进:  2 字符"/>
    <w:basedOn w:val="1"/>
    <w:qFormat/>
    <w:uiPriority w:val="99"/>
    <w:pPr>
      <w:spacing w:line="400" w:lineRule="exact"/>
      <w:ind w:firstLine="200" w:firstLineChars="200"/>
    </w:pPr>
    <w:rPr>
      <w:rFonts w:cs="宋体"/>
      <w:sz w:val="24"/>
    </w:rPr>
  </w:style>
  <w:style w:type="paragraph" w:customStyle="1" w:styleId="141">
    <w:name w:val="项目下文字"/>
    <w:basedOn w:val="1"/>
    <w:qFormat/>
    <w:uiPriority w:val="99"/>
    <w:pPr>
      <w:spacing w:before="120" w:after="120" w:line="360" w:lineRule="auto"/>
      <w:ind w:left="851" w:firstLine="471"/>
      <w:jc w:val="left"/>
      <w:textAlignment w:val="baseline"/>
    </w:pPr>
    <w:rPr>
      <w:sz w:val="24"/>
    </w:rPr>
  </w:style>
  <w:style w:type="paragraph" w:customStyle="1" w:styleId="142">
    <w:name w:val="样式 正文缩进 + 首行缩进:  2 字符"/>
    <w:basedOn w:val="14"/>
    <w:qFormat/>
    <w:uiPriority w:val="99"/>
    <w:pPr>
      <w:spacing w:line="360" w:lineRule="auto"/>
    </w:pPr>
    <w:rPr>
      <w:rFonts w:cs="宋体"/>
      <w:sz w:val="24"/>
    </w:rPr>
  </w:style>
  <w:style w:type="paragraph" w:customStyle="1" w:styleId="143">
    <w:name w:val="样式 宋体 五号"/>
    <w:basedOn w:val="1"/>
    <w:qFormat/>
    <w:uiPriority w:val="99"/>
    <w:pPr>
      <w:spacing w:line="360" w:lineRule="auto"/>
      <w:ind w:firstLine="200" w:firstLineChars="200"/>
    </w:pPr>
    <w:rPr>
      <w:rFonts w:cs="宋体"/>
      <w:sz w:val="24"/>
    </w:rPr>
  </w:style>
  <w:style w:type="paragraph" w:customStyle="1" w:styleId="144">
    <w:name w:val="表格标题"/>
    <w:basedOn w:val="1"/>
    <w:qFormat/>
    <w:uiPriority w:val="99"/>
    <w:pPr>
      <w:spacing w:line="360" w:lineRule="auto"/>
      <w:jc w:val="center"/>
    </w:pPr>
    <w:rPr>
      <w:rFonts w:ascii="仿宋_GB2312" w:eastAsia="仿宋_GB2312"/>
      <w:b/>
      <w:bCs/>
      <w:sz w:val="24"/>
      <w:lang w:val="zh-CN"/>
    </w:rPr>
  </w:style>
  <w:style w:type="paragraph" w:customStyle="1" w:styleId="145">
    <w:name w:val="xl25"/>
    <w:basedOn w:val="1"/>
    <w:qFormat/>
    <w:uiPriority w:val="99"/>
    <w:pPr>
      <w:widowControl/>
      <w:pBdr>
        <w:top w:val="single" w:color="auto" w:sz="8" w:space="0"/>
        <w:bottom w:val="single" w:color="auto" w:sz="8" w:space="0"/>
        <w:right w:val="single" w:color="auto" w:sz="8" w:space="0"/>
      </w:pBdr>
      <w:spacing w:before="100" w:beforeAutospacing="1" w:after="100" w:afterAutospacing="1"/>
      <w:textAlignment w:val="top"/>
    </w:pPr>
    <w:rPr>
      <w:rFonts w:cs="宋体"/>
      <w:szCs w:val="21"/>
    </w:rPr>
  </w:style>
  <w:style w:type="paragraph" w:customStyle="1" w:styleId="146">
    <w:name w:val="b3"/>
    <w:basedOn w:val="1"/>
    <w:qFormat/>
    <w:uiPriority w:val="99"/>
    <w:pPr>
      <w:tabs>
        <w:tab w:val="left" w:pos="900"/>
      </w:tabs>
      <w:spacing w:beforeLines="50" w:afterLines="50"/>
      <w:ind w:left="900" w:hanging="420"/>
      <w:outlineLvl w:val="2"/>
    </w:pPr>
  </w:style>
  <w:style w:type="paragraph" w:customStyle="1" w:styleId="147">
    <w:name w:val="正文首行缩进两字符"/>
    <w:basedOn w:val="1"/>
    <w:qFormat/>
    <w:uiPriority w:val="0"/>
    <w:pPr>
      <w:spacing w:line="360" w:lineRule="auto"/>
      <w:ind w:firstLine="200" w:firstLineChars="200"/>
    </w:pPr>
  </w:style>
  <w:style w:type="paragraph" w:customStyle="1" w:styleId="148">
    <w:name w:val="样式 样式 宋体 小四 行距: 1.5 倍行距 + 首行缩进:  2 字符"/>
    <w:basedOn w:val="120"/>
    <w:next w:val="46"/>
    <w:qFormat/>
    <w:uiPriority w:val="99"/>
    <w:pPr>
      <w:ind w:firstLine="480"/>
    </w:pPr>
    <w:rPr>
      <w:rFonts w:hAnsi="宋体"/>
    </w:rPr>
  </w:style>
  <w:style w:type="paragraph" w:customStyle="1" w:styleId="149">
    <w:name w:val="bullet"/>
    <w:basedOn w:val="1"/>
    <w:qFormat/>
    <w:uiPriority w:val="99"/>
    <w:pPr>
      <w:widowControl/>
      <w:tabs>
        <w:tab w:val="left" w:pos="840"/>
      </w:tabs>
      <w:autoSpaceDE w:val="0"/>
      <w:autoSpaceDN w:val="0"/>
      <w:spacing w:after="240"/>
      <w:ind w:left="840" w:hanging="360"/>
      <w:jc w:val="left"/>
    </w:pPr>
    <w:rPr>
      <w:sz w:val="24"/>
    </w:rPr>
  </w:style>
  <w:style w:type="paragraph" w:customStyle="1" w:styleId="150">
    <w:name w:val="xl27"/>
    <w:basedOn w:val="1"/>
    <w:qFormat/>
    <w:uiPriority w:val="99"/>
    <w:pPr>
      <w:widowControl/>
      <w:pBdr>
        <w:left w:val="single" w:color="auto" w:sz="8" w:space="0"/>
        <w:bottom w:val="single" w:color="auto" w:sz="8" w:space="0"/>
        <w:right w:val="single" w:color="auto" w:sz="8" w:space="0"/>
      </w:pBdr>
      <w:spacing w:before="100" w:beforeAutospacing="1" w:after="100" w:afterAutospacing="1"/>
      <w:textAlignment w:val="top"/>
    </w:pPr>
    <w:rPr>
      <w:szCs w:val="21"/>
    </w:rPr>
  </w:style>
  <w:style w:type="paragraph" w:customStyle="1" w:styleId="151">
    <w:name w:val="Char Char Char Char Char Char Char Char Char Char Char Char Char Char Char Char"/>
    <w:basedOn w:val="1"/>
    <w:qFormat/>
    <w:uiPriority w:val="99"/>
    <w:pPr>
      <w:tabs>
        <w:tab w:val="left" w:pos="360"/>
      </w:tabs>
    </w:pPr>
    <w:rPr>
      <w:sz w:val="24"/>
    </w:rPr>
  </w:style>
  <w:style w:type="paragraph" w:customStyle="1" w:styleId="152">
    <w:name w:val="没有缩进（为图形使用）"/>
    <w:basedOn w:val="1"/>
    <w:qFormat/>
    <w:uiPriority w:val="99"/>
    <w:pPr>
      <w:spacing w:before="120" w:after="120" w:line="360" w:lineRule="auto"/>
    </w:pPr>
    <w:rPr>
      <w:rFonts w:cs="宋体"/>
      <w:sz w:val="24"/>
    </w:rPr>
  </w:style>
  <w:style w:type="paragraph" w:customStyle="1" w:styleId="153">
    <w:name w:val="正文文本缩进1"/>
    <w:basedOn w:val="1"/>
    <w:next w:val="1"/>
    <w:qFormat/>
    <w:uiPriority w:val="99"/>
    <w:pPr>
      <w:widowControl/>
      <w:spacing w:after="120"/>
      <w:ind w:left="420"/>
    </w:pPr>
    <w:rPr>
      <w:color w:val="000000"/>
    </w:rPr>
  </w:style>
  <w:style w:type="paragraph" w:customStyle="1" w:styleId="154">
    <w:name w:val="xl31"/>
    <w:basedOn w:val="1"/>
    <w:qFormat/>
    <w:uiPriority w:val="99"/>
    <w:pPr>
      <w:widowControl/>
      <w:pBdr>
        <w:bottom w:val="single" w:color="auto" w:sz="8" w:space="0"/>
        <w:right w:val="single" w:color="auto" w:sz="8" w:space="0"/>
      </w:pBdr>
      <w:spacing w:before="100" w:beforeAutospacing="1" w:after="100" w:afterAutospacing="1"/>
      <w:textAlignment w:val="top"/>
    </w:pPr>
    <w:rPr>
      <w:rFonts w:cs="宋体"/>
      <w:color w:val="FF0000"/>
      <w:szCs w:val="21"/>
    </w:rPr>
  </w:style>
  <w:style w:type="paragraph" w:customStyle="1" w:styleId="155">
    <w:name w:val="Char Char4 Char Char1"/>
    <w:basedOn w:val="1"/>
    <w:qFormat/>
    <w:uiPriority w:val="99"/>
    <w:pPr>
      <w:widowControl/>
      <w:adjustRightInd w:val="0"/>
      <w:spacing w:line="360" w:lineRule="auto"/>
      <w:jc w:val="left"/>
    </w:pPr>
    <w:rPr>
      <w:rFonts w:hAnsi="宋体" w:cs="宋体"/>
      <w:sz w:val="24"/>
    </w:rPr>
  </w:style>
  <w:style w:type="paragraph" w:customStyle="1" w:styleId="156">
    <w:name w:val="五级条标题"/>
    <w:basedOn w:val="137"/>
    <w:next w:val="94"/>
    <w:qFormat/>
    <w:uiPriority w:val="99"/>
    <w:pPr>
      <w:outlineLvl w:val="6"/>
    </w:pPr>
  </w:style>
  <w:style w:type="paragraph" w:customStyle="1" w:styleId="157">
    <w:name w:val="样式 题注 + (西文) 宋体"/>
    <w:basedOn w:val="15"/>
    <w:qFormat/>
    <w:uiPriority w:val="99"/>
    <w:pPr>
      <w:spacing w:line="360" w:lineRule="auto"/>
      <w:jc w:val="center"/>
    </w:pPr>
    <w:rPr>
      <w:rFonts w:ascii="宋体" w:eastAsia="宋体"/>
      <w:sz w:val="21"/>
    </w:rPr>
  </w:style>
  <w:style w:type="paragraph" w:customStyle="1" w:styleId="158">
    <w:name w:val="表格文字"/>
    <w:basedOn w:val="1"/>
    <w:qFormat/>
    <w:uiPriority w:val="99"/>
    <w:pPr>
      <w:jc w:val="left"/>
    </w:pPr>
    <w:rPr>
      <w:rFonts w:ascii="Arial" w:hAnsi="Arial" w:eastAsia="仿宋_GB2312" w:cs="Arial"/>
      <w:sz w:val="18"/>
      <w:szCs w:val="18"/>
    </w:rPr>
  </w:style>
  <w:style w:type="paragraph" w:customStyle="1" w:styleId="159">
    <w:name w:val="Char Char2 Char Char2 Char Char Char Char Char Char"/>
    <w:basedOn w:val="46"/>
    <w:qFormat/>
    <w:uiPriority w:val="99"/>
    <w:pPr>
      <w:spacing w:line="240" w:lineRule="atLeast"/>
    </w:pPr>
    <w:rPr>
      <w:sz w:val="21"/>
      <w:szCs w:val="21"/>
    </w:rPr>
  </w:style>
  <w:style w:type="paragraph" w:customStyle="1" w:styleId="160">
    <w:name w:val="样式 正文首行缩进 + 首行缩进:  2 字符"/>
    <w:basedOn w:val="10"/>
    <w:qFormat/>
    <w:uiPriority w:val="99"/>
    <w:pPr>
      <w:spacing w:after="0" w:line="360" w:lineRule="auto"/>
      <w:ind w:firstLine="200" w:firstLineChars="200"/>
    </w:pPr>
    <w:rPr>
      <w:rFonts w:cs="宋体"/>
      <w:sz w:val="24"/>
      <w:szCs w:val="20"/>
      <w:lang w:val="zh-CN"/>
    </w:rPr>
  </w:style>
  <w:style w:type="paragraph" w:customStyle="1" w:styleId="161">
    <w:name w:val="样式 首行缩进:  2 字符 Char"/>
    <w:basedOn w:val="1"/>
    <w:qFormat/>
    <w:uiPriority w:val="99"/>
    <w:pPr>
      <w:spacing w:line="360" w:lineRule="auto"/>
      <w:ind w:firstLine="200" w:firstLineChars="200"/>
    </w:pPr>
    <w:rPr>
      <w:sz w:val="24"/>
    </w:rPr>
  </w:style>
  <w:style w:type="paragraph" w:customStyle="1" w:styleId="162">
    <w:name w:val="Char Char Char Char Char Char1 Char Char Char Char Char Char Char Char Char Char Char Char Char Char Char Char Char"/>
    <w:basedOn w:val="1"/>
    <w:qFormat/>
    <w:uiPriority w:val="99"/>
    <w:pPr>
      <w:widowControl/>
      <w:spacing w:after="160" w:line="240" w:lineRule="exact"/>
      <w:jc w:val="left"/>
    </w:pPr>
    <w:rPr>
      <w:rFonts w:ascii="Verdana" w:hAnsi="Verdana" w:eastAsia="仿宋_GB2312"/>
      <w:sz w:val="24"/>
    </w:rPr>
  </w:style>
  <w:style w:type="paragraph" w:customStyle="1" w:styleId="163">
    <w:name w:val="表格"/>
    <w:basedOn w:val="1"/>
    <w:qFormat/>
    <w:uiPriority w:val="0"/>
    <w:pPr>
      <w:spacing w:line="400" w:lineRule="exact"/>
    </w:pPr>
    <w:rPr>
      <w:sz w:val="24"/>
    </w:rPr>
  </w:style>
  <w:style w:type="paragraph" w:customStyle="1" w:styleId="164">
    <w:name w:val="xl28"/>
    <w:basedOn w:val="1"/>
    <w:qFormat/>
    <w:uiPriority w:val="99"/>
    <w:pPr>
      <w:widowControl/>
      <w:pBdr>
        <w:bottom w:val="single" w:color="auto" w:sz="8" w:space="0"/>
        <w:right w:val="single" w:color="auto" w:sz="8" w:space="0"/>
      </w:pBdr>
      <w:spacing w:before="100" w:beforeAutospacing="1" w:after="100" w:afterAutospacing="1"/>
      <w:textAlignment w:val="top"/>
    </w:pPr>
    <w:rPr>
      <w:rFonts w:cs="宋体"/>
      <w:szCs w:val="21"/>
    </w:rPr>
  </w:style>
  <w:style w:type="paragraph" w:customStyle="1" w:styleId="165">
    <w:name w:val="表格内容"/>
    <w:basedOn w:val="1"/>
    <w:qFormat/>
    <w:uiPriority w:val="99"/>
    <w:pPr>
      <w:ind w:right="193"/>
    </w:pPr>
    <w:rPr>
      <w:rFonts w:ascii="幼圆" w:eastAsia="幼圆"/>
      <w:color w:val="008080"/>
    </w:rPr>
  </w:style>
  <w:style w:type="paragraph" w:customStyle="1" w:styleId="166">
    <w:name w:val="Char Char2 Char Char2 Char Char Char Char"/>
    <w:basedOn w:val="46"/>
    <w:qFormat/>
    <w:uiPriority w:val="99"/>
    <w:pPr>
      <w:spacing w:line="240" w:lineRule="atLeast"/>
    </w:pPr>
    <w:rPr>
      <w:sz w:val="21"/>
      <w:szCs w:val="21"/>
    </w:rPr>
  </w:style>
  <w:style w:type="paragraph" w:customStyle="1" w:styleId="167">
    <w:name w:val="TOC 标题1"/>
    <w:basedOn w:val="3"/>
    <w:next w:val="1"/>
    <w:qFormat/>
    <w:uiPriority w:val="99"/>
    <w:pPr>
      <w:widowControl/>
      <w:spacing w:before="240" w:after="0" w:line="259" w:lineRule="auto"/>
      <w:jc w:val="left"/>
      <w:outlineLvl w:val="9"/>
    </w:pPr>
    <w:rPr>
      <w:rFonts w:ascii="Cambria" w:hAnsi="Cambria"/>
      <w:b w:val="0"/>
      <w:bCs w:val="0"/>
      <w:color w:val="365F91"/>
      <w:kern w:val="0"/>
      <w:sz w:val="32"/>
      <w:szCs w:val="32"/>
    </w:rPr>
  </w:style>
  <w:style w:type="paragraph" w:customStyle="1" w:styleId="168">
    <w:name w:val="Char Char1 Char Char Char Char Char Char Char Char Char Char Char Char Char Char Char Char Char Char Char Char"/>
    <w:basedOn w:val="1"/>
    <w:qFormat/>
    <w:uiPriority w:val="99"/>
    <w:pPr>
      <w:widowControl/>
      <w:jc w:val="left"/>
    </w:pPr>
    <w:rPr>
      <w:rFonts w:ascii="Verdana" w:hAnsi="Verdana"/>
      <w:sz w:val="24"/>
      <w:szCs w:val="21"/>
    </w:rPr>
  </w:style>
  <w:style w:type="paragraph" w:customStyle="1" w:styleId="169">
    <w:name w:val="Char Char Char Char"/>
    <w:basedOn w:val="1"/>
    <w:qFormat/>
    <w:uiPriority w:val="99"/>
    <w:pPr>
      <w:spacing w:line="240" w:lineRule="atLeast"/>
      <w:ind w:left="420" w:firstLine="420"/>
    </w:pPr>
    <w:rPr>
      <w:szCs w:val="21"/>
    </w:rPr>
  </w:style>
  <w:style w:type="paragraph" w:customStyle="1" w:styleId="170">
    <w:name w:val="infoblue"/>
    <w:qFormat/>
    <w:uiPriority w:val="99"/>
    <w:pPr>
      <w:spacing w:after="120" w:line="240" w:lineRule="atLeast"/>
      <w:ind w:left="450"/>
    </w:pPr>
    <w:rPr>
      <w:rFonts w:ascii="Times New Roman" w:hAnsi="Times New Roman" w:eastAsia="宋体" w:cs="Times New Roman"/>
      <w:i/>
      <w:iCs/>
      <w:color w:val="0000FF"/>
      <w:lang w:val="en-US" w:eastAsia="zh-CN" w:bidi="ar-SA"/>
    </w:rPr>
  </w:style>
  <w:style w:type="paragraph" w:customStyle="1" w:styleId="171">
    <w:name w:val="前言、引言标题"/>
    <w:next w:val="1"/>
    <w:qFormat/>
    <w:uiPriority w:val="99"/>
    <w:pPr>
      <w:shd w:val="clear" w:color="FFFFFF" w:fill="FFFFFF"/>
      <w:tabs>
        <w:tab w:val="left" w:pos="420"/>
      </w:tabs>
      <w:spacing w:before="640" w:after="560"/>
      <w:ind w:left="420" w:hanging="420"/>
      <w:jc w:val="center"/>
      <w:outlineLvl w:val="0"/>
    </w:pPr>
    <w:rPr>
      <w:rFonts w:ascii="黑体" w:hAnsi="黑体" w:eastAsia="宋体" w:cs="Times New Roman"/>
      <w:sz w:val="32"/>
      <w:lang w:val="en-US" w:eastAsia="zh-CN" w:bidi="ar-SA"/>
    </w:rPr>
  </w:style>
  <w:style w:type="paragraph" w:customStyle="1" w:styleId="172">
    <w:name w:val="Char"/>
    <w:basedOn w:val="1"/>
    <w:qFormat/>
    <w:uiPriority w:val="99"/>
    <w:pPr>
      <w:spacing w:line="240" w:lineRule="atLeast"/>
      <w:ind w:left="420" w:firstLine="420"/>
    </w:pPr>
    <w:rPr>
      <w:szCs w:val="21"/>
    </w:rPr>
  </w:style>
  <w:style w:type="paragraph" w:customStyle="1" w:styleId="17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74">
    <w:name w:val="bodytext"/>
    <w:next w:val="28"/>
    <w:qFormat/>
    <w:uiPriority w:val="99"/>
    <w:pPr>
      <w:spacing w:after="120" w:line="220" w:lineRule="atLeast"/>
    </w:pPr>
    <w:rPr>
      <w:rFonts w:ascii="Times New Roman" w:hAnsi="Times New Roman" w:eastAsia="宋体" w:cs="Times New Roman"/>
      <w:lang w:val="en-US" w:eastAsia="zh-CN" w:bidi="ar-SA"/>
    </w:rPr>
  </w:style>
  <w:style w:type="paragraph" w:customStyle="1" w:styleId="175">
    <w:name w:val="Char Char1 Char Char Char Char Char Char"/>
    <w:basedOn w:val="1"/>
    <w:qFormat/>
    <w:uiPriority w:val="99"/>
    <w:pPr>
      <w:widowControl/>
      <w:spacing w:after="160" w:line="240" w:lineRule="exact"/>
      <w:jc w:val="center"/>
    </w:pPr>
    <w:rPr>
      <w:rFonts w:ascii="黑体" w:eastAsia="黑体"/>
      <w:sz w:val="36"/>
      <w:szCs w:val="36"/>
    </w:rPr>
  </w:style>
  <w:style w:type="paragraph" w:customStyle="1" w:styleId="176">
    <w:name w:val="规范正文"/>
    <w:basedOn w:val="1"/>
    <w:qFormat/>
    <w:uiPriority w:val="99"/>
    <w:pPr>
      <w:adjustRightInd w:val="0"/>
      <w:spacing w:line="360" w:lineRule="auto"/>
      <w:ind w:left="480"/>
      <w:textAlignment w:val="baseline"/>
    </w:pPr>
    <w:rPr>
      <w:sz w:val="24"/>
    </w:rPr>
  </w:style>
  <w:style w:type="paragraph" w:customStyle="1" w:styleId="177">
    <w:name w:val="xl32"/>
    <w:basedOn w:val="1"/>
    <w:qFormat/>
    <w:uiPriority w:val="99"/>
    <w:pPr>
      <w:widowControl/>
      <w:pBdr>
        <w:bottom w:val="single" w:color="auto" w:sz="8" w:space="0"/>
        <w:right w:val="single" w:color="auto" w:sz="8" w:space="0"/>
      </w:pBdr>
      <w:spacing w:before="100" w:beforeAutospacing="1" w:after="100" w:afterAutospacing="1"/>
      <w:textAlignment w:val="top"/>
    </w:pPr>
    <w:rPr>
      <w:color w:val="FF0000"/>
      <w:szCs w:val="21"/>
    </w:rPr>
  </w:style>
  <w:style w:type="paragraph" w:customStyle="1" w:styleId="178">
    <w:name w:val="Char11"/>
    <w:basedOn w:val="1"/>
    <w:qFormat/>
    <w:uiPriority w:val="99"/>
    <w:pPr>
      <w:widowControl/>
      <w:adjustRightInd w:val="0"/>
      <w:spacing w:line="360" w:lineRule="auto"/>
      <w:jc w:val="left"/>
    </w:pPr>
    <w:rPr>
      <w:rFonts w:hAnsi="宋体" w:cs="宋体"/>
      <w:sz w:val="24"/>
    </w:rPr>
  </w:style>
  <w:style w:type="paragraph" w:customStyle="1" w:styleId="17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80">
    <w:name w:val="xl40"/>
    <w:basedOn w:val="1"/>
    <w:qFormat/>
    <w:uiPriority w:val="99"/>
    <w:pPr>
      <w:widowControl/>
      <w:pBdr>
        <w:bottom w:val="single" w:color="auto" w:sz="8" w:space="0"/>
      </w:pBdr>
      <w:spacing w:before="100" w:beforeAutospacing="1" w:after="100" w:afterAutospacing="1"/>
      <w:jc w:val="left"/>
    </w:pPr>
    <w:rPr>
      <w:rFonts w:cs="宋体"/>
      <w:sz w:val="24"/>
    </w:rPr>
  </w:style>
  <w:style w:type="paragraph" w:customStyle="1" w:styleId="181">
    <w:name w:val="列出段落21"/>
    <w:basedOn w:val="1"/>
    <w:qFormat/>
    <w:uiPriority w:val="0"/>
    <w:pPr>
      <w:ind w:firstLine="420"/>
    </w:pPr>
    <w:rPr>
      <w:rFonts w:ascii="Calibri" w:hAnsi="Calibri" w:cs="Calibri"/>
    </w:rPr>
  </w:style>
  <w:style w:type="paragraph" w:customStyle="1" w:styleId="182">
    <w:name w:val="xl34"/>
    <w:basedOn w:val="1"/>
    <w:qFormat/>
    <w:uiPriority w:val="99"/>
    <w:pPr>
      <w:widowControl/>
      <w:pBdr>
        <w:top w:val="single" w:color="auto" w:sz="4" w:space="0"/>
        <w:bottom w:val="single" w:color="auto" w:sz="4" w:space="0"/>
      </w:pBdr>
      <w:spacing w:before="100" w:beforeAutospacing="1" w:after="100" w:afterAutospacing="1"/>
      <w:jc w:val="left"/>
      <w:textAlignment w:val="top"/>
    </w:pPr>
    <w:rPr>
      <w:szCs w:val="21"/>
    </w:rPr>
  </w:style>
  <w:style w:type="paragraph" w:customStyle="1" w:styleId="183">
    <w:name w:val="样式 (西文) Arial (中文) 仿宋_GB2312 小四 黑色"/>
    <w:basedOn w:val="1"/>
    <w:qFormat/>
    <w:uiPriority w:val="99"/>
    <w:pPr>
      <w:spacing w:line="360" w:lineRule="auto"/>
      <w:ind w:firstLine="200" w:firstLineChars="200"/>
    </w:pPr>
    <w:rPr>
      <w:rFonts w:ascii="Arial" w:hAnsi="Arial" w:cs="宋体"/>
      <w:color w:val="000000"/>
      <w:spacing w:val="-20"/>
      <w:sz w:val="24"/>
    </w:rPr>
  </w:style>
  <w:style w:type="paragraph" w:customStyle="1" w:styleId="184">
    <w:name w:val="修订1"/>
    <w:semiHidden/>
    <w:qFormat/>
    <w:uiPriority w:val="99"/>
    <w:rPr>
      <w:rFonts w:ascii="Times New Roman" w:hAnsi="Times New Roman" w:eastAsia="宋体" w:cs="Times New Roman"/>
      <w:kern w:val="2"/>
      <w:sz w:val="24"/>
      <w:szCs w:val="24"/>
      <w:lang w:val="en-US" w:eastAsia="zh-CN" w:bidi="ar-SA"/>
    </w:rPr>
  </w:style>
  <w:style w:type="paragraph" w:customStyle="1" w:styleId="185">
    <w:name w:val="GW-正文"/>
    <w:basedOn w:val="1"/>
    <w:qFormat/>
    <w:uiPriority w:val="0"/>
    <w:pPr>
      <w:spacing w:line="360" w:lineRule="auto"/>
      <w:ind w:firstLine="200" w:firstLineChars="200"/>
    </w:pPr>
    <w:rPr>
      <w:rFonts w:ascii="Times New Roman" w:eastAsia="仿宋_GB2312"/>
      <w:sz w:val="24"/>
    </w:rPr>
  </w:style>
  <w:style w:type="paragraph" w:customStyle="1" w:styleId="186">
    <w:name w:val="Body text|1"/>
    <w:basedOn w:val="1"/>
    <w:qFormat/>
    <w:uiPriority w:val="0"/>
    <w:pPr>
      <w:spacing w:after="220" w:line="480" w:lineRule="auto"/>
      <w:ind w:firstLine="400"/>
    </w:pPr>
    <w:rPr>
      <w:rFonts w:hAnsi="宋体" w:cs="宋体"/>
      <w:sz w:val="26"/>
      <w:szCs w:val="26"/>
      <w:lang w:val="zh-TW" w:eastAsia="zh-TW" w:bidi="zh-TW"/>
    </w:rPr>
  </w:style>
  <w:style w:type="paragraph" w:customStyle="1" w:styleId="187">
    <w:name w:val="Heading #1|1"/>
    <w:basedOn w:val="1"/>
    <w:qFormat/>
    <w:uiPriority w:val="0"/>
    <w:pPr>
      <w:spacing w:before="90" w:after="320"/>
      <w:jc w:val="center"/>
      <w:outlineLvl w:val="0"/>
    </w:pPr>
    <w:rPr>
      <w:rFonts w:hAnsi="宋体" w:cs="宋体"/>
      <w:sz w:val="40"/>
      <w:szCs w:val="40"/>
      <w:lang w:val="zh-TW" w:eastAsia="zh-TW" w:bidi="zh-TW"/>
    </w:rPr>
  </w:style>
  <w:style w:type="character" w:customStyle="1" w:styleId="188">
    <w:name w:val="（符号）邀请函中一、"/>
    <w:qFormat/>
    <w:uiPriority w:val="0"/>
    <w:rPr>
      <w:rFonts w:ascii="黑体" w:eastAsia="黑体"/>
      <w:b/>
      <w:bCs/>
      <w:sz w:val="24"/>
    </w:rPr>
  </w:style>
  <w:style w:type="character" w:customStyle="1" w:styleId="189">
    <w:name w:val="普通表格5"/>
    <w:qFormat/>
    <w:uiPriority w:val="99"/>
    <w:rPr>
      <w:rFonts w:ascii="Times New Roman" w:hAnsi="Times New Roman" w:eastAsia="宋体"/>
      <w:sz w:val="20"/>
    </w:rPr>
  </w:style>
  <w:style w:type="character" w:customStyle="1" w:styleId="190">
    <w:name w:val="脚注文本 Char"/>
    <w:link w:val="33"/>
    <w:qFormat/>
    <w:uiPriority w:val="99"/>
    <w:rPr>
      <w:kern w:val="2"/>
      <w:sz w:val="18"/>
      <w:szCs w:val="18"/>
      <w:lang w:val="zh-CN"/>
    </w:rPr>
  </w:style>
  <w:style w:type="character" w:customStyle="1" w:styleId="191">
    <w:name w:val="op-map-singlepoint-info-right1"/>
    <w:basedOn w:val="49"/>
    <w:qFormat/>
    <w:uiPriority w:val="0"/>
  </w:style>
  <w:style w:type="character" w:customStyle="1" w:styleId="192">
    <w:name w:val="样式 标题 3 Char"/>
    <w:link w:val="66"/>
    <w:qFormat/>
    <w:locked/>
    <w:uiPriority w:val="99"/>
    <w:rPr>
      <w:rFonts w:ascii="宋体" w:hAnsi="宋体"/>
      <w:b/>
      <w:bCs/>
      <w:kern w:val="2"/>
      <w:sz w:val="32"/>
      <w:szCs w:val="32"/>
      <w:lang w:val="zh-CN"/>
    </w:rPr>
  </w:style>
  <w:style w:type="character" w:customStyle="1" w:styleId="193">
    <w:name w:val="方案正文 字符"/>
    <w:link w:val="67"/>
    <w:qFormat/>
    <w:locked/>
    <w:uiPriority w:val="99"/>
    <w:rPr>
      <w:rFonts w:ascii="宋体" w:hAnsi="宋体"/>
      <w:kern w:val="2"/>
      <w:sz w:val="24"/>
      <w:szCs w:val="24"/>
    </w:rPr>
  </w:style>
  <w:style w:type="character" w:customStyle="1" w:styleId="194">
    <w:name w:val="正文文本缩进 3 Char"/>
    <w:link w:val="35"/>
    <w:qFormat/>
    <w:uiPriority w:val="99"/>
    <w:rPr>
      <w:kern w:val="2"/>
      <w:sz w:val="16"/>
      <w:szCs w:val="16"/>
    </w:rPr>
  </w:style>
  <w:style w:type="character" w:customStyle="1" w:styleId="195">
    <w:name w:val="列出段落 Char"/>
    <w:link w:val="68"/>
    <w:qFormat/>
    <w:locked/>
    <w:uiPriority w:val="34"/>
    <w:rPr>
      <w:rFonts w:ascii="Calibri" w:hAnsi="Calibri" w:cs="黑体"/>
      <w:kern w:val="2"/>
      <w:sz w:val="21"/>
      <w:szCs w:val="22"/>
    </w:rPr>
  </w:style>
  <w:style w:type="character" w:customStyle="1" w:styleId="196">
    <w:name w:val="正文缩进 Char"/>
    <w:link w:val="14"/>
    <w:qFormat/>
    <w:uiPriority w:val="99"/>
    <w:rPr>
      <w:kern w:val="2"/>
      <w:sz w:val="21"/>
      <w:szCs w:val="24"/>
    </w:rPr>
  </w:style>
  <w:style w:type="character" w:customStyle="1" w:styleId="197">
    <w:name w:val="标题 5 Char"/>
    <w:link w:val="7"/>
    <w:qFormat/>
    <w:uiPriority w:val="99"/>
    <w:rPr>
      <w:b/>
      <w:bCs/>
      <w:kern w:val="2"/>
      <w:sz w:val="28"/>
      <w:szCs w:val="28"/>
    </w:rPr>
  </w:style>
  <w:style w:type="character" w:customStyle="1" w:styleId="198">
    <w:name w:val="apple-converted-space"/>
    <w:qFormat/>
    <w:uiPriority w:val="99"/>
    <w:rPr>
      <w:rFonts w:cs="Times New Roman"/>
    </w:rPr>
  </w:style>
  <w:style w:type="character" w:customStyle="1" w:styleId="199">
    <w:name w:val="apple-style-span"/>
    <w:qFormat/>
    <w:uiPriority w:val="99"/>
    <w:rPr>
      <w:rFonts w:cs="Times New Roman"/>
    </w:rPr>
  </w:style>
  <w:style w:type="character" w:customStyle="1" w:styleId="200">
    <w:name w:val="标题 Char2"/>
    <w:link w:val="44"/>
    <w:qFormat/>
    <w:locked/>
    <w:uiPriority w:val="99"/>
    <w:rPr>
      <w:rFonts w:ascii="Cambria" w:hAnsi="Cambria"/>
      <w:b/>
      <w:bCs/>
      <w:kern w:val="2"/>
      <w:sz w:val="28"/>
      <w:szCs w:val="28"/>
    </w:rPr>
  </w:style>
  <w:style w:type="character" w:customStyle="1" w:styleId="201">
    <w:name w:val="label"/>
    <w:qFormat/>
    <w:uiPriority w:val="0"/>
    <w:rPr>
      <w:color w:val="555555"/>
      <w:szCs w:val="24"/>
    </w:rPr>
  </w:style>
  <w:style w:type="character" w:customStyle="1" w:styleId="202">
    <w:name w:val="Body text + Spacing 3 pt"/>
    <w:qFormat/>
    <w:uiPriority w:val="99"/>
    <w:rPr>
      <w:rFonts w:hint="eastAsia" w:ascii="宋体" w:hAnsi="宋体" w:eastAsia="宋体" w:cs="宋体"/>
      <w:spacing w:val="60"/>
      <w:sz w:val="22"/>
      <w:szCs w:val="22"/>
      <w:shd w:val="clear" w:color="auto" w:fill="FFFFFF"/>
    </w:rPr>
  </w:style>
  <w:style w:type="character" w:customStyle="1" w:styleId="203">
    <w:name w:val="style1"/>
    <w:qFormat/>
    <w:uiPriority w:val="99"/>
  </w:style>
  <w:style w:type="character" w:customStyle="1" w:styleId="204">
    <w:name w:val="标题 4 Char"/>
    <w:link w:val="6"/>
    <w:qFormat/>
    <w:uiPriority w:val="99"/>
    <w:rPr>
      <w:rFonts w:ascii="Cambria" w:hAnsi="Cambria" w:eastAsia="宋体" w:cs="Times New Roman"/>
      <w:b/>
      <w:bCs/>
      <w:kern w:val="2"/>
      <w:sz w:val="28"/>
      <w:szCs w:val="28"/>
    </w:rPr>
  </w:style>
  <w:style w:type="character" w:customStyle="1" w:styleId="205">
    <w:name w:val="标题 6 Char"/>
    <w:link w:val="8"/>
    <w:qFormat/>
    <w:uiPriority w:val="99"/>
    <w:rPr>
      <w:rFonts w:ascii="Cambria" w:hAnsi="Cambria" w:eastAsia="宋体" w:cs="Times New Roman"/>
      <w:b/>
      <w:bCs/>
      <w:kern w:val="2"/>
      <w:sz w:val="24"/>
      <w:szCs w:val="24"/>
    </w:rPr>
  </w:style>
  <w:style w:type="character" w:customStyle="1" w:styleId="206">
    <w:name w:val="Char Char1"/>
    <w:qFormat/>
    <w:uiPriority w:val="99"/>
    <w:rPr>
      <w:rFonts w:eastAsia="宋体"/>
      <w:kern w:val="2"/>
      <w:sz w:val="24"/>
      <w:lang w:val="en-US" w:eastAsia="zh-CN"/>
    </w:rPr>
  </w:style>
  <w:style w:type="character" w:customStyle="1" w:styleId="207">
    <w:name w:val="普通表格4"/>
    <w:qFormat/>
    <w:uiPriority w:val="99"/>
    <w:rPr>
      <w:rFonts w:ascii="Times New Roman" w:hAnsi="Times New Roman" w:eastAsia="宋体"/>
      <w:sz w:val="20"/>
    </w:rPr>
  </w:style>
  <w:style w:type="character" w:customStyle="1" w:styleId="208">
    <w:name w:val="正文首行缩进 2 Char"/>
    <w:link w:val="46"/>
    <w:qFormat/>
    <w:uiPriority w:val="99"/>
    <w:rPr>
      <w:rFonts w:ascii="仿宋_GB2312" w:eastAsia="仿宋_GB2312"/>
      <w:kern w:val="2"/>
      <w:sz w:val="32"/>
    </w:rPr>
  </w:style>
  <w:style w:type="character" w:customStyle="1" w:styleId="209">
    <w:name w:val="正文文本 字符1"/>
    <w:qFormat/>
    <w:uiPriority w:val="99"/>
    <w:rPr>
      <w:kern w:val="2"/>
      <w:sz w:val="21"/>
      <w:szCs w:val="24"/>
    </w:rPr>
  </w:style>
  <w:style w:type="character" w:customStyle="1" w:styleId="210">
    <w:name w:val="标题 8 Char"/>
    <w:link w:val="11"/>
    <w:qFormat/>
    <w:uiPriority w:val="99"/>
    <w:rPr>
      <w:rFonts w:ascii="Arial" w:hAnsi="Arial" w:eastAsia="黑体"/>
      <w:kern w:val="2"/>
      <w:sz w:val="24"/>
      <w:szCs w:val="24"/>
    </w:rPr>
  </w:style>
  <w:style w:type="character" w:customStyle="1" w:styleId="211">
    <w:name w:val="正文文本缩进 Char1"/>
    <w:link w:val="19"/>
    <w:qFormat/>
    <w:uiPriority w:val="99"/>
    <w:rPr>
      <w:kern w:val="2"/>
      <w:sz w:val="32"/>
    </w:rPr>
  </w:style>
  <w:style w:type="character" w:customStyle="1" w:styleId="212">
    <w:name w:val="样式 样式 宋体 小四 行距: 1.5 倍行距 + ?? o??? Char"/>
    <w:qFormat/>
    <w:uiPriority w:val="99"/>
    <w:rPr>
      <w:rFonts w:ascii="??" w:hAnsi="??" w:eastAsia="宋体"/>
      <w:color w:val="000000"/>
      <w:sz w:val="24"/>
      <w:lang w:val="en-US" w:eastAsia="zh-CN"/>
    </w:rPr>
  </w:style>
  <w:style w:type="character" w:customStyle="1" w:styleId="213">
    <w:name w:val="正文文本缩进 Char"/>
    <w:qFormat/>
    <w:uiPriority w:val="99"/>
    <w:rPr>
      <w:rFonts w:ascii="仿宋_GB2312" w:hAnsi="Times New Roman" w:eastAsia="仿宋_GB2312" w:cs="Times New Roman"/>
      <w:sz w:val="32"/>
      <w:szCs w:val="20"/>
    </w:rPr>
  </w:style>
  <w:style w:type="character" w:customStyle="1" w:styleId="214">
    <w:name w:val="Body text (4) + Spacing 1 pt"/>
    <w:qFormat/>
    <w:uiPriority w:val="99"/>
    <w:rPr>
      <w:rFonts w:hint="eastAsia" w:ascii="宋体" w:hAnsi="宋体" w:eastAsia="宋体" w:cs="宋体"/>
      <w:spacing w:val="30"/>
      <w:sz w:val="22"/>
      <w:szCs w:val="22"/>
      <w:shd w:val="clear" w:color="auto" w:fill="FFFFFF"/>
    </w:rPr>
  </w:style>
  <w:style w:type="character" w:customStyle="1" w:styleId="215">
    <w:name w:val="正文字体 Char"/>
    <w:link w:val="69"/>
    <w:qFormat/>
    <w:locked/>
    <w:uiPriority w:val="99"/>
    <w:rPr>
      <w:rFonts w:eastAsia="仿宋"/>
      <w:sz w:val="24"/>
      <w:lang w:val="zh-CN"/>
    </w:rPr>
  </w:style>
  <w:style w:type="character" w:customStyle="1" w:styleId="216">
    <w:name w:val="页脚 Char"/>
    <w:link w:val="29"/>
    <w:qFormat/>
    <w:uiPriority w:val="99"/>
    <w:rPr>
      <w:kern w:val="2"/>
      <w:sz w:val="18"/>
    </w:rPr>
  </w:style>
  <w:style w:type="character" w:customStyle="1" w:styleId="217">
    <w:name w:val="modifier"/>
    <w:qFormat/>
    <w:uiPriority w:val="0"/>
    <w:rPr>
      <w:color w:val="FF0000"/>
    </w:rPr>
  </w:style>
  <w:style w:type="character" w:customStyle="1" w:styleId="218">
    <w:name w:val="样式 正文缩进 + 首行缩进:  2 字符 Char"/>
    <w:qFormat/>
    <w:uiPriority w:val="99"/>
    <w:rPr>
      <w:rFonts w:eastAsia="宋体"/>
      <w:kern w:val="2"/>
      <w:sz w:val="24"/>
      <w:lang w:val="en-US" w:eastAsia="zh-CN"/>
    </w:rPr>
  </w:style>
  <w:style w:type="character" w:customStyle="1" w:styleId="219">
    <w:name w:val="纯文本 Char"/>
    <w:link w:val="24"/>
    <w:qFormat/>
    <w:uiPriority w:val="99"/>
    <w:rPr>
      <w:rFonts w:hAnsi="Courier New"/>
      <w:kern w:val="2"/>
      <w:sz w:val="24"/>
      <w:szCs w:val="24"/>
    </w:rPr>
  </w:style>
  <w:style w:type="character" w:customStyle="1" w:styleId="220">
    <w:name w:val="题注 Char1"/>
    <w:qFormat/>
    <w:uiPriority w:val="99"/>
    <w:rPr>
      <w:rFonts w:ascii="Arial" w:hAnsi="Arial" w:eastAsia="黑体"/>
      <w:kern w:val="2"/>
    </w:rPr>
  </w:style>
  <w:style w:type="character" w:customStyle="1" w:styleId="221">
    <w:name w:val="正文 首行缩进 Char"/>
    <w:link w:val="70"/>
    <w:qFormat/>
    <w:locked/>
    <w:uiPriority w:val="99"/>
    <w:rPr>
      <w:rFonts w:ascii="宋体" w:hAnsi="宋体" w:eastAsia="仿宋"/>
      <w:sz w:val="24"/>
    </w:rPr>
  </w:style>
  <w:style w:type="character" w:customStyle="1" w:styleId="222">
    <w:name w:val="普通表格2"/>
    <w:qFormat/>
    <w:uiPriority w:val="99"/>
    <w:rPr>
      <w:rFonts w:ascii="Times New Roman" w:hAnsi="Times New Roman" w:eastAsia="宋体"/>
      <w:sz w:val="20"/>
    </w:rPr>
  </w:style>
  <w:style w:type="character" w:customStyle="1" w:styleId="223">
    <w:name w:val="标题 Char"/>
    <w:qFormat/>
    <w:uiPriority w:val="99"/>
    <w:rPr>
      <w:rFonts w:ascii="Cambria" w:hAnsi="Cambria" w:eastAsia="宋体" w:cs="Times New Roman"/>
      <w:b/>
      <w:bCs/>
      <w:sz w:val="32"/>
      <w:szCs w:val="32"/>
    </w:rPr>
  </w:style>
  <w:style w:type="character" w:customStyle="1" w:styleId="224">
    <w:name w:val="正文顶格悬挂 Char"/>
    <w:qFormat/>
    <w:uiPriority w:val="99"/>
    <w:rPr>
      <w:rFonts w:eastAsia="宋体"/>
      <w:kern w:val="2"/>
      <w:sz w:val="24"/>
      <w:lang w:val="en-US" w:eastAsia="zh-CN"/>
    </w:rPr>
  </w:style>
  <w:style w:type="character" w:customStyle="1" w:styleId="225">
    <w:name w:val="普通表格3"/>
    <w:qFormat/>
    <w:uiPriority w:val="99"/>
    <w:rPr>
      <w:rFonts w:ascii="Times New Roman" w:hAnsi="Times New Roman" w:eastAsia="宋体"/>
      <w:sz w:val="20"/>
    </w:rPr>
  </w:style>
  <w:style w:type="character" w:customStyle="1" w:styleId="226">
    <w:name w:val="lawtext1"/>
    <w:qFormat/>
    <w:uiPriority w:val="99"/>
    <w:rPr>
      <w:color w:val="000000"/>
      <w:sz w:val="21"/>
      <w:u w:val="none"/>
    </w:rPr>
  </w:style>
  <w:style w:type="character" w:customStyle="1" w:styleId="227">
    <w:name w:val="标题 3 Char"/>
    <w:link w:val="5"/>
    <w:qFormat/>
    <w:uiPriority w:val="99"/>
    <w:rPr>
      <w:b/>
      <w:bCs/>
      <w:kern w:val="2"/>
      <w:sz w:val="32"/>
      <w:szCs w:val="32"/>
    </w:rPr>
  </w:style>
  <w:style w:type="character" w:customStyle="1" w:styleId="228">
    <w:name w:val="Body text + Bold"/>
    <w:qFormat/>
    <w:uiPriority w:val="99"/>
    <w:rPr>
      <w:rFonts w:ascii="宋体" w:hAnsi="Calibri" w:eastAsia="宋体" w:cs="宋体"/>
      <w:b/>
      <w:bCs/>
      <w:spacing w:val="20"/>
      <w:sz w:val="26"/>
      <w:szCs w:val="26"/>
      <w:u w:val="none"/>
      <w:shd w:val="clear" w:color="auto" w:fill="FFFFFF"/>
    </w:rPr>
  </w:style>
  <w:style w:type="character" w:customStyle="1" w:styleId="229">
    <w:name w:val="批注主题 Char"/>
    <w:link w:val="45"/>
    <w:qFormat/>
    <w:uiPriority w:val="99"/>
    <w:rPr>
      <w:b/>
      <w:bCs/>
      <w:kern w:val="2"/>
      <w:sz w:val="24"/>
      <w:szCs w:val="24"/>
      <w:lang w:val="zh-CN"/>
    </w:rPr>
  </w:style>
  <w:style w:type="character" w:customStyle="1" w:styleId="230">
    <w:name w:val="正文缩进2字符 Char"/>
    <w:link w:val="71"/>
    <w:qFormat/>
    <w:locked/>
    <w:uiPriority w:val="99"/>
    <w:rPr>
      <w:kern w:val="2"/>
      <w:sz w:val="24"/>
      <w:szCs w:val="24"/>
      <w:lang w:val="zh-CN"/>
    </w:rPr>
  </w:style>
  <w:style w:type="character" w:customStyle="1" w:styleId="231">
    <w:name w:val="Char Char"/>
    <w:qFormat/>
    <w:uiPriority w:val="99"/>
    <w:rPr>
      <w:rFonts w:eastAsia="宋体"/>
      <w:kern w:val="2"/>
      <w:sz w:val="24"/>
      <w:lang w:val="en-US" w:eastAsia="zh-CN"/>
    </w:rPr>
  </w:style>
  <w:style w:type="character" w:customStyle="1" w:styleId="232">
    <w:name w:val="px12none"/>
    <w:qFormat/>
    <w:uiPriority w:val="99"/>
    <w:rPr>
      <w:rFonts w:eastAsia="宋体"/>
      <w:sz w:val="21"/>
      <w:lang w:val="en-US" w:eastAsia="zh-CN"/>
    </w:rPr>
  </w:style>
  <w:style w:type="character" w:customStyle="1" w:styleId="233">
    <w:name w:val="无列表4"/>
    <w:qFormat/>
    <w:uiPriority w:val="99"/>
  </w:style>
  <w:style w:type="character" w:customStyle="1" w:styleId="234">
    <w:name w:val="正文文本缩进 2 Char"/>
    <w:link w:val="27"/>
    <w:qFormat/>
    <w:uiPriority w:val="99"/>
    <w:rPr>
      <w:kern w:val="2"/>
      <w:sz w:val="21"/>
      <w:szCs w:val="24"/>
    </w:rPr>
  </w:style>
  <w:style w:type="character" w:customStyle="1" w:styleId="235">
    <w:name w:val="正文文本 2 Char"/>
    <w:link w:val="40"/>
    <w:qFormat/>
    <w:uiPriority w:val="99"/>
    <w:rPr>
      <w:kern w:val="2"/>
      <w:sz w:val="24"/>
      <w:szCs w:val="24"/>
      <w:lang w:val="zh-CN"/>
    </w:rPr>
  </w:style>
  <w:style w:type="character" w:customStyle="1" w:styleId="236">
    <w:name w:val="正文文本 Char"/>
    <w:link w:val="2"/>
    <w:qFormat/>
    <w:uiPriority w:val="99"/>
    <w:rPr>
      <w:rFonts w:ascii="宋体" w:hAnsi="Calibri" w:cs="宋体"/>
      <w:spacing w:val="20"/>
      <w:sz w:val="23"/>
      <w:szCs w:val="23"/>
    </w:rPr>
  </w:style>
  <w:style w:type="character" w:customStyle="1" w:styleId="237">
    <w:name w:val="题注 Char"/>
    <w:qFormat/>
    <w:uiPriority w:val="99"/>
    <w:rPr>
      <w:rFonts w:ascii="Arial" w:hAnsi="Arial" w:eastAsia="黑体"/>
      <w:kern w:val="2"/>
      <w:lang w:val="en-US" w:eastAsia="zh-CN"/>
    </w:rPr>
  </w:style>
  <w:style w:type="character" w:customStyle="1" w:styleId="238">
    <w:name w:val="标题 Char1"/>
    <w:qFormat/>
    <w:uiPriority w:val="99"/>
    <w:rPr>
      <w:rFonts w:ascii="Cambria" w:hAnsi="Cambria" w:eastAsia="宋体"/>
      <w:b/>
      <w:kern w:val="2"/>
      <w:sz w:val="32"/>
    </w:rPr>
  </w:style>
  <w:style w:type="character" w:customStyle="1" w:styleId="239">
    <w:name w:val="正文文本 字符"/>
    <w:qFormat/>
    <w:uiPriority w:val="99"/>
    <w:rPr>
      <w:rFonts w:ascii="宋体" w:hAnsi="Calibri" w:cs="宋体"/>
      <w:spacing w:val="20"/>
      <w:sz w:val="23"/>
      <w:szCs w:val="23"/>
    </w:rPr>
  </w:style>
  <w:style w:type="character" w:customStyle="1" w:styleId="240">
    <w:name w:val="批注框文本 Char"/>
    <w:link w:val="28"/>
    <w:qFormat/>
    <w:uiPriority w:val="99"/>
    <w:rPr>
      <w:kern w:val="2"/>
      <w:sz w:val="18"/>
      <w:szCs w:val="18"/>
    </w:rPr>
  </w:style>
  <w:style w:type="character" w:customStyle="1" w:styleId="241">
    <w:name w:val="Body text + Spacing 1 pt"/>
    <w:qFormat/>
    <w:uiPriority w:val="99"/>
    <w:rPr>
      <w:rFonts w:hint="eastAsia" w:ascii="宋体" w:hAnsi="宋体" w:eastAsia="宋体" w:cs="宋体"/>
      <w:spacing w:val="30"/>
      <w:sz w:val="22"/>
      <w:szCs w:val="22"/>
      <w:shd w:val="clear" w:color="auto" w:fill="FFFFFF"/>
    </w:rPr>
  </w:style>
  <w:style w:type="character" w:customStyle="1" w:styleId="242">
    <w:name w:val="标题 1 Char"/>
    <w:link w:val="3"/>
    <w:qFormat/>
    <w:uiPriority w:val="99"/>
    <w:rPr>
      <w:b/>
      <w:bCs/>
      <w:kern w:val="44"/>
      <w:sz w:val="44"/>
      <w:szCs w:val="44"/>
    </w:rPr>
  </w:style>
  <w:style w:type="character" w:customStyle="1" w:styleId="243">
    <w:name w:val="页眉 Char"/>
    <w:link w:val="30"/>
    <w:qFormat/>
    <w:uiPriority w:val="99"/>
    <w:rPr>
      <w:kern w:val="2"/>
      <w:sz w:val="18"/>
    </w:rPr>
  </w:style>
  <w:style w:type="character" w:customStyle="1" w:styleId="244">
    <w:name w:val="qowt-font2"/>
    <w:basedOn w:val="49"/>
    <w:qFormat/>
    <w:uiPriority w:val="0"/>
  </w:style>
  <w:style w:type="character" w:customStyle="1" w:styleId="245">
    <w:name w:val="网格型1"/>
    <w:qFormat/>
    <w:uiPriority w:val="99"/>
    <w:rPr>
      <w:rFonts w:ascii="Times New Roman" w:hAnsi="Times New Roman" w:eastAsia="宋体"/>
      <w:sz w:val="20"/>
    </w:rPr>
  </w:style>
  <w:style w:type="character" w:customStyle="1" w:styleId="246">
    <w:name w:val="批注文字 Char"/>
    <w:link w:val="18"/>
    <w:qFormat/>
    <w:uiPriority w:val="99"/>
    <w:rPr>
      <w:kern w:val="2"/>
      <w:sz w:val="24"/>
      <w:szCs w:val="24"/>
      <w:lang w:val="zh-CN"/>
    </w:rPr>
  </w:style>
  <w:style w:type="character" w:customStyle="1" w:styleId="247">
    <w:name w:val="日期 Char"/>
    <w:link w:val="26"/>
    <w:qFormat/>
    <w:uiPriority w:val="99"/>
    <w:rPr>
      <w:kern w:val="2"/>
      <w:sz w:val="21"/>
      <w:szCs w:val="24"/>
    </w:rPr>
  </w:style>
  <w:style w:type="character" w:customStyle="1" w:styleId="248">
    <w:name w:val="f14"/>
    <w:qFormat/>
    <w:uiPriority w:val="99"/>
    <w:rPr>
      <w:rFonts w:cs="Times New Roman"/>
    </w:rPr>
  </w:style>
  <w:style w:type="character" w:customStyle="1" w:styleId="249">
    <w:name w:val="Heading #5_"/>
    <w:link w:val="72"/>
    <w:qFormat/>
    <w:uiPriority w:val="99"/>
    <w:rPr>
      <w:rFonts w:ascii="宋体" w:hAnsi="Calibri" w:cs="宋体"/>
      <w:b/>
      <w:bCs/>
      <w:spacing w:val="20"/>
      <w:sz w:val="30"/>
      <w:szCs w:val="30"/>
    </w:rPr>
  </w:style>
  <w:style w:type="character" w:customStyle="1" w:styleId="250">
    <w:name w:val="00-My Table Style"/>
    <w:qFormat/>
    <w:uiPriority w:val="99"/>
    <w:rPr>
      <w:rFonts w:ascii="Times New Roman" w:hAnsi="Times New Roman" w:eastAsia="宋体"/>
      <w:sz w:val="20"/>
    </w:rPr>
  </w:style>
  <w:style w:type="character" w:customStyle="1" w:styleId="251">
    <w:name w:val="无列表3"/>
    <w:qFormat/>
    <w:uiPriority w:val="99"/>
  </w:style>
  <w:style w:type="character" w:customStyle="1" w:styleId="252">
    <w:name w:val="样式 题注 + (西文) 宋体 Char"/>
    <w:qFormat/>
    <w:uiPriority w:val="99"/>
    <w:rPr>
      <w:rFonts w:ascii="宋体" w:hAnsi="宋体" w:eastAsia="黑体"/>
      <w:kern w:val="2"/>
      <w:sz w:val="21"/>
      <w:lang w:val="en-US" w:eastAsia="zh-CN"/>
    </w:rPr>
  </w:style>
  <w:style w:type="character" w:customStyle="1" w:styleId="253">
    <w:name w:val="标题 7 Char"/>
    <w:link w:val="9"/>
    <w:qFormat/>
    <w:uiPriority w:val="99"/>
    <w:rPr>
      <w:b/>
      <w:bCs/>
      <w:kern w:val="2"/>
      <w:sz w:val="24"/>
      <w:szCs w:val="24"/>
    </w:rPr>
  </w:style>
  <w:style w:type="character" w:customStyle="1" w:styleId="254">
    <w:name w:val="无列表5"/>
    <w:qFormat/>
    <w:uiPriority w:val="99"/>
  </w:style>
  <w:style w:type="character" w:customStyle="1" w:styleId="255">
    <w:name w:val="Body text (4)_"/>
    <w:link w:val="73"/>
    <w:qFormat/>
    <w:locked/>
    <w:uiPriority w:val="99"/>
    <w:rPr>
      <w:rFonts w:ascii="宋体" w:hAnsi="宋体" w:cs="宋体"/>
      <w:sz w:val="22"/>
      <w:szCs w:val="22"/>
    </w:rPr>
  </w:style>
  <w:style w:type="character" w:customStyle="1" w:styleId="256">
    <w:name w:val="正文首行缩进 Char"/>
    <w:link w:val="10"/>
    <w:qFormat/>
    <w:uiPriority w:val="99"/>
    <w:rPr>
      <w:rFonts w:ascii="宋体" w:hAnsi="Calibri" w:cs="宋体"/>
      <w:spacing w:val="20"/>
      <w:kern w:val="2"/>
      <w:sz w:val="21"/>
      <w:szCs w:val="24"/>
    </w:rPr>
  </w:style>
  <w:style w:type="character" w:customStyle="1" w:styleId="257">
    <w:name w:val="HTML 地址 Char"/>
    <w:link w:val="21"/>
    <w:qFormat/>
    <w:uiPriority w:val="99"/>
    <w:rPr>
      <w:i/>
      <w:kern w:val="2"/>
      <w:sz w:val="21"/>
    </w:rPr>
  </w:style>
  <w:style w:type="character" w:customStyle="1" w:styleId="258">
    <w:name w:val="表格正文"/>
    <w:qFormat/>
    <w:uiPriority w:val="99"/>
    <w:rPr>
      <w:rFonts w:ascii="仿宋_GB2312" w:hAnsi="仿宋_GB2312" w:eastAsia="仿宋_GB2312"/>
    </w:rPr>
  </w:style>
  <w:style w:type="character" w:customStyle="1" w:styleId="259">
    <w:name w:val="myp11"/>
    <w:qFormat/>
    <w:uiPriority w:val="99"/>
    <w:rPr>
      <w:rFonts w:eastAsia="宋体"/>
      <w:sz w:val="21"/>
      <w:lang w:val="en-US" w:eastAsia="zh-CN"/>
    </w:rPr>
  </w:style>
  <w:style w:type="character" w:customStyle="1" w:styleId="260">
    <w:name w:val="标题 2 Char"/>
    <w:link w:val="4"/>
    <w:qFormat/>
    <w:uiPriority w:val="99"/>
    <w:rPr>
      <w:rFonts w:ascii="Arial" w:hAnsi="Arial" w:eastAsia="黑体"/>
      <w:b/>
      <w:bCs/>
      <w:kern w:val="2"/>
      <w:sz w:val="32"/>
      <w:szCs w:val="32"/>
    </w:rPr>
  </w:style>
  <w:style w:type="character" w:customStyle="1" w:styleId="261">
    <w:name w:val="正文首行缩进 Char1"/>
    <w:qFormat/>
    <w:uiPriority w:val="99"/>
    <w:rPr>
      <w:kern w:val="2"/>
      <w:sz w:val="24"/>
    </w:rPr>
  </w:style>
  <w:style w:type="character" w:customStyle="1" w:styleId="262">
    <w:name w:val="文档结构图 Char"/>
    <w:link w:val="17"/>
    <w:qFormat/>
    <w:uiPriority w:val="99"/>
    <w:rPr>
      <w:kern w:val="2"/>
      <w:sz w:val="21"/>
      <w:szCs w:val="24"/>
      <w:shd w:val="clear" w:color="auto" w:fill="000080"/>
    </w:rPr>
  </w:style>
  <w:style w:type="character" w:customStyle="1" w:styleId="263">
    <w:name w:val="标题 9 Char"/>
    <w:link w:val="12"/>
    <w:qFormat/>
    <w:uiPriority w:val="99"/>
    <w:rPr>
      <w:rFonts w:ascii="Arial" w:hAnsi="Arial" w:eastAsia="黑体"/>
      <w:kern w:val="2"/>
      <w:sz w:val="24"/>
      <w:szCs w:val="21"/>
    </w:rPr>
  </w:style>
  <w:style w:type="character" w:customStyle="1" w:styleId="264">
    <w:name w:val="无列表2"/>
    <w:qFormat/>
    <w:uiPriority w:val="99"/>
  </w:style>
  <w:style w:type="character" w:customStyle="1" w:styleId="265">
    <w:name w:val="样式2 Char"/>
    <w:link w:val="74"/>
    <w:qFormat/>
    <w:locked/>
    <w:uiPriority w:val="99"/>
    <w:rPr>
      <w:sz w:val="28"/>
    </w:rPr>
  </w:style>
  <w:style w:type="character" w:customStyle="1" w:styleId="266">
    <w:name w:val="li正文 Char Char"/>
    <w:link w:val="75"/>
    <w:qFormat/>
    <w:locked/>
    <w:uiPriority w:val="99"/>
    <w:rPr>
      <w:rFonts w:eastAsia="幼圆"/>
      <w:sz w:val="24"/>
    </w:rPr>
  </w:style>
  <w:style w:type="character" w:customStyle="1" w:styleId="267">
    <w:name w:val="img"/>
    <w:basedOn w:val="49"/>
    <w:qFormat/>
    <w:uiPriority w:val="0"/>
  </w:style>
  <w:style w:type="character" w:customStyle="1" w:styleId="268">
    <w:name w:val="img1"/>
    <w:basedOn w:val="49"/>
    <w:qFormat/>
    <w:uiPriority w:val="0"/>
  </w:style>
  <w:style w:type="character" w:customStyle="1" w:styleId="269">
    <w:name w:val="批注文字 字符"/>
    <w:qFormat/>
    <w:uiPriority w:val="0"/>
    <w:rPr>
      <w:kern w:val="2"/>
      <w:sz w:val="21"/>
    </w:rPr>
  </w:style>
  <w:style w:type="paragraph" w:customStyle="1" w:styleId="270">
    <w:name w:val="_正文段落"/>
    <w:basedOn w:val="1"/>
    <w:qFormat/>
    <w:uiPriority w:val="0"/>
    <w:pPr>
      <w:spacing w:line="360" w:lineRule="auto"/>
    </w:pPr>
    <w:rPr>
      <w:rFonts w:eastAsia="仿宋_GB2312"/>
      <w:sz w:val="28"/>
      <w:szCs w:val="24"/>
    </w:rPr>
  </w:style>
  <w:style w:type="paragraph" w:styleId="271">
    <w:name w:val="List Paragraph"/>
    <w:basedOn w:val="1"/>
    <w:unhideWhenUsed/>
    <w:qFormat/>
    <w:uiPriority w:val="99"/>
    <w:pPr>
      <w:ind w:firstLine="420" w:firstLineChars="200"/>
    </w:pPr>
  </w:style>
  <w:style w:type="character" w:customStyle="1" w:styleId="272">
    <w:name w:val="font91"/>
    <w:basedOn w:val="49"/>
    <w:qFormat/>
    <w:uiPriority w:val="0"/>
    <w:rPr>
      <w:rFonts w:hint="default" w:ascii="Times New Roman" w:hAnsi="Times New Roman" w:cs="Times New Roman"/>
      <w:color w:val="000000"/>
      <w:sz w:val="56"/>
      <w:szCs w:val="56"/>
      <w:u w:val="none"/>
    </w:rPr>
  </w:style>
  <w:style w:type="character" w:customStyle="1" w:styleId="273">
    <w:name w:val="font101"/>
    <w:basedOn w:val="49"/>
    <w:qFormat/>
    <w:uiPriority w:val="0"/>
    <w:rPr>
      <w:rFonts w:ascii="方正小标宋_GBK" w:hAnsi="方正小标宋_GBK" w:eastAsia="方正小标宋_GBK" w:cs="方正小标宋_GBK"/>
      <w:color w:val="000000"/>
      <w:sz w:val="56"/>
      <w:szCs w:val="56"/>
      <w:u w:val="none"/>
    </w:rPr>
  </w:style>
  <w:style w:type="character" w:customStyle="1" w:styleId="274">
    <w:name w:val="font161"/>
    <w:basedOn w:val="49"/>
    <w:qFormat/>
    <w:uiPriority w:val="0"/>
    <w:rPr>
      <w:rFonts w:hint="default" w:ascii="方正小标宋_GBK" w:hAnsi="方正小标宋_GBK" w:eastAsia="方正小标宋_GBK" w:cs="方正小标宋_GBK"/>
      <w:color w:val="000000"/>
      <w:sz w:val="24"/>
      <w:szCs w:val="24"/>
      <w:u w:val="none"/>
    </w:rPr>
  </w:style>
  <w:style w:type="character" w:customStyle="1" w:styleId="275">
    <w:name w:val="font151"/>
    <w:basedOn w:val="49"/>
    <w:qFormat/>
    <w:uiPriority w:val="0"/>
    <w:rPr>
      <w:rFonts w:hint="default" w:ascii="方正黑体_GBK" w:hAnsi="方正黑体_GBK" w:eastAsia="方正黑体_GBK" w:cs="方正黑体_GBK"/>
      <w:color w:val="000000"/>
      <w:sz w:val="40"/>
      <w:szCs w:val="40"/>
      <w:u w:val="none"/>
    </w:rPr>
  </w:style>
  <w:style w:type="character" w:customStyle="1" w:styleId="276">
    <w:name w:val="font121"/>
    <w:basedOn w:val="49"/>
    <w:qFormat/>
    <w:uiPriority w:val="0"/>
    <w:rPr>
      <w:rFonts w:hint="default" w:ascii="Times New Roman" w:hAnsi="Times New Roman" w:cs="Times New Roman"/>
      <w:color w:val="000000"/>
      <w:sz w:val="40"/>
      <w:szCs w:val="40"/>
      <w:u w:val="none"/>
    </w:rPr>
  </w:style>
  <w:style w:type="character" w:customStyle="1" w:styleId="277">
    <w:name w:val="font21"/>
    <w:basedOn w:val="49"/>
    <w:qFormat/>
    <w:uiPriority w:val="0"/>
    <w:rPr>
      <w:rFonts w:hint="default" w:ascii="方正仿宋_GBK" w:hAnsi="方正仿宋_GBK" w:eastAsia="方正仿宋_GBK" w:cs="方正仿宋_GBK"/>
      <w:color w:val="000000"/>
      <w:sz w:val="36"/>
      <w:szCs w:val="36"/>
      <w:u w:val="none"/>
    </w:rPr>
  </w:style>
  <w:style w:type="character" w:customStyle="1" w:styleId="278">
    <w:name w:val="font11"/>
    <w:basedOn w:val="49"/>
    <w:qFormat/>
    <w:uiPriority w:val="0"/>
    <w:rPr>
      <w:rFonts w:hint="default" w:ascii="方正仿宋_GBK" w:hAnsi="方正仿宋_GBK" w:eastAsia="方正仿宋_GBK" w:cs="方正仿宋_GBK"/>
      <w:b/>
      <w:color w:val="000000"/>
      <w:sz w:val="36"/>
      <w:szCs w:val="36"/>
      <w:u w:val="none"/>
    </w:rPr>
  </w:style>
  <w:style w:type="character" w:customStyle="1" w:styleId="279">
    <w:name w:val="font31"/>
    <w:basedOn w:val="49"/>
    <w:qFormat/>
    <w:uiPriority w:val="0"/>
    <w:rPr>
      <w:rFonts w:hint="default" w:ascii="Times New Roman" w:hAnsi="Times New Roman" w:cs="Times New Roman"/>
      <w:color w:val="000000"/>
      <w:sz w:val="36"/>
      <w:szCs w:val="36"/>
      <w:u w:val="none"/>
    </w:rPr>
  </w:style>
  <w:style w:type="character" w:customStyle="1" w:styleId="280">
    <w:name w:val="font01"/>
    <w:basedOn w:val="49"/>
    <w:qFormat/>
    <w:uiPriority w:val="0"/>
    <w:rPr>
      <w:rFonts w:hint="default" w:ascii="Times New Roman" w:hAnsi="Times New Roman" w:cs="Times New Roman"/>
      <w:color w:val="000000"/>
      <w:sz w:val="40"/>
      <w:szCs w:val="4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5841</Words>
  <Characters>33299</Characters>
  <Lines>277</Lines>
  <Paragraphs>78</Paragraphs>
  <TotalTime>9</TotalTime>
  <ScaleCrop>false</ScaleCrop>
  <LinksUpToDate>false</LinksUpToDate>
  <CharactersWithSpaces>39062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2020-11-09T14:19:00Z</dcterms:created>
  <dc:creator>Administrator</dc:creator>
  <cp:lastModifiedBy>Administrator</cp:lastModifiedBy>
  <cp:lastPrinted>2021-03-05T07:54:00Z</cp:lastPrinted>
  <dcterms:modified xsi:type="dcterms:W3CDTF">2021-08-06T06:09:06Z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1D4CBA8F7709487B836D53A152261C51</vt:lpwstr>
  </property>
</Properties>
</file>