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宋体" w:hAnsi="新宋体" w:eastAsia="新宋体" w:cs="新宋体"/>
          <w:b/>
          <w:color w:val="auto"/>
          <w:sz w:val="32"/>
          <w:szCs w:val="32"/>
          <w:highlight w:val="none"/>
        </w:rPr>
      </w:pPr>
      <w:r>
        <w:rPr>
          <w:rFonts w:hint="eastAsia" w:ascii="新宋体" w:hAnsi="新宋体" w:eastAsia="新宋体" w:cs="新宋体"/>
          <w:b/>
          <w:color w:val="auto"/>
          <w:sz w:val="32"/>
          <w:szCs w:val="32"/>
          <w:highlight w:val="none"/>
          <w:lang w:val="en-US" w:eastAsia="zh-CN"/>
        </w:rPr>
        <w:t>采购项目</w:t>
      </w:r>
      <w:r>
        <w:rPr>
          <w:rFonts w:hint="eastAsia" w:ascii="新宋体" w:hAnsi="新宋体" w:eastAsia="新宋体" w:cs="新宋体"/>
          <w:b/>
          <w:color w:val="auto"/>
          <w:sz w:val="32"/>
          <w:szCs w:val="32"/>
          <w:highlight w:val="none"/>
        </w:rPr>
        <w:t>编号：按四川省政府采购网生成的为准</w:t>
      </w:r>
    </w:p>
    <w:p>
      <w:pPr>
        <w:rPr>
          <w:rFonts w:hint="eastAsia" w:ascii="新宋体" w:hAnsi="新宋体" w:eastAsia="新宋体" w:cs="新宋体"/>
          <w:color w:val="auto"/>
          <w:highlight w:val="none"/>
        </w:rPr>
      </w:pPr>
    </w:p>
    <w:p>
      <w:pPr>
        <w:pStyle w:val="19"/>
        <w:jc w:val="center"/>
        <w:rPr>
          <w:rFonts w:hint="eastAsia" w:ascii="新宋体" w:hAnsi="新宋体" w:eastAsia="新宋体" w:cs="新宋体"/>
          <w:b/>
          <w:color w:val="auto"/>
          <w:sz w:val="52"/>
          <w:szCs w:val="52"/>
          <w:highlight w:val="none"/>
        </w:rPr>
      </w:pPr>
      <w:r>
        <w:rPr>
          <w:rFonts w:hint="eastAsia" w:ascii="新宋体" w:hAnsi="新宋体" w:eastAsia="新宋体" w:cs="新宋体"/>
          <w:b/>
          <w:color w:val="auto"/>
          <w:sz w:val="56"/>
          <w:szCs w:val="56"/>
          <w:highlight w:val="none"/>
        </w:rPr>
        <w:t>成都经济技术开发区实验小学校光环境改造项目</w:t>
      </w:r>
    </w:p>
    <w:p>
      <w:pPr>
        <w:pStyle w:val="19"/>
        <w:rPr>
          <w:rFonts w:hint="eastAsia" w:ascii="新宋体" w:hAnsi="新宋体" w:eastAsia="新宋体" w:cs="新宋体"/>
          <w:color w:val="auto"/>
          <w:highlight w:val="none"/>
        </w:rPr>
      </w:pPr>
    </w:p>
    <w:p>
      <w:pPr>
        <w:tabs>
          <w:tab w:val="left" w:pos="2505"/>
          <w:tab w:val="center" w:pos="4204"/>
        </w:tabs>
        <w:jc w:val="center"/>
        <w:rPr>
          <w:rFonts w:hint="eastAsia" w:ascii="新宋体" w:hAnsi="新宋体" w:eastAsia="新宋体" w:cs="新宋体"/>
          <w:b/>
          <w:color w:val="auto"/>
          <w:sz w:val="72"/>
          <w:szCs w:val="72"/>
          <w:highlight w:val="none"/>
        </w:rPr>
      </w:pPr>
      <w:r>
        <w:rPr>
          <w:rFonts w:hint="eastAsia" w:ascii="新宋体" w:hAnsi="新宋体" w:eastAsia="新宋体" w:cs="新宋体"/>
          <w:b/>
          <w:color w:val="auto"/>
          <w:sz w:val="72"/>
          <w:szCs w:val="72"/>
          <w:highlight w:val="none"/>
        </w:rPr>
        <w:t>招</w:t>
      </w:r>
    </w:p>
    <w:p>
      <w:pPr>
        <w:pStyle w:val="19"/>
        <w:rPr>
          <w:rFonts w:hint="eastAsia" w:ascii="新宋体" w:hAnsi="新宋体" w:eastAsia="新宋体" w:cs="新宋体"/>
          <w:color w:val="auto"/>
          <w:highlight w:val="none"/>
        </w:rPr>
      </w:pPr>
    </w:p>
    <w:p>
      <w:pPr>
        <w:jc w:val="center"/>
        <w:rPr>
          <w:rFonts w:hint="eastAsia" w:ascii="新宋体" w:hAnsi="新宋体" w:eastAsia="新宋体" w:cs="新宋体"/>
          <w:b/>
          <w:color w:val="auto"/>
          <w:sz w:val="72"/>
          <w:szCs w:val="72"/>
          <w:highlight w:val="none"/>
        </w:rPr>
      </w:pPr>
      <w:r>
        <w:rPr>
          <w:rFonts w:hint="eastAsia" w:ascii="新宋体" w:hAnsi="新宋体" w:eastAsia="新宋体" w:cs="新宋体"/>
          <w:b/>
          <w:color w:val="auto"/>
          <w:sz w:val="72"/>
          <w:szCs w:val="72"/>
          <w:highlight w:val="none"/>
        </w:rPr>
        <w:t>标</w:t>
      </w:r>
    </w:p>
    <w:p>
      <w:pPr>
        <w:pStyle w:val="19"/>
        <w:rPr>
          <w:rFonts w:hint="eastAsia" w:ascii="新宋体" w:hAnsi="新宋体" w:eastAsia="新宋体" w:cs="新宋体"/>
          <w:color w:val="auto"/>
          <w:highlight w:val="none"/>
        </w:rPr>
      </w:pPr>
    </w:p>
    <w:p>
      <w:pPr>
        <w:jc w:val="center"/>
        <w:rPr>
          <w:rFonts w:hint="eastAsia" w:ascii="新宋体" w:hAnsi="新宋体" w:eastAsia="新宋体" w:cs="新宋体"/>
          <w:b/>
          <w:color w:val="auto"/>
          <w:sz w:val="72"/>
          <w:szCs w:val="72"/>
          <w:highlight w:val="none"/>
        </w:rPr>
      </w:pPr>
      <w:r>
        <w:rPr>
          <w:rFonts w:hint="eastAsia" w:ascii="新宋体" w:hAnsi="新宋体" w:eastAsia="新宋体" w:cs="新宋体"/>
          <w:b/>
          <w:color w:val="auto"/>
          <w:sz w:val="72"/>
          <w:szCs w:val="72"/>
          <w:highlight w:val="none"/>
        </w:rPr>
        <w:t>文</w:t>
      </w:r>
    </w:p>
    <w:p>
      <w:pPr>
        <w:pStyle w:val="19"/>
        <w:rPr>
          <w:rFonts w:hint="eastAsia" w:ascii="新宋体" w:hAnsi="新宋体" w:eastAsia="新宋体" w:cs="新宋体"/>
          <w:color w:val="auto"/>
          <w:highlight w:val="none"/>
        </w:rPr>
      </w:pPr>
    </w:p>
    <w:p>
      <w:pPr>
        <w:jc w:val="center"/>
        <w:rPr>
          <w:rFonts w:hint="eastAsia" w:ascii="新宋体" w:hAnsi="新宋体" w:eastAsia="新宋体" w:cs="新宋体"/>
          <w:b/>
          <w:color w:val="auto"/>
          <w:sz w:val="52"/>
          <w:szCs w:val="52"/>
          <w:highlight w:val="none"/>
        </w:rPr>
      </w:pPr>
      <w:r>
        <w:rPr>
          <w:rFonts w:hint="eastAsia" w:ascii="新宋体" w:hAnsi="新宋体" w:eastAsia="新宋体" w:cs="新宋体"/>
          <w:b/>
          <w:color w:val="auto"/>
          <w:sz w:val="72"/>
          <w:szCs w:val="72"/>
          <w:highlight w:val="none"/>
        </w:rPr>
        <w:t>件</w:t>
      </w:r>
    </w:p>
    <w:p>
      <w:pPr>
        <w:spacing w:line="360" w:lineRule="auto"/>
        <w:rPr>
          <w:rFonts w:hint="eastAsia" w:ascii="新宋体" w:hAnsi="新宋体" w:eastAsia="新宋体" w:cs="新宋体"/>
          <w:b/>
          <w:color w:val="auto"/>
          <w:sz w:val="32"/>
          <w:szCs w:val="32"/>
          <w:highlight w:val="none"/>
        </w:rPr>
      </w:pPr>
    </w:p>
    <w:p>
      <w:pPr>
        <w:spacing w:line="360" w:lineRule="auto"/>
        <w:jc w:val="center"/>
        <w:rPr>
          <w:rFonts w:hint="eastAsia" w:ascii="新宋体" w:hAnsi="新宋体" w:eastAsia="新宋体" w:cs="新宋体"/>
          <w:b/>
          <w:color w:val="auto"/>
          <w:sz w:val="32"/>
          <w:szCs w:val="32"/>
          <w:highlight w:val="none"/>
        </w:rPr>
      </w:pPr>
    </w:p>
    <w:p>
      <w:pPr>
        <w:spacing w:line="600" w:lineRule="auto"/>
        <w:jc w:val="center"/>
        <w:rPr>
          <w:rFonts w:hint="eastAsia" w:ascii="新宋体" w:hAnsi="新宋体" w:eastAsia="新宋体" w:cs="新宋体"/>
          <w:b/>
          <w:color w:val="auto"/>
          <w:sz w:val="36"/>
          <w:szCs w:val="36"/>
          <w:highlight w:val="none"/>
        </w:rPr>
      </w:pPr>
      <w:r>
        <w:rPr>
          <w:rFonts w:hint="eastAsia" w:ascii="新宋体" w:hAnsi="新宋体" w:eastAsia="新宋体" w:cs="新宋体"/>
          <w:b/>
          <w:color w:val="auto"/>
          <w:sz w:val="36"/>
          <w:szCs w:val="36"/>
          <w:highlight w:val="none"/>
        </w:rPr>
        <w:t>中国·四川</w:t>
      </w:r>
    </w:p>
    <w:p>
      <w:pPr>
        <w:spacing w:line="600" w:lineRule="auto"/>
        <w:jc w:val="center"/>
        <w:rPr>
          <w:rFonts w:hint="eastAsia" w:ascii="新宋体" w:hAnsi="新宋体" w:eastAsia="新宋体" w:cs="新宋体"/>
          <w:b/>
          <w:color w:val="auto"/>
          <w:sz w:val="36"/>
          <w:szCs w:val="36"/>
          <w:highlight w:val="none"/>
        </w:rPr>
      </w:pPr>
      <w:r>
        <w:rPr>
          <w:rFonts w:hint="eastAsia" w:ascii="新宋体" w:hAnsi="新宋体" w:eastAsia="新宋体" w:cs="新宋体"/>
          <w:b/>
          <w:color w:val="auto"/>
          <w:sz w:val="36"/>
          <w:szCs w:val="36"/>
          <w:highlight w:val="none"/>
        </w:rPr>
        <w:t>成都经济技术开发区实验小学校</w:t>
      </w:r>
    </w:p>
    <w:p>
      <w:pPr>
        <w:spacing w:line="600" w:lineRule="auto"/>
        <w:jc w:val="center"/>
        <w:rPr>
          <w:rFonts w:hint="eastAsia" w:ascii="新宋体" w:hAnsi="新宋体" w:eastAsia="新宋体" w:cs="新宋体"/>
          <w:b/>
          <w:color w:val="auto"/>
          <w:sz w:val="36"/>
          <w:szCs w:val="36"/>
          <w:highlight w:val="none"/>
        </w:rPr>
      </w:pPr>
      <w:r>
        <w:rPr>
          <w:rFonts w:hint="eastAsia" w:ascii="新宋体" w:hAnsi="新宋体" w:eastAsia="新宋体" w:cs="新宋体"/>
          <w:b/>
          <w:color w:val="auto"/>
          <w:sz w:val="36"/>
          <w:szCs w:val="36"/>
          <w:highlight w:val="none"/>
        </w:rPr>
        <w:t>四川成化工程项目管理有限公司</w:t>
      </w:r>
    </w:p>
    <w:p>
      <w:pPr>
        <w:spacing w:line="600" w:lineRule="auto"/>
        <w:jc w:val="center"/>
        <w:rPr>
          <w:rFonts w:hint="eastAsia" w:ascii="新宋体" w:hAnsi="新宋体" w:eastAsia="新宋体" w:cs="新宋体"/>
          <w:b/>
          <w:color w:val="auto"/>
          <w:sz w:val="36"/>
          <w:szCs w:val="36"/>
          <w:highlight w:val="none"/>
        </w:rPr>
      </w:pPr>
      <w:r>
        <w:rPr>
          <w:rFonts w:hint="eastAsia" w:ascii="新宋体" w:hAnsi="新宋体" w:eastAsia="新宋体" w:cs="新宋体"/>
          <w:b/>
          <w:color w:val="auto"/>
          <w:sz w:val="36"/>
          <w:szCs w:val="36"/>
          <w:highlight w:val="none"/>
        </w:rPr>
        <w:t>共同编制</w:t>
      </w:r>
    </w:p>
    <w:p>
      <w:pPr>
        <w:spacing w:line="600" w:lineRule="auto"/>
        <w:jc w:val="center"/>
        <w:rPr>
          <w:rFonts w:hint="eastAsia" w:ascii="新宋体" w:hAnsi="新宋体" w:eastAsia="新宋体" w:cs="新宋体"/>
          <w:b/>
          <w:color w:val="auto"/>
          <w:sz w:val="36"/>
          <w:szCs w:val="36"/>
          <w:highlight w:val="none"/>
          <w:lang w:val="zh-CN"/>
        </w:rPr>
      </w:pPr>
      <w:r>
        <w:rPr>
          <w:rFonts w:hint="eastAsia" w:ascii="新宋体" w:hAnsi="新宋体" w:eastAsia="新宋体" w:cs="新宋体"/>
          <w:b/>
          <w:color w:val="auto"/>
          <w:sz w:val="36"/>
          <w:szCs w:val="36"/>
          <w:highlight w:val="none"/>
        </w:rPr>
        <w:t>2021</w:t>
      </w:r>
      <w:r>
        <w:rPr>
          <w:rFonts w:hint="eastAsia" w:ascii="新宋体" w:hAnsi="新宋体" w:eastAsia="新宋体" w:cs="新宋体"/>
          <w:b/>
          <w:color w:val="auto"/>
          <w:sz w:val="36"/>
          <w:szCs w:val="36"/>
          <w:highlight w:val="none"/>
          <w:lang w:val="zh-CN"/>
        </w:rPr>
        <w:t>年</w:t>
      </w:r>
      <w:r>
        <w:rPr>
          <w:rFonts w:hint="eastAsia" w:ascii="新宋体" w:hAnsi="新宋体" w:eastAsia="新宋体" w:cs="新宋体"/>
          <w:b/>
          <w:color w:val="auto"/>
          <w:sz w:val="36"/>
          <w:szCs w:val="36"/>
          <w:highlight w:val="none"/>
        </w:rPr>
        <w:t>12月</w:t>
      </w:r>
    </w:p>
    <w:p>
      <w:pPr>
        <w:rPr>
          <w:rFonts w:hint="eastAsia" w:ascii="新宋体" w:hAnsi="新宋体" w:eastAsia="新宋体" w:cs="新宋体"/>
          <w:color w:val="auto"/>
          <w:sz w:val="36"/>
          <w:highlight w:val="none"/>
          <w:lang w:val="zh-CN"/>
        </w:rPr>
        <w:sectPr>
          <w:headerReference r:id="rId5" w:type="default"/>
          <w:pgSz w:w="11906" w:h="16838"/>
          <w:pgMar w:top="1440" w:right="1587" w:bottom="1440" w:left="1627" w:header="850" w:footer="992" w:gutter="0"/>
          <w:pgNumType w:start="1"/>
          <w:cols w:space="720" w:num="1"/>
          <w:docGrid w:type="linesAndChars" w:linePitch="317" w:charSpace="640"/>
        </w:sectPr>
      </w:pPr>
      <w:bookmarkStart w:id="0" w:name="_Toc21448"/>
    </w:p>
    <w:p>
      <w:pPr>
        <w:pStyle w:val="19"/>
        <w:rPr>
          <w:rFonts w:hint="eastAsia" w:ascii="新宋体" w:hAnsi="新宋体" w:eastAsia="新宋体" w:cs="新宋体"/>
          <w:color w:val="auto"/>
          <w:highlight w:val="none"/>
          <w:lang w:val="zh-CN"/>
        </w:rPr>
      </w:pPr>
    </w:p>
    <w:p>
      <w:pPr>
        <w:jc w:val="center"/>
        <w:rPr>
          <w:rFonts w:hint="eastAsia" w:ascii="新宋体" w:hAnsi="新宋体" w:eastAsia="新宋体" w:cs="新宋体"/>
          <w:b/>
          <w:color w:val="auto"/>
          <w:sz w:val="52"/>
          <w:szCs w:val="52"/>
          <w:highlight w:val="none"/>
        </w:rPr>
      </w:pPr>
      <w:r>
        <w:rPr>
          <w:rFonts w:hint="eastAsia" w:ascii="新宋体" w:hAnsi="新宋体" w:eastAsia="新宋体" w:cs="新宋体"/>
          <w:b/>
          <w:color w:val="auto"/>
          <w:sz w:val="52"/>
          <w:szCs w:val="52"/>
          <w:highlight w:val="none"/>
          <w:lang w:val="zh-CN"/>
        </w:rPr>
        <w:t>目    录</w:t>
      </w:r>
      <w:bookmarkEnd w:id="0"/>
    </w:p>
    <w:p>
      <w:pPr>
        <w:pStyle w:val="19"/>
        <w:rPr>
          <w:rFonts w:hint="eastAsia" w:ascii="新宋体" w:hAnsi="新宋体" w:eastAsia="新宋体" w:cs="新宋体"/>
          <w:color w:val="auto"/>
          <w:sz w:val="32"/>
          <w:szCs w:val="32"/>
          <w:highlight w:val="none"/>
        </w:rPr>
      </w:pPr>
      <w:bookmarkStart w:id="1" w:name="_Toc2271"/>
      <w:bookmarkStart w:id="2" w:name="_Toc496689222"/>
      <w:bookmarkStart w:id="3" w:name="_Toc496688906"/>
      <w:bookmarkStart w:id="4" w:name="_Toc24072"/>
      <w:bookmarkStart w:id="5" w:name="_Toc480792483"/>
      <w:bookmarkStart w:id="6" w:name="_Toc496695028"/>
      <w:bookmarkStart w:id="7" w:name="_Toc213397009"/>
      <w:bookmarkStart w:id="8" w:name="_Toc213496267"/>
      <w:bookmarkStart w:id="9" w:name="_Toc213396945"/>
      <w:bookmarkStart w:id="10" w:name="_Toc213396759"/>
      <w:bookmarkStart w:id="11" w:name="_Toc217446031"/>
      <w:bookmarkStart w:id="12" w:name="_Toc480792484"/>
    </w:p>
    <w:p>
      <w:pPr>
        <w:pStyle w:val="32"/>
        <w:tabs>
          <w:tab w:val="right" w:leader="dot" w:pos="8692"/>
        </w:tabs>
        <w:rPr>
          <w:rFonts w:hint="eastAsia" w:ascii="新宋体" w:hAnsi="新宋体" w:eastAsia="新宋体" w:cs="新宋体"/>
          <w:b/>
          <w:bCs/>
          <w:color w:val="auto"/>
          <w:sz w:val="28"/>
          <w:szCs w:val="28"/>
          <w:highlight w:val="none"/>
        </w:rPr>
      </w:pPr>
      <w:bookmarkStart w:id="13" w:name="_Toc12189"/>
      <w:r>
        <w:rPr>
          <w:rFonts w:hint="eastAsia" w:ascii="新宋体" w:hAnsi="新宋体" w:eastAsia="新宋体" w:cs="新宋体"/>
          <w:b/>
          <w:bCs/>
          <w:color w:val="auto"/>
          <w:sz w:val="32"/>
          <w:szCs w:val="32"/>
          <w:highlight w:val="none"/>
        </w:rPr>
        <w:fldChar w:fldCharType="begin"/>
      </w:r>
      <w:r>
        <w:rPr>
          <w:rFonts w:hint="eastAsia" w:ascii="新宋体" w:hAnsi="新宋体" w:eastAsia="新宋体" w:cs="新宋体"/>
          <w:b/>
          <w:bCs/>
          <w:color w:val="auto"/>
          <w:sz w:val="32"/>
          <w:szCs w:val="32"/>
          <w:highlight w:val="none"/>
        </w:rPr>
        <w:instrText xml:space="preserve">TOC \o "1-1" \h \u </w:instrText>
      </w:r>
      <w:r>
        <w:rPr>
          <w:rFonts w:hint="eastAsia" w:ascii="新宋体" w:hAnsi="新宋体" w:eastAsia="新宋体" w:cs="新宋体"/>
          <w:b/>
          <w:bCs/>
          <w:color w:val="auto"/>
          <w:sz w:val="32"/>
          <w:szCs w:val="32"/>
          <w:highlight w:val="none"/>
        </w:rPr>
        <w:fldChar w:fldCharType="separate"/>
      </w: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HYPERLINK \l _Toc6243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第一章  投标邀请</w:t>
      </w:r>
      <w:r>
        <w:rPr>
          <w:rFonts w:hint="eastAsia" w:ascii="新宋体" w:hAnsi="新宋体" w:eastAsia="新宋体" w:cs="新宋体"/>
          <w:b/>
          <w:bCs/>
          <w:color w:val="auto"/>
          <w:sz w:val="28"/>
          <w:szCs w:val="28"/>
          <w:highlight w:val="none"/>
        </w:rPr>
        <w:tab/>
      </w: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PAGEREF _Toc6243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2</w:t>
      </w:r>
      <w:r>
        <w:rPr>
          <w:rFonts w:hint="eastAsia" w:ascii="新宋体" w:hAnsi="新宋体" w:eastAsia="新宋体" w:cs="新宋体"/>
          <w:b/>
          <w:bCs/>
          <w:color w:val="auto"/>
          <w:sz w:val="28"/>
          <w:szCs w:val="28"/>
          <w:highlight w:val="none"/>
        </w:rPr>
        <w:fldChar w:fldCharType="end"/>
      </w:r>
      <w:r>
        <w:rPr>
          <w:rFonts w:hint="eastAsia" w:ascii="新宋体" w:hAnsi="新宋体" w:eastAsia="新宋体" w:cs="新宋体"/>
          <w:b/>
          <w:bCs/>
          <w:color w:val="auto"/>
          <w:sz w:val="28"/>
          <w:szCs w:val="28"/>
          <w:highlight w:val="none"/>
        </w:rPr>
        <w:fldChar w:fldCharType="end"/>
      </w:r>
    </w:p>
    <w:p>
      <w:pPr>
        <w:pStyle w:val="32"/>
        <w:tabs>
          <w:tab w:val="right" w:leader="dot" w:pos="8692"/>
        </w:tabs>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HYPERLINK \l _Toc103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 xml:space="preserve">第二章 </w:t>
      </w:r>
      <w:r>
        <w:rPr>
          <w:rFonts w:hint="eastAsia" w:ascii="新宋体" w:hAnsi="新宋体" w:eastAsia="新宋体" w:cs="新宋体"/>
          <w:b/>
          <w:bCs/>
          <w:color w:val="auto"/>
          <w:sz w:val="28"/>
          <w:szCs w:val="28"/>
          <w:highlight w:val="none"/>
          <w:lang w:val="en-US" w:eastAsia="zh-CN"/>
        </w:rPr>
        <w:t xml:space="preserve"> </w:t>
      </w:r>
      <w:r>
        <w:rPr>
          <w:rFonts w:hint="eastAsia" w:ascii="新宋体" w:hAnsi="新宋体" w:eastAsia="新宋体" w:cs="新宋体"/>
          <w:b/>
          <w:bCs/>
          <w:color w:val="auto"/>
          <w:sz w:val="28"/>
          <w:szCs w:val="28"/>
          <w:highlight w:val="none"/>
        </w:rPr>
        <w:t>投标人须知</w:t>
      </w:r>
      <w:r>
        <w:rPr>
          <w:rFonts w:hint="eastAsia" w:ascii="新宋体" w:hAnsi="新宋体" w:eastAsia="新宋体" w:cs="新宋体"/>
          <w:b/>
          <w:bCs/>
          <w:color w:val="auto"/>
          <w:sz w:val="28"/>
          <w:szCs w:val="28"/>
          <w:highlight w:val="none"/>
        </w:rPr>
        <w:tab/>
      </w: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PAGEREF _Toc103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5</w:t>
      </w:r>
      <w:r>
        <w:rPr>
          <w:rFonts w:hint="eastAsia" w:ascii="新宋体" w:hAnsi="新宋体" w:eastAsia="新宋体" w:cs="新宋体"/>
          <w:b/>
          <w:bCs/>
          <w:color w:val="auto"/>
          <w:sz w:val="28"/>
          <w:szCs w:val="28"/>
          <w:highlight w:val="none"/>
        </w:rPr>
        <w:fldChar w:fldCharType="end"/>
      </w:r>
      <w:r>
        <w:rPr>
          <w:rFonts w:hint="eastAsia" w:ascii="新宋体" w:hAnsi="新宋体" w:eastAsia="新宋体" w:cs="新宋体"/>
          <w:b/>
          <w:bCs/>
          <w:color w:val="auto"/>
          <w:sz w:val="28"/>
          <w:szCs w:val="28"/>
          <w:highlight w:val="none"/>
        </w:rPr>
        <w:fldChar w:fldCharType="end"/>
      </w:r>
    </w:p>
    <w:p>
      <w:pPr>
        <w:pStyle w:val="32"/>
        <w:tabs>
          <w:tab w:val="right" w:leader="dot" w:pos="8692"/>
        </w:tabs>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HYPERLINK \l _Toc24259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 xml:space="preserve">第三章 </w:t>
      </w:r>
      <w:r>
        <w:rPr>
          <w:rFonts w:hint="eastAsia" w:ascii="新宋体" w:hAnsi="新宋体" w:eastAsia="新宋体" w:cs="新宋体"/>
          <w:b/>
          <w:bCs/>
          <w:color w:val="auto"/>
          <w:sz w:val="28"/>
          <w:szCs w:val="28"/>
          <w:highlight w:val="none"/>
          <w:lang w:val="en-US" w:eastAsia="zh-CN"/>
        </w:rPr>
        <w:t xml:space="preserve"> </w:t>
      </w:r>
      <w:r>
        <w:rPr>
          <w:rFonts w:hint="eastAsia" w:ascii="新宋体" w:hAnsi="新宋体" w:eastAsia="新宋体" w:cs="新宋体"/>
          <w:b/>
          <w:bCs/>
          <w:color w:val="auto"/>
          <w:sz w:val="28"/>
          <w:szCs w:val="28"/>
          <w:highlight w:val="none"/>
        </w:rPr>
        <w:t>投标文件格式</w:t>
      </w:r>
      <w:r>
        <w:rPr>
          <w:rFonts w:hint="eastAsia" w:ascii="新宋体" w:hAnsi="新宋体" w:eastAsia="新宋体" w:cs="新宋体"/>
          <w:b/>
          <w:bCs/>
          <w:color w:val="auto"/>
          <w:sz w:val="28"/>
          <w:szCs w:val="28"/>
          <w:highlight w:val="none"/>
        </w:rPr>
        <w:tab/>
      </w: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PAGEREF _Toc24259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27</w:t>
      </w:r>
      <w:r>
        <w:rPr>
          <w:rFonts w:hint="eastAsia" w:ascii="新宋体" w:hAnsi="新宋体" w:eastAsia="新宋体" w:cs="新宋体"/>
          <w:b/>
          <w:bCs/>
          <w:color w:val="auto"/>
          <w:sz w:val="28"/>
          <w:szCs w:val="28"/>
          <w:highlight w:val="none"/>
        </w:rPr>
        <w:fldChar w:fldCharType="end"/>
      </w:r>
      <w:r>
        <w:rPr>
          <w:rFonts w:hint="eastAsia" w:ascii="新宋体" w:hAnsi="新宋体" w:eastAsia="新宋体" w:cs="新宋体"/>
          <w:b/>
          <w:bCs/>
          <w:color w:val="auto"/>
          <w:sz w:val="28"/>
          <w:szCs w:val="28"/>
          <w:highlight w:val="none"/>
        </w:rPr>
        <w:fldChar w:fldCharType="end"/>
      </w:r>
    </w:p>
    <w:p>
      <w:pPr>
        <w:pStyle w:val="32"/>
        <w:tabs>
          <w:tab w:val="right" w:leader="dot" w:pos="8692"/>
        </w:tabs>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HYPERLINK \l _Toc29731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第四章  投标人和投标产品的资格、资质性及其他类似效力要求</w:t>
      </w:r>
      <w:r>
        <w:rPr>
          <w:rFonts w:hint="eastAsia" w:ascii="新宋体" w:hAnsi="新宋体" w:eastAsia="新宋体" w:cs="新宋体"/>
          <w:b/>
          <w:bCs/>
          <w:color w:val="auto"/>
          <w:sz w:val="28"/>
          <w:szCs w:val="28"/>
          <w:highlight w:val="none"/>
        </w:rPr>
        <w:tab/>
      </w: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PAGEREF _Toc29731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51</w:t>
      </w:r>
      <w:r>
        <w:rPr>
          <w:rFonts w:hint="eastAsia" w:ascii="新宋体" w:hAnsi="新宋体" w:eastAsia="新宋体" w:cs="新宋体"/>
          <w:b/>
          <w:bCs/>
          <w:color w:val="auto"/>
          <w:sz w:val="28"/>
          <w:szCs w:val="28"/>
          <w:highlight w:val="none"/>
        </w:rPr>
        <w:fldChar w:fldCharType="end"/>
      </w:r>
      <w:r>
        <w:rPr>
          <w:rFonts w:hint="eastAsia" w:ascii="新宋体" w:hAnsi="新宋体" w:eastAsia="新宋体" w:cs="新宋体"/>
          <w:b/>
          <w:bCs/>
          <w:color w:val="auto"/>
          <w:sz w:val="28"/>
          <w:szCs w:val="28"/>
          <w:highlight w:val="none"/>
        </w:rPr>
        <w:fldChar w:fldCharType="end"/>
      </w:r>
    </w:p>
    <w:p>
      <w:pPr>
        <w:pStyle w:val="32"/>
        <w:tabs>
          <w:tab w:val="right" w:leader="dot" w:pos="8692"/>
        </w:tabs>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HYPERLINK \l _Toc1942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第五章  投标人应</w:t>
      </w:r>
      <w:bookmarkStart w:id="14" w:name="_Hlt50821966"/>
      <w:bookmarkStart w:id="15" w:name="_Hlt50821967"/>
      <w:r>
        <w:rPr>
          <w:rFonts w:hint="eastAsia" w:ascii="新宋体" w:hAnsi="新宋体" w:eastAsia="新宋体" w:cs="新宋体"/>
          <w:b/>
          <w:bCs/>
          <w:color w:val="auto"/>
          <w:sz w:val="28"/>
          <w:szCs w:val="28"/>
          <w:highlight w:val="none"/>
        </w:rPr>
        <w:t>当</w:t>
      </w:r>
      <w:bookmarkEnd w:id="14"/>
      <w:bookmarkEnd w:id="15"/>
      <w:r>
        <w:rPr>
          <w:rFonts w:hint="eastAsia" w:ascii="新宋体" w:hAnsi="新宋体" w:eastAsia="新宋体" w:cs="新宋体"/>
          <w:b/>
          <w:bCs/>
          <w:color w:val="auto"/>
          <w:sz w:val="28"/>
          <w:szCs w:val="28"/>
          <w:highlight w:val="none"/>
        </w:rPr>
        <w:t>提供的资格、资质性及其他类似效力要求的相关证明材料</w:t>
      </w:r>
      <w:r>
        <w:rPr>
          <w:rFonts w:hint="eastAsia" w:ascii="新宋体" w:hAnsi="新宋体" w:eastAsia="新宋体" w:cs="新宋体"/>
          <w:b/>
          <w:bCs/>
          <w:color w:val="auto"/>
          <w:sz w:val="28"/>
          <w:szCs w:val="28"/>
          <w:highlight w:val="none"/>
        </w:rPr>
        <w:tab/>
      </w: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PAGEREF _Toc1942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53</w:t>
      </w:r>
      <w:r>
        <w:rPr>
          <w:rFonts w:hint="eastAsia" w:ascii="新宋体" w:hAnsi="新宋体" w:eastAsia="新宋体" w:cs="新宋体"/>
          <w:b/>
          <w:bCs/>
          <w:color w:val="auto"/>
          <w:sz w:val="28"/>
          <w:szCs w:val="28"/>
          <w:highlight w:val="none"/>
        </w:rPr>
        <w:fldChar w:fldCharType="end"/>
      </w:r>
      <w:r>
        <w:rPr>
          <w:rFonts w:hint="eastAsia" w:ascii="新宋体" w:hAnsi="新宋体" w:eastAsia="新宋体" w:cs="新宋体"/>
          <w:b/>
          <w:bCs/>
          <w:color w:val="auto"/>
          <w:sz w:val="28"/>
          <w:szCs w:val="28"/>
          <w:highlight w:val="none"/>
        </w:rPr>
        <w:fldChar w:fldCharType="end"/>
      </w:r>
    </w:p>
    <w:p>
      <w:pPr>
        <w:pStyle w:val="32"/>
        <w:tabs>
          <w:tab w:val="right" w:leader="dot" w:pos="8692"/>
        </w:tabs>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HYPERLINK \l _Toc25525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第六章  招标项目技术、服务和商务要求</w:t>
      </w:r>
      <w:r>
        <w:rPr>
          <w:rFonts w:hint="eastAsia" w:ascii="新宋体" w:hAnsi="新宋体" w:eastAsia="新宋体" w:cs="新宋体"/>
          <w:b/>
          <w:bCs/>
          <w:color w:val="auto"/>
          <w:sz w:val="28"/>
          <w:szCs w:val="28"/>
          <w:highlight w:val="none"/>
        </w:rPr>
        <w:tab/>
      </w: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PAGEREF _Toc25525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55</w:t>
      </w:r>
      <w:r>
        <w:rPr>
          <w:rFonts w:hint="eastAsia" w:ascii="新宋体" w:hAnsi="新宋体" w:eastAsia="新宋体" w:cs="新宋体"/>
          <w:b/>
          <w:bCs/>
          <w:color w:val="auto"/>
          <w:sz w:val="28"/>
          <w:szCs w:val="28"/>
          <w:highlight w:val="none"/>
        </w:rPr>
        <w:fldChar w:fldCharType="end"/>
      </w:r>
      <w:r>
        <w:rPr>
          <w:rFonts w:hint="eastAsia" w:ascii="新宋体" w:hAnsi="新宋体" w:eastAsia="新宋体" w:cs="新宋体"/>
          <w:b/>
          <w:bCs/>
          <w:color w:val="auto"/>
          <w:sz w:val="28"/>
          <w:szCs w:val="28"/>
          <w:highlight w:val="none"/>
        </w:rPr>
        <w:fldChar w:fldCharType="end"/>
      </w:r>
    </w:p>
    <w:p>
      <w:pPr>
        <w:pStyle w:val="32"/>
        <w:tabs>
          <w:tab w:val="right" w:leader="dot" w:pos="8692"/>
        </w:tabs>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HYPERLINK \l _Toc6240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第七章  评标办法</w:t>
      </w:r>
      <w:r>
        <w:rPr>
          <w:rFonts w:hint="eastAsia" w:ascii="新宋体" w:hAnsi="新宋体" w:eastAsia="新宋体" w:cs="新宋体"/>
          <w:b/>
          <w:bCs/>
          <w:color w:val="auto"/>
          <w:sz w:val="28"/>
          <w:szCs w:val="28"/>
          <w:highlight w:val="none"/>
        </w:rPr>
        <w:tab/>
      </w: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PAGEREF _Toc6240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59</w:t>
      </w:r>
      <w:r>
        <w:rPr>
          <w:rFonts w:hint="eastAsia" w:ascii="新宋体" w:hAnsi="新宋体" w:eastAsia="新宋体" w:cs="新宋体"/>
          <w:b/>
          <w:bCs/>
          <w:color w:val="auto"/>
          <w:sz w:val="28"/>
          <w:szCs w:val="28"/>
          <w:highlight w:val="none"/>
        </w:rPr>
        <w:fldChar w:fldCharType="end"/>
      </w:r>
      <w:r>
        <w:rPr>
          <w:rFonts w:hint="eastAsia" w:ascii="新宋体" w:hAnsi="新宋体" w:eastAsia="新宋体" w:cs="新宋体"/>
          <w:b/>
          <w:bCs/>
          <w:color w:val="auto"/>
          <w:sz w:val="28"/>
          <w:szCs w:val="28"/>
          <w:highlight w:val="none"/>
        </w:rPr>
        <w:fldChar w:fldCharType="end"/>
      </w:r>
    </w:p>
    <w:p>
      <w:pPr>
        <w:pStyle w:val="32"/>
        <w:tabs>
          <w:tab w:val="right" w:leader="dot" w:pos="8692"/>
        </w:tabs>
        <w:rPr>
          <w:rFonts w:hint="eastAsia" w:ascii="新宋体" w:hAnsi="新宋体" w:eastAsia="新宋体" w:cs="新宋体"/>
          <w:b/>
          <w:bCs/>
          <w:color w:val="auto"/>
          <w:highlight w:val="none"/>
        </w:rPr>
      </w:pP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HYPERLINK \l _Toc14844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第八章  政府采购合同（样例）</w:t>
      </w:r>
      <w:r>
        <w:rPr>
          <w:rFonts w:hint="eastAsia" w:ascii="新宋体" w:hAnsi="新宋体" w:eastAsia="新宋体" w:cs="新宋体"/>
          <w:b/>
          <w:bCs/>
          <w:color w:val="auto"/>
          <w:sz w:val="28"/>
          <w:szCs w:val="28"/>
          <w:highlight w:val="none"/>
        </w:rPr>
        <w:tab/>
      </w:r>
      <w:r>
        <w:rPr>
          <w:rFonts w:hint="eastAsia" w:ascii="新宋体" w:hAnsi="新宋体" w:eastAsia="新宋体" w:cs="新宋体"/>
          <w:b/>
          <w:bCs/>
          <w:color w:val="auto"/>
          <w:sz w:val="28"/>
          <w:szCs w:val="28"/>
          <w:highlight w:val="none"/>
        </w:rPr>
        <w:fldChar w:fldCharType="begin"/>
      </w:r>
      <w:r>
        <w:rPr>
          <w:rFonts w:hint="eastAsia" w:ascii="新宋体" w:hAnsi="新宋体" w:eastAsia="新宋体" w:cs="新宋体"/>
          <w:b/>
          <w:bCs/>
          <w:color w:val="auto"/>
          <w:sz w:val="28"/>
          <w:szCs w:val="28"/>
          <w:highlight w:val="none"/>
        </w:rPr>
        <w:instrText xml:space="preserve"> PAGEREF _Toc14844 </w:instrText>
      </w:r>
      <w:r>
        <w:rPr>
          <w:rFonts w:hint="eastAsia" w:ascii="新宋体" w:hAnsi="新宋体" w:eastAsia="新宋体" w:cs="新宋体"/>
          <w:b/>
          <w:bCs/>
          <w:color w:val="auto"/>
          <w:sz w:val="28"/>
          <w:szCs w:val="28"/>
          <w:highlight w:val="none"/>
        </w:rPr>
        <w:fldChar w:fldCharType="separate"/>
      </w:r>
      <w:r>
        <w:rPr>
          <w:rFonts w:hint="eastAsia" w:ascii="新宋体" w:hAnsi="新宋体" w:eastAsia="新宋体" w:cs="新宋体"/>
          <w:b/>
          <w:bCs/>
          <w:color w:val="auto"/>
          <w:sz w:val="28"/>
          <w:szCs w:val="28"/>
          <w:highlight w:val="none"/>
        </w:rPr>
        <w:t>71</w:t>
      </w:r>
      <w:r>
        <w:rPr>
          <w:rFonts w:hint="eastAsia" w:ascii="新宋体" w:hAnsi="新宋体" w:eastAsia="新宋体" w:cs="新宋体"/>
          <w:b/>
          <w:bCs/>
          <w:color w:val="auto"/>
          <w:sz w:val="28"/>
          <w:szCs w:val="28"/>
          <w:highlight w:val="none"/>
        </w:rPr>
        <w:fldChar w:fldCharType="end"/>
      </w:r>
      <w:r>
        <w:rPr>
          <w:rFonts w:hint="eastAsia" w:ascii="新宋体" w:hAnsi="新宋体" w:eastAsia="新宋体" w:cs="新宋体"/>
          <w:b/>
          <w:bCs/>
          <w:color w:val="auto"/>
          <w:sz w:val="28"/>
          <w:szCs w:val="28"/>
          <w:highlight w:val="none"/>
        </w:rPr>
        <w:fldChar w:fldCharType="end"/>
      </w:r>
    </w:p>
    <w:p>
      <w:pPr>
        <w:pStyle w:val="3"/>
        <w:jc w:val="center"/>
        <w:rPr>
          <w:rFonts w:hint="eastAsia" w:ascii="新宋体" w:hAnsi="新宋体" w:eastAsia="新宋体" w:cs="新宋体"/>
          <w:color w:val="auto"/>
          <w:sz w:val="32"/>
          <w:szCs w:val="32"/>
          <w:highlight w:val="none"/>
        </w:rPr>
        <w:sectPr>
          <w:footerReference r:id="rId6" w:type="default"/>
          <w:pgSz w:w="11906" w:h="16838"/>
          <w:pgMar w:top="1440" w:right="1587" w:bottom="1440" w:left="1627" w:header="850" w:footer="992" w:gutter="0"/>
          <w:pgNumType w:start="1"/>
          <w:cols w:space="720" w:num="1"/>
          <w:docGrid w:type="linesAndChars" w:linePitch="317" w:charSpace="640"/>
        </w:sectPr>
      </w:pPr>
      <w:r>
        <w:rPr>
          <w:rFonts w:hint="eastAsia" w:ascii="新宋体" w:hAnsi="新宋体" w:eastAsia="新宋体" w:cs="新宋体"/>
          <w:color w:val="auto"/>
          <w:szCs w:val="32"/>
          <w:highlight w:val="none"/>
        </w:rPr>
        <w:fldChar w:fldCharType="end"/>
      </w:r>
    </w:p>
    <w:p>
      <w:pPr>
        <w:pStyle w:val="3"/>
        <w:spacing w:before="0" w:after="0" w:line="360" w:lineRule="auto"/>
        <w:jc w:val="center"/>
        <w:rPr>
          <w:rFonts w:hint="eastAsia" w:ascii="新宋体" w:hAnsi="新宋体" w:eastAsia="新宋体" w:cs="新宋体"/>
          <w:color w:val="auto"/>
          <w:sz w:val="36"/>
          <w:szCs w:val="36"/>
          <w:highlight w:val="none"/>
        </w:rPr>
      </w:pPr>
      <w:bookmarkStart w:id="16" w:name="_Toc6243"/>
      <w:r>
        <w:rPr>
          <w:rFonts w:hint="eastAsia" w:ascii="新宋体" w:hAnsi="新宋体" w:eastAsia="新宋体" w:cs="新宋体"/>
          <w:color w:val="auto"/>
          <w:sz w:val="36"/>
          <w:szCs w:val="36"/>
          <w:highlight w:val="none"/>
        </w:rPr>
        <w:t>第一章  投标邀请</w:t>
      </w:r>
      <w:bookmarkEnd w:id="1"/>
      <w:bookmarkEnd w:id="2"/>
      <w:bookmarkEnd w:id="3"/>
      <w:bookmarkEnd w:id="4"/>
      <w:bookmarkEnd w:id="5"/>
      <w:bookmarkEnd w:id="6"/>
      <w:bookmarkEnd w:id="13"/>
      <w:bookmarkEnd w:id="16"/>
    </w:p>
    <w:p>
      <w:pPr>
        <w:spacing w:line="420" w:lineRule="exact"/>
        <w:ind w:firstLine="477" w:firstLineChars="197"/>
        <w:rPr>
          <w:rFonts w:hint="eastAsia" w:ascii="新宋体" w:hAnsi="新宋体" w:eastAsia="新宋体" w:cs="新宋体"/>
          <w:color w:val="auto"/>
          <w:sz w:val="24"/>
          <w:highlight w:val="none"/>
        </w:rPr>
      </w:pPr>
      <w:r>
        <w:rPr>
          <w:rFonts w:hint="eastAsia" w:ascii="新宋体" w:hAnsi="新宋体" w:eastAsia="新宋体" w:cs="新宋体"/>
          <w:b/>
          <w:color w:val="auto"/>
          <w:sz w:val="24"/>
          <w:highlight w:val="none"/>
          <w:u w:val="single"/>
        </w:rPr>
        <w:t>四川成化工程项目管理有限公司</w:t>
      </w:r>
      <w:r>
        <w:rPr>
          <w:rFonts w:hint="eastAsia" w:ascii="新宋体" w:hAnsi="新宋体" w:eastAsia="新宋体" w:cs="新宋体"/>
          <w:color w:val="auto"/>
          <w:sz w:val="24"/>
          <w:highlight w:val="none"/>
        </w:rPr>
        <w:t>（采购代理机构）受</w:t>
      </w:r>
      <w:r>
        <w:rPr>
          <w:rFonts w:hint="eastAsia" w:ascii="新宋体" w:hAnsi="新宋体" w:eastAsia="新宋体" w:cs="新宋体"/>
          <w:b/>
          <w:color w:val="auto"/>
          <w:sz w:val="24"/>
          <w:highlight w:val="none"/>
          <w:u w:val="single"/>
        </w:rPr>
        <w:t>成都经济技术开发区实验小学校</w:t>
      </w:r>
      <w:r>
        <w:rPr>
          <w:rFonts w:hint="eastAsia" w:ascii="新宋体" w:hAnsi="新宋体" w:eastAsia="新宋体" w:cs="新宋体"/>
          <w:color w:val="auto"/>
          <w:sz w:val="24"/>
          <w:highlight w:val="none"/>
        </w:rPr>
        <w:t>（采购人）的委托，拟对</w:t>
      </w:r>
      <w:r>
        <w:rPr>
          <w:rFonts w:hint="eastAsia" w:ascii="新宋体" w:hAnsi="新宋体" w:eastAsia="新宋体" w:cs="新宋体"/>
          <w:b/>
          <w:color w:val="auto"/>
          <w:sz w:val="24"/>
          <w:highlight w:val="none"/>
          <w:u w:val="single"/>
        </w:rPr>
        <w:t>成都经济技术开发区实验小学校光环境改造项目</w:t>
      </w:r>
      <w:r>
        <w:rPr>
          <w:rFonts w:hint="eastAsia" w:ascii="新宋体" w:hAnsi="新宋体" w:eastAsia="新宋体" w:cs="新宋体"/>
          <w:color w:val="auto"/>
          <w:sz w:val="24"/>
          <w:highlight w:val="none"/>
        </w:rPr>
        <w:t>进行国内</w:t>
      </w:r>
      <w:r>
        <w:rPr>
          <w:rFonts w:hint="eastAsia" w:ascii="新宋体" w:hAnsi="新宋体" w:eastAsia="新宋体" w:cs="新宋体"/>
          <w:b/>
          <w:color w:val="auto"/>
          <w:sz w:val="24"/>
          <w:highlight w:val="none"/>
          <w:u w:val="single"/>
        </w:rPr>
        <w:t>公开招标</w:t>
      </w:r>
      <w:r>
        <w:rPr>
          <w:rFonts w:hint="eastAsia" w:ascii="新宋体" w:hAnsi="新宋体" w:eastAsia="新宋体" w:cs="新宋体"/>
          <w:color w:val="auto"/>
          <w:sz w:val="24"/>
          <w:highlight w:val="none"/>
        </w:rPr>
        <w:t>，兹邀请符合本次招标要求的供应商参加投标。</w:t>
      </w:r>
    </w:p>
    <w:p>
      <w:pPr>
        <w:numPr>
          <w:ilvl w:val="0"/>
          <w:numId w:val="6"/>
        </w:numPr>
        <w:spacing w:line="420" w:lineRule="exact"/>
        <w:rPr>
          <w:rFonts w:hint="eastAsia" w:ascii="新宋体" w:hAnsi="新宋体" w:eastAsia="新宋体" w:cs="新宋体"/>
          <w:color w:val="auto"/>
          <w:sz w:val="24"/>
          <w:highlight w:val="none"/>
        </w:rPr>
      </w:pPr>
      <w:r>
        <w:rPr>
          <w:rFonts w:hint="eastAsia" w:ascii="新宋体" w:hAnsi="新宋体" w:eastAsia="新宋体" w:cs="新宋体"/>
          <w:b/>
          <w:color w:val="auto"/>
          <w:sz w:val="24"/>
          <w:highlight w:val="none"/>
          <w:lang w:val="en-US" w:eastAsia="zh-CN"/>
        </w:rPr>
        <w:t>采购项目</w:t>
      </w:r>
      <w:r>
        <w:rPr>
          <w:rFonts w:hint="eastAsia" w:ascii="新宋体" w:hAnsi="新宋体" w:eastAsia="新宋体" w:cs="新宋体"/>
          <w:b/>
          <w:color w:val="auto"/>
          <w:sz w:val="24"/>
          <w:highlight w:val="none"/>
        </w:rPr>
        <w:t>编号：按四川省政府采购网生成的为准。</w:t>
      </w:r>
    </w:p>
    <w:p>
      <w:pPr>
        <w:numPr>
          <w:ilvl w:val="0"/>
          <w:numId w:val="6"/>
        </w:numPr>
        <w:spacing w:line="420" w:lineRule="exact"/>
        <w:rPr>
          <w:rFonts w:hint="eastAsia" w:ascii="新宋体" w:hAnsi="新宋体" w:eastAsia="新宋体" w:cs="新宋体"/>
          <w:color w:val="auto"/>
          <w:sz w:val="24"/>
          <w:highlight w:val="none"/>
        </w:rPr>
      </w:pPr>
      <w:r>
        <w:rPr>
          <w:rFonts w:hint="eastAsia" w:ascii="新宋体" w:hAnsi="新宋体" w:eastAsia="新宋体" w:cs="新宋体"/>
          <w:b/>
          <w:color w:val="auto"/>
          <w:sz w:val="24"/>
          <w:highlight w:val="none"/>
        </w:rPr>
        <w:t>招标项目：</w:t>
      </w:r>
      <w:r>
        <w:rPr>
          <w:rFonts w:hint="eastAsia" w:ascii="新宋体" w:hAnsi="新宋体" w:eastAsia="新宋体" w:cs="新宋体"/>
          <w:color w:val="auto"/>
          <w:sz w:val="24"/>
          <w:highlight w:val="none"/>
        </w:rPr>
        <w:t>成都经济技术开发区实验小学校光环境改造项目</w:t>
      </w:r>
    </w:p>
    <w:p>
      <w:pPr>
        <w:numPr>
          <w:ilvl w:val="0"/>
          <w:numId w:val="6"/>
        </w:numPr>
        <w:spacing w:line="420" w:lineRule="exact"/>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预算金额及资金来源：</w:t>
      </w:r>
      <w:r>
        <w:rPr>
          <w:rFonts w:hint="eastAsia" w:ascii="新宋体" w:hAnsi="新宋体" w:eastAsia="新宋体" w:cs="新宋体"/>
          <w:b w:val="0"/>
          <w:bCs/>
          <w:color w:val="auto"/>
          <w:sz w:val="24"/>
          <w:highlight w:val="none"/>
        </w:rPr>
        <w:t>财政资金，资金已落实；政府采购实施计划备案表号：(2021)</w:t>
      </w:r>
      <w:r>
        <w:rPr>
          <w:rFonts w:hint="eastAsia" w:ascii="新宋体" w:hAnsi="新宋体" w:eastAsia="新宋体" w:cs="新宋体"/>
          <w:b w:val="0"/>
          <w:bCs/>
          <w:color w:val="auto"/>
          <w:sz w:val="24"/>
          <w:highlight w:val="none"/>
          <w:lang w:eastAsia="zh-CN"/>
        </w:rPr>
        <w:t>1</w:t>
      </w:r>
      <w:r>
        <w:rPr>
          <w:rFonts w:hint="eastAsia" w:ascii="新宋体" w:hAnsi="新宋体" w:eastAsia="新宋体" w:cs="新宋体"/>
          <w:b w:val="0"/>
          <w:bCs/>
          <w:color w:val="auto"/>
          <w:sz w:val="24"/>
          <w:highlight w:val="none"/>
          <w:lang w:val="en-US" w:eastAsia="zh-CN"/>
        </w:rPr>
        <w:t>654</w:t>
      </w:r>
      <w:r>
        <w:rPr>
          <w:rFonts w:hint="eastAsia" w:ascii="新宋体" w:hAnsi="新宋体" w:eastAsia="新宋体" w:cs="新宋体"/>
          <w:b w:val="0"/>
          <w:bCs/>
          <w:color w:val="auto"/>
          <w:sz w:val="24"/>
          <w:highlight w:val="none"/>
        </w:rPr>
        <w:t>号；</w:t>
      </w:r>
      <w:r>
        <w:rPr>
          <w:rFonts w:hint="eastAsia" w:ascii="新宋体" w:hAnsi="新宋体" w:eastAsia="新宋体" w:cs="新宋体"/>
          <w:b w:val="0"/>
          <w:bCs/>
          <w:color w:val="auto"/>
          <w:sz w:val="24"/>
          <w:highlight w:val="none"/>
          <w:lang w:val="en-US" w:eastAsia="zh-CN"/>
        </w:rPr>
        <w:t>品目编码及名称：A020619照明设备；</w:t>
      </w:r>
      <w:r>
        <w:rPr>
          <w:rFonts w:hint="eastAsia" w:ascii="新宋体" w:hAnsi="新宋体" w:eastAsia="新宋体" w:cs="新宋体"/>
          <w:b w:val="0"/>
          <w:bCs/>
          <w:color w:val="auto"/>
          <w:sz w:val="24"/>
          <w:highlight w:val="none"/>
        </w:rPr>
        <w:t>预算金额：</w:t>
      </w:r>
      <w:r>
        <w:rPr>
          <w:rFonts w:hint="eastAsia" w:ascii="新宋体" w:hAnsi="新宋体" w:eastAsia="新宋体" w:cs="新宋体"/>
          <w:b w:val="0"/>
          <w:bCs/>
          <w:color w:val="auto"/>
          <w:sz w:val="24"/>
          <w:highlight w:val="none"/>
          <w:lang w:val="en-US" w:eastAsia="zh-CN"/>
        </w:rPr>
        <w:t>470000</w:t>
      </w:r>
      <w:r>
        <w:rPr>
          <w:rFonts w:hint="eastAsia" w:ascii="新宋体" w:hAnsi="新宋体" w:eastAsia="新宋体" w:cs="新宋体"/>
          <w:b w:val="0"/>
          <w:bCs/>
          <w:color w:val="auto"/>
          <w:sz w:val="24"/>
          <w:highlight w:val="none"/>
        </w:rPr>
        <w:t>.00元；</w:t>
      </w:r>
      <w:r>
        <w:rPr>
          <w:rFonts w:hint="eastAsia" w:ascii="新宋体" w:hAnsi="新宋体" w:eastAsia="新宋体" w:cs="新宋体"/>
          <w:bCs/>
          <w:color w:val="auto"/>
          <w:sz w:val="24"/>
          <w:highlight w:val="none"/>
        </w:rPr>
        <w:t>采购标的</w:t>
      </w:r>
      <w:r>
        <w:rPr>
          <w:rFonts w:hint="eastAsia" w:ascii="新宋体" w:hAnsi="新宋体" w:eastAsia="新宋体" w:cs="新宋体"/>
          <w:bCs/>
          <w:color w:val="auto"/>
          <w:sz w:val="24"/>
          <w:highlight w:val="none"/>
          <w:lang w:val="zh-CN"/>
        </w:rPr>
        <w:t>对应的</w:t>
      </w:r>
      <w:r>
        <w:rPr>
          <w:rFonts w:hint="eastAsia" w:ascii="新宋体" w:hAnsi="新宋体" w:eastAsia="新宋体" w:cs="新宋体"/>
          <w:bCs/>
          <w:color w:val="auto"/>
          <w:sz w:val="24"/>
          <w:highlight w:val="none"/>
        </w:rPr>
        <w:t>中小企业划分标准所属行业：</w:t>
      </w:r>
      <w:r>
        <w:rPr>
          <w:rFonts w:hint="eastAsia" w:ascii="新宋体" w:hAnsi="新宋体" w:eastAsia="新宋体" w:cs="新宋体"/>
          <w:color w:val="auto"/>
          <w:sz w:val="24"/>
          <w:highlight w:val="none"/>
        </w:rPr>
        <w:t>工业，投标人可根据实际情况进行填写中小企业声明函。</w:t>
      </w:r>
    </w:p>
    <w:p>
      <w:pPr>
        <w:spacing w:line="420" w:lineRule="exact"/>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四、项目简介：</w:t>
      </w:r>
    </w:p>
    <w:p>
      <w:pPr>
        <w:spacing w:line="360" w:lineRule="auto"/>
        <w:ind w:firstLine="475" w:firstLineChars="196"/>
        <w:rPr>
          <w:rFonts w:hint="eastAsia" w:ascii="新宋体" w:hAnsi="新宋体" w:eastAsia="新宋体" w:cs="新宋体"/>
          <w:color w:val="auto"/>
          <w:kern w:val="0"/>
          <w:sz w:val="24"/>
          <w:highlight w:val="none"/>
        </w:rPr>
      </w:pPr>
      <w:r>
        <w:rPr>
          <w:rFonts w:hint="eastAsia" w:ascii="新宋体" w:hAnsi="新宋体" w:eastAsia="新宋体" w:cs="新宋体"/>
          <w:color w:val="auto"/>
          <w:sz w:val="24"/>
          <w:highlight w:val="none"/>
        </w:rPr>
        <w:t>详见招标文件第六章。</w:t>
      </w:r>
    </w:p>
    <w:p>
      <w:pPr>
        <w:numPr>
          <w:ilvl w:val="0"/>
          <w:numId w:val="7"/>
        </w:numPr>
        <w:adjustRightInd w:val="0"/>
        <w:snapToGrid w:val="0"/>
        <w:spacing w:line="360" w:lineRule="auto"/>
        <w:rPr>
          <w:rFonts w:hint="eastAsia" w:ascii="新宋体" w:hAnsi="新宋体" w:eastAsia="新宋体" w:cs="新宋体"/>
          <w:color w:val="auto"/>
          <w:sz w:val="24"/>
          <w:highlight w:val="none"/>
        </w:rPr>
      </w:pPr>
      <w:r>
        <w:rPr>
          <w:rFonts w:hint="eastAsia" w:ascii="新宋体" w:hAnsi="新宋体" w:eastAsia="新宋体" w:cs="新宋体"/>
          <w:b/>
          <w:color w:val="auto"/>
          <w:sz w:val="24"/>
          <w:highlight w:val="none"/>
        </w:rPr>
        <w:t>供应商参加本次政府采购活动，应当在提交投标文件前具备下列条件：</w:t>
      </w:r>
    </w:p>
    <w:p>
      <w:pPr>
        <w:adjustRightInd w:val="0"/>
        <w:snapToGrid w:val="0"/>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1、具有独立承担民事责任的能力；</w:t>
      </w:r>
    </w:p>
    <w:p>
      <w:pPr>
        <w:adjustRightInd w:val="0"/>
        <w:snapToGrid w:val="0"/>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2、具有良好的商业信誉和健全的财务会计制度；</w:t>
      </w:r>
    </w:p>
    <w:p>
      <w:pPr>
        <w:adjustRightInd w:val="0"/>
        <w:snapToGrid w:val="0"/>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3、具有履行合同所必需的设备和专业技术能力；</w:t>
      </w:r>
    </w:p>
    <w:p>
      <w:pPr>
        <w:adjustRightInd w:val="0"/>
        <w:snapToGrid w:val="0"/>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4、具有依法缴纳税收和社会保障资金的良好记录；</w:t>
      </w:r>
    </w:p>
    <w:p>
      <w:pPr>
        <w:adjustRightInd w:val="0"/>
        <w:snapToGrid w:val="0"/>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5、参加政府采购活动前三年内，在经营活动中没有重大违法记录；</w:t>
      </w:r>
    </w:p>
    <w:p>
      <w:pPr>
        <w:adjustRightInd w:val="0"/>
        <w:snapToGrid w:val="0"/>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6、法律、行政法规规定的其他条件。</w:t>
      </w:r>
    </w:p>
    <w:p>
      <w:pPr>
        <w:adjustRightInd w:val="0"/>
        <w:snapToGrid w:val="0"/>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7.根据采购项目提出的特殊条件：</w:t>
      </w:r>
    </w:p>
    <w:p>
      <w:pPr>
        <w:adjustRightInd w:val="0"/>
        <w:snapToGrid w:val="0"/>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7.1参加本项目政府采购活动的供应商、法定代表人、主要负责人在投标前三年内不得具有行贿犯罪记录；</w:t>
      </w:r>
    </w:p>
    <w:p>
      <w:pPr>
        <w:adjustRightInd w:val="0"/>
        <w:snapToGrid w:val="0"/>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7.2本项目不接受联合体参加。</w:t>
      </w:r>
    </w:p>
    <w:p>
      <w:pPr>
        <w:pStyle w:val="19"/>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8、落实政府采购政策需满足的资格要求：</w:t>
      </w:r>
    </w:p>
    <w:p>
      <w:pPr>
        <w:pStyle w:val="19"/>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8.1本项目专门面向中小企业采购(监狱企业、残疾人福利性单位视同小微企业)。</w:t>
      </w:r>
    </w:p>
    <w:p>
      <w:pPr>
        <w:adjustRightInd w:val="0"/>
        <w:snapToGrid w:val="0"/>
        <w:spacing w:line="360" w:lineRule="auto"/>
        <w:rPr>
          <w:rFonts w:hint="eastAsia" w:ascii="新宋体" w:hAnsi="新宋体" w:eastAsia="新宋体" w:cs="新宋体"/>
          <w:color w:val="auto"/>
          <w:sz w:val="24"/>
          <w:highlight w:val="none"/>
        </w:rPr>
      </w:pPr>
      <w:r>
        <w:rPr>
          <w:rFonts w:hint="eastAsia" w:ascii="新宋体" w:hAnsi="新宋体" w:eastAsia="新宋体" w:cs="新宋体"/>
          <w:b/>
          <w:color w:val="auto"/>
          <w:sz w:val="24"/>
          <w:highlight w:val="none"/>
        </w:rPr>
        <w:t>六、定向采购情况</w:t>
      </w:r>
    </w:p>
    <w:p>
      <w:pPr>
        <w:adjustRightInd w:val="0"/>
        <w:snapToGrid w:val="0"/>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本项目属于专门面向中小企业采购(监狱企业、残疾人福利性单位视同小微企业)；</w:t>
      </w:r>
    </w:p>
    <w:p>
      <w:pPr>
        <w:spacing w:line="420" w:lineRule="exact"/>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七、禁止参加本次采购活动的供应商</w:t>
      </w:r>
    </w:p>
    <w:p>
      <w:pPr>
        <w:spacing w:line="440" w:lineRule="exact"/>
        <w:ind w:firstLine="486" w:firstLineChars="200"/>
        <w:rPr>
          <w:rFonts w:hint="eastAsia" w:ascii="新宋体" w:hAnsi="新宋体" w:eastAsia="新宋体" w:cs="新宋体"/>
          <w:b/>
          <w:color w:val="auto"/>
          <w:sz w:val="24"/>
          <w:highlight w:val="none"/>
        </w:rPr>
      </w:pPr>
      <w:bookmarkStart w:id="17" w:name="PO_默认文件内容_7"/>
      <w:r>
        <w:rPr>
          <w:rFonts w:hint="eastAsia" w:ascii="新宋体" w:hAnsi="新宋体" w:eastAsia="新宋体" w:cs="新宋体"/>
          <w:color w:val="auto"/>
          <w:sz w:val="24"/>
          <w:highlight w:val="none"/>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bookmarkEnd w:id="17"/>
    </w:p>
    <w:p>
      <w:pPr>
        <w:spacing w:line="420" w:lineRule="exact"/>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八、招标文件获取时间、地点：</w:t>
      </w:r>
    </w:p>
    <w:p>
      <w:pPr>
        <w:spacing w:line="420" w:lineRule="exact"/>
        <w:ind w:firstLine="729" w:firstLineChars="300"/>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招标文件自</w:t>
      </w:r>
      <w:r>
        <w:rPr>
          <w:rFonts w:hint="eastAsia" w:ascii="新宋体" w:hAnsi="新宋体" w:eastAsia="新宋体" w:cs="新宋体"/>
          <w:b/>
          <w:color w:val="auto"/>
          <w:sz w:val="24"/>
          <w:highlight w:val="none"/>
        </w:rPr>
        <w:t>2021 年12月</w:t>
      </w:r>
      <w:r>
        <w:rPr>
          <w:rFonts w:hint="eastAsia" w:ascii="新宋体" w:hAnsi="新宋体" w:eastAsia="新宋体" w:cs="新宋体"/>
          <w:b/>
          <w:color w:val="auto"/>
          <w:sz w:val="24"/>
          <w:highlight w:val="none"/>
          <w:lang w:val="en-US" w:eastAsia="zh-CN"/>
        </w:rPr>
        <w:t>31</w:t>
      </w:r>
      <w:r>
        <w:rPr>
          <w:rFonts w:hint="eastAsia" w:ascii="新宋体" w:hAnsi="新宋体" w:eastAsia="新宋体" w:cs="新宋体"/>
          <w:b/>
          <w:color w:val="auto"/>
          <w:sz w:val="24"/>
          <w:highlight w:val="none"/>
        </w:rPr>
        <w:t>日至202</w:t>
      </w:r>
      <w:r>
        <w:rPr>
          <w:rFonts w:hint="eastAsia" w:ascii="新宋体" w:hAnsi="新宋体" w:eastAsia="新宋体" w:cs="新宋体"/>
          <w:b/>
          <w:color w:val="auto"/>
          <w:sz w:val="24"/>
          <w:highlight w:val="none"/>
          <w:lang w:val="en-US" w:eastAsia="zh-CN"/>
        </w:rPr>
        <w:t>2</w:t>
      </w:r>
      <w:r>
        <w:rPr>
          <w:rFonts w:hint="eastAsia" w:ascii="新宋体" w:hAnsi="新宋体" w:eastAsia="新宋体" w:cs="新宋体"/>
          <w:b/>
          <w:color w:val="auto"/>
          <w:sz w:val="24"/>
          <w:highlight w:val="none"/>
        </w:rPr>
        <w:t>年</w:t>
      </w:r>
      <w:r>
        <w:rPr>
          <w:rFonts w:hint="eastAsia" w:ascii="新宋体" w:hAnsi="新宋体" w:eastAsia="新宋体" w:cs="新宋体"/>
          <w:b/>
          <w:color w:val="auto"/>
          <w:sz w:val="24"/>
          <w:highlight w:val="none"/>
          <w:lang w:val="en-US" w:eastAsia="zh-CN"/>
        </w:rPr>
        <w:t>0</w:t>
      </w:r>
      <w:r>
        <w:rPr>
          <w:rFonts w:hint="eastAsia" w:ascii="新宋体" w:hAnsi="新宋体" w:eastAsia="新宋体" w:cs="新宋体"/>
          <w:b/>
          <w:color w:val="auto"/>
          <w:sz w:val="24"/>
          <w:highlight w:val="none"/>
        </w:rPr>
        <w:t>1月</w:t>
      </w:r>
      <w:r>
        <w:rPr>
          <w:rFonts w:hint="eastAsia" w:ascii="新宋体" w:hAnsi="新宋体" w:eastAsia="新宋体" w:cs="新宋体"/>
          <w:b/>
          <w:color w:val="auto"/>
          <w:sz w:val="24"/>
          <w:highlight w:val="none"/>
          <w:lang w:val="en-US" w:eastAsia="zh-CN"/>
        </w:rPr>
        <w:t>07</w:t>
      </w:r>
      <w:r>
        <w:rPr>
          <w:rFonts w:hint="eastAsia" w:ascii="新宋体" w:hAnsi="新宋体" w:eastAsia="新宋体" w:cs="新宋体"/>
          <w:b/>
          <w:color w:val="auto"/>
          <w:sz w:val="24"/>
          <w:highlight w:val="none"/>
        </w:rPr>
        <w:t>日</w:t>
      </w:r>
      <w:r>
        <w:rPr>
          <w:rFonts w:hint="eastAsia" w:ascii="新宋体" w:hAnsi="新宋体" w:eastAsia="新宋体" w:cs="新宋体"/>
          <w:bCs/>
          <w:color w:val="auto"/>
          <w:sz w:val="24"/>
          <w:highlight w:val="none"/>
        </w:rPr>
        <w:t>在</w:t>
      </w:r>
      <w:r>
        <w:rPr>
          <w:rFonts w:hint="eastAsia" w:ascii="新宋体" w:hAnsi="新宋体" w:eastAsia="新宋体" w:cs="新宋体"/>
          <w:color w:val="auto"/>
          <w:sz w:val="24"/>
          <w:highlight w:val="none"/>
        </w:rPr>
        <w:t>“政府采购云平台”获取采购文件（网址：</w:t>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HYPERLINK "https://www.zcygov.cn）项目采购—获取采购文件—申请获取采购文件。_x0005_"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sz w:val="24"/>
          <w:highlight w:val="none"/>
        </w:rPr>
        <w:t>https://www.zcygov.cn）。登录政府采购云平台—项目采购—获取采购文件—申请获取采购文件</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sz w:val="24"/>
          <w:highlight w:val="none"/>
        </w:rPr>
        <w:t>。</w:t>
      </w:r>
    </w:p>
    <w:p>
      <w:pPr>
        <w:spacing w:after="50" w:line="420" w:lineRule="exact"/>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提示：</w:t>
      </w:r>
    </w:p>
    <w:p>
      <w:pPr>
        <w:spacing w:after="50" w:line="420" w:lineRule="exact"/>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（1）本项目招标文件免费获取。</w:t>
      </w:r>
    </w:p>
    <w:p>
      <w:pPr>
        <w:spacing w:after="50" w:line="420" w:lineRule="exact"/>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（2）投标人只有在“政府采购云平台”完成获取招标文件申请并下载招标文件后才视作依法参与本项目。如未在“政府采购云平台”内完成相关流程，引起的投标无效责任自负。</w:t>
      </w:r>
    </w:p>
    <w:p>
      <w:pPr>
        <w:spacing w:line="420" w:lineRule="exact"/>
        <w:ind w:firstLine="486" w:firstLineChars="200"/>
        <w:rPr>
          <w:rFonts w:hint="eastAsia" w:ascii="新宋体" w:hAnsi="新宋体" w:eastAsia="新宋体" w:cs="新宋体"/>
          <w:bCs/>
          <w:color w:val="auto"/>
          <w:sz w:val="24"/>
          <w:highlight w:val="none"/>
        </w:rPr>
      </w:pPr>
      <w:r>
        <w:rPr>
          <w:rFonts w:hint="eastAsia" w:ascii="新宋体" w:hAnsi="新宋体" w:eastAsia="新宋体" w:cs="新宋体"/>
          <w:color w:val="auto"/>
          <w:sz w:val="24"/>
          <w:highlight w:val="none"/>
        </w:rPr>
        <w:t>（3）本项目为电子招标投标项目，投标人参与本项目全过程中凡涉及系统操作请详见《供应商政府采购项目电子交易操作指南》。（操作指南以政府采购云平台网站发布为准，获取方式详见：</w:t>
      </w:r>
      <w:r>
        <w:rPr>
          <w:rFonts w:hint="eastAsia" w:ascii="新宋体" w:hAnsi="新宋体" w:eastAsia="新宋体" w:cs="新宋体"/>
          <w:b/>
          <w:bCs/>
          <w:color w:val="auto"/>
          <w:sz w:val="24"/>
          <w:highlight w:val="none"/>
        </w:rPr>
        <w:t>附件一：政府采购云平台使用介绍</w:t>
      </w:r>
      <w:r>
        <w:rPr>
          <w:rFonts w:hint="eastAsia" w:ascii="新宋体" w:hAnsi="新宋体" w:eastAsia="新宋体" w:cs="新宋体"/>
          <w:color w:val="auto"/>
          <w:sz w:val="24"/>
          <w:highlight w:val="none"/>
        </w:rPr>
        <w:t>）</w:t>
      </w:r>
      <w:r>
        <w:rPr>
          <w:rFonts w:hint="eastAsia" w:ascii="新宋体" w:hAnsi="新宋体" w:eastAsia="新宋体" w:cs="新宋体"/>
          <w:bCs/>
          <w:color w:val="auto"/>
          <w:sz w:val="24"/>
          <w:highlight w:val="none"/>
        </w:rPr>
        <w:t>。</w:t>
      </w:r>
    </w:p>
    <w:p>
      <w:pPr>
        <w:spacing w:line="420" w:lineRule="exact"/>
        <w:ind w:left="488" w:hanging="486" w:hanging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九、投标截止时间和开标时间：2022年01月</w:t>
      </w:r>
      <w:r>
        <w:rPr>
          <w:rFonts w:hint="eastAsia" w:ascii="新宋体" w:hAnsi="新宋体" w:eastAsia="新宋体" w:cs="新宋体"/>
          <w:b/>
          <w:color w:val="auto"/>
          <w:sz w:val="24"/>
          <w:highlight w:val="none"/>
          <w:lang w:val="en-US" w:eastAsia="zh-CN"/>
        </w:rPr>
        <w:t>20</w:t>
      </w:r>
      <w:r>
        <w:rPr>
          <w:rFonts w:hint="eastAsia" w:ascii="新宋体" w:hAnsi="新宋体" w:eastAsia="新宋体" w:cs="新宋体"/>
          <w:b/>
          <w:color w:val="auto"/>
          <w:sz w:val="24"/>
          <w:highlight w:val="none"/>
        </w:rPr>
        <w:t>日10:00分（北京时间）。</w:t>
      </w:r>
    </w:p>
    <w:p>
      <w:pPr>
        <w:spacing w:line="420" w:lineRule="exact"/>
        <w:ind w:firstLine="477" w:firstLineChars="197"/>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8"/>
          <w:highlight w:val="none"/>
        </w:rPr>
        <w:t>投标截止时间前，投标人应将加密的电子投标文件递交至“政府采购云平台”对应项目（包件）</w:t>
      </w:r>
      <w:r>
        <w:rPr>
          <w:rFonts w:hint="eastAsia" w:ascii="新宋体" w:hAnsi="新宋体" w:eastAsia="新宋体" w:cs="新宋体"/>
          <w:color w:val="auto"/>
          <w:sz w:val="24"/>
          <w:highlight w:val="none"/>
        </w:rPr>
        <w:t>。</w:t>
      </w:r>
    </w:p>
    <w:p>
      <w:pPr>
        <w:spacing w:line="420" w:lineRule="exact"/>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十、开标地点：</w:t>
      </w:r>
    </w:p>
    <w:p>
      <w:pPr>
        <w:spacing w:after="50" w:line="420" w:lineRule="exact"/>
        <w:rPr>
          <w:rFonts w:hint="eastAsia" w:ascii="新宋体" w:hAnsi="新宋体" w:eastAsia="新宋体" w:cs="新宋体"/>
          <w:color w:val="auto"/>
          <w:sz w:val="24"/>
          <w:szCs w:val="28"/>
          <w:highlight w:val="none"/>
        </w:rPr>
      </w:pPr>
      <w:r>
        <w:rPr>
          <w:rFonts w:hint="eastAsia" w:ascii="新宋体" w:hAnsi="新宋体" w:eastAsia="新宋体" w:cs="新宋体"/>
          <w:color w:val="auto"/>
          <w:sz w:val="24"/>
          <w:szCs w:val="28"/>
          <w:highlight w:val="none"/>
        </w:rPr>
        <w:t>（1）本项目为不见面开标项目。</w:t>
      </w:r>
    </w:p>
    <w:p>
      <w:pPr>
        <w:spacing w:after="50" w:line="420" w:lineRule="exact"/>
        <w:rPr>
          <w:rFonts w:hint="eastAsia" w:ascii="新宋体" w:hAnsi="新宋体" w:eastAsia="新宋体" w:cs="新宋体"/>
          <w:color w:val="auto"/>
          <w:sz w:val="24"/>
          <w:szCs w:val="28"/>
          <w:highlight w:val="none"/>
        </w:rPr>
      </w:pPr>
      <w:r>
        <w:rPr>
          <w:rFonts w:hint="eastAsia" w:ascii="新宋体" w:hAnsi="新宋体" w:eastAsia="新宋体" w:cs="新宋体"/>
          <w:color w:val="auto"/>
          <w:sz w:val="24"/>
          <w:szCs w:val="28"/>
          <w:highlight w:val="none"/>
        </w:rPr>
        <w:t>（2）开标地点：政府采购云平台(https://www.zcygov.cn)</w:t>
      </w:r>
    </w:p>
    <w:p>
      <w:pPr>
        <w:spacing w:line="420" w:lineRule="exact"/>
        <w:rPr>
          <w:rFonts w:hint="eastAsia" w:ascii="新宋体" w:hAnsi="新宋体" w:eastAsia="新宋体" w:cs="新宋体"/>
          <w:bCs/>
          <w:color w:val="auto"/>
          <w:sz w:val="24"/>
          <w:highlight w:val="none"/>
        </w:rPr>
      </w:pPr>
      <w:r>
        <w:rPr>
          <w:rFonts w:hint="eastAsia" w:ascii="新宋体" w:hAnsi="新宋体" w:eastAsia="新宋体" w:cs="新宋体"/>
          <w:color w:val="auto"/>
          <w:sz w:val="24"/>
          <w:szCs w:val="28"/>
          <w:highlight w:val="none"/>
        </w:rPr>
        <w:t>（3）本项目只接受投标人加密并递交至“政府采购云平台”的投标文件</w:t>
      </w:r>
      <w:r>
        <w:rPr>
          <w:rFonts w:hint="eastAsia" w:ascii="新宋体" w:hAnsi="新宋体" w:eastAsia="新宋体" w:cs="新宋体"/>
          <w:bCs/>
          <w:color w:val="auto"/>
          <w:sz w:val="24"/>
          <w:highlight w:val="none"/>
        </w:rPr>
        <w:t>。</w:t>
      </w:r>
    </w:p>
    <w:p>
      <w:pPr>
        <w:spacing w:line="420" w:lineRule="exact"/>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十一、本投标邀请在四川政府采购网（www.ccgp-sichuan.gov.cn）上以公告形式发布。</w:t>
      </w:r>
    </w:p>
    <w:p>
      <w:pPr>
        <w:pStyle w:val="19"/>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十二、供应商信用融资：</w:t>
      </w:r>
    </w:p>
    <w:p>
      <w:pPr>
        <w:pStyle w:val="118"/>
        <w:spacing w:line="420" w:lineRule="exact"/>
        <w:ind w:firstLine="486"/>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pPr>
        <w:pStyle w:val="118"/>
        <w:spacing w:line="420" w:lineRule="exact"/>
        <w:ind w:firstLine="486"/>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成财采[2019]17号”、成财采发[2020]28号）。</w:t>
      </w:r>
    </w:p>
    <w:p>
      <w:pPr>
        <w:spacing w:line="360" w:lineRule="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十三、联系方式</w:t>
      </w:r>
    </w:p>
    <w:p>
      <w:pPr>
        <w:spacing w:line="360" w:lineRule="auto"/>
        <w:ind w:firstLine="477" w:firstLineChars="197"/>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采购人：成都经济技术开发区实验小学校</w:t>
      </w:r>
    </w:p>
    <w:p>
      <w:pPr>
        <w:spacing w:line="360" w:lineRule="auto"/>
        <w:ind w:firstLine="477" w:firstLineChars="197"/>
        <w:rPr>
          <w:rFonts w:hint="eastAsia" w:ascii="新宋体" w:hAnsi="新宋体" w:eastAsia="新宋体" w:cs="新宋体"/>
          <w:color w:val="auto"/>
          <w:highlight w:val="none"/>
        </w:rPr>
      </w:pPr>
      <w:commentRangeStart w:id="0"/>
      <w:r>
        <w:rPr>
          <w:rFonts w:hint="eastAsia" w:ascii="新宋体" w:hAnsi="新宋体" w:eastAsia="新宋体" w:cs="新宋体"/>
          <w:color w:val="auto"/>
          <w:sz w:val="24"/>
          <w:highlight w:val="none"/>
        </w:rPr>
        <w:t>地    址：成都市龙泉驿区龙泉桃都大道东段3号</w:t>
      </w:r>
    </w:p>
    <w:p>
      <w:pPr>
        <w:spacing w:line="360" w:lineRule="auto"/>
        <w:ind w:firstLine="477" w:firstLineChars="197"/>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 系 人：白老师</w:t>
      </w:r>
    </w:p>
    <w:p>
      <w:pPr>
        <w:spacing w:line="360" w:lineRule="auto"/>
        <w:ind w:firstLine="477" w:firstLineChars="197"/>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联系电话：18382176884</w:t>
      </w:r>
      <w:commentRangeEnd w:id="0"/>
      <w:r>
        <w:rPr>
          <w:rFonts w:hint="eastAsia" w:ascii="新宋体" w:hAnsi="新宋体" w:eastAsia="新宋体" w:cs="新宋体"/>
          <w:color w:val="auto"/>
          <w:highlight w:val="none"/>
        </w:rPr>
        <w:commentReference w:id="0"/>
      </w:r>
    </w:p>
    <w:p>
      <w:pPr>
        <w:spacing w:line="360" w:lineRule="auto"/>
        <w:ind w:firstLine="477" w:firstLineChars="197"/>
        <w:rPr>
          <w:rFonts w:hint="eastAsia" w:ascii="新宋体" w:hAnsi="新宋体" w:eastAsia="新宋体" w:cs="新宋体"/>
          <w:b/>
          <w:bCs/>
          <w:color w:val="auto"/>
          <w:sz w:val="24"/>
          <w:highlight w:val="none"/>
        </w:rPr>
      </w:pPr>
    </w:p>
    <w:p>
      <w:pPr>
        <w:spacing w:line="360" w:lineRule="auto"/>
        <w:ind w:firstLine="477" w:firstLineChars="197"/>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采购代理机构：四川成化工程项目管理有限公司</w:t>
      </w:r>
    </w:p>
    <w:p>
      <w:pPr>
        <w:spacing w:line="360" w:lineRule="auto"/>
        <w:ind w:firstLine="477" w:firstLineChars="197"/>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地    址：成都市武侯区二环路南三段5号人南大厦B座7楼</w:t>
      </w:r>
    </w:p>
    <w:bookmarkEnd w:id="7"/>
    <w:bookmarkEnd w:id="8"/>
    <w:bookmarkEnd w:id="9"/>
    <w:bookmarkEnd w:id="10"/>
    <w:bookmarkEnd w:id="11"/>
    <w:bookmarkEnd w:id="12"/>
    <w:p>
      <w:pPr>
        <w:spacing w:line="360" w:lineRule="auto"/>
        <w:ind w:firstLine="475" w:firstLineChars="196"/>
        <w:rPr>
          <w:rFonts w:hint="eastAsia" w:ascii="新宋体" w:hAnsi="新宋体" w:eastAsia="新宋体" w:cs="新宋体"/>
          <w:color w:val="auto"/>
          <w:sz w:val="24"/>
          <w:highlight w:val="none"/>
        </w:rPr>
      </w:pPr>
      <w:bookmarkStart w:id="18" w:name="_Toc14586"/>
      <w:bookmarkStart w:id="19" w:name="_Toc496689223"/>
      <w:bookmarkStart w:id="20" w:name="_Toc496688907"/>
      <w:bookmarkStart w:id="21" w:name="_Toc9451"/>
      <w:bookmarkStart w:id="22" w:name="_Toc13137"/>
      <w:bookmarkStart w:id="23" w:name="_Toc496695029"/>
      <w:r>
        <w:rPr>
          <w:rFonts w:hint="eastAsia" w:ascii="新宋体" w:hAnsi="新宋体" w:eastAsia="新宋体" w:cs="新宋体"/>
          <w:color w:val="auto"/>
          <w:sz w:val="24"/>
          <w:highlight w:val="none"/>
        </w:rPr>
        <w:t>邮    编：610041</w:t>
      </w:r>
    </w:p>
    <w:p>
      <w:pPr>
        <w:spacing w:line="360" w:lineRule="auto"/>
        <w:ind w:firstLine="475" w:firstLineChars="196"/>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 系 人：付先生</w:t>
      </w:r>
    </w:p>
    <w:p>
      <w:pPr>
        <w:spacing w:line="360" w:lineRule="auto"/>
        <w:ind w:firstLine="475" w:firstLineChars="196"/>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联系电话：028-85539329</w:t>
      </w:r>
    </w:p>
    <w:p>
      <w:pPr>
        <w:spacing w:line="360" w:lineRule="auto"/>
        <w:ind w:firstLine="475" w:firstLineChars="196"/>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传    真：028-85539329</w:t>
      </w:r>
    </w:p>
    <w:p>
      <w:pPr>
        <w:pStyle w:val="3"/>
        <w:spacing w:before="0" w:after="0" w:line="360" w:lineRule="auto"/>
        <w:jc w:val="center"/>
        <w:rPr>
          <w:rFonts w:hint="eastAsia" w:ascii="新宋体" w:hAnsi="新宋体" w:eastAsia="新宋体" w:cs="新宋体"/>
          <w:b w:val="0"/>
          <w:bCs w:val="0"/>
          <w:color w:val="auto"/>
          <w:sz w:val="32"/>
          <w:szCs w:val="32"/>
          <w:highlight w:val="none"/>
        </w:rPr>
      </w:pPr>
      <w:r>
        <w:rPr>
          <w:rFonts w:hint="eastAsia" w:ascii="新宋体" w:hAnsi="新宋体" w:eastAsia="新宋体" w:cs="新宋体"/>
          <w:color w:val="auto"/>
          <w:sz w:val="30"/>
          <w:szCs w:val="30"/>
          <w:highlight w:val="none"/>
        </w:rPr>
        <w:br w:type="page"/>
      </w:r>
      <w:bookmarkStart w:id="24" w:name="_Toc103"/>
      <w:r>
        <w:rPr>
          <w:rFonts w:hint="eastAsia" w:ascii="新宋体" w:hAnsi="新宋体" w:eastAsia="新宋体" w:cs="新宋体"/>
          <w:color w:val="auto"/>
          <w:sz w:val="36"/>
          <w:szCs w:val="36"/>
          <w:highlight w:val="none"/>
        </w:rPr>
        <w:t>第二章 投标人须知</w:t>
      </w:r>
      <w:bookmarkEnd w:id="18"/>
      <w:bookmarkEnd w:id="19"/>
      <w:bookmarkEnd w:id="20"/>
      <w:bookmarkEnd w:id="21"/>
      <w:bookmarkEnd w:id="22"/>
      <w:bookmarkEnd w:id="23"/>
      <w:bookmarkEnd w:id="24"/>
    </w:p>
    <w:p>
      <w:pPr>
        <w:pStyle w:val="4"/>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一、投标人须知附表</w:t>
      </w:r>
    </w:p>
    <w:tbl>
      <w:tblPr>
        <w:tblStyle w:val="47"/>
        <w:tblW w:w="1031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34"/>
        <w:gridCol w:w="1860"/>
        <w:gridCol w:w="781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5" w:hRule="exact"/>
          <w:tblHeader/>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序号</w:t>
            </w:r>
          </w:p>
        </w:tc>
        <w:tc>
          <w:tcPr>
            <w:tcW w:w="1860"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条款名称</w:t>
            </w:r>
          </w:p>
        </w:tc>
        <w:tc>
          <w:tcPr>
            <w:tcW w:w="7817"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89" w:hRule="exact"/>
          <w:jc w:val="center"/>
        </w:trPr>
        <w:tc>
          <w:tcPr>
            <w:tcW w:w="634" w:type="dxa"/>
            <w:vMerge w:val="restart"/>
            <w:tcBorders>
              <w:top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w:t>
            </w:r>
          </w:p>
        </w:tc>
        <w:tc>
          <w:tcPr>
            <w:tcW w:w="1860"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采购预算</w:t>
            </w:r>
          </w:p>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b/>
                <w:bCs/>
                <w:color w:val="auto"/>
                <w:sz w:val="24"/>
                <w:highlight w:val="none"/>
              </w:rPr>
              <w:t>（实质性要求）</w:t>
            </w:r>
          </w:p>
        </w:tc>
        <w:tc>
          <w:tcPr>
            <w:tcW w:w="7817"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auto"/>
              <w:ind w:left="0" w:right="0" w:firstLine="243" w:firstLineChars="1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采购预算：人民币</w:t>
            </w:r>
            <w:r>
              <w:rPr>
                <w:rFonts w:hint="eastAsia" w:ascii="新宋体" w:hAnsi="新宋体" w:eastAsia="新宋体" w:cs="新宋体"/>
                <w:bCs/>
                <w:color w:val="auto"/>
                <w:sz w:val="24"/>
                <w:highlight w:val="none"/>
              </w:rPr>
              <w:t>47万元</w:t>
            </w:r>
            <w:r>
              <w:rPr>
                <w:rFonts w:hint="eastAsia" w:ascii="新宋体" w:hAnsi="新宋体" w:eastAsia="新宋体" w:cs="新宋体"/>
                <w:color w:val="auto"/>
                <w:sz w:val="24"/>
                <w:highlight w:val="none"/>
              </w:rPr>
              <w:t>。</w:t>
            </w:r>
          </w:p>
          <w:p>
            <w:pPr>
              <w:keepNext w:val="0"/>
              <w:keepLines w:val="0"/>
              <w:suppressLineNumbers w:val="0"/>
              <w:spacing w:before="0" w:beforeAutospacing="0" w:after="0" w:afterAutospacing="0"/>
              <w:ind w:left="0" w:right="0" w:firstLine="237" w:firstLineChars="98"/>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8" w:hRule="exact"/>
          <w:jc w:val="center"/>
        </w:trPr>
        <w:tc>
          <w:tcPr>
            <w:tcW w:w="634" w:type="dxa"/>
            <w:vMerge w:val="continue"/>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p>
        </w:tc>
        <w:tc>
          <w:tcPr>
            <w:tcW w:w="1860"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最高限价</w:t>
            </w:r>
          </w:p>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b/>
                <w:bCs/>
                <w:color w:val="auto"/>
                <w:sz w:val="24"/>
                <w:highlight w:val="none"/>
              </w:rPr>
              <w:t>（实质性要求）</w:t>
            </w:r>
          </w:p>
        </w:tc>
        <w:tc>
          <w:tcPr>
            <w:tcW w:w="7817"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firstLine="250" w:firstLineChars="103"/>
              <w:rPr>
                <w:rFonts w:hint="eastAsia" w:ascii="新宋体" w:hAnsi="新宋体" w:eastAsia="新宋体" w:cs="新宋体"/>
                <w:color w:val="auto"/>
                <w:highlight w:val="none"/>
              </w:rPr>
            </w:pPr>
            <w:r>
              <w:rPr>
                <w:rFonts w:hint="eastAsia" w:ascii="新宋体" w:hAnsi="新宋体" w:eastAsia="新宋体" w:cs="新宋体"/>
                <w:color w:val="auto"/>
                <w:sz w:val="24"/>
                <w:highlight w:val="none"/>
                <w:lang w:val="zh-CN"/>
              </w:rPr>
              <w:t>本项目</w:t>
            </w:r>
            <w:r>
              <w:rPr>
                <w:rFonts w:hint="eastAsia" w:ascii="新宋体" w:hAnsi="新宋体" w:eastAsia="新宋体" w:cs="新宋体"/>
                <w:color w:val="auto"/>
                <w:sz w:val="24"/>
                <w:highlight w:val="none"/>
              </w:rPr>
              <w:t>最高限价</w:t>
            </w:r>
            <w:r>
              <w:rPr>
                <w:rFonts w:hint="eastAsia" w:ascii="新宋体" w:hAnsi="新宋体" w:eastAsia="新宋体" w:cs="新宋体"/>
                <w:color w:val="auto"/>
                <w:sz w:val="24"/>
                <w:highlight w:val="none"/>
                <w:lang w:val="zh-CN"/>
              </w:rPr>
              <w:t>为：</w:t>
            </w:r>
            <w:r>
              <w:rPr>
                <w:rFonts w:hint="eastAsia" w:ascii="新宋体" w:hAnsi="新宋体" w:eastAsia="新宋体" w:cs="新宋体"/>
                <w:color w:val="auto"/>
                <w:sz w:val="24"/>
                <w:highlight w:val="none"/>
              </w:rPr>
              <w:t>人民币</w:t>
            </w:r>
            <w:r>
              <w:rPr>
                <w:rFonts w:hint="eastAsia" w:ascii="新宋体" w:hAnsi="新宋体" w:eastAsia="新宋体" w:cs="新宋体"/>
                <w:bCs/>
                <w:color w:val="auto"/>
                <w:sz w:val="24"/>
                <w:highlight w:val="none"/>
              </w:rPr>
              <w:t>47万元</w:t>
            </w:r>
            <w:r>
              <w:rPr>
                <w:rFonts w:hint="eastAsia" w:ascii="新宋体" w:hAnsi="新宋体" w:eastAsia="新宋体" w:cs="新宋体"/>
                <w:color w:val="auto"/>
                <w:sz w:val="24"/>
                <w:highlight w:val="none"/>
              </w:rPr>
              <w:t>。</w:t>
            </w:r>
          </w:p>
          <w:p>
            <w:pPr>
              <w:keepNext w:val="0"/>
              <w:keepLines w:val="0"/>
              <w:suppressLineNumbers w:val="0"/>
              <w:spacing w:before="0" w:beforeAutospacing="0" w:after="0" w:afterAutospacing="0"/>
              <w:ind w:left="0" w:right="0" w:firstLine="237" w:firstLineChars="98"/>
              <w:rPr>
                <w:rFonts w:hint="eastAsia" w:ascii="新宋体" w:hAnsi="新宋体" w:eastAsia="新宋体" w:cs="新宋体"/>
                <w:color w:val="auto"/>
                <w:sz w:val="24"/>
                <w:highlight w:val="none"/>
              </w:rPr>
            </w:pPr>
            <w:r>
              <w:rPr>
                <w:rFonts w:hint="eastAsia" w:ascii="新宋体" w:hAnsi="新宋体" w:eastAsia="新宋体" w:cs="新宋体"/>
                <w:bCs/>
                <w:color w:val="auto"/>
                <w:sz w:val="24"/>
                <w:highlight w:val="none"/>
              </w:rPr>
              <w:t>超过最高限价的报价为无效投标。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5" w:hRule="exact"/>
          <w:jc w:val="center"/>
        </w:trPr>
        <w:tc>
          <w:tcPr>
            <w:tcW w:w="634"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w:t>
            </w:r>
          </w:p>
        </w:tc>
        <w:tc>
          <w:tcPr>
            <w:tcW w:w="1860"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联合体投标</w:t>
            </w:r>
          </w:p>
        </w:tc>
        <w:tc>
          <w:tcPr>
            <w:tcW w:w="7817"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本项目不接受联合体投标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5" w:hRule="exact"/>
          <w:jc w:val="center"/>
        </w:trPr>
        <w:tc>
          <w:tcPr>
            <w:tcW w:w="634"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w:t>
            </w:r>
          </w:p>
        </w:tc>
        <w:tc>
          <w:tcPr>
            <w:tcW w:w="1860"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采购方式</w:t>
            </w:r>
          </w:p>
        </w:tc>
        <w:tc>
          <w:tcPr>
            <w:tcW w:w="7817"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5" w:hRule="exact"/>
          <w:jc w:val="center"/>
        </w:trPr>
        <w:tc>
          <w:tcPr>
            <w:tcW w:w="634"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w:t>
            </w:r>
          </w:p>
        </w:tc>
        <w:tc>
          <w:tcPr>
            <w:tcW w:w="1860"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评标办法</w:t>
            </w:r>
          </w:p>
        </w:tc>
        <w:tc>
          <w:tcPr>
            <w:tcW w:w="7817"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9" w:hRule="exact"/>
          <w:jc w:val="center"/>
        </w:trPr>
        <w:tc>
          <w:tcPr>
            <w:tcW w:w="634" w:type="dxa"/>
            <w:tcBorders>
              <w:top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w:t>
            </w:r>
          </w:p>
        </w:tc>
        <w:tc>
          <w:tcPr>
            <w:tcW w:w="1860" w:type="dxa"/>
            <w:tcBorders>
              <w:top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考察现场、标前答疑会</w:t>
            </w:r>
          </w:p>
        </w:tc>
        <w:tc>
          <w:tcPr>
            <w:tcW w:w="7817" w:type="dxa"/>
            <w:tcBorders>
              <w:top w:val="single" w:color="auto" w:sz="4" w:space="0"/>
            </w:tcBorders>
            <w:noWrap w:val="0"/>
            <w:vAlign w:val="center"/>
          </w:tcPr>
          <w:p>
            <w:pPr>
              <w:keepNext w:val="0"/>
              <w:keepLines w:val="0"/>
              <w:suppressLineNumbers w:val="0"/>
              <w:spacing w:before="0" w:beforeAutospacing="0" w:after="0" w:afterAutospacing="0" w:line="360" w:lineRule="auto"/>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现场考察或标前答疑会时间、地点：本项目不组织。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低于成本价不正当竞争预防措施</w:t>
            </w:r>
          </w:p>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b/>
                <w:bCs/>
                <w:color w:val="auto"/>
                <w:sz w:val="24"/>
                <w:highlight w:val="none"/>
              </w:rPr>
              <w:t>（实质性要求）</w:t>
            </w:r>
          </w:p>
        </w:tc>
        <w:tc>
          <w:tcPr>
            <w:tcW w:w="7817" w:type="dxa"/>
            <w:noWrap w:val="0"/>
            <w:vAlign w:val="center"/>
          </w:tcPr>
          <w:p>
            <w:pPr>
              <w:keepNext w:val="0"/>
              <w:keepLines w:val="0"/>
              <w:suppressLineNumbers w:val="0"/>
              <w:spacing w:before="0" w:beforeAutospacing="0" w:after="0" w:afterAutospacing="0" w:line="400" w:lineRule="exact"/>
              <w:ind w:left="0" w:right="0" w:firstLine="477" w:firstLineChars="197"/>
              <w:rPr>
                <w:rFonts w:hint="eastAsia" w:ascii="新宋体" w:hAnsi="新宋体" w:eastAsia="新宋体" w:cs="新宋体"/>
                <w:color w:val="auto"/>
                <w:sz w:val="28"/>
                <w:szCs w:val="28"/>
                <w:highlight w:val="none"/>
                <w:shd w:val="clear" w:color="auto" w:fill="FFFFFF"/>
              </w:rPr>
            </w:pPr>
            <w:r>
              <w:rPr>
                <w:rFonts w:hint="eastAsia" w:ascii="新宋体" w:hAnsi="新宋体" w:eastAsia="新宋体" w:cs="新宋体"/>
                <w:color w:val="auto"/>
                <w:sz w:val="24"/>
                <w:highlight w:val="none"/>
              </w:rPr>
              <w:t>在评标过程中，</w:t>
            </w:r>
            <w:r>
              <w:rPr>
                <w:rFonts w:hint="eastAsia" w:ascii="新宋体" w:hAnsi="新宋体" w:eastAsia="新宋体" w:cs="新宋体"/>
                <w:color w:val="auto"/>
                <w:sz w:val="24"/>
                <w:highlight w:val="none"/>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新宋体" w:hAnsi="新宋体" w:eastAsia="新宋体" w:cs="新宋体"/>
                <w:color w:val="auto"/>
                <w:sz w:val="28"/>
                <w:szCs w:val="28"/>
                <w:highlight w:val="none"/>
                <w:shd w:val="clear" w:color="auto" w:fill="FFFFFF"/>
              </w:rPr>
              <w:t>。</w:t>
            </w:r>
          </w:p>
          <w:p>
            <w:pPr>
              <w:keepNext w:val="0"/>
              <w:keepLines w:val="0"/>
              <w:suppressLineNumbers w:val="0"/>
              <w:spacing w:before="0" w:beforeAutospacing="0" w:after="0" w:afterAutospacing="0" w:line="400" w:lineRule="exact"/>
              <w:ind w:left="0" w:right="0" w:firstLine="418" w:firstLineChars="197"/>
              <w:rPr>
                <w:rFonts w:hint="eastAsia" w:ascii="新宋体" w:hAnsi="新宋体" w:eastAsia="新宋体" w:cs="新宋体"/>
                <w:color w:val="auto"/>
                <w:sz w:val="24"/>
                <w:highlight w:val="none"/>
              </w:rPr>
            </w:pPr>
            <w:r>
              <w:rPr>
                <w:rFonts w:hint="eastAsia" w:ascii="新宋体" w:hAnsi="新宋体" w:eastAsia="新宋体" w:cs="新宋体"/>
                <w:b/>
                <w:bCs/>
                <w:color w:val="auto"/>
                <w:szCs w:val="21"/>
                <w:highlight w:val="none"/>
              </w:rPr>
              <w:t>注：</w:t>
            </w:r>
            <w:r>
              <w:rPr>
                <w:rFonts w:hint="eastAsia" w:ascii="新宋体" w:hAnsi="新宋体" w:eastAsia="新宋体" w:cs="新宋体"/>
                <w:b/>
                <w:bCs/>
                <w:color w:val="auto"/>
                <w:szCs w:val="21"/>
                <w:highlight w:val="none"/>
                <w:lang w:val="zh-CN"/>
              </w:rPr>
              <w:t>投标人提交的书面说明、相关证明材料（如涉及），应当加盖投标人（法定名称）电子签章，在评标委员会要求的时间内通过政府采购云平台进行递交，否则无效（给予供应商澄清、说明的时间不得少于</w:t>
            </w:r>
            <w:r>
              <w:rPr>
                <w:rFonts w:hint="eastAsia" w:ascii="新宋体" w:hAnsi="新宋体" w:eastAsia="新宋体" w:cs="新宋体"/>
                <w:b/>
                <w:bCs/>
                <w:color w:val="auto"/>
                <w:szCs w:val="21"/>
                <w:highlight w:val="none"/>
              </w:rPr>
              <w:t>30分钟，供应商已明确表示澄清、说明完毕的除外</w:t>
            </w:r>
            <w:r>
              <w:rPr>
                <w:rFonts w:hint="eastAsia" w:ascii="新宋体" w:hAnsi="新宋体" w:eastAsia="新宋体" w:cs="新宋体"/>
                <w:b/>
                <w:bCs/>
                <w:color w:val="auto"/>
                <w:szCs w:val="21"/>
                <w:highlight w:val="none"/>
                <w:lang w:val="zh-CN"/>
              </w:rPr>
              <w:t>）。如因断电、断网、系统故障或其他不可抗力等因素，导致系统无法使用的，由投标人按评标委员会的要求进行澄清或者说明。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9"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小微企业（监狱企业、残疾人福利性单位视同小微企业）价格扣除</w:t>
            </w:r>
          </w:p>
        </w:tc>
        <w:tc>
          <w:tcPr>
            <w:tcW w:w="7817" w:type="dxa"/>
            <w:noWrap w:val="0"/>
            <w:vAlign w:val="center"/>
          </w:tcPr>
          <w:p>
            <w:pPr>
              <w:keepNext w:val="0"/>
              <w:keepLines w:val="0"/>
              <w:suppressLineNumbers w:val="0"/>
              <w:spacing w:before="0" w:beforeAutospacing="0" w:after="0" w:afterAutospacing="0" w:line="320" w:lineRule="exact"/>
              <w:ind w:left="106" w:leftChars="50" w:right="106" w:rightChars="50" w:firstLine="243" w:firstLineChars="1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本项目为专门面向中小企业采购，参加磋商的企业均应为中小微企业，必须提供中小企业声明函（监狱企业、残疾人福利性单位视同小微企业）。</w:t>
            </w:r>
          </w:p>
          <w:p>
            <w:pPr>
              <w:keepNext w:val="0"/>
              <w:keepLines w:val="0"/>
              <w:suppressLineNumbers w:val="0"/>
              <w:spacing w:before="0" w:beforeAutospacing="0" w:after="0" w:afterAutospacing="0" w:line="320" w:lineRule="exact"/>
              <w:ind w:left="106" w:leftChars="50" w:right="106" w:rightChars="50" w:firstLine="243" w:firstLineChars="1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一、中小微企业声明</w:t>
            </w:r>
          </w:p>
          <w:p>
            <w:pPr>
              <w:keepNext w:val="0"/>
              <w:keepLines w:val="0"/>
              <w:suppressLineNumbers w:val="0"/>
              <w:spacing w:before="0" w:beforeAutospacing="0" w:after="0" w:afterAutospacing="0" w:line="320" w:lineRule="exact"/>
              <w:ind w:left="106" w:leftChars="50" w:right="106" w:rightChars="50" w:firstLine="243" w:firstLineChars="1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参加政府采购活动的中小企业根据《关于印发&lt;政府采购促进中小企业发展管理办法&gt;的通知》(财库〔2020〕46号的规定应当提供《中小企业声明函》原件，未提供的，视为不具备中小企业资格。</w:t>
            </w:r>
            <w:r>
              <w:rPr>
                <w:rFonts w:hint="eastAsia" w:ascii="新宋体" w:hAnsi="新宋体" w:eastAsia="新宋体" w:cs="新宋体"/>
                <w:color w:val="auto"/>
                <w:sz w:val="24"/>
                <w:highlight w:val="none"/>
              </w:rPr>
              <w:br w:type="textWrapping"/>
            </w:r>
            <w:r>
              <w:rPr>
                <w:rFonts w:hint="eastAsia" w:ascii="新宋体" w:hAnsi="新宋体" w:eastAsia="新宋体" w:cs="新宋体"/>
                <w:color w:val="auto"/>
                <w:sz w:val="24"/>
                <w:highlight w:val="none"/>
              </w:rPr>
              <w:t>二、监狱企业证明材料</w:t>
            </w:r>
            <w:r>
              <w:rPr>
                <w:rFonts w:hint="eastAsia" w:ascii="新宋体" w:hAnsi="新宋体" w:eastAsia="新宋体" w:cs="新宋体"/>
                <w:color w:val="auto"/>
                <w:sz w:val="24"/>
                <w:highlight w:val="none"/>
              </w:rPr>
              <w:br w:type="textWrapping"/>
            </w:r>
            <w:r>
              <w:rPr>
                <w:rFonts w:hint="eastAsia" w:ascii="新宋体" w:hAnsi="新宋体" w:eastAsia="新宋体" w:cs="新宋体"/>
                <w:color w:val="auto"/>
                <w:sz w:val="24"/>
                <w:highlight w:val="none"/>
              </w:rPr>
              <w:t>1.根据财政部司法部关于政府采购支持监狱企业发展有关问题的通知财库〔2014〕68 号的规定，在政府采购活动中，监狱企业视同小型、微型企业。</w:t>
            </w:r>
            <w:r>
              <w:rPr>
                <w:rFonts w:hint="eastAsia" w:ascii="新宋体" w:hAnsi="新宋体" w:eastAsia="新宋体" w:cs="新宋体"/>
                <w:color w:val="auto"/>
                <w:sz w:val="24"/>
                <w:highlight w:val="none"/>
              </w:rPr>
              <w:br w:type="textWrapping"/>
            </w:r>
            <w:r>
              <w:rPr>
                <w:rFonts w:hint="eastAsia" w:ascii="新宋体" w:hAnsi="新宋体" w:eastAsia="新宋体" w:cs="新宋体"/>
                <w:color w:val="auto"/>
                <w:sz w:val="24"/>
                <w:highlight w:val="none"/>
              </w:rPr>
              <w:t>2.监狱企业参加政府采购活动时，应当提供由省级以上监狱管理局、戒毒管理局（含新疆生产建设兵团）出具的属于监狱企业的证明文件，未提供的，视为不具备中小企业资格。</w:t>
            </w:r>
            <w:r>
              <w:rPr>
                <w:rFonts w:hint="eastAsia" w:ascii="新宋体" w:hAnsi="新宋体" w:eastAsia="新宋体" w:cs="新宋体"/>
                <w:color w:val="auto"/>
                <w:sz w:val="24"/>
                <w:highlight w:val="none"/>
              </w:rPr>
              <w:br w:type="textWrapping"/>
            </w:r>
            <w:r>
              <w:rPr>
                <w:rFonts w:hint="eastAsia" w:ascii="新宋体" w:hAnsi="新宋体" w:eastAsia="新宋体" w:cs="新宋体"/>
                <w:color w:val="auto"/>
                <w:sz w:val="24"/>
                <w:highlight w:val="none"/>
              </w:rPr>
              <w:t>三、残疾人福利性单位声明</w:t>
            </w:r>
            <w:r>
              <w:rPr>
                <w:rFonts w:hint="eastAsia" w:ascii="新宋体" w:hAnsi="新宋体" w:eastAsia="新宋体" w:cs="新宋体"/>
                <w:color w:val="auto"/>
                <w:sz w:val="24"/>
                <w:highlight w:val="none"/>
              </w:rPr>
              <w:br w:type="textWrapping"/>
            </w:r>
            <w:r>
              <w:rPr>
                <w:rFonts w:hint="eastAsia" w:ascii="新宋体" w:hAnsi="新宋体" w:eastAsia="新宋体" w:cs="新宋体"/>
                <w:color w:val="auto"/>
                <w:sz w:val="24"/>
                <w:highlight w:val="none"/>
              </w:rPr>
              <w:t>1.根据《三部门联合发布关于促进残疾人就业政府采购政策的通知》（财库〔2017〕141 号）的要求，在政府采购活动中，残疾人福利性单位视同小型、微型企业。</w:t>
            </w:r>
            <w:r>
              <w:rPr>
                <w:rFonts w:hint="eastAsia" w:ascii="新宋体" w:hAnsi="新宋体" w:eastAsia="新宋体" w:cs="新宋体"/>
                <w:color w:val="auto"/>
                <w:sz w:val="24"/>
                <w:highlight w:val="none"/>
              </w:rPr>
              <w:br w:type="textWrapping"/>
            </w:r>
            <w:r>
              <w:rPr>
                <w:rFonts w:hint="eastAsia" w:ascii="新宋体" w:hAnsi="新宋体" w:eastAsia="新宋体" w:cs="新宋体"/>
                <w:color w:val="auto"/>
                <w:sz w:val="24"/>
                <w:highlight w:val="none"/>
              </w:rPr>
              <w:t>2.残疾人福利性单位参加政府采购活动时，应当提供本磋商文件规定的《残疾人福利性单位声明函》，未提供的，视为不具备中小企业资格。</w:t>
            </w:r>
          </w:p>
          <w:p>
            <w:pPr>
              <w:keepNext w:val="0"/>
              <w:keepLines w:val="0"/>
              <w:suppressLineNumbers w:val="0"/>
              <w:spacing w:before="0" w:beforeAutospacing="0" w:after="0" w:afterAutospacing="0" w:line="320" w:lineRule="exact"/>
              <w:ind w:left="106" w:leftChars="50" w:right="106" w:rightChars="50" w:firstLine="243" w:firstLineChars="1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四、失信企业报价加成或者扣分</w:t>
            </w:r>
          </w:p>
          <w:p>
            <w:pPr>
              <w:keepNext w:val="0"/>
              <w:keepLines w:val="0"/>
              <w:suppressLineNumbers w:val="0"/>
              <w:spacing w:before="0" w:beforeAutospacing="0" w:after="0" w:afterAutospacing="0" w:line="320" w:lineRule="exact"/>
              <w:ind w:left="106" w:leftChars="50" w:right="106" w:rightChars="50" w:firstLine="243" w:firstLineChars="1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1.对记入诚信档案的且在有效期内的失信供应商，在参加政府采购活动中实行 10%的报价加成、以加成后报价作为该供应商报价评审。供应商失信行为惩戒实行无限制累加制，因其失信行为进行报价加成惩戒后报价超过政府采购控制价的， 其投标文件、投标文件按照无效处理。</w:t>
            </w:r>
          </w:p>
          <w:p>
            <w:pPr>
              <w:keepNext w:val="0"/>
              <w:keepLines w:val="0"/>
              <w:suppressLineNumbers w:val="0"/>
              <w:spacing w:before="0" w:beforeAutospacing="0" w:after="0" w:afterAutospacing="0" w:line="320" w:lineRule="exact"/>
              <w:ind w:left="106" w:leftChars="50" w:right="106" w:rightChars="50" w:firstLine="243" w:firstLineChars="1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2.供应商参加政府采购活动时，应当就自己的诚信情况在投标文件中进行承诺。</w:t>
            </w:r>
          </w:p>
          <w:p>
            <w:pPr>
              <w:pStyle w:val="19"/>
              <w:keepNext w:val="0"/>
              <w:keepLines w:val="0"/>
              <w:suppressLineNumbers w:val="0"/>
              <w:spacing w:before="158" w:beforeLines="50" w:beforeAutospacing="0" w:afterAutospacing="0"/>
              <w:ind w:left="0" w:right="0"/>
              <w:rPr>
                <w:rFonts w:hint="eastAsia" w:ascii="新宋体" w:hAnsi="新宋体" w:eastAsia="新宋体" w:cs="新宋体"/>
                <w:color w:val="auto"/>
                <w:highlight w:val="none"/>
              </w:rPr>
            </w:pPr>
            <w:r>
              <w:rPr>
                <w:rFonts w:hint="eastAsia" w:ascii="新宋体" w:hAnsi="新宋体" w:eastAsia="新宋体" w:cs="新宋体"/>
                <w:color w:val="auto"/>
                <w:sz w:val="24"/>
                <w:highlight w:val="none"/>
              </w:rPr>
              <w:t>3.“信用中国”网站(www.creditchina.gov.cn)中列入失信被执行人和重大税收违法案件当事人名单的供应商和中国政府采购网(www.ccgp.gov.cn)政府采购严重违法失信行为记录名单中被财政部门禁止参加政府采购活动的供应商参加项目投标，直接作无效投标处理，不予报价加成或者扣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3"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进口产品采购</w:t>
            </w:r>
          </w:p>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（不涉及）</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b/>
                <w:color w:val="auto"/>
                <w:sz w:val="24"/>
                <w:highlight w:val="none"/>
              </w:rPr>
            </w:pPr>
            <w:bookmarkStart w:id="25" w:name="PO_默认文件内容_15"/>
            <w:r>
              <w:rPr>
                <w:rFonts w:hint="eastAsia" w:ascii="新宋体" w:hAnsi="新宋体" w:eastAsia="新宋体" w:cs="新宋体"/>
                <w:color w:val="auto"/>
                <w:sz w:val="24"/>
                <w:highlight w:val="none"/>
              </w:rPr>
              <w:t>本项目招标文件中未载明“允许采购进口产品”的产品，视为拒绝进口产品参与竞争，供应商以进口产品投标时，将按无效投标处理。载明“允许采购进口产品”的产品，不限制国产产品参与竞争。</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90"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9</w:t>
            </w:r>
          </w:p>
        </w:tc>
        <w:tc>
          <w:tcPr>
            <w:tcW w:w="1860" w:type="dxa"/>
            <w:noWrap w:val="0"/>
            <w:vAlign w:val="center"/>
          </w:tcPr>
          <w:p>
            <w:pPr>
              <w:pStyle w:val="125"/>
              <w:keepNext w:val="0"/>
              <w:keepLines w:val="0"/>
              <w:suppressLineNumbers w:val="0"/>
              <w:spacing w:before="0" w:beforeAutospacing="0" w:after="0" w:afterAutospacing="0" w:line="360" w:lineRule="exact"/>
              <w:ind w:left="126" w:leftChars="16" w:right="127" w:rightChars="60" w:hanging="92" w:hangingChars="38"/>
              <w:jc w:val="center"/>
              <w:rPr>
                <w:rFonts w:hint="eastAsia" w:ascii="新宋体" w:hAnsi="新宋体" w:eastAsia="新宋体" w:cs="新宋体"/>
                <w:color w:val="auto"/>
                <w:kern w:val="2"/>
                <w:highlight w:val="none"/>
              </w:rPr>
            </w:pPr>
            <w:r>
              <w:rPr>
                <w:rFonts w:hint="eastAsia" w:ascii="新宋体" w:hAnsi="新宋体" w:eastAsia="新宋体" w:cs="新宋体"/>
                <w:color w:val="auto"/>
                <w:szCs w:val="21"/>
                <w:highlight w:val="none"/>
              </w:rPr>
              <w:t>节能、环保及无线局域网产品政府采购政策、信息安全类产品政策（如涉及）</w:t>
            </w:r>
          </w:p>
        </w:tc>
        <w:tc>
          <w:tcPr>
            <w:tcW w:w="7817" w:type="dxa"/>
            <w:noWrap w:val="0"/>
            <w:vAlign w:val="center"/>
          </w:tcPr>
          <w:p>
            <w:pPr>
              <w:keepNext w:val="0"/>
              <w:keepLines w:val="0"/>
              <w:suppressLineNumbers w:val="0"/>
              <w:spacing w:before="0" w:beforeAutospacing="0" w:after="0" w:afterAutospacing="0" w:line="340" w:lineRule="exact"/>
              <w:ind w:left="106" w:leftChars="5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一、节能、环保产品政府采购政策</w:t>
            </w:r>
          </w:p>
          <w:p>
            <w:pPr>
              <w:keepNext w:val="0"/>
              <w:keepLines w:val="0"/>
              <w:suppressLineNumbers w:val="0"/>
              <w:spacing w:before="0" w:beforeAutospacing="0" w:after="0" w:afterAutospacing="0" w:line="340" w:lineRule="exact"/>
              <w:ind w:left="106" w:leftChars="5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suppressLineNumbers w:val="0"/>
              <w:spacing w:before="0" w:beforeAutospacing="0" w:after="0" w:afterAutospacing="0" w:line="340" w:lineRule="exact"/>
              <w:ind w:left="106" w:leftChars="5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2、本项目采购的产品属于品目清单强制采购范围的，供应商应按上述要求提供产品认证证书复印件并加盖供应商单位公章（鲜章），否则投标无效。</w:t>
            </w:r>
            <w:r>
              <w:rPr>
                <w:rFonts w:hint="eastAsia" w:ascii="新宋体" w:hAnsi="新宋体" w:eastAsia="新宋体" w:cs="新宋体"/>
                <w:b/>
                <w:bCs/>
                <w:color w:val="auto"/>
                <w:sz w:val="24"/>
                <w:highlight w:val="none"/>
              </w:rPr>
              <w:t>（实质性要求）</w:t>
            </w:r>
          </w:p>
          <w:p>
            <w:pPr>
              <w:keepNext w:val="0"/>
              <w:keepLines w:val="0"/>
              <w:suppressLineNumbers w:val="0"/>
              <w:spacing w:before="0" w:beforeAutospacing="0" w:after="0" w:afterAutospacing="0" w:line="340" w:lineRule="exact"/>
              <w:ind w:left="106" w:leftChars="5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3、本项目采购的产品属于品目清单优先采购范围的，按照第七章《综合评分明细表》的规则进行加分。</w:t>
            </w:r>
          </w:p>
          <w:p>
            <w:pPr>
              <w:keepNext w:val="0"/>
              <w:keepLines w:val="0"/>
              <w:suppressLineNumbers w:val="0"/>
              <w:spacing w:before="0" w:beforeAutospacing="0" w:after="0" w:afterAutospacing="0" w:line="340" w:lineRule="exact"/>
              <w:ind w:left="106" w:leftChars="5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keepNext w:val="0"/>
              <w:keepLines w:val="0"/>
              <w:suppressLineNumbers w:val="0"/>
              <w:spacing w:before="0" w:beforeAutospacing="0" w:after="0" w:afterAutospacing="0" w:line="340" w:lineRule="exact"/>
              <w:ind w:left="106" w:leftChars="5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二、无线局域网产品政府采购政策</w:t>
            </w:r>
          </w:p>
          <w:p>
            <w:pPr>
              <w:pStyle w:val="125"/>
              <w:keepNext w:val="0"/>
              <w:keepLines w:val="0"/>
              <w:suppressLineNumbers w:val="0"/>
              <w:spacing w:before="0" w:beforeAutospacing="0" w:after="0" w:afterAutospacing="0" w:line="400" w:lineRule="exact"/>
              <w:ind w:left="0" w:right="0" w:firstLine="243" w:firstLineChars="100"/>
              <w:jc w:val="both"/>
              <w:rPr>
                <w:rFonts w:hint="eastAsia" w:ascii="新宋体" w:hAnsi="新宋体" w:eastAsia="新宋体" w:cs="新宋体"/>
                <w:color w:val="auto"/>
                <w:kern w:val="2"/>
                <w:highlight w:val="none"/>
              </w:rPr>
            </w:pPr>
            <w:r>
              <w:rPr>
                <w:rFonts w:hint="eastAsia" w:ascii="新宋体" w:hAnsi="新宋体" w:eastAsia="新宋体" w:cs="新宋体"/>
                <w:color w:val="auto"/>
                <w:kern w:val="2"/>
                <w:highlight w:val="none"/>
              </w:rPr>
              <w:t>本项目采购的产品属于中国政府采购网公布的《无线局域网认证产品政府采购清单》的，将按照第七章《综合评分明细表》的规则进行加分。</w:t>
            </w:r>
          </w:p>
          <w:p>
            <w:pPr>
              <w:pStyle w:val="125"/>
              <w:keepNext w:val="0"/>
              <w:keepLines w:val="0"/>
              <w:suppressLineNumbers w:val="0"/>
              <w:spacing w:before="0" w:beforeAutospacing="0" w:after="0" w:afterAutospacing="0" w:line="400" w:lineRule="exact"/>
              <w:ind w:left="0" w:right="0" w:firstLine="243" w:firstLineChars="100"/>
              <w:jc w:val="both"/>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三、信息安全类产品政策</w:t>
            </w:r>
          </w:p>
          <w:p>
            <w:pPr>
              <w:keepNext w:val="0"/>
              <w:keepLines w:val="0"/>
              <w:suppressLineNumbers w:val="0"/>
              <w:spacing w:before="0" w:beforeAutospacing="0" w:after="0" w:afterAutospacing="0" w:line="340" w:lineRule="exact"/>
              <w:ind w:left="106" w:leftChars="50" w:right="106" w:rightChars="50"/>
              <w:jc w:val="left"/>
              <w:rPr>
                <w:rFonts w:hint="eastAsia" w:ascii="新宋体" w:hAnsi="新宋体" w:eastAsia="新宋体" w:cs="新宋体"/>
                <w:color w:val="auto"/>
                <w:highlight w:val="none"/>
              </w:rPr>
            </w:pPr>
            <w:r>
              <w:rPr>
                <w:rFonts w:hint="eastAsia" w:ascii="新宋体" w:hAnsi="新宋体" w:eastAsia="新宋体" w:cs="新宋体"/>
                <w:color w:val="auto"/>
                <w:highlight w:val="none"/>
              </w:rPr>
              <w:t xml:space="preserve"> 根据国家质检总局 国家认监委2008年第7号公告《关于部分信息安全产品实施强制性认证的公告》、计算机信息系统安全专用产品检测和销售许可证管理办法（公安部令第32号），相关文件中提到的部分信息安全类产品需具备：计算机系统安全销售许可证和国家信息安全产品认证证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评标情况公告</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11</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构成招标文件的</w:t>
            </w:r>
          </w:p>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其他文件</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招标文件的澄清、修改书及有关补充通知为招标文件的有效组成部分。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投标有效期</w:t>
            </w:r>
          </w:p>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b/>
                <w:bCs/>
                <w:color w:val="auto"/>
                <w:sz w:val="24"/>
                <w:highlight w:val="none"/>
              </w:rPr>
              <w:t>（实质性要求）</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投标截止时间届满后</w:t>
            </w:r>
            <w:r>
              <w:rPr>
                <w:rFonts w:hint="eastAsia" w:ascii="新宋体" w:hAnsi="新宋体" w:eastAsia="新宋体" w:cs="新宋体"/>
                <w:bCs/>
                <w:color w:val="auto"/>
                <w:sz w:val="24"/>
                <w:highlight w:val="none"/>
              </w:rPr>
              <w:t>90</w:t>
            </w:r>
            <w:r>
              <w:rPr>
                <w:rFonts w:hint="eastAsia" w:ascii="新宋体" w:hAnsi="新宋体" w:eastAsia="新宋体" w:cs="新宋体"/>
                <w:color w:val="auto"/>
                <w:sz w:val="24"/>
                <w:highlight w:val="none"/>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04"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13</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投标文件份数</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电子标不涉及。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0"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14</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投标保证金</w:t>
            </w:r>
          </w:p>
        </w:tc>
        <w:tc>
          <w:tcPr>
            <w:tcW w:w="7817" w:type="dxa"/>
            <w:noWrap w:val="0"/>
            <w:vAlign w:val="center"/>
          </w:tcPr>
          <w:p>
            <w:pPr>
              <w:pStyle w:val="19"/>
              <w:keepNext w:val="0"/>
              <w:keepLines w:val="0"/>
              <w:suppressLineNumbers w:val="0"/>
              <w:spacing w:before="0" w:beforeAutospacing="0" w:afterAutospacing="0" w:line="400" w:lineRule="exact"/>
              <w:ind w:left="0" w:right="0"/>
              <w:rPr>
                <w:rFonts w:hint="eastAsia" w:ascii="新宋体" w:hAnsi="新宋体" w:eastAsia="新宋体" w:cs="新宋体"/>
                <w:color w:val="auto"/>
                <w:sz w:val="24"/>
                <w:highlight w:val="none"/>
                <w:lang w:bidi="ar"/>
              </w:rPr>
            </w:pPr>
            <w:r>
              <w:rPr>
                <w:rFonts w:hint="eastAsia" w:ascii="新宋体" w:hAnsi="新宋体" w:eastAsia="新宋体" w:cs="新宋体"/>
                <w:color w:val="auto"/>
                <w:sz w:val="24"/>
                <w:highlight w:val="none"/>
                <w:lang w:bidi="ar"/>
              </w:rPr>
              <w:t xml:space="preserve">  根据川财采[2020]28号文《四川省财政厅关于进一步做好疫情防控期间政府采购工作有关事项的通知》，对疫情防控期间参加政府采购活动的供应商，本项目不收取投标保证金。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6" w:hRule="atLeast"/>
          <w:jc w:val="center"/>
        </w:trPr>
        <w:tc>
          <w:tcPr>
            <w:tcW w:w="634" w:type="dxa"/>
            <w:noWrap w:val="0"/>
            <w:vAlign w:val="center"/>
          </w:tcPr>
          <w:p>
            <w:pPr>
              <w:pStyle w:val="125"/>
              <w:keepNext w:val="0"/>
              <w:keepLines w:val="0"/>
              <w:suppressLineNumbers w:val="0"/>
              <w:spacing w:before="0" w:beforeAutospacing="0" w:after="0" w:afterAutospacing="0"/>
              <w:ind w:left="0" w:right="230"/>
              <w:jc w:val="center"/>
              <w:rPr>
                <w:rFonts w:hint="eastAsia" w:ascii="新宋体" w:hAnsi="新宋体" w:eastAsia="新宋体" w:cs="新宋体"/>
                <w:color w:val="auto"/>
                <w:kern w:val="2"/>
                <w:sz w:val="21"/>
                <w:szCs w:val="21"/>
                <w:highlight w:val="none"/>
              </w:rPr>
            </w:pPr>
            <w:r>
              <w:rPr>
                <w:rFonts w:hint="eastAsia" w:ascii="新宋体" w:hAnsi="新宋体" w:eastAsia="新宋体" w:cs="新宋体"/>
                <w:color w:val="auto"/>
                <w:kern w:val="2"/>
                <w:sz w:val="21"/>
                <w:szCs w:val="21"/>
                <w:highlight w:val="none"/>
              </w:rPr>
              <w:t>15</w:t>
            </w:r>
          </w:p>
        </w:tc>
        <w:tc>
          <w:tcPr>
            <w:tcW w:w="1860" w:type="dxa"/>
            <w:noWrap w:val="0"/>
            <w:vAlign w:val="center"/>
          </w:tcPr>
          <w:p>
            <w:pPr>
              <w:keepNext w:val="0"/>
              <w:keepLines w:val="0"/>
              <w:suppressLineNumbers w:val="0"/>
              <w:spacing w:before="0" w:beforeAutospacing="0" w:after="0" w:afterAutospacing="0"/>
              <w:ind w:left="0" w:right="0" w:firstLine="121" w:firstLineChars="50"/>
              <w:jc w:val="center"/>
              <w:rPr>
                <w:rFonts w:hint="eastAsia" w:ascii="新宋体" w:hAnsi="新宋体" w:eastAsia="新宋体" w:cs="新宋体"/>
                <w:color w:val="auto"/>
                <w:sz w:val="24"/>
                <w:highlight w:val="none"/>
                <w:lang w:bidi="ar"/>
              </w:rPr>
            </w:pPr>
            <w:r>
              <w:rPr>
                <w:rFonts w:hint="eastAsia" w:ascii="新宋体" w:hAnsi="新宋体" w:eastAsia="新宋体" w:cs="新宋体"/>
                <w:color w:val="auto"/>
                <w:sz w:val="24"/>
                <w:highlight w:val="none"/>
                <w:lang w:bidi="ar"/>
              </w:rPr>
              <w:t>合同分包</w:t>
            </w:r>
          </w:p>
          <w:p>
            <w:pPr>
              <w:pStyle w:val="125"/>
              <w:keepNext w:val="0"/>
              <w:keepLines w:val="0"/>
              <w:suppressLineNumbers w:val="0"/>
              <w:spacing w:before="0" w:beforeAutospacing="0" w:after="0" w:afterAutospacing="0"/>
              <w:ind w:left="96" w:right="0"/>
              <w:jc w:val="center"/>
              <w:rPr>
                <w:rFonts w:hint="eastAsia" w:ascii="新宋体" w:hAnsi="新宋体" w:eastAsia="新宋体" w:cs="新宋体"/>
                <w:color w:val="auto"/>
                <w:sz w:val="21"/>
                <w:szCs w:val="21"/>
                <w:highlight w:val="none"/>
                <w:lang w:val="zh-CN"/>
              </w:rPr>
            </w:pPr>
            <w:r>
              <w:rPr>
                <w:rFonts w:hint="eastAsia" w:ascii="新宋体" w:hAnsi="新宋体" w:eastAsia="新宋体" w:cs="新宋体"/>
                <w:color w:val="auto"/>
                <w:kern w:val="2"/>
                <w:highlight w:val="none"/>
                <w:lang w:bidi="ar"/>
              </w:rPr>
              <w:t>（实质性要求）</w:t>
            </w:r>
          </w:p>
        </w:tc>
        <w:tc>
          <w:tcPr>
            <w:tcW w:w="7817" w:type="dxa"/>
            <w:noWrap w:val="0"/>
            <w:vAlign w:val="center"/>
          </w:tcPr>
          <w:p>
            <w:pPr>
              <w:pStyle w:val="125"/>
              <w:keepNext w:val="0"/>
              <w:keepLines w:val="0"/>
              <w:suppressLineNumbers w:val="0"/>
              <w:spacing w:before="0" w:beforeAutospacing="0" w:after="0" w:afterAutospacing="0" w:line="360" w:lineRule="auto"/>
              <w:ind w:left="0" w:right="0" w:firstLine="243" w:firstLineChars="100"/>
              <w:jc w:val="both"/>
              <w:rPr>
                <w:rFonts w:hint="eastAsia" w:ascii="新宋体" w:hAnsi="新宋体" w:eastAsia="新宋体" w:cs="新宋体"/>
                <w:color w:val="auto"/>
                <w:kern w:val="2"/>
                <w:highlight w:val="none"/>
                <w:lang w:bidi="ar"/>
              </w:rPr>
            </w:pPr>
            <w:r>
              <w:rPr>
                <w:rFonts w:hint="eastAsia" w:ascii="新宋体" w:hAnsi="新宋体" w:eastAsia="新宋体" w:cs="新宋体"/>
                <w:color w:val="auto"/>
                <w:kern w:val="2"/>
                <w:highlight w:val="none"/>
                <w:lang w:bidi="ar"/>
              </w:rPr>
              <w:t>☑本项目不接受合同分包。</w:t>
            </w:r>
          </w:p>
          <w:p>
            <w:pPr>
              <w:pStyle w:val="125"/>
              <w:keepNext w:val="0"/>
              <w:keepLines w:val="0"/>
              <w:suppressLineNumbers w:val="0"/>
              <w:spacing w:before="0" w:beforeAutospacing="0" w:after="0" w:afterAutospacing="0" w:line="360" w:lineRule="auto"/>
              <w:ind w:left="0" w:right="0" w:firstLine="243" w:firstLineChars="100"/>
              <w:jc w:val="both"/>
              <w:rPr>
                <w:rFonts w:hint="eastAsia" w:ascii="新宋体" w:hAnsi="新宋体" w:eastAsia="新宋体" w:cs="新宋体"/>
                <w:color w:val="auto"/>
                <w:kern w:val="2"/>
                <w:highlight w:val="none"/>
                <w:lang w:bidi="ar"/>
              </w:rPr>
            </w:pPr>
            <w:r>
              <w:rPr>
                <w:rFonts w:hint="eastAsia" w:ascii="新宋体" w:hAnsi="新宋体" w:eastAsia="新宋体" w:cs="新宋体"/>
                <w:color w:val="auto"/>
                <w:kern w:val="2"/>
                <w:highlight w:val="none"/>
                <w:lang w:bidi="ar"/>
              </w:rPr>
              <w:t>□本项目接受合同分包，具体要求如下：</w:t>
            </w:r>
          </w:p>
          <w:p>
            <w:pPr>
              <w:pStyle w:val="125"/>
              <w:keepNext w:val="0"/>
              <w:keepLines w:val="0"/>
              <w:suppressLineNumbers w:val="0"/>
              <w:spacing w:before="0" w:beforeAutospacing="0" w:after="0" w:afterAutospacing="0" w:line="360" w:lineRule="auto"/>
              <w:ind w:left="0" w:right="0" w:firstLine="243" w:firstLineChars="100"/>
              <w:jc w:val="both"/>
              <w:rPr>
                <w:rFonts w:hint="eastAsia" w:ascii="新宋体" w:hAnsi="新宋体" w:eastAsia="新宋体" w:cs="新宋体"/>
                <w:color w:val="auto"/>
                <w:kern w:val="2"/>
                <w:highlight w:val="none"/>
                <w:lang w:bidi="ar"/>
              </w:rPr>
            </w:pPr>
            <w:r>
              <w:rPr>
                <w:rFonts w:hint="eastAsia" w:ascii="新宋体" w:hAnsi="新宋体" w:eastAsia="新宋体" w:cs="新宋体"/>
                <w:color w:val="auto"/>
                <w:kern w:val="2"/>
                <w:highlight w:val="none"/>
                <w:lang w:bidi="ar"/>
              </w:rPr>
              <w:t>1.投标人根据招标文件的规定和采购项目的实际情况，拟在中标后将中标项目的非主体、非关键性工作分包的，应当在投标文件中载明分包承担主体，分包承担主体应当具备相应资质条件且不得再次分包。分包供应商履行的分包项目的品牌、规格型号及技术要求等，必须与中标的一致。</w:t>
            </w:r>
          </w:p>
          <w:p>
            <w:pPr>
              <w:pStyle w:val="125"/>
              <w:keepNext w:val="0"/>
              <w:keepLines w:val="0"/>
              <w:suppressLineNumbers w:val="0"/>
              <w:spacing w:before="0" w:beforeAutospacing="0" w:after="0" w:afterAutospacing="0" w:line="360" w:lineRule="auto"/>
              <w:ind w:left="0" w:right="0" w:firstLine="243" w:firstLineChars="100"/>
              <w:jc w:val="both"/>
              <w:rPr>
                <w:rFonts w:hint="eastAsia" w:ascii="新宋体" w:hAnsi="新宋体" w:eastAsia="新宋体" w:cs="新宋体"/>
                <w:color w:val="auto"/>
                <w:kern w:val="2"/>
                <w:highlight w:val="none"/>
                <w:lang w:bidi="ar"/>
              </w:rPr>
            </w:pPr>
            <w:r>
              <w:rPr>
                <w:rFonts w:hint="eastAsia" w:ascii="新宋体" w:hAnsi="新宋体" w:eastAsia="新宋体" w:cs="新宋体"/>
                <w:color w:val="auto"/>
                <w:kern w:val="2"/>
                <w:highlight w:val="none"/>
                <w:lang w:bidi="ar"/>
              </w:rPr>
              <w:t>2.分包履行合同的部分应当为采购项目的非主体、非关键性工作，不属于中标人的主要合同义务。</w:t>
            </w:r>
          </w:p>
          <w:p>
            <w:pPr>
              <w:pStyle w:val="125"/>
              <w:keepNext w:val="0"/>
              <w:keepLines w:val="0"/>
              <w:suppressLineNumbers w:val="0"/>
              <w:spacing w:before="0" w:beforeAutospacing="0" w:after="0" w:afterAutospacing="0" w:line="360" w:lineRule="auto"/>
              <w:ind w:left="0" w:right="0" w:firstLine="243" w:firstLineChars="100"/>
              <w:jc w:val="both"/>
              <w:rPr>
                <w:rFonts w:hint="eastAsia" w:ascii="新宋体" w:hAnsi="新宋体" w:eastAsia="新宋体" w:cs="新宋体"/>
                <w:color w:val="auto"/>
                <w:kern w:val="2"/>
                <w:sz w:val="21"/>
                <w:szCs w:val="21"/>
                <w:highlight w:val="none"/>
              </w:rPr>
            </w:pPr>
            <w:r>
              <w:rPr>
                <w:rFonts w:hint="eastAsia" w:ascii="新宋体" w:hAnsi="新宋体" w:eastAsia="新宋体" w:cs="新宋体"/>
                <w:color w:val="auto"/>
                <w:kern w:val="2"/>
                <w:highlight w:val="none"/>
                <w:lang w:bidi="ar"/>
              </w:rPr>
              <w:t>3、本项目可以分包履行的具体内容、金额或者比例：经采购人同意，本项目个别服务内容可分包，具体按采购人要求执行。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16</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lang w:bidi="ar"/>
              </w:rPr>
            </w:pPr>
            <w:r>
              <w:rPr>
                <w:rFonts w:hint="eastAsia" w:ascii="新宋体" w:hAnsi="新宋体" w:eastAsia="新宋体" w:cs="新宋体"/>
                <w:color w:val="auto"/>
                <w:sz w:val="24"/>
                <w:highlight w:val="none"/>
                <w:lang w:bidi="ar"/>
              </w:rPr>
              <w:t>政府采购供应商信用融资</w:t>
            </w:r>
          </w:p>
        </w:tc>
        <w:tc>
          <w:tcPr>
            <w:tcW w:w="7817" w:type="dxa"/>
            <w:noWrap w:val="0"/>
            <w:vAlign w:val="center"/>
          </w:tcPr>
          <w:p>
            <w:pPr>
              <w:pStyle w:val="125"/>
              <w:keepNext w:val="0"/>
              <w:keepLines w:val="0"/>
              <w:suppressLineNumbers w:val="0"/>
              <w:spacing w:before="0" w:beforeAutospacing="0" w:after="0" w:afterAutospacing="0" w:line="360" w:lineRule="auto"/>
              <w:ind w:left="0" w:right="0" w:firstLine="243" w:firstLineChars="100"/>
              <w:jc w:val="both"/>
              <w:rPr>
                <w:rFonts w:hint="eastAsia" w:ascii="新宋体" w:hAnsi="新宋体" w:eastAsia="新宋体" w:cs="新宋体"/>
                <w:color w:val="auto"/>
                <w:kern w:val="2"/>
                <w:highlight w:val="none"/>
                <w:lang w:bidi="ar"/>
              </w:rPr>
            </w:pPr>
            <w:r>
              <w:rPr>
                <w:rFonts w:hint="eastAsia" w:ascii="新宋体" w:hAnsi="新宋体" w:eastAsia="新宋体" w:cs="新宋体"/>
                <w:color w:val="auto"/>
                <w:kern w:val="2"/>
                <w:highlight w:val="none"/>
                <w:lang w:bidi="ar"/>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125"/>
              <w:keepNext w:val="0"/>
              <w:keepLines w:val="0"/>
              <w:suppressLineNumbers w:val="0"/>
              <w:spacing w:before="0" w:beforeAutospacing="0" w:after="0" w:afterAutospacing="0" w:line="360" w:lineRule="auto"/>
              <w:ind w:left="0" w:right="0" w:firstLine="243" w:firstLineChars="100"/>
              <w:jc w:val="both"/>
              <w:rPr>
                <w:rFonts w:hint="eastAsia" w:ascii="新宋体" w:hAnsi="新宋体" w:eastAsia="新宋体" w:cs="新宋体"/>
                <w:color w:val="auto"/>
                <w:kern w:val="2"/>
                <w:highlight w:val="none"/>
                <w:lang w:bidi="ar"/>
              </w:rPr>
            </w:pPr>
            <w:r>
              <w:rPr>
                <w:rFonts w:hint="eastAsia" w:ascii="新宋体" w:hAnsi="新宋体" w:eastAsia="新宋体" w:cs="新宋体"/>
                <w:color w:val="auto"/>
                <w:kern w:val="2"/>
                <w:highlight w:val="none"/>
                <w:lang w:bidi="ar"/>
              </w:rPr>
              <w:t>2、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pPr>
              <w:pStyle w:val="125"/>
              <w:keepNext w:val="0"/>
              <w:keepLines w:val="0"/>
              <w:suppressLineNumbers w:val="0"/>
              <w:spacing w:before="0" w:beforeAutospacing="0" w:after="0" w:afterAutospacing="0" w:line="360" w:lineRule="auto"/>
              <w:ind w:left="0" w:right="0" w:firstLine="243" w:firstLineChars="100"/>
              <w:jc w:val="both"/>
              <w:rPr>
                <w:rFonts w:hint="eastAsia" w:ascii="新宋体" w:hAnsi="新宋体" w:eastAsia="新宋体" w:cs="新宋体"/>
                <w:color w:val="auto"/>
                <w:highlight w:val="none"/>
              </w:rPr>
            </w:pPr>
            <w:r>
              <w:rPr>
                <w:rFonts w:hint="eastAsia" w:ascii="新宋体" w:hAnsi="新宋体" w:eastAsia="新宋体" w:cs="新宋体"/>
                <w:color w:val="auto"/>
                <w:kern w:val="2"/>
                <w:highlight w:val="none"/>
                <w:lang w:bidi="ar"/>
              </w:rPr>
              <w:t>3、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成财采[2019]17号”、成财采发[2020]28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17</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履约保证金</w:t>
            </w:r>
          </w:p>
        </w:tc>
        <w:tc>
          <w:tcPr>
            <w:tcW w:w="7817" w:type="dxa"/>
            <w:noWrap w:val="0"/>
            <w:vAlign w:val="center"/>
          </w:tcPr>
          <w:p>
            <w:pPr>
              <w:keepNext w:val="0"/>
              <w:keepLines w:val="0"/>
              <w:suppressLineNumbers w:val="0"/>
              <w:wordWrap w:val="0"/>
              <w:spacing w:before="0" w:beforeAutospacing="0" w:after="0" w:afterAutospacing="0" w:line="320" w:lineRule="exact"/>
              <w:ind w:left="0" w:right="106" w:rightChars="50" w:firstLine="243" w:firstLineChars="100"/>
              <w:jc w:val="left"/>
              <w:rPr>
                <w:rFonts w:hint="eastAsia" w:ascii="新宋体" w:hAnsi="新宋体" w:eastAsia="新宋体" w:cs="新宋体"/>
                <w:color w:val="auto"/>
                <w:highlight w:val="none"/>
              </w:rPr>
            </w:pPr>
            <w:r>
              <w:rPr>
                <w:rFonts w:hint="eastAsia" w:ascii="新宋体" w:hAnsi="新宋体" w:eastAsia="新宋体" w:cs="新宋体"/>
                <w:color w:val="auto"/>
                <w:sz w:val="24"/>
                <w:highlight w:val="none"/>
                <w:lang w:bidi="ar"/>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63"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18</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采购文件咨询</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联系人：付先生  联系电话：028-85539329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19</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开标、评标工作咨询</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联系人：付先生  联系电话：028-85539329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20</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中标通知书领取</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zh-CN"/>
              </w:rPr>
              <w:t>在四川政府采购网公告中标结果同时发出中标通知书，中标供应商自行登录政府采购云平台下载中标通知书</w:t>
            </w:r>
            <w:r>
              <w:rPr>
                <w:rFonts w:hint="eastAsia" w:ascii="新宋体" w:hAnsi="新宋体" w:eastAsia="新宋体" w:cs="新宋体"/>
                <w:color w:val="auto"/>
                <w:sz w:val="24"/>
                <w:highlight w:val="none"/>
              </w:rPr>
              <w:t>。</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联系人：付先生</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联系电话：028-85539329</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地址：成都市武侯区二环路南三段5号人南大厦B座7楼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2"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21</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供应商询问</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根据委托代理协议约定，对采购文件的询问由四川成化工程项目管理有限公司负责答复。</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联系人：付先生</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联系电话：028-85539329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9"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22</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供应商质疑及质疑时间</w:t>
            </w:r>
          </w:p>
        </w:tc>
        <w:tc>
          <w:tcPr>
            <w:tcW w:w="7817" w:type="dxa"/>
            <w:noWrap w:val="0"/>
            <w:vAlign w:val="center"/>
          </w:tcPr>
          <w:p>
            <w:pPr>
              <w:keepNext w:val="0"/>
              <w:keepLines w:val="0"/>
              <w:suppressLineNumbers w:val="0"/>
              <w:spacing w:before="0" w:beforeAutospacing="0" w:after="0" w:afterAutospacing="0" w:line="360" w:lineRule="auto"/>
              <w:ind w:left="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根据委托代理协议约定，对于采购文件(招标文件技术条款和除政府采购法第二十二条之外的其他资格条件、专业商务要求)的质疑由采购人负责答复；对于采购过程或采购结果由四川成化工程项目管理有限公司负责答复。</w:t>
            </w:r>
          </w:p>
          <w:p>
            <w:pPr>
              <w:keepNext w:val="0"/>
              <w:keepLines w:val="0"/>
              <w:suppressLineNumbers w:val="0"/>
              <w:spacing w:before="0" w:beforeAutospacing="0" w:after="0" w:afterAutospacing="0" w:line="360" w:lineRule="auto"/>
              <w:ind w:left="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2.供应商提出质疑应当坚持依法依规、诚实信用原则；不得超出采购文件、采购过程、采购结果的范围，不得进行虚假、恶意质疑，不得以质疑为手段获取不当得利、实现非法目的。</w:t>
            </w:r>
          </w:p>
          <w:p>
            <w:pPr>
              <w:keepNext w:val="0"/>
              <w:keepLines w:val="0"/>
              <w:suppressLineNumbers w:val="0"/>
              <w:spacing w:before="0" w:beforeAutospacing="0" w:after="0" w:afterAutospacing="0" w:line="360" w:lineRule="auto"/>
              <w:ind w:left="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3.接收质疑函的方式：供应商在法定时间内以书面形式(原件)现场、邮寄或快递提交质疑函(邮寄以寄出的邮戳日期为准，快递以受送达人在签收单上签收之日为准)，逾期提交不予受理。</w:t>
            </w:r>
          </w:p>
          <w:p>
            <w:pPr>
              <w:keepNext w:val="0"/>
              <w:keepLines w:val="0"/>
              <w:suppressLineNumbers w:val="0"/>
              <w:spacing w:before="0" w:beforeAutospacing="0" w:after="0" w:afterAutospacing="0" w:line="360" w:lineRule="auto"/>
              <w:ind w:left="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联系人：付先生</w:t>
            </w:r>
          </w:p>
          <w:p>
            <w:pPr>
              <w:keepNext w:val="0"/>
              <w:keepLines w:val="0"/>
              <w:suppressLineNumbers w:val="0"/>
              <w:spacing w:before="0" w:beforeAutospacing="0" w:after="0" w:afterAutospacing="0" w:line="360" w:lineRule="auto"/>
              <w:ind w:left="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联系电话：028-85539329</w:t>
            </w:r>
          </w:p>
          <w:p>
            <w:pPr>
              <w:keepNext w:val="0"/>
              <w:keepLines w:val="0"/>
              <w:suppressLineNumbers w:val="0"/>
              <w:spacing w:before="0" w:beforeAutospacing="0" w:after="0" w:afterAutospacing="0" w:line="360" w:lineRule="auto"/>
              <w:ind w:left="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通讯地址：成都市武侯区二环路南三段5号人南大厦B座7楼</w:t>
            </w:r>
          </w:p>
          <w:p>
            <w:pPr>
              <w:keepNext w:val="0"/>
              <w:keepLines w:val="0"/>
              <w:suppressLineNumbers w:val="0"/>
              <w:spacing w:before="0" w:beforeAutospacing="0" w:after="0" w:afterAutospacing="0" w:line="360" w:lineRule="auto"/>
              <w:ind w:left="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邮编：610041</w:t>
            </w:r>
          </w:p>
          <w:p>
            <w:pPr>
              <w:keepNext w:val="0"/>
              <w:keepLines w:val="0"/>
              <w:suppressLineNumbers w:val="0"/>
              <w:spacing w:before="0" w:beforeAutospacing="0" w:after="0" w:afterAutospacing="0" w:line="360" w:lineRule="auto"/>
              <w:ind w:left="0" w:right="106" w:rightChars="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注：①根据《中华人民共和国政府采购法》等法律法规规定，供应商质疑应当有明确的请求和必要的证明材料，须符合《政府采购质疑和投诉办法》(财政部第 94 号令)规定，并使用财政部下发《质疑函》范本。明确的请求是指：供应商对采购文件还是对采购过程还是对中标、成交结果提出质疑；想要达到的结果，如中标成交无效、废标、重新组织采购、赔偿、追究法律责任等；必要的证明材料是指：包含供应商的营业执照、授权委托书(法定代表人质疑时无需提供)、委托代理人身份证明、参加采购项目的证明、权益受到损害的证明材料、证明提出质疑的事实存在的材料等。如因供应商提出的质疑函不符合《政府采购质疑和投诉办法》(财政部令第 94号)第十二条的要求，四川成化工程项目管理有限公司将要求供应商在法定质疑期内进行质疑函补正，未进行补正或在法定质疑期内未进行补正的将不予受理。</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②供应商应当在法定质疑期内一次性提出针对同一采购程序环节的质疑，否则不予受理。</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highlight w:val="none"/>
                <w:lang w:val="zh-CN"/>
              </w:rPr>
            </w:pPr>
            <w:r>
              <w:rPr>
                <w:rFonts w:hint="eastAsia" w:ascii="新宋体" w:hAnsi="新宋体" w:eastAsia="新宋体" w:cs="新宋体"/>
                <w:color w:val="auto"/>
                <w:sz w:val="24"/>
                <w:highlight w:val="none"/>
              </w:rPr>
              <w:t>③质疑函可以现场提交或通过邮寄快递方式（只接受EMS或顺丰快递，且快递收到时间须在质疑有效期内，邮费自理，一概不接收到付的质疑函）提交到四川成化工程项目管理有限公司。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4"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23</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供应商投诉</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投诉受理单位：成都市龙泉驿区财政局 </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电话：028-84636986</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zh-CN"/>
              </w:rPr>
              <w:t>注：根据《中华人民共和国政府采购法实施条例》的规定，供应商投诉事项不得超出已质疑事项的范围，</w:t>
            </w:r>
            <w:r>
              <w:rPr>
                <w:rFonts w:hint="eastAsia" w:ascii="新宋体" w:hAnsi="新宋体" w:eastAsia="新宋体" w:cs="新宋体"/>
                <w:color w:val="auto"/>
                <w:sz w:val="24"/>
                <w:highlight w:val="none"/>
              </w:rPr>
              <w:t>且</w:t>
            </w:r>
            <w:r>
              <w:rPr>
                <w:rFonts w:hint="eastAsia" w:ascii="新宋体" w:hAnsi="新宋体" w:eastAsia="新宋体" w:cs="新宋体"/>
                <w:color w:val="auto"/>
                <w:sz w:val="24"/>
                <w:highlight w:val="none"/>
                <w:lang w:val="zh-CN"/>
              </w:rPr>
              <w:t>须符合《政府采购质疑和投诉办法》(财政部第94号令)规定。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24</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政府采购合同</w:t>
            </w:r>
          </w:p>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公告备案</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人应当自政府采购合同签订之日起2个工作日内，将政府采购合同在省级以上人民政府财政部门指定的媒体上公告（四川政府采购网），但政府采购合同中涉及国家秘密、商业秘密的内容除外；采购人应当将政府采购合同副本自签订之日起7个工作日内通过政采云平台报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1"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25</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备选方案和多个报价</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本项目不接受备选方案和多个报价。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1"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26</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招标文件内容冲突的解决及优先适用次序处理</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1、招标文件（包括修改、澄清或补遗文件）作为评审的依据。</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招标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27</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highlight w:val="none"/>
              </w:rPr>
            </w:pPr>
            <w:r>
              <w:rPr>
                <w:rFonts w:hint="eastAsia" w:ascii="新宋体" w:hAnsi="新宋体" w:eastAsia="新宋体" w:cs="新宋体"/>
                <w:color w:val="auto"/>
                <w:sz w:val="24"/>
                <w:highlight w:val="none"/>
              </w:rPr>
              <w:t>投标文件的制作和签章、加密</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详见本章第17、18条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0" w:hRule="atLeast"/>
          <w:jc w:val="center"/>
        </w:trPr>
        <w:tc>
          <w:tcPr>
            <w:tcW w:w="634"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28</w:t>
            </w:r>
          </w:p>
        </w:tc>
        <w:tc>
          <w:tcPr>
            <w:tcW w:w="1860" w:type="dxa"/>
            <w:noWrap w:val="0"/>
            <w:vAlign w:val="center"/>
          </w:tcPr>
          <w:p>
            <w:pPr>
              <w:keepNext w:val="0"/>
              <w:keepLines w:val="0"/>
              <w:suppressLineNumbers w:val="0"/>
              <w:spacing w:before="0" w:beforeAutospacing="0" w:after="0" w:afterAutospacing="0" w:line="400" w:lineRule="exact"/>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建议品牌或者供应商（如涉及）</w:t>
            </w:r>
          </w:p>
        </w:tc>
        <w:tc>
          <w:tcPr>
            <w:tcW w:w="7817" w:type="dxa"/>
            <w:noWrap w:val="0"/>
            <w:vAlign w:val="center"/>
          </w:tcPr>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若招标文件涉及建议品牌或者供应商，其目的是为了准确清楚说明采购项目的技术标准和要求，其意思表示为“参照或相当于”建议品牌或者供应商，其品牌或供应商具有可替代性。以上内容不做技术评分因素。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1"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29</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招标服务费</w:t>
            </w:r>
          </w:p>
        </w:tc>
        <w:tc>
          <w:tcPr>
            <w:tcW w:w="7817" w:type="dxa"/>
            <w:noWrap w:val="0"/>
            <w:vAlign w:val="center"/>
          </w:tcPr>
          <w:p>
            <w:pPr>
              <w:keepNext w:val="0"/>
              <w:keepLines w:val="0"/>
              <w:suppressLineNumbers w:val="0"/>
              <w:spacing w:before="0" w:beforeAutospacing="0" w:after="0" w:afterAutospacing="0" w:line="400" w:lineRule="exact"/>
              <w:ind w:left="0" w:right="0" w:firstLine="243" w:firstLineChars="1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釆用固定收费，向中标供应商收取代理服务费捌仟元。</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收款名称：四川成化工程项目管理有限公司</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开户银行：交通银行成都南二环路支行；</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账号:511609017018150173015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9" w:hRule="atLeast"/>
          <w:jc w:val="center"/>
        </w:trPr>
        <w:tc>
          <w:tcPr>
            <w:tcW w:w="634" w:type="dxa"/>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30</w:t>
            </w:r>
          </w:p>
        </w:tc>
        <w:tc>
          <w:tcPr>
            <w:tcW w:w="1860"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其他说明</w:t>
            </w:r>
          </w:p>
        </w:tc>
        <w:tc>
          <w:tcPr>
            <w:tcW w:w="7817" w:type="dxa"/>
            <w:noWrap w:val="0"/>
            <w:vAlign w:val="center"/>
          </w:tcPr>
          <w:p>
            <w:pPr>
              <w:keepNext w:val="0"/>
              <w:keepLines w:val="0"/>
              <w:numPr>
                <w:ilvl w:val="0"/>
                <w:numId w:val="8"/>
              </w:numPr>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凡涉及CCC、进网许可等针对产品的认证，除明确要求投标文件中提供外，其余的均在交货现场查验相关材料，如无或不提供，对应产品将被拒收。</w:t>
            </w:r>
          </w:p>
          <w:p>
            <w:pPr>
              <w:keepNext w:val="0"/>
              <w:keepLines w:val="0"/>
              <w:suppressLineNumbers w:val="0"/>
              <w:spacing w:before="0" w:beforeAutospacing="0" w:after="0" w:afterAutospacing="0" w:line="400" w:lineRule="exact"/>
              <w:ind w:left="0" w:right="0"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2、本前附表以外的相关内容是对投标人须知的具体补充，如有矛盾，以本前附表为准。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9" w:hRule="atLeast"/>
          <w:jc w:val="center"/>
        </w:trPr>
        <w:tc>
          <w:tcPr>
            <w:tcW w:w="634"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31</w:t>
            </w:r>
          </w:p>
        </w:tc>
        <w:tc>
          <w:tcPr>
            <w:tcW w:w="1860" w:type="dxa"/>
            <w:noWrap w:val="0"/>
            <w:vAlign w:val="center"/>
          </w:tcPr>
          <w:p>
            <w:pPr>
              <w:pStyle w:val="125"/>
              <w:keepNext w:val="0"/>
              <w:keepLines w:val="0"/>
              <w:suppressLineNumbers w:val="0"/>
              <w:spacing w:before="0" w:beforeAutospacing="0" w:after="0" w:afterAutospacing="0" w:line="400" w:lineRule="exact"/>
              <w:ind w:left="96" w:right="0"/>
              <w:jc w:val="center"/>
              <w:rPr>
                <w:rFonts w:hint="eastAsia" w:ascii="新宋体" w:hAnsi="新宋体" w:eastAsia="新宋体" w:cs="新宋体"/>
                <w:color w:val="auto"/>
                <w:kern w:val="2"/>
                <w:highlight w:val="none"/>
              </w:rPr>
            </w:pPr>
            <w:r>
              <w:rPr>
                <w:rFonts w:hint="eastAsia" w:ascii="新宋体" w:hAnsi="新宋体" w:eastAsia="新宋体" w:cs="新宋体"/>
                <w:color w:val="auto"/>
                <w:kern w:val="2"/>
                <w:highlight w:val="none"/>
              </w:rPr>
              <w:t>承诺提醒</w:t>
            </w:r>
          </w:p>
        </w:tc>
        <w:tc>
          <w:tcPr>
            <w:tcW w:w="7817" w:type="dxa"/>
            <w:noWrap w:val="0"/>
            <w:vAlign w:val="center"/>
          </w:tcPr>
          <w:p>
            <w:pPr>
              <w:pStyle w:val="125"/>
              <w:keepNext w:val="0"/>
              <w:keepLines w:val="0"/>
              <w:suppressLineNumbers w:val="0"/>
              <w:spacing w:before="0" w:beforeAutospacing="0" w:after="0" w:afterAutospacing="0" w:line="400" w:lineRule="exact"/>
              <w:ind w:left="0" w:right="0"/>
              <w:rPr>
                <w:rFonts w:hint="eastAsia" w:ascii="新宋体" w:hAnsi="新宋体" w:eastAsia="新宋体" w:cs="新宋体"/>
                <w:color w:val="auto"/>
                <w:kern w:val="2"/>
                <w:highlight w:val="none"/>
              </w:rPr>
            </w:pPr>
            <w:r>
              <w:rPr>
                <w:rFonts w:hint="eastAsia" w:ascii="新宋体" w:hAnsi="新宋体" w:eastAsia="新宋体" w:cs="新宋体"/>
                <w:color w:val="auto"/>
                <w:kern w:val="2"/>
                <w:highlight w:val="none"/>
              </w:rPr>
              <w:t>关于供应商依法缴纳税收和社会保障资金的相关承诺，项目采购活动结束后，采购人或采购代理机构如有必要将核实供应商所作承诺真实性，如提供虚假承诺将报告监管部门严肃追究法律责任。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9" w:hRule="atLeast"/>
          <w:jc w:val="center"/>
        </w:trPr>
        <w:tc>
          <w:tcPr>
            <w:tcW w:w="634" w:type="dxa"/>
            <w:noWrap w:val="0"/>
            <w:vAlign w:val="center"/>
          </w:tcPr>
          <w:p>
            <w:pPr>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32</w:t>
            </w:r>
          </w:p>
        </w:tc>
        <w:tc>
          <w:tcPr>
            <w:tcW w:w="1860" w:type="dxa"/>
            <w:noWrap w:val="0"/>
            <w:vAlign w:val="center"/>
          </w:tcPr>
          <w:p>
            <w:pPr>
              <w:pStyle w:val="125"/>
              <w:keepNext w:val="0"/>
              <w:keepLines w:val="0"/>
              <w:suppressLineNumbers w:val="0"/>
              <w:spacing w:before="0" w:beforeAutospacing="0" w:after="0" w:afterAutospacing="0"/>
              <w:ind w:left="96" w:right="0"/>
              <w:jc w:val="center"/>
              <w:rPr>
                <w:rFonts w:hint="eastAsia" w:ascii="新宋体" w:hAnsi="新宋体" w:eastAsia="新宋体" w:cs="新宋体"/>
                <w:color w:val="auto"/>
                <w:szCs w:val="21"/>
                <w:highlight w:val="none"/>
                <w:lang w:val="zh-CN"/>
              </w:rPr>
            </w:pPr>
            <w:r>
              <w:rPr>
                <w:rFonts w:hint="eastAsia" w:ascii="新宋体" w:hAnsi="新宋体" w:eastAsia="新宋体" w:cs="新宋体"/>
                <w:color w:val="auto"/>
                <w:szCs w:val="21"/>
                <w:highlight w:val="none"/>
                <w:lang w:val="zh-CN"/>
              </w:rPr>
              <w:t>温馨提示</w:t>
            </w:r>
          </w:p>
        </w:tc>
        <w:tc>
          <w:tcPr>
            <w:tcW w:w="7817" w:type="dxa"/>
            <w:noWrap w:val="0"/>
            <w:vAlign w:val="center"/>
          </w:tcPr>
          <w:p>
            <w:pPr>
              <w:pStyle w:val="125"/>
              <w:keepNext w:val="0"/>
              <w:keepLines w:val="0"/>
              <w:numPr>
                <w:ilvl w:val="0"/>
                <w:numId w:val="9"/>
              </w:numPr>
              <w:suppressLineNumbers w:val="0"/>
              <w:spacing w:before="0" w:beforeAutospacing="0" w:after="0" w:afterAutospacing="0"/>
              <w:ind w:left="0" w:right="0"/>
              <w:rPr>
                <w:rFonts w:hint="eastAsia" w:ascii="新宋体" w:hAnsi="新宋体" w:eastAsia="新宋体" w:cs="新宋体"/>
                <w:color w:val="auto"/>
                <w:szCs w:val="21"/>
                <w:highlight w:val="none"/>
                <w:lang w:val="zh-CN"/>
              </w:rPr>
            </w:pPr>
            <w:r>
              <w:rPr>
                <w:rFonts w:hint="eastAsia" w:ascii="新宋体" w:hAnsi="新宋体" w:eastAsia="新宋体" w:cs="新宋体"/>
                <w:color w:val="auto"/>
                <w:szCs w:val="21"/>
                <w:highlight w:val="none"/>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125"/>
              <w:keepNext w:val="0"/>
              <w:keepLines w:val="0"/>
              <w:suppressLineNumbers w:val="0"/>
              <w:spacing w:before="0" w:beforeAutospacing="0" w:after="0" w:afterAutospacing="0"/>
              <w:ind w:left="0" w:right="0"/>
              <w:jc w:val="both"/>
              <w:rPr>
                <w:rFonts w:hint="eastAsia" w:ascii="新宋体" w:hAnsi="新宋体" w:eastAsia="新宋体" w:cs="新宋体"/>
                <w:color w:val="auto"/>
                <w:szCs w:val="21"/>
                <w:highlight w:val="none"/>
                <w:lang w:val="zh-CN"/>
              </w:rPr>
            </w:pPr>
            <w:r>
              <w:rPr>
                <w:rFonts w:hint="eastAsia" w:ascii="新宋体" w:hAnsi="新宋体" w:eastAsia="新宋体" w:cs="新宋体"/>
                <w:color w:val="auto"/>
                <w:szCs w:val="21"/>
                <w:highlight w:val="none"/>
                <w:lang w:val="zh-CN"/>
              </w:rPr>
              <w:t>2.政府采购云平台供应商注册地址：</w:t>
            </w:r>
          </w:p>
          <w:p>
            <w:pPr>
              <w:pStyle w:val="125"/>
              <w:keepNext w:val="0"/>
              <w:keepLines w:val="0"/>
              <w:suppressLineNumbers w:val="0"/>
              <w:spacing w:before="0" w:beforeAutospacing="0" w:after="0" w:afterAutospacing="0"/>
              <w:ind w:left="0" w:right="0"/>
              <w:jc w:val="both"/>
              <w:rPr>
                <w:rFonts w:hint="eastAsia" w:ascii="新宋体" w:hAnsi="新宋体" w:eastAsia="新宋体" w:cs="新宋体"/>
                <w:color w:val="auto"/>
                <w:szCs w:val="21"/>
                <w:highlight w:val="none"/>
                <w:lang w:val="zh-CN"/>
              </w:rPr>
            </w:pPr>
            <w:r>
              <w:rPr>
                <w:rFonts w:hint="eastAsia" w:ascii="新宋体" w:hAnsi="新宋体" w:eastAsia="新宋体" w:cs="新宋体"/>
                <w:color w:val="auto"/>
                <w:szCs w:val="21"/>
                <w:highlight w:val="none"/>
                <w:lang w:val="zh-CN"/>
              </w:rPr>
              <w:t>https://middle.zcygov.cn/v-settle-front/registry?settleCategory=1&amp;entranceType=119&amp;utm=a0017.b1347.cl50.3.c0de9400b91b11eb870ad7da87d69c97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9" w:hRule="atLeast"/>
          <w:jc w:val="center"/>
        </w:trPr>
        <w:tc>
          <w:tcPr>
            <w:tcW w:w="10311" w:type="dxa"/>
            <w:gridSpan w:val="3"/>
            <w:noWrap w:val="0"/>
            <w:vAlign w:val="center"/>
          </w:tcPr>
          <w:p>
            <w:pPr>
              <w:pStyle w:val="125"/>
              <w:keepNext w:val="0"/>
              <w:keepLines w:val="0"/>
              <w:suppressLineNumbers w:val="0"/>
              <w:spacing w:before="0" w:beforeAutospacing="0" w:after="0" w:afterAutospacing="0" w:line="400" w:lineRule="exact"/>
              <w:ind w:left="0" w:right="0"/>
              <w:jc w:val="center"/>
              <w:rPr>
                <w:rFonts w:hint="eastAsia" w:ascii="新宋体" w:hAnsi="新宋体" w:eastAsia="新宋体" w:cs="新宋体"/>
                <w:color w:val="auto"/>
                <w:kern w:val="2"/>
                <w:highlight w:val="none"/>
              </w:rPr>
            </w:pPr>
            <w:r>
              <w:rPr>
                <w:rFonts w:hint="eastAsia" w:ascii="新宋体" w:hAnsi="新宋体" w:eastAsia="新宋体" w:cs="新宋体"/>
                <w:color w:val="auto"/>
                <w:highlight w:val="none"/>
              </w:rPr>
              <w:t>投标人须知附表与招标文件其他内容不一致时，以投标人须知前附表为准。</w:t>
            </w:r>
          </w:p>
        </w:tc>
      </w:tr>
    </w:tbl>
    <w:p>
      <w:pPr>
        <w:pStyle w:val="4"/>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二、总  则</w:t>
      </w:r>
    </w:p>
    <w:p>
      <w:pPr>
        <w:spacing w:line="360" w:lineRule="auto"/>
        <w:rPr>
          <w:rFonts w:hint="eastAsia" w:ascii="新宋体" w:hAnsi="新宋体" w:eastAsia="新宋体" w:cs="新宋体"/>
          <w:b/>
          <w:color w:val="auto"/>
          <w:sz w:val="24"/>
          <w:highlight w:val="none"/>
        </w:rPr>
      </w:pPr>
      <w:bookmarkStart w:id="26" w:name="_Toc183582205"/>
      <w:bookmarkStart w:id="27" w:name="_Toc183682342"/>
      <w:bookmarkStart w:id="28" w:name="_Toc496688908"/>
      <w:bookmarkStart w:id="29" w:name="_Toc217446034"/>
      <w:r>
        <w:rPr>
          <w:rFonts w:hint="eastAsia" w:ascii="新宋体" w:hAnsi="新宋体" w:eastAsia="新宋体" w:cs="新宋体"/>
          <w:b/>
          <w:color w:val="auto"/>
          <w:sz w:val="24"/>
          <w:highlight w:val="none"/>
        </w:rPr>
        <w:t>1.</w:t>
      </w:r>
      <w:bookmarkEnd w:id="26"/>
      <w:bookmarkEnd w:id="27"/>
      <w:r>
        <w:rPr>
          <w:rFonts w:hint="eastAsia" w:ascii="新宋体" w:hAnsi="新宋体" w:eastAsia="新宋体" w:cs="新宋体"/>
          <w:b/>
          <w:color w:val="auto"/>
          <w:sz w:val="24"/>
          <w:highlight w:val="none"/>
        </w:rPr>
        <w:t xml:space="preserve"> 适用范围</w:t>
      </w:r>
      <w:bookmarkEnd w:id="28"/>
      <w:bookmarkEnd w:id="29"/>
    </w:p>
    <w:p>
      <w:pPr>
        <w:spacing w:line="360" w:lineRule="auto"/>
        <w:ind w:firstLine="250" w:firstLineChars="103"/>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1.1本招标文件仅适用于本次招标采购项目。</w:t>
      </w:r>
    </w:p>
    <w:p>
      <w:pPr>
        <w:spacing w:line="360" w:lineRule="auto"/>
        <w:ind w:firstLine="250" w:firstLineChars="103"/>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1.2 本招标文件的解释权归采购人和采购代理机构所有。</w:t>
      </w:r>
    </w:p>
    <w:p>
      <w:pPr>
        <w:spacing w:line="360" w:lineRule="auto"/>
        <w:rPr>
          <w:rFonts w:hint="eastAsia" w:ascii="新宋体" w:hAnsi="新宋体" w:eastAsia="新宋体" w:cs="新宋体"/>
          <w:b/>
          <w:color w:val="auto"/>
          <w:sz w:val="24"/>
          <w:highlight w:val="none"/>
        </w:rPr>
      </w:pPr>
      <w:bookmarkStart w:id="30" w:name="_Toc183682343"/>
      <w:bookmarkStart w:id="31" w:name="_Toc183582206"/>
      <w:bookmarkStart w:id="32" w:name="_Toc496688909"/>
      <w:bookmarkStart w:id="33" w:name="_Toc217446035"/>
      <w:r>
        <w:rPr>
          <w:rFonts w:hint="eastAsia" w:ascii="新宋体" w:hAnsi="新宋体" w:eastAsia="新宋体" w:cs="新宋体"/>
          <w:b/>
          <w:color w:val="auto"/>
          <w:sz w:val="24"/>
          <w:highlight w:val="none"/>
        </w:rPr>
        <w:t xml:space="preserve">2. </w:t>
      </w:r>
      <w:bookmarkEnd w:id="30"/>
      <w:bookmarkEnd w:id="31"/>
      <w:r>
        <w:rPr>
          <w:rFonts w:hint="eastAsia" w:ascii="新宋体" w:hAnsi="新宋体" w:eastAsia="新宋体" w:cs="新宋体"/>
          <w:b/>
          <w:color w:val="auto"/>
          <w:sz w:val="24"/>
          <w:highlight w:val="none"/>
        </w:rPr>
        <w:t>有关定义</w:t>
      </w:r>
      <w:bookmarkEnd w:id="32"/>
      <w:bookmarkEnd w:id="33"/>
    </w:p>
    <w:p>
      <w:pPr>
        <w:spacing w:line="360" w:lineRule="auto"/>
        <w:ind w:firstLine="250" w:firstLineChars="103"/>
        <w:rPr>
          <w:rFonts w:hint="eastAsia" w:ascii="新宋体" w:hAnsi="新宋体" w:eastAsia="新宋体" w:cs="新宋体"/>
          <w:b/>
          <w:color w:val="auto"/>
          <w:sz w:val="24"/>
          <w:highlight w:val="none"/>
          <w:u w:val="single"/>
        </w:rPr>
      </w:pPr>
      <w:r>
        <w:rPr>
          <w:rFonts w:hint="eastAsia" w:ascii="新宋体" w:hAnsi="新宋体" w:eastAsia="新宋体" w:cs="新宋体"/>
          <w:bCs/>
          <w:color w:val="auto"/>
          <w:sz w:val="24"/>
          <w:highlight w:val="none"/>
        </w:rPr>
        <w:t>2.1 “采购人”系指依法进行政府采购的国家机关、事业单位、团体组织。本次招标的采购人是</w:t>
      </w:r>
      <w:r>
        <w:rPr>
          <w:rFonts w:hint="eastAsia" w:ascii="新宋体" w:hAnsi="新宋体" w:eastAsia="新宋体" w:cs="新宋体"/>
          <w:b/>
          <w:color w:val="auto"/>
          <w:sz w:val="24"/>
          <w:highlight w:val="none"/>
          <w:u w:val="single"/>
        </w:rPr>
        <w:t>成都经济技术开发区实验小学校</w:t>
      </w:r>
      <w:r>
        <w:rPr>
          <w:rFonts w:hint="eastAsia" w:ascii="新宋体" w:hAnsi="新宋体" w:eastAsia="新宋体" w:cs="新宋体"/>
          <w:bCs/>
          <w:color w:val="auto"/>
          <w:sz w:val="24"/>
          <w:highlight w:val="none"/>
        </w:rPr>
        <w:t>。</w:t>
      </w:r>
    </w:p>
    <w:p>
      <w:pPr>
        <w:spacing w:line="360" w:lineRule="auto"/>
        <w:ind w:firstLine="250" w:firstLineChars="103"/>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2.2 “采购代理机构” 系指根据采购人的委托依法办理招标事宜的采购机构。本次招标的采购代理机构是</w:t>
      </w:r>
      <w:r>
        <w:rPr>
          <w:rFonts w:hint="eastAsia" w:ascii="新宋体" w:hAnsi="新宋体" w:eastAsia="新宋体" w:cs="新宋体"/>
          <w:b/>
          <w:bCs/>
          <w:color w:val="auto"/>
          <w:sz w:val="24"/>
          <w:highlight w:val="none"/>
          <w:u w:val="single"/>
        </w:rPr>
        <w:t>四川成化工程项目管理有限公司</w:t>
      </w:r>
      <w:r>
        <w:rPr>
          <w:rFonts w:hint="eastAsia" w:ascii="新宋体" w:hAnsi="新宋体" w:eastAsia="新宋体" w:cs="新宋体"/>
          <w:bCs/>
          <w:color w:val="auto"/>
          <w:sz w:val="24"/>
          <w:highlight w:val="none"/>
        </w:rPr>
        <w:t>。</w:t>
      </w:r>
    </w:p>
    <w:p>
      <w:pPr>
        <w:spacing w:line="360" w:lineRule="auto"/>
        <w:ind w:firstLine="250" w:firstLineChars="103"/>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2.3“招标采购单位”系指“采购人”和“采购代理机构”的统称。</w:t>
      </w:r>
    </w:p>
    <w:p>
      <w:pPr>
        <w:spacing w:line="360" w:lineRule="auto"/>
        <w:ind w:firstLine="250" w:firstLineChars="103"/>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2.4 “投标人”系指购买了招标文件拟参加投标和向采购人提供货物及相应服务的供应商。</w:t>
      </w:r>
    </w:p>
    <w:p>
      <w:pPr>
        <w:spacing w:line="360" w:lineRule="auto"/>
        <w:rPr>
          <w:rFonts w:hint="eastAsia" w:ascii="新宋体" w:hAnsi="新宋体" w:eastAsia="新宋体" w:cs="新宋体"/>
          <w:b/>
          <w:color w:val="auto"/>
          <w:sz w:val="24"/>
          <w:highlight w:val="none"/>
        </w:rPr>
      </w:pPr>
      <w:bookmarkStart w:id="34" w:name="_Toc217390843"/>
      <w:bookmarkStart w:id="35" w:name="_Toc183582207"/>
      <w:bookmarkStart w:id="36" w:name="_Toc217446036"/>
      <w:bookmarkStart w:id="37" w:name="_Toc183682344"/>
      <w:bookmarkStart w:id="38" w:name="_Toc496688910"/>
      <w:r>
        <w:rPr>
          <w:rFonts w:hint="eastAsia" w:ascii="新宋体" w:hAnsi="新宋体" w:eastAsia="新宋体" w:cs="新宋体"/>
          <w:b/>
          <w:color w:val="auto"/>
          <w:sz w:val="24"/>
          <w:highlight w:val="none"/>
        </w:rPr>
        <w:t>3. 合格的投标人</w:t>
      </w:r>
      <w:bookmarkEnd w:id="34"/>
      <w:bookmarkEnd w:id="35"/>
      <w:bookmarkEnd w:id="36"/>
      <w:bookmarkEnd w:id="37"/>
      <w:r>
        <w:rPr>
          <w:rFonts w:hint="eastAsia" w:ascii="新宋体" w:hAnsi="新宋体" w:eastAsia="新宋体" w:cs="新宋体"/>
          <w:b/>
          <w:color w:val="auto"/>
          <w:sz w:val="24"/>
          <w:highlight w:val="none"/>
        </w:rPr>
        <w:t>（实质性要求）</w:t>
      </w:r>
      <w:bookmarkEnd w:id="38"/>
    </w:p>
    <w:p>
      <w:pPr>
        <w:spacing w:line="360" w:lineRule="auto"/>
        <w:ind w:firstLine="250" w:firstLineChars="103"/>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合格的投标人应具备以下条件：</w:t>
      </w:r>
    </w:p>
    <w:p>
      <w:pPr>
        <w:spacing w:line="360" w:lineRule="auto"/>
        <w:ind w:firstLine="250" w:firstLineChars="103"/>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（1）本招标文件规定的供应商资格条件；</w:t>
      </w:r>
    </w:p>
    <w:p>
      <w:pPr>
        <w:spacing w:line="360" w:lineRule="auto"/>
        <w:ind w:firstLine="250" w:firstLineChars="103"/>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（2）遵守国家有关的法律、法规、规章和其他政策制度；</w:t>
      </w:r>
    </w:p>
    <w:p>
      <w:pPr>
        <w:spacing w:line="360" w:lineRule="auto"/>
        <w:ind w:firstLine="250" w:firstLineChars="103"/>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（3）向四川成化工程项目管理有限公司购买了招标文件。</w:t>
      </w:r>
    </w:p>
    <w:p>
      <w:pPr>
        <w:spacing w:line="360" w:lineRule="auto"/>
        <w:ind w:firstLine="250" w:firstLineChars="103"/>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（4）投标人投标现场所递交投标文件的供应商名称、投标包编号必须与报名供应商名称、报名包编号一致。</w:t>
      </w:r>
    </w:p>
    <w:p>
      <w:pPr>
        <w:spacing w:line="360" w:lineRule="auto"/>
        <w:ind w:firstLine="250" w:firstLineChars="103"/>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 xml:space="preserve"> (5) 招标文件和法律、行政法规规定的其他条件。</w:t>
      </w:r>
    </w:p>
    <w:p>
      <w:pPr>
        <w:spacing w:line="360" w:lineRule="auto"/>
        <w:rPr>
          <w:rFonts w:hint="eastAsia" w:ascii="新宋体" w:hAnsi="新宋体" w:eastAsia="新宋体" w:cs="新宋体"/>
          <w:b/>
          <w:color w:val="auto"/>
          <w:sz w:val="24"/>
          <w:highlight w:val="none"/>
        </w:rPr>
      </w:pPr>
      <w:bookmarkStart w:id="39" w:name="_Toc217446037"/>
      <w:bookmarkStart w:id="40" w:name="_Toc183682345"/>
      <w:bookmarkStart w:id="41" w:name="_Toc183582208"/>
      <w:bookmarkStart w:id="42" w:name="_Toc496688911"/>
      <w:r>
        <w:rPr>
          <w:rFonts w:hint="eastAsia" w:ascii="新宋体" w:hAnsi="新宋体" w:eastAsia="新宋体" w:cs="新宋体"/>
          <w:b/>
          <w:color w:val="auto"/>
          <w:sz w:val="24"/>
          <w:highlight w:val="none"/>
        </w:rPr>
        <w:t>4. 投标费用</w:t>
      </w:r>
      <w:bookmarkEnd w:id="39"/>
      <w:bookmarkEnd w:id="40"/>
      <w:bookmarkEnd w:id="41"/>
      <w:r>
        <w:rPr>
          <w:rFonts w:hint="eastAsia" w:ascii="新宋体" w:hAnsi="新宋体" w:eastAsia="新宋体" w:cs="新宋体"/>
          <w:b/>
          <w:color w:val="auto"/>
          <w:sz w:val="24"/>
          <w:highlight w:val="none"/>
        </w:rPr>
        <w:t>（实质性要求）</w:t>
      </w:r>
      <w:bookmarkEnd w:id="42"/>
    </w:p>
    <w:p>
      <w:pPr>
        <w:spacing w:line="360" w:lineRule="auto"/>
        <w:ind w:firstLine="250" w:firstLineChars="103"/>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投标人参加投标的有关费用由投标人自行承担。</w:t>
      </w:r>
    </w:p>
    <w:p>
      <w:pPr>
        <w:spacing w:line="360" w:lineRule="auto"/>
        <w:rPr>
          <w:rFonts w:hint="eastAsia" w:ascii="新宋体" w:hAnsi="新宋体" w:eastAsia="新宋体" w:cs="新宋体"/>
          <w:b/>
          <w:color w:val="auto"/>
          <w:sz w:val="24"/>
          <w:highlight w:val="none"/>
        </w:rPr>
      </w:pPr>
      <w:bookmarkStart w:id="43" w:name="_Toc496688912"/>
      <w:r>
        <w:rPr>
          <w:rFonts w:hint="eastAsia" w:ascii="新宋体" w:hAnsi="新宋体" w:eastAsia="新宋体" w:cs="新宋体"/>
          <w:b/>
          <w:color w:val="auto"/>
          <w:sz w:val="24"/>
          <w:highlight w:val="none"/>
        </w:rPr>
        <w:t>5、充分、公平竞争保障措施（实质性要求）</w:t>
      </w:r>
      <w:bookmarkEnd w:id="43"/>
    </w:p>
    <w:p>
      <w:pPr>
        <w:pStyle w:val="266"/>
        <w:spacing w:line="460" w:lineRule="exact"/>
        <w:ind w:left="1" w:firstLine="486" w:firstLineChars="20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highlight w:val="none"/>
        </w:rPr>
        <w:t>5.1 提供相同品牌产品处理</w:t>
      </w:r>
      <w:r>
        <w:rPr>
          <w:rFonts w:hint="eastAsia" w:ascii="新宋体" w:hAnsi="新宋体" w:eastAsia="新宋体" w:cs="新宋体"/>
          <w:b/>
          <w:color w:val="auto"/>
          <w:sz w:val="24"/>
          <w:szCs w:val="24"/>
          <w:highlight w:val="none"/>
        </w:rPr>
        <w:t>。</w:t>
      </w:r>
    </w:p>
    <w:p>
      <w:pPr>
        <w:pStyle w:val="266"/>
        <w:spacing w:line="460" w:lineRule="exact"/>
        <w:ind w:left="1" w:firstLine="486" w:firstLineChars="200"/>
        <w:rPr>
          <w:rFonts w:hint="eastAsia" w:ascii="新宋体" w:hAnsi="新宋体" w:eastAsia="新宋体" w:cs="新宋体"/>
          <w:bCs/>
          <w:color w:val="auto"/>
          <w:sz w:val="24"/>
          <w:szCs w:val="24"/>
          <w:highlight w:val="none"/>
        </w:rPr>
      </w:pPr>
      <w:r>
        <w:rPr>
          <w:rFonts w:hint="eastAsia" w:ascii="新宋体" w:hAnsi="新宋体" w:eastAsia="新宋体" w:cs="新宋体"/>
          <w:b/>
          <w:color w:val="auto"/>
          <w:sz w:val="24"/>
          <w:szCs w:val="24"/>
          <w:highlight w:val="none"/>
        </w:rPr>
        <w:t xml:space="preserve">5.1.1 </w:t>
      </w:r>
      <w:r>
        <w:rPr>
          <w:rFonts w:hint="eastAsia" w:ascii="新宋体" w:hAnsi="新宋体" w:eastAsia="新宋体" w:cs="新宋体"/>
          <w:color w:val="auto"/>
          <w:kern w:val="2"/>
          <w:sz w:val="24"/>
          <w:szCs w:val="24"/>
          <w:highlight w:val="none"/>
        </w:rPr>
        <w:t>非单一产品采购项目中，采购人根据采购项目技术构成、产品价格比重等合理确定核心产品。多家投标人提供的任一核心产品品牌相同的，视为提供相同品牌产品。本采购项目核心产品为：</w:t>
      </w:r>
    </w:p>
    <w:p>
      <w:pPr>
        <w:pStyle w:val="266"/>
        <w:spacing w:line="460" w:lineRule="exact"/>
        <w:ind w:left="1" w:firstLine="486" w:firstLineChars="20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5.1.2 采用最低评标价法的采购项目。</w:t>
      </w:r>
    </w:p>
    <w:p>
      <w:pPr>
        <w:pStyle w:val="266"/>
        <w:spacing w:line="460" w:lineRule="exact"/>
        <w:ind w:left="1" w:firstLine="486" w:firstLineChars="200"/>
        <w:rPr>
          <w:rFonts w:hint="eastAsia" w:ascii="新宋体" w:hAnsi="新宋体" w:eastAsia="新宋体" w:cs="新宋体"/>
          <w:bCs/>
          <w:color w:val="auto"/>
          <w:sz w:val="24"/>
          <w:szCs w:val="24"/>
          <w:highlight w:val="none"/>
        </w:rPr>
      </w:pPr>
      <w:r>
        <w:rPr>
          <w:rFonts w:hint="eastAsia" w:ascii="新宋体" w:hAnsi="新宋体" w:eastAsia="新宋体" w:cs="新宋体"/>
          <w:color w:val="auto"/>
          <w:kern w:val="2"/>
          <w:sz w:val="24"/>
          <w:szCs w:val="24"/>
          <w:highlight w:val="none"/>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266"/>
        <w:spacing w:line="460" w:lineRule="exact"/>
        <w:ind w:left="1" w:firstLine="486" w:firstLineChars="20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5.1.3 采用综合评分法的采购项目。</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b/>
          <w:color w:val="auto"/>
          <w:sz w:val="24"/>
          <w:highlight w:val="none"/>
        </w:rPr>
        <w:t>5.2利害关系供应商处理。</w:t>
      </w:r>
      <w:r>
        <w:rPr>
          <w:rFonts w:hint="eastAsia" w:ascii="新宋体" w:hAnsi="新宋体" w:eastAsia="新宋体" w:cs="新宋体"/>
          <w:color w:val="auto"/>
          <w:sz w:val="24"/>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b/>
          <w:color w:val="auto"/>
          <w:sz w:val="24"/>
          <w:highlight w:val="none"/>
        </w:rPr>
        <w:t>5.3前期参与供应商处理。</w:t>
      </w:r>
      <w:r>
        <w:rPr>
          <w:rFonts w:hint="eastAsia" w:ascii="新宋体" w:hAnsi="新宋体" w:eastAsia="新宋体" w:cs="新宋体"/>
          <w:color w:val="auto"/>
          <w:sz w:val="24"/>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本项目前期参与供应商：无。</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b/>
          <w:color w:val="auto"/>
          <w:sz w:val="24"/>
          <w:highlight w:val="none"/>
        </w:rPr>
        <w:t>5.4利害关系代理人处理。</w:t>
      </w:r>
      <w:r>
        <w:rPr>
          <w:rFonts w:hint="eastAsia" w:ascii="新宋体" w:hAnsi="新宋体" w:eastAsia="新宋体" w:cs="新宋体"/>
          <w:color w:val="auto"/>
          <w:sz w:val="24"/>
          <w:highlight w:val="none"/>
        </w:rPr>
        <w:t>2家以上的供应商不得在同一合同项下的采购项目中，同时委托同一个自然人、同一家庭的人员、同一单位的人员作为其代理人，否则，其投标文件作为无效处理。</w:t>
      </w:r>
    </w:p>
    <w:p>
      <w:pPr>
        <w:pStyle w:val="233"/>
        <w:spacing w:line="400" w:lineRule="exact"/>
        <w:ind w:left="1"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5.5供应商实际控制人或者中高级管理人员，同时是采购代理机构工作人员，不得参与本项目政府采购活动。</w:t>
      </w:r>
    </w:p>
    <w:p>
      <w:pPr>
        <w:spacing w:line="400" w:lineRule="exact"/>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5.6同一母公司的两家以上的子公司只能组成联合体参加本项目同一合同项下的采购活动，不得以不同供应商身份同时参加本项目同一合同项下的采购活动。</w:t>
      </w:r>
    </w:p>
    <w:p>
      <w:pPr>
        <w:spacing w:line="400" w:lineRule="exact"/>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5.7供应商与采购代理机构存在关联关系，或者是采购代理机构的母公司或子公司，不得参加本项目政府采购活动。</w:t>
      </w:r>
    </w:p>
    <w:p>
      <w:pPr>
        <w:pStyle w:val="233"/>
        <w:spacing w:line="400" w:lineRule="exact"/>
        <w:ind w:left="1"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5.8回避。政府采购活动中，采购人员及相关人员与供应商有下列利害关系之一的，应当回避：</w:t>
      </w:r>
    </w:p>
    <w:p>
      <w:pPr>
        <w:pStyle w:val="233"/>
        <w:spacing w:line="400" w:lineRule="exact"/>
        <w:ind w:left="1"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（1）参加采购活动前3年内与供应商存在劳动关系；</w:t>
      </w:r>
    </w:p>
    <w:p>
      <w:pPr>
        <w:pStyle w:val="233"/>
        <w:spacing w:line="400" w:lineRule="exact"/>
        <w:ind w:left="1"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（2）参加采购活动前3年内担任供应商的董事、监事；</w:t>
      </w:r>
    </w:p>
    <w:p>
      <w:pPr>
        <w:pStyle w:val="233"/>
        <w:spacing w:line="400" w:lineRule="exact"/>
        <w:ind w:left="1"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（3）参加采购活动前3年内是供应商的控股股东或者实际控制人；</w:t>
      </w:r>
    </w:p>
    <w:p>
      <w:pPr>
        <w:pStyle w:val="233"/>
        <w:spacing w:line="400" w:lineRule="exact"/>
        <w:ind w:left="1"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（4）与供应商的法定代表人或者负责人有夫妻、直系血亲、三代以内旁系血亲或者近姻亲关系；</w:t>
      </w:r>
    </w:p>
    <w:p>
      <w:pPr>
        <w:pStyle w:val="233"/>
        <w:spacing w:line="400" w:lineRule="exact"/>
        <w:ind w:left="1"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（5）与供应商有其他可能影响政府采购活动公平、公正进行的关系。</w:t>
      </w:r>
    </w:p>
    <w:p>
      <w:pPr>
        <w:pStyle w:val="233"/>
        <w:spacing w:line="400" w:lineRule="exact"/>
        <w:ind w:left="1"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233"/>
        <w:spacing w:line="400" w:lineRule="exact"/>
        <w:ind w:left="1"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
        <w:spacing w:line="360" w:lineRule="auto"/>
        <w:jc w:val="center"/>
        <w:rPr>
          <w:rFonts w:hint="eastAsia" w:ascii="新宋体" w:hAnsi="新宋体" w:eastAsia="新宋体" w:cs="新宋体"/>
          <w:color w:val="auto"/>
          <w:sz w:val="28"/>
          <w:szCs w:val="28"/>
          <w:highlight w:val="none"/>
        </w:rPr>
      </w:pPr>
      <w:bookmarkStart w:id="44" w:name="_Toc183682346"/>
      <w:bookmarkStart w:id="45" w:name="_Toc89075875"/>
      <w:bookmarkStart w:id="46" w:name="_Toc183582209"/>
      <w:bookmarkStart w:id="47" w:name="_Toc217446038"/>
      <w:bookmarkStart w:id="48" w:name="_Toc77400779"/>
      <w:bookmarkStart w:id="49" w:name="_Toc496688913"/>
      <w:r>
        <w:rPr>
          <w:rFonts w:hint="eastAsia" w:ascii="新宋体" w:hAnsi="新宋体" w:eastAsia="新宋体" w:cs="新宋体"/>
          <w:color w:val="auto"/>
          <w:sz w:val="28"/>
          <w:szCs w:val="28"/>
          <w:highlight w:val="none"/>
        </w:rPr>
        <w:t>三、招标文件</w:t>
      </w:r>
      <w:bookmarkEnd w:id="44"/>
      <w:bookmarkEnd w:id="45"/>
      <w:bookmarkEnd w:id="46"/>
      <w:bookmarkEnd w:id="47"/>
      <w:bookmarkEnd w:id="48"/>
      <w:bookmarkEnd w:id="49"/>
    </w:p>
    <w:p>
      <w:pPr>
        <w:spacing w:line="360" w:lineRule="auto"/>
        <w:rPr>
          <w:rFonts w:hint="eastAsia" w:ascii="新宋体" w:hAnsi="新宋体" w:eastAsia="新宋体" w:cs="新宋体"/>
          <w:b/>
          <w:color w:val="auto"/>
          <w:sz w:val="24"/>
          <w:highlight w:val="none"/>
        </w:rPr>
      </w:pPr>
      <w:bookmarkStart w:id="50" w:name="_Toc183682347"/>
      <w:bookmarkStart w:id="51" w:name="_Toc496688914"/>
      <w:bookmarkStart w:id="52" w:name="_Toc183582210"/>
      <w:bookmarkStart w:id="53" w:name="_Toc217446039"/>
      <w:r>
        <w:rPr>
          <w:rFonts w:hint="eastAsia" w:ascii="新宋体" w:hAnsi="新宋体" w:eastAsia="新宋体" w:cs="新宋体"/>
          <w:b/>
          <w:color w:val="auto"/>
          <w:sz w:val="24"/>
          <w:highlight w:val="none"/>
        </w:rPr>
        <w:t>6．招标文件的构成</w:t>
      </w:r>
      <w:bookmarkEnd w:id="50"/>
      <w:bookmarkEnd w:id="51"/>
      <w:bookmarkEnd w:id="52"/>
      <w:bookmarkEnd w:id="53"/>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6.1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（一）投标邀请；</w:t>
      </w: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（二）投标人须知；</w:t>
      </w: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（三）投标文件格式；</w:t>
      </w: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（四）投标人和投标产品的资格、资质性及其他类似效力要求；</w:t>
      </w: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（五）投标人应当提供的资格、资质性及其他类似效力要求的相关证明材料；</w:t>
      </w: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（六）招标项目技术、商务及其他要求；</w:t>
      </w: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（七）评标办法；</w:t>
      </w: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（八）政府采购合同。</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6.2 投标人应认真阅读和充分理解招标文件中所有的事项、格式条款和规范要求。投标人没有对招标文件全面做出实质性响应是投标人的风险。没有按照招标文件要求作出实质性响应的投标文件将被视为无效投标。</w:t>
      </w:r>
    </w:p>
    <w:p>
      <w:pPr>
        <w:spacing w:line="360" w:lineRule="auto"/>
        <w:rPr>
          <w:rFonts w:hint="eastAsia" w:ascii="新宋体" w:hAnsi="新宋体" w:eastAsia="新宋体" w:cs="新宋体"/>
          <w:b/>
          <w:color w:val="auto"/>
          <w:sz w:val="24"/>
          <w:highlight w:val="none"/>
        </w:rPr>
      </w:pPr>
      <w:bookmarkStart w:id="54" w:name="_Toc183682348"/>
      <w:bookmarkStart w:id="55" w:name="_Toc183582211"/>
      <w:bookmarkStart w:id="56" w:name="_Toc217446040"/>
      <w:bookmarkStart w:id="57" w:name="_Toc496688915"/>
      <w:r>
        <w:rPr>
          <w:rFonts w:hint="eastAsia" w:ascii="新宋体" w:hAnsi="新宋体" w:eastAsia="新宋体" w:cs="新宋体"/>
          <w:b/>
          <w:color w:val="auto"/>
          <w:sz w:val="24"/>
          <w:highlight w:val="none"/>
        </w:rPr>
        <w:t>7. 招标文件的澄清</w:t>
      </w:r>
      <w:bookmarkEnd w:id="54"/>
      <w:bookmarkEnd w:id="55"/>
      <w:r>
        <w:rPr>
          <w:rFonts w:hint="eastAsia" w:ascii="新宋体" w:hAnsi="新宋体" w:eastAsia="新宋体" w:cs="新宋体"/>
          <w:b/>
          <w:color w:val="auto"/>
          <w:sz w:val="24"/>
          <w:highlight w:val="none"/>
        </w:rPr>
        <w:t>和修改</w:t>
      </w:r>
      <w:bookmarkEnd w:id="56"/>
      <w:bookmarkEnd w:id="57"/>
    </w:p>
    <w:p>
      <w:pPr>
        <w:spacing w:line="360" w:lineRule="auto"/>
        <w:ind w:firstLine="250" w:firstLineChars="103"/>
        <w:rPr>
          <w:rFonts w:hint="eastAsia" w:ascii="新宋体" w:hAnsi="新宋体" w:eastAsia="新宋体" w:cs="新宋体"/>
          <w:color w:val="auto"/>
          <w:sz w:val="24"/>
          <w:highlight w:val="none"/>
        </w:rPr>
      </w:pPr>
      <w:bookmarkStart w:id="58" w:name="_Toc217446041"/>
      <w:bookmarkStart w:id="59" w:name="_Toc208848971"/>
      <w:r>
        <w:rPr>
          <w:rFonts w:hint="eastAsia" w:ascii="新宋体" w:hAnsi="新宋体" w:eastAsia="新宋体" w:cs="新宋体"/>
          <w:color w:val="auto"/>
          <w:sz w:val="24"/>
          <w:highlight w:val="none"/>
        </w:rPr>
        <w:t>7.1 在投标截止时间前，招标采购单位可以依法对招标文件进行澄清或者修改。</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7.2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7.3 供应商应于投标文件递交截止时间之前在《四川政府采购网》查询本项目的更正公告，以保证其对招标文件做出正确的响应。供应商未按要求下载相关文件，或由于未及时关注更正公告的信息造成的后果，其责任由供应商自行负责。</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7.4 投标人认为需要对招标文件进行澄清或者修改的，可以以书面形式向招标采购单位构提出申请，但招标采购单位可以决定是否采纳投标人的申请事项。</w:t>
      </w:r>
    </w:p>
    <w:p>
      <w:pPr>
        <w:spacing w:line="360" w:lineRule="auto"/>
        <w:rPr>
          <w:rFonts w:hint="eastAsia" w:ascii="新宋体" w:hAnsi="新宋体" w:eastAsia="新宋体" w:cs="新宋体"/>
          <w:b/>
          <w:color w:val="auto"/>
          <w:sz w:val="24"/>
          <w:highlight w:val="none"/>
        </w:rPr>
      </w:pPr>
      <w:bookmarkStart w:id="60" w:name="_Toc496688916"/>
      <w:r>
        <w:rPr>
          <w:rFonts w:hint="eastAsia" w:ascii="新宋体" w:hAnsi="新宋体" w:eastAsia="新宋体" w:cs="新宋体"/>
          <w:b/>
          <w:color w:val="auto"/>
          <w:sz w:val="24"/>
          <w:highlight w:val="none"/>
        </w:rPr>
        <w:t>8. 答疑会和现场考察</w:t>
      </w:r>
      <w:bookmarkEnd w:id="58"/>
      <w:bookmarkEnd w:id="59"/>
      <w:bookmarkEnd w:id="60"/>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现场考察或标前答疑会时间：本项目不组织。</w:t>
      </w:r>
    </w:p>
    <w:p>
      <w:pPr>
        <w:spacing w:line="48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现场考察或标前答疑会地点：本项目不组织。</w:t>
      </w:r>
      <w:bookmarkStart w:id="61" w:name="_Toc183682351"/>
      <w:bookmarkStart w:id="62" w:name="_Toc183582214"/>
      <w:bookmarkStart w:id="63" w:name="_Toc89075876"/>
      <w:bookmarkStart w:id="64" w:name="_Toc496688917"/>
      <w:bookmarkStart w:id="65" w:name="_Toc77400780"/>
      <w:bookmarkStart w:id="66" w:name="_Toc217446042"/>
    </w:p>
    <w:p>
      <w:pPr>
        <w:spacing w:line="480" w:lineRule="auto"/>
        <w:ind w:firstLine="291" w:firstLineChars="103"/>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四、投标文件</w:t>
      </w:r>
      <w:bookmarkEnd w:id="61"/>
      <w:bookmarkEnd w:id="62"/>
      <w:bookmarkEnd w:id="63"/>
      <w:bookmarkEnd w:id="64"/>
      <w:bookmarkEnd w:id="65"/>
      <w:bookmarkEnd w:id="66"/>
    </w:p>
    <w:p>
      <w:pPr>
        <w:spacing w:line="480" w:lineRule="auto"/>
        <w:rPr>
          <w:rFonts w:hint="eastAsia" w:ascii="新宋体" w:hAnsi="新宋体" w:eastAsia="新宋体" w:cs="新宋体"/>
          <w:b/>
          <w:color w:val="auto"/>
          <w:sz w:val="24"/>
          <w:highlight w:val="none"/>
        </w:rPr>
      </w:pPr>
      <w:bookmarkStart w:id="67" w:name="_Toc183682352"/>
      <w:bookmarkStart w:id="68" w:name="_Toc183582215"/>
      <w:bookmarkStart w:id="69" w:name="_Toc217446043"/>
      <w:bookmarkStart w:id="70" w:name="_Toc496688918"/>
      <w:r>
        <w:rPr>
          <w:rFonts w:hint="eastAsia" w:ascii="新宋体" w:hAnsi="新宋体" w:eastAsia="新宋体" w:cs="新宋体"/>
          <w:b/>
          <w:color w:val="auto"/>
          <w:sz w:val="24"/>
          <w:highlight w:val="none"/>
        </w:rPr>
        <w:t>9．投标文件的语言</w:t>
      </w:r>
      <w:bookmarkEnd w:id="67"/>
      <w:bookmarkEnd w:id="68"/>
      <w:bookmarkEnd w:id="69"/>
      <w:r>
        <w:rPr>
          <w:rFonts w:hint="eastAsia" w:ascii="新宋体" w:hAnsi="新宋体" w:eastAsia="新宋体" w:cs="新宋体"/>
          <w:b/>
          <w:color w:val="auto"/>
          <w:sz w:val="24"/>
          <w:highlight w:val="none"/>
        </w:rPr>
        <w:t>（实质性要求）</w:t>
      </w:r>
      <w:bookmarkEnd w:id="70"/>
    </w:p>
    <w:p>
      <w:pPr>
        <w:spacing w:line="360" w:lineRule="auto"/>
        <w:ind w:firstLine="250" w:firstLineChars="103"/>
        <w:rPr>
          <w:rFonts w:hint="eastAsia" w:ascii="新宋体" w:hAnsi="新宋体" w:eastAsia="新宋体" w:cs="新宋体"/>
          <w:color w:val="auto"/>
          <w:sz w:val="24"/>
          <w:highlight w:val="none"/>
        </w:rPr>
      </w:pPr>
      <w:bookmarkStart w:id="71" w:name="_Toc217446044"/>
      <w:bookmarkStart w:id="72" w:name="_Toc183582216"/>
      <w:bookmarkStart w:id="73" w:name="_Toc183682353"/>
      <w:r>
        <w:rPr>
          <w:rFonts w:hint="eastAsia" w:ascii="新宋体" w:hAnsi="新宋体" w:eastAsia="新宋体" w:cs="新宋体"/>
          <w:color w:val="auto"/>
          <w:sz w:val="24"/>
          <w:highlight w:val="none"/>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9.2 翻译的中文资料与外文资料如果出现差异和矛盾时，以中文为准。涉嫌虚假响应的按照相关法律法规处理。</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9.3 如因未翻译而造成的废标，其责任由投标人承担。</w:t>
      </w:r>
    </w:p>
    <w:p>
      <w:pPr>
        <w:spacing w:line="360" w:lineRule="auto"/>
        <w:rPr>
          <w:rFonts w:hint="eastAsia" w:ascii="新宋体" w:hAnsi="新宋体" w:eastAsia="新宋体" w:cs="新宋体"/>
          <w:b/>
          <w:color w:val="auto"/>
          <w:sz w:val="24"/>
          <w:highlight w:val="none"/>
        </w:rPr>
      </w:pPr>
      <w:bookmarkStart w:id="74" w:name="_Toc496688919"/>
      <w:r>
        <w:rPr>
          <w:rFonts w:hint="eastAsia" w:ascii="新宋体" w:hAnsi="新宋体" w:eastAsia="新宋体" w:cs="新宋体"/>
          <w:b/>
          <w:color w:val="auto"/>
          <w:sz w:val="24"/>
          <w:highlight w:val="none"/>
        </w:rPr>
        <w:t>10．计量单位</w:t>
      </w:r>
      <w:bookmarkEnd w:id="71"/>
      <w:bookmarkEnd w:id="72"/>
      <w:bookmarkEnd w:id="73"/>
      <w:r>
        <w:rPr>
          <w:rFonts w:hint="eastAsia" w:ascii="新宋体" w:hAnsi="新宋体" w:eastAsia="新宋体" w:cs="新宋体"/>
          <w:b/>
          <w:color w:val="auto"/>
          <w:sz w:val="24"/>
          <w:highlight w:val="none"/>
        </w:rPr>
        <w:t>（实质性要求）</w:t>
      </w:r>
      <w:bookmarkEnd w:id="74"/>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除招标文件中另有规定外，本次采购项目所有产品的投标均采用国家法定的计量单位。</w:t>
      </w:r>
    </w:p>
    <w:p>
      <w:pPr>
        <w:spacing w:line="360" w:lineRule="auto"/>
        <w:rPr>
          <w:rFonts w:hint="eastAsia" w:ascii="新宋体" w:hAnsi="新宋体" w:eastAsia="新宋体" w:cs="新宋体"/>
          <w:b/>
          <w:color w:val="auto"/>
          <w:sz w:val="24"/>
          <w:highlight w:val="none"/>
        </w:rPr>
      </w:pPr>
      <w:bookmarkStart w:id="75" w:name="_Toc217446045"/>
      <w:bookmarkStart w:id="76" w:name="_Toc496688920"/>
      <w:r>
        <w:rPr>
          <w:rFonts w:hint="eastAsia" w:ascii="新宋体" w:hAnsi="新宋体" w:eastAsia="新宋体" w:cs="新宋体"/>
          <w:b/>
          <w:color w:val="auto"/>
          <w:sz w:val="24"/>
          <w:highlight w:val="none"/>
        </w:rPr>
        <w:t>11. 投标货币</w:t>
      </w:r>
      <w:bookmarkEnd w:id="75"/>
      <w:r>
        <w:rPr>
          <w:rFonts w:hint="eastAsia" w:ascii="新宋体" w:hAnsi="新宋体" w:eastAsia="新宋体" w:cs="新宋体"/>
          <w:b/>
          <w:color w:val="auto"/>
          <w:sz w:val="24"/>
          <w:highlight w:val="none"/>
        </w:rPr>
        <w:t>（实质性要求）</w:t>
      </w:r>
      <w:bookmarkEnd w:id="76"/>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本次招标项目的投标均以人民币报价。</w:t>
      </w:r>
      <w:bookmarkStart w:id="77" w:name="_Toc217446046"/>
      <w:bookmarkStart w:id="78" w:name="_Toc496688921"/>
    </w:p>
    <w:p>
      <w:pPr>
        <w:spacing w:line="360" w:lineRule="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12. 联合体投标</w:t>
      </w:r>
      <w:bookmarkEnd w:id="77"/>
      <w:r>
        <w:rPr>
          <w:rFonts w:hint="eastAsia" w:ascii="新宋体" w:hAnsi="新宋体" w:eastAsia="新宋体" w:cs="新宋体"/>
          <w:b/>
          <w:color w:val="auto"/>
          <w:sz w:val="24"/>
          <w:highlight w:val="none"/>
        </w:rPr>
        <w:t>（</w:t>
      </w:r>
      <w:r>
        <w:rPr>
          <w:rFonts w:hint="eastAsia" w:ascii="新宋体" w:hAnsi="新宋体" w:eastAsia="新宋体" w:cs="新宋体"/>
          <w:b/>
          <w:bCs/>
          <w:color w:val="auto"/>
          <w:sz w:val="24"/>
          <w:highlight w:val="none"/>
        </w:rPr>
        <w:t>本项目不接受联合体投标</w:t>
      </w:r>
      <w:r>
        <w:rPr>
          <w:rFonts w:hint="eastAsia" w:ascii="新宋体" w:hAnsi="新宋体" w:eastAsia="新宋体" w:cs="新宋体"/>
          <w:b/>
          <w:color w:val="auto"/>
          <w:sz w:val="24"/>
          <w:highlight w:val="none"/>
        </w:rPr>
        <w:t>）</w:t>
      </w:r>
    </w:p>
    <w:bookmarkEnd w:id="78"/>
    <w:p>
      <w:pPr>
        <w:spacing w:line="440" w:lineRule="exact"/>
        <w:ind w:firstLine="486" w:firstLineChars="200"/>
        <w:rPr>
          <w:rFonts w:hint="eastAsia" w:ascii="新宋体" w:hAnsi="新宋体" w:eastAsia="新宋体" w:cs="新宋体"/>
          <w:color w:val="auto"/>
          <w:sz w:val="24"/>
          <w:highlight w:val="none"/>
          <w:lang w:bidi="ar"/>
        </w:rPr>
      </w:pPr>
      <w:r>
        <w:rPr>
          <w:rFonts w:hint="eastAsia" w:ascii="新宋体" w:hAnsi="新宋体" w:eastAsia="新宋体" w:cs="新宋体"/>
          <w:color w:val="auto"/>
          <w:sz w:val="24"/>
          <w:highlight w:val="none"/>
          <w:lang w:bidi="ar"/>
        </w:rPr>
        <w:t xml:space="preserve">12.1两个以上的自然人、法人或者其他组织可以组成一个联合体，以一个供应商的身份共同参加政府采购。 </w:t>
      </w:r>
    </w:p>
    <w:p>
      <w:pPr>
        <w:spacing w:line="440" w:lineRule="exact"/>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bidi="ar"/>
        </w:rPr>
        <w:t xml:space="preserve">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 </w:t>
      </w:r>
    </w:p>
    <w:p>
      <w:pPr>
        <w:spacing w:line="440" w:lineRule="exact"/>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bidi="ar"/>
        </w:rPr>
        <w:t>12.2 联合体各方之间应当签订联合体投标协议，明确约定联合体各方承担的工作和相应的责任。联合体参与投标的，应在投标文件中提供联合体协议原件。</w:t>
      </w:r>
    </w:p>
    <w:p>
      <w:pPr>
        <w:spacing w:line="440" w:lineRule="exact"/>
        <w:ind w:firstLine="486" w:firstLineChars="200"/>
        <w:rPr>
          <w:rFonts w:hint="eastAsia" w:ascii="新宋体" w:hAnsi="新宋体" w:eastAsia="新宋体" w:cs="新宋体"/>
          <w:color w:val="auto"/>
          <w:sz w:val="24"/>
          <w:highlight w:val="none"/>
          <w:lang w:bidi="ar"/>
        </w:rPr>
      </w:pPr>
      <w:r>
        <w:rPr>
          <w:rFonts w:hint="eastAsia" w:ascii="新宋体" w:hAnsi="新宋体" w:eastAsia="新宋体" w:cs="新宋体"/>
          <w:color w:val="auto"/>
          <w:sz w:val="24"/>
          <w:highlight w:val="none"/>
          <w:lang w:bidi="ar"/>
        </w:rPr>
        <w:t>12.3 联合体应当确定其中一个单位为投标的全权代表，负责参加投标的一切事务。</w:t>
      </w:r>
    </w:p>
    <w:p>
      <w:pPr>
        <w:spacing w:line="440" w:lineRule="exact"/>
        <w:ind w:firstLine="486" w:firstLineChars="200"/>
        <w:rPr>
          <w:rFonts w:hint="eastAsia" w:ascii="新宋体" w:hAnsi="新宋体" w:eastAsia="新宋体" w:cs="新宋体"/>
          <w:color w:val="auto"/>
          <w:sz w:val="24"/>
          <w:highlight w:val="none"/>
          <w:lang w:bidi="ar"/>
        </w:rPr>
      </w:pPr>
      <w:r>
        <w:rPr>
          <w:rFonts w:hint="eastAsia" w:ascii="新宋体" w:hAnsi="新宋体" w:eastAsia="新宋体" w:cs="新宋体"/>
          <w:color w:val="auto"/>
          <w:sz w:val="24"/>
          <w:highlight w:val="none"/>
          <w:lang w:bidi="ar"/>
        </w:rPr>
        <w:t>12.4 联合体各方应当共同与采购人签订采购合同，就采购合同约定的事项对采购人承担连带责任。</w:t>
      </w:r>
    </w:p>
    <w:p>
      <w:pPr>
        <w:spacing w:line="440" w:lineRule="exact"/>
        <w:ind w:firstLine="486" w:firstLineChars="200"/>
        <w:rPr>
          <w:rFonts w:hint="eastAsia" w:ascii="新宋体" w:hAnsi="新宋体" w:eastAsia="新宋体" w:cs="新宋体"/>
          <w:color w:val="auto"/>
          <w:sz w:val="24"/>
          <w:highlight w:val="none"/>
          <w:lang w:bidi="ar"/>
        </w:rPr>
      </w:pPr>
      <w:r>
        <w:rPr>
          <w:rFonts w:hint="eastAsia" w:ascii="新宋体" w:hAnsi="新宋体" w:eastAsia="新宋体" w:cs="新宋体"/>
          <w:color w:val="auto"/>
          <w:sz w:val="24"/>
          <w:highlight w:val="none"/>
          <w:lang w:bidi="ar"/>
        </w:rPr>
        <w:t>12.5联合体中有同类资质的供应商按照联合体分工承担相同工作的，将按 照资质等级较低的供应商确定资质等级。</w:t>
      </w:r>
      <w:r>
        <w:rPr>
          <w:rFonts w:hint="eastAsia" w:ascii="新宋体" w:hAnsi="新宋体" w:eastAsia="新宋体" w:cs="新宋体"/>
          <w:color w:val="auto"/>
          <w:sz w:val="24"/>
          <w:highlight w:val="none"/>
          <w:lang w:bidi="ar"/>
        </w:rPr>
        <w:br w:type="textWrapping"/>
      </w:r>
      <w:r>
        <w:rPr>
          <w:rFonts w:hint="eastAsia" w:ascii="新宋体" w:hAnsi="新宋体" w:eastAsia="新宋体" w:cs="新宋体"/>
          <w:color w:val="auto"/>
          <w:sz w:val="24"/>
          <w:highlight w:val="none"/>
          <w:lang w:bidi="ar"/>
        </w:rPr>
        <w:t>　　12.6以联合体形式参加政府采购活动的，联合体各方不得再单独参加或者与其他供应商另外组成联合体参加同一合同项下的政府采购活动。</w:t>
      </w:r>
    </w:p>
    <w:p>
      <w:pPr>
        <w:spacing w:line="440" w:lineRule="exact"/>
        <w:ind w:firstLine="486" w:firstLineChars="200"/>
        <w:rPr>
          <w:rFonts w:hint="eastAsia" w:ascii="新宋体" w:hAnsi="新宋体" w:eastAsia="新宋体" w:cs="新宋体"/>
          <w:color w:val="auto"/>
          <w:sz w:val="24"/>
          <w:highlight w:val="none"/>
          <w:lang w:bidi="ar"/>
        </w:rPr>
      </w:pPr>
      <w:r>
        <w:rPr>
          <w:rFonts w:hint="eastAsia" w:ascii="新宋体" w:hAnsi="新宋体" w:eastAsia="新宋体" w:cs="新宋体"/>
          <w:color w:val="auto"/>
          <w:sz w:val="24"/>
          <w:highlight w:val="none"/>
          <w:lang w:bidi="ar"/>
        </w:rPr>
        <w:t>12.7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应附中小微企业的《中小企业声明函》。</w:t>
      </w:r>
    </w:p>
    <w:p>
      <w:pPr>
        <w:spacing w:line="440" w:lineRule="exact"/>
        <w:ind w:firstLine="486" w:firstLineChars="200"/>
        <w:rPr>
          <w:rFonts w:hint="eastAsia" w:ascii="新宋体" w:hAnsi="新宋体" w:eastAsia="新宋体" w:cs="新宋体"/>
          <w:color w:val="auto"/>
          <w:sz w:val="24"/>
          <w:highlight w:val="none"/>
          <w:lang w:bidi="ar"/>
        </w:rPr>
      </w:pPr>
      <w:r>
        <w:rPr>
          <w:rFonts w:hint="eastAsia" w:ascii="新宋体" w:hAnsi="新宋体" w:eastAsia="新宋体" w:cs="新宋体"/>
          <w:color w:val="auto"/>
          <w:sz w:val="24"/>
          <w:highlight w:val="none"/>
          <w:lang w:bidi="ar"/>
        </w:rPr>
        <w:t>12.8联合体各方均为小型、微型企业的，联合体视同为小型、微型企业享受规定的扶持政策。组成联合体的大中型企业和其他自然人、法人或者其他组织，与小型、微型企业之间不得存在投资关系。</w:t>
      </w:r>
    </w:p>
    <w:p>
      <w:pPr>
        <w:spacing w:line="360" w:lineRule="auto"/>
        <w:rPr>
          <w:rFonts w:hint="eastAsia" w:ascii="新宋体" w:hAnsi="新宋体" w:eastAsia="新宋体" w:cs="新宋体"/>
          <w:b/>
          <w:color w:val="auto"/>
          <w:sz w:val="24"/>
          <w:highlight w:val="none"/>
        </w:rPr>
      </w:pPr>
      <w:bookmarkStart w:id="79" w:name="_Toc308164797"/>
      <w:bookmarkStart w:id="80" w:name="_Toc217446047"/>
      <w:bookmarkStart w:id="81" w:name="_Toc496688922"/>
      <w:r>
        <w:rPr>
          <w:rFonts w:hint="eastAsia" w:ascii="新宋体" w:hAnsi="新宋体" w:eastAsia="新宋体" w:cs="新宋体"/>
          <w:b/>
          <w:color w:val="auto"/>
          <w:sz w:val="24"/>
          <w:highlight w:val="none"/>
        </w:rPr>
        <w:t>13. 知识产权</w:t>
      </w:r>
      <w:bookmarkEnd w:id="79"/>
      <w:bookmarkEnd w:id="80"/>
      <w:r>
        <w:rPr>
          <w:rFonts w:hint="eastAsia" w:ascii="新宋体" w:hAnsi="新宋体" w:eastAsia="新宋体" w:cs="新宋体"/>
          <w:b/>
          <w:color w:val="auto"/>
          <w:sz w:val="24"/>
          <w:highlight w:val="none"/>
        </w:rPr>
        <w:t>（实质性要求）</w:t>
      </w:r>
      <w:bookmarkEnd w:id="81"/>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13.1 投标人应承诺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13.2 采购人享有本项目实施过程中产生的知识成果及知识产权。</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13.3 投标人如欲在项目实施过程中采用自有知识成果，需在投标文件中声明，并提供相关知识产权证明文件。承诺使用该知识成果后，投标人需提供开发接口和开发手册等技术文档，并提供无限期技术支持，采购人享有永久使用权（含采购人委托第三方在该项目后续开发的使用权）。</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13.4 如采用投标人所不拥有的知识产权，则必须承诺在投标报价中已经包括合法获取该知识产权的相关费用。</w:t>
      </w:r>
    </w:p>
    <w:p>
      <w:pPr>
        <w:spacing w:line="360" w:lineRule="auto"/>
        <w:rPr>
          <w:rFonts w:hint="eastAsia" w:ascii="新宋体" w:hAnsi="新宋体" w:eastAsia="新宋体" w:cs="新宋体"/>
          <w:b/>
          <w:color w:val="auto"/>
          <w:sz w:val="24"/>
          <w:highlight w:val="none"/>
        </w:rPr>
      </w:pPr>
      <w:bookmarkStart w:id="82" w:name="_Toc496688923"/>
      <w:bookmarkStart w:id="83" w:name="_Toc183582217"/>
      <w:bookmarkStart w:id="84" w:name="_Toc183682354"/>
      <w:bookmarkStart w:id="85" w:name="_Toc308164798"/>
      <w:bookmarkStart w:id="86" w:name="_Toc217446048"/>
      <w:r>
        <w:rPr>
          <w:rFonts w:hint="eastAsia" w:ascii="新宋体" w:hAnsi="新宋体" w:eastAsia="新宋体" w:cs="新宋体"/>
          <w:b/>
          <w:color w:val="auto"/>
          <w:sz w:val="24"/>
          <w:highlight w:val="none"/>
        </w:rPr>
        <w:t>14．投标文件的组成</w:t>
      </w:r>
      <w:bookmarkEnd w:id="82"/>
      <w:bookmarkEnd w:id="83"/>
      <w:bookmarkEnd w:id="84"/>
      <w:bookmarkEnd w:id="85"/>
      <w:bookmarkEnd w:id="86"/>
      <w:bookmarkStart w:id="87" w:name="_Toc183582218"/>
      <w:bookmarkStart w:id="88" w:name="_Toc183682355"/>
      <w:bookmarkStart w:id="89" w:name="_Toc308164799"/>
      <w:bookmarkStart w:id="90" w:name="_Toc217446049"/>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投标人应按照招标文件的规定和要求编制投标文件。投标人编写的投标文件应至少包括下列两部分文件：</w:t>
      </w:r>
    </w:p>
    <w:p>
      <w:pPr>
        <w:spacing w:line="360" w:lineRule="auto"/>
        <w:ind w:firstLine="250" w:firstLineChars="103"/>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文件一：资格性投标文件（用于资格审查）</w:t>
      </w:r>
    </w:p>
    <w:p>
      <w:pPr>
        <w:spacing w:line="360" w:lineRule="auto"/>
        <w:ind w:firstLine="250" w:firstLineChars="103"/>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严格按照第四、五章要求提供相关资格、资质性及其他类似效力要求的相关证明材料。</w:t>
      </w:r>
    </w:p>
    <w:p>
      <w:pPr>
        <w:spacing w:line="360" w:lineRule="auto"/>
        <w:ind w:firstLine="250" w:firstLineChars="103"/>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文件二：其他投标文件（用于资格审查以外的评审）</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严格按照招标文件要求提供以下相关材料：</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b/>
          <w:bCs/>
          <w:color w:val="auto"/>
          <w:sz w:val="24"/>
          <w:highlight w:val="none"/>
        </w:rPr>
        <w:t>（一）报价部分。</w:t>
      </w:r>
      <w:r>
        <w:rPr>
          <w:rFonts w:hint="eastAsia" w:ascii="新宋体" w:hAnsi="新宋体" w:eastAsia="新宋体" w:cs="新宋体"/>
          <w:color w:val="auto"/>
          <w:sz w:val="24"/>
          <w:highlight w:val="none"/>
        </w:rPr>
        <w:t>投标人按照招标文件要求填写的“开标一览表”及“报价明细表”（如涉及）。 本次招标报价要求：</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（1）投标人的报价是投标人响应招标项目要求的全部工作内容的价格体现，包括投标人完成本项目所需的一切费用（实质性要求）。</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（2）投标人每种服务只允许有一个报价，并且在合同履行过程中是固定不变的，任何有选择或可调整的报价将不予接受，并按无效投标处理（实质性要求）。</w:t>
      </w:r>
    </w:p>
    <w:p>
      <w:pPr>
        <w:spacing w:line="360" w:lineRule="auto"/>
        <w:ind w:firstLine="250" w:firstLineChars="103"/>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（二）服务部分。</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投标人按照招标文件要求做出的技术应答，主要是针对招标项目的技术指标、参数和技术服务要求做出的实质性响应和满足，参考并不限于以下内容：</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（1）项目服务方案；</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（2）验收标准和验收方法；</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（3）对本项目服务要求的响应；</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（4）投标人认为需要提供的文件和资料。</w:t>
      </w:r>
    </w:p>
    <w:p>
      <w:pPr>
        <w:pStyle w:val="19"/>
        <w:numPr>
          <w:ilvl w:val="0"/>
          <w:numId w:val="10"/>
        </w:numPr>
        <w:ind w:firstLine="243" w:firstLineChars="10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商务部分</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投标人按照招标文件要求提供的有关文件及优惠承诺，参考并不限于以下内容：</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（1）投标函；</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（2）供应商基本情况；</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（3）证明投标人业绩和荣誉的有关材料复印件（按照第六章或评分办法的要求提供）；</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（4）商务应答表；</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（5）其他投标人认为需要提供的文件和资料。</w:t>
      </w:r>
    </w:p>
    <w:p>
      <w:pPr>
        <w:spacing w:line="360" w:lineRule="auto"/>
        <w:ind w:firstLine="486" w:firstLineChars="20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（四）其它。</w:t>
      </w:r>
    </w:p>
    <w:p>
      <w:pPr>
        <w:pStyle w:val="19"/>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投标人按照招标文件要求作出的其他应答和承诺。</w:t>
      </w:r>
    </w:p>
    <w:bookmarkEnd w:id="87"/>
    <w:bookmarkEnd w:id="88"/>
    <w:bookmarkEnd w:id="89"/>
    <w:bookmarkEnd w:id="90"/>
    <w:p>
      <w:pPr>
        <w:spacing w:line="360" w:lineRule="auto"/>
        <w:rPr>
          <w:rFonts w:hint="eastAsia" w:ascii="新宋体" w:hAnsi="新宋体" w:eastAsia="新宋体" w:cs="新宋体"/>
          <w:b/>
          <w:bCs/>
          <w:color w:val="auto"/>
          <w:sz w:val="24"/>
          <w:highlight w:val="none"/>
        </w:rPr>
      </w:pPr>
      <w:bookmarkStart w:id="91" w:name="_Toc217446050"/>
      <w:bookmarkStart w:id="92" w:name="_Toc183582223"/>
      <w:bookmarkStart w:id="93" w:name="_Toc308164800"/>
      <w:bookmarkStart w:id="94" w:name="_Toc183682360"/>
      <w:r>
        <w:rPr>
          <w:rFonts w:hint="eastAsia" w:ascii="新宋体" w:hAnsi="新宋体" w:eastAsia="新宋体" w:cs="新宋体"/>
          <w:b/>
          <w:bCs/>
          <w:color w:val="auto"/>
          <w:sz w:val="24"/>
          <w:highlight w:val="none"/>
        </w:rPr>
        <w:t>15．投标保证金</w:t>
      </w:r>
      <w:bookmarkEnd w:id="91"/>
      <w:bookmarkEnd w:id="92"/>
      <w:bookmarkEnd w:id="93"/>
      <w:bookmarkEnd w:id="94"/>
      <w:r>
        <w:rPr>
          <w:rFonts w:hint="eastAsia" w:ascii="新宋体" w:hAnsi="新宋体" w:eastAsia="新宋体" w:cs="新宋体"/>
          <w:b/>
          <w:bCs/>
          <w:color w:val="auto"/>
          <w:sz w:val="24"/>
          <w:highlight w:val="none"/>
        </w:rPr>
        <w:t>（本项目不涉及）</w:t>
      </w:r>
    </w:p>
    <w:p>
      <w:pPr>
        <w:spacing w:line="360" w:lineRule="auto"/>
        <w:ind w:firstLine="364" w:firstLineChars="150"/>
        <w:rPr>
          <w:rFonts w:hint="eastAsia" w:ascii="新宋体" w:hAnsi="新宋体" w:eastAsia="新宋体" w:cs="新宋体"/>
          <w:color w:val="auto"/>
          <w:sz w:val="24"/>
          <w:highlight w:val="none"/>
        </w:rPr>
      </w:pPr>
      <w:bookmarkStart w:id="95" w:name="_Toc183582224"/>
      <w:bookmarkStart w:id="96" w:name="_Toc217446051"/>
      <w:bookmarkStart w:id="97" w:name="_Toc183682361"/>
      <w:bookmarkStart w:id="98" w:name="_Toc308164801"/>
      <w:bookmarkStart w:id="99" w:name="_Toc496688924"/>
      <w:r>
        <w:rPr>
          <w:rFonts w:hint="eastAsia" w:ascii="新宋体" w:hAnsi="新宋体" w:eastAsia="新宋体" w:cs="新宋体"/>
          <w:color w:val="auto"/>
          <w:sz w:val="24"/>
          <w:highlight w:val="none"/>
        </w:rPr>
        <w:t>根据《四川省财政厅关于进一步做好疫情防控期间政府采购工作有关事项的通知》（川财采〔2020〕28号）文件，本项目不收取投标保证金。</w:t>
      </w:r>
    </w:p>
    <w:p>
      <w:pPr>
        <w:spacing w:line="360" w:lineRule="auto"/>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16．投标有效期</w:t>
      </w:r>
      <w:bookmarkEnd w:id="95"/>
      <w:bookmarkEnd w:id="96"/>
      <w:bookmarkEnd w:id="97"/>
      <w:bookmarkEnd w:id="98"/>
      <w:r>
        <w:rPr>
          <w:rFonts w:hint="eastAsia" w:ascii="新宋体" w:hAnsi="新宋体" w:eastAsia="新宋体" w:cs="新宋体"/>
          <w:b/>
          <w:bCs/>
          <w:color w:val="auto"/>
          <w:sz w:val="24"/>
          <w:highlight w:val="none"/>
        </w:rPr>
        <w:t>（实质性要求）</w:t>
      </w:r>
      <w:bookmarkEnd w:id="99"/>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16.1投标人的投标文件必须严格按《投标人须知附表》对投标有效期的要求载明投标有效期，否则其投标文件将作为无效投标处理；投标文件中载明的投标有效期可以长于招标文件规定的期限，但不得短于招标文件规定的期限，否则，其投标文件将作为无效投标处理。</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16.2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16.3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spacing w:line="360" w:lineRule="auto"/>
        <w:rPr>
          <w:rFonts w:hint="eastAsia" w:ascii="新宋体" w:hAnsi="新宋体" w:eastAsia="新宋体" w:cs="新宋体"/>
          <w:b/>
          <w:bCs/>
          <w:color w:val="auto"/>
          <w:sz w:val="24"/>
          <w:highlight w:val="none"/>
        </w:rPr>
      </w:pPr>
      <w:bookmarkStart w:id="100" w:name="_Toc183682362"/>
      <w:bookmarkStart w:id="101" w:name="_Toc496688925"/>
      <w:bookmarkStart w:id="102" w:name="_Toc217446052"/>
      <w:bookmarkStart w:id="103" w:name="_Toc183582225"/>
      <w:bookmarkStart w:id="104" w:name="_Toc308164802"/>
      <w:r>
        <w:rPr>
          <w:rFonts w:hint="eastAsia" w:ascii="新宋体" w:hAnsi="新宋体" w:eastAsia="新宋体" w:cs="新宋体"/>
          <w:b/>
          <w:bCs/>
          <w:color w:val="auto"/>
          <w:sz w:val="24"/>
          <w:highlight w:val="none"/>
        </w:rPr>
        <w:t>17.</w:t>
      </w:r>
      <w:bookmarkEnd w:id="100"/>
      <w:bookmarkEnd w:id="101"/>
      <w:bookmarkEnd w:id="102"/>
      <w:bookmarkEnd w:id="103"/>
      <w:bookmarkEnd w:id="104"/>
      <w:r>
        <w:rPr>
          <w:rFonts w:hint="eastAsia" w:ascii="新宋体" w:hAnsi="新宋体" w:eastAsia="新宋体" w:cs="新宋体"/>
          <w:b/>
          <w:bCs/>
          <w:color w:val="auto"/>
          <w:sz w:val="24"/>
          <w:highlight w:val="none"/>
        </w:rPr>
        <w:t>投标文件的制作和签章、加密</w:t>
      </w:r>
    </w:p>
    <w:p>
      <w:pPr>
        <w:tabs>
          <w:tab w:val="left" w:pos="7665"/>
        </w:tabs>
        <w:spacing w:line="400" w:lineRule="exact"/>
        <w:ind w:left="12" w:leftChars="6" w:firstLine="364" w:firstLineChars="15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17.1 本项目实行电子投标。投标人应先安装“政采云投标客户端”。（政府采购云平台—CA管理—绑定CA—下载驱动—“政采云投标客户端”立即下载）。投标人应按招标文件要求，通过“政采云投标客户端”制作、加密并提交投标文件。</w:t>
      </w:r>
      <w:r>
        <w:rPr>
          <w:rFonts w:hint="eastAsia" w:ascii="新宋体" w:hAnsi="新宋体" w:eastAsia="新宋体" w:cs="新宋体"/>
          <w:b/>
          <w:bCs/>
          <w:color w:val="auto"/>
          <w:sz w:val="24"/>
          <w:highlight w:val="none"/>
        </w:rPr>
        <w:t>（实质性要求）</w:t>
      </w:r>
    </w:p>
    <w:p>
      <w:pPr>
        <w:tabs>
          <w:tab w:val="left" w:pos="7665"/>
        </w:tabs>
        <w:spacing w:line="400" w:lineRule="exact"/>
        <w:ind w:left="12" w:leftChars="6" w:firstLine="364" w:firstLineChars="15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17.2 投标文件每页均应加盖投标人（法定名称）电子签章，不得使用投标人专用章（如经济合同章、投标专用章等）或下属单位印章代替。（实质性要求）</w:t>
      </w:r>
    </w:p>
    <w:p>
      <w:pPr>
        <w:tabs>
          <w:tab w:val="left" w:pos="7665"/>
        </w:tabs>
        <w:spacing w:line="400" w:lineRule="exact"/>
        <w:ind w:left="12" w:leftChars="6" w:firstLine="364" w:firstLineChars="15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17.3 投标人应使用本企业CA数字证书对投标文件进行加密。</w:t>
      </w:r>
      <w:r>
        <w:rPr>
          <w:rFonts w:hint="eastAsia" w:ascii="新宋体" w:hAnsi="新宋体" w:eastAsia="新宋体" w:cs="新宋体"/>
          <w:b/>
          <w:bCs/>
          <w:color w:val="auto"/>
          <w:sz w:val="24"/>
          <w:highlight w:val="none"/>
        </w:rPr>
        <w:t>（实质性要求）</w:t>
      </w:r>
    </w:p>
    <w:p>
      <w:pPr>
        <w:tabs>
          <w:tab w:val="left" w:pos="7665"/>
        </w:tabs>
        <w:spacing w:line="400" w:lineRule="exact"/>
        <w:ind w:left="12" w:leftChars="6" w:firstLine="364" w:firstLineChars="15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17.4 招标文件若有修改，投标人根据修改后的招标文件制作或修改并递交投标文件。</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17.5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spacing w:line="360" w:lineRule="auto"/>
        <w:rPr>
          <w:rFonts w:hint="eastAsia" w:ascii="新宋体" w:hAnsi="新宋体" w:eastAsia="新宋体" w:cs="新宋体"/>
          <w:b/>
          <w:bCs/>
          <w:color w:val="auto"/>
          <w:sz w:val="24"/>
          <w:highlight w:val="none"/>
        </w:rPr>
      </w:pPr>
      <w:bookmarkStart w:id="105" w:name="_Toc183582227"/>
      <w:bookmarkStart w:id="106" w:name="_Toc183682364"/>
      <w:bookmarkStart w:id="107" w:name="_Toc496688927"/>
      <w:bookmarkStart w:id="108" w:name="_Toc308164804"/>
      <w:bookmarkStart w:id="109" w:name="_Toc217446054"/>
      <w:r>
        <w:rPr>
          <w:rFonts w:hint="eastAsia" w:ascii="新宋体" w:hAnsi="新宋体" w:eastAsia="新宋体" w:cs="新宋体"/>
          <w:b/>
          <w:bCs/>
          <w:color w:val="auto"/>
          <w:sz w:val="24"/>
          <w:highlight w:val="none"/>
        </w:rPr>
        <w:t>18．投标文件的</w:t>
      </w:r>
      <w:bookmarkEnd w:id="105"/>
      <w:bookmarkEnd w:id="106"/>
      <w:r>
        <w:rPr>
          <w:rFonts w:hint="eastAsia" w:ascii="新宋体" w:hAnsi="新宋体" w:eastAsia="新宋体" w:cs="新宋体"/>
          <w:b/>
          <w:bCs/>
          <w:color w:val="auto"/>
          <w:sz w:val="24"/>
          <w:highlight w:val="none"/>
        </w:rPr>
        <w:t>递交</w:t>
      </w:r>
      <w:bookmarkEnd w:id="107"/>
      <w:bookmarkEnd w:id="108"/>
      <w:bookmarkEnd w:id="109"/>
    </w:p>
    <w:p>
      <w:pPr>
        <w:tabs>
          <w:tab w:val="left" w:pos="1095"/>
        </w:tabs>
        <w:spacing w:line="400" w:lineRule="exact"/>
        <w:ind w:firstLine="465" w:firstLineChars="192"/>
        <w:rPr>
          <w:rFonts w:hint="eastAsia" w:ascii="新宋体" w:hAnsi="新宋体" w:eastAsia="新宋体" w:cs="新宋体"/>
          <w:color w:val="auto"/>
          <w:sz w:val="24"/>
          <w:highlight w:val="none"/>
        </w:rPr>
      </w:pPr>
      <w:bookmarkStart w:id="110" w:name="_Toc217446055"/>
      <w:bookmarkStart w:id="111" w:name="_Toc183682365"/>
      <w:bookmarkStart w:id="112" w:name="_Toc183582228"/>
      <w:r>
        <w:rPr>
          <w:rFonts w:hint="eastAsia" w:ascii="新宋体" w:hAnsi="新宋体" w:eastAsia="新宋体" w:cs="新宋体"/>
          <w:color w:val="auto"/>
          <w:sz w:val="24"/>
          <w:highlight w:val="none"/>
        </w:rPr>
        <w:t>18.1 投标人应当在投标文件递交截止时间前，将生成的已加密的电子投标文件成功递交至“政府采购云平台”。</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18.2投标人应充分考虑递交文件的不可预见因素，在投标截止时间后将无法递交。</w:t>
      </w:r>
    </w:p>
    <w:p>
      <w:pPr>
        <w:spacing w:line="360" w:lineRule="auto"/>
        <w:rPr>
          <w:rFonts w:hint="eastAsia" w:ascii="新宋体" w:hAnsi="新宋体" w:eastAsia="新宋体" w:cs="新宋体"/>
          <w:b/>
          <w:bCs/>
          <w:color w:val="auto"/>
          <w:sz w:val="24"/>
          <w:highlight w:val="none"/>
        </w:rPr>
      </w:pPr>
      <w:bookmarkStart w:id="113" w:name="_Toc496688928"/>
      <w:r>
        <w:rPr>
          <w:rFonts w:hint="eastAsia" w:ascii="新宋体" w:hAnsi="新宋体" w:eastAsia="新宋体" w:cs="新宋体"/>
          <w:b/>
          <w:bCs/>
          <w:color w:val="auto"/>
          <w:sz w:val="24"/>
          <w:highlight w:val="none"/>
        </w:rPr>
        <w:t>19.投标文件的</w:t>
      </w:r>
      <w:bookmarkEnd w:id="110"/>
      <w:bookmarkEnd w:id="111"/>
      <w:bookmarkEnd w:id="112"/>
      <w:bookmarkEnd w:id="113"/>
      <w:bookmarkStart w:id="114" w:name="_Toc217446056"/>
      <w:bookmarkStart w:id="115" w:name="_Toc308164805"/>
      <w:bookmarkStart w:id="116" w:name="_Toc77400782"/>
      <w:bookmarkStart w:id="117" w:name="_Toc183582231"/>
      <w:bookmarkStart w:id="118" w:name="_Toc183682368"/>
      <w:bookmarkStart w:id="119" w:name="_Toc496688929"/>
      <w:bookmarkStart w:id="120" w:name="_Toc89075878"/>
      <w:r>
        <w:rPr>
          <w:rFonts w:hint="eastAsia" w:ascii="新宋体" w:hAnsi="新宋体" w:eastAsia="新宋体" w:cs="新宋体"/>
          <w:b/>
          <w:bCs/>
          <w:color w:val="auto"/>
          <w:sz w:val="24"/>
          <w:highlight w:val="none"/>
        </w:rPr>
        <w:t>补充、修改或撤回</w:t>
      </w:r>
    </w:p>
    <w:p>
      <w:pPr>
        <w:spacing w:line="400" w:lineRule="exact"/>
        <w:ind w:firstLine="475" w:firstLineChars="196"/>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19.1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line="400" w:lineRule="exact"/>
        <w:ind w:firstLine="475" w:firstLineChars="196"/>
        <w:outlineLvl w:val="2"/>
        <w:rPr>
          <w:rFonts w:hint="eastAsia" w:ascii="新宋体" w:hAnsi="新宋体" w:eastAsia="新宋体" w:cs="新宋体"/>
          <w:b/>
          <w:bCs/>
          <w:color w:val="auto"/>
          <w:sz w:val="24"/>
          <w:highlight w:val="none"/>
        </w:rPr>
      </w:pPr>
      <w:r>
        <w:rPr>
          <w:rFonts w:hint="eastAsia" w:ascii="新宋体" w:hAnsi="新宋体" w:eastAsia="新宋体" w:cs="新宋体"/>
          <w:color w:val="auto"/>
          <w:sz w:val="24"/>
          <w:highlight w:val="none"/>
        </w:rPr>
        <w:t>19.2投标截止时间后，投标人不得对其递交的投标文件做任何补充、修改。</w:t>
      </w:r>
      <w:r>
        <w:rPr>
          <w:rFonts w:hint="eastAsia" w:ascii="新宋体" w:hAnsi="新宋体" w:eastAsia="新宋体" w:cs="新宋体"/>
          <w:b/>
          <w:bCs/>
          <w:color w:val="auto"/>
          <w:sz w:val="24"/>
          <w:highlight w:val="none"/>
        </w:rPr>
        <w:t>20.投标文件的解密</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4"/>
        <w:spacing w:line="360" w:lineRule="auto"/>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五、开标和中标</w:t>
      </w:r>
      <w:bookmarkEnd w:id="114"/>
      <w:bookmarkEnd w:id="115"/>
      <w:bookmarkEnd w:id="116"/>
      <w:bookmarkEnd w:id="117"/>
      <w:bookmarkEnd w:id="118"/>
      <w:bookmarkEnd w:id="119"/>
      <w:bookmarkEnd w:id="120"/>
    </w:p>
    <w:p>
      <w:pPr>
        <w:pStyle w:val="5"/>
        <w:spacing w:line="400" w:lineRule="exact"/>
        <w:rPr>
          <w:rFonts w:hint="eastAsia" w:ascii="新宋体" w:hAnsi="新宋体" w:eastAsia="新宋体" w:cs="新宋体"/>
          <w:bCs w:val="0"/>
          <w:color w:val="auto"/>
          <w:sz w:val="24"/>
          <w:highlight w:val="none"/>
        </w:rPr>
      </w:pPr>
      <w:bookmarkStart w:id="121" w:name="_Toc183582232"/>
      <w:bookmarkStart w:id="122" w:name="_Toc308164806"/>
      <w:bookmarkStart w:id="123" w:name="_Toc183682369"/>
      <w:bookmarkStart w:id="124" w:name="_Toc217446057"/>
      <w:r>
        <w:rPr>
          <w:rFonts w:hint="eastAsia" w:ascii="新宋体" w:hAnsi="新宋体" w:eastAsia="新宋体" w:cs="新宋体"/>
          <w:bCs w:val="0"/>
          <w:color w:val="auto"/>
          <w:sz w:val="24"/>
          <w:highlight w:val="none"/>
        </w:rPr>
        <w:t>21．开标</w:t>
      </w:r>
      <w:bookmarkEnd w:id="121"/>
      <w:bookmarkEnd w:id="122"/>
      <w:bookmarkEnd w:id="123"/>
      <w:bookmarkEnd w:id="124"/>
      <w:r>
        <w:rPr>
          <w:rFonts w:hint="eastAsia" w:ascii="新宋体" w:hAnsi="新宋体" w:eastAsia="新宋体" w:cs="新宋体"/>
          <w:bCs w:val="0"/>
          <w:color w:val="auto"/>
          <w:sz w:val="24"/>
          <w:highlight w:val="none"/>
        </w:rPr>
        <w:t>及开标程序</w:t>
      </w:r>
    </w:p>
    <w:p>
      <w:pPr>
        <w:ind w:firstLine="486" w:firstLineChars="200"/>
        <w:rPr>
          <w:rFonts w:hint="eastAsia" w:ascii="新宋体" w:hAnsi="新宋体" w:eastAsia="新宋体" w:cs="新宋体"/>
          <w:color w:val="auto"/>
          <w:highlight w:val="none"/>
        </w:rPr>
      </w:pPr>
      <w:r>
        <w:rPr>
          <w:rFonts w:hint="eastAsia" w:ascii="新宋体" w:hAnsi="新宋体" w:eastAsia="新宋体" w:cs="新宋体"/>
          <w:color w:val="auto"/>
          <w:sz w:val="24"/>
          <w:highlight w:val="none"/>
        </w:rPr>
        <w:t>21.1本项目为不见面开标项目。（递交电子投标文件的投标人不足3家的，不予开标。）</w:t>
      </w:r>
    </w:p>
    <w:p>
      <w:pPr>
        <w:spacing w:before="120" w:line="400" w:lineRule="exact"/>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21.2开标准备工作。投标人需在开标当日、投标截止时间前登录“政府采购云平台”，通过本项目“开标大厅”参与不见面开标。登录政府采购云平台—项目采购—开标评标—开标大厅（确保进入本项目开标大厅）。</w:t>
      </w:r>
    </w:p>
    <w:p>
      <w:pPr>
        <w:spacing w:before="120" w:line="400" w:lineRule="exact"/>
        <w:ind w:firstLine="486" w:firstLineChars="20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提示：投标人未按时登录不见面开标系统，错过开标解密时间的，由投标人自行承担不利后果。</w:t>
      </w:r>
    </w:p>
    <w:p>
      <w:pPr>
        <w:spacing w:before="120" w:line="400" w:lineRule="exact"/>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21.3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spacing w:before="120" w:line="400" w:lineRule="exact"/>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21.4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pacing w:before="120" w:line="400" w:lineRule="exact"/>
        <w:ind w:firstLine="486" w:firstLineChars="200"/>
        <w:rPr>
          <w:rFonts w:hint="eastAsia" w:ascii="新宋体" w:hAnsi="新宋体" w:eastAsia="新宋体" w:cs="新宋体"/>
          <w:color w:val="auto"/>
          <w:sz w:val="24"/>
          <w:highlight w:val="none"/>
        </w:rPr>
      </w:pPr>
      <w:bookmarkStart w:id="125" w:name="_Toc217446058"/>
      <w:bookmarkStart w:id="126" w:name="_Toc308164807"/>
      <w:r>
        <w:rPr>
          <w:rFonts w:hint="eastAsia" w:ascii="新宋体" w:hAnsi="新宋体" w:eastAsia="新宋体" w:cs="新宋体"/>
          <w:color w:val="auto"/>
          <w:sz w:val="24"/>
          <w:highlight w:val="none"/>
        </w:rPr>
        <w:t>21.5投标人电脑终端等硬件设备和软件系统配置：投标人电脑终端等硬件设备和软件系统配置应符合电子投标（含不见面开标大厅）投标人电脑终端配置要求并运行正常，投标人承担因未尽职责产生的不利后果。</w:t>
      </w:r>
    </w:p>
    <w:p>
      <w:pPr>
        <w:ind w:firstLine="486" w:firstLineChars="200"/>
        <w:rPr>
          <w:rFonts w:hint="eastAsia" w:ascii="新宋体" w:hAnsi="新宋体" w:eastAsia="新宋体" w:cs="新宋体"/>
          <w:color w:val="auto"/>
          <w:highlight w:val="none"/>
        </w:rPr>
      </w:pPr>
      <w:r>
        <w:rPr>
          <w:rFonts w:hint="eastAsia" w:ascii="新宋体" w:hAnsi="新宋体" w:eastAsia="新宋体" w:cs="新宋体"/>
          <w:color w:val="auto"/>
          <w:sz w:val="24"/>
          <w:highlight w:val="none"/>
        </w:rPr>
        <w:t>21.6因断电、断网、系统故障或其他不可抗力等因素导致不见面开标系统无法正常运行的，开标活动中止或延迟，待系统恢复正常后继续进行开标活动。</w:t>
      </w:r>
    </w:p>
    <w:p>
      <w:pPr>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21.7不见面开标过程中，各方主体均应遵守互联网有关规定，不得发表与交易活动无关的言论。</w:t>
      </w:r>
      <w:bookmarkEnd w:id="125"/>
      <w:bookmarkEnd w:id="126"/>
    </w:p>
    <w:p>
      <w:pPr>
        <w:spacing w:line="360" w:lineRule="auto"/>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22．开评标过程存档</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开标和评标过程进行全过程电子监控，并将电子监控资料存储介质留存归档。</w:t>
      </w:r>
    </w:p>
    <w:p>
      <w:pPr>
        <w:spacing w:line="360" w:lineRule="auto"/>
        <w:rPr>
          <w:rFonts w:hint="eastAsia" w:ascii="新宋体" w:hAnsi="新宋体" w:eastAsia="新宋体" w:cs="新宋体"/>
          <w:b/>
          <w:bCs/>
          <w:color w:val="auto"/>
          <w:sz w:val="24"/>
          <w:highlight w:val="none"/>
        </w:rPr>
      </w:pPr>
      <w:bookmarkStart w:id="127" w:name="_Toc183682375"/>
      <w:bookmarkStart w:id="128" w:name="_Toc183582238"/>
      <w:bookmarkStart w:id="129" w:name="_Toc308164809"/>
      <w:bookmarkStart w:id="130" w:name="_Toc217446063"/>
      <w:r>
        <w:rPr>
          <w:rFonts w:hint="eastAsia" w:ascii="新宋体" w:hAnsi="新宋体" w:eastAsia="新宋体" w:cs="新宋体"/>
          <w:b/>
          <w:bCs/>
          <w:color w:val="auto"/>
          <w:sz w:val="24"/>
          <w:highlight w:val="none"/>
        </w:rPr>
        <w:t>23.评标情况公告</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评审情况包括供应商投标文件资格性、符合性检查情况、综合评分法的总得分和分项汇总得分、评标结果等。</w:t>
      </w:r>
    </w:p>
    <w:p>
      <w:pPr>
        <w:pStyle w:val="5"/>
        <w:spacing w:before="0" w:after="0" w:line="400" w:lineRule="exact"/>
        <w:jc w:val="left"/>
        <w:rPr>
          <w:rFonts w:hint="eastAsia" w:ascii="新宋体" w:hAnsi="新宋体" w:eastAsia="新宋体" w:cs="新宋体"/>
          <w:color w:val="auto"/>
          <w:sz w:val="24"/>
          <w:highlight w:val="none"/>
        </w:rPr>
      </w:pPr>
      <w:bookmarkStart w:id="131" w:name="_Toc496688931"/>
      <w:r>
        <w:rPr>
          <w:rFonts w:hint="eastAsia" w:ascii="新宋体" w:hAnsi="新宋体" w:eastAsia="新宋体" w:cs="新宋体"/>
          <w:color w:val="auto"/>
          <w:sz w:val="24"/>
          <w:highlight w:val="none"/>
        </w:rPr>
        <w:t>24.采购人确定中标人过程中，发现中标候选人有下列情形之一的，应当不予确定其为中标人：</w:t>
      </w:r>
    </w:p>
    <w:p>
      <w:pPr>
        <w:pStyle w:val="4"/>
        <w:keepNext w:val="0"/>
        <w:keepLines w:val="0"/>
        <w:spacing w:before="0" w:after="0" w:line="400" w:lineRule="exact"/>
        <w:ind w:firstLine="121" w:firstLineChars="50"/>
        <w:rPr>
          <w:rFonts w:hint="eastAsia" w:ascii="新宋体" w:hAnsi="新宋体" w:eastAsia="新宋体" w:cs="新宋体"/>
          <w:b w:val="0"/>
          <w:color w:val="auto"/>
          <w:sz w:val="24"/>
          <w:szCs w:val="24"/>
          <w:highlight w:val="none"/>
        </w:rPr>
      </w:pPr>
      <w:r>
        <w:rPr>
          <w:rFonts w:hint="eastAsia" w:ascii="新宋体" w:hAnsi="新宋体" w:eastAsia="新宋体" w:cs="新宋体"/>
          <w:b w:val="0"/>
          <w:color w:val="auto"/>
          <w:sz w:val="24"/>
          <w:szCs w:val="24"/>
          <w:highlight w:val="none"/>
        </w:rPr>
        <w:t>（1）发现中标候选人存在禁止参加本项目采购活动的违法行为的；</w:t>
      </w:r>
    </w:p>
    <w:p>
      <w:pPr>
        <w:pStyle w:val="4"/>
        <w:keepNext w:val="0"/>
        <w:keepLines w:val="0"/>
        <w:spacing w:before="0" w:after="0" w:line="400" w:lineRule="exact"/>
        <w:ind w:firstLine="121" w:firstLineChars="50"/>
        <w:rPr>
          <w:rFonts w:hint="eastAsia" w:ascii="新宋体" w:hAnsi="新宋体" w:eastAsia="新宋体" w:cs="新宋体"/>
          <w:b w:val="0"/>
          <w:color w:val="auto"/>
          <w:sz w:val="24"/>
          <w:szCs w:val="24"/>
          <w:highlight w:val="none"/>
        </w:rPr>
      </w:pPr>
      <w:r>
        <w:rPr>
          <w:rFonts w:hint="eastAsia" w:ascii="新宋体" w:hAnsi="新宋体" w:eastAsia="新宋体" w:cs="新宋体"/>
          <w:b w:val="0"/>
          <w:color w:val="auto"/>
          <w:sz w:val="24"/>
          <w:szCs w:val="24"/>
          <w:highlight w:val="none"/>
        </w:rPr>
        <w:t>（2）中标候选人因不可抗力，不能继续参加政府采购活动；</w:t>
      </w:r>
    </w:p>
    <w:p>
      <w:pPr>
        <w:pStyle w:val="4"/>
        <w:keepNext w:val="0"/>
        <w:keepLines w:val="0"/>
        <w:spacing w:before="0" w:after="0" w:line="400" w:lineRule="exact"/>
        <w:ind w:firstLine="121" w:firstLineChars="50"/>
        <w:rPr>
          <w:rFonts w:hint="eastAsia" w:ascii="新宋体" w:hAnsi="新宋体" w:eastAsia="新宋体" w:cs="新宋体"/>
          <w:b w:val="0"/>
          <w:color w:val="auto"/>
          <w:sz w:val="24"/>
          <w:szCs w:val="24"/>
          <w:highlight w:val="none"/>
        </w:rPr>
      </w:pPr>
      <w:r>
        <w:rPr>
          <w:rFonts w:hint="eastAsia" w:ascii="新宋体" w:hAnsi="新宋体" w:eastAsia="新宋体" w:cs="新宋体"/>
          <w:b w:val="0"/>
          <w:color w:val="auto"/>
          <w:sz w:val="24"/>
          <w:szCs w:val="24"/>
          <w:highlight w:val="none"/>
        </w:rPr>
        <w:t>（3）中标候选人无偿赠与或者低于成本价竞争；</w:t>
      </w:r>
    </w:p>
    <w:p>
      <w:pPr>
        <w:pStyle w:val="4"/>
        <w:keepNext w:val="0"/>
        <w:keepLines w:val="0"/>
        <w:spacing w:before="0" w:after="0" w:line="400" w:lineRule="exact"/>
        <w:ind w:firstLine="121" w:firstLineChars="50"/>
        <w:rPr>
          <w:rFonts w:hint="eastAsia" w:ascii="新宋体" w:hAnsi="新宋体" w:eastAsia="新宋体" w:cs="新宋体"/>
          <w:b w:val="0"/>
          <w:color w:val="auto"/>
          <w:sz w:val="24"/>
          <w:szCs w:val="24"/>
          <w:highlight w:val="none"/>
        </w:rPr>
      </w:pPr>
      <w:r>
        <w:rPr>
          <w:rFonts w:hint="eastAsia" w:ascii="新宋体" w:hAnsi="新宋体" w:eastAsia="新宋体" w:cs="新宋体"/>
          <w:b w:val="0"/>
          <w:color w:val="auto"/>
          <w:sz w:val="24"/>
          <w:szCs w:val="24"/>
          <w:highlight w:val="none"/>
        </w:rPr>
        <w:t>（4）中标候选人提供虚假材料；</w:t>
      </w:r>
    </w:p>
    <w:p>
      <w:pPr>
        <w:pStyle w:val="4"/>
        <w:keepNext w:val="0"/>
        <w:keepLines w:val="0"/>
        <w:spacing w:before="0" w:after="0" w:line="400" w:lineRule="exact"/>
        <w:ind w:firstLine="121" w:firstLineChars="50"/>
        <w:rPr>
          <w:rFonts w:hint="eastAsia" w:ascii="新宋体" w:hAnsi="新宋体" w:eastAsia="新宋体" w:cs="新宋体"/>
          <w:b w:val="0"/>
          <w:color w:val="auto"/>
          <w:sz w:val="24"/>
          <w:szCs w:val="24"/>
          <w:highlight w:val="none"/>
        </w:rPr>
      </w:pPr>
      <w:r>
        <w:rPr>
          <w:rFonts w:hint="eastAsia" w:ascii="新宋体" w:hAnsi="新宋体" w:eastAsia="新宋体" w:cs="新宋体"/>
          <w:b w:val="0"/>
          <w:color w:val="auto"/>
          <w:sz w:val="24"/>
          <w:szCs w:val="24"/>
          <w:highlight w:val="none"/>
        </w:rPr>
        <w:t>（5）中标候选人恶意串通。</w:t>
      </w:r>
    </w:p>
    <w:p>
      <w:pPr>
        <w:spacing w:line="360" w:lineRule="auto"/>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25.中标通知</w:t>
      </w:r>
      <w:bookmarkEnd w:id="127"/>
      <w:bookmarkEnd w:id="128"/>
      <w:r>
        <w:rPr>
          <w:rFonts w:hint="eastAsia" w:ascii="新宋体" w:hAnsi="新宋体" w:eastAsia="新宋体" w:cs="新宋体"/>
          <w:b/>
          <w:bCs/>
          <w:color w:val="auto"/>
          <w:sz w:val="24"/>
          <w:highlight w:val="none"/>
        </w:rPr>
        <w:t>书</w:t>
      </w:r>
      <w:bookmarkEnd w:id="129"/>
      <w:bookmarkEnd w:id="130"/>
      <w:bookmarkEnd w:id="131"/>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25.1 中标通知书为签订政府采购合同的依据之一，是合同的有效组成部分。</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25.2 中标通知书对采购人和中标人均具有法律效力。中标通知书发出后，采购人改变中标结果，或者中标人无正当理由放弃中标的，应当承担相应的法律责任。</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25.3中标人的投标文件本应作为无效投标处理或者有政府采购法律法规规章制度规定的中标无效情形的，招标采购单位在取得有权主体的认定以后，将宣布发出的中标通知书无效。</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25.4</w:t>
      </w:r>
      <w:r>
        <w:rPr>
          <w:rFonts w:hint="eastAsia" w:ascii="新宋体" w:hAnsi="新宋体" w:eastAsia="新宋体" w:cs="新宋体"/>
          <w:color w:val="auto"/>
          <w:sz w:val="24"/>
          <w:highlight w:val="none"/>
          <w:lang w:val="zh-CN"/>
        </w:rPr>
        <w:t>在四川政府采购网公告中标结果同时发出中标通知书，中标供应商自行登录政府采购云平台下载中标通知书</w:t>
      </w:r>
      <w:r>
        <w:rPr>
          <w:rFonts w:hint="eastAsia" w:ascii="新宋体" w:hAnsi="新宋体" w:eastAsia="新宋体" w:cs="新宋体"/>
          <w:color w:val="auto"/>
          <w:sz w:val="24"/>
          <w:highlight w:val="none"/>
        </w:rPr>
        <w:t>。</w:t>
      </w:r>
    </w:p>
    <w:p>
      <w:pPr>
        <w:pStyle w:val="4"/>
        <w:spacing w:line="360" w:lineRule="auto"/>
        <w:jc w:val="center"/>
        <w:rPr>
          <w:rFonts w:hint="eastAsia" w:ascii="新宋体" w:hAnsi="新宋体" w:eastAsia="新宋体" w:cs="新宋体"/>
          <w:color w:val="auto"/>
          <w:sz w:val="28"/>
          <w:szCs w:val="28"/>
          <w:highlight w:val="none"/>
        </w:rPr>
      </w:pPr>
      <w:bookmarkStart w:id="132" w:name="_Toc217446064"/>
      <w:bookmarkStart w:id="133" w:name="_Toc308164810"/>
      <w:bookmarkStart w:id="134" w:name="_Toc496688932"/>
      <w:bookmarkStart w:id="135" w:name="_Toc183582240"/>
      <w:bookmarkStart w:id="136" w:name="_Toc183682377"/>
      <w:r>
        <w:rPr>
          <w:rFonts w:hint="eastAsia" w:ascii="新宋体" w:hAnsi="新宋体" w:eastAsia="新宋体" w:cs="新宋体"/>
          <w:color w:val="auto"/>
          <w:sz w:val="28"/>
          <w:szCs w:val="28"/>
          <w:highlight w:val="none"/>
        </w:rPr>
        <w:t>六、签订及履行合同和验收</w:t>
      </w:r>
      <w:bookmarkEnd w:id="132"/>
      <w:bookmarkEnd w:id="133"/>
      <w:bookmarkEnd w:id="134"/>
    </w:p>
    <w:p>
      <w:pPr>
        <w:spacing w:line="360" w:lineRule="auto"/>
        <w:rPr>
          <w:rFonts w:hint="eastAsia" w:ascii="新宋体" w:hAnsi="新宋体" w:eastAsia="新宋体" w:cs="新宋体"/>
          <w:b/>
          <w:bCs/>
          <w:color w:val="auto"/>
          <w:sz w:val="24"/>
          <w:highlight w:val="none"/>
        </w:rPr>
      </w:pPr>
      <w:bookmarkStart w:id="137" w:name="_Toc308164811"/>
      <w:bookmarkStart w:id="138" w:name="_Toc496688933"/>
      <w:bookmarkStart w:id="139" w:name="_Toc217446065"/>
      <w:r>
        <w:rPr>
          <w:rFonts w:hint="eastAsia" w:ascii="新宋体" w:hAnsi="新宋体" w:eastAsia="新宋体" w:cs="新宋体"/>
          <w:b/>
          <w:bCs/>
          <w:color w:val="auto"/>
          <w:sz w:val="24"/>
          <w:highlight w:val="none"/>
        </w:rPr>
        <w:t>26. 签订合同</w:t>
      </w:r>
      <w:bookmarkEnd w:id="137"/>
      <w:bookmarkEnd w:id="138"/>
      <w:bookmarkEnd w:id="139"/>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26.1 中标人应在中标通知书发出之日起三十日内与采购人签订采购合同。由于中标人的原因逾期未与采购人签订采购合同的，将视为放弃中标，取消其中标资格并将按相关规定进行处理。</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26.2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26.3 中标人拒绝与采购人签订合同的，采购人可以按照评审报告推荐的中标候选人名单排序，确定下一候选人为中标供应商，也可以重新开展政府采购活动。</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26.4中标人因不可抗力原因不能履行采购合同或放弃中标的，采购人可以与排在中标人之后第一位的中标候选人签订采购合同，以此类推。</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26.5中标人在合同签订之后三个工作日内，将签订的合同（一式壹份）送四川成化工程项目管理有限公司留存。中标人应及时到四川成化工程项目管理有限公司办理。（详见须知附表中联系方式）</w:t>
      </w:r>
    </w:p>
    <w:p>
      <w:pPr>
        <w:spacing w:line="360" w:lineRule="auto"/>
        <w:rPr>
          <w:rFonts w:hint="eastAsia" w:ascii="新宋体" w:hAnsi="新宋体" w:eastAsia="新宋体" w:cs="新宋体"/>
          <w:b/>
          <w:bCs/>
          <w:color w:val="auto"/>
          <w:sz w:val="24"/>
          <w:highlight w:val="none"/>
        </w:rPr>
      </w:pPr>
      <w:bookmarkStart w:id="140" w:name="_Toc496688934"/>
      <w:r>
        <w:rPr>
          <w:rFonts w:hint="eastAsia" w:ascii="新宋体" w:hAnsi="新宋体" w:eastAsia="新宋体" w:cs="新宋体"/>
          <w:b/>
          <w:bCs/>
          <w:color w:val="auto"/>
          <w:sz w:val="24"/>
          <w:highlight w:val="none"/>
        </w:rPr>
        <w:t>27. 合同分包（实质性要求）</w:t>
      </w:r>
      <w:bookmarkEnd w:id="140"/>
      <w:bookmarkStart w:id="141" w:name="_Toc496688935"/>
    </w:p>
    <w:p>
      <w:pPr>
        <w:spacing w:line="360" w:lineRule="auto"/>
        <w:rPr>
          <w:rFonts w:hint="eastAsia" w:ascii="新宋体" w:hAnsi="新宋体" w:eastAsia="新宋体" w:cs="新宋体"/>
          <w:b/>
          <w:bCs/>
          <w:color w:val="auto"/>
          <w:sz w:val="24"/>
          <w:highlight w:val="none"/>
        </w:rPr>
      </w:pPr>
      <w:r>
        <w:rPr>
          <w:rFonts w:hint="eastAsia" w:ascii="新宋体" w:hAnsi="新宋体" w:eastAsia="新宋体" w:cs="新宋体"/>
          <w:color w:val="auto"/>
          <w:sz w:val="24"/>
          <w:highlight w:val="none"/>
        </w:rPr>
        <w:t xml:space="preserve">    27.1 本项目合同接受分包与否，以“投标人须知附表”勾选项为准。</w:t>
      </w:r>
    </w:p>
    <w:p>
      <w:pPr>
        <w:spacing w:line="360" w:lineRule="auto"/>
        <w:rPr>
          <w:rFonts w:hint="eastAsia" w:ascii="新宋体" w:hAnsi="新宋体" w:eastAsia="新宋体" w:cs="新宋体"/>
          <w:b/>
          <w:bCs/>
          <w:color w:val="auto"/>
          <w:sz w:val="24"/>
          <w:highlight w:val="none"/>
        </w:rPr>
      </w:pPr>
      <w:r>
        <w:rPr>
          <w:rFonts w:hint="eastAsia" w:ascii="新宋体" w:hAnsi="新宋体" w:eastAsia="新宋体" w:cs="新宋体"/>
          <w:color w:val="auto"/>
          <w:sz w:val="24"/>
          <w:highlight w:val="none"/>
        </w:rPr>
        <w:t xml:space="preserve">    27.2 采购合同实行分包履行的，中标人就采购项目和分包项目向采购人负责，分包供应商就分包项目承担责任。</w:t>
      </w:r>
    </w:p>
    <w:p>
      <w:pPr>
        <w:spacing w:line="400" w:lineRule="exact"/>
        <w:ind w:firstLine="546" w:firstLineChars="225"/>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27.3 中小企业依据《政府采购促进中小企业发展管理办法》（财库[2020]46号）规定的政策获取政府采购合同后，小型、微型企业不得分包或转包给大型、中型企业，中型企业不得分包或转包给大型企业。</w:t>
      </w: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b/>
          <w:bCs/>
          <w:color w:val="auto"/>
          <w:sz w:val="24"/>
          <w:highlight w:val="none"/>
        </w:rPr>
        <w:t>28.合同转包（实质性要求）</w:t>
      </w:r>
      <w:bookmarkEnd w:id="141"/>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中标人转包的，视同拒绝履行政府采购合同义务，将依法追究法律责任。</w:t>
      </w:r>
    </w:p>
    <w:p>
      <w:pPr>
        <w:spacing w:line="360" w:lineRule="auto"/>
        <w:rPr>
          <w:rFonts w:hint="eastAsia" w:ascii="新宋体" w:hAnsi="新宋体" w:eastAsia="新宋体" w:cs="新宋体"/>
          <w:b/>
          <w:bCs/>
          <w:color w:val="auto"/>
          <w:sz w:val="24"/>
          <w:highlight w:val="none"/>
        </w:rPr>
      </w:pPr>
      <w:bookmarkStart w:id="142" w:name="_Toc217446066"/>
      <w:bookmarkStart w:id="143" w:name="_Toc496688936"/>
      <w:r>
        <w:rPr>
          <w:rFonts w:hint="eastAsia" w:ascii="新宋体" w:hAnsi="新宋体" w:eastAsia="新宋体" w:cs="新宋体"/>
          <w:b/>
          <w:bCs/>
          <w:color w:val="auto"/>
          <w:sz w:val="24"/>
          <w:highlight w:val="none"/>
        </w:rPr>
        <w:t>29.</w:t>
      </w:r>
      <w:bookmarkEnd w:id="142"/>
      <w:r>
        <w:rPr>
          <w:rFonts w:hint="eastAsia" w:ascii="新宋体" w:hAnsi="新宋体" w:eastAsia="新宋体" w:cs="新宋体"/>
          <w:b/>
          <w:bCs/>
          <w:color w:val="auto"/>
          <w:sz w:val="24"/>
          <w:highlight w:val="none"/>
        </w:rPr>
        <w:t xml:space="preserve"> 补充合同</w:t>
      </w:r>
      <w:bookmarkEnd w:id="143"/>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360" w:lineRule="auto"/>
        <w:rPr>
          <w:rFonts w:hint="eastAsia" w:ascii="新宋体" w:hAnsi="新宋体" w:eastAsia="新宋体" w:cs="新宋体"/>
          <w:b/>
          <w:bCs/>
          <w:color w:val="auto"/>
          <w:sz w:val="24"/>
          <w:highlight w:val="none"/>
        </w:rPr>
      </w:pPr>
      <w:bookmarkStart w:id="144" w:name="_Toc308164812"/>
      <w:bookmarkStart w:id="145" w:name="_Toc217446068"/>
      <w:bookmarkStart w:id="146" w:name="_Toc496688937"/>
      <w:r>
        <w:rPr>
          <w:rFonts w:hint="eastAsia" w:ascii="新宋体" w:hAnsi="新宋体" w:eastAsia="新宋体" w:cs="新宋体"/>
          <w:b/>
          <w:bCs/>
          <w:color w:val="auto"/>
          <w:sz w:val="24"/>
          <w:highlight w:val="none"/>
        </w:rPr>
        <w:t>30. 履约保证金</w:t>
      </w:r>
      <w:bookmarkEnd w:id="144"/>
      <w:bookmarkEnd w:id="145"/>
      <w:r>
        <w:rPr>
          <w:rFonts w:hint="eastAsia" w:ascii="新宋体" w:hAnsi="新宋体" w:eastAsia="新宋体" w:cs="新宋体"/>
          <w:b/>
          <w:bCs/>
          <w:color w:val="auto"/>
          <w:sz w:val="24"/>
          <w:highlight w:val="none"/>
        </w:rPr>
        <w:t>（本项目不涉及）</w:t>
      </w:r>
      <w:bookmarkEnd w:id="146"/>
    </w:p>
    <w:p>
      <w:pPr>
        <w:spacing w:line="360" w:lineRule="auto"/>
        <w:ind w:firstLine="243" w:firstLineChars="100"/>
        <w:rPr>
          <w:rFonts w:hint="eastAsia" w:ascii="新宋体" w:hAnsi="新宋体" w:eastAsia="新宋体" w:cs="新宋体"/>
          <w:color w:val="auto"/>
          <w:sz w:val="24"/>
          <w:highlight w:val="none"/>
        </w:rPr>
      </w:pPr>
      <w:bookmarkStart w:id="147" w:name="_Toc496688938"/>
      <w:bookmarkStart w:id="148" w:name="_Toc308164813"/>
      <w:bookmarkStart w:id="149" w:name="_Toc217446069"/>
      <w:r>
        <w:rPr>
          <w:rFonts w:hint="eastAsia" w:ascii="新宋体" w:hAnsi="新宋体" w:eastAsia="新宋体" w:cs="新宋体"/>
          <w:color w:val="auto"/>
          <w:sz w:val="24"/>
          <w:highlight w:val="none"/>
        </w:rPr>
        <w:t>中标人应在合同签订之前交纳招标文件规定数额的履约保证金。</w:t>
      </w:r>
    </w:p>
    <w:p>
      <w:pPr>
        <w:spacing w:line="360" w:lineRule="auto"/>
        <w:ind w:firstLine="243" w:firstLineChars="1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如果中标人在规定的合同签订时间内，没有按照招标文件的规定交纳履约保证金，且又无正当理由的，将视为放弃中标。</w:t>
      </w:r>
    </w:p>
    <w:p>
      <w:pPr>
        <w:spacing w:line="360" w:lineRule="auto"/>
        <w:ind w:firstLine="243" w:firstLineChars="1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除采购人与中标人协商一致可以不缴纳履约保证金以外，中标人必须按要求足额缴纳履约保证金。</w:t>
      </w:r>
    </w:p>
    <w:p>
      <w:pPr>
        <w:spacing w:line="360" w:lineRule="auto"/>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31.合同公告</w:t>
      </w:r>
      <w:bookmarkEnd w:id="147"/>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采购人应当自政府采购合同签订之日起2个工作日内，将政府采购合同在省级以上人民政府财政部门指定的媒体上公告（四川政府采购网），但政府采购合同中涉及国家秘密、商业秘密的内容除外。</w:t>
      </w:r>
    </w:p>
    <w:p>
      <w:pPr>
        <w:spacing w:line="360" w:lineRule="auto"/>
        <w:rPr>
          <w:rFonts w:hint="eastAsia" w:ascii="新宋体" w:hAnsi="新宋体" w:eastAsia="新宋体" w:cs="新宋体"/>
          <w:b/>
          <w:bCs/>
          <w:color w:val="auto"/>
          <w:sz w:val="24"/>
          <w:highlight w:val="none"/>
        </w:rPr>
      </w:pPr>
      <w:bookmarkStart w:id="150" w:name="_Toc496688939"/>
      <w:r>
        <w:rPr>
          <w:rFonts w:hint="eastAsia" w:ascii="新宋体" w:hAnsi="新宋体" w:eastAsia="新宋体" w:cs="新宋体"/>
          <w:b/>
          <w:bCs/>
          <w:color w:val="auto"/>
          <w:sz w:val="24"/>
          <w:highlight w:val="none"/>
        </w:rPr>
        <w:t>32.合同备案</w:t>
      </w:r>
      <w:bookmarkEnd w:id="150"/>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采购人应当将政府采购合同副本自签订之日起七个工作日内通过政采云平台报同级财政部门备案。</w:t>
      </w:r>
    </w:p>
    <w:p>
      <w:pPr>
        <w:spacing w:line="360" w:lineRule="auto"/>
        <w:rPr>
          <w:rFonts w:hint="eastAsia" w:ascii="新宋体" w:hAnsi="新宋体" w:eastAsia="新宋体" w:cs="新宋体"/>
          <w:b/>
          <w:bCs/>
          <w:color w:val="auto"/>
          <w:sz w:val="24"/>
          <w:highlight w:val="none"/>
        </w:rPr>
      </w:pPr>
      <w:bookmarkStart w:id="151" w:name="_Toc496688940"/>
      <w:r>
        <w:rPr>
          <w:rFonts w:hint="eastAsia" w:ascii="新宋体" w:hAnsi="新宋体" w:eastAsia="新宋体" w:cs="新宋体"/>
          <w:b/>
          <w:bCs/>
          <w:color w:val="auto"/>
          <w:sz w:val="24"/>
          <w:highlight w:val="none"/>
        </w:rPr>
        <w:t>33. 履行合同</w:t>
      </w:r>
      <w:bookmarkEnd w:id="148"/>
      <w:bookmarkEnd w:id="149"/>
      <w:bookmarkEnd w:id="151"/>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33.1 中标人与采购人签订合同后，合同双方应严格执行合同条款，履行合同规定的义务，保证合同的顺利完成。</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33.2 在合同履行过程中，如发生合同纠纷，合同双方应按照《合同法》的有关规定进行处理。</w:t>
      </w:r>
    </w:p>
    <w:p>
      <w:pPr>
        <w:spacing w:line="360" w:lineRule="auto"/>
        <w:rPr>
          <w:rFonts w:hint="eastAsia" w:ascii="新宋体" w:hAnsi="新宋体" w:eastAsia="新宋体" w:cs="新宋体"/>
          <w:b/>
          <w:bCs/>
          <w:color w:val="auto"/>
          <w:sz w:val="24"/>
          <w:highlight w:val="none"/>
        </w:rPr>
      </w:pPr>
      <w:bookmarkStart w:id="152" w:name="_Toc217446070"/>
      <w:bookmarkStart w:id="153" w:name="_Toc496688941"/>
      <w:bookmarkStart w:id="154" w:name="_Toc308164814"/>
      <w:r>
        <w:rPr>
          <w:rFonts w:hint="eastAsia" w:ascii="新宋体" w:hAnsi="新宋体" w:eastAsia="新宋体" w:cs="新宋体"/>
          <w:b/>
          <w:bCs/>
          <w:color w:val="auto"/>
          <w:sz w:val="24"/>
          <w:highlight w:val="none"/>
        </w:rPr>
        <w:t>34.验收</w:t>
      </w:r>
      <w:bookmarkEnd w:id="152"/>
      <w:bookmarkEnd w:id="153"/>
      <w:bookmarkEnd w:id="154"/>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34.1本项目采购人及其委托的采购代理机构将严格按照政府采购相关法律法规以及《财政部关于进一步加强政府采购需求和履约验收管理的指导意见》（财库〔2016〕205号）的要求进行验收。</w:t>
      </w:r>
    </w:p>
    <w:p>
      <w:pPr>
        <w:spacing w:line="360" w:lineRule="auto"/>
        <w:ind w:firstLine="250" w:firstLineChars="103"/>
        <w:rPr>
          <w:rFonts w:hint="eastAsia" w:ascii="新宋体" w:hAnsi="新宋体" w:eastAsia="新宋体" w:cs="新宋体"/>
          <w:color w:val="auto"/>
          <w:highlight w:val="none"/>
        </w:rPr>
      </w:pPr>
      <w:r>
        <w:rPr>
          <w:rFonts w:hint="eastAsia" w:ascii="新宋体" w:hAnsi="新宋体" w:eastAsia="新宋体" w:cs="新宋体"/>
          <w:color w:val="auto"/>
          <w:sz w:val="24"/>
          <w:highlight w:val="none"/>
        </w:rPr>
        <w:t>34.2 验收结果不合格的，将不予支付采购资金，还可能会报告本项目同级财政部门按照政府采购法律法规等有关规定给予行政处罚或者以失信行为记入诚信档案。</w:t>
      </w:r>
    </w:p>
    <w:p>
      <w:pPr>
        <w:spacing w:line="360" w:lineRule="auto"/>
        <w:ind w:firstLine="250" w:firstLineChars="103"/>
        <w:rPr>
          <w:rFonts w:hint="eastAsia" w:ascii="新宋体" w:hAnsi="新宋体" w:eastAsia="新宋体" w:cs="新宋体"/>
          <w:color w:val="auto"/>
          <w:sz w:val="24"/>
          <w:highlight w:val="none"/>
        </w:rPr>
      </w:pPr>
      <w:bookmarkStart w:id="155" w:name="_Toc217446071"/>
      <w:r>
        <w:rPr>
          <w:rFonts w:hint="eastAsia" w:ascii="新宋体" w:hAnsi="新宋体" w:eastAsia="新宋体" w:cs="新宋体"/>
          <w:color w:val="auto"/>
          <w:sz w:val="24"/>
          <w:highlight w:val="none"/>
        </w:rPr>
        <w:t>34.3资金支付</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采购人将按照政府采购合同规定，及时向中标供应商支付采购资金。本项目采购资金付款方式详见第六章商务要求中付款方式。</w:t>
      </w:r>
    </w:p>
    <w:bookmarkEnd w:id="135"/>
    <w:bookmarkEnd w:id="136"/>
    <w:bookmarkEnd w:id="155"/>
    <w:p>
      <w:pPr>
        <w:pStyle w:val="4"/>
        <w:spacing w:line="360" w:lineRule="auto"/>
        <w:jc w:val="center"/>
        <w:rPr>
          <w:rFonts w:hint="eastAsia" w:ascii="新宋体" w:hAnsi="新宋体" w:eastAsia="新宋体" w:cs="新宋体"/>
          <w:color w:val="auto"/>
          <w:sz w:val="28"/>
          <w:szCs w:val="28"/>
          <w:highlight w:val="none"/>
        </w:rPr>
      </w:pPr>
      <w:bookmarkStart w:id="156" w:name="_Toc217446074"/>
      <w:bookmarkStart w:id="157" w:name="_Toc308164815"/>
      <w:bookmarkStart w:id="158" w:name="_Toc496688942"/>
      <w:bookmarkStart w:id="159" w:name="_Toc183582243"/>
      <w:bookmarkStart w:id="160" w:name="_Toc183682380"/>
      <w:r>
        <w:rPr>
          <w:rFonts w:hint="eastAsia" w:ascii="新宋体" w:hAnsi="新宋体" w:eastAsia="新宋体" w:cs="新宋体"/>
          <w:color w:val="auto"/>
          <w:sz w:val="28"/>
          <w:szCs w:val="28"/>
          <w:highlight w:val="none"/>
        </w:rPr>
        <w:t>七、投标纪律要求</w:t>
      </w:r>
      <w:bookmarkEnd w:id="156"/>
      <w:bookmarkEnd w:id="157"/>
      <w:bookmarkEnd w:id="158"/>
    </w:p>
    <w:p>
      <w:pPr>
        <w:spacing w:line="360" w:lineRule="auto"/>
        <w:rPr>
          <w:rFonts w:hint="eastAsia" w:ascii="新宋体" w:hAnsi="新宋体" w:eastAsia="新宋体" w:cs="新宋体"/>
          <w:b/>
          <w:bCs/>
          <w:color w:val="auto"/>
          <w:sz w:val="24"/>
          <w:highlight w:val="none"/>
        </w:rPr>
      </w:pPr>
      <w:bookmarkStart w:id="161" w:name="_Toc217446075"/>
      <w:bookmarkStart w:id="162" w:name="_Toc496688943"/>
      <w:bookmarkStart w:id="163" w:name="_Toc308164816"/>
      <w:r>
        <w:rPr>
          <w:rFonts w:hint="eastAsia" w:ascii="新宋体" w:hAnsi="新宋体" w:eastAsia="新宋体" w:cs="新宋体"/>
          <w:b/>
          <w:bCs/>
          <w:color w:val="auto"/>
          <w:sz w:val="24"/>
          <w:highlight w:val="none"/>
        </w:rPr>
        <w:t>35. 投标无效的情形</w:t>
      </w:r>
      <w:bookmarkEnd w:id="161"/>
      <w:bookmarkEnd w:id="162"/>
      <w:bookmarkEnd w:id="163"/>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投标人应当遵循公平竞争的原则，不得恶意串通，不得妨碍其他投标人的竞争行为，不得损害采购人或者其他投标人的合法权益。</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在评标过程中发现投标人有上述情形的，评标委员会应当认定其投标无效，并书面报告本级财政部门。</w:t>
      </w:r>
    </w:p>
    <w:p>
      <w:pPr>
        <w:spacing w:line="360" w:lineRule="auto"/>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36.1 投标人参加本项目投标不得有下列情形：</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（1）提供虚假材料谋取中标；</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（2）采取不正当手段诋毁、排挤其他投标人；</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（3）与招标采购单位、其他投标人恶意串通；</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（4）向招标采购单位、评标委员会成员行贿或者提供其他不正当利益；</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（5）在招标过程中与招标采购单位进行协商谈判；</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（6）中标或者成交后无正当理由拒不与采购人签订政府采购合同；</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（7）未按照采购文件确定的事项签订政府采购合同；</w:t>
      </w:r>
    </w:p>
    <w:p>
      <w:pPr>
        <w:spacing w:line="360" w:lineRule="auto"/>
        <w:ind w:firstLine="250" w:firstLineChars="103"/>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4"/>
          <w:highlight w:val="none"/>
        </w:rPr>
        <w:t>（8）将政府采购合同转包或者违规分包；</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（9）提供假冒伪劣产品；</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（10）擅自变更、中止或者终止政府采购合同；</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（11）拒绝有关部门的监督检查或者向监督检查部门提供虚假情况；</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（12）法律法规规定的其他情形。</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投标人有上述情形的，按照规定追究法律责任，具备（1）-（12）条情形之一的，同时将取消中标资格或者认定中标无效。</w:t>
      </w:r>
    </w:p>
    <w:p>
      <w:pPr>
        <w:spacing w:line="360" w:lineRule="auto"/>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36.2 投标人有下列情形之一的，视为投标人串通投标，其投标无效：</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（1）不同投标人的投标文件由同一单位或者个人编制；</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（2）不同投标人委托同一单位或者个人办理投标事宜；</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（3）不同投标人的投标文件载明的项目管理成员或者联系人员为同一人；</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（4）不同投标人的投标文件异常一致或者投标报价呈规律性差异；</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（5）不同投标人的投标文件相互混装。</w:t>
      </w:r>
    </w:p>
    <w:p>
      <w:pPr>
        <w:spacing w:line="360" w:lineRule="auto"/>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36.3 投标人存在下列情况之一的，投标无效：</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（1）投标文件未按招标文件要求签署、盖章的；</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（2）不具备招标文件中规定的资格要求的；</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（3）报价超过招标文件中规定的预算金额或者最高限价的；</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（4）投标文件含有采购人不能接受的附加条件的；</w:t>
      </w:r>
    </w:p>
    <w:p>
      <w:pPr>
        <w:spacing w:line="360" w:lineRule="auto"/>
        <w:ind w:firstLine="250"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（5）法律、法规和招标文件规定的其他无效情形。</w:t>
      </w:r>
    </w:p>
    <w:p>
      <w:pPr>
        <w:pStyle w:val="4"/>
        <w:spacing w:line="360" w:lineRule="auto"/>
        <w:jc w:val="center"/>
        <w:rPr>
          <w:rFonts w:hint="eastAsia" w:ascii="新宋体" w:hAnsi="新宋体" w:eastAsia="新宋体" w:cs="新宋体"/>
          <w:color w:val="auto"/>
          <w:sz w:val="28"/>
          <w:szCs w:val="28"/>
          <w:highlight w:val="none"/>
        </w:rPr>
      </w:pPr>
      <w:bookmarkStart w:id="164" w:name="_Toc496688944"/>
      <w:bookmarkStart w:id="165" w:name="_Toc308164819"/>
      <w:bookmarkStart w:id="166" w:name="_Toc217446078"/>
      <w:r>
        <w:rPr>
          <w:rFonts w:hint="eastAsia" w:ascii="新宋体" w:hAnsi="新宋体" w:eastAsia="新宋体" w:cs="新宋体"/>
          <w:color w:val="auto"/>
          <w:sz w:val="28"/>
          <w:szCs w:val="28"/>
          <w:highlight w:val="none"/>
        </w:rPr>
        <w:t>八、询问、质疑和投诉</w:t>
      </w:r>
      <w:bookmarkEnd w:id="164"/>
      <w:bookmarkEnd w:id="165"/>
      <w:bookmarkEnd w:id="166"/>
      <w:bookmarkStart w:id="167" w:name="_Toc217446079"/>
    </w:p>
    <w:bookmarkEnd w:id="159"/>
    <w:bookmarkEnd w:id="160"/>
    <w:bookmarkEnd w:id="167"/>
    <w:p>
      <w:pPr>
        <w:spacing w:line="360" w:lineRule="auto"/>
        <w:ind w:firstLine="250" w:firstLineChars="103"/>
        <w:rPr>
          <w:rFonts w:hint="eastAsia" w:ascii="新宋体" w:hAnsi="新宋体" w:eastAsia="新宋体" w:cs="新宋体"/>
          <w:color w:val="auto"/>
          <w:sz w:val="24"/>
          <w:highlight w:val="none"/>
        </w:rPr>
      </w:pPr>
      <w:bookmarkStart w:id="168" w:name="_Toc496688945"/>
      <w:r>
        <w:rPr>
          <w:rFonts w:hint="eastAsia" w:ascii="新宋体" w:hAnsi="新宋体" w:eastAsia="新宋体" w:cs="新宋体"/>
          <w:color w:val="auto"/>
          <w:sz w:val="24"/>
          <w:highlight w:val="none"/>
        </w:rPr>
        <w:t>37．询问、质疑、投诉的接收和处理严格按照《中华人共和国政府采购法》、《中华人民共和国政府采购法实施条例》、《政府采购货物和服务招标投标管理办法》、《政府采购供应商投诉处理办法》、《财政部关于加强政府采购供应商投诉受理审查工作的通知》和《四川省政府采购供应商投诉处理工作规程》的规定办理（详细规定请在四川政府采购网政策法规模块查询）。</w:t>
      </w:r>
      <w:bookmarkEnd w:id="168"/>
    </w:p>
    <w:p>
      <w:pPr>
        <w:spacing w:line="360" w:lineRule="auto"/>
        <w:ind w:firstLine="243" w:firstLineChars="100"/>
        <w:rPr>
          <w:rFonts w:hint="eastAsia" w:ascii="新宋体" w:hAnsi="新宋体" w:eastAsia="新宋体" w:cs="新宋体"/>
          <w:color w:val="auto"/>
          <w:sz w:val="24"/>
          <w:highlight w:val="none"/>
        </w:rPr>
      </w:pPr>
      <w:bookmarkStart w:id="169" w:name="_Toc496688946"/>
      <w:r>
        <w:rPr>
          <w:rFonts w:hint="eastAsia" w:ascii="新宋体" w:hAnsi="新宋体" w:eastAsia="新宋体" w:cs="新宋体"/>
          <w:color w:val="auto"/>
          <w:sz w:val="24"/>
          <w:highlight w:val="none"/>
        </w:rPr>
        <w:t>38.根据《政府采购法》相关规定及四川成化工程项目管理有限公司与采购人签订的委托代理协议，供应商认为招标文件中有关技术参数部分使自己的权益受到损害的，可以书面形式向采购人提出询问或质疑，由采购人按规定作出答复；供应商认为采购文件技术参数以外部分、采购过程和采购结果的使自己权益受到损害的，可以书面形式向代理公司提出询问或质疑询问和质疑，由代理公司负责按规定作出答复。</w:t>
      </w:r>
      <w:bookmarkEnd w:id="169"/>
    </w:p>
    <w:p>
      <w:pPr>
        <w:pStyle w:val="4"/>
        <w:spacing w:line="360" w:lineRule="auto"/>
        <w:jc w:val="center"/>
        <w:rPr>
          <w:rFonts w:hint="eastAsia" w:ascii="新宋体" w:hAnsi="新宋体" w:eastAsia="新宋体" w:cs="新宋体"/>
          <w:color w:val="auto"/>
          <w:sz w:val="28"/>
          <w:szCs w:val="28"/>
          <w:highlight w:val="none"/>
        </w:rPr>
      </w:pPr>
      <w:bookmarkStart w:id="170" w:name="_Toc496688947"/>
      <w:r>
        <w:rPr>
          <w:rFonts w:hint="eastAsia" w:ascii="新宋体" w:hAnsi="新宋体" w:eastAsia="新宋体" w:cs="新宋体"/>
          <w:color w:val="auto"/>
          <w:sz w:val="28"/>
          <w:szCs w:val="28"/>
          <w:highlight w:val="none"/>
        </w:rPr>
        <w:t>九、关于行贿犯罪记录的规定</w:t>
      </w:r>
    </w:p>
    <w:p>
      <w:pPr>
        <w:autoSpaceDE w:val="0"/>
        <w:autoSpaceDN w:val="0"/>
        <w:adjustRightInd w:val="0"/>
        <w:spacing w:line="360" w:lineRule="auto"/>
        <w:ind w:firstLine="364" w:firstLineChars="15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39.按采购活动中，行贿犯罪记录的查询主体在于采购人或代理机构，采购文件可以要求供应商作出无行贿犯罪记录的承诺，如果发现虚假承诺，作无效投标处理。</w:t>
      </w:r>
    </w:p>
    <w:p>
      <w:pPr>
        <w:pStyle w:val="4"/>
        <w:spacing w:before="158" w:beforeLines="50" w:after="158" w:afterLines="50" w:line="360" w:lineRule="auto"/>
        <w:jc w:val="center"/>
        <w:rPr>
          <w:rFonts w:hint="eastAsia" w:ascii="新宋体" w:hAnsi="新宋体" w:eastAsia="新宋体" w:cs="新宋体"/>
          <w:bCs w:val="0"/>
          <w:color w:val="auto"/>
          <w:szCs w:val="28"/>
          <w:highlight w:val="none"/>
        </w:rPr>
      </w:pPr>
      <w:r>
        <w:rPr>
          <w:rFonts w:hint="eastAsia" w:ascii="新宋体" w:hAnsi="新宋体" w:eastAsia="新宋体" w:cs="新宋体"/>
          <w:color w:val="auto"/>
          <w:sz w:val="28"/>
          <w:szCs w:val="28"/>
          <w:highlight w:val="none"/>
        </w:rPr>
        <w:t>十、进口产品的认定</w:t>
      </w:r>
    </w:p>
    <w:p>
      <w:pPr>
        <w:widowControl/>
        <w:spacing w:before="158" w:beforeLines="50" w:after="158" w:afterLines="50" w:line="360" w:lineRule="auto"/>
        <w:ind w:firstLine="486" w:firstLineChars="200"/>
        <w:jc w:val="left"/>
        <w:outlineLvl w:val="1"/>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40.根据中华人民共和国财政部《政府采购进口产品管理办法》（财库[2007]119号）第三条之规定：“本办法所称进口产品是指通过中国海关报关验放进入中国境内且产自关境外的产品”。</w:t>
      </w:r>
    </w:p>
    <w:p>
      <w:pPr>
        <w:spacing w:before="158" w:beforeLines="50" w:after="158" w:afterLines="50"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注：依据中华人民共和国财政部《关于政府采购进口产品管理有关问题的通知》（财办库﹝2008﹞248号）第二条之规定：“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w:t>
      </w:r>
    </w:p>
    <w:p>
      <w:pPr>
        <w:spacing w:before="158" w:beforeLines="50" w:after="158" w:afterLines="50" w:line="360" w:lineRule="auto"/>
        <w:jc w:val="center"/>
        <w:rPr>
          <w:rFonts w:hint="eastAsia" w:ascii="新宋体" w:hAnsi="新宋体" w:eastAsia="新宋体" w:cs="新宋体"/>
          <w:b/>
          <w:color w:val="auto"/>
          <w:sz w:val="28"/>
          <w:highlight w:val="none"/>
        </w:rPr>
      </w:pPr>
      <w:r>
        <w:rPr>
          <w:rFonts w:hint="eastAsia" w:ascii="新宋体" w:hAnsi="新宋体" w:eastAsia="新宋体" w:cs="新宋体"/>
          <w:b/>
          <w:color w:val="auto"/>
          <w:sz w:val="28"/>
          <w:highlight w:val="none"/>
        </w:rPr>
        <w:t>十一、其他</w:t>
      </w:r>
      <w:bookmarkEnd w:id="170"/>
    </w:p>
    <w:p>
      <w:pPr>
        <w:spacing w:line="360" w:lineRule="auto"/>
        <w:ind w:firstLine="425" w:firstLineChars="175"/>
        <w:rPr>
          <w:rFonts w:hint="eastAsia" w:ascii="新宋体" w:hAnsi="新宋体" w:eastAsia="新宋体" w:cs="新宋体"/>
          <w:color w:val="auto"/>
          <w:sz w:val="24"/>
          <w:highlight w:val="none"/>
        </w:rPr>
      </w:pPr>
      <w:bookmarkStart w:id="171" w:name="_Toc496688948"/>
      <w:r>
        <w:rPr>
          <w:rFonts w:hint="eastAsia" w:ascii="新宋体" w:hAnsi="新宋体" w:eastAsia="新宋体" w:cs="新宋体"/>
          <w:color w:val="auto"/>
          <w:sz w:val="24"/>
          <w:highlight w:val="none"/>
        </w:rPr>
        <w:t>41.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w:t>
      </w:r>
      <w:bookmarkStart w:id="172" w:name="_Toc217446083"/>
      <w:r>
        <w:rPr>
          <w:rFonts w:hint="eastAsia" w:ascii="新宋体" w:hAnsi="新宋体" w:eastAsia="新宋体" w:cs="新宋体"/>
          <w:color w:val="auto"/>
          <w:sz w:val="24"/>
          <w:highlight w:val="none"/>
        </w:rPr>
        <w:t>法律制度规定执行，本招标文件不再做</w:t>
      </w:r>
      <w:bookmarkEnd w:id="171"/>
      <w:r>
        <w:rPr>
          <w:rFonts w:hint="eastAsia" w:ascii="新宋体" w:hAnsi="新宋体" w:eastAsia="新宋体" w:cs="新宋体"/>
          <w:color w:val="auto"/>
          <w:sz w:val="24"/>
          <w:highlight w:val="none"/>
        </w:rPr>
        <w:t>调整。</w:t>
      </w:r>
    </w:p>
    <w:p>
      <w:pPr>
        <w:spacing w:line="360" w:lineRule="auto"/>
        <w:ind w:firstLine="425" w:firstLineChars="175"/>
        <w:rPr>
          <w:rFonts w:hint="eastAsia" w:ascii="新宋体" w:hAnsi="新宋体" w:eastAsia="新宋体" w:cs="新宋体"/>
          <w:color w:val="auto"/>
          <w:sz w:val="24"/>
          <w:highlight w:val="none"/>
        </w:rPr>
      </w:pPr>
      <w:r>
        <w:rPr>
          <w:rFonts w:hint="eastAsia" w:ascii="新宋体" w:hAnsi="新宋体" w:eastAsia="新宋体" w:cs="新宋体"/>
          <w:bCs/>
          <w:color w:val="auto"/>
          <w:sz w:val="24"/>
          <w:highlight w:val="none"/>
        </w:rPr>
        <w:t>42．</w:t>
      </w:r>
      <w:r>
        <w:rPr>
          <w:rFonts w:hint="eastAsia" w:ascii="新宋体" w:hAnsi="新宋体" w:eastAsia="新宋体" w:cs="新宋体"/>
          <w:b/>
          <w:bCs/>
          <w:color w:val="auto"/>
          <w:sz w:val="24"/>
          <w:highlight w:val="none"/>
        </w:rPr>
        <w:t>（实质性要求）</w:t>
      </w:r>
      <w:r>
        <w:rPr>
          <w:rFonts w:hint="eastAsia" w:ascii="新宋体" w:hAnsi="新宋体" w:eastAsia="新宋体" w:cs="新宋体"/>
          <w:color w:val="auto"/>
          <w:sz w:val="24"/>
          <w:highlight w:val="none"/>
        </w:rPr>
        <w:t>国家或行业主管部门对采购产品的技术标准、质量标准和资格资质条件等有强制性规定的，必须符合其要求。</w:t>
      </w:r>
    </w:p>
    <w:p>
      <w:pPr>
        <w:pStyle w:val="19"/>
        <w:rPr>
          <w:rFonts w:hint="eastAsia" w:ascii="新宋体" w:hAnsi="新宋体" w:eastAsia="新宋体" w:cs="新宋体"/>
          <w:color w:val="auto"/>
          <w:highlight w:val="none"/>
        </w:rPr>
      </w:pPr>
      <w:r>
        <w:rPr>
          <w:rFonts w:hint="eastAsia" w:ascii="新宋体" w:hAnsi="新宋体" w:eastAsia="新宋体" w:cs="新宋体"/>
          <w:color w:val="auto"/>
          <w:highlight w:val="none"/>
        </w:rPr>
        <w:br w:type="page"/>
      </w:r>
    </w:p>
    <w:p>
      <w:pPr>
        <w:pStyle w:val="3"/>
        <w:spacing w:before="0" w:after="0" w:line="360" w:lineRule="auto"/>
        <w:jc w:val="center"/>
        <w:rPr>
          <w:rFonts w:hint="eastAsia" w:ascii="新宋体" w:hAnsi="新宋体" w:eastAsia="新宋体" w:cs="新宋体"/>
          <w:color w:val="auto"/>
          <w:sz w:val="36"/>
          <w:szCs w:val="36"/>
          <w:highlight w:val="none"/>
        </w:rPr>
      </w:pPr>
      <w:bookmarkStart w:id="173" w:name="_Toc22794"/>
      <w:bookmarkStart w:id="174" w:name="_Toc496688949"/>
      <w:bookmarkStart w:id="175" w:name="_Toc24259"/>
      <w:bookmarkStart w:id="176" w:name="_Toc496695030"/>
      <w:bookmarkStart w:id="177" w:name="_Toc6260"/>
      <w:bookmarkStart w:id="178" w:name="_Toc480792485"/>
      <w:bookmarkStart w:id="179" w:name="_Toc496689224"/>
      <w:r>
        <w:rPr>
          <w:rFonts w:hint="eastAsia" w:ascii="新宋体" w:hAnsi="新宋体" w:eastAsia="新宋体" w:cs="新宋体"/>
          <w:color w:val="auto"/>
          <w:sz w:val="36"/>
          <w:szCs w:val="36"/>
          <w:highlight w:val="none"/>
        </w:rPr>
        <w:t>第三章 投标文件格式</w:t>
      </w:r>
      <w:bookmarkEnd w:id="173"/>
      <w:bookmarkEnd w:id="174"/>
      <w:bookmarkEnd w:id="175"/>
      <w:bookmarkEnd w:id="176"/>
      <w:bookmarkEnd w:id="177"/>
      <w:bookmarkEnd w:id="178"/>
      <w:bookmarkEnd w:id="179"/>
      <w:bookmarkStart w:id="180" w:name="_Toc217446082"/>
      <w:bookmarkStart w:id="181" w:name="_Toc308164821"/>
    </w:p>
    <w:p>
      <w:pPr>
        <w:spacing w:line="560" w:lineRule="exact"/>
        <w:ind w:firstLine="250" w:firstLineChars="103"/>
        <w:rPr>
          <w:rFonts w:hint="eastAsia" w:ascii="新宋体" w:hAnsi="新宋体" w:eastAsia="新宋体" w:cs="新宋体"/>
          <w:color w:val="auto"/>
          <w:sz w:val="24"/>
          <w:highlight w:val="none"/>
        </w:rPr>
      </w:pPr>
      <w:bookmarkStart w:id="182" w:name="_Toc496688950"/>
      <w:r>
        <w:rPr>
          <w:rFonts w:hint="eastAsia" w:ascii="新宋体" w:hAnsi="新宋体" w:eastAsia="新宋体" w:cs="新宋体"/>
          <w:color w:val="auto"/>
          <w:sz w:val="24"/>
          <w:highlight w:val="none"/>
        </w:rPr>
        <w:t>一、本章所制投标文件格式，除格式中明确将该格式作为实质性要求的，一律不具有强制性，但是，投标人投标文件相关资料和本章所制格式不一致的，评标委员会将在评分时以投标文件不规范予以扣分处理。</w:t>
      </w:r>
      <w:bookmarkEnd w:id="182"/>
    </w:p>
    <w:p>
      <w:pPr>
        <w:spacing w:line="560" w:lineRule="exact"/>
        <w:ind w:firstLine="250" w:firstLineChars="103"/>
        <w:rPr>
          <w:rFonts w:hint="eastAsia" w:ascii="新宋体" w:hAnsi="新宋体" w:eastAsia="新宋体" w:cs="新宋体"/>
          <w:color w:val="auto"/>
          <w:sz w:val="24"/>
          <w:highlight w:val="none"/>
        </w:rPr>
      </w:pPr>
      <w:bookmarkStart w:id="183" w:name="_Toc496688951"/>
      <w:r>
        <w:rPr>
          <w:rFonts w:hint="eastAsia" w:ascii="新宋体" w:hAnsi="新宋体" w:eastAsia="新宋体" w:cs="新宋体"/>
          <w:color w:val="auto"/>
          <w:sz w:val="24"/>
          <w:highlight w:val="none"/>
        </w:rPr>
        <w:t>二、本章所制投标文件格式有关表格中的备注栏，由投标人根据自身投标情况作解释性说明，不作为必填项。</w:t>
      </w:r>
      <w:bookmarkEnd w:id="183"/>
    </w:p>
    <w:p>
      <w:pPr>
        <w:spacing w:line="560" w:lineRule="exact"/>
        <w:ind w:firstLine="250" w:firstLineChars="103"/>
        <w:rPr>
          <w:rFonts w:hint="eastAsia" w:ascii="新宋体" w:hAnsi="新宋体" w:eastAsia="新宋体" w:cs="新宋体"/>
          <w:color w:val="auto"/>
          <w:sz w:val="24"/>
          <w:highlight w:val="none"/>
        </w:rPr>
      </w:pPr>
      <w:bookmarkStart w:id="184" w:name="_Toc496688952"/>
      <w:r>
        <w:rPr>
          <w:rFonts w:hint="eastAsia" w:ascii="新宋体" w:hAnsi="新宋体" w:eastAsia="新宋体" w:cs="新宋体"/>
          <w:color w:val="auto"/>
          <w:sz w:val="24"/>
          <w:highlight w:val="none"/>
        </w:rPr>
        <w:t>三、本章所制投标文件格式中需要填写的相关内容事项，可能会与本采购项目无关，在不改变投标文件原义、不影响本项目采购需求的情况下，投标人可以不予填写，但应当注明。</w:t>
      </w:r>
      <w:bookmarkEnd w:id="184"/>
    </w:p>
    <w:p>
      <w:pPr>
        <w:pStyle w:val="19"/>
        <w:rPr>
          <w:rFonts w:hint="eastAsia" w:ascii="新宋体" w:hAnsi="新宋体" w:eastAsia="新宋体" w:cs="新宋体"/>
          <w:color w:val="auto"/>
          <w:highlight w:val="none"/>
        </w:rPr>
      </w:pPr>
    </w:p>
    <w:p>
      <w:pPr>
        <w:tabs>
          <w:tab w:val="left" w:pos="900"/>
        </w:tabs>
        <w:spacing w:line="360" w:lineRule="auto"/>
        <w:jc w:val="left"/>
        <w:rPr>
          <w:rFonts w:hint="eastAsia" w:ascii="新宋体" w:hAnsi="新宋体" w:eastAsia="新宋体" w:cs="新宋体"/>
          <w:b/>
          <w:color w:val="auto"/>
          <w:sz w:val="30"/>
          <w:szCs w:val="30"/>
          <w:highlight w:val="none"/>
        </w:rPr>
      </w:pPr>
      <w:r>
        <w:rPr>
          <w:rFonts w:hint="eastAsia" w:ascii="新宋体" w:hAnsi="新宋体" w:eastAsia="新宋体" w:cs="新宋体"/>
          <w:b/>
          <w:color w:val="auto"/>
          <w:sz w:val="30"/>
          <w:szCs w:val="30"/>
          <w:highlight w:val="none"/>
        </w:rPr>
        <w:br w:type="page"/>
      </w:r>
    </w:p>
    <w:p>
      <w:pPr>
        <w:tabs>
          <w:tab w:val="left" w:pos="900"/>
        </w:tabs>
        <w:spacing w:line="360" w:lineRule="auto"/>
        <w:jc w:val="center"/>
        <w:rPr>
          <w:rFonts w:hint="eastAsia" w:ascii="新宋体" w:hAnsi="新宋体" w:eastAsia="新宋体" w:cs="新宋体"/>
          <w:b/>
          <w:color w:val="auto"/>
          <w:sz w:val="30"/>
          <w:szCs w:val="30"/>
          <w:highlight w:val="none"/>
        </w:rPr>
      </w:pPr>
      <w:r>
        <w:rPr>
          <w:rFonts w:hint="eastAsia" w:ascii="新宋体" w:hAnsi="新宋体" w:eastAsia="新宋体" w:cs="新宋体"/>
          <w:b/>
          <w:color w:val="auto"/>
          <w:sz w:val="30"/>
          <w:szCs w:val="30"/>
          <w:highlight w:val="none"/>
        </w:rPr>
        <w:t>第一部分     资格性投标文件格式</w:t>
      </w:r>
    </w:p>
    <w:p>
      <w:pPr>
        <w:spacing w:line="360" w:lineRule="auto"/>
        <w:rPr>
          <w:rFonts w:hint="eastAsia" w:ascii="新宋体" w:hAnsi="新宋体" w:eastAsia="新宋体" w:cs="新宋体"/>
          <w:b/>
          <w:color w:val="auto"/>
          <w:sz w:val="32"/>
          <w:szCs w:val="32"/>
          <w:highlight w:val="none"/>
        </w:rPr>
      </w:pPr>
      <w:r>
        <w:rPr>
          <w:rFonts w:hint="eastAsia" w:ascii="新宋体" w:hAnsi="新宋体" w:eastAsia="新宋体" w:cs="新宋体"/>
          <w:b/>
          <w:color w:val="auto"/>
          <w:sz w:val="32"/>
          <w:szCs w:val="32"/>
          <w:highlight w:val="none"/>
        </w:rPr>
        <w:t>封面：</w:t>
      </w:r>
    </w:p>
    <w:p>
      <w:pPr>
        <w:spacing w:line="360" w:lineRule="auto"/>
        <w:jc w:val="right"/>
        <w:rPr>
          <w:rFonts w:hint="eastAsia" w:ascii="新宋体" w:hAnsi="新宋体" w:eastAsia="新宋体" w:cs="新宋体"/>
          <w:b/>
          <w:color w:val="auto"/>
          <w:sz w:val="36"/>
          <w:highlight w:val="none"/>
        </w:rPr>
      </w:pPr>
      <w:r>
        <w:rPr>
          <w:rFonts w:hint="eastAsia" w:ascii="新宋体" w:hAnsi="新宋体" w:eastAsia="新宋体" w:cs="新宋体"/>
          <w:b/>
          <w:color w:val="auto"/>
          <w:sz w:val="36"/>
          <w:highlight w:val="none"/>
        </w:rPr>
        <w:t>（正本/副本）</w:t>
      </w:r>
    </w:p>
    <w:p>
      <w:pPr>
        <w:pStyle w:val="19"/>
        <w:rPr>
          <w:rFonts w:hint="eastAsia" w:ascii="新宋体" w:hAnsi="新宋体" w:eastAsia="新宋体" w:cs="新宋体"/>
          <w:color w:val="auto"/>
          <w:highlight w:val="none"/>
        </w:rPr>
      </w:pPr>
    </w:p>
    <w:p>
      <w:pPr>
        <w:spacing w:line="360" w:lineRule="auto"/>
        <w:ind w:firstLine="1292" w:firstLineChars="400"/>
        <w:rPr>
          <w:rFonts w:hint="eastAsia" w:ascii="新宋体" w:hAnsi="新宋体" w:eastAsia="新宋体" w:cs="新宋体"/>
          <w:b/>
          <w:color w:val="auto"/>
          <w:sz w:val="32"/>
          <w:szCs w:val="32"/>
          <w:highlight w:val="none"/>
        </w:rPr>
      </w:pPr>
      <w:r>
        <w:rPr>
          <w:rFonts w:hint="eastAsia" w:ascii="新宋体" w:hAnsi="新宋体" w:eastAsia="新宋体" w:cs="新宋体"/>
          <w:b/>
          <w:color w:val="auto"/>
          <w:sz w:val="32"/>
          <w:szCs w:val="32"/>
          <w:highlight w:val="none"/>
        </w:rPr>
        <w:t>项目名称：</w:t>
      </w:r>
      <w:r>
        <w:rPr>
          <w:rFonts w:hint="eastAsia" w:ascii="新宋体" w:hAnsi="新宋体" w:eastAsia="新宋体" w:cs="新宋体"/>
          <w:b/>
          <w:color w:val="auto"/>
          <w:sz w:val="32"/>
          <w:szCs w:val="32"/>
          <w:highlight w:val="none"/>
          <w:u w:val="single"/>
        </w:rPr>
        <w:t xml:space="preserve">                     </w:t>
      </w:r>
    </w:p>
    <w:p>
      <w:pPr>
        <w:spacing w:line="360" w:lineRule="auto"/>
        <w:ind w:firstLine="969" w:firstLineChars="300"/>
        <w:rPr>
          <w:rFonts w:hint="eastAsia" w:ascii="新宋体" w:hAnsi="新宋体" w:eastAsia="新宋体" w:cs="新宋体"/>
          <w:b/>
          <w:color w:val="auto"/>
          <w:sz w:val="32"/>
          <w:szCs w:val="32"/>
          <w:highlight w:val="none"/>
        </w:rPr>
      </w:pPr>
    </w:p>
    <w:p>
      <w:pPr>
        <w:spacing w:line="360" w:lineRule="auto"/>
        <w:ind w:firstLine="1287" w:firstLineChars="399"/>
        <w:rPr>
          <w:rFonts w:hint="eastAsia" w:ascii="新宋体" w:hAnsi="新宋体" w:eastAsia="新宋体" w:cs="新宋体"/>
          <w:b/>
          <w:color w:val="auto"/>
          <w:sz w:val="32"/>
          <w:szCs w:val="32"/>
          <w:highlight w:val="none"/>
          <w:u w:val="single"/>
        </w:rPr>
      </w:pPr>
      <w:r>
        <w:rPr>
          <w:rFonts w:hint="eastAsia" w:ascii="新宋体" w:hAnsi="新宋体" w:eastAsia="新宋体" w:cs="新宋体"/>
          <w:b/>
          <w:color w:val="auto"/>
          <w:sz w:val="32"/>
          <w:szCs w:val="32"/>
          <w:highlight w:val="none"/>
        </w:rPr>
        <w:t>招标编号：</w:t>
      </w:r>
      <w:r>
        <w:rPr>
          <w:rFonts w:hint="eastAsia" w:ascii="新宋体" w:hAnsi="新宋体" w:eastAsia="新宋体" w:cs="新宋体"/>
          <w:b/>
          <w:color w:val="auto"/>
          <w:sz w:val="32"/>
          <w:szCs w:val="32"/>
          <w:highlight w:val="none"/>
          <w:u w:val="single"/>
        </w:rPr>
        <w:t xml:space="preserve">                     </w:t>
      </w:r>
    </w:p>
    <w:p>
      <w:pPr>
        <w:rPr>
          <w:rFonts w:hint="eastAsia" w:ascii="新宋体" w:hAnsi="新宋体" w:eastAsia="新宋体" w:cs="新宋体"/>
          <w:color w:val="auto"/>
          <w:sz w:val="32"/>
          <w:szCs w:val="32"/>
          <w:highlight w:val="none"/>
        </w:rPr>
      </w:pPr>
    </w:p>
    <w:p>
      <w:pPr>
        <w:spacing w:line="360" w:lineRule="auto"/>
        <w:rPr>
          <w:rFonts w:hint="eastAsia" w:ascii="新宋体" w:hAnsi="新宋体" w:eastAsia="新宋体" w:cs="新宋体"/>
          <w:b/>
          <w:color w:val="auto"/>
          <w:sz w:val="52"/>
          <w:szCs w:val="52"/>
          <w:highlight w:val="none"/>
        </w:rPr>
      </w:pPr>
    </w:p>
    <w:p>
      <w:pPr>
        <w:spacing w:line="360" w:lineRule="auto"/>
        <w:jc w:val="center"/>
        <w:rPr>
          <w:rFonts w:hint="eastAsia" w:ascii="新宋体" w:hAnsi="新宋体" w:eastAsia="新宋体" w:cs="新宋体"/>
          <w:b/>
          <w:color w:val="auto"/>
          <w:sz w:val="36"/>
          <w:highlight w:val="none"/>
        </w:rPr>
      </w:pPr>
      <w:r>
        <w:rPr>
          <w:rFonts w:hint="eastAsia" w:ascii="新宋体" w:hAnsi="新宋体" w:eastAsia="新宋体" w:cs="新宋体"/>
          <w:b/>
          <w:color w:val="auto"/>
          <w:sz w:val="52"/>
          <w:szCs w:val="52"/>
          <w:highlight w:val="none"/>
        </w:rPr>
        <w:t>资格性投标文件</w:t>
      </w:r>
    </w:p>
    <w:p>
      <w:pPr>
        <w:pStyle w:val="19"/>
        <w:rPr>
          <w:rFonts w:hint="eastAsia" w:ascii="新宋体" w:hAnsi="新宋体" w:eastAsia="新宋体" w:cs="新宋体"/>
          <w:b/>
          <w:color w:val="auto"/>
          <w:sz w:val="36"/>
          <w:highlight w:val="none"/>
        </w:rPr>
      </w:pPr>
    </w:p>
    <w:p>
      <w:pPr>
        <w:spacing w:line="360" w:lineRule="auto"/>
        <w:ind w:left="540"/>
        <w:rPr>
          <w:rFonts w:hint="eastAsia" w:ascii="新宋体" w:hAnsi="新宋体" w:eastAsia="新宋体" w:cs="新宋体"/>
          <w:b/>
          <w:color w:val="auto"/>
          <w:sz w:val="30"/>
          <w:szCs w:val="30"/>
          <w:highlight w:val="none"/>
          <w:u w:val="single"/>
        </w:rPr>
      </w:pPr>
      <w:r>
        <w:rPr>
          <w:rFonts w:hint="eastAsia" w:ascii="新宋体" w:hAnsi="新宋体" w:eastAsia="新宋体" w:cs="新宋体"/>
          <w:b/>
          <w:color w:val="auto"/>
          <w:sz w:val="30"/>
          <w:szCs w:val="30"/>
          <w:highlight w:val="none"/>
        </w:rPr>
        <w:t>投标人名称（全称并加盖公章） ：</w:t>
      </w:r>
      <w:r>
        <w:rPr>
          <w:rFonts w:hint="eastAsia" w:ascii="新宋体" w:hAnsi="新宋体" w:eastAsia="新宋体" w:cs="新宋体"/>
          <w:b/>
          <w:color w:val="auto"/>
          <w:sz w:val="30"/>
          <w:szCs w:val="30"/>
          <w:highlight w:val="none"/>
          <w:u w:val="single"/>
        </w:rPr>
        <w:t xml:space="preserve">                           </w:t>
      </w:r>
    </w:p>
    <w:p>
      <w:pPr>
        <w:spacing w:line="360" w:lineRule="auto"/>
        <w:ind w:left="540"/>
        <w:rPr>
          <w:rFonts w:hint="eastAsia" w:ascii="新宋体" w:hAnsi="新宋体" w:eastAsia="新宋体" w:cs="新宋体"/>
          <w:b/>
          <w:color w:val="auto"/>
          <w:sz w:val="30"/>
          <w:szCs w:val="30"/>
          <w:highlight w:val="none"/>
          <w:u w:val="single"/>
        </w:rPr>
      </w:pPr>
      <w:r>
        <w:rPr>
          <w:rFonts w:hint="eastAsia" w:ascii="新宋体" w:hAnsi="新宋体" w:eastAsia="新宋体" w:cs="新宋体"/>
          <w:b/>
          <w:color w:val="auto"/>
          <w:sz w:val="30"/>
          <w:szCs w:val="30"/>
          <w:highlight w:val="none"/>
        </w:rPr>
        <w:t>法定代表人姓名（签字或盖章）：</w:t>
      </w:r>
      <w:r>
        <w:rPr>
          <w:rFonts w:hint="eastAsia" w:ascii="新宋体" w:hAnsi="新宋体" w:eastAsia="新宋体" w:cs="新宋体"/>
          <w:b/>
          <w:color w:val="auto"/>
          <w:sz w:val="30"/>
          <w:szCs w:val="30"/>
          <w:highlight w:val="none"/>
          <w:u w:val="single"/>
        </w:rPr>
        <w:t xml:space="preserve">                                 </w:t>
      </w:r>
    </w:p>
    <w:p>
      <w:pPr>
        <w:spacing w:line="360" w:lineRule="auto"/>
        <w:ind w:left="540"/>
        <w:rPr>
          <w:rFonts w:hint="eastAsia" w:ascii="新宋体" w:hAnsi="新宋体" w:eastAsia="新宋体" w:cs="新宋体"/>
          <w:b/>
          <w:color w:val="auto"/>
          <w:sz w:val="30"/>
          <w:szCs w:val="30"/>
          <w:highlight w:val="none"/>
          <w:u w:val="single"/>
        </w:rPr>
      </w:pPr>
      <w:r>
        <w:rPr>
          <w:rFonts w:hint="eastAsia" w:ascii="新宋体" w:hAnsi="新宋体" w:eastAsia="新宋体" w:cs="新宋体"/>
          <w:b/>
          <w:color w:val="auto"/>
          <w:sz w:val="30"/>
          <w:szCs w:val="30"/>
          <w:highlight w:val="none"/>
        </w:rPr>
        <w:t>地          址：</w:t>
      </w:r>
      <w:r>
        <w:rPr>
          <w:rFonts w:hint="eastAsia" w:ascii="新宋体" w:hAnsi="新宋体" w:eastAsia="新宋体" w:cs="新宋体"/>
          <w:b/>
          <w:color w:val="auto"/>
          <w:sz w:val="30"/>
          <w:szCs w:val="30"/>
          <w:highlight w:val="none"/>
          <w:u w:val="single"/>
        </w:rPr>
        <w:t xml:space="preserve">                                        </w:t>
      </w:r>
      <w:r>
        <w:rPr>
          <w:rFonts w:hint="eastAsia" w:ascii="新宋体" w:hAnsi="新宋体" w:eastAsia="新宋体" w:cs="新宋体"/>
          <w:b/>
          <w:color w:val="auto"/>
          <w:sz w:val="30"/>
          <w:szCs w:val="30"/>
          <w:highlight w:val="none"/>
        </w:rPr>
        <w:t xml:space="preserve"> </w:t>
      </w:r>
    </w:p>
    <w:p>
      <w:pPr>
        <w:spacing w:line="360" w:lineRule="auto"/>
        <w:ind w:left="540"/>
        <w:rPr>
          <w:rFonts w:hint="eastAsia" w:ascii="新宋体" w:hAnsi="新宋体" w:eastAsia="新宋体" w:cs="新宋体"/>
          <w:b/>
          <w:color w:val="auto"/>
          <w:sz w:val="30"/>
          <w:szCs w:val="30"/>
          <w:highlight w:val="none"/>
          <w:u w:val="single"/>
        </w:rPr>
      </w:pPr>
      <w:r>
        <w:rPr>
          <w:rFonts w:hint="eastAsia" w:ascii="新宋体" w:hAnsi="新宋体" w:eastAsia="新宋体" w:cs="新宋体"/>
          <w:b/>
          <w:color w:val="auto"/>
          <w:sz w:val="30"/>
          <w:szCs w:val="30"/>
          <w:highlight w:val="none"/>
        </w:rPr>
        <w:t>电          话：</w:t>
      </w:r>
      <w:r>
        <w:rPr>
          <w:rFonts w:hint="eastAsia" w:ascii="新宋体" w:hAnsi="新宋体" w:eastAsia="新宋体" w:cs="新宋体"/>
          <w:b/>
          <w:color w:val="auto"/>
          <w:sz w:val="30"/>
          <w:szCs w:val="30"/>
          <w:highlight w:val="none"/>
          <w:u w:val="single"/>
        </w:rPr>
        <w:t xml:space="preserve">                                         </w:t>
      </w:r>
      <w:r>
        <w:rPr>
          <w:rFonts w:hint="eastAsia" w:ascii="新宋体" w:hAnsi="新宋体" w:eastAsia="新宋体" w:cs="新宋体"/>
          <w:b/>
          <w:color w:val="auto"/>
          <w:sz w:val="30"/>
          <w:szCs w:val="30"/>
          <w:highlight w:val="none"/>
        </w:rPr>
        <w:t xml:space="preserve"> </w:t>
      </w:r>
    </w:p>
    <w:p>
      <w:pPr>
        <w:spacing w:line="360" w:lineRule="auto"/>
        <w:ind w:left="540"/>
        <w:rPr>
          <w:rFonts w:hint="eastAsia" w:ascii="新宋体" w:hAnsi="新宋体" w:eastAsia="新宋体" w:cs="新宋体"/>
          <w:b/>
          <w:color w:val="auto"/>
          <w:sz w:val="30"/>
          <w:szCs w:val="30"/>
          <w:highlight w:val="none"/>
          <w:u w:val="single"/>
        </w:rPr>
      </w:pPr>
      <w:r>
        <w:rPr>
          <w:rFonts w:hint="eastAsia" w:ascii="新宋体" w:hAnsi="新宋体" w:eastAsia="新宋体" w:cs="新宋体"/>
          <w:b/>
          <w:color w:val="auto"/>
          <w:sz w:val="30"/>
          <w:szCs w:val="30"/>
          <w:highlight w:val="none"/>
        </w:rPr>
        <w:t>授  权  代  表：</w:t>
      </w:r>
      <w:r>
        <w:rPr>
          <w:rFonts w:hint="eastAsia" w:ascii="新宋体" w:hAnsi="新宋体" w:eastAsia="新宋体" w:cs="新宋体"/>
          <w:b/>
          <w:color w:val="auto"/>
          <w:sz w:val="30"/>
          <w:szCs w:val="30"/>
          <w:highlight w:val="none"/>
          <w:u w:val="single"/>
        </w:rPr>
        <w:t xml:space="preserve">                                               </w:t>
      </w:r>
      <w:r>
        <w:rPr>
          <w:rFonts w:hint="eastAsia" w:ascii="新宋体" w:hAnsi="新宋体" w:eastAsia="新宋体" w:cs="新宋体"/>
          <w:b/>
          <w:color w:val="auto"/>
          <w:sz w:val="30"/>
          <w:szCs w:val="30"/>
          <w:highlight w:val="none"/>
        </w:rPr>
        <w:t xml:space="preserve">  </w:t>
      </w:r>
    </w:p>
    <w:p>
      <w:pPr>
        <w:spacing w:line="360" w:lineRule="auto"/>
        <w:ind w:left="540"/>
        <w:rPr>
          <w:rFonts w:hint="eastAsia" w:ascii="新宋体" w:hAnsi="新宋体" w:eastAsia="新宋体" w:cs="新宋体"/>
          <w:b/>
          <w:color w:val="auto"/>
          <w:sz w:val="30"/>
          <w:szCs w:val="30"/>
          <w:highlight w:val="none"/>
        </w:rPr>
      </w:pPr>
      <w:r>
        <w:rPr>
          <w:rFonts w:hint="eastAsia" w:ascii="新宋体" w:hAnsi="新宋体" w:eastAsia="新宋体" w:cs="新宋体"/>
          <w:b/>
          <w:color w:val="auto"/>
          <w:sz w:val="30"/>
          <w:szCs w:val="30"/>
          <w:highlight w:val="none"/>
        </w:rPr>
        <w:t>日          期：</w:t>
      </w:r>
      <w:r>
        <w:rPr>
          <w:rFonts w:hint="eastAsia" w:ascii="新宋体" w:hAnsi="新宋体" w:eastAsia="新宋体" w:cs="新宋体"/>
          <w:b/>
          <w:color w:val="auto"/>
          <w:sz w:val="30"/>
          <w:szCs w:val="30"/>
          <w:highlight w:val="none"/>
          <w:u w:val="single"/>
        </w:rPr>
        <w:t xml:space="preserve">       </w:t>
      </w:r>
      <w:r>
        <w:rPr>
          <w:rFonts w:hint="eastAsia" w:ascii="新宋体" w:hAnsi="新宋体" w:eastAsia="新宋体" w:cs="新宋体"/>
          <w:b/>
          <w:color w:val="auto"/>
          <w:sz w:val="30"/>
          <w:szCs w:val="30"/>
          <w:highlight w:val="none"/>
        </w:rPr>
        <w:t>年</w:t>
      </w:r>
      <w:r>
        <w:rPr>
          <w:rFonts w:hint="eastAsia" w:ascii="新宋体" w:hAnsi="新宋体" w:eastAsia="新宋体" w:cs="新宋体"/>
          <w:b/>
          <w:color w:val="auto"/>
          <w:sz w:val="30"/>
          <w:szCs w:val="30"/>
          <w:highlight w:val="none"/>
          <w:u w:val="single"/>
        </w:rPr>
        <w:t xml:space="preserve">      </w:t>
      </w:r>
      <w:r>
        <w:rPr>
          <w:rFonts w:hint="eastAsia" w:ascii="新宋体" w:hAnsi="新宋体" w:eastAsia="新宋体" w:cs="新宋体"/>
          <w:b/>
          <w:color w:val="auto"/>
          <w:sz w:val="30"/>
          <w:szCs w:val="30"/>
          <w:highlight w:val="none"/>
        </w:rPr>
        <w:t>月</w:t>
      </w:r>
      <w:r>
        <w:rPr>
          <w:rFonts w:hint="eastAsia" w:ascii="新宋体" w:hAnsi="新宋体" w:eastAsia="新宋体" w:cs="新宋体"/>
          <w:b/>
          <w:color w:val="auto"/>
          <w:sz w:val="30"/>
          <w:szCs w:val="30"/>
          <w:highlight w:val="none"/>
          <w:u w:val="single"/>
        </w:rPr>
        <w:t xml:space="preserve">      </w:t>
      </w:r>
      <w:r>
        <w:rPr>
          <w:rFonts w:hint="eastAsia" w:ascii="新宋体" w:hAnsi="新宋体" w:eastAsia="新宋体" w:cs="新宋体"/>
          <w:b/>
          <w:color w:val="auto"/>
          <w:sz w:val="30"/>
          <w:szCs w:val="30"/>
          <w:highlight w:val="none"/>
        </w:rPr>
        <w:t>日</w:t>
      </w:r>
    </w:p>
    <w:p>
      <w:pPr>
        <w:spacing w:line="360" w:lineRule="auto"/>
        <w:jc w:val="left"/>
        <w:rPr>
          <w:rFonts w:hint="eastAsia" w:ascii="新宋体" w:hAnsi="新宋体" w:eastAsia="新宋体" w:cs="新宋体"/>
          <w:b/>
          <w:color w:val="auto"/>
          <w:sz w:val="32"/>
          <w:highlight w:val="none"/>
        </w:rPr>
      </w:pPr>
    </w:p>
    <w:p>
      <w:pPr>
        <w:spacing w:line="360" w:lineRule="auto"/>
        <w:ind w:firstLine="523" w:firstLineChars="246"/>
        <w:jc w:val="left"/>
        <w:rPr>
          <w:rFonts w:hint="eastAsia" w:ascii="新宋体" w:hAnsi="新宋体" w:eastAsia="新宋体" w:cs="新宋体"/>
          <w:b/>
          <w:color w:val="auto"/>
          <w:sz w:val="32"/>
          <w:szCs w:val="32"/>
          <w:highlight w:val="none"/>
        </w:rPr>
      </w:pPr>
      <w:r>
        <w:rPr>
          <w:rFonts w:hint="eastAsia" w:ascii="新宋体" w:hAnsi="新宋体" w:eastAsia="新宋体" w:cs="新宋体"/>
          <w:color w:val="auto"/>
          <w:highlight w:val="none"/>
        </w:rPr>
        <w:br w:type="page"/>
      </w:r>
      <w:r>
        <w:rPr>
          <w:rFonts w:hint="eastAsia" w:ascii="新宋体" w:hAnsi="新宋体" w:eastAsia="新宋体" w:cs="新宋体"/>
          <w:b/>
          <w:color w:val="auto"/>
          <w:sz w:val="28"/>
          <w:szCs w:val="28"/>
          <w:highlight w:val="none"/>
        </w:rPr>
        <w:t>格式1-1</w:t>
      </w:r>
    </w:p>
    <w:p>
      <w:pPr>
        <w:widowControl/>
        <w:spacing w:line="588" w:lineRule="exact"/>
        <w:ind w:firstLine="424" w:firstLineChars="150"/>
        <w:jc w:val="center"/>
        <w:outlineLvl w:val="1"/>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一、法定代表人/单位负责人授权书</w:t>
      </w:r>
    </w:p>
    <w:p>
      <w:pPr>
        <w:rPr>
          <w:rFonts w:hint="eastAsia" w:ascii="新宋体" w:hAnsi="新宋体" w:eastAsia="新宋体" w:cs="新宋体"/>
          <w:color w:val="auto"/>
          <w:highlight w:val="none"/>
        </w:rPr>
      </w:pPr>
    </w:p>
    <w:p>
      <w:pPr>
        <w:spacing w:line="360" w:lineRule="auto"/>
        <w:rPr>
          <w:rFonts w:hint="eastAsia" w:ascii="新宋体" w:hAnsi="新宋体" w:eastAsia="新宋体" w:cs="新宋体"/>
          <w:color w:val="auto"/>
          <w:highlight w:val="none"/>
        </w:rPr>
      </w:pPr>
      <w:bookmarkStart w:id="185" w:name="_Toc496688954"/>
      <w:bookmarkStart w:id="186" w:name="_Toc496689226"/>
    </w:p>
    <w:p>
      <w:pPr>
        <w:adjustRightInd w:val="0"/>
        <w:snapToGrid w:val="0"/>
        <w:spacing w:line="360" w:lineRule="auto"/>
        <w:ind w:left="486" w:hanging="486" w:hanging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致：四川成化工程项目管理有限公司</w:t>
      </w: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声明：</w:t>
      </w:r>
      <w:r>
        <w:rPr>
          <w:rFonts w:hint="eastAsia" w:ascii="新宋体" w:hAnsi="新宋体" w:eastAsia="新宋体" w:cs="新宋体"/>
          <w:color w:val="auto"/>
          <w:sz w:val="24"/>
          <w:highlight w:val="none"/>
          <w:u w:val="single"/>
        </w:rPr>
        <w:t>XXXX XXXX</w:t>
      </w:r>
      <w:r>
        <w:rPr>
          <w:rFonts w:hint="eastAsia" w:ascii="新宋体" w:hAnsi="新宋体" w:eastAsia="新宋体" w:cs="新宋体"/>
          <w:color w:val="auto"/>
          <w:sz w:val="24"/>
          <w:highlight w:val="none"/>
        </w:rPr>
        <w:t>（投标人名称）</w:t>
      </w:r>
      <w:r>
        <w:rPr>
          <w:rFonts w:hint="eastAsia" w:ascii="新宋体" w:hAnsi="新宋体" w:eastAsia="新宋体" w:cs="新宋体"/>
          <w:color w:val="auto"/>
          <w:sz w:val="24"/>
          <w:highlight w:val="none"/>
          <w:u w:val="single"/>
        </w:rPr>
        <w:t>XXXX</w:t>
      </w:r>
      <w:r>
        <w:rPr>
          <w:rFonts w:hint="eastAsia" w:ascii="新宋体" w:hAnsi="新宋体" w:eastAsia="新宋体" w:cs="新宋体"/>
          <w:color w:val="auto"/>
          <w:sz w:val="24"/>
          <w:highlight w:val="none"/>
        </w:rPr>
        <w:t>（法定代表人/单位负责人姓名、职务）授权</w:t>
      </w:r>
      <w:r>
        <w:rPr>
          <w:rFonts w:hint="eastAsia" w:ascii="新宋体" w:hAnsi="新宋体" w:eastAsia="新宋体" w:cs="新宋体"/>
          <w:color w:val="auto"/>
          <w:sz w:val="24"/>
          <w:highlight w:val="none"/>
          <w:u w:val="single"/>
        </w:rPr>
        <w:t>XXXX</w:t>
      </w:r>
      <w:r>
        <w:rPr>
          <w:rFonts w:hint="eastAsia" w:ascii="新宋体" w:hAnsi="新宋体" w:eastAsia="新宋体" w:cs="新宋体"/>
          <w:color w:val="auto"/>
          <w:sz w:val="24"/>
          <w:highlight w:val="none"/>
        </w:rPr>
        <w:t>（被授权人姓名、职务）为我方 “</w:t>
      </w:r>
      <w:r>
        <w:rPr>
          <w:rFonts w:hint="eastAsia" w:ascii="新宋体" w:hAnsi="新宋体" w:eastAsia="新宋体" w:cs="新宋体"/>
          <w:color w:val="auto"/>
          <w:sz w:val="24"/>
          <w:highlight w:val="none"/>
          <w:u w:val="single"/>
        </w:rPr>
        <w:t>XXXXXXXX</w:t>
      </w:r>
      <w:r>
        <w:rPr>
          <w:rFonts w:hint="eastAsia" w:ascii="新宋体" w:hAnsi="新宋体" w:eastAsia="新宋体" w:cs="新宋体"/>
          <w:color w:val="auto"/>
          <w:sz w:val="24"/>
          <w:highlight w:val="none"/>
        </w:rPr>
        <w:t>” 项目（招标编号：</w:t>
      </w:r>
      <w:r>
        <w:rPr>
          <w:rFonts w:hint="eastAsia" w:ascii="新宋体" w:hAnsi="新宋体" w:eastAsia="新宋体" w:cs="新宋体"/>
          <w:color w:val="auto"/>
          <w:sz w:val="24"/>
          <w:highlight w:val="none"/>
          <w:u w:val="single"/>
        </w:rPr>
        <w:t>XXXX</w:t>
      </w:r>
      <w:r>
        <w:rPr>
          <w:rFonts w:hint="eastAsia" w:ascii="新宋体" w:hAnsi="新宋体" w:eastAsia="新宋体" w:cs="新宋体"/>
          <w:color w:val="auto"/>
          <w:sz w:val="24"/>
          <w:highlight w:val="none"/>
        </w:rPr>
        <w:t>）投标活动的合法代表，以我方名义全权处理该项目有关投标、签订合同以及执行合同等一切事宜。</w:t>
      </w:r>
      <w:bookmarkEnd w:id="185"/>
      <w:bookmarkEnd w:id="186"/>
    </w:p>
    <w:p>
      <w:pPr>
        <w:spacing w:line="360" w:lineRule="auto"/>
        <w:ind w:left="426" w:leftChars="200"/>
        <w:jc w:val="left"/>
        <w:rPr>
          <w:rFonts w:hint="eastAsia" w:ascii="新宋体" w:hAnsi="新宋体" w:eastAsia="新宋体" w:cs="新宋体"/>
          <w:color w:val="auto"/>
          <w:sz w:val="24"/>
          <w:highlight w:val="none"/>
        </w:rPr>
      </w:pPr>
      <w:bookmarkStart w:id="187" w:name="_Toc496688955"/>
      <w:bookmarkStart w:id="188" w:name="_Toc496689227"/>
      <w:r>
        <w:rPr>
          <w:rFonts w:hint="eastAsia" w:ascii="新宋体" w:hAnsi="新宋体" w:eastAsia="新宋体" w:cs="新宋体"/>
          <w:color w:val="auto"/>
          <w:sz w:val="24"/>
          <w:highlight w:val="none"/>
        </w:rPr>
        <w:t>特此声明。</w:t>
      </w:r>
      <w:bookmarkEnd w:id="187"/>
      <w:bookmarkEnd w:id="188"/>
    </w:p>
    <w:p>
      <w:pPr>
        <w:spacing w:line="360" w:lineRule="auto"/>
        <w:rPr>
          <w:rFonts w:hint="eastAsia" w:ascii="新宋体" w:hAnsi="新宋体" w:eastAsia="新宋体" w:cs="新宋体"/>
          <w:color w:val="auto"/>
          <w:sz w:val="24"/>
          <w:highlight w:val="none"/>
        </w:rPr>
      </w:pPr>
      <w:bookmarkStart w:id="189" w:name="_Toc496689228"/>
      <w:bookmarkStart w:id="190" w:name="_Toc496688956"/>
    </w:p>
    <w:p>
      <w:pPr>
        <w:spacing w:line="360" w:lineRule="auto"/>
        <w:ind w:left="426" w:leftChars="200"/>
        <w:rPr>
          <w:rFonts w:hint="eastAsia" w:ascii="新宋体" w:hAnsi="新宋体" w:eastAsia="新宋体" w:cs="新宋体"/>
          <w:color w:val="auto"/>
          <w:sz w:val="24"/>
          <w:highlight w:val="none"/>
        </w:rPr>
      </w:pPr>
    </w:p>
    <w:p>
      <w:pPr>
        <w:spacing w:line="360" w:lineRule="auto"/>
        <w:ind w:left="426" w:leftChars="200"/>
        <w:rPr>
          <w:rFonts w:hint="eastAsia" w:ascii="新宋体" w:hAnsi="新宋体" w:eastAsia="新宋体" w:cs="新宋体"/>
          <w:color w:val="auto"/>
          <w:sz w:val="24"/>
          <w:highlight w:val="none"/>
        </w:rPr>
      </w:pPr>
    </w:p>
    <w:p>
      <w:pPr>
        <w:spacing w:line="360" w:lineRule="auto"/>
        <w:ind w:left="426" w:left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法定代表人/单位负责人签字或者加盖个人名章：XXXX</w:t>
      </w:r>
      <w:bookmarkEnd w:id="189"/>
      <w:bookmarkEnd w:id="190"/>
    </w:p>
    <w:p>
      <w:pPr>
        <w:pStyle w:val="19"/>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授权代表（签字或盖章）：</w:t>
      </w:r>
    </w:p>
    <w:p>
      <w:pPr>
        <w:spacing w:line="360" w:lineRule="auto"/>
        <w:ind w:left="426" w:leftChars="200"/>
        <w:rPr>
          <w:rFonts w:hint="eastAsia" w:ascii="新宋体" w:hAnsi="新宋体" w:eastAsia="新宋体" w:cs="新宋体"/>
          <w:color w:val="auto"/>
          <w:sz w:val="24"/>
          <w:highlight w:val="none"/>
        </w:rPr>
      </w:pPr>
      <w:bookmarkStart w:id="191" w:name="_Toc496689229"/>
      <w:bookmarkStart w:id="192" w:name="_Toc496688957"/>
      <w:r>
        <w:rPr>
          <w:rFonts w:hint="eastAsia" w:ascii="新宋体" w:hAnsi="新宋体" w:eastAsia="新宋体" w:cs="新宋体"/>
          <w:color w:val="auto"/>
          <w:sz w:val="24"/>
          <w:highlight w:val="none"/>
        </w:rPr>
        <w:t>投标人名称：XXXX（单位盖章）</w:t>
      </w:r>
      <w:bookmarkEnd w:id="191"/>
      <w:bookmarkEnd w:id="192"/>
    </w:p>
    <w:p>
      <w:pPr>
        <w:spacing w:line="360" w:lineRule="auto"/>
        <w:ind w:left="426" w:leftChars="200"/>
        <w:rPr>
          <w:rFonts w:hint="eastAsia" w:ascii="新宋体" w:hAnsi="新宋体" w:eastAsia="新宋体" w:cs="新宋体"/>
          <w:color w:val="auto"/>
          <w:sz w:val="24"/>
          <w:highlight w:val="none"/>
        </w:rPr>
      </w:pPr>
      <w:bookmarkStart w:id="193" w:name="_Toc496688958"/>
      <w:bookmarkStart w:id="194" w:name="_Toc496689230"/>
      <w:r>
        <w:rPr>
          <w:rFonts w:hint="eastAsia" w:ascii="新宋体" w:hAnsi="新宋体" w:eastAsia="新宋体" w:cs="新宋体"/>
          <w:color w:val="auto"/>
          <w:sz w:val="24"/>
          <w:highlight w:val="none"/>
        </w:rPr>
        <w:t>日    期：XXXX</w:t>
      </w:r>
      <w:bookmarkEnd w:id="193"/>
      <w:bookmarkEnd w:id="194"/>
    </w:p>
    <w:p>
      <w:pPr>
        <w:spacing w:line="360" w:lineRule="auto"/>
        <w:ind w:left="426" w:leftChars="200"/>
        <w:rPr>
          <w:rFonts w:hint="eastAsia" w:ascii="新宋体" w:hAnsi="新宋体" w:eastAsia="新宋体" w:cs="新宋体"/>
          <w:color w:val="auto"/>
          <w:sz w:val="24"/>
          <w:highlight w:val="none"/>
        </w:rPr>
      </w:pPr>
      <w:bookmarkStart w:id="195" w:name="_Toc217446084"/>
    </w:p>
    <w:p>
      <w:pPr>
        <w:spacing w:line="360" w:lineRule="auto"/>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注：</w:t>
      </w:r>
    </w:p>
    <w:p>
      <w:pPr>
        <w:spacing w:line="360" w:lineRule="auto"/>
        <w:ind w:left="426" w:left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1、投标人为法人单位时提供“法定代表人授权书”，投标人为其他组织时提供“单位负责人授权书”，投标人为自然人时提供“自然人身份证明材料”。</w:t>
      </w:r>
    </w:p>
    <w:p>
      <w:pPr>
        <w:spacing w:line="360" w:lineRule="auto"/>
        <w:ind w:left="426" w:left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2、应附法定代表人/单位负责人身份证明材料复印件和授权代表身份证明材料复印件，复印件均须加盖投标人公章。</w:t>
      </w:r>
    </w:p>
    <w:p>
      <w:pPr>
        <w:spacing w:line="360" w:lineRule="auto"/>
        <w:ind w:left="426" w:left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3、身份证明材料包括居民身份证或户口本或军官证或护照等。</w:t>
      </w:r>
    </w:p>
    <w:p>
      <w:pPr>
        <w:spacing w:line="360" w:lineRule="auto"/>
        <w:ind w:left="426" w:left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4、身份证明材料应同时提供其在有效期的材料，如居民身份证正、反面复印件。</w:t>
      </w:r>
    </w:p>
    <w:p>
      <w:pPr>
        <w:pStyle w:val="19"/>
        <w:rPr>
          <w:rFonts w:hint="eastAsia" w:ascii="新宋体" w:hAnsi="新宋体" w:eastAsia="新宋体" w:cs="新宋体"/>
          <w:color w:val="auto"/>
          <w:highlight w:val="none"/>
        </w:rPr>
      </w:pPr>
    </w:p>
    <w:p>
      <w:pPr>
        <w:pStyle w:val="19"/>
        <w:rPr>
          <w:rFonts w:hint="eastAsia" w:ascii="新宋体" w:hAnsi="新宋体" w:eastAsia="新宋体" w:cs="新宋体"/>
          <w:color w:val="auto"/>
          <w:highlight w:val="none"/>
        </w:rPr>
      </w:pPr>
    </w:p>
    <w:p>
      <w:pPr>
        <w:pStyle w:val="19"/>
        <w:rPr>
          <w:rFonts w:hint="eastAsia" w:ascii="新宋体" w:hAnsi="新宋体" w:eastAsia="新宋体" w:cs="新宋体"/>
          <w:color w:val="auto"/>
          <w:highlight w:val="none"/>
        </w:rPr>
      </w:pPr>
    </w:p>
    <w:p>
      <w:pPr>
        <w:pStyle w:val="19"/>
        <w:rPr>
          <w:rFonts w:hint="eastAsia" w:ascii="新宋体" w:hAnsi="新宋体" w:eastAsia="新宋体" w:cs="新宋体"/>
          <w:color w:val="auto"/>
          <w:highlight w:val="none"/>
        </w:rPr>
      </w:pPr>
    </w:p>
    <w:p>
      <w:pPr>
        <w:spacing w:line="360" w:lineRule="auto"/>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格式1-2</w:t>
      </w:r>
    </w:p>
    <w:bookmarkEnd w:id="195"/>
    <w:p>
      <w:pPr>
        <w:pStyle w:val="4"/>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法定代表人/单位负责人证明书</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投标单位名称：</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单位性质：</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成立时间：年月日</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经营期限：</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姓名：性别：年龄：职务：</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系（申请人名称）的法定代表人/单位负责人。</w:t>
      </w:r>
    </w:p>
    <w:p>
      <w:pPr>
        <w:spacing w:line="360" w:lineRule="auto"/>
        <w:ind w:firstLine="972" w:firstLineChars="400"/>
        <w:rPr>
          <w:rFonts w:hint="eastAsia" w:ascii="新宋体" w:hAnsi="新宋体" w:eastAsia="新宋体" w:cs="新宋体"/>
          <w:color w:val="auto"/>
          <w:sz w:val="24"/>
          <w:highlight w:val="none"/>
        </w:rPr>
      </w:pPr>
    </w:p>
    <w:p>
      <w:pPr>
        <w:spacing w:line="360" w:lineRule="auto"/>
        <w:ind w:firstLine="972" w:firstLineChars="4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特此证明。</w:t>
      </w:r>
    </w:p>
    <w:p>
      <w:pPr>
        <w:spacing w:line="360" w:lineRule="auto"/>
        <w:ind w:firstLine="486" w:firstLineChars="200"/>
        <w:rPr>
          <w:rFonts w:hint="eastAsia" w:ascii="新宋体" w:hAnsi="新宋体" w:eastAsia="新宋体" w:cs="新宋体"/>
          <w:color w:val="auto"/>
          <w:sz w:val="24"/>
          <w:highlight w:val="none"/>
        </w:rPr>
      </w:pPr>
    </w:p>
    <w:p>
      <w:pPr>
        <w:spacing w:line="48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投标人名称：</w:t>
      </w:r>
      <w:r>
        <w:rPr>
          <w:rFonts w:hint="eastAsia" w:ascii="新宋体" w:hAnsi="新宋体" w:eastAsia="新宋体" w:cs="新宋体"/>
          <w:color w:val="auto"/>
          <w:sz w:val="24"/>
          <w:highlight w:val="none"/>
          <w:u w:val="single"/>
        </w:rPr>
        <w:t xml:space="preserve">（单位公章）      </w:t>
      </w:r>
      <w:r>
        <w:rPr>
          <w:rFonts w:hint="eastAsia" w:ascii="新宋体" w:hAnsi="新宋体" w:eastAsia="新宋体" w:cs="新宋体"/>
          <w:color w:val="auto"/>
          <w:sz w:val="24"/>
          <w:highlight w:val="none"/>
        </w:rPr>
        <w:t>。</w:t>
      </w:r>
    </w:p>
    <w:p>
      <w:pPr>
        <w:spacing w:line="360" w:lineRule="auto"/>
        <w:ind w:firstLine="490" w:firstLineChars="202"/>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日    期：。</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注：1、供应商为法人单位时提供“法定代表人证明书”，供应商为其他组织时提供“单位负责人证明书”。</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2、法定代表人/单位负责人直接参与投标并签署投标文件时才须提供；</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3、应附法定代表人/单位负责人身份证（正反面）复印件；（提供身份证有困难的，也可提供户口本或军官证或护照等身份证明材料）</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4、供应商为自然人的可不附此证明书，只须提供自然人身份证（正反面）复印件；（提供身份证有困难的，也可提供户口本或军官证或护照等身份证明材料）。</w:t>
      </w:r>
    </w:p>
    <w:p>
      <w:pPr>
        <w:pStyle w:val="19"/>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pStyle w:val="19"/>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pStyle w:val="19"/>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pStyle w:val="19"/>
        <w:rPr>
          <w:rFonts w:hint="eastAsia" w:ascii="新宋体" w:hAnsi="新宋体" w:eastAsia="新宋体" w:cs="新宋体"/>
          <w:color w:val="auto"/>
          <w:highlight w:val="none"/>
        </w:rPr>
      </w:pPr>
    </w:p>
    <w:p>
      <w:pPr>
        <w:pStyle w:val="19"/>
        <w:rPr>
          <w:rFonts w:hint="eastAsia" w:ascii="新宋体" w:hAnsi="新宋体" w:eastAsia="新宋体" w:cs="新宋体"/>
          <w:b/>
          <w:color w:val="auto"/>
          <w:sz w:val="32"/>
          <w:szCs w:val="32"/>
          <w:highlight w:val="none"/>
        </w:rPr>
      </w:pPr>
      <w:r>
        <w:rPr>
          <w:rFonts w:hint="eastAsia" w:ascii="新宋体" w:hAnsi="新宋体" w:eastAsia="新宋体" w:cs="新宋体"/>
          <w:b/>
          <w:color w:val="auto"/>
          <w:sz w:val="28"/>
          <w:szCs w:val="28"/>
          <w:highlight w:val="none"/>
        </w:rPr>
        <w:br w:type="page"/>
      </w:r>
      <w:r>
        <w:rPr>
          <w:rFonts w:hint="eastAsia" w:ascii="新宋体" w:hAnsi="新宋体" w:eastAsia="新宋体" w:cs="新宋体"/>
          <w:b/>
          <w:color w:val="auto"/>
          <w:sz w:val="28"/>
          <w:szCs w:val="28"/>
          <w:highlight w:val="none"/>
        </w:rPr>
        <w:t>格式1-3</w:t>
      </w:r>
    </w:p>
    <w:p>
      <w:pPr>
        <w:widowControl/>
        <w:spacing w:line="588" w:lineRule="exact"/>
        <w:ind w:firstLine="424" w:firstLineChars="150"/>
        <w:jc w:val="center"/>
        <w:outlineLvl w:val="1"/>
        <w:rPr>
          <w:rFonts w:hint="eastAsia" w:ascii="新宋体" w:hAnsi="新宋体" w:eastAsia="新宋体" w:cs="新宋体"/>
          <w:b/>
          <w:color w:val="auto"/>
          <w:sz w:val="28"/>
          <w:szCs w:val="28"/>
          <w:highlight w:val="none"/>
        </w:rPr>
      </w:pPr>
      <w:bookmarkStart w:id="196" w:name="_Toc496689231"/>
      <w:bookmarkStart w:id="197" w:name="_Toc496688959"/>
      <w:r>
        <w:rPr>
          <w:rFonts w:hint="eastAsia" w:ascii="新宋体" w:hAnsi="新宋体" w:eastAsia="新宋体" w:cs="新宋体"/>
          <w:b/>
          <w:color w:val="auto"/>
          <w:sz w:val="28"/>
          <w:szCs w:val="28"/>
          <w:highlight w:val="none"/>
        </w:rPr>
        <w:t>三、承诺函</w:t>
      </w:r>
      <w:bookmarkEnd w:id="196"/>
      <w:bookmarkEnd w:id="197"/>
    </w:p>
    <w:p>
      <w:pPr>
        <w:rPr>
          <w:rFonts w:hint="eastAsia" w:ascii="新宋体" w:hAnsi="新宋体" w:eastAsia="新宋体" w:cs="新宋体"/>
          <w:color w:val="auto"/>
          <w:highlight w:val="none"/>
        </w:rPr>
      </w:pPr>
    </w:p>
    <w:p>
      <w:pPr>
        <w:adjustRightInd w:val="0"/>
        <w:snapToGrid w:val="0"/>
        <w:spacing w:line="360" w:lineRule="auto"/>
        <w:ind w:left="486" w:hanging="486" w:hangingChars="200"/>
        <w:rPr>
          <w:rFonts w:hint="eastAsia" w:ascii="新宋体" w:hAnsi="新宋体" w:eastAsia="新宋体" w:cs="新宋体"/>
          <w:color w:val="auto"/>
          <w:sz w:val="24"/>
          <w:highlight w:val="none"/>
        </w:rPr>
      </w:pPr>
      <w:bookmarkStart w:id="198" w:name="_Toc496689233"/>
      <w:bookmarkStart w:id="199" w:name="_Toc496688961"/>
      <w:r>
        <w:rPr>
          <w:rFonts w:hint="eastAsia" w:ascii="新宋体" w:hAnsi="新宋体" w:eastAsia="新宋体" w:cs="新宋体"/>
          <w:color w:val="auto"/>
          <w:sz w:val="24"/>
          <w:highlight w:val="none"/>
        </w:rPr>
        <w:t>致：四川成化工程项目管理有限公司</w:t>
      </w:r>
    </w:p>
    <w:p>
      <w:pPr>
        <w:spacing w:line="360" w:lineRule="auto"/>
        <w:ind w:left="426" w:left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我单位作为本次采购项目的投标人，根据招标文件要求，现郑重承诺如下：</w:t>
      </w:r>
      <w:bookmarkEnd w:id="198"/>
      <w:bookmarkEnd w:id="199"/>
    </w:p>
    <w:p>
      <w:pPr>
        <w:spacing w:line="360" w:lineRule="auto"/>
        <w:ind w:left="6" w:firstLine="477" w:firstLineChars="197"/>
        <w:rPr>
          <w:rFonts w:hint="eastAsia" w:ascii="新宋体" w:hAnsi="新宋体" w:eastAsia="新宋体" w:cs="新宋体"/>
          <w:color w:val="auto"/>
          <w:sz w:val="24"/>
          <w:highlight w:val="none"/>
        </w:rPr>
      </w:pPr>
      <w:bookmarkStart w:id="200" w:name="_Toc496688962"/>
      <w:bookmarkStart w:id="201" w:name="_Toc496689234"/>
      <w:r>
        <w:rPr>
          <w:rFonts w:hint="eastAsia" w:ascii="新宋体" w:hAnsi="新宋体" w:eastAsia="新宋体" w:cs="新宋体"/>
          <w:color w:val="auto"/>
          <w:sz w:val="24"/>
          <w:highlight w:val="none"/>
        </w:rPr>
        <w:t>一、具备《中华人民共和国政府采购法》第二十二条和本项目规定的条件：</w:t>
      </w:r>
      <w:bookmarkEnd w:id="200"/>
      <w:bookmarkEnd w:id="201"/>
    </w:p>
    <w:p>
      <w:pPr>
        <w:spacing w:line="360" w:lineRule="auto"/>
        <w:ind w:left="426" w:leftChars="200"/>
        <w:rPr>
          <w:rFonts w:hint="eastAsia" w:ascii="新宋体" w:hAnsi="新宋体" w:eastAsia="新宋体" w:cs="新宋体"/>
          <w:color w:val="auto"/>
          <w:sz w:val="24"/>
          <w:highlight w:val="none"/>
        </w:rPr>
      </w:pPr>
      <w:bookmarkStart w:id="202" w:name="_Toc496688963"/>
      <w:bookmarkStart w:id="203" w:name="_Toc496689235"/>
      <w:r>
        <w:rPr>
          <w:rFonts w:hint="eastAsia" w:ascii="新宋体" w:hAnsi="新宋体" w:eastAsia="新宋体" w:cs="新宋体"/>
          <w:color w:val="auto"/>
          <w:sz w:val="24"/>
          <w:highlight w:val="none"/>
        </w:rPr>
        <w:t>（一）具有独立承担民事责任的能力；</w:t>
      </w:r>
      <w:bookmarkEnd w:id="202"/>
      <w:bookmarkEnd w:id="203"/>
    </w:p>
    <w:p>
      <w:pPr>
        <w:spacing w:line="360" w:lineRule="auto"/>
        <w:ind w:left="426" w:leftChars="200"/>
        <w:rPr>
          <w:rFonts w:hint="eastAsia" w:ascii="新宋体" w:hAnsi="新宋体" w:eastAsia="新宋体" w:cs="新宋体"/>
          <w:color w:val="auto"/>
          <w:sz w:val="24"/>
          <w:highlight w:val="none"/>
        </w:rPr>
      </w:pPr>
      <w:bookmarkStart w:id="204" w:name="_Toc496689236"/>
      <w:bookmarkStart w:id="205" w:name="_Toc496688964"/>
      <w:r>
        <w:rPr>
          <w:rFonts w:hint="eastAsia" w:ascii="新宋体" w:hAnsi="新宋体" w:eastAsia="新宋体" w:cs="新宋体"/>
          <w:color w:val="auto"/>
          <w:sz w:val="24"/>
          <w:highlight w:val="none"/>
        </w:rPr>
        <w:t>（二）具有良好的商业信誉和健全的财务会计制度；</w:t>
      </w:r>
      <w:bookmarkEnd w:id="204"/>
      <w:bookmarkEnd w:id="205"/>
    </w:p>
    <w:p>
      <w:pPr>
        <w:spacing w:line="360" w:lineRule="auto"/>
        <w:ind w:left="426" w:leftChars="200"/>
        <w:rPr>
          <w:rFonts w:hint="eastAsia" w:ascii="新宋体" w:hAnsi="新宋体" w:eastAsia="新宋体" w:cs="新宋体"/>
          <w:color w:val="auto"/>
          <w:sz w:val="24"/>
          <w:highlight w:val="none"/>
        </w:rPr>
      </w:pPr>
      <w:bookmarkStart w:id="206" w:name="_Toc496689237"/>
      <w:bookmarkStart w:id="207" w:name="_Toc496688965"/>
      <w:r>
        <w:rPr>
          <w:rFonts w:hint="eastAsia" w:ascii="新宋体" w:hAnsi="新宋体" w:eastAsia="新宋体" w:cs="新宋体"/>
          <w:color w:val="auto"/>
          <w:sz w:val="24"/>
          <w:highlight w:val="none"/>
        </w:rPr>
        <w:t>（三）具有履行合同所必需的设备和专业技术能力；</w:t>
      </w:r>
      <w:bookmarkEnd w:id="206"/>
      <w:bookmarkEnd w:id="207"/>
    </w:p>
    <w:p>
      <w:pPr>
        <w:spacing w:line="360" w:lineRule="auto"/>
        <w:ind w:left="426" w:leftChars="200"/>
        <w:rPr>
          <w:rFonts w:hint="eastAsia" w:ascii="新宋体" w:hAnsi="新宋体" w:eastAsia="新宋体" w:cs="新宋体"/>
          <w:color w:val="auto"/>
          <w:sz w:val="24"/>
          <w:highlight w:val="none"/>
        </w:rPr>
      </w:pPr>
      <w:bookmarkStart w:id="208" w:name="_Toc496689238"/>
      <w:bookmarkStart w:id="209" w:name="_Toc496688966"/>
      <w:r>
        <w:rPr>
          <w:rFonts w:hint="eastAsia" w:ascii="新宋体" w:hAnsi="新宋体" w:eastAsia="新宋体" w:cs="新宋体"/>
          <w:color w:val="auto"/>
          <w:sz w:val="24"/>
          <w:highlight w:val="none"/>
        </w:rPr>
        <w:t>（四）有依法缴纳税收和社会保障资金的良好记录；</w:t>
      </w:r>
      <w:bookmarkEnd w:id="208"/>
      <w:bookmarkEnd w:id="209"/>
    </w:p>
    <w:p>
      <w:pPr>
        <w:spacing w:line="360" w:lineRule="auto"/>
        <w:ind w:left="426" w:leftChars="200"/>
        <w:rPr>
          <w:rFonts w:hint="eastAsia" w:ascii="新宋体" w:hAnsi="新宋体" w:eastAsia="新宋体" w:cs="新宋体"/>
          <w:color w:val="auto"/>
          <w:sz w:val="24"/>
          <w:highlight w:val="none"/>
        </w:rPr>
      </w:pPr>
      <w:bookmarkStart w:id="210" w:name="_Toc496689239"/>
      <w:bookmarkStart w:id="211" w:name="_Toc496688967"/>
      <w:r>
        <w:rPr>
          <w:rFonts w:hint="eastAsia" w:ascii="新宋体" w:hAnsi="新宋体" w:eastAsia="新宋体" w:cs="新宋体"/>
          <w:color w:val="auto"/>
          <w:sz w:val="24"/>
          <w:highlight w:val="none"/>
        </w:rPr>
        <w:t>（五）参加政府采购活动前三年内，在经营活动中没有重大违法记录</w:t>
      </w:r>
      <w:bookmarkEnd w:id="210"/>
      <w:bookmarkEnd w:id="211"/>
      <w:r>
        <w:rPr>
          <w:rFonts w:hint="eastAsia" w:ascii="新宋体" w:hAnsi="新宋体" w:eastAsia="新宋体" w:cs="新宋体"/>
          <w:color w:val="auto"/>
          <w:sz w:val="24"/>
          <w:highlight w:val="none"/>
        </w:rPr>
        <w:t>；</w:t>
      </w:r>
    </w:p>
    <w:p>
      <w:pPr>
        <w:spacing w:line="360" w:lineRule="auto"/>
        <w:ind w:left="426" w:left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（六）法律、行政法规规定的其他条件。</w:t>
      </w:r>
    </w:p>
    <w:p>
      <w:pPr>
        <w:spacing w:line="360" w:lineRule="auto"/>
        <w:ind w:left="6" w:firstLine="477" w:firstLineChars="197"/>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二、我方已完全知悉并充分了解招标文件中规定的实质性要求，如对招标文件有异议，已依法进行维权救济，不存在对招标文件有异议的同时又参加投标以求侥幸中标或者为实现其他非法目的的行为。</w:t>
      </w:r>
    </w:p>
    <w:p>
      <w:pPr>
        <w:spacing w:line="360" w:lineRule="auto"/>
        <w:ind w:left="6" w:firstLine="477" w:firstLineChars="197"/>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三、参加本次招标采购活动，不存在与单位负责人为同一人或者存在直接控股、管理关系的其他供应商参与同一合同项下的政府采购活动的行为。不存在为采购项目提供整体设计、规范编制或者项目管理、监理、检测等服务的行为。</w:t>
      </w:r>
    </w:p>
    <w:p>
      <w:pPr>
        <w:spacing w:line="360" w:lineRule="auto"/>
        <w:ind w:left="6" w:firstLine="477" w:firstLineChars="197"/>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四、参加本次招标采购活动，不存在和其他供应商在同一合同项下的采购项目中，同时委托同一个自然人、同一家庭的人员、同一单位的人员作为代理人的行为。</w:t>
      </w:r>
    </w:p>
    <w:p>
      <w:pPr>
        <w:spacing w:line="360" w:lineRule="auto"/>
        <w:ind w:left="6" w:firstLine="477" w:firstLineChars="197"/>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五、我单位及我单位法定代表人、主要负责人在参加本采购项目前三年内无行贿犯罪记录。</w:t>
      </w:r>
    </w:p>
    <w:p>
      <w:pPr>
        <w:spacing w:line="360" w:lineRule="auto"/>
        <w:ind w:left="6" w:firstLine="477" w:firstLineChars="197"/>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六、投标文件中提供的能够给予我单位带来优惠、好处的任何材料资料和技术、服务、商务、响应产品等响应承诺情况都是真实的、有效的、合法的。</w:t>
      </w:r>
    </w:p>
    <w:p>
      <w:pPr>
        <w:spacing w:line="360" w:lineRule="auto"/>
        <w:ind w:left="6" w:firstLine="477" w:firstLineChars="197"/>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七、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spacing w:line="360" w:lineRule="auto"/>
        <w:ind w:left="6" w:firstLine="477" w:firstLineChars="197"/>
        <w:rPr>
          <w:rFonts w:hint="eastAsia" w:ascii="新宋体" w:hAnsi="新宋体" w:eastAsia="新宋体" w:cs="新宋体"/>
          <w:color w:val="auto"/>
          <w:sz w:val="24"/>
          <w:highlight w:val="none"/>
        </w:rPr>
      </w:pPr>
      <w:bookmarkStart w:id="212" w:name="_Toc496689243"/>
      <w:bookmarkStart w:id="213" w:name="_Toc496688971"/>
      <w:r>
        <w:rPr>
          <w:rFonts w:hint="eastAsia" w:ascii="新宋体" w:hAnsi="新宋体" w:eastAsia="新宋体" w:cs="新宋体"/>
          <w:color w:val="auto"/>
          <w:sz w:val="24"/>
          <w:highlight w:val="none"/>
        </w:rPr>
        <w:t>本单位对上述承诺的内容事项真实性负责。如经查实上述承诺的内容事项存在虚假，我单位愿意接受以提供虚假材料谋取中标追究法律责任。</w:t>
      </w:r>
      <w:bookmarkEnd w:id="212"/>
      <w:bookmarkEnd w:id="213"/>
    </w:p>
    <w:p>
      <w:pPr>
        <w:spacing w:line="360" w:lineRule="auto"/>
        <w:ind w:left="426" w:leftChars="200"/>
        <w:rPr>
          <w:rFonts w:hint="eastAsia" w:ascii="新宋体" w:hAnsi="新宋体" w:eastAsia="新宋体" w:cs="新宋体"/>
          <w:color w:val="auto"/>
          <w:sz w:val="24"/>
          <w:highlight w:val="none"/>
        </w:rPr>
      </w:pPr>
    </w:p>
    <w:p>
      <w:pPr>
        <w:spacing w:line="360" w:lineRule="auto"/>
        <w:ind w:left="426" w:leftChars="200"/>
        <w:rPr>
          <w:rFonts w:hint="eastAsia" w:ascii="新宋体" w:hAnsi="新宋体" w:eastAsia="新宋体" w:cs="新宋体"/>
          <w:color w:val="auto"/>
          <w:sz w:val="24"/>
          <w:highlight w:val="none"/>
        </w:rPr>
      </w:pPr>
      <w:bookmarkStart w:id="214" w:name="_Toc496688972"/>
      <w:bookmarkStart w:id="215" w:name="_Toc496689244"/>
      <w:r>
        <w:rPr>
          <w:rFonts w:hint="eastAsia" w:ascii="新宋体" w:hAnsi="新宋体" w:eastAsia="新宋体" w:cs="新宋体"/>
          <w:color w:val="auto"/>
          <w:sz w:val="24"/>
          <w:highlight w:val="none"/>
        </w:rPr>
        <w:t>投标人名称：XXXX（单位公章）</w:t>
      </w:r>
      <w:bookmarkEnd w:id="214"/>
      <w:bookmarkEnd w:id="215"/>
    </w:p>
    <w:p>
      <w:pPr>
        <w:spacing w:before="158" w:beforeLines="50" w:after="158" w:afterLines="50"/>
        <w:rPr>
          <w:rFonts w:hint="eastAsia" w:ascii="新宋体" w:hAnsi="新宋体" w:eastAsia="新宋体" w:cs="新宋体"/>
          <w:bCs/>
          <w:color w:val="auto"/>
          <w:sz w:val="24"/>
          <w:highlight w:val="none"/>
        </w:rPr>
      </w:pPr>
      <w:bookmarkStart w:id="216" w:name="_Toc496688974"/>
      <w:bookmarkStart w:id="217" w:name="_Toc496689246"/>
      <w:r>
        <w:rPr>
          <w:rFonts w:hint="eastAsia" w:ascii="新宋体" w:hAnsi="新宋体" w:eastAsia="新宋体" w:cs="新宋体"/>
          <w:bCs/>
          <w:color w:val="auto"/>
          <w:sz w:val="24"/>
          <w:highlight w:val="none"/>
        </w:rPr>
        <w:t xml:space="preserve">   法定代表人/单位负责人或授权代表（签字或加盖个人名章）：。</w:t>
      </w:r>
    </w:p>
    <w:p>
      <w:pPr>
        <w:spacing w:line="360" w:lineRule="auto"/>
        <w:ind w:left="426" w:left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日    期：XXXX</w:t>
      </w:r>
      <w:bookmarkEnd w:id="216"/>
      <w:bookmarkEnd w:id="217"/>
    </w:p>
    <w:p>
      <w:pPr>
        <w:pStyle w:val="19"/>
        <w:rPr>
          <w:rFonts w:hint="eastAsia" w:ascii="新宋体" w:hAnsi="新宋体" w:eastAsia="新宋体" w:cs="新宋体"/>
          <w:color w:val="auto"/>
          <w:highlight w:val="none"/>
        </w:rPr>
      </w:pPr>
    </w:p>
    <w:p>
      <w:pPr>
        <w:pStyle w:val="19"/>
        <w:rPr>
          <w:rFonts w:hint="eastAsia" w:ascii="新宋体" w:hAnsi="新宋体" w:eastAsia="新宋体" w:cs="新宋体"/>
          <w:b/>
          <w:color w:val="auto"/>
          <w:sz w:val="32"/>
          <w:szCs w:val="32"/>
          <w:highlight w:val="none"/>
        </w:rPr>
      </w:pPr>
      <w:r>
        <w:rPr>
          <w:rFonts w:hint="eastAsia" w:ascii="新宋体" w:hAnsi="新宋体" w:eastAsia="新宋体" w:cs="新宋体"/>
          <w:color w:val="auto"/>
          <w:highlight w:val="none"/>
        </w:rPr>
        <w:br w:type="page"/>
      </w:r>
      <w:r>
        <w:rPr>
          <w:rFonts w:hint="eastAsia" w:ascii="新宋体" w:hAnsi="新宋体" w:eastAsia="新宋体" w:cs="新宋体"/>
          <w:b/>
          <w:color w:val="auto"/>
          <w:sz w:val="28"/>
          <w:szCs w:val="28"/>
          <w:highlight w:val="none"/>
        </w:rPr>
        <w:t>格式1-4</w:t>
      </w:r>
    </w:p>
    <w:p>
      <w:pPr>
        <w:widowControl/>
        <w:spacing w:line="588" w:lineRule="exact"/>
        <w:outlineLvl w:val="1"/>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四、投标人其他资格、资质性及其他类似效力要求的相关证明材料</w:t>
      </w:r>
    </w:p>
    <w:p>
      <w:pPr>
        <w:spacing w:line="360" w:lineRule="auto"/>
        <w:ind w:firstLine="486" w:firstLineChars="200"/>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注：投标人应按招标文件第四章、第五章相关要求提供佐证材料，有格式要求的从其要求，无格式要求的格式自拟。</w:t>
      </w:r>
    </w:p>
    <w:p>
      <w:pPr>
        <w:spacing w:line="360" w:lineRule="auto"/>
        <w:ind w:firstLine="486" w:firstLineChars="200"/>
        <w:rPr>
          <w:rFonts w:hint="eastAsia" w:ascii="新宋体" w:hAnsi="新宋体" w:eastAsia="新宋体" w:cs="新宋体"/>
          <w:b/>
          <w:color w:val="auto"/>
          <w:sz w:val="28"/>
          <w:szCs w:val="28"/>
          <w:highlight w:val="none"/>
        </w:rPr>
      </w:pPr>
      <w:r>
        <w:rPr>
          <w:rFonts w:hint="eastAsia" w:ascii="新宋体" w:hAnsi="新宋体" w:eastAsia="新宋体" w:cs="新宋体"/>
          <w:bCs/>
          <w:color w:val="auto"/>
          <w:sz w:val="24"/>
          <w:highlight w:val="none"/>
        </w:rPr>
        <w:br w:type="page"/>
      </w:r>
      <w:r>
        <w:rPr>
          <w:rFonts w:hint="eastAsia" w:ascii="新宋体" w:hAnsi="新宋体" w:eastAsia="新宋体" w:cs="新宋体"/>
          <w:b/>
          <w:color w:val="auto"/>
          <w:sz w:val="28"/>
          <w:szCs w:val="28"/>
          <w:highlight w:val="none"/>
        </w:rPr>
        <w:t>格式1-5</w:t>
      </w:r>
    </w:p>
    <w:p>
      <w:pPr>
        <w:widowControl/>
        <w:spacing w:line="588" w:lineRule="exact"/>
        <w:jc w:val="center"/>
        <w:outlineLvl w:val="1"/>
        <w:rPr>
          <w:rFonts w:hint="eastAsia" w:ascii="新宋体" w:hAnsi="新宋体" w:eastAsia="新宋体" w:cs="新宋体"/>
          <w:color w:val="auto"/>
          <w:kern w:val="0"/>
          <w:sz w:val="24"/>
          <w:highlight w:val="none"/>
        </w:rPr>
      </w:pPr>
      <w:r>
        <w:rPr>
          <w:rFonts w:hint="eastAsia" w:ascii="新宋体" w:hAnsi="新宋体" w:eastAsia="新宋体" w:cs="新宋体"/>
          <w:b/>
          <w:color w:val="auto"/>
          <w:sz w:val="28"/>
          <w:szCs w:val="28"/>
          <w:highlight w:val="none"/>
        </w:rPr>
        <w:t>五、中小企业声明函</w:t>
      </w:r>
    </w:p>
    <w:p>
      <w:pPr>
        <w:spacing w:line="360" w:lineRule="auto"/>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　　</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本公司（联合体）郑重声明，根据《政府采购促进中小企业发展管理办法》（财库﹝2020﹞46 号）的规定，本公司（联合体）参加 </w:t>
      </w:r>
      <w:r>
        <w:rPr>
          <w:rFonts w:hint="eastAsia" w:ascii="新宋体" w:hAnsi="新宋体" w:eastAsia="新宋体" w:cs="新宋体"/>
          <w:b/>
          <w:bCs/>
          <w:color w:val="auto"/>
          <w:sz w:val="24"/>
          <w:highlight w:val="none"/>
          <w:u w:val="single"/>
        </w:rPr>
        <w:t>（单位名称）</w:t>
      </w:r>
      <w:r>
        <w:rPr>
          <w:rFonts w:hint="eastAsia" w:ascii="新宋体" w:hAnsi="新宋体" w:eastAsia="新宋体" w:cs="新宋体"/>
          <w:color w:val="auto"/>
          <w:sz w:val="24"/>
          <w:highlight w:val="none"/>
        </w:rPr>
        <w:t xml:space="preserve"> 的</w:t>
      </w:r>
      <w:r>
        <w:rPr>
          <w:rFonts w:hint="eastAsia" w:ascii="新宋体" w:hAnsi="新宋体" w:eastAsia="新宋体" w:cs="新宋体"/>
          <w:b/>
          <w:bCs/>
          <w:color w:val="auto"/>
          <w:sz w:val="24"/>
          <w:highlight w:val="none"/>
          <w:u w:val="single"/>
        </w:rPr>
        <w:t xml:space="preserve"> （项目名称） </w:t>
      </w:r>
      <w:r>
        <w:rPr>
          <w:rFonts w:hint="eastAsia" w:ascii="新宋体" w:hAnsi="新宋体" w:eastAsia="新宋体" w:cs="新宋体"/>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w:t>
      </w:r>
      <w:r>
        <w:rPr>
          <w:rFonts w:hint="eastAsia" w:ascii="新宋体" w:hAnsi="新宋体" w:eastAsia="新宋体" w:cs="新宋体"/>
          <w:b/>
          <w:bCs/>
          <w:color w:val="auto"/>
          <w:sz w:val="24"/>
          <w:highlight w:val="none"/>
          <w:u w:val="single"/>
        </w:rPr>
        <w:t xml:space="preserve"> （标的名称） </w:t>
      </w:r>
      <w:r>
        <w:rPr>
          <w:rFonts w:hint="eastAsia" w:ascii="新宋体" w:hAnsi="新宋体" w:eastAsia="新宋体" w:cs="新宋体"/>
          <w:color w:val="auto"/>
          <w:sz w:val="24"/>
          <w:highlight w:val="none"/>
        </w:rPr>
        <w:t>，属于</w:t>
      </w:r>
      <w:r>
        <w:rPr>
          <w:rFonts w:hint="eastAsia" w:ascii="新宋体" w:hAnsi="新宋体" w:eastAsia="新宋体" w:cs="新宋体"/>
          <w:b/>
          <w:bCs/>
          <w:color w:val="auto"/>
          <w:sz w:val="24"/>
          <w:highlight w:val="none"/>
          <w:u w:val="single"/>
        </w:rPr>
        <w:t xml:space="preserve"> （采购文件中明确的所属行业）行业</w:t>
      </w:r>
      <w:r>
        <w:rPr>
          <w:rFonts w:hint="eastAsia" w:ascii="新宋体" w:hAnsi="新宋体" w:eastAsia="新宋体" w:cs="新宋体"/>
          <w:color w:val="auto"/>
          <w:sz w:val="24"/>
          <w:highlight w:val="none"/>
        </w:rPr>
        <w:t xml:space="preserve"> ；制造商为</w:t>
      </w:r>
      <w:r>
        <w:rPr>
          <w:rFonts w:hint="eastAsia" w:ascii="新宋体" w:hAnsi="新宋体" w:eastAsia="新宋体" w:cs="新宋体"/>
          <w:b/>
          <w:bCs/>
          <w:color w:val="auto"/>
          <w:sz w:val="24"/>
          <w:highlight w:val="none"/>
          <w:u w:val="single"/>
        </w:rPr>
        <w:t xml:space="preserve"> （企业名称） </w:t>
      </w:r>
      <w:r>
        <w:rPr>
          <w:rFonts w:hint="eastAsia" w:ascii="新宋体" w:hAnsi="新宋体" w:eastAsia="新宋体" w:cs="新宋体"/>
          <w:color w:val="auto"/>
          <w:sz w:val="24"/>
          <w:highlight w:val="none"/>
        </w:rPr>
        <w:t>，从业人员</w:t>
      </w:r>
      <w:r>
        <w:rPr>
          <w:rFonts w:hint="eastAsia" w:ascii="新宋体" w:hAnsi="新宋体" w:eastAsia="新宋体" w:cs="新宋体"/>
          <w:b/>
          <w:bCs/>
          <w:color w:val="auto"/>
          <w:sz w:val="24"/>
          <w:highlight w:val="none"/>
          <w:u w:val="single"/>
        </w:rPr>
        <w:t>XXX</w:t>
      </w:r>
      <w:r>
        <w:rPr>
          <w:rFonts w:hint="eastAsia" w:ascii="新宋体" w:hAnsi="新宋体" w:eastAsia="新宋体" w:cs="新宋体"/>
          <w:color w:val="auto"/>
          <w:sz w:val="24"/>
          <w:highlight w:val="none"/>
        </w:rPr>
        <w:t>人，营业收入为</w:t>
      </w:r>
      <w:r>
        <w:rPr>
          <w:rFonts w:hint="eastAsia" w:ascii="新宋体" w:hAnsi="新宋体" w:eastAsia="新宋体" w:cs="新宋体"/>
          <w:b/>
          <w:bCs/>
          <w:color w:val="auto"/>
          <w:sz w:val="24"/>
          <w:highlight w:val="none"/>
          <w:u w:val="single"/>
        </w:rPr>
        <w:t>XXX</w:t>
      </w:r>
      <w:r>
        <w:rPr>
          <w:rFonts w:hint="eastAsia" w:ascii="新宋体" w:hAnsi="新宋体" w:eastAsia="新宋体" w:cs="新宋体"/>
          <w:color w:val="auto"/>
          <w:sz w:val="24"/>
          <w:highlight w:val="none"/>
        </w:rPr>
        <w:t>万元，资产总额为</w:t>
      </w:r>
      <w:r>
        <w:rPr>
          <w:rFonts w:hint="eastAsia" w:ascii="新宋体" w:hAnsi="新宋体" w:eastAsia="新宋体" w:cs="新宋体"/>
          <w:b/>
          <w:bCs/>
          <w:color w:val="auto"/>
          <w:sz w:val="24"/>
          <w:highlight w:val="none"/>
          <w:u w:val="single"/>
        </w:rPr>
        <w:t>XX</w:t>
      </w:r>
      <w:r>
        <w:rPr>
          <w:rFonts w:hint="eastAsia" w:ascii="新宋体" w:hAnsi="新宋体" w:eastAsia="新宋体" w:cs="新宋体"/>
          <w:color w:val="auto"/>
          <w:sz w:val="24"/>
          <w:highlight w:val="none"/>
        </w:rPr>
        <w:t>万元,属于</w:t>
      </w:r>
      <w:r>
        <w:rPr>
          <w:rFonts w:hint="eastAsia" w:ascii="新宋体" w:hAnsi="新宋体" w:eastAsia="新宋体" w:cs="新宋体"/>
          <w:b/>
          <w:bCs/>
          <w:color w:val="auto"/>
          <w:sz w:val="24"/>
          <w:highlight w:val="none"/>
          <w:u w:val="single"/>
        </w:rPr>
        <w:t xml:space="preserve"> （中型企业、小型企业、微型企业）</w:t>
      </w:r>
      <w:r>
        <w:rPr>
          <w:rFonts w:hint="eastAsia" w:ascii="新宋体" w:hAnsi="新宋体" w:eastAsia="新宋体" w:cs="新宋体"/>
          <w:color w:val="auto"/>
          <w:sz w:val="24"/>
          <w:highlight w:val="none"/>
        </w:rPr>
        <w:t xml:space="preserve"> ；</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w:t>
      </w:r>
      <w:r>
        <w:rPr>
          <w:rFonts w:hint="eastAsia" w:ascii="新宋体" w:hAnsi="新宋体" w:eastAsia="新宋体" w:cs="新宋体"/>
          <w:b/>
          <w:bCs/>
          <w:color w:val="auto"/>
          <w:sz w:val="24"/>
          <w:highlight w:val="none"/>
          <w:u w:val="single"/>
        </w:rPr>
        <w:t xml:space="preserve"> （标的名称） </w:t>
      </w:r>
      <w:r>
        <w:rPr>
          <w:rFonts w:hint="eastAsia" w:ascii="新宋体" w:hAnsi="新宋体" w:eastAsia="新宋体" w:cs="新宋体"/>
          <w:color w:val="auto"/>
          <w:sz w:val="24"/>
          <w:highlight w:val="none"/>
        </w:rPr>
        <w:t>，属于</w:t>
      </w:r>
      <w:r>
        <w:rPr>
          <w:rFonts w:hint="eastAsia" w:ascii="新宋体" w:hAnsi="新宋体" w:eastAsia="新宋体" w:cs="新宋体"/>
          <w:b/>
          <w:bCs/>
          <w:color w:val="auto"/>
          <w:sz w:val="24"/>
          <w:highlight w:val="none"/>
          <w:u w:val="single"/>
        </w:rPr>
        <w:t xml:space="preserve"> （采购文件中明确的所属行业）行业</w:t>
      </w:r>
      <w:r>
        <w:rPr>
          <w:rFonts w:hint="eastAsia" w:ascii="新宋体" w:hAnsi="新宋体" w:eastAsia="新宋体" w:cs="新宋体"/>
          <w:color w:val="auto"/>
          <w:sz w:val="24"/>
          <w:highlight w:val="none"/>
        </w:rPr>
        <w:t xml:space="preserve"> ;制造商为</w:t>
      </w:r>
      <w:r>
        <w:rPr>
          <w:rFonts w:hint="eastAsia" w:ascii="新宋体" w:hAnsi="新宋体" w:eastAsia="新宋体" w:cs="新宋体"/>
          <w:b/>
          <w:bCs/>
          <w:color w:val="auto"/>
          <w:sz w:val="24"/>
          <w:highlight w:val="none"/>
          <w:u w:val="single"/>
        </w:rPr>
        <w:t xml:space="preserve"> （企业名称） </w:t>
      </w:r>
      <w:r>
        <w:rPr>
          <w:rFonts w:hint="eastAsia" w:ascii="新宋体" w:hAnsi="新宋体" w:eastAsia="新宋体" w:cs="新宋体"/>
          <w:color w:val="auto"/>
          <w:sz w:val="24"/>
          <w:highlight w:val="none"/>
        </w:rPr>
        <w:t>，从业人员</w:t>
      </w:r>
      <w:r>
        <w:rPr>
          <w:rFonts w:hint="eastAsia" w:ascii="新宋体" w:hAnsi="新宋体" w:eastAsia="新宋体" w:cs="新宋体"/>
          <w:b/>
          <w:bCs/>
          <w:color w:val="auto"/>
          <w:sz w:val="24"/>
          <w:highlight w:val="none"/>
          <w:u w:val="single"/>
        </w:rPr>
        <w:t>XXX</w:t>
      </w:r>
      <w:r>
        <w:rPr>
          <w:rFonts w:hint="eastAsia" w:ascii="新宋体" w:hAnsi="新宋体" w:eastAsia="新宋体" w:cs="新宋体"/>
          <w:color w:val="auto"/>
          <w:sz w:val="24"/>
          <w:highlight w:val="none"/>
        </w:rPr>
        <w:t>人，营业收入为</w:t>
      </w:r>
      <w:r>
        <w:rPr>
          <w:rFonts w:hint="eastAsia" w:ascii="新宋体" w:hAnsi="新宋体" w:eastAsia="新宋体" w:cs="新宋体"/>
          <w:b/>
          <w:bCs/>
          <w:color w:val="auto"/>
          <w:sz w:val="24"/>
          <w:highlight w:val="none"/>
          <w:u w:val="single"/>
        </w:rPr>
        <w:t>XXX</w:t>
      </w:r>
      <w:r>
        <w:rPr>
          <w:rFonts w:hint="eastAsia" w:ascii="新宋体" w:hAnsi="新宋体" w:eastAsia="新宋体" w:cs="新宋体"/>
          <w:color w:val="auto"/>
          <w:sz w:val="24"/>
          <w:highlight w:val="none"/>
        </w:rPr>
        <w:t>万元，资产总额为</w:t>
      </w:r>
      <w:r>
        <w:rPr>
          <w:rFonts w:hint="eastAsia" w:ascii="新宋体" w:hAnsi="新宋体" w:eastAsia="新宋体" w:cs="新宋体"/>
          <w:b/>
          <w:bCs/>
          <w:color w:val="auto"/>
          <w:sz w:val="24"/>
          <w:highlight w:val="none"/>
          <w:u w:val="single"/>
        </w:rPr>
        <w:t>XX</w:t>
      </w:r>
      <w:r>
        <w:rPr>
          <w:rFonts w:hint="eastAsia" w:ascii="新宋体" w:hAnsi="新宋体" w:eastAsia="新宋体" w:cs="新宋体"/>
          <w:color w:val="auto"/>
          <w:sz w:val="24"/>
          <w:highlight w:val="none"/>
        </w:rPr>
        <w:t>万元，属于</w:t>
      </w:r>
      <w:r>
        <w:rPr>
          <w:rFonts w:hint="eastAsia" w:ascii="新宋体" w:hAnsi="新宋体" w:eastAsia="新宋体" w:cs="新宋体"/>
          <w:b/>
          <w:bCs/>
          <w:color w:val="auto"/>
          <w:sz w:val="24"/>
          <w:highlight w:val="none"/>
          <w:u w:val="single"/>
        </w:rPr>
        <w:t xml:space="preserve"> （中型企业、小型企业、微型企业） </w:t>
      </w:r>
      <w:r>
        <w:rPr>
          <w:rFonts w:hint="eastAsia" w:ascii="新宋体" w:hAnsi="新宋体" w:eastAsia="新宋体" w:cs="新宋体"/>
          <w:color w:val="auto"/>
          <w:sz w:val="24"/>
          <w:highlight w:val="none"/>
        </w:rPr>
        <w:t>；</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以上企业，不属于大企业的分支机构，不存在控股股东为大企业的情形，也不存在与大企业的负责人为同一人的情形。</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本企业对上述声明内容的真实性负责。如有虚假，将依法承担相应责任。</w:t>
      </w:r>
    </w:p>
    <w:p>
      <w:pPr>
        <w:spacing w:line="360" w:lineRule="auto"/>
        <w:ind w:firstLine="486" w:firstLineChars="200"/>
        <w:rPr>
          <w:rFonts w:hint="eastAsia" w:ascii="新宋体" w:hAnsi="新宋体" w:eastAsia="新宋体" w:cs="新宋体"/>
          <w:color w:val="auto"/>
          <w:kern w:val="0"/>
          <w:sz w:val="24"/>
          <w:highlight w:val="none"/>
        </w:rPr>
      </w:pPr>
    </w:p>
    <w:p>
      <w:pPr>
        <w:spacing w:line="360" w:lineRule="auto"/>
        <w:rPr>
          <w:rFonts w:hint="eastAsia" w:ascii="新宋体" w:hAnsi="新宋体" w:eastAsia="新宋体" w:cs="新宋体"/>
          <w:color w:val="auto"/>
          <w:kern w:val="0"/>
          <w:sz w:val="24"/>
          <w:highlight w:val="none"/>
        </w:rPr>
      </w:pPr>
    </w:p>
    <w:p>
      <w:pPr>
        <w:spacing w:line="360" w:lineRule="auto"/>
        <w:jc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 xml:space="preserve">           企业名称（盖章）：</w:t>
      </w:r>
    </w:p>
    <w:p>
      <w:pPr>
        <w:spacing w:line="360" w:lineRule="auto"/>
        <w:jc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 xml:space="preserve">日 期： </w:t>
      </w:r>
    </w:p>
    <w:p>
      <w:pPr>
        <w:spacing w:line="360" w:lineRule="auto"/>
        <w:rPr>
          <w:rFonts w:hint="eastAsia" w:ascii="新宋体" w:hAnsi="新宋体" w:eastAsia="新宋体" w:cs="新宋体"/>
          <w:color w:val="auto"/>
          <w:kern w:val="0"/>
          <w:sz w:val="24"/>
          <w:szCs w:val="22"/>
          <w:highlight w:val="none"/>
        </w:rPr>
      </w:pPr>
    </w:p>
    <w:p>
      <w:pPr>
        <w:pStyle w:val="19"/>
        <w:rPr>
          <w:rFonts w:hint="eastAsia" w:ascii="新宋体" w:hAnsi="新宋体" w:eastAsia="新宋体" w:cs="新宋体"/>
          <w:color w:val="auto"/>
          <w:highlight w:val="none"/>
        </w:rPr>
      </w:pPr>
      <w:r>
        <w:rPr>
          <w:rFonts w:hint="eastAsia" w:ascii="新宋体" w:hAnsi="新宋体" w:eastAsia="新宋体" w:cs="新宋体"/>
          <w:color w:val="auto"/>
          <w:kern w:val="0"/>
          <w:sz w:val="24"/>
          <w:szCs w:val="22"/>
          <w:highlight w:val="none"/>
        </w:rPr>
        <w:t>注：从业人员、营业收入、资产总额填报上一年度数据，无上一年度数据的新成立企业可不填报</w:t>
      </w:r>
      <w:r>
        <w:rPr>
          <w:rFonts w:hint="eastAsia" w:ascii="新宋体" w:hAnsi="新宋体" w:eastAsia="新宋体" w:cs="新宋体"/>
          <w:color w:val="auto"/>
          <w:kern w:val="0"/>
          <w:sz w:val="24"/>
          <w:highlight w:val="none"/>
        </w:rPr>
        <w:t>。</w:t>
      </w:r>
    </w:p>
    <w:p>
      <w:pPr>
        <w:spacing w:line="360" w:lineRule="auto"/>
        <w:rPr>
          <w:rFonts w:hint="eastAsia" w:ascii="新宋体" w:hAnsi="新宋体" w:eastAsia="新宋体" w:cs="新宋体"/>
          <w:b/>
          <w:color w:val="auto"/>
          <w:sz w:val="32"/>
          <w:highlight w:val="none"/>
        </w:rPr>
      </w:pPr>
    </w:p>
    <w:p>
      <w:pPr>
        <w:pStyle w:val="19"/>
        <w:rPr>
          <w:rFonts w:hint="eastAsia" w:ascii="新宋体" w:hAnsi="新宋体" w:eastAsia="新宋体" w:cs="新宋体"/>
          <w:b/>
          <w:color w:val="auto"/>
          <w:sz w:val="32"/>
          <w:highlight w:val="none"/>
        </w:rPr>
      </w:pPr>
    </w:p>
    <w:p>
      <w:pPr>
        <w:pStyle w:val="19"/>
        <w:rPr>
          <w:rFonts w:hint="eastAsia" w:ascii="新宋体" w:hAnsi="新宋体" w:eastAsia="新宋体" w:cs="新宋体"/>
          <w:b/>
          <w:color w:val="auto"/>
          <w:sz w:val="32"/>
          <w:highlight w:val="none"/>
        </w:rPr>
      </w:pPr>
    </w:p>
    <w:p>
      <w:pPr>
        <w:rPr>
          <w:rFonts w:hint="eastAsia" w:ascii="新宋体" w:hAnsi="新宋体" w:eastAsia="新宋体" w:cs="新宋体"/>
          <w:bCs/>
          <w:color w:val="auto"/>
          <w:sz w:val="32"/>
          <w:highlight w:val="none"/>
        </w:rPr>
      </w:pPr>
      <w:r>
        <w:rPr>
          <w:rFonts w:hint="eastAsia" w:ascii="新宋体" w:hAnsi="新宋体" w:eastAsia="新宋体" w:cs="新宋体"/>
          <w:b/>
          <w:color w:val="auto"/>
          <w:sz w:val="28"/>
          <w:szCs w:val="28"/>
          <w:highlight w:val="none"/>
        </w:rPr>
        <w:t>格式1-6</w:t>
      </w:r>
    </w:p>
    <w:p>
      <w:pPr>
        <w:widowControl/>
        <w:jc w:val="cente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六、监狱企业</w:t>
      </w:r>
    </w:p>
    <w:p>
      <w:pPr>
        <w:pStyle w:val="19"/>
        <w:spacing w:line="360" w:lineRule="auto"/>
        <w:ind w:firstLine="486" w:firstLineChars="200"/>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根据财库〔2014〕68号《财政部、司法部关于政府采购支持监狱企业发展有关问题的通知》，监狱企业视同小微企业。监狱企业是指司法部认定的为罪犯、戒毒人员提供生产项目和劳动对象，且全部产权属于司法部监狱管理局、戒毒管理所、直属煤矿管理局，各省、自治区、直辖市监狱管理局、戒毒康复所，以及新疆生产建设兵团监狱管理局、戒毒管理局（含新疆生产建设兵团）出具的属于监狱企业的证明文件，不再提供《中小微企业声明函》。</w:t>
      </w:r>
    </w:p>
    <w:p>
      <w:pPr>
        <w:rPr>
          <w:rFonts w:hint="eastAsia" w:ascii="新宋体" w:hAnsi="新宋体" w:eastAsia="新宋体" w:cs="新宋体"/>
          <w:bCs/>
          <w:color w:val="auto"/>
          <w:sz w:val="32"/>
          <w:highlight w:val="none"/>
        </w:rPr>
      </w:pPr>
      <w:r>
        <w:rPr>
          <w:rFonts w:hint="eastAsia" w:ascii="新宋体" w:hAnsi="新宋体" w:eastAsia="新宋体" w:cs="新宋体"/>
          <w:bCs/>
          <w:color w:val="auto"/>
          <w:sz w:val="28"/>
          <w:szCs w:val="28"/>
          <w:highlight w:val="none"/>
        </w:rPr>
        <w:br w:type="page"/>
      </w:r>
      <w:r>
        <w:rPr>
          <w:rFonts w:hint="eastAsia" w:ascii="新宋体" w:hAnsi="新宋体" w:eastAsia="新宋体" w:cs="新宋体"/>
          <w:b/>
          <w:color w:val="auto"/>
          <w:sz w:val="28"/>
          <w:szCs w:val="28"/>
          <w:highlight w:val="none"/>
        </w:rPr>
        <w:t>格式1-7</w:t>
      </w:r>
    </w:p>
    <w:p>
      <w:pPr>
        <w:pStyle w:val="5"/>
        <w:jc w:val="center"/>
        <w:rPr>
          <w:rFonts w:hint="eastAsia" w:ascii="新宋体" w:hAnsi="新宋体" w:eastAsia="新宋体" w:cs="新宋体"/>
          <w:bCs w:val="0"/>
          <w:color w:val="auto"/>
          <w:sz w:val="28"/>
          <w:szCs w:val="28"/>
          <w:highlight w:val="none"/>
        </w:rPr>
      </w:pPr>
      <w:r>
        <w:rPr>
          <w:rFonts w:hint="eastAsia" w:ascii="新宋体" w:hAnsi="新宋体" w:eastAsia="新宋体" w:cs="新宋体"/>
          <w:bCs w:val="0"/>
          <w:color w:val="auto"/>
          <w:sz w:val="28"/>
          <w:szCs w:val="28"/>
          <w:highlight w:val="none"/>
        </w:rPr>
        <w:t>七、残疾人福利性单位声明函</w:t>
      </w:r>
    </w:p>
    <w:p>
      <w:pPr>
        <w:spacing w:line="400" w:lineRule="exact"/>
        <w:ind w:firstLine="510" w:firstLineChars="200"/>
        <w:rPr>
          <w:rFonts w:hint="eastAsia" w:ascii="新宋体" w:hAnsi="新宋体" w:eastAsia="新宋体" w:cs="新宋体"/>
          <w:color w:val="auto"/>
          <w:spacing w:val="6"/>
          <w:sz w:val="24"/>
          <w:highlight w:val="none"/>
        </w:rPr>
      </w:pPr>
      <w:r>
        <w:rPr>
          <w:rFonts w:hint="eastAsia" w:ascii="新宋体" w:hAnsi="新宋体" w:eastAsia="新宋体" w:cs="新宋体"/>
          <w:color w:val="auto"/>
          <w:spacing w:val="6"/>
          <w:sz w:val="24"/>
          <w:highlight w:val="none"/>
        </w:rPr>
        <w:t>本单位郑重声明，根据《财政部 民政部 中国残疾人联合会关于促进残疾人就业政府采购政策的通知》（财库</w:t>
      </w:r>
      <w:r>
        <w:rPr>
          <w:rFonts w:hint="eastAsia" w:ascii="新宋体" w:hAnsi="新宋体" w:eastAsia="新宋体" w:cs="新宋体"/>
          <w:color w:val="auto"/>
          <w:sz w:val="24"/>
          <w:highlight w:val="none"/>
        </w:rPr>
        <w:t>〔2017〕 141</w:t>
      </w:r>
      <w:r>
        <w:rPr>
          <w:rFonts w:hint="eastAsia" w:ascii="新宋体" w:hAnsi="新宋体" w:eastAsia="新宋体" w:cs="新宋体"/>
          <w:color w:val="auto"/>
          <w:spacing w:val="6"/>
          <w:sz w:val="24"/>
          <w:highlight w:val="none"/>
        </w:rPr>
        <w:t>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400" w:lineRule="exact"/>
        <w:ind w:firstLine="510" w:firstLineChars="200"/>
        <w:rPr>
          <w:rFonts w:hint="eastAsia" w:ascii="新宋体" w:hAnsi="新宋体" w:eastAsia="新宋体" w:cs="新宋体"/>
          <w:color w:val="auto"/>
          <w:spacing w:val="6"/>
          <w:sz w:val="24"/>
          <w:highlight w:val="none"/>
        </w:rPr>
      </w:pPr>
      <w:r>
        <w:rPr>
          <w:rFonts w:hint="eastAsia" w:ascii="新宋体" w:hAnsi="新宋体" w:eastAsia="新宋体" w:cs="新宋体"/>
          <w:color w:val="auto"/>
          <w:spacing w:val="6"/>
          <w:sz w:val="24"/>
          <w:highlight w:val="none"/>
        </w:rPr>
        <w:t>本单位对上述声明的真实性负责。如有虚假，将依法承担相应责任。</w:t>
      </w:r>
    </w:p>
    <w:p>
      <w:pPr>
        <w:tabs>
          <w:tab w:val="left" w:pos="4860"/>
        </w:tabs>
        <w:spacing w:line="400" w:lineRule="exact"/>
        <w:ind w:right="1560"/>
        <w:rPr>
          <w:rFonts w:hint="eastAsia" w:ascii="新宋体" w:hAnsi="新宋体" w:eastAsia="新宋体" w:cs="新宋体"/>
          <w:color w:val="auto"/>
          <w:spacing w:val="6"/>
          <w:sz w:val="24"/>
          <w:highlight w:val="none"/>
        </w:rPr>
      </w:pPr>
    </w:p>
    <w:p>
      <w:pPr>
        <w:tabs>
          <w:tab w:val="left" w:pos="4860"/>
        </w:tabs>
        <w:spacing w:line="400" w:lineRule="exact"/>
        <w:ind w:right="1560"/>
        <w:rPr>
          <w:rFonts w:hint="eastAsia" w:ascii="新宋体" w:hAnsi="新宋体" w:eastAsia="新宋体" w:cs="新宋体"/>
          <w:color w:val="auto"/>
          <w:spacing w:val="6"/>
          <w:sz w:val="24"/>
          <w:highlight w:val="none"/>
        </w:rPr>
      </w:pPr>
      <w:r>
        <w:rPr>
          <w:rFonts w:hint="eastAsia" w:ascii="新宋体" w:hAnsi="新宋体" w:eastAsia="新宋体" w:cs="新宋体"/>
          <w:color w:val="auto"/>
          <w:spacing w:val="6"/>
          <w:sz w:val="24"/>
          <w:highlight w:val="none"/>
        </w:rPr>
        <w:t>单位名称（盖章）：</w:t>
      </w:r>
    </w:p>
    <w:p>
      <w:pPr>
        <w:spacing w:line="400" w:lineRule="exact"/>
        <w:rPr>
          <w:rFonts w:hint="eastAsia" w:ascii="新宋体" w:hAnsi="新宋体" w:eastAsia="新宋体" w:cs="新宋体"/>
          <w:color w:val="auto"/>
          <w:sz w:val="24"/>
          <w:highlight w:val="none"/>
        </w:rPr>
      </w:pPr>
      <w:r>
        <w:rPr>
          <w:rFonts w:hint="eastAsia" w:ascii="新宋体" w:hAnsi="新宋体" w:eastAsia="新宋体" w:cs="新宋体"/>
          <w:color w:val="auto"/>
          <w:spacing w:val="6"/>
          <w:sz w:val="24"/>
          <w:highlight w:val="none"/>
        </w:rPr>
        <w:t>日  期：</w:t>
      </w:r>
    </w:p>
    <w:p>
      <w:pPr>
        <w:spacing w:line="400" w:lineRule="exact"/>
        <w:rPr>
          <w:rFonts w:hint="eastAsia" w:ascii="新宋体" w:hAnsi="新宋体" w:eastAsia="新宋体" w:cs="新宋体"/>
          <w:color w:val="auto"/>
          <w:szCs w:val="21"/>
          <w:highlight w:val="none"/>
        </w:rPr>
      </w:pPr>
    </w:p>
    <w:p>
      <w:pPr>
        <w:spacing w:line="400" w:lineRule="exac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注：</w:t>
      </w:r>
    </w:p>
    <w:p>
      <w:pPr>
        <w:numPr>
          <w:ilvl w:val="0"/>
          <w:numId w:val="11"/>
        </w:numPr>
        <w:spacing w:line="400" w:lineRule="exact"/>
        <w:ind w:firstLine="426"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残疾人福利性单位视同小型、微型企业，享受预留份额、评审中价格扣除等促进中小企业发展的政府采购政策。残疾人福利性单位属于小型、微型企业的，不重复享受政策。投标人为非残疾人福利性单位的，可不提供此声明。</w:t>
      </w:r>
    </w:p>
    <w:p>
      <w:pPr>
        <w:numPr>
          <w:ilvl w:val="0"/>
          <w:numId w:val="11"/>
        </w:numPr>
        <w:spacing w:line="400" w:lineRule="exact"/>
        <w:ind w:firstLine="426"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若未提供此表的则不享受残疾人企业价格折扣。</w:t>
      </w:r>
    </w:p>
    <w:p>
      <w:pPr>
        <w:numPr>
          <w:ilvl w:val="0"/>
          <w:numId w:val="11"/>
        </w:numPr>
        <w:spacing w:line="400" w:lineRule="exact"/>
        <w:ind w:firstLine="426"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 享受政府采购支持政策的残疾人福利性单位应当同时满足以下条件：</w:t>
      </w:r>
    </w:p>
    <w:p>
      <w:pPr>
        <w:spacing w:line="400" w:lineRule="exact"/>
        <w:ind w:firstLine="426"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（一）安置的残疾人占本单位在职职工人数的比例不低于25%（含25%），并且安置的残疾人人数不少于10人（含10人）；</w:t>
      </w:r>
    </w:p>
    <w:p>
      <w:pPr>
        <w:spacing w:line="400" w:lineRule="exact"/>
        <w:ind w:firstLine="426"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（二）依法与安置的每位残疾人签订了一年以上（含一年）的劳动合同或服务协议；</w:t>
      </w:r>
    </w:p>
    <w:p>
      <w:pPr>
        <w:spacing w:line="400" w:lineRule="exact"/>
        <w:ind w:firstLine="426"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（三）为安置的每位残疾人按月足额缴纳了基本养老保险、基本医疗保险、失业保险、工伤保险和生育保险等社会保险费；</w:t>
      </w:r>
    </w:p>
    <w:p>
      <w:pPr>
        <w:spacing w:line="400" w:lineRule="exact"/>
        <w:ind w:firstLine="426"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（四）通过银行等金融机构向安置的每位残疾人，按月支付了不低于单位所在区县适用的经省级人民政府批准的月最低工资标准的工资；</w:t>
      </w:r>
    </w:p>
    <w:p>
      <w:pPr>
        <w:pStyle w:val="19"/>
        <w:ind w:firstLine="426" w:firstLineChars="200"/>
        <w:rPr>
          <w:rFonts w:hint="eastAsia" w:ascii="新宋体" w:hAnsi="新宋体" w:eastAsia="新宋体" w:cs="新宋体"/>
          <w:b/>
          <w:color w:val="auto"/>
          <w:sz w:val="32"/>
          <w:highlight w:val="none"/>
        </w:rPr>
      </w:pPr>
      <w:r>
        <w:rPr>
          <w:rFonts w:hint="eastAsia" w:ascii="新宋体" w:hAnsi="新宋体" w:eastAsia="新宋体" w:cs="新宋体"/>
          <w:color w:val="auto"/>
          <w:szCs w:val="21"/>
          <w:highlight w:val="none"/>
        </w:rPr>
        <w:t>（五）提供本单位制造的货物、承担的工程或者服务（以下简称产品），或者提供其他残疾人福利性单位制造的货物（不包括使用非残疾人福利性单位注册商标的货物）。</w:t>
      </w:r>
    </w:p>
    <w:p>
      <w:pPr>
        <w:pStyle w:val="19"/>
        <w:rPr>
          <w:rFonts w:hint="eastAsia" w:ascii="新宋体" w:hAnsi="新宋体" w:eastAsia="新宋体" w:cs="新宋体"/>
          <w:b/>
          <w:color w:val="auto"/>
          <w:sz w:val="32"/>
          <w:highlight w:val="none"/>
        </w:rPr>
      </w:pPr>
    </w:p>
    <w:p>
      <w:pPr>
        <w:tabs>
          <w:tab w:val="left" w:pos="900"/>
        </w:tabs>
        <w:spacing w:line="360" w:lineRule="auto"/>
        <w:jc w:val="center"/>
        <w:rPr>
          <w:rFonts w:hint="eastAsia" w:ascii="新宋体" w:hAnsi="新宋体" w:eastAsia="新宋体" w:cs="新宋体"/>
          <w:b/>
          <w:color w:val="auto"/>
          <w:sz w:val="30"/>
          <w:szCs w:val="30"/>
          <w:highlight w:val="none"/>
        </w:rPr>
      </w:pPr>
      <w:r>
        <w:rPr>
          <w:rFonts w:hint="eastAsia" w:ascii="新宋体" w:hAnsi="新宋体" w:eastAsia="新宋体" w:cs="新宋体"/>
          <w:b/>
          <w:color w:val="auto"/>
          <w:sz w:val="30"/>
          <w:szCs w:val="30"/>
          <w:highlight w:val="none"/>
        </w:rPr>
        <w:br w:type="page"/>
      </w:r>
      <w:r>
        <w:rPr>
          <w:rFonts w:hint="eastAsia" w:ascii="新宋体" w:hAnsi="新宋体" w:eastAsia="新宋体" w:cs="新宋体"/>
          <w:b/>
          <w:color w:val="auto"/>
          <w:sz w:val="30"/>
          <w:szCs w:val="30"/>
          <w:highlight w:val="none"/>
        </w:rPr>
        <w:t>第二部分     其他投标文件格式</w:t>
      </w:r>
    </w:p>
    <w:p>
      <w:pPr>
        <w:spacing w:line="360" w:lineRule="auto"/>
        <w:rPr>
          <w:rFonts w:hint="eastAsia" w:ascii="新宋体" w:hAnsi="新宋体" w:eastAsia="新宋体" w:cs="新宋体"/>
          <w:b/>
          <w:color w:val="auto"/>
          <w:sz w:val="32"/>
          <w:szCs w:val="32"/>
          <w:highlight w:val="none"/>
        </w:rPr>
      </w:pPr>
    </w:p>
    <w:p>
      <w:pPr>
        <w:spacing w:line="360" w:lineRule="auto"/>
        <w:rPr>
          <w:rFonts w:hint="eastAsia" w:ascii="新宋体" w:hAnsi="新宋体" w:eastAsia="新宋体" w:cs="新宋体"/>
          <w:b/>
          <w:color w:val="auto"/>
          <w:sz w:val="32"/>
          <w:szCs w:val="32"/>
          <w:highlight w:val="none"/>
        </w:rPr>
      </w:pPr>
      <w:r>
        <w:rPr>
          <w:rFonts w:hint="eastAsia" w:ascii="新宋体" w:hAnsi="新宋体" w:eastAsia="新宋体" w:cs="新宋体"/>
          <w:b/>
          <w:color w:val="auto"/>
          <w:sz w:val="32"/>
          <w:szCs w:val="32"/>
          <w:highlight w:val="none"/>
        </w:rPr>
        <w:t>封面：</w:t>
      </w:r>
    </w:p>
    <w:p>
      <w:pPr>
        <w:spacing w:line="360" w:lineRule="auto"/>
        <w:jc w:val="right"/>
        <w:rPr>
          <w:rFonts w:hint="eastAsia" w:ascii="新宋体" w:hAnsi="新宋体" w:eastAsia="新宋体" w:cs="新宋体"/>
          <w:b/>
          <w:color w:val="auto"/>
          <w:sz w:val="36"/>
          <w:highlight w:val="none"/>
        </w:rPr>
      </w:pPr>
      <w:r>
        <w:rPr>
          <w:rFonts w:hint="eastAsia" w:ascii="新宋体" w:hAnsi="新宋体" w:eastAsia="新宋体" w:cs="新宋体"/>
          <w:b/>
          <w:color w:val="auto"/>
          <w:sz w:val="36"/>
          <w:highlight w:val="none"/>
        </w:rPr>
        <w:t>（正本/副本）</w:t>
      </w:r>
    </w:p>
    <w:p>
      <w:pPr>
        <w:spacing w:line="360" w:lineRule="auto"/>
        <w:rPr>
          <w:rFonts w:hint="eastAsia" w:ascii="新宋体" w:hAnsi="新宋体" w:eastAsia="新宋体" w:cs="新宋体"/>
          <w:b/>
          <w:color w:val="auto"/>
          <w:sz w:val="32"/>
          <w:szCs w:val="32"/>
          <w:highlight w:val="none"/>
        </w:rPr>
      </w:pPr>
    </w:p>
    <w:p>
      <w:pPr>
        <w:spacing w:line="360" w:lineRule="auto"/>
        <w:ind w:firstLine="909" w:firstLineChars="300"/>
        <w:rPr>
          <w:rFonts w:hint="eastAsia" w:ascii="新宋体" w:hAnsi="新宋体" w:eastAsia="新宋体" w:cs="新宋体"/>
          <w:b/>
          <w:color w:val="auto"/>
          <w:sz w:val="30"/>
          <w:szCs w:val="30"/>
          <w:highlight w:val="none"/>
          <w:u w:val="single"/>
        </w:rPr>
      </w:pPr>
      <w:r>
        <w:rPr>
          <w:rFonts w:hint="eastAsia" w:ascii="新宋体" w:hAnsi="新宋体" w:eastAsia="新宋体" w:cs="新宋体"/>
          <w:b/>
          <w:color w:val="auto"/>
          <w:sz w:val="30"/>
          <w:szCs w:val="30"/>
          <w:highlight w:val="none"/>
        </w:rPr>
        <w:t xml:space="preserve">项目名称： </w:t>
      </w:r>
      <w:r>
        <w:rPr>
          <w:rFonts w:hint="eastAsia" w:ascii="新宋体" w:hAnsi="新宋体" w:eastAsia="新宋体" w:cs="新宋体"/>
          <w:b/>
          <w:color w:val="auto"/>
          <w:sz w:val="30"/>
          <w:szCs w:val="30"/>
          <w:highlight w:val="none"/>
          <w:u w:val="single"/>
        </w:rPr>
        <w:t xml:space="preserve">                          </w:t>
      </w:r>
    </w:p>
    <w:p>
      <w:pPr>
        <w:spacing w:line="360" w:lineRule="auto"/>
        <w:ind w:firstLine="909" w:firstLineChars="300"/>
        <w:rPr>
          <w:rFonts w:hint="eastAsia" w:ascii="新宋体" w:hAnsi="新宋体" w:eastAsia="新宋体" w:cs="新宋体"/>
          <w:b/>
          <w:color w:val="auto"/>
          <w:sz w:val="30"/>
          <w:szCs w:val="30"/>
          <w:highlight w:val="none"/>
        </w:rPr>
      </w:pPr>
    </w:p>
    <w:p>
      <w:pPr>
        <w:spacing w:line="360" w:lineRule="auto"/>
        <w:ind w:firstLine="905" w:firstLineChars="299"/>
        <w:rPr>
          <w:rFonts w:hint="eastAsia" w:ascii="新宋体" w:hAnsi="新宋体" w:eastAsia="新宋体" w:cs="新宋体"/>
          <w:b/>
          <w:color w:val="auto"/>
          <w:sz w:val="40"/>
          <w:szCs w:val="48"/>
          <w:highlight w:val="none"/>
          <w:u w:val="single"/>
        </w:rPr>
      </w:pPr>
      <w:r>
        <w:rPr>
          <w:rFonts w:hint="eastAsia" w:ascii="新宋体" w:hAnsi="新宋体" w:eastAsia="新宋体" w:cs="新宋体"/>
          <w:b/>
          <w:color w:val="auto"/>
          <w:sz w:val="30"/>
          <w:szCs w:val="30"/>
          <w:highlight w:val="none"/>
        </w:rPr>
        <w:t>招标编号：</w:t>
      </w:r>
      <w:r>
        <w:rPr>
          <w:rFonts w:hint="eastAsia" w:ascii="新宋体" w:hAnsi="新宋体" w:eastAsia="新宋体" w:cs="新宋体"/>
          <w:b/>
          <w:color w:val="auto"/>
          <w:sz w:val="40"/>
          <w:szCs w:val="48"/>
          <w:highlight w:val="none"/>
          <w:u w:val="single"/>
        </w:rPr>
        <w:t xml:space="preserve">                     </w:t>
      </w:r>
    </w:p>
    <w:p>
      <w:pPr>
        <w:pStyle w:val="19"/>
        <w:rPr>
          <w:rFonts w:hint="eastAsia" w:ascii="新宋体" w:hAnsi="新宋体" w:eastAsia="新宋体" w:cs="新宋体"/>
          <w:color w:val="auto"/>
          <w:sz w:val="30"/>
          <w:szCs w:val="30"/>
          <w:highlight w:val="none"/>
        </w:rPr>
      </w:pPr>
    </w:p>
    <w:p>
      <w:pPr>
        <w:pStyle w:val="19"/>
        <w:rPr>
          <w:rFonts w:hint="eastAsia" w:ascii="新宋体" w:hAnsi="新宋体" w:eastAsia="新宋体" w:cs="新宋体"/>
          <w:color w:val="auto"/>
          <w:highlight w:val="none"/>
        </w:rPr>
      </w:pPr>
    </w:p>
    <w:p>
      <w:pPr>
        <w:spacing w:line="360" w:lineRule="auto"/>
        <w:jc w:val="center"/>
        <w:rPr>
          <w:rFonts w:hint="eastAsia" w:ascii="新宋体" w:hAnsi="新宋体" w:eastAsia="新宋体" w:cs="新宋体"/>
          <w:b/>
          <w:color w:val="auto"/>
          <w:sz w:val="32"/>
          <w:szCs w:val="32"/>
          <w:highlight w:val="none"/>
        </w:rPr>
      </w:pPr>
      <w:r>
        <w:rPr>
          <w:rFonts w:hint="eastAsia" w:ascii="新宋体" w:hAnsi="新宋体" w:eastAsia="新宋体" w:cs="新宋体"/>
          <w:b/>
          <w:color w:val="auto"/>
          <w:sz w:val="52"/>
          <w:szCs w:val="52"/>
          <w:highlight w:val="none"/>
        </w:rPr>
        <w:t>其他投标文件</w:t>
      </w:r>
    </w:p>
    <w:p>
      <w:pPr>
        <w:spacing w:line="360" w:lineRule="auto"/>
        <w:rPr>
          <w:rFonts w:hint="eastAsia" w:ascii="新宋体" w:hAnsi="新宋体" w:eastAsia="新宋体" w:cs="新宋体"/>
          <w:b/>
          <w:color w:val="auto"/>
          <w:sz w:val="36"/>
          <w:highlight w:val="none"/>
        </w:rPr>
      </w:pPr>
    </w:p>
    <w:p>
      <w:pPr>
        <w:pStyle w:val="19"/>
        <w:rPr>
          <w:rFonts w:hint="eastAsia" w:ascii="新宋体" w:hAnsi="新宋体" w:eastAsia="新宋体" w:cs="新宋体"/>
          <w:b/>
          <w:color w:val="auto"/>
          <w:sz w:val="36"/>
          <w:highlight w:val="none"/>
        </w:rPr>
      </w:pPr>
    </w:p>
    <w:p>
      <w:pPr>
        <w:spacing w:line="360" w:lineRule="auto"/>
        <w:ind w:left="540"/>
        <w:rPr>
          <w:rFonts w:hint="eastAsia" w:ascii="新宋体" w:hAnsi="新宋体" w:eastAsia="新宋体" w:cs="新宋体"/>
          <w:b/>
          <w:color w:val="auto"/>
          <w:sz w:val="30"/>
          <w:szCs w:val="30"/>
          <w:highlight w:val="none"/>
          <w:u w:val="single"/>
        </w:rPr>
      </w:pPr>
      <w:r>
        <w:rPr>
          <w:rFonts w:hint="eastAsia" w:ascii="新宋体" w:hAnsi="新宋体" w:eastAsia="新宋体" w:cs="新宋体"/>
          <w:b/>
          <w:color w:val="auto"/>
          <w:sz w:val="30"/>
          <w:szCs w:val="30"/>
          <w:highlight w:val="none"/>
        </w:rPr>
        <w:t>投标人名称（全称并加盖公章） ：</w:t>
      </w:r>
      <w:r>
        <w:rPr>
          <w:rFonts w:hint="eastAsia" w:ascii="新宋体" w:hAnsi="新宋体" w:eastAsia="新宋体" w:cs="新宋体"/>
          <w:b/>
          <w:color w:val="auto"/>
          <w:sz w:val="30"/>
          <w:szCs w:val="30"/>
          <w:highlight w:val="none"/>
          <w:u w:val="single"/>
        </w:rPr>
        <w:t xml:space="preserve">                           </w:t>
      </w:r>
    </w:p>
    <w:p>
      <w:pPr>
        <w:spacing w:line="360" w:lineRule="auto"/>
        <w:ind w:left="540"/>
        <w:rPr>
          <w:rFonts w:hint="eastAsia" w:ascii="新宋体" w:hAnsi="新宋体" w:eastAsia="新宋体" w:cs="新宋体"/>
          <w:b/>
          <w:color w:val="auto"/>
          <w:sz w:val="30"/>
          <w:szCs w:val="30"/>
          <w:highlight w:val="none"/>
          <w:u w:val="single"/>
        </w:rPr>
      </w:pPr>
      <w:r>
        <w:rPr>
          <w:rFonts w:hint="eastAsia" w:ascii="新宋体" w:hAnsi="新宋体" w:eastAsia="新宋体" w:cs="新宋体"/>
          <w:b/>
          <w:color w:val="auto"/>
          <w:sz w:val="30"/>
          <w:szCs w:val="30"/>
          <w:highlight w:val="none"/>
        </w:rPr>
        <w:t>法定代表人姓名（签字或盖章）：</w:t>
      </w:r>
      <w:r>
        <w:rPr>
          <w:rFonts w:hint="eastAsia" w:ascii="新宋体" w:hAnsi="新宋体" w:eastAsia="新宋体" w:cs="新宋体"/>
          <w:b/>
          <w:color w:val="auto"/>
          <w:sz w:val="30"/>
          <w:szCs w:val="30"/>
          <w:highlight w:val="none"/>
          <w:u w:val="single"/>
        </w:rPr>
        <w:t xml:space="preserve">                                 </w:t>
      </w:r>
    </w:p>
    <w:p>
      <w:pPr>
        <w:spacing w:line="360" w:lineRule="auto"/>
        <w:ind w:left="540"/>
        <w:rPr>
          <w:rFonts w:hint="eastAsia" w:ascii="新宋体" w:hAnsi="新宋体" w:eastAsia="新宋体" w:cs="新宋体"/>
          <w:b/>
          <w:color w:val="auto"/>
          <w:sz w:val="30"/>
          <w:szCs w:val="30"/>
          <w:highlight w:val="none"/>
          <w:u w:val="single"/>
        </w:rPr>
      </w:pPr>
      <w:r>
        <w:rPr>
          <w:rFonts w:hint="eastAsia" w:ascii="新宋体" w:hAnsi="新宋体" w:eastAsia="新宋体" w:cs="新宋体"/>
          <w:b/>
          <w:color w:val="auto"/>
          <w:sz w:val="30"/>
          <w:szCs w:val="30"/>
          <w:highlight w:val="none"/>
        </w:rPr>
        <w:t>地          址：</w:t>
      </w:r>
      <w:r>
        <w:rPr>
          <w:rFonts w:hint="eastAsia" w:ascii="新宋体" w:hAnsi="新宋体" w:eastAsia="新宋体" w:cs="新宋体"/>
          <w:b/>
          <w:color w:val="auto"/>
          <w:sz w:val="30"/>
          <w:szCs w:val="30"/>
          <w:highlight w:val="none"/>
          <w:u w:val="single"/>
        </w:rPr>
        <w:t xml:space="preserve">                                        </w:t>
      </w:r>
      <w:r>
        <w:rPr>
          <w:rFonts w:hint="eastAsia" w:ascii="新宋体" w:hAnsi="新宋体" w:eastAsia="新宋体" w:cs="新宋体"/>
          <w:b/>
          <w:color w:val="auto"/>
          <w:sz w:val="30"/>
          <w:szCs w:val="30"/>
          <w:highlight w:val="none"/>
        </w:rPr>
        <w:t xml:space="preserve"> </w:t>
      </w:r>
    </w:p>
    <w:p>
      <w:pPr>
        <w:spacing w:line="360" w:lineRule="auto"/>
        <w:ind w:left="540"/>
        <w:rPr>
          <w:rFonts w:hint="eastAsia" w:ascii="新宋体" w:hAnsi="新宋体" w:eastAsia="新宋体" w:cs="新宋体"/>
          <w:b/>
          <w:color w:val="auto"/>
          <w:sz w:val="30"/>
          <w:szCs w:val="30"/>
          <w:highlight w:val="none"/>
          <w:u w:val="single"/>
        </w:rPr>
      </w:pPr>
      <w:r>
        <w:rPr>
          <w:rFonts w:hint="eastAsia" w:ascii="新宋体" w:hAnsi="新宋体" w:eastAsia="新宋体" w:cs="新宋体"/>
          <w:b/>
          <w:color w:val="auto"/>
          <w:sz w:val="30"/>
          <w:szCs w:val="30"/>
          <w:highlight w:val="none"/>
        </w:rPr>
        <w:t>电          话：</w:t>
      </w:r>
      <w:r>
        <w:rPr>
          <w:rFonts w:hint="eastAsia" w:ascii="新宋体" w:hAnsi="新宋体" w:eastAsia="新宋体" w:cs="新宋体"/>
          <w:b/>
          <w:color w:val="auto"/>
          <w:sz w:val="30"/>
          <w:szCs w:val="30"/>
          <w:highlight w:val="none"/>
          <w:u w:val="single"/>
        </w:rPr>
        <w:t xml:space="preserve">                                         </w:t>
      </w:r>
      <w:r>
        <w:rPr>
          <w:rFonts w:hint="eastAsia" w:ascii="新宋体" w:hAnsi="新宋体" w:eastAsia="新宋体" w:cs="新宋体"/>
          <w:b/>
          <w:color w:val="auto"/>
          <w:sz w:val="30"/>
          <w:szCs w:val="30"/>
          <w:highlight w:val="none"/>
        </w:rPr>
        <w:t xml:space="preserve"> </w:t>
      </w:r>
    </w:p>
    <w:p>
      <w:pPr>
        <w:spacing w:line="360" w:lineRule="auto"/>
        <w:ind w:left="540"/>
        <w:rPr>
          <w:rFonts w:hint="eastAsia" w:ascii="新宋体" w:hAnsi="新宋体" w:eastAsia="新宋体" w:cs="新宋体"/>
          <w:b/>
          <w:color w:val="auto"/>
          <w:sz w:val="30"/>
          <w:szCs w:val="30"/>
          <w:highlight w:val="none"/>
          <w:u w:val="single"/>
        </w:rPr>
      </w:pPr>
      <w:r>
        <w:rPr>
          <w:rFonts w:hint="eastAsia" w:ascii="新宋体" w:hAnsi="新宋体" w:eastAsia="新宋体" w:cs="新宋体"/>
          <w:b/>
          <w:color w:val="auto"/>
          <w:sz w:val="30"/>
          <w:szCs w:val="30"/>
          <w:highlight w:val="none"/>
        </w:rPr>
        <w:t>授  权  代  表：</w:t>
      </w:r>
      <w:r>
        <w:rPr>
          <w:rFonts w:hint="eastAsia" w:ascii="新宋体" w:hAnsi="新宋体" w:eastAsia="新宋体" w:cs="新宋体"/>
          <w:b/>
          <w:color w:val="auto"/>
          <w:sz w:val="30"/>
          <w:szCs w:val="30"/>
          <w:highlight w:val="none"/>
          <w:u w:val="single"/>
        </w:rPr>
        <w:t xml:space="preserve">                                               </w:t>
      </w:r>
      <w:r>
        <w:rPr>
          <w:rFonts w:hint="eastAsia" w:ascii="新宋体" w:hAnsi="新宋体" w:eastAsia="新宋体" w:cs="新宋体"/>
          <w:b/>
          <w:color w:val="auto"/>
          <w:sz w:val="30"/>
          <w:szCs w:val="30"/>
          <w:highlight w:val="none"/>
        </w:rPr>
        <w:t xml:space="preserve">  </w:t>
      </w:r>
    </w:p>
    <w:p>
      <w:pPr>
        <w:spacing w:line="360" w:lineRule="auto"/>
        <w:ind w:left="540"/>
        <w:rPr>
          <w:rFonts w:hint="eastAsia" w:ascii="新宋体" w:hAnsi="新宋体" w:eastAsia="新宋体" w:cs="新宋体"/>
          <w:b/>
          <w:color w:val="auto"/>
          <w:sz w:val="30"/>
          <w:szCs w:val="30"/>
          <w:highlight w:val="none"/>
        </w:rPr>
      </w:pPr>
      <w:r>
        <w:rPr>
          <w:rFonts w:hint="eastAsia" w:ascii="新宋体" w:hAnsi="新宋体" w:eastAsia="新宋体" w:cs="新宋体"/>
          <w:b/>
          <w:color w:val="auto"/>
          <w:sz w:val="30"/>
          <w:szCs w:val="30"/>
          <w:highlight w:val="none"/>
        </w:rPr>
        <w:t>日          期：</w:t>
      </w:r>
      <w:r>
        <w:rPr>
          <w:rFonts w:hint="eastAsia" w:ascii="新宋体" w:hAnsi="新宋体" w:eastAsia="新宋体" w:cs="新宋体"/>
          <w:b/>
          <w:color w:val="auto"/>
          <w:sz w:val="30"/>
          <w:szCs w:val="30"/>
          <w:highlight w:val="none"/>
          <w:u w:val="single"/>
        </w:rPr>
        <w:t xml:space="preserve">       </w:t>
      </w:r>
      <w:r>
        <w:rPr>
          <w:rFonts w:hint="eastAsia" w:ascii="新宋体" w:hAnsi="新宋体" w:eastAsia="新宋体" w:cs="新宋体"/>
          <w:b/>
          <w:color w:val="auto"/>
          <w:sz w:val="30"/>
          <w:szCs w:val="30"/>
          <w:highlight w:val="none"/>
        </w:rPr>
        <w:t>年</w:t>
      </w:r>
      <w:r>
        <w:rPr>
          <w:rFonts w:hint="eastAsia" w:ascii="新宋体" w:hAnsi="新宋体" w:eastAsia="新宋体" w:cs="新宋体"/>
          <w:b/>
          <w:color w:val="auto"/>
          <w:sz w:val="30"/>
          <w:szCs w:val="30"/>
          <w:highlight w:val="none"/>
          <w:u w:val="single"/>
        </w:rPr>
        <w:t xml:space="preserve">      </w:t>
      </w:r>
      <w:r>
        <w:rPr>
          <w:rFonts w:hint="eastAsia" w:ascii="新宋体" w:hAnsi="新宋体" w:eastAsia="新宋体" w:cs="新宋体"/>
          <w:b/>
          <w:color w:val="auto"/>
          <w:sz w:val="30"/>
          <w:szCs w:val="30"/>
          <w:highlight w:val="none"/>
        </w:rPr>
        <w:t>月</w:t>
      </w:r>
      <w:r>
        <w:rPr>
          <w:rFonts w:hint="eastAsia" w:ascii="新宋体" w:hAnsi="新宋体" w:eastAsia="新宋体" w:cs="新宋体"/>
          <w:b/>
          <w:color w:val="auto"/>
          <w:sz w:val="30"/>
          <w:szCs w:val="30"/>
          <w:highlight w:val="none"/>
          <w:u w:val="single"/>
        </w:rPr>
        <w:t xml:space="preserve">      </w:t>
      </w:r>
      <w:r>
        <w:rPr>
          <w:rFonts w:hint="eastAsia" w:ascii="新宋体" w:hAnsi="新宋体" w:eastAsia="新宋体" w:cs="新宋体"/>
          <w:b/>
          <w:color w:val="auto"/>
          <w:sz w:val="30"/>
          <w:szCs w:val="30"/>
          <w:highlight w:val="none"/>
        </w:rPr>
        <w:t>日</w:t>
      </w:r>
    </w:p>
    <w:p>
      <w:pPr>
        <w:spacing w:line="360" w:lineRule="auto"/>
        <w:rPr>
          <w:rFonts w:hint="eastAsia" w:ascii="新宋体" w:hAnsi="新宋体" w:eastAsia="新宋体" w:cs="新宋体"/>
          <w:b/>
          <w:color w:val="auto"/>
          <w:sz w:val="32"/>
          <w:szCs w:val="32"/>
          <w:highlight w:val="none"/>
        </w:rPr>
      </w:pPr>
      <w:r>
        <w:rPr>
          <w:rFonts w:hint="eastAsia" w:ascii="新宋体" w:hAnsi="新宋体" w:eastAsia="新宋体" w:cs="新宋体"/>
          <w:b/>
          <w:color w:val="auto"/>
          <w:sz w:val="32"/>
          <w:highlight w:val="none"/>
        </w:rPr>
        <w:br w:type="page"/>
      </w:r>
      <w:r>
        <w:rPr>
          <w:rFonts w:hint="eastAsia" w:ascii="新宋体" w:hAnsi="新宋体" w:eastAsia="新宋体" w:cs="新宋体"/>
          <w:b/>
          <w:color w:val="auto"/>
          <w:sz w:val="28"/>
          <w:szCs w:val="28"/>
          <w:highlight w:val="none"/>
        </w:rPr>
        <w:t>格式2-1</w:t>
      </w:r>
    </w:p>
    <w:p>
      <w:pPr>
        <w:widowControl/>
        <w:spacing w:line="360" w:lineRule="auto"/>
        <w:ind w:firstLine="424" w:firstLineChars="150"/>
        <w:jc w:val="center"/>
        <w:outlineLvl w:val="1"/>
        <w:rPr>
          <w:rFonts w:hint="eastAsia" w:ascii="新宋体" w:hAnsi="新宋体" w:eastAsia="新宋体" w:cs="新宋体"/>
          <w:b/>
          <w:color w:val="auto"/>
          <w:sz w:val="28"/>
          <w:szCs w:val="28"/>
          <w:highlight w:val="none"/>
        </w:rPr>
      </w:pPr>
      <w:bookmarkStart w:id="218" w:name="_Toc496688975"/>
      <w:bookmarkStart w:id="219" w:name="_Toc496689247"/>
      <w:bookmarkStart w:id="220" w:name="_Toc308164824"/>
      <w:r>
        <w:rPr>
          <w:rFonts w:hint="eastAsia" w:ascii="新宋体" w:hAnsi="新宋体" w:eastAsia="新宋体" w:cs="新宋体"/>
          <w:b/>
          <w:color w:val="auto"/>
          <w:sz w:val="28"/>
          <w:szCs w:val="28"/>
          <w:highlight w:val="none"/>
        </w:rPr>
        <w:t>一、投 标 函</w:t>
      </w:r>
      <w:bookmarkEnd w:id="218"/>
      <w:bookmarkEnd w:id="219"/>
    </w:p>
    <w:p>
      <w:pPr>
        <w:adjustRightInd w:val="0"/>
        <w:snapToGrid w:val="0"/>
        <w:spacing w:line="360" w:lineRule="auto"/>
        <w:ind w:left="486" w:hanging="486" w:hangingChars="200"/>
        <w:rPr>
          <w:rFonts w:hint="eastAsia" w:ascii="新宋体" w:hAnsi="新宋体" w:eastAsia="新宋体" w:cs="新宋体"/>
          <w:color w:val="auto"/>
          <w:sz w:val="24"/>
          <w:highlight w:val="none"/>
        </w:rPr>
      </w:pPr>
      <w:bookmarkStart w:id="221" w:name="_Toc496689249"/>
      <w:bookmarkStart w:id="222" w:name="_Toc496688977"/>
      <w:r>
        <w:rPr>
          <w:rFonts w:hint="eastAsia" w:ascii="新宋体" w:hAnsi="新宋体" w:eastAsia="新宋体" w:cs="新宋体"/>
          <w:color w:val="auto"/>
          <w:sz w:val="24"/>
          <w:highlight w:val="none"/>
        </w:rPr>
        <w:t>致：四川成化工程项目管理有限公司</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我方全面研究了“</w:t>
      </w:r>
      <w:r>
        <w:rPr>
          <w:rFonts w:hint="eastAsia" w:ascii="新宋体" w:hAnsi="新宋体" w:eastAsia="新宋体" w:cs="新宋体"/>
          <w:color w:val="auto"/>
          <w:sz w:val="24"/>
          <w:highlight w:val="none"/>
          <w:u w:val="single"/>
        </w:rPr>
        <w:t>XXXXXXXX</w:t>
      </w:r>
      <w:r>
        <w:rPr>
          <w:rFonts w:hint="eastAsia" w:ascii="新宋体" w:hAnsi="新宋体" w:eastAsia="新宋体" w:cs="新宋体"/>
          <w:color w:val="auto"/>
          <w:sz w:val="24"/>
          <w:highlight w:val="none"/>
        </w:rPr>
        <w:t>”项目（招标编号：</w:t>
      </w:r>
      <w:r>
        <w:rPr>
          <w:rFonts w:hint="eastAsia" w:ascii="新宋体" w:hAnsi="新宋体" w:eastAsia="新宋体" w:cs="新宋体"/>
          <w:color w:val="auto"/>
          <w:sz w:val="24"/>
          <w:highlight w:val="none"/>
          <w:u w:val="single"/>
        </w:rPr>
        <w:t>XXXX</w:t>
      </w:r>
      <w:r>
        <w:rPr>
          <w:rFonts w:hint="eastAsia" w:ascii="新宋体" w:hAnsi="新宋体" w:eastAsia="新宋体" w:cs="新宋体"/>
          <w:color w:val="auto"/>
          <w:sz w:val="24"/>
          <w:highlight w:val="none"/>
        </w:rPr>
        <w:t>）招标文件，决定参加贵单位组织的本项目投标。我方授权</w:t>
      </w:r>
      <w:r>
        <w:rPr>
          <w:rFonts w:hint="eastAsia" w:ascii="新宋体" w:hAnsi="新宋体" w:eastAsia="新宋体" w:cs="新宋体"/>
          <w:color w:val="auto"/>
          <w:sz w:val="24"/>
          <w:highlight w:val="none"/>
          <w:u w:val="single"/>
        </w:rPr>
        <w:t>XXXX</w:t>
      </w:r>
      <w:r>
        <w:rPr>
          <w:rFonts w:hint="eastAsia" w:ascii="新宋体" w:hAnsi="新宋体" w:eastAsia="新宋体" w:cs="新宋体"/>
          <w:color w:val="auto"/>
          <w:sz w:val="24"/>
          <w:highlight w:val="none"/>
        </w:rPr>
        <w:t>（姓名、职务）代表我方</w:t>
      </w:r>
      <w:r>
        <w:rPr>
          <w:rFonts w:hint="eastAsia" w:ascii="新宋体" w:hAnsi="新宋体" w:eastAsia="新宋体" w:cs="新宋体"/>
          <w:color w:val="auto"/>
          <w:sz w:val="24"/>
          <w:highlight w:val="none"/>
          <w:u w:val="single"/>
        </w:rPr>
        <w:t>XXXXXXXX</w:t>
      </w:r>
      <w:r>
        <w:rPr>
          <w:rFonts w:hint="eastAsia" w:ascii="新宋体" w:hAnsi="新宋体" w:eastAsia="新宋体" w:cs="新宋体"/>
          <w:color w:val="auto"/>
          <w:sz w:val="24"/>
          <w:highlight w:val="none"/>
        </w:rPr>
        <w:t>（投标单位的名称）全权处理本项目投标的有关事宜。</w:t>
      </w:r>
      <w:bookmarkEnd w:id="221"/>
      <w:bookmarkEnd w:id="222"/>
    </w:p>
    <w:p>
      <w:pPr>
        <w:spacing w:line="360" w:lineRule="auto"/>
        <w:ind w:firstLine="486" w:firstLineChars="200"/>
        <w:rPr>
          <w:rFonts w:hint="eastAsia" w:ascii="新宋体" w:hAnsi="新宋体" w:eastAsia="新宋体" w:cs="新宋体"/>
          <w:color w:val="auto"/>
          <w:sz w:val="24"/>
          <w:highlight w:val="none"/>
        </w:rPr>
      </w:pPr>
      <w:bookmarkStart w:id="223" w:name="_Toc496689250"/>
      <w:bookmarkStart w:id="224" w:name="_Toc496688978"/>
      <w:r>
        <w:rPr>
          <w:rFonts w:hint="eastAsia" w:ascii="新宋体" w:hAnsi="新宋体" w:eastAsia="新宋体" w:cs="新宋体"/>
          <w:color w:val="auto"/>
          <w:sz w:val="24"/>
          <w:highlight w:val="none"/>
        </w:rPr>
        <w:t>一、我方自愿按照招标文件规定的各项要求向采购人提供本项目所需服务，</w:t>
      </w:r>
      <w:bookmarkEnd w:id="223"/>
      <w:bookmarkEnd w:id="224"/>
      <w:r>
        <w:rPr>
          <w:rFonts w:hint="eastAsia" w:ascii="新宋体" w:hAnsi="新宋体" w:eastAsia="新宋体" w:cs="新宋体"/>
          <w:color w:val="auto"/>
          <w:sz w:val="24"/>
          <w:highlight w:val="none"/>
        </w:rPr>
        <w:t>总报价为：</w:t>
      </w:r>
      <w:r>
        <w:rPr>
          <w:rFonts w:hint="eastAsia" w:ascii="新宋体" w:hAnsi="新宋体" w:eastAsia="新宋体" w:cs="新宋体"/>
          <w:color w:val="auto"/>
          <w:sz w:val="24"/>
          <w:highlight w:val="none"/>
          <w:u w:val="single"/>
        </w:rPr>
        <w:t>（小写）人民币XX元（大写：XXXX）</w:t>
      </w:r>
      <w:r>
        <w:rPr>
          <w:rFonts w:hint="eastAsia" w:ascii="新宋体" w:hAnsi="新宋体" w:eastAsia="新宋体" w:cs="新宋体"/>
          <w:color w:val="auto"/>
          <w:sz w:val="24"/>
          <w:highlight w:val="none"/>
        </w:rPr>
        <w:t>；本报价包括但不限于人员工资、保险费、加班费、交通费、应急突击费、设备的设计、材料、制造、包装、运输、安装、配套软件系统的安装、调试、税费、管理费、各种风险等在内的一切费用。</w:t>
      </w:r>
    </w:p>
    <w:p>
      <w:pPr>
        <w:spacing w:line="360" w:lineRule="auto"/>
        <w:ind w:firstLine="486" w:firstLineChars="200"/>
        <w:rPr>
          <w:rFonts w:hint="eastAsia" w:ascii="新宋体" w:hAnsi="新宋体" w:eastAsia="新宋体" w:cs="新宋体"/>
          <w:color w:val="auto"/>
          <w:sz w:val="24"/>
          <w:highlight w:val="none"/>
        </w:rPr>
      </w:pPr>
      <w:bookmarkStart w:id="225" w:name="_Toc496688979"/>
      <w:bookmarkStart w:id="226" w:name="_Toc496689251"/>
      <w:r>
        <w:rPr>
          <w:rFonts w:hint="eastAsia" w:ascii="新宋体" w:hAnsi="新宋体" w:eastAsia="新宋体" w:cs="新宋体"/>
          <w:color w:val="auto"/>
          <w:sz w:val="24"/>
          <w:highlight w:val="none"/>
        </w:rPr>
        <w:t>二、一旦我方中标，我方将严格履行政府采购合同规定的责任和义务。</w:t>
      </w:r>
      <w:bookmarkEnd w:id="225"/>
      <w:bookmarkEnd w:id="226"/>
    </w:p>
    <w:p>
      <w:pPr>
        <w:spacing w:line="360" w:lineRule="auto"/>
        <w:ind w:firstLine="486" w:firstLineChars="200"/>
        <w:rPr>
          <w:rFonts w:hint="eastAsia" w:ascii="新宋体" w:hAnsi="新宋体" w:eastAsia="新宋体" w:cs="新宋体"/>
          <w:color w:val="auto"/>
          <w:sz w:val="24"/>
          <w:highlight w:val="none"/>
        </w:rPr>
      </w:pPr>
      <w:bookmarkStart w:id="227" w:name="_Toc496689252"/>
      <w:bookmarkStart w:id="228" w:name="_Toc496688980"/>
      <w:r>
        <w:rPr>
          <w:rFonts w:hint="eastAsia" w:ascii="新宋体" w:hAnsi="新宋体" w:eastAsia="新宋体" w:cs="新宋体"/>
          <w:color w:val="auto"/>
          <w:sz w:val="24"/>
          <w:highlight w:val="none"/>
        </w:rPr>
        <w:t>三、我方同意本招标文件依据相关法律法规的规定对我方可能存在的失信行为进行的惩戒。</w:t>
      </w:r>
      <w:bookmarkEnd w:id="227"/>
      <w:bookmarkEnd w:id="228"/>
    </w:p>
    <w:p>
      <w:pPr>
        <w:spacing w:line="360" w:lineRule="auto"/>
        <w:ind w:firstLine="486" w:firstLineChars="200"/>
        <w:rPr>
          <w:rFonts w:hint="eastAsia" w:ascii="新宋体" w:hAnsi="新宋体" w:eastAsia="新宋体" w:cs="新宋体"/>
          <w:color w:val="auto"/>
          <w:sz w:val="24"/>
          <w:highlight w:val="none"/>
        </w:rPr>
      </w:pPr>
      <w:bookmarkStart w:id="229" w:name="_Toc496688981"/>
      <w:bookmarkStart w:id="230" w:name="_Toc496689253"/>
      <w:r>
        <w:rPr>
          <w:rFonts w:hint="eastAsia" w:ascii="新宋体" w:hAnsi="新宋体" w:eastAsia="新宋体" w:cs="新宋体"/>
          <w:color w:val="auto"/>
          <w:sz w:val="24"/>
          <w:highlight w:val="none"/>
        </w:rPr>
        <w:t>四、</w:t>
      </w:r>
      <w:bookmarkEnd w:id="229"/>
      <w:bookmarkEnd w:id="230"/>
      <w:bookmarkStart w:id="231" w:name="_Toc496688983"/>
      <w:bookmarkStart w:id="232" w:name="_Toc496689255"/>
      <w:r>
        <w:rPr>
          <w:rFonts w:hint="eastAsia" w:ascii="新宋体" w:hAnsi="新宋体" w:eastAsia="新宋体" w:cs="新宋体"/>
          <w:color w:val="auto"/>
          <w:sz w:val="24"/>
          <w:highlight w:val="none"/>
        </w:rPr>
        <w:t>我方愿意提供贵单位可能另外要求的，与投标有关的文件资料，并保证我方已提供和将要提供的文件资料是真实、准确的。</w:t>
      </w:r>
      <w:bookmarkEnd w:id="231"/>
      <w:bookmarkEnd w:id="232"/>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五、</w:t>
      </w:r>
      <w:r>
        <w:rPr>
          <w:rFonts w:hint="eastAsia" w:ascii="新宋体" w:hAnsi="新宋体" w:eastAsia="新宋体" w:cs="新宋体"/>
          <w:color w:val="auto"/>
          <w:kern w:val="0"/>
          <w:sz w:val="24"/>
          <w:highlight w:val="none"/>
        </w:rPr>
        <w:t>我方保证在本项目使用的任何产品和服务（包括部分使用)时，不会产生因第三方提出侵犯其专利权</w:t>
      </w:r>
      <w:r>
        <w:rPr>
          <w:rFonts w:hint="eastAsia" w:ascii="新宋体" w:hAnsi="新宋体" w:eastAsia="新宋体" w:cs="新宋体"/>
          <w:color w:val="auto"/>
          <w:spacing w:val="-34"/>
          <w:kern w:val="0"/>
          <w:sz w:val="24"/>
          <w:highlight w:val="none"/>
        </w:rPr>
        <w:t>、</w:t>
      </w:r>
      <w:r>
        <w:rPr>
          <w:rFonts w:hint="eastAsia" w:ascii="新宋体" w:hAnsi="新宋体" w:eastAsia="新宋体" w:cs="新宋体"/>
          <w:color w:val="auto"/>
          <w:kern w:val="0"/>
          <w:sz w:val="24"/>
          <w:highlight w:val="none"/>
        </w:rPr>
        <w:t>商标权或其它知识产权而引起的法律和经济纠纷</w:t>
      </w:r>
      <w:r>
        <w:rPr>
          <w:rFonts w:hint="eastAsia" w:ascii="新宋体" w:hAnsi="新宋体" w:eastAsia="新宋体" w:cs="新宋体"/>
          <w:color w:val="auto"/>
          <w:spacing w:val="-34"/>
          <w:kern w:val="0"/>
          <w:sz w:val="24"/>
          <w:highlight w:val="none"/>
        </w:rPr>
        <w:t>，</w:t>
      </w:r>
      <w:r>
        <w:rPr>
          <w:rFonts w:hint="eastAsia" w:ascii="新宋体" w:hAnsi="新宋体" w:eastAsia="新宋体" w:cs="新宋体"/>
          <w:color w:val="auto"/>
          <w:kern w:val="0"/>
          <w:sz w:val="24"/>
          <w:highlight w:val="none"/>
        </w:rPr>
        <w:t>如因专利权</w:t>
      </w:r>
      <w:r>
        <w:rPr>
          <w:rFonts w:hint="eastAsia" w:ascii="新宋体" w:hAnsi="新宋体" w:eastAsia="新宋体" w:cs="新宋体"/>
          <w:color w:val="auto"/>
          <w:spacing w:val="-32"/>
          <w:kern w:val="0"/>
          <w:sz w:val="24"/>
          <w:highlight w:val="none"/>
        </w:rPr>
        <w:t>、</w:t>
      </w:r>
      <w:r>
        <w:rPr>
          <w:rFonts w:hint="eastAsia" w:ascii="新宋体" w:hAnsi="新宋体" w:eastAsia="新宋体" w:cs="新宋体"/>
          <w:color w:val="auto"/>
          <w:kern w:val="0"/>
          <w:sz w:val="24"/>
          <w:highlight w:val="none"/>
        </w:rPr>
        <w:t>商标权或其它知识产权而引起法律和经济纠纷</w:t>
      </w:r>
      <w:r>
        <w:rPr>
          <w:rFonts w:hint="eastAsia" w:ascii="新宋体" w:hAnsi="新宋体" w:eastAsia="新宋体" w:cs="新宋体"/>
          <w:color w:val="auto"/>
          <w:spacing w:val="-51"/>
          <w:kern w:val="0"/>
          <w:sz w:val="24"/>
          <w:highlight w:val="none"/>
        </w:rPr>
        <w:t>，</w:t>
      </w:r>
      <w:r>
        <w:rPr>
          <w:rFonts w:hint="eastAsia" w:ascii="新宋体" w:hAnsi="新宋体" w:eastAsia="新宋体" w:cs="新宋体"/>
          <w:color w:val="auto"/>
          <w:kern w:val="0"/>
          <w:sz w:val="24"/>
          <w:highlight w:val="none"/>
        </w:rPr>
        <w:t>由我方承担所有相关责任</w:t>
      </w:r>
      <w:r>
        <w:rPr>
          <w:rFonts w:hint="eastAsia" w:ascii="新宋体" w:hAnsi="新宋体" w:eastAsia="新宋体" w:cs="新宋体"/>
          <w:color w:val="auto"/>
          <w:spacing w:val="-48"/>
          <w:kern w:val="0"/>
          <w:sz w:val="24"/>
          <w:highlight w:val="none"/>
        </w:rPr>
        <w:t>。</w:t>
      </w:r>
      <w:r>
        <w:rPr>
          <w:rFonts w:hint="eastAsia" w:ascii="新宋体" w:hAnsi="新宋体" w:eastAsia="新宋体" w:cs="新宋体"/>
          <w:color w:val="auto"/>
          <w:kern w:val="0"/>
          <w:sz w:val="24"/>
          <w:highlight w:val="none"/>
        </w:rPr>
        <w:t>采购人享有本项目实施过程中产生的知识成果及知识产权</w:t>
      </w:r>
      <w:r>
        <w:rPr>
          <w:rFonts w:hint="eastAsia" w:ascii="新宋体" w:hAnsi="新宋体" w:eastAsia="新宋体" w:cs="新宋体"/>
          <w:color w:val="auto"/>
          <w:spacing w:val="-51"/>
          <w:kern w:val="0"/>
          <w:sz w:val="24"/>
          <w:highlight w:val="none"/>
        </w:rPr>
        <w:t>。</w:t>
      </w:r>
      <w:r>
        <w:rPr>
          <w:rFonts w:hint="eastAsia" w:ascii="新宋体" w:hAnsi="新宋体" w:eastAsia="新宋体" w:cs="新宋体"/>
          <w:color w:val="auto"/>
          <w:kern w:val="0"/>
          <w:sz w:val="24"/>
          <w:highlight w:val="none"/>
        </w:rPr>
        <w:t>如我方在项目实施过程中采用自有知识成果</w:t>
      </w:r>
      <w:r>
        <w:rPr>
          <w:rFonts w:hint="eastAsia" w:ascii="新宋体" w:hAnsi="新宋体" w:eastAsia="新宋体" w:cs="新宋体"/>
          <w:color w:val="auto"/>
          <w:spacing w:val="-48"/>
          <w:kern w:val="0"/>
          <w:sz w:val="24"/>
          <w:highlight w:val="none"/>
        </w:rPr>
        <w:t>，</w:t>
      </w:r>
      <w:r>
        <w:rPr>
          <w:rFonts w:hint="eastAsia" w:ascii="新宋体" w:hAnsi="新宋体" w:eastAsia="新宋体" w:cs="新宋体"/>
          <w:color w:val="auto"/>
          <w:kern w:val="0"/>
          <w:sz w:val="24"/>
          <w:highlight w:val="none"/>
        </w:rPr>
        <w:t>我方承诺提供开发接口和开发手册等技术文档</w:t>
      </w:r>
      <w:r>
        <w:rPr>
          <w:rFonts w:hint="eastAsia" w:ascii="新宋体" w:hAnsi="新宋体" w:eastAsia="新宋体" w:cs="新宋体"/>
          <w:color w:val="auto"/>
          <w:spacing w:val="-34"/>
          <w:kern w:val="0"/>
          <w:sz w:val="24"/>
          <w:highlight w:val="none"/>
        </w:rPr>
        <w:t>，</w:t>
      </w:r>
      <w:r>
        <w:rPr>
          <w:rFonts w:hint="eastAsia" w:ascii="新宋体" w:hAnsi="新宋体" w:eastAsia="新宋体" w:cs="新宋体"/>
          <w:color w:val="auto"/>
          <w:kern w:val="0"/>
          <w:sz w:val="24"/>
          <w:highlight w:val="none"/>
        </w:rPr>
        <w:t>并提供无限期技术支持</w:t>
      </w:r>
      <w:r>
        <w:rPr>
          <w:rFonts w:hint="eastAsia" w:ascii="新宋体" w:hAnsi="新宋体" w:eastAsia="新宋体" w:cs="新宋体"/>
          <w:color w:val="auto"/>
          <w:spacing w:val="-34"/>
          <w:kern w:val="0"/>
          <w:sz w:val="24"/>
          <w:highlight w:val="none"/>
        </w:rPr>
        <w:t>，</w:t>
      </w:r>
      <w:r>
        <w:rPr>
          <w:rFonts w:hint="eastAsia" w:ascii="新宋体" w:hAnsi="新宋体" w:eastAsia="新宋体" w:cs="新宋体"/>
          <w:color w:val="auto"/>
          <w:kern w:val="0"/>
          <w:sz w:val="24"/>
          <w:highlight w:val="none"/>
        </w:rPr>
        <w:t>采购人享有永久使用</w:t>
      </w:r>
      <w:r>
        <w:rPr>
          <w:rFonts w:hint="eastAsia" w:ascii="新宋体" w:hAnsi="新宋体" w:eastAsia="新宋体" w:cs="新宋体"/>
          <w:color w:val="auto"/>
          <w:spacing w:val="-32"/>
          <w:kern w:val="0"/>
          <w:sz w:val="24"/>
          <w:highlight w:val="none"/>
        </w:rPr>
        <w:t>权</w:t>
      </w:r>
      <w:r>
        <w:rPr>
          <w:rFonts w:hint="eastAsia" w:ascii="新宋体" w:hAnsi="新宋体" w:eastAsia="新宋体" w:cs="新宋体"/>
          <w:color w:val="auto"/>
          <w:kern w:val="0"/>
          <w:sz w:val="24"/>
          <w:highlight w:val="none"/>
        </w:rPr>
        <w:t>（含采购人委托第三方在该项目后续开发的使用权)。如我方在项目实施过程中采用非自有的知识产权，则在投标报价中已包括合法获取该知识产权的相关费用。</w:t>
      </w:r>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六、投标有效期：投标截止时间届满后</w:t>
      </w:r>
      <w:r>
        <w:rPr>
          <w:rFonts w:hint="eastAsia" w:ascii="新宋体" w:hAnsi="新宋体" w:eastAsia="新宋体" w:cs="新宋体"/>
          <w:bCs/>
          <w:color w:val="auto"/>
          <w:sz w:val="24"/>
          <w:highlight w:val="none"/>
        </w:rPr>
        <w:t>90</w:t>
      </w:r>
      <w:r>
        <w:rPr>
          <w:rFonts w:hint="eastAsia" w:ascii="新宋体" w:hAnsi="新宋体" w:eastAsia="新宋体" w:cs="新宋体"/>
          <w:color w:val="auto"/>
          <w:sz w:val="24"/>
          <w:highlight w:val="none"/>
        </w:rPr>
        <w:t>天。</w:t>
      </w:r>
    </w:p>
    <w:p>
      <w:pPr>
        <w:spacing w:line="360" w:lineRule="auto"/>
        <w:ind w:firstLine="486" w:firstLineChars="200"/>
        <w:rPr>
          <w:rFonts w:hint="eastAsia" w:ascii="新宋体" w:hAnsi="新宋体" w:eastAsia="新宋体" w:cs="新宋体"/>
          <w:color w:val="auto"/>
          <w:sz w:val="24"/>
          <w:highlight w:val="none"/>
        </w:rPr>
      </w:pPr>
      <w:bookmarkStart w:id="233" w:name="_Toc496689256"/>
      <w:bookmarkStart w:id="234" w:name="_Toc496688984"/>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投标人名称：XXXX（单位公章）</w:t>
      </w:r>
      <w:bookmarkEnd w:id="233"/>
      <w:bookmarkEnd w:id="234"/>
    </w:p>
    <w:p>
      <w:pPr>
        <w:spacing w:before="158" w:beforeLines="50" w:after="158" w:afterLines="50"/>
        <w:rPr>
          <w:rFonts w:hint="eastAsia" w:ascii="新宋体" w:hAnsi="新宋体" w:eastAsia="新宋体" w:cs="新宋体"/>
          <w:bCs/>
          <w:color w:val="auto"/>
          <w:sz w:val="24"/>
          <w:highlight w:val="none"/>
        </w:rPr>
      </w:pPr>
      <w:bookmarkStart w:id="235" w:name="_Toc496689257"/>
      <w:bookmarkStart w:id="236" w:name="_Toc496688985"/>
      <w:r>
        <w:rPr>
          <w:rFonts w:hint="eastAsia" w:ascii="新宋体" w:hAnsi="新宋体" w:eastAsia="新宋体" w:cs="新宋体"/>
          <w:bCs/>
          <w:color w:val="auto"/>
          <w:sz w:val="24"/>
          <w:highlight w:val="none"/>
        </w:rPr>
        <w:t xml:space="preserve">   法定代表人/单位负责人或授权代表（签字或加盖个人名章）：</w:t>
      </w:r>
    </w:p>
    <w:bookmarkEnd w:id="235"/>
    <w:bookmarkEnd w:id="236"/>
    <w:p>
      <w:pPr>
        <w:spacing w:line="360" w:lineRule="auto"/>
        <w:ind w:firstLine="486" w:firstLineChars="200"/>
        <w:rPr>
          <w:rFonts w:hint="eastAsia" w:ascii="新宋体" w:hAnsi="新宋体" w:eastAsia="新宋体" w:cs="新宋体"/>
          <w:color w:val="auto"/>
          <w:sz w:val="24"/>
          <w:highlight w:val="none"/>
        </w:rPr>
      </w:pPr>
      <w:bookmarkStart w:id="237" w:name="_Toc496689258"/>
      <w:bookmarkStart w:id="238" w:name="_Toc496688986"/>
      <w:r>
        <w:rPr>
          <w:rFonts w:hint="eastAsia" w:ascii="新宋体" w:hAnsi="新宋体" w:eastAsia="新宋体" w:cs="新宋体"/>
          <w:color w:val="auto"/>
          <w:sz w:val="24"/>
          <w:highlight w:val="none"/>
        </w:rPr>
        <w:t>通讯地址：XXXX</w:t>
      </w:r>
      <w:bookmarkEnd w:id="237"/>
      <w:bookmarkEnd w:id="238"/>
    </w:p>
    <w:p>
      <w:pPr>
        <w:spacing w:line="360" w:lineRule="auto"/>
        <w:ind w:firstLine="486" w:firstLineChars="200"/>
        <w:rPr>
          <w:rFonts w:hint="eastAsia" w:ascii="新宋体" w:hAnsi="新宋体" w:eastAsia="新宋体" w:cs="新宋体"/>
          <w:color w:val="auto"/>
          <w:sz w:val="24"/>
          <w:highlight w:val="none"/>
        </w:rPr>
      </w:pPr>
      <w:bookmarkStart w:id="239" w:name="_Toc496689259"/>
      <w:bookmarkStart w:id="240" w:name="_Toc496688987"/>
      <w:r>
        <w:rPr>
          <w:rFonts w:hint="eastAsia" w:ascii="新宋体" w:hAnsi="新宋体" w:eastAsia="新宋体" w:cs="新宋体"/>
          <w:color w:val="auto"/>
          <w:sz w:val="24"/>
          <w:highlight w:val="none"/>
        </w:rPr>
        <w:t>邮政编码：XXXX</w:t>
      </w:r>
      <w:bookmarkEnd w:id="239"/>
      <w:bookmarkEnd w:id="240"/>
    </w:p>
    <w:p>
      <w:pPr>
        <w:spacing w:line="360" w:lineRule="auto"/>
        <w:ind w:firstLine="486" w:firstLineChars="200"/>
        <w:rPr>
          <w:rFonts w:hint="eastAsia" w:ascii="新宋体" w:hAnsi="新宋体" w:eastAsia="新宋体" w:cs="新宋体"/>
          <w:color w:val="auto"/>
          <w:sz w:val="24"/>
          <w:highlight w:val="none"/>
        </w:rPr>
      </w:pPr>
      <w:bookmarkStart w:id="241" w:name="_Toc496689260"/>
      <w:bookmarkStart w:id="242" w:name="_Toc496688988"/>
      <w:r>
        <w:rPr>
          <w:rFonts w:hint="eastAsia" w:ascii="新宋体" w:hAnsi="新宋体" w:eastAsia="新宋体" w:cs="新宋体"/>
          <w:color w:val="auto"/>
          <w:sz w:val="24"/>
          <w:highlight w:val="none"/>
        </w:rPr>
        <w:t>联系电话：XXXX</w:t>
      </w:r>
      <w:bookmarkEnd w:id="241"/>
      <w:bookmarkEnd w:id="242"/>
    </w:p>
    <w:p>
      <w:pPr>
        <w:spacing w:line="360" w:lineRule="auto"/>
        <w:ind w:firstLine="486" w:firstLineChars="200"/>
        <w:rPr>
          <w:rFonts w:hint="eastAsia" w:ascii="新宋体" w:hAnsi="新宋体" w:eastAsia="新宋体" w:cs="新宋体"/>
          <w:color w:val="auto"/>
          <w:sz w:val="24"/>
          <w:highlight w:val="none"/>
        </w:rPr>
      </w:pPr>
      <w:bookmarkStart w:id="243" w:name="_Toc496689261"/>
      <w:bookmarkStart w:id="244" w:name="_Toc496688989"/>
      <w:r>
        <w:rPr>
          <w:rFonts w:hint="eastAsia" w:ascii="新宋体" w:hAnsi="新宋体" w:eastAsia="新宋体" w:cs="新宋体"/>
          <w:color w:val="auto"/>
          <w:sz w:val="24"/>
          <w:highlight w:val="none"/>
        </w:rPr>
        <w:t>传    真：XXXX</w:t>
      </w:r>
      <w:bookmarkEnd w:id="243"/>
      <w:bookmarkEnd w:id="244"/>
    </w:p>
    <w:p>
      <w:pPr>
        <w:spacing w:line="360" w:lineRule="auto"/>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日    期：XXXX</w:t>
      </w:r>
    </w:p>
    <w:p>
      <w:pPr>
        <w:spacing w:line="360" w:lineRule="auto"/>
        <w:ind w:firstLine="646" w:firstLineChars="200"/>
        <w:rPr>
          <w:rFonts w:hint="eastAsia" w:ascii="新宋体" w:hAnsi="新宋体" w:eastAsia="新宋体" w:cs="新宋体"/>
          <w:b/>
          <w:color w:val="auto"/>
          <w:sz w:val="32"/>
          <w:szCs w:val="32"/>
          <w:highlight w:val="none"/>
        </w:rPr>
      </w:pPr>
      <w:r>
        <w:rPr>
          <w:rFonts w:hint="eastAsia" w:ascii="新宋体" w:hAnsi="新宋体" w:eastAsia="新宋体" w:cs="新宋体"/>
          <w:b/>
          <w:color w:val="auto"/>
          <w:sz w:val="32"/>
          <w:szCs w:val="32"/>
          <w:highlight w:val="none"/>
        </w:rPr>
        <w:br w:type="column"/>
      </w:r>
      <w:r>
        <w:rPr>
          <w:rFonts w:hint="eastAsia" w:ascii="新宋体" w:hAnsi="新宋体" w:eastAsia="新宋体" w:cs="新宋体"/>
          <w:b/>
          <w:color w:val="auto"/>
          <w:sz w:val="28"/>
          <w:szCs w:val="28"/>
          <w:highlight w:val="none"/>
        </w:rPr>
        <w:t>格式2-2</w:t>
      </w:r>
    </w:p>
    <w:bookmarkEnd w:id="220"/>
    <w:p>
      <w:pPr>
        <w:widowControl/>
        <w:spacing w:line="588" w:lineRule="exact"/>
        <w:ind w:firstLine="424" w:firstLineChars="150"/>
        <w:jc w:val="center"/>
        <w:outlineLvl w:val="1"/>
        <w:rPr>
          <w:rFonts w:hint="eastAsia" w:ascii="新宋体" w:hAnsi="新宋体" w:eastAsia="新宋体" w:cs="新宋体"/>
          <w:b/>
          <w:color w:val="auto"/>
          <w:sz w:val="28"/>
          <w:szCs w:val="28"/>
          <w:highlight w:val="none"/>
        </w:rPr>
      </w:pPr>
      <w:bookmarkStart w:id="245" w:name="_Toc217446085"/>
      <w:bookmarkStart w:id="246" w:name="_Toc217446086"/>
      <w:r>
        <w:rPr>
          <w:rFonts w:hint="eastAsia" w:ascii="新宋体" w:hAnsi="新宋体" w:eastAsia="新宋体" w:cs="新宋体"/>
          <w:b/>
          <w:color w:val="auto"/>
          <w:sz w:val="28"/>
          <w:szCs w:val="28"/>
          <w:highlight w:val="none"/>
        </w:rPr>
        <w:t>二、开标一览表</w:t>
      </w:r>
      <w:bookmarkEnd w:id="245"/>
    </w:p>
    <w:p>
      <w:pPr>
        <w:rPr>
          <w:rFonts w:hint="eastAsia" w:ascii="新宋体" w:hAnsi="新宋体" w:eastAsia="新宋体" w:cs="新宋体"/>
          <w:color w:val="auto"/>
          <w:sz w:val="24"/>
          <w:highlight w:val="none"/>
        </w:rPr>
      </w:pPr>
      <w:bookmarkStart w:id="247" w:name="_Toc496689022"/>
      <w:bookmarkStart w:id="248" w:name="_Toc496689294"/>
      <w:r>
        <w:rPr>
          <w:rFonts w:hint="eastAsia" w:ascii="新宋体" w:hAnsi="新宋体" w:eastAsia="新宋体" w:cs="新宋体"/>
          <w:color w:val="auto"/>
          <w:sz w:val="24"/>
          <w:highlight w:val="none"/>
        </w:rPr>
        <w:t>招标编号：</w:t>
      </w:r>
    </w:p>
    <w:p>
      <w:pPr>
        <w:pStyle w:val="19"/>
        <w:spacing w:after="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项目名称：</w:t>
      </w:r>
    </w:p>
    <w:tbl>
      <w:tblPr>
        <w:tblStyle w:val="47"/>
        <w:tblW w:w="881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39"/>
        <w:gridCol w:w="518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7" w:hRule="atLeast"/>
          <w:jc w:val="center"/>
        </w:trPr>
        <w:tc>
          <w:tcPr>
            <w:tcW w:w="3639" w:type="dxa"/>
            <w:tcBorders>
              <w:top w:val="double" w:color="000000" w:sz="6" w:space="0"/>
              <w:left w:val="double" w:color="000000" w:sz="6" w:space="0"/>
              <w:bottom w:val="single" w:color="000000" w:sz="6" w:space="0"/>
              <w:right w:val="single" w:color="000000" w:sz="6" w:space="0"/>
            </w:tcBorders>
            <w:noWrap w:val="0"/>
            <w:vAlign w:val="center"/>
          </w:tcPr>
          <w:p>
            <w:pPr>
              <w:keepNext w:val="0"/>
              <w:keepLines w:val="0"/>
              <w:widowControl/>
              <w:suppressLineNumbers w:val="0"/>
              <w:spacing w:before="0" w:beforeAutospacing="0" w:after="160" w:afterAutospacing="0" w:line="360" w:lineRule="auto"/>
              <w:ind w:left="0" w:right="0"/>
              <w:jc w:val="left"/>
              <w:textAlignment w:val="baseline"/>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投标人全称</w:t>
            </w:r>
          </w:p>
        </w:tc>
        <w:tc>
          <w:tcPr>
            <w:tcW w:w="5180" w:type="dxa"/>
            <w:tcBorders>
              <w:top w:val="double" w:color="000000" w:sz="6" w:space="0"/>
              <w:left w:val="single" w:color="000000" w:sz="6" w:space="0"/>
              <w:bottom w:val="single" w:color="000000" w:sz="6" w:space="0"/>
              <w:right w:val="double" w:color="000000" w:sz="6" w:space="0"/>
            </w:tcBorders>
            <w:noWrap w:val="0"/>
            <w:vAlign w:val="center"/>
          </w:tcPr>
          <w:p>
            <w:pPr>
              <w:keepNext w:val="0"/>
              <w:keepLines w:val="0"/>
              <w:widowControl/>
              <w:suppressLineNumbers w:val="0"/>
              <w:spacing w:before="0" w:beforeAutospacing="0" w:after="160" w:afterAutospacing="0" w:line="360" w:lineRule="auto"/>
              <w:ind w:left="0" w:right="0"/>
              <w:jc w:val="left"/>
              <w:textAlignment w:val="baseline"/>
              <w:rPr>
                <w:rFonts w:hint="eastAsia" w:ascii="新宋体" w:hAnsi="新宋体" w:eastAsia="新宋体" w:cs="新宋体"/>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54" w:hRule="atLeast"/>
          <w:jc w:val="center"/>
        </w:trPr>
        <w:tc>
          <w:tcPr>
            <w:tcW w:w="3639" w:type="dxa"/>
            <w:tcBorders>
              <w:top w:val="single" w:color="000000" w:sz="6" w:space="0"/>
              <w:left w:val="double" w:color="000000" w:sz="6" w:space="0"/>
              <w:bottom w:val="single" w:color="000000" w:sz="6" w:space="0"/>
              <w:right w:val="single" w:color="000000" w:sz="6" w:space="0"/>
            </w:tcBorders>
            <w:noWrap w:val="0"/>
            <w:vAlign w:val="center"/>
          </w:tcPr>
          <w:p>
            <w:pPr>
              <w:keepNext w:val="0"/>
              <w:keepLines w:val="0"/>
              <w:widowControl/>
              <w:suppressLineNumbers w:val="0"/>
              <w:spacing w:before="0" w:beforeAutospacing="0" w:after="160" w:afterAutospacing="0" w:line="360" w:lineRule="auto"/>
              <w:ind w:left="0" w:right="0"/>
              <w:jc w:val="left"/>
              <w:textAlignment w:val="baseline"/>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投标报价（元）</w:t>
            </w:r>
          </w:p>
        </w:tc>
        <w:tc>
          <w:tcPr>
            <w:tcW w:w="5180" w:type="dxa"/>
            <w:tcBorders>
              <w:top w:val="single" w:color="000000" w:sz="6" w:space="0"/>
              <w:left w:val="single" w:color="000000" w:sz="6" w:space="0"/>
              <w:bottom w:val="single" w:color="000000" w:sz="6" w:space="0"/>
              <w:right w:val="double" w:color="000000" w:sz="6" w:space="0"/>
            </w:tcBorders>
            <w:noWrap w:val="0"/>
            <w:vAlign w:val="bottom"/>
          </w:tcPr>
          <w:p>
            <w:pPr>
              <w:keepNext w:val="0"/>
              <w:keepLines w:val="0"/>
              <w:widowControl/>
              <w:suppressLineNumbers w:val="0"/>
              <w:spacing w:before="0" w:beforeAutospacing="0" w:after="160" w:afterAutospacing="0" w:line="360" w:lineRule="auto"/>
              <w:ind w:left="0" w:right="0"/>
              <w:jc w:val="left"/>
              <w:textAlignment w:val="baseline"/>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（大写）XXX</w:t>
            </w:r>
          </w:p>
          <w:p>
            <w:pPr>
              <w:keepNext w:val="0"/>
              <w:keepLines w:val="0"/>
              <w:widowControl/>
              <w:suppressLineNumbers w:val="0"/>
              <w:spacing w:before="0" w:beforeAutospacing="0" w:after="160" w:afterAutospacing="0" w:line="360" w:lineRule="auto"/>
              <w:ind w:left="0" w:right="0"/>
              <w:jc w:val="left"/>
              <w:textAlignment w:val="baseline"/>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（小写）XXX</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3639" w:type="dxa"/>
            <w:tcBorders>
              <w:top w:val="single" w:color="000000" w:sz="6" w:space="0"/>
              <w:left w:val="double" w:color="000000" w:sz="6" w:space="0"/>
              <w:bottom w:val="single" w:color="000000" w:sz="6" w:space="0"/>
              <w:right w:val="single" w:color="000000" w:sz="6" w:space="0"/>
            </w:tcBorders>
            <w:noWrap w:val="0"/>
            <w:vAlign w:val="center"/>
          </w:tcPr>
          <w:p>
            <w:pPr>
              <w:keepNext w:val="0"/>
              <w:keepLines w:val="0"/>
              <w:widowControl/>
              <w:suppressLineNumbers w:val="0"/>
              <w:spacing w:before="0" w:beforeAutospacing="0" w:after="160" w:afterAutospacing="0" w:line="360" w:lineRule="auto"/>
              <w:ind w:left="0" w:right="0"/>
              <w:jc w:val="left"/>
              <w:textAlignment w:val="baseline"/>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交货期</w:t>
            </w:r>
          </w:p>
        </w:tc>
        <w:tc>
          <w:tcPr>
            <w:tcW w:w="5180" w:type="dxa"/>
            <w:tcBorders>
              <w:top w:val="single" w:color="000000" w:sz="6" w:space="0"/>
              <w:left w:val="single" w:color="000000" w:sz="6" w:space="0"/>
              <w:bottom w:val="single" w:color="000000" w:sz="6" w:space="0"/>
              <w:right w:val="double" w:color="000000" w:sz="6" w:space="0"/>
            </w:tcBorders>
            <w:noWrap w:val="0"/>
            <w:vAlign w:val="center"/>
          </w:tcPr>
          <w:p>
            <w:pPr>
              <w:keepNext w:val="0"/>
              <w:keepLines w:val="0"/>
              <w:widowControl/>
              <w:suppressLineNumbers w:val="0"/>
              <w:spacing w:before="0" w:beforeAutospacing="0" w:after="160" w:afterAutospacing="0" w:line="360" w:lineRule="auto"/>
              <w:ind w:left="0" w:right="0"/>
              <w:jc w:val="left"/>
              <w:textAlignment w:val="baseline"/>
              <w:rPr>
                <w:rFonts w:hint="eastAsia" w:ascii="新宋体" w:hAnsi="新宋体" w:eastAsia="新宋体" w:cs="新宋体"/>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3639" w:type="dxa"/>
            <w:tcBorders>
              <w:top w:val="single" w:color="auto" w:sz="4" w:space="0"/>
              <w:left w:val="double" w:color="000000" w:sz="6" w:space="0"/>
              <w:bottom w:val="single" w:color="auto" w:sz="4" w:space="0"/>
              <w:right w:val="single" w:color="000000" w:sz="6" w:space="0"/>
            </w:tcBorders>
            <w:noWrap w:val="0"/>
            <w:vAlign w:val="center"/>
          </w:tcPr>
          <w:p>
            <w:pPr>
              <w:keepNext w:val="0"/>
              <w:keepLines w:val="0"/>
              <w:widowControl/>
              <w:suppressLineNumbers w:val="0"/>
              <w:spacing w:before="0" w:beforeAutospacing="0" w:after="160" w:afterAutospacing="0" w:line="360" w:lineRule="auto"/>
              <w:ind w:left="0" w:right="0"/>
              <w:jc w:val="left"/>
              <w:textAlignment w:val="baseline"/>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签约及交货地点</w:t>
            </w:r>
          </w:p>
        </w:tc>
        <w:tc>
          <w:tcPr>
            <w:tcW w:w="5180" w:type="dxa"/>
            <w:tcBorders>
              <w:top w:val="single" w:color="000000" w:sz="6" w:space="0"/>
              <w:left w:val="single" w:color="000000" w:sz="6" w:space="0"/>
              <w:bottom w:val="single" w:color="000000" w:sz="6" w:space="0"/>
              <w:right w:val="double" w:color="000000" w:sz="6" w:space="0"/>
            </w:tcBorders>
            <w:noWrap w:val="0"/>
            <w:vAlign w:val="bottom"/>
          </w:tcPr>
          <w:p>
            <w:pPr>
              <w:keepNext w:val="0"/>
              <w:keepLines w:val="0"/>
              <w:widowControl/>
              <w:suppressLineNumbers w:val="0"/>
              <w:spacing w:before="0" w:beforeAutospacing="0" w:after="160" w:afterAutospacing="0" w:line="360" w:lineRule="auto"/>
              <w:ind w:left="0" w:right="0"/>
              <w:jc w:val="left"/>
              <w:textAlignment w:val="baseline"/>
              <w:rPr>
                <w:rFonts w:hint="eastAsia" w:ascii="新宋体" w:hAnsi="新宋体" w:eastAsia="新宋体" w:cs="新宋体"/>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3639" w:type="dxa"/>
            <w:tcBorders>
              <w:top w:val="single" w:color="auto" w:sz="4" w:space="0"/>
              <w:left w:val="double" w:color="000000" w:sz="6" w:space="0"/>
              <w:bottom w:val="single" w:color="auto" w:sz="4" w:space="0"/>
              <w:right w:val="single" w:color="000000" w:sz="6" w:space="0"/>
            </w:tcBorders>
            <w:noWrap w:val="0"/>
            <w:vAlign w:val="center"/>
          </w:tcPr>
          <w:p>
            <w:pPr>
              <w:keepNext w:val="0"/>
              <w:keepLines w:val="0"/>
              <w:widowControl/>
              <w:suppressLineNumbers w:val="0"/>
              <w:spacing w:before="0" w:beforeAutospacing="0" w:after="160" w:afterAutospacing="0" w:line="360" w:lineRule="auto"/>
              <w:ind w:left="0" w:right="0"/>
              <w:jc w:val="left"/>
              <w:textAlignment w:val="baseline"/>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8"/>
                <w:highlight w:val="none"/>
              </w:rPr>
              <w:t>质保期</w:t>
            </w:r>
          </w:p>
        </w:tc>
        <w:tc>
          <w:tcPr>
            <w:tcW w:w="5180" w:type="dxa"/>
            <w:tcBorders>
              <w:top w:val="single" w:color="000000" w:sz="6" w:space="0"/>
              <w:left w:val="single" w:color="000000" w:sz="6" w:space="0"/>
              <w:bottom w:val="single" w:color="000000" w:sz="6" w:space="0"/>
              <w:right w:val="double" w:color="000000" w:sz="6" w:space="0"/>
            </w:tcBorders>
            <w:noWrap w:val="0"/>
            <w:vAlign w:val="bottom"/>
          </w:tcPr>
          <w:p>
            <w:pPr>
              <w:keepNext w:val="0"/>
              <w:keepLines w:val="0"/>
              <w:widowControl/>
              <w:suppressLineNumbers w:val="0"/>
              <w:spacing w:before="0" w:beforeAutospacing="0" w:after="160" w:afterAutospacing="0" w:line="360" w:lineRule="auto"/>
              <w:ind w:left="0" w:right="0"/>
              <w:jc w:val="left"/>
              <w:textAlignment w:val="baseline"/>
              <w:rPr>
                <w:rFonts w:hint="eastAsia" w:ascii="新宋体" w:hAnsi="新宋体" w:eastAsia="新宋体" w:cs="新宋体"/>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3639" w:type="dxa"/>
            <w:tcBorders>
              <w:top w:val="single" w:color="auto" w:sz="4" w:space="0"/>
              <w:left w:val="double" w:color="000000" w:sz="6" w:space="0"/>
              <w:bottom w:val="double" w:color="000000" w:sz="6" w:space="0"/>
              <w:right w:val="single" w:color="000000" w:sz="6" w:space="0"/>
            </w:tcBorders>
            <w:noWrap w:val="0"/>
            <w:vAlign w:val="center"/>
          </w:tcPr>
          <w:p>
            <w:pPr>
              <w:keepNext w:val="0"/>
              <w:keepLines w:val="0"/>
              <w:widowControl/>
              <w:suppressLineNumbers w:val="0"/>
              <w:spacing w:before="0" w:beforeAutospacing="0" w:after="160" w:afterAutospacing="0" w:line="360" w:lineRule="auto"/>
              <w:ind w:left="0" w:right="0"/>
              <w:jc w:val="left"/>
              <w:textAlignment w:val="baseline"/>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备注</w:t>
            </w:r>
          </w:p>
        </w:tc>
        <w:tc>
          <w:tcPr>
            <w:tcW w:w="5180" w:type="dxa"/>
            <w:tcBorders>
              <w:top w:val="single" w:color="000000" w:sz="6" w:space="0"/>
              <w:left w:val="single" w:color="000000" w:sz="6" w:space="0"/>
              <w:bottom w:val="double" w:color="000000" w:sz="6" w:space="0"/>
              <w:right w:val="double" w:color="000000" w:sz="6" w:space="0"/>
            </w:tcBorders>
            <w:noWrap w:val="0"/>
            <w:vAlign w:val="bottom"/>
          </w:tcPr>
          <w:p>
            <w:pPr>
              <w:keepNext w:val="0"/>
              <w:keepLines w:val="0"/>
              <w:widowControl/>
              <w:suppressLineNumbers w:val="0"/>
              <w:spacing w:before="0" w:beforeAutospacing="0" w:after="160" w:afterAutospacing="0" w:line="360" w:lineRule="auto"/>
              <w:ind w:left="0" w:right="0"/>
              <w:jc w:val="left"/>
              <w:textAlignment w:val="baseline"/>
              <w:rPr>
                <w:rFonts w:hint="eastAsia" w:ascii="新宋体" w:hAnsi="新宋体" w:eastAsia="新宋体" w:cs="新宋体"/>
                <w:color w:val="auto"/>
                <w:sz w:val="24"/>
                <w:highlight w:val="none"/>
              </w:rPr>
            </w:pPr>
          </w:p>
        </w:tc>
      </w:tr>
    </w:tbl>
    <w:p>
      <w:pPr>
        <w:rPr>
          <w:rFonts w:hint="eastAsia" w:ascii="新宋体" w:hAnsi="新宋体" w:eastAsia="新宋体" w:cs="新宋体"/>
          <w:color w:val="auto"/>
          <w:highlight w:val="none"/>
        </w:rPr>
      </w:pPr>
    </w:p>
    <w:p>
      <w:pPr>
        <w:rPr>
          <w:rFonts w:hint="eastAsia" w:ascii="新宋体" w:hAnsi="新宋体" w:eastAsia="新宋体" w:cs="新宋体"/>
          <w:color w:val="auto"/>
          <w:szCs w:val="21"/>
          <w:highlight w:val="none"/>
        </w:rPr>
      </w:pPr>
      <w:bookmarkStart w:id="249" w:name="_Toc496689292"/>
      <w:bookmarkStart w:id="250" w:name="_Toc496689020"/>
      <w:r>
        <w:rPr>
          <w:rFonts w:hint="eastAsia" w:ascii="新宋体" w:hAnsi="新宋体" w:eastAsia="新宋体" w:cs="新宋体"/>
          <w:color w:val="auto"/>
          <w:szCs w:val="21"/>
          <w:highlight w:val="none"/>
        </w:rPr>
        <w:t>注：</w:t>
      </w:r>
      <w:bookmarkEnd w:id="249"/>
      <w:bookmarkEnd w:id="250"/>
    </w:p>
    <w:p>
      <w:pPr>
        <w:numPr>
          <w:ilvl w:val="0"/>
          <w:numId w:val="12"/>
        </w:numPr>
        <w:spacing w:line="400" w:lineRule="exact"/>
        <w:ind w:firstLine="403"/>
        <w:rPr>
          <w:rFonts w:hint="eastAsia" w:ascii="新宋体" w:hAnsi="新宋体" w:eastAsia="新宋体" w:cs="新宋体"/>
          <w:color w:val="auto"/>
          <w:szCs w:val="21"/>
          <w:highlight w:val="none"/>
          <w:lang w:bidi="ar"/>
        </w:rPr>
      </w:pPr>
      <w:bookmarkStart w:id="251" w:name="_Toc496689293"/>
      <w:bookmarkStart w:id="252" w:name="_Toc496689021"/>
      <w:r>
        <w:rPr>
          <w:rFonts w:hint="eastAsia" w:ascii="新宋体" w:hAnsi="新宋体" w:eastAsia="新宋体" w:cs="新宋体"/>
          <w:color w:val="auto"/>
          <w:szCs w:val="21"/>
          <w:highlight w:val="none"/>
          <w:lang w:bidi="ar"/>
        </w:rPr>
        <w:t xml:space="preserve"> 报价应是最终用户验收合格后的总价，包括但不限于货物、运输费、上下车、安装、安全防护费、税费、售后服务费、利润等其他所有费用。 </w:t>
      </w:r>
    </w:p>
    <w:p>
      <w:pPr>
        <w:numPr>
          <w:ilvl w:val="0"/>
          <w:numId w:val="12"/>
        </w:numPr>
        <w:spacing w:line="400" w:lineRule="exact"/>
        <w:ind w:firstLine="403"/>
        <w:rPr>
          <w:rFonts w:hint="eastAsia" w:ascii="新宋体" w:hAnsi="新宋体" w:eastAsia="新宋体" w:cs="新宋体"/>
          <w:color w:val="auto"/>
          <w:szCs w:val="21"/>
          <w:highlight w:val="none"/>
          <w:lang w:bidi="ar"/>
        </w:rPr>
      </w:pPr>
      <w:r>
        <w:rPr>
          <w:rFonts w:hint="eastAsia" w:ascii="新宋体" w:hAnsi="新宋体" w:eastAsia="新宋体" w:cs="新宋体"/>
          <w:color w:val="auto"/>
          <w:szCs w:val="21"/>
          <w:highlight w:val="none"/>
          <w:lang w:bidi="ar"/>
        </w:rPr>
        <w:t>“开标一览表”为多页的，每页均需由法定代表人/单位负责人（委托人）签字或者加盖个人名章签字并盖投标人印章。</w:t>
      </w:r>
      <w:bookmarkEnd w:id="251"/>
      <w:bookmarkEnd w:id="252"/>
    </w:p>
    <w:p>
      <w:pPr>
        <w:pStyle w:val="19"/>
        <w:rPr>
          <w:rFonts w:hint="eastAsia" w:ascii="新宋体" w:hAnsi="新宋体" w:eastAsia="新宋体" w:cs="新宋体"/>
          <w:color w:val="auto"/>
          <w:highlight w:val="none"/>
          <w:lang w:bidi="ar"/>
        </w:rPr>
      </w:pPr>
    </w:p>
    <w:p>
      <w:pPr>
        <w:pStyle w:val="19"/>
        <w:rPr>
          <w:rFonts w:hint="eastAsia" w:ascii="新宋体" w:hAnsi="新宋体" w:eastAsia="新宋体" w:cs="新宋体"/>
          <w:color w:val="auto"/>
          <w:highlight w:val="none"/>
        </w:rPr>
      </w:pPr>
    </w:p>
    <w:p>
      <w:pPr>
        <w:ind w:firstLine="486"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投标人名称：XXXX（单位公章）</w:t>
      </w:r>
      <w:bookmarkEnd w:id="247"/>
      <w:bookmarkEnd w:id="248"/>
    </w:p>
    <w:p>
      <w:pPr>
        <w:spacing w:before="158" w:beforeLines="50" w:after="158" w:afterLines="50"/>
        <w:rPr>
          <w:rFonts w:hint="eastAsia" w:ascii="新宋体" w:hAnsi="新宋体" w:eastAsia="新宋体" w:cs="新宋体"/>
          <w:bCs/>
          <w:color w:val="auto"/>
          <w:sz w:val="24"/>
          <w:highlight w:val="none"/>
        </w:rPr>
      </w:pPr>
      <w:bookmarkStart w:id="253" w:name="_Toc496689296"/>
      <w:bookmarkStart w:id="254" w:name="_Toc496689024"/>
      <w:r>
        <w:rPr>
          <w:rFonts w:hint="eastAsia" w:ascii="新宋体" w:hAnsi="新宋体" w:eastAsia="新宋体" w:cs="新宋体"/>
          <w:bCs/>
          <w:color w:val="auto"/>
          <w:sz w:val="24"/>
          <w:highlight w:val="none"/>
        </w:rPr>
        <w:t xml:space="preserve">    法定代表人/单位负责人或授权代表（签字或加盖个人名章）：</w:t>
      </w:r>
    </w:p>
    <w:p>
      <w:pPr>
        <w:ind w:firstLine="486" w:firstLineChars="200"/>
        <w:rPr>
          <w:rFonts w:hint="eastAsia" w:ascii="新宋体" w:hAnsi="新宋体" w:eastAsia="新宋体" w:cs="新宋体"/>
          <w:b/>
          <w:color w:val="auto"/>
          <w:sz w:val="24"/>
          <w:highlight w:val="none"/>
        </w:rPr>
        <w:sectPr>
          <w:footerReference r:id="rId7" w:type="default"/>
          <w:pgSz w:w="11906" w:h="16838"/>
          <w:pgMar w:top="1440" w:right="1587" w:bottom="1440" w:left="1627" w:header="850" w:footer="992" w:gutter="0"/>
          <w:cols w:space="720" w:num="1"/>
          <w:docGrid w:type="linesAndChars" w:linePitch="317" w:charSpace="640"/>
        </w:sectPr>
      </w:pPr>
      <w:r>
        <w:rPr>
          <w:rFonts w:hint="eastAsia" w:ascii="新宋体" w:hAnsi="新宋体" w:eastAsia="新宋体" w:cs="新宋体"/>
          <w:color w:val="auto"/>
          <w:sz w:val="24"/>
          <w:highlight w:val="none"/>
        </w:rPr>
        <w:t>日期：XXXX</w:t>
      </w:r>
      <w:bookmarkEnd w:id="253"/>
      <w:bookmarkEnd w:id="254"/>
    </w:p>
    <w:p>
      <w:pPr>
        <w:spacing w:line="360" w:lineRule="auto"/>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格式2-3</w:t>
      </w:r>
    </w:p>
    <w:bookmarkEnd w:id="246"/>
    <w:p>
      <w:pPr>
        <w:widowControl/>
        <w:spacing w:line="588" w:lineRule="exact"/>
        <w:ind w:firstLine="422" w:firstLineChars="150"/>
        <w:jc w:val="center"/>
        <w:outlineLvl w:val="1"/>
        <w:rPr>
          <w:rFonts w:hint="eastAsia" w:ascii="新宋体" w:hAnsi="新宋体" w:eastAsia="新宋体" w:cs="新宋体"/>
          <w:b/>
          <w:color w:val="auto"/>
          <w:sz w:val="28"/>
          <w:szCs w:val="28"/>
          <w:highlight w:val="none"/>
        </w:rPr>
      </w:pPr>
      <w:bookmarkStart w:id="255" w:name="_Toc496689297"/>
      <w:bookmarkStart w:id="256" w:name="_Toc496689025"/>
      <w:bookmarkStart w:id="257" w:name="_Toc496689043"/>
      <w:bookmarkStart w:id="258" w:name="_Toc496689315"/>
      <w:bookmarkStart w:id="259" w:name="_Toc217446087"/>
      <w:r>
        <w:rPr>
          <w:rFonts w:hint="eastAsia" w:ascii="新宋体" w:hAnsi="新宋体" w:eastAsia="新宋体" w:cs="新宋体"/>
          <w:b/>
          <w:color w:val="auto"/>
          <w:sz w:val="28"/>
          <w:szCs w:val="28"/>
          <w:highlight w:val="none"/>
        </w:rPr>
        <w:t>三、分项报价明细表</w:t>
      </w:r>
      <w:bookmarkEnd w:id="255"/>
      <w:bookmarkEnd w:id="256"/>
    </w:p>
    <w:p>
      <w:pPr>
        <w:rPr>
          <w:rFonts w:hint="eastAsia" w:ascii="新宋体" w:hAnsi="新宋体" w:eastAsia="新宋体" w:cs="新宋体"/>
          <w:color w:val="auto"/>
          <w:sz w:val="24"/>
          <w:highlight w:val="none"/>
        </w:rPr>
      </w:pPr>
      <w:bookmarkStart w:id="260" w:name="_Toc496689027"/>
      <w:bookmarkStart w:id="261" w:name="_Toc496689299"/>
      <w:r>
        <w:rPr>
          <w:rFonts w:hint="eastAsia" w:ascii="新宋体" w:hAnsi="新宋体" w:eastAsia="新宋体" w:cs="新宋体"/>
          <w:color w:val="auto"/>
          <w:sz w:val="24"/>
          <w:highlight w:val="none"/>
        </w:rPr>
        <w:t>招标编号：</w:t>
      </w:r>
      <w:bookmarkEnd w:id="260"/>
      <w:bookmarkEnd w:id="261"/>
    </w:p>
    <w:p>
      <w:pPr>
        <w:pStyle w:val="19"/>
        <w:spacing w:after="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项目名称：</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1212"/>
        <w:gridCol w:w="840"/>
        <w:gridCol w:w="841"/>
        <w:gridCol w:w="87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exact"/>
          <w:jc w:val="center"/>
        </w:trPr>
        <w:tc>
          <w:tcPr>
            <w:tcW w:w="877"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262" w:name="_Toc15342"/>
            <w:bookmarkStart w:id="263" w:name="_Toc496689028"/>
            <w:bookmarkStart w:id="264" w:name="_Toc496689300"/>
            <w:bookmarkStart w:id="265" w:name="_Toc496695045"/>
            <w:bookmarkStart w:id="266" w:name="_Toc13690"/>
            <w:bookmarkStart w:id="267" w:name="_Toc496695775"/>
            <w:r>
              <w:rPr>
                <w:rFonts w:hint="eastAsia" w:ascii="新宋体" w:hAnsi="新宋体" w:eastAsia="新宋体" w:cs="新宋体"/>
                <w:color w:val="auto"/>
                <w:sz w:val="24"/>
                <w:highlight w:val="none"/>
              </w:rPr>
              <w:t>序号</w:t>
            </w:r>
            <w:bookmarkEnd w:id="262"/>
            <w:bookmarkEnd w:id="263"/>
            <w:bookmarkEnd w:id="264"/>
            <w:bookmarkEnd w:id="265"/>
            <w:bookmarkEnd w:id="266"/>
            <w:bookmarkEnd w:id="267"/>
          </w:p>
        </w:tc>
        <w:tc>
          <w:tcPr>
            <w:tcW w:w="1275"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268" w:name="_Toc496689029"/>
            <w:bookmarkStart w:id="269" w:name="_Toc20944"/>
            <w:bookmarkStart w:id="270" w:name="_Toc16509"/>
            <w:bookmarkStart w:id="271" w:name="_Toc496689301"/>
            <w:bookmarkStart w:id="272" w:name="_Toc496695046"/>
            <w:bookmarkStart w:id="273" w:name="_Toc496695776"/>
            <w:r>
              <w:rPr>
                <w:rFonts w:hint="eastAsia" w:ascii="新宋体" w:hAnsi="新宋体" w:eastAsia="新宋体" w:cs="新宋体"/>
                <w:color w:val="auto"/>
                <w:sz w:val="24"/>
                <w:highlight w:val="none"/>
              </w:rPr>
              <w:t>产品名称</w:t>
            </w:r>
            <w:bookmarkEnd w:id="268"/>
            <w:bookmarkEnd w:id="269"/>
            <w:bookmarkEnd w:id="270"/>
            <w:bookmarkEnd w:id="271"/>
            <w:bookmarkEnd w:id="272"/>
            <w:bookmarkEnd w:id="273"/>
          </w:p>
        </w:tc>
        <w:tc>
          <w:tcPr>
            <w:tcW w:w="1360"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274" w:name="_Toc496689030"/>
            <w:bookmarkStart w:id="275" w:name="_Toc496695047"/>
            <w:bookmarkStart w:id="276" w:name="_Toc12926"/>
            <w:bookmarkStart w:id="277" w:name="_Toc17054"/>
            <w:bookmarkStart w:id="278" w:name="_Toc496695777"/>
            <w:bookmarkStart w:id="279" w:name="_Toc496689302"/>
            <w:r>
              <w:rPr>
                <w:rFonts w:hint="eastAsia" w:ascii="新宋体" w:hAnsi="新宋体" w:eastAsia="新宋体" w:cs="新宋体"/>
                <w:color w:val="auto"/>
                <w:sz w:val="24"/>
                <w:highlight w:val="none"/>
              </w:rPr>
              <w:t>规格型号</w:t>
            </w:r>
            <w:bookmarkEnd w:id="274"/>
            <w:bookmarkEnd w:id="275"/>
            <w:bookmarkEnd w:id="276"/>
            <w:bookmarkEnd w:id="277"/>
            <w:bookmarkEnd w:id="278"/>
            <w:bookmarkEnd w:id="279"/>
          </w:p>
        </w:tc>
        <w:tc>
          <w:tcPr>
            <w:tcW w:w="888"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280" w:name="_Toc496695778"/>
            <w:bookmarkStart w:id="281" w:name="_Toc18929"/>
            <w:bookmarkStart w:id="282" w:name="_Toc157"/>
            <w:bookmarkStart w:id="283" w:name="_Toc496689303"/>
            <w:bookmarkStart w:id="284" w:name="_Toc496689031"/>
            <w:bookmarkStart w:id="285" w:name="_Toc496695048"/>
            <w:r>
              <w:rPr>
                <w:rFonts w:hint="eastAsia" w:ascii="新宋体" w:hAnsi="新宋体" w:eastAsia="新宋体" w:cs="新宋体"/>
                <w:color w:val="auto"/>
                <w:sz w:val="24"/>
                <w:highlight w:val="none"/>
              </w:rPr>
              <w:t>品牌</w:t>
            </w:r>
            <w:bookmarkEnd w:id="280"/>
            <w:bookmarkEnd w:id="281"/>
            <w:bookmarkEnd w:id="282"/>
            <w:bookmarkEnd w:id="283"/>
            <w:bookmarkEnd w:id="284"/>
            <w:bookmarkEnd w:id="285"/>
          </w:p>
        </w:tc>
        <w:tc>
          <w:tcPr>
            <w:tcW w:w="1212"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286" w:name="_Toc496689304"/>
            <w:bookmarkStart w:id="287" w:name="_Toc496695049"/>
            <w:bookmarkStart w:id="288" w:name="_Toc496689032"/>
            <w:bookmarkStart w:id="289" w:name="_Toc25907"/>
            <w:bookmarkStart w:id="290" w:name="_Toc496695779"/>
            <w:bookmarkStart w:id="291" w:name="_Toc74"/>
            <w:r>
              <w:rPr>
                <w:rFonts w:hint="eastAsia" w:ascii="新宋体" w:hAnsi="新宋体" w:eastAsia="新宋体" w:cs="新宋体"/>
                <w:color w:val="auto"/>
                <w:sz w:val="24"/>
                <w:highlight w:val="none"/>
              </w:rPr>
              <w:t>单位</w:t>
            </w:r>
            <w:bookmarkEnd w:id="286"/>
            <w:bookmarkEnd w:id="287"/>
            <w:bookmarkEnd w:id="288"/>
            <w:bookmarkEnd w:id="289"/>
            <w:bookmarkEnd w:id="290"/>
            <w:bookmarkEnd w:id="291"/>
          </w:p>
        </w:tc>
        <w:tc>
          <w:tcPr>
            <w:tcW w:w="840"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292" w:name="_Toc1135"/>
            <w:bookmarkStart w:id="293" w:name="_Toc496695780"/>
            <w:bookmarkStart w:id="294" w:name="_Toc496689305"/>
            <w:bookmarkStart w:id="295" w:name="_Toc32732"/>
            <w:bookmarkStart w:id="296" w:name="_Toc496689033"/>
            <w:bookmarkStart w:id="297" w:name="_Toc496695050"/>
            <w:r>
              <w:rPr>
                <w:rFonts w:hint="eastAsia" w:ascii="新宋体" w:hAnsi="新宋体" w:eastAsia="新宋体" w:cs="新宋体"/>
                <w:color w:val="auto"/>
                <w:sz w:val="24"/>
                <w:highlight w:val="none"/>
              </w:rPr>
              <w:t>数量</w:t>
            </w:r>
            <w:bookmarkEnd w:id="292"/>
            <w:bookmarkEnd w:id="293"/>
            <w:bookmarkEnd w:id="294"/>
            <w:bookmarkEnd w:id="295"/>
            <w:bookmarkEnd w:id="296"/>
            <w:bookmarkEnd w:id="297"/>
          </w:p>
        </w:tc>
        <w:tc>
          <w:tcPr>
            <w:tcW w:w="841"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298" w:name="_Toc3911"/>
            <w:bookmarkStart w:id="299" w:name="_Toc1440"/>
            <w:bookmarkStart w:id="300" w:name="_Toc496695051"/>
            <w:bookmarkStart w:id="301" w:name="_Toc496695781"/>
            <w:bookmarkStart w:id="302" w:name="_Toc496689306"/>
            <w:bookmarkStart w:id="303" w:name="_Toc496689034"/>
            <w:r>
              <w:rPr>
                <w:rFonts w:hint="eastAsia" w:ascii="新宋体" w:hAnsi="新宋体" w:eastAsia="新宋体" w:cs="新宋体"/>
                <w:color w:val="auto"/>
                <w:sz w:val="24"/>
                <w:highlight w:val="none"/>
              </w:rPr>
              <w:t>单价</w:t>
            </w:r>
            <w:bookmarkEnd w:id="298"/>
            <w:bookmarkEnd w:id="299"/>
            <w:bookmarkEnd w:id="300"/>
            <w:bookmarkEnd w:id="301"/>
            <w:bookmarkEnd w:id="302"/>
            <w:bookmarkEnd w:id="303"/>
            <w:r>
              <w:rPr>
                <w:rFonts w:hint="eastAsia" w:ascii="新宋体" w:hAnsi="新宋体" w:eastAsia="新宋体" w:cs="新宋体"/>
                <w:color w:val="auto"/>
                <w:sz w:val="24"/>
                <w:highlight w:val="none"/>
              </w:rPr>
              <w:t>（元）</w:t>
            </w:r>
          </w:p>
        </w:tc>
        <w:tc>
          <w:tcPr>
            <w:tcW w:w="876"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总价（元）</w:t>
            </w:r>
          </w:p>
        </w:tc>
        <w:tc>
          <w:tcPr>
            <w:tcW w:w="843" w:type="dxa"/>
            <w:noWrap w:val="0"/>
            <w:vAlign w:val="center"/>
          </w:tcPr>
          <w:p>
            <w:pPr>
              <w:keepNext w:val="0"/>
              <w:keepLines w:val="0"/>
              <w:widowControl/>
              <w:suppressLineNumbers w:val="0"/>
              <w:spacing w:before="0" w:beforeAutospacing="0" w:after="0" w:afterAutospacing="0" w:line="360" w:lineRule="atLeast"/>
              <w:ind w:left="0" w:right="0"/>
              <w:outlineLvl w:val="1"/>
              <w:rPr>
                <w:rFonts w:hint="eastAsia" w:ascii="新宋体" w:hAnsi="新宋体" w:eastAsia="新宋体" w:cs="新宋体"/>
                <w:color w:val="auto"/>
                <w:sz w:val="24"/>
                <w:highlight w:val="none"/>
              </w:rPr>
            </w:pPr>
            <w:bookmarkStart w:id="304" w:name="_Toc496695783"/>
            <w:bookmarkStart w:id="305" w:name="_Toc28241"/>
            <w:bookmarkStart w:id="306" w:name="_Toc496695053"/>
            <w:bookmarkStart w:id="307" w:name="_Toc2733"/>
            <w:bookmarkStart w:id="308" w:name="_Toc496689036"/>
            <w:bookmarkStart w:id="309" w:name="_Toc496689308"/>
            <w:r>
              <w:rPr>
                <w:rFonts w:hint="eastAsia" w:ascii="新宋体" w:hAnsi="新宋体" w:eastAsia="新宋体" w:cs="新宋体"/>
                <w:color w:val="auto"/>
                <w:sz w:val="24"/>
                <w:highlight w:val="none"/>
              </w:rPr>
              <w:t>备注</w:t>
            </w:r>
            <w:bookmarkEnd w:id="304"/>
            <w:bookmarkEnd w:id="305"/>
            <w:bookmarkEnd w:id="306"/>
            <w:bookmarkEnd w:id="307"/>
            <w:bookmarkEnd w:id="308"/>
            <w:bookmarkEnd w:id="3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75"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6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88"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12"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1"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76"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3"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75"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6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88"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12"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1"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76"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3"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75"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6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88"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12"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1"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76"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3"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tcBorders>
              <w:lef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75"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6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88"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12"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1"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76"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3"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75"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6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88"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12"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1"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76"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3"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75"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6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88"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12"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1"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76"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3"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012" w:type="dxa"/>
            <w:gridSpan w:val="9"/>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outlineLvl w:val="1"/>
              <w:rPr>
                <w:rFonts w:hint="eastAsia" w:ascii="新宋体" w:hAnsi="新宋体" w:eastAsia="新宋体" w:cs="新宋体"/>
                <w:color w:val="auto"/>
                <w:sz w:val="24"/>
                <w:highlight w:val="none"/>
              </w:rPr>
            </w:pPr>
            <w:bookmarkStart w:id="310" w:name="_Toc496695784"/>
            <w:bookmarkStart w:id="311" w:name="_Toc496689037"/>
            <w:bookmarkStart w:id="312" w:name="_Toc496695054"/>
            <w:bookmarkStart w:id="313" w:name="_Toc2862"/>
            <w:bookmarkStart w:id="314" w:name="_Toc19009"/>
            <w:bookmarkStart w:id="315" w:name="_Toc496689309"/>
            <w:r>
              <w:rPr>
                <w:rFonts w:hint="eastAsia" w:ascii="新宋体" w:hAnsi="新宋体" w:eastAsia="新宋体" w:cs="新宋体"/>
                <w:color w:val="auto"/>
                <w:sz w:val="24"/>
                <w:highlight w:val="none"/>
              </w:rPr>
              <w:t>分项报价合计（元）：              大写：</w:t>
            </w:r>
            <w:bookmarkEnd w:id="310"/>
            <w:bookmarkEnd w:id="311"/>
            <w:bookmarkEnd w:id="312"/>
            <w:bookmarkEnd w:id="313"/>
            <w:bookmarkEnd w:id="314"/>
            <w:bookmarkEnd w:id="315"/>
          </w:p>
        </w:tc>
      </w:tr>
    </w:tbl>
    <w:p>
      <w:pPr>
        <w:spacing w:line="400" w:lineRule="exact"/>
        <w:rPr>
          <w:rFonts w:hint="eastAsia" w:ascii="新宋体" w:hAnsi="新宋体" w:eastAsia="新宋体" w:cs="新宋体"/>
          <w:color w:val="auto"/>
          <w:szCs w:val="21"/>
          <w:highlight w:val="none"/>
        </w:rPr>
      </w:pPr>
      <w:bookmarkStart w:id="316" w:name="_Toc496689038"/>
      <w:bookmarkStart w:id="317" w:name="_Toc496689310"/>
      <w:r>
        <w:rPr>
          <w:rFonts w:hint="eastAsia" w:ascii="新宋体" w:hAnsi="新宋体" w:eastAsia="新宋体" w:cs="新宋体"/>
          <w:color w:val="auto"/>
          <w:szCs w:val="21"/>
          <w:highlight w:val="none"/>
        </w:rPr>
        <w:t>注：1</w:t>
      </w:r>
      <w:bookmarkEnd w:id="316"/>
      <w:bookmarkEnd w:id="317"/>
      <w:bookmarkStart w:id="318" w:name="_Toc496689311"/>
      <w:bookmarkStart w:id="319" w:name="_Toc496689039"/>
      <w:r>
        <w:rPr>
          <w:rFonts w:hint="eastAsia" w:ascii="新宋体" w:hAnsi="新宋体" w:eastAsia="新宋体" w:cs="新宋体"/>
          <w:color w:val="auto"/>
          <w:szCs w:val="21"/>
          <w:highlight w:val="none"/>
        </w:rPr>
        <w:t>.“分项报价明细表”各分项报价合计应当与“开标一览表”报价合计相等。</w:t>
      </w:r>
      <w:bookmarkEnd w:id="318"/>
      <w:bookmarkEnd w:id="319"/>
    </w:p>
    <w:p>
      <w:pPr>
        <w:spacing w:line="40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2.“分项报价明细表”为多页的，每页均需由法定代表人/单位负责人（委托人）签字或者加盖个人名章签字并盖投标人印章。</w:t>
      </w:r>
    </w:p>
    <w:p>
      <w:pPr>
        <w:spacing w:line="400" w:lineRule="exact"/>
        <w:ind w:firstLine="420" w:firstLine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 </w:t>
      </w:r>
    </w:p>
    <w:p>
      <w:pPr>
        <w:pStyle w:val="19"/>
        <w:rPr>
          <w:rFonts w:hint="eastAsia" w:ascii="新宋体" w:hAnsi="新宋体" w:eastAsia="新宋体" w:cs="新宋体"/>
          <w:color w:val="auto"/>
          <w:highlight w:val="none"/>
        </w:rPr>
      </w:pPr>
    </w:p>
    <w:p>
      <w:pPr>
        <w:ind w:left="420" w:leftChars="200"/>
        <w:rPr>
          <w:rFonts w:hint="eastAsia" w:ascii="新宋体" w:hAnsi="新宋体" w:eastAsia="新宋体" w:cs="新宋体"/>
          <w:color w:val="auto"/>
          <w:sz w:val="24"/>
          <w:highlight w:val="none"/>
        </w:rPr>
      </w:pPr>
      <w:bookmarkStart w:id="320" w:name="_Toc496689040"/>
      <w:bookmarkStart w:id="321" w:name="_Toc496689312"/>
    </w:p>
    <w:bookmarkEnd w:id="320"/>
    <w:bookmarkEnd w:id="321"/>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投标人名称：XXXX（单位公章）</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法定代表人/单位负责人或授权代表（签字或加盖个人名章）：</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日期：XXXX</w:t>
      </w:r>
    </w:p>
    <w:p>
      <w:pPr>
        <w:pStyle w:val="19"/>
        <w:rPr>
          <w:rFonts w:hint="eastAsia" w:ascii="新宋体" w:hAnsi="新宋体" w:eastAsia="新宋体" w:cs="新宋体"/>
          <w:color w:val="auto"/>
          <w:highlight w:val="none"/>
        </w:rPr>
      </w:pPr>
    </w:p>
    <w:p>
      <w:pPr>
        <w:pStyle w:val="19"/>
        <w:rPr>
          <w:rFonts w:hint="eastAsia" w:ascii="新宋体" w:hAnsi="新宋体" w:eastAsia="新宋体" w:cs="新宋体"/>
          <w:color w:val="auto"/>
          <w:highlight w:val="none"/>
        </w:rPr>
      </w:pPr>
    </w:p>
    <w:p>
      <w:pPr>
        <w:rPr>
          <w:rFonts w:hint="eastAsia" w:ascii="新宋体" w:hAnsi="新宋体" w:eastAsia="新宋体" w:cs="新宋体"/>
          <w:b/>
          <w:color w:val="auto"/>
          <w:sz w:val="32"/>
          <w:szCs w:val="32"/>
          <w:highlight w:val="none"/>
        </w:rPr>
      </w:pPr>
      <w:r>
        <w:rPr>
          <w:rFonts w:hint="eastAsia" w:ascii="新宋体" w:hAnsi="新宋体" w:eastAsia="新宋体" w:cs="新宋体"/>
          <w:b/>
          <w:color w:val="auto"/>
          <w:sz w:val="32"/>
          <w:szCs w:val="32"/>
          <w:highlight w:val="none"/>
        </w:rPr>
        <w:br w:type="page"/>
      </w:r>
      <w:r>
        <w:rPr>
          <w:rFonts w:hint="eastAsia" w:ascii="新宋体" w:hAnsi="新宋体" w:eastAsia="新宋体" w:cs="新宋体"/>
          <w:b/>
          <w:color w:val="auto"/>
          <w:sz w:val="28"/>
          <w:szCs w:val="28"/>
          <w:highlight w:val="none"/>
        </w:rPr>
        <w:t>格式2-</w:t>
      </w:r>
      <w:bookmarkEnd w:id="257"/>
      <w:bookmarkEnd w:id="258"/>
      <w:r>
        <w:rPr>
          <w:rFonts w:hint="eastAsia" w:ascii="新宋体" w:hAnsi="新宋体" w:eastAsia="新宋体" w:cs="新宋体"/>
          <w:b/>
          <w:color w:val="auto"/>
          <w:sz w:val="28"/>
          <w:szCs w:val="28"/>
          <w:highlight w:val="none"/>
        </w:rPr>
        <w:t>4</w:t>
      </w:r>
    </w:p>
    <w:p>
      <w:pPr>
        <w:widowControl/>
        <w:spacing w:line="588" w:lineRule="exact"/>
        <w:ind w:firstLine="422" w:firstLineChars="150"/>
        <w:jc w:val="center"/>
        <w:outlineLvl w:val="1"/>
        <w:rPr>
          <w:rFonts w:hint="eastAsia" w:ascii="新宋体" w:hAnsi="新宋体" w:eastAsia="新宋体" w:cs="新宋体"/>
          <w:b/>
          <w:color w:val="auto"/>
          <w:sz w:val="28"/>
          <w:szCs w:val="28"/>
          <w:highlight w:val="none"/>
        </w:rPr>
      </w:pPr>
      <w:bookmarkStart w:id="322" w:name="_Toc496689044"/>
      <w:bookmarkStart w:id="323" w:name="_Toc496689316"/>
      <w:r>
        <w:rPr>
          <w:rFonts w:hint="eastAsia" w:ascii="新宋体" w:hAnsi="新宋体" w:eastAsia="新宋体" w:cs="新宋体"/>
          <w:b/>
          <w:color w:val="auto"/>
          <w:sz w:val="28"/>
          <w:szCs w:val="28"/>
          <w:highlight w:val="none"/>
        </w:rPr>
        <w:t>四、商务应答表</w:t>
      </w:r>
      <w:bookmarkEnd w:id="259"/>
      <w:bookmarkEnd w:id="322"/>
      <w:bookmarkEnd w:id="323"/>
    </w:p>
    <w:p>
      <w:pPr>
        <w:rPr>
          <w:rFonts w:hint="eastAsia" w:ascii="新宋体" w:hAnsi="新宋体" w:eastAsia="新宋体" w:cs="新宋体"/>
          <w:color w:val="auto"/>
          <w:sz w:val="24"/>
          <w:highlight w:val="none"/>
        </w:rPr>
      </w:pPr>
    </w:p>
    <w:p>
      <w:pPr>
        <w:rPr>
          <w:rFonts w:hint="eastAsia" w:ascii="新宋体" w:hAnsi="新宋体" w:eastAsia="新宋体" w:cs="新宋体"/>
          <w:color w:val="auto"/>
          <w:sz w:val="24"/>
          <w:highlight w:val="none"/>
        </w:rPr>
      </w:pPr>
      <w:bookmarkStart w:id="324" w:name="_Toc496689045"/>
      <w:bookmarkStart w:id="325" w:name="_Toc496689317"/>
      <w:r>
        <w:rPr>
          <w:rFonts w:hint="eastAsia" w:ascii="新宋体" w:hAnsi="新宋体" w:eastAsia="新宋体" w:cs="新宋体"/>
          <w:color w:val="auto"/>
          <w:sz w:val="24"/>
          <w:highlight w:val="none"/>
        </w:rPr>
        <w:t>招标编号：</w:t>
      </w:r>
      <w:bookmarkEnd w:id="324"/>
      <w:bookmarkEnd w:id="325"/>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项目名称：</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3658"/>
        <w:gridCol w:w="2480"/>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2"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326" w:name="_Toc496689322"/>
            <w:bookmarkStart w:id="327" w:name="_Toc496689050"/>
            <w:r>
              <w:rPr>
                <w:rFonts w:hint="eastAsia" w:ascii="新宋体" w:hAnsi="新宋体" w:eastAsia="新宋体" w:cs="新宋体"/>
                <w:color w:val="auto"/>
                <w:sz w:val="24"/>
                <w:highlight w:val="none"/>
              </w:rPr>
              <w:t>序号</w:t>
            </w:r>
          </w:p>
        </w:tc>
        <w:tc>
          <w:tcPr>
            <w:tcW w:w="3658"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招标文件要求</w:t>
            </w:r>
          </w:p>
        </w:tc>
        <w:tc>
          <w:tcPr>
            <w:tcW w:w="2480"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投标应答</w:t>
            </w:r>
          </w:p>
        </w:tc>
        <w:tc>
          <w:tcPr>
            <w:tcW w:w="1863" w:type="dxa"/>
            <w:noWrap w:val="0"/>
            <w:vAlign w:val="top"/>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w:t>
            </w:r>
          </w:p>
        </w:tc>
        <w:tc>
          <w:tcPr>
            <w:tcW w:w="365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48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863"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w:t>
            </w:r>
          </w:p>
        </w:tc>
        <w:tc>
          <w:tcPr>
            <w:tcW w:w="365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48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863"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w:t>
            </w:r>
          </w:p>
        </w:tc>
        <w:tc>
          <w:tcPr>
            <w:tcW w:w="365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48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863"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365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48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863"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365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48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863"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365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48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863"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365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48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863"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bl>
    <w:p>
      <w:pPr>
        <w:spacing w:line="400" w:lineRule="exact"/>
        <w:ind w:left="420" w:left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注：</w:t>
      </w:r>
      <w:bookmarkEnd w:id="326"/>
      <w:bookmarkEnd w:id="327"/>
      <w:bookmarkStart w:id="328" w:name="_Toc496689324"/>
      <w:bookmarkStart w:id="329" w:name="_Toc496689052"/>
      <w:r>
        <w:rPr>
          <w:rFonts w:hint="eastAsia" w:ascii="新宋体" w:hAnsi="新宋体" w:eastAsia="新宋体" w:cs="新宋体"/>
          <w:color w:val="auto"/>
          <w:szCs w:val="21"/>
          <w:highlight w:val="none"/>
        </w:rPr>
        <w:t>1.  投标人必须按照招标文件第六章 “商务要求”的全部内容在上表的“招标文件要求”、“投标应答”中按顺序逐条对应填写。</w:t>
      </w:r>
    </w:p>
    <w:p>
      <w:pPr>
        <w:spacing w:line="400" w:lineRule="exact"/>
        <w:ind w:left="420" w:leftChars="200"/>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    2．投标人必须据实填写，不得虚假填写，否则将取消其投标或中标资格。</w:t>
      </w:r>
      <w:bookmarkEnd w:id="328"/>
      <w:bookmarkEnd w:id="329"/>
    </w:p>
    <w:p>
      <w:pPr>
        <w:ind w:left="420" w:leftChars="200"/>
        <w:rPr>
          <w:rFonts w:hint="eastAsia" w:ascii="新宋体" w:hAnsi="新宋体" w:eastAsia="新宋体" w:cs="新宋体"/>
          <w:color w:val="auto"/>
          <w:sz w:val="24"/>
          <w:highlight w:val="none"/>
        </w:rPr>
      </w:pP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投标人名称：XXXX（单位公章）</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法定代表人/单位负责人或授权代表（签字或加盖个人名章）：</w:t>
      </w:r>
    </w:p>
    <w:p>
      <w:pPr>
        <w:spacing w:line="360" w:lineRule="auto"/>
        <w:ind w:firstLine="480" w:firstLineChars="200"/>
        <w:rPr>
          <w:rFonts w:hint="eastAsia" w:ascii="新宋体" w:hAnsi="新宋体" w:eastAsia="新宋体" w:cs="新宋体"/>
          <w:b/>
          <w:color w:val="auto"/>
          <w:sz w:val="32"/>
          <w:szCs w:val="32"/>
          <w:highlight w:val="none"/>
        </w:rPr>
      </w:pPr>
      <w:r>
        <w:rPr>
          <w:rFonts w:hint="eastAsia" w:ascii="新宋体" w:hAnsi="新宋体" w:eastAsia="新宋体" w:cs="新宋体"/>
          <w:color w:val="auto"/>
          <w:sz w:val="24"/>
          <w:highlight w:val="none"/>
        </w:rPr>
        <w:t>日期：XXXX</w:t>
      </w:r>
      <w:r>
        <w:rPr>
          <w:rFonts w:hint="eastAsia" w:ascii="新宋体" w:hAnsi="新宋体" w:eastAsia="新宋体" w:cs="新宋体"/>
          <w:color w:val="auto"/>
          <w:sz w:val="24"/>
          <w:highlight w:val="none"/>
        </w:rPr>
        <w:br w:type="page"/>
      </w:r>
      <w:bookmarkStart w:id="330" w:name="_Toc217446088"/>
      <w:r>
        <w:rPr>
          <w:rFonts w:hint="eastAsia" w:ascii="新宋体" w:hAnsi="新宋体" w:eastAsia="新宋体" w:cs="新宋体"/>
          <w:b/>
          <w:color w:val="auto"/>
          <w:sz w:val="28"/>
          <w:szCs w:val="28"/>
          <w:highlight w:val="none"/>
        </w:rPr>
        <w:t>格式2-5</w:t>
      </w:r>
    </w:p>
    <w:p>
      <w:pPr>
        <w:widowControl/>
        <w:spacing w:line="588" w:lineRule="exact"/>
        <w:ind w:firstLine="422" w:firstLineChars="150"/>
        <w:jc w:val="center"/>
        <w:outlineLvl w:val="1"/>
        <w:rPr>
          <w:rFonts w:hint="eastAsia" w:ascii="新宋体" w:hAnsi="新宋体" w:eastAsia="新宋体" w:cs="新宋体"/>
          <w:b/>
          <w:color w:val="auto"/>
          <w:sz w:val="28"/>
          <w:szCs w:val="28"/>
          <w:highlight w:val="none"/>
        </w:rPr>
      </w:pPr>
      <w:bookmarkStart w:id="331" w:name="_Toc496689344"/>
      <w:bookmarkStart w:id="332" w:name="_Toc496689072"/>
      <w:r>
        <w:rPr>
          <w:rFonts w:hint="eastAsia" w:ascii="新宋体" w:hAnsi="新宋体" w:eastAsia="新宋体" w:cs="新宋体"/>
          <w:b/>
          <w:color w:val="auto"/>
          <w:sz w:val="28"/>
          <w:szCs w:val="28"/>
          <w:highlight w:val="none"/>
        </w:rPr>
        <w:t>五、投标人基本情况表</w:t>
      </w:r>
      <w:bookmarkEnd w:id="330"/>
      <w:bookmarkEnd w:id="331"/>
      <w:bookmarkEnd w:id="332"/>
    </w:p>
    <w:tbl>
      <w:tblPr>
        <w:tblStyle w:val="47"/>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139"/>
        <w:gridCol w:w="1034"/>
        <w:gridCol w:w="66"/>
        <w:gridCol w:w="887"/>
        <w:gridCol w:w="1247"/>
        <w:gridCol w:w="1320"/>
        <w:gridCol w:w="446"/>
        <w:gridCol w:w="404"/>
        <w:gridCol w:w="13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2139"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333" w:name="_Toc496689073"/>
            <w:bookmarkStart w:id="334" w:name="_Toc29720"/>
            <w:bookmarkStart w:id="335" w:name="_Toc496695072"/>
            <w:bookmarkStart w:id="336" w:name="_Toc496695802"/>
            <w:bookmarkStart w:id="337" w:name="_Toc496689345"/>
            <w:bookmarkStart w:id="338" w:name="_Toc3177"/>
            <w:r>
              <w:rPr>
                <w:rFonts w:hint="eastAsia" w:ascii="新宋体" w:hAnsi="新宋体" w:eastAsia="新宋体" w:cs="新宋体"/>
                <w:color w:val="auto"/>
                <w:sz w:val="24"/>
                <w:highlight w:val="none"/>
              </w:rPr>
              <w:t>投标人名称</w:t>
            </w:r>
            <w:bookmarkEnd w:id="333"/>
            <w:bookmarkEnd w:id="334"/>
            <w:bookmarkEnd w:id="335"/>
            <w:bookmarkEnd w:id="336"/>
            <w:bookmarkEnd w:id="337"/>
            <w:bookmarkEnd w:id="338"/>
          </w:p>
        </w:tc>
        <w:tc>
          <w:tcPr>
            <w:tcW w:w="6716" w:type="dxa"/>
            <w:gridSpan w:val="8"/>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2139"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339" w:name="_Toc496689346"/>
            <w:bookmarkStart w:id="340" w:name="_Toc21807"/>
            <w:bookmarkStart w:id="341" w:name="_Toc496689074"/>
            <w:bookmarkStart w:id="342" w:name="_Toc496695073"/>
            <w:bookmarkStart w:id="343" w:name="_Toc23026"/>
            <w:bookmarkStart w:id="344" w:name="_Toc496695803"/>
            <w:r>
              <w:rPr>
                <w:rFonts w:hint="eastAsia" w:ascii="新宋体" w:hAnsi="新宋体" w:eastAsia="新宋体" w:cs="新宋体"/>
                <w:color w:val="auto"/>
                <w:sz w:val="24"/>
                <w:highlight w:val="none"/>
              </w:rPr>
              <w:t>注册地址</w:t>
            </w:r>
            <w:bookmarkEnd w:id="339"/>
            <w:bookmarkEnd w:id="340"/>
            <w:bookmarkEnd w:id="341"/>
            <w:bookmarkEnd w:id="342"/>
            <w:bookmarkEnd w:id="343"/>
            <w:bookmarkEnd w:id="344"/>
          </w:p>
        </w:tc>
        <w:tc>
          <w:tcPr>
            <w:tcW w:w="3234" w:type="dxa"/>
            <w:gridSpan w:val="4"/>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345" w:name="_Toc496689347"/>
            <w:bookmarkStart w:id="346" w:name="_Toc496695804"/>
            <w:bookmarkStart w:id="347" w:name="_Toc496689075"/>
            <w:bookmarkStart w:id="348" w:name="_Toc25919"/>
            <w:bookmarkStart w:id="349" w:name="_Toc496695074"/>
            <w:bookmarkStart w:id="350" w:name="_Toc9895"/>
            <w:r>
              <w:rPr>
                <w:rFonts w:hint="eastAsia" w:ascii="新宋体" w:hAnsi="新宋体" w:eastAsia="新宋体" w:cs="新宋体"/>
                <w:color w:val="auto"/>
                <w:sz w:val="24"/>
                <w:highlight w:val="none"/>
              </w:rPr>
              <w:t>邮政编码</w:t>
            </w:r>
            <w:bookmarkEnd w:id="345"/>
            <w:bookmarkEnd w:id="346"/>
            <w:bookmarkEnd w:id="347"/>
            <w:bookmarkEnd w:id="348"/>
            <w:bookmarkEnd w:id="349"/>
            <w:bookmarkEnd w:id="350"/>
          </w:p>
        </w:tc>
        <w:tc>
          <w:tcPr>
            <w:tcW w:w="2162" w:type="dxa"/>
            <w:gridSpan w:val="3"/>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2139" w:type="dxa"/>
            <w:vMerge w:val="restart"/>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351" w:name="_Toc496689076"/>
            <w:bookmarkStart w:id="352" w:name="_Toc496695805"/>
            <w:bookmarkStart w:id="353" w:name="_Toc496695075"/>
            <w:bookmarkStart w:id="354" w:name="_Toc19343"/>
            <w:bookmarkStart w:id="355" w:name="_Toc496689348"/>
            <w:bookmarkStart w:id="356" w:name="_Toc4083"/>
            <w:r>
              <w:rPr>
                <w:rFonts w:hint="eastAsia" w:ascii="新宋体" w:hAnsi="新宋体" w:eastAsia="新宋体" w:cs="新宋体"/>
                <w:color w:val="auto"/>
                <w:sz w:val="24"/>
                <w:highlight w:val="none"/>
              </w:rPr>
              <w:t>联系方式</w:t>
            </w:r>
            <w:bookmarkEnd w:id="351"/>
            <w:bookmarkEnd w:id="352"/>
            <w:bookmarkEnd w:id="353"/>
            <w:bookmarkEnd w:id="354"/>
            <w:bookmarkEnd w:id="355"/>
            <w:bookmarkEnd w:id="356"/>
          </w:p>
        </w:tc>
        <w:tc>
          <w:tcPr>
            <w:tcW w:w="1100" w:type="dxa"/>
            <w:gridSpan w:val="2"/>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357" w:name="_Toc496695806"/>
            <w:bookmarkStart w:id="358" w:name="_Toc18208"/>
            <w:bookmarkStart w:id="359" w:name="_Toc496689077"/>
            <w:bookmarkStart w:id="360" w:name="_Toc5161"/>
            <w:bookmarkStart w:id="361" w:name="_Toc496695076"/>
            <w:bookmarkStart w:id="362" w:name="_Toc496689349"/>
            <w:r>
              <w:rPr>
                <w:rFonts w:hint="eastAsia" w:ascii="新宋体" w:hAnsi="新宋体" w:eastAsia="新宋体" w:cs="新宋体"/>
                <w:color w:val="auto"/>
                <w:sz w:val="24"/>
                <w:highlight w:val="none"/>
              </w:rPr>
              <w:t>联系人</w:t>
            </w:r>
            <w:bookmarkEnd w:id="357"/>
            <w:bookmarkEnd w:id="358"/>
            <w:bookmarkEnd w:id="359"/>
            <w:bookmarkEnd w:id="360"/>
            <w:bookmarkEnd w:id="361"/>
            <w:bookmarkEnd w:id="362"/>
          </w:p>
        </w:tc>
        <w:tc>
          <w:tcPr>
            <w:tcW w:w="2134" w:type="dxa"/>
            <w:gridSpan w:val="2"/>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bookmarkStart w:id="363" w:name="_Toc496695807"/>
            <w:bookmarkStart w:id="364" w:name="_Toc19243"/>
            <w:bookmarkStart w:id="365" w:name="_Toc25562"/>
            <w:bookmarkStart w:id="366" w:name="_Toc496689350"/>
            <w:bookmarkStart w:id="367" w:name="_Toc496689078"/>
            <w:bookmarkStart w:id="368" w:name="_Toc496695077"/>
            <w:r>
              <w:rPr>
                <w:rFonts w:hint="eastAsia" w:ascii="新宋体" w:hAnsi="新宋体" w:eastAsia="新宋体" w:cs="新宋体"/>
                <w:color w:val="auto"/>
                <w:sz w:val="24"/>
                <w:highlight w:val="none"/>
              </w:rPr>
              <w:t>电话</w:t>
            </w:r>
            <w:bookmarkEnd w:id="363"/>
            <w:bookmarkEnd w:id="364"/>
            <w:bookmarkEnd w:id="365"/>
            <w:bookmarkEnd w:id="366"/>
            <w:bookmarkEnd w:id="367"/>
            <w:bookmarkEnd w:id="368"/>
          </w:p>
        </w:tc>
        <w:tc>
          <w:tcPr>
            <w:tcW w:w="2162" w:type="dxa"/>
            <w:gridSpan w:val="3"/>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2139" w:type="dxa"/>
            <w:vMerge w:val="continue"/>
            <w:noWrap w:val="0"/>
            <w:vAlign w:val="center"/>
          </w:tcPr>
          <w:p>
            <w:pPr>
              <w:keepNext w:val="0"/>
              <w:keepLines w:val="0"/>
              <w:suppressLineNumbers w:val="0"/>
              <w:spacing w:before="0" w:beforeAutospacing="0" w:after="0" w:afterAutospacing="0"/>
              <w:ind w:left="0" w:right="0"/>
              <w:rPr>
                <w:rFonts w:hint="eastAsia" w:ascii="新宋体" w:hAnsi="新宋体" w:eastAsia="新宋体" w:cs="新宋体"/>
                <w:color w:val="auto"/>
                <w:highlight w:val="none"/>
              </w:rPr>
            </w:pPr>
          </w:p>
        </w:tc>
        <w:tc>
          <w:tcPr>
            <w:tcW w:w="1100" w:type="dxa"/>
            <w:gridSpan w:val="2"/>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369" w:name="_Toc496689351"/>
            <w:bookmarkStart w:id="370" w:name="_Toc496695078"/>
            <w:bookmarkStart w:id="371" w:name="_Toc10594"/>
            <w:bookmarkStart w:id="372" w:name="_Toc496695808"/>
            <w:bookmarkStart w:id="373" w:name="_Toc496689079"/>
            <w:bookmarkStart w:id="374" w:name="_Toc13467"/>
            <w:r>
              <w:rPr>
                <w:rFonts w:hint="eastAsia" w:ascii="新宋体" w:hAnsi="新宋体" w:eastAsia="新宋体" w:cs="新宋体"/>
                <w:color w:val="auto"/>
                <w:sz w:val="24"/>
                <w:highlight w:val="none"/>
              </w:rPr>
              <w:t>传真</w:t>
            </w:r>
            <w:bookmarkEnd w:id="369"/>
            <w:bookmarkEnd w:id="370"/>
            <w:bookmarkEnd w:id="371"/>
            <w:bookmarkEnd w:id="372"/>
            <w:bookmarkEnd w:id="373"/>
            <w:bookmarkEnd w:id="374"/>
          </w:p>
        </w:tc>
        <w:tc>
          <w:tcPr>
            <w:tcW w:w="2134" w:type="dxa"/>
            <w:gridSpan w:val="2"/>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bookmarkStart w:id="375" w:name="_Toc496689352"/>
            <w:bookmarkStart w:id="376" w:name="_Toc496695809"/>
            <w:bookmarkStart w:id="377" w:name="_Toc496695079"/>
            <w:bookmarkStart w:id="378" w:name="_Toc9211"/>
            <w:bookmarkStart w:id="379" w:name="_Toc496689080"/>
            <w:bookmarkStart w:id="380" w:name="_Toc17526"/>
            <w:r>
              <w:rPr>
                <w:rFonts w:hint="eastAsia" w:ascii="新宋体" w:hAnsi="新宋体" w:eastAsia="新宋体" w:cs="新宋体"/>
                <w:color w:val="auto"/>
                <w:sz w:val="24"/>
                <w:highlight w:val="none"/>
              </w:rPr>
              <w:t>网址</w:t>
            </w:r>
            <w:bookmarkEnd w:id="375"/>
            <w:bookmarkEnd w:id="376"/>
            <w:bookmarkEnd w:id="377"/>
            <w:bookmarkEnd w:id="378"/>
            <w:bookmarkEnd w:id="379"/>
            <w:bookmarkEnd w:id="380"/>
          </w:p>
        </w:tc>
        <w:tc>
          <w:tcPr>
            <w:tcW w:w="2162" w:type="dxa"/>
            <w:gridSpan w:val="3"/>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2139"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381" w:name="_Toc496695080"/>
            <w:bookmarkStart w:id="382" w:name="_Toc496689081"/>
            <w:bookmarkStart w:id="383" w:name="_Toc27072"/>
            <w:bookmarkStart w:id="384" w:name="_Toc22435"/>
            <w:bookmarkStart w:id="385" w:name="_Toc496695810"/>
            <w:bookmarkStart w:id="386" w:name="_Toc496689353"/>
            <w:r>
              <w:rPr>
                <w:rFonts w:hint="eastAsia" w:ascii="新宋体" w:hAnsi="新宋体" w:eastAsia="新宋体" w:cs="新宋体"/>
                <w:color w:val="auto"/>
                <w:sz w:val="24"/>
                <w:highlight w:val="none"/>
              </w:rPr>
              <w:t>组织结构</w:t>
            </w:r>
            <w:bookmarkEnd w:id="381"/>
            <w:bookmarkEnd w:id="382"/>
            <w:bookmarkEnd w:id="383"/>
            <w:bookmarkEnd w:id="384"/>
            <w:bookmarkEnd w:id="385"/>
            <w:bookmarkEnd w:id="386"/>
          </w:p>
        </w:tc>
        <w:tc>
          <w:tcPr>
            <w:tcW w:w="6716" w:type="dxa"/>
            <w:gridSpan w:val="8"/>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139"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387" w:name="_Toc496689354"/>
            <w:bookmarkStart w:id="388" w:name="_Toc496689082"/>
            <w:bookmarkStart w:id="389" w:name="_Toc496695081"/>
            <w:bookmarkStart w:id="390" w:name="_Toc10695"/>
            <w:bookmarkStart w:id="391" w:name="_Toc496695811"/>
            <w:bookmarkStart w:id="392" w:name="_Toc26820"/>
            <w:r>
              <w:rPr>
                <w:rFonts w:hint="eastAsia" w:ascii="新宋体" w:hAnsi="新宋体" w:eastAsia="新宋体" w:cs="新宋体"/>
                <w:color w:val="auto"/>
                <w:sz w:val="24"/>
                <w:highlight w:val="none"/>
              </w:rPr>
              <w:t>法定代表人/单位负责人</w:t>
            </w:r>
            <w:bookmarkEnd w:id="387"/>
            <w:bookmarkEnd w:id="388"/>
            <w:bookmarkEnd w:id="389"/>
            <w:bookmarkEnd w:id="390"/>
            <w:bookmarkEnd w:id="391"/>
            <w:bookmarkEnd w:id="392"/>
          </w:p>
        </w:tc>
        <w:tc>
          <w:tcPr>
            <w:tcW w:w="1034"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393" w:name="_Toc496695812"/>
            <w:bookmarkStart w:id="394" w:name="_Toc496695082"/>
            <w:bookmarkStart w:id="395" w:name="_Toc496689355"/>
            <w:bookmarkStart w:id="396" w:name="_Toc3761"/>
            <w:bookmarkStart w:id="397" w:name="_Toc496689083"/>
            <w:bookmarkStart w:id="398" w:name="_Toc11722"/>
            <w:r>
              <w:rPr>
                <w:rFonts w:hint="eastAsia" w:ascii="新宋体" w:hAnsi="新宋体" w:eastAsia="新宋体" w:cs="新宋体"/>
                <w:color w:val="auto"/>
                <w:sz w:val="24"/>
                <w:highlight w:val="none"/>
              </w:rPr>
              <w:t>姓名</w:t>
            </w:r>
            <w:bookmarkEnd w:id="393"/>
            <w:bookmarkEnd w:id="394"/>
            <w:bookmarkEnd w:id="395"/>
            <w:bookmarkEnd w:id="396"/>
            <w:bookmarkEnd w:id="397"/>
            <w:bookmarkEnd w:id="398"/>
          </w:p>
        </w:tc>
        <w:tc>
          <w:tcPr>
            <w:tcW w:w="953" w:type="dxa"/>
            <w:gridSpan w:val="2"/>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47"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399" w:name="_Toc16234"/>
            <w:bookmarkStart w:id="400" w:name="_Toc496695083"/>
            <w:bookmarkStart w:id="401" w:name="_Toc496689356"/>
            <w:bookmarkStart w:id="402" w:name="_Toc496695813"/>
            <w:bookmarkStart w:id="403" w:name="_Toc4837"/>
            <w:bookmarkStart w:id="404" w:name="_Toc496689084"/>
            <w:r>
              <w:rPr>
                <w:rFonts w:hint="eastAsia" w:ascii="新宋体" w:hAnsi="新宋体" w:eastAsia="新宋体" w:cs="新宋体"/>
                <w:color w:val="auto"/>
                <w:sz w:val="24"/>
                <w:highlight w:val="none"/>
              </w:rPr>
              <w:t>技术职称</w:t>
            </w:r>
            <w:bookmarkEnd w:id="399"/>
            <w:bookmarkEnd w:id="400"/>
            <w:bookmarkEnd w:id="401"/>
            <w:bookmarkEnd w:id="402"/>
            <w:bookmarkEnd w:id="403"/>
            <w:bookmarkEnd w:id="404"/>
          </w:p>
        </w:tc>
        <w:tc>
          <w:tcPr>
            <w:tcW w:w="13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50" w:type="dxa"/>
            <w:gridSpan w:val="2"/>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05" w:name="_Toc19104"/>
            <w:bookmarkStart w:id="406" w:name="_Toc496689357"/>
            <w:bookmarkStart w:id="407" w:name="_Toc496695084"/>
            <w:bookmarkStart w:id="408" w:name="_Toc496689085"/>
            <w:bookmarkStart w:id="409" w:name="_Toc18342"/>
            <w:bookmarkStart w:id="410" w:name="_Toc496695814"/>
            <w:r>
              <w:rPr>
                <w:rFonts w:hint="eastAsia" w:ascii="新宋体" w:hAnsi="新宋体" w:eastAsia="新宋体" w:cs="新宋体"/>
                <w:color w:val="auto"/>
                <w:sz w:val="24"/>
                <w:highlight w:val="none"/>
              </w:rPr>
              <w:t>电话</w:t>
            </w:r>
            <w:bookmarkEnd w:id="405"/>
            <w:bookmarkEnd w:id="406"/>
            <w:bookmarkEnd w:id="407"/>
            <w:bookmarkEnd w:id="408"/>
            <w:bookmarkEnd w:id="409"/>
            <w:bookmarkEnd w:id="410"/>
          </w:p>
        </w:tc>
        <w:tc>
          <w:tcPr>
            <w:tcW w:w="1312"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2139"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11" w:name="_Toc496689086"/>
            <w:bookmarkStart w:id="412" w:name="_Toc552"/>
            <w:bookmarkStart w:id="413" w:name="_Toc496695815"/>
            <w:bookmarkStart w:id="414" w:name="_Toc496695085"/>
            <w:bookmarkStart w:id="415" w:name="_Toc5817"/>
            <w:bookmarkStart w:id="416" w:name="_Toc496689358"/>
            <w:r>
              <w:rPr>
                <w:rFonts w:hint="eastAsia" w:ascii="新宋体" w:hAnsi="新宋体" w:eastAsia="新宋体" w:cs="新宋体"/>
                <w:color w:val="auto"/>
                <w:sz w:val="24"/>
                <w:highlight w:val="none"/>
              </w:rPr>
              <w:t>技术负责人</w:t>
            </w:r>
            <w:bookmarkEnd w:id="411"/>
            <w:bookmarkEnd w:id="412"/>
            <w:bookmarkEnd w:id="413"/>
            <w:bookmarkEnd w:id="414"/>
            <w:bookmarkEnd w:id="415"/>
            <w:bookmarkEnd w:id="416"/>
          </w:p>
        </w:tc>
        <w:tc>
          <w:tcPr>
            <w:tcW w:w="1034"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17" w:name="_Toc496695086"/>
            <w:bookmarkStart w:id="418" w:name="_Toc496689087"/>
            <w:bookmarkStart w:id="419" w:name="_Toc496689359"/>
            <w:bookmarkStart w:id="420" w:name="_Toc17351"/>
            <w:bookmarkStart w:id="421" w:name="_Toc496695816"/>
            <w:bookmarkStart w:id="422" w:name="_Toc3369"/>
            <w:r>
              <w:rPr>
                <w:rFonts w:hint="eastAsia" w:ascii="新宋体" w:hAnsi="新宋体" w:eastAsia="新宋体" w:cs="新宋体"/>
                <w:color w:val="auto"/>
                <w:sz w:val="24"/>
                <w:highlight w:val="none"/>
              </w:rPr>
              <w:t>姓名</w:t>
            </w:r>
            <w:bookmarkEnd w:id="417"/>
            <w:bookmarkEnd w:id="418"/>
            <w:bookmarkEnd w:id="419"/>
            <w:bookmarkEnd w:id="420"/>
            <w:bookmarkEnd w:id="421"/>
            <w:bookmarkEnd w:id="422"/>
          </w:p>
        </w:tc>
        <w:tc>
          <w:tcPr>
            <w:tcW w:w="953" w:type="dxa"/>
            <w:gridSpan w:val="2"/>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47"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23" w:name="_Toc496695087"/>
            <w:bookmarkStart w:id="424" w:name="_Toc496695817"/>
            <w:bookmarkStart w:id="425" w:name="_Toc496689088"/>
            <w:bookmarkStart w:id="426" w:name="_Toc496689360"/>
            <w:bookmarkStart w:id="427" w:name="_Toc15306"/>
            <w:bookmarkStart w:id="428" w:name="_Toc11068"/>
            <w:r>
              <w:rPr>
                <w:rFonts w:hint="eastAsia" w:ascii="新宋体" w:hAnsi="新宋体" w:eastAsia="新宋体" w:cs="新宋体"/>
                <w:color w:val="auto"/>
                <w:sz w:val="24"/>
                <w:highlight w:val="none"/>
              </w:rPr>
              <w:t>技术职称</w:t>
            </w:r>
            <w:bookmarkEnd w:id="423"/>
            <w:bookmarkEnd w:id="424"/>
            <w:bookmarkEnd w:id="425"/>
            <w:bookmarkEnd w:id="426"/>
            <w:bookmarkEnd w:id="427"/>
            <w:bookmarkEnd w:id="428"/>
          </w:p>
        </w:tc>
        <w:tc>
          <w:tcPr>
            <w:tcW w:w="13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50" w:type="dxa"/>
            <w:gridSpan w:val="2"/>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29" w:name="_Toc837"/>
            <w:bookmarkStart w:id="430" w:name="_Toc496689361"/>
            <w:bookmarkStart w:id="431" w:name="_Toc496695088"/>
            <w:bookmarkStart w:id="432" w:name="_Toc496695818"/>
            <w:bookmarkStart w:id="433" w:name="_Toc276"/>
            <w:bookmarkStart w:id="434" w:name="_Toc496689089"/>
            <w:r>
              <w:rPr>
                <w:rFonts w:hint="eastAsia" w:ascii="新宋体" w:hAnsi="新宋体" w:eastAsia="新宋体" w:cs="新宋体"/>
                <w:color w:val="auto"/>
                <w:sz w:val="24"/>
                <w:highlight w:val="none"/>
              </w:rPr>
              <w:t>电话</w:t>
            </w:r>
            <w:bookmarkEnd w:id="429"/>
            <w:bookmarkEnd w:id="430"/>
            <w:bookmarkEnd w:id="431"/>
            <w:bookmarkEnd w:id="432"/>
            <w:bookmarkEnd w:id="433"/>
            <w:bookmarkEnd w:id="434"/>
          </w:p>
        </w:tc>
        <w:tc>
          <w:tcPr>
            <w:tcW w:w="1312"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2139"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35" w:name="_Toc22314"/>
            <w:bookmarkStart w:id="436" w:name="_Toc496695089"/>
            <w:bookmarkStart w:id="437" w:name="_Toc496689362"/>
            <w:bookmarkStart w:id="438" w:name="_Toc26452"/>
            <w:bookmarkStart w:id="439" w:name="_Toc496695819"/>
            <w:bookmarkStart w:id="440" w:name="_Toc496689090"/>
            <w:r>
              <w:rPr>
                <w:rFonts w:hint="eastAsia" w:ascii="新宋体" w:hAnsi="新宋体" w:eastAsia="新宋体" w:cs="新宋体"/>
                <w:color w:val="auto"/>
                <w:sz w:val="24"/>
                <w:highlight w:val="none"/>
              </w:rPr>
              <w:t>成立时间</w:t>
            </w:r>
            <w:bookmarkEnd w:id="435"/>
            <w:bookmarkEnd w:id="436"/>
            <w:bookmarkEnd w:id="437"/>
            <w:bookmarkEnd w:id="438"/>
            <w:bookmarkEnd w:id="439"/>
            <w:bookmarkEnd w:id="440"/>
          </w:p>
        </w:tc>
        <w:tc>
          <w:tcPr>
            <w:tcW w:w="1987" w:type="dxa"/>
            <w:gridSpan w:val="3"/>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4729" w:type="dxa"/>
            <w:gridSpan w:val="5"/>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41" w:name="_Toc496689363"/>
            <w:bookmarkStart w:id="442" w:name="_Toc496695090"/>
            <w:bookmarkStart w:id="443" w:name="_Toc6126"/>
            <w:bookmarkStart w:id="444" w:name="_Toc496689091"/>
            <w:bookmarkStart w:id="445" w:name="_Toc12078"/>
            <w:bookmarkStart w:id="446" w:name="_Toc496695820"/>
            <w:r>
              <w:rPr>
                <w:rFonts w:hint="eastAsia" w:ascii="新宋体" w:hAnsi="新宋体" w:eastAsia="新宋体" w:cs="新宋体"/>
                <w:color w:val="auto"/>
                <w:sz w:val="24"/>
                <w:highlight w:val="none"/>
              </w:rPr>
              <w:t>员工总人数：</w:t>
            </w:r>
            <w:bookmarkEnd w:id="441"/>
            <w:bookmarkEnd w:id="442"/>
            <w:bookmarkEnd w:id="443"/>
            <w:bookmarkEnd w:id="444"/>
            <w:bookmarkEnd w:id="445"/>
            <w:bookmarkEnd w:id="446"/>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2139"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47" w:name="_Toc496689364"/>
            <w:bookmarkStart w:id="448" w:name="_Toc19453"/>
            <w:bookmarkStart w:id="449" w:name="_Toc496689092"/>
            <w:bookmarkStart w:id="450" w:name="_Toc496695091"/>
            <w:bookmarkStart w:id="451" w:name="_Toc29694"/>
            <w:bookmarkStart w:id="452" w:name="_Toc496695821"/>
            <w:r>
              <w:rPr>
                <w:rFonts w:hint="eastAsia" w:ascii="新宋体" w:hAnsi="新宋体" w:eastAsia="新宋体" w:cs="新宋体"/>
                <w:color w:val="auto"/>
                <w:sz w:val="24"/>
                <w:highlight w:val="none"/>
              </w:rPr>
              <w:t>企业资质等级</w:t>
            </w:r>
            <w:bookmarkEnd w:id="447"/>
            <w:bookmarkEnd w:id="448"/>
            <w:bookmarkEnd w:id="449"/>
            <w:bookmarkEnd w:id="450"/>
            <w:bookmarkEnd w:id="451"/>
            <w:bookmarkEnd w:id="452"/>
          </w:p>
        </w:tc>
        <w:tc>
          <w:tcPr>
            <w:tcW w:w="1987" w:type="dxa"/>
            <w:gridSpan w:val="3"/>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47" w:type="dxa"/>
            <w:vMerge w:val="restart"/>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bookmarkStart w:id="453" w:name="_Toc496689093"/>
            <w:bookmarkStart w:id="454" w:name="_Toc496695092"/>
            <w:bookmarkStart w:id="455" w:name="_Toc496689365"/>
            <w:bookmarkStart w:id="456" w:name="_Toc20069"/>
            <w:bookmarkStart w:id="457" w:name="_Toc496695822"/>
            <w:bookmarkStart w:id="458" w:name="_Toc10025"/>
            <w:r>
              <w:rPr>
                <w:rFonts w:hint="eastAsia" w:ascii="新宋体" w:hAnsi="新宋体" w:eastAsia="新宋体" w:cs="新宋体"/>
                <w:color w:val="auto"/>
                <w:sz w:val="24"/>
                <w:highlight w:val="none"/>
              </w:rPr>
              <w:t>其中</w:t>
            </w:r>
            <w:bookmarkEnd w:id="453"/>
            <w:bookmarkEnd w:id="454"/>
            <w:bookmarkEnd w:id="455"/>
            <w:bookmarkEnd w:id="456"/>
            <w:bookmarkEnd w:id="457"/>
            <w:bookmarkEnd w:id="458"/>
          </w:p>
        </w:tc>
        <w:tc>
          <w:tcPr>
            <w:tcW w:w="1766" w:type="dxa"/>
            <w:gridSpan w:val="2"/>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59" w:name="_Toc496695093"/>
            <w:bookmarkStart w:id="460" w:name="_Toc4167"/>
            <w:bookmarkStart w:id="461" w:name="_Toc496695823"/>
            <w:bookmarkStart w:id="462" w:name="_Toc496689366"/>
            <w:bookmarkStart w:id="463" w:name="_Toc496689094"/>
            <w:bookmarkStart w:id="464" w:name="_Toc23262"/>
            <w:r>
              <w:rPr>
                <w:rFonts w:hint="eastAsia" w:ascii="新宋体" w:hAnsi="新宋体" w:eastAsia="新宋体" w:cs="新宋体"/>
                <w:color w:val="auto"/>
                <w:sz w:val="24"/>
                <w:highlight w:val="none"/>
              </w:rPr>
              <w:t>项目经理</w:t>
            </w:r>
            <w:bookmarkEnd w:id="459"/>
            <w:bookmarkEnd w:id="460"/>
            <w:bookmarkEnd w:id="461"/>
            <w:bookmarkEnd w:id="462"/>
            <w:bookmarkEnd w:id="463"/>
            <w:bookmarkEnd w:id="464"/>
          </w:p>
        </w:tc>
        <w:tc>
          <w:tcPr>
            <w:tcW w:w="1716" w:type="dxa"/>
            <w:gridSpan w:val="2"/>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97" w:hRule="atLeast"/>
          <w:jc w:val="center"/>
        </w:trPr>
        <w:tc>
          <w:tcPr>
            <w:tcW w:w="2139"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65" w:name="_Toc496695094"/>
            <w:bookmarkStart w:id="466" w:name="_Toc30401"/>
            <w:bookmarkStart w:id="467" w:name="_Toc496689095"/>
            <w:bookmarkStart w:id="468" w:name="_Toc496689367"/>
            <w:bookmarkStart w:id="469" w:name="_Toc27666"/>
            <w:bookmarkStart w:id="470" w:name="_Toc496695824"/>
            <w:r>
              <w:rPr>
                <w:rFonts w:hint="eastAsia" w:ascii="新宋体" w:hAnsi="新宋体" w:eastAsia="新宋体" w:cs="新宋体"/>
                <w:color w:val="auto"/>
                <w:sz w:val="24"/>
                <w:highlight w:val="none"/>
              </w:rPr>
              <w:t>营业执照号</w:t>
            </w:r>
            <w:bookmarkEnd w:id="465"/>
            <w:bookmarkEnd w:id="466"/>
            <w:bookmarkEnd w:id="467"/>
            <w:bookmarkEnd w:id="468"/>
            <w:bookmarkEnd w:id="469"/>
            <w:bookmarkEnd w:id="470"/>
          </w:p>
        </w:tc>
        <w:tc>
          <w:tcPr>
            <w:tcW w:w="1987" w:type="dxa"/>
            <w:gridSpan w:val="3"/>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47" w:type="dxa"/>
            <w:vMerge w:val="continue"/>
            <w:noWrap w:val="0"/>
            <w:vAlign w:val="center"/>
          </w:tcPr>
          <w:p>
            <w:pPr>
              <w:keepNext w:val="0"/>
              <w:keepLines w:val="0"/>
              <w:suppressLineNumbers w:val="0"/>
              <w:spacing w:before="0" w:beforeAutospacing="0" w:after="0" w:afterAutospacing="0"/>
              <w:ind w:left="0" w:right="0"/>
              <w:rPr>
                <w:rFonts w:hint="eastAsia" w:ascii="新宋体" w:hAnsi="新宋体" w:eastAsia="新宋体" w:cs="新宋体"/>
                <w:color w:val="auto"/>
                <w:highlight w:val="none"/>
              </w:rPr>
            </w:pPr>
          </w:p>
        </w:tc>
        <w:tc>
          <w:tcPr>
            <w:tcW w:w="1766" w:type="dxa"/>
            <w:gridSpan w:val="2"/>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71" w:name="_Toc496689368"/>
            <w:bookmarkStart w:id="472" w:name="_Toc496689096"/>
            <w:bookmarkStart w:id="473" w:name="_Toc8391"/>
            <w:bookmarkStart w:id="474" w:name="_Toc32652"/>
            <w:bookmarkStart w:id="475" w:name="_Toc496695095"/>
            <w:bookmarkStart w:id="476" w:name="_Toc496695825"/>
            <w:r>
              <w:rPr>
                <w:rFonts w:hint="eastAsia" w:ascii="新宋体" w:hAnsi="新宋体" w:eastAsia="新宋体" w:cs="新宋体"/>
                <w:color w:val="auto"/>
                <w:sz w:val="24"/>
                <w:highlight w:val="none"/>
              </w:rPr>
              <w:t>高级职称人员</w:t>
            </w:r>
            <w:bookmarkEnd w:id="471"/>
            <w:bookmarkEnd w:id="472"/>
            <w:bookmarkEnd w:id="473"/>
            <w:bookmarkEnd w:id="474"/>
            <w:bookmarkEnd w:id="475"/>
            <w:bookmarkEnd w:id="476"/>
          </w:p>
        </w:tc>
        <w:tc>
          <w:tcPr>
            <w:tcW w:w="1716" w:type="dxa"/>
            <w:gridSpan w:val="2"/>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2139"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77" w:name="_Toc496695096"/>
            <w:bookmarkStart w:id="478" w:name="_Toc496689097"/>
            <w:bookmarkStart w:id="479" w:name="_Toc391"/>
            <w:bookmarkStart w:id="480" w:name="_Toc496689369"/>
            <w:bookmarkStart w:id="481" w:name="_Toc28427"/>
            <w:bookmarkStart w:id="482" w:name="_Toc496695826"/>
            <w:r>
              <w:rPr>
                <w:rFonts w:hint="eastAsia" w:ascii="新宋体" w:hAnsi="新宋体" w:eastAsia="新宋体" w:cs="新宋体"/>
                <w:color w:val="auto"/>
                <w:sz w:val="24"/>
                <w:highlight w:val="none"/>
              </w:rPr>
              <w:t>注册资金</w:t>
            </w:r>
            <w:bookmarkEnd w:id="477"/>
            <w:bookmarkEnd w:id="478"/>
            <w:bookmarkEnd w:id="479"/>
            <w:bookmarkEnd w:id="480"/>
            <w:bookmarkEnd w:id="481"/>
            <w:bookmarkEnd w:id="482"/>
          </w:p>
        </w:tc>
        <w:tc>
          <w:tcPr>
            <w:tcW w:w="1987" w:type="dxa"/>
            <w:gridSpan w:val="3"/>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47" w:type="dxa"/>
            <w:vMerge w:val="continue"/>
            <w:noWrap w:val="0"/>
            <w:vAlign w:val="center"/>
          </w:tcPr>
          <w:p>
            <w:pPr>
              <w:keepNext w:val="0"/>
              <w:keepLines w:val="0"/>
              <w:suppressLineNumbers w:val="0"/>
              <w:spacing w:before="0" w:beforeAutospacing="0" w:after="0" w:afterAutospacing="0"/>
              <w:ind w:left="0" w:right="0"/>
              <w:rPr>
                <w:rFonts w:hint="eastAsia" w:ascii="新宋体" w:hAnsi="新宋体" w:eastAsia="新宋体" w:cs="新宋体"/>
                <w:color w:val="auto"/>
                <w:highlight w:val="none"/>
              </w:rPr>
            </w:pPr>
          </w:p>
        </w:tc>
        <w:tc>
          <w:tcPr>
            <w:tcW w:w="1766" w:type="dxa"/>
            <w:gridSpan w:val="2"/>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83" w:name="_Toc496695827"/>
            <w:bookmarkStart w:id="484" w:name="_Toc496689098"/>
            <w:bookmarkStart w:id="485" w:name="_Toc496689370"/>
            <w:bookmarkStart w:id="486" w:name="_Toc25910"/>
            <w:bookmarkStart w:id="487" w:name="_Toc496695097"/>
            <w:bookmarkStart w:id="488" w:name="_Toc7483"/>
            <w:r>
              <w:rPr>
                <w:rFonts w:hint="eastAsia" w:ascii="新宋体" w:hAnsi="新宋体" w:eastAsia="新宋体" w:cs="新宋体"/>
                <w:color w:val="auto"/>
                <w:sz w:val="24"/>
                <w:highlight w:val="none"/>
              </w:rPr>
              <w:t>中级职称人员</w:t>
            </w:r>
            <w:bookmarkEnd w:id="483"/>
            <w:bookmarkEnd w:id="484"/>
            <w:bookmarkEnd w:id="485"/>
            <w:bookmarkEnd w:id="486"/>
            <w:bookmarkEnd w:id="487"/>
            <w:bookmarkEnd w:id="488"/>
          </w:p>
        </w:tc>
        <w:tc>
          <w:tcPr>
            <w:tcW w:w="1716" w:type="dxa"/>
            <w:gridSpan w:val="2"/>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2139"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89" w:name="_Toc496695828"/>
            <w:bookmarkStart w:id="490" w:name="_Toc11632"/>
            <w:bookmarkStart w:id="491" w:name="_Toc16627"/>
            <w:bookmarkStart w:id="492" w:name="_Toc496689099"/>
            <w:bookmarkStart w:id="493" w:name="_Toc496695098"/>
            <w:bookmarkStart w:id="494" w:name="_Toc496689371"/>
            <w:r>
              <w:rPr>
                <w:rFonts w:hint="eastAsia" w:ascii="新宋体" w:hAnsi="新宋体" w:eastAsia="新宋体" w:cs="新宋体"/>
                <w:color w:val="auto"/>
                <w:sz w:val="24"/>
                <w:highlight w:val="none"/>
              </w:rPr>
              <w:t>开户银行</w:t>
            </w:r>
            <w:bookmarkEnd w:id="489"/>
            <w:bookmarkEnd w:id="490"/>
            <w:bookmarkEnd w:id="491"/>
            <w:bookmarkEnd w:id="492"/>
            <w:bookmarkEnd w:id="493"/>
            <w:bookmarkEnd w:id="494"/>
          </w:p>
        </w:tc>
        <w:tc>
          <w:tcPr>
            <w:tcW w:w="1987" w:type="dxa"/>
            <w:gridSpan w:val="3"/>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47" w:type="dxa"/>
            <w:vMerge w:val="continue"/>
            <w:noWrap w:val="0"/>
            <w:vAlign w:val="center"/>
          </w:tcPr>
          <w:p>
            <w:pPr>
              <w:keepNext w:val="0"/>
              <w:keepLines w:val="0"/>
              <w:suppressLineNumbers w:val="0"/>
              <w:spacing w:before="0" w:beforeAutospacing="0" w:after="0" w:afterAutospacing="0"/>
              <w:ind w:left="0" w:right="0"/>
              <w:rPr>
                <w:rFonts w:hint="eastAsia" w:ascii="新宋体" w:hAnsi="新宋体" w:eastAsia="新宋体" w:cs="新宋体"/>
                <w:color w:val="auto"/>
                <w:highlight w:val="none"/>
              </w:rPr>
            </w:pPr>
          </w:p>
        </w:tc>
        <w:tc>
          <w:tcPr>
            <w:tcW w:w="1766" w:type="dxa"/>
            <w:gridSpan w:val="2"/>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495" w:name="_Toc496689372"/>
            <w:bookmarkStart w:id="496" w:name="_Toc496689100"/>
            <w:bookmarkStart w:id="497" w:name="_Toc8004"/>
            <w:bookmarkStart w:id="498" w:name="_Toc496695829"/>
            <w:bookmarkStart w:id="499" w:name="_Toc496695099"/>
            <w:bookmarkStart w:id="500" w:name="_Toc10877"/>
            <w:r>
              <w:rPr>
                <w:rFonts w:hint="eastAsia" w:ascii="新宋体" w:hAnsi="新宋体" w:eastAsia="新宋体" w:cs="新宋体"/>
                <w:color w:val="auto"/>
                <w:sz w:val="24"/>
                <w:highlight w:val="none"/>
              </w:rPr>
              <w:t>初级职称人员</w:t>
            </w:r>
            <w:bookmarkEnd w:id="495"/>
            <w:bookmarkEnd w:id="496"/>
            <w:bookmarkEnd w:id="497"/>
            <w:bookmarkEnd w:id="498"/>
            <w:bookmarkEnd w:id="499"/>
            <w:bookmarkEnd w:id="500"/>
          </w:p>
        </w:tc>
        <w:tc>
          <w:tcPr>
            <w:tcW w:w="1716" w:type="dxa"/>
            <w:gridSpan w:val="2"/>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2139"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bookmarkStart w:id="501" w:name="_Toc496689101"/>
            <w:bookmarkStart w:id="502" w:name="_Toc496695830"/>
            <w:bookmarkStart w:id="503" w:name="_Toc24089"/>
            <w:bookmarkStart w:id="504" w:name="_Toc496689373"/>
            <w:bookmarkStart w:id="505" w:name="_Toc28761"/>
            <w:bookmarkStart w:id="506" w:name="_Toc496695100"/>
            <w:r>
              <w:rPr>
                <w:rFonts w:hint="eastAsia" w:ascii="新宋体" w:hAnsi="新宋体" w:eastAsia="新宋体" w:cs="新宋体"/>
                <w:color w:val="auto"/>
                <w:sz w:val="24"/>
                <w:highlight w:val="none"/>
              </w:rPr>
              <w:t>账号</w:t>
            </w:r>
            <w:bookmarkEnd w:id="501"/>
            <w:bookmarkEnd w:id="502"/>
            <w:bookmarkEnd w:id="503"/>
            <w:bookmarkEnd w:id="504"/>
            <w:bookmarkEnd w:id="505"/>
            <w:bookmarkEnd w:id="506"/>
          </w:p>
        </w:tc>
        <w:tc>
          <w:tcPr>
            <w:tcW w:w="1987" w:type="dxa"/>
            <w:gridSpan w:val="3"/>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47" w:type="dxa"/>
            <w:vMerge w:val="continue"/>
            <w:noWrap w:val="0"/>
            <w:vAlign w:val="center"/>
          </w:tcPr>
          <w:p>
            <w:pPr>
              <w:keepNext w:val="0"/>
              <w:keepLines w:val="0"/>
              <w:suppressLineNumbers w:val="0"/>
              <w:spacing w:before="0" w:beforeAutospacing="0" w:after="0" w:afterAutospacing="0"/>
              <w:ind w:left="0" w:right="0"/>
              <w:rPr>
                <w:rFonts w:hint="eastAsia" w:ascii="新宋体" w:hAnsi="新宋体" w:eastAsia="新宋体" w:cs="新宋体"/>
                <w:color w:val="auto"/>
                <w:highlight w:val="none"/>
              </w:rPr>
            </w:pPr>
          </w:p>
        </w:tc>
        <w:tc>
          <w:tcPr>
            <w:tcW w:w="1766" w:type="dxa"/>
            <w:gridSpan w:val="2"/>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bookmarkStart w:id="507" w:name="_Toc496695831"/>
            <w:bookmarkStart w:id="508" w:name="_Toc496695101"/>
            <w:bookmarkStart w:id="509" w:name="_Toc496689374"/>
            <w:bookmarkStart w:id="510" w:name="_Toc496689102"/>
            <w:bookmarkStart w:id="511" w:name="_Toc27949"/>
            <w:bookmarkStart w:id="512" w:name="_Toc12720"/>
            <w:r>
              <w:rPr>
                <w:rFonts w:hint="eastAsia" w:ascii="新宋体" w:hAnsi="新宋体" w:eastAsia="新宋体" w:cs="新宋体"/>
                <w:color w:val="auto"/>
                <w:sz w:val="24"/>
                <w:highlight w:val="none"/>
              </w:rPr>
              <w:t>技工</w:t>
            </w:r>
            <w:bookmarkEnd w:id="507"/>
            <w:bookmarkEnd w:id="508"/>
            <w:bookmarkEnd w:id="509"/>
            <w:bookmarkEnd w:id="510"/>
            <w:bookmarkEnd w:id="511"/>
            <w:bookmarkEnd w:id="512"/>
          </w:p>
        </w:tc>
        <w:tc>
          <w:tcPr>
            <w:tcW w:w="1716" w:type="dxa"/>
            <w:gridSpan w:val="2"/>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2139"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513" w:name="_Toc496695832"/>
            <w:bookmarkStart w:id="514" w:name="_Toc15146"/>
            <w:bookmarkStart w:id="515" w:name="_Toc496689375"/>
            <w:bookmarkStart w:id="516" w:name="_Toc496695102"/>
            <w:bookmarkStart w:id="517" w:name="_Toc28247"/>
            <w:bookmarkStart w:id="518" w:name="_Toc496689103"/>
            <w:r>
              <w:rPr>
                <w:rFonts w:hint="eastAsia" w:ascii="新宋体" w:hAnsi="新宋体" w:eastAsia="新宋体" w:cs="新宋体"/>
                <w:color w:val="auto"/>
                <w:sz w:val="24"/>
                <w:highlight w:val="none"/>
              </w:rPr>
              <w:t>经营范围</w:t>
            </w:r>
            <w:bookmarkEnd w:id="513"/>
            <w:bookmarkEnd w:id="514"/>
            <w:bookmarkEnd w:id="515"/>
            <w:bookmarkEnd w:id="516"/>
            <w:bookmarkEnd w:id="517"/>
            <w:bookmarkEnd w:id="518"/>
          </w:p>
        </w:tc>
        <w:tc>
          <w:tcPr>
            <w:tcW w:w="6716" w:type="dxa"/>
            <w:gridSpan w:val="8"/>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2139"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bookmarkStart w:id="519" w:name="_Toc496689376"/>
            <w:bookmarkStart w:id="520" w:name="_Toc13499"/>
            <w:bookmarkStart w:id="521" w:name="_Toc6923"/>
            <w:bookmarkStart w:id="522" w:name="_Toc496695833"/>
            <w:bookmarkStart w:id="523" w:name="_Toc496695103"/>
            <w:bookmarkStart w:id="524" w:name="_Toc496689104"/>
            <w:r>
              <w:rPr>
                <w:rFonts w:hint="eastAsia" w:ascii="新宋体" w:hAnsi="新宋体" w:eastAsia="新宋体" w:cs="新宋体"/>
                <w:color w:val="auto"/>
                <w:sz w:val="24"/>
                <w:highlight w:val="none"/>
              </w:rPr>
              <w:t>备注</w:t>
            </w:r>
            <w:bookmarkEnd w:id="519"/>
            <w:bookmarkEnd w:id="520"/>
            <w:bookmarkEnd w:id="521"/>
            <w:bookmarkEnd w:id="522"/>
            <w:bookmarkEnd w:id="523"/>
            <w:bookmarkEnd w:id="524"/>
          </w:p>
        </w:tc>
        <w:tc>
          <w:tcPr>
            <w:tcW w:w="6716" w:type="dxa"/>
            <w:gridSpan w:val="8"/>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bl>
    <w:p>
      <w:pPr>
        <w:spacing w:line="360" w:lineRule="auto"/>
        <w:rPr>
          <w:rFonts w:hint="eastAsia" w:ascii="新宋体" w:hAnsi="新宋体" w:eastAsia="新宋体" w:cs="新宋体"/>
          <w:color w:val="auto"/>
          <w:sz w:val="24"/>
          <w:highlight w:val="none"/>
        </w:rPr>
      </w:pPr>
      <w:bookmarkStart w:id="525" w:name="_Toc496689377"/>
      <w:bookmarkStart w:id="526" w:name="_Toc496689105"/>
    </w:p>
    <w:p>
      <w:pPr>
        <w:spacing w:line="360" w:lineRule="auto"/>
        <w:rPr>
          <w:rFonts w:hint="eastAsia" w:ascii="新宋体" w:hAnsi="新宋体" w:eastAsia="新宋体" w:cs="新宋体"/>
          <w:color w:val="auto"/>
          <w:sz w:val="24"/>
          <w:highlight w:val="none"/>
        </w:rPr>
      </w:pP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投标人名称：XXXX（单位盖章）</w:t>
      </w:r>
      <w:bookmarkEnd w:id="525"/>
      <w:bookmarkEnd w:id="526"/>
    </w:p>
    <w:p>
      <w:pPr>
        <w:spacing w:line="360" w:lineRule="auto"/>
        <w:rPr>
          <w:rFonts w:hint="eastAsia" w:ascii="新宋体" w:hAnsi="新宋体" w:eastAsia="新宋体" w:cs="新宋体"/>
          <w:color w:val="auto"/>
          <w:sz w:val="24"/>
          <w:highlight w:val="none"/>
        </w:rPr>
      </w:pPr>
      <w:bookmarkStart w:id="527" w:name="_Toc496689379"/>
      <w:bookmarkStart w:id="528" w:name="_Toc496689107"/>
      <w:r>
        <w:rPr>
          <w:rFonts w:hint="eastAsia" w:ascii="新宋体" w:hAnsi="新宋体" w:eastAsia="新宋体" w:cs="新宋体"/>
          <w:color w:val="auto"/>
          <w:sz w:val="24"/>
          <w:highlight w:val="none"/>
        </w:rPr>
        <w:t>法定代表人/单位负责人或授权代表（签字或加盖个人名章）：</w:t>
      </w: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日期: XXXX</w:t>
      </w:r>
      <w:bookmarkEnd w:id="527"/>
      <w:bookmarkEnd w:id="528"/>
    </w:p>
    <w:p>
      <w:pPr>
        <w:spacing w:line="360" w:lineRule="auto"/>
        <w:rPr>
          <w:rFonts w:hint="eastAsia" w:ascii="新宋体" w:hAnsi="新宋体" w:eastAsia="新宋体" w:cs="新宋体"/>
          <w:b/>
          <w:color w:val="auto"/>
          <w:sz w:val="32"/>
          <w:szCs w:val="32"/>
          <w:highlight w:val="none"/>
        </w:rPr>
      </w:pPr>
      <w:bookmarkStart w:id="529" w:name="_Toc217446089"/>
      <w:r>
        <w:rPr>
          <w:rFonts w:hint="eastAsia" w:ascii="新宋体" w:hAnsi="新宋体" w:eastAsia="新宋体" w:cs="新宋体"/>
          <w:b/>
          <w:color w:val="auto"/>
          <w:sz w:val="36"/>
          <w:szCs w:val="36"/>
          <w:highlight w:val="none"/>
        </w:rPr>
        <w:br w:type="page"/>
      </w:r>
      <w:r>
        <w:rPr>
          <w:rFonts w:hint="eastAsia" w:ascii="新宋体" w:hAnsi="新宋体" w:eastAsia="新宋体" w:cs="新宋体"/>
          <w:b/>
          <w:color w:val="auto"/>
          <w:sz w:val="28"/>
          <w:szCs w:val="28"/>
          <w:highlight w:val="none"/>
        </w:rPr>
        <w:t>格式2-6</w:t>
      </w:r>
    </w:p>
    <w:p>
      <w:pPr>
        <w:widowControl/>
        <w:spacing w:line="588" w:lineRule="exact"/>
        <w:ind w:firstLine="422" w:firstLineChars="150"/>
        <w:jc w:val="center"/>
        <w:outlineLvl w:val="1"/>
        <w:rPr>
          <w:rFonts w:hint="eastAsia" w:ascii="新宋体" w:hAnsi="新宋体" w:eastAsia="新宋体" w:cs="新宋体"/>
          <w:b/>
          <w:color w:val="auto"/>
          <w:sz w:val="28"/>
          <w:szCs w:val="28"/>
          <w:highlight w:val="none"/>
        </w:rPr>
      </w:pPr>
      <w:bookmarkStart w:id="530" w:name="_Toc496689108"/>
      <w:bookmarkStart w:id="531" w:name="_Toc496689380"/>
      <w:r>
        <w:rPr>
          <w:rFonts w:hint="eastAsia" w:ascii="新宋体" w:hAnsi="新宋体" w:eastAsia="新宋体" w:cs="新宋体"/>
          <w:b/>
          <w:color w:val="auto"/>
          <w:sz w:val="28"/>
          <w:szCs w:val="28"/>
          <w:highlight w:val="none"/>
        </w:rPr>
        <w:t>六、类似项目业绩一览表</w:t>
      </w:r>
      <w:bookmarkEnd w:id="529"/>
      <w:bookmarkEnd w:id="530"/>
      <w:bookmarkEnd w:id="531"/>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招标编号：</w:t>
      </w:r>
    </w:p>
    <w:p>
      <w:pPr>
        <w:pStyle w:val="19"/>
        <w:spacing w:after="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项目名称：</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532" w:name="_Toc4648"/>
            <w:bookmarkStart w:id="533" w:name="_Toc496689109"/>
            <w:bookmarkStart w:id="534" w:name="_Toc496695834"/>
            <w:bookmarkStart w:id="535" w:name="_Toc496695104"/>
            <w:bookmarkStart w:id="536" w:name="_Toc19098"/>
            <w:bookmarkStart w:id="537" w:name="_Toc496689381"/>
            <w:r>
              <w:rPr>
                <w:rFonts w:hint="eastAsia" w:ascii="新宋体" w:hAnsi="新宋体" w:eastAsia="新宋体" w:cs="新宋体"/>
                <w:color w:val="auto"/>
                <w:sz w:val="24"/>
                <w:highlight w:val="none"/>
              </w:rPr>
              <w:t>年份</w:t>
            </w:r>
            <w:bookmarkEnd w:id="532"/>
            <w:bookmarkEnd w:id="533"/>
            <w:bookmarkEnd w:id="534"/>
            <w:bookmarkEnd w:id="535"/>
            <w:bookmarkEnd w:id="536"/>
            <w:bookmarkEnd w:id="537"/>
          </w:p>
        </w:tc>
        <w:tc>
          <w:tcPr>
            <w:tcW w:w="1440"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538" w:name="_Toc496695835"/>
            <w:bookmarkStart w:id="539" w:name="_Toc14771"/>
            <w:bookmarkStart w:id="540" w:name="_Toc496689382"/>
            <w:bookmarkStart w:id="541" w:name="_Toc1427"/>
            <w:bookmarkStart w:id="542" w:name="_Toc496689110"/>
            <w:bookmarkStart w:id="543" w:name="_Toc496695105"/>
            <w:r>
              <w:rPr>
                <w:rFonts w:hint="eastAsia" w:ascii="新宋体" w:hAnsi="新宋体" w:eastAsia="新宋体" w:cs="新宋体"/>
                <w:color w:val="auto"/>
                <w:sz w:val="24"/>
                <w:highlight w:val="none"/>
              </w:rPr>
              <w:t>用户名称</w:t>
            </w:r>
            <w:bookmarkEnd w:id="538"/>
            <w:bookmarkEnd w:id="539"/>
            <w:bookmarkEnd w:id="540"/>
            <w:bookmarkEnd w:id="541"/>
            <w:bookmarkEnd w:id="542"/>
            <w:bookmarkEnd w:id="543"/>
          </w:p>
        </w:tc>
        <w:tc>
          <w:tcPr>
            <w:tcW w:w="1320"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544" w:name="_Toc28919"/>
            <w:bookmarkStart w:id="545" w:name="_Toc28599"/>
            <w:bookmarkStart w:id="546" w:name="_Toc496689111"/>
            <w:bookmarkStart w:id="547" w:name="_Toc496689383"/>
            <w:bookmarkStart w:id="548" w:name="_Toc496695836"/>
            <w:bookmarkStart w:id="549" w:name="_Toc496695106"/>
            <w:r>
              <w:rPr>
                <w:rFonts w:hint="eastAsia" w:ascii="新宋体" w:hAnsi="新宋体" w:eastAsia="新宋体" w:cs="新宋体"/>
                <w:color w:val="auto"/>
                <w:sz w:val="24"/>
                <w:highlight w:val="none"/>
              </w:rPr>
              <w:t>项目名称</w:t>
            </w:r>
            <w:bookmarkEnd w:id="544"/>
            <w:bookmarkEnd w:id="545"/>
            <w:bookmarkEnd w:id="546"/>
            <w:bookmarkEnd w:id="547"/>
            <w:bookmarkEnd w:id="548"/>
            <w:bookmarkEnd w:id="549"/>
          </w:p>
        </w:tc>
        <w:tc>
          <w:tcPr>
            <w:tcW w:w="1161"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550" w:name="_Toc496689112"/>
            <w:bookmarkStart w:id="551" w:name="_Toc14352"/>
            <w:bookmarkStart w:id="552" w:name="_Toc496695837"/>
            <w:bookmarkStart w:id="553" w:name="_Toc14706"/>
            <w:bookmarkStart w:id="554" w:name="_Toc496695107"/>
            <w:bookmarkStart w:id="555" w:name="_Toc496689384"/>
            <w:r>
              <w:rPr>
                <w:rFonts w:hint="eastAsia" w:ascii="新宋体" w:hAnsi="新宋体" w:eastAsia="新宋体" w:cs="新宋体"/>
                <w:color w:val="auto"/>
                <w:sz w:val="24"/>
                <w:highlight w:val="none"/>
              </w:rPr>
              <w:t>完成时间</w:t>
            </w:r>
            <w:bookmarkEnd w:id="550"/>
            <w:bookmarkEnd w:id="551"/>
            <w:bookmarkEnd w:id="552"/>
            <w:bookmarkEnd w:id="553"/>
            <w:bookmarkEnd w:id="554"/>
            <w:bookmarkEnd w:id="555"/>
          </w:p>
        </w:tc>
        <w:tc>
          <w:tcPr>
            <w:tcW w:w="1260"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556" w:name="_Toc496689385"/>
            <w:bookmarkStart w:id="557" w:name="_Toc496695838"/>
            <w:bookmarkStart w:id="558" w:name="_Toc496695108"/>
            <w:bookmarkStart w:id="559" w:name="_Toc3819"/>
            <w:bookmarkStart w:id="560" w:name="_Toc496689113"/>
            <w:bookmarkStart w:id="561" w:name="_Toc24928"/>
            <w:r>
              <w:rPr>
                <w:rFonts w:hint="eastAsia" w:ascii="新宋体" w:hAnsi="新宋体" w:eastAsia="新宋体" w:cs="新宋体"/>
                <w:color w:val="auto"/>
                <w:sz w:val="24"/>
                <w:highlight w:val="none"/>
              </w:rPr>
              <w:t>合同金额</w:t>
            </w:r>
            <w:bookmarkEnd w:id="556"/>
            <w:bookmarkEnd w:id="557"/>
            <w:bookmarkEnd w:id="558"/>
            <w:bookmarkEnd w:id="559"/>
            <w:bookmarkEnd w:id="560"/>
            <w:bookmarkEnd w:id="561"/>
          </w:p>
        </w:tc>
        <w:tc>
          <w:tcPr>
            <w:tcW w:w="1630" w:type="dxa"/>
            <w:gridSpan w:val="2"/>
            <w:tcBorders>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562" w:name="_Toc496695109"/>
            <w:bookmarkStart w:id="563" w:name="_Toc16613"/>
            <w:bookmarkStart w:id="564" w:name="_Toc496689386"/>
            <w:bookmarkStart w:id="565" w:name="_Toc28184"/>
            <w:bookmarkStart w:id="566" w:name="_Toc496689114"/>
            <w:bookmarkStart w:id="567" w:name="_Toc496695839"/>
            <w:r>
              <w:rPr>
                <w:rFonts w:hint="eastAsia" w:ascii="新宋体" w:hAnsi="新宋体" w:eastAsia="新宋体" w:cs="新宋体"/>
                <w:color w:val="auto"/>
                <w:sz w:val="24"/>
                <w:highlight w:val="none"/>
              </w:rPr>
              <w:t>是否通过验收</w:t>
            </w:r>
            <w:bookmarkEnd w:id="562"/>
            <w:bookmarkEnd w:id="563"/>
            <w:bookmarkEnd w:id="564"/>
            <w:bookmarkEnd w:id="565"/>
            <w:bookmarkEnd w:id="566"/>
            <w:bookmarkEnd w:id="567"/>
          </w:p>
        </w:tc>
        <w:tc>
          <w:tcPr>
            <w:tcW w:w="992" w:type="dxa"/>
            <w:tcBorders>
              <w:lef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568" w:name="_Toc18968"/>
            <w:bookmarkStart w:id="569" w:name="_Toc496695840"/>
            <w:bookmarkStart w:id="570" w:name="_Toc2822"/>
            <w:bookmarkStart w:id="571" w:name="_Toc496689387"/>
            <w:bookmarkStart w:id="572" w:name="_Toc496689115"/>
            <w:bookmarkStart w:id="573" w:name="_Toc496695110"/>
            <w:r>
              <w:rPr>
                <w:rFonts w:hint="eastAsia" w:ascii="新宋体" w:hAnsi="新宋体" w:eastAsia="新宋体" w:cs="新宋体"/>
                <w:color w:val="auto"/>
                <w:sz w:val="24"/>
                <w:highlight w:val="none"/>
              </w:rPr>
              <w:t>备注</w:t>
            </w:r>
            <w:bookmarkEnd w:id="568"/>
            <w:bookmarkEnd w:id="569"/>
            <w:bookmarkEnd w:id="570"/>
            <w:bookmarkEnd w:id="571"/>
            <w:bookmarkEnd w:id="572"/>
            <w:bookmarkEnd w:id="573"/>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44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161"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6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630" w:type="dxa"/>
            <w:gridSpan w:val="2"/>
            <w:tcBorders>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92" w:type="dxa"/>
            <w:tcBorders>
              <w:lef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44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161"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6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630" w:type="dxa"/>
            <w:gridSpan w:val="2"/>
            <w:tcBorders>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92" w:type="dxa"/>
            <w:tcBorders>
              <w:lef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44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161"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6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630" w:type="dxa"/>
            <w:gridSpan w:val="2"/>
            <w:tcBorders>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92" w:type="dxa"/>
            <w:tcBorders>
              <w:lef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440" w:type="dxa"/>
            <w:tcBorders>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tcBorders>
              <w:lef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161"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6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630" w:type="dxa"/>
            <w:gridSpan w:val="2"/>
            <w:tcBorders>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92" w:type="dxa"/>
            <w:tcBorders>
              <w:lef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440"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16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69" w:type="dxa"/>
            <w:gridSpan w:val="2"/>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62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92" w:type="dxa"/>
            <w:tcBorders>
              <w:lef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44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161"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69" w:type="dxa"/>
            <w:gridSpan w:val="2"/>
            <w:tcBorders>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62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92" w:type="dxa"/>
            <w:tcBorders>
              <w:lef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44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161"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69" w:type="dxa"/>
            <w:gridSpan w:val="2"/>
            <w:tcBorders>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62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92" w:type="dxa"/>
            <w:tcBorders>
              <w:lef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44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161" w:type="dxa"/>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69" w:type="dxa"/>
            <w:gridSpan w:val="2"/>
            <w:tcBorders>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621"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92" w:type="dxa"/>
            <w:tcBorders>
              <w:lef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440" w:type="dxa"/>
            <w:tcBorders>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tcBorders>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161" w:type="dxa"/>
            <w:tcBorders>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69" w:type="dxa"/>
            <w:gridSpan w:val="2"/>
            <w:tcBorders>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621"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92" w:type="dxa"/>
            <w:tcBorders>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440"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161"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69" w:type="dxa"/>
            <w:gridSpan w:val="2"/>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92" w:type="dxa"/>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440"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161"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69" w:type="dxa"/>
            <w:gridSpan w:val="2"/>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92" w:type="dxa"/>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440"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161" w:type="dxa"/>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69" w:type="dxa"/>
            <w:gridSpan w:val="2"/>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92" w:type="dxa"/>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440" w:type="dxa"/>
            <w:tcBorders>
              <w:top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20" w:type="dxa"/>
            <w:tcBorders>
              <w:top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161" w:type="dxa"/>
            <w:tcBorders>
              <w:top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269" w:type="dxa"/>
            <w:gridSpan w:val="2"/>
            <w:tcBorders>
              <w:top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621"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92" w:type="dxa"/>
            <w:tcBorders>
              <w:top w:val="single" w:color="auto" w:sz="4" w:space="0"/>
              <w:left w:val="single" w:color="auto" w:sz="4" w:space="0"/>
            </w:tcBorders>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bl>
    <w:p>
      <w:pPr>
        <w:rPr>
          <w:rFonts w:hint="eastAsia" w:ascii="新宋体" w:hAnsi="新宋体" w:eastAsia="新宋体" w:cs="新宋体"/>
          <w:color w:val="auto"/>
          <w:sz w:val="24"/>
          <w:highlight w:val="none"/>
        </w:rPr>
      </w:pPr>
    </w:p>
    <w:p>
      <w:pPr>
        <w:rPr>
          <w:rFonts w:hint="eastAsia" w:ascii="新宋体" w:hAnsi="新宋体" w:eastAsia="新宋体" w:cs="新宋体"/>
          <w:color w:val="auto"/>
          <w:szCs w:val="21"/>
          <w:highlight w:val="none"/>
        </w:rPr>
      </w:pPr>
      <w:bookmarkStart w:id="574" w:name="_Toc496689388"/>
      <w:bookmarkStart w:id="575" w:name="_Toc496689116"/>
      <w:r>
        <w:rPr>
          <w:rFonts w:hint="eastAsia" w:ascii="新宋体" w:hAnsi="新宋体" w:eastAsia="新宋体" w:cs="新宋体"/>
          <w:color w:val="auto"/>
          <w:szCs w:val="21"/>
          <w:highlight w:val="none"/>
        </w:rPr>
        <w:t>注：以上业绩仅限于投标人自己实施的业绩，需提供招标文件要求的有关书面证明材料。</w:t>
      </w:r>
      <w:bookmarkEnd w:id="574"/>
      <w:bookmarkEnd w:id="575"/>
    </w:p>
    <w:p>
      <w:pPr>
        <w:spacing w:line="360" w:lineRule="auto"/>
        <w:rPr>
          <w:rFonts w:hint="eastAsia" w:ascii="新宋体" w:hAnsi="新宋体" w:eastAsia="新宋体" w:cs="新宋体"/>
          <w:color w:val="auto"/>
          <w:sz w:val="24"/>
          <w:highlight w:val="none"/>
        </w:rPr>
      </w:pPr>
      <w:bookmarkStart w:id="576" w:name="_Toc496689389"/>
      <w:bookmarkStart w:id="577" w:name="_Toc496689117"/>
    </w:p>
    <w:p>
      <w:pPr>
        <w:spacing w:line="360" w:lineRule="auto"/>
        <w:rPr>
          <w:rFonts w:hint="eastAsia" w:ascii="新宋体" w:hAnsi="新宋体" w:eastAsia="新宋体" w:cs="新宋体"/>
          <w:color w:val="auto"/>
          <w:sz w:val="24"/>
          <w:highlight w:val="none"/>
        </w:rPr>
      </w:pP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投标人名称：XXXX（单位盖章）</w:t>
      </w:r>
      <w:bookmarkEnd w:id="576"/>
      <w:bookmarkEnd w:id="577"/>
    </w:p>
    <w:p>
      <w:pPr>
        <w:spacing w:line="360" w:lineRule="auto"/>
        <w:rPr>
          <w:rFonts w:hint="eastAsia" w:ascii="新宋体" w:hAnsi="新宋体" w:eastAsia="新宋体" w:cs="新宋体"/>
          <w:color w:val="auto"/>
          <w:sz w:val="24"/>
          <w:highlight w:val="none"/>
        </w:rPr>
      </w:pPr>
      <w:bookmarkStart w:id="578" w:name="_Toc496689391"/>
      <w:bookmarkStart w:id="579" w:name="_Toc496689119"/>
      <w:r>
        <w:rPr>
          <w:rFonts w:hint="eastAsia" w:ascii="新宋体" w:hAnsi="新宋体" w:eastAsia="新宋体" w:cs="新宋体"/>
          <w:color w:val="auto"/>
          <w:sz w:val="24"/>
          <w:highlight w:val="none"/>
        </w:rPr>
        <w:t>法定代表人/单位负责人或授权代表（签字或加盖个人名章）：</w:t>
      </w:r>
    </w:p>
    <w:p>
      <w:p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日期: XXXX</w:t>
      </w:r>
      <w:bookmarkEnd w:id="578"/>
      <w:bookmarkEnd w:id="579"/>
    </w:p>
    <w:p>
      <w:pPr>
        <w:spacing w:line="360" w:lineRule="auto"/>
        <w:rPr>
          <w:rFonts w:hint="eastAsia" w:ascii="新宋体" w:hAnsi="新宋体" w:eastAsia="新宋体" w:cs="新宋体"/>
          <w:b/>
          <w:color w:val="auto"/>
          <w:sz w:val="28"/>
          <w:szCs w:val="28"/>
          <w:highlight w:val="none"/>
        </w:rPr>
      </w:pPr>
      <w:bookmarkStart w:id="580" w:name="_Toc217446090"/>
      <w:r>
        <w:rPr>
          <w:rFonts w:hint="eastAsia" w:ascii="新宋体" w:hAnsi="新宋体" w:eastAsia="新宋体" w:cs="新宋体"/>
          <w:b/>
          <w:color w:val="auto"/>
          <w:sz w:val="28"/>
          <w:szCs w:val="28"/>
          <w:highlight w:val="none"/>
        </w:rPr>
        <w:br w:type="page"/>
      </w:r>
      <w:r>
        <w:rPr>
          <w:rFonts w:hint="eastAsia" w:ascii="新宋体" w:hAnsi="新宋体" w:eastAsia="新宋体" w:cs="新宋体"/>
          <w:b/>
          <w:color w:val="auto"/>
          <w:sz w:val="28"/>
          <w:szCs w:val="28"/>
          <w:highlight w:val="none"/>
        </w:rPr>
        <w:t>格式2-7</w:t>
      </w:r>
    </w:p>
    <w:p>
      <w:pPr>
        <w:widowControl/>
        <w:spacing w:line="588" w:lineRule="exact"/>
        <w:ind w:firstLine="422" w:firstLineChars="150"/>
        <w:jc w:val="center"/>
        <w:outlineLvl w:val="1"/>
        <w:rPr>
          <w:rFonts w:hint="eastAsia" w:ascii="新宋体" w:hAnsi="新宋体" w:eastAsia="新宋体" w:cs="新宋体"/>
          <w:b/>
          <w:color w:val="auto"/>
          <w:sz w:val="28"/>
          <w:szCs w:val="28"/>
          <w:highlight w:val="none"/>
        </w:rPr>
      </w:pPr>
      <w:bookmarkStart w:id="581" w:name="_Toc496689392"/>
      <w:bookmarkStart w:id="582" w:name="_Toc496689120"/>
      <w:r>
        <w:rPr>
          <w:rFonts w:hint="eastAsia" w:ascii="新宋体" w:hAnsi="新宋体" w:eastAsia="新宋体" w:cs="新宋体"/>
          <w:b/>
          <w:color w:val="auto"/>
          <w:sz w:val="28"/>
          <w:szCs w:val="28"/>
          <w:highlight w:val="none"/>
        </w:rPr>
        <w:t>七、</w:t>
      </w:r>
      <w:bookmarkEnd w:id="580"/>
      <w:bookmarkEnd w:id="581"/>
      <w:bookmarkEnd w:id="582"/>
      <w:r>
        <w:rPr>
          <w:rFonts w:hint="eastAsia" w:ascii="新宋体" w:hAnsi="新宋体" w:eastAsia="新宋体" w:cs="新宋体"/>
          <w:b/>
          <w:color w:val="auto"/>
          <w:sz w:val="28"/>
          <w:szCs w:val="28"/>
          <w:highlight w:val="none"/>
        </w:rPr>
        <w:t>投标产品技术参数表</w:t>
      </w:r>
    </w:p>
    <w:p>
      <w:pPr>
        <w:rPr>
          <w:rFonts w:hint="eastAsia" w:ascii="新宋体" w:hAnsi="新宋体" w:eastAsia="新宋体" w:cs="新宋体"/>
          <w:color w:val="auto"/>
          <w:highlight w:val="none"/>
        </w:rPr>
      </w:pP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招标编号：</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项目名称：</w:t>
      </w:r>
    </w:p>
    <w:tbl>
      <w:tblPr>
        <w:tblStyle w:val="47"/>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549"/>
        <w:gridCol w:w="2657"/>
        <w:gridCol w:w="2690"/>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08"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583" w:name="_Toc28204"/>
            <w:bookmarkStart w:id="584" w:name="_Toc496689122"/>
            <w:bookmarkStart w:id="585" w:name="_Toc5065"/>
            <w:bookmarkStart w:id="586" w:name="_Toc496695841"/>
            <w:bookmarkStart w:id="587" w:name="_Toc496689394"/>
            <w:bookmarkStart w:id="588" w:name="_Toc496695111"/>
            <w:r>
              <w:rPr>
                <w:rFonts w:hint="eastAsia" w:ascii="新宋体" w:hAnsi="新宋体" w:eastAsia="新宋体" w:cs="新宋体"/>
                <w:color w:val="auto"/>
                <w:sz w:val="24"/>
                <w:highlight w:val="none"/>
              </w:rPr>
              <w:t>序号</w:t>
            </w:r>
            <w:bookmarkEnd w:id="583"/>
            <w:bookmarkEnd w:id="584"/>
            <w:bookmarkEnd w:id="585"/>
            <w:bookmarkEnd w:id="586"/>
            <w:bookmarkEnd w:id="587"/>
            <w:bookmarkEnd w:id="588"/>
          </w:p>
        </w:tc>
        <w:tc>
          <w:tcPr>
            <w:tcW w:w="1549"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589" w:name="_Toc12430"/>
            <w:bookmarkStart w:id="590" w:name="_Toc496689396"/>
            <w:bookmarkStart w:id="591" w:name="_Toc496689124"/>
            <w:bookmarkStart w:id="592" w:name="_Toc496695113"/>
            <w:bookmarkStart w:id="593" w:name="_Toc496695843"/>
            <w:bookmarkStart w:id="594" w:name="_Toc2047"/>
            <w:r>
              <w:rPr>
                <w:rFonts w:hint="eastAsia" w:ascii="新宋体" w:hAnsi="新宋体" w:eastAsia="新宋体" w:cs="新宋体"/>
                <w:color w:val="auto"/>
                <w:sz w:val="24"/>
                <w:highlight w:val="none"/>
              </w:rPr>
              <w:t>产品名称</w:t>
            </w:r>
            <w:bookmarkEnd w:id="589"/>
            <w:bookmarkEnd w:id="590"/>
            <w:bookmarkEnd w:id="591"/>
            <w:bookmarkEnd w:id="592"/>
            <w:bookmarkEnd w:id="593"/>
            <w:bookmarkEnd w:id="594"/>
          </w:p>
        </w:tc>
        <w:tc>
          <w:tcPr>
            <w:tcW w:w="2657"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595" w:name="_Toc496695114"/>
            <w:bookmarkStart w:id="596" w:name="_Toc496695844"/>
            <w:bookmarkStart w:id="597" w:name="_Toc1338"/>
            <w:bookmarkStart w:id="598" w:name="_Toc496689125"/>
            <w:bookmarkStart w:id="599" w:name="_Toc27798"/>
            <w:bookmarkStart w:id="600" w:name="_Toc496689397"/>
            <w:r>
              <w:rPr>
                <w:rFonts w:hint="eastAsia" w:ascii="新宋体" w:hAnsi="新宋体" w:eastAsia="新宋体" w:cs="新宋体"/>
                <w:color w:val="auto"/>
                <w:sz w:val="24"/>
                <w:highlight w:val="none"/>
              </w:rPr>
              <w:t>招标文件要求</w:t>
            </w:r>
            <w:bookmarkEnd w:id="595"/>
            <w:bookmarkEnd w:id="596"/>
            <w:bookmarkEnd w:id="597"/>
            <w:bookmarkEnd w:id="598"/>
            <w:bookmarkEnd w:id="599"/>
            <w:bookmarkEnd w:id="600"/>
          </w:p>
        </w:tc>
        <w:tc>
          <w:tcPr>
            <w:tcW w:w="2690"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601" w:name="_Toc496695845"/>
            <w:bookmarkStart w:id="602" w:name="_Toc496689398"/>
            <w:bookmarkStart w:id="603" w:name="_Toc6371"/>
            <w:bookmarkStart w:id="604" w:name="_Toc496689126"/>
            <w:bookmarkStart w:id="605" w:name="_Toc496695115"/>
            <w:bookmarkStart w:id="606" w:name="_Toc24975"/>
            <w:r>
              <w:rPr>
                <w:rFonts w:hint="eastAsia" w:ascii="新宋体" w:hAnsi="新宋体" w:eastAsia="新宋体" w:cs="新宋体"/>
                <w:color w:val="auto"/>
                <w:sz w:val="24"/>
                <w:highlight w:val="none"/>
              </w:rPr>
              <w:t>投标产品技术参数</w:t>
            </w:r>
            <w:bookmarkEnd w:id="601"/>
            <w:bookmarkEnd w:id="602"/>
            <w:bookmarkEnd w:id="603"/>
            <w:bookmarkEnd w:id="604"/>
            <w:bookmarkEnd w:id="605"/>
            <w:bookmarkEnd w:id="606"/>
          </w:p>
        </w:tc>
        <w:tc>
          <w:tcPr>
            <w:tcW w:w="1306" w:type="dxa"/>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549"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5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9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06"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549"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5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9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06"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549"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5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9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06"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549"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5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9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06"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549"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5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9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06"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549"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5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9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06"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549"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5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269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1306"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bl>
    <w:p>
      <w:pPr>
        <w:keepNext/>
        <w:keepLines/>
        <w:spacing w:line="360" w:lineRule="auto"/>
        <w:outlineLvl w:val="1"/>
        <w:rPr>
          <w:rFonts w:hint="eastAsia" w:ascii="新宋体" w:hAnsi="新宋体" w:eastAsia="新宋体" w:cs="新宋体"/>
          <w:color w:val="auto"/>
          <w:szCs w:val="21"/>
          <w:highlight w:val="none"/>
        </w:rPr>
      </w:pPr>
      <w:bookmarkStart w:id="607" w:name="_Toc496689400"/>
      <w:bookmarkStart w:id="608" w:name="_Toc496689128"/>
      <w:r>
        <w:rPr>
          <w:rFonts w:hint="eastAsia" w:ascii="新宋体" w:hAnsi="新宋体" w:eastAsia="新宋体" w:cs="新宋体"/>
          <w:b/>
          <w:color w:val="auto"/>
          <w:szCs w:val="21"/>
          <w:highlight w:val="none"/>
        </w:rPr>
        <w:t>注：</w:t>
      </w:r>
      <w:bookmarkEnd w:id="607"/>
      <w:bookmarkEnd w:id="608"/>
      <w:r>
        <w:rPr>
          <w:rFonts w:hint="eastAsia" w:ascii="新宋体" w:hAnsi="新宋体" w:eastAsia="新宋体" w:cs="新宋体"/>
          <w:color w:val="auto"/>
          <w:szCs w:val="21"/>
          <w:highlight w:val="none"/>
        </w:rPr>
        <w:t xml:space="preserve"> 1. 投标人需把招标文件第六章 “采购清单及技术参数”中的全部内容在本表的“招标文件要求”、“投标产品技术参数”中按顺序逐条对应填写。</w:t>
      </w:r>
    </w:p>
    <w:p>
      <w:pPr>
        <w:widowControl/>
        <w:spacing w:line="588" w:lineRule="exact"/>
        <w:ind w:firstLine="525" w:firstLineChars="250"/>
        <w:outlineLvl w:val="1"/>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2．投标人必须据实填写，不得虚假填写，否则将取消其投标或中标资格。</w:t>
      </w:r>
    </w:p>
    <w:p>
      <w:pPr>
        <w:spacing w:line="540" w:lineRule="exact"/>
        <w:rPr>
          <w:rFonts w:hint="eastAsia" w:ascii="新宋体" w:hAnsi="新宋体" w:eastAsia="新宋体" w:cs="新宋体"/>
          <w:color w:val="auto"/>
          <w:sz w:val="24"/>
          <w:highlight w:val="none"/>
        </w:rPr>
      </w:pPr>
    </w:p>
    <w:p>
      <w:pPr>
        <w:spacing w:line="540" w:lineRule="exact"/>
        <w:rPr>
          <w:rFonts w:hint="eastAsia" w:ascii="新宋体" w:hAnsi="新宋体" w:eastAsia="新宋体" w:cs="新宋体"/>
          <w:color w:val="auto"/>
          <w:sz w:val="24"/>
          <w:highlight w:val="none"/>
        </w:rPr>
      </w:pPr>
      <w:bookmarkStart w:id="609" w:name="_Toc496689131"/>
      <w:bookmarkStart w:id="610" w:name="_Toc496689403"/>
      <w:r>
        <w:rPr>
          <w:rFonts w:hint="eastAsia" w:ascii="新宋体" w:hAnsi="新宋体" w:eastAsia="新宋体" w:cs="新宋体"/>
          <w:color w:val="auto"/>
          <w:sz w:val="24"/>
          <w:highlight w:val="none"/>
        </w:rPr>
        <w:t>投标人名称：XXXX（单位盖章）</w:t>
      </w:r>
      <w:bookmarkEnd w:id="609"/>
      <w:bookmarkEnd w:id="610"/>
    </w:p>
    <w:p>
      <w:pPr>
        <w:spacing w:line="540" w:lineRule="exact"/>
        <w:rPr>
          <w:rFonts w:hint="eastAsia" w:ascii="新宋体" w:hAnsi="新宋体" w:eastAsia="新宋体" w:cs="新宋体"/>
          <w:color w:val="auto"/>
          <w:sz w:val="24"/>
          <w:highlight w:val="none"/>
        </w:rPr>
      </w:pPr>
      <w:bookmarkStart w:id="611" w:name="_Toc496689133"/>
      <w:bookmarkStart w:id="612" w:name="_Toc496689405"/>
      <w:r>
        <w:rPr>
          <w:rFonts w:hint="eastAsia" w:ascii="新宋体" w:hAnsi="新宋体" w:eastAsia="新宋体" w:cs="新宋体"/>
          <w:bCs/>
          <w:color w:val="auto"/>
          <w:sz w:val="24"/>
          <w:highlight w:val="none"/>
        </w:rPr>
        <w:t>法定代表人</w:t>
      </w:r>
      <w:r>
        <w:rPr>
          <w:rFonts w:hint="eastAsia" w:ascii="新宋体" w:hAnsi="新宋体" w:eastAsia="新宋体" w:cs="新宋体"/>
          <w:color w:val="auto"/>
          <w:sz w:val="24"/>
          <w:highlight w:val="none"/>
        </w:rPr>
        <w:t>/单位负责人或授权代表（签字或加盖个人名章）：</w:t>
      </w:r>
    </w:p>
    <w:p>
      <w:pPr>
        <w:spacing w:line="54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日期: XXXX</w:t>
      </w:r>
      <w:bookmarkEnd w:id="611"/>
      <w:bookmarkEnd w:id="612"/>
    </w:p>
    <w:p>
      <w:pPr>
        <w:rPr>
          <w:rFonts w:hint="eastAsia" w:ascii="新宋体" w:hAnsi="新宋体" w:eastAsia="新宋体" w:cs="新宋体"/>
          <w:b/>
          <w:color w:val="auto"/>
          <w:sz w:val="32"/>
          <w:szCs w:val="32"/>
          <w:highlight w:val="none"/>
        </w:rPr>
      </w:pPr>
      <w:bookmarkStart w:id="613" w:name="_Toc217446091"/>
      <w:r>
        <w:rPr>
          <w:rFonts w:hint="eastAsia" w:ascii="新宋体" w:hAnsi="新宋体" w:eastAsia="新宋体" w:cs="新宋体"/>
          <w:b/>
          <w:color w:val="auto"/>
          <w:sz w:val="32"/>
          <w:szCs w:val="32"/>
          <w:highlight w:val="none"/>
        </w:rPr>
        <w:br w:type="page"/>
      </w:r>
      <w:r>
        <w:rPr>
          <w:rFonts w:hint="eastAsia" w:ascii="新宋体" w:hAnsi="新宋体" w:eastAsia="新宋体" w:cs="新宋体"/>
          <w:b/>
          <w:color w:val="auto"/>
          <w:sz w:val="28"/>
          <w:szCs w:val="28"/>
          <w:highlight w:val="none"/>
        </w:rPr>
        <w:t>格式2-8</w:t>
      </w:r>
    </w:p>
    <w:p>
      <w:pPr>
        <w:widowControl/>
        <w:spacing w:line="588" w:lineRule="exact"/>
        <w:ind w:firstLine="422" w:firstLineChars="150"/>
        <w:jc w:val="center"/>
        <w:outlineLvl w:val="1"/>
        <w:rPr>
          <w:rFonts w:hint="eastAsia" w:ascii="新宋体" w:hAnsi="新宋体" w:eastAsia="新宋体" w:cs="新宋体"/>
          <w:b/>
          <w:color w:val="auto"/>
          <w:sz w:val="28"/>
          <w:szCs w:val="28"/>
          <w:highlight w:val="none"/>
        </w:rPr>
      </w:pPr>
      <w:bookmarkStart w:id="614" w:name="_Toc496689406"/>
      <w:bookmarkStart w:id="615" w:name="_Toc496689134"/>
      <w:r>
        <w:rPr>
          <w:rFonts w:hint="eastAsia" w:ascii="新宋体" w:hAnsi="新宋体" w:eastAsia="新宋体" w:cs="新宋体"/>
          <w:b/>
          <w:color w:val="auto"/>
          <w:sz w:val="28"/>
          <w:szCs w:val="28"/>
          <w:highlight w:val="none"/>
        </w:rPr>
        <w:t>八、投标人本项目管理、技术、服务人员情况表</w:t>
      </w:r>
      <w:bookmarkEnd w:id="613"/>
      <w:bookmarkEnd w:id="614"/>
      <w:bookmarkEnd w:id="615"/>
    </w:p>
    <w:p>
      <w:pPr>
        <w:rPr>
          <w:rFonts w:hint="eastAsia" w:ascii="新宋体" w:hAnsi="新宋体" w:eastAsia="新宋体" w:cs="新宋体"/>
          <w:color w:val="auto"/>
          <w:sz w:val="24"/>
          <w:highlight w:val="none"/>
        </w:rPr>
      </w:pPr>
    </w:p>
    <w:p>
      <w:pPr>
        <w:spacing w:line="360" w:lineRule="auto"/>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招标编号：</w:t>
      </w:r>
    </w:p>
    <w:p>
      <w:pPr>
        <w:spacing w:line="360" w:lineRule="auto"/>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项目名称：</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616" w:name="_Toc496695847"/>
            <w:bookmarkStart w:id="617" w:name="_Toc22293"/>
            <w:bookmarkStart w:id="618" w:name="_Toc496689136"/>
            <w:bookmarkStart w:id="619" w:name="_Toc496689408"/>
            <w:bookmarkStart w:id="620" w:name="_Toc19594"/>
            <w:bookmarkStart w:id="621" w:name="_Toc496695117"/>
            <w:r>
              <w:rPr>
                <w:rFonts w:hint="eastAsia" w:ascii="新宋体" w:hAnsi="新宋体" w:eastAsia="新宋体" w:cs="新宋体"/>
                <w:color w:val="auto"/>
                <w:sz w:val="24"/>
                <w:highlight w:val="none"/>
              </w:rPr>
              <w:t>类别</w:t>
            </w:r>
            <w:bookmarkEnd w:id="616"/>
            <w:bookmarkEnd w:id="617"/>
            <w:bookmarkEnd w:id="618"/>
            <w:bookmarkEnd w:id="619"/>
            <w:bookmarkEnd w:id="620"/>
            <w:bookmarkEnd w:id="621"/>
          </w:p>
        </w:tc>
        <w:tc>
          <w:tcPr>
            <w:tcW w:w="807" w:type="dxa"/>
            <w:vMerge w:val="restart"/>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622" w:name="_Toc496689137"/>
            <w:bookmarkStart w:id="623" w:name="_Toc3925"/>
            <w:bookmarkStart w:id="624" w:name="_Toc22667"/>
            <w:bookmarkStart w:id="625" w:name="_Toc496695848"/>
            <w:bookmarkStart w:id="626" w:name="_Toc496689409"/>
            <w:bookmarkStart w:id="627" w:name="_Toc496695118"/>
            <w:r>
              <w:rPr>
                <w:rFonts w:hint="eastAsia" w:ascii="新宋体" w:hAnsi="新宋体" w:eastAsia="新宋体" w:cs="新宋体"/>
                <w:color w:val="auto"/>
                <w:sz w:val="24"/>
                <w:highlight w:val="none"/>
              </w:rPr>
              <w:t>职务</w:t>
            </w:r>
            <w:bookmarkEnd w:id="622"/>
            <w:bookmarkEnd w:id="623"/>
            <w:bookmarkEnd w:id="624"/>
            <w:bookmarkEnd w:id="625"/>
            <w:bookmarkEnd w:id="626"/>
            <w:bookmarkEnd w:id="627"/>
          </w:p>
        </w:tc>
        <w:tc>
          <w:tcPr>
            <w:tcW w:w="807" w:type="dxa"/>
            <w:vMerge w:val="restart"/>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628" w:name="_Toc930"/>
            <w:bookmarkStart w:id="629" w:name="_Toc496689410"/>
            <w:bookmarkStart w:id="630" w:name="_Toc496689138"/>
            <w:bookmarkStart w:id="631" w:name="_Toc496695849"/>
            <w:bookmarkStart w:id="632" w:name="_Toc9800"/>
            <w:bookmarkStart w:id="633" w:name="_Toc496695119"/>
            <w:r>
              <w:rPr>
                <w:rFonts w:hint="eastAsia" w:ascii="新宋体" w:hAnsi="新宋体" w:eastAsia="新宋体" w:cs="新宋体"/>
                <w:color w:val="auto"/>
                <w:sz w:val="24"/>
                <w:highlight w:val="none"/>
              </w:rPr>
              <w:t>姓名</w:t>
            </w:r>
            <w:bookmarkEnd w:id="628"/>
            <w:bookmarkEnd w:id="629"/>
            <w:bookmarkEnd w:id="630"/>
            <w:bookmarkEnd w:id="631"/>
            <w:bookmarkEnd w:id="632"/>
            <w:bookmarkEnd w:id="633"/>
          </w:p>
        </w:tc>
        <w:tc>
          <w:tcPr>
            <w:tcW w:w="807" w:type="dxa"/>
            <w:vMerge w:val="restart"/>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634" w:name="_Toc21793"/>
            <w:bookmarkStart w:id="635" w:name="_Toc496695850"/>
            <w:bookmarkStart w:id="636" w:name="_Toc496689411"/>
            <w:bookmarkStart w:id="637" w:name="_Toc496695120"/>
            <w:bookmarkStart w:id="638" w:name="_Toc2022"/>
            <w:bookmarkStart w:id="639" w:name="_Toc496689139"/>
            <w:r>
              <w:rPr>
                <w:rFonts w:hint="eastAsia" w:ascii="新宋体" w:hAnsi="新宋体" w:eastAsia="新宋体" w:cs="新宋体"/>
                <w:color w:val="auto"/>
                <w:sz w:val="24"/>
                <w:highlight w:val="none"/>
              </w:rPr>
              <w:t>职称</w:t>
            </w:r>
            <w:bookmarkEnd w:id="634"/>
            <w:bookmarkEnd w:id="635"/>
            <w:bookmarkEnd w:id="636"/>
            <w:bookmarkEnd w:id="637"/>
            <w:bookmarkEnd w:id="638"/>
            <w:bookmarkEnd w:id="639"/>
          </w:p>
        </w:tc>
        <w:tc>
          <w:tcPr>
            <w:tcW w:w="807" w:type="dxa"/>
            <w:vMerge w:val="restart"/>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640" w:name="_Toc496695851"/>
            <w:bookmarkStart w:id="641" w:name="_Toc496689140"/>
            <w:bookmarkStart w:id="642" w:name="_Toc26661"/>
            <w:bookmarkStart w:id="643" w:name="_Toc32509"/>
            <w:bookmarkStart w:id="644" w:name="_Toc496695121"/>
            <w:bookmarkStart w:id="645" w:name="_Toc496689412"/>
            <w:r>
              <w:rPr>
                <w:rFonts w:hint="eastAsia" w:ascii="新宋体" w:hAnsi="新宋体" w:eastAsia="新宋体" w:cs="新宋体"/>
                <w:color w:val="auto"/>
                <w:sz w:val="24"/>
                <w:highlight w:val="none"/>
              </w:rPr>
              <w:t>常住地</w:t>
            </w:r>
            <w:bookmarkEnd w:id="640"/>
            <w:bookmarkEnd w:id="641"/>
            <w:bookmarkEnd w:id="642"/>
            <w:bookmarkEnd w:id="643"/>
            <w:bookmarkEnd w:id="644"/>
            <w:bookmarkEnd w:id="645"/>
          </w:p>
        </w:tc>
        <w:tc>
          <w:tcPr>
            <w:tcW w:w="3390" w:type="dxa"/>
            <w:gridSpan w:val="4"/>
            <w:noWrap w:val="0"/>
            <w:vAlign w:val="center"/>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bookmarkStart w:id="646" w:name="_Toc4240"/>
            <w:bookmarkStart w:id="647" w:name="_Toc8325"/>
            <w:bookmarkStart w:id="648" w:name="_Toc496689141"/>
            <w:bookmarkStart w:id="649" w:name="_Toc496695122"/>
            <w:bookmarkStart w:id="650" w:name="_Toc496695852"/>
            <w:bookmarkStart w:id="651" w:name="_Toc496689413"/>
            <w:r>
              <w:rPr>
                <w:rFonts w:hint="eastAsia" w:ascii="新宋体" w:hAnsi="新宋体" w:eastAsia="新宋体" w:cs="新宋体"/>
                <w:color w:val="auto"/>
                <w:sz w:val="24"/>
                <w:highlight w:val="none"/>
              </w:rPr>
              <w:t>资格证明（附复印件）</w:t>
            </w:r>
            <w:bookmarkEnd w:id="646"/>
            <w:bookmarkEnd w:id="647"/>
            <w:bookmarkEnd w:id="648"/>
            <w:bookmarkEnd w:id="649"/>
            <w:bookmarkEnd w:id="650"/>
            <w:bookmarkEnd w:id="6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highlight w:val="none"/>
              </w:rPr>
            </w:pPr>
          </w:p>
        </w:tc>
        <w:tc>
          <w:tcPr>
            <w:tcW w:w="807" w:type="dxa"/>
            <w:vMerge w:val="continue"/>
            <w:noWrap w:val="0"/>
            <w:vAlign w:val="center"/>
          </w:tcPr>
          <w:p>
            <w:pPr>
              <w:keepNext w:val="0"/>
              <w:keepLines w:val="0"/>
              <w:suppressLineNumbers w:val="0"/>
              <w:spacing w:before="0" w:beforeAutospacing="0" w:after="0" w:afterAutospacing="0"/>
              <w:ind w:left="0" w:right="0"/>
              <w:rPr>
                <w:rFonts w:hint="eastAsia" w:ascii="新宋体" w:hAnsi="新宋体" w:eastAsia="新宋体" w:cs="新宋体"/>
                <w:color w:val="auto"/>
                <w:highlight w:val="none"/>
              </w:rPr>
            </w:pPr>
          </w:p>
        </w:tc>
        <w:tc>
          <w:tcPr>
            <w:tcW w:w="807" w:type="dxa"/>
            <w:vMerge w:val="continue"/>
            <w:noWrap w:val="0"/>
            <w:vAlign w:val="center"/>
          </w:tcPr>
          <w:p>
            <w:pPr>
              <w:keepNext w:val="0"/>
              <w:keepLines w:val="0"/>
              <w:suppressLineNumbers w:val="0"/>
              <w:spacing w:before="0" w:beforeAutospacing="0" w:after="0" w:afterAutospacing="0"/>
              <w:ind w:left="0" w:right="0"/>
              <w:rPr>
                <w:rFonts w:hint="eastAsia" w:ascii="新宋体" w:hAnsi="新宋体" w:eastAsia="新宋体" w:cs="新宋体"/>
                <w:color w:val="auto"/>
                <w:highlight w:val="none"/>
              </w:rPr>
            </w:pPr>
          </w:p>
        </w:tc>
        <w:tc>
          <w:tcPr>
            <w:tcW w:w="807" w:type="dxa"/>
            <w:vMerge w:val="continue"/>
            <w:noWrap w:val="0"/>
            <w:vAlign w:val="center"/>
          </w:tcPr>
          <w:p>
            <w:pPr>
              <w:keepNext w:val="0"/>
              <w:keepLines w:val="0"/>
              <w:suppressLineNumbers w:val="0"/>
              <w:spacing w:before="0" w:beforeAutospacing="0" w:after="0" w:afterAutospacing="0"/>
              <w:ind w:left="0" w:right="0"/>
              <w:rPr>
                <w:rFonts w:hint="eastAsia" w:ascii="新宋体" w:hAnsi="新宋体" w:eastAsia="新宋体" w:cs="新宋体"/>
                <w:color w:val="auto"/>
                <w:highlight w:val="none"/>
              </w:rPr>
            </w:pPr>
          </w:p>
        </w:tc>
        <w:tc>
          <w:tcPr>
            <w:tcW w:w="807" w:type="dxa"/>
            <w:vMerge w:val="continue"/>
            <w:noWrap w:val="0"/>
            <w:vAlign w:val="center"/>
          </w:tcPr>
          <w:p>
            <w:pPr>
              <w:keepNext w:val="0"/>
              <w:keepLines w:val="0"/>
              <w:suppressLineNumbers w:val="0"/>
              <w:spacing w:before="0" w:beforeAutospacing="0" w:after="0" w:afterAutospacing="0"/>
              <w:ind w:left="0" w:right="0"/>
              <w:rPr>
                <w:rFonts w:hint="eastAsia" w:ascii="新宋体" w:hAnsi="新宋体" w:eastAsia="新宋体" w:cs="新宋体"/>
                <w:color w:val="auto"/>
                <w:highlight w:val="none"/>
              </w:rPr>
            </w:pPr>
          </w:p>
        </w:tc>
        <w:tc>
          <w:tcPr>
            <w:tcW w:w="851"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652" w:name="_Toc19279"/>
            <w:bookmarkStart w:id="653" w:name="_Toc496689142"/>
            <w:bookmarkStart w:id="654" w:name="_Toc496695853"/>
            <w:bookmarkStart w:id="655" w:name="_Toc496695123"/>
            <w:bookmarkStart w:id="656" w:name="_Toc22339"/>
            <w:bookmarkStart w:id="657" w:name="_Toc496689414"/>
            <w:r>
              <w:rPr>
                <w:rFonts w:hint="eastAsia" w:ascii="新宋体" w:hAnsi="新宋体" w:eastAsia="新宋体" w:cs="新宋体"/>
                <w:color w:val="auto"/>
                <w:sz w:val="24"/>
                <w:highlight w:val="none"/>
              </w:rPr>
              <w:t>证书</w:t>
            </w:r>
            <w:bookmarkEnd w:id="652"/>
            <w:bookmarkEnd w:id="653"/>
            <w:bookmarkEnd w:id="654"/>
            <w:bookmarkEnd w:id="655"/>
            <w:bookmarkEnd w:id="656"/>
            <w:bookmarkEnd w:id="657"/>
          </w:p>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658" w:name="_Toc496689415"/>
            <w:bookmarkStart w:id="659" w:name="_Toc12570"/>
            <w:bookmarkStart w:id="660" w:name="_Toc496695124"/>
            <w:bookmarkStart w:id="661" w:name="_Toc496695854"/>
            <w:bookmarkStart w:id="662" w:name="_Toc5792"/>
            <w:bookmarkStart w:id="663" w:name="_Toc496689143"/>
            <w:r>
              <w:rPr>
                <w:rFonts w:hint="eastAsia" w:ascii="新宋体" w:hAnsi="新宋体" w:eastAsia="新宋体" w:cs="新宋体"/>
                <w:color w:val="auto"/>
                <w:sz w:val="24"/>
                <w:highlight w:val="none"/>
              </w:rPr>
              <w:t>名称</w:t>
            </w:r>
            <w:bookmarkEnd w:id="658"/>
            <w:bookmarkEnd w:id="659"/>
            <w:bookmarkEnd w:id="660"/>
            <w:bookmarkEnd w:id="661"/>
            <w:bookmarkEnd w:id="662"/>
            <w:bookmarkEnd w:id="663"/>
          </w:p>
        </w:tc>
        <w:tc>
          <w:tcPr>
            <w:tcW w:w="960"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664" w:name="_Toc496689416"/>
            <w:bookmarkStart w:id="665" w:name="_Toc15185"/>
            <w:bookmarkStart w:id="666" w:name="_Toc496695125"/>
            <w:bookmarkStart w:id="667" w:name="_Toc496695855"/>
            <w:bookmarkStart w:id="668" w:name="_Toc496689144"/>
            <w:bookmarkStart w:id="669" w:name="_Toc31024"/>
            <w:r>
              <w:rPr>
                <w:rFonts w:hint="eastAsia" w:ascii="新宋体" w:hAnsi="新宋体" w:eastAsia="新宋体" w:cs="新宋体"/>
                <w:color w:val="auto"/>
                <w:sz w:val="24"/>
                <w:highlight w:val="none"/>
              </w:rPr>
              <w:t>级别</w:t>
            </w:r>
            <w:bookmarkEnd w:id="664"/>
            <w:bookmarkEnd w:id="665"/>
            <w:bookmarkEnd w:id="666"/>
            <w:bookmarkEnd w:id="667"/>
            <w:bookmarkEnd w:id="668"/>
            <w:bookmarkEnd w:id="669"/>
          </w:p>
        </w:tc>
        <w:tc>
          <w:tcPr>
            <w:tcW w:w="847"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670" w:name="_Toc496695126"/>
            <w:bookmarkStart w:id="671" w:name="_Toc496689145"/>
            <w:bookmarkStart w:id="672" w:name="_Toc496695856"/>
            <w:bookmarkStart w:id="673" w:name="_Toc16840"/>
            <w:bookmarkStart w:id="674" w:name="_Toc15426"/>
            <w:bookmarkStart w:id="675" w:name="_Toc496689417"/>
            <w:r>
              <w:rPr>
                <w:rFonts w:hint="eastAsia" w:ascii="新宋体" w:hAnsi="新宋体" w:eastAsia="新宋体" w:cs="新宋体"/>
                <w:color w:val="auto"/>
                <w:sz w:val="24"/>
                <w:highlight w:val="none"/>
              </w:rPr>
              <w:t>证号</w:t>
            </w:r>
            <w:bookmarkEnd w:id="670"/>
            <w:bookmarkEnd w:id="671"/>
            <w:bookmarkEnd w:id="672"/>
            <w:bookmarkEnd w:id="673"/>
            <w:bookmarkEnd w:id="674"/>
            <w:bookmarkEnd w:id="675"/>
          </w:p>
        </w:tc>
        <w:tc>
          <w:tcPr>
            <w:tcW w:w="732" w:type="dxa"/>
            <w:noWrap w:val="0"/>
            <w:vAlign w:val="center"/>
          </w:tcPr>
          <w:p>
            <w:pPr>
              <w:keepNext w:val="0"/>
              <w:keepLines w:val="0"/>
              <w:widowControl/>
              <w:suppressLineNumbers w:val="0"/>
              <w:spacing w:before="0" w:beforeAutospacing="0" w:after="0" w:afterAutospacing="0" w:line="360" w:lineRule="atLeast"/>
              <w:ind w:left="0" w:right="0"/>
              <w:jc w:val="left"/>
              <w:outlineLvl w:val="1"/>
              <w:rPr>
                <w:rFonts w:hint="eastAsia" w:ascii="新宋体" w:hAnsi="新宋体" w:eastAsia="新宋体" w:cs="新宋体"/>
                <w:color w:val="auto"/>
                <w:sz w:val="24"/>
                <w:highlight w:val="none"/>
              </w:rPr>
            </w:pPr>
            <w:bookmarkStart w:id="676" w:name="_Toc496695857"/>
            <w:bookmarkStart w:id="677" w:name="_Toc496689146"/>
            <w:bookmarkStart w:id="678" w:name="_Toc9107"/>
            <w:bookmarkStart w:id="679" w:name="_Toc24675"/>
            <w:bookmarkStart w:id="680" w:name="_Toc496689418"/>
            <w:bookmarkStart w:id="681" w:name="_Toc496695127"/>
            <w:r>
              <w:rPr>
                <w:rFonts w:hint="eastAsia" w:ascii="新宋体" w:hAnsi="新宋体" w:eastAsia="新宋体" w:cs="新宋体"/>
                <w:color w:val="auto"/>
                <w:sz w:val="24"/>
                <w:highlight w:val="none"/>
              </w:rPr>
              <w:t>专业</w:t>
            </w:r>
            <w:bookmarkEnd w:id="676"/>
            <w:bookmarkEnd w:id="677"/>
            <w:bookmarkEnd w:id="678"/>
            <w:bookmarkEnd w:id="679"/>
            <w:bookmarkEnd w:id="680"/>
            <w:bookmarkEnd w:id="6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682" w:name="_Toc496695858"/>
            <w:bookmarkStart w:id="683" w:name="_Toc19100"/>
            <w:bookmarkStart w:id="684" w:name="_Toc18853"/>
            <w:bookmarkStart w:id="685" w:name="_Toc496689419"/>
            <w:bookmarkStart w:id="686" w:name="_Toc496689147"/>
            <w:bookmarkStart w:id="687" w:name="_Toc496695128"/>
            <w:r>
              <w:rPr>
                <w:rFonts w:hint="eastAsia" w:ascii="新宋体" w:hAnsi="新宋体" w:eastAsia="新宋体" w:cs="新宋体"/>
                <w:color w:val="auto"/>
                <w:sz w:val="24"/>
                <w:highlight w:val="none"/>
              </w:rPr>
              <w:t>管理</w:t>
            </w:r>
            <w:bookmarkEnd w:id="682"/>
            <w:bookmarkEnd w:id="683"/>
            <w:bookmarkEnd w:id="684"/>
            <w:bookmarkEnd w:id="685"/>
            <w:bookmarkEnd w:id="686"/>
            <w:bookmarkEnd w:id="687"/>
          </w:p>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688" w:name="_Toc496695129"/>
            <w:bookmarkStart w:id="689" w:name="_Toc496689420"/>
            <w:bookmarkStart w:id="690" w:name="_Toc13327"/>
            <w:bookmarkStart w:id="691" w:name="_Toc496689148"/>
            <w:bookmarkStart w:id="692" w:name="_Toc496695859"/>
            <w:bookmarkStart w:id="693" w:name="_Toc27715"/>
            <w:r>
              <w:rPr>
                <w:rFonts w:hint="eastAsia" w:ascii="新宋体" w:hAnsi="新宋体" w:eastAsia="新宋体" w:cs="新宋体"/>
                <w:color w:val="auto"/>
                <w:sz w:val="24"/>
                <w:highlight w:val="none"/>
              </w:rPr>
              <w:t>人员</w:t>
            </w:r>
            <w:bookmarkEnd w:id="688"/>
            <w:bookmarkEnd w:id="689"/>
            <w:bookmarkEnd w:id="690"/>
            <w:bookmarkEnd w:id="691"/>
            <w:bookmarkEnd w:id="692"/>
            <w:bookmarkEnd w:id="693"/>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51"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6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73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51"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6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73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51"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6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73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694" w:name="_Toc496695130"/>
            <w:bookmarkStart w:id="695" w:name="_Toc496689421"/>
            <w:bookmarkStart w:id="696" w:name="_Toc496689149"/>
            <w:bookmarkStart w:id="697" w:name="_Toc3847"/>
            <w:bookmarkStart w:id="698" w:name="_Toc496695860"/>
            <w:bookmarkStart w:id="699" w:name="_Toc19673"/>
            <w:r>
              <w:rPr>
                <w:rFonts w:hint="eastAsia" w:ascii="新宋体" w:hAnsi="新宋体" w:eastAsia="新宋体" w:cs="新宋体"/>
                <w:color w:val="auto"/>
                <w:sz w:val="24"/>
                <w:highlight w:val="none"/>
              </w:rPr>
              <w:t>技术</w:t>
            </w:r>
            <w:bookmarkEnd w:id="694"/>
            <w:bookmarkEnd w:id="695"/>
            <w:bookmarkEnd w:id="696"/>
            <w:bookmarkEnd w:id="697"/>
            <w:bookmarkEnd w:id="698"/>
            <w:bookmarkEnd w:id="699"/>
          </w:p>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700" w:name="_Toc496695861"/>
            <w:bookmarkStart w:id="701" w:name="_Toc28820"/>
            <w:bookmarkStart w:id="702" w:name="_Toc496689422"/>
            <w:bookmarkStart w:id="703" w:name="_Toc496695131"/>
            <w:bookmarkStart w:id="704" w:name="_Toc21888"/>
            <w:bookmarkStart w:id="705" w:name="_Toc496689150"/>
            <w:r>
              <w:rPr>
                <w:rFonts w:hint="eastAsia" w:ascii="新宋体" w:hAnsi="新宋体" w:eastAsia="新宋体" w:cs="新宋体"/>
                <w:color w:val="auto"/>
                <w:sz w:val="24"/>
                <w:highlight w:val="none"/>
              </w:rPr>
              <w:t>人员</w:t>
            </w:r>
            <w:bookmarkEnd w:id="700"/>
            <w:bookmarkEnd w:id="701"/>
            <w:bookmarkEnd w:id="702"/>
            <w:bookmarkEnd w:id="703"/>
            <w:bookmarkEnd w:id="704"/>
            <w:bookmarkEnd w:id="705"/>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51"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6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73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51"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6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73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51"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6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73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noWrap w:val="0"/>
            <w:vAlign w:val="center"/>
          </w:tcPr>
          <w:p>
            <w:pPr>
              <w:keepNext w:val="0"/>
              <w:keepLines w:val="0"/>
              <w:widowControl/>
              <w:suppressLineNumbers w:val="0"/>
              <w:spacing w:before="0" w:beforeAutospacing="0" w:after="0" w:afterAutospacing="0" w:line="360" w:lineRule="atLeast"/>
              <w:ind w:left="0" w:right="0"/>
              <w:jc w:val="center"/>
              <w:outlineLvl w:val="1"/>
              <w:rPr>
                <w:rFonts w:hint="eastAsia" w:ascii="新宋体" w:hAnsi="新宋体" w:eastAsia="新宋体" w:cs="新宋体"/>
                <w:color w:val="auto"/>
                <w:sz w:val="24"/>
                <w:highlight w:val="none"/>
              </w:rPr>
            </w:pPr>
            <w:bookmarkStart w:id="706" w:name="_Toc496695132"/>
            <w:bookmarkStart w:id="707" w:name="_Toc6283"/>
            <w:bookmarkStart w:id="708" w:name="_Toc496689151"/>
            <w:bookmarkStart w:id="709" w:name="_Toc496689423"/>
            <w:bookmarkStart w:id="710" w:name="_Toc496695862"/>
            <w:bookmarkStart w:id="711" w:name="_Toc25589"/>
            <w:r>
              <w:rPr>
                <w:rFonts w:hint="eastAsia" w:ascii="新宋体" w:hAnsi="新宋体" w:eastAsia="新宋体" w:cs="新宋体"/>
                <w:color w:val="auto"/>
                <w:sz w:val="24"/>
                <w:highlight w:val="none"/>
              </w:rPr>
              <w:t>售后服务人员</w:t>
            </w:r>
            <w:bookmarkEnd w:id="706"/>
            <w:bookmarkEnd w:id="707"/>
            <w:bookmarkEnd w:id="708"/>
            <w:bookmarkEnd w:id="709"/>
            <w:bookmarkEnd w:id="710"/>
            <w:bookmarkEnd w:id="711"/>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51"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6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73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新宋体" w:hAnsi="新宋体" w:eastAsia="新宋体" w:cs="新宋体"/>
                <w:color w:val="auto"/>
                <w:highlight w:val="none"/>
              </w:rPr>
            </w:pPr>
          </w:p>
        </w:tc>
        <w:tc>
          <w:tcPr>
            <w:tcW w:w="807" w:type="dxa"/>
            <w:tcBorders>
              <w:bottom w:val="single" w:color="auto" w:sz="4" w:space="0"/>
            </w:tcBorders>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0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51"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960"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847"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c>
          <w:tcPr>
            <w:tcW w:w="732" w:type="dxa"/>
            <w:noWrap w:val="0"/>
            <w:vAlign w:val="top"/>
          </w:tcPr>
          <w:p>
            <w:pPr>
              <w:keepNext w:val="0"/>
              <w:keepLines w:val="0"/>
              <w:widowControl/>
              <w:suppressLineNumbers w:val="0"/>
              <w:spacing w:before="0" w:beforeAutospacing="0" w:after="0" w:afterAutospacing="0" w:line="360" w:lineRule="atLeast"/>
              <w:ind w:left="0" w:right="0" w:firstLine="470" w:firstLineChars="196"/>
              <w:jc w:val="left"/>
              <w:outlineLvl w:val="1"/>
              <w:rPr>
                <w:rFonts w:hint="eastAsia" w:ascii="新宋体" w:hAnsi="新宋体" w:eastAsia="新宋体" w:cs="新宋体"/>
                <w:color w:val="auto"/>
                <w:sz w:val="24"/>
                <w:highlight w:val="none"/>
              </w:rPr>
            </w:pPr>
          </w:p>
        </w:tc>
      </w:tr>
    </w:tbl>
    <w:p>
      <w:pPr>
        <w:rPr>
          <w:rFonts w:hint="eastAsia" w:ascii="新宋体" w:hAnsi="新宋体" w:eastAsia="新宋体" w:cs="新宋体"/>
          <w:color w:val="auto"/>
          <w:sz w:val="24"/>
          <w:highlight w:val="none"/>
        </w:rPr>
      </w:pPr>
    </w:p>
    <w:p>
      <w:pPr>
        <w:spacing w:line="360" w:lineRule="auto"/>
        <w:ind w:left="420" w:leftChars="200"/>
        <w:rPr>
          <w:rFonts w:hint="eastAsia" w:ascii="新宋体" w:hAnsi="新宋体" w:eastAsia="新宋体" w:cs="新宋体"/>
          <w:color w:val="auto"/>
          <w:sz w:val="24"/>
          <w:highlight w:val="none"/>
        </w:rPr>
      </w:pPr>
      <w:bookmarkStart w:id="712" w:name="_Toc496689424"/>
      <w:bookmarkStart w:id="713" w:name="_Toc496689152"/>
    </w:p>
    <w:p>
      <w:pPr>
        <w:spacing w:line="360" w:lineRule="auto"/>
        <w:ind w:left="420" w:left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投标人名称：XXXX（单位盖章）</w:t>
      </w:r>
      <w:bookmarkEnd w:id="712"/>
      <w:bookmarkEnd w:id="713"/>
    </w:p>
    <w:p>
      <w:pPr>
        <w:spacing w:line="360" w:lineRule="auto"/>
        <w:ind w:left="420" w:leftChars="200"/>
        <w:rPr>
          <w:rFonts w:hint="eastAsia" w:ascii="新宋体" w:hAnsi="新宋体" w:eastAsia="新宋体" w:cs="新宋体"/>
          <w:color w:val="auto"/>
          <w:sz w:val="24"/>
          <w:highlight w:val="none"/>
        </w:rPr>
      </w:pPr>
      <w:bookmarkStart w:id="714" w:name="_Toc496689154"/>
      <w:bookmarkStart w:id="715" w:name="_Toc496689426"/>
      <w:r>
        <w:rPr>
          <w:rFonts w:hint="eastAsia" w:ascii="新宋体" w:hAnsi="新宋体" w:eastAsia="新宋体" w:cs="新宋体"/>
          <w:color w:val="auto"/>
          <w:sz w:val="24"/>
          <w:highlight w:val="none"/>
        </w:rPr>
        <w:t>法定代表人/单位负责人或授权代表（签字或加盖个人名章）：</w:t>
      </w:r>
    </w:p>
    <w:p>
      <w:pPr>
        <w:spacing w:line="360" w:lineRule="auto"/>
        <w:ind w:left="420" w:left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日期: XXXX</w:t>
      </w:r>
      <w:bookmarkEnd w:id="714"/>
      <w:bookmarkEnd w:id="715"/>
    </w:p>
    <w:p>
      <w:pPr>
        <w:rPr>
          <w:rFonts w:hint="eastAsia" w:ascii="新宋体" w:hAnsi="新宋体" w:eastAsia="新宋体" w:cs="新宋体"/>
          <w:b/>
          <w:color w:val="auto"/>
          <w:sz w:val="24"/>
          <w:highlight w:val="none"/>
        </w:rPr>
      </w:pPr>
    </w:p>
    <w:p>
      <w:pPr>
        <w:pStyle w:val="19"/>
        <w:rPr>
          <w:rFonts w:hint="eastAsia" w:ascii="新宋体" w:hAnsi="新宋体" w:eastAsia="新宋体" w:cs="新宋体"/>
          <w:color w:val="auto"/>
          <w:highlight w:val="none"/>
        </w:rPr>
      </w:pPr>
    </w:p>
    <w:p>
      <w:pPr>
        <w:ind w:firstLine="331" w:firstLineChars="103"/>
        <w:rPr>
          <w:rFonts w:hint="eastAsia" w:ascii="新宋体" w:hAnsi="新宋体" w:eastAsia="新宋体" w:cs="新宋体"/>
          <w:b/>
          <w:color w:val="auto"/>
          <w:sz w:val="32"/>
          <w:szCs w:val="32"/>
          <w:highlight w:val="none"/>
        </w:rPr>
      </w:pPr>
      <w:r>
        <w:rPr>
          <w:rFonts w:hint="eastAsia" w:ascii="新宋体" w:hAnsi="新宋体" w:eastAsia="新宋体" w:cs="新宋体"/>
          <w:b/>
          <w:color w:val="auto"/>
          <w:sz w:val="32"/>
          <w:szCs w:val="32"/>
          <w:highlight w:val="none"/>
        </w:rPr>
        <w:br w:type="page"/>
      </w:r>
      <w:r>
        <w:rPr>
          <w:rFonts w:hint="eastAsia" w:ascii="新宋体" w:hAnsi="新宋体" w:eastAsia="新宋体" w:cs="新宋体"/>
          <w:b/>
          <w:color w:val="auto"/>
          <w:sz w:val="28"/>
          <w:szCs w:val="28"/>
          <w:highlight w:val="none"/>
        </w:rPr>
        <w:t>格式2-9</w:t>
      </w:r>
    </w:p>
    <w:p>
      <w:pPr>
        <w:pStyle w:val="4"/>
        <w:spacing w:before="0" w:after="0" w:line="360" w:lineRule="auto"/>
        <w:jc w:val="center"/>
        <w:rPr>
          <w:rFonts w:hint="eastAsia" w:ascii="新宋体" w:hAnsi="新宋体" w:eastAsia="新宋体" w:cs="新宋体"/>
          <w:bCs w:val="0"/>
          <w:color w:val="auto"/>
          <w:sz w:val="28"/>
          <w:szCs w:val="28"/>
          <w:highlight w:val="none"/>
        </w:rPr>
      </w:pPr>
      <w:r>
        <w:rPr>
          <w:rFonts w:hint="eastAsia" w:ascii="新宋体" w:hAnsi="新宋体" w:eastAsia="新宋体" w:cs="新宋体"/>
          <w:bCs w:val="0"/>
          <w:color w:val="auto"/>
          <w:sz w:val="28"/>
          <w:szCs w:val="28"/>
          <w:highlight w:val="none"/>
        </w:rPr>
        <w:t>九、技术方案、项目实施方案</w:t>
      </w:r>
    </w:p>
    <w:p>
      <w:pPr>
        <w:widowControl/>
        <w:jc w:val="left"/>
        <w:rPr>
          <w:rFonts w:hint="eastAsia" w:ascii="新宋体" w:hAnsi="新宋体" w:eastAsia="新宋体" w:cs="新宋体"/>
          <w:b/>
          <w:bCs/>
          <w:color w:val="auto"/>
          <w:kern w:val="44"/>
          <w:sz w:val="28"/>
          <w:szCs w:val="28"/>
          <w:highlight w:val="none"/>
        </w:rPr>
      </w:pPr>
      <w:r>
        <w:rPr>
          <w:rFonts w:hint="eastAsia" w:ascii="新宋体" w:hAnsi="新宋体" w:eastAsia="新宋体" w:cs="新宋体"/>
          <w:color w:val="auto"/>
          <w:sz w:val="30"/>
          <w:szCs w:val="30"/>
          <w:highlight w:val="none"/>
        </w:rPr>
        <w:t>格式自拟</w:t>
      </w:r>
    </w:p>
    <w:p>
      <w:pPr>
        <w:widowControl/>
        <w:jc w:val="left"/>
        <w:rPr>
          <w:rFonts w:hint="eastAsia" w:ascii="新宋体" w:hAnsi="新宋体" w:eastAsia="新宋体" w:cs="新宋体"/>
          <w:color w:val="auto"/>
          <w:sz w:val="36"/>
          <w:szCs w:val="36"/>
          <w:highlight w:val="none"/>
        </w:rPr>
      </w:pPr>
    </w:p>
    <w:p>
      <w:pPr>
        <w:widowControl/>
        <w:jc w:val="left"/>
        <w:rPr>
          <w:rFonts w:hint="eastAsia" w:ascii="新宋体" w:hAnsi="新宋体" w:eastAsia="新宋体" w:cs="新宋体"/>
          <w:color w:val="auto"/>
          <w:sz w:val="36"/>
          <w:szCs w:val="36"/>
          <w:highlight w:val="none"/>
        </w:rPr>
      </w:pPr>
    </w:p>
    <w:p>
      <w:pPr>
        <w:widowControl/>
        <w:jc w:val="left"/>
        <w:rPr>
          <w:rFonts w:hint="eastAsia" w:ascii="新宋体" w:hAnsi="新宋体" w:eastAsia="新宋体" w:cs="新宋体"/>
          <w:color w:val="auto"/>
          <w:sz w:val="36"/>
          <w:szCs w:val="36"/>
          <w:highlight w:val="none"/>
        </w:rPr>
      </w:pPr>
    </w:p>
    <w:p>
      <w:pPr>
        <w:widowControl/>
        <w:jc w:val="left"/>
        <w:rPr>
          <w:rFonts w:hint="eastAsia" w:ascii="新宋体" w:hAnsi="新宋体" w:eastAsia="新宋体" w:cs="新宋体"/>
          <w:color w:val="auto"/>
          <w:sz w:val="36"/>
          <w:szCs w:val="36"/>
          <w:highlight w:val="none"/>
        </w:rPr>
      </w:pPr>
    </w:p>
    <w:p>
      <w:pPr>
        <w:widowControl/>
        <w:jc w:val="left"/>
        <w:rPr>
          <w:rFonts w:hint="eastAsia" w:ascii="新宋体" w:hAnsi="新宋体" w:eastAsia="新宋体" w:cs="新宋体"/>
          <w:color w:val="auto"/>
          <w:sz w:val="36"/>
          <w:szCs w:val="36"/>
          <w:highlight w:val="none"/>
        </w:rPr>
      </w:pPr>
    </w:p>
    <w:p>
      <w:pPr>
        <w:widowControl/>
        <w:jc w:val="left"/>
        <w:rPr>
          <w:rFonts w:hint="eastAsia" w:ascii="新宋体" w:hAnsi="新宋体" w:eastAsia="新宋体" w:cs="新宋体"/>
          <w:color w:val="auto"/>
          <w:sz w:val="36"/>
          <w:szCs w:val="36"/>
          <w:highlight w:val="none"/>
        </w:rPr>
      </w:pPr>
    </w:p>
    <w:p>
      <w:pPr>
        <w:pStyle w:val="19"/>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pStyle w:val="19"/>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pStyle w:val="19"/>
        <w:rPr>
          <w:rFonts w:hint="eastAsia" w:ascii="新宋体" w:hAnsi="新宋体" w:eastAsia="新宋体" w:cs="新宋体"/>
          <w:color w:val="auto"/>
          <w:highlight w:val="none"/>
        </w:rPr>
      </w:pPr>
    </w:p>
    <w:p>
      <w:pPr>
        <w:widowControl/>
        <w:jc w:val="left"/>
        <w:rPr>
          <w:rFonts w:hint="eastAsia" w:ascii="新宋体" w:hAnsi="新宋体" w:eastAsia="新宋体" w:cs="新宋体"/>
          <w:color w:val="auto"/>
          <w:sz w:val="36"/>
          <w:szCs w:val="36"/>
          <w:highlight w:val="none"/>
        </w:rPr>
      </w:pPr>
    </w:p>
    <w:p>
      <w:pPr>
        <w:pStyle w:val="19"/>
        <w:rPr>
          <w:rFonts w:hint="eastAsia" w:ascii="新宋体" w:hAnsi="新宋体" w:eastAsia="新宋体" w:cs="新宋体"/>
          <w:color w:val="auto"/>
          <w:sz w:val="36"/>
          <w:szCs w:val="36"/>
          <w:highlight w:val="none"/>
        </w:rPr>
      </w:pPr>
      <w:r>
        <w:rPr>
          <w:rFonts w:hint="eastAsia" w:ascii="新宋体" w:hAnsi="新宋体" w:eastAsia="新宋体" w:cs="新宋体"/>
          <w:color w:val="auto"/>
          <w:sz w:val="36"/>
          <w:szCs w:val="36"/>
          <w:highlight w:val="none"/>
        </w:rPr>
        <w:br w:type="page"/>
      </w:r>
      <w:bookmarkEnd w:id="172"/>
      <w:bookmarkEnd w:id="180"/>
      <w:bookmarkEnd w:id="181"/>
      <w:bookmarkStart w:id="716" w:name="_Toc2153"/>
      <w:bookmarkStart w:id="717" w:name="_Toc496689441"/>
      <w:bookmarkStart w:id="718" w:name="_Toc496689169"/>
      <w:bookmarkStart w:id="719" w:name="_Toc496695133"/>
      <w:bookmarkStart w:id="720" w:name="_Toc10770"/>
      <w:bookmarkStart w:id="721" w:name="_Toc217446093"/>
    </w:p>
    <w:p>
      <w:pPr>
        <w:pStyle w:val="3"/>
        <w:spacing w:before="0" w:after="0" w:line="360" w:lineRule="auto"/>
        <w:jc w:val="center"/>
        <w:rPr>
          <w:rFonts w:hint="eastAsia" w:ascii="新宋体" w:hAnsi="新宋体" w:eastAsia="新宋体" w:cs="新宋体"/>
          <w:color w:val="auto"/>
          <w:sz w:val="36"/>
          <w:szCs w:val="36"/>
          <w:highlight w:val="none"/>
        </w:rPr>
      </w:pPr>
      <w:bookmarkStart w:id="722" w:name="_Toc29731"/>
      <w:r>
        <w:rPr>
          <w:rFonts w:hint="eastAsia" w:ascii="新宋体" w:hAnsi="新宋体" w:eastAsia="新宋体" w:cs="新宋体"/>
          <w:color w:val="auto"/>
          <w:sz w:val="36"/>
          <w:szCs w:val="36"/>
          <w:highlight w:val="none"/>
        </w:rPr>
        <w:t>第四章  投标人和投标产品的资格、资质性及其他类似效力要求</w:t>
      </w:r>
      <w:bookmarkEnd w:id="716"/>
      <w:bookmarkEnd w:id="717"/>
      <w:bookmarkEnd w:id="718"/>
      <w:bookmarkEnd w:id="719"/>
      <w:bookmarkEnd w:id="720"/>
      <w:bookmarkEnd w:id="722"/>
    </w:p>
    <w:p>
      <w:pPr>
        <w:spacing w:line="520" w:lineRule="exact"/>
        <w:rPr>
          <w:rFonts w:hint="eastAsia" w:ascii="新宋体" w:hAnsi="新宋体" w:eastAsia="新宋体" w:cs="新宋体"/>
          <w:b/>
          <w:bCs/>
          <w:color w:val="auto"/>
          <w:sz w:val="24"/>
          <w:highlight w:val="none"/>
        </w:rPr>
      </w:pPr>
      <w:bookmarkStart w:id="723" w:name="_Toc496689170"/>
      <w:r>
        <w:rPr>
          <w:rFonts w:hint="eastAsia" w:ascii="新宋体" w:hAnsi="新宋体" w:eastAsia="新宋体" w:cs="新宋体"/>
          <w:b/>
          <w:bCs/>
          <w:color w:val="auto"/>
          <w:sz w:val="24"/>
          <w:highlight w:val="none"/>
        </w:rPr>
        <w:t>一、投标人资格、资质性及其他类似效力要求</w:t>
      </w:r>
      <w:bookmarkEnd w:id="723"/>
    </w:p>
    <w:p>
      <w:pPr>
        <w:pStyle w:val="118"/>
        <w:spacing w:line="420" w:lineRule="exact"/>
        <w:ind w:firstLine="0" w:firstLineChars="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（一）资格要求</w:t>
      </w:r>
    </w:p>
    <w:p>
      <w:pPr>
        <w:adjustRightInd w:val="0"/>
        <w:snapToGrid w:val="0"/>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1、满足《中华人民共和国政府采购法》第二十二条规定；</w:t>
      </w:r>
    </w:p>
    <w:p>
      <w:pPr>
        <w:adjustRightInd w:val="0"/>
        <w:snapToGrid w:val="0"/>
        <w:spacing w:line="360" w:lineRule="auto"/>
        <w:ind w:firstLine="480" w:firstLineChars="200"/>
        <w:rPr>
          <w:rFonts w:hint="eastAsia" w:ascii="新宋体" w:hAnsi="新宋体" w:eastAsia="新宋体" w:cs="新宋体"/>
          <w:color w:val="auto"/>
          <w:sz w:val="24"/>
          <w:szCs w:val="26"/>
          <w:highlight w:val="none"/>
        </w:rPr>
      </w:pPr>
      <w:r>
        <w:rPr>
          <w:rFonts w:hint="eastAsia" w:ascii="新宋体" w:hAnsi="新宋体" w:eastAsia="新宋体" w:cs="新宋体"/>
          <w:color w:val="auto"/>
          <w:sz w:val="24"/>
          <w:highlight w:val="none"/>
        </w:rPr>
        <w:t>2、落实政府采购政策需满足的资格要求：</w:t>
      </w:r>
      <w:r>
        <w:rPr>
          <w:rFonts w:hint="eastAsia" w:ascii="新宋体" w:hAnsi="新宋体" w:eastAsia="新宋体" w:cs="新宋体"/>
          <w:color w:val="auto"/>
          <w:sz w:val="24"/>
          <w:szCs w:val="26"/>
          <w:highlight w:val="none"/>
        </w:rPr>
        <w:t>专门面向中小企业(监狱企业、残疾人福利性单位视同中小微企业)采购，供应商应为中、小、微型企业或监狱企业或残疾人福利性单位。</w:t>
      </w:r>
    </w:p>
    <w:p>
      <w:pPr>
        <w:adjustRightInd w:val="0"/>
        <w:snapToGrid w:val="0"/>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3、本项目的特定资格要求：</w:t>
      </w:r>
    </w:p>
    <w:p>
      <w:pPr>
        <w:adjustRightInd w:val="0"/>
        <w:snapToGrid w:val="0"/>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3.1参加本项目政府采购活动的供应商、法定代表人、主要负责人在前三年内不得具有行贿犯罪记录</w:t>
      </w:r>
    </w:p>
    <w:p>
      <w:pPr>
        <w:spacing w:line="520" w:lineRule="exact"/>
        <w:rPr>
          <w:rFonts w:hint="eastAsia" w:ascii="新宋体" w:hAnsi="新宋体" w:eastAsia="新宋体" w:cs="新宋体"/>
          <w:b/>
          <w:bCs/>
          <w:color w:val="auto"/>
          <w:sz w:val="24"/>
          <w:highlight w:val="none"/>
        </w:rPr>
      </w:pPr>
      <w:bookmarkStart w:id="724" w:name="_Toc496689171"/>
      <w:r>
        <w:rPr>
          <w:rFonts w:hint="eastAsia" w:ascii="新宋体" w:hAnsi="新宋体" w:eastAsia="新宋体" w:cs="新宋体"/>
          <w:b/>
          <w:bCs/>
          <w:color w:val="auto"/>
          <w:sz w:val="24"/>
          <w:highlight w:val="none"/>
        </w:rPr>
        <w:t>（二）其他类似效力要求相关证明材料：</w:t>
      </w:r>
    </w:p>
    <w:p>
      <w:pPr>
        <w:spacing w:line="52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1.法定代表人/单位负责人身份证明材料复印件。</w:t>
      </w:r>
    </w:p>
    <w:p>
      <w:pPr>
        <w:spacing w:line="52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法定代表人/单位负责人授权代理书原件及代理人身份证明材料复印件（注：①法定代表人/单位负责人授权代理书原件需加盖公章；②如投标文件均由投标人法定代表人/单位负责人（委托人）签字或者加盖个人名章的且法定代表人/单位负责人本人参与投标的，则可不提供。）</w:t>
      </w:r>
      <w:bookmarkEnd w:id="724"/>
    </w:p>
    <w:p>
      <w:pPr>
        <w:spacing w:line="520" w:lineRule="exact"/>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二、投标产品的资格、资质性及其他具有类似效力的要求</w:t>
      </w:r>
    </w:p>
    <w:p>
      <w:pPr>
        <w:pStyle w:val="19"/>
        <w:spacing w:before="240" w:after="0" w:line="360" w:lineRule="auto"/>
        <w:ind w:firstLine="600" w:firstLineChars="25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无。</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注：1.较大数额罚款按《四川省行政处罚听证程序规定》（四川省人民政府令第317号） “较大数额，是指对非经营活动中公民的违法行为处以罚款或者没收财产2000元以上、法人或者其他组织的违法行为处以罚款或者没收财产2万元以上；对在经营活动中的违法行为处以罚款或者没收财产5万元以上”进行认定。若采购项目所属行业行政主管部门对较大数额罚款金额标准有明文规定的，从其规定；超过此数额罚款供应商的响应文件将被拒绝。</w:t>
      </w:r>
    </w:p>
    <w:p>
      <w:pPr>
        <w:spacing w:line="520" w:lineRule="exact"/>
        <w:ind w:firstLine="487" w:firstLineChars="203"/>
        <w:rPr>
          <w:rFonts w:hint="eastAsia" w:ascii="新宋体" w:hAnsi="新宋体" w:eastAsia="新宋体" w:cs="新宋体"/>
          <w:color w:val="auto"/>
          <w:highlight w:val="none"/>
        </w:rPr>
      </w:pPr>
      <w:bookmarkStart w:id="725" w:name="_Toc1588"/>
      <w:bookmarkStart w:id="726" w:name="_Toc3806"/>
      <w:r>
        <w:rPr>
          <w:rFonts w:hint="eastAsia" w:ascii="新宋体" w:hAnsi="新宋体" w:eastAsia="新宋体" w:cs="新宋体"/>
          <w:color w:val="auto"/>
          <w:sz w:val="24"/>
          <w:highlight w:val="none"/>
        </w:rPr>
        <w:t>2.凡被列入失信被执行人、重大税收违法案件当事人名单、政府采购严重违法失信行为记录名单且在有效期内的，视为存在不良信用记录，供应商响应文件将被拒绝。（两个以上的自然人、法人或者其他组织组成一个联合体，以一个供应商的身份共同参加政府采购活动的，将对所有联合体成员进行信用记录查询，联合体成员存在不良信用记录的，视同联合体存在不良信用记录，联合体响应文件将被拒绝）。</w:t>
      </w:r>
    </w:p>
    <w:p>
      <w:pPr>
        <w:pStyle w:val="3"/>
        <w:spacing w:before="0" w:after="0" w:line="360" w:lineRule="auto"/>
        <w:jc w:val="center"/>
        <w:rPr>
          <w:rFonts w:hint="eastAsia" w:ascii="新宋体" w:hAnsi="新宋体" w:eastAsia="新宋体" w:cs="新宋体"/>
          <w:color w:val="auto"/>
          <w:sz w:val="36"/>
          <w:szCs w:val="36"/>
          <w:highlight w:val="none"/>
        </w:rPr>
      </w:pPr>
      <w:r>
        <w:rPr>
          <w:rFonts w:hint="eastAsia" w:ascii="新宋体" w:hAnsi="新宋体" w:eastAsia="新宋体" w:cs="新宋体"/>
          <w:color w:val="auto"/>
          <w:highlight w:val="none"/>
        </w:rPr>
        <w:br w:type="page"/>
      </w:r>
      <w:bookmarkStart w:id="727" w:name="_Toc1942"/>
      <w:bookmarkStart w:id="728" w:name="_Toc496689172"/>
      <w:bookmarkStart w:id="729" w:name="_Toc496695134"/>
      <w:bookmarkStart w:id="730" w:name="_Toc17167"/>
      <w:bookmarkStart w:id="731" w:name="_Toc2883"/>
      <w:bookmarkStart w:id="732" w:name="_Toc496689442"/>
      <w:r>
        <w:rPr>
          <w:rFonts w:hint="eastAsia" w:ascii="新宋体" w:hAnsi="新宋体" w:eastAsia="新宋体" w:cs="新宋体"/>
          <w:color w:val="auto"/>
          <w:sz w:val="36"/>
          <w:szCs w:val="36"/>
          <w:highlight w:val="none"/>
        </w:rPr>
        <w:t>第五章  投标人应当提供的资格、资质性及其他类似效力要求的相关证明材料</w:t>
      </w:r>
      <w:bookmarkEnd w:id="725"/>
      <w:bookmarkEnd w:id="726"/>
      <w:bookmarkEnd w:id="727"/>
      <w:bookmarkEnd w:id="728"/>
      <w:bookmarkEnd w:id="729"/>
      <w:bookmarkEnd w:id="730"/>
      <w:bookmarkEnd w:id="731"/>
      <w:bookmarkEnd w:id="732"/>
    </w:p>
    <w:p>
      <w:pPr>
        <w:spacing w:line="520" w:lineRule="exact"/>
        <w:rPr>
          <w:rFonts w:hint="eastAsia" w:ascii="新宋体" w:hAnsi="新宋体" w:eastAsia="新宋体" w:cs="新宋体"/>
          <w:b/>
          <w:bCs/>
          <w:color w:val="auto"/>
          <w:sz w:val="24"/>
          <w:highlight w:val="none"/>
        </w:rPr>
      </w:pPr>
      <w:bookmarkStart w:id="733" w:name="_Toc496689173"/>
      <w:r>
        <w:rPr>
          <w:rFonts w:hint="eastAsia" w:ascii="新宋体" w:hAnsi="新宋体" w:eastAsia="新宋体" w:cs="新宋体"/>
          <w:b/>
          <w:bCs/>
          <w:color w:val="auto"/>
          <w:sz w:val="24"/>
          <w:highlight w:val="none"/>
        </w:rPr>
        <w:t>一、应当提供的投标人资格、资质性及其他类似效力要求的相关证明材料</w:t>
      </w:r>
      <w:bookmarkEnd w:id="733"/>
    </w:p>
    <w:p>
      <w:pPr>
        <w:spacing w:line="520" w:lineRule="exact"/>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（一）资格要求相关证明材料：</w:t>
      </w:r>
    </w:p>
    <w:p>
      <w:pPr>
        <w:pStyle w:val="118"/>
        <w:ind w:firstLine="0" w:firstLineChars="0"/>
        <w:rPr>
          <w:rFonts w:hint="eastAsia" w:ascii="新宋体" w:hAnsi="新宋体" w:eastAsia="新宋体" w:cs="新宋体"/>
          <w:color w:val="auto"/>
          <w:sz w:val="24"/>
          <w:highlight w:val="none"/>
        </w:rPr>
      </w:pPr>
      <w:r>
        <w:rPr>
          <w:rFonts w:hint="eastAsia" w:ascii="新宋体" w:hAnsi="新宋体" w:eastAsia="新宋体" w:cs="新宋体"/>
          <w:b/>
          <w:color w:val="auto"/>
          <w:sz w:val="24"/>
          <w:highlight w:val="none"/>
        </w:rPr>
        <w:t xml:space="preserve">  1.具有独立承担民事责任的能力的证明材料：</w:t>
      </w:r>
      <w:r>
        <w:rPr>
          <w:rFonts w:hint="eastAsia" w:ascii="新宋体" w:hAnsi="新宋体" w:eastAsia="新宋体" w:cs="新宋体"/>
          <w:color w:val="auto"/>
          <w:sz w:val="24"/>
          <w:highlight w:val="none"/>
        </w:rPr>
        <w:t>（注1：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⑤其它形式的供应商提供具有法律效力的资质证明；⑥供应商属于银行、保险、石油石化、电力、通信、邮政等有行业特殊情况的，可提供分支机构营业执照、税务登记和组织机构代码证或统一社会信用代码的营业执照。以上均提供复印件）</w:t>
      </w:r>
    </w:p>
    <w:p>
      <w:pPr>
        <w:spacing w:line="360" w:lineRule="auto"/>
        <w:ind w:firstLine="241" w:firstLineChars="100"/>
        <w:rPr>
          <w:rFonts w:hint="eastAsia" w:ascii="新宋体" w:hAnsi="新宋体" w:eastAsia="新宋体" w:cs="新宋体"/>
          <w:color w:val="auto"/>
          <w:spacing w:val="-20"/>
          <w:sz w:val="24"/>
          <w:highlight w:val="none"/>
        </w:rPr>
      </w:pPr>
      <w:r>
        <w:rPr>
          <w:rFonts w:hint="eastAsia" w:ascii="新宋体" w:hAnsi="新宋体" w:eastAsia="新宋体" w:cs="新宋体"/>
          <w:b/>
          <w:color w:val="auto"/>
          <w:sz w:val="24"/>
          <w:highlight w:val="none"/>
        </w:rPr>
        <w:t>2.具有良好的商业信誉的证明材料。</w:t>
      </w:r>
      <w:r>
        <w:rPr>
          <w:rFonts w:hint="eastAsia" w:ascii="新宋体" w:hAnsi="新宋体" w:eastAsia="新宋体" w:cs="新宋体"/>
          <w:color w:val="auto"/>
          <w:spacing w:val="-20"/>
          <w:sz w:val="24"/>
          <w:highlight w:val="none"/>
        </w:rPr>
        <w:t>（</w:t>
      </w:r>
      <w:r>
        <w:rPr>
          <w:rFonts w:hint="eastAsia" w:ascii="新宋体" w:hAnsi="新宋体" w:eastAsia="新宋体" w:cs="新宋体"/>
          <w:color w:val="auto"/>
          <w:sz w:val="24"/>
          <w:highlight w:val="none"/>
        </w:rPr>
        <w:t>可提供承诺函，格式详见第三章</w:t>
      </w:r>
      <w:r>
        <w:rPr>
          <w:rFonts w:hint="eastAsia" w:ascii="新宋体" w:hAnsi="新宋体" w:eastAsia="新宋体" w:cs="新宋体"/>
          <w:color w:val="auto"/>
          <w:spacing w:val="-20"/>
          <w:sz w:val="24"/>
          <w:highlight w:val="none"/>
        </w:rPr>
        <w:t>）</w:t>
      </w:r>
    </w:p>
    <w:p>
      <w:pPr>
        <w:spacing w:after="240" w:line="520" w:lineRule="exact"/>
        <w:ind w:firstLine="248" w:firstLineChars="103"/>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3.具有健全的财务会计制度的证明材料。</w:t>
      </w:r>
      <w:r>
        <w:rPr>
          <w:rFonts w:hint="eastAsia" w:ascii="新宋体" w:hAnsi="新宋体" w:eastAsia="新宋体" w:cs="新宋体"/>
          <w:color w:val="auto"/>
          <w:sz w:val="24"/>
          <w:highlight w:val="none"/>
        </w:rPr>
        <w:t>｛注：①可提供2019或2020年度经审计的财务报告复印件，②也可提供2019或2020年度供应商内部的财务报表复印件（至少包含资产负债表，相应的表签字或盖章应完整），③供应商注册时间至文件递交截止日不足一年的，也可提供在工商备案的公司章程（复印件）｝。</w:t>
      </w:r>
    </w:p>
    <w:p>
      <w:pPr>
        <w:pStyle w:val="118"/>
        <w:ind w:firstLine="241" w:firstLineChars="100"/>
        <w:rPr>
          <w:rFonts w:hint="eastAsia" w:ascii="新宋体" w:hAnsi="新宋体" w:eastAsia="新宋体" w:cs="新宋体"/>
          <w:color w:val="auto"/>
          <w:highlight w:val="none"/>
        </w:rPr>
      </w:pPr>
      <w:r>
        <w:rPr>
          <w:rFonts w:hint="eastAsia" w:ascii="新宋体" w:hAnsi="新宋体" w:eastAsia="新宋体" w:cs="新宋体"/>
          <w:b/>
          <w:color w:val="auto"/>
          <w:sz w:val="24"/>
          <w:highlight w:val="none"/>
        </w:rPr>
        <w:t>4.具有履行合同所必需的设备和专业技术能力的证明材料。</w:t>
      </w:r>
      <w:r>
        <w:rPr>
          <w:rFonts w:hint="eastAsia" w:ascii="新宋体" w:hAnsi="新宋体" w:eastAsia="新宋体" w:cs="新宋体"/>
          <w:color w:val="auto"/>
          <w:sz w:val="24"/>
          <w:highlight w:val="none"/>
        </w:rPr>
        <w:t>（可提供承诺函，格式详见第三章）</w:t>
      </w:r>
    </w:p>
    <w:p>
      <w:pPr>
        <w:pStyle w:val="118"/>
        <w:ind w:firstLine="241" w:firstLineChars="1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5. 具有依法缴纳税收和社会保障资金的良好记录的证明材料。</w:t>
      </w:r>
    </w:p>
    <w:p>
      <w:pPr>
        <w:spacing w:after="240"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供应商提供2021年以来任意1个月依法缴纳税收的证明材料（银行纳税回单或税务局出具的纳税证明或纳税发票）和缴纳社会保障资金的证明材料（银行社保缴纳回单或社保局出具的社保交纳证明）复印件加盖单位鲜章；也可提供承诺函，格式详见第三章。</w:t>
      </w:r>
    </w:p>
    <w:p>
      <w:pPr>
        <w:spacing w:line="480" w:lineRule="auto"/>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w:t>
      </w:r>
      <w:r>
        <w:rPr>
          <w:rFonts w:hint="eastAsia" w:ascii="新宋体" w:hAnsi="新宋体" w:eastAsia="新宋体" w:cs="新宋体"/>
          <w:b/>
          <w:color w:val="auto"/>
          <w:sz w:val="24"/>
          <w:highlight w:val="none"/>
        </w:rPr>
        <w:t xml:space="preserve"> 6.参加政府采购活动前三年内，在经营活动中没有重大违法记录；</w:t>
      </w:r>
      <w:r>
        <w:rPr>
          <w:rFonts w:hint="eastAsia" w:ascii="新宋体" w:hAnsi="新宋体" w:eastAsia="新宋体" w:cs="新宋体"/>
          <w:color w:val="auto"/>
          <w:sz w:val="24"/>
          <w:highlight w:val="none"/>
        </w:rPr>
        <w:t>（可提供承诺函，格式详见第三章）</w:t>
      </w:r>
    </w:p>
    <w:p>
      <w:pPr>
        <w:spacing w:line="480" w:lineRule="auto"/>
        <w:ind w:firstLine="247" w:firstLineChars="103"/>
        <w:rPr>
          <w:rFonts w:hint="eastAsia" w:ascii="新宋体" w:hAnsi="新宋体" w:eastAsia="新宋体" w:cs="新宋体"/>
          <w:b/>
          <w:color w:val="auto"/>
          <w:sz w:val="24"/>
          <w:highlight w:val="none"/>
        </w:rPr>
      </w:pPr>
      <w:r>
        <w:rPr>
          <w:rFonts w:hint="eastAsia" w:ascii="新宋体" w:hAnsi="新宋体" w:eastAsia="新宋体" w:cs="新宋体"/>
          <w:color w:val="auto"/>
          <w:sz w:val="24"/>
          <w:highlight w:val="none"/>
        </w:rPr>
        <w:t xml:space="preserve">  </w:t>
      </w:r>
      <w:r>
        <w:rPr>
          <w:rFonts w:hint="eastAsia" w:ascii="新宋体" w:hAnsi="新宋体" w:eastAsia="新宋体" w:cs="新宋体"/>
          <w:b/>
          <w:color w:val="auto"/>
          <w:sz w:val="24"/>
          <w:highlight w:val="none"/>
        </w:rPr>
        <w:t>7.法律、行政法规规定的其他条件的证明材料：</w:t>
      </w:r>
    </w:p>
    <w:p>
      <w:pPr>
        <w:spacing w:line="48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可提供承诺函，格式详见第三章。</w:t>
      </w:r>
    </w:p>
    <w:p>
      <w:pPr>
        <w:spacing w:line="480" w:lineRule="auto"/>
        <w:ind w:firstLine="482" w:firstLineChars="200"/>
        <w:rPr>
          <w:rFonts w:hint="eastAsia" w:ascii="新宋体" w:hAnsi="新宋体" w:eastAsia="新宋体" w:cs="新宋体"/>
          <w:color w:val="auto"/>
          <w:sz w:val="24"/>
          <w:highlight w:val="none"/>
        </w:rPr>
      </w:pPr>
      <w:r>
        <w:rPr>
          <w:rFonts w:hint="eastAsia" w:ascii="新宋体" w:hAnsi="新宋体" w:eastAsia="新宋体" w:cs="新宋体"/>
          <w:b/>
          <w:bCs/>
          <w:color w:val="auto"/>
          <w:sz w:val="24"/>
          <w:highlight w:val="none"/>
        </w:rPr>
        <w:t>8.供应商单位及其法定代表人、主要负责人在参加本采购项目前三年内无行贿犯罪记录。</w:t>
      </w:r>
      <w:r>
        <w:rPr>
          <w:rFonts w:hint="eastAsia" w:ascii="新宋体" w:hAnsi="新宋体" w:eastAsia="新宋体" w:cs="新宋体"/>
          <w:color w:val="auto"/>
          <w:sz w:val="24"/>
          <w:highlight w:val="none"/>
        </w:rPr>
        <w:t xml:space="preserve">（可提供承诺函，格式详见第三章） </w:t>
      </w:r>
    </w:p>
    <w:p>
      <w:pPr>
        <w:spacing w:line="480" w:lineRule="auto"/>
        <w:ind w:firstLine="482" w:firstLineChars="200"/>
        <w:rPr>
          <w:rFonts w:hint="eastAsia" w:ascii="新宋体" w:hAnsi="新宋体" w:eastAsia="新宋体" w:cs="新宋体"/>
          <w:color w:val="auto"/>
          <w:sz w:val="24"/>
          <w:highlight w:val="none"/>
        </w:rPr>
      </w:pPr>
      <w:r>
        <w:rPr>
          <w:rFonts w:hint="eastAsia" w:ascii="新宋体" w:hAnsi="新宋体" w:eastAsia="新宋体" w:cs="新宋体"/>
          <w:b/>
          <w:bCs/>
          <w:color w:val="auto"/>
          <w:sz w:val="24"/>
          <w:highlight w:val="none"/>
        </w:rPr>
        <w:t>9.</w:t>
      </w:r>
      <w:r>
        <w:rPr>
          <w:rFonts w:hint="eastAsia" w:ascii="新宋体" w:hAnsi="新宋体" w:eastAsia="新宋体" w:cs="新宋体"/>
          <w:color w:val="auto"/>
          <w:highlight w:val="none"/>
        </w:rPr>
        <w:t xml:space="preserve"> </w:t>
      </w:r>
      <w:r>
        <w:rPr>
          <w:rFonts w:hint="eastAsia" w:ascii="新宋体" w:hAnsi="新宋体" w:eastAsia="新宋体" w:cs="新宋体"/>
          <w:b/>
          <w:bCs/>
          <w:color w:val="auto"/>
          <w:sz w:val="24"/>
          <w:highlight w:val="none"/>
        </w:rPr>
        <w:t>须提供中小企业声明函或监狱企业、残疾人福利性单位证明。</w:t>
      </w:r>
      <w:r>
        <w:rPr>
          <w:rFonts w:hint="eastAsia" w:ascii="新宋体" w:hAnsi="新宋体" w:eastAsia="新宋体" w:cs="新宋体"/>
          <w:color w:val="auto"/>
          <w:sz w:val="24"/>
          <w:highlight w:val="none"/>
        </w:rPr>
        <w:t>（格式详见第三章）</w:t>
      </w:r>
    </w:p>
    <w:p>
      <w:pPr>
        <w:pStyle w:val="19"/>
        <w:rPr>
          <w:rFonts w:hint="eastAsia" w:ascii="新宋体" w:hAnsi="新宋体" w:eastAsia="新宋体" w:cs="新宋体"/>
          <w:color w:val="auto"/>
          <w:highlight w:val="none"/>
        </w:rPr>
      </w:pPr>
    </w:p>
    <w:p>
      <w:pPr>
        <w:spacing w:line="480" w:lineRule="auto"/>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（二）其他类似效力要求相关证明材料：</w:t>
      </w:r>
    </w:p>
    <w:p>
      <w:pPr>
        <w:spacing w:line="480" w:lineRule="auto"/>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1.法定代表人/单位负责人身份证明材料复印件。</w:t>
      </w:r>
    </w:p>
    <w:p>
      <w:pPr>
        <w:spacing w:line="480" w:lineRule="auto"/>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法定代表人/单位负责人授权代理书原件及代理人身份证明材料复印件（注：①法定代表人/单位负责人授权代理书原件需加盖公章；②如投标文件均由投标人法定代表人/单位负责人（委托人）签字或者加盖个人名章的且法定代表人/单位负责人本人参与投标的，则可不提供。）</w:t>
      </w:r>
    </w:p>
    <w:p>
      <w:pPr>
        <w:spacing w:line="360" w:lineRule="auto"/>
        <w:ind w:firstLine="248" w:firstLineChars="103"/>
        <w:rPr>
          <w:rFonts w:hint="eastAsia" w:ascii="新宋体" w:hAnsi="新宋体" w:eastAsia="新宋体" w:cs="新宋体"/>
          <w:b/>
          <w:color w:val="auto"/>
          <w:sz w:val="24"/>
          <w:highlight w:val="none"/>
        </w:rPr>
      </w:pPr>
      <w:bookmarkStart w:id="734" w:name="_Toc496689174"/>
      <w:r>
        <w:rPr>
          <w:rFonts w:hint="eastAsia" w:ascii="新宋体" w:hAnsi="新宋体" w:eastAsia="新宋体" w:cs="新宋体"/>
          <w:b/>
          <w:color w:val="auto"/>
          <w:sz w:val="24"/>
          <w:highlight w:val="none"/>
        </w:rPr>
        <w:t>二、应当提供的投标产品的资格、资质性及其他具有类似效力的要求的相关证明材料</w:t>
      </w:r>
      <w:bookmarkEnd w:id="734"/>
    </w:p>
    <w:p>
      <w:pPr>
        <w:spacing w:line="360" w:lineRule="auto"/>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无。</w:t>
      </w:r>
    </w:p>
    <w:p>
      <w:pPr>
        <w:pStyle w:val="19"/>
        <w:rPr>
          <w:rFonts w:hint="eastAsia" w:ascii="新宋体" w:hAnsi="新宋体" w:eastAsia="新宋体" w:cs="新宋体"/>
          <w:color w:val="auto"/>
          <w:highlight w:val="none"/>
        </w:rPr>
      </w:pPr>
    </w:p>
    <w:p>
      <w:pPr>
        <w:spacing w:line="360" w:lineRule="auto"/>
        <w:ind w:firstLine="248" w:firstLineChars="103"/>
        <w:rPr>
          <w:rFonts w:hint="eastAsia" w:ascii="新宋体" w:hAnsi="新宋体" w:eastAsia="新宋体" w:cs="新宋体"/>
          <w:color w:val="auto"/>
          <w:sz w:val="24"/>
          <w:highlight w:val="none"/>
        </w:rPr>
      </w:pPr>
      <w:r>
        <w:rPr>
          <w:rFonts w:hint="eastAsia" w:ascii="新宋体" w:hAnsi="新宋体" w:eastAsia="新宋体" w:cs="新宋体"/>
          <w:b/>
          <w:color w:val="auto"/>
          <w:sz w:val="24"/>
          <w:highlight w:val="none"/>
        </w:rPr>
        <w:t>注：</w:t>
      </w:r>
      <w:r>
        <w:rPr>
          <w:rFonts w:hint="eastAsia" w:ascii="新宋体" w:hAnsi="新宋体" w:eastAsia="新宋体" w:cs="新宋体"/>
          <w:bCs/>
          <w:color w:val="auto"/>
          <w:sz w:val="24"/>
          <w:highlight w:val="none"/>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spacing w:line="360" w:lineRule="auto"/>
        <w:jc w:val="center"/>
        <w:rPr>
          <w:rStyle w:val="66"/>
          <w:rFonts w:hint="eastAsia" w:ascii="新宋体" w:hAnsi="新宋体" w:eastAsia="新宋体" w:cs="新宋体"/>
          <w:color w:val="auto"/>
          <w:sz w:val="36"/>
          <w:szCs w:val="36"/>
          <w:highlight w:val="none"/>
        </w:rPr>
      </w:pPr>
      <w:bookmarkStart w:id="735" w:name="_Toc21258"/>
      <w:bookmarkStart w:id="736" w:name="_Toc496689443"/>
      <w:bookmarkStart w:id="737" w:name="_Toc496695135"/>
      <w:bookmarkStart w:id="738" w:name="_Toc480792488"/>
      <w:bookmarkStart w:id="739" w:name="_Toc18669"/>
      <w:bookmarkStart w:id="740" w:name="_Toc496689175"/>
      <w:r>
        <w:rPr>
          <w:rFonts w:hint="eastAsia" w:ascii="新宋体" w:hAnsi="新宋体" w:eastAsia="新宋体" w:cs="新宋体"/>
          <w:color w:val="auto"/>
          <w:sz w:val="30"/>
          <w:szCs w:val="30"/>
          <w:highlight w:val="none"/>
        </w:rPr>
        <w:br w:type="page"/>
      </w:r>
      <w:bookmarkStart w:id="741" w:name="_Toc25525"/>
      <w:r>
        <w:rPr>
          <w:rStyle w:val="66"/>
          <w:rFonts w:hint="eastAsia" w:ascii="新宋体" w:hAnsi="新宋体" w:eastAsia="新宋体" w:cs="新宋体"/>
          <w:color w:val="auto"/>
          <w:sz w:val="36"/>
          <w:szCs w:val="36"/>
          <w:highlight w:val="none"/>
        </w:rPr>
        <w:t>第六章  招标项目技术、服务和商务要求</w:t>
      </w:r>
      <w:bookmarkEnd w:id="721"/>
      <w:bookmarkEnd w:id="735"/>
      <w:bookmarkEnd w:id="736"/>
      <w:bookmarkEnd w:id="737"/>
      <w:bookmarkEnd w:id="738"/>
      <w:bookmarkEnd w:id="739"/>
      <w:bookmarkEnd w:id="740"/>
      <w:bookmarkEnd w:id="741"/>
    </w:p>
    <w:p>
      <w:pPr>
        <w:pStyle w:val="19"/>
        <w:rPr>
          <w:rFonts w:hint="eastAsia" w:ascii="新宋体" w:hAnsi="新宋体" w:eastAsia="新宋体" w:cs="新宋体"/>
          <w:color w:val="auto"/>
          <w:highlight w:val="none"/>
        </w:rPr>
      </w:pPr>
    </w:p>
    <w:p>
      <w:pPr>
        <w:spacing w:before="48" w:beforeLines="20" w:after="48" w:afterLines="20"/>
        <w:jc w:val="left"/>
        <w:rPr>
          <w:rFonts w:hint="eastAsia" w:ascii="新宋体" w:hAnsi="新宋体" w:eastAsia="新宋体" w:cs="新宋体"/>
          <w:b/>
          <w:color w:val="auto"/>
          <w:sz w:val="28"/>
          <w:szCs w:val="28"/>
          <w:highlight w:val="none"/>
        </w:rPr>
      </w:pPr>
      <w:bookmarkStart w:id="742" w:name="_Hlk46761699"/>
      <w:bookmarkStart w:id="743" w:name="_Hlk44253966"/>
      <w:bookmarkStart w:id="744" w:name="_Hlk46498566"/>
      <w:bookmarkStart w:id="745" w:name="_Hlk46567998"/>
      <w:bookmarkStart w:id="746" w:name="_Toc496689444"/>
      <w:bookmarkStart w:id="747" w:name="_Toc480792489"/>
      <w:bookmarkStart w:id="748" w:name="_Toc496689177"/>
      <w:bookmarkStart w:id="749" w:name="_Toc14405"/>
      <w:bookmarkStart w:id="750" w:name="_Toc496695136"/>
      <w:bookmarkStart w:id="751" w:name="_Toc23207"/>
      <w:r>
        <w:rPr>
          <w:rFonts w:hint="eastAsia" w:ascii="新宋体" w:hAnsi="新宋体" w:eastAsia="新宋体" w:cs="新宋体"/>
          <w:b/>
          <w:color w:val="auto"/>
          <w:sz w:val="28"/>
          <w:szCs w:val="28"/>
          <w:highlight w:val="none"/>
        </w:rPr>
        <w:t>一、项目概况：</w:t>
      </w:r>
    </w:p>
    <w:p>
      <w:pPr>
        <w:spacing w:before="48" w:beforeLines="20" w:after="48" w:afterLines="20" w:line="576" w:lineRule="exact"/>
        <w:ind w:firstLine="480" w:firstLineChars="200"/>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按成教函（2021）37号文件精神，我校拟采购一批LED教育灯具，保护青少年视力健康，确保教室</w:t>
      </w:r>
      <w:r>
        <w:rPr>
          <w:rFonts w:hint="eastAsia" w:ascii="新宋体" w:hAnsi="新宋体" w:eastAsia="新宋体" w:cs="新宋体"/>
          <w:bCs/>
          <w:color w:val="auto"/>
          <w:sz w:val="24"/>
          <w:highlight w:val="none"/>
          <w:lang w:val="en-US" w:eastAsia="zh-CN"/>
        </w:rPr>
        <w:t>、功能室</w:t>
      </w:r>
      <w:r>
        <w:rPr>
          <w:rFonts w:hint="eastAsia" w:ascii="新宋体" w:hAnsi="新宋体" w:eastAsia="新宋体" w:cs="新宋体"/>
          <w:bCs/>
          <w:color w:val="auto"/>
          <w:sz w:val="24"/>
          <w:highlight w:val="none"/>
        </w:rPr>
        <w:t>光环境达标</w:t>
      </w:r>
      <w:r>
        <w:rPr>
          <w:rFonts w:hint="eastAsia" w:ascii="新宋体" w:hAnsi="新宋体" w:eastAsia="新宋体" w:cs="新宋体"/>
          <w:bCs/>
          <w:color w:val="auto"/>
          <w:sz w:val="24"/>
          <w:highlight w:val="none"/>
          <w:lang w:eastAsia="zh-CN"/>
        </w:rPr>
        <w:t>。</w:t>
      </w:r>
      <w:r>
        <w:rPr>
          <w:rFonts w:hint="eastAsia" w:ascii="新宋体" w:hAnsi="新宋体" w:eastAsia="新宋体" w:cs="新宋体"/>
          <w:bCs/>
          <w:color w:val="auto"/>
          <w:sz w:val="24"/>
          <w:highlight w:val="none"/>
          <w:lang w:val="en-US" w:eastAsia="zh-CN"/>
        </w:rPr>
        <w:t>本次</w:t>
      </w:r>
      <w:r>
        <w:rPr>
          <w:rFonts w:hint="eastAsia" w:ascii="新宋体" w:hAnsi="新宋体" w:eastAsia="新宋体" w:cs="新宋体"/>
          <w:bCs/>
          <w:color w:val="auto"/>
          <w:sz w:val="24"/>
          <w:highlight w:val="none"/>
        </w:rPr>
        <w:t>共</w:t>
      </w:r>
      <w:r>
        <w:rPr>
          <w:rFonts w:hint="eastAsia" w:ascii="新宋体" w:hAnsi="新宋体" w:eastAsia="新宋体" w:cs="新宋体"/>
          <w:bCs/>
          <w:color w:val="auto"/>
          <w:sz w:val="24"/>
          <w:highlight w:val="none"/>
          <w:lang w:val="en-US" w:eastAsia="zh-CN"/>
        </w:rPr>
        <w:t>计划</w:t>
      </w:r>
      <w:r>
        <w:rPr>
          <w:rFonts w:hint="eastAsia" w:ascii="新宋体" w:hAnsi="新宋体" w:eastAsia="新宋体" w:cs="新宋体"/>
          <w:bCs/>
          <w:color w:val="auto"/>
          <w:sz w:val="24"/>
          <w:highlight w:val="none"/>
        </w:rPr>
        <w:t>采购灯具404</w:t>
      </w:r>
      <w:r>
        <w:rPr>
          <w:rFonts w:hint="eastAsia" w:ascii="新宋体" w:hAnsi="新宋体" w:eastAsia="新宋体" w:cs="新宋体"/>
          <w:bCs/>
          <w:color w:val="auto"/>
          <w:sz w:val="24"/>
          <w:highlight w:val="none"/>
          <w:lang w:val="en-US" w:eastAsia="zh-CN"/>
        </w:rPr>
        <w:t>套</w:t>
      </w:r>
      <w:r>
        <w:rPr>
          <w:rFonts w:hint="eastAsia" w:ascii="新宋体" w:hAnsi="新宋体" w:eastAsia="新宋体" w:cs="新宋体"/>
          <w:bCs/>
          <w:color w:val="auto"/>
          <w:sz w:val="24"/>
          <w:highlight w:val="none"/>
        </w:rPr>
        <w:t>。</w:t>
      </w:r>
    </w:p>
    <w:p>
      <w:pPr>
        <w:spacing w:before="48" w:beforeLines="20" w:after="48" w:afterLines="20"/>
        <w:jc w:val="left"/>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二、采购清单：</w:t>
      </w:r>
    </w:p>
    <w:tbl>
      <w:tblPr>
        <w:tblStyle w:val="47"/>
        <w:tblW w:w="5107"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0" w:type="dxa"/>
          <w:bottom w:w="0" w:type="dxa"/>
          <w:right w:w="0" w:type="dxa"/>
        </w:tblCellMar>
      </w:tblPr>
      <w:tblGrid>
        <w:gridCol w:w="720"/>
        <w:gridCol w:w="1494"/>
        <w:gridCol w:w="1117"/>
        <w:gridCol w:w="1103"/>
        <w:gridCol w:w="1110"/>
        <w:gridCol w:w="847"/>
        <w:gridCol w:w="1359"/>
        <w:gridCol w:w="1309"/>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trHeight w:val="20" w:hRule="atLeast"/>
        </w:trPr>
        <w:tc>
          <w:tcPr>
            <w:tcW w:w="720"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105" w:leftChars="-50" w:right="-105" w:rightChars="-50"/>
              <w:contextualSpacing/>
              <w:jc w:val="center"/>
              <w:rPr>
                <w:rFonts w:hint="eastAsia" w:ascii="新宋体" w:hAnsi="新宋体" w:eastAsia="新宋体" w:cs="新宋体"/>
                <w:b/>
                <w:bCs/>
                <w:color w:val="auto"/>
                <w:kern w:val="0"/>
                <w:sz w:val="24"/>
                <w:highlight w:val="none"/>
              </w:rPr>
            </w:pPr>
            <w:r>
              <w:rPr>
                <w:rFonts w:hint="eastAsia" w:ascii="新宋体" w:hAnsi="新宋体" w:eastAsia="新宋体" w:cs="新宋体"/>
                <w:b/>
                <w:bCs/>
                <w:color w:val="auto"/>
                <w:kern w:val="0"/>
                <w:sz w:val="24"/>
                <w:highlight w:val="none"/>
              </w:rPr>
              <w:t>序号</w:t>
            </w:r>
          </w:p>
        </w:tc>
        <w:tc>
          <w:tcPr>
            <w:tcW w:w="1494" w:type="dxa"/>
            <w:tcBorders>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105" w:leftChars="-50" w:right="-105" w:rightChars="-50"/>
              <w:contextualSpacing/>
              <w:jc w:val="center"/>
              <w:rPr>
                <w:rFonts w:hint="eastAsia" w:ascii="新宋体" w:hAnsi="新宋体" w:eastAsia="新宋体" w:cs="新宋体"/>
                <w:b/>
                <w:bCs/>
                <w:color w:val="auto"/>
                <w:kern w:val="0"/>
                <w:sz w:val="24"/>
                <w:highlight w:val="none"/>
              </w:rPr>
            </w:pPr>
            <w:r>
              <w:rPr>
                <w:rFonts w:hint="eastAsia" w:ascii="新宋体" w:hAnsi="新宋体" w:eastAsia="新宋体" w:cs="新宋体"/>
                <w:b/>
                <w:bCs/>
                <w:color w:val="auto"/>
                <w:kern w:val="0"/>
                <w:sz w:val="24"/>
                <w:highlight w:val="none"/>
              </w:rPr>
              <w:t>产品名称</w:t>
            </w:r>
          </w:p>
        </w:tc>
        <w:tc>
          <w:tcPr>
            <w:tcW w:w="1117"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105" w:leftChars="-50" w:right="-105" w:rightChars="-50"/>
              <w:contextualSpacing/>
              <w:jc w:val="center"/>
              <w:rPr>
                <w:rFonts w:hint="eastAsia" w:ascii="新宋体" w:hAnsi="新宋体" w:eastAsia="新宋体" w:cs="新宋体"/>
                <w:b/>
                <w:bCs/>
                <w:color w:val="auto"/>
                <w:kern w:val="0"/>
                <w:sz w:val="24"/>
                <w:highlight w:val="none"/>
              </w:rPr>
            </w:pPr>
            <w:r>
              <w:rPr>
                <w:rFonts w:hint="eastAsia" w:ascii="新宋体" w:hAnsi="新宋体" w:eastAsia="新宋体" w:cs="新宋体"/>
                <w:b/>
                <w:bCs/>
                <w:color w:val="auto"/>
                <w:kern w:val="0"/>
                <w:sz w:val="24"/>
                <w:highlight w:val="none"/>
              </w:rPr>
              <w:t>数量</w:t>
            </w:r>
          </w:p>
        </w:tc>
        <w:tc>
          <w:tcPr>
            <w:tcW w:w="1103" w:type="dxa"/>
            <w:tcBorders>
              <w:left w:val="single" w:color="auto" w:sz="4" w:space="0"/>
              <w:bottom w:val="single" w:color="000000" w:sz="4" w:space="0"/>
            </w:tcBorders>
            <w:noWrap w:val="0"/>
            <w:vAlign w:val="center"/>
          </w:tcPr>
          <w:p>
            <w:pPr>
              <w:keepNext w:val="0"/>
              <w:keepLines w:val="0"/>
              <w:widowControl/>
              <w:suppressLineNumbers w:val="0"/>
              <w:spacing w:before="0" w:beforeAutospacing="0" w:after="0" w:afterAutospacing="0"/>
              <w:ind w:left="-105" w:leftChars="-50" w:right="-105" w:rightChars="-50"/>
              <w:contextualSpacing/>
              <w:jc w:val="center"/>
              <w:rPr>
                <w:rFonts w:hint="eastAsia" w:ascii="新宋体" w:hAnsi="新宋体" w:eastAsia="新宋体" w:cs="新宋体"/>
                <w:b/>
                <w:bCs/>
                <w:color w:val="auto"/>
                <w:kern w:val="0"/>
                <w:sz w:val="24"/>
                <w:highlight w:val="none"/>
              </w:rPr>
            </w:pPr>
            <w:r>
              <w:rPr>
                <w:rFonts w:hint="eastAsia" w:ascii="新宋体" w:hAnsi="新宋体" w:eastAsia="新宋体" w:cs="新宋体"/>
                <w:b/>
                <w:bCs/>
                <w:color w:val="auto"/>
                <w:kern w:val="0"/>
                <w:sz w:val="24"/>
                <w:highlight w:val="none"/>
              </w:rPr>
              <w:t>单位</w:t>
            </w:r>
          </w:p>
        </w:tc>
        <w:tc>
          <w:tcPr>
            <w:tcW w:w="1110" w:type="dxa"/>
            <w:tcBorders>
              <w:bottom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105" w:leftChars="-50" w:right="-105" w:rightChars="-50"/>
              <w:contextualSpacing/>
              <w:jc w:val="center"/>
              <w:rPr>
                <w:rFonts w:hint="eastAsia" w:ascii="新宋体" w:hAnsi="新宋体" w:eastAsia="新宋体" w:cs="新宋体"/>
                <w:b/>
                <w:bCs/>
                <w:color w:val="auto"/>
                <w:kern w:val="0"/>
                <w:sz w:val="24"/>
                <w:highlight w:val="none"/>
              </w:rPr>
            </w:pPr>
            <w:r>
              <w:rPr>
                <w:rFonts w:hint="eastAsia" w:ascii="新宋体" w:hAnsi="新宋体" w:eastAsia="新宋体" w:cs="新宋体"/>
                <w:b/>
                <w:bCs/>
                <w:color w:val="auto"/>
                <w:kern w:val="0"/>
                <w:sz w:val="24"/>
                <w:highlight w:val="none"/>
              </w:rPr>
              <w:t>预算金额</w:t>
            </w:r>
          </w:p>
          <w:p>
            <w:pPr>
              <w:keepNext w:val="0"/>
              <w:keepLines w:val="0"/>
              <w:widowControl/>
              <w:suppressLineNumbers w:val="0"/>
              <w:spacing w:before="0" w:beforeAutospacing="0" w:after="0" w:afterAutospacing="0"/>
              <w:ind w:left="-105" w:leftChars="-50" w:right="-105" w:rightChars="-50"/>
              <w:contextualSpacing/>
              <w:jc w:val="center"/>
              <w:rPr>
                <w:rFonts w:hint="eastAsia" w:ascii="新宋体" w:hAnsi="新宋体" w:eastAsia="新宋体" w:cs="新宋体"/>
                <w:b/>
                <w:bCs/>
                <w:color w:val="auto"/>
                <w:kern w:val="0"/>
                <w:sz w:val="24"/>
                <w:highlight w:val="none"/>
              </w:rPr>
            </w:pPr>
            <w:r>
              <w:rPr>
                <w:rFonts w:hint="eastAsia" w:ascii="新宋体" w:hAnsi="新宋体" w:eastAsia="新宋体" w:cs="新宋体"/>
                <w:b/>
                <w:bCs/>
                <w:color w:val="auto"/>
                <w:kern w:val="0"/>
                <w:sz w:val="24"/>
                <w:highlight w:val="none"/>
              </w:rPr>
              <w:t>（万元）</w:t>
            </w:r>
          </w:p>
        </w:tc>
        <w:tc>
          <w:tcPr>
            <w:tcW w:w="847" w:type="dxa"/>
            <w:tcBorders>
              <w:bottom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contextualSpacing/>
              <w:jc w:val="center"/>
              <w:rPr>
                <w:rFonts w:hint="eastAsia" w:ascii="新宋体" w:hAnsi="新宋体" w:eastAsia="新宋体" w:cs="新宋体"/>
                <w:b/>
                <w:bCs/>
                <w:color w:val="auto"/>
                <w:kern w:val="0"/>
                <w:sz w:val="24"/>
                <w:highlight w:val="none"/>
              </w:rPr>
            </w:pPr>
            <w:r>
              <w:rPr>
                <w:rFonts w:hint="eastAsia" w:ascii="新宋体" w:hAnsi="新宋体" w:eastAsia="新宋体" w:cs="新宋体"/>
                <w:b/>
                <w:bCs/>
                <w:color w:val="auto"/>
                <w:kern w:val="0"/>
                <w:sz w:val="24"/>
                <w:highlight w:val="none"/>
              </w:rPr>
              <w:t>是否允许进口</w:t>
            </w:r>
          </w:p>
        </w:tc>
        <w:tc>
          <w:tcPr>
            <w:tcW w:w="1359" w:type="dxa"/>
            <w:tcBorders>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before="0" w:beforeAutospacing="0" w:after="0" w:afterAutospacing="0" w:line="360" w:lineRule="auto"/>
              <w:ind w:left="0" w:right="0"/>
              <w:contextualSpacing/>
              <w:jc w:val="center"/>
              <w:rPr>
                <w:rFonts w:hint="eastAsia" w:ascii="新宋体" w:hAnsi="新宋体" w:eastAsia="新宋体" w:cs="新宋体"/>
                <w:b/>
                <w:bCs/>
                <w:color w:val="auto"/>
                <w:kern w:val="0"/>
                <w:sz w:val="24"/>
                <w:highlight w:val="none"/>
              </w:rPr>
            </w:pPr>
            <w:r>
              <w:rPr>
                <w:rFonts w:hint="eastAsia" w:ascii="新宋体" w:hAnsi="新宋体" w:eastAsia="新宋体" w:cs="新宋体"/>
                <w:b/>
                <w:bCs/>
                <w:color w:val="auto"/>
                <w:kern w:val="0"/>
                <w:sz w:val="24"/>
                <w:highlight w:val="none"/>
              </w:rPr>
              <w:t>本项目标的所属行业</w:t>
            </w:r>
          </w:p>
        </w:tc>
        <w:tc>
          <w:tcPr>
            <w:tcW w:w="1309" w:type="dxa"/>
            <w:tcBorders>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105" w:leftChars="-50" w:right="-105" w:rightChars="-50"/>
              <w:contextualSpacing/>
              <w:jc w:val="center"/>
              <w:rPr>
                <w:rFonts w:hint="eastAsia" w:ascii="新宋体" w:hAnsi="新宋体" w:eastAsia="新宋体" w:cs="新宋体"/>
                <w:b/>
                <w:bCs/>
                <w:color w:val="auto"/>
                <w:kern w:val="0"/>
                <w:sz w:val="24"/>
                <w:highlight w:val="none"/>
              </w:rPr>
            </w:pPr>
            <w:r>
              <w:rPr>
                <w:rFonts w:hint="eastAsia" w:ascii="新宋体" w:hAnsi="新宋体" w:eastAsia="新宋体" w:cs="新宋体"/>
                <w:b/>
                <w:bCs/>
                <w:color w:val="auto"/>
                <w:kern w:val="0"/>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720"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w:t>
            </w:r>
          </w:p>
        </w:tc>
        <w:tc>
          <w:tcPr>
            <w:tcW w:w="1494" w:type="dxa"/>
            <w:tcBorders>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LED教室灯</w:t>
            </w:r>
          </w:p>
        </w:tc>
        <w:tc>
          <w:tcPr>
            <w:tcW w:w="111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新宋体" w:hAnsi="新宋体" w:eastAsia="新宋体" w:cs="新宋体"/>
                <w:color w:val="auto"/>
                <w:kern w:val="0"/>
                <w:sz w:val="24"/>
                <w:highlight w:val="none"/>
                <w:lang w:val="en-US" w:eastAsia="zh-CN"/>
              </w:rPr>
            </w:pPr>
            <w:r>
              <w:rPr>
                <w:rFonts w:hint="eastAsia" w:ascii="新宋体" w:hAnsi="新宋体" w:eastAsia="新宋体" w:cs="新宋体"/>
                <w:color w:val="auto"/>
                <w:kern w:val="0"/>
                <w:sz w:val="24"/>
                <w:highlight w:val="none"/>
                <w:lang w:val="en-US" w:eastAsia="zh-CN"/>
              </w:rPr>
              <w:t>344</w:t>
            </w:r>
          </w:p>
        </w:tc>
        <w:tc>
          <w:tcPr>
            <w:tcW w:w="1103" w:type="dxa"/>
            <w:tcBorders>
              <w:lef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kern w:val="0"/>
                <w:sz w:val="24"/>
                <w:highlight w:val="none"/>
                <w:lang w:eastAsia="zh-CN"/>
              </w:rPr>
            </w:pPr>
            <w:r>
              <w:rPr>
                <w:rFonts w:hint="eastAsia" w:ascii="新宋体" w:hAnsi="新宋体" w:eastAsia="新宋体" w:cs="新宋体"/>
                <w:color w:val="auto"/>
                <w:kern w:val="0"/>
                <w:sz w:val="24"/>
                <w:highlight w:val="none"/>
                <w:lang w:val="en-US" w:eastAsia="zh-CN"/>
              </w:rPr>
              <w:t>套</w:t>
            </w:r>
          </w:p>
        </w:tc>
        <w:tc>
          <w:tcPr>
            <w:tcW w:w="1110"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textAlignment w:val="center"/>
              <w:rPr>
                <w:rFonts w:hint="eastAsia" w:ascii="新宋体" w:hAnsi="新宋体" w:eastAsia="新宋体" w:cs="新宋体"/>
                <w:color w:val="auto"/>
                <w:sz w:val="24"/>
                <w:highlight w:val="none"/>
              </w:rPr>
            </w:pPr>
            <w:r>
              <w:rPr>
                <w:rFonts w:hint="eastAsia" w:ascii="新宋体" w:hAnsi="新宋体" w:eastAsia="新宋体" w:cs="新宋体"/>
                <w:color w:val="auto"/>
                <w:kern w:val="0"/>
                <w:sz w:val="24"/>
                <w:highlight w:val="none"/>
              </w:rPr>
              <w:t>47</w:t>
            </w:r>
          </w:p>
        </w:tc>
        <w:tc>
          <w:tcPr>
            <w:tcW w:w="847"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textAlignment w:val="center"/>
              <w:rPr>
                <w:rFonts w:hint="eastAsia" w:ascii="新宋体" w:hAnsi="新宋体" w:eastAsia="新宋体" w:cs="新宋体"/>
                <w:color w:val="auto"/>
                <w:sz w:val="24"/>
                <w:highlight w:val="none"/>
              </w:rPr>
            </w:pPr>
            <w:r>
              <w:rPr>
                <w:rFonts w:hint="eastAsia" w:ascii="新宋体" w:hAnsi="新宋体" w:eastAsia="新宋体" w:cs="新宋体"/>
                <w:color w:val="auto"/>
                <w:kern w:val="0"/>
                <w:sz w:val="24"/>
                <w:highlight w:val="none"/>
              </w:rPr>
              <w:t>否</w:t>
            </w:r>
          </w:p>
        </w:tc>
        <w:tc>
          <w:tcPr>
            <w:tcW w:w="1359" w:type="dxa"/>
            <w:vMerge w:val="restart"/>
            <w:tcBorders>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line="360" w:lineRule="auto"/>
              <w:ind w:left="-105" w:leftChars="-50" w:right="-105" w:rightChars="-50"/>
              <w:contextualSpacing/>
              <w:jc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工业</w:t>
            </w:r>
          </w:p>
        </w:tc>
        <w:tc>
          <w:tcPr>
            <w:tcW w:w="1309" w:type="dxa"/>
            <w:tcBorders>
              <w:lef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核心产品</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trHeight w:val="530" w:hRule="atLeast"/>
        </w:trPr>
        <w:tc>
          <w:tcPr>
            <w:tcW w:w="720" w:type="dxa"/>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w:t>
            </w:r>
          </w:p>
        </w:tc>
        <w:tc>
          <w:tcPr>
            <w:tcW w:w="1494" w:type="dxa"/>
            <w:tcBorders>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LED黑板灯</w:t>
            </w:r>
          </w:p>
        </w:tc>
        <w:tc>
          <w:tcPr>
            <w:tcW w:w="1117"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新宋体" w:hAnsi="新宋体" w:eastAsia="新宋体" w:cs="新宋体"/>
                <w:color w:val="auto"/>
                <w:kern w:val="0"/>
                <w:sz w:val="24"/>
                <w:highlight w:val="none"/>
                <w:lang w:val="en-US" w:eastAsia="zh-CN"/>
              </w:rPr>
            </w:pPr>
            <w:r>
              <w:rPr>
                <w:rFonts w:hint="eastAsia" w:ascii="新宋体" w:hAnsi="新宋体" w:eastAsia="新宋体" w:cs="新宋体"/>
                <w:color w:val="auto"/>
                <w:kern w:val="0"/>
                <w:sz w:val="24"/>
                <w:highlight w:val="none"/>
                <w:lang w:val="en-US" w:eastAsia="zh-CN"/>
              </w:rPr>
              <w:t>60</w:t>
            </w:r>
          </w:p>
        </w:tc>
        <w:tc>
          <w:tcPr>
            <w:tcW w:w="1103" w:type="dxa"/>
            <w:tcBorders>
              <w:lef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kern w:val="0"/>
                <w:sz w:val="24"/>
                <w:highlight w:val="none"/>
                <w:lang w:eastAsia="zh-CN"/>
              </w:rPr>
            </w:pPr>
            <w:r>
              <w:rPr>
                <w:rFonts w:hint="eastAsia" w:ascii="新宋体" w:hAnsi="新宋体" w:eastAsia="新宋体" w:cs="新宋体"/>
                <w:color w:val="auto"/>
                <w:kern w:val="0"/>
                <w:sz w:val="24"/>
                <w:highlight w:val="none"/>
                <w:lang w:val="en-US" w:eastAsia="zh-CN"/>
              </w:rPr>
              <w:t>套</w:t>
            </w:r>
          </w:p>
        </w:tc>
        <w:tc>
          <w:tcPr>
            <w:tcW w:w="1110"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textAlignment w:val="center"/>
              <w:rPr>
                <w:rFonts w:hint="eastAsia" w:ascii="新宋体" w:hAnsi="新宋体" w:eastAsia="新宋体" w:cs="新宋体"/>
                <w:color w:val="auto"/>
                <w:sz w:val="24"/>
                <w:highlight w:val="none"/>
              </w:rPr>
            </w:pPr>
          </w:p>
        </w:tc>
        <w:tc>
          <w:tcPr>
            <w:tcW w:w="847"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textAlignment w:val="center"/>
              <w:rPr>
                <w:rFonts w:hint="eastAsia" w:ascii="新宋体" w:hAnsi="新宋体" w:eastAsia="新宋体" w:cs="新宋体"/>
                <w:color w:val="auto"/>
                <w:sz w:val="24"/>
                <w:highlight w:val="none"/>
              </w:rPr>
            </w:pPr>
          </w:p>
        </w:tc>
        <w:tc>
          <w:tcPr>
            <w:tcW w:w="1359" w:type="dxa"/>
            <w:vMerge w:val="continue"/>
            <w:tcBorders>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line="360" w:lineRule="auto"/>
              <w:ind w:left="-105" w:leftChars="-50" w:right="-105" w:rightChars="-50"/>
              <w:contextualSpacing/>
              <w:jc w:val="center"/>
              <w:rPr>
                <w:rFonts w:hint="eastAsia" w:ascii="新宋体" w:hAnsi="新宋体" w:eastAsia="新宋体" w:cs="新宋体"/>
                <w:color w:val="auto"/>
                <w:kern w:val="0"/>
                <w:sz w:val="24"/>
                <w:highlight w:val="none"/>
              </w:rPr>
            </w:pPr>
          </w:p>
        </w:tc>
        <w:tc>
          <w:tcPr>
            <w:tcW w:w="1309" w:type="dxa"/>
            <w:tcBorders>
              <w:lef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LED教室灯</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4434" w:type="dxa"/>
            <w:gridSpan w:val="4"/>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新宋体" w:hAnsi="新宋体" w:eastAsia="新宋体" w:cs="新宋体"/>
                <w:color w:val="auto"/>
                <w:sz w:val="24"/>
                <w:highlight w:val="none"/>
              </w:rPr>
            </w:pPr>
            <w:r>
              <w:rPr>
                <w:rFonts w:hint="eastAsia" w:ascii="新宋体" w:hAnsi="新宋体" w:eastAsia="新宋体" w:cs="新宋体"/>
                <w:color w:val="auto"/>
                <w:kern w:val="0"/>
                <w:sz w:val="24"/>
                <w:highlight w:val="none"/>
              </w:rPr>
              <w:t>合计</w:t>
            </w:r>
          </w:p>
        </w:tc>
        <w:tc>
          <w:tcPr>
            <w:tcW w:w="4625" w:type="dxa"/>
            <w:gridSpan w:val="4"/>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新宋体" w:hAnsi="新宋体" w:eastAsia="新宋体" w:cs="新宋体"/>
                <w:color w:val="auto"/>
                <w:sz w:val="24"/>
                <w:highlight w:val="none"/>
              </w:rPr>
            </w:pPr>
            <w:r>
              <w:rPr>
                <w:rFonts w:hint="eastAsia" w:ascii="新宋体" w:hAnsi="新宋体" w:eastAsia="新宋体" w:cs="新宋体"/>
                <w:color w:val="auto"/>
                <w:kern w:val="0"/>
                <w:sz w:val="24"/>
                <w:highlight w:val="none"/>
              </w:rPr>
              <w:t>47万元</w:t>
            </w:r>
          </w:p>
        </w:tc>
      </w:tr>
    </w:tbl>
    <w:p>
      <w:pPr>
        <w:spacing w:before="48" w:beforeLines="20" w:after="48" w:afterLines="20"/>
        <w:jc w:val="left"/>
        <w:rPr>
          <w:rFonts w:hint="eastAsia" w:ascii="新宋体" w:hAnsi="新宋体" w:eastAsia="新宋体" w:cs="新宋体"/>
          <w:b/>
          <w:color w:val="auto"/>
          <w:sz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before="48" w:beforeLines="20" w:after="48" w:afterLines="20" w:line="576" w:lineRule="exact"/>
        <w:ind w:firstLine="422" w:firstLineChars="200"/>
        <w:textAlignment w:val="auto"/>
        <w:outlineLvl w:val="9"/>
        <w:rPr>
          <w:rFonts w:hint="eastAsia" w:ascii="新宋体" w:hAnsi="新宋体" w:eastAsia="新宋体" w:cs="新宋体"/>
          <w:b/>
          <w:bCs w:val="0"/>
          <w:color w:val="auto"/>
          <w:kern w:val="2"/>
          <w:sz w:val="21"/>
          <w:szCs w:val="21"/>
          <w:highlight w:val="none"/>
          <w:lang w:val="en-US" w:eastAsia="zh-CN" w:bidi="ar-SA"/>
        </w:rPr>
      </w:pPr>
      <w:r>
        <w:rPr>
          <w:rFonts w:hint="eastAsia" w:ascii="新宋体" w:hAnsi="新宋体" w:eastAsia="新宋体" w:cs="新宋体"/>
          <w:b/>
          <w:bCs w:val="0"/>
          <w:color w:val="auto"/>
          <w:kern w:val="2"/>
          <w:sz w:val="21"/>
          <w:szCs w:val="21"/>
          <w:highlight w:val="none"/>
          <w:lang w:val="en-US" w:eastAsia="zh-CN" w:bidi="ar-SA"/>
        </w:rPr>
        <w:t>说明：因学校办学需要，本次需改造教室、功能室数量和更换灯具总数量可能会产生调整变化，因此本项目采购合同货款按照实际安装灯具的数量进行结算，但不得超过政府采购预算。</w:t>
      </w:r>
    </w:p>
    <w:p>
      <w:pPr>
        <w:pStyle w:val="2"/>
        <w:rPr>
          <w:rFonts w:hint="eastAsia"/>
        </w:rPr>
      </w:pPr>
    </w:p>
    <w:p>
      <w:pPr>
        <w:spacing w:before="48" w:beforeLines="20" w:after="48" w:afterLines="20"/>
        <w:jc w:val="left"/>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三、技术参数要求：</w:t>
      </w:r>
    </w:p>
    <w:tbl>
      <w:tblPr>
        <w:tblStyle w:val="47"/>
        <w:tblW w:w="4928" w:type="pct"/>
        <w:jc w:val="center"/>
        <w:tblLayout w:type="fixed"/>
        <w:tblCellMar>
          <w:top w:w="0" w:type="dxa"/>
          <w:left w:w="0" w:type="dxa"/>
          <w:bottom w:w="0" w:type="dxa"/>
          <w:right w:w="0" w:type="dxa"/>
        </w:tblCellMar>
      </w:tblPr>
      <w:tblGrid>
        <w:gridCol w:w="448"/>
        <w:gridCol w:w="754"/>
        <w:gridCol w:w="7539"/>
      </w:tblGrid>
      <w:tr>
        <w:trPr>
          <w:trHeight w:val="585"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新宋体" w:hAnsi="新宋体" w:eastAsia="新宋体" w:cs="新宋体"/>
                <w:b/>
                <w:color w:val="auto"/>
                <w:sz w:val="24"/>
                <w:highlight w:val="none"/>
              </w:rPr>
            </w:pPr>
            <w:r>
              <w:rPr>
                <w:rFonts w:hint="eastAsia" w:ascii="新宋体" w:hAnsi="新宋体" w:eastAsia="新宋体" w:cs="新宋体"/>
                <w:b/>
                <w:color w:val="auto"/>
                <w:kern w:val="0"/>
                <w:sz w:val="24"/>
                <w:highlight w:val="none"/>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新宋体" w:hAnsi="新宋体" w:eastAsia="新宋体" w:cs="新宋体"/>
                <w:b/>
                <w:color w:val="auto"/>
                <w:sz w:val="24"/>
                <w:highlight w:val="none"/>
              </w:rPr>
            </w:pPr>
            <w:r>
              <w:rPr>
                <w:rFonts w:hint="eastAsia" w:ascii="新宋体" w:hAnsi="新宋体" w:eastAsia="新宋体" w:cs="新宋体"/>
                <w:b/>
                <w:color w:val="auto"/>
                <w:kern w:val="0"/>
                <w:sz w:val="24"/>
                <w:highlight w:val="none"/>
              </w:rPr>
              <w:t>名称</w:t>
            </w:r>
          </w:p>
        </w:tc>
        <w:tc>
          <w:tcPr>
            <w:tcW w:w="7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新宋体" w:hAnsi="新宋体" w:eastAsia="新宋体" w:cs="新宋体"/>
                <w:b/>
                <w:color w:val="auto"/>
                <w:kern w:val="0"/>
                <w:sz w:val="24"/>
                <w:highlight w:val="none"/>
              </w:rPr>
            </w:pPr>
            <w:r>
              <w:rPr>
                <w:rFonts w:hint="eastAsia" w:ascii="新宋体" w:hAnsi="新宋体" w:eastAsia="新宋体" w:cs="新宋体"/>
                <w:b/>
                <w:color w:val="auto"/>
                <w:kern w:val="0"/>
                <w:sz w:val="24"/>
                <w:highlight w:val="none"/>
              </w:rPr>
              <w:t>技术参数</w:t>
            </w:r>
          </w:p>
        </w:tc>
      </w:tr>
      <w:tr>
        <w:tblPrEx>
          <w:tblCellMar>
            <w:top w:w="0" w:type="dxa"/>
            <w:left w:w="0" w:type="dxa"/>
            <w:bottom w:w="0" w:type="dxa"/>
            <w:right w:w="0" w:type="dxa"/>
          </w:tblCellMar>
        </w:tblPrEx>
        <w:trPr>
          <w:trHeight w:val="90"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新宋体" w:hAnsi="新宋体" w:eastAsia="新宋体" w:cs="新宋体"/>
                <w:color w:val="auto"/>
                <w:sz w:val="24"/>
                <w:highlight w:val="none"/>
              </w:rPr>
            </w:pPr>
            <w:r>
              <w:rPr>
                <w:rFonts w:hint="eastAsia" w:ascii="新宋体" w:hAnsi="新宋体" w:eastAsia="新宋体" w:cs="新宋体"/>
                <w:color w:val="auto"/>
                <w:kern w:val="0"/>
                <w:sz w:val="24"/>
                <w:highlight w:val="none"/>
              </w:rPr>
              <w:t>1</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新宋体" w:hAnsi="新宋体" w:eastAsia="新宋体" w:cs="新宋体"/>
                <w:color w:val="auto"/>
                <w:sz w:val="24"/>
                <w:highlight w:val="none"/>
              </w:rPr>
            </w:pPr>
            <w:r>
              <w:rPr>
                <w:rFonts w:hint="eastAsia" w:ascii="新宋体" w:hAnsi="新宋体" w:eastAsia="新宋体" w:cs="新宋体"/>
                <w:color w:val="auto"/>
                <w:kern w:val="0"/>
                <w:sz w:val="24"/>
                <w:highlight w:val="none"/>
              </w:rPr>
              <w:t>LED教室灯</w:t>
            </w:r>
          </w:p>
        </w:tc>
        <w:tc>
          <w:tcPr>
            <w:tcW w:w="7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suppressLineNumbers w:val="0"/>
              <w:spacing w:before="0" w:beforeAutospacing="0" w:after="0" w:afterAutospacing="0"/>
              <w:ind w:left="0" w:right="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★1、LED教室灯须通过国家强制性CCC认证；认证证书委托人、生产者（制造商）、生产企业必须为同一公司名称。提供CCC认证证书复印件。</w:t>
            </w:r>
          </w:p>
          <w:p>
            <w:pPr>
              <w:keepNext w:val="0"/>
              <w:keepLines w:val="0"/>
              <w:suppressLineNumbers w:val="0"/>
              <w:spacing w:before="0" w:beforeAutospacing="0" w:after="0" w:afterAutospacing="0"/>
              <w:ind w:left="0" w:right="0"/>
              <w:jc w:val="left"/>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2、LED教室灯功率36±5W，功率因数≥0.90。</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3、LED教室灯光通量≥3200LM，光效≥90LM/W。</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4、LED教室灯色温在3300-5300K区间。</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5、LED教室灯显色指数≥90，特殊显色指数R9≥50。</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★6、为使课桌面达到最佳照度均匀度与防眩效果，LED教室灯半峰边角（50%）在C0-180面满足70°±3°；在C90-270面满足68°±3°。提供国家法定检测机构出具的检测报告复印件。</w:t>
            </w:r>
          </w:p>
          <w:p>
            <w:pPr>
              <w:pStyle w:val="19"/>
              <w:keepNext w:val="0"/>
              <w:keepLines w:val="0"/>
              <w:suppressLineNumbers w:val="0"/>
              <w:spacing w:before="0" w:beforeAutospacing="0" w:afterAutospacing="0"/>
              <w:ind w:left="0" w:right="0"/>
              <w:rPr>
                <w:rFonts w:hint="eastAsia" w:ascii="新宋体" w:hAnsi="新宋体" w:eastAsia="新宋体" w:cs="新宋体"/>
                <w:color w:val="auto"/>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7、LED教室灯光生物安全检测为“无危险类”。提供国家法定检测机构出具的检测报告复印件。</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★8、LED教室灯“闪烁”项目检测结论为“无显著影响”。提供国家法定检测机构出具的检测报告复印件。</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9、LED教室灯蓝光危害等级为RG0。提供国家法定检测机构出具的检测报告复印件。</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10、为了保证防火安全，LED教室灯灯盘、格栅、电源壳、装饰盖及扩散板符合V-0等级。提供国家法定检测机构出具的检测报告复印件。</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11、LED教室灯使用寿命≥50000小时。提供国家法定检测机构出具的检测报告复印件。</w:t>
            </w:r>
          </w:p>
          <w:p>
            <w:pPr>
              <w:pStyle w:val="19"/>
              <w:keepNext w:val="0"/>
              <w:keepLines w:val="0"/>
              <w:suppressLineNumbers w:val="0"/>
              <w:spacing w:before="0" w:beforeAutospacing="0" w:afterAutospacing="0"/>
              <w:ind w:left="0" w:right="0"/>
              <w:rPr>
                <w:rFonts w:hint="eastAsia" w:ascii="新宋体" w:hAnsi="新宋体" w:eastAsia="新宋体" w:cs="新宋体"/>
                <w:color w:val="auto"/>
                <w:highlight w:val="none"/>
              </w:rPr>
            </w:pPr>
          </w:p>
          <w:p>
            <w:pPr>
              <w:keepNext w:val="0"/>
              <w:keepLines w:val="0"/>
              <w:suppressLineNumbers w:val="0"/>
              <w:spacing w:before="0" w:beforeAutospacing="0" w:after="0" w:afterAutospacing="0"/>
              <w:ind w:left="0" w:right="0"/>
              <w:rPr>
                <w:rStyle w:val="120"/>
                <w:rFonts w:hint="eastAsia" w:ascii="新宋体" w:hAnsi="新宋体" w:eastAsia="新宋体" w:cs="新宋体"/>
                <w:color w:val="auto"/>
                <w:sz w:val="24"/>
                <w:highlight w:val="none"/>
              </w:rPr>
            </w:pPr>
            <w:r>
              <w:rPr>
                <w:rStyle w:val="120"/>
                <w:rFonts w:hint="eastAsia" w:ascii="新宋体" w:hAnsi="新宋体" w:eastAsia="新宋体" w:cs="新宋体"/>
                <w:color w:val="auto"/>
                <w:sz w:val="24"/>
                <w:highlight w:val="none"/>
              </w:rPr>
              <w:t>12、LED教室灯驱动电源盒采用外置方案，并采用插拔式设计，便于产品免工具维护及升级安全操作。电源两侧按钮设计，便于操作。LED教室灯外置驱动电源盒大盒、小盒。大盒与小盒通过小盒触片与大盒弹片接触方式实现电流传导。为避免大盒弹片与小盒触片接触面过小，要求输入输出4个小盒触片单个触片接触面不得小于9mm×5mm。投标人须提供技术规格书复印件及实物照片复印件（照片清晰可见相关尺寸）证明。</w:t>
            </w:r>
          </w:p>
          <w:p>
            <w:pPr>
              <w:pStyle w:val="19"/>
              <w:keepNext w:val="0"/>
              <w:keepLines w:val="0"/>
              <w:suppressLineNumbers w:val="0"/>
              <w:spacing w:before="0" w:beforeAutospacing="0" w:afterAutospacing="0"/>
              <w:ind w:left="0" w:right="0"/>
              <w:rPr>
                <w:rFonts w:hint="eastAsia" w:ascii="新宋体" w:hAnsi="新宋体" w:eastAsia="新宋体" w:cs="新宋体"/>
                <w:color w:val="auto"/>
                <w:highlight w:val="none"/>
              </w:rPr>
            </w:pPr>
          </w:p>
          <w:p>
            <w:pPr>
              <w:keepNext w:val="0"/>
              <w:keepLines w:val="0"/>
              <w:suppressLineNumbers w:val="0"/>
              <w:spacing w:before="0" w:beforeAutospacing="0" w:after="0" w:afterAutospacing="0"/>
              <w:ind w:left="0" w:right="0"/>
              <w:rPr>
                <w:rStyle w:val="120"/>
                <w:rFonts w:hint="eastAsia" w:ascii="新宋体" w:hAnsi="新宋体" w:eastAsia="新宋体" w:cs="新宋体"/>
                <w:color w:val="auto"/>
                <w:sz w:val="24"/>
                <w:highlight w:val="none"/>
              </w:rPr>
            </w:pPr>
            <w:r>
              <w:rPr>
                <w:rStyle w:val="120"/>
                <w:rFonts w:hint="eastAsia" w:ascii="新宋体" w:hAnsi="新宋体" w:eastAsia="新宋体" w:cs="新宋体"/>
                <w:color w:val="auto"/>
                <w:sz w:val="24"/>
                <w:highlight w:val="none"/>
              </w:rPr>
              <w:t xml:space="preserve">13、为了提升健康教学环境，LED教室灯须可拓展套接式紫外杀菌灯。紫外杀菌灯须水平横向套接在教室灯一端，出光口须直接朝下设计。投标人须提供技术规格书复印件及实物照片复印件。    </w:t>
            </w:r>
          </w:p>
        </w:tc>
      </w:tr>
      <w:tr>
        <w:tblPrEx>
          <w:tblCellMar>
            <w:top w:w="0" w:type="dxa"/>
            <w:left w:w="0" w:type="dxa"/>
            <w:bottom w:w="0" w:type="dxa"/>
            <w:right w:w="0" w:type="dxa"/>
          </w:tblCellMar>
        </w:tblPrEx>
        <w:trPr>
          <w:trHeight w:val="1991"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LED黑板灯</w:t>
            </w:r>
          </w:p>
        </w:tc>
        <w:tc>
          <w:tcPr>
            <w:tcW w:w="7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★1、LED黑板灯须通过国家强制性CCC认证；认证证书委托人、生产者（制造商）、生产企业必须为同一公司名称。提供CCC认证证书复印件。</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2、LED黑板灯功率36±5W，功率因数≥0.90。</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3、LED黑板灯光通量≥2800LM，光效≥80LM/W。</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4、LED黑板灯色温在3300-5300K区间。</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5、LED黑板灯显色指数≥90，特殊显色指数R9≥50。</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★6、为使黑板面达到最佳照度均匀度与防眩效果，LED黑板灯半峰边角（50%）在C0-180面限于58°±3°；在C90-270面限于107°±3°。提供国家法定检测机构出具的检测报告复印件。</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7、LED黑板灯光生物安全检测为“无危险类”。提供国家法定检测机构出具的检测报告复印件。</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★8、LED黑板灯“闪烁”项目检测结论为“无显著影响”。提供国家法定检测机构出具的检测报告复印件。</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9、LED黑板灯蓝光危害等级为RG0，提供国家法定检测机构出具的检测报告复印件。</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10、LED黑板灯使用寿命≥50000小时。提供国家法定检测机构出具的检测报告复印件。</w:t>
            </w: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rPr>
                <w:rFonts w:hint="eastAsia" w:ascii="新宋体" w:hAnsi="新宋体" w:eastAsia="新宋体" w:cs="新宋体"/>
                <w:color w:val="auto"/>
                <w:sz w:val="24"/>
                <w:highlight w:val="none"/>
              </w:rPr>
            </w:pPr>
          </w:p>
          <w:p>
            <w:pPr>
              <w:keepNext w:val="0"/>
              <w:keepLines w:val="0"/>
              <w:suppressLineNumbers w:val="0"/>
              <w:spacing w:before="0" w:beforeAutospacing="0" w:after="0" w:afterAutospacing="0"/>
              <w:ind w:left="0" w:right="0"/>
              <w:jc w:val="left"/>
              <w:rPr>
                <w:rStyle w:val="120"/>
                <w:rFonts w:hint="eastAsia" w:ascii="新宋体" w:hAnsi="新宋体" w:eastAsia="新宋体" w:cs="新宋体"/>
                <w:color w:val="auto"/>
                <w:sz w:val="24"/>
                <w:highlight w:val="none"/>
              </w:rPr>
            </w:pPr>
            <w:r>
              <w:rPr>
                <w:rStyle w:val="120"/>
                <w:rFonts w:hint="eastAsia" w:ascii="新宋体" w:hAnsi="新宋体" w:eastAsia="新宋体" w:cs="新宋体"/>
                <w:color w:val="auto"/>
                <w:sz w:val="24"/>
                <w:highlight w:val="none"/>
              </w:rPr>
              <w:t xml:space="preserve">11、LED黑板灯应为一体式灯具，不接受组合式灯具；LED黑板灯应采用格栅防眩光处理，防眩格栅内径尺寸不大于16x16mm；格栅网面内侧应有防尘板（膜）。投标人须提供技术规格书复印件及实物照片复印件（照片清晰可见相关尺寸）。 </w:t>
            </w:r>
          </w:p>
          <w:p>
            <w:pPr>
              <w:keepNext w:val="0"/>
              <w:keepLines w:val="0"/>
              <w:suppressLineNumbers w:val="0"/>
              <w:spacing w:before="0" w:beforeAutospacing="0" w:after="0" w:afterAutospacing="0"/>
              <w:ind w:left="0" w:right="0"/>
              <w:jc w:val="left"/>
              <w:rPr>
                <w:rStyle w:val="120"/>
                <w:rFonts w:hint="eastAsia" w:ascii="新宋体" w:hAnsi="新宋体" w:eastAsia="新宋体" w:cs="新宋体"/>
                <w:color w:val="auto"/>
                <w:sz w:val="24"/>
                <w:highlight w:val="none"/>
              </w:rPr>
            </w:pPr>
            <w:r>
              <w:rPr>
                <w:rStyle w:val="120"/>
                <w:rFonts w:hint="eastAsia" w:ascii="新宋体" w:hAnsi="新宋体" w:eastAsia="新宋体" w:cs="新宋体"/>
                <w:color w:val="auto"/>
                <w:sz w:val="24"/>
                <w:highlight w:val="none"/>
              </w:rPr>
              <w:t xml:space="preserve">                                                                                                     </w:t>
            </w:r>
          </w:p>
          <w:p>
            <w:pPr>
              <w:keepNext w:val="0"/>
              <w:keepLines w:val="0"/>
              <w:suppressLineNumbers w:val="0"/>
              <w:spacing w:before="0" w:beforeAutospacing="0" w:after="0" w:afterAutospacing="0"/>
              <w:ind w:left="0" w:right="0"/>
              <w:jc w:val="left"/>
              <w:rPr>
                <w:rStyle w:val="120"/>
                <w:rFonts w:hint="eastAsia" w:ascii="新宋体" w:hAnsi="新宋体" w:eastAsia="新宋体" w:cs="新宋体"/>
                <w:color w:val="auto"/>
                <w:sz w:val="24"/>
                <w:highlight w:val="none"/>
              </w:rPr>
            </w:pPr>
            <w:r>
              <w:rPr>
                <w:rStyle w:val="120"/>
                <w:rFonts w:hint="eastAsia" w:ascii="新宋体" w:hAnsi="新宋体" w:eastAsia="新宋体" w:cs="新宋体"/>
                <w:color w:val="auto"/>
                <w:sz w:val="24"/>
                <w:highlight w:val="none"/>
              </w:rPr>
              <w:t>12、LED教室灯驱动电源盒采用外置方案，并采用插拔式设计，便于产品免工具维护及升级安全操作。电源两侧按钮设计，便于操作。LED教室灯外置驱动电源盒大盒、小盒。大盒与小盒通过小盒触片与大盒弹片接触方式实现电流传导。为避免大盒弹片与小盒触片接触面过小，要求输入输出4个小盒触片单个触片接触面不得小于9mm×5mm。投标人须提供技术规格书复印件及实物照片复印件（照片清晰可见相关尺寸）证明。</w:t>
            </w:r>
          </w:p>
          <w:p>
            <w:pPr>
              <w:keepNext w:val="0"/>
              <w:keepLines w:val="0"/>
              <w:widowControl/>
              <w:suppressLineNumbers w:val="0"/>
              <w:spacing w:before="0" w:beforeAutospacing="0" w:after="0" w:afterAutospacing="0"/>
              <w:ind w:left="0" w:right="0"/>
              <w:jc w:val="left"/>
              <w:textAlignment w:val="center"/>
              <w:rPr>
                <w:rFonts w:hint="eastAsia" w:ascii="新宋体" w:hAnsi="新宋体" w:eastAsia="新宋体" w:cs="新宋体"/>
                <w:color w:val="auto"/>
                <w:sz w:val="24"/>
                <w:highlight w:val="none"/>
              </w:rPr>
            </w:pPr>
          </w:p>
        </w:tc>
      </w:tr>
      <w:tr>
        <w:tblPrEx>
          <w:tblCellMar>
            <w:top w:w="0" w:type="dxa"/>
            <w:left w:w="0" w:type="dxa"/>
            <w:bottom w:w="0" w:type="dxa"/>
            <w:right w:w="0" w:type="dxa"/>
          </w:tblCellMar>
        </w:tblPrEx>
        <w:trPr>
          <w:trHeight w:val="1991" w:hRule="atLeast"/>
          <w:jc w:val="center"/>
        </w:trPr>
        <w:tc>
          <w:tcPr>
            <w:tcW w:w="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新宋体" w:hAnsi="新宋体" w:eastAsia="新宋体" w:cs="新宋体"/>
                <w:color w:val="auto"/>
                <w:sz w:val="24"/>
                <w:highlight w:val="none"/>
              </w:rPr>
            </w:pP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Style w:val="120"/>
                <w:rFonts w:hint="eastAsia" w:ascii="新宋体" w:hAnsi="新宋体" w:eastAsia="新宋体" w:cs="新宋体"/>
                <w:color w:val="auto"/>
                <w:sz w:val="24"/>
                <w:highlight w:val="none"/>
              </w:rPr>
            </w:pPr>
          </w:p>
        </w:tc>
        <w:tc>
          <w:tcPr>
            <w:tcW w:w="7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Style w:val="120"/>
                <w:rFonts w:hint="eastAsia" w:ascii="新宋体" w:hAnsi="新宋体" w:eastAsia="新宋体" w:cs="新宋体"/>
                <w:color w:val="auto"/>
                <w:sz w:val="24"/>
                <w:highlight w:val="none"/>
              </w:rPr>
            </w:pPr>
            <w:r>
              <w:rPr>
                <w:rStyle w:val="120"/>
                <w:rFonts w:hint="eastAsia" w:ascii="新宋体" w:hAnsi="新宋体" w:eastAsia="新宋体" w:cs="新宋体"/>
                <w:color w:val="auto"/>
                <w:sz w:val="24"/>
                <w:highlight w:val="none"/>
              </w:rPr>
              <w:t>注：1、签订采购合同前，成交供应商提供上诉所有检测报告原件核查，不满足将取消其成交资格并按照法律法规追究相关责任。</w:t>
            </w:r>
          </w:p>
          <w:p>
            <w:pPr>
              <w:keepNext w:val="0"/>
              <w:keepLines w:val="0"/>
              <w:widowControl/>
              <w:suppressLineNumbers w:val="0"/>
              <w:spacing w:before="0" w:beforeAutospacing="0" w:after="0" w:afterAutospacing="0"/>
              <w:ind w:left="0" w:right="0"/>
              <w:jc w:val="left"/>
              <w:textAlignment w:val="center"/>
              <w:rPr>
                <w:rStyle w:val="120"/>
                <w:rFonts w:hint="eastAsia" w:ascii="新宋体" w:hAnsi="新宋体" w:eastAsia="新宋体" w:cs="新宋体"/>
                <w:color w:val="auto"/>
                <w:sz w:val="24"/>
                <w:highlight w:val="none"/>
              </w:rPr>
            </w:pPr>
            <w:r>
              <w:rPr>
                <w:rStyle w:val="120"/>
                <w:rFonts w:hint="eastAsia" w:ascii="新宋体" w:hAnsi="新宋体" w:eastAsia="新宋体" w:cs="新宋体"/>
                <w:color w:val="auto"/>
                <w:sz w:val="24"/>
                <w:highlight w:val="none"/>
              </w:rPr>
              <w:t>2、参数作为最基本要求，安装完工后，现场检测报告必须符合国家等相关部门对学校健康照明全部要求。</w:t>
            </w:r>
          </w:p>
          <w:p>
            <w:pPr>
              <w:keepNext w:val="0"/>
              <w:keepLines w:val="0"/>
              <w:widowControl/>
              <w:suppressLineNumbers w:val="0"/>
              <w:spacing w:before="0" w:beforeAutospacing="0" w:after="0" w:afterAutospacing="0"/>
              <w:ind w:left="0" w:right="0"/>
              <w:jc w:val="left"/>
              <w:textAlignment w:val="center"/>
              <w:rPr>
                <w:rStyle w:val="120"/>
                <w:rFonts w:hint="eastAsia" w:ascii="新宋体" w:hAnsi="新宋体" w:eastAsia="新宋体" w:cs="新宋体"/>
                <w:color w:val="auto"/>
                <w:sz w:val="24"/>
                <w:highlight w:val="none"/>
              </w:rPr>
            </w:pPr>
            <w:r>
              <w:rPr>
                <w:rStyle w:val="120"/>
                <w:rFonts w:hint="eastAsia" w:ascii="新宋体" w:hAnsi="新宋体" w:eastAsia="新宋体" w:cs="新宋体"/>
                <w:color w:val="auto"/>
                <w:sz w:val="24"/>
                <w:highlight w:val="none"/>
              </w:rPr>
              <w:t>3、安装调试完工后，由学校抽样，向国家认可的相关检测机构申请进行现场检测，检测内容必须满足符合国家相关标准，费用由商家自行承担。</w:t>
            </w:r>
          </w:p>
          <w:p>
            <w:pPr>
              <w:keepNext w:val="0"/>
              <w:keepLines w:val="0"/>
              <w:widowControl/>
              <w:suppressLineNumbers w:val="0"/>
              <w:spacing w:before="0" w:beforeAutospacing="0" w:after="0" w:afterAutospacing="0"/>
              <w:ind w:left="0" w:right="0"/>
              <w:jc w:val="left"/>
              <w:textAlignment w:val="center"/>
              <w:rPr>
                <w:rStyle w:val="120"/>
                <w:rFonts w:hint="eastAsia" w:ascii="新宋体" w:hAnsi="新宋体" w:eastAsia="新宋体" w:cs="新宋体"/>
                <w:color w:val="auto"/>
                <w:sz w:val="24"/>
                <w:highlight w:val="none"/>
              </w:rPr>
            </w:pPr>
            <w:r>
              <w:rPr>
                <w:rStyle w:val="120"/>
                <w:rFonts w:hint="eastAsia" w:ascii="新宋体" w:hAnsi="新宋体" w:eastAsia="新宋体" w:cs="新宋体"/>
                <w:color w:val="auto"/>
                <w:sz w:val="24"/>
                <w:highlight w:val="none"/>
              </w:rPr>
              <w:t>4、报价含原有灯具、线路拆除并运送到指定地点和新灯具、新线路安装的人工费、材料费、设计费、勘测费、垃圾处理费等由供应商承担。</w:t>
            </w:r>
          </w:p>
          <w:p>
            <w:pPr>
              <w:keepNext w:val="0"/>
              <w:keepLines w:val="0"/>
              <w:widowControl/>
              <w:suppressLineNumbers w:val="0"/>
              <w:spacing w:before="0" w:beforeAutospacing="0" w:after="0" w:afterAutospacing="0"/>
              <w:ind w:left="0" w:right="0"/>
              <w:jc w:val="left"/>
              <w:textAlignment w:val="center"/>
              <w:rPr>
                <w:rStyle w:val="120"/>
                <w:rFonts w:hint="eastAsia" w:ascii="新宋体" w:hAnsi="新宋体" w:eastAsia="新宋体" w:cs="新宋体"/>
                <w:color w:val="auto"/>
                <w:sz w:val="24"/>
                <w:highlight w:val="none"/>
              </w:rPr>
            </w:pPr>
            <w:r>
              <w:rPr>
                <w:rStyle w:val="120"/>
                <w:rFonts w:hint="eastAsia" w:ascii="新宋体" w:hAnsi="新宋体" w:eastAsia="新宋体" w:cs="新宋体"/>
                <w:color w:val="auto"/>
                <w:sz w:val="24"/>
                <w:highlight w:val="none"/>
              </w:rPr>
              <w:t>5、成交供应商应于合同签订之日起2日内，根据采购人需求提供合格样品给采购人核验。所提供样品若不满足技术参数表格中的参数要求，而成交供应商完全响应文件中相应参数，则将上报财政主管部门，并按照法律法规追究相关责任。</w:t>
            </w:r>
          </w:p>
        </w:tc>
      </w:tr>
    </w:tbl>
    <w:p>
      <w:pPr>
        <w:snapToGrid w:val="0"/>
        <w:spacing w:line="360" w:lineRule="auto"/>
        <w:ind w:firstLine="240" w:firstLineChars="100"/>
        <w:rPr>
          <w:rFonts w:hint="eastAsia" w:ascii="新宋体" w:hAnsi="新宋体" w:eastAsia="新宋体" w:cs="新宋体"/>
          <w:bCs/>
          <w:color w:val="auto"/>
          <w:sz w:val="24"/>
          <w:highlight w:val="none"/>
        </w:rPr>
      </w:pPr>
    </w:p>
    <w:p>
      <w:pPr>
        <w:spacing w:before="48" w:beforeLines="20" w:after="48" w:afterLines="20"/>
        <w:jc w:val="left"/>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四、原有设备设施拆除要求：</w:t>
      </w:r>
    </w:p>
    <w:p>
      <w:pPr>
        <w:snapToGrid w:val="0"/>
        <w:spacing w:before="240" w:beforeLines="100" w:line="480" w:lineRule="auto"/>
        <w:ind w:firstLine="480" w:firstLineChars="200"/>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供应商负责现有灯具及线路的拆卸和安全处置，费用包含在投标报价中，采购人不再另行支付。拆除现场应按区域划分，材料堆放归类，处理拆除后的建渣。</w:t>
      </w:r>
    </w:p>
    <w:p>
      <w:pPr>
        <w:spacing w:before="48" w:beforeLines="20" w:after="48" w:afterLines="20"/>
        <w:jc w:val="left"/>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五、安装调试要求：</w:t>
      </w:r>
    </w:p>
    <w:p>
      <w:pPr>
        <w:snapToGrid w:val="0"/>
        <w:spacing w:before="240" w:beforeLines="100" w:line="480" w:lineRule="auto"/>
        <w:ind w:firstLine="480" w:firstLineChars="200"/>
        <w:rPr>
          <w:rFonts w:hint="eastAsia"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成交供应商接到采购人进场施工通知之日起在规定的时间内完成安装、调试、检验，经采购人验收合格后交付使用。悬挂物（若有）必须安装牢固；设备及施工安全问题由供应商终身负责。</w:t>
      </w:r>
      <w:r>
        <w:rPr>
          <w:rFonts w:hint="eastAsia" w:ascii="新宋体" w:hAnsi="新宋体" w:eastAsia="新宋体" w:cs="新宋体"/>
          <w:b/>
          <w:color w:val="auto"/>
          <w:sz w:val="24"/>
          <w:highlight w:val="none"/>
        </w:rPr>
        <w:t>（提供承诺函）</w:t>
      </w:r>
    </w:p>
    <w:p>
      <w:pPr>
        <w:spacing w:line="360" w:lineRule="auto"/>
        <w:jc w:val="left"/>
        <w:rPr>
          <w:rFonts w:hint="eastAsia" w:ascii="新宋体" w:hAnsi="新宋体" w:eastAsia="新宋体" w:cs="新宋体"/>
          <w:b/>
          <w:bCs/>
          <w:color w:val="auto"/>
          <w:sz w:val="24"/>
          <w:highlight w:val="none"/>
        </w:rPr>
      </w:pPr>
    </w:p>
    <w:p>
      <w:pPr>
        <w:spacing w:before="48" w:beforeLines="20" w:after="48" w:afterLines="20"/>
        <w:jc w:val="left"/>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★六、商务要求：</w:t>
      </w:r>
    </w:p>
    <w:p>
      <w:pPr>
        <w:snapToGrid w:val="0"/>
        <w:spacing w:before="120" w:beforeLines="50" w:line="360" w:lineRule="auto"/>
        <w:ind w:left="420" w:leftChars="200"/>
        <w:textAlignment w:val="baseline"/>
        <w:rPr>
          <w:rFonts w:hint="eastAsia" w:ascii="新宋体" w:hAnsi="新宋体" w:eastAsia="新宋体" w:cs="新宋体"/>
          <w:color w:val="auto"/>
          <w:sz w:val="24"/>
          <w:szCs w:val="28"/>
          <w:highlight w:val="none"/>
        </w:rPr>
      </w:pPr>
      <w:r>
        <w:rPr>
          <w:rFonts w:hint="eastAsia" w:ascii="新宋体" w:hAnsi="新宋体" w:eastAsia="新宋体" w:cs="新宋体"/>
          <w:color w:val="auto"/>
          <w:sz w:val="24"/>
          <w:szCs w:val="28"/>
          <w:highlight w:val="none"/>
        </w:rPr>
        <w:t>6.1  交货期：签订合同后30个日历日内。</w:t>
      </w:r>
    </w:p>
    <w:p>
      <w:pPr>
        <w:snapToGrid w:val="0"/>
        <w:spacing w:before="120" w:beforeLines="50" w:line="360" w:lineRule="auto"/>
        <w:ind w:left="420" w:leftChars="200"/>
        <w:textAlignment w:val="baseline"/>
        <w:rPr>
          <w:rFonts w:hint="eastAsia" w:ascii="新宋体" w:hAnsi="新宋体" w:eastAsia="新宋体" w:cs="新宋体"/>
          <w:color w:val="auto"/>
          <w:sz w:val="24"/>
          <w:szCs w:val="28"/>
          <w:highlight w:val="none"/>
        </w:rPr>
      </w:pPr>
      <w:r>
        <w:rPr>
          <w:rFonts w:hint="eastAsia" w:ascii="新宋体" w:hAnsi="新宋体" w:eastAsia="新宋体" w:cs="新宋体"/>
          <w:color w:val="auto"/>
          <w:sz w:val="24"/>
          <w:szCs w:val="28"/>
          <w:highlight w:val="none"/>
        </w:rPr>
        <w:t>6.2  签约及交货地点：采购人指定地点。</w:t>
      </w:r>
    </w:p>
    <w:p>
      <w:pPr>
        <w:snapToGrid w:val="0"/>
        <w:spacing w:before="120" w:beforeLines="50" w:line="360" w:lineRule="auto"/>
        <w:ind w:left="420" w:leftChars="200"/>
        <w:textAlignment w:val="baseline"/>
        <w:rPr>
          <w:rFonts w:hint="eastAsia" w:ascii="新宋体" w:hAnsi="新宋体" w:eastAsia="新宋体" w:cs="新宋体"/>
          <w:color w:val="auto"/>
          <w:sz w:val="24"/>
          <w:szCs w:val="28"/>
          <w:highlight w:val="none"/>
        </w:rPr>
      </w:pPr>
      <w:r>
        <w:rPr>
          <w:rFonts w:hint="eastAsia" w:ascii="新宋体" w:hAnsi="新宋体" w:eastAsia="新宋体" w:cs="新宋体"/>
          <w:color w:val="auto"/>
          <w:sz w:val="24"/>
          <w:szCs w:val="28"/>
          <w:highlight w:val="none"/>
        </w:rPr>
        <w:t>6.3  付款方法和条件：</w:t>
      </w:r>
    </w:p>
    <w:p>
      <w:pPr>
        <w:snapToGrid w:val="0"/>
        <w:spacing w:before="120" w:beforeLines="50" w:line="360" w:lineRule="auto"/>
        <w:ind w:left="420" w:leftChars="200"/>
        <w:textAlignment w:val="baseline"/>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8"/>
          <w:highlight w:val="none"/>
          <w:lang w:val="en-US" w:eastAsia="zh-CN"/>
        </w:rPr>
        <w:t>6.3.1</w:t>
      </w:r>
      <w:r>
        <w:rPr>
          <w:rFonts w:hint="eastAsia" w:ascii="新宋体" w:hAnsi="新宋体" w:eastAsia="新宋体" w:cs="新宋体"/>
          <w:color w:val="auto"/>
          <w:kern w:val="2"/>
          <w:sz w:val="24"/>
          <w:szCs w:val="24"/>
          <w:highlight w:val="none"/>
          <w:lang w:val="en-US" w:eastAsia="zh-CN" w:bidi="ar-SA"/>
        </w:rPr>
        <w:t>采购人以转账方式向中标人指定账户支付；</w:t>
      </w:r>
    </w:p>
    <w:p>
      <w:pPr>
        <w:snapToGrid w:val="0"/>
        <w:spacing w:before="120" w:beforeLines="50" w:line="360" w:lineRule="auto"/>
        <w:ind w:left="420" w:leftChars="200"/>
        <w:textAlignment w:val="baseline"/>
        <w:rPr>
          <w:rFonts w:hint="eastAsia" w:ascii="新宋体" w:hAnsi="新宋体" w:eastAsia="新宋体" w:cs="新宋体"/>
          <w:color w:val="auto"/>
          <w:sz w:val="24"/>
          <w:szCs w:val="28"/>
          <w:highlight w:val="none"/>
        </w:rPr>
      </w:pPr>
      <w:r>
        <w:rPr>
          <w:rFonts w:hint="eastAsia" w:ascii="新宋体" w:hAnsi="新宋体" w:eastAsia="新宋体" w:cs="新宋体"/>
          <w:color w:val="auto"/>
          <w:kern w:val="2"/>
          <w:sz w:val="24"/>
          <w:szCs w:val="24"/>
          <w:highlight w:val="none"/>
          <w:lang w:val="en-US" w:eastAsia="zh-CN" w:bidi="ar-SA"/>
        </w:rPr>
        <w:t>6.3.2合同签订，验收合格后，采购人收到中标人相关发票后15日内支付全部合同金额。</w:t>
      </w:r>
    </w:p>
    <w:p>
      <w:pPr>
        <w:snapToGrid w:val="0"/>
        <w:spacing w:before="120" w:beforeLines="50" w:line="360" w:lineRule="auto"/>
        <w:ind w:left="420" w:leftChars="200"/>
        <w:textAlignment w:val="baseline"/>
        <w:rPr>
          <w:rFonts w:hint="eastAsia" w:ascii="新宋体" w:hAnsi="新宋体" w:eastAsia="新宋体" w:cs="新宋体"/>
          <w:color w:val="auto"/>
          <w:sz w:val="24"/>
          <w:szCs w:val="28"/>
          <w:highlight w:val="none"/>
        </w:rPr>
      </w:pPr>
      <w:r>
        <w:rPr>
          <w:rFonts w:hint="eastAsia" w:ascii="新宋体" w:hAnsi="新宋体" w:eastAsia="新宋体" w:cs="新宋体"/>
          <w:color w:val="auto"/>
          <w:sz w:val="24"/>
          <w:szCs w:val="28"/>
          <w:highlight w:val="none"/>
        </w:rPr>
        <w:t>6.4  质保期：验收合格</w:t>
      </w:r>
      <w:r>
        <w:rPr>
          <w:rFonts w:hint="eastAsia" w:ascii="新宋体" w:hAnsi="新宋体" w:eastAsia="新宋体" w:cs="新宋体"/>
          <w:color w:val="auto"/>
          <w:sz w:val="24"/>
          <w:szCs w:val="28"/>
          <w:highlight w:val="none"/>
          <w:lang w:val="en-US" w:eastAsia="zh-CN"/>
        </w:rPr>
        <w:t>签字之日起3</w:t>
      </w:r>
      <w:r>
        <w:rPr>
          <w:rFonts w:hint="eastAsia" w:ascii="新宋体" w:hAnsi="新宋体" w:eastAsia="新宋体" w:cs="新宋体"/>
          <w:color w:val="auto"/>
          <w:sz w:val="24"/>
          <w:szCs w:val="28"/>
          <w:highlight w:val="none"/>
        </w:rPr>
        <w:t>年。</w:t>
      </w:r>
    </w:p>
    <w:p>
      <w:pPr>
        <w:snapToGrid w:val="0"/>
        <w:spacing w:before="120" w:beforeLines="50" w:line="360" w:lineRule="auto"/>
        <w:ind w:left="420" w:leftChars="200"/>
        <w:textAlignment w:val="baseline"/>
        <w:rPr>
          <w:rFonts w:hint="eastAsia" w:ascii="新宋体" w:hAnsi="新宋体" w:eastAsia="新宋体" w:cs="新宋体"/>
          <w:color w:val="auto"/>
          <w:sz w:val="24"/>
          <w:szCs w:val="28"/>
          <w:highlight w:val="none"/>
        </w:rPr>
      </w:pPr>
      <w:r>
        <w:rPr>
          <w:rFonts w:hint="eastAsia" w:ascii="新宋体" w:hAnsi="新宋体" w:eastAsia="新宋体" w:cs="新宋体"/>
          <w:color w:val="auto"/>
          <w:sz w:val="24"/>
          <w:szCs w:val="28"/>
          <w:highlight w:val="none"/>
        </w:rPr>
        <w:t>6.5  履约验收要求：</w:t>
      </w:r>
    </w:p>
    <w:p>
      <w:pPr>
        <w:snapToGrid w:val="0"/>
        <w:spacing w:before="120" w:beforeLines="50" w:line="360" w:lineRule="auto"/>
        <w:ind w:left="420" w:leftChars="200"/>
        <w:textAlignment w:val="baseline"/>
        <w:rPr>
          <w:rFonts w:hint="eastAsia" w:ascii="新宋体" w:hAnsi="新宋体" w:eastAsia="新宋体" w:cs="新宋体"/>
          <w:color w:val="auto"/>
          <w:sz w:val="24"/>
          <w:szCs w:val="28"/>
          <w:highlight w:val="none"/>
        </w:rPr>
      </w:pPr>
      <w:r>
        <w:rPr>
          <w:rFonts w:hint="eastAsia" w:ascii="新宋体" w:hAnsi="新宋体" w:eastAsia="新宋体" w:cs="新宋体"/>
          <w:color w:val="auto"/>
          <w:sz w:val="24"/>
          <w:szCs w:val="28"/>
          <w:highlight w:val="none"/>
        </w:rPr>
        <w:t>6.5.1、验收主体：成都经济技术开发区实验小学校。</w:t>
      </w:r>
    </w:p>
    <w:p>
      <w:pPr>
        <w:snapToGrid w:val="0"/>
        <w:spacing w:before="120" w:beforeLines="50" w:line="360" w:lineRule="auto"/>
        <w:ind w:left="420" w:leftChars="200"/>
        <w:textAlignment w:val="baseline"/>
        <w:rPr>
          <w:rFonts w:hint="eastAsia" w:ascii="新宋体" w:hAnsi="新宋体" w:eastAsia="新宋体" w:cs="新宋体"/>
          <w:color w:val="auto"/>
          <w:sz w:val="24"/>
          <w:szCs w:val="28"/>
          <w:highlight w:val="none"/>
        </w:rPr>
      </w:pPr>
      <w:r>
        <w:rPr>
          <w:rFonts w:hint="eastAsia" w:ascii="新宋体" w:hAnsi="新宋体" w:eastAsia="新宋体" w:cs="新宋体"/>
          <w:color w:val="auto"/>
          <w:sz w:val="24"/>
          <w:szCs w:val="28"/>
          <w:highlight w:val="none"/>
        </w:rPr>
        <w:t>6.5.2、验收时间、方式及程序：交货完成后5日内由供应商提出验收申请，采购人在接到供应商验收申请后5日内自行组织验收。</w:t>
      </w:r>
    </w:p>
    <w:p>
      <w:pPr>
        <w:snapToGrid w:val="0"/>
        <w:spacing w:before="120" w:beforeLines="50" w:line="360" w:lineRule="auto"/>
        <w:ind w:left="420" w:leftChars="200"/>
        <w:textAlignment w:val="baseline"/>
        <w:rPr>
          <w:rFonts w:hint="eastAsia" w:ascii="新宋体" w:hAnsi="新宋体" w:eastAsia="新宋体" w:cs="新宋体"/>
          <w:color w:val="auto"/>
          <w:sz w:val="24"/>
          <w:szCs w:val="28"/>
          <w:highlight w:val="none"/>
        </w:rPr>
      </w:pPr>
      <w:r>
        <w:rPr>
          <w:rFonts w:hint="eastAsia" w:ascii="新宋体" w:hAnsi="新宋体" w:eastAsia="新宋体" w:cs="新宋体"/>
          <w:color w:val="auto"/>
          <w:sz w:val="24"/>
          <w:szCs w:val="28"/>
          <w:highlight w:val="none"/>
        </w:rPr>
        <w:t>6.5.3、验收内容：对本项目的“采购内容及技术要求”、“商务要求”进行验收。</w:t>
      </w:r>
    </w:p>
    <w:p>
      <w:pPr>
        <w:snapToGrid w:val="0"/>
        <w:spacing w:before="120" w:beforeLines="50" w:line="360" w:lineRule="auto"/>
        <w:ind w:left="420" w:leftChars="200"/>
        <w:textAlignment w:val="baseline"/>
        <w:rPr>
          <w:rFonts w:hint="eastAsia" w:ascii="新宋体" w:hAnsi="新宋体" w:eastAsia="新宋体" w:cs="新宋体"/>
          <w:color w:val="auto"/>
          <w:sz w:val="24"/>
          <w:szCs w:val="28"/>
          <w:highlight w:val="none"/>
        </w:rPr>
      </w:pPr>
      <w:r>
        <w:rPr>
          <w:rFonts w:hint="eastAsia" w:ascii="新宋体" w:hAnsi="新宋体" w:eastAsia="新宋体" w:cs="新宋体"/>
          <w:color w:val="auto"/>
          <w:sz w:val="24"/>
          <w:szCs w:val="28"/>
          <w:highlight w:val="none"/>
        </w:rPr>
        <w:t>6.5.4、验收标准：采购人将严格按照政府采购相关法律法规及《财政部关于进一步加强政府采购需求和履约验收管理的指导意见》（财库〔2016〕205号）的要求进行验收。</w:t>
      </w:r>
    </w:p>
    <w:p>
      <w:pPr>
        <w:snapToGrid w:val="0"/>
        <w:spacing w:before="120" w:beforeLines="50" w:line="360" w:lineRule="auto"/>
        <w:ind w:left="420" w:leftChars="200"/>
        <w:textAlignment w:val="baseline"/>
        <w:rPr>
          <w:rFonts w:hint="eastAsia" w:ascii="新宋体" w:hAnsi="新宋体" w:eastAsia="新宋体" w:cs="新宋体"/>
          <w:color w:val="auto"/>
          <w:sz w:val="24"/>
          <w:szCs w:val="28"/>
          <w:highlight w:val="none"/>
        </w:rPr>
      </w:pPr>
      <w:r>
        <w:rPr>
          <w:rFonts w:hint="eastAsia" w:ascii="新宋体" w:hAnsi="新宋体" w:eastAsia="新宋体" w:cs="新宋体"/>
          <w:color w:val="auto"/>
          <w:sz w:val="24"/>
          <w:szCs w:val="28"/>
          <w:highlight w:val="none"/>
        </w:rPr>
        <w:t>6.5.5、验收结果合格的，成交供应商凭验收报告办理相关手续；验收结果不合格的将不予支付采购资金，还可能会报本项目同级财政部门按照政府采购法律法规及《四川省公共资源交易领域严重失信联合惩戒实施办法》（川发改信用规〔2019〕405号）、《关于对政府采购领域严重违法失信主体开展联合惩戒的合作备忘录》（发改财金〔2018〕1614号）等有关规定给予行政处罚或者以失信行为记入诚信档案。</w:t>
      </w:r>
    </w:p>
    <w:p>
      <w:pPr>
        <w:snapToGrid w:val="0"/>
        <w:spacing w:line="360" w:lineRule="auto"/>
        <w:ind w:left="530" w:hanging="530" w:hangingChars="220"/>
        <w:textAlignment w:val="baseline"/>
        <w:rPr>
          <w:rFonts w:hint="eastAsia" w:ascii="新宋体" w:hAnsi="新宋体" w:eastAsia="新宋体" w:cs="新宋体"/>
          <w:b/>
          <w:color w:val="auto"/>
          <w:sz w:val="24"/>
          <w:szCs w:val="22"/>
          <w:highlight w:val="none"/>
        </w:rPr>
      </w:pPr>
    </w:p>
    <w:p>
      <w:pPr>
        <w:pStyle w:val="19"/>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七、</w:t>
      </w:r>
      <w:bookmarkStart w:id="752" w:name="_Hlk90468632"/>
      <w:r>
        <w:rPr>
          <w:rFonts w:hint="eastAsia" w:ascii="新宋体" w:hAnsi="新宋体" w:eastAsia="新宋体" w:cs="新宋体"/>
          <w:b/>
          <w:color w:val="auto"/>
          <w:sz w:val="28"/>
          <w:szCs w:val="28"/>
          <w:highlight w:val="none"/>
        </w:rPr>
        <w:t>项目实施方案</w:t>
      </w:r>
      <w:bookmarkEnd w:id="752"/>
      <w:r>
        <w:rPr>
          <w:rFonts w:hint="eastAsia" w:ascii="新宋体" w:hAnsi="新宋体" w:eastAsia="新宋体" w:cs="新宋体"/>
          <w:b/>
          <w:color w:val="auto"/>
          <w:sz w:val="28"/>
          <w:szCs w:val="28"/>
          <w:highlight w:val="none"/>
        </w:rPr>
        <w:t>：</w:t>
      </w:r>
    </w:p>
    <w:p>
      <w:pPr>
        <w:snapToGrid w:val="0"/>
        <w:spacing w:before="120" w:beforeLines="50" w:line="360" w:lineRule="auto"/>
        <w:ind w:left="420" w:leftChars="200"/>
        <w:textAlignment w:val="baseline"/>
        <w:rPr>
          <w:rFonts w:hint="eastAsia" w:ascii="新宋体" w:hAnsi="新宋体" w:eastAsia="新宋体" w:cs="新宋体"/>
          <w:color w:val="auto"/>
          <w:sz w:val="24"/>
          <w:szCs w:val="28"/>
          <w:highlight w:val="none"/>
        </w:rPr>
      </w:pPr>
      <w:r>
        <w:rPr>
          <w:rFonts w:hint="eastAsia" w:ascii="新宋体" w:hAnsi="新宋体" w:eastAsia="新宋体" w:cs="新宋体"/>
          <w:color w:val="auto"/>
          <w:sz w:val="24"/>
          <w:szCs w:val="28"/>
          <w:highlight w:val="none"/>
        </w:rPr>
        <w:t>7.1  项目实施方案包括但不限于：①产品</w:t>
      </w:r>
      <w:r>
        <w:rPr>
          <w:rFonts w:hint="eastAsia" w:ascii="新宋体" w:hAnsi="新宋体" w:eastAsia="新宋体" w:cs="新宋体"/>
          <w:color w:val="auto"/>
          <w:sz w:val="24"/>
          <w:highlight w:val="none"/>
          <w:lang w:val="zh-TW" w:eastAsia="zh-TW" w:bidi="zh-TW"/>
        </w:rPr>
        <w:t>配送安装方案</w:t>
      </w:r>
      <w:r>
        <w:rPr>
          <w:rFonts w:hint="eastAsia" w:ascii="新宋体" w:hAnsi="新宋体" w:eastAsia="新宋体" w:cs="新宋体"/>
          <w:color w:val="auto"/>
          <w:sz w:val="24"/>
          <w:szCs w:val="28"/>
          <w:highlight w:val="none"/>
        </w:rPr>
        <w:t>；②</w:t>
      </w:r>
      <w:r>
        <w:rPr>
          <w:rFonts w:hint="eastAsia" w:ascii="新宋体" w:hAnsi="新宋体" w:eastAsia="新宋体" w:cs="新宋体"/>
          <w:color w:val="auto"/>
          <w:sz w:val="24"/>
          <w:highlight w:val="none"/>
          <w:lang w:val="zh-TW" w:eastAsia="zh-TW" w:bidi="zh-TW"/>
        </w:rPr>
        <w:t>质量保证措施方案</w:t>
      </w:r>
      <w:r>
        <w:rPr>
          <w:rFonts w:hint="eastAsia" w:ascii="新宋体" w:hAnsi="新宋体" w:eastAsia="新宋体" w:cs="新宋体"/>
          <w:color w:val="auto"/>
          <w:sz w:val="24"/>
          <w:szCs w:val="28"/>
          <w:highlight w:val="none"/>
        </w:rPr>
        <w:t>；③</w:t>
      </w:r>
      <w:r>
        <w:rPr>
          <w:rFonts w:hint="eastAsia" w:ascii="新宋体" w:hAnsi="新宋体" w:eastAsia="新宋体" w:cs="新宋体"/>
          <w:color w:val="auto"/>
          <w:sz w:val="24"/>
          <w:highlight w:val="none"/>
          <w:lang w:val="zh-TW" w:eastAsia="zh-TW" w:bidi="zh-TW"/>
        </w:rPr>
        <w:t>安全文明施工与环境保护措施</w:t>
      </w:r>
      <w:r>
        <w:rPr>
          <w:rFonts w:hint="eastAsia" w:ascii="新宋体" w:hAnsi="新宋体" w:eastAsia="新宋体" w:cs="新宋体"/>
          <w:color w:val="auto"/>
          <w:sz w:val="24"/>
          <w:szCs w:val="28"/>
          <w:highlight w:val="none"/>
        </w:rPr>
        <w:t>；④售后服务实施方案。</w:t>
      </w: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snapToGrid w:val="0"/>
        <w:spacing w:line="360" w:lineRule="auto"/>
        <w:ind w:left="530" w:hanging="530" w:hangingChars="220"/>
        <w:textAlignment w:val="baseline"/>
        <w:rPr>
          <w:rFonts w:hint="eastAsia" w:ascii="新宋体" w:hAnsi="新宋体" w:eastAsia="新宋体" w:cs="新宋体"/>
          <w:b/>
          <w:color w:val="auto"/>
          <w:sz w:val="24"/>
          <w:szCs w:val="22"/>
          <w:highlight w:val="none"/>
        </w:rPr>
      </w:pPr>
      <w:r>
        <w:rPr>
          <w:rFonts w:hint="eastAsia" w:ascii="新宋体" w:hAnsi="新宋体" w:eastAsia="新宋体" w:cs="新宋体"/>
          <w:b/>
          <w:color w:val="auto"/>
          <w:sz w:val="24"/>
          <w:szCs w:val="22"/>
          <w:highlight w:val="none"/>
        </w:rPr>
        <w:t>注：以上“★”</w:t>
      </w:r>
      <w:r>
        <w:rPr>
          <w:rFonts w:hint="eastAsia" w:ascii="新宋体" w:hAnsi="新宋体" w:eastAsia="新宋体" w:cs="新宋体"/>
          <w:b/>
          <w:color w:val="auto"/>
          <w:sz w:val="24"/>
          <w:szCs w:val="28"/>
          <w:highlight w:val="none"/>
        </w:rPr>
        <w:t>条款</w:t>
      </w:r>
      <w:r>
        <w:rPr>
          <w:rFonts w:hint="eastAsia" w:ascii="新宋体" w:hAnsi="新宋体" w:eastAsia="新宋体" w:cs="新宋体"/>
          <w:b/>
          <w:color w:val="auto"/>
          <w:sz w:val="24"/>
          <w:szCs w:val="22"/>
          <w:highlight w:val="none"/>
        </w:rPr>
        <w:t>均为实质性要求，</w:t>
      </w:r>
      <w:r>
        <w:rPr>
          <w:rFonts w:hint="eastAsia" w:ascii="新宋体" w:hAnsi="新宋体" w:eastAsia="新宋体" w:cs="新宋体"/>
          <w:b/>
          <w:color w:val="auto"/>
          <w:sz w:val="24"/>
          <w:szCs w:val="28"/>
          <w:highlight w:val="none"/>
        </w:rPr>
        <w:t>不满足作无效投标处理；</w:t>
      </w:r>
      <w:r>
        <w:rPr>
          <w:rFonts w:hint="eastAsia" w:ascii="新宋体" w:hAnsi="新宋体" w:eastAsia="新宋体" w:cs="新宋体"/>
          <w:b/>
          <w:color w:val="auto"/>
          <w:sz w:val="24"/>
          <w:szCs w:val="22"/>
          <w:highlight w:val="none"/>
        </w:rPr>
        <w:t>没有标记的为一般参数。</w:t>
      </w:r>
    </w:p>
    <w:bookmarkEnd w:id="742"/>
    <w:bookmarkEnd w:id="743"/>
    <w:bookmarkEnd w:id="744"/>
    <w:bookmarkEnd w:id="745"/>
    <w:p>
      <w:pPr>
        <w:spacing w:line="360" w:lineRule="auto"/>
        <w:ind w:firstLine="480" w:firstLineChars="200"/>
        <w:jc w:val="center"/>
        <w:rPr>
          <w:rFonts w:hint="eastAsia" w:ascii="新宋体" w:hAnsi="新宋体" w:eastAsia="新宋体" w:cs="新宋体"/>
          <w:color w:val="auto"/>
          <w:highlight w:val="none"/>
        </w:rPr>
      </w:pPr>
      <w:bookmarkStart w:id="753" w:name="_Toc6240"/>
      <w:r>
        <w:rPr>
          <w:rFonts w:hint="eastAsia" w:ascii="新宋体" w:hAnsi="新宋体" w:eastAsia="新宋体" w:cs="新宋体"/>
          <w:bCs/>
          <w:color w:val="auto"/>
          <w:sz w:val="24"/>
          <w:highlight w:val="none"/>
        </w:rPr>
        <w:br w:type="page"/>
      </w:r>
      <w:r>
        <w:rPr>
          <w:rStyle w:val="66"/>
          <w:rFonts w:hint="eastAsia" w:ascii="新宋体" w:hAnsi="新宋体" w:eastAsia="新宋体" w:cs="新宋体"/>
          <w:color w:val="auto"/>
          <w:sz w:val="36"/>
          <w:szCs w:val="36"/>
          <w:highlight w:val="none"/>
        </w:rPr>
        <w:t>第七章  评标办法</w:t>
      </w:r>
      <w:bookmarkEnd w:id="746"/>
      <w:bookmarkEnd w:id="747"/>
      <w:bookmarkEnd w:id="748"/>
      <w:bookmarkEnd w:id="749"/>
      <w:bookmarkEnd w:id="750"/>
      <w:bookmarkEnd w:id="751"/>
      <w:bookmarkEnd w:id="753"/>
      <w:bookmarkStart w:id="754" w:name="_Hlt101846155"/>
      <w:bookmarkEnd w:id="754"/>
      <w:bookmarkStart w:id="755" w:name="_Toc217446103"/>
      <w:bookmarkStart w:id="756" w:name="_Toc217446099"/>
    </w:p>
    <w:p>
      <w:pPr>
        <w:spacing w:line="360" w:lineRule="auto"/>
        <w:rPr>
          <w:rFonts w:hint="eastAsia" w:ascii="新宋体" w:hAnsi="新宋体" w:eastAsia="新宋体" w:cs="新宋体"/>
          <w:b/>
          <w:bCs/>
          <w:color w:val="auto"/>
          <w:sz w:val="24"/>
          <w:highlight w:val="none"/>
        </w:rPr>
      </w:pPr>
      <w:bookmarkStart w:id="757" w:name="_Toc496689178"/>
      <w:r>
        <w:rPr>
          <w:rFonts w:hint="eastAsia" w:ascii="新宋体" w:hAnsi="新宋体" w:eastAsia="新宋体" w:cs="新宋体"/>
          <w:b/>
          <w:bCs/>
          <w:color w:val="auto"/>
          <w:sz w:val="24"/>
          <w:highlight w:val="none"/>
        </w:rPr>
        <w:t>1、 总则</w:t>
      </w:r>
      <w:bookmarkEnd w:id="757"/>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1.1 根据《中华人民共和国政府采购法》、《中华人民共和国政府采购法实施条例》、《政府采购货物和服务招标投标管理办法》等法律制度，结合采购项目特点制定本评标办法。</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 公开招标采购项目开标结束后，采购人或者采购代理机构应当依法对投标人的资格进行审查。依据法律法规和本招标文件的规定，对投标文件是否按照规定要求提供资格性证明材料，以确定投标供应商是否具备投标资格。</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合格投标人不足三家的，不得评标。</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评标工作由采购代理机构负责组织，具体评标事务由采购代理机构依法组建的评标委员会负责。评标委员会由采购人代表和有关技术、经济、法律等方面的专家组成。</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1.3 评标工作应遵循公平、公正、科学及择优的原则，并以相同的评标程序和标准对待所有的投标人。</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1.4 评标委员会按照招标文件规定的评标方法和标准进行评标，并独立履行下列职责：</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（一）熟悉和理解招标文件；</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（二）审查供应商（已通过资格审查）的投标文件是否满足招标文件要求，并作出评价；</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（三）根据需要要求招标采购单位对招标文件作出解释；根据需要要求供应商对投标文件有关事项作出澄清、说明或者更正；</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（四）推荐中标候选供应商，或者受采购人委托确定中标供应商；</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（五）起草评标报告并进行签署；</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（六）向招标采购单位、财政部门或者其他监督部门报告非法干预评标工作的行为；</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（七）法律、法规和规章规定的其他职责。</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1.5 评标过程独立、保密。投标人非法干预评标过程的行为将导致其投标文件作为无效处理。</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1.6 评标委员会评价投标文件的响应性，对于投标人而言，除评标委员会要求其澄清、说明或者更正而提供的资料外，仅依据投标文件本身的内容，不寻求其他外部证据。</w:t>
      </w:r>
    </w:p>
    <w:p>
      <w:pPr>
        <w:spacing w:line="520" w:lineRule="exact"/>
        <w:rPr>
          <w:rFonts w:hint="eastAsia" w:ascii="新宋体" w:hAnsi="新宋体" w:eastAsia="新宋体" w:cs="新宋体"/>
          <w:b/>
          <w:bCs/>
          <w:color w:val="auto"/>
          <w:sz w:val="24"/>
          <w:highlight w:val="none"/>
        </w:rPr>
      </w:pPr>
      <w:bookmarkStart w:id="758" w:name="_Toc496689179"/>
      <w:r>
        <w:rPr>
          <w:rFonts w:hint="eastAsia" w:ascii="新宋体" w:hAnsi="新宋体" w:eastAsia="新宋体" w:cs="新宋体"/>
          <w:b/>
          <w:bCs/>
          <w:color w:val="auto"/>
          <w:sz w:val="24"/>
          <w:highlight w:val="none"/>
        </w:rPr>
        <w:t>2、 评标方法</w:t>
      </w:r>
      <w:bookmarkEnd w:id="758"/>
    </w:p>
    <w:p>
      <w:pPr>
        <w:spacing w:line="520" w:lineRule="exact"/>
        <w:ind w:firstLine="484" w:firstLineChars="202"/>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本项目评标方法为：综合评分法。</w:t>
      </w:r>
    </w:p>
    <w:p>
      <w:pPr>
        <w:spacing w:line="520" w:lineRule="exact"/>
        <w:rPr>
          <w:rFonts w:hint="eastAsia" w:ascii="新宋体" w:hAnsi="新宋体" w:eastAsia="新宋体" w:cs="新宋体"/>
          <w:b/>
          <w:bCs/>
          <w:color w:val="auto"/>
          <w:sz w:val="24"/>
          <w:highlight w:val="none"/>
        </w:rPr>
      </w:pPr>
      <w:bookmarkStart w:id="759" w:name="_Toc496689180"/>
      <w:r>
        <w:rPr>
          <w:rFonts w:hint="eastAsia" w:ascii="新宋体" w:hAnsi="新宋体" w:eastAsia="新宋体" w:cs="新宋体"/>
          <w:b/>
          <w:bCs/>
          <w:color w:val="auto"/>
          <w:sz w:val="24"/>
          <w:highlight w:val="none"/>
        </w:rPr>
        <w:t>3、 评标程序</w:t>
      </w:r>
      <w:bookmarkEnd w:id="759"/>
    </w:p>
    <w:p>
      <w:pPr>
        <w:spacing w:line="520" w:lineRule="exact"/>
        <w:ind w:firstLine="241" w:firstLineChars="100"/>
        <w:rPr>
          <w:rFonts w:hint="eastAsia" w:ascii="新宋体" w:hAnsi="新宋体" w:eastAsia="新宋体" w:cs="新宋体"/>
          <w:color w:val="auto"/>
          <w:sz w:val="24"/>
          <w:highlight w:val="none"/>
        </w:rPr>
      </w:pPr>
      <w:r>
        <w:rPr>
          <w:rFonts w:hint="eastAsia" w:ascii="新宋体" w:hAnsi="新宋体" w:eastAsia="新宋体" w:cs="新宋体"/>
          <w:b/>
          <w:bCs/>
          <w:color w:val="auto"/>
          <w:sz w:val="24"/>
          <w:highlight w:val="none"/>
        </w:rPr>
        <w:t>3.1熟悉和理解招标文件和停止评标</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3.1.2评标委员会熟悉和理解招标文件以及评标过程中，发现本招标文件有下列情形之一的，评标委员会应当停止评标：</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（1）招标文件的规定存在歧义、重大缺陷的；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（2）招标文件明显以不合理条件对供应商实行差别待遇或者歧视待遇的；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（3）采购项目属于国家规定的优先、强制采购范围，但是招标文件未依法体现优先、强制采购相关规定的；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（4）采购项目属于政府采购促进中小企业发展的范围，但是招标文件未依法体现促进中小企业发展相关规定的；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（5）招标文件规定的评标方法是综合评分法、最低评标价法之外的评标方法，或者虽然名称为综合评分法、最低评标价法，但实际上不符合国家规定的；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（6）招标文件将投标人的资格条件列为评分因素的；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（7）招标文件有违反国家其他有关强制性规定的情形。</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3.1.3出现本条规定应当停止评标情形的，评标委员会成员应当向招标采购单位书面说明情况。除本条规定和评标委员会无法依法组建的情形外，评标委员会成员不得以任何方式和理由停止评标。</w:t>
      </w:r>
    </w:p>
    <w:p>
      <w:pPr>
        <w:spacing w:line="520" w:lineRule="exact"/>
        <w:ind w:firstLine="241" w:firstLineChars="10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3.2资格性检查</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3.2.1开标结束后，采购人或者采购代理机构应依据法律法规和本招标文件的规定，对投标文件是否按照规定要求提供资格性证明材料、是否属于禁止参加投标的供应商等进行审查，以确定投标供应商是否具备投标资格。</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3.2.2资格审查结束后，采购人或者采购代理机构应及时对资格性审查结果进行复核，对资格性审查错误进行及时纠正并记录。</w:t>
      </w:r>
    </w:p>
    <w:bookmarkEnd w:id="755"/>
    <w:p>
      <w:pPr>
        <w:spacing w:line="520" w:lineRule="exact"/>
        <w:ind w:firstLine="241" w:firstLineChars="10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3.3符合性检查</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3.3.2投标文件（包括单独递交的开标一览表）有下列情形的，本项目不作为实质性要求进行规定，即不作为符合性审查事项，不得作为无效投标处理：</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（一）存在个别地方（不超过2个）没有法定代表人/单位负责人（委托人）签字或者加盖个人名章，但有法定代表人/单位负责人的私人印章或者有效授权代理人签字的；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（二）除招标文件明确要求加盖单位(法人)公章的以外，其他地方以相关专用章加盖的；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（三）以骑缝章的形式代替投标文件内容逐页盖章的（但是骑缝章模糊不清，印章名称无法辨认的除外）；</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（四）其他不影响采购项目实质性要求的情形。</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3.3.3除政府采购法律制度规定的情形外，本项目投标人或者其投标文件有下列情形之一的，在符合性检查时按无效投标处理：</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（一）投标文件组成明显不符合招标文件的规定要求，影响评标委员会评判的；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（二）投标文件的语言、计量单位、报价货币、知识产权、投标有效期等不符合招标文件的规定，影响评标委员会评判的；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（三）投标文件未按招标文件要求签署、盖章的（本章3.3规定的例外情形除外）；</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（四）投标报价不符合招标文件规定的采购预算或限价或其他报价规定的；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（五）未载明或者载明的招标项目履约时间、方式、数量及其他政府采购合同实质性内容与招标文件要求不一致，且招标采购单位无法接受的；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（六）没有完全响应招标文件的其他实质性要求或属于招标文件中投标无效情形的。</w:t>
      </w:r>
    </w:p>
    <w:p>
      <w:pPr>
        <w:spacing w:line="520" w:lineRule="exact"/>
        <w:ind w:firstLine="248" w:firstLineChars="103"/>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3.4比较与评价</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按招标文件中规定的评标方法和标准，对未作无效投标处理的投标文件进行技术、服务、商务等方面评估，综合比较与评价。</w:t>
      </w:r>
    </w:p>
    <w:p>
      <w:pPr>
        <w:spacing w:line="520" w:lineRule="exact"/>
        <w:ind w:firstLine="248" w:firstLineChars="103"/>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3.5复核</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评分汇总结束后，评标委员会应当进行复核，特别要对拟推荐为中标候选供应商的、报价最低的、投标文件被认定为无效的进行重点复核。</w:t>
      </w:r>
    </w:p>
    <w:p>
      <w:pPr>
        <w:spacing w:line="520" w:lineRule="exact"/>
        <w:ind w:firstLine="248" w:firstLineChars="103"/>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3.6推荐中标候选供应商</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中标候选供应商应当排序。本项目采用综合评分法，评标结果按评审后得分由高到低顺序排列。得分相同的，按投标报价由低到高顺序排列；得分且投标报价相同的，不发达地区或少数民族地区的供应商排列顺序在非不发达地区或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line="520" w:lineRule="exact"/>
        <w:ind w:firstLine="241" w:firstLineChars="10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3.7出具评标报告</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评标委员会推荐中标候选供应商后，应当向招标采购单位出具评标报告。评标报告应当包括下列内容：</w:t>
      </w:r>
    </w:p>
    <w:p>
      <w:pPr>
        <w:spacing w:line="52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（一）招标公告刊登的媒体名称、开标日期和地点；</w:t>
      </w:r>
    </w:p>
    <w:p>
      <w:pPr>
        <w:spacing w:line="52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（二）获取招标文件的投标人名单和评标委员会成员名单；</w:t>
      </w:r>
    </w:p>
    <w:p>
      <w:pPr>
        <w:spacing w:line="52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（三）评标方法和标准；</w:t>
      </w:r>
    </w:p>
    <w:p>
      <w:pPr>
        <w:spacing w:line="52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（四）开标记录和评标情况及说明，包括无效投标人名单及原因；</w:t>
      </w:r>
    </w:p>
    <w:p>
      <w:pPr>
        <w:spacing w:line="52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（五）评标结果和中标候选供应商排序表；</w:t>
      </w:r>
    </w:p>
    <w:p>
      <w:pPr>
        <w:spacing w:line="52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（六）评标委员会授标建议；</w:t>
      </w:r>
    </w:p>
    <w:p>
      <w:pPr>
        <w:spacing w:line="52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（七）报价最高的投标人为中标候选人的，评标委员会应当对其报价的合理性予以特别说明。</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520" w:lineRule="exact"/>
        <w:ind w:firstLine="241" w:firstLineChars="10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3.8评标争议处理规则</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520" w:lineRule="exact"/>
        <w:ind w:firstLine="241" w:firstLineChars="10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3.9供应商应当书面澄清、说明或者更正</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3.9.1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3.9.2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3.9.3评标委员会要求供应商澄清、说明或者更正，不得超出招标文件的范围，不得以此让供应商实质改变投标文件的内容，不得影响供应商公平竞争。本项目下列内容不得澄清：</w:t>
      </w:r>
    </w:p>
    <w:p>
      <w:pPr>
        <w:spacing w:line="52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（一）按财政部规定应当在评标时不予承认的投标文件内容事项；</w:t>
      </w:r>
    </w:p>
    <w:p>
      <w:pPr>
        <w:spacing w:line="52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（二）投标文件中已经明确的内容事项；</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3.9.4本项目采购过程中，投标文件报价出现前后不一致的，按照下列规定修正：</w:t>
      </w:r>
    </w:p>
    <w:p>
      <w:pPr>
        <w:spacing w:line="52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（一）投标文件中开标一览表（报价表）内容与投标文件中相应内容不一致的，以开标一览表（报价表）为准；</w:t>
      </w:r>
    </w:p>
    <w:p>
      <w:pPr>
        <w:spacing w:line="52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（二）大写金额和小写金额不一致的，以大写金额为准；</w:t>
      </w:r>
    </w:p>
    <w:p>
      <w:pPr>
        <w:spacing w:line="52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（三）单价金额小数点或者百分比有明显错位的，以开标一览表的总价为准，并修改单价；</w:t>
      </w:r>
    </w:p>
    <w:p>
      <w:pPr>
        <w:spacing w:line="520" w:lineRule="exac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（四）总价金额与按单价汇总金额不一致的，以单价金额计算结果为准。</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同时出现两种以上不一致的，按照前款规定的顺序修正。修正后的报价按照本章3.9.1-3.9.3的规定经投标人确认后产生约束力，投标人不确认的，其投标无效。</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注：评标委员会当积极履行澄清、说明或者更正的职责，不得滥用权力。供应商的投标文件应当要求澄清、说明或者更正的，不得未经澄清、说明或者更正而直接作无效投标处理。</w:t>
      </w:r>
    </w:p>
    <w:p>
      <w:pPr>
        <w:spacing w:line="520" w:lineRule="exact"/>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3.10 低于成本价投标处理</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在评标过程中，</w:t>
      </w:r>
      <w:r>
        <w:rPr>
          <w:rFonts w:hint="eastAsia" w:ascii="新宋体" w:hAnsi="新宋体" w:eastAsia="新宋体" w:cs="新宋体"/>
          <w:color w:val="auto"/>
          <w:sz w:val="24"/>
          <w:highlight w:val="none"/>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新宋体" w:hAnsi="新宋体" w:eastAsia="新宋体" w:cs="新宋体"/>
          <w:color w:val="auto"/>
          <w:sz w:val="24"/>
          <w:highlight w:val="none"/>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供应商书面说明应当签字确认或者加盖公章，否则无效。书面说明的签字确认，供应商为法人的，由其法定代表人/单位负责人或者代理人签字确认；供应商为其他组织的，由其主要负责人或者代理人签字确认；供应商为自然人的，由其本人或者代理人签字确认。</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作为无效投标处理。</w:t>
      </w:r>
    </w:p>
    <w:p>
      <w:pPr>
        <w:spacing w:line="520" w:lineRule="exact"/>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3.11招标采购单位现场复核评标结果</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3.11.1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（一）分值汇总计算错误的；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（二）资格性审查认定错误的；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（三）分项评分超出评分标准范围的；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（四）客观评分不一致的；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（五）经评标委员会认定评分畸高畸低的。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3.11.2有下列情形之一的，不得修改评标结果或者重新评审：</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（一）招标采购单位现场复核时，复核工作人员数量不足的；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（二）招标采购单位现场复核时，没有采购监督人员现场监督的；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（三）招标采购单位现场复核内容超出规定范围的；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（四）评标委员会已经出具评标报告并且离开评标现场的；</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（五）招标采购单位未提供书面建议的。</w:t>
      </w:r>
    </w:p>
    <w:p>
      <w:pPr>
        <w:pStyle w:val="152"/>
        <w:rPr>
          <w:rFonts w:hint="eastAsia" w:ascii="新宋体" w:hAnsi="新宋体" w:eastAsia="新宋体" w:cs="新宋体"/>
          <w:color w:val="auto"/>
          <w:sz w:val="24"/>
          <w:szCs w:val="24"/>
          <w:highlight w:val="none"/>
        </w:rPr>
      </w:pPr>
      <w:bookmarkStart w:id="760" w:name="_Toc496689181"/>
      <w:r>
        <w:rPr>
          <w:rFonts w:hint="eastAsia" w:ascii="新宋体" w:hAnsi="新宋体" w:eastAsia="新宋体" w:cs="新宋体"/>
          <w:color w:val="auto"/>
          <w:sz w:val="24"/>
          <w:szCs w:val="24"/>
          <w:highlight w:val="none"/>
        </w:rPr>
        <w:t>4. 评标细则及标准</w:t>
      </w:r>
      <w:bookmarkEnd w:id="760"/>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4.1本项目采用综合评分法，评分因素详见综合评分明细表。</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4.3综合评分明细表</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4.3.1综合评分明细表的制定以科学合理、降低评委会自由裁量权为原则。</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4.3.2 综合评分明细表按须知表中的相关要求进行价格调整，再参与价格分评审。</w:t>
      </w:r>
    </w:p>
    <w:p>
      <w:pPr>
        <w:spacing w:line="52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4.3.3综合评分明细表</w:t>
      </w:r>
      <w:bookmarkStart w:id="761" w:name="_Hlk46476853"/>
    </w:p>
    <w:bookmarkEnd w:id="761"/>
    <w:tbl>
      <w:tblPr>
        <w:tblStyle w:val="47"/>
        <w:tblpPr w:leftFromText="180" w:rightFromText="180" w:vertAnchor="text" w:horzAnchor="page" w:tblpX="902" w:tblpY="243"/>
        <w:tblOverlap w:val="never"/>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92"/>
        <w:gridCol w:w="851"/>
        <w:gridCol w:w="4536"/>
        <w:gridCol w:w="2268"/>
        <w:gridCol w:w="9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568" w:type="dxa"/>
            <w:tcBorders>
              <w:top w:val="single" w:color="auto" w:sz="12" w:space="0"/>
            </w:tcBorders>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序号</w:t>
            </w:r>
          </w:p>
        </w:tc>
        <w:tc>
          <w:tcPr>
            <w:tcW w:w="992" w:type="dxa"/>
            <w:tcBorders>
              <w:top w:val="single" w:color="auto" w:sz="12" w:space="0"/>
            </w:tcBorders>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评分因素及权重</w:t>
            </w:r>
          </w:p>
        </w:tc>
        <w:tc>
          <w:tcPr>
            <w:tcW w:w="851" w:type="dxa"/>
            <w:tcBorders>
              <w:top w:val="single" w:color="auto" w:sz="12" w:space="0"/>
            </w:tcBorders>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分值</w:t>
            </w:r>
          </w:p>
        </w:tc>
        <w:tc>
          <w:tcPr>
            <w:tcW w:w="4536" w:type="dxa"/>
            <w:tcBorders>
              <w:top w:val="single" w:color="auto" w:sz="12" w:space="0"/>
            </w:tcBorders>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评分标准</w:t>
            </w:r>
          </w:p>
        </w:tc>
        <w:tc>
          <w:tcPr>
            <w:tcW w:w="2268" w:type="dxa"/>
            <w:tcBorders>
              <w:top w:val="single" w:color="auto" w:sz="12" w:space="0"/>
            </w:tcBorders>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备注</w:t>
            </w:r>
          </w:p>
        </w:tc>
        <w:tc>
          <w:tcPr>
            <w:tcW w:w="958" w:type="dxa"/>
            <w:tcBorders>
              <w:top w:val="single" w:color="auto" w:sz="12" w:space="0"/>
            </w:tcBorders>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8" w:type="dxa"/>
            <w:noWrap w:val="0"/>
            <w:vAlign w:val="center"/>
          </w:tcPr>
          <w:p>
            <w:pPr>
              <w:keepNext w:val="0"/>
              <w:keepLines w:val="0"/>
              <w:suppressLineNumbers w:val="0"/>
              <w:spacing w:before="0" w:beforeAutospacing="0" w:after="0" w:afterAutospacing="0"/>
              <w:ind w:left="-53" w:leftChars="-25" w:right="-53" w:rightChars="-25"/>
              <w:contextualSpacing/>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992" w:type="dxa"/>
            <w:noWrap w:val="0"/>
            <w:vAlign w:val="center"/>
          </w:tcPr>
          <w:p>
            <w:pPr>
              <w:keepNext w:val="0"/>
              <w:keepLines w:val="0"/>
              <w:suppressLineNumbers w:val="0"/>
              <w:spacing w:before="0" w:beforeAutospacing="0" w:after="0" w:afterAutospacing="0"/>
              <w:ind w:left="-53" w:leftChars="-25" w:right="-53" w:rightChars="-25"/>
              <w:contextualSpacing/>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报价30%</w:t>
            </w:r>
          </w:p>
        </w:tc>
        <w:tc>
          <w:tcPr>
            <w:tcW w:w="851" w:type="dxa"/>
            <w:noWrap w:val="0"/>
            <w:vAlign w:val="center"/>
          </w:tcPr>
          <w:p>
            <w:pPr>
              <w:keepNext w:val="0"/>
              <w:keepLines w:val="0"/>
              <w:suppressLineNumbers w:val="0"/>
              <w:spacing w:before="0" w:beforeAutospacing="0" w:after="0" w:afterAutospacing="0"/>
              <w:ind w:left="-53" w:leftChars="-25" w:right="-53" w:rightChars="-25"/>
              <w:contextualSpacing/>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30分</w:t>
            </w:r>
          </w:p>
        </w:tc>
        <w:tc>
          <w:tcPr>
            <w:tcW w:w="4536" w:type="dxa"/>
            <w:noWrap w:val="0"/>
            <w:vAlign w:val="center"/>
          </w:tcPr>
          <w:p>
            <w:pPr>
              <w:pStyle w:val="193"/>
              <w:keepNext w:val="0"/>
              <w:keepLines w:val="0"/>
              <w:suppressLineNumbers w:val="0"/>
              <w:adjustRightInd w:val="0"/>
              <w:snapToGrid w:val="0"/>
              <w:spacing w:before="0" w:beforeAutospacing="0" w:after="0" w:afterAutospacing="0" w:line="300" w:lineRule="exact"/>
              <w:ind w:left="21" w:leftChars="10" w:right="21" w:rightChars="10"/>
              <w:rPr>
                <w:rFonts w:hint="eastAsia" w:ascii="新宋体" w:hAnsi="新宋体" w:eastAsia="新宋体" w:cs="新宋体"/>
                <w:snapToGrid/>
                <w:color w:val="auto"/>
                <w:szCs w:val="21"/>
                <w:highlight w:val="none"/>
              </w:rPr>
            </w:pPr>
            <w:r>
              <w:rPr>
                <w:rFonts w:hint="eastAsia" w:ascii="新宋体" w:hAnsi="新宋体" w:eastAsia="新宋体" w:cs="新宋体"/>
                <w:snapToGrid/>
                <w:color w:val="auto"/>
                <w:szCs w:val="21"/>
                <w:highlight w:val="none"/>
              </w:rPr>
              <w:t>满足招标文件要求且投标价格最低的投标报价为评标基准价，其价格分为满分。报价得分统一按照下列公式计算：投标报价得分=(评标基准价／投标报价)×30×100%；</w:t>
            </w:r>
            <w:r>
              <w:rPr>
                <w:rFonts w:hint="eastAsia" w:ascii="新宋体" w:hAnsi="新宋体" w:eastAsia="新宋体" w:cs="新宋体"/>
                <w:color w:val="auto"/>
                <w:szCs w:val="21"/>
                <w:highlight w:val="none"/>
              </w:rPr>
              <w:t>（保留小数点后两位）。</w:t>
            </w:r>
          </w:p>
          <w:p>
            <w:pPr>
              <w:keepNext w:val="0"/>
              <w:keepLines w:val="0"/>
              <w:suppressLineNumbers w:val="0"/>
              <w:spacing w:before="0" w:beforeAutospacing="0" w:after="0" w:afterAutospacing="0"/>
              <w:ind w:left="-53" w:leftChars="-25" w:right="-53" w:rightChars="-25"/>
              <w:contextualSpacing/>
              <w:jc w:val="center"/>
              <w:rPr>
                <w:rFonts w:hint="eastAsia" w:ascii="新宋体" w:hAnsi="新宋体" w:eastAsia="新宋体" w:cs="新宋体"/>
                <w:color w:val="auto"/>
                <w:szCs w:val="21"/>
                <w:highlight w:val="none"/>
              </w:rPr>
            </w:pPr>
          </w:p>
        </w:tc>
        <w:tc>
          <w:tcPr>
            <w:tcW w:w="2268" w:type="dxa"/>
            <w:noWrap w:val="0"/>
            <w:vAlign w:val="center"/>
          </w:tcPr>
          <w:p>
            <w:pPr>
              <w:keepNext w:val="0"/>
              <w:keepLines w:val="0"/>
              <w:suppressLineNumbers w:val="0"/>
              <w:spacing w:before="0" w:beforeAutospacing="0" w:after="0" w:afterAutospacing="0"/>
              <w:ind w:left="-53" w:leftChars="-25" w:right="-53" w:rightChars="-25"/>
              <w:contextualSpacing/>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按照（财库[2020]46号）规定本项目专门面向中小企业采购，不适用价格扣除；失信企业报价加成按照《四川省公共资源交易领域严重失信联合惩戒实施办法》（川发改信用规〔2019〕405号）、《关于对政府采购领域严重违法失信主体开展联合惩戒的合作备忘录》（发改财金〔2018〕1614号）规定执行。</w:t>
            </w:r>
          </w:p>
        </w:tc>
        <w:tc>
          <w:tcPr>
            <w:tcW w:w="958" w:type="dxa"/>
            <w:noWrap w:val="0"/>
            <w:vAlign w:val="center"/>
          </w:tcPr>
          <w:p>
            <w:pPr>
              <w:keepNext w:val="0"/>
              <w:keepLines w:val="0"/>
              <w:suppressLineNumbers w:val="0"/>
              <w:spacing w:before="0" w:beforeAutospacing="0" w:after="0" w:afterAutospacing="0"/>
              <w:ind w:left="-53" w:leftChars="-25" w:right="-53" w:rightChars="-25"/>
              <w:contextualSpacing/>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共同评分因素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568"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992" w:type="dxa"/>
            <w:noWrap w:val="0"/>
            <w:vAlign w:val="center"/>
          </w:tcPr>
          <w:p>
            <w:pPr>
              <w:keepNext w:val="0"/>
              <w:keepLines w:val="0"/>
              <w:suppressLineNumbers w:val="0"/>
              <w:spacing w:before="0" w:beforeAutospacing="0" w:after="0" w:afterAutospacing="0"/>
              <w:ind w:left="0" w:right="0"/>
              <w:rPr>
                <w:rFonts w:hint="eastAsia" w:ascii="新宋体" w:hAnsi="新宋体" w:eastAsia="新宋体" w:cs="新宋体"/>
                <w:color w:val="auto"/>
                <w:szCs w:val="21"/>
                <w:highlight w:val="none"/>
              </w:rPr>
            </w:pPr>
            <w:r>
              <w:rPr>
                <w:rFonts w:hint="eastAsia" w:ascii="新宋体" w:hAnsi="新宋体" w:eastAsia="新宋体" w:cs="新宋体"/>
                <w:color w:val="auto"/>
                <w:szCs w:val="22"/>
                <w:highlight w:val="none"/>
              </w:rPr>
              <w:t>技术指标、功能要求</w:t>
            </w:r>
            <w:r>
              <w:rPr>
                <w:rFonts w:hint="eastAsia" w:ascii="新宋体" w:hAnsi="新宋体" w:eastAsia="新宋体" w:cs="新宋体"/>
                <w:color w:val="auto"/>
                <w:szCs w:val="21"/>
                <w:highlight w:val="none"/>
              </w:rPr>
              <w:t>38%</w:t>
            </w:r>
          </w:p>
        </w:tc>
        <w:tc>
          <w:tcPr>
            <w:tcW w:w="851" w:type="dxa"/>
            <w:noWrap w:val="0"/>
            <w:vAlign w:val="center"/>
          </w:tcPr>
          <w:p>
            <w:pPr>
              <w:keepNext w:val="0"/>
              <w:keepLines w:val="0"/>
              <w:suppressLineNumbers w:val="0"/>
              <w:spacing w:before="0" w:beforeAutospacing="0" w:after="0" w:afterAutospacing="0"/>
              <w:ind w:left="-53" w:leftChars="-25" w:right="-53" w:rightChars="-25"/>
              <w:contextualSpacing/>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38分</w:t>
            </w:r>
          </w:p>
        </w:tc>
        <w:tc>
          <w:tcPr>
            <w:tcW w:w="4536" w:type="dxa"/>
            <w:noWrap w:val="0"/>
            <w:vAlign w:val="center"/>
          </w:tcPr>
          <w:p>
            <w:pPr>
              <w:keepNext w:val="0"/>
              <w:keepLines w:val="0"/>
              <w:suppressLineNumbers w:val="0"/>
              <w:spacing w:before="0" w:beforeAutospacing="0" w:after="0" w:afterAutospacing="0"/>
              <w:ind w:left="-53" w:leftChars="-25" w:right="-53" w:rightChars="-25"/>
              <w:contextualSpacing/>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完全符合招标文件技术参数要求没有负偏离（共19项）得38分；有一项不满足招标文件技术参数要求的，扣2分，扣完为止。</w:t>
            </w:r>
          </w:p>
          <w:p>
            <w:pPr>
              <w:keepNext w:val="0"/>
              <w:keepLines w:val="0"/>
              <w:suppressLineNumbers w:val="0"/>
              <w:spacing w:before="0" w:beforeAutospacing="0" w:after="0" w:afterAutospacing="0"/>
              <w:ind w:left="-53" w:leftChars="-25" w:right="-53" w:rightChars="-25"/>
              <w:contextualSpacing/>
              <w:rPr>
                <w:rFonts w:hint="eastAsia" w:ascii="新宋体" w:hAnsi="新宋体" w:eastAsia="新宋体" w:cs="新宋体"/>
                <w:color w:val="auto"/>
                <w:szCs w:val="21"/>
                <w:highlight w:val="none"/>
              </w:rPr>
            </w:pPr>
          </w:p>
        </w:tc>
        <w:tc>
          <w:tcPr>
            <w:tcW w:w="2268" w:type="dxa"/>
            <w:noWrap w:val="0"/>
            <w:vAlign w:val="center"/>
          </w:tcPr>
          <w:p>
            <w:pPr>
              <w:keepNext w:val="0"/>
              <w:keepLines w:val="0"/>
              <w:suppressLineNumbers w:val="0"/>
              <w:spacing w:before="0" w:beforeAutospacing="0" w:after="0" w:afterAutospacing="0"/>
              <w:ind w:left="-53" w:leftChars="-25" w:right="-53" w:rightChars="-25"/>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“★”号条款为实质性要求，不作为评分项，不满足将按无效响应处理。</w:t>
            </w:r>
          </w:p>
          <w:p>
            <w:pPr>
              <w:keepNext w:val="0"/>
              <w:keepLines w:val="0"/>
              <w:suppressLineNumbers w:val="0"/>
              <w:spacing w:before="0" w:beforeAutospacing="0" w:after="0" w:afterAutospacing="0"/>
              <w:ind w:left="-53" w:leftChars="-25" w:right="-53" w:rightChars="-25"/>
              <w:rPr>
                <w:rFonts w:hint="eastAsia" w:ascii="新宋体" w:hAnsi="新宋体" w:eastAsia="新宋体" w:cs="新宋体"/>
                <w:color w:val="auto"/>
                <w:szCs w:val="21"/>
                <w:highlight w:val="none"/>
              </w:rPr>
            </w:pPr>
          </w:p>
        </w:tc>
        <w:tc>
          <w:tcPr>
            <w:tcW w:w="958"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技术</w:t>
            </w:r>
            <w:bookmarkStart w:id="801" w:name="_GoBack"/>
            <w:bookmarkEnd w:id="801"/>
            <w:r>
              <w:rPr>
                <w:rFonts w:hint="eastAsia" w:ascii="新宋体" w:hAnsi="新宋体" w:eastAsia="新宋体" w:cs="新宋体"/>
                <w:color w:val="auto"/>
                <w:szCs w:val="21"/>
                <w:highlight w:val="none"/>
              </w:rPr>
              <w:t>评审因素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8"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992"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投标人信誉与实力3%</w:t>
            </w:r>
          </w:p>
        </w:tc>
        <w:tc>
          <w:tcPr>
            <w:tcW w:w="851"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3分</w:t>
            </w:r>
          </w:p>
        </w:tc>
        <w:tc>
          <w:tcPr>
            <w:tcW w:w="4536" w:type="dxa"/>
            <w:noWrap w:val="0"/>
            <w:vAlign w:val="center"/>
          </w:tcPr>
          <w:p>
            <w:pPr>
              <w:keepNext w:val="0"/>
              <w:keepLines w:val="0"/>
              <w:suppressLineNumbers w:val="0"/>
              <w:spacing w:before="0" w:beforeAutospacing="0" w:after="0" w:afterAutospacing="0"/>
              <w:ind w:left="-53" w:leftChars="-25" w:right="-53" w:rightChars="-25"/>
              <w:jc w:val="lef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投标人或所投LED教室灯和LED黑板灯制造商具有有效期内且认证范围至少包含LED灯具的①质量管理体系认证得1分；②环境管理体系认证得 1分；③职业健康安全管理体系认证得1分。</w:t>
            </w:r>
          </w:p>
        </w:tc>
        <w:tc>
          <w:tcPr>
            <w:tcW w:w="2268"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提供证书复印件并加盖投标人鲜章。</w:t>
            </w:r>
          </w:p>
        </w:tc>
        <w:tc>
          <w:tcPr>
            <w:tcW w:w="958"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共同评审因素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8"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4</w:t>
            </w:r>
          </w:p>
        </w:tc>
        <w:tc>
          <w:tcPr>
            <w:tcW w:w="992" w:type="dxa"/>
            <w:noWrap w:val="0"/>
            <w:vAlign w:val="center"/>
          </w:tcPr>
          <w:p>
            <w:pPr>
              <w:keepNext w:val="0"/>
              <w:keepLines w:val="0"/>
              <w:suppressLineNumbers w:val="0"/>
              <w:spacing w:before="0" w:beforeAutospacing="0" w:after="0" w:afterAutospacing="0"/>
              <w:ind w:left="-53" w:leftChars="-25" w:right="-53" w:rightChars="-25"/>
              <w:contextualSpacing/>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项目实施方案</w:t>
            </w:r>
          </w:p>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25%</w:t>
            </w:r>
          </w:p>
        </w:tc>
        <w:tc>
          <w:tcPr>
            <w:tcW w:w="851"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25分</w:t>
            </w:r>
          </w:p>
        </w:tc>
        <w:tc>
          <w:tcPr>
            <w:tcW w:w="4536" w:type="dxa"/>
            <w:noWrap w:val="0"/>
            <w:vAlign w:val="center"/>
          </w:tcPr>
          <w:p>
            <w:pPr>
              <w:keepNext w:val="0"/>
              <w:keepLines w:val="0"/>
              <w:suppressLineNumbers w:val="0"/>
              <w:spacing w:before="0" w:beforeAutospacing="0" w:after="0" w:afterAutospacing="0"/>
              <w:ind w:left="-53" w:leftChars="-25" w:right="-53" w:rightChars="-25"/>
              <w:jc w:val="left"/>
              <w:rPr>
                <w:rFonts w:hint="eastAsia" w:ascii="新宋体" w:hAnsi="新宋体" w:eastAsia="新宋体" w:cs="新宋体"/>
                <w:color w:val="auto"/>
                <w:szCs w:val="21"/>
                <w:highlight w:val="none"/>
                <w:lang w:val="zh-TW" w:eastAsia="zh-TW"/>
              </w:rPr>
            </w:pPr>
            <w:r>
              <w:rPr>
                <w:rFonts w:hint="eastAsia" w:ascii="新宋体" w:hAnsi="新宋体" w:eastAsia="新宋体" w:cs="新宋体"/>
                <w:color w:val="auto"/>
                <w:szCs w:val="21"/>
                <w:highlight w:val="none"/>
                <w:lang w:val="zh-TW" w:eastAsia="zh-TW"/>
              </w:rPr>
              <w:t>根据</w:t>
            </w:r>
            <w:r>
              <w:rPr>
                <w:rFonts w:hint="eastAsia" w:ascii="新宋体" w:hAnsi="新宋体" w:eastAsia="新宋体" w:cs="新宋体"/>
                <w:color w:val="auto"/>
                <w:szCs w:val="21"/>
                <w:highlight w:val="none"/>
              </w:rPr>
              <w:t>投标人</w:t>
            </w:r>
            <w:r>
              <w:rPr>
                <w:rFonts w:hint="eastAsia" w:ascii="新宋体" w:hAnsi="新宋体" w:eastAsia="新宋体" w:cs="新宋体"/>
                <w:color w:val="auto"/>
                <w:szCs w:val="21"/>
                <w:highlight w:val="none"/>
                <w:lang w:val="zh-TW" w:eastAsia="zh-TW"/>
              </w:rPr>
              <w:t>针对本项目的</w:t>
            </w:r>
            <w:r>
              <w:rPr>
                <w:rFonts w:hint="eastAsia" w:ascii="新宋体" w:hAnsi="新宋体" w:eastAsia="新宋体" w:cs="新宋体"/>
                <w:color w:val="auto"/>
                <w:szCs w:val="21"/>
                <w:highlight w:val="none"/>
              </w:rPr>
              <w:t>实施</w:t>
            </w:r>
            <w:r>
              <w:rPr>
                <w:rFonts w:hint="eastAsia" w:ascii="新宋体" w:hAnsi="新宋体" w:eastAsia="新宋体" w:cs="新宋体"/>
                <w:color w:val="auto"/>
                <w:szCs w:val="21"/>
                <w:highlight w:val="none"/>
                <w:lang w:val="zh-TW" w:eastAsia="zh-TW"/>
              </w:rPr>
              <w:t>方案</w:t>
            </w:r>
            <w:r>
              <w:rPr>
                <w:rFonts w:hint="eastAsia" w:ascii="新宋体" w:hAnsi="新宋体" w:eastAsia="新宋体" w:cs="新宋体"/>
                <w:color w:val="auto"/>
                <w:szCs w:val="21"/>
                <w:highlight w:val="none"/>
              </w:rPr>
              <w:t>进行综合评</w:t>
            </w:r>
            <w:r>
              <w:rPr>
                <w:rFonts w:hint="eastAsia" w:ascii="新宋体" w:hAnsi="新宋体" w:eastAsia="新宋体" w:cs="新宋体"/>
                <w:color w:val="auto"/>
                <w:szCs w:val="21"/>
                <w:highlight w:val="none"/>
                <w:lang w:val="zh-TW" w:eastAsia="zh-TW"/>
              </w:rPr>
              <w:t>分，方案中：</w:t>
            </w:r>
          </w:p>
          <w:p>
            <w:pPr>
              <w:keepNext w:val="0"/>
              <w:keepLines w:val="0"/>
              <w:suppressLineNumbers w:val="0"/>
              <w:spacing w:before="0" w:beforeAutospacing="0" w:after="0" w:afterAutospacing="0"/>
              <w:ind w:left="-53" w:leftChars="-25" w:right="-53" w:rightChars="-25"/>
              <w:jc w:val="lef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zh-TW" w:eastAsia="zh-TW"/>
              </w:rPr>
              <w:t>（1）配送安装方案（</w:t>
            </w:r>
            <w:r>
              <w:rPr>
                <w:rFonts w:hint="eastAsia" w:ascii="新宋体" w:hAnsi="新宋体" w:eastAsia="新宋体" w:cs="新宋体"/>
                <w:color w:val="auto"/>
                <w:szCs w:val="21"/>
                <w:highlight w:val="none"/>
                <w:lang w:val="zh-TW"/>
              </w:rPr>
              <w:t>15</w:t>
            </w:r>
            <w:r>
              <w:rPr>
                <w:rFonts w:hint="eastAsia" w:ascii="新宋体" w:hAnsi="新宋体" w:eastAsia="新宋体" w:cs="新宋体"/>
                <w:color w:val="auto"/>
                <w:szCs w:val="21"/>
                <w:highlight w:val="none"/>
                <w:lang w:val="zh-TW" w:eastAsia="zh-TW"/>
              </w:rPr>
              <w:t>分）：针对</w:t>
            </w:r>
            <w:r>
              <w:rPr>
                <w:rFonts w:hint="eastAsia" w:ascii="新宋体" w:hAnsi="新宋体" w:eastAsia="新宋体" w:cs="新宋体"/>
                <w:color w:val="auto"/>
                <w:szCs w:val="21"/>
                <w:highlight w:val="none"/>
                <w:lang w:val="zh-TW"/>
              </w:rPr>
              <w:t>本项目</w:t>
            </w:r>
            <w:r>
              <w:rPr>
                <w:rFonts w:hint="eastAsia" w:ascii="新宋体" w:hAnsi="新宋体" w:eastAsia="新宋体" w:cs="新宋体"/>
                <w:color w:val="auto"/>
                <w:szCs w:val="21"/>
                <w:highlight w:val="none"/>
                <w:lang w:val="zh-TW" w:eastAsia="zh-TW"/>
              </w:rPr>
              <w:t>，提供①货物配送；②勘测定位设计；③线路改造；④灯具安装；⑤安装工艺方法等进行综合评分，以本项目的响应程度和最大限度满足采购人的采购需求为标准进行评定，配送安装方案语言表述准确清晰，内容健全，并符合本项目实施特点的得</w:t>
            </w:r>
            <w:r>
              <w:rPr>
                <w:rFonts w:hint="eastAsia" w:ascii="新宋体" w:hAnsi="新宋体" w:eastAsia="新宋体" w:cs="新宋体"/>
                <w:color w:val="auto"/>
                <w:szCs w:val="21"/>
                <w:highlight w:val="none"/>
              </w:rPr>
              <w:t>15</w:t>
            </w:r>
            <w:r>
              <w:rPr>
                <w:rFonts w:hint="eastAsia" w:ascii="新宋体" w:hAnsi="新宋体" w:eastAsia="新宋体" w:cs="新宋体"/>
                <w:color w:val="auto"/>
                <w:szCs w:val="21"/>
                <w:highlight w:val="none"/>
                <w:lang w:val="zh-TW" w:eastAsia="zh-TW"/>
              </w:rPr>
              <w:t>分；每缺一项扣</w:t>
            </w:r>
            <w:r>
              <w:rPr>
                <w:rFonts w:hint="eastAsia" w:ascii="新宋体" w:hAnsi="新宋体" w:eastAsia="新宋体" w:cs="新宋体"/>
                <w:color w:val="auto"/>
                <w:szCs w:val="21"/>
                <w:highlight w:val="none"/>
              </w:rPr>
              <w:t>3</w:t>
            </w:r>
            <w:r>
              <w:rPr>
                <w:rFonts w:hint="eastAsia" w:ascii="新宋体" w:hAnsi="新宋体" w:eastAsia="新宋体" w:cs="新宋体"/>
                <w:color w:val="auto"/>
                <w:szCs w:val="21"/>
                <w:highlight w:val="none"/>
                <w:lang w:val="zh-TW" w:eastAsia="zh-TW"/>
              </w:rPr>
              <w:t>分；每项中有1处引用法规或标准错误或描述不清晰、模糊，与实际需求不符或不满足要求或与项目需求不匹配或直接套用其他项目内容的扣</w:t>
            </w:r>
            <w:r>
              <w:rPr>
                <w:rFonts w:hint="eastAsia" w:ascii="新宋体" w:hAnsi="新宋体" w:eastAsia="新宋体" w:cs="新宋体"/>
                <w:color w:val="auto"/>
                <w:szCs w:val="21"/>
                <w:highlight w:val="none"/>
              </w:rPr>
              <w:t>1</w:t>
            </w:r>
            <w:r>
              <w:rPr>
                <w:rFonts w:hint="eastAsia" w:ascii="新宋体" w:hAnsi="新宋体" w:eastAsia="新宋体" w:cs="新宋体"/>
                <w:color w:val="auto"/>
                <w:szCs w:val="21"/>
                <w:highlight w:val="none"/>
                <w:lang w:val="zh-TW" w:eastAsia="zh-TW"/>
              </w:rPr>
              <w:t>.5分，该分项扣完为止。（</w:t>
            </w:r>
            <w:r>
              <w:rPr>
                <w:rFonts w:hint="eastAsia" w:ascii="新宋体" w:hAnsi="新宋体" w:eastAsia="新宋体" w:cs="新宋体"/>
                <w:color w:val="auto"/>
                <w:szCs w:val="21"/>
                <w:highlight w:val="none"/>
                <w:lang w:val="zh-TW"/>
              </w:rPr>
              <w:t>2</w:t>
            </w:r>
            <w:r>
              <w:rPr>
                <w:rFonts w:hint="eastAsia" w:ascii="新宋体" w:hAnsi="新宋体" w:eastAsia="新宋体" w:cs="新宋体"/>
                <w:color w:val="auto"/>
                <w:szCs w:val="21"/>
                <w:highlight w:val="none"/>
                <w:lang w:val="zh-TW" w:eastAsia="zh-TW"/>
              </w:rPr>
              <w:t>）质量保证措施方案（</w:t>
            </w:r>
            <w:r>
              <w:rPr>
                <w:rFonts w:hint="eastAsia" w:ascii="新宋体" w:hAnsi="新宋体" w:eastAsia="新宋体" w:cs="新宋体"/>
                <w:color w:val="auto"/>
                <w:szCs w:val="21"/>
                <w:highlight w:val="none"/>
              </w:rPr>
              <w:t>6</w:t>
            </w:r>
            <w:r>
              <w:rPr>
                <w:rFonts w:hint="eastAsia" w:ascii="新宋体" w:hAnsi="新宋体" w:eastAsia="新宋体" w:cs="新宋体"/>
                <w:color w:val="auto"/>
                <w:szCs w:val="21"/>
                <w:highlight w:val="none"/>
                <w:lang w:val="zh-TW" w:eastAsia="zh-TW"/>
              </w:rPr>
              <w:t>分）：①如支架、电源、面板、背板、反光材料、光珠等的质量保证到生产灯具到成品等，②做好每一步质量控制措施方案描述完善合理；③灯具安装中定位设计、线路改造、开关控制、达标检测、材料老化后承重设计等每一个环节的质量控制措施等进行综合评分，以本项目的响应程度和最大限度满足采购人的采购需求为标准进行评定，</w:t>
            </w:r>
            <w:r>
              <w:rPr>
                <w:rFonts w:hint="eastAsia" w:ascii="新宋体" w:hAnsi="新宋体" w:eastAsia="新宋体" w:cs="新宋体"/>
                <w:color w:val="auto"/>
                <w:szCs w:val="21"/>
                <w:highlight w:val="none"/>
                <w:lang w:val="zh-TW"/>
              </w:rPr>
              <w:t>质量保证措施</w:t>
            </w:r>
            <w:r>
              <w:rPr>
                <w:rFonts w:hint="eastAsia" w:ascii="新宋体" w:hAnsi="新宋体" w:eastAsia="新宋体" w:cs="新宋体"/>
                <w:color w:val="auto"/>
                <w:szCs w:val="21"/>
                <w:highlight w:val="none"/>
                <w:lang w:val="zh-TW" w:eastAsia="zh-TW"/>
              </w:rPr>
              <w:t>方案语言表述准确清晰，内容健全，并符合本项目实施特点的得</w:t>
            </w:r>
            <w:r>
              <w:rPr>
                <w:rFonts w:hint="eastAsia" w:ascii="新宋体" w:hAnsi="新宋体" w:eastAsia="新宋体" w:cs="新宋体"/>
                <w:color w:val="auto"/>
                <w:szCs w:val="21"/>
                <w:highlight w:val="none"/>
              </w:rPr>
              <w:t>6</w:t>
            </w:r>
            <w:r>
              <w:rPr>
                <w:rFonts w:hint="eastAsia" w:ascii="新宋体" w:hAnsi="新宋体" w:eastAsia="新宋体" w:cs="新宋体"/>
                <w:color w:val="auto"/>
                <w:szCs w:val="21"/>
                <w:highlight w:val="none"/>
                <w:lang w:val="zh-TW" w:eastAsia="zh-TW"/>
              </w:rPr>
              <w:t>分；每缺一项扣</w:t>
            </w:r>
            <w:r>
              <w:rPr>
                <w:rFonts w:hint="eastAsia" w:ascii="新宋体" w:hAnsi="新宋体" w:eastAsia="新宋体" w:cs="新宋体"/>
                <w:color w:val="auto"/>
                <w:szCs w:val="21"/>
                <w:highlight w:val="none"/>
              </w:rPr>
              <w:t>2</w:t>
            </w:r>
            <w:r>
              <w:rPr>
                <w:rFonts w:hint="eastAsia" w:ascii="新宋体" w:hAnsi="新宋体" w:eastAsia="新宋体" w:cs="新宋体"/>
                <w:color w:val="auto"/>
                <w:szCs w:val="21"/>
                <w:highlight w:val="none"/>
                <w:lang w:val="zh-TW" w:eastAsia="zh-TW"/>
              </w:rPr>
              <w:t>分；每项中有1处引用法规或标准错误或描述不清晰、模糊，与实际需求不符或不满足要求或与项目需求不匹配或直接套用其他项目内容的扣</w:t>
            </w:r>
            <w:r>
              <w:rPr>
                <w:rFonts w:hint="eastAsia" w:ascii="新宋体" w:hAnsi="新宋体" w:eastAsia="新宋体" w:cs="新宋体"/>
                <w:color w:val="auto"/>
                <w:szCs w:val="21"/>
                <w:highlight w:val="none"/>
              </w:rPr>
              <w:t>1</w:t>
            </w:r>
            <w:r>
              <w:rPr>
                <w:rFonts w:hint="eastAsia" w:ascii="新宋体" w:hAnsi="新宋体" w:eastAsia="新宋体" w:cs="新宋体"/>
                <w:color w:val="auto"/>
                <w:szCs w:val="21"/>
                <w:highlight w:val="none"/>
                <w:lang w:val="zh-TW" w:eastAsia="zh-TW"/>
              </w:rPr>
              <w:t>分，该分项扣完为止。（</w:t>
            </w:r>
            <w:r>
              <w:rPr>
                <w:rFonts w:hint="eastAsia" w:ascii="新宋体" w:hAnsi="新宋体" w:eastAsia="新宋体" w:cs="新宋体"/>
                <w:color w:val="auto"/>
                <w:szCs w:val="21"/>
                <w:highlight w:val="none"/>
                <w:lang w:val="zh-TW"/>
              </w:rPr>
              <w:t>3</w:t>
            </w:r>
            <w:r>
              <w:rPr>
                <w:rFonts w:hint="eastAsia" w:ascii="新宋体" w:hAnsi="新宋体" w:eastAsia="新宋体" w:cs="新宋体"/>
                <w:color w:val="auto"/>
                <w:szCs w:val="21"/>
                <w:highlight w:val="none"/>
                <w:lang w:val="zh-TW" w:eastAsia="zh-TW"/>
              </w:rPr>
              <w:t>）安全文明施工与环境保护措施（</w:t>
            </w:r>
            <w:r>
              <w:rPr>
                <w:rFonts w:hint="eastAsia" w:ascii="新宋体" w:hAnsi="新宋体" w:eastAsia="新宋体" w:cs="新宋体"/>
                <w:color w:val="auto"/>
                <w:szCs w:val="21"/>
                <w:highlight w:val="none"/>
              </w:rPr>
              <w:t>4</w:t>
            </w:r>
            <w:r>
              <w:rPr>
                <w:rFonts w:hint="eastAsia" w:ascii="新宋体" w:hAnsi="新宋体" w:eastAsia="新宋体" w:cs="新宋体"/>
                <w:color w:val="auto"/>
                <w:szCs w:val="21"/>
                <w:highlight w:val="none"/>
                <w:lang w:val="zh-TW"/>
              </w:rPr>
              <w:t>分</w:t>
            </w:r>
            <w:r>
              <w:rPr>
                <w:rFonts w:hint="eastAsia" w:ascii="新宋体" w:hAnsi="新宋体" w:eastAsia="新宋体" w:cs="新宋体"/>
                <w:color w:val="auto"/>
                <w:szCs w:val="21"/>
                <w:highlight w:val="none"/>
                <w:lang w:val="zh-TW" w:eastAsia="zh-TW"/>
              </w:rPr>
              <w:t>）</w:t>
            </w:r>
            <w:r>
              <w:rPr>
                <w:rFonts w:hint="eastAsia" w:ascii="新宋体" w:hAnsi="新宋体" w:eastAsia="新宋体" w:cs="新宋体"/>
                <w:color w:val="auto"/>
                <w:szCs w:val="21"/>
                <w:highlight w:val="none"/>
                <w:lang w:val="zh-TW"/>
              </w:rPr>
              <w:t>：针对本项目，提供质量保证措施方案（包括但不限于：①安全文明施工、②环境保护措施</w:t>
            </w:r>
            <w:r>
              <w:rPr>
                <w:rFonts w:hint="eastAsia" w:ascii="新宋体" w:hAnsi="新宋体" w:eastAsia="新宋体" w:cs="新宋体"/>
                <w:color w:val="auto"/>
                <w:szCs w:val="21"/>
                <w:highlight w:val="none"/>
                <w:lang w:val="zh-TW" w:eastAsia="zh-TW"/>
              </w:rPr>
              <w:t>等进行综合评分，以本项目的响应程度和最大限度满足采购人的采购需求为标准进行评定，安全文明施工与环境保护措施语言表述准确清晰，内容健全，并符合本项目实施特点的得</w:t>
            </w:r>
            <w:r>
              <w:rPr>
                <w:rFonts w:hint="eastAsia" w:ascii="新宋体" w:hAnsi="新宋体" w:eastAsia="新宋体" w:cs="新宋体"/>
                <w:color w:val="auto"/>
                <w:szCs w:val="21"/>
                <w:highlight w:val="none"/>
              </w:rPr>
              <w:t>4</w:t>
            </w:r>
            <w:r>
              <w:rPr>
                <w:rFonts w:hint="eastAsia" w:ascii="新宋体" w:hAnsi="新宋体" w:eastAsia="新宋体" w:cs="新宋体"/>
                <w:color w:val="auto"/>
                <w:szCs w:val="21"/>
                <w:highlight w:val="none"/>
                <w:lang w:val="zh-TW" w:eastAsia="zh-TW"/>
              </w:rPr>
              <w:t>分；每缺一项扣</w:t>
            </w:r>
            <w:r>
              <w:rPr>
                <w:rFonts w:hint="eastAsia" w:ascii="新宋体" w:hAnsi="新宋体" w:eastAsia="新宋体" w:cs="新宋体"/>
                <w:color w:val="auto"/>
                <w:szCs w:val="21"/>
                <w:highlight w:val="none"/>
              </w:rPr>
              <w:t>2</w:t>
            </w:r>
            <w:r>
              <w:rPr>
                <w:rFonts w:hint="eastAsia" w:ascii="新宋体" w:hAnsi="新宋体" w:eastAsia="新宋体" w:cs="新宋体"/>
                <w:color w:val="auto"/>
                <w:szCs w:val="21"/>
                <w:highlight w:val="none"/>
                <w:lang w:val="zh-TW" w:eastAsia="zh-TW"/>
              </w:rPr>
              <w:t>分；每项中有1处引用法规或标准错误或描述不清晰、模糊，与实际需求不符或不满足要求或与项目需求不匹配或直接套用其他项目内容的扣</w:t>
            </w:r>
            <w:r>
              <w:rPr>
                <w:rFonts w:hint="eastAsia" w:ascii="新宋体" w:hAnsi="新宋体" w:eastAsia="新宋体" w:cs="新宋体"/>
                <w:color w:val="auto"/>
                <w:szCs w:val="21"/>
                <w:highlight w:val="none"/>
              </w:rPr>
              <w:t>1</w:t>
            </w:r>
            <w:r>
              <w:rPr>
                <w:rFonts w:hint="eastAsia" w:ascii="新宋体" w:hAnsi="新宋体" w:eastAsia="新宋体" w:cs="新宋体"/>
                <w:color w:val="auto"/>
                <w:szCs w:val="21"/>
                <w:highlight w:val="none"/>
                <w:lang w:val="zh-TW" w:eastAsia="zh-TW"/>
              </w:rPr>
              <w:t>分，该分项扣完为止。</w:t>
            </w:r>
          </w:p>
        </w:tc>
        <w:tc>
          <w:tcPr>
            <w:tcW w:w="2268"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 w:val="18"/>
                <w:szCs w:val="18"/>
                <w:highlight w:val="none"/>
              </w:rPr>
            </w:pPr>
          </w:p>
        </w:tc>
        <w:tc>
          <w:tcPr>
            <w:tcW w:w="958"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 w:val="18"/>
                <w:szCs w:val="18"/>
                <w:highlight w:val="none"/>
              </w:rPr>
            </w:pPr>
            <w:r>
              <w:rPr>
                <w:rFonts w:hint="eastAsia" w:ascii="新宋体" w:hAnsi="新宋体" w:eastAsia="新宋体" w:cs="新宋体"/>
                <w:color w:val="auto"/>
                <w:szCs w:val="21"/>
                <w:highlight w:val="none"/>
              </w:rPr>
              <w:t>技术评审因素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8"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5</w:t>
            </w:r>
          </w:p>
        </w:tc>
        <w:tc>
          <w:tcPr>
            <w:tcW w:w="992"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售后服务方案2%</w:t>
            </w:r>
          </w:p>
        </w:tc>
        <w:tc>
          <w:tcPr>
            <w:tcW w:w="851"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2分</w:t>
            </w:r>
          </w:p>
        </w:tc>
        <w:tc>
          <w:tcPr>
            <w:tcW w:w="4536" w:type="dxa"/>
            <w:noWrap w:val="0"/>
            <w:vAlign w:val="center"/>
          </w:tcPr>
          <w:p>
            <w:pPr>
              <w:keepNext w:val="0"/>
              <w:keepLines w:val="0"/>
              <w:suppressLineNumbers w:val="0"/>
              <w:spacing w:before="0" w:beforeAutospacing="0" w:after="0" w:afterAutospacing="0"/>
              <w:ind w:left="-53" w:leftChars="-25" w:right="-53" w:rightChars="-25"/>
              <w:jc w:val="lef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zh-TW" w:eastAsia="zh-TW"/>
              </w:rPr>
              <w:t>根据</w:t>
            </w:r>
            <w:r>
              <w:rPr>
                <w:rFonts w:hint="eastAsia" w:ascii="新宋体" w:hAnsi="新宋体" w:eastAsia="新宋体" w:cs="新宋体"/>
                <w:color w:val="auto"/>
                <w:szCs w:val="21"/>
                <w:highlight w:val="none"/>
              </w:rPr>
              <w:t>投标人</w:t>
            </w:r>
            <w:r>
              <w:rPr>
                <w:rFonts w:hint="eastAsia" w:ascii="新宋体" w:hAnsi="新宋体" w:eastAsia="新宋体" w:cs="新宋体"/>
                <w:color w:val="auto"/>
                <w:szCs w:val="21"/>
                <w:highlight w:val="none"/>
                <w:lang w:val="zh-TW" w:eastAsia="zh-TW"/>
              </w:rPr>
              <w:t>提供的售后服务方案</w:t>
            </w:r>
            <w:r>
              <w:rPr>
                <w:rFonts w:hint="eastAsia" w:ascii="新宋体" w:hAnsi="新宋体" w:eastAsia="新宋体" w:cs="新宋体"/>
                <w:color w:val="auto"/>
                <w:szCs w:val="21"/>
                <w:highlight w:val="none"/>
                <w:lang w:val="zh-TW"/>
              </w:rPr>
              <w:t>（</w:t>
            </w:r>
            <w:r>
              <w:rPr>
                <w:rFonts w:hint="eastAsia" w:ascii="新宋体" w:hAnsi="新宋体" w:eastAsia="新宋体" w:cs="新宋体"/>
                <w:color w:val="auto"/>
                <w:szCs w:val="21"/>
                <w:highlight w:val="none"/>
                <w:lang w:val="zh-TW" w:eastAsia="zh-TW"/>
              </w:rPr>
              <w:t>包括</w:t>
            </w:r>
            <w:r>
              <w:rPr>
                <w:rFonts w:hint="eastAsia" w:ascii="新宋体" w:hAnsi="新宋体" w:eastAsia="新宋体" w:cs="新宋体"/>
                <w:color w:val="auto"/>
                <w:szCs w:val="21"/>
                <w:highlight w:val="none"/>
              </w:rPr>
              <w:t>但不限于</w:t>
            </w:r>
            <w:r>
              <w:rPr>
                <w:rFonts w:hint="eastAsia" w:ascii="新宋体" w:hAnsi="新宋体" w:eastAsia="新宋体" w:cs="新宋体"/>
                <w:color w:val="auto"/>
                <w:szCs w:val="21"/>
                <w:highlight w:val="none"/>
                <w:lang w:val="zh-TW" w:eastAsia="zh-TW"/>
              </w:rPr>
              <w:t>（1）应急措施；（2）售后服务流程及售后服务人员安排及相关设施设备（3）备货供应和响应保障；（4）巡检方案</w:t>
            </w:r>
            <w:r>
              <w:rPr>
                <w:rFonts w:hint="eastAsia" w:ascii="新宋体" w:hAnsi="新宋体" w:eastAsia="新宋体" w:cs="新宋体"/>
                <w:color w:val="auto"/>
                <w:szCs w:val="21"/>
                <w:highlight w:val="none"/>
              </w:rPr>
              <w:t>等内容</w:t>
            </w:r>
            <w:r>
              <w:rPr>
                <w:rFonts w:hint="eastAsia" w:ascii="新宋体" w:hAnsi="新宋体" w:eastAsia="新宋体" w:cs="新宋体"/>
                <w:color w:val="auto"/>
                <w:szCs w:val="21"/>
                <w:highlight w:val="none"/>
                <w:lang w:val="zh-TW"/>
              </w:rPr>
              <w:t>）</w:t>
            </w:r>
            <w:r>
              <w:rPr>
                <w:rFonts w:hint="eastAsia" w:ascii="新宋体" w:hAnsi="新宋体" w:eastAsia="新宋体" w:cs="新宋体"/>
                <w:color w:val="auto"/>
                <w:szCs w:val="21"/>
                <w:highlight w:val="none"/>
              </w:rPr>
              <w:t>进行综合评分</w:t>
            </w:r>
            <w:r>
              <w:rPr>
                <w:rFonts w:hint="eastAsia" w:ascii="新宋体" w:hAnsi="新宋体" w:eastAsia="新宋体" w:cs="新宋体"/>
                <w:color w:val="auto"/>
                <w:szCs w:val="21"/>
                <w:highlight w:val="none"/>
                <w:lang w:val="zh-TW" w:eastAsia="zh-TW"/>
              </w:rPr>
              <w:t>。以本项目的响应程度和最大限度满足采购人的采购需求为标准进行评定，</w:t>
            </w:r>
            <w:r>
              <w:rPr>
                <w:rFonts w:hint="eastAsia" w:ascii="新宋体" w:hAnsi="新宋体" w:eastAsia="新宋体" w:cs="新宋体"/>
                <w:color w:val="auto"/>
                <w:szCs w:val="21"/>
                <w:highlight w:val="none"/>
              </w:rPr>
              <w:t>售后服务方案</w:t>
            </w:r>
            <w:r>
              <w:rPr>
                <w:rFonts w:hint="eastAsia" w:ascii="新宋体" w:hAnsi="新宋体" w:eastAsia="新宋体" w:cs="新宋体"/>
                <w:color w:val="auto"/>
                <w:szCs w:val="21"/>
                <w:highlight w:val="none"/>
                <w:lang w:val="zh-TW" w:eastAsia="zh-TW"/>
              </w:rPr>
              <w:t>语言表述准确清晰，内容健全，并符合本项目实施特点的得</w:t>
            </w:r>
            <w:r>
              <w:rPr>
                <w:rFonts w:hint="eastAsia" w:ascii="新宋体" w:hAnsi="新宋体" w:eastAsia="新宋体" w:cs="新宋体"/>
                <w:color w:val="auto"/>
                <w:szCs w:val="21"/>
                <w:highlight w:val="none"/>
              </w:rPr>
              <w:t>4</w:t>
            </w:r>
            <w:r>
              <w:rPr>
                <w:rFonts w:hint="eastAsia" w:ascii="新宋体" w:hAnsi="新宋体" w:eastAsia="新宋体" w:cs="新宋体"/>
                <w:color w:val="auto"/>
                <w:szCs w:val="21"/>
                <w:highlight w:val="none"/>
                <w:lang w:val="zh-TW" w:eastAsia="zh-TW"/>
              </w:rPr>
              <w:t>分</w:t>
            </w:r>
            <w:r>
              <w:rPr>
                <w:rFonts w:hint="eastAsia" w:ascii="新宋体" w:hAnsi="新宋体" w:eastAsia="新宋体" w:cs="新宋体"/>
                <w:color w:val="auto"/>
                <w:szCs w:val="21"/>
                <w:highlight w:val="none"/>
                <w:lang w:val="zh-TW"/>
              </w:rPr>
              <w:t>；</w:t>
            </w:r>
            <w:r>
              <w:rPr>
                <w:rFonts w:hint="eastAsia" w:ascii="新宋体" w:hAnsi="新宋体" w:eastAsia="新宋体" w:cs="新宋体"/>
                <w:color w:val="auto"/>
                <w:szCs w:val="21"/>
                <w:highlight w:val="none"/>
                <w:lang w:val="zh-TW" w:eastAsia="zh-TW"/>
              </w:rPr>
              <w:t>每缺一项扣</w:t>
            </w:r>
            <w:r>
              <w:rPr>
                <w:rFonts w:hint="eastAsia" w:ascii="新宋体" w:hAnsi="新宋体" w:eastAsia="新宋体" w:cs="新宋体"/>
                <w:color w:val="auto"/>
                <w:szCs w:val="21"/>
                <w:highlight w:val="none"/>
              </w:rPr>
              <w:t>0.5</w:t>
            </w:r>
            <w:r>
              <w:rPr>
                <w:rFonts w:hint="eastAsia" w:ascii="新宋体" w:hAnsi="新宋体" w:eastAsia="新宋体" w:cs="新宋体"/>
                <w:color w:val="auto"/>
                <w:szCs w:val="21"/>
                <w:highlight w:val="none"/>
                <w:lang w:val="zh-TW" w:eastAsia="zh-TW"/>
              </w:rPr>
              <w:t>分；每项中有1处引用法规或标准错误或描述不清晰、模糊，与实际需求不符或不满足要求或与项目需求不匹配或直接套用其他项目内容的扣</w:t>
            </w:r>
            <w:r>
              <w:rPr>
                <w:rFonts w:hint="eastAsia" w:ascii="新宋体" w:hAnsi="新宋体" w:eastAsia="新宋体" w:cs="新宋体"/>
                <w:color w:val="auto"/>
                <w:szCs w:val="21"/>
                <w:highlight w:val="none"/>
              </w:rPr>
              <w:t>0.25</w:t>
            </w:r>
            <w:r>
              <w:rPr>
                <w:rFonts w:hint="eastAsia" w:ascii="新宋体" w:hAnsi="新宋体" w:eastAsia="新宋体" w:cs="新宋体"/>
                <w:color w:val="auto"/>
                <w:szCs w:val="21"/>
                <w:highlight w:val="none"/>
                <w:lang w:val="zh-TW" w:eastAsia="zh-TW"/>
              </w:rPr>
              <w:t>分，该分项扣完为止。</w:t>
            </w:r>
          </w:p>
        </w:tc>
        <w:tc>
          <w:tcPr>
            <w:tcW w:w="2268" w:type="dxa"/>
            <w:noWrap w:val="0"/>
            <w:vAlign w:val="center"/>
          </w:tcPr>
          <w:p>
            <w:pPr>
              <w:keepNext w:val="0"/>
              <w:keepLines w:val="0"/>
              <w:suppressLineNumbers w:val="0"/>
              <w:spacing w:before="0" w:beforeAutospacing="0" w:after="0" w:afterAutospacing="0"/>
              <w:ind w:left="0" w:right="0"/>
              <w:contextualSpacing/>
              <w:jc w:val="center"/>
              <w:rPr>
                <w:rFonts w:hint="eastAsia" w:ascii="新宋体" w:hAnsi="新宋体" w:eastAsia="新宋体" w:cs="新宋体"/>
                <w:color w:val="auto"/>
                <w:sz w:val="18"/>
                <w:szCs w:val="18"/>
                <w:highlight w:val="none"/>
              </w:rPr>
            </w:pPr>
          </w:p>
        </w:tc>
        <w:tc>
          <w:tcPr>
            <w:tcW w:w="958" w:type="dxa"/>
            <w:noWrap w:val="0"/>
            <w:vAlign w:val="center"/>
          </w:tcPr>
          <w:p>
            <w:pPr>
              <w:keepNext w:val="0"/>
              <w:keepLines w:val="0"/>
              <w:suppressLineNumbers w:val="0"/>
              <w:spacing w:before="0" w:beforeAutospacing="0" w:after="0" w:afterAutospacing="0"/>
              <w:ind w:left="0" w:right="0"/>
              <w:contextualSpacing/>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技术评分因素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68"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6</w:t>
            </w:r>
          </w:p>
        </w:tc>
        <w:tc>
          <w:tcPr>
            <w:tcW w:w="992"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节能、环境标志、无线局域网产品2%</w:t>
            </w:r>
          </w:p>
        </w:tc>
        <w:tc>
          <w:tcPr>
            <w:tcW w:w="851" w:type="dxa"/>
            <w:noWrap w:val="0"/>
            <w:vAlign w:val="center"/>
          </w:tcPr>
          <w:p>
            <w:pPr>
              <w:keepNext w:val="0"/>
              <w:keepLines w:val="0"/>
              <w:suppressLineNumbers w:val="0"/>
              <w:spacing w:before="0" w:beforeAutospacing="0" w:after="0" w:afterAutospacing="0"/>
              <w:ind w:left="-53" w:leftChars="-25" w:right="-53" w:rightChars="-25"/>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2分</w:t>
            </w:r>
          </w:p>
        </w:tc>
        <w:tc>
          <w:tcPr>
            <w:tcW w:w="4536" w:type="dxa"/>
            <w:noWrap w:val="0"/>
            <w:vAlign w:val="center"/>
          </w:tcPr>
          <w:p>
            <w:pPr>
              <w:keepNext w:val="0"/>
              <w:keepLines w:val="0"/>
              <w:suppressLineNumbers w:val="0"/>
              <w:spacing w:before="0" w:beforeAutospacing="0" w:after="0" w:afterAutospacing="0"/>
              <w:ind w:left="-53" w:leftChars="-25" w:right="-53" w:rightChars="-25"/>
              <w:jc w:val="left"/>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投标产品中每有一项产品属于最新印发节能产品政府采购品目清单中（除强制采购产品外）的得1分，投标人投标产品中每有一项产品属于最新印发的环境标志产品政府采购品目清单中的得1分，投标人投标产品中每有一项产品属于政府采购无线局域网产品的得1分，本项最多得2分。</w:t>
            </w:r>
          </w:p>
        </w:tc>
        <w:tc>
          <w:tcPr>
            <w:tcW w:w="2268" w:type="dxa"/>
            <w:noWrap w:val="0"/>
            <w:vAlign w:val="center"/>
          </w:tcPr>
          <w:p>
            <w:pPr>
              <w:keepNext w:val="0"/>
              <w:keepLines w:val="0"/>
              <w:suppressLineNumbers w:val="0"/>
              <w:spacing w:before="0" w:beforeAutospacing="0" w:after="0" w:afterAutospacing="0"/>
              <w:ind w:left="0" w:right="0"/>
              <w:contextualSpacing/>
              <w:jc w:val="center"/>
              <w:rPr>
                <w:rFonts w:hint="eastAsia" w:ascii="新宋体" w:hAnsi="新宋体" w:eastAsia="新宋体" w:cs="新宋体"/>
                <w:color w:val="auto"/>
                <w:sz w:val="18"/>
                <w:szCs w:val="18"/>
                <w:highlight w:val="none"/>
              </w:rPr>
            </w:pPr>
          </w:p>
        </w:tc>
        <w:tc>
          <w:tcPr>
            <w:tcW w:w="958" w:type="dxa"/>
            <w:noWrap w:val="0"/>
            <w:vAlign w:val="center"/>
          </w:tcPr>
          <w:p>
            <w:pPr>
              <w:keepNext w:val="0"/>
              <w:keepLines w:val="0"/>
              <w:suppressLineNumbers w:val="0"/>
              <w:spacing w:before="0" w:beforeAutospacing="0" w:after="0" w:afterAutospacing="0"/>
              <w:ind w:left="0" w:right="0"/>
              <w:contextualSpacing/>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共同评分因素</w:t>
            </w:r>
          </w:p>
        </w:tc>
      </w:tr>
    </w:tbl>
    <w:p>
      <w:pPr>
        <w:pStyle w:val="19"/>
        <w:rPr>
          <w:rFonts w:hint="eastAsia" w:ascii="新宋体" w:hAnsi="新宋体" w:eastAsia="新宋体" w:cs="新宋体"/>
          <w:color w:val="auto"/>
          <w:sz w:val="24"/>
          <w:highlight w:val="none"/>
        </w:rPr>
      </w:pP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注：（1）评分的取值按四舍五入法，保留小数点后两位。</w:t>
      </w:r>
    </w:p>
    <w:bookmarkEnd w:id="756"/>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4.3.4 本次综合评分法由评标委员会各成员独立对通过初审（资格检查和符合性检查）的投标人的投标文件进行评审和打分，</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评标得分＝（A1＋A2＋……＋An）/NA＋（B1＋B2＋……＋Bn）/ NB＋（C1＋C2＋……＋Cn）/ NC＋（D1＋D2＋……＋Dn）/ ND</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分别为评审委员会每个成员的打分（共同评分类），ND为评标委员会人数。</w:t>
      </w:r>
    </w:p>
    <w:p>
      <w:pPr>
        <w:spacing w:line="520" w:lineRule="exact"/>
        <w:rPr>
          <w:rFonts w:hint="eastAsia" w:ascii="新宋体" w:hAnsi="新宋体" w:eastAsia="新宋体" w:cs="新宋体"/>
          <w:b/>
          <w:bCs/>
          <w:color w:val="auto"/>
          <w:sz w:val="24"/>
          <w:highlight w:val="none"/>
        </w:rPr>
      </w:pPr>
      <w:bookmarkStart w:id="762" w:name="_Toc496689182"/>
      <w:bookmarkStart w:id="763" w:name="_Toc217446060"/>
      <w:r>
        <w:rPr>
          <w:rFonts w:hint="eastAsia" w:ascii="新宋体" w:hAnsi="新宋体" w:eastAsia="新宋体" w:cs="新宋体"/>
          <w:b/>
          <w:bCs/>
          <w:color w:val="auto"/>
          <w:sz w:val="24"/>
          <w:highlight w:val="none"/>
        </w:rPr>
        <w:t>5、 废 标</w:t>
      </w:r>
      <w:bookmarkEnd w:id="762"/>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5.1本次政府采购活动中，出现下列情形之一的，予以废标：</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（一）符合专业条件的供应商或者对招标文件作实质响应的供应商不足三家的；</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（二）出现影响采购公正的违法、违规行为的；</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（三）投标人的报价均超过了采购预算，采购人不能支付的；</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（四）因重大变故，采购任务取消的。</w:t>
      </w:r>
    </w:p>
    <w:p>
      <w:pPr>
        <w:spacing w:line="500" w:lineRule="exact"/>
        <w:ind w:firstLine="420" w:firstLineChars="175"/>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废标后，采购代理机构应在四川政府采购网上公告，并公告废标的情形。投标人需要知晓导致废标情形的具体原因和理由的，可以通过书面形式询问招标采购单位。</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5.2对于评标过程中废标的采购项目，评标委员会应当对招标文件是否存在倾向性和歧视性、是否存在不合理条款进行论证，并出具书面论证意见。</w:t>
      </w:r>
    </w:p>
    <w:p>
      <w:pPr>
        <w:spacing w:line="520" w:lineRule="exact"/>
        <w:rPr>
          <w:rFonts w:hint="eastAsia" w:ascii="新宋体" w:hAnsi="新宋体" w:eastAsia="新宋体" w:cs="新宋体"/>
          <w:b/>
          <w:bCs/>
          <w:color w:val="auto"/>
          <w:sz w:val="24"/>
          <w:highlight w:val="none"/>
        </w:rPr>
      </w:pPr>
      <w:bookmarkStart w:id="764" w:name="_Toc496689183"/>
      <w:r>
        <w:rPr>
          <w:rFonts w:hint="eastAsia" w:ascii="新宋体" w:hAnsi="新宋体" w:eastAsia="新宋体" w:cs="新宋体"/>
          <w:b/>
          <w:bCs/>
          <w:color w:val="auto"/>
          <w:sz w:val="24"/>
          <w:highlight w:val="none"/>
        </w:rPr>
        <w:t>6、定标</w:t>
      </w:r>
      <w:bookmarkEnd w:id="763"/>
      <w:bookmarkEnd w:id="764"/>
      <w:bookmarkStart w:id="765" w:name="_Toc217446061"/>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6.1. 定标原则</w:t>
      </w:r>
      <w:bookmarkEnd w:id="765"/>
      <w:r>
        <w:rPr>
          <w:rFonts w:hint="eastAsia" w:ascii="新宋体" w:hAnsi="新宋体" w:eastAsia="新宋体" w:cs="新宋体"/>
          <w:color w:val="auto"/>
          <w:sz w:val="24"/>
          <w:highlight w:val="none"/>
        </w:rPr>
        <w:t>：本项目根据评标委员会推荐的中标候选供应商名单，按顺序确定中标供应商。</w:t>
      </w:r>
    </w:p>
    <w:p>
      <w:pPr>
        <w:spacing w:line="500" w:lineRule="exact"/>
        <w:ind w:firstLine="247" w:firstLineChars="103"/>
        <w:rPr>
          <w:rFonts w:hint="eastAsia" w:ascii="新宋体" w:hAnsi="新宋体" w:eastAsia="新宋体" w:cs="新宋体"/>
          <w:color w:val="auto"/>
          <w:sz w:val="24"/>
          <w:highlight w:val="none"/>
        </w:rPr>
      </w:pPr>
      <w:bookmarkStart w:id="766" w:name="_Toc217446062"/>
      <w:r>
        <w:rPr>
          <w:rFonts w:hint="eastAsia" w:ascii="新宋体" w:hAnsi="新宋体" w:eastAsia="新宋体" w:cs="新宋体"/>
          <w:color w:val="auto"/>
          <w:sz w:val="24"/>
          <w:highlight w:val="none"/>
        </w:rPr>
        <w:t>6.2. 定标程序</w:t>
      </w:r>
      <w:bookmarkEnd w:id="766"/>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6.2.1 评标委员会将评标情况写出书面报告，推荐中标候选供应商。</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6.2.2 采购代理机构在评标结束后2个工作日内将评标报告送采购人。</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6.2.4 采购代理机构自采购人确定中标供应商之日起2个工作日内在四川政府采购网上发布中标公告，公告期限为1个工作日。在公告中标结果的同时，向中标供应商发出中标通知书。</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6.2.5 招标采购单位不退回投标人投标文件和其他投标资料。</w:t>
      </w:r>
    </w:p>
    <w:p>
      <w:pPr>
        <w:spacing w:line="520" w:lineRule="exact"/>
        <w:rPr>
          <w:rFonts w:hint="eastAsia" w:ascii="新宋体" w:hAnsi="新宋体" w:eastAsia="新宋体" w:cs="新宋体"/>
          <w:b/>
          <w:bCs/>
          <w:color w:val="auto"/>
          <w:sz w:val="24"/>
          <w:highlight w:val="none"/>
        </w:rPr>
      </w:pPr>
      <w:bookmarkStart w:id="767" w:name="_Toc183682432"/>
      <w:bookmarkStart w:id="768" w:name="_Toc183582297"/>
      <w:bookmarkStart w:id="769" w:name="_Toc217446105"/>
      <w:bookmarkStart w:id="770" w:name="_Toc208849022"/>
      <w:bookmarkStart w:id="771" w:name="_Toc496689184"/>
      <w:r>
        <w:rPr>
          <w:rFonts w:hint="eastAsia" w:ascii="新宋体" w:hAnsi="新宋体" w:eastAsia="新宋体" w:cs="新宋体"/>
          <w:b/>
          <w:bCs/>
          <w:color w:val="auto"/>
          <w:sz w:val="24"/>
          <w:highlight w:val="none"/>
        </w:rPr>
        <w:t>7</w:t>
      </w:r>
      <w:bookmarkEnd w:id="767"/>
      <w:bookmarkEnd w:id="768"/>
      <w:bookmarkEnd w:id="769"/>
      <w:bookmarkEnd w:id="770"/>
      <w:r>
        <w:rPr>
          <w:rFonts w:hint="eastAsia" w:ascii="新宋体" w:hAnsi="新宋体" w:eastAsia="新宋体" w:cs="新宋体"/>
          <w:b/>
          <w:bCs/>
          <w:color w:val="auto"/>
          <w:sz w:val="24"/>
          <w:highlight w:val="none"/>
        </w:rPr>
        <w:t>、评标专家在政府采购活动中承担以下义务</w:t>
      </w:r>
      <w:bookmarkEnd w:id="771"/>
      <w:r>
        <w:rPr>
          <w:rFonts w:hint="eastAsia" w:ascii="新宋体" w:hAnsi="新宋体" w:eastAsia="新宋体" w:cs="新宋体"/>
          <w:b/>
          <w:bCs/>
          <w:color w:val="auto"/>
          <w:sz w:val="24"/>
          <w:highlight w:val="none"/>
        </w:rPr>
        <w:t>：</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（一）遵守评审工作纪律； </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（二）按照客观、公正、审慎的原则，根据采购文件规定的评审程序、评审方法和评审标准进行独立评审；</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（三）不得泄露评审文件、评审情况和在评审过程中获悉的商业秘密；</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（四）及时向监督部门报告评审过程中采购组织单位向评审专家做倾向性、误导性的解释或者说明，供应商行贿、提供虚假材料或者串通、受到的非法干预情况等违法违规行为；</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（五）发现采购文件内容违反国家有关强制性规定或者存在歧义、重大缺陷导致评审工作无法进行时，停止评审并向采购组织单位书面说明情况；</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（六）配合答复处理供应商的询问、质疑和投诉等事项；</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（七）法律、法规和规章规定的其他义务。</w:t>
      </w:r>
    </w:p>
    <w:p>
      <w:pPr>
        <w:spacing w:line="520" w:lineRule="exact"/>
        <w:rPr>
          <w:rFonts w:hint="eastAsia" w:ascii="新宋体" w:hAnsi="新宋体" w:eastAsia="新宋体" w:cs="新宋体"/>
          <w:b/>
          <w:bCs/>
          <w:color w:val="auto"/>
          <w:sz w:val="24"/>
          <w:highlight w:val="none"/>
        </w:rPr>
      </w:pPr>
      <w:bookmarkStart w:id="772" w:name="_Toc496689185"/>
      <w:r>
        <w:rPr>
          <w:rFonts w:hint="eastAsia" w:ascii="新宋体" w:hAnsi="新宋体" w:eastAsia="新宋体" w:cs="新宋体"/>
          <w:b/>
          <w:bCs/>
          <w:color w:val="auto"/>
          <w:sz w:val="24"/>
          <w:highlight w:val="none"/>
        </w:rPr>
        <w:t>8、评标专家在政府采购活动中应当遵守以下工作纪律：</w:t>
      </w:r>
      <w:bookmarkEnd w:id="772"/>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（一）遵行《政府采购法》第十二条和《政府采购法实施条例》第九条及财政部关于回避的规定。</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（二）评标前，应当将通讯工具或者相关电子设备交由招标采购单位统一保管。</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（三）评标过程中，不得与外界联系，因发生不可预见情况，确实需要与外界联系的，应当在监督人员监督之下办理。</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（五）在评标过程中和评标结束后，不得记录、复制或带走任何评标资料，除因规定的义务外，不得向外界透露评标内容。</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（六）服从评标现场招标采购单位的现场秩序管理，接受评标现场监督人员的合法监督。</w:t>
      </w:r>
    </w:p>
    <w:p>
      <w:pPr>
        <w:spacing w:line="500" w:lineRule="exact"/>
        <w:ind w:firstLine="247" w:firstLineChars="103"/>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（七）遵守有关廉洁自律规定，不得私下接触供应商，不得收受供应商及有关业务单位和个人的财物或好处，不得接受采购组织单位的请托。</w:t>
      </w:r>
    </w:p>
    <w:p>
      <w:pPr>
        <w:pStyle w:val="19"/>
        <w:rPr>
          <w:rFonts w:hint="eastAsia" w:ascii="新宋体" w:hAnsi="新宋体" w:eastAsia="新宋体" w:cs="新宋体"/>
          <w:color w:val="auto"/>
          <w:highlight w:val="none"/>
        </w:rPr>
      </w:pPr>
    </w:p>
    <w:p>
      <w:pPr>
        <w:pStyle w:val="19"/>
        <w:rPr>
          <w:rFonts w:hint="eastAsia" w:ascii="新宋体" w:hAnsi="新宋体" w:eastAsia="新宋体" w:cs="新宋体"/>
          <w:color w:val="auto"/>
          <w:highlight w:val="none"/>
        </w:rPr>
      </w:pPr>
    </w:p>
    <w:p>
      <w:pPr>
        <w:pStyle w:val="3"/>
        <w:spacing w:before="0" w:after="0" w:line="360" w:lineRule="auto"/>
        <w:jc w:val="center"/>
        <w:rPr>
          <w:rFonts w:hint="eastAsia" w:ascii="新宋体" w:hAnsi="新宋体" w:eastAsia="新宋体" w:cs="新宋体"/>
          <w:color w:val="auto"/>
          <w:sz w:val="36"/>
          <w:szCs w:val="36"/>
          <w:highlight w:val="none"/>
        </w:rPr>
      </w:pPr>
      <w:bookmarkStart w:id="773" w:name="_Toc1200"/>
      <w:r>
        <w:rPr>
          <w:rFonts w:hint="eastAsia" w:ascii="新宋体" w:hAnsi="新宋体" w:eastAsia="新宋体" w:cs="新宋体"/>
          <w:color w:val="auto"/>
          <w:sz w:val="30"/>
          <w:szCs w:val="30"/>
          <w:highlight w:val="none"/>
        </w:rPr>
        <w:br w:type="page"/>
      </w:r>
      <w:bookmarkStart w:id="774" w:name="_Toc14844"/>
      <w:r>
        <w:rPr>
          <w:rFonts w:hint="eastAsia" w:ascii="新宋体" w:hAnsi="新宋体" w:eastAsia="新宋体" w:cs="新宋体"/>
          <w:color w:val="auto"/>
          <w:sz w:val="36"/>
          <w:szCs w:val="36"/>
          <w:highlight w:val="none"/>
        </w:rPr>
        <w:t>第八章  政府采购合同（样例）</w:t>
      </w:r>
      <w:bookmarkEnd w:id="773"/>
      <w:bookmarkEnd w:id="774"/>
    </w:p>
    <w:p>
      <w:pPr>
        <w:spacing w:line="520" w:lineRule="exact"/>
        <w:rPr>
          <w:rFonts w:hint="eastAsia" w:ascii="新宋体" w:hAnsi="新宋体" w:eastAsia="新宋体" w:cs="新宋体"/>
          <w:color w:val="auto"/>
          <w:sz w:val="24"/>
          <w:highlight w:val="none"/>
        </w:rPr>
      </w:pPr>
      <w:bookmarkStart w:id="775" w:name="_Toc283019214"/>
      <w:bookmarkStart w:id="776" w:name="_Toc185395249"/>
      <w:bookmarkStart w:id="777" w:name="_Toc211911348"/>
      <w:bookmarkStart w:id="778" w:name="_Toc239568418"/>
      <w:bookmarkStart w:id="779" w:name="_Toc241833903"/>
      <w:bookmarkStart w:id="780" w:name="_Toc282696226"/>
      <w:bookmarkStart w:id="781" w:name="_Toc225670751"/>
      <w:bookmarkStart w:id="782" w:name="_Toc212019594"/>
      <w:bookmarkStart w:id="783" w:name="_Toc239233914"/>
      <w:bookmarkStart w:id="784" w:name="_Toc237145406"/>
      <w:bookmarkStart w:id="785" w:name="_Toc286993786"/>
      <w:bookmarkStart w:id="786" w:name="_Toc238984975"/>
      <w:bookmarkStart w:id="787" w:name="_Toc225244852"/>
      <w:bookmarkStart w:id="788" w:name="_Toc225654644"/>
      <w:bookmarkStart w:id="789" w:name="_Toc232492928"/>
      <w:bookmarkStart w:id="790" w:name="_Toc211854449"/>
      <w:bookmarkStart w:id="791" w:name="_Toc247334841"/>
      <w:bookmarkStart w:id="792" w:name="_Toc251768862"/>
      <w:r>
        <w:rPr>
          <w:rFonts w:hint="eastAsia" w:ascii="新宋体" w:hAnsi="新宋体" w:eastAsia="新宋体" w:cs="新宋体"/>
          <w:color w:val="auto"/>
          <w:sz w:val="24"/>
          <w:highlight w:val="none"/>
        </w:rPr>
        <w:t>（仅为样例，请根据招标文件、投标文件和其他要求进行拟定）</w:t>
      </w:r>
    </w:p>
    <w:p>
      <w:pPr>
        <w:tabs>
          <w:tab w:val="left" w:pos="0"/>
        </w:tabs>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合同编号：</w:t>
      </w:r>
      <w:r>
        <w:rPr>
          <w:rFonts w:hint="eastAsia" w:ascii="新宋体" w:hAnsi="新宋体" w:eastAsia="新宋体" w:cs="新宋体"/>
          <w:color w:val="auto"/>
          <w:sz w:val="24"/>
          <w:highlight w:val="none"/>
          <w:u w:val="single"/>
        </w:rPr>
        <w:t xml:space="preserve">          </w:t>
      </w:r>
    </w:p>
    <w:p>
      <w:pPr>
        <w:tabs>
          <w:tab w:val="left" w:pos="0"/>
        </w:tabs>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甲方：</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 xml:space="preserve"> </w:t>
      </w:r>
    </w:p>
    <w:p>
      <w:pPr>
        <w:tabs>
          <w:tab w:val="left" w:pos="0"/>
        </w:tabs>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乙方：</w:t>
      </w:r>
      <w:r>
        <w:rPr>
          <w:rFonts w:hint="eastAsia" w:ascii="新宋体" w:hAnsi="新宋体" w:eastAsia="新宋体" w:cs="新宋体"/>
          <w:color w:val="auto"/>
          <w:sz w:val="24"/>
          <w:highlight w:val="none"/>
          <w:u w:val="single"/>
        </w:rPr>
        <w:t xml:space="preserve">            </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签订地点：</w:t>
      </w:r>
      <w:r>
        <w:rPr>
          <w:rFonts w:hint="eastAsia" w:ascii="新宋体" w:hAnsi="新宋体" w:eastAsia="新宋体" w:cs="新宋体"/>
          <w:color w:val="auto"/>
          <w:szCs w:val="21"/>
          <w:highlight w:val="none"/>
          <w:u w:val="single"/>
        </w:rPr>
        <w:t xml:space="preserve">             </w:t>
      </w:r>
      <w:r>
        <w:rPr>
          <w:rFonts w:hint="eastAsia" w:ascii="新宋体" w:hAnsi="新宋体" w:eastAsia="新宋体" w:cs="新宋体"/>
          <w:color w:val="auto"/>
          <w:szCs w:val="21"/>
          <w:highlight w:val="none"/>
        </w:rPr>
        <w:t>。</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签订时间：</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年</w:t>
      </w:r>
      <w:r>
        <w:rPr>
          <w:rFonts w:hint="eastAsia" w:ascii="新宋体" w:hAnsi="新宋体" w:eastAsia="新宋体" w:cs="新宋体"/>
          <w:color w:val="auto"/>
          <w:szCs w:val="21"/>
          <w:highlight w:val="none"/>
          <w:u w:val="single"/>
        </w:rPr>
        <w:t xml:space="preserve">     </w:t>
      </w:r>
      <w:r>
        <w:rPr>
          <w:rFonts w:hint="eastAsia" w:ascii="新宋体" w:hAnsi="新宋体" w:eastAsia="新宋体" w:cs="新宋体"/>
          <w:color w:val="auto"/>
          <w:sz w:val="24"/>
          <w:highlight w:val="none"/>
        </w:rPr>
        <w:t>月</w:t>
      </w:r>
      <w:r>
        <w:rPr>
          <w:rFonts w:hint="eastAsia" w:ascii="新宋体" w:hAnsi="新宋体" w:eastAsia="新宋体" w:cs="新宋体"/>
          <w:color w:val="auto"/>
          <w:szCs w:val="21"/>
          <w:highlight w:val="none"/>
          <w:u w:val="single"/>
        </w:rPr>
        <w:t xml:space="preserve">     </w:t>
      </w:r>
      <w:r>
        <w:rPr>
          <w:rFonts w:hint="eastAsia" w:ascii="新宋体" w:hAnsi="新宋体" w:eastAsia="新宋体" w:cs="新宋体"/>
          <w:color w:val="auto"/>
          <w:sz w:val="24"/>
          <w:highlight w:val="none"/>
        </w:rPr>
        <w:t>日</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采购人（甲方）：</w:t>
      </w:r>
      <w:r>
        <w:rPr>
          <w:rFonts w:hint="eastAsia" w:ascii="新宋体" w:hAnsi="新宋体" w:eastAsia="新宋体" w:cs="新宋体"/>
          <w:color w:val="auto"/>
          <w:sz w:val="24"/>
          <w:highlight w:val="none"/>
          <w:u w:val="single"/>
        </w:rPr>
        <w:t xml:space="preserve">                              </w:t>
      </w:r>
    </w:p>
    <w:p>
      <w:pPr>
        <w:spacing w:line="360" w:lineRule="auto"/>
        <w:ind w:firstLine="480" w:firstLineChars="200"/>
        <w:rPr>
          <w:rFonts w:hint="eastAsia"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投标人（乙方）：</w:t>
      </w:r>
      <w:r>
        <w:rPr>
          <w:rFonts w:hint="eastAsia" w:ascii="新宋体" w:hAnsi="新宋体" w:eastAsia="新宋体" w:cs="新宋体"/>
          <w:color w:val="auto"/>
          <w:sz w:val="24"/>
          <w:highlight w:val="none"/>
          <w:u w:val="single"/>
        </w:rPr>
        <w:t xml:space="preserve">                              </w:t>
      </w:r>
    </w:p>
    <w:p>
      <w:pPr>
        <w:spacing w:line="360" w:lineRule="auto"/>
        <w:ind w:firstLine="480" w:firstLineChars="200"/>
        <w:rPr>
          <w:rFonts w:hint="eastAsia" w:ascii="新宋体" w:hAnsi="新宋体" w:eastAsia="新宋体" w:cs="新宋体"/>
          <w:color w:val="auto"/>
          <w:sz w:val="24"/>
          <w:highlight w:val="none"/>
        </w:rPr>
      </w:pP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根据《中华人民共和国政府采购法》、《中华人民共和国民法典》及成都经济技术开发区实验小学校光环境改造项目（招标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 </w:t>
      </w:r>
    </w:p>
    <w:p>
      <w:pPr>
        <w:keepNext/>
        <w:keepLines/>
        <w:spacing w:before="260" w:after="260" w:line="360" w:lineRule="auto"/>
        <w:ind w:firstLine="482" w:firstLineChars="200"/>
        <w:outlineLvl w:val="1"/>
        <w:rPr>
          <w:rFonts w:hint="eastAsia" w:ascii="新宋体" w:hAnsi="新宋体" w:eastAsia="新宋体" w:cs="新宋体"/>
          <w:b/>
          <w:bCs/>
          <w:color w:val="auto"/>
          <w:sz w:val="24"/>
          <w:highlight w:val="none"/>
        </w:rPr>
      </w:pPr>
      <w:bookmarkStart w:id="793" w:name="_Toc217446107"/>
      <w:r>
        <w:rPr>
          <w:rFonts w:hint="eastAsia" w:ascii="新宋体" w:hAnsi="新宋体" w:eastAsia="新宋体" w:cs="新宋体"/>
          <w:b/>
          <w:bCs/>
          <w:color w:val="auto"/>
          <w:sz w:val="24"/>
          <w:highlight w:val="none"/>
        </w:rPr>
        <w:t>一、合同货物</w:t>
      </w:r>
      <w:bookmarkEnd w:id="793"/>
    </w:p>
    <w:tbl>
      <w:tblPr>
        <w:tblStyle w:val="4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firstLine="240" w:firstLineChars="1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规格</w:t>
            </w:r>
          </w:p>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firstLine="120" w:firstLineChars="5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firstLine="120" w:firstLineChars="5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单价</w:t>
            </w:r>
          </w:p>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firstLine="240" w:firstLineChars="1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总价</w:t>
            </w:r>
          </w:p>
          <w:p>
            <w:pPr>
              <w:keepNext w:val="0"/>
              <w:keepLines w:val="0"/>
              <w:suppressLineNumbers w:val="0"/>
              <w:spacing w:before="0" w:beforeAutospacing="0" w:after="0" w:afterAutospacing="0" w:line="360" w:lineRule="auto"/>
              <w:ind w:left="0" w:right="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随机</w:t>
            </w:r>
          </w:p>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firstLine="120" w:firstLineChars="5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w:t>
            </w:r>
          </w:p>
        </w:tc>
      </w:tr>
    </w:tbl>
    <w:p>
      <w:pPr>
        <w:keepNext/>
        <w:keepLines/>
        <w:spacing w:before="260" w:after="260" w:line="360" w:lineRule="auto"/>
        <w:ind w:firstLine="482" w:firstLineChars="200"/>
        <w:outlineLvl w:val="1"/>
        <w:rPr>
          <w:rFonts w:hint="eastAsia" w:ascii="新宋体" w:hAnsi="新宋体" w:eastAsia="新宋体" w:cs="新宋体"/>
          <w:b/>
          <w:bCs/>
          <w:color w:val="auto"/>
          <w:sz w:val="24"/>
          <w:highlight w:val="none"/>
        </w:rPr>
      </w:pPr>
      <w:bookmarkStart w:id="794" w:name="_Toc217446108"/>
    </w:p>
    <w:p>
      <w:pPr>
        <w:keepNext/>
        <w:keepLines/>
        <w:spacing w:before="260" w:after="260" w:line="360" w:lineRule="auto"/>
        <w:ind w:firstLine="482" w:firstLineChars="200"/>
        <w:outlineLvl w:val="1"/>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二、合同总价</w:t>
      </w:r>
      <w:bookmarkEnd w:id="794"/>
    </w:p>
    <w:p>
      <w:pPr>
        <w:spacing w:line="360" w:lineRule="auto"/>
        <w:ind w:firstLine="367" w:firstLineChars="175"/>
        <w:rPr>
          <w:rFonts w:hint="eastAsia" w:ascii="新宋体" w:hAnsi="新宋体" w:eastAsia="新宋体" w:cs="新宋体"/>
          <w:color w:val="auto"/>
          <w:highlight w:val="none"/>
        </w:rPr>
      </w:pPr>
      <w:r>
        <w:rPr>
          <w:rFonts w:hint="eastAsia" w:ascii="新宋体" w:hAnsi="新宋体" w:eastAsia="新宋体" w:cs="新宋体"/>
          <w:color w:val="auto"/>
          <w:highlight w:val="none"/>
        </w:rPr>
        <w:t>合同总价为人民币大写：</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rPr>
        <w:t>元，即RMB￥</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keepNext/>
        <w:keepLines/>
        <w:spacing w:before="260" w:after="260" w:line="360" w:lineRule="auto"/>
        <w:ind w:firstLine="482" w:firstLineChars="200"/>
        <w:outlineLvl w:val="1"/>
        <w:rPr>
          <w:rFonts w:hint="eastAsia" w:ascii="新宋体" w:hAnsi="新宋体" w:eastAsia="新宋体" w:cs="新宋体"/>
          <w:b/>
          <w:bCs/>
          <w:color w:val="auto"/>
          <w:sz w:val="24"/>
          <w:highlight w:val="none"/>
        </w:rPr>
      </w:pPr>
      <w:bookmarkStart w:id="795" w:name="_Toc217446109"/>
      <w:r>
        <w:rPr>
          <w:rFonts w:hint="eastAsia" w:ascii="新宋体" w:hAnsi="新宋体" w:eastAsia="新宋体" w:cs="新宋体"/>
          <w:b/>
          <w:bCs/>
          <w:color w:val="auto"/>
          <w:sz w:val="24"/>
          <w:highlight w:val="none"/>
        </w:rPr>
        <w:t>三、质量要求</w:t>
      </w:r>
      <w:bookmarkEnd w:id="795"/>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1、乙方须提供全新的货物（含零部件、配件等），表面无划伤、无碰撞痕迹，且权属清楚，不得侵害他人的知识产权。</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2、货物必须符合或优于国家（行业）</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标准，以及本项目招标文件的质量要求和技术指标与出厂标准。</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3、货物制造质量出现问题，乙方应负责三包（包修、包换、包退），费用由乙方负担，甲方有权到乙方生产场地检查货物质量和生产进度。</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4、货到现场后由于甲方保管不当造成的质量问题，乙方亦应负责修理，但费用由甲方负担。</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5、投标人须在本合同签订之日起</w:t>
      </w:r>
      <w:r>
        <w:rPr>
          <w:rFonts w:hint="eastAsia" w:ascii="新宋体" w:hAnsi="新宋体" w:eastAsia="新宋体" w:cs="新宋体"/>
          <w:color w:val="auto"/>
          <w:sz w:val="24"/>
          <w:highlight w:val="none"/>
          <w:u w:val="single"/>
        </w:rPr>
        <w:t>/</w:t>
      </w:r>
      <w:r>
        <w:rPr>
          <w:rFonts w:hint="eastAsia" w:ascii="新宋体" w:hAnsi="新宋体" w:eastAsia="新宋体" w:cs="新宋体"/>
          <w:color w:val="auto"/>
          <w:sz w:val="24"/>
          <w:highlight w:val="none"/>
        </w:rPr>
        <w:t>日内送交货物成品样品给甲方确认，在甲方出具样品确认书并封存成品样品外观尺寸后，投标人才能按样生产/供货，并以此样品作为验收样品。</w:t>
      </w:r>
    </w:p>
    <w:p>
      <w:pPr>
        <w:keepNext/>
        <w:keepLines/>
        <w:spacing w:before="260" w:after="260" w:line="360" w:lineRule="auto"/>
        <w:ind w:firstLine="482" w:firstLineChars="200"/>
        <w:outlineLvl w:val="1"/>
        <w:rPr>
          <w:rFonts w:hint="eastAsia" w:ascii="新宋体" w:hAnsi="新宋体" w:eastAsia="新宋体" w:cs="新宋体"/>
          <w:b/>
          <w:bCs/>
          <w:color w:val="auto"/>
          <w:sz w:val="24"/>
          <w:highlight w:val="none"/>
        </w:rPr>
      </w:pPr>
      <w:bookmarkStart w:id="796" w:name="_Toc217446110"/>
      <w:r>
        <w:rPr>
          <w:rFonts w:hint="eastAsia" w:ascii="新宋体" w:hAnsi="新宋体" w:eastAsia="新宋体" w:cs="新宋体"/>
          <w:b/>
          <w:bCs/>
          <w:color w:val="auto"/>
          <w:sz w:val="24"/>
          <w:highlight w:val="none"/>
        </w:rPr>
        <w:t>四、交货及验收</w:t>
      </w:r>
      <w:bookmarkEnd w:id="796"/>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1、乙方交货期限为合同签订生效后</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，交货验收时须提供产品质检部门从同类产品中抽样检查合格的检测报告。</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2、验收由甲方组织，乙方配合进行：</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 货物在乙方通知安装调试完毕后</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日内初步验收。初步验收合格后，进入</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试用期；试用期间发生重大质量问题，修复后试用相应顺延；试用期结束后</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日内完成最终验收；</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 验收标准：按国家有关规定以及甲方招标文件的质量要求和技术指标、乙方的投标文件及承诺与本合同约定标准进行验收；甲乙双方如对质量要求和技术指标的约定标准有相互抵触或异议的事项，由甲方在采购与投标文件中按质量要求和技术指标比较优胜的原则确定该项的约定标准进行验收；</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 如质量验收合格，双方签署质量验收报告。</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3、货物安装完成后</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日内，甲方无故不进行验收工作并已使用货物的，视同已安装调试完成并验收合格。</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4、乙方应将所提供货物的装箱清单、配件、随机工具、用户使用手册、原厂保修卡等资料交付给甲方；乙方不能完整交付货物及本款规定的单证和工具的，必须负责补齐，否则视为未按合同约定交货。</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5、如货物经乙方</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次维修仍不能达到合同约定的质量标准，甲方有权退货，并视作乙方不能交付货物而须支付违约赔偿金给甲方，甲方还可依法追究乙方的违约责任。 </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6、其他未尽事宜应严格按照《财政部关于进一步加强政府采购需求和履约验收管理的指导意见》（财库〔2016〕205号）的要求进行。</w:t>
      </w:r>
    </w:p>
    <w:p>
      <w:pPr>
        <w:keepNext/>
        <w:keepLines/>
        <w:spacing w:before="260" w:after="260" w:line="360" w:lineRule="auto"/>
        <w:ind w:firstLine="482" w:firstLineChars="200"/>
        <w:outlineLvl w:val="1"/>
        <w:rPr>
          <w:rFonts w:hint="eastAsia" w:ascii="新宋体" w:hAnsi="新宋体" w:eastAsia="新宋体" w:cs="新宋体"/>
          <w:b/>
          <w:bCs/>
          <w:color w:val="auto"/>
          <w:sz w:val="24"/>
          <w:highlight w:val="none"/>
        </w:rPr>
      </w:pPr>
      <w:bookmarkStart w:id="797" w:name="_Toc217446111"/>
      <w:r>
        <w:rPr>
          <w:rFonts w:hint="eastAsia" w:ascii="新宋体" w:hAnsi="新宋体" w:eastAsia="新宋体" w:cs="新宋体"/>
          <w:b/>
          <w:bCs/>
          <w:color w:val="auto"/>
          <w:sz w:val="24"/>
          <w:highlight w:val="none"/>
        </w:rPr>
        <w:t>五、付款方式</w:t>
      </w:r>
      <w:bookmarkEnd w:id="797"/>
    </w:p>
    <w:p>
      <w:pPr>
        <w:keepNext w:val="0"/>
        <w:keepLines w:val="0"/>
        <w:spacing w:before="0" w:after="0" w:line="360" w:lineRule="auto"/>
        <w:ind w:firstLine="480" w:firstLineChars="200"/>
        <w:outlineLvl w:val="9"/>
        <w:rPr>
          <w:rFonts w:hint="eastAsia" w:ascii="新宋体" w:hAnsi="新宋体" w:eastAsia="新宋体" w:cs="新宋体"/>
          <w:b w:val="0"/>
          <w:bCs w:val="0"/>
          <w:color w:val="auto"/>
          <w:sz w:val="24"/>
          <w:highlight w:val="none"/>
          <w:lang w:eastAsia="zh-CN"/>
        </w:rPr>
      </w:pPr>
      <w:bookmarkStart w:id="798" w:name="_Toc217446112"/>
      <w:r>
        <w:rPr>
          <w:rFonts w:hint="eastAsia" w:ascii="新宋体" w:hAnsi="新宋体" w:eastAsia="新宋体" w:cs="新宋体"/>
          <w:b w:val="0"/>
          <w:bCs w:val="0"/>
          <w:color w:val="auto"/>
          <w:sz w:val="24"/>
          <w:highlight w:val="none"/>
          <w:lang w:val="en-US" w:eastAsia="zh-CN"/>
        </w:rPr>
        <w:t>项目经验收合格</w:t>
      </w:r>
      <w:r>
        <w:rPr>
          <w:rFonts w:hint="eastAsia" w:ascii="新宋体" w:hAnsi="新宋体" w:eastAsia="新宋体" w:cs="新宋体"/>
          <w:b w:val="0"/>
          <w:bCs w:val="0"/>
          <w:color w:val="auto"/>
          <w:sz w:val="24"/>
          <w:highlight w:val="none"/>
        </w:rPr>
        <w:t>，乙方提交相关票据凭证资料</w:t>
      </w:r>
      <w:r>
        <w:rPr>
          <w:rFonts w:hint="eastAsia" w:ascii="新宋体" w:hAnsi="新宋体" w:eastAsia="新宋体" w:cs="新宋体"/>
          <w:b w:val="0"/>
          <w:bCs w:val="0"/>
          <w:color w:val="auto"/>
          <w:sz w:val="24"/>
          <w:highlight w:val="none"/>
          <w:lang w:val="en-US" w:eastAsia="zh-CN"/>
        </w:rPr>
        <w:t>后</w:t>
      </w:r>
      <w:r>
        <w:rPr>
          <w:rFonts w:hint="eastAsia" w:ascii="新宋体" w:hAnsi="新宋体" w:eastAsia="新宋体" w:cs="新宋体"/>
          <w:b w:val="0"/>
          <w:bCs w:val="0"/>
          <w:color w:val="auto"/>
          <w:sz w:val="24"/>
          <w:highlight w:val="none"/>
          <w:u w:val="single"/>
          <w:lang w:val="en-US" w:eastAsia="zh-CN"/>
        </w:rPr>
        <w:t xml:space="preserve">    </w:t>
      </w:r>
      <w:r>
        <w:rPr>
          <w:rFonts w:hint="eastAsia" w:ascii="新宋体" w:hAnsi="新宋体" w:eastAsia="新宋体" w:cs="新宋体"/>
          <w:b w:val="0"/>
          <w:bCs w:val="0"/>
          <w:color w:val="auto"/>
          <w:sz w:val="24"/>
          <w:highlight w:val="none"/>
          <w:lang w:val="en-US" w:eastAsia="zh-CN"/>
        </w:rPr>
        <w:t>日内</w:t>
      </w:r>
      <w:r>
        <w:rPr>
          <w:rFonts w:hint="eastAsia" w:ascii="新宋体" w:hAnsi="新宋体" w:eastAsia="新宋体" w:cs="新宋体"/>
          <w:b w:val="0"/>
          <w:bCs w:val="0"/>
          <w:color w:val="auto"/>
          <w:sz w:val="24"/>
          <w:highlight w:val="none"/>
        </w:rPr>
        <w:t>，</w:t>
      </w:r>
      <w:r>
        <w:rPr>
          <w:rFonts w:hint="eastAsia" w:ascii="新宋体" w:hAnsi="新宋体" w:eastAsia="新宋体" w:cs="新宋体"/>
          <w:b w:val="0"/>
          <w:bCs w:val="0"/>
          <w:color w:val="auto"/>
          <w:sz w:val="24"/>
          <w:highlight w:val="none"/>
          <w:lang w:val="en-US" w:eastAsia="zh-CN"/>
        </w:rPr>
        <w:t>甲方</w:t>
      </w:r>
      <w:r>
        <w:rPr>
          <w:rFonts w:hint="eastAsia" w:ascii="新宋体" w:hAnsi="新宋体" w:eastAsia="新宋体" w:cs="新宋体"/>
          <w:b w:val="0"/>
          <w:bCs w:val="0"/>
          <w:color w:val="auto"/>
          <w:sz w:val="24"/>
          <w:highlight w:val="none"/>
        </w:rPr>
        <w:t>按照财政性资金支付有关规定向乙方支付合同总金额</w:t>
      </w:r>
      <w:r>
        <w:rPr>
          <w:rFonts w:hint="eastAsia" w:ascii="新宋体" w:hAnsi="新宋体" w:eastAsia="新宋体" w:cs="新宋体"/>
          <w:b w:val="0"/>
          <w:bCs w:val="0"/>
          <w:color w:val="auto"/>
          <w:sz w:val="24"/>
          <w:highlight w:val="none"/>
          <w:lang w:val="en-US" w:eastAsia="zh-CN"/>
        </w:rPr>
        <w:t>100</w:t>
      </w:r>
      <w:r>
        <w:rPr>
          <w:rFonts w:hint="eastAsia" w:ascii="新宋体" w:hAnsi="新宋体" w:eastAsia="新宋体" w:cs="新宋体"/>
          <w:b w:val="0"/>
          <w:bCs w:val="0"/>
          <w:color w:val="auto"/>
          <w:sz w:val="24"/>
          <w:highlight w:val="none"/>
        </w:rPr>
        <w:t>%，即</w:t>
      </w:r>
      <w:r>
        <w:rPr>
          <w:rFonts w:hint="eastAsia" w:ascii="新宋体" w:hAnsi="新宋体" w:eastAsia="新宋体" w:cs="新宋体"/>
          <w:b w:val="0"/>
          <w:bCs w:val="0"/>
          <w:color w:val="auto"/>
          <w:sz w:val="24"/>
          <w:highlight w:val="none"/>
          <w:u w:val="single"/>
        </w:rPr>
        <w:t xml:space="preserve">           </w:t>
      </w:r>
      <w:r>
        <w:rPr>
          <w:rFonts w:hint="eastAsia" w:ascii="新宋体" w:hAnsi="新宋体" w:eastAsia="新宋体" w:cs="新宋体"/>
          <w:b w:val="0"/>
          <w:bCs w:val="0"/>
          <w:color w:val="auto"/>
          <w:sz w:val="24"/>
          <w:highlight w:val="none"/>
        </w:rPr>
        <w:t>元（大写：</w:t>
      </w:r>
      <w:r>
        <w:rPr>
          <w:rFonts w:hint="eastAsia" w:ascii="新宋体" w:hAnsi="新宋体" w:eastAsia="新宋体" w:cs="新宋体"/>
          <w:b w:val="0"/>
          <w:bCs w:val="0"/>
          <w:color w:val="auto"/>
          <w:sz w:val="24"/>
          <w:highlight w:val="none"/>
          <w:u w:val="single"/>
        </w:rPr>
        <w:t xml:space="preserve">             </w:t>
      </w:r>
      <w:r>
        <w:rPr>
          <w:rFonts w:hint="eastAsia" w:ascii="新宋体" w:hAnsi="新宋体" w:eastAsia="新宋体" w:cs="新宋体"/>
          <w:b w:val="0"/>
          <w:bCs w:val="0"/>
          <w:color w:val="auto"/>
          <w:sz w:val="24"/>
          <w:highlight w:val="none"/>
        </w:rPr>
        <w:t>元整 ）</w:t>
      </w:r>
      <w:r>
        <w:rPr>
          <w:rFonts w:hint="eastAsia" w:ascii="新宋体" w:hAnsi="新宋体" w:eastAsia="新宋体" w:cs="新宋体"/>
          <w:b w:val="0"/>
          <w:bCs w:val="0"/>
          <w:color w:val="auto"/>
          <w:sz w:val="24"/>
          <w:highlight w:val="none"/>
          <w:lang w:eastAsia="zh-CN"/>
        </w:rPr>
        <w:t>。</w:t>
      </w:r>
    </w:p>
    <w:p>
      <w:pPr>
        <w:keepNext w:val="0"/>
        <w:keepLines w:val="0"/>
        <w:spacing w:before="0" w:after="0" w:line="360" w:lineRule="auto"/>
        <w:ind w:firstLine="480" w:firstLineChars="200"/>
        <w:outlineLvl w:val="9"/>
        <w:rPr>
          <w:rFonts w:hint="eastAsia" w:ascii="新宋体" w:hAnsi="新宋体" w:eastAsia="新宋体" w:cs="新宋体"/>
          <w:b w:val="0"/>
          <w:bCs w:val="0"/>
          <w:color w:val="auto"/>
          <w:sz w:val="24"/>
          <w:highlight w:val="none"/>
        </w:rPr>
      </w:pPr>
      <w:r>
        <w:rPr>
          <w:rFonts w:hint="eastAsia" w:ascii="新宋体" w:hAnsi="新宋体" w:eastAsia="新宋体" w:cs="新宋体"/>
          <w:b w:val="0"/>
          <w:bCs w:val="0"/>
          <w:color w:val="auto"/>
          <w:sz w:val="24"/>
          <w:highlight w:val="none"/>
        </w:rPr>
        <w:t>乙方保证合同尾部所载收款账户信息的真实性、准确性，若因乙方提供的账户信息错误导致甲方不能付款或延迟付款的，甲方不承担责任。</w:t>
      </w:r>
    </w:p>
    <w:p>
      <w:pPr>
        <w:pStyle w:val="2"/>
        <w:rPr>
          <w:rFonts w:hint="default" w:eastAsia="新宋体"/>
          <w:b/>
          <w:bCs/>
          <w:sz w:val="21"/>
          <w:szCs w:val="21"/>
          <w:lang w:val="en-US" w:eastAsia="zh-CN"/>
        </w:rPr>
      </w:pPr>
      <w:r>
        <w:rPr>
          <w:rFonts w:hint="eastAsia" w:ascii="新宋体" w:hAnsi="新宋体" w:eastAsia="新宋体" w:cs="新宋体"/>
          <w:b/>
          <w:bCs/>
          <w:color w:val="auto"/>
          <w:sz w:val="21"/>
          <w:szCs w:val="21"/>
          <w:highlight w:val="none"/>
          <w:lang w:val="en-US" w:eastAsia="zh-CN"/>
        </w:rPr>
        <w:t>注：本次计划采购数量若与最终采购数量不一致，则合同金额以最终采购数量为依据计算。</w:t>
      </w:r>
    </w:p>
    <w:p>
      <w:pPr>
        <w:keepNext/>
        <w:keepLines/>
        <w:spacing w:before="260" w:after="260" w:line="360" w:lineRule="auto"/>
        <w:ind w:firstLine="482" w:firstLineChars="200"/>
        <w:outlineLvl w:val="1"/>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六、售后服务</w:t>
      </w:r>
      <w:bookmarkEnd w:id="798"/>
    </w:p>
    <w:p>
      <w:pPr>
        <w:spacing w:line="360" w:lineRule="auto"/>
        <w:ind w:firstLine="480" w:firstLineChars="200"/>
        <w:rPr>
          <w:rFonts w:hint="eastAsia" w:ascii="新宋体" w:hAnsi="新宋体" w:eastAsia="新宋体" w:cs="新宋体"/>
          <w:bCs/>
          <w:color w:val="auto"/>
          <w:sz w:val="24"/>
          <w:highlight w:val="none"/>
        </w:rPr>
      </w:pPr>
      <w:r>
        <w:rPr>
          <w:rFonts w:hint="eastAsia" w:ascii="新宋体" w:hAnsi="新宋体" w:eastAsia="新宋体" w:cs="新宋体"/>
          <w:color w:val="auto"/>
          <w:sz w:val="24"/>
          <w:highlight w:val="none"/>
        </w:rPr>
        <w:t>1、</w:t>
      </w:r>
      <w:r>
        <w:rPr>
          <w:rFonts w:hint="eastAsia" w:ascii="新宋体" w:hAnsi="新宋体" w:eastAsia="新宋体" w:cs="新宋体"/>
          <w:bCs/>
          <w:color w:val="auto"/>
          <w:sz w:val="24"/>
          <w:highlight w:val="none"/>
        </w:rPr>
        <w:t>质保期：</w:t>
      </w:r>
      <w:r>
        <w:rPr>
          <w:rFonts w:hint="eastAsia" w:ascii="新宋体" w:hAnsi="新宋体" w:eastAsia="新宋体" w:cs="新宋体"/>
          <w:color w:val="auto"/>
          <w:sz w:val="24"/>
          <w:highlight w:val="none"/>
        </w:rPr>
        <w:t>质保期内出现质量问题，乙方在接到通知后</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小时内响应到场，</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小时内完成维修或更换，并承担修理调换的费用；如货物经乙方</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次维修仍不能达到本合同约定的质量标准，视作乙方未能按时交货，甲方有权退货并追究乙方的违约责任。货到现场后由于甲方保管不当造成的问题，乙方亦应负责修复，但费用由甲方负担。</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2、乙方须指派专人负责与甲方联系售后服务事宜。 </w:t>
      </w:r>
    </w:p>
    <w:p>
      <w:pPr>
        <w:keepNext/>
        <w:keepLines/>
        <w:spacing w:before="260" w:after="260" w:line="360" w:lineRule="auto"/>
        <w:ind w:firstLine="482" w:firstLineChars="200"/>
        <w:outlineLvl w:val="1"/>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七、违约责任</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1、甲方违约责任</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 甲方无正当理由拒收货物的，甲方应偿付合同总价百分之  的违约金；</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 甲方逾期支付货款的，除应及时付足货款外，应向乙方偿付欠款总额万分之</w:t>
      </w:r>
      <w:r>
        <w:rPr>
          <w:rFonts w:hint="eastAsia" w:ascii="新宋体" w:hAnsi="新宋体" w:eastAsia="新宋体" w:cs="新宋体"/>
          <w:color w:val="auto"/>
          <w:sz w:val="24"/>
          <w:highlight w:val="none"/>
          <w:u w:val="single"/>
        </w:rPr>
        <w:t xml:space="preserve"> 1  </w:t>
      </w:r>
      <w:r>
        <w:rPr>
          <w:rFonts w:hint="eastAsia" w:ascii="新宋体" w:hAnsi="新宋体" w:eastAsia="新宋体" w:cs="新宋体"/>
          <w:color w:val="auto"/>
          <w:sz w:val="24"/>
          <w:highlight w:val="none"/>
        </w:rPr>
        <w:t>/天的违约金；逾期付款超过</w:t>
      </w:r>
      <w:r>
        <w:rPr>
          <w:rFonts w:hint="eastAsia" w:ascii="新宋体" w:hAnsi="新宋体" w:eastAsia="新宋体" w:cs="新宋体"/>
          <w:color w:val="auto"/>
          <w:sz w:val="24"/>
          <w:highlight w:val="none"/>
          <w:u w:val="single"/>
        </w:rPr>
        <w:t xml:space="preserve"> 30 </w:t>
      </w:r>
      <w:r>
        <w:rPr>
          <w:rFonts w:hint="eastAsia" w:ascii="新宋体" w:hAnsi="新宋体" w:eastAsia="新宋体" w:cs="新宋体"/>
          <w:color w:val="auto"/>
          <w:sz w:val="24"/>
          <w:highlight w:val="none"/>
        </w:rPr>
        <w:t>天的，乙方有权终止合同；</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 甲方偿付的违约金不足以弥补乙方损失的，还应按乙方损失尚未弥补的部分，支付赔偿金给乙方。</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2、乙方违约责任</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（1）乙方交付的货物质量不符合合同规定的，乙方应向甲方支付合同总价的百分之</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b/>
          <w:bCs/>
          <w:color w:val="auto"/>
          <w:sz w:val="24"/>
          <w:highlight w:val="none"/>
          <w:u w:val="single"/>
        </w:rPr>
        <w:t xml:space="preserve">  10  </w:t>
      </w:r>
      <w:r>
        <w:rPr>
          <w:rFonts w:hint="eastAsia" w:ascii="新宋体" w:hAnsi="新宋体" w:eastAsia="新宋体" w:cs="新宋体"/>
          <w:color w:val="auto"/>
          <w:sz w:val="24"/>
          <w:highlight w:val="none"/>
        </w:rPr>
        <w:t>的违约金，并须在合同规定的交货时间内更换合格的货物给甲方，否则，视作乙方不能交付货物而违约，按本条本款下述第“（2）”项规定由乙方偿付违约赔偿金给甲方。</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（2）乙方不能交付货物或逾期交付货物而违约的，除应及时交足货物外，应向甲方偿付逾期交货部分货款总额的百分之</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b/>
          <w:bCs/>
          <w:color w:val="auto"/>
          <w:sz w:val="24"/>
          <w:highlight w:val="none"/>
          <w:u w:val="single"/>
        </w:rPr>
        <w:t xml:space="preserve"> 1 </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/天的违约金；逾期交货超过15天，甲方有权终止合同，乙方则应按合同总价的百分之</w:t>
      </w:r>
      <w:r>
        <w:rPr>
          <w:rFonts w:hint="eastAsia" w:ascii="新宋体" w:hAnsi="新宋体" w:eastAsia="新宋体" w:cs="新宋体"/>
          <w:color w:val="auto"/>
          <w:sz w:val="24"/>
          <w:highlight w:val="none"/>
          <w:u w:val="single"/>
        </w:rPr>
        <w:t xml:space="preserve"> 20 </w:t>
      </w:r>
      <w:r>
        <w:rPr>
          <w:rFonts w:hint="eastAsia" w:ascii="新宋体" w:hAnsi="新宋体" w:eastAsia="新宋体" w:cs="新宋体"/>
          <w:color w:val="auto"/>
          <w:sz w:val="24"/>
          <w:highlight w:val="none"/>
        </w:rPr>
        <w:t>的款额向甲方偿付赔偿金，并须全额退还甲方已经付给乙方的货款及其利息。</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（3）乙方货物经甲方送交具有法定资格条件的质量技术监督机构检测后，如检测结果认定货物质量不符合本合同规定标准的，则视为乙方没有按时交货而违约，乙方须在</w:t>
      </w:r>
      <w:r>
        <w:rPr>
          <w:rFonts w:hint="eastAsia" w:ascii="新宋体" w:hAnsi="新宋体" w:eastAsia="新宋体" w:cs="新宋体"/>
          <w:color w:val="auto"/>
          <w:sz w:val="24"/>
          <w:highlight w:val="none"/>
          <w:u w:val="single"/>
        </w:rPr>
        <w:t xml:space="preserve">  10 </w:t>
      </w:r>
      <w:r>
        <w:rPr>
          <w:rFonts w:hint="eastAsia" w:ascii="新宋体" w:hAnsi="新宋体" w:eastAsia="新宋体" w:cs="新宋体"/>
          <w:color w:val="auto"/>
          <w:sz w:val="24"/>
          <w:highlight w:val="none"/>
        </w:rPr>
        <w:t>天内无条件更换合格的货物，如逾期不能更换合格的货物，甲方有权终止本合同，乙方应另付合同总价的百分之</w:t>
      </w:r>
      <w:r>
        <w:rPr>
          <w:rFonts w:hint="eastAsia" w:ascii="新宋体" w:hAnsi="新宋体" w:eastAsia="新宋体" w:cs="新宋体"/>
          <w:color w:val="auto"/>
          <w:sz w:val="24"/>
          <w:highlight w:val="none"/>
          <w:u w:val="single"/>
        </w:rPr>
        <w:t xml:space="preserve"> 10  </w:t>
      </w:r>
      <w:r>
        <w:rPr>
          <w:rFonts w:hint="eastAsia" w:ascii="新宋体" w:hAnsi="新宋体" w:eastAsia="新宋体" w:cs="新宋体"/>
          <w:color w:val="auto"/>
          <w:sz w:val="24"/>
          <w:highlight w:val="none"/>
        </w:rPr>
        <w:t>的赔偿金给甲方。</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新宋体" w:hAnsi="新宋体" w:eastAsia="新宋体" w:cs="新宋体"/>
          <w:color w:val="auto"/>
          <w:sz w:val="24"/>
          <w:highlight w:val="none"/>
          <w:u w:val="single"/>
        </w:rPr>
        <w:t xml:space="preserve">  20 </w:t>
      </w:r>
      <w:r>
        <w:rPr>
          <w:rFonts w:hint="eastAsia" w:ascii="新宋体" w:hAnsi="新宋体" w:eastAsia="新宋体" w:cs="新宋体"/>
          <w:color w:val="auto"/>
          <w:sz w:val="24"/>
          <w:highlight w:val="none"/>
        </w:rPr>
        <w:t>向甲方支付违约金并赔偿因此给甲方造成的一切损失。</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（5）乙方偿付的违约金不足以弥补甲方损失的，还应按甲方损失尚未弥补的部分，支付赔偿金给甲方。</w:t>
      </w:r>
    </w:p>
    <w:p>
      <w:pPr>
        <w:keepNext/>
        <w:keepLines/>
        <w:spacing w:before="260" w:after="260" w:line="360" w:lineRule="auto"/>
        <w:ind w:firstLine="482" w:firstLineChars="200"/>
        <w:outlineLvl w:val="1"/>
        <w:rPr>
          <w:rFonts w:hint="eastAsia" w:ascii="新宋体" w:hAnsi="新宋体" w:eastAsia="新宋体" w:cs="新宋体"/>
          <w:b/>
          <w:bCs/>
          <w:color w:val="auto"/>
          <w:sz w:val="24"/>
          <w:highlight w:val="none"/>
        </w:rPr>
      </w:pPr>
      <w:bookmarkStart w:id="799" w:name="_Toc217446114"/>
      <w:r>
        <w:rPr>
          <w:rFonts w:hint="eastAsia" w:ascii="新宋体" w:hAnsi="新宋体" w:eastAsia="新宋体" w:cs="新宋体"/>
          <w:b/>
          <w:bCs/>
          <w:color w:val="auto"/>
          <w:sz w:val="24"/>
          <w:highlight w:val="none"/>
        </w:rPr>
        <w:t>八、争议解决办法</w:t>
      </w:r>
      <w:bookmarkEnd w:id="799"/>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2、合同履行期间,若双方发生争议，可协商或由有关部门调解解决，协商或调解不成的，由当事人依法维护其合法权益。</w:t>
      </w:r>
    </w:p>
    <w:p>
      <w:pPr>
        <w:keepNext/>
        <w:keepLines/>
        <w:spacing w:before="260" w:after="260" w:line="360" w:lineRule="auto"/>
        <w:ind w:firstLine="482" w:firstLineChars="200"/>
        <w:outlineLvl w:val="1"/>
        <w:rPr>
          <w:rFonts w:hint="eastAsia" w:ascii="新宋体" w:hAnsi="新宋体" w:eastAsia="新宋体" w:cs="新宋体"/>
          <w:b/>
          <w:bCs/>
          <w:color w:val="auto"/>
          <w:sz w:val="24"/>
          <w:highlight w:val="none"/>
        </w:rPr>
      </w:pPr>
      <w:bookmarkStart w:id="800" w:name="_Toc217446115"/>
      <w:r>
        <w:rPr>
          <w:rFonts w:hint="eastAsia" w:ascii="新宋体" w:hAnsi="新宋体" w:eastAsia="新宋体" w:cs="新宋体"/>
          <w:b/>
          <w:bCs/>
          <w:color w:val="auto"/>
          <w:sz w:val="24"/>
          <w:highlight w:val="none"/>
        </w:rPr>
        <w:t>九、其他</w:t>
      </w:r>
      <w:bookmarkEnd w:id="800"/>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1、如有未尽事宜，由双方依法订立补充合同。</w:t>
      </w:r>
    </w:p>
    <w:p>
      <w:pPr>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2、本合同一式六份，自双方签章之日起生效。甲方三份，乙方、政府采购管理部门、采购代理机构各一份。</w:t>
      </w:r>
    </w:p>
    <w:p>
      <w:pPr>
        <w:tabs>
          <w:tab w:val="left" w:pos="0"/>
        </w:tabs>
        <w:spacing w:line="360" w:lineRule="auto"/>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w:t>
      </w:r>
    </w:p>
    <w:p>
      <w:pPr>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甲方：   （盖章）   </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 xml:space="preserve">       乙方：   （盖章）</w:t>
      </w:r>
    </w:p>
    <w:p>
      <w:pPr>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法定代表人（授权代表）：            法定代表人（授权代表）：</w:t>
      </w:r>
    </w:p>
    <w:p>
      <w:pPr>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地    址：                         地    址：</w:t>
      </w:r>
    </w:p>
    <w:p>
      <w:pPr>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开户银行：                         开户银行：</w:t>
      </w:r>
    </w:p>
    <w:p>
      <w:pPr>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账号：                             账号：</w:t>
      </w:r>
    </w:p>
    <w:p>
      <w:pPr>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电    话：                         电    话：</w:t>
      </w:r>
    </w:p>
    <w:p>
      <w:pPr>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传    真：                         传    真：</w:t>
      </w:r>
    </w:p>
    <w:p>
      <w:pPr>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签约日期：</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年</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月</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 xml:space="preserve">日 </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签约日期：</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年</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月</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日</w:t>
      </w:r>
    </w:p>
    <w:p>
      <w:pPr>
        <w:snapToGrid w:val="0"/>
        <w:spacing w:line="360" w:lineRule="auto"/>
        <w:rPr>
          <w:rFonts w:hint="eastAsia" w:ascii="新宋体" w:hAnsi="新宋体" w:eastAsia="新宋体" w:cs="新宋体"/>
          <w:color w:val="auto"/>
          <w:sz w:val="22"/>
          <w:szCs w:val="22"/>
          <w:highlight w:val="none"/>
        </w:rPr>
      </w:pPr>
    </w:p>
    <w:p>
      <w:pPr>
        <w:spacing w:line="360" w:lineRule="auto"/>
        <w:ind w:firstLine="442" w:firstLineChars="200"/>
        <w:rPr>
          <w:rFonts w:hint="eastAsia" w:ascii="新宋体" w:hAnsi="新宋体" w:eastAsia="新宋体" w:cs="新宋体"/>
          <w:color w:val="auto"/>
          <w:sz w:val="24"/>
          <w:highlight w:val="none"/>
        </w:rPr>
        <w:sectPr>
          <w:footerReference r:id="rId8" w:type="default"/>
          <w:footerReference r:id="rId9" w:type="even"/>
          <w:pgSz w:w="11906" w:h="16838"/>
          <w:pgMar w:top="1440" w:right="1440" w:bottom="1440" w:left="1627" w:header="851" w:footer="992" w:gutter="0"/>
          <w:cols w:space="720" w:num="1"/>
          <w:docGrid w:linePitch="321" w:charSpace="640"/>
        </w:sectPr>
      </w:pPr>
      <w:r>
        <w:rPr>
          <w:rFonts w:hint="eastAsia" w:ascii="新宋体" w:hAnsi="新宋体" w:eastAsia="新宋体" w:cs="新宋体"/>
          <w:b/>
          <w:bCs/>
          <w:color w:val="auto"/>
          <w:sz w:val="22"/>
          <w:szCs w:val="22"/>
          <w:highlight w:val="none"/>
        </w:rPr>
        <w:t>注：其他合同专用条款在合同签定时另行约定。</w:t>
      </w:r>
    </w:p>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Pr>
        <w:outlineLvl w:val="1"/>
        <w:rPr>
          <w:rFonts w:hint="eastAsia" w:ascii="新宋体" w:hAnsi="新宋体" w:eastAsia="新宋体" w:cs="新宋体"/>
          <w:b/>
          <w:bCs/>
          <w:color w:val="auto"/>
          <w:sz w:val="24"/>
          <w:szCs w:val="32"/>
          <w:highlight w:val="none"/>
        </w:rPr>
      </w:pPr>
      <w:r>
        <w:rPr>
          <w:rFonts w:hint="eastAsia" w:ascii="新宋体" w:hAnsi="新宋体" w:eastAsia="新宋体" w:cs="新宋体"/>
          <w:b/>
          <w:bCs/>
          <w:color w:val="auto"/>
          <w:sz w:val="24"/>
          <w:szCs w:val="32"/>
          <w:highlight w:val="none"/>
        </w:rPr>
        <w:t>附件一：政府采购云平台使用介绍</w:t>
      </w:r>
    </w:p>
    <w:p>
      <w:pPr>
        <w:rPr>
          <w:rFonts w:hint="eastAsia" w:ascii="新宋体" w:hAnsi="新宋体" w:eastAsia="新宋体" w:cs="新宋体"/>
          <w:b/>
          <w:bCs/>
          <w:color w:val="auto"/>
          <w:sz w:val="24"/>
          <w:szCs w:val="32"/>
          <w:highlight w:val="none"/>
        </w:rPr>
      </w:pPr>
      <w:r>
        <w:rPr>
          <w:rFonts w:hint="eastAsia" w:ascii="新宋体" w:hAnsi="新宋体" w:eastAsia="新宋体" w:cs="新宋体"/>
          <w:b/>
          <w:bCs/>
          <w:color w:val="auto"/>
          <w:sz w:val="24"/>
          <w:szCs w:val="32"/>
          <w:highlight w:val="none"/>
        </w:rPr>
        <w:t>1.输入网址：</w:t>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HYPERLINK "https://www.zcygov.cn"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b/>
          <w:bCs/>
          <w:color w:val="auto"/>
          <w:sz w:val="24"/>
          <w:szCs w:val="32"/>
          <w:highlight w:val="none"/>
        </w:rPr>
        <w:t>https://www.zcygov.cn</w:t>
      </w:r>
      <w:r>
        <w:rPr>
          <w:rStyle w:val="59"/>
          <w:rFonts w:hint="eastAsia" w:ascii="新宋体" w:hAnsi="新宋体" w:eastAsia="新宋体" w:cs="新宋体"/>
          <w:b/>
          <w:bCs/>
          <w:color w:val="auto"/>
          <w:sz w:val="24"/>
          <w:szCs w:val="32"/>
          <w:highlight w:val="none"/>
        </w:rPr>
        <w:fldChar w:fldCharType="end"/>
      </w:r>
    </w:p>
    <w:p>
      <w:pPr>
        <w:rPr>
          <w:rFonts w:hint="eastAsia" w:ascii="新宋体" w:hAnsi="新宋体" w:eastAsia="新宋体" w:cs="新宋体"/>
          <w:b/>
          <w:bCs/>
          <w:color w:val="auto"/>
          <w:sz w:val="24"/>
          <w:szCs w:val="32"/>
          <w:highlight w:val="none"/>
        </w:rPr>
      </w:pPr>
      <w:r>
        <w:rPr>
          <w:rFonts w:hint="eastAsia" w:ascii="新宋体" w:hAnsi="新宋体" w:eastAsia="新宋体" w:cs="新宋体"/>
          <w:b/>
          <w:bCs/>
          <w:color w:val="auto"/>
          <w:sz w:val="24"/>
          <w:szCs w:val="32"/>
          <w:highlight w:val="none"/>
        </w:rPr>
        <w:t>2.选择与项目对应的行政区域如：四川省-成都市-成都市本级</w:t>
      </w:r>
    </w:p>
    <w:p>
      <w:pPr>
        <w:rPr>
          <w:rFonts w:hint="eastAsia" w:ascii="新宋体" w:hAnsi="新宋体" w:eastAsia="新宋体" w:cs="新宋体"/>
          <w:color w:val="auto"/>
          <w:highlight w:val="none"/>
        </w:rPr>
      </w:pPr>
      <w:r>
        <w:rPr>
          <w:rFonts w:hint="eastAsia" w:ascii="新宋体" w:hAnsi="新宋体" w:eastAsia="新宋体" w:cs="新宋体"/>
          <w:color w:val="auto"/>
          <w:highlight w:val="none"/>
        </w:rPr>
        <w:drawing>
          <wp:inline distT="0" distB="0" distL="114300" distR="114300">
            <wp:extent cx="6691630" cy="4184650"/>
            <wp:effectExtent l="0" t="0" r="1397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6691630" cy="4184650"/>
                    </a:xfrm>
                    <a:prstGeom prst="rect">
                      <a:avLst/>
                    </a:prstGeom>
                    <a:noFill/>
                    <a:ln>
                      <a:noFill/>
                    </a:ln>
                  </pic:spPr>
                </pic:pic>
              </a:graphicData>
            </a:graphic>
          </wp:inline>
        </w:drawing>
      </w:r>
    </w:p>
    <w:p>
      <w:pPr>
        <w:numPr>
          <w:ilvl w:val="0"/>
          <w:numId w:val="13"/>
        </w:numPr>
        <w:rPr>
          <w:rFonts w:hint="eastAsia" w:ascii="新宋体" w:hAnsi="新宋体" w:eastAsia="新宋体" w:cs="新宋体"/>
          <w:b/>
          <w:bCs/>
          <w:color w:val="auto"/>
          <w:sz w:val="24"/>
          <w:szCs w:val="32"/>
          <w:highlight w:val="none"/>
        </w:rPr>
      </w:pPr>
      <w:r>
        <w:rPr>
          <w:rFonts w:hint="eastAsia" w:ascii="新宋体" w:hAnsi="新宋体" w:eastAsia="新宋体" w:cs="新宋体"/>
          <w:b/>
          <w:bCs/>
          <w:color w:val="auto"/>
          <w:sz w:val="24"/>
          <w:szCs w:val="32"/>
          <w:highlight w:val="none"/>
        </w:rPr>
        <w:t>点击操作指南-供应商</w:t>
      </w:r>
    </w:p>
    <w:p>
      <w:pPr>
        <w:rPr>
          <w:rFonts w:hint="eastAsia" w:ascii="新宋体" w:hAnsi="新宋体" w:eastAsia="新宋体" w:cs="新宋体"/>
          <w:b/>
          <w:bCs/>
          <w:color w:val="auto"/>
          <w:sz w:val="24"/>
          <w:szCs w:val="32"/>
          <w:highlight w:val="none"/>
        </w:rPr>
      </w:pPr>
      <w:r>
        <w:rPr>
          <w:rFonts w:hint="eastAsia" w:ascii="新宋体" w:hAnsi="新宋体" w:eastAsia="新宋体" w:cs="新宋体"/>
          <w:color w:val="auto"/>
          <w:highlight w:val="none"/>
        </w:rPr>
        <w:drawing>
          <wp:inline distT="0" distB="0" distL="114300" distR="114300">
            <wp:extent cx="8854440" cy="4585335"/>
            <wp:effectExtent l="0" t="0" r="381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8854440" cy="4585335"/>
                    </a:xfrm>
                    <a:prstGeom prst="rect">
                      <a:avLst/>
                    </a:prstGeom>
                    <a:noFill/>
                    <a:ln>
                      <a:noFill/>
                    </a:ln>
                  </pic:spPr>
                </pic:pic>
              </a:graphicData>
            </a:graphic>
          </wp:inline>
        </w:drawing>
      </w:r>
      <w:r>
        <w:rPr>
          <w:rFonts w:hint="eastAsia" w:ascii="新宋体" w:hAnsi="新宋体" w:eastAsia="新宋体" w:cs="新宋体"/>
          <w:color w:val="auto"/>
          <w:highlight w:val="none"/>
        </w:rPr>
        <w:br w:type="page"/>
      </w:r>
      <w:r>
        <w:rPr>
          <w:rFonts w:hint="eastAsia" w:ascii="新宋体" w:hAnsi="新宋体" w:eastAsia="新宋体" w:cs="新宋体"/>
          <w:b/>
          <w:bCs/>
          <w:color w:val="auto"/>
          <w:sz w:val="24"/>
          <w:szCs w:val="32"/>
          <w:highlight w:val="none"/>
        </w:rPr>
        <w:t>4.进入政采云供应商学习专题页面</w:t>
      </w:r>
    </w:p>
    <w:p>
      <w:pPr>
        <w:rPr>
          <w:rFonts w:hint="eastAsia" w:ascii="新宋体" w:hAnsi="新宋体" w:eastAsia="新宋体" w:cs="新宋体"/>
          <w:b/>
          <w:bCs/>
          <w:color w:val="auto"/>
          <w:highlight w:val="none"/>
        </w:rPr>
      </w:pPr>
      <w:r>
        <w:rPr>
          <w:rFonts w:hint="eastAsia" w:ascii="新宋体" w:hAnsi="新宋体" w:eastAsia="新宋体" w:cs="新宋体"/>
          <w:b/>
          <w:bCs/>
          <w:color w:val="auto"/>
          <w:highlight w:val="none"/>
        </w:rPr>
        <w:t>（https://edu.zcygov.cn/luban/xxzt-chengdu-gys?utm=a0017.b1347.cl50.5.0917bc90b7bb11eb807c353645758db6）</w:t>
      </w:r>
    </w:p>
    <w:p>
      <w:pPr>
        <w:rPr>
          <w:rFonts w:hint="eastAsia" w:ascii="新宋体" w:hAnsi="新宋体" w:eastAsia="新宋体" w:cs="新宋体"/>
          <w:color w:val="auto"/>
          <w:highlight w:val="none"/>
        </w:rPr>
      </w:pPr>
      <w:r>
        <w:rPr>
          <w:rFonts w:hint="eastAsia" w:ascii="新宋体" w:hAnsi="新宋体" w:eastAsia="新宋体" w:cs="新宋体"/>
          <w:color w:val="auto"/>
          <w:highlight w:val="none"/>
        </w:rPr>
        <w:drawing>
          <wp:inline distT="0" distB="0" distL="114300" distR="114300">
            <wp:extent cx="9255760" cy="4606290"/>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9255760" cy="4606290"/>
                    </a:xfrm>
                    <a:prstGeom prst="rect">
                      <a:avLst/>
                    </a:prstGeom>
                    <a:noFill/>
                    <a:ln>
                      <a:noFill/>
                    </a:ln>
                  </pic:spPr>
                </pic:pic>
              </a:graphicData>
            </a:graphic>
          </wp:inline>
        </w:drawing>
      </w:r>
    </w:p>
    <w:p>
      <w:pPr>
        <w:rPr>
          <w:rFonts w:hint="eastAsia" w:ascii="新宋体" w:hAnsi="新宋体" w:eastAsia="新宋体" w:cs="新宋体"/>
          <w:b/>
          <w:bCs/>
          <w:color w:val="auto"/>
          <w:sz w:val="24"/>
          <w:szCs w:val="32"/>
          <w:highlight w:val="none"/>
        </w:rPr>
      </w:pPr>
      <w:r>
        <w:rPr>
          <w:rFonts w:hint="eastAsia" w:ascii="新宋体" w:hAnsi="新宋体" w:eastAsia="新宋体" w:cs="新宋体"/>
          <w:color w:val="auto"/>
          <w:highlight w:val="none"/>
        </w:rPr>
        <w:br w:type="page"/>
      </w:r>
      <w:r>
        <w:rPr>
          <w:rFonts w:hint="eastAsia" w:ascii="新宋体" w:hAnsi="新宋体" w:eastAsia="新宋体" w:cs="新宋体"/>
          <w:b/>
          <w:bCs/>
          <w:color w:val="auto"/>
          <w:sz w:val="24"/>
          <w:szCs w:val="32"/>
          <w:highlight w:val="none"/>
        </w:rPr>
        <w:t>5.供应商资讯服务渠道</w:t>
      </w:r>
    </w:p>
    <w:p>
      <w:pPr>
        <w:rPr>
          <w:rFonts w:hint="eastAsia" w:ascii="新宋体" w:hAnsi="新宋体" w:eastAsia="新宋体" w:cs="新宋体"/>
          <w:color w:val="auto"/>
          <w:highlight w:val="none"/>
        </w:rPr>
      </w:pPr>
      <w:r>
        <w:rPr>
          <w:rFonts w:hint="eastAsia" w:ascii="新宋体" w:hAnsi="新宋体" w:eastAsia="新宋体" w:cs="新宋体"/>
          <w:color w:val="auto"/>
          <w:highlight w:val="none"/>
        </w:rPr>
        <w:drawing>
          <wp:inline distT="0" distB="0" distL="114300" distR="114300">
            <wp:extent cx="9380855" cy="3362960"/>
            <wp:effectExtent l="0" t="0" r="1079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9380855" cy="3362960"/>
                    </a:xfrm>
                    <a:prstGeom prst="rect">
                      <a:avLst/>
                    </a:prstGeom>
                    <a:noFill/>
                    <a:ln>
                      <a:noFill/>
                    </a:ln>
                  </pic:spPr>
                </pic:pic>
              </a:graphicData>
            </a:graphic>
          </wp:inline>
        </w:drawing>
      </w:r>
    </w:p>
    <w:p>
      <w:pPr>
        <w:rPr>
          <w:rFonts w:hint="eastAsia" w:ascii="新宋体" w:hAnsi="新宋体" w:eastAsia="新宋体" w:cs="新宋体"/>
          <w:color w:val="auto"/>
          <w:highlight w:val="none"/>
        </w:rPr>
      </w:pPr>
      <w:r>
        <w:rPr>
          <w:rFonts w:hint="eastAsia" w:ascii="新宋体" w:hAnsi="新宋体" w:eastAsia="新宋体" w:cs="新宋体"/>
          <w:color w:val="auto"/>
          <w:highlight w:val="none"/>
        </w:rPr>
        <w:br w:type="page"/>
      </w:r>
      <w:r>
        <w:rPr>
          <w:rFonts w:hint="eastAsia" w:ascii="新宋体" w:hAnsi="新宋体" w:eastAsia="新宋体" w:cs="新宋体"/>
          <w:b/>
          <w:bCs/>
          <w:color w:val="auto"/>
          <w:sz w:val="24"/>
          <w:szCs w:val="32"/>
          <w:highlight w:val="none"/>
        </w:rPr>
        <w:t>6.入驻政府采购云平台（注册）</w:t>
      </w:r>
    </w:p>
    <w:p>
      <w:pPr>
        <w:rPr>
          <w:rFonts w:hint="eastAsia" w:ascii="新宋体" w:hAnsi="新宋体" w:eastAsia="新宋体" w:cs="新宋体"/>
          <w:color w:val="auto"/>
          <w:highlight w:val="none"/>
        </w:rPr>
      </w:pPr>
      <w:r>
        <w:rPr>
          <w:rFonts w:hint="eastAsia" w:ascii="新宋体" w:hAnsi="新宋体" w:eastAsia="新宋体" w:cs="新宋体"/>
          <w:color w:val="auto"/>
          <w:highlight w:val="none"/>
        </w:rPr>
        <w:drawing>
          <wp:inline distT="0" distB="0" distL="114300" distR="114300">
            <wp:extent cx="8853805" cy="3604895"/>
            <wp:effectExtent l="0" t="0" r="4445"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8853805" cy="3604895"/>
                    </a:xfrm>
                    <a:prstGeom prst="rect">
                      <a:avLst/>
                    </a:prstGeom>
                    <a:noFill/>
                    <a:ln>
                      <a:noFill/>
                    </a:ln>
                  </pic:spPr>
                </pic:pic>
              </a:graphicData>
            </a:graphic>
          </wp:inline>
        </w:drawing>
      </w:r>
    </w:p>
    <w:p>
      <w:pPr>
        <w:rPr>
          <w:rFonts w:hint="eastAsia" w:ascii="新宋体" w:hAnsi="新宋体" w:eastAsia="新宋体" w:cs="新宋体"/>
          <w:color w:val="auto"/>
          <w:highlight w:val="none"/>
        </w:rPr>
      </w:pPr>
      <w:r>
        <w:rPr>
          <w:rFonts w:hint="eastAsia" w:ascii="新宋体" w:hAnsi="新宋体" w:eastAsia="新宋体" w:cs="新宋体"/>
          <w:color w:val="auto"/>
          <w:highlight w:val="none"/>
        </w:rPr>
        <w:br w:type="page"/>
      </w:r>
      <w:r>
        <w:rPr>
          <w:rFonts w:hint="eastAsia" w:ascii="新宋体" w:hAnsi="新宋体" w:eastAsia="新宋体" w:cs="新宋体"/>
          <w:b/>
          <w:bCs/>
          <w:color w:val="auto"/>
          <w:sz w:val="24"/>
          <w:szCs w:val="32"/>
          <w:highlight w:val="none"/>
        </w:rPr>
        <w:t>7.下载《供应商政府采购项目电子交易操作指南》</w:t>
      </w:r>
    </w:p>
    <w:p>
      <w:pPr>
        <w:pStyle w:val="19"/>
        <w:rPr>
          <w:rFonts w:hint="eastAsia" w:ascii="新宋体" w:hAnsi="新宋体" w:eastAsia="新宋体" w:cs="新宋体"/>
          <w:color w:val="auto"/>
          <w:highlight w:val="none"/>
        </w:rPr>
      </w:pPr>
      <w:r>
        <w:rPr>
          <w:rFonts w:hint="eastAsia" w:ascii="新宋体" w:hAnsi="新宋体" w:eastAsia="新宋体" w:cs="新宋体"/>
          <w:color w:val="auto"/>
          <w:highlight w:val="none"/>
        </w:rPr>
        <w:drawing>
          <wp:inline distT="0" distB="0" distL="114300" distR="114300">
            <wp:extent cx="8860155" cy="4909185"/>
            <wp:effectExtent l="0" t="0" r="1714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stretch>
                      <a:fillRect/>
                    </a:stretch>
                  </pic:blipFill>
                  <pic:spPr>
                    <a:xfrm>
                      <a:off x="0" y="0"/>
                      <a:ext cx="8860155" cy="4909185"/>
                    </a:xfrm>
                    <a:prstGeom prst="rect">
                      <a:avLst/>
                    </a:prstGeom>
                    <a:noFill/>
                    <a:ln>
                      <a:noFill/>
                    </a:ln>
                  </pic:spPr>
                </pic:pic>
              </a:graphicData>
            </a:graphic>
          </wp:inline>
        </w:drawing>
      </w:r>
    </w:p>
    <w:sectPr>
      <w:pgSz w:w="16838" w:h="11906" w:orient="landscape"/>
      <w:pgMar w:top="1627" w:right="1440" w:bottom="1440" w:left="1440" w:header="851" w:footer="992" w:gutter="0"/>
      <w:cols w:space="720" w:num="1"/>
      <w:docGrid w:linePitch="321" w:charSpace="64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20191226" w:date="2021-12-27T11:41:00Z" w:initials="2">
    <w:p w14:paraId="42873D75">
      <w:pPr>
        <w:pStyle w:val="20"/>
      </w:pPr>
      <w:r>
        <w:rPr>
          <w:rFonts w:hint="eastAsia"/>
        </w:rPr>
        <w:t>以采购人填报采购计划时使用的地址\联系方式为准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2873D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Sun-18030">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Eʩ">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Microsoft JhengHei">
    <w:panose1 w:val="020B0604030504040204"/>
    <w:charset w:val="88"/>
    <w:family w:val="swiss"/>
    <w:pitch w:val="default"/>
    <w:sig w:usb0="000002A7" w:usb1="28CF4400" w:usb2="00000016" w:usb3="00000000" w:csb0="00100009"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CPP/IAQAAmQMAAA4AAAAAAAAAAQAgAAAAHgEAAGRycy9lMm9Eb2Mu&#10;eG1sUEsFBgAAAAAGAAYAWQEAAFgFAAAAAA==&#10;">
              <v:fill on="f" focussize="0,0"/>
              <v:stroke on="f"/>
              <v:imagedata o:title=""/>
              <o:lock v:ext="edit" aspectratio="f"/>
              <v:textbox inset="0mm,0mm,0mm,0mm" style="mso-fit-shape-to-text:t;">
                <w:txbxContent>
                  <w:p>
                    <w:pPr>
                      <w:pStyle w:val="3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38</w: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rPr>
                              <w:rFonts w:hint="eastAsia"/>
                            </w:rPr>
                          </w:pPr>
                          <w:r>
                            <w:rPr>
                              <w:rFonts w:hint="eastAsia"/>
                            </w:rPr>
                            <w:fldChar w:fldCharType="begin"/>
                          </w:r>
                          <w:r>
                            <w:rPr>
                              <w:rFonts w:hint="eastAsia"/>
                            </w:rPr>
                            <w:instrText xml:space="preserve"> PAGE  \* MERGEFORMAT </w:instrText>
                          </w:r>
                          <w:r>
                            <w:rPr>
                              <w:rFonts w:hint="eastAsia"/>
                            </w:rPr>
                            <w:fldChar w:fldCharType="separate"/>
                          </w:r>
                          <w:r>
                            <w:t>80</w:t>
                          </w:r>
                          <w:r>
                            <w:rPr>
                              <w:rFonts w:hint="eastAsia"/>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dEv3M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KI7dcYsDv3z/dvnx6/LzK1m+&#10;zvr0AWpMewiYmIY7P+DWzH5AZ6Y9qGjzFwkRjKO656u6ckhE5Efr1XpdYUhgbL4gPnt8HiKkt9Jb&#10;ko2GRhxfUZWf3kMaU+eUXM35e21MGaFxfzkQM3tY7n3sMVtp2A8Tob1vz8inx8k31OGiU2LeORQ2&#10;L8lsxNnYz8YxRH3oyhblehBujwmbKL3lCiPsVBhHVthN65V34s97yXr8pb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N0S/cyQEAAJoDAAAOAAAAAAAAAAEAIAAAAB4BAABkcnMvZTJvRG9j&#10;LnhtbFBLBQYAAAAABgAGAFkBAABZBQAAAAA=&#10;">
              <v:fill on="f" focussize="0,0"/>
              <v:stroke on="f"/>
              <v:imagedata o:title=""/>
              <o:lock v:ext="edit" aspectratio="f"/>
              <v:textbox inset="0mm,0mm,0mm,0mm" style="mso-fit-shape-to-text:t;">
                <w:txbxContent>
                  <w:p>
                    <w:pPr>
                      <w:pStyle w:val="30"/>
                      <w:rPr>
                        <w:rFonts w:hint="eastAsia"/>
                      </w:rPr>
                    </w:pPr>
                    <w:r>
                      <w:rPr>
                        <w:rFonts w:hint="eastAsia"/>
                      </w:rPr>
                      <w:fldChar w:fldCharType="begin"/>
                    </w:r>
                    <w:r>
                      <w:rPr>
                        <w:rFonts w:hint="eastAsia"/>
                      </w:rPr>
                      <w:instrText xml:space="preserve"> PAGE  \* MERGEFORMAT </w:instrText>
                    </w:r>
                    <w:r>
                      <w:rPr>
                        <w:rFonts w:hint="eastAsia"/>
                      </w:rPr>
                      <w:fldChar w:fldCharType="separate"/>
                    </w:r>
                    <w:r>
                      <w:t>80</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2"/>
      </w:rPr>
    </w:pPr>
    <w:r>
      <w:fldChar w:fldCharType="begin"/>
    </w:r>
    <w:r>
      <w:rPr>
        <w:rStyle w:val="52"/>
      </w:rPr>
      <w:instrText xml:space="preserve">PAGE  </w:instrText>
    </w:r>
    <w:r>
      <w:fldChar w:fldCharType="separate"/>
    </w:r>
    <w: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szCs w:val="18"/>
      </w:rPr>
    </w:pPr>
    <w:r>
      <w:rPr>
        <w:rFonts w:hint="eastAsia"/>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0D4B6"/>
    <w:multiLevelType w:val="singleLevel"/>
    <w:tmpl w:val="8760D4B6"/>
    <w:lvl w:ilvl="0" w:tentative="0">
      <w:start w:val="1"/>
      <w:numFmt w:val="decimal"/>
      <w:lvlText w:val="%1."/>
      <w:lvlJc w:val="left"/>
      <w:pPr>
        <w:tabs>
          <w:tab w:val="left" w:pos="312"/>
        </w:tabs>
      </w:pPr>
    </w:lvl>
  </w:abstractNum>
  <w:abstractNum w:abstractNumId="1">
    <w:nsid w:val="C163256B"/>
    <w:multiLevelType w:val="singleLevel"/>
    <w:tmpl w:val="C163256B"/>
    <w:lvl w:ilvl="0" w:tentative="0">
      <w:start w:val="3"/>
      <w:numFmt w:val="chineseCounting"/>
      <w:suff w:val="nothing"/>
      <w:lvlText w:val="（%1）"/>
      <w:lvlJc w:val="left"/>
      <w:rPr>
        <w:rFonts w:hint="eastAsia"/>
      </w:rPr>
    </w:lvl>
  </w:abstractNum>
  <w:abstractNum w:abstractNumId="2">
    <w:nsid w:val="D2A30646"/>
    <w:multiLevelType w:val="singleLevel"/>
    <w:tmpl w:val="D2A30646"/>
    <w:lvl w:ilvl="0" w:tentative="0">
      <w:start w:val="1"/>
      <w:numFmt w:val="chineseCounting"/>
      <w:suff w:val="nothing"/>
      <w:lvlText w:val="%1、"/>
      <w:lvlJc w:val="left"/>
      <w:rPr>
        <w:rFonts w:hint="eastAsia"/>
      </w:rPr>
    </w:lvl>
  </w:abstractNum>
  <w:abstractNum w:abstractNumId="3">
    <w:nsid w:val="FD695D3C"/>
    <w:multiLevelType w:val="singleLevel"/>
    <w:tmpl w:val="FD695D3C"/>
    <w:lvl w:ilvl="0" w:tentative="0">
      <w:start w:val="5"/>
      <w:numFmt w:val="chineseCounting"/>
      <w:suff w:val="nothing"/>
      <w:lvlText w:val="%1、"/>
      <w:lvlJc w:val="left"/>
      <w:rPr>
        <w:rFonts w:hint="eastAsia"/>
        <w:b/>
        <w:bCs/>
      </w:rPr>
    </w:lvl>
  </w:abstractNum>
  <w:abstractNum w:abstractNumId="4">
    <w:nsid w:val="05EE6F3A"/>
    <w:multiLevelType w:val="singleLevel"/>
    <w:tmpl w:val="05EE6F3A"/>
    <w:lvl w:ilvl="0" w:tentative="0">
      <w:start w:val="1"/>
      <w:numFmt w:val="decimal"/>
      <w:suff w:val="nothing"/>
      <w:lvlText w:val="%1、"/>
      <w:lvlJc w:val="left"/>
    </w:lvl>
  </w:abstractNum>
  <w:abstractNum w:abstractNumId="5">
    <w:nsid w:val="1517B247"/>
    <w:multiLevelType w:val="singleLevel"/>
    <w:tmpl w:val="1517B247"/>
    <w:lvl w:ilvl="0" w:tentative="0">
      <w:start w:val="3"/>
      <w:numFmt w:val="decimal"/>
      <w:lvlText w:val="%1."/>
      <w:lvlJc w:val="left"/>
      <w:pPr>
        <w:tabs>
          <w:tab w:val="left" w:pos="312"/>
        </w:tabs>
      </w:pPr>
    </w:lvl>
  </w:abstractNum>
  <w:abstractNum w:abstractNumId="6">
    <w:nsid w:val="2638D378"/>
    <w:multiLevelType w:val="singleLevel"/>
    <w:tmpl w:val="2638D378"/>
    <w:lvl w:ilvl="0" w:tentative="0">
      <w:start w:val="1"/>
      <w:numFmt w:val="decimal"/>
      <w:suff w:val="nothing"/>
      <w:lvlText w:val="%1．"/>
      <w:lvlJc w:val="left"/>
      <w:pPr>
        <w:ind w:left="0" w:firstLine="400"/>
      </w:pPr>
      <w:rPr>
        <w:rFonts w:hint="default"/>
      </w:rPr>
    </w:lvl>
  </w:abstractNum>
  <w:abstractNum w:abstractNumId="7">
    <w:nsid w:val="5824373E"/>
    <w:multiLevelType w:val="singleLevel"/>
    <w:tmpl w:val="5824373E"/>
    <w:lvl w:ilvl="0" w:tentative="0">
      <w:start w:val="2"/>
      <w:numFmt w:val="decimal"/>
      <w:pStyle w:val="206"/>
      <w:suff w:val="nothing"/>
      <w:lvlText w:val="（%1）"/>
      <w:lvlJc w:val="left"/>
    </w:lvl>
  </w:abstractNum>
  <w:abstractNum w:abstractNumId="8">
    <w:nsid w:val="58E75396"/>
    <w:multiLevelType w:val="singleLevel"/>
    <w:tmpl w:val="58E75396"/>
    <w:lvl w:ilvl="0" w:tentative="0">
      <w:start w:val="1"/>
      <w:numFmt w:val="decimal"/>
      <w:pStyle w:val="14"/>
      <w:suff w:val="nothing"/>
      <w:lvlText w:val="%1."/>
      <w:lvlJc w:val="left"/>
    </w:lvl>
  </w:abstractNum>
  <w:abstractNum w:abstractNumId="9">
    <w:nsid w:val="58E7558A"/>
    <w:multiLevelType w:val="singleLevel"/>
    <w:tmpl w:val="58E7558A"/>
    <w:lvl w:ilvl="0" w:tentative="0">
      <w:start w:val="1"/>
      <w:numFmt w:val="decimal"/>
      <w:pStyle w:val="17"/>
      <w:suff w:val="nothing"/>
      <w:lvlText w:val="%1."/>
      <w:lvlJc w:val="left"/>
    </w:lvl>
  </w:abstractNum>
  <w:abstractNum w:abstractNumId="10">
    <w:nsid w:val="58E75691"/>
    <w:multiLevelType w:val="singleLevel"/>
    <w:tmpl w:val="58E75691"/>
    <w:lvl w:ilvl="0" w:tentative="0">
      <w:start w:val="1"/>
      <w:numFmt w:val="decimal"/>
      <w:pStyle w:val="153"/>
      <w:suff w:val="nothing"/>
      <w:lvlText w:val="%1."/>
      <w:lvlJc w:val="left"/>
    </w:lvl>
  </w:abstractNum>
  <w:abstractNum w:abstractNumId="11">
    <w:nsid w:val="598A9D7A"/>
    <w:multiLevelType w:val="singleLevel"/>
    <w:tmpl w:val="598A9D7A"/>
    <w:lvl w:ilvl="0" w:tentative="0">
      <w:start w:val="1"/>
      <w:numFmt w:val="chineseCounting"/>
      <w:pStyle w:val="257"/>
      <w:suff w:val="space"/>
      <w:lvlText w:val="第%1章"/>
      <w:lvlJc w:val="left"/>
    </w:lvl>
  </w:abstractNum>
  <w:abstractNum w:abstractNumId="12">
    <w:nsid w:val="59C07086"/>
    <w:multiLevelType w:val="singleLevel"/>
    <w:tmpl w:val="59C07086"/>
    <w:lvl w:ilvl="0" w:tentative="0">
      <w:start w:val="1"/>
      <w:numFmt w:val="decimal"/>
      <w:suff w:val="nothing"/>
      <w:lvlText w:val="%1、"/>
      <w:lvlJc w:val="left"/>
    </w:lvl>
  </w:abstractNum>
  <w:num w:numId="1">
    <w:abstractNumId w:val="8"/>
  </w:num>
  <w:num w:numId="2">
    <w:abstractNumId w:val="9"/>
  </w:num>
  <w:num w:numId="3">
    <w:abstractNumId w:val="10"/>
  </w:num>
  <w:num w:numId="4">
    <w:abstractNumId w:val="7"/>
  </w:num>
  <w:num w:numId="5">
    <w:abstractNumId w:val="11"/>
  </w:num>
  <w:num w:numId="6">
    <w:abstractNumId w:val="2"/>
  </w:num>
  <w:num w:numId="7">
    <w:abstractNumId w:val="3"/>
  </w:num>
  <w:num w:numId="8">
    <w:abstractNumId w:val="4"/>
  </w:num>
  <w:num w:numId="9">
    <w:abstractNumId w:val="0"/>
  </w:num>
  <w:num w:numId="10">
    <w:abstractNumId w:val="1"/>
  </w:num>
  <w:num w:numId="11">
    <w:abstractNumId w:val="12"/>
  </w:num>
  <w:num w:numId="12">
    <w:abstractNumId w:val="6"/>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20191226">
    <w15:presenceInfo w15:providerId="None" w15:userId="20191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7"/>
  <w:drawingGridVerticalSpacing w:val="16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D9"/>
    <w:rsid w:val="00000211"/>
    <w:rsid w:val="00001E41"/>
    <w:rsid w:val="00011BC8"/>
    <w:rsid w:val="000121CC"/>
    <w:rsid w:val="000134BF"/>
    <w:rsid w:val="000135C4"/>
    <w:rsid w:val="00014662"/>
    <w:rsid w:val="00015527"/>
    <w:rsid w:val="00015A10"/>
    <w:rsid w:val="00016080"/>
    <w:rsid w:val="0001687F"/>
    <w:rsid w:val="00016C46"/>
    <w:rsid w:val="00021B48"/>
    <w:rsid w:val="00021CC6"/>
    <w:rsid w:val="00023FD9"/>
    <w:rsid w:val="00024BD0"/>
    <w:rsid w:val="00025799"/>
    <w:rsid w:val="00025BC2"/>
    <w:rsid w:val="00025DCD"/>
    <w:rsid w:val="00025F20"/>
    <w:rsid w:val="00026186"/>
    <w:rsid w:val="00026DAA"/>
    <w:rsid w:val="000303EB"/>
    <w:rsid w:val="00030F7E"/>
    <w:rsid w:val="00032213"/>
    <w:rsid w:val="00035007"/>
    <w:rsid w:val="00035251"/>
    <w:rsid w:val="00035B0D"/>
    <w:rsid w:val="000367F5"/>
    <w:rsid w:val="00037FE6"/>
    <w:rsid w:val="00041A2E"/>
    <w:rsid w:val="00042591"/>
    <w:rsid w:val="00043250"/>
    <w:rsid w:val="0004355E"/>
    <w:rsid w:val="00044458"/>
    <w:rsid w:val="0004698A"/>
    <w:rsid w:val="00046C9B"/>
    <w:rsid w:val="00051A72"/>
    <w:rsid w:val="00060131"/>
    <w:rsid w:val="00063F16"/>
    <w:rsid w:val="000652AA"/>
    <w:rsid w:val="00066432"/>
    <w:rsid w:val="0006713F"/>
    <w:rsid w:val="000673C8"/>
    <w:rsid w:val="0006779C"/>
    <w:rsid w:val="00067D6C"/>
    <w:rsid w:val="00071217"/>
    <w:rsid w:val="000724B7"/>
    <w:rsid w:val="000742E8"/>
    <w:rsid w:val="00074C30"/>
    <w:rsid w:val="00076622"/>
    <w:rsid w:val="00076EEB"/>
    <w:rsid w:val="00077090"/>
    <w:rsid w:val="0007742D"/>
    <w:rsid w:val="0008042B"/>
    <w:rsid w:val="00081127"/>
    <w:rsid w:val="000811FB"/>
    <w:rsid w:val="00082BC7"/>
    <w:rsid w:val="00083D84"/>
    <w:rsid w:val="00085E10"/>
    <w:rsid w:val="0008612E"/>
    <w:rsid w:val="00086788"/>
    <w:rsid w:val="00087AB3"/>
    <w:rsid w:val="00087BB0"/>
    <w:rsid w:val="000916C1"/>
    <w:rsid w:val="00092E6F"/>
    <w:rsid w:val="000946E8"/>
    <w:rsid w:val="000968B2"/>
    <w:rsid w:val="00097666"/>
    <w:rsid w:val="000A1EAF"/>
    <w:rsid w:val="000A30F4"/>
    <w:rsid w:val="000A4A25"/>
    <w:rsid w:val="000A4B53"/>
    <w:rsid w:val="000A5547"/>
    <w:rsid w:val="000B1C1F"/>
    <w:rsid w:val="000B22BE"/>
    <w:rsid w:val="000B3FDC"/>
    <w:rsid w:val="000B4987"/>
    <w:rsid w:val="000B52E8"/>
    <w:rsid w:val="000B5655"/>
    <w:rsid w:val="000B5EA9"/>
    <w:rsid w:val="000B6038"/>
    <w:rsid w:val="000B605F"/>
    <w:rsid w:val="000B673E"/>
    <w:rsid w:val="000C1EFF"/>
    <w:rsid w:val="000C2A7D"/>
    <w:rsid w:val="000C459C"/>
    <w:rsid w:val="000C462C"/>
    <w:rsid w:val="000C67E0"/>
    <w:rsid w:val="000C7BA8"/>
    <w:rsid w:val="000D0035"/>
    <w:rsid w:val="000D0D9D"/>
    <w:rsid w:val="000D241A"/>
    <w:rsid w:val="000D2424"/>
    <w:rsid w:val="000D2C17"/>
    <w:rsid w:val="000D4645"/>
    <w:rsid w:val="000D4EFC"/>
    <w:rsid w:val="000D5399"/>
    <w:rsid w:val="000D5FEE"/>
    <w:rsid w:val="000D66E2"/>
    <w:rsid w:val="000E1802"/>
    <w:rsid w:val="000E58A1"/>
    <w:rsid w:val="000E76E3"/>
    <w:rsid w:val="000E7FB0"/>
    <w:rsid w:val="000F025A"/>
    <w:rsid w:val="000F1C25"/>
    <w:rsid w:val="000F4E1F"/>
    <w:rsid w:val="000F5262"/>
    <w:rsid w:val="00100803"/>
    <w:rsid w:val="00100FCB"/>
    <w:rsid w:val="00102FA5"/>
    <w:rsid w:val="00103B52"/>
    <w:rsid w:val="0010411E"/>
    <w:rsid w:val="00107CD1"/>
    <w:rsid w:val="0011238A"/>
    <w:rsid w:val="00117A39"/>
    <w:rsid w:val="00120111"/>
    <w:rsid w:val="001236C7"/>
    <w:rsid w:val="001261C9"/>
    <w:rsid w:val="00126780"/>
    <w:rsid w:val="00126D6D"/>
    <w:rsid w:val="00130EA2"/>
    <w:rsid w:val="00132CD5"/>
    <w:rsid w:val="00135EE9"/>
    <w:rsid w:val="00136A86"/>
    <w:rsid w:val="00137023"/>
    <w:rsid w:val="001375F6"/>
    <w:rsid w:val="001377E1"/>
    <w:rsid w:val="00140041"/>
    <w:rsid w:val="00140470"/>
    <w:rsid w:val="00140EBC"/>
    <w:rsid w:val="00142C86"/>
    <w:rsid w:val="00144AF2"/>
    <w:rsid w:val="001513D5"/>
    <w:rsid w:val="001532BB"/>
    <w:rsid w:val="00153460"/>
    <w:rsid w:val="0015441B"/>
    <w:rsid w:val="00154AAC"/>
    <w:rsid w:val="00155F5E"/>
    <w:rsid w:val="00155FF8"/>
    <w:rsid w:val="001566D7"/>
    <w:rsid w:val="0015733D"/>
    <w:rsid w:val="0015739A"/>
    <w:rsid w:val="00160C27"/>
    <w:rsid w:val="00161CA1"/>
    <w:rsid w:val="001647E2"/>
    <w:rsid w:val="001715CE"/>
    <w:rsid w:val="0017211E"/>
    <w:rsid w:val="00172259"/>
    <w:rsid w:val="00172ACF"/>
    <w:rsid w:val="00173FFA"/>
    <w:rsid w:val="00174128"/>
    <w:rsid w:val="00175F32"/>
    <w:rsid w:val="00176FD4"/>
    <w:rsid w:val="0018189D"/>
    <w:rsid w:val="001856B6"/>
    <w:rsid w:val="001856E3"/>
    <w:rsid w:val="0018576F"/>
    <w:rsid w:val="001869D4"/>
    <w:rsid w:val="00187FF1"/>
    <w:rsid w:val="00190B96"/>
    <w:rsid w:val="001913C3"/>
    <w:rsid w:val="0019166F"/>
    <w:rsid w:val="00192149"/>
    <w:rsid w:val="001951F8"/>
    <w:rsid w:val="001959C8"/>
    <w:rsid w:val="001965F9"/>
    <w:rsid w:val="00196DCB"/>
    <w:rsid w:val="00197408"/>
    <w:rsid w:val="00197D4F"/>
    <w:rsid w:val="001A11CA"/>
    <w:rsid w:val="001A205B"/>
    <w:rsid w:val="001A32CD"/>
    <w:rsid w:val="001A4E3F"/>
    <w:rsid w:val="001B0B67"/>
    <w:rsid w:val="001B0C35"/>
    <w:rsid w:val="001B1483"/>
    <w:rsid w:val="001B1D76"/>
    <w:rsid w:val="001B4C28"/>
    <w:rsid w:val="001B5F13"/>
    <w:rsid w:val="001B7A44"/>
    <w:rsid w:val="001C292A"/>
    <w:rsid w:val="001C2EAC"/>
    <w:rsid w:val="001C58AE"/>
    <w:rsid w:val="001D06C1"/>
    <w:rsid w:val="001D07A1"/>
    <w:rsid w:val="001D0B9E"/>
    <w:rsid w:val="001D1E00"/>
    <w:rsid w:val="001D464C"/>
    <w:rsid w:val="001D511D"/>
    <w:rsid w:val="001D5167"/>
    <w:rsid w:val="001D54D9"/>
    <w:rsid w:val="001D5B1A"/>
    <w:rsid w:val="001D64F2"/>
    <w:rsid w:val="001D7BCF"/>
    <w:rsid w:val="001D7CBB"/>
    <w:rsid w:val="001E13CF"/>
    <w:rsid w:val="001E1DCB"/>
    <w:rsid w:val="001E5694"/>
    <w:rsid w:val="001E57D7"/>
    <w:rsid w:val="001E6997"/>
    <w:rsid w:val="001F0A0C"/>
    <w:rsid w:val="001F1730"/>
    <w:rsid w:val="001F37CA"/>
    <w:rsid w:val="001F53AC"/>
    <w:rsid w:val="001F5BE0"/>
    <w:rsid w:val="001F5BEA"/>
    <w:rsid w:val="001F5FF7"/>
    <w:rsid w:val="001F75BD"/>
    <w:rsid w:val="001F7F51"/>
    <w:rsid w:val="00201F28"/>
    <w:rsid w:val="00203420"/>
    <w:rsid w:val="002047CF"/>
    <w:rsid w:val="00205B9F"/>
    <w:rsid w:val="00205CB0"/>
    <w:rsid w:val="002112EA"/>
    <w:rsid w:val="00212553"/>
    <w:rsid w:val="00215211"/>
    <w:rsid w:val="00215B7C"/>
    <w:rsid w:val="00215DB8"/>
    <w:rsid w:val="00220ED3"/>
    <w:rsid w:val="00220FD7"/>
    <w:rsid w:val="002212C0"/>
    <w:rsid w:val="002218C7"/>
    <w:rsid w:val="00221CA7"/>
    <w:rsid w:val="0022427C"/>
    <w:rsid w:val="0022525D"/>
    <w:rsid w:val="00225479"/>
    <w:rsid w:val="00225B28"/>
    <w:rsid w:val="00231C06"/>
    <w:rsid w:val="002323E2"/>
    <w:rsid w:val="0023248F"/>
    <w:rsid w:val="00232D68"/>
    <w:rsid w:val="00234327"/>
    <w:rsid w:val="00234A00"/>
    <w:rsid w:val="00235AD3"/>
    <w:rsid w:val="002411F7"/>
    <w:rsid w:val="002416F1"/>
    <w:rsid w:val="00242E57"/>
    <w:rsid w:val="00243027"/>
    <w:rsid w:val="00244700"/>
    <w:rsid w:val="0024584E"/>
    <w:rsid w:val="00246A65"/>
    <w:rsid w:val="00250870"/>
    <w:rsid w:val="002513A4"/>
    <w:rsid w:val="0025262B"/>
    <w:rsid w:val="0025349F"/>
    <w:rsid w:val="00254D17"/>
    <w:rsid w:val="00254D6F"/>
    <w:rsid w:val="002576AE"/>
    <w:rsid w:val="00257BD9"/>
    <w:rsid w:val="00257DB7"/>
    <w:rsid w:val="00260554"/>
    <w:rsid w:val="00260938"/>
    <w:rsid w:val="002610FD"/>
    <w:rsid w:val="00261EFB"/>
    <w:rsid w:val="00261F81"/>
    <w:rsid w:val="0026625D"/>
    <w:rsid w:val="002663A9"/>
    <w:rsid w:val="002672ED"/>
    <w:rsid w:val="0027019F"/>
    <w:rsid w:val="00275148"/>
    <w:rsid w:val="002821BA"/>
    <w:rsid w:val="00283FBF"/>
    <w:rsid w:val="002851CF"/>
    <w:rsid w:val="0028653D"/>
    <w:rsid w:val="00287A1B"/>
    <w:rsid w:val="002906A4"/>
    <w:rsid w:val="00292233"/>
    <w:rsid w:val="00293072"/>
    <w:rsid w:val="002936E0"/>
    <w:rsid w:val="00294C58"/>
    <w:rsid w:val="00295938"/>
    <w:rsid w:val="00295EE2"/>
    <w:rsid w:val="00296E5C"/>
    <w:rsid w:val="002A0170"/>
    <w:rsid w:val="002A20AD"/>
    <w:rsid w:val="002A2F16"/>
    <w:rsid w:val="002A52CB"/>
    <w:rsid w:val="002A73B4"/>
    <w:rsid w:val="002A7A43"/>
    <w:rsid w:val="002B0152"/>
    <w:rsid w:val="002B2E7E"/>
    <w:rsid w:val="002B3063"/>
    <w:rsid w:val="002B3996"/>
    <w:rsid w:val="002B4116"/>
    <w:rsid w:val="002B5BD8"/>
    <w:rsid w:val="002C1EBD"/>
    <w:rsid w:val="002C3E76"/>
    <w:rsid w:val="002C6DDC"/>
    <w:rsid w:val="002D0206"/>
    <w:rsid w:val="002D1094"/>
    <w:rsid w:val="002D1EFC"/>
    <w:rsid w:val="002D35EF"/>
    <w:rsid w:val="002D5FFE"/>
    <w:rsid w:val="002D7127"/>
    <w:rsid w:val="002E06BC"/>
    <w:rsid w:val="002E1759"/>
    <w:rsid w:val="002E17B4"/>
    <w:rsid w:val="002E1FA6"/>
    <w:rsid w:val="002E2D54"/>
    <w:rsid w:val="002E305C"/>
    <w:rsid w:val="002E614B"/>
    <w:rsid w:val="002E6F5F"/>
    <w:rsid w:val="002F0276"/>
    <w:rsid w:val="002F11CD"/>
    <w:rsid w:val="002F21E8"/>
    <w:rsid w:val="002F2B4E"/>
    <w:rsid w:val="002F2C34"/>
    <w:rsid w:val="002F47F8"/>
    <w:rsid w:val="002F6E29"/>
    <w:rsid w:val="002F71A8"/>
    <w:rsid w:val="003000C4"/>
    <w:rsid w:val="00300821"/>
    <w:rsid w:val="00300A8F"/>
    <w:rsid w:val="003010BC"/>
    <w:rsid w:val="00301222"/>
    <w:rsid w:val="003013DB"/>
    <w:rsid w:val="003039FA"/>
    <w:rsid w:val="00303DB9"/>
    <w:rsid w:val="0030435F"/>
    <w:rsid w:val="00304957"/>
    <w:rsid w:val="00305B89"/>
    <w:rsid w:val="0030695E"/>
    <w:rsid w:val="003069C5"/>
    <w:rsid w:val="00306DC5"/>
    <w:rsid w:val="00310041"/>
    <w:rsid w:val="00310923"/>
    <w:rsid w:val="00311E49"/>
    <w:rsid w:val="0031362F"/>
    <w:rsid w:val="0031424B"/>
    <w:rsid w:val="0031511F"/>
    <w:rsid w:val="003170B3"/>
    <w:rsid w:val="0031770F"/>
    <w:rsid w:val="00317D6F"/>
    <w:rsid w:val="0032076F"/>
    <w:rsid w:val="00323476"/>
    <w:rsid w:val="003255A3"/>
    <w:rsid w:val="0032598E"/>
    <w:rsid w:val="00327401"/>
    <w:rsid w:val="00330033"/>
    <w:rsid w:val="0033058B"/>
    <w:rsid w:val="00331FD4"/>
    <w:rsid w:val="0033329B"/>
    <w:rsid w:val="00333CA3"/>
    <w:rsid w:val="0033570B"/>
    <w:rsid w:val="00335C4B"/>
    <w:rsid w:val="00336B95"/>
    <w:rsid w:val="00336BB5"/>
    <w:rsid w:val="00340E44"/>
    <w:rsid w:val="00345D58"/>
    <w:rsid w:val="0034625B"/>
    <w:rsid w:val="003471C8"/>
    <w:rsid w:val="00347E3B"/>
    <w:rsid w:val="003506D6"/>
    <w:rsid w:val="00352423"/>
    <w:rsid w:val="00353512"/>
    <w:rsid w:val="00354857"/>
    <w:rsid w:val="0036042A"/>
    <w:rsid w:val="00360A26"/>
    <w:rsid w:val="003613A2"/>
    <w:rsid w:val="00362F6C"/>
    <w:rsid w:val="00367CBF"/>
    <w:rsid w:val="00371985"/>
    <w:rsid w:val="003727EF"/>
    <w:rsid w:val="00373EF0"/>
    <w:rsid w:val="0037426B"/>
    <w:rsid w:val="00374491"/>
    <w:rsid w:val="00377204"/>
    <w:rsid w:val="0038014D"/>
    <w:rsid w:val="00380A1E"/>
    <w:rsid w:val="003819DD"/>
    <w:rsid w:val="00383A35"/>
    <w:rsid w:val="003843EB"/>
    <w:rsid w:val="00384772"/>
    <w:rsid w:val="00386151"/>
    <w:rsid w:val="003866FF"/>
    <w:rsid w:val="00386E15"/>
    <w:rsid w:val="003901B8"/>
    <w:rsid w:val="00390629"/>
    <w:rsid w:val="00390BD5"/>
    <w:rsid w:val="00394352"/>
    <w:rsid w:val="00394E8A"/>
    <w:rsid w:val="0039593A"/>
    <w:rsid w:val="003963CC"/>
    <w:rsid w:val="00396532"/>
    <w:rsid w:val="003A10D9"/>
    <w:rsid w:val="003A11E5"/>
    <w:rsid w:val="003A199B"/>
    <w:rsid w:val="003A3BF1"/>
    <w:rsid w:val="003A4DDC"/>
    <w:rsid w:val="003A56CE"/>
    <w:rsid w:val="003A72E4"/>
    <w:rsid w:val="003B1469"/>
    <w:rsid w:val="003B320D"/>
    <w:rsid w:val="003B3603"/>
    <w:rsid w:val="003B4BC7"/>
    <w:rsid w:val="003B5585"/>
    <w:rsid w:val="003B6C02"/>
    <w:rsid w:val="003B76DC"/>
    <w:rsid w:val="003B7A02"/>
    <w:rsid w:val="003C02EB"/>
    <w:rsid w:val="003C0C1F"/>
    <w:rsid w:val="003C1ACC"/>
    <w:rsid w:val="003C246E"/>
    <w:rsid w:val="003C257B"/>
    <w:rsid w:val="003C30A7"/>
    <w:rsid w:val="003C30EA"/>
    <w:rsid w:val="003C3DCE"/>
    <w:rsid w:val="003C42D6"/>
    <w:rsid w:val="003C4A0C"/>
    <w:rsid w:val="003C52AB"/>
    <w:rsid w:val="003C671C"/>
    <w:rsid w:val="003C777D"/>
    <w:rsid w:val="003D0E3A"/>
    <w:rsid w:val="003D13DE"/>
    <w:rsid w:val="003D24CB"/>
    <w:rsid w:val="003D3633"/>
    <w:rsid w:val="003D448A"/>
    <w:rsid w:val="003D4E53"/>
    <w:rsid w:val="003D5094"/>
    <w:rsid w:val="003D5C5E"/>
    <w:rsid w:val="003E1617"/>
    <w:rsid w:val="003E1688"/>
    <w:rsid w:val="003E1E23"/>
    <w:rsid w:val="003E520A"/>
    <w:rsid w:val="003E5254"/>
    <w:rsid w:val="003E5672"/>
    <w:rsid w:val="003E610E"/>
    <w:rsid w:val="003E6C53"/>
    <w:rsid w:val="003F00D3"/>
    <w:rsid w:val="003F0477"/>
    <w:rsid w:val="003F3780"/>
    <w:rsid w:val="003F5711"/>
    <w:rsid w:val="003F6177"/>
    <w:rsid w:val="003F762D"/>
    <w:rsid w:val="0040113C"/>
    <w:rsid w:val="00401506"/>
    <w:rsid w:val="00402C33"/>
    <w:rsid w:val="00407DDD"/>
    <w:rsid w:val="00410468"/>
    <w:rsid w:val="00410608"/>
    <w:rsid w:val="00411071"/>
    <w:rsid w:val="00411D9F"/>
    <w:rsid w:val="00413533"/>
    <w:rsid w:val="004140FB"/>
    <w:rsid w:val="00414367"/>
    <w:rsid w:val="004150AA"/>
    <w:rsid w:val="00417539"/>
    <w:rsid w:val="004178B0"/>
    <w:rsid w:val="00420B9A"/>
    <w:rsid w:val="00420CD0"/>
    <w:rsid w:val="004233B2"/>
    <w:rsid w:val="00424822"/>
    <w:rsid w:val="004255C9"/>
    <w:rsid w:val="004272CC"/>
    <w:rsid w:val="004278A9"/>
    <w:rsid w:val="00427A26"/>
    <w:rsid w:val="00427C48"/>
    <w:rsid w:val="004317FB"/>
    <w:rsid w:val="0043265C"/>
    <w:rsid w:val="00432D11"/>
    <w:rsid w:val="0043308A"/>
    <w:rsid w:val="00434513"/>
    <w:rsid w:val="00437994"/>
    <w:rsid w:val="00441366"/>
    <w:rsid w:val="00441904"/>
    <w:rsid w:val="00441CD2"/>
    <w:rsid w:val="00442A98"/>
    <w:rsid w:val="00443FFF"/>
    <w:rsid w:val="00446745"/>
    <w:rsid w:val="00447B24"/>
    <w:rsid w:val="004504EC"/>
    <w:rsid w:val="004527E9"/>
    <w:rsid w:val="00452C2E"/>
    <w:rsid w:val="004533A4"/>
    <w:rsid w:val="004555A9"/>
    <w:rsid w:val="00460594"/>
    <w:rsid w:val="00462243"/>
    <w:rsid w:val="00465205"/>
    <w:rsid w:val="00466C66"/>
    <w:rsid w:val="004674B4"/>
    <w:rsid w:val="004700FE"/>
    <w:rsid w:val="004708D4"/>
    <w:rsid w:val="00471102"/>
    <w:rsid w:val="00471567"/>
    <w:rsid w:val="004729F4"/>
    <w:rsid w:val="00473AF9"/>
    <w:rsid w:val="00474DC5"/>
    <w:rsid w:val="0047584C"/>
    <w:rsid w:val="004764B1"/>
    <w:rsid w:val="0047677B"/>
    <w:rsid w:val="004809B2"/>
    <w:rsid w:val="00480F4F"/>
    <w:rsid w:val="00482478"/>
    <w:rsid w:val="00482E84"/>
    <w:rsid w:val="00483A2A"/>
    <w:rsid w:val="00483BAD"/>
    <w:rsid w:val="00483BEA"/>
    <w:rsid w:val="00484C7A"/>
    <w:rsid w:val="00484D28"/>
    <w:rsid w:val="004865B3"/>
    <w:rsid w:val="004906AE"/>
    <w:rsid w:val="004913AD"/>
    <w:rsid w:val="00492D15"/>
    <w:rsid w:val="00492F36"/>
    <w:rsid w:val="0049372B"/>
    <w:rsid w:val="00493E3C"/>
    <w:rsid w:val="004A05FC"/>
    <w:rsid w:val="004A1D9B"/>
    <w:rsid w:val="004A2DCF"/>
    <w:rsid w:val="004A467B"/>
    <w:rsid w:val="004A4AE4"/>
    <w:rsid w:val="004A4CF8"/>
    <w:rsid w:val="004A5121"/>
    <w:rsid w:val="004A57D6"/>
    <w:rsid w:val="004B1199"/>
    <w:rsid w:val="004B132C"/>
    <w:rsid w:val="004B15E6"/>
    <w:rsid w:val="004B22C0"/>
    <w:rsid w:val="004B4956"/>
    <w:rsid w:val="004B5765"/>
    <w:rsid w:val="004B648D"/>
    <w:rsid w:val="004B710A"/>
    <w:rsid w:val="004C0200"/>
    <w:rsid w:val="004C4B8E"/>
    <w:rsid w:val="004C5384"/>
    <w:rsid w:val="004C5413"/>
    <w:rsid w:val="004C5F4A"/>
    <w:rsid w:val="004C6737"/>
    <w:rsid w:val="004C6F8F"/>
    <w:rsid w:val="004D035B"/>
    <w:rsid w:val="004D214A"/>
    <w:rsid w:val="004D4CFA"/>
    <w:rsid w:val="004D51FE"/>
    <w:rsid w:val="004D5C60"/>
    <w:rsid w:val="004D68FC"/>
    <w:rsid w:val="004E22A4"/>
    <w:rsid w:val="004E2FF0"/>
    <w:rsid w:val="004E3601"/>
    <w:rsid w:val="004E3876"/>
    <w:rsid w:val="004E5596"/>
    <w:rsid w:val="004F3CCD"/>
    <w:rsid w:val="004F6225"/>
    <w:rsid w:val="004F72C0"/>
    <w:rsid w:val="004F7F51"/>
    <w:rsid w:val="00500AC9"/>
    <w:rsid w:val="00501645"/>
    <w:rsid w:val="005018F8"/>
    <w:rsid w:val="005021D1"/>
    <w:rsid w:val="00502BAB"/>
    <w:rsid w:val="00502CF2"/>
    <w:rsid w:val="00505F94"/>
    <w:rsid w:val="00507A08"/>
    <w:rsid w:val="00511559"/>
    <w:rsid w:val="00511AB8"/>
    <w:rsid w:val="00512049"/>
    <w:rsid w:val="005170C4"/>
    <w:rsid w:val="00517812"/>
    <w:rsid w:val="00520102"/>
    <w:rsid w:val="00520DBE"/>
    <w:rsid w:val="00522E40"/>
    <w:rsid w:val="005258B2"/>
    <w:rsid w:val="005258CE"/>
    <w:rsid w:val="00527C4A"/>
    <w:rsid w:val="005309B7"/>
    <w:rsid w:val="00530EB3"/>
    <w:rsid w:val="005313A2"/>
    <w:rsid w:val="0053294A"/>
    <w:rsid w:val="0053304C"/>
    <w:rsid w:val="00533179"/>
    <w:rsid w:val="005350D6"/>
    <w:rsid w:val="00536627"/>
    <w:rsid w:val="00536B89"/>
    <w:rsid w:val="00537B78"/>
    <w:rsid w:val="00540EED"/>
    <w:rsid w:val="0054429B"/>
    <w:rsid w:val="00545334"/>
    <w:rsid w:val="00546FFF"/>
    <w:rsid w:val="005478D0"/>
    <w:rsid w:val="00547CDA"/>
    <w:rsid w:val="00552787"/>
    <w:rsid w:val="005527C2"/>
    <w:rsid w:val="00553265"/>
    <w:rsid w:val="00553561"/>
    <w:rsid w:val="00553A7B"/>
    <w:rsid w:val="005544A6"/>
    <w:rsid w:val="00555D6C"/>
    <w:rsid w:val="00557064"/>
    <w:rsid w:val="0056054E"/>
    <w:rsid w:val="00560757"/>
    <w:rsid w:val="00560C78"/>
    <w:rsid w:val="005625EF"/>
    <w:rsid w:val="0056296D"/>
    <w:rsid w:val="00562B7D"/>
    <w:rsid w:val="005641F1"/>
    <w:rsid w:val="00564FCC"/>
    <w:rsid w:val="005667DF"/>
    <w:rsid w:val="00567CB6"/>
    <w:rsid w:val="005709B9"/>
    <w:rsid w:val="005718DF"/>
    <w:rsid w:val="00571C4F"/>
    <w:rsid w:val="005722E4"/>
    <w:rsid w:val="0057292B"/>
    <w:rsid w:val="00573105"/>
    <w:rsid w:val="00573E49"/>
    <w:rsid w:val="005757E4"/>
    <w:rsid w:val="005771E9"/>
    <w:rsid w:val="00581D93"/>
    <w:rsid w:val="0058530C"/>
    <w:rsid w:val="005862F8"/>
    <w:rsid w:val="00586928"/>
    <w:rsid w:val="00590C70"/>
    <w:rsid w:val="00590DFF"/>
    <w:rsid w:val="005910B7"/>
    <w:rsid w:val="0059115A"/>
    <w:rsid w:val="00592696"/>
    <w:rsid w:val="005929F3"/>
    <w:rsid w:val="005940CD"/>
    <w:rsid w:val="005941E5"/>
    <w:rsid w:val="0059446C"/>
    <w:rsid w:val="00594A1C"/>
    <w:rsid w:val="005958E3"/>
    <w:rsid w:val="005A03FB"/>
    <w:rsid w:val="005A1C2B"/>
    <w:rsid w:val="005A29FE"/>
    <w:rsid w:val="005A5550"/>
    <w:rsid w:val="005B00E1"/>
    <w:rsid w:val="005B1D9F"/>
    <w:rsid w:val="005B2838"/>
    <w:rsid w:val="005B7DB3"/>
    <w:rsid w:val="005C1802"/>
    <w:rsid w:val="005C2010"/>
    <w:rsid w:val="005C36F1"/>
    <w:rsid w:val="005C4A88"/>
    <w:rsid w:val="005C5271"/>
    <w:rsid w:val="005D1135"/>
    <w:rsid w:val="005D1752"/>
    <w:rsid w:val="005D347E"/>
    <w:rsid w:val="005D496C"/>
    <w:rsid w:val="005D5606"/>
    <w:rsid w:val="005D56CE"/>
    <w:rsid w:val="005D6B3C"/>
    <w:rsid w:val="005E0875"/>
    <w:rsid w:val="005E14FC"/>
    <w:rsid w:val="005E16B2"/>
    <w:rsid w:val="005E3F7D"/>
    <w:rsid w:val="005E4DAE"/>
    <w:rsid w:val="005E7046"/>
    <w:rsid w:val="005E7E59"/>
    <w:rsid w:val="005F156D"/>
    <w:rsid w:val="005F3490"/>
    <w:rsid w:val="005F3ECB"/>
    <w:rsid w:val="005F5285"/>
    <w:rsid w:val="005F5B1F"/>
    <w:rsid w:val="005F5BF7"/>
    <w:rsid w:val="006011A6"/>
    <w:rsid w:val="00601C5B"/>
    <w:rsid w:val="00601D98"/>
    <w:rsid w:val="0060369C"/>
    <w:rsid w:val="00603D9B"/>
    <w:rsid w:val="00603E11"/>
    <w:rsid w:val="00603FB2"/>
    <w:rsid w:val="00605456"/>
    <w:rsid w:val="00605CFF"/>
    <w:rsid w:val="00605F5D"/>
    <w:rsid w:val="00606551"/>
    <w:rsid w:val="0061023D"/>
    <w:rsid w:val="0061325A"/>
    <w:rsid w:val="00613499"/>
    <w:rsid w:val="00615716"/>
    <w:rsid w:val="006164EC"/>
    <w:rsid w:val="0061653C"/>
    <w:rsid w:val="00620D59"/>
    <w:rsid w:val="00621C3F"/>
    <w:rsid w:val="00623EFF"/>
    <w:rsid w:val="00624A3A"/>
    <w:rsid w:val="00625DB9"/>
    <w:rsid w:val="006260D1"/>
    <w:rsid w:val="00627496"/>
    <w:rsid w:val="0063013E"/>
    <w:rsid w:val="0063266B"/>
    <w:rsid w:val="006342FB"/>
    <w:rsid w:val="00636FAA"/>
    <w:rsid w:val="00640AF9"/>
    <w:rsid w:val="00642008"/>
    <w:rsid w:val="006441EE"/>
    <w:rsid w:val="006457FD"/>
    <w:rsid w:val="00647C32"/>
    <w:rsid w:val="00647CAD"/>
    <w:rsid w:val="006541C5"/>
    <w:rsid w:val="00654CC1"/>
    <w:rsid w:val="00656030"/>
    <w:rsid w:val="00656E13"/>
    <w:rsid w:val="00660F2F"/>
    <w:rsid w:val="00666139"/>
    <w:rsid w:val="00667095"/>
    <w:rsid w:val="00673742"/>
    <w:rsid w:val="00675369"/>
    <w:rsid w:val="006755D3"/>
    <w:rsid w:val="00675899"/>
    <w:rsid w:val="00675B3C"/>
    <w:rsid w:val="0067638D"/>
    <w:rsid w:val="00680B9E"/>
    <w:rsid w:val="006818EE"/>
    <w:rsid w:val="0068237D"/>
    <w:rsid w:val="00682DFA"/>
    <w:rsid w:val="006837A7"/>
    <w:rsid w:val="00685B48"/>
    <w:rsid w:val="00685CD9"/>
    <w:rsid w:val="00690520"/>
    <w:rsid w:val="00691009"/>
    <w:rsid w:val="006931BB"/>
    <w:rsid w:val="006937BB"/>
    <w:rsid w:val="006950B8"/>
    <w:rsid w:val="0069729E"/>
    <w:rsid w:val="006978AB"/>
    <w:rsid w:val="00697B3D"/>
    <w:rsid w:val="006A0B9F"/>
    <w:rsid w:val="006A2CC8"/>
    <w:rsid w:val="006A35DC"/>
    <w:rsid w:val="006A4E34"/>
    <w:rsid w:val="006A5870"/>
    <w:rsid w:val="006A5AD2"/>
    <w:rsid w:val="006A6F2A"/>
    <w:rsid w:val="006B04BE"/>
    <w:rsid w:val="006B1422"/>
    <w:rsid w:val="006B2BCF"/>
    <w:rsid w:val="006B3B70"/>
    <w:rsid w:val="006C03D7"/>
    <w:rsid w:val="006C3990"/>
    <w:rsid w:val="006C474D"/>
    <w:rsid w:val="006C5114"/>
    <w:rsid w:val="006C5F4B"/>
    <w:rsid w:val="006C6E52"/>
    <w:rsid w:val="006C721E"/>
    <w:rsid w:val="006C75B8"/>
    <w:rsid w:val="006D3519"/>
    <w:rsid w:val="006D484B"/>
    <w:rsid w:val="006D5EEC"/>
    <w:rsid w:val="006D6A73"/>
    <w:rsid w:val="006D6F76"/>
    <w:rsid w:val="006E3139"/>
    <w:rsid w:val="006E3993"/>
    <w:rsid w:val="006E6720"/>
    <w:rsid w:val="006E71D0"/>
    <w:rsid w:val="006E7428"/>
    <w:rsid w:val="006F4CDA"/>
    <w:rsid w:val="006F66AB"/>
    <w:rsid w:val="006F6C57"/>
    <w:rsid w:val="006F74F6"/>
    <w:rsid w:val="00701941"/>
    <w:rsid w:val="007037D3"/>
    <w:rsid w:val="007058A9"/>
    <w:rsid w:val="00706AD8"/>
    <w:rsid w:val="00711133"/>
    <w:rsid w:val="0071368B"/>
    <w:rsid w:val="00713DF1"/>
    <w:rsid w:val="007141D2"/>
    <w:rsid w:val="00716ABF"/>
    <w:rsid w:val="0072063F"/>
    <w:rsid w:val="00721956"/>
    <w:rsid w:val="007228EF"/>
    <w:rsid w:val="00723966"/>
    <w:rsid w:val="007242FC"/>
    <w:rsid w:val="00724E34"/>
    <w:rsid w:val="0072593B"/>
    <w:rsid w:val="00725AB7"/>
    <w:rsid w:val="00726B28"/>
    <w:rsid w:val="00736D16"/>
    <w:rsid w:val="00737869"/>
    <w:rsid w:val="00737F9D"/>
    <w:rsid w:val="00740757"/>
    <w:rsid w:val="0074348F"/>
    <w:rsid w:val="007434EB"/>
    <w:rsid w:val="00743546"/>
    <w:rsid w:val="00746E14"/>
    <w:rsid w:val="00746F6F"/>
    <w:rsid w:val="00747ABC"/>
    <w:rsid w:val="00747D6F"/>
    <w:rsid w:val="00752C8F"/>
    <w:rsid w:val="00760B86"/>
    <w:rsid w:val="00761FE2"/>
    <w:rsid w:val="007626A2"/>
    <w:rsid w:val="00763AC6"/>
    <w:rsid w:val="00767633"/>
    <w:rsid w:val="0077022F"/>
    <w:rsid w:val="007732C6"/>
    <w:rsid w:val="00774409"/>
    <w:rsid w:val="00775928"/>
    <w:rsid w:val="00776416"/>
    <w:rsid w:val="00780B81"/>
    <w:rsid w:val="0078125C"/>
    <w:rsid w:val="00786EF6"/>
    <w:rsid w:val="007870FC"/>
    <w:rsid w:val="007874EB"/>
    <w:rsid w:val="00787EF1"/>
    <w:rsid w:val="007906E3"/>
    <w:rsid w:val="0079121A"/>
    <w:rsid w:val="007919F0"/>
    <w:rsid w:val="007924AC"/>
    <w:rsid w:val="007943D6"/>
    <w:rsid w:val="0079486C"/>
    <w:rsid w:val="007951AF"/>
    <w:rsid w:val="00796ED0"/>
    <w:rsid w:val="00797970"/>
    <w:rsid w:val="007A0291"/>
    <w:rsid w:val="007A0AD3"/>
    <w:rsid w:val="007A0E13"/>
    <w:rsid w:val="007A12CE"/>
    <w:rsid w:val="007A2A76"/>
    <w:rsid w:val="007A31C6"/>
    <w:rsid w:val="007A3707"/>
    <w:rsid w:val="007A55A0"/>
    <w:rsid w:val="007A59B8"/>
    <w:rsid w:val="007A63D2"/>
    <w:rsid w:val="007A6AF7"/>
    <w:rsid w:val="007A6D71"/>
    <w:rsid w:val="007A7E32"/>
    <w:rsid w:val="007B0922"/>
    <w:rsid w:val="007B166B"/>
    <w:rsid w:val="007B2C95"/>
    <w:rsid w:val="007B30F1"/>
    <w:rsid w:val="007B4A06"/>
    <w:rsid w:val="007B4CF4"/>
    <w:rsid w:val="007B52C0"/>
    <w:rsid w:val="007B565C"/>
    <w:rsid w:val="007B5CD8"/>
    <w:rsid w:val="007C050B"/>
    <w:rsid w:val="007C09E6"/>
    <w:rsid w:val="007C154E"/>
    <w:rsid w:val="007C175F"/>
    <w:rsid w:val="007C1F54"/>
    <w:rsid w:val="007C2AF9"/>
    <w:rsid w:val="007C3A53"/>
    <w:rsid w:val="007C4921"/>
    <w:rsid w:val="007C4D6F"/>
    <w:rsid w:val="007C65A9"/>
    <w:rsid w:val="007C720A"/>
    <w:rsid w:val="007C7ED1"/>
    <w:rsid w:val="007D001F"/>
    <w:rsid w:val="007D00B1"/>
    <w:rsid w:val="007D0535"/>
    <w:rsid w:val="007D0E05"/>
    <w:rsid w:val="007D1C5E"/>
    <w:rsid w:val="007D38BC"/>
    <w:rsid w:val="007D4512"/>
    <w:rsid w:val="007D4D38"/>
    <w:rsid w:val="007D507D"/>
    <w:rsid w:val="007D5D4A"/>
    <w:rsid w:val="007D608C"/>
    <w:rsid w:val="007D6E54"/>
    <w:rsid w:val="007E2038"/>
    <w:rsid w:val="007E26F5"/>
    <w:rsid w:val="007E5F86"/>
    <w:rsid w:val="007E6334"/>
    <w:rsid w:val="007E7FB7"/>
    <w:rsid w:val="007F0E40"/>
    <w:rsid w:val="007F14B0"/>
    <w:rsid w:val="007F20B4"/>
    <w:rsid w:val="007F4082"/>
    <w:rsid w:val="007F4836"/>
    <w:rsid w:val="007F5F50"/>
    <w:rsid w:val="007F6442"/>
    <w:rsid w:val="00801186"/>
    <w:rsid w:val="008018CF"/>
    <w:rsid w:val="0080250D"/>
    <w:rsid w:val="00804F20"/>
    <w:rsid w:val="008061BC"/>
    <w:rsid w:val="00807E84"/>
    <w:rsid w:val="00810D0A"/>
    <w:rsid w:val="008116F5"/>
    <w:rsid w:val="00811A4D"/>
    <w:rsid w:val="008127E9"/>
    <w:rsid w:val="008129B3"/>
    <w:rsid w:val="008129BB"/>
    <w:rsid w:val="0081428E"/>
    <w:rsid w:val="00815A90"/>
    <w:rsid w:val="00816594"/>
    <w:rsid w:val="00816B31"/>
    <w:rsid w:val="008229B7"/>
    <w:rsid w:val="00825820"/>
    <w:rsid w:val="00827659"/>
    <w:rsid w:val="008276AC"/>
    <w:rsid w:val="00830FBF"/>
    <w:rsid w:val="00831556"/>
    <w:rsid w:val="008334E0"/>
    <w:rsid w:val="00833D84"/>
    <w:rsid w:val="00834BD9"/>
    <w:rsid w:val="008355BB"/>
    <w:rsid w:val="00835815"/>
    <w:rsid w:val="008363AC"/>
    <w:rsid w:val="008369E5"/>
    <w:rsid w:val="0083718C"/>
    <w:rsid w:val="00837F1E"/>
    <w:rsid w:val="008401E0"/>
    <w:rsid w:val="00840226"/>
    <w:rsid w:val="00840B25"/>
    <w:rsid w:val="0084394E"/>
    <w:rsid w:val="008447C4"/>
    <w:rsid w:val="00847012"/>
    <w:rsid w:val="0084739C"/>
    <w:rsid w:val="0085115A"/>
    <w:rsid w:val="00851FEB"/>
    <w:rsid w:val="00853643"/>
    <w:rsid w:val="00854DEA"/>
    <w:rsid w:val="00855439"/>
    <w:rsid w:val="00861135"/>
    <w:rsid w:val="00861639"/>
    <w:rsid w:val="00861D8D"/>
    <w:rsid w:val="008627C9"/>
    <w:rsid w:val="00862D7B"/>
    <w:rsid w:val="0086318D"/>
    <w:rsid w:val="008640F1"/>
    <w:rsid w:val="00864FBF"/>
    <w:rsid w:val="00866812"/>
    <w:rsid w:val="0086718E"/>
    <w:rsid w:val="00867443"/>
    <w:rsid w:val="00870257"/>
    <w:rsid w:val="008706EE"/>
    <w:rsid w:val="00871B55"/>
    <w:rsid w:val="00872DF8"/>
    <w:rsid w:val="00873BC4"/>
    <w:rsid w:val="00874AED"/>
    <w:rsid w:val="00874D18"/>
    <w:rsid w:val="00875458"/>
    <w:rsid w:val="00875585"/>
    <w:rsid w:val="00875FC1"/>
    <w:rsid w:val="0087607A"/>
    <w:rsid w:val="00877374"/>
    <w:rsid w:val="00881928"/>
    <w:rsid w:val="00882238"/>
    <w:rsid w:val="00883D32"/>
    <w:rsid w:val="00885050"/>
    <w:rsid w:val="008866E5"/>
    <w:rsid w:val="00887C17"/>
    <w:rsid w:val="008905BC"/>
    <w:rsid w:val="00892054"/>
    <w:rsid w:val="00892E2E"/>
    <w:rsid w:val="0089444D"/>
    <w:rsid w:val="00895E97"/>
    <w:rsid w:val="00897631"/>
    <w:rsid w:val="008A0CF1"/>
    <w:rsid w:val="008A102A"/>
    <w:rsid w:val="008A11BC"/>
    <w:rsid w:val="008A3EC3"/>
    <w:rsid w:val="008A4360"/>
    <w:rsid w:val="008A5009"/>
    <w:rsid w:val="008A548B"/>
    <w:rsid w:val="008A6957"/>
    <w:rsid w:val="008A6E23"/>
    <w:rsid w:val="008B2BF1"/>
    <w:rsid w:val="008B6C08"/>
    <w:rsid w:val="008C3FEC"/>
    <w:rsid w:val="008C549D"/>
    <w:rsid w:val="008D6034"/>
    <w:rsid w:val="008D695A"/>
    <w:rsid w:val="008D69A3"/>
    <w:rsid w:val="008D7AA9"/>
    <w:rsid w:val="008E1589"/>
    <w:rsid w:val="008E2CF3"/>
    <w:rsid w:val="008E2F21"/>
    <w:rsid w:val="008E35C9"/>
    <w:rsid w:val="008E3D60"/>
    <w:rsid w:val="008E400D"/>
    <w:rsid w:val="008E55F4"/>
    <w:rsid w:val="008E7183"/>
    <w:rsid w:val="008F17FC"/>
    <w:rsid w:val="008F2D04"/>
    <w:rsid w:val="008F4DE1"/>
    <w:rsid w:val="008F5431"/>
    <w:rsid w:val="00901EDC"/>
    <w:rsid w:val="009045BA"/>
    <w:rsid w:val="009045C9"/>
    <w:rsid w:val="00905235"/>
    <w:rsid w:val="00906508"/>
    <w:rsid w:val="00907636"/>
    <w:rsid w:val="00910A2D"/>
    <w:rsid w:val="009111DD"/>
    <w:rsid w:val="0091286C"/>
    <w:rsid w:val="00916E07"/>
    <w:rsid w:val="009176B3"/>
    <w:rsid w:val="00917825"/>
    <w:rsid w:val="009207B1"/>
    <w:rsid w:val="00923BB5"/>
    <w:rsid w:val="009260F4"/>
    <w:rsid w:val="0093259C"/>
    <w:rsid w:val="00933304"/>
    <w:rsid w:val="009342D5"/>
    <w:rsid w:val="00934D09"/>
    <w:rsid w:val="00935B52"/>
    <w:rsid w:val="00937A46"/>
    <w:rsid w:val="00940795"/>
    <w:rsid w:val="00941EC0"/>
    <w:rsid w:val="00941F6A"/>
    <w:rsid w:val="009427F9"/>
    <w:rsid w:val="009434DD"/>
    <w:rsid w:val="00943C18"/>
    <w:rsid w:val="009450F3"/>
    <w:rsid w:val="009461CC"/>
    <w:rsid w:val="00946252"/>
    <w:rsid w:val="0095170F"/>
    <w:rsid w:val="009521C9"/>
    <w:rsid w:val="00952F0E"/>
    <w:rsid w:val="00953863"/>
    <w:rsid w:val="009541F6"/>
    <w:rsid w:val="00955A9D"/>
    <w:rsid w:val="0095615C"/>
    <w:rsid w:val="0096049A"/>
    <w:rsid w:val="00962952"/>
    <w:rsid w:val="00962F1B"/>
    <w:rsid w:val="00963A96"/>
    <w:rsid w:val="0096553F"/>
    <w:rsid w:val="00965762"/>
    <w:rsid w:val="00966C23"/>
    <w:rsid w:val="0096750E"/>
    <w:rsid w:val="0097359F"/>
    <w:rsid w:val="00974716"/>
    <w:rsid w:val="0097705B"/>
    <w:rsid w:val="00977198"/>
    <w:rsid w:val="00977523"/>
    <w:rsid w:val="00980739"/>
    <w:rsid w:val="00980AB6"/>
    <w:rsid w:val="0098145E"/>
    <w:rsid w:val="00982F39"/>
    <w:rsid w:val="0098394D"/>
    <w:rsid w:val="00983F9C"/>
    <w:rsid w:val="0098781F"/>
    <w:rsid w:val="0099242E"/>
    <w:rsid w:val="009928BE"/>
    <w:rsid w:val="0099315C"/>
    <w:rsid w:val="00994B74"/>
    <w:rsid w:val="00995264"/>
    <w:rsid w:val="00995A28"/>
    <w:rsid w:val="0099739E"/>
    <w:rsid w:val="00997CC4"/>
    <w:rsid w:val="009A0BFA"/>
    <w:rsid w:val="009A10FA"/>
    <w:rsid w:val="009A1D70"/>
    <w:rsid w:val="009A1E76"/>
    <w:rsid w:val="009A3715"/>
    <w:rsid w:val="009A609A"/>
    <w:rsid w:val="009A6CC9"/>
    <w:rsid w:val="009B0608"/>
    <w:rsid w:val="009B7D6F"/>
    <w:rsid w:val="009C0474"/>
    <w:rsid w:val="009C0EC8"/>
    <w:rsid w:val="009C21EB"/>
    <w:rsid w:val="009C512F"/>
    <w:rsid w:val="009C5E98"/>
    <w:rsid w:val="009C5F5A"/>
    <w:rsid w:val="009C6427"/>
    <w:rsid w:val="009C7872"/>
    <w:rsid w:val="009D16BD"/>
    <w:rsid w:val="009D258B"/>
    <w:rsid w:val="009D3ABE"/>
    <w:rsid w:val="009D3F37"/>
    <w:rsid w:val="009D43B8"/>
    <w:rsid w:val="009D472E"/>
    <w:rsid w:val="009D4BF0"/>
    <w:rsid w:val="009D4C34"/>
    <w:rsid w:val="009D5AC4"/>
    <w:rsid w:val="009D78CA"/>
    <w:rsid w:val="009E0C89"/>
    <w:rsid w:val="009E36C8"/>
    <w:rsid w:val="009E4098"/>
    <w:rsid w:val="009E55A0"/>
    <w:rsid w:val="009E6981"/>
    <w:rsid w:val="009F040E"/>
    <w:rsid w:val="009F0CFD"/>
    <w:rsid w:val="009F1655"/>
    <w:rsid w:val="009F223B"/>
    <w:rsid w:val="009F359D"/>
    <w:rsid w:val="009F3631"/>
    <w:rsid w:val="009F4099"/>
    <w:rsid w:val="009F4B81"/>
    <w:rsid w:val="009F6BF7"/>
    <w:rsid w:val="00A01187"/>
    <w:rsid w:val="00A03F46"/>
    <w:rsid w:val="00A04EF9"/>
    <w:rsid w:val="00A05570"/>
    <w:rsid w:val="00A06ED0"/>
    <w:rsid w:val="00A10F73"/>
    <w:rsid w:val="00A1287B"/>
    <w:rsid w:val="00A13C13"/>
    <w:rsid w:val="00A15D67"/>
    <w:rsid w:val="00A17FE6"/>
    <w:rsid w:val="00A2038F"/>
    <w:rsid w:val="00A2298D"/>
    <w:rsid w:val="00A232D1"/>
    <w:rsid w:val="00A2428E"/>
    <w:rsid w:val="00A2453E"/>
    <w:rsid w:val="00A25195"/>
    <w:rsid w:val="00A257BF"/>
    <w:rsid w:val="00A31F99"/>
    <w:rsid w:val="00A3215F"/>
    <w:rsid w:val="00A32AEB"/>
    <w:rsid w:val="00A33C8C"/>
    <w:rsid w:val="00A350FB"/>
    <w:rsid w:val="00A358C5"/>
    <w:rsid w:val="00A35CC2"/>
    <w:rsid w:val="00A36D40"/>
    <w:rsid w:val="00A37D6F"/>
    <w:rsid w:val="00A424E3"/>
    <w:rsid w:val="00A42755"/>
    <w:rsid w:val="00A428A1"/>
    <w:rsid w:val="00A439C2"/>
    <w:rsid w:val="00A442FB"/>
    <w:rsid w:val="00A44C86"/>
    <w:rsid w:val="00A468D6"/>
    <w:rsid w:val="00A478C1"/>
    <w:rsid w:val="00A51F54"/>
    <w:rsid w:val="00A54E80"/>
    <w:rsid w:val="00A55729"/>
    <w:rsid w:val="00A56D83"/>
    <w:rsid w:val="00A60823"/>
    <w:rsid w:val="00A6456B"/>
    <w:rsid w:val="00A6508B"/>
    <w:rsid w:val="00A658AA"/>
    <w:rsid w:val="00A66AF8"/>
    <w:rsid w:val="00A66D93"/>
    <w:rsid w:val="00A673F0"/>
    <w:rsid w:val="00A71A8A"/>
    <w:rsid w:val="00A72E16"/>
    <w:rsid w:val="00A75064"/>
    <w:rsid w:val="00A759B3"/>
    <w:rsid w:val="00A80D38"/>
    <w:rsid w:val="00A819DD"/>
    <w:rsid w:val="00A82435"/>
    <w:rsid w:val="00A834FC"/>
    <w:rsid w:val="00A83C2B"/>
    <w:rsid w:val="00A842F3"/>
    <w:rsid w:val="00A86F3F"/>
    <w:rsid w:val="00A919F9"/>
    <w:rsid w:val="00A91EFC"/>
    <w:rsid w:val="00A9223C"/>
    <w:rsid w:val="00A92397"/>
    <w:rsid w:val="00A93980"/>
    <w:rsid w:val="00A94D39"/>
    <w:rsid w:val="00A972A7"/>
    <w:rsid w:val="00A97307"/>
    <w:rsid w:val="00AA0DB5"/>
    <w:rsid w:val="00AA5D04"/>
    <w:rsid w:val="00AA67AC"/>
    <w:rsid w:val="00AA67F9"/>
    <w:rsid w:val="00AA696D"/>
    <w:rsid w:val="00AB098F"/>
    <w:rsid w:val="00AB1015"/>
    <w:rsid w:val="00AB3AFC"/>
    <w:rsid w:val="00AB45CC"/>
    <w:rsid w:val="00AB5118"/>
    <w:rsid w:val="00AB759E"/>
    <w:rsid w:val="00AC00CE"/>
    <w:rsid w:val="00AC0545"/>
    <w:rsid w:val="00AC34A3"/>
    <w:rsid w:val="00AC3798"/>
    <w:rsid w:val="00AC38DF"/>
    <w:rsid w:val="00AC3BE0"/>
    <w:rsid w:val="00AC4375"/>
    <w:rsid w:val="00AC6014"/>
    <w:rsid w:val="00AC783C"/>
    <w:rsid w:val="00AD06FD"/>
    <w:rsid w:val="00AD250F"/>
    <w:rsid w:val="00AD3F9E"/>
    <w:rsid w:val="00AD4AB3"/>
    <w:rsid w:val="00AD5050"/>
    <w:rsid w:val="00AD59FD"/>
    <w:rsid w:val="00AD5FB4"/>
    <w:rsid w:val="00AD6F5E"/>
    <w:rsid w:val="00AD71C6"/>
    <w:rsid w:val="00AD7444"/>
    <w:rsid w:val="00AE10CF"/>
    <w:rsid w:val="00AE1D22"/>
    <w:rsid w:val="00AE1F3F"/>
    <w:rsid w:val="00AE3F97"/>
    <w:rsid w:val="00AE4B29"/>
    <w:rsid w:val="00AE6770"/>
    <w:rsid w:val="00AE6EF7"/>
    <w:rsid w:val="00AE6FA3"/>
    <w:rsid w:val="00AE7119"/>
    <w:rsid w:val="00AE7179"/>
    <w:rsid w:val="00AF05E8"/>
    <w:rsid w:val="00AF0693"/>
    <w:rsid w:val="00AF1ABE"/>
    <w:rsid w:val="00AF235F"/>
    <w:rsid w:val="00AF3620"/>
    <w:rsid w:val="00AF406E"/>
    <w:rsid w:val="00AF4C04"/>
    <w:rsid w:val="00AF4F00"/>
    <w:rsid w:val="00AF5C19"/>
    <w:rsid w:val="00AF5CD9"/>
    <w:rsid w:val="00AF67E3"/>
    <w:rsid w:val="00AF6A93"/>
    <w:rsid w:val="00AF6B9D"/>
    <w:rsid w:val="00AF7E48"/>
    <w:rsid w:val="00B0078A"/>
    <w:rsid w:val="00B04789"/>
    <w:rsid w:val="00B04D68"/>
    <w:rsid w:val="00B05856"/>
    <w:rsid w:val="00B06F37"/>
    <w:rsid w:val="00B07224"/>
    <w:rsid w:val="00B10C8F"/>
    <w:rsid w:val="00B11C03"/>
    <w:rsid w:val="00B11E72"/>
    <w:rsid w:val="00B13317"/>
    <w:rsid w:val="00B143B8"/>
    <w:rsid w:val="00B16CC2"/>
    <w:rsid w:val="00B175B0"/>
    <w:rsid w:val="00B17ACB"/>
    <w:rsid w:val="00B23CFE"/>
    <w:rsid w:val="00B2442E"/>
    <w:rsid w:val="00B30B93"/>
    <w:rsid w:val="00B325BE"/>
    <w:rsid w:val="00B3556B"/>
    <w:rsid w:val="00B37AAB"/>
    <w:rsid w:val="00B40B3F"/>
    <w:rsid w:val="00B4187C"/>
    <w:rsid w:val="00B42510"/>
    <w:rsid w:val="00B42668"/>
    <w:rsid w:val="00B42E41"/>
    <w:rsid w:val="00B42F12"/>
    <w:rsid w:val="00B4476F"/>
    <w:rsid w:val="00B458FD"/>
    <w:rsid w:val="00B46473"/>
    <w:rsid w:val="00B47948"/>
    <w:rsid w:val="00B47CD5"/>
    <w:rsid w:val="00B50544"/>
    <w:rsid w:val="00B50B4D"/>
    <w:rsid w:val="00B52B8C"/>
    <w:rsid w:val="00B57C72"/>
    <w:rsid w:val="00B6007D"/>
    <w:rsid w:val="00B60C08"/>
    <w:rsid w:val="00B6469D"/>
    <w:rsid w:val="00B65865"/>
    <w:rsid w:val="00B66298"/>
    <w:rsid w:val="00B71EE7"/>
    <w:rsid w:val="00B721AF"/>
    <w:rsid w:val="00B72D34"/>
    <w:rsid w:val="00B73426"/>
    <w:rsid w:val="00B736D7"/>
    <w:rsid w:val="00B737B9"/>
    <w:rsid w:val="00B73A19"/>
    <w:rsid w:val="00B74B69"/>
    <w:rsid w:val="00B75868"/>
    <w:rsid w:val="00B77436"/>
    <w:rsid w:val="00B77E94"/>
    <w:rsid w:val="00B80821"/>
    <w:rsid w:val="00B824A8"/>
    <w:rsid w:val="00B82725"/>
    <w:rsid w:val="00B82DC7"/>
    <w:rsid w:val="00B84CB0"/>
    <w:rsid w:val="00B85024"/>
    <w:rsid w:val="00B852C1"/>
    <w:rsid w:val="00B864BE"/>
    <w:rsid w:val="00B86AC9"/>
    <w:rsid w:val="00B91093"/>
    <w:rsid w:val="00B9330E"/>
    <w:rsid w:val="00B9435B"/>
    <w:rsid w:val="00B9696D"/>
    <w:rsid w:val="00B96CB5"/>
    <w:rsid w:val="00B96E83"/>
    <w:rsid w:val="00B97971"/>
    <w:rsid w:val="00BA11B2"/>
    <w:rsid w:val="00BA150D"/>
    <w:rsid w:val="00BA2461"/>
    <w:rsid w:val="00BA2B5C"/>
    <w:rsid w:val="00BA2BC9"/>
    <w:rsid w:val="00BA3620"/>
    <w:rsid w:val="00BA3C18"/>
    <w:rsid w:val="00BA3F8E"/>
    <w:rsid w:val="00BA4B8E"/>
    <w:rsid w:val="00BA4E0B"/>
    <w:rsid w:val="00BA4FBB"/>
    <w:rsid w:val="00BA5AA6"/>
    <w:rsid w:val="00BB02DB"/>
    <w:rsid w:val="00BB2375"/>
    <w:rsid w:val="00BB4968"/>
    <w:rsid w:val="00BB6C95"/>
    <w:rsid w:val="00BC0A13"/>
    <w:rsid w:val="00BC36AD"/>
    <w:rsid w:val="00BC390B"/>
    <w:rsid w:val="00BC46BB"/>
    <w:rsid w:val="00BC5547"/>
    <w:rsid w:val="00BC5590"/>
    <w:rsid w:val="00BC71D4"/>
    <w:rsid w:val="00BC7FB2"/>
    <w:rsid w:val="00BD123F"/>
    <w:rsid w:val="00BD1856"/>
    <w:rsid w:val="00BD1EA0"/>
    <w:rsid w:val="00BD255A"/>
    <w:rsid w:val="00BD2868"/>
    <w:rsid w:val="00BD3ED5"/>
    <w:rsid w:val="00BD6056"/>
    <w:rsid w:val="00BD6130"/>
    <w:rsid w:val="00BE04D4"/>
    <w:rsid w:val="00BE1C9A"/>
    <w:rsid w:val="00BE231C"/>
    <w:rsid w:val="00BE26FB"/>
    <w:rsid w:val="00BE516C"/>
    <w:rsid w:val="00BF3806"/>
    <w:rsid w:val="00BF4AB6"/>
    <w:rsid w:val="00BF50E5"/>
    <w:rsid w:val="00BF7C42"/>
    <w:rsid w:val="00BF7D03"/>
    <w:rsid w:val="00C0199D"/>
    <w:rsid w:val="00C02BD6"/>
    <w:rsid w:val="00C07A62"/>
    <w:rsid w:val="00C106F1"/>
    <w:rsid w:val="00C10FE5"/>
    <w:rsid w:val="00C11BB9"/>
    <w:rsid w:val="00C11ECB"/>
    <w:rsid w:val="00C15106"/>
    <w:rsid w:val="00C158B0"/>
    <w:rsid w:val="00C17851"/>
    <w:rsid w:val="00C200D0"/>
    <w:rsid w:val="00C22292"/>
    <w:rsid w:val="00C22B9E"/>
    <w:rsid w:val="00C241A6"/>
    <w:rsid w:val="00C2448D"/>
    <w:rsid w:val="00C25250"/>
    <w:rsid w:val="00C26F59"/>
    <w:rsid w:val="00C30A5C"/>
    <w:rsid w:val="00C31CB0"/>
    <w:rsid w:val="00C329A4"/>
    <w:rsid w:val="00C335D5"/>
    <w:rsid w:val="00C3709F"/>
    <w:rsid w:val="00C370A0"/>
    <w:rsid w:val="00C405FE"/>
    <w:rsid w:val="00C409CB"/>
    <w:rsid w:val="00C44B77"/>
    <w:rsid w:val="00C5002F"/>
    <w:rsid w:val="00C50918"/>
    <w:rsid w:val="00C51E05"/>
    <w:rsid w:val="00C60DCC"/>
    <w:rsid w:val="00C625DF"/>
    <w:rsid w:val="00C64606"/>
    <w:rsid w:val="00C64742"/>
    <w:rsid w:val="00C66642"/>
    <w:rsid w:val="00C678A8"/>
    <w:rsid w:val="00C67BC4"/>
    <w:rsid w:val="00C709B4"/>
    <w:rsid w:val="00C70E3C"/>
    <w:rsid w:val="00C71906"/>
    <w:rsid w:val="00C726F4"/>
    <w:rsid w:val="00C72FC0"/>
    <w:rsid w:val="00C731A5"/>
    <w:rsid w:val="00C73229"/>
    <w:rsid w:val="00C73D9E"/>
    <w:rsid w:val="00C7420F"/>
    <w:rsid w:val="00C752AC"/>
    <w:rsid w:val="00C757FB"/>
    <w:rsid w:val="00C75927"/>
    <w:rsid w:val="00C803EC"/>
    <w:rsid w:val="00C8149B"/>
    <w:rsid w:val="00C81E8F"/>
    <w:rsid w:val="00C827BC"/>
    <w:rsid w:val="00C8319D"/>
    <w:rsid w:val="00C84FA1"/>
    <w:rsid w:val="00C86F2D"/>
    <w:rsid w:val="00C913A5"/>
    <w:rsid w:val="00C91A65"/>
    <w:rsid w:val="00C91F03"/>
    <w:rsid w:val="00C92910"/>
    <w:rsid w:val="00C934C7"/>
    <w:rsid w:val="00C94F3A"/>
    <w:rsid w:val="00C96467"/>
    <w:rsid w:val="00C96FFE"/>
    <w:rsid w:val="00C97827"/>
    <w:rsid w:val="00C97A8E"/>
    <w:rsid w:val="00CA0FA4"/>
    <w:rsid w:val="00CA3359"/>
    <w:rsid w:val="00CA3EB6"/>
    <w:rsid w:val="00CA6763"/>
    <w:rsid w:val="00CA771D"/>
    <w:rsid w:val="00CB0137"/>
    <w:rsid w:val="00CB1018"/>
    <w:rsid w:val="00CB1EFD"/>
    <w:rsid w:val="00CB322D"/>
    <w:rsid w:val="00CB46BE"/>
    <w:rsid w:val="00CB4F9F"/>
    <w:rsid w:val="00CB694D"/>
    <w:rsid w:val="00CB6D00"/>
    <w:rsid w:val="00CB7A42"/>
    <w:rsid w:val="00CC1014"/>
    <w:rsid w:val="00CC1633"/>
    <w:rsid w:val="00CC1ACF"/>
    <w:rsid w:val="00CC1C4C"/>
    <w:rsid w:val="00CC290C"/>
    <w:rsid w:val="00CD17F8"/>
    <w:rsid w:val="00CD2169"/>
    <w:rsid w:val="00CD2F70"/>
    <w:rsid w:val="00CD375D"/>
    <w:rsid w:val="00CD4990"/>
    <w:rsid w:val="00CE08A9"/>
    <w:rsid w:val="00CE0D15"/>
    <w:rsid w:val="00CE1620"/>
    <w:rsid w:val="00CE2751"/>
    <w:rsid w:val="00CE2E8A"/>
    <w:rsid w:val="00CE353B"/>
    <w:rsid w:val="00CE66AC"/>
    <w:rsid w:val="00CF0761"/>
    <w:rsid w:val="00CF1600"/>
    <w:rsid w:val="00CF184A"/>
    <w:rsid w:val="00CF1C29"/>
    <w:rsid w:val="00CF3651"/>
    <w:rsid w:val="00CF3679"/>
    <w:rsid w:val="00CF3A1E"/>
    <w:rsid w:val="00CF4085"/>
    <w:rsid w:val="00CF4382"/>
    <w:rsid w:val="00CF4428"/>
    <w:rsid w:val="00CF45AA"/>
    <w:rsid w:val="00CF46F5"/>
    <w:rsid w:val="00CF59AA"/>
    <w:rsid w:val="00CF6079"/>
    <w:rsid w:val="00CF6E05"/>
    <w:rsid w:val="00D00732"/>
    <w:rsid w:val="00D02BF6"/>
    <w:rsid w:val="00D04A4B"/>
    <w:rsid w:val="00D04BF3"/>
    <w:rsid w:val="00D052FE"/>
    <w:rsid w:val="00D06293"/>
    <w:rsid w:val="00D07F79"/>
    <w:rsid w:val="00D10274"/>
    <w:rsid w:val="00D104E7"/>
    <w:rsid w:val="00D12168"/>
    <w:rsid w:val="00D12381"/>
    <w:rsid w:val="00D1317C"/>
    <w:rsid w:val="00D13570"/>
    <w:rsid w:val="00D141A1"/>
    <w:rsid w:val="00D14920"/>
    <w:rsid w:val="00D16023"/>
    <w:rsid w:val="00D17DEC"/>
    <w:rsid w:val="00D23F21"/>
    <w:rsid w:val="00D24B13"/>
    <w:rsid w:val="00D24C9F"/>
    <w:rsid w:val="00D24FD4"/>
    <w:rsid w:val="00D2675B"/>
    <w:rsid w:val="00D268A0"/>
    <w:rsid w:val="00D31E8D"/>
    <w:rsid w:val="00D32A8F"/>
    <w:rsid w:val="00D33FDC"/>
    <w:rsid w:val="00D346AD"/>
    <w:rsid w:val="00D34A47"/>
    <w:rsid w:val="00D35BA2"/>
    <w:rsid w:val="00D40FAB"/>
    <w:rsid w:val="00D41CBD"/>
    <w:rsid w:val="00D43AC4"/>
    <w:rsid w:val="00D463A9"/>
    <w:rsid w:val="00D5174C"/>
    <w:rsid w:val="00D524CA"/>
    <w:rsid w:val="00D52F4F"/>
    <w:rsid w:val="00D53970"/>
    <w:rsid w:val="00D53C42"/>
    <w:rsid w:val="00D60D35"/>
    <w:rsid w:val="00D61344"/>
    <w:rsid w:val="00D62919"/>
    <w:rsid w:val="00D62B6C"/>
    <w:rsid w:val="00D62E3F"/>
    <w:rsid w:val="00D630A1"/>
    <w:rsid w:val="00D6350D"/>
    <w:rsid w:val="00D64502"/>
    <w:rsid w:val="00D6484E"/>
    <w:rsid w:val="00D649D6"/>
    <w:rsid w:val="00D6682A"/>
    <w:rsid w:val="00D717E3"/>
    <w:rsid w:val="00D721B5"/>
    <w:rsid w:val="00D725C3"/>
    <w:rsid w:val="00D73D05"/>
    <w:rsid w:val="00D740B5"/>
    <w:rsid w:val="00D74AA8"/>
    <w:rsid w:val="00D763FA"/>
    <w:rsid w:val="00D779D3"/>
    <w:rsid w:val="00D77CEB"/>
    <w:rsid w:val="00D81B17"/>
    <w:rsid w:val="00D85289"/>
    <w:rsid w:val="00D865C9"/>
    <w:rsid w:val="00D86D11"/>
    <w:rsid w:val="00D872F9"/>
    <w:rsid w:val="00D90BE3"/>
    <w:rsid w:val="00D90D7B"/>
    <w:rsid w:val="00D91E35"/>
    <w:rsid w:val="00D93854"/>
    <w:rsid w:val="00D95A3D"/>
    <w:rsid w:val="00D96D68"/>
    <w:rsid w:val="00D96F5F"/>
    <w:rsid w:val="00DA001D"/>
    <w:rsid w:val="00DA0375"/>
    <w:rsid w:val="00DA1A47"/>
    <w:rsid w:val="00DA2489"/>
    <w:rsid w:val="00DA56F6"/>
    <w:rsid w:val="00DB068D"/>
    <w:rsid w:val="00DB102A"/>
    <w:rsid w:val="00DB3ED4"/>
    <w:rsid w:val="00DB41D2"/>
    <w:rsid w:val="00DB54B3"/>
    <w:rsid w:val="00DB5F98"/>
    <w:rsid w:val="00DB61F5"/>
    <w:rsid w:val="00DB63C4"/>
    <w:rsid w:val="00DB697F"/>
    <w:rsid w:val="00DB6E10"/>
    <w:rsid w:val="00DC095D"/>
    <w:rsid w:val="00DC29BE"/>
    <w:rsid w:val="00DC3BB0"/>
    <w:rsid w:val="00DC49A0"/>
    <w:rsid w:val="00DC554C"/>
    <w:rsid w:val="00DC6114"/>
    <w:rsid w:val="00DC6B73"/>
    <w:rsid w:val="00DC79BE"/>
    <w:rsid w:val="00DD200C"/>
    <w:rsid w:val="00DD23F0"/>
    <w:rsid w:val="00DD3DBA"/>
    <w:rsid w:val="00DD3DF2"/>
    <w:rsid w:val="00DD5B31"/>
    <w:rsid w:val="00DD5BAA"/>
    <w:rsid w:val="00DD6AEF"/>
    <w:rsid w:val="00DE30E4"/>
    <w:rsid w:val="00DE380A"/>
    <w:rsid w:val="00DE46BD"/>
    <w:rsid w:val="00DE6621"/>
    <w:rsid w:val="00DE7482"/>
    <w:rsid w:val="00DE77D8"/>
    <w:rsid w:val="00DE782B"/>
    <w:rsid w:val="00DF26B6"/>
    <w:rsid w:val="00DF2EC1"/>
    <w:rsid w:val="00DF311A"/>
    <w:rsid w:val="00DF3150"/>
    <w:rsid w:val="00DF35AB"/>
    <w:rsid w:val="00DF3AB3"/>
    <w:rsid w:val="00DF3E8D"/>
    <w:rsid w:val="00DF40EC"/>
    <w:rsid w:val="00DF43B7"/>
    <w:rsid w:val="00DF4C96"/>
    <w:rsid w:val="00DF4D0A"/>
    <w:rsid w:val="00DF4E00"/>
    <w:rsid w:val="00DF51CC"/>
    <w:rsid w:val="00DF5651"/>
    <w:rsid w:val="00DF723B"/>
    <w:rsid w:val="00DF7E4D"/>
    <w:rsid w:val="00E02DA1"/>
    <w:rsid w:val="00E0376C"/>
    <w:rsid w:val="00E048C6"/>
    <w:rsid w:val="00E05355"/>
    <w:rsid w:val="00E067C7"/>
    <w:rsid w:val="00E06BE2"/>
    <w:rsid w:val="00E10A85"/>
    <w:rsid w:val="00E10E22"/>
    <w:rsid w:val="00E12A80"/>
    <w:rsid w:val="00E14B39"/>
    <w:rsid w:val="00E20A3D"/>
    <w:rsid w:val="00E22EAB"/>
    <w:rsid w:val="00E2389D"/>
    <w:rsid w:val="00E23A62"/>
    <w:rsid w:val="00E23DE7"/>
    <w:rsid w:val="00E24EA7"/>
    <w:rsid w:val="00E26A81"/>
    <w:rsid w:val="00E318C5"/>
    <w:rsid w:val="00E32052"/>
    <w:rsid w:val="00E32107"/>
    <w:rsid w:val="00E34463"/>
    <w:rsid w:val="00E347F1"/>
    <w:rsid w:val="00E3556F"/>
    <w:rsid w:val="00E361E1"/>
    <w:rsid w:val="00E36510"/>
    <w:rsid w:val="00E37BE0"/>
    <w:rsid w:val="00E4463C"/>
    <w:rsid w:val="00E446DA"/>
    <w:rsid w:val="00E44960"/>
    <w:rsid w:val="00E44BFB"/>
    <w:rsid w:val="00E44F39"/>
    <w:rsid w:val="00E45FFB"/>
    <w:rsid w:val="00E462B4"/>
    <w:rsid w:val="00E47C9C"/>
    <w:rsid w:val="00E517AC"/>
    <w:rsid w:val="00E517F8"/>
    <w:rsid w:val="00E53134"/>
    <w:rsid w:val="00E541C5"/>
    <w:rsid w:val="00E55049"/>
    <w:rsid w:val="00E5659A"/>
    <w:rsid w:val="00E57606"/>
    <w:rsid w:val="00E60692"/>
    <w:rsid w:val="00E6072C"/>
    <w:rsid w:val="00E615DA"/>
    <w:rsid w:val="00E63BAB"/>
    <w:rsid w:val="00E65446"/>
    <w:rsid w:val="00E677D7"/>
    <w:rsid w:val="00E72F59"/>
    <w:rsid w:val="00E72F98"/>
    <w:rsid w:val="00E737C7"/>
    <w:rsid w:val="00E73A06"/>
    <w:rsid w:val="00E73EBA"/>
    <w:rsid w:val="00E7473B"/>
    <w:rsid w:val="00E749AF"/>
    <w:rsid w:val="00E74E33"/>
    <w:rsid w:val="00E7647A"/>
    <w:rsid w:val="00E77E0F"/>
    <w:rsid w:val="00E80440"/>
    <w:rsid w:val="00E8169E"/>
    <w:rsid w:val="00E82422"/>
    <w:rsid w:val="00E83CD0"/>
    <w:rsid w:val="00E84D59"/>
    <w:rsid w:val="00E86066"/>
    <w:rsid w:val="00E902DB"/>
    <w:rsid w:val="00E90C54"/>
    <w:rsid w:val="00EA09EA"/>
    <w:rsid w:val="00EA3EC2"/>
    <w:rsid w:val="00EA47D4"/>
    <w:rsid w:val="00EB1DAD"/>
    <w:rsid w:val="00EB4A05"/>
    <w:rsid w:val="00EB4EBB"/>
    <w:rsid w:val="00EB53F1"/>
    <w:rsid w:val="00EB64FF"/>
    <w:rsid w:val="00EB69E9"/>
    <w:rsid w:val="00EC0B3F"/>
    <w:rsid w:val="00EC1732"/>
    <w:rsid w:val="00EC18AD"/>
    <w:rsid w:val="00EC265B"/>
    <w:rsid w:val="00EC286C"/>
    <w:rsid w:val="00EC43D3"/>
    <w:rsid w:val="00EC4691"/>
    <w:rsid w:val="00EC5674"/>
    <w:rsid w:val="00EC60F2"/>
    <w:rsid w:val="00EC7E92"/>
    <w:rsid w:val="00ED0CE2"/>
    <w:rsid w:val="00ED12D0"/>
    <w:rsid w:val="00ED1D25"/>
    <w:rsid w:val="00ED1FB2"/>
    <w:rsid w:val="00ED484D"/>
    <w:rsid w:val="00ED5068"/>
    <w:rsid w:val="00ED5478"/>
    <w:rsid w:val="00ED6BFD"/>
    <w:rsid w:val="00EE1867"/>
    <w:rsid w:val="00EE286C"/>
    <w:rsid w:val="00EE2B74"/>
    <w:rsid w:val="00EE2FE2"/>
    <w:rsid w:val="00EE3A1A"/>
    <w:rsid w:val="00EE5DE0"/>
    <w:rsid w:val="00EE79A7"/>
    <w:rsid w:val="00EF2873"/>
    <w:rsid w:val="00EF2B36"/>
    <w:rsid w:val="00EF3B2F"/>
    <w:rsid w:val="00F03A71"/>
    <w:rsid w:val="00F04333"/>
    <w:rsid w:val="00F0461F"/>
    <w:rsid w:val="00F04F0C"/>
    <w:rsid w:val="00F05C12"/>
    <w:rsid w:val="00F06B98"/>
    <w:rsid w:val="00F075A8"/>
    <w:rsid w:val="00F07C8E"/>
    <w:rsid w:val="00F114DC"/>
    <w:rsid w:val="00F11AAE"/>
    <w:rsid w:val="00F129B1"/>
    <w:rsid w:val="00F13092"/>
    <w:rsid w:val="00F167AB"/>
    <w:rsid w:val="00F16DA3"/>
    <w:rsid w:val="00F1727C"/>
    <w:rsid w:val="00F17B70"/>
    <w:rsid w:val="00F20166"/>
    <w:rsid w:val="00F2055C"/>
    <w:rsid w:val="00F20DC1"/>
    <w:rsid w:val="00F21A8B"/>
    <w:rsid w:val="00F21EA2"/>
    <w:rsid w:val="00F2350C"/>
    <w:rsid w:val="00F24CA2"/>
    <w:rsid w:val="00F24FCC"/>
    <w:rsid w:val="00F2513A"/>
    <w:rsid w:val="00F251F3"/>
    <w:rsid w:val="00F3130A"/>
    <w:rsid w:val="00F3354F"/>
    <w:rsid w:val="00F3508E"/>
    <w:rsid w:val="00F350ED"/>
    <w:rsid w:val="00F35CC6"/>
    <w:rsid w:val="00F35DBF"/>
    <w:rsid w:val="00F361D7"/>
    <w:rsid w:val="00F3685E"/>
    <w:rsid w:val="00F37CF0"/>
    <w:rsid w:val="00F411A3"/>
    <w:rsid w:val="00F41AD7"/>
    <w:rsid w:val="00F430E0"/>
    <w:rsid w:val="00F43DFB"/>
    <w:rsid w:val="00F43EC3"/>
    <w:rsid w:val="00F443AD"/>
    <w:rsid w:val="00F45660"/>
    <w:rsid w:val="00F475C4"/>
    <w:rsid w:val="00F518B7"/>
    <w:rsid w:val="00F52188"/>
    <w:rsid w:val="00F52D8A"/>
    <w:rsid w:val="00F530E5"/>
    <w:rsid w:val="00F538EF"/>
    <w:rsid w:val="00F5490C"/>
    <w:rsid w:val="00F553A2"/>
    <w:rsid w:val="00F554C4"/>
    <w:rsid w:val="00F55C3B"/>
    <w:rsid w:val="00F567F0"/>
    <w:rsid w:val="00F6346E"/>
    <w:rsid w:val="00F6426B"/>
    <w:rsid w:val="00F66E2C"/>
    <w:rsid w:val="00F67EFD"/>
    <w:rsid w:val="00F7068B"/>
    <w:rsid w:val="00F70C45"/>
    <w:rsid w:val="00F70D9C"/>
    <w:rsid w:val="00F71494"/>
    <w:rsid w:val="00F71869"/>
    <w:rsid w:val="00F71B0D"/>
    <w:rsid w:val="00F723D0"/>
    <w:rsid w:val="00F724A1"/>
    <w:rsid w:val="00F735B7"/>
    <w:rsid w:val="00F74385"/>
    <w:rsid w:val="00F77B73"/>
    <w:rsid w:val="00F800E6"/>
    <w:rsid w:val="00F808EB"/>
    <w:rsid w:val="00F82334"/>
    <w:rsid w:val="00F83998"/>
    <w:rsid w:val="00F846DD"/>
    <w:rsid w:val="00F84799"/>
    <w:rsid w:val="00F875BA"/>
    <w:rsid w:val="00F90067"/>
    <w:rsid w:val="00F91155"/>
    <w:rsid w:val="00F9236A"/>
    <w:rsid w:val="00F93568"/>
    <w:rsid w:val="00F96AD5"/>
    <w:rsid w:val="00F973F3"/>
    <w:rsid w:val="00FA1265"/>
    <w:rsid w:val="00FA13D0"/>
    <w:rsid w:val="00FA1A56"/>
    <w:rsid w:val="00FA2269"/>
    <w:rsid w:val="00FA365B"/>
    <w:rsid w:val="00FA49C6"/>
    <w:rsid w:val="00FA4AF8"/>
    <w:rsid w:val="00FA74C0"/>
    <w:rsid w:val="00FB0904"/>
    <w:rsid w:val="00FB2062"/>
    <w:rsid w:val="00FB4821"/>
    <w:rsid w:val="00FB7157"/>
    <w:rsid w:val="00FB71AE"/>
    <w:rsid w:val="00FB73E8"/>
    <w:rsid w:val="00FC02A2"/>
    <w:rsid w:val="00FC21DF"/>
    <w:rsid w:val="00FC2B3B"/>
    <w:rsid w:val="00FC40EA"/>
    <w:rsid w:val="00FC6B4D"/>
    <w:rsid w:val="00FD1017"/>
    <w:rsid w:val="00FD1766"/>
    <w:rsid w:val="00FD2325"/>
    <w:rsid w:val="00FD280A"/>
    <w:rsid w:val="00FD37A8"/>
    <w:rsid w:val="00FD4984"/>
    <w:rsid w:val="00FE024D"/>
    <w:rsid w:val="00FE0A31"/>
    <w:rsid w:val="00FF2FD5"/>
    <w:rsid w:val="00FF325D"/>
    <w:rsid w:val="00FF32A6"/>
    <w:rsid w:val="00FF3C6F"/>
    <w:rsid w:val="00FF449C"/>
    <w:rsid w:val="00FF7A70"/>
    <w:rsid w:val="012108BA"/>
    <w:rsid w:val="0127422A"/>
    <w:rsid w:val="01451E54"/>
    <w:rsid w:val="01525448"/>
    <w:rsid w:val="015B467E"/>
    <w:rsid w:val="016D14D4"/>
    <w:rsid w:val="018067C5"/>
    <w:rsid w:val="0185497D"/>
    <w:rsid w:val="018D377A"/>
    <w:rsid w:val="01905EB3"/>
    <w:rsid w:val="01A205B3"/>
    <w:rsid w:val="01F31BA9"/>
    <w:rsid w:val="01FD5101"/>
    <w:rsid w:val="020118FD"/>
    <w:rsid w:val="020E66CB"/>
    <w:rsid w:val="021364AF"/>
    <w:rsid w:val="021A5FF3"/>
    <w:rsid w:val="022E071A"/>
    <w:rsid w:val="0236489B"/>
    <w:rsid w:val="023E369E"/>
    <w:rsid w:val="02442223"/>
    <w:rsid w:val="024C6398"/>
    <w:rsid w:val="024F5175"/>
    <w:rsid w:val="02674274"/>
    <w:rsid w:val="0268128E"/>
    <w:rsid w:val="027011EE"/>
    <w:rsid w:val="0276221B"/>
    <w:rsid w:val="027911D5"/>
    <w:rsid w:val="02854134"/>
    <w:rsid w:val="02A2377C"/>
    <w:rsid w:val="02BA480E"/>
    <w:rsid w:val="02CB0BE3"/>
    <w:rsid w:val="030C03DF"/>
    <w:rsid w:val="030F011F"/>
    <w:rsid w:val="031E4093"/>
    <w:rsid w:val="032A0EEF"/>
    <w:rsid w:val="032B0453"/>
    <w:rsid w:val="032B5B0C"/>
    <w:rsid w:val="03353CCF"/>
    <w:rsid w:val="033D6A90"/>
    <w:rsid w:val="03402C21"/>
    <w:rsid w:val="03520517"/>
    <w:rsid w:val="035454FE"/>
    <w:rsid w:val="035E64C1"/>
    <w:rsid w:val="0360212F"/>
    <w:rsid w:val="03630B32"/>
    <w:rsid w:val="0367087C"/>
    <w:rsid w:val="03711B18"/>
    <w:rsid w:val="039A7AA4"/>
    <w:rsid w:val="039F4BD1"/>
    <w:rsid w:val="03A6124C"/>
    <w:rsid w:val="03A617D7"/>
    <w:rsid w:val="03A80369"/>
    <w:rsid w:val="03A85D18"/>
    <w:rsid w:val="03BA4CAD"/>
    <w:rsid w:val="03C83345"/>
    <w:rsid w:val="03E8521F"/>
    <w:rsid w:val="03ED5BB0"/>
    <w:rsid w:val="03F13FDA"/>
    <w:rsid w:val="040D2F6A"/>
    <w:rsid w:val="040F48B3"/>
    <w:rsid w:val="04363557"/>
    <w:rsid w:val="043E58BB"/>
    <w:rsid w:val="04485F60"/>
    <w:rsid w:val="0450006A"/>
    <w:rsid w:val="045057E8"/>
    <w:rsid w:val="045D2F42"/>
    <w:rsid w:val="0461680C"/>
    <w:rsid w:val="046F144A"/>
    <w:rsid w:val="047A7B02"/>
    <w:rsid w:val="047C2202"/>
    <w:rsid w:val="048C221F"/>
    <w:rsid w:val="0497795B"/>
    <w:rsid w:val="049A3632"/>
    <w:rsid w:val="04A717FC"/>
    <w:rsid w:val="04AF0E84"/>
    <w:rsid w:val="04C17110"/>
    <w:rsid w:val="04D77B55"/>
    <w:rsid w:val="04E55F89"/>
    <w:rsid w:val="050F1C8B"/>
    <w:rsid w:val="05163B39"/>
    <w:rsid w:val="054F396B"/>
    <w:rsid w:val="055539C2"/>
    <w:rsid w:val="057D662D"/>
    <w:rsid w:val="058E4961"/>
    <w:rsid w:val="05951635"/>
    <w:rsid w:val="05A1548D"/>
    <w:rsid w:val="05A950CE"/>
    <w:rsid w:val="05BE7E52"/>
    <w:rsid w:val="05CB2BBF"/>
    <w:rsid w:val="05CF7CBE"/>
    <w:rsid w:val="05FC0B40"/>
    <w:rsid w:val="06122BF4"/>
    <w:rsid w:val="0618364A"/>
    <w:rsid w:val="061C2BEA"/>
    <w:rsid w:val="06231DC3"/>
    <w:rsid w:val="06352166"/>
    <w:rsid w:val="063E408A"/>
    <w:rsid w:val="063F4F97"/>
    <w:rsid w:val="064D6C9E"/>
    <w:rsid w:val="06524720"/>
    <w:rsid w:val="06761B4B"/>
    <w:rsid w:val="067C315C"/>
    <w:rsid w:val="06A8623C"/>
    <w:rsid w:val="06B743FA"/>
    <w:rsid w:val="06BF293C"/>
    <w:rsid w:val="06C33851"/>
    <w:rsid w:val="06D03EF4"/>
    <w:rsid w:val="06D96DC2"/>
    <w:rsid w:val="06DE4FAD"/>
    <w:rsid w:val="06EB0ACA"/>
    <w:rsid w:val="06F90EA1"/>
    <w:rsid w:val="06FA6421"/>
    <w:rsid w:val="072413E3"/>
    <w:rsid w:val="074D08B6"/>
    <w:rsid w:val="07834DCC"/>
    <w:rsid w:val="07AB1B64"/>
    <w:rsid w:val="07BA2A93"/>
    <w:rsid w:val="07D93ADD"/>
    <w:rsid w:val="07F22BC1"/>
    <w:rsid w:val="07F609D6"/>
    <w:rsid w:val="08066F66"/>
    <w:rsid w:val="081725AE"/>
    <w:rsid w:val="081870CE"/>
    <w:rsid w:val="08332A33"/>
    <w:rsid w:val="086C38FC"/>
    <w:rsid w:val="087F1613"/>
    <w:rsid w:val="088D210A"/>
    <w:rsid w:val="089215C7"/>
    <w:rsid w:val="089322B9"/>
    <w:rsid w:val="089B300F"/>
    <w:rsid w:val="089F6022"/>
    <w:rsid w:val="08A74132"/>
    <w:rsid w:val="08B51F6A"/>
    <w:rsid w:val="08BC1E54"/>
    <w:rsid w:val="08C075C3"/>
    <w:rsid w:val="08D153D6"/>
    <w:rsid w:val="08D21E73"/>
    <w:rsid w:val="08DF1717"/>
    <w:rsid w:val="08F62B8C"/>
    <w:rsid w:val="08F942B9"/>
    <w:rsid w:val="090C6968"/>
    <w:rsid w:val="092523A1"/>
    <w:rsid w:val="09461206"/>
    <w:rsid w:val="09533DE3"/>
    <w:rsid w:val="095624C8"/>
    <w:rsid w:val="095D1017"/>
    <w:rsid w:val="09734976"/>
    <w:rsid w:val="0979376B"/>
    <w:rsid w:val="097F4391"/>
    <w:rsid w:val="09803ECD"/>
    <w:rsid w:val="09A1322C"/>
    <w:rsid w:val="09A21B7A"/>
    <w:rsid w:val="09A71DA5"/>
    <w:rsid w:val="09AA02FE"/>
    <w:rsid w:val="09B10F66"/>
    <w:rsid w:val="09E02B69"/>
    <w:rsid w:val="0A0749E0"/>
    <w:rsid w:val="0A0A2EA2"/>
    <w:rsid w:val="0A1D29FF"/>
    <w:rsid w:val="0A205F42"/>
    <w:rsid w:val="0A315C30"/>
    <w:rsid w:val="0A3F005A"/>
    <w:rsid w:val="0A471D7B"/>
    <w:rsid w:val="0A61063C"/>
    <w:rsid w:val="0A622053"/>
    <w:rsid w:val="0A684D45"/>
    <w:rsid w:val="0A6B3855"/>
    <w:rsid w:val="0A6B7282"/>
    <w:rsid w:val="0A720EF2"/>
    <w:rsid w:val="0A8D0F3F"/>
    <w:rsid w:val="0A9C2852"/>
    <w:rsid w:val="0AA72856"/>
    <w:rsid w:val="0AAA2610"/>
    <w:rsid w:val="0AB30B44"/>
    <w:rsid w:val="0AB5786F"/>
    <w:rsid w:val="0AD853E3"/>
    <w:rsid w:val="0AE2090A"/>
    <w:rsid w:val="0AEB0265"/>
    <w:rsid w:val="0AF52221"/>
    <w:rsid w:val="0B010B6C"/>
    <w:rsid w:val="0B1174F2"/>
    <w:rsid w:val="0B14249F"/>
    <w:rsid w:val="0B2E67E5"/>
    <w:rsid w:val="0B3B3565"/>
    <w:rsid w:val="0B3C4A7E"/>
    <w:rsid w:val="0B3F2E20"/>
    <w:rsid w:val="0B4A2805"/>
    <w:rsid w:val="0B507E70"/>
    <w:rsid w:val="0B521C08"/>
    <w:rsid w:val="0B5A148A"/>
    <w:rsid w:val="0B6259D0"/>
    <w:rsid w:val="0B8F4803"/>
    <w:rsid w:val="0B986609"/>
    <w:rsid w:val="0BB53D2A"/>
    <w:rsid w:val="0BBB3BC9"/>
    <w:rsid w:val="0BBB7987"/>
    <w:rsid w:val="0BC05CE0"/>
    <w:rsid w:val="0BC90E29"/>
    <w:rsid w:val="0BD63FCC"/>
    <w:rsid w:val="0BF044E9"/>
    <w:rsid w:val="0BFE4EFC"/>
    <w:rsid w:val="0C066053"/>
    <w:rsid w:val="0C100039"/>
    <w:rsid w:val="0C135A56"/>
    <w:rsid w:val="0C161F23"/>
    <w:rsid w:val="0C181306"/>
    <w:rsid w:val="0C1C4DE3"/>
    <w:rsid w:val="0C1D3D8C"/>
    <w:rsid w:val="0C1D7D39"/>
    <w:rsid w:val="0C32466C"/>
    <w:rsid w:val="0C575D40"/>
    <w:rsid w:val="0C5C32B4"/>
    <w:rsid w:val="0C6B072D"/>
    <w:rsid w:val="0C73118B"/>
    <w:rsid w:val="0C8D637E"/>
    <w:rsid w:val="0C9B4D87"/>
    <w:rsid w:val="0C9C0C32"/>
    <w:rsid w:val="0C9C1206"/>
    <w:rsid w:val="0CA90E4E"/>
    <w:rsid w:val="0CAA1615"/>
    <w:rsid w:val="0CAB110D"/>
    <w:rsid w:val="0CAB73E9"/>
    <w:rsid w:val="0CB17674"/>
    <w:rsid w:val="0CB271DC"/>
    <w:rsid w:val="0CD36BB9"/>
    <w:rsid w:val="0CD71CC6"/>
    <w:rsid w:val="0CDE23AA"/>
    <w:rsid w:val="0D001582"/>
    <w:rsid w:val="0D1267D2"/>
    <w:rsid w:val="0D200885"/>
    <w:rsid w:val="0D4012E8"/>
    <w:rsid w:val="0D4500E1"/>
    <w:rsid w:val="0D887D6A"/>
    <w:rsid w:val="0D9C5393"/>
    <w:rsid w:val="0DB0196D"/>
    <w:rsid w:val="0DCB4D55"/>
    <w:rsid w:val="0DD10193"/>
    <w:rsid w:val="0DE24A90"/>
    <w:rsid w:val="0DE8204A"/>
    <w:rsid w:val="0DF945A5"/>
    <w:rsid w:val="0DFA50C3"/>
    <w:rsid w:val="0E091040"/>
    <w:rsid w:val="0E135445"/>
    <w:rsid w:val="0E137523"/>
    <w:rsid w:val="0E167A9B"/>
    <w:rsid w:val="0E174490"/>
    <w:rsid w:val="0E1B3A46"/>
    <w:rsid w:val="0E1D652D"/>
    <w:rsid w:val="0E267A8A"/>
    <w:rsid w:val="0E415CE3"/>
    <w:rsid w:val="0E49014E"/>
    <w:rsid w:val="0E5A4870"/>
    <w:rsid w:val="0E681127"/>
    <w:rsid w:val="0E6C0298"/>
    <w:rsid w:val="0E6E28B2"/>
    <w:rsid w:val="0E7823A6"/>
    <w:rsid w:val="0E7E3746"/>
    <w:rsid w:val="0E8228D3"/>
    <w:rsid w:val="0E8F254A"/>
    <w:rsid w:val="0E906E4F"/>
    <w:rsid w:val="0E99795B"/>
    <w:rsid w:val="0EA73A83"/>
    <w:rsid w:val="0EB2597E"/>
    <w:rsid w:val="0EC7638D"/>
    <w:rsid w:val="0ECD1D3B"/>
    <w:rsid w:val="0EEC7F2B"/>
    <w:rsid w:val="0EED5B1E"/>
    <w:rsid w:val="0EF653DF"/>
    <w:rsid w:val="0F025CB8"/>
    <w:rsid w:val="0F242A68"/>
    <w:rsid w:val="0F29538B"/>
    <w:rsid w:val="0F2C4FA7"/>
    <w:rsid w:val="0F3C3D2A"/>
    <w:rsid w:val="0F4663DC"/>
    <w:rsid w:val="0F504FCC"/>
    <w:rsid w:val="0FA86FD9"/>
    <w:rsid w:val="0FA90966"/>
    <w:rsid w:val="0FAC341A"/>
    <w:rsid w:val="0FC9662D"/>
    <w:rsid w:val="0FD032AC"/>
    <w:rsid w:val="0FDD44BA"/>
    <w:rsid w:val="0FEE5A33"/>
    <w:rsid w:val="100D5E9A"/>
    <w:rsid w:val="1019118E"/>
    <w:rsid w:val="101A283C"/>
    <w:rsid w:val="101C43BE"/>
    <w:rsid w:val="1021470B"/>
    <w:rsid w:val="102D0F07"/>
    <w:rsid w:val="10420F0E"/>
    <w:rsid w:val="1042758C"/>
    <w:rsid w:val="106305EF"/>
    <w:rsid w:val="107B3FE1"/>
    <w:rsid w:val="10897480"/>
    <w:rsid w:val="109453C3"/>
    <w:rsid w:val="10BD6496"/>
    <w:rsid w:val="10C17428"/>
    <w:rsid w:val="10CC0EC2"/>
    <w:rsid w:val="10CE0D86"/>
    <w:rsid w:val="10D94500"/>
    <w:rsid w:val="10DF623D"/>
    <w:rsid w:val="10EC2A5C"/>
    <w:rsid w:val="11150BD7"/>
    <w:rsid w:val="113018F7"/>
    <w:rsid w:val="114E1D90"/>
    <w:rsid w:val="115B2F91"/>
    <w:rsid w:val="115F082E"/>
    <w:rsid w:val="116439BE"/>
    <w:rsid w:val="117F261C"/>
    <w:rsid w:val="118C43E3"/>
    <w:rsid w:val="118D6DF5"/>
    <w:rsid w:val="11A00D5B"/>
    <w:rsid w:val="11B10A18"/>
    <w:rsid w:val="11BD1B0D"/>
    <w:rsid w:val="11CA699B"/>
    <w:rsid w:val="11CF6420"/>
    <w:rsid w:val="11E06E41"/>
    <w:rsid w:val="11E27E48"/>
    <w:rsid w:val="11E45A5E"/>
    <w:rsid w:val="11FA3F84"/>
    <w:rsid w:val="120745CE"/>
    <w:rsid w:val="12367561"/>
    <w:rsid w:val="12390963"/>
    <w:rsid w:val="124D3261"/>
    <w:rsid w:val="124E01F9"/>
    <w:rsid w:val="12826BB4"/>
    <w:rsid w:val="12831AAF"/>
    <w:rsid w:val="12904E59"/>
    <w:rsid w:val="12AB26B1"/>
    <w:rsid w:val="12AB4AAA"/>
    <w:rsid w:val="12AB54F4"/>
    <w:rsid w:val="12B323D3"/>
    <w:rsid w:val="130E5F44"/>
    <w:rsid w:val="13181508"/>
    <w:rsid w:val="131F7BA5"/>
    <w:rsid w:val="13307CA5"/>
    <w:rsid w:val="13327A87"/>
    <w:rsid w:val="13631F66"/>
    <w:rsid w:val="13936210"/>
    <w:rsid w:val="13A948A5"/>
    <w:rsid w:val="13AC1BD7"/>
    <w:rsid w:val="13AF3ED8"/>
    <w:rsid w:val="13D93050"/>
    <w:rsid w:val="13E44FEF"/>
    <w:rsid w:val="13E90470"/>
    <w:rsid w:val="13FB0242"/>
    <w:rsid w:val="14051DEF"/>
    <w:rsid w:val="14076EC7"/>
    <w:rsid w:val="1409231A"/>
    <w:rsid w:val="140F3D36"/>
    <w:rsid w:val="14422AC3"/>
    <w:rsid w:val="1449121B"/>
    <w:rsid w:val="144C0B04"/>
    <w:rsid w:val="144D3E61"/>
    <w:rsid w:val="145975DE"/>
    <w:rsid w:val="14803397"/>
    <w:rsid w:val="149223BD"/>
    <w:rsid w:val="149B238A"/>
    <w:rsid w:val="149B35B7"/>
    <w:rsid w:val="14A45B7B"/>
    <w:rsid w:val="14A91FED"/>
    <w:rsid w:val="14AA22F5"/>
    <w:rsid w:val="14BA61D8"/>
    <w:rsid w:val="14BE2BAB"/>
    <w:rsid w:val="14CA6DA0"/>
    <w:rsid w:val="14E71D87"/>
    <w:rsid w:val="14F94688"/>
    <w:rsid w:val="14FB6EB1"/>
    <w:rsid w:val="1509388F"/>
    <w:rsid w:val="150B30CC"/>
    <w:rsid w:val="15176B23"/>
    <w:rsid w:val="15240659"/>
    <w:rsid w:val="152701F2"/>
    <w:rsid w:val="15270A8C"/>
    <w:rsid w:val="15340A0C"/>
    <w:rsid w:val="15436541"/>
    <w:rsid w:val="15525235"/>
    <w:rsid w:val="1558707D"/>
    <w:rsid w:val="155C348A"/>
    <w:rsid w:val="15852361"/>
    <w:rsid w:val="15913E87"/>
    <w:rsid w:val="159B52CC"/>
    <w:rsid w:val="15A67702"/>
    <w:rsid w:val="15BA76DE"/>
    <w:rsid w:val="15CA7842"/>
    <w:rsid w:val="15D2218C"/>
    <w:rsid w:val="15DB22EF"/>
    <w:rsid w:val="15FC57BC"/>
    <w:rsid w:val="15FE35C3"/>
    <w:rsid w:val="16024D5E"/>
    <w:rsid w:val="161415F3"/>
    <w:rsid w:val="16315DB3"/>
    <w:rsid w:val="164C2CCD"/>
    <w:rsid w:val="165001C0"/>
    <w:rsid w:val="16572068"/>
    <w:rsid w:val="165D145C"/>
    <w:rsid w:val="165D20D6"/>
    <w:rsid w:val="165E4EF4"/>
    <w:rsid w:val="166150F0"/>
    <w:rsid w:val="168106C7"/>
    <w:rsid w:val="168223D7"/>
    <w:rsid w:val="16837ABE"/>
    <w:rsid w:val="168A2B05"/>
    <w:rsid w:val="168D01CC"/>
    <w:rsid w:val="16920899"/>
    <w:rsid w:val="16A00CE2"/>
    <w:rsid w:val="16A91A09"/>
    <w:rsid w:val="16D877EB"/>
    <w:rsid w:val="16FF307D"/>
    <w:rsid w:val="17095FA2"/>
    <w:rsid w:val="17182EC1"/>
    <w:rsid w:val="171901D7"/>
    <w:rsid w:val="17432102"/>
    <w:rsid w:val="17455FF2"/>
    <w:rsid w:val="174E5517"/>
    <w:rsid w:val="1770346F"/>
    <w:rsid w:val="1773672D"/>
    <w:rsid w:val="17993626"/>
    <w:rsid w:val="17A13A5C"/>
    <w:rsid w:val="17B25DE3"/>
    <w:rsid w:val="17BE4B86"/>
    <w:rsid w:val="17CF48B4"/>
    <w:rsid w:val="17D45B4B"/>
    <w:rsid w:val="17E75C28"/>
    <w:rsid w:val="17F331F0"/>
    <w:rsid w:val="18082442"/>
    <w:rsid w:val="18085C7B"/>
    <w:rsid w:val="180915CF"/>
    <w:rsid w:val="18125D0F"/>
    <w:rsid w:val="18306CED"/>
    <w:rsid w:val="18313744"/>
    <w:rsid w:val="183C6792"/>
    <w:rsid w:val="184D3C84"/>
    <w:rsid w:val="184F6914"/>
    <w:rsid w:val="18720D01"/>
    <w:rsid w:val="18784A3A"/>
    <w:rsid w:val="18A55A31"/>
    <w:rsid w:val="18A64034"/>
    <w:rsid w:val="18B064DB"/>
    <w:rsid w:val="18C51C93"/>
    <w:rsid w:val="18CF2D5F"/>
    <w:rsid w:val="18D06881"/>
    <w:rsid w:val="18F05D13"/>
    <w:rsid w:val="19013C87"/>
    <w:rsid w:val="19073402"/>
    <w:rsid w:val="192969FD"/>
    <w:rsid w:val="193E780C"/>
    <w:rsid w:val="19402F1F"/>
    <w:rsid w:val="1950092C"/>
    <w:rsid w:val="197403A9"/>
    <w:rsid w:val="19776BBA"/>
    <w:rsid w:val="197C7E4F"/>
    <w:rsid w:val="197E6A99"/>
    <w:rsid w:val="198006A4"/>
    <w:rsid w:val="198369C8"/>
    <w:rsid w:val="199E4F66"/>
    <w:rsid w:val="19A41057"/>
    <w:rsid w:val="19A84B55"/>
    <w:rsid w:val="19B86423"/>
    <w:rsid w:val="19D25C97"/>
    <w:rsid w:val="19E50B1F"/>
    <w:rsid w:val="19ED51DB"/>
    <w:rsid w:val="19F00924"/>
    <w:rsid w:val="19FA4C79"/>
    <w:rsid w:val="19FC18DA"/>
    <w:rsid w:val="1A2705E1"/>
    <w:rsid w:val="1A377FF3"/>
    <w:rsid w:val="1A402CD9"/>
    <w:rsid w:val="1A425305"/>
    <w:rsid w:val="1A56037E"/>
    <w:rsid w:val="1A5D58A9"/>
    <w:rsid w:val="1A68543E"/>
    <w:rsid w:val="1A725B79"/>
    <w:rsid w:val="1A9E5A29"/>
    <w:rsid w:val="1AA12BCE"/>
    <w:rsid w:val="1ACB57DD"/>
    <w:rsid w:val="1AD506B3"/>
    <w:rsid w:val="1AD91D6F"/>
    <w:rsid w:val="1ADC57C7"/>
    <w:rsid w:val="1AE55CDF"/>
    <w:rsid w:val="1AEF73A7"/>
    <w:rsid w:val="1AFD39E9"/>
    <w:rsid w:val="1B0415D9"/>
    <w:rsid w:val="1B043CF4"/>
    <w:rsid w:val="1B1539CE"/>
    <w:rsid w:val="1B326D73"/>
    <w:rsid w:val="1B3C4EF3"/>
    <w:rsid w:val="1B3E71F8"/>
    <w:rsid w:val="1B40638A"/>
    <w:rsid w:val="1B425378"/>
    <w:rsid w:val="1B584D0D"/>
    <w:rsid w:val="1B6554EB"/>
    <w:rsid w:val="1B6800BF"/>
    <w:rsid w:val="1B6D0135"/>
    <w:rsid w:val="1B7268D5"/>
    <w:rsid w:val="1B7424E7"/>
    <w:rsid w:val="1B921B79"/>
    <w:rsid w:val="1BA64014"/>
    <w:rsid w:val="1BA82AE7"/>
    <w:rsid w:val="1BB91C38"/>
    <w:rsid w:val="1BC42835"/>
    <w:rsid w:val="1BD32BD8"/>
    <w:rsid w:val="1BE32CF8"/>
    <w:rsid w:val="1BF55E40"/>
    <w:rsid w:val="1BF56DAB"/>
    <w:rsid w:val="1BF71784"/>
    <w:rsid w:val="1C022A2D"/>
    <w:rsid w:val="1C0E12DE"/>
    <w:rsid w:val="1C1A086E"/>
    <w:rsid w:val="1C2449A9"/>
    <w:rsid w:val="1C2472D7"/>
    <w:rsid w:val="1C2E444C"/>
    <w:rsid w:val="1C345562"/>
    <w:rsid w:val="1C3619C8"/>
    <w:rsid w:val="1C4639BA"/>
    <w:rsid w:val="1C552A09"/>
    <w:rsid w:val="1C671DD7"/>
    <w:rsid w:val="1C6A00AF"/>
    <w:rsid w:val="1C6D5044"/>
    <w:rsid w:val="1C6D7B57"/>
    <w:rsid w:val="1C7D750C"/>
    <w:rsid w:val="1C807FA1"/>
    <w:rsid w:val="1C834E88"/>
    <w:rsid w:val="1C956B20"/>
    <w:rsid w:val="1C9A70DE"/>
    <w:rsid w:val="1CA006DD"/>
    <w:rsid w:val="1CAA0B41"/>
    <w:rsid w:val="1CB84EE8"/>
    <w:rsid w:val="1CC14F31"/>
    <w:rsid w:val="1CC1664D"/>
    <w:rsid w:val="1CC36C1F"/>
    <w:rsid w:val="1CC83638"/>
    <w:rsid w:val="1CD12BFC"/>
    <w:rsid w:val="1CDA4FFB"/>
    <w:rsid w:val="1CE00555"/>
    <w:rsid w:val="1CE93504"/>
    <w:rsid w:val="1CF61061"/>
    <w:rsid w:val="1CFD3156"/>
    <w:rsid w:val="1D0D677A"/>
    <w:rsid w:val="1D142BC6"/>
    <w:rsid w:val="1D176FA5"/>
    <w:rsid w:val="1D4F32C0"/>
    <w:rsid w:val="1D5A2C01"/>
    <w:rsid w:val="1D612EE3"/>
    <w:rsid w:val="1D9E4516"/>
    <w:rsid w:val="1DBC44C0"/>
    <w:rsid w:val="1DC57274"/>
    <w:rsid w:val="1DD013D4"/>
    <w:rsid w:val="1DD063B7"/>
    <w:rsid w:val="1DD74FBA"/>
    <w:rsid w:val="1DDA4AC9"/>
    <w:rsid w:val="1DEA1D5E"/>
    <w:rsid w:val="1DEE2B6B"/>
    <w:rsid w:val="1DF27AEE"/>
    <w:rsid w:val="1DFB11E7"/>
    <w:rsid w:val="1DFF793E"/>
    <w:rsid w:val="1E046604"/>
    <w:rsid w:val="1E5009E8"/>
    <w:rsid w:val="1E620060"/>
    <w:rsid w:val="1E874A7D"/>
    <w:rsid w:val="1E9470AD"/>
    <w:rsid w:val="1E9D6E7D"/>
    <w:rsid w:val="1EAE38EC"/>
    <w:rsid w:val="1EC81839"/>
    <w:rsid w:val="1EE468CA"/>
    <w:rsid w:val="1EF84A0B"/>
    <w:rsid w:val="1F0D325A"/>
    <w:rsid w:val="1F432AC1"/>
    <w:rsid w:val="1F5726BB"/>
    <w:rsid w:val="1F5F3AB2"/>
    <w:rsid w:val="1F7F3525"/>
    <w:rsid w:val="1F912EE6"/>
    <w:rsid w:val="1F991D15"/>
    <w:rsid w:val="1F9E608E"/>
    <w:rsid w:val="1FA36634"/>
    <w:rsid w:val="1FB271C2"/>
    <w:rsid w:val="1FBC763D"/>
    <w:rsid w:val="1FE35FC6"/>
    <w:rsid w:val="1FF568F0"/>
    <w:rsid w:val="1FF608F7"/>
    <w:rsid w:val="200043CD"/>
    <w:rsid w:val="20075463"/>
    <w:rsid w:val="20201FBC"/>
    <w:rsid w:val="202672F9"/>
    <w:rsid w:val="204D042A"/>
    <w:rsid w:val="206D631A"/>
    <w:rsid w:val="20722454"/>
    <w:rsid w:val="20755BDF"/>
    <w:rsid w:val="207C1DCE"/>
    <w:rsid w:val="2080058C"/>
    <w:rsid w:val="2083261E"/>
    <w:rsid w:val="209A3485"/>
    <w:rsid w:val="209B156E"/>
    <w:rsid w:val="20A407FF"/>
    <w:rsid w:val="20A61A6E"/>
    <w:rsid w:val="20B63BC8"/>
    <w:rsid w:val="20CA2A45"/>
    <w:rsid w:val="20CB3B78"/>
    <w:rsid w:val="20D815D2"/>
    <w:rsid w:val="20D96E81"/>
    <w:rsid w:val="20DD187D"/>
    <w:rsid w:val="20E2402A"/>
    <w:rsid w:val="20F96690"/>
    <w:rsid w:val="20FE7CFC"/>
    <w:rsid w:val="21036DA7"/>
    <w:rsid w:val="2114517D"/>
    <w:rsid w:val="2128542D"/>
    <w:rsid w:val="212F3862"/>
    <w:rsid w:val="2135079B"/>
    <w:rsid w:val="214E5A63"/>
    <w:rsid w:val="215014EF"/>
    <w:rsid w:val="215B7C34"/>
    <w:rsid w:val="215C23F6"/>
    <w:rsid w:val="216134BF"/>
    <w:rsid w:val="21675159"/>
    <w:rsid w:val="21995317"/>
    <w:rsid w:val="21A81D47"/>
    <w:rsid w:val="21BA21F1"/>
    <w:rsid w:val="21BF32EE"/>
    <w:rsid w:val="21C53063"/>
    <w:rsid w:val="21D447D6"/>
    <w:rsid w:val="21E408C9"/>
    <w:rsid w:val="21E679F0"/>
    <w:rsid w:val="21EA43EC"/>
    <w:rsid w:val="21F508E9"/>
    <w:rsid w:val="22031299"/>
    <w:rsid w:val="22052C7A"/>
    <w:rsid w:val="220C416E"/>
    <w:rsid w:val="220E1626"/>
    <w:rsid w:val="220E624F"/>
    <w:rsid w:val="2214665A"/>
    <w:rsid w:val="223F0146"/>
    <w:rsid w:val="22420E32"/>
    <w:rsid w:val="224861C6"/>
    <w:rsid w:val="225279E5"/>
    <w:rsid w:val="2253667C"/>
    <w:rsid w:val="225540F3"/>
    <w:rsid w:val="227B4ABC"/>
    <w:rsid w:val="22914C67"/>
    <w:rsid w:val="229D182A"/>
    <w:rsid w:val="22A4019C"/>
    <w:rsid w:val="22A7251E"/>
    <w:rsid w:val="22AF2E11"/>
    <w:rsid w:val="22BD6F9C"/>
    <w:rsid w:val="22C06E1D"/>
    <w:rsid w:val="22C35AAC"/>
    <w:rsid w:val="22CF45AF"/>
    <w:rsid w:val="22D7232C"/>
    <w:rsid w:val="22D82A23"/>
    <w:rsid w:val="22F70E24"/>
    <w:rsid w:val="2301325E"/>
    <w:rsid w:val="23165712"/>
    <w:rsid w:val="232246EF"/>
    <w:rsid w:val="233641BC"/>
    <w:rsid w:val="233755F2"/>
    <w:rsid w:val="235E25E9"/>
    <w:rsid w:val="236646C5"/>
    <w:rsid w:val="236C11CB"/>
    <w:rsid w:val="237B2BA4"/>
    <w:rsid w:val="237E57B4"/>
    <w:rsid w:val="237F0EEC"/>
    <w:rsid w:val="23A472AE"/>
    <w:rsid w:val="23A650CF"/>
    <w:rsid w:val="23B0603F"/>
    <w:rsid w:val="23C5562B"/>
    <w:rsid w:val="23C55873"/>
    <w:rsid w:val="23D275F6"/>
    <w:rsid w:val="23E106EA"/>
    <w:rsid w:val="23E94DA9"/>
    <w:rsid w:val="23F0671E"/>
    <w:rsid w:val="24193FB3"/>
    <w:rsid w:val="24305953"/>
    <w:rsid w:val="2444549C"/>
    <w:rsid w:val="24467244"/>
    <w:rsid w:val="244732D3"/>
    <w:rsid w:val="244739C4"/>
    <w:rsid w:val="244D235A"/>
    <w:rsid w:val="24541F69"/>
    <w:rsid w:val="247B3D75"/>
    <w:rsid w:val="24845BFF"/>
    <w:rsid w:val="24877F12"/>
    <w:rsid w:val="24C0141E"/>
    <w:rsid w:val="24C51B2B"/>
    <w:rsid w:val="24D04FA9"/>
    <w:rsid w:val="24D552B1"/>
    <w:rsid w:val="251224A9"/>
    <w:rsid w:val="251E3239"/>
    <w:rsid w:val="25267BFC"/>
    <w:rsid w:val="2558071B"/>
    <w:rsid w:val="25617BFA"/>
    <w:rsid w:val="25720A26"/>
    <w:rsid w:val="25730711"/>
    <w:rsid w:val="25805AD4"/>
    <w:rsid w:val="25A26310"/>
    <w:rsid w:val="25AD5C6B"/>
    <w:rsid w:val="25BD451C"/>
    <w:rsid w:val="25C5397F"/>
    <w:rsid w:val="25D05058"/>
    <w:rsid w:val="25D74F93"/>
    <w:rsid w:val="25E20A83"/>
    <w:rsid w:val="25F908E7"/>
    <w:rsid w:val="26036722"/>
    <w:rsid w:val="26150399"/>
    <w:rsid w:val="26152F03"/>
    <w:rsid w:val="262A406C"/>
    <w:rsid w:val="2639743C"/>
    <w:rsid w:val="264E08C3"/>
    <w:rsid w:val="26515D73"/>
    <w:rsid w:val="26575D18"/>
    <w:rsid w:val="2657704C"/>
    <w:rsid w:val="26710F34"/>
    <w:rsid w:val="267C7DE4"/>
    <w:rsid w:val="26A11B7B"/>
    <w:rsid w:val="26A90808"/>
    <w:rsid w:val="26AB1AE1"/>
    <w:rsid w:val="26B31EE5"/>
    <w:rsid w:val="26B344A9"/>
    <w:rsid w:val="26BF49AD"/>
    <w:rsid w:val="26C92500"/>
    <w:rsid w:val="26C95688"/>
    <w:rsid w:val="26CF78B8"/>
    <w:rsid w:val="26DA38E7"/>
    <w:rsid w:val="26E22B65"/>
    <w:rsid w:val="26ED67F9"/>
    <w:rsid w:val="26F826CD"/>
    <w:rsid w:val="2717121A"/>
    <w:rsid w:val="2729313B"/>
    <w:rsid w:val="272C757D"/>
    <w:rsid w:val="275717C2"/>
    <w:rsid w:val="27591576"/>
    <w:rsid w:val="27866871"/>
    <w:rsid w:val="27884A9C"/>
    <w:rsid w:val="27975A2E"/>
    <w:rsid w:val="279B5D6E"/>
    <w:rsid w:val="27AE3A3B"/>
    <w:rsid w:val="27AF4626"/>
    <w:rsid w:val="27B3689C"/>
    <w:rsid w:val="27B91790"/>
    <w:rsid w:val="27CE6631"/>
    <w:rsid w:val="27CF7056"/>
    <w:rsid w:val="27D439EB"/>
    <w:rsid w:val="27D77B2E"/>
    <w:rsid w:val="27EA0CAC"/>
    <w:rsid w:val="27FB0BCB"/>
    <w:rsid w:val="28010F2F"/>
    <w:rsid w:val="28034E0E"/>
    <w:rsid w:val="28044228"/>
    <w:rsid w:val="280B7E29"/>
    <w:rsid w:val="280C42CF"/>
    <w:rsid w:val="281056B4"/>
    <w:rsid w:val="2815291F"/>
    <w:rsid w:val="28217E22"/>
    <w:rsid w:val="287C1D56"/>
    <w:rsid w:val="288C2059"/>
    <w:rsid w:val="28927877"/>
    <w:rsid w:val="28A66D3A"/>
    <w:rsid w:val="28B305D4"/>
    <w:rsid w:val="28B72BFC"/>
    <w:rsid w:val="28BA46BC"/>
    <w:rsid w:val="28C048E7"/>
    <w:rsid w:val="28D071AE"/>
    <w:rsid w:val="28D426C6"/>
    <w:rsid w:val="28D56E18"/>
    <w:rsid w:val="28DB7A1A"/>
    <w:rsid w:val="28E44920"/>
    <w:rsid w:val="28EA0D9D"/>
    <w:rsid w:val="290742E8"/>
    <w:rsid w:val="2912357C"/>
    <w:rsid w:val="296113EB"/>
    <w:rsid w:val="2976220C"/>
    <w:rsid w:val="297C131B"/>
    <w:rsid w:val="29B549F6"/>
    <w:rsid w:val="29C21DFC"/>
    <w:rsid w:val="29C7418B"/>
    <w:rsid w:val="29CE3AC0"/>
    <w:rsid w:val="29D61B01"/>
    <w:rsid w:val="29E52704"/>
    <w:rsid w:val="29E84BEF"/>
    <w:rsid w:val="29F710AB"/>
    <w:rsid w:val="2A056329"/>
    <w:rsid w:val="2A0F4697"/>
    <w:rsid w:val="2A2150A5"/>
    <w:rsid w:val="2A2175D9"/>
    <w:rsid w:val="2A26348E"/>
    <w:rsid w:val="2A2D094E"/>
    <w:rsid w:val="2A3F5840"/>
    <w:rsid w:val="2A441DC1"/>
    <w:rsid w:val="2A6476A3"/>
    <w:rsid w:val="2A7E0A45"/>
    <w:rsid w:val="2A7E14BB"/>
    <w:rsid w:val="2A8E5629"/>
    <w:rsid w:val="2AC57D08"/>
    <w:rsid w:val="2ACC2EB9"/>
    <w:rsid w:val="2ACC47E3"/>
    <w:rsid w:val="2AD374C2"/>
    <w:rsid w:val="2AE768EA"/>
    <w:rsid w:val="2AEE0A48"/>
    <w:rsid w:val="2B265B9F"/>
    <w:rsid w:val="2B4B0D5B"/>
    <w:rsid w:val="2B571850"/>
    <w:rsid w:val="2B605D5D"/>
    <w:rsid w:val="2B69549D"/>
    <w:rsid w:val="2B713878"/>
    <w:rsid w:val="2B7376D8"/>
    <w:rsid w:val="2B9020C3"/>
    <w:rsid w:val="2B971106"/>
    <w:rsid w:val="2BB0148C"/>
    <w:rsid w:val="2BB25CC8"/>
    <w:rsid w:val="2BC52C0C"/>
    <w:rsid w:val="2BCB1C41"/>
    <w:rsid w:val="2BD75818"/>
    <w:rsid w:val="2BE5395E"/>
    <w:rsid w:val="2BEC74B6"/>
    <w:rsid w:val="2BEE3B61"/>
    <w:rsid w:val="2BEF764F"/>
    <w:rsid w:val="2C091D23"/>
    <w:rsid w:val="2C0B0685"/>
    <w:rsid w:val="2C113971"/>
    <w:rsid w:val="2C1340EE"/>
    <w:rsid w:val="2C136DB5"/>
    <w:rsid w:val="2C1C62BD"/>
    <w:rsid w:val="2C28438E"/>
    <w:rsid w:val="2C3052F3"/>
    <w:rsid w:val="2C4C7C54"/>
    <w:rsid w:val="2C605AD1"/>
    <w:rsid w:val="2C613253"/>
    <w:rsid w:val="2C64131C"/>
    <w:rsid w:val="2C6970A3"/>
    <w:rsid w:val="2C791088"/>
    <w:rsid w:val="2C7E4109"/>
    <w:rsid w:val="2C85179B"/>
    <w:rsid w:val="2CAC4CE5"/>
    <w:rsid w:val="2CAD4FD7"/>
    <w:rsid w:val="2CB659CD"/>
    <w:rsid w:val="2CC21313"/>
    <w:rsid w:val="2CCE2787"/>
    <w:rsid w:val="2CD14338"/>
    <w:rsid w:val="2CF31F93"/>
    <w:rsid w:val="2CF4545B"/>
    <w:rsid w:val="2CF96697"/>
    <w:rsid w:val="2D06566C"/>
    <w:rsid w:val="2D0D4CA3"/>
    <w:rsid w:val="2D1447AD"/>
    <w:rsid w:val="2D1769D3"/>
    <w:rsid w:val="2D1C0D6C"/>
    <w:rsid w:val="2D256719"/>
    <w:rsid w:val="2D383034"/>
    <w:rsid w:val="2D3F28B6"/>
    <w:rsid w:val="2D4275BA"/>
    <w:rsid w:val="2D506941"/>
    <w:rsid w:val="2D5430B6"/>
    <w:rsid w:val="2D566B5D"/>
    <w:rsid w:val="2D570C2E"/>
    <w:rsid w:val="2D5945A5"/>
    <w:rsid w:val="2D85018A"/>
    <w:rsid w:val="2D8B133D"/>
    <w:rsid w:val="2D952805"/>
    <w:rsid w:val="2D980120"/>
    <w:rsid w:val="2DA76BCD"/>
    <w:rsid w:val="2DAA4398"/>
    <w:rsid w:val="2DC92410"/>
    <w:rsid w:val="2DD0392E"/>
    <w:rsid w:val="2DD16FC0"/>
    <w:rsid w:val="2DD3239E"/>
    <w:rsid w:val="2DE83928"/>
    <w:rsid w:val="2DF10C33"/>
    <w:rsid w:val="2DF76467"/>
    <w:rsid w:val="2DFA2EA4"/>
    <w:rsid w:val="2DFA5704"/>
    <w:rsid w:val="2DFD3B75"/>
    <w:rsid w:val="2E1C2B48"/>
    <w:rsid w:val="2E253FDE"/>
    <w:rsid w:val="2E305399"/>
    <w:rsid w:val="2E4131FD"/>
    <w:rsid w:val="2E4632F7"/>
    <w:rsid w:val="2E4A566F"/>
    <w:rsid w:val="2E53711C"/>
    <w:rsid w:val="2E540B95"/>
    <w:rsid w:val="2E5E2157"/>
    <w:rsid w:val="2E6C0293"/>
    <w:rsid w:val="2E7B0AE8"/>
    <w:rsid w:val="2E7F51E7"/>
    <w:rsid w:val="2E827F8E"/>
    <w:rsid w:val="2E8E2B42"/>
    <w:rsid w:val="2E912EFA"/>
    <w:rsid w:val="2EAD25C1"/>
    <w:rsid w:val="2EE15A07"/>
    <w:rsid w:val="2EEA63CF"/>
    <w:rsid w:val="2EF81740"/>
    <w:rsid w:val="2EFB3639"/>
    <w:rsid w:val="2EFB4B78"/>
    <w:rsid w:val="2F1632EB"/>
    <w:rsid w:val="2F3133CE"/>
    <w:rsid w:val="2F33786D"/>
    <w:rsid w:val="2F393EAE"/>
    <w:rsid w:val="2F6F27AE"/>
    <w:rsid w:val="2F794079"/>
    <w:rsid w:val="2F9128D8"/>
    <w:rsid w:val="2FA01B2A"/>
    <w:rsid w:val="2FA9756E"/>
    <w:rsid w:val="2FAF1174"/>
    <w:rsid w:val="2FBB231D"/>
    <w:rsid w:val="2FDD41AF"/>
    <w:rsid w:val="30086CF1"/>
    <w:rsid w:val="303624E0"/>
    <w:rsid w:val="303B7AED"/>
    <w:rsid w:val="303B7ECA"/>
    <w:rsid w:val="303D2EB1"/>
    <w:rsid w:val="304974BD"/>
    <w:rsid w:val="305759A2"/>
    <w:rsid w:val="307300A8"/>
    <w:rsid w:val="30742444"/>
    <w:rsid w:val="307E5A2A"/>
    <w:rsid w:val="308B10DB"/>
    <w:rsid w:val="308E6668"/>
    <w:rsid w:val="30983307"/>
    <w:rsid w:val="309963CE"/>
    <w:rsid w:val="30B25241"/>
    <w:rsid w:val="30C67A8D"/>
    <w:rsid w:val="30CF3892"/>
    <w:rsid w:val="30DA63E0"/>
    <w:rsid w:val="30DE4258"/>
    <w:rsid w:val="30E00C30"/>
    <w:rsid w:val="30EE7198"/>
    <w:rsid w:val="30FE1170"/>
    <w:rsid w:val="31012A67"/>
    <w:rsid w:val="312A19F4"/>
    <w:rsid w:val="31455AA0"/>
    <w:rsid w:val="31477AED"/>
    <w:rsid w:val="314B29C9"/>
    <w:rsid w:val="315A0775"/>
    <w:rsid w:val="315D003D"/>
    <w:rsid w:val="315D323C"/>
    <w:rsid w:val="3179179A"/>
    <w:rsid w:val="31823C95"/>
    <w:rsid w:val="319F1A0B"/>
    <w:rsid w:val="31A52CEE"/>
    <w:rsid w:val="31A94A57"/>
    <w:rsid w:val="31B53766"/>
    <w:rsid w:val="31C10334"/>
    <w:rsid w:val="31D37F8F"/>
    <w:rsid w:val="31D74A18"/>
    <w:rsid w:val="31DD4248"/>
    <w:rsid w:val="31DD5933"/>
    <w:rsid w:val="31DD73C4"/>
    <w:rsid w:val="32035554"/>
    <w:rsid w:val="322334AB"/>
    <w:rsid w:val="32317FF8"/>
    <w:rsid w:val="323558D0"/>
    <w:rsid w:val="32470CC8"/>
    <w:rsid w:val="32487708"/>
    <w:rsid w:val="32592A50"/>
    <w:rsid w:val="3292033C"/>
    <w:rsid w:val="32923CB1"/>
    <w:rsid w:val="32924E3F"/>
    <w:rsid w:val="32B4382E"/>
    <w:rsid w:val="32B879DF"/>
    <w:rsid w:val="32D713B6"/>
    <w:rsid w:val="32DA7880"/>
    <w:rsid w:val="32E3125D"/>
    <w:rsid w:val="32FB70DA"/>
    <w:rsid w:val="32FC47FB"/>
    <w:rsid w:val="32FE4C55"/>
    <w:rsid w:val="33026F56"/>
    <w:rsid w:val="330A0348"/>
    <w:rsid w:val="330A4A1B"/>
    <w:rsid w:val="330F1947"/>
    <w:rsid w:val="33182A2A"/>
    <w:rsid w:val="331C69E8"/>
    <w:rsid w:val="331F0099"/>
    <w:rsid w:val="33400254"/>
    <w:rsid w:val="33467A07"/>
    <w:rsid w:val="33503C6D"/>
    <w:rsid w:val="335C4D48"/>
    <w:rsid w:val="33653639"/>
    <w:rsid w:val="336E5B67"/>
    <w:rsid w:val="338C1CBA"/>
    <w:rsid w:val="3395717A"/>
    <w:rsid w:val="33A94C1C"/>
    <w:rsid w:val="33A95CE1"/>
    <w:rsid w:val="33E71027"/>
    <w:rsid w:val="33EB48C2"/>
    <w:rsid w:val="33EB7D2C"/>
    <w:rsid w:val="3401765A"/>
    <w:rsid w:val="34051CB1"/>
    <w:rsid w:val="341A6A5C"/>
    <w:rsid w:val="342130EF"/>
    <w:rsid w:val="343056CC"/>
    <w:rsid w:val="343272AF"/>
    <w:rsid w:val="343441D6"/>
    <w:rsid w:val="343A7A87"/>
    <w:rsid w:val="34544ACF"/>
    <w:rsid w:val="34642C7B"/>
    <w:rsid w:val="346464C2"/>
    <w:rsid w:val="34760C30"/>
    <w:rsid w:val="3480508F"/>
    <w:rsid w:val="348A3874"/>
    <w:rsid w:val="348C378C"/>
    <w:rsid w:val="34AD6876"/>
    <w:rsid w:val="34B4615C"/>
    <w:rsid w:val="34BC0879"/>
    <w:rsid w:val="34BE7501"/>
    <w:rsid w:val="34CA3F1B"/>
    <w:rsid w:val="34CB507B"/>
    <w:rsid w:val="34E665FA"/>
    <w:rsid w:val="34E70422"/>
    <w:rsid w:val="34F93DF5"/>
    <w:rsid w:val="35001709"/>
    <w:rsid w:val="35003765"/>
    <w:rsid w:val="35011644"/>
    <w:rsid w:val="351139BB"/>
    <w:rsid w:val="35223E6D"/>
    <w:rsid w:val="352F1CDC"/>
    <w:rsid w:val="353324EC"/>
    <w:rsid w:val="354403B0"/>
    <w:rsid w:val="35527AE6"/>
    <w:rsid w:val="355B3BB9"/>
    <w:rsid w:val="35611A4B"/>
    <w:rsid w:val="3566176E"/>
    <w:rsid w:val="3575370F"/>
    <w:rsid w:val="359001AA"/>
    <w:rsid w:val="35987C0E"/>
    <w:rsid w:val="35B308E4"/>
    <w:rsid w:val="35C26B4D"/>
    <w:rsid w:val="35D1063C"/>
    <w:rsid w:val="35E57E58"/>
    <w:rsid w:val="35EB3610"/>
    <w:rsid w:val="35FC416B"/>
    <w:rsid w:val="36211F51"/>
    <w:rsid w:val="36271921"/>
    <w:rsid w:val="362C463C"/>
    <w:rsid w:val="365A2EF8"/>
    <w:rsid w:val="36677613"/>
    <w:rsid w:val="3673352B"/>
    <w:rsid w:val="36785DF3"/>
    <w:rsid w:val="36B31417"/>
    <w:rsid w:val="36B35017"/>
    <w:rsid w:val="36D110D1"/>
    <w:rsid w:val="36E15F62"/>
    <w:rsid w:val="36EE4047"/>
    <w:rsid w:val="3719159F"/>
    <w:rsid w:val="371977E0"/>
    <w:rsid w:val="37316515"/>
    <w:rsid w:val="37580FA3"/>
    <w:rsid w:val="37714771"/>
    <w:rsid w:val="378272B0"/>
    <w:rsid w:val="37885C34"/>
    <w:rsid w:val="378E7E72"/>
    <w:rsid w:val="37900A4F"/>
    <w:rsid w:val="37AD0633"/>
    <w:rsid w:val="37AE3477"/>
    <w:rsid w:val="37AF20C8"/>
    <w:rsid w:val="37B47651"/>
    <w:rsid w:val="37B7515A"/>
    <w:rsid w:val="37C504CA"/>
    <w:rsid w:val="37C872FA"/>
    <w:rsid w:val="37D712DB"/>
    <w:rsid w:val="37DC5E43"/>
    <w:rsid w:val="37E30EA0"/>
    <w:rsid w:val="37EA4BC6"/>
    <w:rsid w:val="37EF42EA"/>
    <w:rsid w:val="37F2153E"/>
    <w:rsid w:val="37F97B26"/>
    <w:rsid w:val="38016288"/>
    <w:rsid w:val="38080769"/>
    <w:rsid w:val="380D5AAD"/>
    <w:rsid w:val="381870F7"/>
    <w:rsid w:val="382459C0"/>
    <w:rsid w:val="382603D2"/>
    <w:rsid w:val="382A1F3B"/>
    <w:rsid w:val="38312580"/>
    <w:rsid w:val="38381CF1"/>
    <w:rsid w:val="38472B13"/>
    <w:rsid w:val="384F719D"/>
    <w:rsid w:val="38672EF8"/>
    <w:rsid w:val="38776F8B"/>
    <w:rsid w:val="38806B77"/>
    <w:rsid w:val="38890D6C"/>
    <w:rsid w:val="38897E8A"/>
    <w:rsid w:val="388C6912"/>
    <w:rsid w:val="389B65BB"/>
    <w:rsid w:val="38B20A5E"/>
    <w:rsid w:val="38B849DE"/>
    <w:rsid w:val="38C63369"/>
    <w:rsid w:val="38CF774A"/>
    <w:rsid w:val="38D52251"/>
    <w:rsid w:val="38DA0575"/>
    <w:rsid w:val="38EC2A98"/>
    <w:rsid w:val="38ED4D56"/>
    <w:rsid w:val="39000B39"/>
    <w:rsid w:val="39024B38"/>
    <w:rsid w:val="39085983"/>
    <w:rsid w:val="39090581"/>
    <w:rsid w:val="390E650C"/>
    <w:rsid w:val="39150C4E"/>
    <w:rsid w:val="391705A0"/>
    <w:rsid w:val="39176BC8"/>
    <w:rsid w:val="391F6DA3"/>
    <w:rsid w:val="39222E83"/>
    <w:rsid w:val="393763F7"/>
    <w:rsid w:val="393B053C"/>
    <w:rsid w:val="39516835"/>
    <w:rsid w:val="395733ED"/>
    <w:rsid w:val="3958086F"/>
    <w:rsid w:val="39831696"/>
    <w:rsid w:val="398A71CA"/>
    <w:rsid w:val="39B014E0"/>
    <w:rsid w:val="39B7267B"/>
    <w:rsid w:val="39BB3BC6"/>
    <w:rsid w:val="39C24CDB"/>
    <w:rsid w:val="39C85D4E"/>
    <w:rsid w:val="39F45EB4"/>
    <w:rsid w:val="3A1C6E1A"/>
    <w:rsid w:val="3A29028C"/>
    <w:rsid w:val="3A2F7631"/>
    <w:rsid w:val="3A414B85"/>
    <w:rsid w:val="3A4D578B"/>
    <w:rsid w:val="3A4F244F"/>
    <w:rsid w:val="3A4F2637"/>
    <w:rsid w:val="3A5460DB"/>
    <w:rsid w:val="3A5875F0"/>
    <w:rsid w:val="3A655367"/>
    <w:rsid w:val="3A6F2BB9"/>
    <w:rsid w:val="3A78764D"/>
    <w:rsid w:val="3A890108"/>
    <w:rsid w:val="3A8D3B67"/>
    <w:rsid w:val="3A9256BA"/>
    <w:rsid w:val="3A934BAC"/>
    <w:rsid w:val="3AA336AA"/>
    <w:rsid w:val="3ADB74B7"/>
    <w:rsid w:val="3AE561C3"/>
    <w:rsid w:val="3AE63DBC"/>
    <w:rsid w:val="3B145701"/>
    <w:rsid w:val="3B203A80"/>
    <w:rsid w:val="3B292F6B"/>
    <w:rsid w:val="3B3F0A28"/>
    <w:rsid w:val="3B4315D3"/>
    <w:rsid w:val="3B466A0E"/>
    <w:rsid w:val="3B5F48B3"/>
    <w:rsid w:val="3B7305CE"/>
    <w:rsid w:val="3B7517EF"/>
    <w:rsid w:val="3B7B40F6"/>
    <w:rsid w:val="3B7D7DB1"/>
    <w:rsid w:val="3B8431FA"/>
    <w:rsid w:val="3BB55E59"/>
    <w:rsid w:val="3BE623C8"/>
    <w:rsid w:val="3C093B01"/>
    <w:rsid w:val="3C0950D1"/>
    <w:rsid w:val="3C0C68C4"/>
    <w:rsid w:val="3C0D7623"/>
    <w:rsid w:val="3C183A73"/>
    <w:rsid w:val="3C37031D"/>
    <w:rsid w:val="3C38141E"/>
    <w:rsid w:val="3C3F41EA"/>
    <w:rsid w:val="3C422299"/>
    <w:rsid w:val="3C6A7E22"/>
    <w:rsid w:val="3C7B18AE"/>
    <w:rsid w:val="3C823FEF"/>
    <w:rsid w:val="3C837065"/>
    <w:rsid w:val="3C8614FC"/>
    <w:rsid w:val="3CB50A7E"/>
    <w:rsid w:val="3CB50E92"/>
    <w:rsid w:val="3CC628AF"/>
    <w:rsid w:val="3CCD0BE6"/>
    <w:rsid w:val="3CDA035F"/>
    <w:rsid w:val="3CE53E0F"/>
    <w:rsid w:val="3CEC61E7"/>
    <w:rsid w:val="3CF22975"/>
    <w:rsid w:val="3CF30C39"/>
    <w:rsid w:val="3CFC580B"/>
    <w:rsid w:val="3D170763"/>
    <w:rsid w:val="3D18798B"/>
    <w:rsid w:val="3D395307"/>
    <w:rsid w:val="3D3D7BB7"/>
    <w:rsid w:val="3D3E652E"/>
    <w:rsid w:val="3D4D6874"/>
    <w:rsid w:val="3D897A13"/>
    <w:rsid w:val="3D8D0AAE"/>
    <w:rsid w:val="3DBE3928"/>
    <w:rsid w:val="3DC12A40"/>
    <w:rsid w:val="3DC74938"/>
    <w:rsid w:val="3DE906EB"/>
    <w:rsid w:val="3DF75480"/>
    <w:rsid w:val="3E041A11"/>
    <w:rsid w:val="3E1770D3"/>
    <w:rsid w:val="3E1F19B8"/>
    <w:rsid w:val="3E211E27"/>
    <w:rsid w:val="3E2177ED"/>
    <w:rsid w:val="3E304697"/>
    <w:rsid w:val="3E3124F8"/>
    <w:rsid w:val="3E321071"/>
    <w:rsid w:val="3E413AE2"/>
    <w:rsid w:val="3E4F220D"/>
    <w:rsid w:val="3E4F55C2"/>
    <w:rsid w:val="3E5E6B2D"/>
    <w:rsid w:val="3E633FD7"/>
    <w:rsid w:val="3E950BA0"/>
    <w:rsid w:val="3E9772BB"/>
    <w:rsid w:val="3E982B68"/>
    <w:rsid w:val="3EA54909"/>
    <w:rsid w:val="3EC23018"/>
    <w:rsid w:val="3EE42494"/>
    <w:rsid w:val="3F131A73"/>
    <w:rsid w:val="3F1B058E"/>
    <w:rsid w:val="3F246731"/>
    <w:rsid w:val="3F256EAC"/>
    <w:rsid w:val="3F2D05DB"/>
    <w:rsid w:val="3F35785A"/>
    <w:rsid w:val="3F3A4A87"/>
    <w:rsid w:val="3F43710A"/>
    <w:rsid w:val="3F670DE5"/>
    <w:rsid w:val="3F6D7078"/>
    <w:rsid w:val="3F7E3035"/>
    <w:rsid w:val="3F9475BE"/>
    <w:rsid w:val="3F983AD8"/>
    <w:rsid w:val="3FB655C2"/>
    <w:rsid w:val="3FD03ACA"/>
    <w:rsid w:val="3FD86EF7"/>
    <w:rsid w:val="3FE331DC"/>
    <w:rsid w:val="3FEB2112"/>
    <w:rsid w:val="3FEC0E01"/>
    <w:rsid w:val="3FF148BD"/>
    <w:rsid w:val="3FFA25B9"/>
    <w:rsid w:val="400C5002"/>
    <w:rsid w:val="400D1CAF"/>
    <w:rsid w:val="40164C4B"/>
    <w:rsid w:val="401D1DE5"/>
    <w:rsid w:val="402E0ECB"/>
    <w:rsid w:val="404B755B"/>
    <w:rsid w:val="4054093B"/>
    <w:rsid w:val="4064017A"/>
    <w:rsid w:val="40764436"/>
    <w:rsid w:val="40865D9E"/>
    <w:rsid w:val="40AF4D4B"/>
    <w:rsid w:val="40B2178C"/>
    <w:rsid w:val="40C77E3C"/>
    <w:rsid w:val="40D507B0"/>
    <w:rsid w:val="40D629A7"/>
    <w:rsid w:val="40E25F16"/>
    <w:rsid w:val="40EB57DA"/>
    <w:rsid w:val="40F02E2D"/>
    <w:rsid w:val="410D24C8"/>
    <w:rsid w:val="41253987"/>
    <w:rsid w:val="412A1816"/>
    <w:rsid w:val="414678D9"/>
    <w:rsid w:val="414A438E"/>
    <w:rsid w:val="414E2C75"/>
    <w:rsid w:val="414F589F"/>
    <w:rsid w:val="41505DBA"/>
    <w:rsid w:val="415E5D01"/>
    <w:rsid w:val="41610AE6"/>
    <w:rsid w:val="417955E4"/>
    <w:rsid w:val="4186698C"/>
    <w:rsid w:val="41957232"/>
    <w:rsid w:val="41A5167E"/>
    <w:rsid w:val="41AC4C88"/>
    <w:rsid w:val="41D11669"/>
    <w:rsid w:val="41D70F83"/>
    <w:rsid w:val="41EC1F9F"/>
    <w:rsid w:val="41F9384E"/>
    <w:rsid w:val="421649CC"/>
    <w:rsid w:val="42185E52"/>
    <w:rsid w:val="421D6E9D"/>
    <w:rsid w:val="422826E0"/>
    <w:rsid w:val="423A2B97"/>
    <w:rsid w:val="423A3727"/>
    <w:rsid w:val="424E7EAC"/>
    <w:rsid w:val="42513D32"/>
    <w:rsid w:val="42602524"/>
    <w:rsid w:val="42620691"/>
    <w:rsid w:val="42682178"/>
    <w:rsid w:val="426B1412"/>
    <w:rsid w:val="427744C1"/>
    <w:rsid w:val="42921F1C"/>
    <w:rsid w:val="429D0E58"/>
    <w:rsid w:val="42A06C05"/>
    <w:rsid w:val="42A35B3F"/>
    <w:rsid w:val="42A4197F"/>
    <w:rsid w:val="42AE677C"/>
    <w:rsid w:val="42DF3066"/>
    <w:rsid w:val="42EF3997"/>
    <w:rsid w:val="42F935B3"/>
    <w:rsid w:val="42FC3584"/>
    <w:rsid w:val="42FD3B6E"/>
    <w:rsid w:val="430C3039"/>
    <w:rsid w:val="430F4CFD"/>
    <w:rsid w:val="4315106F"/>
    <w:rsid w:val="431B422D"/>
    <w:rsid w:val="4327586F"/>
    <w:rsid w:val="432C23BD"/>
    <w:rsid w:val="43344296"/>
    <w:rsid w:val="435E125C"/>
    <w:rsid w:val="43732024"/>
    <w:rsid w:val="437F10B2"/>
    <w:rsid w:val="439F49DA"/>
    <w:rsid w:val="43A0152F"/>
    <w:rsid w:val="43A42457"/>
    <w:rsid w:val="43AB2887"/>
    <w:rsid w:val="43B24EA7"/>
    <w:rsid w:val="43BA0CAA"/>
    <w:rsid w:val="43C05453"/>
    <w:rsid w:val="43CC3EE3"/>
    <w:rsid w:val="43DB48A2"/>
    <w:rsid w:val="43FD43DF"/>
    <w:rsid w:val="440B6419"/>
    <w:rsid w:val="441A7778"/>
    <w:rsid w:val="442D17E1"/>
    <w:rsid w:val="44310F3B"/>
    <w:rsid w:val="443B700D"/>
    <w:rsid w:val="4453272C"/>
    <w:rsid w:val="445D468B"/>
    <w:rsid w:val="447619F4"/>
    <w:rsid w:val="447E0B81"/>
    <w:rsid w:val="447E2400"/>
    <w:rsid w:val="44856CA2"/>
    <w:rsid w:val="44993101"/>
    <w:rsid w:val="44997394"/>
    <w:rsid w:val="44A03234"/>
    <w:rsid w:val="44AC0F84"/>
    <w:rsid w:val="44B30E43"/>
    <w:rsid w:val="44D02A9E"/>
    <w:rsid w:val="44DB1ED4"/>
    <w:rsid w:val="44E227EA"/>
    <w:rsid w:val="44F72F93"/>
    <w:rsid w:val="45014501"/>
    <w:rsid w:val="450D65F6"/>
    <w:rsid w:val="45271038"/>
    <w:rsid w:val="452A331F"/>
    <w:rsid w:val="452C566C"/>
    <w:rsid w:val="45341857"/>
    <w:rsid w:val="454574BD"/>
    <w:rsid w:val="45543AB3"/>
    <w:rsid w:val="45572536"/>
    <w:rsid w:val="45592B44"/>
    <w:rsid w:val="455A0CE0"/>
    <w:rsid w:val="45641370"/>
    <w:rsid w:val="456B447D"/>
    <w:rsid w:val="456C127D"/>
    <w:rsid w:val="456C7CAF"/>
    <w:rsid w:val="456D0696"/>
    <w:rsid w:val="457D032B"/>
    <w:rsid w:val="458A5D3A"/>
    <w:rsid w:val="45903394"/>
    <w:rsid w:val="4590452C"/>
    <w:rsid w:val="459F39AE"/>
    <w:rsid w:val="45BA4DD8"/>
    <w:rsid w:val="45DE736F"/>
    <w:rsid w:val="45DF182A"/>
    <w:rsid w:val="45FA70B4"/>
    <w:rsid w:val="46066AE5"/>
    <w:rsid w:val="46096097"/>
    <w:rsid w:val="460A683E"/>
    <w:rsid w:val="461434F2"/>
    <w:rsid w:val="46331592"/>
    <w:rsid w:val="46562DD9"/>
    <w:rsid w:val="465D0AD6"/>
    <w:rsid w:val="46627AE0"/>
    <w:rsid w:val="466A2E1F"/>
    <w:rsid w:val="46805523"/>
    <w:rsid w:val="468F32EE"/>
    <w:rsid w:val="46B17E02"/>
    <w:rsid w:val="46B44671"/>
    <w:rsid w:val="46D83C3D"/>
    <w:rsid w:val="46E26897"/>
    <w:rsid w:val="46EE0F6C"/>
    <w:rsid w:val="46F11860"/>
    <w:rsid w:val="46F30AAD"/>
    <w:rsid w:val="46FB45FC"/>
    <w:rsid w:val="4708421C"/>
    <w:rsid w:val="471710B1"/>
    <w:rsid w:val="47367A28"/>
    <w:rsid w:val="473D6DBD"/>
    <w:rsid w:val="476A2A14"/>
    <w:rsid w:val="476F4101"/>
    <w:rsid w:val="47705977"/>
    <w:rsid w:val="47764E23"/>
    <w:rsid w:val="4780469D"/>
    <w:rsid w:val="47AA551C"/>
    <w:rsid w:val="47AD6FE9"/>
    <w:rsid w:val="47AE36B0"/>
    <w:rsid w:val="47B90197"/>
    <w:rsid w:val="47DE6B00"/>
    <w:rsid w:val="48151B46"/>
    <w:rsid w:val="481A6573"/>
    <w:rsid w:val="481E1A6F"/>
    <w:rsid w:val="48227CD9"/>
    <w:rsid w:val="48234A24"/>
    <w:rsid w:val="48234A4A"/>
    <w:rsid w:val="482734C6"/>
    <w:rsid w:val="482E3900"/>
    <w:rsid w:val="48317AC5"/>
    <w:rsid w:val="48361646"/>
    <w:rsid w:val="48430C71"/>
    <w:rsid w:val="484E2B1C"/>
    <w:rsid w:val="48664232"/>
    <w:rsid w:val="486B4CEF"/>
    <w:rsid w:val="487838E8"/>
    <w:rsid w:val="48821E19"/>
    <w:rsid w:val="488739A2"/>
    <w:rsid w:val="488A00FF"/>
    <w:rsid w:val="489D0142"/>
    <w:rsid w:val="48A147EF"/>
    <w:rsid w:val="48B24545"/>
    <w:rsid w:val="48B5000F"/>
    <w:rsid w:val="48BF736B"/>
    <w:rsid w:val="48CF5308"/>
    <w:rsid w:val="48E54745"/>
    <w:rsid w:val="48F92EF8"/>
    <w:rsid w:val="49006303"/>
    <w:rsid w:val="4918233F"/>
    <w:rsid w:val="494A79D0"/>
    <w:rsid w:val="494D033A"/>
    <w:rsid w:val="49554D56"/>
    <w:rsid w:val="495E2C33"/>
    <w:rsid w:val="49787282"/>
    <w:rsid w:val="49952DAE"/>
    <w:rsid w:val="49B52C28"/>
    <w:rsid w:val="49B918DE"/>
    <w:rsid w:val="49CB7D4F"/>
    <w:rsid w:val="49E235DB"/>
    <w:rsid w:val="49EB5D24"/>
    <w:rsid w:val="49ED7E21"/>
    <w:rsid w:val="49FA6090"/>
    <w:rsid w:val="4A0247F9"/>
    <w:rsid w:val="4A035EAF"/>
    <w:rsid w:val="4A163FA2"/>
    <w:rsid w:val="4A19471A"/>
    <w:rsid w:val="4A1C1600"/>
    <w:rsid w:val="4A1C49C9"/>
    <w:rsid w:val="4A230ACA"/>
    <w:rsid w:val="4A235D97"/>
    <w:rsid w:val="4A291C2C"/>
    <w:rsid w:val="4A3A116A"/>
    <w:rsid w:val="4A51437D"/>
    <w:rsid w:val="4A5E005C"/>
    <w:rsid w:val="4A6051DF"/>
    <w:rsid w:val="4A614C9A"/>
    <w:rsid w:val="4A6867AA"/>
    <w:rsid w:val="4A750033"/>
    <w:rsid w:val="4A764300"/>
    <w:rsid w:val="4A895CB8"/>
    <w:rsid w:val="4A8A0D65"/>
    <w:rsid w:val="4A8C7DD4"/>
    <w:rsid w:val="4A9B692B"/>
    <w:rsid w:val="4A9E2C9F"/>
    <w:rsid w:val="4AA06A94"/>
    <w:rsid w:val="4AA278CE"/>
    <w:rsid w:val="4AAE36C6"/>
    <w:rsid w:val="4ABD0E7A"/>
    <w:rsid w:val="4AC03B02"/>
    <w:rsid w:val="4AC96A11"/>
    <w:rsid w:val="4ACE0998"/>
    <w:rsid w:val="4AD44C0F"/>
    <w:rsid w:val="4B1C43B7"/>
    <w:rsid w:val="4B424F6A"/>
    <w:rsid w:val="4B482823"/>
    <w:rsid w:val="4B496B34"/>
    <w:rsid w:val="4B564930"/>
    <w:rsid w:val="4B5B7659"/>
    <w:rsid w:val="4B5D45A7"/>
    <w:rsid w:val="4B6374B6"/>
    <w:rsid w:val="4B6C5FD9"/>
    <w:rsid w:val="4B741B1B"/>
    <w:rsid w:val="4B7F1934"/>
    <w:rsid w:val="4B8F2AA1"/>
    <w:rsid w:val="4BA55CA4"/>
    <w:rsid w:val="4BAE422C"/>
    <w:rsid w:val="4BC13541"/>
    <w:rsid w:val="4BC46087"/>
    <w:rsid w:val="4BC52E88"/>
    <w:rsid w:val="4BFA5130"/>
    <w:rsid w:val="4C044AA6"/>
    <w:rsid w:val="4C0A699A"/>
    <w:rsid w:val="4C180DF6"/>
    <w:rsid w:val="4C217AFC"/>
    <w:rsid w:val="4C2F0889"/>
    <w:rsid w:val="4C2F231F"/>
    <w:rsid w:val="4C3061F3"/>
    <w:rsid w:val="4C360D09"/>
    <w:rsid w:val="4C36197F"/>
    <w:rsid w:val="4C530BE0"/>
    <w:rsid w:val="4C780E01"/>
    <w:rsid w:val="4C9A74CA"/>
    <w:rsid w:val="4C9B5910"/>
    <w:rsid w:val="4CA06007"/>
    <w:rsid w:val="4CA3012A"/>
    <w:rsid w:val="4CAE05D7"/>
    <w:rsid w:val="4CB36C13"/>
    <w:rsid w:val="4CBD545D"/>
    <w:rsid w:val="4CC113DE"/>
    <w:rsid w:val="4CC408ED"/>
    <w:rsid w:val="4CC439CB"/>
    <w:rsid w:val="4CEC2A5B"/>
    <w:rsid w:val="4CF2442D"/>
    <w:rsid w:val="4D091DA6"/>
    <w:rsid w:val="4D0D4F44"/>
    <w:rsid w:val="4D0E648F"/>
    <w:rsid w:val="4D1520C5"/>
    <w:rsid w:val="4D4323E9"/>
    <w:rsid w:val="4D4E2BE8"/>
    <w:rsid w:val="4D5C4887"/>
    <w:rsid w:val="4D7374FE"/>
    <w:rsid w:val="4D750FCB"/>
    <w:rsid w:val="4D80069C"/>
    <w:rsid w:val="4D8718EC"/>
    <w:rsid w:val="4DB80416"/>
    <w:rsid w:val="4DC50081"/>
    <w:rsid w:val="4DDB689A"/>
    <w:rsid w:val="4DE20607"/>
    <w:rsid w:val="4DEA1192"/>
    <w:rsid w:val="4E0C711D"/>
    <w:rsid w:val="4E0E1FEB"/>
    <w:rsid w:val="4E293560"/>
    <w:rsid w:val="4E293EF0"/>
    <w:rsid w:val="4E403D9C"/>
    <w:rsid w:val="4E493F53"/>
    <w:rsid w:val="4E515EE6"/>
    <w:rsid w:val="4E5C7F32"/>
    <w:rsid w:val="4E5D36F7"/>
    <w:rsid w:val="4E631D48"/>
    <w:rsid w:val="4E6722D7"/>
    <w:rsid w:val="4E6C5D30"/>
    <w:rsid w:val="4E7E0A73"/>
    <w:rsid w:val="4E8D3F62"/>
    <w:rsid w:val="4E8F5544"/>
    <w:rsid w:val="4E9811A4"/>
    <w:rsid w:val="4E9C47EF"/>
    <w:rsid w:val="4EA62608"/>
    <w:rsid w:val="4EB900F3"/>
    <w:rsid w:val="4EBC6284"/>
    <w:rsid w:val="4EC6714E"/>
    <w:rsid w:val="4ED72CEF"/>
    <w:rsid w:val="4EE63F7E"/>
    <w:rsid w:val="4EE94305"/>
    <w:rsid w:val="4EEF272B"/>
    <w:rsid w:val="4EF63A6F"/>
    <w:rsid w:val="4EFF36C1"/>
    <w:rsid w:val="4F1751CC"/>
    <w:rsid w:val="4F242C5A"/>
    <w:rsid w:val="4F245B37"/>
    <w:rsid w:val="4F3D7B64"/>
    <w:rsid w:val="4F3E4723"/>
    <w:rsid w:val="4F416DC7"/>
    <w:rsid w:val="4F68694F"/>
    <w:rsid w:val="4F6B7003"/>
    <w:rsid w:val="4F6F3F7C"/>
    <w:rsid w:val="4F751CBF"/>
    <w:rsid w:val="4F7A38A8"/>
    <w:rsid w:val="4F7C3010"/>
    <w:rsid w:val="4F925481"/>
    <w:rsid w:val="4F975A0B"/>
    <w:rsid w:val="4F987474"/>
    <w:rsid w:val="4FA50CA5"/>
    <w:rsid w:val="4FAA6A2A"/>
    <w:rsid w:val="4FB30586"/>
    <w:rsid w:val="4FCD64BE"/>
    <w:rsid w:val="4FCD7E4F"/>
    <w:rsid w:val="4FD27026"/>
    <w:rsid w:val="4FD37E98"/>
    <w:rsid w:val="4FE12D2A"/>
    <w:rsid w:val="4FF739C5"/>
    <w:rsid w:val="4FF86785"/>
    <w:rsid w:val="50160260"/>
    <w:rsid w:val="50180753"/>
    <w:rsid w:val="501B6798"/>
    <w:rsid w:val="50230C00"/>
    <w:rsid w:val="502F6798"/>
    <w:rsid w:val="503D617C"/>
    <w:rsid w:val="503E4F69"/>
    <w:rsid w:val="507521DA"/>
    <w:rsid w:val="5086460C"/>
    <w:rsid w:val="508F7971"/>
    <w:rsid w:val="509F31B2"/>
    <w:rsid w:val="50A64B04"/>
    <w:rsid w:val="50AD2866"/>
    <w:rsid w:val="50BD0CCD"/>
    <w:rsid w:val="50BD2E69"/>
    <w:rsid w:val="51160725"/>
    <w:rsid w:val="51425A98"/>
    <w:rsid w:val="51475685"/>
    <w:rsid w:val="51527594"/>
    <w:rsid w:val="51685D35"/>
    <w:rsid w:val="516C453D"/>
    <w:rsid w:val="516F2CFE"/>
    <w:rsid w:val="51720CB0"/>
    <w:rsid w:val="51823094"/>
    <w:rsid w:val="519A3A42"/>
    <w:rsid w:val="51A91AD7"/>
    <w:rsid w:val="51B328EF"/>
    <w:rsid w:val="51E128B4"/>
    <w:rsid w:val="51E66C82"/>
    <w:rsid w:val="51F437CB"/>
    <w:rsid w:val="51F46274"/>
    <w:rsid w:val="5200675E"/>
    <w:rsid w:val="52065091"/>
    <w:rsid w:val="521D69C8"/>
    <w:rsid w:val="52262A21"/>
    <w:rsid w:val="52300C05"/>
    <w:rsid w:val="5232259D"/>
    <w:rsid w:val="523F3166"/>
    <w:rsid w:val="523F66AC"/>
    <w:rsid w:val="52711E5C"/>
    <w:rsid w:val="52797956"/>
    <w:rsid w:val="528D112E"/>
    <w:rsid w:val="5296385A"/>
    <w:rsid w:val="52973735"/>
    <w:rsid w:val="529D2EE0"/>
    <w:rsid w:val="529D71A8"/>
    <w:rsid w:val="52A45385"/>
    <w:rsid w:val="52CB26A9"/>
    <w:rsid w:val="52F02D55"/>
    <w:rsid w:val="52F67BD9"/>
    <w:rsid w:val="53215F7B"/>
    <w:rsid w:val="532B44BC"/>
    <w:rsid w:val="532F32D0"/>
    <w:rsid w:val="53462EFC"/>
    <w:rsid w:val="5346725F"/>
    <w:rsid w:val="53637A65"/>
    <w:rsid w:val="536E7813"/>
    <w:rsid w:val="536F58D1"/>
    <w:rsid w:val="537454DB"/>
    <w:rsid w:val="53824E40"/>
    <w:rsid w:val="538F78B2"/>
    <w:rsid w:val="539001D1"/>
    <w:rsid w:val="539E5FA7"/>
    <w:rsid w:val="53A02178"/>
    <w:rsid w:val="53B2642A"/>
    <w:rsid w:val="53B91549"/>
    <w:rsid w:val="53C6587B"/>
    <w:rsid w:val="53CC149C"/>
    <w:rsid w:val="53D33D8E"/>
    <w:rsid w:val="53D543B9"/>
    <w:rsid w:val="53E96B5A"/>
    <w:rsid w:val="53EA12CA"/>
    <w:rsid w:val="54115A0B"/>
    <w:rsid w:val="541808B9"/>
    <w:rsid w:val="5435593B"/>
    <w:rsid w:val="543A00CF"/>
    <w:rsid w:val="545752B7"/>
    <w:rsid w:val="545F0CD6"/>
    <w:rsid w:val="54606D4D"/>
    <w:rsid w:val="546A731F"/>
    <w:rsid w:val="546F4267"/>
    <w:rsid w:val="54745745"/>
    <w:rsid w:val="547C558B"/>
    <w:rsid w:val="547E5677"/>
    <w:rsid w:val="547F4B06"/>
    <w:rsid w:val="548B0891"/>
    <w:rsid w:val="54A47DCA"/>
    <w:rsid w:val="54B72062"/>
    <w:rsid w:val="54BB2412"/>
    <w:rsid w:val="54CD59B8"/>
    <w:rsid w:val="54D73BA4"/>
    <w:rsid w:val="550307C8"/>
    <w:rsid w:val="550726A9"/>
    <w:rsid w:val="550D5DCD"/>
    <w:rsid w:val="5521566E"/>
    <w:rsid w:val="55297F2D"/>
    <w:rsid w:val="552D2961"/>
    <w:rsid w:val="552F2C70"/>
    <w:rsid w:val="552F7B08"/>
    <w:rsid w:val="553360CB"/>
    <w:rsid w:val="55496CA0"/>
    <w:rsid w:val="554F0B10"/>
    <w:rsid w:val="55594B63"/>
    <w:rsid w:val="555F0D38"/>
    <w:rsid w:val="556215A4"/>
    <w:rsid w:val="55690097"/>
    <w:rsid w:val="556D762B"/>
    <w:rsid w:val="55700D73"/>
    <w:rsid w:val="557931EE"/>
    <w:rsid w:val="55AC05A5"/>
    <w:rsid w:val="55BA2CAE"/>
    <w:rsid w:val="55BB24B9"/>
    <w:rsid w:val="55BF046C"/>
    <w:rsid w:val="55CB0225"/>
    <w:rsid w:val="55EF23D6"/>
    <w:rsid w:val="5614680F"/>
    <w:rsid w:val="561A12A3"/>
    <w:rsid w:val="562028F5"/>
    <w:rsid w:val="56315812"/>
    <w:rsid w:val="565D13FE"/>
    <w:rsid w:val="56690240"/>
    <w:rsid w:val="567164F3"/>
    <w:rsid w:val="568429BF"/>
    <w:rsid w:val="5689739E"/>
    <w:rsid w:val="56940926"/>
    <w:rsid w:val="56A034F7"/>
    <w:rsid w:val="56A1090C"/>
    <w:rsid w:val="56D526A6"/>
    <w:rsid w:val="56DB3385"/>
    <w:rsid w:val="56E74719"/>
    <w:rsid w:val="57171145"/>
    <w:rsid w:val="57181541"/>
    <w:rsid w:val="572265DB"/>
    <w:rsid w:val="57254CD5"/>
    <w:rsid w:val="57391A20"/>
    <w:rsid w:val="57476812"/>
    <w:rsid w:val="57586A8F"/>
    <w:rsid w:val="57586D97"/>
    <w:rsid w:val="575B395F"/>
    <w:rsid w:val="57877784"/>
    <w:rsid w:val="578E7DC8"/>
    <w:rsid w:val="57A10D6D"/>
    <w:rsid w:val="57AC26BF"/>
    <w:rsid w:val="57B54B5A"/>
    <w:rsid w:val="57B821FC"/>
    <w:rsid w:val="57CB4A7D"/>
    <w:rsid w:val="57E04642"/>
    <w:rsid w:val="57E8037C"/>
    <w:rsid w:val="57F95D86"/>
    <w:rsid w:val="57FD1688"/>
    <w:rsid w:val="580648BB"/>
    <w:rsid w:val="58083E6B"/>
    <w:rsid w:val="580D0E68"/>
    <w:rsid w:val="58230A47"/>
    <w:rsid w:val="58272E59"/>
    <w:rsid w:val="583C4082"/>
    <w:rsid w:val="58403E3D"/>
    <w:rsid w:val="58460B31"/>
    <w:rsid w:val="584B2EAA"/>
    <w:rsid w:val="585E0D74"/>
    <w:rsid w:val="586A0274"/>
    <w:rsid w:val="586B7DB7"/>
    <w:rsid w:val="58762FC5"/>
    <w:rsid w:val="589578F4"/>
    <w:rsid w:val="589C709E"/>
    <w:rsid w:val="58AA12E5"/>
    <w:rsid w:val="58B60A51"/>
    <w:rsid w:val="58B828E3"/>
    <w:rsid w:val="58BD01EE"/>
    <w:rsid w:val="58CD4094"/>
    <w:rsid w:val="58D06E14"/>
    <w:rsid w:val="58D25350"/>
    <w:rsid w:val="58DA7623"/>
    <w:rsid w:val="590010C4"/>
    <w:rsid w:val="593369CD"/>
    <w:rsid w:val="59363805"/>
    <w:rsid w:val="59366659"/>
    <w:rsid w:val="59443F78"/>
    <w:rsid w:val="594A67E7"/>
    <w:rsid w:val="595005AB"/>
    <w:rsid w:val="595613BA"/>
    <w:rsid w:val="595D1949"/>
    <w:rsid w:val="596721B3"/>
    <w:rsid w:val="59734859"/>
    <w:rsid w:val="59764C43"/>
    <w:rsid w:val="599020DE"/>
    <w:rsid w:val="599A0ECE"/>
    <w:rsid w:val="59A22D14"/>
    <w:rsid w:val="59A34CB2"/>
    <w:rsid w:val="59B25F66"/>
    <w:rsid w:val="59BD59DD"/>
    <w:rsid w:val="59C348E6"/>
    <w:rsid w:val="59CD60E7"/>
    <w:rsid w:val="59DE5DEA"/>
    <w:rsid w:val="59E70975"/>
    <w:rsid w:val="59EC17C2"/>
    <w:rsid w:val="59EC418F"/>
    <w:rsid w:val="59ED566C"/>
    <w:rsid w:val="5A0C0C59"/>
    <w:rsid w:val="5A1E02DE"/>
    <w:rsid w:val="5A1F6493"/>
    <w:rsid w:val="5A36373D"/>
    <w:rsid w:val="5A3D33C1"/>
    <w:rsid w:val="5A410B6C"/>
    <w:rsid w:val="5A447942"/>
    <w:rsid w:val="5A55329E"/>
    <w:rsid w:val="5A636372"/>
    <w:rsid w:val="5A7411BC"/>
    <w:rsid w:val="5A7600C7"/>
    <w:rsid w:val="5A832369"/>
    <w:rsid w:val="5A8872F5"/>
    <w:rsid w:val="5A893D44"/>
    <w:rsid w:val="5A894556"/>
    <w:rsid w:val="5A9104ED"/>
    <w:rsid w:val="5AAA4274"/>
    <w:rsid w:val="5AB2677C"/>
    <w:rsid w:val="5ABB6436"/>
    <w:rsid w:val="5AC2396B"/>
    <w:rsid w:val="5AC41529"/>
    <w:rsid w:val="5AD62DB0"/>
    <w:rsid w:val="5AD928EE"/>
    <w:rsid w:val="5ADE4FE6"/>
    <w:rsid w:val="5AF5215E"/>
    <w:rsid w:val="5AFC5A43"/>
    <w:rsid w:val="5B191E4D"/>
    <w:rsid w:val="5B203F87"/>
    <w:rsid w:val="5B2B2284"/>
    <w:rsid w:val="5B2D1210"/>
    <w:rsid w:val="5B4E345E"/>
    <w:rsid w:val="5B52378B"/>
    <w:rsid w:val="5B5B5361"/>
    <w:rsid w:val="5B5D34ED"/>
    <w:rsid w:val="5B6C3123"/>
    <w:rsid w:val="5B9847D9"/>
    <w:rsid w:val="5BAA0712"/>
    <w:rsid w:val="5BB52136"/>
    <w:rsid w:val="5BDD0C6F"/>
    <w:rsid w:val="5BE235AB"/>
    <w:rsid w:val="5BE536DA"/>
    <w:rsid w:val="5BE56AE7"/>
    <w:rsid w:val="5BE61B85"/>
    <w:rsid w:val="5BF76EC7"/>
    <w:rsid w:val="5C0E6801"/>
    <w:rsid w:val="5C15636E"/>
    <w:rsid w:val="5C244627"/>
    <w:rsid w:val="5C2E2B9B"/>
    <w:rsid w:val="5C527FE3"/>
    <w:rsid w:val="5C62451E"/>
    <w:rsid w:val="5C63075E"/>
    <w:rsid w:val="5C651A2C"/>
    <w:rsid w:val="5C6B6EAB"/>
    <w:rsid w:val="5C732AB2"/>
    <w:rsid w:val="5C763EFF"/>
    <w:rsid w:val="5C767E9D"/>
    <w:rsid w:val="5C9A3A3A"/>
    <w:rsid w:val="5C9F007E"/>
    <w:rsid w:val="5CA02152"/>
    <w:rsid w:val="5CA10F61"/>
    <w:rsid w:val="5CAB2F01"/>
    <w:rsid w:val="5CAE110B"/>
    <w:rsid w:val="5CB52686"/>
    <w:rsid w:val="5CBB2F08"/>
    <w:rsid w:val="5CBF5AF7"/>
    <w:rsid w:val="5CC15BBC"/>
    <w:rsid w:val="5CC755B0"/>
    <w:rsid w:val="5CD122E8"/>
    <w:rsid w:val="5CDD22CB"/>
    <w:rsid w:val="5CEC0008"/>
    <w:rsid w:val="5CED6B3D"/>
    <w:rsid w:val="5D116CF3"/>
    <w:rsid w:val="5D227820"/>
    <w:rsid w:val="5D256759"/>
    <w:rsid w:val="5D280949"/>
    <w:rsid w:val="5D2940BB"/>
    <w:rsid w:val="5D2A11F5"/>
    <w:rsid w:val="5D2A596F"/>
    <w:rsid w:val="5D411D70"/>
    <w:rsid w:val="5D4302C9"/>
    <w:rsid w:val="5D481F72"/>
    <w:rsid w:val="5D5B344B"/>
    <w:rsid w:val="5D7763C4"/>
    <w:rsid w:val="5D781032"/>
    <w:rsid w:val="5D95002B"/>
    <w:rsid w:val="5D97168E"/>
    <w:rsid w:val="5DA37931"/>
    <w:rsid w:val="5DB16887"/>
    <w:rsid w:val="5DB753DD"/>
    <w:rsid w:val="5DC6626F"/>
    <w:rsid w:val="5DCF3690"/>
    <w:rsid w:val="5DD03785"/>
    <w:rsid w:val="5DD6202B"/>
    <w:rsid w:val="5DDE4A8F"/>
    <w:rsid w:val="5DE06665"/>
    <w:rsid w:val="5DEE4C24"/>
    <w:rsid w:val="5E0804D8"/>
    <w:rsid w:val="5E0B7C00"/>
    <w:rsid w:val="5E1160BA"/>
    <w:rsid w:val="5E146CB4"/>
    <w:rsid w:val="5E1C11CC"/>
    <w:rsid w:val="5E290CF8"/>
    <w:rsid w:val="5E3355FF"/>
    <w:rsid w:val="5E3810EE"/>
    <w:rsid w:val="5E52360F"/>
    <w:rsid w:val="5E577E18"/>
    <w:rsid w:val="5E63472A"/>
    <w:rsid w:val="5E693009"/>
    <w:rsid w:val="5E8A6C73"/>
    <w:rsid w:val="5EA10C3A"/>
    <w:rsid w:val="5EAB17BA"/>
    <w:rsid w:val="5EB53205"/>
    <w:rsid w:val="5EB65F7D"/>
    <w:rsid w:val="5EBF4772"/>
    <w:rsid w:val="5ED3537F"/>
    <w:rsid w:val="5EDB3FC7"/>
    <w:rsid w:val="5EEA6B41"/>
    <w:rsid w:val="5EF769E6"/>
    <w:rsid w:val="5EF91B10"/>
    <w:rsid w:val="5F051E43"/>
    <w:rsid w:val="5F1C09EC"/>
    <w:rsid w:val="5F4B7D7E"/>
    <w:rsid w:val="5F5452EA"/>
    <w:rsid w:val="5F5B0D68"/>
    <w:rsid w:val="5F5C55A8"/>
    <w:rsid w:val="5F6B25F7"/>
    <w:rsid w:val="5F7F3EE9"/>
    <w:rsid w:val="5F833143"/>
    <w:rsid w:val="5F8900DF"/>
    <w:rsid w:val="5F9F1169"/>
    <w:rsid w:val="5FA46D25"/>
    <w:rsid w:val="5FB61C8E"/>
    <w:rsid w:val="5FC91027"/>
    <w:rsid w:val="5FD659D8"/>
    <w:rsid w:val="5FE178F2"/>
    <w:rsid w:val="5FF14582"/>
    <w:rsid w:val="60307DDC"/>
    <w:rsid w:val="6036638F"/>
    <w:rsid w:val="603814D5"/>
    <w:rsid w:val="60396672"/>
    <w:rsid w:val="6060546C"/>
    <w:rsid w:val="606B0BA5"/>
    <w:rsid w:val="608D7597"/>
    <w:rsid w:val="60B00156"/>
    <w:rsid w:val="60B33D9C"/>
    <w:rsid w:val="60C27B57"/>
    <w:rsid w:val="60CA4052"/>
    <w:rsid w:val="60CD7800"/>
    <w:rsid w:val="60E918AE"/>
    <w:rsid w:val="60EC6CA0"/>
    <w:rsid w:val="60F64516"/>
    <w:rsid w:val="60FC350A"/>
    <w:rsid w:val="60FE2991"/>
    <w:rsid w:val="611370A1"/>
    <w:rsid w:val="613B149C"/>
    <w:rsid w:val="613B2E1D"/>
    <w:rsid w:val="61401A59"/>
    <w:rsid w:val="61445178"/>
    <w:rsid w:val="614B6763"/>
    <w:rsid w:val="61506A5C"/>
    <w:rsid w:val="61513E6D"/>
    <w:rsid w:val="6155648A"/>
    <w:rsid w:val="6175733A"/>
    <w:rsid w:val="61796E0B"/>
    <w:rsid w:val="617B216E"/>
    <w:rsid w:val="618C24BE"/>
    <w:rsid w:val="618E7288"/>
    <w:rsid w:val="61914697"/>
    <w:rsid w:val="6191493C"/>
    <w:rsid w:val="61B504D4"/>
    <w:rsid w:val="61BE4947"/>
    <w:rsid w:val="61C56502"/>
    <w:rsid w:val="61CC6BD8"/>
    <w:rsid w:val="61D14AA2"/>
    <w:rsid w:val="61D63289"/>
    <w:rsid w:val="61E747E8"/>
    <w:rsid w:val="61E82221"/>
    <w:rsid w:val="61E85909"/>
    <w:rsid w:val="61EE1ACF"/>
    <w:rsid w:val="61F24626"/>
    <w:rsid w:val="62061340"/>
    <w:rsid w:val="620F7EFD"/>
    <w:rsid w:val="62111A6C"/>
    <w:rsid w:val="62181604"/>
    <w:rsid w:val="62191EF9"/>
    <w:rsid w:val="621C602B"/>
    <w:rsid w:val="622E57FD"/>
    <w:rsid w:val="623514BD"/>
    <w:rsid w:val="623902A9"/>
    <w:rsid w:val="624C69F4"/>
    <w:rsid w:val="62501644"/>
    <w:rsid w:val="62506B82"/>
    <w:rsid w:val="625C3929"/>
    <w:rsid w:val="626D7A54"/>
    <w:rsid w:val="62952A3E"/>
    <w:rsid w:val="62A56F40"/>
    <w:rsid w:val="62B005D5"/>
    <w:rsid w:val="62CD1620"/>
    <w:rsid w:val="62FA5C1B"/>
    <w:rsid w:val="631611C5"/>
    <w:rsid w:val="63161EC7"/>
    <w:rsid w:val="631B5F29"/>
    <w:rsid w:val="63217508"/>
    <w:rsid w:val="63245815"/>
    <w:rsid w:val="63310DFC"/>
    <w:rsid w:val="63373320"/>
    <w:rsid w:val="633A767D"/>
    <w:rsid w:val="63432BC9"/>
    <w:rsid w:val="63437723"/>
    <w:rsid w:val="634D6D23"/>
    <w:rsid w:val="636C36B2"/>
    <w:rsid w:val="6374177E"/>
    <w:rsid w:val="63792E3B"/>
    <w:rsid w:val="637F08FC"/>
    <w:rsid w:val="639A19A1"/>
    <w:rsid w:val="63AA5A85"/>
    <w:rsid w:val="63AA5F35"/>
    <w:rsid w:val="63AF47D5"/>
    <w:rsid w:val="63B16F03"/>
    <w:rsid w:val="63BA3BDD"/>
    <w:rsid w:val="63C62E50"/>
    <w:rsid w:val="63DF7591"/>
    <w:rsid w:val="6403064A"/>
    <w:rsid w:val="64067354"/>
    <w:rsid w:val="64073901"/>
    <w:rsid w:val="640E6CFD"/>
    <w:rsid w:val="641418CC"/>
    <w:rsid w:val="64191003"/>
    <w:rsid w:val="641B52EC"/>
    <w:rsid w:val="641E4A5A"/>
    <w:rsid w:val="64241C97"/>
    <w:rsid w:val="64382F18"/>
    <w:rsid w:val="644C2CF2"/>
    <w:rsid w:val="644C3B0E"/>
    <w:rsid w:val="644C46F1"/>
    <w:rsid w:val="64524518"/>
    <w:rsid w:val="6455173B"/>
    <w:rsid w:val="64705C43"/>
    <w:rsid w:val="64732E46"/>
    <w:rsid w:val="64796778"/>
    <w:rsid w:val="647A5B76"/>
    <w:rsid w:val="64822D13"/>
    <w:rsid w:val="64C00221"/>
    <w:rsid w:val="64C1062A"/>
    <w:rsid w:val="64D145CB"/>
    <w:rsid w:val="64DA2F40"/>
    <w:rsid w:val="64E028FF"/>
    <w:rsid w:val="64E63EDF"/>
    <w:rsid w:val="64FB4367"/>
    <w:rsid w:val="65310B5E"/>
    <w:rsid w:val="653268DF"/>
    <w:rsid w:val="653C19CD"/>
    <w:rsid w:val="653D0C84"/>
    <w:rsid w:val="654A6104"/>
    <w:rsid w:val="657722A0"/>
    <w:rsid w:val="65793F0D"/>
    <w:rsid w:val="658B2E11"/>
    <w:rsid w:val="659A7990"/>
    <w:rsid w:val="65A7524E"/>
    <w:rsid w:val="65AA607F"/>
    <w:rsid w:val="65AE43D9"/>
    <w:rsid w:val="65B842DF"/>
    <w:rsid w:val="65CC196C"/>
    <w:rsid w:val="65CC57BE"/>
    <w:rsid w:val="65CC7F3C"/>
    <w:rsid w:val="65D42BC5"/>
    <w:rsid w:val="65D7238B"/>
    <w:rsid w:val="65DB39A1"/>
    <w:rsid w:val="66027FF0"/>
    <w:rsid w:val="660F3EAF"/>
    <w:rsid w:val="66514911"/>
    <w:rsid w:val="66517B4C"/>
    <w:rsid w:val="666D3375"/>
    <w:rsid w:val="666D3E74"/>
    <w:rsid w:val="666F7EDB"/>
    <w:rsid w:val="66785B4A"/>
    <w:rsid w:val="668307CF"/>
    <w:rsid w:val="66835C7F"/>
    <w:rsid w:val="66897B1C"/>
    <w:rsid w:val="66936EB3"/>
    <w:rsid w:val="669409CC"/>
    <w:rsid w:val="66B12AFA"/>
    <w:rsid w:val="66D86EB2"/>
    <w:rsid w:val="66EB0BFB"/>
    <w:rsid w:val="66ED6E69"/>
    <w:rsid w:val="66F26953"/>
    <w:rsid w:val="66FC1EC1"/>
    <w:rsid w:val="670E64FF"/>
    <w:rsid w:val="672072DC"/>
    <w:rsid w:val="67232D41"/>
    <w:rsid w:val="67355F96"/>
    <w:rsid w:val="676724B0"/>
    <w:rsid w:val="67766D94"/>
    <w:rsid w:val="67810B7D"/>
    <w:rsid w:val="67861B44"/>
    <w:rsid w:val="679817FF"/>
    <w:rsid w:val="67A521AD"/>
    <w:rsid w:val="67AE4C43"/>
    <w:rsid w:val="67B73517"/>
    <w:rsid w:val="67C17D21"/>
    <w:rsid w:val="67D51758"/>
    <w:rsid w:val="68032FE6"/>
    <w:rsid w:val="680B7A13"/>
    <w:rsid w:val="680E584B"/>
    <w:rsid w:val="68233340"/>
    <w:rsid w:val="68293DC4"/>
    <w:rsid w:val="683B48C2"/>
    <w:rsid w:val="683D25E5"/>
    <w:rsid w:val="685E57FB"/>
    <w:rsid w:val="685F7979"/>
    <w:rsid w:val="686942FA"/>
    <w:rsid w:val="686B1808"/>
    <w:rsid w:val="686D5A00"/>
    <w:rsid w:val="688972CE"/>
    <w:rsid w:val="68902A6C"/>
    <w:rsid w:val="68DC380B"/>
    <w:rsid w:val="68E06B9E"/>
    <w:rsid w:val="68E1361C"/>
    <w:rsid w:val="68EF6F31"/>
    <w:rsid w:val="68F24F14"/>
    <w:rsid w:val="68F96E91"/>
    <w:rsid w:val="68FA50A1"/>
    <w:rsid w:val="690B22D1"/>
    <w:rsid w:val="690E23E5"/>
    <w:rsid w:val="69191BA4"/>
    <w:rsid w:val="69253F8C"/>
    <w:rsid w:val="692B60C4"/>
    <w:rsid w:val="69340482"/>
    <w:rsid w:val="694B0603"/>
    <w:rsid w:val="69583044"/>
    <w:rsid w:val="695B147C"/>
    <w:rsid w:val="696574F4"/>
    <w:rsid w:val="696E32AF"/>
    <w:rsid w:val="696F2A09"/>
    <w:rsid w:val="697A2B36"/>
    <w:rsid w:val="697C5B81"/>
    <w:rsid w:val="69930330"/>
    <w:rsid w:val="699C40AD"/>
    <w:rsid w:val="699E0C60"/>
    <w:rsid w:val="69B433B1"/>
    <w:rsid w:val="69E007EB"/>
    <w:rsid w:val="69E01143"/>
    <w:rsid w:val="69E23105"/>
    <w:rsid w:val="69F32296"/>
    <w:rsid w:val="69FB48E2"/>
    <w:rsid w:val="6A034572"/>
    <w:rsid w:val="6A0A059D"/>
    <w:rsid w:val="6A0E78B8"/>
    <w:rsid w:val="6A0F4BE6"/>
    <w:rsid w:val="6A216872"/>
    <w:rsid w:val="6A263038"/>
    <w:rsid w:val="6A26359E"/>
    <w:rsid w:val="6A450553"/>
    <w:rsid w:val="6A497724"/>
    <w:rsid w:val="6A4A4759"/>
    <w:rsid w:val="6A4C5885"/>
    <w:rsid w:val="6A771F0B"/>
    <w:rsid w:val="6A7B4BDA"/>
    <w:rsid w:val="6A89220C"/>
    <w:rsid w:val="6A8A17D5"/>
    <w:rsid w:val="6A9C47F9"/>
    <w:rsid w:val="6AAF600C"/>
    <w:rsid w:val="6AB10A1D"/>
    <w:rsid w:val="6AB4386B"/>
    <w:rsid w:val="6AB70E6F"/>
    <w:rsid w:val="6ABE2397"/>
    <w:rsid w:val="6AC069C9"/>
    <w:rsid w:val="6AC561FE"/>
    <w:rsid w:val="6AC872AA"/>
    <w:rsid w:val="6ADD6E37"/>
    <w:rsid w:val="6AE561FB"/>
    <w:rsid w:val="6AEE7266"/>
    <w:rsid w:val="6AF36D6F"/>
    <w:rsid w:val="6AF90183"/>
    <w:rsid w:val="6AF9184F"/>
    <w:rsid w:val="6AFC2F13"/>
    <w:rsid w:val="6B0A3001"/>
    <w:rsid w:val="6B165917"/>
    <w:rsid w:val="6B191842"/>
    <w:rsid w:val="6B1C3E2E"/>
    <w:rsid w:val="6B856038"/>
    <w:rsid w:val="6B8568AB"/>
    <w:rsid w:val="6B8A1A53"/>
    <w:rsid w:val="6B8C1D4F"/>
    <w:rsid w:val="6B8F3ECC"/>
    <w:rsid w:val="6B970518"/>
    <w:rsid w:val="6B9C3F8F"/>
    <w:rsid w:val="6BA157C3"/>
    <w:rsid w:val="6BA810DC"/>
    <w:rsid w:val="6BD0579F"/>
    <w:rsid w:val="6BD47D11"/>
    <w:rsid w:val="6BDC6213"/>
    <w:rsid w:val="6BDF303D"/>
    <w:rsid w:val="6BE529BE"/>
    <w:rsid w:val="6BF6624A"/>
    <w:rsid w:val="6C137A42"/>
    <w:rsid w:val="6C155445"/>
    <w:rsid w:val="6C1E6E9D"/>
    <w:rsid w:val="6C227A1B"/>
    <w:rsid w:val="6C284208"/>
    <w:rsid w:val="6C500A7A"/>
    <w:rsid w:val="6C6A3A2F"/>
    <w:rsid w:val="6C6B2118"/>
    <w:rsid w:val="6C793235"/>
    <w:rsid w:val="6C810BE7"/>
    <w:rsid w:val="6C830ED4"/>
    <w:rsid w:val="6C84633E"/>
    <w:rsid w:val="6C8735CF"/>
    <w:rsid w:val="6C956F3D"/>
    <w:rsid w:val="6C9857C0"/>
    <w:rsid w:val="6CA576A1"/>
    <w:rsid w:val="6CD9731E"/>
    <w:rsid w:val="6CE11435"/>
    <w:rsid w:val="6CE76101"/>
    <w:rsid w:val="6CFB405E"/>
    <w:rsid w:val="6D015067"/>
    <w:rsid w:val="6D0F6282"/>
    <w:rsid w:val="6D26208C"/>
    <w:rsid w:val="6D2E0555"/>
    <w:rsid w:val="6D2F09F7"/>
    <w:rsid w:val="6D327A25"/>
    <w:rsid w:val="6D48438E"/>
    <w:rsid w:val="6D4D6851"/>
    <w:rsid w:val="6D8A37A7"/>
    <w:rsid w:val="6D9667D5"/>
    <w:rsid w:val="6DA801A3"/>
    <w:rsid w:val="6DC44A43"/>
    <w:rsid w:val="6DC716DF"/>
    <w:rsid w:val="6DF11490"/>
    <w:rsid w:val="6DF94F36"/>
    <w:rsid w:val="6E0B37B5"/>
    <w:rsid w:val="6E29625F"/>
    <w:rsid w:val="6E331E86"/>
    <w:rsid w:val="6E497D8F"/>
    <w:rsid w:val="6E504204"/>
    <w:rsid w:val="6E5D0FFB"/>
    <w:rsid w:val="6E5D7D8B"/>
    <w:rsid w:val="6E671A5E"/>
    <w:rsid w:val="6E6B4F71"/>
    <w:rsid w:val="6E7308FA"/>
    <w:rsid w:val="6E7B5FE7"/>
    <w:rsid w:val="6E8D7907"/>
    <w:rsid w:val="6E931248"/>
    <w:rsid w:val="6EA80CA3"/>
    <w:rsid w:val="6EA81ADD"/>
    <w:rsid w:val="6EAA0427"/>
    <w:rsid w:val="6EB10967"/>
    <w:rsid w:val="6EB1580D"/>
    <w:rsid w:val="6EBF6DAE"/>
    <w:rsid w:val="6EF06843"/>
    <w:rsid w:val="6EFF2D5B"/>
    <w:rsid w:val="6F0449DC"/>
    <w:rsid w:val="6F0A7B41"/>
    <w:rsid w:val="6F1B6A40"/>
    <w:rsid w:val="6F262D61"/>
    <w:rsid w:val="6F366FBF"/>
    <w:rsid w:val="6F3B430C"/>
    <w:rsid w:val="6F457E3E"/>
    <w:rsid w:val="6F567665"/>
    <w:rsid w:val="6F785127"/>
    <w:rsid w:val="6F867D61"/>
    <w:rsid w:val="6FD27A92"/>
    <w:rsid w:val="6FFA1A73"/>
    <w:rsid w:val="6FFA1FE5"/>
    <w:rsid w:val="702342B2"/>
    <w:rsid w:val="702F406B"/>
    <w:rsid w:val="703B4E35"/>
    <w:rsid w:val="70483867"/>
    <w:rsid w:val="70505356"/>
    <w:rsid w:val="70591406"/>
    <w:rsid w:val="70633A81"/>
    <w:rsid w:val="706C54C3"/>
    <w:rsid w:val="707C51FC"/>
    <w:rsid w:val="708774A3"/>
    <w:rsid w:val="70927AD6"/>
    <w:rsid w:val="70940332"/>
    <w:rsid w:val="70981D4E"/>
    <w:rsid w:val="70A43196"/>
    <w:rsid w:val="70A86126"/>
    <w:rsid w:val="70B01EA5"/>
    <w:rsid w:val="70B6293A"/>
    <w:rsid w:val="70CA479B"/>
    <w:rsid w:val="70E46BA0"/>
    <w:rsid w:val="70EC0D8E"/>
    <w:rsid w:val="70F2568E"/>
    <w:rsid w:val="70FA6D93"/>
    <w:rsid w:val="70FE346C"/>
    <w:rsid w:val="71047B8E"/>
    <w:rsid w:val="71092383"/>
    <w:rsid w:val="712B5052"/>
    <w:rsid w:val="7131263F"/>
    <w:rsid w:val="713A6350"/>
    <w:rsid w:val="71476679"/>
    <w:rsid w:val="714A3223"/>
    <w:rsid w:val="71514B83"/>
    <w:rsid w:val="715C13D6"/>
    <w:rsid w:val="71743489"/>
    <w:rsid w:val="71766BD9"/>
    <w:rsid w:val="717E427B"/>
    <w:rsid w:val="717F4299"/>
    <w:rsid w:val="71B326FC"/>
    <w:rsid w:val="71C06566"/>
    <w:rsid w:val="71C067CE"/>
    <w:rsid w:val="71D37F5C"/>
    <w:rsid w:val="71D470A1"/>
    <w:rsid w:val="71DB72C7"/>
    <w:rsid w:val="71E23ED9"/>
    <w:rsid w:val="71F06905"/>
    <w:rsid w:val="71FB4ACC"/>
    <w:rsid w:val="720301CB"/>
    <w:rsid w:val="720A0242"/>
    <w:rsid w:val="72123621"/>
    <w:rsid w:val="72155F37"/>
    <w:rsid w:val="72173A50"/>
    <w:rsid w:val="72216791"/>
    <w:rsid w:val="72267A58"/>
    <w:rsid w:val="72540507"/>
    <w:rsid w:val="72634A31"/>
    <w:rsid w:val="726765CD"/>
    <w:rsid w:val="726D2439"/>
    <w:rsid w:val="726E3C4A"/>
    <w:rsid w:val="72736A83"/>
    <w:rsid w:val="727650EE"/>
    <w:rsid w:val="72771CD0"/>
    <w:rsid w:val="72805811"/>
    <w:rsid w:val="72867D71"/>
    <w:rsid w:val="7287097A"/>
    <w:rsid w:val="728B54F3"/>
    <w:rsid w:val="7291670D"/>
    <w:rsid w:val="72DF281D"/>
    <w:rsid w:val="72E46BED"/>
    <w:rsid w:val="72E626B4"/>
    <w:rsid w:val="731C2DF5"/>
    <w:rsid w:val="73261B08"/>
    <w:rsid w:val="73263C02"/>
    <w:rsid w:val="732C2048"/>
    <w:rsid w:val="73325F6A"/>
    <w:rsid w:val="73346871"/>
    <w:rsid w:val="73551063"/>
    <w:rsid w:val="735D46E5"/>
    <w:rsid w:val="736656CA"/>
    <w:rsid w:val="7369114B"/>
    <w:rsid w:val="73693FF4"/>
    <w:rsid w:val="7372357D"/>
    <w:rsid w:val="737426F6"/>
    <w:rsid w:val="73803060"/>
    <w:rsid w:val="738D7764"/>
    <w:rsid w:val="73AC567D"/>
    <w:rsid w:val="73C50004"/>
    <w:rsid w:val="73C67B75"/>
    <w:rsid w:val="73CF1C15"/>
    <w:rsid w:val="73D3282B"/>
    <w:rsid w:val="73E40842"/>
    <w:rsid w:val="73E46840"/>
    <w:rsid w:val="73F70BF4"/>
    <w:rsid w:val="740F4F7B"/>
    <w:rsid w:val="742B4899"/>
    <w:rsid w:val="743079B6"/>
    <w:rsid w:val="744B44EB"/>
    <w:rsid w:val="744E04E6"/>
    <w:rsid w:val="745F4AD3"/>
    <w:rsid w:val="74664573"/>
    <w:rsid w:val="74740D26"/>
    <w:rsid w:val="74741C27"/>
    <w:rsid w:val="747F5D56"/>
    <w:rsid w:val="748941AB"/>
    <w:rsid w:val="748B0A1B"/>
    <w:rsid w:val="74A1376A"/>
    <w:rsid w:val="74A35B96"/>
    <w:rsid w:val="74A95111"/>
    <w:rsid w:val="74C81A0A"/>
    <w:rsid w:val="74E639CF"/>
    <w:rsid w:val="74F51F22"/>
    <w:rsid w:val="74FA1602"/>
    <w:rsid w:val="75121AEA"/>
    <w:rsid w:val="751A1C27"/>
    <w:rsid w:val="751B5CC7"/>
    <w:rsid w:val="753B2EAB"/>
    <w:rsid w:val="754009BE"/>
    <w:rsid w:val="75521105"/>
    <w:rsid w:val="75574018"/>
    <w:rsid w:val="75582D04"/>
    <w:rsid w:val="755A0567"/>
    <w:rsid w:val="75681FC7"/>
    <w:rsid w:val="75705AA4"/>
    <w:rsid w:val="757D79BE"/>
    <w:rsid w:val="75956A97"/>
    <w:rsid w:val="75B0023A"/>
    <w:rsid w:val="75B04C76"/>
    <w:rsid w:val="75C7560B"/>
    <w:rsid w:val="75D15576"/>
    <w:rsid w:val="75F52CE2"/>
    <w:rsid w:val="75F5549D"/>
    <w:rsid w:val="75FA139B"/>
    <w:rsid w:val="75FD4D7D"/>
    <w:rsid w:val="761E3C6D"/>
    <w:rsid w:val="76205C10"/>
    <w:rsid w:val="7625296B"/>
    <w:rsid w:val="763E114A"/>
    <w:rsid w:val="76470A26"/>
    <w:rsid w:val="765F0AB1"/>
    <w:rsid w:val="766308F5"/>
    <w:rsid w:val="7665340F"/>
    <w:rsid w:val="766D614E"/>
    <w:rsid w:val="768450FC"/>
    <w:rsid w:val="76867C71"/>
    <w:rsid w:val="76891C98"/>
    <w:rsid w:val="768B2648"/>
    <w:rsid w:val="769029F2"/>
    <w:rsid w:val="76926057"/>
    <w:rsid w:val="76975BB2"/>
    <w:rsid w:val="76A161D6"/>
    <w:rsid w:val="76D4030D"/>
    <w:rsid w:val="76D83465"/>
    <w:rsid w:val="76ED03D3"/>
    <w:rsid w:val="76FF31DB"/>
    <w:rsid w:val="770D6551"/>
    <w:rsid w:val="7710155E"/>
    <w:rsid w:val="772C2135"/>
    <w:rsid w:val="77420D46"/>
    <w:rsid w:val="775236B5"/>
    <w:rsid w:val="776448E2"/>
    <w:rsid w:val="7766629A"/>
    <w:rsid w:val="77952F74"/>
    <w:rsid w:val="779F6955"/>
    <w:rsid w:val="77A24CC8"/>
    <w:rsid w:val="77B9088C"/>
    <w:rsid w:val="77C64C88"/>
    <w:rsid w:val="77C73CD3"/>
    <w:rsid w:val="77C94111"/>
    <w:rsid w:val="77CA39E8"/>
    <w:rsid w:val="77DF5FE0"/>
    <w:rsid w:val="77F24119"/>
    <w:rsid w:val="77FA2F2E"/>
    <w:rsid w:val="77FC29A2"/>
    <w:rsid w:val="78041984"/>
    <w:rsid w:val="78163CF6"/>
    <w:rsid w:val="782076C3"/>
    <w:rsid w:val="782D03B3"/>
    <w:rsid w:val="783C781E"/>
    <w:rsid w:val="785A1A48"/>
    <w:rsid w:val="78696048"/>
    <w:rsid w:val="78774474"/>
    <w:rsid w:val="787B4747"/>
    <w:rsid w:val="789675B9"/>
    <w:rsid w:val="78975ABE"/>
    <w:rsid w:val="78B032DB"/>
    <w:rsid w:val="78B74300"/>
    <w:rsid w:val="78BD0FA5"/>
    <w:rsid w:val="78BD2C3E"/>
    <w:rsid w:val="78BF0B94"/>
    <w:rsid w:val="78CF2549"/>
    <w:rsid w:val="78E566BC"/>
    <w:rsid w:val="790458BA"/>
    <w:rsid w:val="791649C6"/>
    <w:rsid w:val="791B775D"/>
    <w:rsid w:val="791D788D"/>
    <w:rsid w:val="792A5F22"/>
    <w:rsid w:val="793440F5"/>
    <w:rsid w:val="794740A3"/>
    <w:rsid w:val="794F221D"/>
    <w:rsid w:val="795C7BF1"/>
    <w:rsid w:val="796162E2"/>
    <w:rsid w:val="796E196A"/>
    <w:rsid w:val="797B2B1F"/>
    <w:rsid w:val="79812941"/>
    <w:rsid w:val="79911009"/>
    <w:rsid w:val="799B1A04"/>
    <w:rsid w:val="799F2176"/>
    <w:rsid w:val="79BA7FAA"/>
    <w:rsid w:val="79C54421"/>
    <w:rsid w:val="79D5423D"/>
    <w:rsid w:val="79E43AA8"/>
    <w:rsid w:val="79F2230C"/>
    <w:rsid w:val="79FD407E"/>
    <w:rsid w:val="7A0150FC"/>
    <w:rsid w:val="7A1600D7"/>
    <w:rsid w:val="7A1A1962"/>
    <w:rsid w:val="7A2660AD"/>
    <w:rsid w:val="7A29468A"/>
    <w:rsid w:val="7A2C3272"/>
    <w:rsid w:val="7A3205EB"/>
    <w:rsid w:val="7A414805"/>
    <w:rsid w:val="7A606ECA"/>
    <w:rsid w:val="7A6836EF"/>
    <w:rsid w:val="7A6E5D74"/>
    <w:rsid w:val="7A744D78"/>
    <w:rsid w:val="7A811B72"/>
    <w:rsid w:val="7A91428C"/>
    <w:rsid w:val="7A923653"/>
    <w:rsid w:val="7A951CEA"/>
    <w:rsid w:val="7A976FF3"/>
    <w:rsid w:val="7AB960AC"/>
    <w:rsid w:val="7ABE1EC9"/>
    <w:rsid w:val="7AC323E1"/>
    <w:rsid w:val="7ADA7012"/>
    <w:rsid w:val="7ADF7ABA"/>
    <w:rsid w:val="7AE44246"/>
    <w:rsid w:val="7AE52BD6"/>
    <w:rsid w:val="7AFC677A"/>
    <w:rsid w:val="7B157BA6"/>
    <w:rsid w:val="7B186D4A"/>
    <w:rsid w:val="7B1E51CA"/>
    <w:rsid w:val="7B251A42"/>
    <w:rsid w:val="7B342A17"/>
    <w:rsid w:val="7B4463D3"/>
    <w:rsid w:val="7B4856B3"/>
    <w:rsid w:val="7B5A4B05"/>
    <w:rsid w:val="7B5F735C"/>
    <w:rsid w:val="7B7F10B5"/>
    <w:rsid w:val="7B884DB6"/>
    <w:rsid w:val="7B904F31"/>
    <w:rsid w:val="7BA80E8B"/>
    <w:rsid w:val="7BAF6CC3"/>
    <w:rsid w:val="7BB549DB"/>
    <w:rsid w:val="7BC25F74"/>
    <w:rsid w:val="7BCE4602"/>
    <w:rsid w:val="7BD163D5"/>
    <w:rsid w:val="7BD737F6"/>
    <w:rsid w:val="7BE82D03"/>
    <w:rsid w:val="7BE855BF"/>
    <w:rsid w:val="7BEE484F"/>
    <w:rsid w:val="7BFF75D3"/>
    <w:rsid w:val="7C04303A"/>
    <w:rsid w:val="7C065666"/>
    <w:rsid w:val="7C19558D"/>
    <w:rsid w:val="7C2E155D"/>
    <w:rsid w:val="7C360E39"/>
    <w:rsid w:val="7C693DE1"/>
    <w:rsid w:val="7C8021B4"/>
    <w:rsid w:val="7CA14678"/>
    <w:rsid w:val="7CAB5145"/>
    <w:rsid w:val="7CAB6BCB"/>
    <w:rsid w:val="7CAD755C"/>
    <w:rsid w:val="7CB93E25"/>
    <w:rsid w:val="7CBA5410"/>
    <w:rsid w:val="7CC81967"/>
    <w:rsid w:val="7CCE6319"/>
    <w:rsid w:val="7CD35CA5"/>
    <w:rsid w:val="7CDB4FA1"/>
    <w:rsid w:val="7CE579BC"/>
    <w:rsid w:val="7CF81ADD"/>
    <w:rsid w:val="7D0162CE"/>
    <w:rsid w:val="7D0474E8"/>
    <w:rsid w:val="7D094709"/>
    <w:rsid w:val="7D1001FC"/>
    <w:rsid w:val="7D164072"/>
    <w:rsid w:val="7D3867AA"/>
    <w:rsid w:val="7D38702A"/>
    <w:rsid w:val="7D3B18C9"/>
    <w:rsid w:val="7D400733"/>
    <w:rsid w:val="7D4E14A7"/>
    <w:rsid w:val="7D566E85"/>
    <w:rsid w:val="7D650DEB"/>
    <w:rsid w:val="7D6C172D"/>
    <w:rsid w:val="7D6C22AF"/>
    <w:rsid w:val="7D913891"/>
    <w:rsid w:val="7D9160D3"/>
    <w:rsid w:val="7D9A12B6"/>
    <w:rsid w:val="7DB56E31"/>
    <w:rsid w:val="7DB650D9"/>
    <w:rsid w:val="7DD27833"/>
    <w:rsid w:val="7DE67343"/>
    <w:rsid w:val="7DF86CB9"/>
    <w:rsid w:val="7E056541"/>
    <w:rsid w:val="7E350FAF"/>
    <w:rsid w:val="7E362272"/>
    <w:rsid w:val="7E3D2C1A"/>
    <w:rsid w:val="7E494356"/>
    <w:rsid w:val="7E494636"/>
    <w:rsid w:val="7E4B6BE5"/>
    <w:rsid w:val="7E500D13"/>
    <w:rsid w:val="7E6046E7"/>
    <w:rsid w:val="7E773258"/>
    <w:rsid w:val="7E7C6A0C"/>
    <w:rsid w:val="7E8246CC"/>
    <w:rsid w:val="7E885FC3"/>
    <w:rsid w:val="7E8E4666"/>
    <w:rsid w:val="7E9368E1"/>
    <w:rsid w:val="7E9906CE"/>
    <w:rsid w:val="7EB71A92"/>
    <w:rsid w:val="7EB93CB5"/>
    <w:rsid w:val="7EB95349"/>
    <w:rsid w:val="7ED32013"/>
    <w:rsid w:val="7EDD0BF1"/>
    <w:rsid w:val="7EED010C"/>
    <w:rsid w:val="7EF2291D"/>
    <w:rsid w:val="7EF513CD"/>
    <w:rsid w:val="7F005C01"/>
    <w:rsid w:val="7F0235D7"/>
    <w:rsid w:val="7F1B540B"/>
    <w:rsid w:val="7F227A46"/>
    <w:rsid w:val="7F54608F"/>
    <w:rsid w:val="7F550D52"/>
    <w:rsid w:val="7F55610B"/>
    <w:rsid w:val="7F6E67A6"/>
    <w:rsid w:val="7F7C17C5"/>
    <w:rsid w:val="7F8E2150"/>
    <w:rsid w:val="7F8E7D1A"/>
    <w:rsid w:val="7F94781F"/>
    <w:rsid w:val="7F9C65D8"/>
    <w:rsid w:val="7FAF3817"/>
    <w:rsid w:val="7FC04538"/>
    <w:rsid w:val="7FCB06F8"/>
    <w:rsid w:val="7FD42CB2"/>
    <w:rsid w:val="7FD61A84"/>
    <w:rsid w:val="7FD63274"/>
    <w:rsid w:val="7FE23637"/>
    <w:rsid w:val="7FF72F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iPriority="39" w:semiHidden="0" w:name="toc 4"/>
    <w:lsdException w:uiPriority="39" w:semiHidden="0" w:name="toc 5"/>
    <w:lsdException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6"/>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96"/>
    <w:qFormat/>
    <w:uiPriority w:val="0"/>
    <w:pPr>
      <w:keepNext/>
      <w:keepLines/>
      <w:widowControl w:val="0"/>
      <w:tabs>
        <w:tab w:val="left" w:pos="567"/>
      </w:tabs>
      <w:spacing w:before="260" w:after="260" w:line="415" w:lineRule="auto"/>
      <w:outlineLvl w:val="1"/>
    </w:pPr>
    <w:rPr>
      <w:rFonts w:ascii="Arial" w:hAnsi="Arial" w:eastAsia="黑体"/>
      <w:b/>
      <w:bCs/>
      <w:sz w:val="32"/>
      <w:szCs w:val="32"/>
    </w:rPr>
  </w:style>
  <w:style w:type="paragraph" w:styleId="5">
    <w:name w:val="heading 3"/>
    <w:basedOn w:val="1"/>
    <w:next w:val="1"/>
    <w:link w:val="68"/>
    <w:qFormat/>
    <w:uiPriority w:val="0"/>
    <w:pPr>
      <w:keepNext/>
      <w:keepLines/>
      <w:widowControl w:val="0"/>
      <w:spacing w:before="260" w:after="260" w:line="415" w:lineRule="auto"/>
      <w:outlineLvl w:val="2"/>
    </w:pPr>
    <w:rPr>
      <w:b/>
      <w:bCs/>
      <w:sz w:val="32"/>
      <w:szCs w:val="32"/>
    </w:rPr>
  </w:style>
  <w:style w:type="paragraph" w:styleId="6">
    <w:name w:val="heading 4"/>
    <w:basedOn w:val="1"/>
    <w:next w:val="1"/>
    <w:link w:val="69"/>
    <w:qFormat/>
    <w:uiPriority w:val="0"/>
    <w:pPr>
      <w:keepNext/>
      <w:keepLines/>
      <w:spacing w:before="280" w:after="290" w:line="374" w:lineRule="auto"/>
      <w:outlineLvl w:val="3"/>
    </w:pPr>
    <w:rPr>
      <w:rFonts w:ascii="Arial" w:hAnsi="Arial" w:eastAsia="黑体"/>
      <w:b/>
      <w:sz w:val="28"/>
      <w:szCs w:val="20"/>
    </w:rPr>
  </w:style>
  <w:style w:type="paragraph" w:styleId="7">
    <w:name w:val="heading 5"/>
    <w:basedOn w:val="1"/>
    <w:next w:val="1"/>
    <w:link w:val="70"/>
    <w:qFormat/>
    <w:uiPriority w:val="0"/>
    <w:pPr>
      <w:keepNext/>
      <w:keepLines/>
      <w:spacing w:before="280" w:after="290" w:line="374" w:lineRule="auto"/>
      <w:outlineLvl w:val="4"/>
    </w:pPr>
    <w:rPr>
      <w:b/>
      <w:sz w:val="28"/>
      <w:szCs w:val="20"/>
    </w:rPr>
  </w:style>
  <w:style w:type="paragraph" w:styleId="8">
    <w:name w:val="heading 6"/>
    <w:basedOn w:val="1"/>
    <w:next w:val="1"/>
    <w:link w:val="71"/>
    <w:qFormat/>
    <w:uiPriority w:val="0"/>
    <w:pPr>
      <w:keepNext/>
      <w:keepLines/>
      <w:spacing w:before="240" w:after="64" w:line="319" w:lineRule="auto"/>
      <w:outlineLvl w:val="5"/>
    </w:pPr>
    <w:rPr>
      <w:rFonts w:ascii="Arial" w:hAnsi="Arial" w:eastAsia="黑体"/>
      <w:b/>
      <w:sz w:val="24"/>
      <w:szCs w:val="20"/>
    </w:rPr>
  </w:style>
  <w:style w:type="paragraph" w:styleId="9">
    <w:name w:val="heading 7"/>
    <w:basedOn w:val="1"/>
    <w:next w:val="1"/>
    <w:link w:val="72"/>
    <w:qFormat/>
    <w:uiPriority w:val="0"/>
    <w:pPr>
      <w:keepNext/>
      <w:keepLines/>
      <w:spacing w:before="240" w:after="64" w:line="319" w:lineRule="auto"/>
      <w:outlineLvl w:val="6"/>
    </w:pPr>
    <w:rPr>
      <w:b/>
      <w:sz w:val="24"/>
      <w:szCs w:val="20"/>
    </w:rPr>
  </w:style>
  <w:style w:type="paragraph" w:styleId="10">
    <w:name w:val="heading 8"/>
    <w:basedOn w:val="1"/>
    <w:next w:val="1"/>
    <w:link w:val="73"/>
    <w:qFormat/>
    <w:uiPriority w:val="0"/>
    <w:pPr>
      <w:keepNext/>
      <w:keepLines/>
      <w:spacing w:before="240" w:after="64" w:line="319" w:lineRule="auto"/>
      <w:outlineLvl w:val="7"/>
    </w:pPr>
    <w:rPr>
      <w:rFonts w:ascii="Arial" w:hAnsi="Arial" w:eastAsia="黑体"/>
      <w:sz w:val="24"/>
      <w:szCs w:val="20"/>
    </w:rPr>
  </w:style>
  <w:style w:type="paragraph" w:styleId="11">
    <w:name w:val="heading 9"/>
    <w:basedOn w:val="1"/>
    <w:next w:val="1"/>
    <w:link w:val="74"/>
    <w:qFormat/>
    <w:uiPriority w:val="0"/>
    <w:pPr>
      <w:keepNext/>
      <w:keepLines/>
      <w:spacing w:before="240" w:after="64" w:line="319" w:lineRule="auto"/>
      <w:outlineLvl w:val="8"/>
    </w:pPr>
    <w:rPr>
      <w:rFonts w:ascii="Arial" w:hAnsi="Arial" w:eastAsia="黑体"/>
      <w:szCs w:val="20"/>
    </w:rPr>
  </w:style>
  <w:style w:type="character" w:default="1" w:styleId="49">
    <w:name w:val="Default Paragraph Font"/>
    <w:semiHidden/>
    <w:uiPriority w:val="0"/>
  </w:style>
  <w:style w:type="table" w:default="1" w:styleId="4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SimSun-18030" w:hAnsi="Times New Roman" w:eastAsia="SimSun-18030" w:cs="Times New Roman"/>
      <w:color w:val="000000"/>
      <w:sz w:val="24"/>
      <w:lang w:val="en-US" w:eastAsia="zh-CN" w:bidi="ar-SA"/>
    </w:rPr>
  </w:style>
  <w:style w:type="paragraph" w:styleId="12">
    <w:name w:val="toc 7"/>
    <w:basedOn w:val="1"/>
    <w:next w:val="1"/>
    <w:unhideWhenUsed/>
    <w:qFormat/>
    <w:uiPriority w:val="39"/>
    <w:pPr>
      <w:ind w:left="2520" w:leftChars="1200"/>
    </w:pPr>
    <w:rPr>
      <w:rFonts w:ascii="Calibri" w:hAnsi="Calibri" w:eastAsia="宋体" w:cs="Times New Roman"/>
      <w:szCs w:val="22"/>
    </w:rPr>
  </w:style>
  <w:style w:type="paragraph" w:styleId="13">
    <w:name w:val="Note Heading"/>
    <w:basedOn w:val="1"/>
    <w:next w:val="1"/>
    <w:link w:val="75"/>
    <w:qFormat/>
    <w:uiPriority w:val="0"/>
    <w:pPr>
      <w:jc w:val="center"/>
    </w:pPr>
    <w:rPr>
      <w:szCs w:val="20"/>
    </w:rPr>
  </w:style>
  <w:style w:type="paragraph" w:styleId="14">
    <w:name w:val="List Number"/>
    <w:basedOn w:val="1"/>
    <w:qFormat/>
    <w:uiPriority w:val="0"/>
    <w:pPr>
      <w:numPr>
        <w:ilvl w:val="0"/>
        <w:numId w:val="1"/>
      </w:numPr>
      <w:tabs>
        <w:tab w:val="left" w:pos="360"/>
      </w:tabs>
    </w:pPr>
    <w:rPr>
      <w:rFonts w:ascii="Times New Roman" w:hAnsi="Times New Roman"/>
      <w:szCs w:val="20"/>
    </w:rPr>
  </w:style>
  <w:style w:type="paragraph" w:styleId="15">
    <w:name w:val="Normal Indent"/>
    <w:basedOn w:val="1"/>
    <w:link w:val="76"/>
    <w:qFormat/>
    <w:uiPriority w:val="0"/>
    <w:pPr>
      <w:ind w:firstLine="200" w:firstLineChars="200"/>
    </w:pPr>
  </w:style>
  <w:style w:type="paragraph" w:styleId="16">
    <w:name w:val="caption"/>
    <w:basedOn w:val="1"/>
    <w:next w:val="1"/>
    <w:qFormat/>
    <w:uiPriority w:val="0"/>
    <w:pPr>
      <w:spacing w:before="60" w:after="60" w:line="480" w:lineRule="exact"/>
      <w:jc w:val="left"/>
      <w:outlineLvl w:val="6"/>
    </w:pPr>
    <w:rPr>
      <w:rFonts w:ascii="仿宋" w:hAnsi="仿宋" w:eastAsia="仿宋"/>
      <w:b/>
      <w:sz w:val="30"/>
      <w:szCs w:val="20"/>
      <w:lang w:val="zh-CN"/>
    </w:rPr>
  </w:style>
  <w:style w:type="paragraph" w:styleId="17">
    <w:name w:val="List Bullet"/>
    <w:basedOn w:val="1"/>
    <w:qFormat/>
    <w:uiPriority w:val="0"/>
    <w:pPr>
      <w:numPr>
        <w:ilvl w:val="0"/>
        <w:numId w:val="2"/>
      </w:numPr>
      <w:tabs>
        <w:tab w:val="left" w:pos="360"/>
      </w:tabs>
    </w:pPr>
    <w:rPr>
      <w:rFonts w:ascii="Times New Roman" w:hAnsi="Times New Roman"/>
      <w:b/>
      <w:sz w:val="28"/>
      <w:szCs w:val="20"/>
      <w14:shadow w14:blurRad="50800" w14:dist="38100" w14:dir="2700000" w14:sx="100000" w14:sy="100000" w14:kx="0" w14:ky="0" w14:algn="tl">
        <w14:srgbClr w14:val="000000">
          <w14:alpha w14:val="60000"/>
        </w14:srgbClr>
      </w14:shadow>
    </w:rPr>
  </w:style>
  <w:style w:type="paragraph" w:styleId="18">
    <w:name w:val="Document Map"/>
    <w:basedOn w:val="1"/>
    <w:next w:val="19"/>
    <w:link w:val="77"/>
    <w:unhideWhenUsed/>
    <w:qFormat/>
    <w:uiPriority w:val="99"/>
    <w:rPr>
      <w:rFonts w:ascii="宋体"/>
      <w:sz w:val="18"/>
      <w:szCs w:val="18"/>
    </w:rPr>
  </w:style>
  <w:style w:type="paragraph" w:styleId="19">
    <w:name w:val="Body Text"/>
    <w:basedOn w:val="1"/>
    <w:next w:val="1"/>
    <w:link w:val="78"/>
    <w:qFormat/>
    <w:uiPriority w:val="0"/>
    <w:pPr>
      <w:spacing w:after="120"/>
    </w:pPr>
  </w:style>
  <w:style w:type="paragraph" w:styleId="20">
    <w:name w:val="annotation text"/>
    <w:basedOn w:val="1"/>
    <w:link w:val="79"/>
    <w:unhideWhenUsed/>
    <w:qFormat/>
    <w:uiPriority w:val="99"/>
    <w:pPr>
      <w:jc w:val="left"/>
    </w:pPr>
    <w:rPr>
      <w:szCs w:val="22"/>
    </w:rPr>
  </w:style>
  <w:style w:type="paragraph" w:styleId="21">
    <w:name w:val="Body Text Indent"/>
    <w:basedOn w:val="1"/>
    <w:link w:val="80"/>
    <w:qFormat/>
    <w:uiPriority w:val="0"/>
    <w:pPr>
      <w:ind w:firstLine="630"/>
    </w:pPr>
    <w:rPr>
      <w:sz w:val="32"/>
      <w:szCs w:val="20"/>
    </w:rPr>
  </w:style>
  <w:style w:type="paragraph" w:styleId="22">
    <w:name w:val="toc 5"/>
    <w:basedOn w:val="1"/>
    <w:next w:val="1"/>
    <w:unhideWhenUsed/>
    <w:uiPriority w:val="39"/>
    <w:pPr>
      <w:ind w:left="1680" w:leftChars="800"/>
    </w:pPr>
    <w:rPr>
      <w:rFonts w:ascii="Calibri" w:hAnsi="Calibri" w:eastAsia="宋体" w:cs="Times New Roman"/>
      <w:szCs w:val="22"/>
    </w:rPr>
  </w:style>
  <w:style w:type="paragraph" w:styleId="23">
    <w:name w:val="toc 3"/>
    <w:basedOn w:val="1"/>
    <w:next w:val="1"/>
    <w:qFormat/>
    <w:uiPriority w:val="39"/>
    <w:pPr>
      <w:ind w:left="840" w:leftChars="400"/>
    </w:pPr>
  </w:style>
  <w:style w:type="paragraph" w:styleId="24">
    <w:name w:val="Plain Text"/>
    <w:basedOn w:val="1"/>
    <w:link w:val="81"/>
    <w:qFormat/>
    <w:uiPriority w:val="0"/>
    <w:rPr>
      <w:rFonts w:ascii="宋体" w:hAnsi="Courier New"/>
      <w:szCs w:val="21"/>
    </w:rPr>
  </w:style>
  <w:style w:type="paragraph" w:styleId="25">
    <w:name w:val="toc 8"/>
    <w:basedOn w:val="1"/>
    <w:next w:val="1"/>
    <w:unhideWhenUsed/>
    <w:qFormat/>
    <w:uiPriority w:val="39"/>
    <w:pPr>
      <w:ind w:left="2940" w:leftChars="1400"/>
    </w:pPr>
    <w:rPr>
      <w:rFonts w:ascii="Calibri" w:hAnsi="Calibri" w:eastAsia="宋体" w:cs="Times New Roman"/>
      <w:szCs w:val="22"/>
    </w:rPr>
  </w:style>
  <w:style w:type="paragraph" w:styleId="26">
    <w:name w:val="Date"/>
    <w:basedOn w:val="1"/>
    <w:next w:val="1"/>
    <w:link w:val="82"/>
    <w:uiPriority w:val="0"/>
    <w:rPr>
      <w:rFonts w:eastAsia="黑体"/>
      <w:sz w:val="36"/>
      <w:szCs w:val="20"/>
    </w:rPr>
  </w:style>
  <w:style w:type="paragraph" w:styleId="27">
    <w:name w:val="Body Text Indent 2"/>
    <w:basedOn w:val="1"/>
    <w:link w:val="83"/>
    <w:qFormat/>
    <w:uiPriority w:val="0"/>
    <w:pPr>
      <w:spacing w:line="560" w:lineRule="exact"/>
      <w:ind w:firstLine="640" w:firstLineChars="200"/>
    </w:pPr>
    <w:rPr>
      <w:rFonts w:ascii="方正仿宋简体" w:eastAsia="方正仿宋简体"/>
      <w:sz w:val="32"/>
      <w:szCs w:val="20"/>
    </w:rPr>
  </w:style>
  <w:style w:type="paragraph" w:styleId="28">
    <w:name w:val="endnote text"/>
    <w:basedOn w:val="1"/>
    <w:link w:val="84"/>
    <w:uiPriority w:val="0"/>
    <w:pPr>
      <w:snapToGrid w:val="0"/>
      <w:jc w:val="left"/>
    </w:pPr>
  </w:style>
  <w:style w:type="paragraph" w:styleId="29">
    <w:name w:val="Balloon Text"/>
    <w:basedOn w:val="1"/>
    <w:link w:val="85"/>
    <w:unhideWhenUsed/>
    <w:qFormat/>
    <w:uiPriority w:val="0"/>
    <w:rPr>
      <w:sz w:val="18"/>
      <w:szCs w:val="18"/>
    </w:rPr>
  </w:style>
  <w:style w:type="paragraph" w:styleId="30">
    <w:name w:val="footer"/>
    <w:basedOn w:val="1"/>
    <w:link w:val="86"/>
    <w:qFormat/>
    <w:uiPriority w:val="99"/>
    <w:pPr>
      <w:tabs>
        <w:tab w:val="center" w:pos="4153"/>
        <w:tab w:val="right" w:pos="8306"/>
      </w:tabs>
      <w:snapToGrid w:val="0"/>
      <w:jc w:val="left"/>
    </w:pPr>
    <w:rPr>
      <w:sz w:val="18"/>
      <w:szCs w:val="20"/>
    </w:rPr>
  </w:style>
  <w:style w:type="paragraph" w:styleId="31">
    <w:name w:val="header"/>
    <w:basedOn w:val="1"/>
    <w:link w:val="87"/>
    <w:qFormat/>
    <w:uiPriority w:val="0"/>
    <w:pPr>
      <w:pBdr>
        <w:bottom w:val="single" w:color="auto" w:sz="6" w:space="1"/>
      </w:pBdr>
      <w:tabs>
        <w:tab w:val="center" w:pos="4153"/>
        <w:tab w:val="right" w:pos="8306"/>
      </w:tabs>
      <w:snapToGrid w:val="0"/>
      <w:jc w:val="center"/>
    </w:pPr>
    <w:rPr>
      <w:sz w:val="18"/>
      <w:szCs w:val="20"/>
    </w:rPr>
  </w:style>
  <w:style w:type="paragraph" w:styleId="32">
    <w:name w:val="toc 1"/>
    <w:basedOn w:val="1"/>
    <w:next w:val="1"/>
    <w:qFormat/>
    <w:uiPriority w:val="0"/>
  </w:style>
  <w:style w:type="paragraph" w:styleId="33">
    <w:name w:val="toc 4"/>
    <w:basedOn w:val="1"/>
    <w:next w:val="1"/>
    <w:unhideWhenUsed/>
    <w:qFormat/>
    <w:uiPriority w:val="39"/>
    <w:pPr>
      <w:ind w:left="1260" w:leftChars="600"/>
    </w:pPr>
    <w:rPr>
      <w:rFonts w:ascii="Calibri" w:hAnsi="Calibri" w:eastAsia="宋体" w:cs="Times New Roman"/>
      <w:szCs w:val="22"/>
    </w:rPr>
  </w:style>
  <w:style w:type="paragraph" w:styleId="34">
    <w:name w:val="Subtitle"/>
    <w:basedOn w:val="1"/>
    <w:next w:val="1"/>
    <w:link w:val="88"/>
    <w:qFormat/>
    <w:uiPriority w:val="0"/>
    <w:pPr>
      <w:spacing w:before="240" w:after="60" w:line="312" w:lineRule="auto"/>
      <w:jc w:val="center"/>
      <w:outlineLvl w:val="1"/>
    </w:pPr>
    <w:rPr>
      <w:rFonts w:ascii="Cambria" w:hAnsi="Cambria"/>
      <w:b/>
      <w:kern w:val="28"/>
      <w:sz w:val="32"/>
      <w:szCs w:val="20"/>
    </w:rPr>
  </w:style>
  <w:style w:type="paragraph" w:styleId="35">
    <w:name w:val="List"/>
    <w:basedOn w:val="1"/>
    <w:uiPriority w:val="0"/>
    <w:pPr>
      <w:ind w:left="200" w:hanging="200" w:hangingChars="200"/>
    </w:pPr>
    <w:rPr>
      <w:rFonts w:ascii="Times New Roman" w:hAnsi="Times New Roman"/>
      <w:szCs w:val="20"/>
    </w:rPr>
  </w:style>
  <w:style w:type="paragraph" w:styleId="36">
    <w:name w:val="footnote text"/>
    <w:basedOn w:val="1"/>
    <w:link w:val="89"/>
    <w:uiPriority w:val="0"/>
    <w:pPr>
      <w:snapToGrid w:val="0"/>
      <w:jc w:val="left"/>
    </w:pPr>
    <w:rPr>
      <w:sz w:val="18"/>
      <w:szCs w:val="18"/>
    </w:rPr>
  </w:style>
  <w:style w:type="paragraph" w:styleId="37">
    <w:name w:val="toc 6"/>
    <w:basedOn w:val="1"/>
    <w:next w:val="1"/>
    <w:unhideWhenUsed/>
    <w:uiPriority w:val="39"/>
    <w:pPr>
      <w:ind w:left="2100" w:leftChars="1000"/>
    </w:pPr>
    <w:rPr>
      <w:rFonts w:ascii="Calibri" w:hAnsi="Calibri" w:eastAsia="宋体" w:cs="Times New Roman"/>
      <w:szCs w:val="22"/>
    </w:rPr>
  </w:style>
  <w:style w:type="paragraph" w:styleId="38">
    <w:name w:val="Body Text Indent 3"/>
    <w:basedOn w:val="1"/>
    <w:link w:val="90"/>
    <w:qFormat/>
    <w:uiPriority w:val="0"/>
    <w:pPr>
      <w:spacing w:after="120"/>
      <w:ind w:left="420" w:leftChars="200"/>
    </w:pPr>
    <w:rPr>
      <w:sz w:val="16"/>
      <w:szCs w:val="20"/>
    </w:rPr>
  </w:style>
  <w:style w:type="paragraph" w:styleId="39">
    <w:name w:val="toc 2"/>
    <w:basedOn w:val="1"/>
    <w:next w:val="1"/>
    <w:qFormat/>
    <w:uiPriority w:val="39"/>
    <w:pPr>
      <w:ind w:left="420" w:leftChars="200"/>
    </w:pPr>
  </w:style>
  <w:style w:type="paragraph" w:styleId="40">
    <w:name w:val="toc 9"/>
    <w:basedOn w:val="1"/>
    <w:next w:val="1"/>
    <w:unhideWhenUsed/>
    <w:qFormat/>
    <w:uiPriority w:val="39"/>
    <w:pPr>
      <w:ind w:left="3360" w:leftChars="1600"/>
    </w:pPr>
    <w:rPr>
      <w:rFonts w:ascii="Calibri" w:hAnsi="Calibri" w:eastAsia="宋体" w:cs="Times New Roman"/>
      <w:szCs w:val="22"/>
    </w:rPr>
  </w:style>
  <w:style w:type="paragraph" w:styleId="41">
    <w:name w:val="Body Text 2"/>
    <w:basedOn w:val="1"/>
    <w:link w:val="91"/>
    <w:qFormat/>
    <w:uiPriority w:val="0"/>
    <w:pPr>
      <w:spacing w:after="120" w:line="480" w:lineRule="auto"/>
    </w:pPr>
    <w:rPr>
      <w:szCs w:val="20"/>
    </w:rPr>
  </w:style>
  <w:style w:type="paragraph" w:styleId="42">
    <w:name w:val="HTML Preformatted"/>
    <w:basedOn w:val="1"/>
    <w:link w:val="9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3">
    <w:name w:val="Normal (Web)"/>
    <w:basedOn w:val="1"/>
    <w:qFormat/>
    <w:uiPriority w:val="0"/>
    <w:pPr>
      <w:widowControl/>
      <w:spacing w:before="100" w:beforeAutospacing="1" w:after="100" w:afterAutospacing="1"/>
      <w:jc w:val="left"/>
    </w:pPr>
    <w:rPr>
      <w:rFonts w:ascii="宋体"/>
      <w:kern w:val="0"/>
      <w:sz w:val="18"/>
      <w:szCs w:val="18"/>
    </w:rPr>
  </w:style>
  <w:style w:type="paragraph" w:styleId="44">
    <w:name w:val="Title"/>
    <w:basedOn w:val="1"/>
    <w:next w:val="1"/>
    <w:link w:val="93"/>
    <w:qFormat/>
    <w:uiPriority w:val="0"/>
    <w:pPr>
      <w:spacing w:before="240" w:after="60"/>
      <w:jc w:val="center"/>
      <w:outlineLvl w:val="0"/>
    </w:pPr>
    <w:rPr>
      <w:rFonts w:ascii="Cambria" w:hAnsi="Cambria"/>
      <w:b/>
      <w:sz w:val="32"/>
      <w:szCs w:val="20"/>
    </w:rPr>
  </w:style>
  <w:style w:type="paragraph" w:styleId="45">
    <w:name w:val="annotation subject"/>
    <w:basedOn w:val="20"/>
    <w:next w:val="20"/>
    <w:link w:val="94"/>
    <w:qFormat/>
    <w:uiPriority w:val="0"/>
    <w:rPr>
      <w:b/>
      <w:bCs/>
      <w:szCs w:val="24"/>
    </w:rPr>
  </w:style>
  <w:style w:type="paragraph" w:styleId="46">
    <w:name w:val="Body Text First Indent"/>
    <w:basedOn w:val="19"/>
    <w:link w:val="95"/>
    <w:qFormat/>
    <w:uiPriority w:val="99"/>
    <w:pPr>
      <w:ind w:firstLine="420" w:firstLineChars="100"/>
    </w:pPr>
    <w:rPr>
      <w:rFonts w:ascii="Times New Roman" w:hAnsi="Times New Roman"/>
      <w:szCs w:val="20"/>
    </w:rPr>
  </w:style>
  <w:style w:type="table" w:styleId="48">
    <w:name w:val="Table Grid"/>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b/>
      <w:bCs/>
    </w:rPr>
  </w:style>
  <w:style w:type="character" w:styleId="51">
    <w:name w:val="endnote reference"/>
    <w:qFormat/>
    <w:uiPriority w:val="0"/>
    <w:rPr>
      <w:vertAlign w:val="superscript"/>
    </w:rPr>
  </w:style>
  <w:style w:type="character" w:styleId="52">
    <w:name w:val="page number"/>
    <w:uiPriority w:val="0"/>
  </w:style>
  <w:style w:type="character" w:styleId="53">
    <w:name w:val="FollowedHyperlink"/>
    <w:uiPriority w:val="0"/>
    <w:rPr>
      <w:color w:val="3D3D3D"/>
      <w:u w:val="none"/>
    </w:rPr>
  </w:style>
  <w:style w:type="character" w:styleId="54">
    <w:name w:val="Emphasis"/>
    <w:qFormat/>
    <w:uiPriority w:val="0"/>
    <w:rPr>
      <w:b/>
    </w:rPr>
  </w:style>
  <w:style w:type="character" w:styleId="55">
    <w:name w:val="HTML Definition"/>
    <w:qFormat/>
    <w:uiPriority w:val="0"/>
  </w:style>
  <w:style w:type="character" w:styleId="56">
    <w:name w:val="HTML Typewriter"/>
    <w:qFormat/>
    <w:uiPriority w:val="0"/>
    <w:rPr>
      <w:rFonts w:hint="default" w:ascii="monospace" w:hAnsi="monospace" w:eastAsia="monospace" w:cs="monospace"/>
      <w:vanish/>
      <w:sz w:val="20"/>
    </w:rPr>
  </w:style>
  <w:style w:type="character" w:styleId="57">
    <w:name w:val="HTML Acronym"/>
    <w:uiPriority w:val="0"/>
  </w:style>
  <w:style w:type="character" w:styleId="58">
    <w:name w:val="HTML Variable"/>
    <w:qFormat/>
    <w:uiPriority w:val="0"/>
  </w:style>
  <w:style w:type="character" w:styleId="59">
    <w:name w:val="Hyperlink"/>
    <w:uiPriority w:val="99"/>
    <w:rPr>
      <w:color w:val="3D3D3D"/>
      <w:u w:val="none"/>
    </w:rPr>
  </w:style>
  <w:style w:type="character" w:styleId="60">
    <w:name w:val="HTML Code"/>
    <w:qFormat/>
    <w:uiPriority w:val="0"/>
    <w:rPr>
      <w:rFonts w:ascii="Courier New" w:hAnsi="Courier New"/>
      <w:sz w:val="20"/>
    </w:rPr>
  </w:style>
  <w:style w:type="character" w:styleId="61">
    <w:name w:val="annotation reference"/>
    <w:qFormat/>
    <w:uiPriority w:val="0"/>
    <w:rPr>
      <w:sz w:val="21"/>
      <w:szCs w:val="21"/>
    </w:rPr>
  </w:style>
  <w:style w:type="character" w:styleId="62">
    <w:name w:val="HTML Cite"/>
    <w:qFormat/>
    <w:uiPriority w:val="0"/>
  </w:style>
  <w:style w:type="character" w:styleId="63">
    <w:name w:val="footnote reference"/>
    <w:qFormat/>
    <w:uiPriority w:val="0"/>
    <w:rPr>
      <w:vertAlign w:val="superscript"/>
    </w:rPr>
  </w:style>
  <w:style w:type="character" w:styleId="64">
    <w:name w:val="HTML Keyboard"/>
    <w:uiPriority w:val="0"/>
    <w:rPr>
      <w:rFonts w:hint="default" w:ascii="monospace" w:hAnsi="monospace" w:eastAsia="monospace" w:cs="monospace"/>
      <w:sz w:val="20"/>
    </w:rPr>
  </w:style>
  <w:style w:type="character" w:styleId="65">
    <w:name w:val="HTML Sample"/>
    <w:qFormat/>
    <w:uiPriority w:val="0"/>
    <w:rPr>
      <w:rFonts w:ascii="monospace" w:hAnsi="monospace" w:eastAsia="monospace" w:cs="monospace"/>
    </w:rPr>
  </w:style>
  <w:style w:type="character" w:customStyle="1" w:styleId="66">
    <w:name w:val="标题 1 字符"/>
    <w:link w:val="3"/>
    <w:qFormat/>
    <w:uiPriority w:val="0"/>
    <w:rPr>
      <w:b/>
      <w:bCs/>
      <w:kern w:val="44"/>
      <w:sz w:val="44"/>
      <w:szCs w:val="44"/>
    </w:rPr>
  </w:style>
  <w:style w:type="character" w:customStyle="1" w:styleId="67">
    <w:name w:val="标题 2 字符"/>
    <w:link w:val="4"/>
    <w:uiPriority w:val="0"/>
    <w:rPr>
      <w:rFonts w:ascii="Arial" w:hAnsi="Arial" w:eastAsia="黑体"/>
      <w:b/>
      <w:bCs/>
      <w:kern w:val="2"/>
      <w:sz w:val="32"/>
      <w:szCs w:val="32"/>
    </w:rPr>
  </w:style>
  <w:style w:type="character" w:customStyle="1" w:styleId="68">
    <w:name w:val="标题 3 字符"/>
    <w:link w:val="5"/>
    <w:qFormat/>
    <w:uiPriority w:val="0"/>
    <w:rPr>
      <w:b/>
      <w:bCs/>
      <w:kern w:val="2"/>
      <w:sz w:val="32"/>
      <w:szCs w:val="32"/>
    </w:rPr>
  </w:style>
  <w:style w:type="character" w:customStyle="1" w:styleId="69">
    <w:name w:val="标题 4 字符"/>
    <w:link w:val="6"/>
    <w:uiPriority w:val="0"/>
    <w:rPr>
      <w:rFonts w:ascii="Arial" w:hAnsi="Arial" w:eastAsia="黑体"/>
      <w:b/>
      <w:kern w:val="2"/>
      <w:sz w:val="28"/>
    </w:rPr>
  </w:style>
  <w:style w:type="character" w:customStyle="1" w:styleId="70">
    <w:name w:val="标题 5 字符"/>
    <w:link w:val="7"/>
    <w:uiPriority w:val="0"/>
    <w:rPr>
      <w:rFonts w:ascii="Times New Roman" w:hAnsi="Times New Roman"/>
      <w:b/>
      <w:kern w:val="2"/>
      <w:sz w:val="28"/>
    </w:rPr>
  </w:style>
  <w:style w:type="character" w:customStyle="1" w:styleId="71">
    <w:name w:val="标题 6 字符"/>
    <w:link w:val="8"/>
    <w:uiPriority w:val="0"/>
    <w:rPr>
      <w:rFonts w:ascii="Arial" w:hAnsi="Arial" w:eastAsia="黑体"/>
      <w:b/>
      <w:kern w:val="2"/>
      <w:sz w:val="24"/>
    </w:rPr>
  </w:style>
  <w:style w:type="character" w:customStyle="1" w:styleId="72">
    <w:name w:val="标题 7 字符"/>
    <w:link w:val="9"/>
    <w:qFormat/>
    <w:uiPriority w:val="0"/>
    <w:rPr>
      <w:rFonts w:ascii="Times New Roman" w:hAnsi="Times New Roman"/>
      <w:b/>
      <w:kern w:val="2"/>
      <w:sz w:val="24"/>
    </w:rPr>
  </w:style>
  <w:style w:type="character" w:customStyle="1" w:styleId="73">
    <w:name w:val="标题 8 字符"/>
    <w:link w:val="10"/>
    <w:qFormat/>
    <w:uiPriority w:val="0"/>
    <w:rPr>
      <w:rFonts w:ascii="Arial" w:hAnsi="Arial" w:eastAsia="黑体"/>
      <w:kern w:val="2"/>
      <w:sz w:val="24"/>
    </w:rPr>
  </w:style>
  <w:style w:type="character" w:customStyle="1" w:styleId="74">
    <w:name w:val="标题 9 字符"/>
    <w:link w:val="11"/>
    <w:qFormat/>
    <w:uiPriority w:val="0"/>
    <w:rPr>
      <w:rFonts w:ascii="Arial" w:hAnsi="Arial" w:eastAsia="黑体"/>
      <w:kern w:val="2"/>
      <w:sz w:val="21"/>
    </w:rPr>
  </w:style>
  <w:style w:type="character" w:customStyle="1" w:styleId="75">
    <w:name w:val="注释标题 字符"/>
    <w:link w:val="13"/>
    <w:uiPriority w:val="0"/>
    <w:rPr>
      <w:rFonts w:ascii="Times New Roman" w:hAnsi="Times New Roman"/>
      <w:kern w:val="2"/>
      <w:sz w:val="21"/>
    </w:rPr>
  </w:style>
  <w:style w:type="character" w:customStyle="1" w:styleId="76">
    <w:name w:val="正文缩进 字符"/>
    <w:link w:val="15"/>
    <w:qFormat/>
    <w:uiPriority w:val="0"/>
    <w:rPr>
      <w:kern w:val="2"/>
      <w:sz w:val="21"/>
      <w:szCs w:val="24"/>
    </w:rPr>
  </w:style>
  <w:style w:type="character" w:customStyle="1" w:styleId="77">
    <w:name w:val="文档结构图 字符"/>
    <w:link w:val="18"/>
    <w:qFormat/>
    <w:uiPriority w:val="99"/>
    <w:rPr>
      <w:rFonts w:ascii="宋体"/>
      <w:kern w:val="2"/>
      <w:sz w:val="18"/>
      <w:szCs w:val="18"/>
    </w:rPr>
  </w:style>
  <w:style w:type="character" w:customStyle="1" w:styleId="78">
    <w:name w:val="正文文本 字符1"/>
    <w:link w:val="19"/>
    <w:qFormat/>
    <w:uiPriority w:val="0"/>
    <w:rPr>
      <w:kern w:val="2"/>
      <w:sz w:val="21"/>
      <w:szCs w:val="24"/>
    </w:rPr>
  </w:style>
  <w:style w:type="character" w:customStyle="1" w:styleId="79">
    <w:name w:val="批注文字 字符"/>
    <w:link w:val="20"/>
    <w:qFormat/>
    <w:uiPriority w:val="99"/>
    <w:rPr>
      <w:kern w:val="2"/>
      <w:sz w:val="21"/>
      <w:szCs w:val="22"/>
    </w:rPr>
  </w:style>
  <w:style w:type="character" w:customStyle="1" w:styleId="80">
    <w:name w:val="正文文本缩进 字符"/>
    <w:link w:val="21"/>
    <w:qFormat/>
    <w:uiPriority w:val="0"/>
    <w:rPr>
      <w:kern w:val="2"/>
      <w:sz w:val="32"/>
    </w:rPr>
  </w:style>
  <w:style w:type="character" w:customStyle="1" w:styleId="81">
    <w:name w:val="纯文本 字符"/>
    <w:link w:val="24"/>
    <w:qFormat/>
    <w:uiPriority w:val="0"/>
    <w:rPr>
      <w:rFonts w:ascii="宋体" w:hAnsi="Courier New" w:cs="Courier New"/>
      <w:kern w:val="2"/>
      <w:sz w:val="21"/>
      <w:szCs w:val="21"/>
    </w:rPr>
  </w:style>
  <w:style w:type="character" w:customStyle="1" w:styleId="82">
    <w:name w:val="日期 字符"/>
    <w:link w:val="26"/>
    <w:uiPriority w:val="0"/>
    <w:rPr>
      <w:rFonts w:ascii="Times New Roman" w:hAnsi="Times New Roman" w:eastAsia="黑体"/>
      <w:kern w:val="2"/>
      <w:sz w:val="36"/>
    </w:rPr>
  </w:style>
  <w:style w:type="character" w:customStyle="1" w:styleId="83">
    <w:name w:val="正文文本缩进 2 字符"/>
    <w:link w:val="27"/>
    <w:uiPriority w:val="0"/>
    <w:rPr>
      <w:rFonts w:ascii="方正仿宋简体" w:hAnsi="Times New Roman" w:eastAsia="方正仿宋简体"/>
      <w:kern w:val="2"/>
      <w:sz w:val="32"/>
    </w:rPr>
  </w:style>
  <w:style w:type="character" w:customStyle="1" w:styleId="84">
    <w:name w:val="尾注文本 字符"/>
    <w:link w:val="28"/>
    <w:uiPriority w:val="0"/>
    <w:rPr>
      <w:kern w:val="2"/>
      <w:sz w:val="21"/>
      <w:szCs w:val="24"/>
    </w:rPr>
  </w:style>
  <w:style w:type="character" w:customStyle="1" w:styleId="85">
    <w:name w:val="批注框文本 字符"/>
    <w:link w:val="29"/>
    <w:uiPriority w:val="0"/>
    <w:rPr>
      <w:kern w:val="2"/>
      <w:sz w:val="18"/>
      <w:szCs w:val="18"/>
    </w:rPr>
  </w:style>
  <w:style w:type="character" w:customStyle="1" w:styleId="86">
    <w:name w:val="页脚 字符1"/>
    <w:link w:val="30"/>
    <w:qFormat/>
    <w:uiPriority w:val="99"/>
    <w:rPr>
      <w:kern w:val="2"/>
      <w:sz w:val="18"/>
    </w:rPr>
  </w:style>
  <w:style w:type="character" w:customStyle="1" w:styleId="87">
    <w:name w:val="页眉 字符"/>
    <w:link w:val="31"/>
    <w:qFormat/>
    <w:uiPriority w:val="0"/>
    <w:rPr>
      <w:kern w:val="2"/>
      <w:sz w:val="18"/>
    </w:rPr>
  </w:style>
  <w:style w:type="character" w:customStyle="1" w:styleId="88">
    <w:name w:val="副标题 字符"/>
    <w:link w:val="34"/>
    <w:qFormat/>
    <w:uiPriority w:val="0"/>
    <w:rPr>
      <w:rFonts w:ascii="Cambria" w:hAnsi="Cambria"/>
      <w:b/>
      <w:kern w:val="28"/>
      <w:sz w:val="32"/>
    </w:rPr>
  </w:style>
  <w:style w:type="character" w:customStyle="1" w:styleId="89">
    <w:name w:val="脚注文本 字符"/>
    <w:link w:val="36"/>
    <w:qFormat/>
    <w:uiPriority w:val="0"/>
    <w:rPr>
      <w:kern w:val="2"/>
      <w:sz w:val="18"/>
      <w:szCs w:val="18"/>
    </w:rPr>
  </w:style>
  <w:style w:type="character" w:customStyle="1" w:styleId="90">
    <w:name w:val="正文文本缩进 3 字符"/>
    <w:link w:val="38"/>
    <w:qFormat/>
    <w:uiPriority w:val="0"/>
    <w:rPr>
      <w:rFonts w:ascii="Times New Roman" w:hAnsi="Times New Roman"/>
      <w:kern w:val="2"/>
      <w:sz w:val="16"/>
    </w:rPr>
  </w:style>
  <w:style w:type="character" w:customStyle="1" w:styleId="91">
    <w:name w:val="正文文本 2 字符"/>
    <w:link w:val="41"/>
    <w:qFormat/>
    <w:uiPriority w:val="0"/>
    <w:rPr>
      <w:rFonts w:ascii="Times New Roman" w:hAnsi="Times New Roman"/>
      <w:kern w:val="2"/>
      <w:sz w:val="21"/>
    </w:rPr>
  </w:style>
  <w:style w:type="character" w:customStyle="1" w:styleId="92">
    <w:name w:val="HTML 预设格式 字符"/>
    <w:link w:val="42"/>
    <w:qFormat/>
    <w:uiPriority w:val="99"/>
    <w:rPr>
      <w:rFonts w:ascii="宋体" w:hAnsi="宋体"/>
      <w:sz w:val="24"/>
      <w:szCs w:val="24"/>
    </w:rPr>
  </w:style>
  <w:style w:type="character" w:customStyle="1" w:styleId="93">
    <w:name w:val="标题 字符"/>
    <w:link w:val="44"/>
    <w:qFormat/>
    <w:uiPriority w:val="0"/>
    <w:rPr>
      <w:rFonts w:ascii="Cambria" w:hAnsi="Cambria"/>
      <w:b/>
      <w:kern w:val="2"/>
      <w:sz w:val="32"/>
    </w:rPr>
  </w:style>
  <w:style w:type="character" w:customStyle="1" w:styleId="94">
    <w:name w:val="批注主题 字符"/>
    <w:link w:val="45"/>
    <w:qFormat/>
    <w:uiPriority w:val="0"/>
    <w:rPr>
      <w:b/>
      <w:bCs/>
      <w:kern w:val="2"/>
      <w:sz w:val="21"/>
      <w:szCs w:val="24"/>
    </w:rPr>
  </w:style>
  <w:style w:type="character" w:customStyle="1" w:styleId="95">
    <w:name w:val="正文文本首行缩进 字符"/>
    <w:link w:val="46"/>
    <w:qFormat/>
    <w:uiPriority w:val="99"/>
  </w:style>
  <w:style w:type="character" w:customStyle="1" w:styleId="96">
    <w:name w:val="标题 2 字符1"/>
    <w:link w:val="4"/>
    <w:qFormat/>
    <w:uiPriority w:val="9"/>
    <w:rPr>
      <w:rFonts w:ascii="Cambria" w:hAnsi="Cambria" w:eastAsia="宋体" w:cs="Times New Roman"/>
      <w:b/>
      <w:bCs/>
      <w:kern w:val="2"/>
      <w:sz w:val="32"/>
      <w:szCs w:val="32"/>
    </w:rPr>
  </w:style>
  <w:style w:type="character" w:customStyle="1" w:styleId="97">
    <w:name w:val="文档正文 Char"/>
    <w:link w:val="98"/>
    <w:qFormat/>
    <w:uiPriority w:val="0"/>
    <w:rPr>
      <w:rFonts w:ascii="宋体" w:hAnsi="宋体"/>
      <w:sz w:val="28"/>
    </w:rPr>
  </w:style>
  <w:style w:type="paragraph" w:customStyle="1" w:styleId="98">
    <w:name w:val="文档正文"/>
    <w:basedOn w:val="1"/>
    <w:link w:val="97"/>
    <w:qFormat/>
    <w:uiPriority w:val="0"/>
    <w:pPr>
      <w:adjustRightInd w:val="0"/>
      <w:spacing w:line="480" w:lineRule="exact"/>
      <w:ind w:firstLine="567" w:firstLineChars="200"/>
      <w:textAlignment w:val="baseline"/>
    </w:pPr>
    <w:rPr>
      <w:rFonts w:ascii="宋体" w:hAnsi="宋体"/>
      <w:kern w:val="0"/>
      <w:sz w:val="28"/>
      <w:szCs w:val="20"/>
    </w:rPr>
  </w:style>
  <w:style w:type="character" w:customStyle="1" w:styleId="99">
    <w:name w:val="正文文本 Char"/>
    <w:qFormat/>
    <w:uiPriority w:val="0"/>
    <w:rPr>
      <w:rFonts w:ascii="Times New Roman" w:hAnsi="Times New Roman"/>
      <w:kern w:val="2"/>
      <w:sz w:val="21"/>
    </w:rPr>
  </w:style>
  <w:style w:type="character" w:customStyle="1" w:styleId="100">
    <w:name w:val="样式1 Char"/>
    <w:link w:val="101"/>
    <w:qFormat/>
    <w:uiPriority w:val="0"/>
    <w:rPr>
      <w:rFonts w:ascii="宋体" w:hAnsi="宋体"/>
      <w:sz w:val="28"/>
    </w:rPr>
  </w:style>
  <w:style w:type="paragraph" w:customStyle="1" w:styleId="101">
    <w:name w:val="样式1"/>
    <w:basedOn w:val="43"/>
    <w:link w:val="100"/>
    <w:qFormat/>
    <w:uiPriority w:val="0"/>
    <w:pPr>
      <w:spacing w:line="400" w:lineRule="exact"/>
      <w:ind w:firstLine="496" w:firstLineChars="177"/>
    </w:pPr>
    <w:rPr>
      <w:rFonts w:hAnsi="宋体"/>
      <w:sz w:val="28"/>
      <w:szCs w:val="20"/>
    </w:rPr>
  </w:style>
  <w:style w:type="character" w:customStyle="1" w:styleId="102">
    <w:name w:val="标题 Char1"/>
    <w:qFormat/>
    <w:uiPriority w:val="10"/>
    <w:rPr>
      <w:rFonts w:ascii="Cambria" w:hAnsi="Cambria" w:cs="Times New Roman"/>
      <w:b/>
      <w:bCs/>
      <w:kern w:val="2"/>
      <w:sz w:val="32"/>
      <w:szCs w:val="32"/>
    </w:rPr>
  </w:style>
  <w:style w:type="character" w:customStyle="1" w:styleId="103">
    <w:name w:val="正文四号 Char"/>
    <w:link w:val="104"/>
    <w:qFormat/>
    <w:uiPriority w:val="0"/>
    <w:rPr>
      <w:rFonts w:ascii="仿宋" w:hAnsi="仿宋" w:eastAsia="仿宋"/>
      <w:sz w:val="24"/>
    </w:rPr>
  </w:style>
  <w:style w:type="paragraph" w:customStyle="1" w:styleId="104">
    <w:name w:val="正文四号"/>
    <w:basedOn w:val="1"/>
    <w:link w:val="103"/>
    <w:qFormat/>
    <w:uiPriority w:val="0"/>
    <w:pPr>
      <w:spacing w:line="360" w:lineRule="auto"/>
      <w:ind w:firstLine="200" w:firstLineChars="200"/>
    </w:pPr>
    <w:rPr>
      <w:rFonts w:ascii="仿宋" w:hAnsi="仿宋" w:eastAsia="仿宋"/>
      <w:kern w:val="0"/>
      <w:sz w:val="24"/>
      <w:szCs w:val="20"/>
    </w:rPr>
  </w:style>
  <w:style w:type="character" w:customStyle="1" w:styleId="105">
    <w:name w:val="批注文字 Char1"/>
    <w:qFormat/>
    <w:uiPriority w:val="99"/>
    <w:rPr>
      <w:kern w:val="2"/>
      <w:sz w:val="21"/>
      <w:szCs w:val="24"/>
    </w:rPr>
  </w:style>
  <w:style w:type="character" w:customStyle="1" w:styleId="106">
    <w:name w:val="img1"/>
    <w:qFormat/>
    <w:uiPriority w:val="0"/>
  </w:style>
  <w:style w:type="character" w:customStyle="1" w:styleId="107">
    <w:name w:val="批注框文本 Char1"/>
    <w:semiHidden/>
    <w:qFormat/>
    <w:uiPriority w:val="99"/>
    <w:rPr>
      <w:kern w:val="2"/>
      <w:sz w:val="18"/>
      <w:szCs w:val="18"/>
    </w:rPr>
  </w:style>
  <w:style w:type="character" w:customStyle="1" w:styleId="108">
    <w:name w:val="正文不空 Char"/>
    <w:link w:val="109"/>
    <w:qFormat/>
    <w:uiPriority w:val="0"/>
    <w:rPr>
      <w:rFonts w:ascii="Arial" w:hAnsi="Arial" w:eastAsia="仿宋_GB2312"/>
      <w:kern w:val="2"/>
      <w:sz w:val="28"/>
    </w:rPr>
  </w:style>
  <w:style w:type="paragraph" w:customStyle="1" w:styleId="109">
    <w:name w:val="正文不空"/>
    <w:basedOn w:val="1"/>
    <w:link w:val="108"/>
    <w:qFormat/>
    <w:uiPriority w:val="0"/>
    <w:pPr>
      <w:spacing w:line="360" w:lineRule="auto"/>
      <w:jc w:val="center"/>
    </w:pPr>
    <w:rPr>
      <w:rFonts w:ascii="Arial" w:hAnsi="Arial" w:eastAsia="仿宋_GB2312"/>
      <w:sz w:val="28"/>
      <w:szCs w:val="20"/>
    </w:rPr>
  </w:style>
  <w:style w:type="character" w:customStyle="1" w:styleId="110">
    <w:name w:val="font51"/>
    <w:qFormat/>
    <w:uiPriority w:val="0"/>
    <w:rPr>
      <w:rFonts w:hint="eastAsia" w:ascii="宋体" w:hAnsi="宋体" w:eastAsia="宋体" w:cs="宋体"/>
      <w:color w:val="000000"/>
      <w:sz w:val="20"/>
      <w:szCs w:val="20"/>
      <w:u w:val="none"/>
    </w:rPr>
  </w:style>
  <w:style w:type="character" w:customStyle="1" w:styleId="111">
    <w:name w:val="脚注文本 字符1"/>
    <w:semiHidden/>
    <w:qFormat/>
    <w:uiPriority w:val="99"/>
    <w:rPr>
      <w:rFonts w:ascii="Times New Roman" w:hAnsi="Times New Roman" w:eastAsia="宋体" w:cs="Times New Roman"/>
      <w:kern w:val="2"/>
      <w:sz w:val="18"/>
      <w:szCs w:val="18"/>
    </w:rPr>
  </w:style>
  <w:style w:type="character" w:customStyle="1" w:styleId="112">
    <w:name w:val="hover1"/>
    <w:qFormat/>
    <w:uiPriority w:val="0"/>
    <w:rPr>
      <w:color w:val="2590EB"/>
    </w:rPr>
  </w:style>
  <w:style w:type="character" w:customStyle="1" w:styleId="113">
    <w:name w:val="页眉 Char1"/>
    <w:semiHidden/>
    <w:qFormat/>
    <w:uiPriority w:val="99"/>
    <w:rPr>
      <w:rFonts w:ascii="Calibri" w:hAnsi="Calibri" w:eastAsia="宋体" w:cs="Times New Roman"/>
      <w:sz w:val="18"/>
      <w:szCs w:val="18"/>
    </w:rPr>
  </w:style>
  <w:style w:type="character" w:customStyle="1" w:styleId="114">
    <w:name w:val="font41"/>
    <w:qFormat/>
    <w:uiPriority w:val="0"/>
    <w:rPr>
      <w:rFonts w:hint="eastAsia" w:ascii="宋体" w:hAnsi="宋体" w:eastAsia="宋体" w:cs="宋体"/>
      <w:b/>
      <w:color w:val="000000"/>
      <w:sz w:val="20"/>
      <w:szCs w:val="20"/>
      <w:u w:val="none"/>
    </w:rPr>
  </w:style>
  <w:style w:type="character" w:customStyle="1" w:styleId="115">
    <w:name w:val="正文文本缩进 2 字符1"/>
    <w:semiHidden/>
    <w:qFormat/>
    <w:uiPriority w:val="99"/>
    <w:rPr>
      <w:rFonts w:ascii="Times New Roman" w:hAnsi="Times New Roman" w:eastAsia="宋体" w:cs="Times New Roman"/>
      <w:kern w:val="2"/>
      <w:sz w:val="21"/>
      <w:szCs w:val="22"/>
    </w:rPr>
  </w:style>
  <w:style w:type="character" w:customStyle="1" w:styleId="116">
    <w:name w:val="正文缩进 Char1"/>
    <w:qFormat/>
    <w:uiPriority w:val="0"/>
    <w:rPr>
      <w:rFonts w:eastAsia="宋体"/>
      <w:kern w:val="2"/>
      <w:sz w:val="30"/>
      <w:lang w:val="en-US" w:eastAsia="zh-CN" w:bidi="ar-SA"/>
    </w:rPr>
  </w:style>
  <w:style w:type="character" w:customStyle="1" w:styleId="117">
    <w:name w:val="正文首行缩进两字符 Char"/>
    <w:link w:val="118"/>
    <w:qFormat/>
    <w:uiPriority w:val="0"/>
    <w:rPr>
      <w:kern w:val="2"/>
      <w:sz w:val="21"/>
      <w:szCs w:val="24"/>
    </w:rPr>
  </w:style>
  <w:style w:type="paragraph" w:customStyle="1" w:styleId="118">
    <w:name w:val="正文首行缩进两字符"/>
    <w:basedOn w:val="1"/>
    <w:link w:val="117"/>
    <w:qFormat/>
    <w:uiPriority w:val="0"/>
    <w:pPr>
      <w:spacing w:line="360" w:lineRule="auto"/>
      <w:ind w:firstLine="200" w:firstLineChars="200"/>
    </w:pPr>
  </w:style>
  <w:style w:type="character" w:customStyle="1" w:styleId="119">
    <w:name w:val="批注框文本 Char2"/>
    <w:qFormat/>
    <w:uiPriority w:val="0"/>
    <w:rPr>
      <w:kern w:val="2"/>
      <w:sz w:val="18"/>
      <w:szCs w:val="18"/>
    </w:rPr>
  </w:style>
  <w:style w:type="character" w:customStyle="1" w:styleId="120">
    <w:name w:val="NormalCharacter"/>
    <w:qFormat/>
    <w:uiPriority w:val="0"/>
  </w:style>
  <w:style w:type="character" w:customStyle="1" w:styleId="121">
    <w:name w:val="正文文本缩进 Char1"/>
    <w:qFormat/>
    <w:uiPriority w:val="0"/>
    <w:rPr>
      <w:kern w:val="2"/>
      <w:sz w:val="21"/>
      <w:szCs w:val="22"/>
    </w:rPr>
  </w:style>
  <w:style w:type="character" w:customStyle="1" w:styleId="122">
    <w:name w:val="页脚 字符"/>
    <w:qFormat/>
    <w:uiPriority w:val="99"/>
    <w:rPr>
      <w:sz w:val="18"/>
      <w:szCs w:val="18"/>
    </w:rPr>
  </w:style>
  <w:style w:type="character" w:customStyle="1" w:styleId="123">
    <w:name w:val="font31"/>
    <w:qFormat/>
    <w:uiPriority w:val="0"/>
    <w:rPr>
      <w:rFonts w:hint="eastAsia" w:ascii="宋体" w:hAnsi="宋体" w:eastAsia="宋体" w:cs="宋体"/>
      <w:color w:val="000000"/>
      <w:sz w:val="20"/>
      <w:szCs w:val="20"/>
      <w:u w:val="none"/>
    </w:rPr>
  </w:style>
  <w:style w:type="character" w:customStyle="1" w:styleId="124">
    <w:name w:val="样式 Char"/>
    <w:link w:val="125"/>
    <w:qFormat/>
    <w:uiPriority w:val="0"/>
    <w:rPr>
      <w:rFonts w:ascii="宋体" w:hAnsi="宋体" w:cs="宋体"/>
      <w:sz w:val="24"/>
      <w:szCs w:val="24"/>
      <w:lang w:val="en-US" w:eastAsia="zh-CN" w:bidi="ar-SA"/>
    </w:rPr>
  </w:style>
  <w:style w:type="paragraph" w:customStyle="1" w:styleId="125">
    <w:name w:val="样式"/>
    <w:link w:val="124"/>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26">
    <w:name w:val="正文首行缩进 Char1"/>
    <w:qFormat/>
    <w:uiPriority w:val="0"/>
  </w:style>
  <w:style w:type="character" w:customStyle="1" w:styleId="127">
    <w:name w:val="尾注文本 字符1"/>
    <w:semiHidden/>
    <w:qFormat/>
    <w:uiPriority w:val="99"/>
    <w:rPr>
      <w:rFonts w:ascii="Times New Roman" w:hAnsi="Times New Roman" w:eastAsia="宋体" w:cs="Times New Roman"/>
      <w:kern w:val="2"/>
      <w:sz w:val="21"/>
      <w:szCs w:val="22"/>
    </w:rPr>
  </w:style>
  <w:style w:type="character" w:customStyle="1" w:styleId="128">
    <w:name w:val="文档结构图 Char1"/>
    <w:qFormat/>
    <w:uiPriority w:val="0"/>
    <w:rPr>
      <w:rFonts w:ascii="宋体"/>
      <w:kern w:val="2"/>
      <w:sz w:val="18"/>
      <w:szCs w:val="18"/>
    </w:rPr>
  </w:style>
  <w:style w:type="character" w:customStyle="1" w:styleId="129">
    <w:name w:val="正文文本缩进 3 Char1"/>
    <w:qFormat/>
    <w:uiPriority w:val="0"/>
    <w:rPr>
      <w:kern w:val="2"/>
      <w:sz w:val="16"/>
      <w:szCs w:val="16"/>
    </w:rPr>
  </w:style>
  <w:style w:type="character" w:customStyle="1" w:styleId="130">
    <w:name w:val="hover2"/>
    <w:qFormat/>
    <w:uiPriority w:val="0"/>
    <w:rPr>
      <w:color w:val="2590EB"/>
    </w:rPr>
  </w:style>
  <w:style w:type="character" w:customStyle="1" w:styleId="131">
    <w:name w:val="font21"/>
    <w:qFormat/>
    <w:uiPriority w:val="0"/>
    <w:rPr>
      <w:rFonts w:hint="eastAsia" w:ascii="宋体" w:hAnsi="宋体" w:eastAsia="宋体" w:cs="宋体"/>
      <w:b/>
      <w:color w:val="000000"/>
      <w:sz w:val="24"/>
      <w:szCs w:val="24"/>
      <w:u w:val="none"/>
    </w:rPr>
  </w:style>
  <w:style w:type="character" w:customStyle="1" w:styleId="132">
    <w:name w:val="样式91"/>
    <w:qFormat/>
    <w:uiPriority w:val="0"/>
    <w:rPr>
      <w:rFonts w:hint="default" w:ascii="Times New Roman" w:hAnsi="Times New Roman" w:cs="Times New Roman"/>
    </w:rPr>
  </w:style>
  <w:style w:type="character" w:customStyle="1" w:styleId="133">
    <w:name w:val="副标题 Char2"/>
    <w:qFormat/>
    <w:uiPriority w:val="0"/>
    <w:rPr>
      <w:rFonts w:ascii="Cambria" w:hAnsi="Cambria" w:cs="Times New Roman"/>
      <w:b/>
      <w:bCs/>
      <w:kern w:val="28"/>
      <w:sz w:val="32"/>
      <w:szCs w:val="32"/>
    </w:rPr>
  </w:style>
  <w:style w:type="character" w:customStyle="1" w:styleId="134">
    <w:name w:val="页脚 Char"/>
    <w:qFormat/>
    <w:uiPriority w:val="99"/>
    <w:rPr>
      <w:rFonts w:ascii="Times New Roman" w:hAnsi="Times New Roman" w:eastAsia="宋体" w:cs="Times New Roman"/>
      <w:sz w:val="18"/>
      <w:szCs w:val="18"/>
    </w:rPr>
  </w:style>
  <w:style w:type="character" w:customStyle="1" w:styleId="135">
    <w:name w:val="WO正文 Char"/>
    <w:link w:val="136"/>
    <w:qFormat/>
    <w:uiPriority w:val="0"/>
    <w:rPr>
      <w:kern w:val="2"/>
      <w:sz w:val="24"/>
      <w:szCs w:val="28"/>
    </w:rPr>
  </w:style>
  <w:style w:type="paragraph" w:customStyle="1" w:styleId="136">
    <w:name w:val="WO正文"/>
    <w:basedOn w:val="1"/>
    <w:link w:val="135"/>
    <w:qFormat/>
    <w:uiPriority w:val="0"/>
    <w:pPr>
      <w:spacing w:before="120" w:after="120" w:line="360" w:lineRule="auto"/>
      <w:ind w:firstLine="200" w:firstLineChars="200"/>
      <w:jc w:val="left"/>
    </w:pPr>
    <w:rPr>
      <w:sz w:val="24"/>
      <w:szCs w:val="28"/>
    </w:rPr>
  </w:style>
  <w:style w:type="character" w:customStyle="1" w:styleId="137">
    <w:name w:val="注释标题 Char1"/>
    <w:qFormat/>
    <w:uiPriority w:val="0"/>
    <w:rPr>
      <w:kern w:val="2"/>
      <w:sz w:val="21"/>
      <w:szCs w:val="24"/>
    </w:rPr>
  </w:style>
  <w:style w:type="character" w:customStyle="1" w:styleId="138">
    <w:name w:val="正文文本缩进 3 字符1"/>
    <w:semiHidden/>
    <w:qFormat/>
    <w:uiPriority w:val="99"/>
    <w:rPr>
      <w:rFonts w:ascii="Times New Roman" w:hAnsi="Times New Roman" w:eastAsia="宋体" w:cs="Times New Roman"/>
      <w:kern w:val="2"/>
      <w:sz w:val="16"/>
      <w:szCs w:val="16"/>
    </w:rPr>
  </w:style>
  <w:style w:type="character" w:customStyle="1" w:styleId="139">
    <w:name w:val="font01"/>
    <w:qFormat/>
    <w:uiPriority w:val="0"/>
    <w:rPr>
      <w:rFonts w:hint="eastAsia" w:ascii="宋体" w:hAnsi="宋体" w:eastAsia="宋体" w:cs="宋体"/>
      <w:color w:val="000000"/>
      <w:sz w:val="20"/>
      <w:szCs w:val="20"/>
      <w:u w:val="none"/>
    </w:rPr>
  </w:style>
  <w:style w:type="character" w:customStyle="1" w:styleId="140">
    <w:name w:val="正文文本缩进 Char"/>
    <w:qFormat/>
    <w:uiPriority w:val="0"/>
    <w:rPr>
      <w:rFonts w:ascii="Calibri" w:hAnsi="Calibri" w:eastAsia="宋体" w:cs="Times New Roman"/>
      <w:kern w:val="2"/>
      <w:sz w:val="21"/>
      <w:szCs w:val="24"/>
    </w:rPr>
  </w:style>
  <w:style w:type="character" w:customStyle="1" w:styleId="141">
    <w:name w:val="表格文字 Char"/>
    <w:link w:val="142"/>
    <w:qFormat/>
    <w:uiPriority w:val="0"/>
    <w:rPr>
      <w:rFonts w:ascii="宋体"/>
      <w:kern w:val="2"/>
      <w:sz w:val="24"/>
    </w:rPr>
  </w:style>
  <w:style w:type="paragraph" w:customStyle="1" w:styleId="142">
    <w:name w:val="表格文字"/>
    <w:basedOn w:val="1"/>
    <w:link w:val="141"/>
    <w:qFormat/>
    <w:uiPriority w:val="0"/>
    <w:pPr>
      <w:spacing w:line="312" w:lineRule="auto"/>
    </w:pPr>
    <w:rPr>
      <w:rFonts w:ascii="宋体"/>
      <w:sz w:val="24"/>
      <w:szCs w:val="20"/>
    </w:rPr>
  </w:style>
  <w:style w:type="character" w:customStyle="1" w:styleId="143">
    <w:name w:val="正文段 Char Char Char"/>
    <w:link w:val="144"/>
    <w:qFormat/>
    <w:uiPriority w:val="0"/>
    <w:rPr>
      <w:kern w:val="2"/>
      <w:sz w:val="28"/>
    </w:rPr>
  </w:style>
  <w:style w:type="paragraph" w:customStyle="1" w:styleId="144">
    <w:name w:val="正文段 Char Char"/>
    <w:basedOn w:val="1"/>
    <w:link w:val="143"/>
    <w:qFormat/>
    <w:uiPriority w:val="0"/>
    <w:pPr>
      <w:spacing w:line="312" w:lineRule="auto"/>
      <w:ind w:firstLine="560"/>
    </w:pPr>
    <w:rPr>
      <w:sz w:val="28"/>
      <w:szCs w:val="20"/>
    </w:rPr>
  </w:style>
  <w:style w:type="character" w:customStyle="1" w:styleId="145">
    <w:name w:val="纯文本 Char1"/>
    <w:qFormat/>
    <w:uiPriority w:val="0"/>
    <w:rPr>
      <w:rFonts w:ascii="宋体" w:hAnsi="Courier New" w:cs="Courier New"/>
      <w:kern w:val="2"/>
      <w:sz w:val="21"/>
      <w:szCs w:val="21"/>
    </w:rPr>
  </w:style>
  <w:style w:type="character" w:customStyle="1" w:styleId="146">
    <w:name w:val="无"/>
    <w:qFormat/>
    <w:uiPriority w:val="0"/>
    <w:rPr>
      <w:rFonts w:ascii="Times New Roman" w:hAnsi="Times New Roman" w:eastAsia="宋体" w:cs="Times New Roman"/>
    </w:rPr>
  </w:style>
  <w:style w:type="character" w:customStyle="1" w:styleId="147">
    <w:name w:val="HTML 预设格式 Char2"/>
    <w:qFormat/>
    <w:uiPriority w:val="0"/>
    <w:rPr>
      <w:rFonts w:ascii="Courier New" w:hAnsi="Courier New" w:cs="Courier New"/>
      <w:kern w:val="2"/>
    </w:rPr>
  </w:style>
  <w:style w:type="character" w:customStyle="1" w:styleId="148">
    <w:name w:val="正文样式 Char Char"/>
    <w:link w:val="149"/>
    <w:qFormat/>
    <w:locked/>
    <w:uiPriority w:val="0"/>
  </w:style>
  <w:style w:type="paragraph" w:customStyle="1" w:styleId="149">
    <w:name w:val="正文样式"/>
    <w:basedOn w:val="1"/>
    <w:link w:val="148"/>
    <w:qFormat/>
    <w:uiPriority w:val="0"/>
    <w:pPr>
      <w:spacing w:line="360" w:lineRule="auto"/>
      <w:ind w:firstLine="480" w:firstLineChars="200"/>
    </w:pPr>
    <w:rPr>
      <w:kern w:val="0"/>
      <w:sz w:val="20"/>
      <w:szCs w:val="20"/>
    </w:rPr>
  </w:style>
  <w:style w:type="character" w:customStyle="1" w:styleId="150">
    <w:name w:val="HTML 预设格式 字符1"/>
    <w:semiHidden/>
    <w:qFormat/>
    <w:uiPriority w:val="99"/>
    <w:rPr>
      <w:rFonts w:ascii="Courier New" w:hAnsi="Courier New" w:eastAsia="宋体" w:cs="Courier New"/>
      <w:kern w:val="2"/>
    </w:rPr>
  </w:style>
  <w:style w:type="character" w:customStyle="1" w:styleId="151">
    <w:name w:val="HPC题2 Char"/>
    <w:link w:val="152"/>
    <w:qFormat/>
    <w:uiPriority w:val="0"/>
    <w:rPr>
      <w:rFonts w:ascii="微软雅黑" w:hAnsi="微软雅黑" w:eastAsia="微软雅黑"/>
      <w:b/>
      <w:bCs/>
      <w:kern w:val="44"/>
      <w:sz w:val="30"/>
      <w:szCs w:val="44"/>
    </w:rPr>
  </w:style>
  <w:style w:type="paragraph" w:customStyle="1" w:styleId="152">
    <w:name w:val="HPC题2"/>
    <w:basedOn w:val="153"/>
    <w:next w:val="1"/>
    <w:link w:val="151"/>
    <w:qFormat/>
    <w:uiPriority w:val="0"/>
    <w:pPr>
      <w:numPr>
        <w:ilvl w:val="0"/>
        <w:numId w:val="0"/>
      </w:numPr>
      <w:snapToGrid w:val="0"/>
      <w:outlineLvl w:val="1"/>
    </w:pPr>
    <w:rPr>
      <w:sz w:val="30"/>
    </w:rPr>
  </w:style>
  <w:style w:type="paragraph" w:customStyle="1" w:styleId="153">
    <w:name w:val="HPC题1"/>
    <w:basedOn w:val="3"/>
    <w:next w:val="1"/>
    <w:qFormat/>
    <w:uiPriority w:val="0"/>
    <w:pPr>
      <w:numPr>
        <w:ilvl w:val="0"/>
        <w:numId w:val="3"/>
      </w:numPr>
      <w:adjustRightInd w:val="0"/>
      <w:spacing w:before="100" w:beforeAutospacing="1" w:after="100" w:afterAutospacing="1" w:line="240" w:lineRule="auto"/>
    </w:pPr>
    <w:rPr>
      <w:rFonts w:ascii="微软雅黑" w:hAnsi="微软雅黑" w:eastAsia="微软雅黑"/>
      <w:sz w:val="32"/>
    </w:rPr>
  </w:style>
  <w:style w:type="character" w:customStyle="1" w:styleId="154">
    <w:name w:val="注释标题 字符1"/>
    <w:semiHidden/>
    <w:qFormat/>
    <w:uiPriority w:val="99"/>
    <w:rPr>
      <w:rFonts w:ascii="Times New Roman" w:hAnsi="Times New Roman" w:eastAsia="宋体" w:cs="Times New Roman"/>
      <w:kern w:val="2"/>
      <w:sz w:val="21"/>
      <w:szCs w:val="22"/>
    </w:rPr>
  </w:style>
  <w:style w:type="character" w:customStyle="1" w:styleId="155">
    <w:name w:val="页脚 Char1"/>
    <w:semiHidden/>
    <w:qFormat/>
    <w:uiPriority w:val="99"/>
    <w:rPr>
      <w:kern w:val="2"/>
      <w:sz w:val="18"/>
      <w:szCs w:val="18"/>
    </w:rPr>
  </w:style>
  <w:style w:type="character" w:customStyle="1" w:styleId="156">
    <w:name w:val="副标题 字符1"/>
    <w:qFormat/>
    <w:uiPriority w:val="11"/>
    <w:rPr>
      <w:rFonts w:ascii="等线 Light" w:hAnsi="等线 Light" w:eastAsia="宋体" w:cs="Times New Roman"/>
      <w:b/>
      <w:bCs/>
      <w:kern w:val="28"/>
      <w:sz w:val="32"/>
      <w:szCs w:val="32"/>
    </w:rPr>
  </w:style>
  <w:style w:type="character" w:customStyle="1" w:styleId="157">
    <w:name w:val="apple-converted-space"/>
    <w:qFormat/>
    <w:uiPriority w:val="0"/>
  </w:style>
  <w:style w:type="character" w:customStyle="1" w:styleId="158">
    <w:name w:val="img"/>
    <w:qFormat/>
    <w:uiPriority w:val="0"/>
  </w:style>
  <w:style w:type="character" w:customStyle="1" w:styleId="159">
    <w:name w:val="GW-正文 Char"/>
    <w:link w:val="160"/>
    <w:uiPriority w:val="0"/>
    <w:rPr>
      <w:rFonts w:ascii="仿宋_GB2312" w:eastAsia="仿宋_GB2312" w:cs="仿宋_GB2312"/>
      <w:kern w:val="2"/>
      <w:sz w:val="24"/>
      <w:szCs w:val="24"/>
    </w:rPr>
  </w:style>
  <w:style w:type="paragraph" w:customStyle="1" w:styleId="160">
    <w:name w:val="GW-正文"/>
    <w:basedOn w:val="1"/>
    <w:link w:val="159"/>
    <w:uiPriority w:val="0"/>
    <w:pPr>
      <w:spacing w:line="360" w:lineRule="auto"/>
      <w:ind w:firstLine="200" w:firstLineChars="200"/>
    </w:pPr>
    <w:rPr>
      <w:rFonts w:ascii="仿宋_GB2312" w:eastAsia="仿宋_GB2312"/>
      <w:sz w:val="24"/>
    </w:rPr>
  </w:style>
  <w:style w:type="character" w:customStyle="1" w:styleId="161">
    <w:name w:val="文档结构图 字符1"/>
    <w:semiHidden/>
    <w:qFormat/>
    <w:uiPriority w:val="99"/>
    <w:rPr>
      <w:rFonts w:ascii="Microsoft YaHei UI" w:hAnsi="Times New Roman" w:eastAsia="Microsoft YaHei UI" w:cs="Times New Roman"/>
      <w:kern w:val="2"/>
      <w:sz w:val="18"/>
      <w:szCs w:val="18"/>
    </w:rPr>
  </w:style>
  <w:style w:type="character" w:customStyle="1" w:styleId="162">
    <w:name w:val="正文文本 2 字符1"/>
    <w:semiHidden/>
    <w:uiPriority w:val="99"/>
    <w:rPr>
      <w:rFonts w:ascii="Times New Roman" w:hAnsi="Times New Roman" w:eastAsia="宋体" w:cs="Times New Roman"/>
      <w:kern w:val="2"/>
      <w:sz w:val="21"/>
      <w:szCs w:val="22"/>
    </w:rPr>
  </w:style>
  <w:style w:type="character" w:customStyle="1" w:styleId="163">
    <w:name w:val=" Char Char Char"/>
    <w:qFormat/>
    <w:uiPriority w:val="0"/>
    <w:rPr>
      <w:rFonts w:ascii="Arial" w:hAnsi="Arial" w:eastAsia="宋体"/>
      <w:bCs/>
      <w:kern w:val="2"/>
      <w:sz w:val="28"/>
      <w:szCs w:val="28"/>
      <w:lang w:val="en-US" w:eastAsia="zh-CN" w:bidi="ar-SA"/>
    </w:rPr>
  </w:style>
  <w:style w:type="character" w:customStyle="1" w:styleId="164">
    <w:name w:val="样式4 Char"/>
    <w:link w:val="165"/>
    <w:qFormat/>
    <w:uiPriority w:val="0"/>
    <w:rPr>
      <w:rFonts w:ascii="华文中宋" w:hAnsi="华文中宋" w:eastAsia="华文中宋"/>
      <w:b/>
      <w:kern w:val="2"/>
      <w:sz w:val="32"/>
    </w:rPr>
  </w:style>
  <w:style w:type="paragraph" w:customStyle="1" w:styleId="165">
    <w:name w:val="样式4"/>
    <w:basedOn w:val="5"/>
    <w:link w:val="164"/>
    <w:uiPriority w:val="0"/>
    <w:pPr>
      <w:numPr>
        <w:ilvl w:val="2"/>
        <w:numId w:val="0"/>
      </w:numPr>
      <w:ind w:left="720" w:hanging="720"/>
    </w:pPr>
    <w:rPr>
      <w:rFonts w:ascii="华文中宋" w:hAnsi="华文中宋" w:eastAsia="华文中宋"/>
      <w:bCs w:val="0"/>
      <w:szCs w:val="20"/>
    </w:rPr>
  </w:style>
  <w:style w:type="character" w:customStyle="1" w:styleId="166">
    <w:name w:val="标题 Char2"/>
    <w:qFormat/>
    <w:uiPriority w:val="0"/>
    <w:rPr>
      <w:rFonts w:ascii="Cambria" w:hAnsi="Cambria" w:cs="Times New Roman"/>
      <w:b/>
      <w:bCs/>
      <w:kern w:val="2"/>
      <w:sz w:val="32"/>
      <w:szCs w:val="32"/>
    </w:rPr>
  </w:style>
  <w:style w:type="character" w:customStyle="1" w:styleId="167">
    <w:name w:val="font11"/>
    <w:qFormat/>
    <w:uiPriority w:val="0"/>
    <w:rPr>
      <w:rFonts w:hint="default" w:ascii="Times New Roman" w:hAnsi="Times New Roman" w:eastAsia="宋体" w:cs="Times New Roman"/>
      <w:color w:val="000000"/>
      <w:sz w:val="21"/>
      <w:szCs w:val="21"/>
      <w:u w:val="none"/>
    </w:rPr>
  </w:style>
  <w:style w:type="character" w:customStyle="1" w:styleId="168">
    <w:name w:val="正文文本 2 Char1"/>
    <w:uiPriority w:val="0"/>
    <w:rPr>
      <w:kern w:val="2"/>
      <w:sz w:val="21"/>
      <w:szCs w:val="24"/>
    </w:rPr>
  </w:style>
  <w:style w:type="character" w:customStyle="1" w:styleId="169">
    <w:name w:val="mini-outputtext1"/>
    <w:qFormat/>
    <w:uiPriority w:val="0"/>
  </w:style>
  <w:style w:type="character" w:customStyle="1" w:styleId="170">
    <w:name w:val="副标题 Char1"/>
    <w:qFormat/>
    <w:uiPriority w:val="11"/>
    <w:rPr>
      <w:rFonts w:ascii="Cambria" w:hAnsi="Cambria" w:cs="Times New Roman"/>
      <w:b/>
      <w:bCs/>
      <w:kern w:val="28"/>
      <w:sz w:val="32"/>
      <w:szCs w:val="32"/>
    </w:rPr>
  </w:style>
  <w:style w:type="character" w:customStyle="1" w:styleId="171">
    <w:name w:val="正文文本缩进 2 Char1"/>
    <w:qFormat/>
    <w:uiPriority w:val="0"/>
    <w:rPr>
      <w:kern w:val="2"/>
      <w:sz w:val="21"/>
      <w:szCs w:val="24"/>
    </w:rPr>
  </w:style>
  <w:style w:type="character" w:customStyle="1" w:styleId="172">
    <w:name w:val="HTML 预设格式 Char1"/>
    <w:semiHidden/>
    <w:qFormat/>
    <w:uiPriority w:val="99"/>
    <w:rPr>
      <w:rFonts w:ascii="Courier New" w:hAnsi="Courier New" w:cs="Courier New"/>
      <w:kern w:val="2"/>
    </w:rPr>
  </w:style>
  <w:style w:type="character" w:customStyle="1" w:styleId="173">
    <w:name w:val="列表段落 字符"/>
    <w:link w:val="174"/>
    <w:qFormat/>
    <w:uiPriority w:val="34"/>
    <w:rPr>
      <w:kern w:val="2"/>
      <w:sz w:val="21"/>
      <w:szCs w:val="22"/>
    </w:rPr>
  </w:style>
  <w:style w:type="paragraph" w:styleId="174">
    <w:name w:val="List Paragraph"/>
    <w:basedOn w:val="1"/>
    <w:link w:val="173"/>
    <w:qFormat/>
    <w:uiPriority w:val="34"/>
    <w:pPr>
      <w:ind w:firstLine="420" w:firstLineChars="200"/>
    </w:pPr>
    <w:rPr>
      <w:szCs w:val="22"/>
    </w:rPr>
  </w:style>
  <w:style w:type="character" w:customStyle="1" w:styleId="175">
    <w:name w:val="正文缩进 Char"/>
    <w:qFormat/>
    <w:uiPriority w:val="0"/>
    <w:rPr>
      <w:rFonts w:ascii="Times New Roman" w:hAnsi="Times New Roman" w:eastAsia="宋体" w:cs="Times New Roman"/>
      <w:kern w:val="2"/>
      <w:sz w:val="24"/>
    </w:rPr>
  </w:style>
  <w:style w:type="character" w:customStyle="1" w:styleId="176">
    <w:name w:val="图 Char"/>
    <w:link w:val="177"/>
    <w:qFormat/>
    <w:uiPriority w:val="0"/>
    <w:rPr>
      <w:b/>
      <w:kern w:val="2"/>
      <w:sz w:val="21"/>
    </w:rPr>
  </w:style>
  <w:style w:type="paragraph" w:customStyle="1" w:styleId="177">
    <w:name w:val="图"/>
    <w:basedOn w:val="13"/>
    <w:link w:val="176"/>
    <w:qFormat/>
    <w:uiPriority w:val="0"/>
    <w:pPr>
      <w:spacing w:line="360" w:lineRule="auto"/>
      <w:ind w:left="570"/>
    </w:pPr>
    <w:rPr>
      <w:b/>
    </w:rPr>
  </w:style>
  <w:style w:type="character" w:customStyle="1" w:styleId="178">
    <w:name w:val="标蓝"/>
    <w:qFormat/>
    <w:uiPriority w:val="0"/>
    <w:rPr>
      <w:i/>
      <w:color w:val="0000FF"/>
      <w:u w:val="single"/>
    </w:rPr>
  </w:style>
  <w:style w:type="character" w:customStyle="1" w:styleId="179">
    <w:name w:val="b21"/>
    <w:qFormat/>
    <w:uiPriority w:val="0"/>
    <w:rPr>
      <w:color w:val="000000"/>
      <w:sz w:val="18"/>
      <w:szCs w:val="18"/>
      <w:u w:val="none"/>
    </w:rPr>
  </w:style>
  <w:style w:type="character" w:customStyle="1" w:styleId="180">
    <w:name w:val="hover3"/>
    <w:qFormat/>
    <w:uiPriority w:val="0"/>
  </w:style>
  <w:style w:type="character" w:customStyle="1" w:styleId="181">
    <w:name w:val="font111"/>
    <w:qFormat/>
    <w:uiPriority w:val="0"/>
    <w:rPr>
      <w:rFonts w:hint="default" w:ascii="Eʩ" w:hAnsi="Eʩ" w:eastAsia="Eʩ" w:cs="Eʩ"/>
      <w:color w:val="000000"/>
      <w:sz w:val="21"/>
      <w:szCs w:val="21"/>
      <w:u w:val="single"/>
    </w:rPr>
  </w:style>
  <w:style w:type="character" w:customStyle="1" w:styleId="182">
    <w:name w:val="正文文本 字符"/>
    <w:qFormat/>
    <w:uiPriority w:val="99"/>
    <w:rPr>
      <w:kern w:val="2"/>
      <w:sz w:val="21"/>
      <w:szCs w:val="24"/>
    </w:rPr>
  </w:style>
  <w:style w:type="character" w:customStyle="1" w:styleId="183">
    <w:name w:val="正文文本 + SimSun"/>
    <w:qFormat/>
    <w:uiPriority w:val="0"/>
    <w:rPr>
      <w:rFonts w:ascii="宋体" w:hAnsi="宋体" w:eastAsia="宋体" w:cs="宋体"/>
      <w:color w:val="000000"/>
      <w:spacing w:val="0"/>
      <w:w w:val="100"/>
      <w:kern w:val="2"/>
      <w:position w:val="0"/>
      <w:sz w:val="20"/>
      <w:szCs w:val="20"/>
      <w:shd w:val="clear" w:color="auto" w:fill="FFFFFF"/>
      <w:lang w:val="en-US" w:eastAsia="zh-CN"/>
    </w:rPr>
  </w:style>
  <w:style w:type="character" w:customStyle="1" w:styleId="184">
    <w:name w:val="样式3 Char"/>
    <w:link w:val="185"/>
    <w:qFormat/>
    <w:uiPriority w:val="0"/>
    <w:rPr>
      <w:rFonts w:ascii="仿宋_GB2312" w:eastAsia="仿宋_GB2312"/>
      <w:b/>
      <w:color w:val="000000"/>
      <w:kern w:val="2"/>
      <w:sz w:val="28"/>
    </w:rPr>
  </w:style>
  <w:style w:type="paragraph" w:customStyle="1" w:styleId="185">
    <w:name w:val="样式3"/>
    <w:basedOn w:val="144"/>
    <w:link w:val="184"/>
    <w:qFormat/>
    <w:uiPriority w:val="0"/>
    <w:pPr>
      <w:spacing w:line="240" w:lineRule="auto"/>
      <w:ind w:firstLine="562" w:firstLineChars="200"/>
    </w:pPr>
    <w:rPr>
      <w:rFonts w:ascii="仿宋_GB2312" w:eastAsia="仿宋_GB2312"/>
      <w:b/>
      <w:color w:val="000000"/>
    </w:rPr>
  </w:style>
  <w:style w:type="paragraph" w:customStyle="1" w:styleId="186">
    <w:name w:val="No Spacing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87">
    <w:name w:val="12、表格内左对齐正文"/>
    <w:basedOn w:val="1"/>
    <w:qFormat/>
    <w:uiPriority w:val="0"/>
    <w:pPr>
      <w:tabs>
        <w:tab w:val="left" w:pos="0"/>
      </w:tabs>
      <w:wordWrap w:val="0"/>
      <w:topLinePunct/>
      <w:spacing w:line="360" w:lineRule="exact"/>
      <w:ind w:left="48" w:leftChars="20"/>
    </w:pPr>
    <w:rPr>
      <w:rFonts w:ascii="Times New Roman" w:hAnsi="Times New Roman"/>
      <w:snapToGrid w:val="0"/>
      <w:szCs w:val="22"/>
    </w:rPr>
  </w:style>
  <w:style w:type="paragraph" w:customStyle="1" w:styleId="188">
    <w:name w:val="reader-word-layer reader-word-s4-1"/>
    <w:basedOn w:val="1"/>
    <w:uiPriority w:val="0"/>
    <w:pPr>
      <w:widowControl/>
      <w:spacing w:before="100" w:beforeAutospacing="1" w:after="100" w:afterAutospacing="1"/>
      <w:jc w:val="left"/>
    </w:pPr>
    <w:rPr>
      <w:rFonts w:ascii="宋体" w:hAnsi="宋体" w:cs="宋体"/>
      <w:kern w:val="0"/>
      <w:sz w:val="24"/>
    </w:rPr>
  </w:style>
  <w:style w:type="paragraph" w:customStyle="1" w:styleId="189">
    <w:name w:val="wellhope正文"/>
    <w:basedOn w:val="1"/>
    <w:qFormat/>
    <w:uiPriority w:val="0"/>
    <w:pPr>
      <w:spacing w:before="120" w:after="60" w:line="480" w:lineRule="exact"/>
      <w:ind w:firstLine="200" w:firstLineChars="200"/>
    </w:pPr>
    <w:rPr>
      <w:rFonts w:ascii="Times New Roman" w:hAnsi="Times New Roman" w:eastAsia="楷体_GB2312"/>
      <w:sz w:val="28"/>
      <w:szCs w:val="20"/>
    </w:rPr>
  </w:style>
  <w:style w:type="paragraph" w:customStyle="1" w:styleId="190">
    <w:name w:val="ST20_1"/>
    <w:basedOn w:val="1"/>
    <w:qFormat/>
    <w:uiPriority w:val="0"/>
    <w:pPr>
      <w:snapToGrid w:val="0"/>
    </w:pPr>
    <w:rPr>
      <w:rFonts w:ascii="Times New Roman" w:hAnsi="Times New Roman"/>
      <w:b/>
      <w:szCs w:val="20"/>
    </w:rPr>
  </w:style>
  <w:style w:type="paragraph" w:customStyle="1" w:styleId="191">
    <w:name w:val="表格内文字加粗"/>
    <w:basedOn w:val="1"/>
    <w:uiPriority w:val="0"/>
    <w:pPr>
      <w:spacing w:line="312" w:lineRule="auto"/>
      <w:jc w:val="center"/>
    </w:pPr>
    <w:rPr>
      <w:rFonts w:ascii="Times New Roman" w:hAnsi="Times New Roman"/>
      <w:b/>
      <w:sz w:val="24"/>
      <w:szCs w:val="20"/>
    </w:rPr>
  </w:style>
  <w:style w:type="paragraph" w:customStyle="1" w:styleId="192">
    <w:name w:val="16、“(一)”三级标题"/>
    <w:basedOn w:val="193"/>
    <w:qFormat/>
    <w:uiPriority w:val="0"/>
    <w:pPr>
      <w:tabs>
        <w:tab w:val="left" w:pos="0"/>
      </w:tabs>
      <w:ind w:firstLine="803" w:firstLineChars="200"/>
      <w:outlineLvl w:val="2"/>
    </w:pPr>
    <w:rPr>
      <w:b/>
    </w:rPr>
  </w:style>
  <w:style w:type="paragraph" w:customStyle="1" w:styleId="193">
    <w:name w:val="01、普通正文"/>
    <w:basedOn w:val="1"/>
    <w:uiPriority w:val="0"/>
    <w:pPr>
      <w:tabs>
        <w:tab w:val="left" w:pos="0"/>
      </w:tabs>
      <w:wordWrap w:val="0"/>
      <w:topLinePunct/>
    </w:pPr>
    <w:rPr>
      <w:rFonts w:ascii="宋体" w:hAnsi="宋体"/>
      <w:snapToGrid w:val="0"/>
      <w:szCs w:val="22"/>
    </w:rPr>
  </w:style>
  <w:style w:type="paragraph" w:customStyle="1" w:styleId="194">
    <w:name w:val="Body"/>
    <w:basedOn w:val="1"/>
    <w:qFormat/>
    <w:uiPriority w:val="0"/>
    <w:pPr>
      <w:widowControl/>
      <w:tabs>
        <w:tab w:val="left" w:pos="8640"/>
        <w:tab w:val="left" w:pos="9255"/>
      </w:tabs>
      <w:spacing w:before="80" w:after="80" w:line="360" w:lineRule="auto"/>
      <w:ind w:left="360" w:leftChars="150" w:right="146" w:rightChars="61" w:firstLine="461" w:firstLineChars="192"/>
    </w:pPr>
    <w:rPr>
      <w:rFonts w:ascii="宋体" w:hAnsi="宋体"/>
      <w:kern w:val="0"/>
      <w:sz w:val="24"/>
    </w:rPr>
  </w:style>
  <w:style w:type="paragraph" w:customStyle="1" w:styleId="195">
    <w:name w:val="论文正文"/>
    <w:basedOn w:val="1"/>
    <w:uiPriority w:val="0"/>
    <w:pPr>
      <w:spacing w:line="312" w:lineRule="auto"/>
      <w:ind w:firstLine="480" w:firstLineChars="200"/>
    </w:pPr>
    <w:rPr>
      <w:rFonts w:ascii="宋体" w:hAnsi="宋体"/>
      <w:sz w:val="24"/>
      <w:szCs w:val="20"/>
    </w:rPr>
  </w:style>
  <w:style w:type="paragraph" w:customStyle="1" w:styleId="196">
    <w:name w:val=" Char Char Char Char 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7">
    <w:name w:val="Heading 2"/>
    <w:basedOn w:val="1"/>
    <w:qFormat/>
    <w:uiPriority w:val="1"/>
    <w:pPr>
      <w:ind w:left="140"/>
      <w:outlineLvl w:val="1"/>
    </w:pPr>
    <w:rPr>
      <w:rFonts w:ascii="Microsoft JhengHei" w:eastAsia="Microsoft JhengHei" w:cs="Microsoft JhengHei"/>
      <w:b/>
      <w:bCs/>
      <w:sz w:val="32"/>
      <w:szCs w:val="32"/>
    </w:rPr>
  </w:style>
  <w:style w:type="paragraph" w:customStyle="1" w:styleId="198">
    <w:name w:val="_Style 2"/>
    <w:basedOn w:val="1"/>
    <w:qFormat/>
    <w:uiPriority w:val="0"/>
    <w:pPr>
      <w:spacing w:line="360" w:lineRule="auto"/>
      <w:ind w:firstLine="420" w:firstLineChars="200"/>
    </w:pPr>
    <w:rPr>
      <w:rFonts w:ascii="Calibri" w:hAnsi="Calibri"/>
      <w:szCs w:val="22"/>
    </w:rPr>
  </w:style>
  <w:style w:type="paragraph" w:customStyle="1" w:styleId="199">
    <w:name w:val="表格正文"/>
    <w:basedOn w:val="1"/>
    <w:uiPriority w:val="0"/>
    <w:pPr>
      <w:tabs>
        <w:tab w:val="left" w:pos="420"/>
      </w:tabs>
      <w:spacing w:before="60" w:after="60"/>
    </w:pPr>
    <w:rPr>
      <w:rFonts w:ascii="Times New Roman" w:hAnsi="Times New Roman"/>
      <w:szCs w:val="20"/>
    </w:rPr>
  </w:style>
  <w:style w:type="paragraph" w:customStyle="1" w:styleId="200">
    <w:name w:val="样式 首行缩进:  2 字符"/>
    <w:basedOn w:val="1"/>
    <w:qFormat/>
    <w:uiPriority w:val="0"/>
    <w:pPr>
      <w:spacing w:line="400" w:lineRule="exact"/>
      <w:ind w:firstLine="200" w:firstLineChars="200"/>
    </w:pPr>
    <w:rPr>
      <w:rFonts w:cs="宋体"/>
      <w:sz w:val="24"/>
      <w:lang w:bidi="ar-SA"/>
    </w:rPr>
  </w:style>
  <w:style w:type="paragraph" w:customStyle="1" w:styleId="201">
    <w:name w:val="标题 5（有编号）（绿盟科技）"/>
    <w:basedOn w:val="1"/>
    <w:next w:val="202"/>
    <w:uiPriority w:val="0"/>
    <w:pPr>
      <w:keepNext/>
      <w:keepLines/>
      <w:spacing w:before="280" w:after="156" w:line="377" w:lineRule="auto"/>
      <w:jc w:val="left"/>
      <w:outlineLvl w:val="4"/>
    </w:pPr>
    <w:rPr>
      <w:rFonts w:ascii="Arial" w:hAnsi="Arial" w:eastAsia="黑体"/>
      <w:b/>
      <w:sz w:val="24"/>
      <w:szCs w:val="28"/>
    </w:rPr>
  </w:style>
  <w:style w:type="paragraph" w:customStyle="1" w:styleId="202">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03">
    <w:name w:val="提示"/>
    <w:basedOn w:val="1"/>
    <w:qFormat/>
    <w:uiPriority w:val="0"/>
    <w:pPr>
      <w:pBdr>
        <w:top w:val="single" w:color="auto" w:sz="4" w:space="1"/>
        <w:bottom w:val="single" w:color="auto" w:sz="4" w:space="1"/>
      </w:pBdr>
      <w:tabs>
        <w:tab w:val="left" w:pos="420"/>
      </w:tabs>
      <w:spacing w:before="156" w:beforeLines="50" w:after="156" w:afterLines="50" w:line="360" w:lineRule="auto"/>
    </w:pPr>
    <w:rPr>
      <w:rFonts w:ascii="Times New Roman" w:hAnsi="Times New Roman"/>
      <w:szCs w:val="20"/>
    </w:rPr>
  </w:style>
  <w:style w:type="paragraph" w:customStyle="1" w:styleId="204">
    <w:name w:val="自用"/>
    <w:basedOn w:val="1"/>
    <w:qFormat/>
    <w:uiPriority w:val="0"/>
    <w:pPr>
      <w:adjustRightInd w:val="0"/>
      <w:spacing w:line="360" w:lineRule="auto"/>
      <w:ind w:firstLine="539"/>
      <w:textAlignment w:val="baseline"/>
    </w:pPr>
    <w:rPr>
      <w:rFonts w:ascii="仿宋_GB2312" w:hAnsi="Times New Roman" w:eastAsia="楷体_GB2312"/>
      <w:kern w:val="0"/>
      <w:sz w:val="32"/>
      <w:szCs w:val="20"/>
    </w:rPr>
  </w:style>
  <w:style w:type="paragraph" w:customStyle="1" w:styleId="205">
    <w:name w:val="插图"/>
    <w:basedOn w:val="1"/>
    <w:uiPriority w:val="0"/>
    <w:pPr>
      <w:spacing w:line="312" w:lineRule="auto"/>
      <w:jc w:val="center"/>
    </w:pPr>
    <w:rPr>
      <w:rFonts w:ascii="Times New Roman" w:hAnsi="Times New Roman"/>
      <w:sz w:val="28"/>
      <w:szCs w:val="20"/>
      <w:lang w:val="zh-CN"/>
    </w:rPr>
  </w:style>
  <w:style w:type="paragraph" w:customStyle="1" w:styleId="206">
    <w:name w:val="列表项目"/>
    <w:basedOn w:val="1"/>
    <w:uiPriority w:val="0"/>
    <w:pPr>
      <w:numPr>
        <w:ilvl w:val="0"/>
        <w:numId w:val="4"/>
      </w:numPr>
      <w:tabs>
        <w:tab w:val="left" w:pos="420"/>
        <w:tab w:val="left" w:pos="980"/>
      </w:tabs>
      <w:spacing w:line="288" w:lineRule="auto"/>
    </w:pPr>
    <w:rPr>
      <w:rFonts w:ascii="Times New Roman" w:hAnsi="Times New Roman"/>
      <w:szCs w:val="20"/>
    </w:rPr>
  </w:style>
  <w:style w:type="paragraph" w:customStyle="1" w:styleId="207">
    <w:name w:val="reader-word-layer reader-word-s5-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8">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en-US" w:eastAsia="zh-CN" w:bidi="ar-SA"/>
    </w:rPr>
  </w:style>
  <w:style w:type="paragraph" w:customStyle="1" w:styleId="209">
    <w:name w:val=" Char Char1 Char"/>
    <w:basedOn w:val="1"/>
    <w:qFormat/>
    <w:uiPriority w:val="0"/>
    <w:pPr>
      <w:spacing w:line="360" w:lineRule="auto"/>
      <w:ind w:firstLine="200" w:firstLineChars="200"/>
    </w:pPr>
    <w:rPr>
      <w:rFonts w:ascii="Times New Roman" w:hAnsi="Times New Roman"/>
      <w:kern w:val="0"/>
      <w:szCs w:val="20"/>
    </w:rPr>
  </w:style>
  <w:style w:type="paragraph" w:customStyle="1" w:styleId="210">
    <w:name w:val="List Paragraph1"/>
    <w:basedOn w:val="1"/>
    <w:qFormat/>
    <w:uiPriority w:val="34"/>
    <w:pPr>
      <w:ind w:left="220" w:right="317" w:firstLine="480"/>
    </w:pPr>
    <w:rPr>
      <w:rFonts w:ascii="宋体" w:hAnsi="宋体" w:eastAsia="宋体" w:cs="宋体"/>
    </w:rPr>
  </w:style>
  <w:style w:type="paragraph" w:customStyle="1" w:styleId="211">
    <w:name w:val="项目"/>
    <w:basedOn w:val="1"/>
    <w:qFormat/>
    <w:uiPriority w:val="0"/>
    <w:pPr>
      <w:adjustRightInd w:val="0"/>
      <w:spacing w:before="156" w:beforeLines="50" w:line="360" w:lineRule="auto"/>
      <w:textAlignment w:val="baseline"/>
    </w:pPr>
    <w:rPr>
      <w:rFonts w:ascii="Times New Roman" w:hAnsi="Times New Roman"/>
      <w:sz w:val="24"/>
      <w:szCs w:val="20"/>
    </w:rPr>
  </w:style>
  <w:style w:type="paragraph" w:customStyle="1" w:styleId="212">
    <w:name w:val="msolistparagraph"/>
    <w:basedOn w:val="1"/>
    <w:uiPriority w:val="0"/>
    <w:pPr>
      <w:ind w:firstLine="420" w:firstLineChars="200"/>
    </w:pPr>
    <w:rPr>
      <w:rFonts w:ascii="Calibri" w:hAnsi="Calibri"/>
      <w:szCs w:val="22"/>
    </w:rPr>
  </w:style>
  <w:style w:type="paragraph" w:styleId="213">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214">
    <w:name w:val="Bullet with text 2"/>
    <w:basedOn w:val="1"/>
    <w:uiPriority w:val="0"/>
    <w:pPr>
      <w:widowControl/>
      <w:tabs>
        <w:tab w:val="left" w:pos="720"/>
      </w:tabs>
      <w:ind w:left="720" w:hanging="360"/>
      <w:jc w:val="left"/>
    </w:pPr>
    <w:rPr>
      <w:rFonts w:ascii="Arial" w:hAnsi="Arial"/>
      <w:kern w:val="0"/>
      <w:sz w:val="20"/>
      <w:szCs w:val="20"/>
      <w:lang w:eastAsia="en-US"/>
    </w:rPr>
  </w:style>
  <w:style w:type="paragraph" w:customStyle="1" w:styleId="215">
    <w:name w:val="列出段落2"/>
    <w:basedOn w:val="1"/>
    <w:qFormat/>
    <w:uiPriority w:val="34"/>
    <w:pPr>
      <w:ind w:firstLine="420" w:firstLineChars="200"/>
    </w:pPr>
  </w:style>
  <w:style w:type="paragraph" w:customStyle="1" w:styleId="216">
    <w:name w:val="论证正文"/>
    <w:basedOn w:val="1"/>
    <w:uiPriority w:val="0"/>
    <w:pPr>
      <w:spacing w:line="360" w:lineRule="auto"/>
      <w:ind w:firstLine="1044" w:firstLineChars="200"/>
    </w:pPr>
    <w:rPr>
      <w:rFonts w:eastAsia="仿宋_GB2312"/>
      <w:kern w:val="0"/>
      <w:sz w:val="32"/>
      <w:szCs w:val="20"/>
    </w:rPr>
  </w:style>
  <w:style w:type="paragraph" w:customStyle="1" w:styleId="217">
    <w:name w:val="首行缩进 Char Char"/>
    <w:basedOn w:val="1"/>
    <w:qFormat/>
    <w:uiPriority w:val="0"/>
    <w:pPr>
      <w:spacing w:after="156" w:afterLines="50" w:line="300" w:lineRule="auto"/>
      <w:ind w:firstLine="200" w:firstLineChars="200"/>
    </w:pPr>
    <w:rPr>
      <w:rFonts w:ascii="Arial" w:hAnsi="Arial"/>
      <w:sz w:val="24"/>
      <w:szCs w:val="20"/>
    </w:rPr>
  </w:style>
  <w:style w:type="paragraph" w:customStyle="1" w:styleId="218">
    <w:name w:val="02、首行缩进2字符正文"/>
    <w:basedOn w:val="1"/>
    <w:uiPriority w:val="0"/>
    <w:pPr>
      <w:tabs>
        <w:tab w:val="left" w:pos="0"/>
      </w:tabs>
      <w:wordWrap w:val="0"/>
      <w:topLinePunct/>
      <w:ind w:firstLine="480" w:firstLineChars="200"/>
    </w:pPr>
    <w:rPr>
      <w:rFonts w:ascii="宋体" w:hAnsi="宋体"/>
      <w:szCs w:val="22"/>
    </w:rPr>
  </w:style>
  <w:style w:type="paragraph" w:customStyle="1" w:styleId="219">
    <w:name w:val="HPC题3"/>
    <w:basedOn w:val="152"/>
    <w:next w:val="1"/>
    <w:qFormat/>
    <w:uiPriority w:val="0"/>
    <w:pPr>
      <w:tabs>
        <w:tab w:val="left" w:pos="2120"/>
      </w:tabs>
      <w:ind w:left="2120" w:hanging="720"/>
      <w:outlineLvl w:val="2"/>
    </w:pPr>
    <w:rPr>
      <w:sz w:val="28"/>
    </w:rPr>
  </w:style>
  <w:style w:type="paragraph" w:customStyle="1" w:styleId="220">
    <w:name w:val="BodyText"/>
    <w:basedOn w:val="1"/>
    <w:next w:val="1"/>
    <w:uiPriority w:val="0"/>
    <w:pPr>
      <w:widowControl/>
      <w:spacing w:after="120"/>
    </w:pPr>
    <w:rPr>
      <w:rFonts w:ascii="Times New Roman" w:hAnsi="Times New Roman"/>
      <w:szCs w:val="22"/>
    </w:rPr>
  </w:style>
  <w:style w:type="paragraph" w:customStyle="1" w:styleId="221">
    <w:name w:val="首行缩进 Char"/>
    <w:basedOn w:val="1"/>
    <w:uiPriority w:val="0"/>
    <w:pPr>
      <w:spacing w:after="156" w:afterLines="50" w:line="300" w:lineRule="auto"/>
      <w:ind w:firstLine="200" w:firstLineChars="200"/>
    </w:pPr>
    <w:rPr>
      <w:rFonts w:ascii="Arial" w:hAnsi="Arial"/>
      <w:sz w:val="24"/>
      <w:szCs w:val="20"/>
    </w:rPr>
  </w:style>
  <w:style w:type="paragraph" w:customStyle="1" w:styleId="222">
    <w:name w:val="Heading 5"/>
    <w:basedOn w:val="1"/>
    <w:qFormat/>
    <w:uiPriority w:val="1"/>
    <w:pPr>
      <w:ind w:left="100"/>
      <w:outlineLvl w:val="4"/>
    </w:pPr>
    <w:rPr>
      <w:rFonts w:ascii="Microsoft JhengHei" w:eastAsia="Microsoft JhengHei" w:cs="Microsoft JhengHei"/>
      <w:b/>
      <w:bCs/>
      <w:szCs w:val="22"/>
    </w:rPr>
  </w:style>
  <w:style w:type="paragraph" w:customStyle="1" w:styleId="223">
    <w:name w:val="无间隔1"/>
    <w:uiPriority w:val="0"/>
    <w:rPr>
      <w:rFonts w:ascii="Times New Roman" w:hAnsi="Times New Roman" w:eastAsia="Times New Roman" w:cs="Times New Roman"/>
      <w:kern w:val="2"/>
      <w:sz w:val="22"/>
      <w:szCs w:val="22"/>
      <w:lang w:val="en-US" w:eastAsia="zh-CN" w:bidi="ar-SA"/>
    </w:rPr>
  </w:style>
  <w:style w:type="paragraph" w:customStyle="1" w:styleId="224">
    <w:name w:val="样式 节标题1 + 段前: 0.5 行 段后: 0.5 行"/>
    <w:basedOn w:val="1"/>
    <w:qFormat/>
    <w:uiPriority w:val="0"/>
    <w:pPr>
      <w:tabs>
        <w:tab w:val="left" w:pos="567"/>
      </w:tabs>
      <w:spacing w:before="156" w:after="156"/>
    </w:pPr>
    <w:rPr>
      <w:rFonts w:cs="宋体"/>
      <w:b/>
      <w:kern w:val="1"/>
      <w:sz w:val="30"/>
    </w:rPr>
  </w:style>
  <w:style w:type="paragraph" w:customStyle="1" w:styleId="225">
    <w:name w:val=" Char1"/>
    <w:basedOn w:val="1"/>
    <w:uiPriority w:val="0"/>
    <w:pPr>
      <w:ind w:firstLine="200" w:firstLineChars="200"/>
    </w:pPr>
    <w:rPr>
      <w:rFonts w:ascii="Times New Roman" w:hAnsi="Times New Roman"/>
      <w:sz w:val="24"/>
      <w:szCs w:val="20"/>
    </w:rPr>
  </w:style>
  <w:style w:type="paragraph" w:customStyle="1" w:styleId="226">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7">
    <w:name w:val="_Style 3"/>
    <w:basedOn w:val="1"/>
    <w:qFormat/>
    <w:uiPriority w:val="34"/>
    <w:pPr>
      <w:ind w:firstLine="420" w:firstLineChars="200"/>
    </w:pPr>
    <w:rPr>
      <w:szCs w:val="22"/>
    </w:rPr>
  </w:style>
  <w:style w:type="paragraph" w:customStyle="1" w:styleId="228">
    <w:name w:val="HPC题5"/>
    <w:basedOn w:val="229"/>
    <w:next w:val="1"/>
    <w:qFormat/>
    <w:uiPriority w:val="0"/>
    <w:pPr>
      <w:numPr>
        <w:ilvl w:val="0"/>
        <w:numId w:val="0"/>
      </w:numPr>
      <w:tabs>
        <w:tab w:val="left" w:pos="2120"/>
        <w:tab w:val="left" w:pos="2240"/>
        <w:tab w:val="left" w:pos="2660"/>
      </w:tabs>
      <w:ind w:hanging="420"/>
      <w:outlineLvl w:val="4"/>
    </w:pPr>
  </w:style>
  <w:style w:type="paragraph" w:customStyle="1" w:styleId="229">
    <w:name w:val="HPC题4"/>
    <w:basedOn w:val="219"/>
    <w:next w:val="1"/>
    <w:qFormat/>
    <w:uiPriority w:val="0"/>
    <w:pPr>
      <w:tabs>
        <w:tab w:val="left" w:pos="2240"/>
      </w:tabs>
      <w:ind w:left="2240" w:hanging="420"/>
      <w:jc w:val="left"/>
      <w:outlineLvl w:val="3"/>
    </w:pPr>
    <w:rPr>
      <w:sz w:val="24"/>
    </w:rPr>
  </w:style>
  <w:style w:type="paragraph" w:customStyle="1" w:styleId="230">
    <w:name w:val="表格"/>
    <w:basedOn w:val="1"/>
    <w:uiPriority w:val="0"/>
    <w:pPr>
      <w:spacing w:line="400" w:lineRule="exact"/>
    </w:pPr>
    <w:rPr>
      <w:rFonts w:ascii="Times New Roman" w:hAnsi="Times New Roman"/>
      <w:sz w:val="24"/>
    </w:rPr>
  </w:style>
  <w:style w:type="paragraph" w:customStyle="1" w:styleId="231">
    <w:name w:val="正文段 Char"/>
    <w:basedOn w:val="1"/>
    <w:uiPriority w:val="0"/>
    <w:pPr>
      <w:spacing w:line="312" w:lineRule="auto"/>
      <w:ind w:firstLine="560"/>
    </w:pPr>
    <w:rPr>
      <w:rFonts w:ascii="Times New Roman" w:hAnsi="Times New Roman"/>
      <w:sz w:val="28"/>
      <w:szCs w:val="20"/>
    </w:rPr>
  </w:style>
  <w:style w:type="paragraph" w:customStyle="1" w:styleId="232">
    <w:name w:val="默认段落字体 Para Char Char Char1 Char Char Char Char Char Char Char"/>
    <w:basedOn w:val="1"/>
    <w:uiPriority w:val="0"/>
    <w:rPr>
      <w:rFonts w:ascii="Tahoma" w:hAnsi="Tahoma"/>
      <w:sz w:val="24"/>
      <w:szCs w:val="20"/>
    </w:rPr>
  </w:style>
  <w:style w:type="paragraph" w:customStyle="1" w:styleId="233">
    <w:name w:val="Normal"/>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234">
    <w:name w:val="xl25"/>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line="360" w:lineRule="auto"/>
      <w:ind w:firstLine="454"/>
      <w:jc w:val="left"/>
    </w:pPr>
    <w:rPr>
      <w:rFonts w:ascii="Arial Unicode MS" w:hAnsi="Arial Unicode MS" w:eastAsia="Arial Unicode MS"/>
      <w:kern w:val="0"/>
      <w:sz w:val="24"/>
      <w:szCs w:val="20"/>
    </w:rPr>
  </w:style>
  <w:style w:type="paragraph" w:customStyle="1" w:styleId="235">
    <w:name w:val="默认段落字体 Para Char"/>
    <w:basedOn w:val="1"/>
    <w:uiPriority w:val="0"/>
    <w:pPr>
      <w:tabs>
        <w:tab w:val="left" w:pos="780"/>
      </w:tabs>
      <w:ind w:left="780" w:hanging="420"/>
    </w:pPr>
    <w:rPr>
      <w:rFonts w:ascii="Times New Roman" w:hAnsi="Times New Roman"/>
      <w:sz w:val="24"/>
      <w:szCs w:val="20"/>
    </w:rPr>
  </w:style>
  <w:style w:type="paragraph" w:customStyle="1" w:styleId="236">
    <w:name w:val=" Char Char Char Char Char Char Char Char Char Char Char Char Char Char Char Char"/>
    <w:basedOn w:val="1"/>
    <w:uiPriority w:val="0"/>
    <w:pPr>
      <w:tabs>
        <w:tab w:val="left" w:pos="360"/>
      </w:tabs>
      <w:jc w:val="center"/>
    </w:pPr>
    <w:rPr>
      <w:rFonts w:ascii="宋体" w:hAnsi="宋体"/>
      <w:b/>
      <w:szCs w:val="20"/>
    </w:rPr>
  </w:style>
  <w:style w:type="paragraph" w:customStyle="1" w:styleId="237">
    <w:name w:val=" Char4 Char Char Char"/>
    <w:basedOn w:val="1"/>
    <w:uiPriority w:val="0"/>
    <w:pPr>
      <w:tabs>
        <w:tab w:val="left" w:pos="780"/>
      </w:tabs>
      <w:ind w:left="780" w:hanging="420"/>
    </w:pPr>
    <w:rPr>
      <w:rFonts w:ascii="Times New Roman" w:hAnsi="Times New Roman"/>
      <w:sz w:val="24"/>
      <w:szCs w:val="20"/>
    </w:rPr>
  </w:style>
  <w:style w:type="paragraph" w:customStyle="1" w:styleId="238">
    <w:name w:val="13、表格内居中正文"/>
    <w:basedOn w:val="1"/>
    <w:qFormat/>
    <w:uiPriority w:val="0"/>
    <w:pPr>
      <w:tabs>
        <w:tab w:val="left" w:pos="0"/>
      </w:tabs>
      <w:wordWrap w:val="0"/>
      <w:topLinePunct/>
      <w:spacing w:line="360" w:lineRule="exact"/>
      <w:jc w:val="center"/>
    </w:pPr>
    <w:rPr>
      <w:rFonts w:ascii="Times New Roman" w:hAnsi="Times New Roman"/>
      <w:szCs w:val="22"/>
    </w:rPr>
  </w:style>
  <w:style w:type="paragraph" w:customStyle="1" w:styleId="239">
    <w:name w:val="表格内文字居中"/>
    <w:basedOn w:val="1"/>
    <w:uiPriority w:val="0"/>
    <w:pPr>
      <w:spacing w:line="312" w:lineRule="auto"/>
      <w:jc w:val="center"/>
    </w:pPr>
    <w:rPr>
      <w:rFonts w:ascii="Times New Roman" w:hAnsi="Times New Roman"/>
      <w:sz w:val="24"/>
      <w:szCs w:val="20"/>
    </w:rPr>
  </w:style>
  <w:style w:type="paragraph" w:customStyle="1" w:styleId="240">
    <w:name w:val="首行缩进"/>
    <w:basedOn w:val="1"/>
    <w:qFormat/>
    <w:uiPriority w:val="0"/>
    <w:pPr>
      <w:spacing w:line="360" w:lineRule="auto"/>
      <w:ind w:firstLine="420" w:firstLineChars="200"/>
    </w:pPr>
    <w:rPr>
      <w:rFonts w:ascii="Calibri" w:hAnsi="Calibri"/>
    </w:rPr>
  </w:style>
  <w:style w:type="paragraph" w:customStyle="1" w:styleId="241">
    <w:name w:val="样式 正文缩进 + 首行缩进:  2 字符 段前: 0.5 行 段后: 0.5 行"/>
    <w:basedOn w:val="15"/>
    <w:uiPriority w:val="0"/>
    <w:pPr>
      <w:spacing w:before="156" w:beforeLines="50" w:after="156" w:afterLines="50" w:line="360" w:lineRule="auto"/>
      <w:ind w:firstLine="480"/>
    </w:pPr>
    <w:rPr>
      <w:sz w:val="24"/>
      <w:szCs w:val="20"/>
    </w:rPr>
  </w:style>
  <w:style w:type="paragraph" w:customStyle="1" w:styleId="242">
    <w:name w:val="Char Char Char Char"/>
    <w:basedOn w:val="1"/>
    <w:qFormat/>
    <w:uiPriority w:val="0"/>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243">
    <w:name w:val="Table Paragraph"/>
    <w:basedOn w:val="1"/>
    <w:qFormat/>
    <w:uiPriority w:val="1"/>
    <w:rPr>
      <w:rFonts w:ascii="宋体" w:hAnsi="宋体" w:eastAsia="宋体" w:cs="宋体"/>
    </w:rPr>
  </w:style>
  <w:style w:type="paragraph" w:customStyle="1" w:styleId="244">
    <w:name w:val="纯文本1"/>
    <w:uiPriority w:val="0"/>
    <w:pPr>
      <w:framePr w:wrap="around" w:vAnchor="margin" w:hAnchor="text" w:yAlign="top"/>
      <w:widowControl w:val="0"/>
      <w:jc w:val="both"/>
    </w:pPr>
    <w:rPr>
      <w:rFonts w:ascii="宋体" w:hAnsi="宋体" w:eastAsia="宋体" w:cs="宋体"/>
      <w:color w:val="000000"/>
      <w:kern w:val="2"/>
      <w:sz w:val="21"/>
      <w:szCs w:val="21"/>
      <w:u w:val="none" w:color="000000"/>
      <w:lang w:val="en-US" w:eastAsia="zh-CN" w:bidi="ar-SA"/>
    </w:rPr>
  </w:style>
  <w:style w:type="paragraph" w:customStyle="1" w:styleId="245">
    <w:name w:val="2。正文 Char"/>
    <w:basedOn w:val="1"/>
    <w:uiPriority w:val="0"/>
    <w:pPr>
      <w:spacing w:line="360" w:lineRule="auto"/>
      <w:ind w:left="105" w:leftChars="50" w:rightChars="50" w:firstLine="480" w:firstLineChars="200"/>
    </w:pPr>
    <w:rPr>
      <w:rFonts w:ascii="仿宋_GB2312" w:hAnsi="宋体" w:eastAsia="仿宋_GB2312"/>
      <w:sz w:val="24"/>
      <w:szCs w:val="20"/>
    </w:rPr>
  </w:style>
  <w:style w:type="paragraph" w:customStyle="1" w:styleId="246">
    <w:name w:val="17“1.”四级标题"/>
    <w:basedOn w:val="218"/>
    <w:uiPriority w:val="0"/>
    <w:pPr>
      <w:ind w:firstLine="803"/>
    </w:pPr>
  </w:style>
  <w:style w:type="paragraph" w:customStyle="1" w:styleId="247">
    <w:name w:val="列出段落1"/>
    <w:basedOn w:val="1"/>
    <w:qFormat/>
    <w:uiPriority w:val="34"/>
    <w:pPr>
      <w:widowControl/>
      <w:ind w:firstLine="420" w:firstLineChars="200"/>
      <w:jc w:val="left"/>
    </w:pPr>
    <w:rPr>
      <w:rFonts w:hint="eastAsia" w:ascii="Calibri" w:hAnsi="Calibri"/>
      <w:kern w:val="0"/>
      <w:sz w:val="24"/>
      <w:lang w:eastAsia="en-US" w:bidi="en-US"/>
    </w:rPr>
  </w:style>
  <w:style w:type="paragraph" w:customStyle="1" w:styleId="248">
    <w:name w:val="_Style 5"/>
    <w:basedOn w:val="1"/>
    <w:qFormat/>
    <w:uiPriority w:val="0"/>
    <w:pPr>
      <w:spacing w:line="440" w:lineRule="exact"/>
      <w:ind w:firstLine="420" w:firstLineChars="200"/>
    </w:pPr>
    <w:rPr>
      <w:szCs w:val="22"/>
    </w:rPr>
  </w:style>
  <w:style w:type="paragraph" w:customStyle="1" w:styleId="249">
    <w:name w:val="reader-word-layer"/>
    <w:basedOn w:val="1"/>
    <w:qFormat/>
    <w:uiPriority w:val="99"/>
    <w:pPr>
      <w:spacing w:before="100" w:beforeAutospacing="1" w:after="100" w:afterAutospacing="1" w:line="240" w:lineRule="auto"/>
      <w:jc w:val="left"/>
    </w:pPr>
    <w:rPr>
      <w:kern w:val="0"/>
    </w:rPr>
  </w:style>
  <w:style w:type="paragraph" w:customStyle="1" w:styleId="250">
    <w:name w:val="正文首缩两字 Char"/>
    <w:basedOn w:val="1"/>
    <w:uiPriority w:val="0"/>
    <w:pPr>
      <w:spacing w:line="360" w:lineRule="auto"/>
      <w:ind w:firstLine="200" w:firstLineChars="200"/>
    </w:pPr>
    <w:rPr>
      <w:rFonts w:ascii="Verdana" w:hAnsi="Verdana"/>
      <w:sz w:val="24"/>
      <w:szCs w:val="20"/>
    </w:rPr>
  </w:style>
  <w:style w:type="paragraph" w:customStyle="1" w:styleId="251">
    <w:name w:val="正文[858D7CFB-ED40-4347-BF05-701D383B685F][858D7CFB-ED40-4347-BF05-701D383B685F]"/>
    <w:basedOn w:val="2"/>
    <w:next w:val="2"/>
    <w:unhideWhenUsed/>
    <w:uiPriority w:val="99"/>
    <w:pPr>
      <w:adjustRightInd/>
    </w:pPr>
    <w:rPr>
      <w:rFonts w:ascii="黑体" w:hAnsi="黑体" w:eastAsia="黑体" w:cs="黑体"/>
      <w:szCs w:val="24"/>
    </w:rPr>
  </w:style>
  <w:style w:type="paragraph" w:customStyle="1" w:styleId="252">
    <w:name w:val="表格表头"/>
    <w:basedOn w:val="199"/>
    <w:next w:val="199"/>
    <w:uiPriority w:val="0"/>
    <w:rPr>
      <w:b/>
    </w:rPr>
  </w:style>
  <w:style w:type="paragraph" w:customStyle="1" w:styleId="253">
    <w:name w:val="_Style 26"/>
    <w:uiPriority w:val="0"/>
    <w:pPr>
      <w:framePr w:wrap="around" w:vAnchor="margin" w:hAnchor="text" w:yAlign="top"/>
      <w:widowControl w:val="0"/>
      <w:ind w:firstLine="420"/>
      <w:jc w:val="both"/>
    </w:pPr>
    <w:rPr>
      <w:rFonts w:ascii="宋体" w:hAnsi="宋体" w:eastAsia="宋体" w:cs="宋体"/>
      <w:color w:val="000000"/>
      <w:sz w:val="34"/>
      <w:szCs w:val="34"/>
      <w:u w:val="none" w:color="000000"/>
      <w:lang w:val="en-US" w:eastAsia="zh-CN" w:bidi="ar-SA"/>
    </w:rPr>
  </w:style>
  <w:style w:type="paragraph" w:customStyle="1" w:styleId="254">
    <w:name w:val=" Char"/>
    <w:basedOn w:val="1"/>
    <w:uiPriority w:val="0"/>
    <w:pPr>
      <w:tabs>
        <w:tab w:val="left" w:pos="360"/>
      </w:tabs>
    </w:pPr>
    <w:rPr>
      <w:rFonts w:ascii="Times New Roman" w:hAnsi="Times New Roman"/>
      <w:sz w:val="24"/>
      <w:szCs w:val="20"/>
    </w:rPr>
  </w:style>
  <w:style w:type="paragraph" w:customStyle="1" w:styleId="255">
    <w:name w:val="03、“注：”正文(加粗，首行缩进2字符)"/>
    <w:basedOn w:val="193"/>
    <w:uiPriority w:val="0"/>
    <w:pPr>
      <w:ind w:firstLine="480" w:firstLineChars="200"/>
    </w:pPr>
    <w:rPr>
      <w:rFonts w:ascii="Times New Roman" w:hAnsi="Times New Roman"/>
      <w:b/>
    </w:rPr>
  </w:style>
  <w:style w:type="paragraph" w:customStyle="1" w:styleId="256">
    <w:name w:val="表格小四"/>
    <w:basedOn w:val="1"/>
    <w:uiPriority w:val="0"/>
    <w:pPr>
      <w:adjustRightInd w:val="0"/>
      <w:snapToGrid w:val="0"/>
      <w:spacing w:before="93" w:beforeLines="30" w:after="31" w:afterLines="10"/>
      <w:jc w:val="center"/>
    </w:pPr>
    <w:rPr>
      <w:rFonts w:ascii="Times New Roman" w:hAnsi="Times New Roman"/>
      <w:sz w:val="24"/>
      <w:szCs w:val="20"/>
    </w:rPr>
  </w:style>
  <w:style w:type="paragraph" w:customStyle="1" w:styleId="257">
    <w:name w:val="小标题"/>
    <w:basedOn w:val="1"/>
    <w:next w:val="15"/>
    <w:uiPriority w:val="0"/>
    <w:pPr>
      <w:numPr>
        <w:ilvl w:val="0"/>
        <w:numId w:val="5"/>
      </w:numPr>
      <w:tabs>
        <w:tab w:val="left" w:pos="420"/>
      </w:tabs>
      <w:spacing w:before="156" w:beforeLines="50" w:after="156" w:afterLines="50" w:line="360" w:lineRule="auto"/>
    </w:pPr>
    <w:rPr>
      <w:rFonts w:ascii="Arial" w:hAnsi="Arial" w:eastAsia="黑体"/>
      <w:b/>
      <w:sz w:val="28"/>
      <w:szCs w:val="20"/>
    </w:rPr>
  </w:style>
  <w:style w:type="paragraph" w:customStyle="1" w:styleId="258">
    <w:name w:val="_Style 257"/>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59">
    <w:name w:val="HPC正文"/>
    <w:basedOn w:val="1"/>
    <w:qFormat/>
    <w:uiPriority w:val="0"/>
    <w:pPr>
      <w:spacing w:line="360" w:lineRule="auto"/>
      <w:ind w:firstLine="424" w:firstLineChars="202"/>
    </w:pPr>
    <w:rPr>
      <w:rFonts w:ascii="Times New Roman" w:hAnsi="Times New Roman"/>
      <w:szCs w:val="21"/>
    </w:rPr>
  </w:style>
  <w:style w:type="paragraph" w:customStyle="1" w:styleId="260">
    <w:name w:val="HPC题6"/>
    <w:basedOn w:val="228"/>
    <w:next w:val="1"/>
    <w:qFormat/>
    <w:uiPriority w:val="0"/>
    <w:pPr>
      <w:tabs>
        <w:tab w:val="left" w:pos="3080"/>
      </w:tabs>
      <w:outlineLvl w:val="5"/>
    </w:pPr>
  </w:style>
  <w:style w:type="paragraph" w:customStyle="1" w:styleId="261">
    <w:name w:val="正文B"/>
    <w:basedOn w:val="1"/>
    <w:uiPriority w:val="0"/>
    <w:pPr>
      <w:adjustRightInd w:val="0"/>
      <w:spacing w:line="390" w:lineRule="exact"/>
      <w:ind w:firstLine="601"/>
      <w:textAlignment w:val="baseline"/>
    </w:pPr>
    <w:rPr>
      <w:rFonts w:ascii="Times New Roman" w:hAnsi="Times New Roman" w:eastAsia="楷体_GB2312"/>
      <w:spacing w:val="8"/>
      <w:kern w:val="0"/>
      <w:sz w:val="28"/>
      <w:szCs w:val="20"/>
    </w:rPr>
  </w:style>
  <w:style w:type="paragraph" w:customStyle="1" w:styleId="262">
    <w:name w:val="列出段落11"/>
    <w:basedOn w:val="1"/>
    <w:uiPriority w:val="0"/>
    <w:pPr>
      <w:ind w:firstLine="420" w:firstLineChars="200"/>
    </w:pPr>
    <w:rPr>
      <w:szCs w:val="21"/>
    </w:rPr>
  </w:style>
  <w:style w:type="paragraph" w:customStyle="1" w:styleId="263">
    <w:name w:val="样式2"/>
    <w:basedOn w:val="35"/>
    <w:uiPriority w:val="0"/>
    <w:pPr>
      <w:ind w:left="482" w:hanging="482"/>
      <w:jc w:val="center"/>
    </w:pPr>
    <w:rPr>
      <w:b/>
      <w:sz w:val="24"/>
    </w:rPr>
  </w:style>
  <w:style w:type="paragraph" w:customStyle="1" w:styleId="264">
    <w:name w:val="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65">
    <w:name w:val="标书图注"/>
    <w:basedOn w:val="1"/>
    <w:uiPriority w:val="0"/>
    <w:pPr>
      <w:snapToGrid w:val="0"/>
      <w:spacing w:line="360" w:lineRule="auto"/>
      <w:ind w:firstLine="420"/>
      <w:jc w:val="center"/>
    </w:pPr>
    <w:rPr>
      <w:rFonts w:ascii="Times New Roman" w:hAnsi="Times New Roman"/>
      <w:szCs w:val="20"/>
    </w:rPr>
  </w:style>
  <w:style w:type="paragraph" w:customStyle="1" w:styleId="26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67">
    <w:name w:val="1公招正文"/>
    <w:basedOn w:val="1"/>
    <w:uiPriority w:val="0"/>
    <w:pPr>
      <w:spacing w:line="360" w:lineRule="auto"/>
      <w:ind w:firstLine="1044" w:firstLineChars="200"/>
      <w:jc w:val="left"/>
    </w:pPr>
    <w:rPr>
      <w:rFonts w:ascii="宋体" w:hAnsi="宋体"/>
      <w:sz w:val="24"/>
      <w:szCs w:val="22"/>
    </w:rPr>
  </w:style>
  <w:style w:type="table" w:customStyle="1" w:styleId="268">
    <w:name w:val="Table Normal"/>
    <w:unhideWhenUsed/>
    <w:qFormat/>
    <w:uiPriority w:val="2"/>
    <w:pPr>
      <w:widowControl w:val="0"/>
      <w:autoSpaceDE w:val="0"/>
      <w:autoSpaceDN w:val="0"/>
    </w:pPr>
    <w:rPr>
      <w:sz w:val="22"/>
      <w:szCs w:val="22"/>
      <w:lang w:val="en-US" w:eastAsia="en-US" w:bidi="ar-SA"/>
    </w:rPr>
    <w:tblPr>
      <w:tblCellMar>
        <w:top w:w="0" w:type="dxa"/>
        <w:left w:w="0" w:type="dxa"/>
        <w:bottom w:w="0" w:type="dxa"/>
        <w:right w:w="0" w:type="dxa"/>
      </w:tblCellMar>
    </w:tblPr>
  </w:style>
  <w:style w:type="table" w:customStyle="1" w:styleId="269">
    <w:name w:val="网格型5"/>
    <w:basedOn w:val="4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0">
    <w:name w:val="网格型2"/>
    <w:basedOn w:val="4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
    <w:name w:val="网格型1"/>
    <w:basedOn w:val="4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网格型4"/>
    <w:basedOn w:val="47"/>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73">
    <w:name w:val="网格型3"/>
    <w:basedOn w:val="4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4">
    <w:name w:val="方案正文"/>
    <w:basedOn w:val="1"/>
    <w:qFormat/>
    <w:uiPriority w:val="0"/>
    <w:pPr>
      <w:adjustRightInd w:val="0"/>
      <w:snapToGrid w:val="0"/>
      <w:spacing w:beforeLines="50" w:afterLines="50" w:line="360" w:lineRule="auto"/>
      <w:ind w:firstLine="200" w:firstLineChars="200"/>
      <w:jc w:val="left"/>
    </w:pPr>
    <w:rPr>
      <w:rFonts w:ascii="宋体" w:hAnsi="宋体" w:eastAsia="宋体" w:cs="Times New Roman"/>
      <w:sz w:val="24"/>
      <w:szCs w:val="24"/>
    </w:rPr>
  </w:style>
  <w:style w:type="paragraph" w:customStyle="1" w:styleId="275">
    <w:name w:val="Body text|1"/>
    <w:basedOn w:val="1"/>
    <w:qFormat/>
    <w:uiPriority w:val="0"/>
    <w:pPr>
      <w:spacing w:after="220" w:line="480" w:lineRule="auto"/>
      <w:ind w:firstLine="400"/>
    </w:pPr>
    <w:rPr>
      <w:rFonts w:ascii="宋体" w:hAnsi="宋体" w:eastAsia="宋体" w:cs="宋体"/>
      <w:sz w:val="26"/>
      <w:szCs w:val="26"/>
      <w:lang w:val="zh-TW" w:eastAsia="zh-TW" w:bidi="zh-TW"/>
    </w:rPr>
  </w:style>
  <w:style w:type="paragraph" w:customStyle="1" w:styleId="276">
    <w:name w:val="_Style 275"/>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6662</Words>
  <Characters>37980</Characters>
  <Lines>316</Lines>
  <Paragraphs>89</Paragraphs>
  <TotalTime>4</TotalTime>
  <ScaleCrop>false</ScaleCrop>
  <LinksUpToDate>false</LinksUpToDate>
  <CharactersWithSpaces>44553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2021-12-19T02:57:00Z</dcterms:created>
  <dc:creator>s</dc:creator>
  <cp:lastModifiedBy>浪人</cp:lastModifiedBy>
  <cp:lastPrinted>2020-06-29T07:53:00Z</cp:lastPrinted>
  <dcterms:modified xsi:type="dcterms:W3CDTF">2021-12-30T03:05:11Z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634E40261743492BAB90881D57011183</vt:lpwstr>
  </property>
</Properties>
</file>