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ind w:firstLine="482"/>
        <w:jc w:val="center"/>
        <w:rPr>
          <w:rFonts w:ascii="仿宋" w:hAnsi="仿宋" w:eastAsia="仿宋"/>
          <w:b/>
        </w:rPr>
      </w:pPr>
      <w:r>
        <w:rPr>
          <w:rFonts w:hint="eastAsia" w:ascii="仿宋" w:hAnsi="仿宋" w:eastAsia="仿宋"/>
          <w:b/>
        </w:rPr>
        <w:t>采购编号：</w:t>
      </w:r>
      <w:r>
        <w:rPr>
          <w:rFonts w:hint="eastAsia" w:ascii="微软雅黑" w:hAnsi="微软雅黑" w:eastAsia="微软雅黑" w:cs="微软雅黑"/>
          <w:i w:val="0"/>
          <w:iCs w:val="0"/>
          <w:caps w:val="0"/>
          <w:spacing w:val="0"/>
          <w:kern w:val="0"/>
          <w:sz w:val="21"/>
          <w:szCs w:val="21"/>
          <w:lang w:val="en-US" w:eastAsia="zh-CN" w:bidi="ar"/>
        </w:rPr>
        <w:t> </w:t>
      </w:r>
      <w:r>
        <w:rPr>
          <w:rFonts w:hint="eastAsia" w:ascii="仿宋" w:hAnsi="仿宋" w:eastAsia="仿宋"/>
          <w:b/>
          <w:lang w:val="en-US" w:eastAsia="zh-CN"/>
        </w:rPr>
        <w:t>510104202100052 </w:t>
      </w:r>
    </w:p>
    <w:p>
      <w:pPr>
        <w:rPr>
          <w:rFonts w:ascii="仿宋" w:hAnsi="仿宋" w:eastAsia="仿宋"/>
          <w:b/>
          <w:sz w:val="36"/>
          <w:szCs w:val="36"/>
        </w:rPr>
      </w:pPr>
    </w:p>
    <w:p>
      <w:pPr>
        <w:jc w:val="center"/>
        <w:rPr>
          <w:rFonts w:ascii="仿宋" w:hAnsi="仿宋" w:eastAsia="仿宋"/>
          <w:b/>
          <w:sz w:val="52"/>
          <w:szCs w:val="52"/>
        </w:rPr>
      </w:pPr>
    </w:p>
    <w:p>
      <w:pPr>
        <w:jc w:val="center"/>
        <w:rPr>
          <w:rFonts w:hint="eastAsia" w:ascii="仿宋" w:hAnsi="仿宋" w:eastAsia="仿宋"/>
          <w:b/>
          <w:sz w:val="52"/>
          <w:szCs w:val="52"/>
          <w:lang w:eastAsia="zh-CN"/>
        </w:rPr>
      </w:pPr>
      <w:r>
        <w:rPr>
          <w:rFonts w:hint="eastAsia" w:ascii="仿宋" w:hAnsi="仿宋" w:eastAsia="仿宋"/>
          <w:b/>
          <w:sz w:val="52"/>
          <w:szCs w:val="52"/>
          <w:lang w:eastAsia="zh-CN"/>
        </w:rPr>
        <w:t>成都市盐道街小学汇泉校区食堂厨房设施设备采购及安装项目</w:t>
      </w:r>
    </w:p>
    <w:p>
      <w:pPr>
        <w:rPr>
          <w:rFonts w:ascii="仿宋" w:hAnsi="仿宋" w:eastAsia="仿宋"/>
          <w:b/>
          <w:sz w:val="52"/>
          <w:szCs w:val="52"/>
        </w:rPr>
      </w:pPr>
    </w:p>
    <w:p>
      <w:pPr>
        <w:jc w:val="center"/>
        <w:rPr>
          <w:rFonts w:ascii="仿宋" w:hAnsi="仿宋" w:eastAsia="仿宋"/>
          <w:b/>
          <w:sz w:val="52"/>
          <w:szCs w:val="52"/>
        </w:rPr>
      </w:pPr>
      <w:r>
        <w:rPr>
          <w:rFonts w:hint="eastAsia" w:ascii="仿宋" w:hAnsi="仿宋" w:eastAsia="仿宋"/>
          <w:b/>
          <w:sz w:val="52"/>
          <w:szCs w:val="52"/>
        </w:rPr>
        <w:t>竞</w:t>
      </w:r>
    </w:p>
    <w:p>
      <w:pPr>
        <w:jc w:val="center"/>
        <w:rPr>
          <w:rFonts w:ascii="仿宋" w:hAnsi="仿宋" w:eastAsia="仿宋"/>
          <w:b/>
          <w:sz w:val="52"/>
          <w:szCs w:val="52"/>
        </w:rPr>
      </w:pPr>
      <w:r>
        <w:rPr>
          <w:rFonts w:hint="eastAsia" w:ascii="仿宋" w:hAnsi="仿宋" w:eastAsia="仿宋"/>
          <w:b/>
          <w:sz w:val="52"/>
          <w:szCs w:val="52"/>
        </w:rPr>
        <w:t>争</w:t>
      </w:r>
    </w:p>
    <w:p>
      <w:pPr>
        <w:tabs>
          <w:tab w:val="left" w:pos="213"/>
          <w:tab w:val="center" w:pos="3657"/>
        </w:tabs>
        <w:jc w:val="left"/>
        <w:rPr>
          <w:rFonts w:ascii="仿宋" w:hAnsi="仿宋" w:eastAsia="仿宋"/>
          <w:b/>
          <w:sz w:val="52"/>
          <w:szCs w:val="52"/>
        </w:rPr>
      </w:pPr>
      <w:r>
        <w:rPr>
          <w:rFonts w:ascii="仿宋" w:hAnsi="仿宋" w:eastAsia="仿宋"/>
          <w:b/>
          <w:sz w:val="52"/>
          <w:szCs w:val="52"/>
        </w:rPr>
        <w:tab/>
      </w:r>
      <w:r>
        <w:rPr>
          <w:rFonts w:ascii="仿宋" w:hAnsi="仿宋" w:eastAsia="仿宋"/>
          <w:b/>
          <w:sz w:val="52"/>
          <w:szCs w:val="52"/>
        </w:rPr>
        <w:tab/>
      </w:r>
      <w:r>
        <w:rPr>
          <w:rFonts w:hint="eastAsia" w:ascii="仿宋" w:hAnsi="仿宋" w:eastAsia="仿宋"/>
          <w:b/>
          <w:sz w:val="52"/>
          <w:szCs w:val="52"/>
        </w:rPr>
        <w:t>性</w:t>
      </w:r>
    </w:p>
    <w:p>
      <w:pPr>
        <w:jc w:val="center"/>
        <w:rPr>
          <w:rFonts w:ascii="仿宋" w:hAnsi="仿宋" w:eastAsia="仿宋"/>
          <w:b/>
          <w:sz w:val="52"/>
          <w:szCs w:val="52"/>
        </w:rPr>
      </w:pPr>
      <w:r>
        <w:rPr>
          <w:rFonts w:hint="eastAsia" w:ascii="仿宋" w:hAnsi="仿宋" w:eastAsia="仿宋"/>
          <w:b/>
          <w:sz w:val="52"/>
          <w:szCs w:val="52"/>
        </w:rPr>
        <w:t>磋</w:t>
      </w:r>
    </w:p>
    <w:p>
      <w:pPr>
        <w:jc w:val="center"/>
        <w:rPr>
          <w:rFonts w:ascii="仿宋" w:hAnsi="仿宋" w:eastAsia="仿宋"/>
          <w:b/>
          <w:sz w:val="52"/>
          <w:szCs w:val="52"/>
        </w:rPr>
      </w:pPr>
      <w:r>
        <w:rPr>
          <w:rFonts w:hint="eastAsia" w:ascii="仿宋" w:hAnsi="仿宋" w:eastAsia="仿宋"/>
          <w:b/>
          <w:sz w:val="52"/>
          <w:szCs w:val="52"/>
        </w:rPr>
        <w:t>商</w:t>
      </w:r>
    </w:p>
    <w:p>
      <w:pPr>
        <w:jc w:val="center"/>
        <w:rPr>
          <w:rFonts w:ascii="仿宋" w:hAnsi="仿宋" w:eastAsia="仿宋"/>
          <w:b/>
          <w:sz w:val="52"/>
          <w:szCs w:val="52"/>
        </w:rPr>
      </w:pPr>
      <w:r>
        <w:rPr>
          <w:rFonts w:hint="eastAsia" w:ascii="仿宋" w:hAnsi="仿宋" w:eastAsia="仿宋"/>
          <w:b/>
          <w:sz w:val="52"/>
          <w:szCs w:val="52"/>
        </w:rPr>
        <w:t>文</w:t>
      </w:r>
    </w:p>
    <w:p>
      <w:pPr>
        <w:jc w:val="center"/>
        <w:rPr>
          <w:rFonts w:ascii="仿宋" w:hAnsi="仿宋" w:eastAsia="仿宋"/>
          <w:b/>
          <w:sz w:val="52"/>
          <w:szCs w:val="52"/>
        </w:rPr>
      </w:pPr>
      <w:r>
        <w:rPr>
          <w:rFonts w:hint="eastAsia" w:ascii="仿宋" w:hAnsi="仿宋" w:eastAsia="仿宋"/>
          <w:b/>
          <w:sz w:val="52"/>
          <w:szCs w:val="52"/>
        </w:rPr>
        <w:t>件</w:t>
      </w:r>
    </w:p>
    <w:p>
      <w:pPr>
        <w:jc w:val="center"/>
        <w:rPr>
          <w:rFonts w:ascii="仿宋" w:hAnsi="仿宋" w:eastAsia="仿宋"/>
          <w:b/>
          <w:sz w:val="52"/>
          <w:szCs w:val="52"/>
        </w:rPr>
      </w:pPr>
    </w:p>
    <w:p>
      <w:pPr>
        <w:jc w:val="center"/>
        <w:rPr>
          <w:rFonts w:ascii="仿宋" w:hAnsi="仿宋" w:eastAsia="仿宋"/>
          <w:b/>
          <w:sz w:val="52"/>
          <w:szCs w:val="52"/>
        </w:rPr>
      </w:pPr>
    </w:p>
    <w:p>
      <w:pPr>
        <w:spacing w:line="360" w:lineRule="auto"/>
        <w:jc w:val="center"/>
        <w:rPr>
          <w:rFonts w:hint="eastAsia" w:ascii="仿宋" w:hAnsi="仿宋" w:eastAsia="仿宋"/>
          <w:b/>
          <w:sz w:val="32"/>
          <w:szCs w:val="32"/>
          <w:lang w:eastAsia="zh-CN"/>
        </w:rPr>
      </w:pPr>
      <w:r>
        <w:rPr>
          <w:rFonts w:hint="eastAsia" w:ascii="仿宋" w:hAnsi="仿宋" w:eastAsia="仿宋"/>
          <w:b/>
          <w:sz w:val="32"/>
          <w:szCs w:val="32"/>
          <w:lang w:eastAsia="zh-CN"/>
        </w:rPr>
        <w:t>成都市盐道街小学</w:t>
      </w:r>
    </w:p>
    <w:p>
      <w:pPr>
        <w:spacing w:line="360" w:lineRule="auto"/>
        <w:jc w:val="center"/>
        <w:rPr>
          <w:rFonts w:hint="eastAsia" w:ascii="仿宋" w:hAnsi="仿宋" w:eastAsia="仿宋"/>
          <w:b/>
          <w:sz w:val="32"/>
          <w:szCs w:val="32"/>
          <w:lang w:eastAsia="zh-CN"/>
        </w:rPr>
      </w:pPr>
      <w:r>
        <w:rPr>
          <w:rFonts w:hint="eastAsia" w:ascii="仿宋" w:hAnsi="仿宋" w:eastAsia="仿宋"/>
          <w:b/>
          <w:sz w:val="32"/>
          <w:szCs w:val="32"/>
          <w:lang w:eastAsia="zh-CN"/>
        </w:rPr>
        <w:t>四川共熠建设项目管理有限公司</w:t>
      </w:r>
    </w:p>
    <w:p>
      <w:pPr>
        <w:spacing w:line="360" w:lineRule="auto"/>
        <w:jc w:val="center"/>
        <w:rPr>
          <w:rFonts w:ascii="仿宋" w:hAnsi="仿宋" w:eastAsia="仿宋"/>
          <w:b/>
          <w:sz w:val="32"/>
          <w:szCs w:val="32"/>
        </w:rPr>
      </w:pPr>
      <w:r>
        <w:rPr>
          <w:rFonts w:hint="eastAsia" w:ascii="仿宋" w:hAnsi="仿宋" w:eastAsia="仿宋"/>
          <w:b/>
          <w:sz w:val="32"/>
          <w:szCs w:val="32"/>
        </w:rPr>
        <w:t>共同编制</w:t>
      </w:r>
    </w:p>
    <w:p>
      <w:pPr>
        <w:spacing w:line="360" w:lineRule="auto"/>
        <w:jc w:val="center"/>
        <w:rPr>
          <w:rFonts w:ascii="仿宋" w:hAnsi="仿宋" w:eastAsia="仿宋"/>
          <w:b/>
          <w:bCs/>
          <w:sz w:val="32"/>
          <w:szCs w:val="32"/>
          <w:lang w:val="zh-CN"/>
        </w:rPr>
      </w:pPr>
      <w:bookmarkStart w:id="0" w:name="PO_年份小写_1"/>
      <w:r>
        <w:rPr>
          <w:rFonts w:hint="eastAsia" w:ascii="仿宋" w:hAnsi="仿宋" w:eastAsia="仿宋"/>
          <w:b/>
          <w:bCs/>
          <w:sz w:val="32"/>
          <w:szCs w:val="32"/>
          <w:lang w:val="zh-CN"/>
        </w:rPr>
        <w:t>二</w:t>
      </w:r>
      <w:r>
        <w:rPr>
          <w:rFonts w:ascii="仿宋" w:hAnsi="仿宋" w:eastAsia="仿宋"/>
          <w:b/>
          <w:bCs/>
          <w:sz w:val="32"/>
          <w:szCs w:val="32"/>
          <w:lang w:val="zh-CN"/>
        </w:rPr>
        <w:t>O二一</w:t>
      </w:r>
      <w:bookmarkEnd w:id="0"/>
      <w:r>
        <w:rPr>
          <w:rFonts w:ascii="仿宋" w:hAnsi="仿宋" w:eastAsia="仿宋"/>
          <w:b/>
          <w:bCs/>
          <w:sz w:val="32"/>
          <w:szCs w:val="32"/>
          <w:lang w:val="zh-CN"/>
        </w:rPr>
        <w:t>年</w:t>
      </w:r>
      <w:r>
        <w:rPr>
          <w:rFonts w:hint="eastAsia" w:ascii="仿宋" w:hAnsi="仿宋" w:eastAsia="仿宋"/>
          <w:b/>
          <w:bCs/>
          <w:sz w:val="32"/>
          <w:szCs w:val="32"/>
          <w:lang w:val="en-US" w:eastAsia="zh-CN"/>
        </w:rPr>
        <w:t>六</w:t>
      </w:r>
      <w:r>
        <w:rPr>
          <w:rFonts w:ascii="仿宋" w:hAnsi="仿宋" w:eastAsia="仿宋"/>
          <w:b/>
          <w:bCs/>
          <w:sz w:val="32"/>
          <w:szCs w:val="32"/>
          <w:lang w:val="zh-CN"/>
        </w:rPr>
        <w:t>月</w:t>
      </w:r>
    </w:p>
    <w:p>
      <w:pPr>
        <w:pStyle w:val="4"/>
        <w:keepNext w:val="0"/>
        <w:keepLines w:val="0"/>
        <w:spacing w:line="360" w:lineRule="exact"/>
        <w:jc w:val="center"/>
        <w:rPr>
          <w:rFonts w:hint="eastAsia" w:ascii="仿宋" w:hAnsi="仿宋" w:eastAsia="仿宋"/>
          <w:b w:val="0"/>
          <w:bCs w:val="0"/>
          <w:sz w:val="36"/>
        </w:rPr>
        <w:sectPr>
          <w:headerReference r:id="rId3" w:type="default"/>
          <w:footerReference r:id="rId4" w:type="even"/>
          <w:pgSz w:w="11907" w:h="16840"/>
          <w:pgMar w:top="1440" w:right="3118" w:bottom="1440" w:left="1474" w:header="851" w:footer="992" w:gutter="0"/>
          <w:cols w:space="425" w:num="1"/>
          <w:titlePg/>
          <w:docGrid w:linePitch="312" w:charSpace="0"/>
        </w:sectPr>
      </w:pPr>
    </w:p>
    <w:p>
      <w:pPr>
        <w:pStyle w:val="4"/>
        <w:keepNext w:val="0"/>
        <w:keepLines w:val="0"/>
        <w:spacing w:line="360" w:lineRule="exact"/>
        <w:jc w:val="center"/>
        <w:rPr>
          <w:rFonts w:ascii="仿宋" w:hAnsi="仿宋" w:eastAsia="仿宋"/>
          <w:b w:val="0"/>
          <w:bCs w:val="0"/>
          <w:sz w:val="36"/>
        </w:rPr>
      </w:pPr>
      <w:r>
        <w:rPr>
          <w:rFonts w:hint="eastAsia" w:ascii="仿宋" w:hAnsi="仿宋" w:eastAsia="仿宋"/>
          <w:b w:val="0"/>
          <w:bCs w:val="0"/>
          <w:sz w:val="36"/>
        </w:rPr>
        <w:t>目    录</w:t>
      </w:r>
    </w:p>
    <w:p>
      <w:pPr>
        <w:rPr>
          <w:rFonts w:ascii="仿宋" w:hAnsi="仿宋" w:eastAsia="仿宋"/>
        </w:rPr>
      </w:pPr>
    </w:p>
    <w:p>
      <w:pPr>
        <w:rPr>
          <w:rFonts w:ascii="仿宋" w:hAnsi="仿宋" w:eastAsia="仿宋"/>
        </w:rPr>
      </w:pPr>
    </w:p>
    <w:p>
      <w:pPr>
        <w:pStyle w:val="16"/>
        <w:tabs>
          <w:tab w:val="right" w:leader="dot" w:pos="7305"/>
        </w:tabs>
        <w:rPr>
          <w:rFonts w:ascii="仿宋" w:hAnsi="仿宋" w:eastAsia="仿宋" w:cstheme="minorBidi"/>
          <w:sz w:val="21"/>
          <w:szCs w:val="22"/>
        </w:rPr>
      </w:pPr>
      <w:r>
        <w:rPr>
          <w:rFonts w:ascii="仿宋" w:hAnsi="仿宋" w:eastAsia="仿宋"/>
        </w:rPr>
        <w:fldChar w:fldCharType="begin"/>
      </w:r>
      <w:r>
        <w:rPr>
          <w:rFonts w:ascii="仿宋" w:hAnsi="仿宋" w:eastAsia="仿宋"/>
        </w:rPr>
        <w:instrText xml:space="preserve"> TOC \h \z \u \t "标题,1" </w:instrText>
      </w:r>
      <w:r>
        <w:rPr>
          <w:rFonts w:ascii="仿宋" w:hAnsi="仿宋" w:eastAsia="仿宋"/>
        </w:rPr>
        <w:fldChar w:fldCharType="separate"/>
      </w:r>
      <w:r>
        <w:fldChar w:fldCharType="begin"/>
      </w:r>
      <w:r>
        <w:instrText xml:space="preserve"> HYPERLINK \l "_Toc511205298" </w:instrText>
      </w:r>
      <w:r>
        <w:fldChar w:fldCharType="separate"/>
      </w:r>
      <w:r>
        <w:rPr>
          <w:rStyle w:val="26"/>
          <w:rFonts w:hint="eastAsia" w:ascii="仿宋" w:hAnsi="仿宋" w:eastAsia="仿宋"/>
          <w:color w:val="auto"/>
        </w:rPr>
        <w:t>第一章</w:t>
      </w:r>
      <w:r>
        <w:rPr>
          <w:rStyle w:val="26"/>
          <w:rFonts w:ascii="仿宋" w:hAnsi="仿宋" w:eastAsia="仿宋"/>
          <w:color w:val="auto"/>
        </w:rPr>
        <w:t xml:space="preserve">  </w:t>
      </w:r>
      <w:r>
        <w:rPr>
          <w:rStyle w:val="26"/>
          <w:rFonts w:hint="eastAsia" w:ascii="仿宋" w:hAnsi="仿宋" w:eastAsia="仿宋"/>
          <w:color w:val="auto"/>
        </w:rPr>
        <w:t>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_Toc511205298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"_Toc511205299" </w:instrText>
      </w:r>
      <w:r>
        <w:fldChar w:fldCharType="separate"/>
      </w:r>
      <w:r>
        <w:rPr>
          <w:rStyle w:val="26"/>
          <w:rFonts w:hint="eastAsia" w:ascii="仿宋" w:hAnsi="仿宋" w:eastAsia="仿宋"/>
          <w:color w:val="auto"/>
        </w:rPr>
        <w:t>第二章  磋商须知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_Toc511205299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"_Toc511205300" </w:instrText>
      </w:r>
      <w:r>
        <w:fldChar w:fldCharType="separate"/>
      </w:r>
      <w:r>
        <w:rPr>
          <w:rStyle w:val="26"/>
          <w:rFonts w:hint="eastAsia" w:ascii="仿宋" w:hAnsi="仿宋" w:eastAsia="仿宋"/>
          <w:color w:val="auto"/>
        </w:rPr>
        <w:t>第三章</w:t>
      </w:r>
      <w:r>
        <w:rPr>
          <w:rStyle w:val="26"/>
          <w:rFonts w:ascii="仿宋" w:hAnsi="仿宋" w:eastAsia="仿宋"/>
          <w:color w:val="auto"/>
        </w:rPr>
        <w:t xml:space="preserve">  </w:t>
      </w:r>
      <w:r>
        <w:rPr>
          <w:rStyle w:val="26"/>
          <w:rFonts w:hint="eastAsia" w:ascii="仿宋" w:hAnsi="仿宋" w:eastAsia="仿宋"/>
          <w:color w:val="auto"/>
        </w:rPr>
        <w:t>供应商和报价产品的资格、资质性及其他类似效力要求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_Toc511205300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"_Toc511205301" </w:instrText>
      </w:r>
      <w:r>
        <w:fldChar w:fldCharType="separate"/>
      </w:r>
      <w:r>
        <w:rPr>
          <w:rStyle w:val="26"/>
          <w:rFonts w:hint="eastAsia" w:ascii="仿宋" w:hAnsi="仿宋" w:eastAsia="仿宋"/>
          <w:color w:val="auto"/>
        </w:rPr>
        <w:t>第四章</w:t>
      </w:r>
      <w:r>
        <w:rPr>
          <w:rStyle w:val="26"/>
          <w:rFonts w:ascii="仿宋" w:hAnsi="仿宋" w:eastAsia="仿宋"/>
          <w:color w:val="auto"/>
        </w:rPr>
        <w:t xml:space="preserve">  </w:t>
      </w:r>
      <w:r>
        <w:rPr>
          <w:rStyle w:val="26"/>
          <w:rFonts w:hint="eastAsia" w:ascii="仿宋" w:hAnsi="仿宋" w:eastAsia="仿宋"/>
          <w:color w:val="auto"/>
        </w:rPr>
        <w:t>供应商应当提供的资格、资质性及其他类似效力要求的相关证明材料</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_Toc511205301 \h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"_Toc511205302" </w:instrText>
      </w:r>
      <w:r>
        <w:fldChar w:fldCharType="separate"/>
      </w:r>
      <w:r>
        <w:rPr>
          <w:rStyle w:val="26"/>
          <w:rFonts w:hint="eastAsia" w:ascii="仿宋" w:hAnsi="仿宋" w:eastAsia="仿宋"/>
          <w:color w:val="auto"/>
        </w:rPr>
        <w:t>第五章</w:t>
      </w:r>
      <w:r>
        <w:rPr>
          <w:rStyle w:val="26"/>
          <w:rFonts w:ascii="仿宋" w:hAnsi="仿宋" w:eastAsia="仿宋"/>
          <w:color w:val="auto"/>
        </w:rPr>
        <w:t xml:space="preserve">  </w:t>
      </w:r>
      <w:r>
        <w:rPr>
          <w:rStyle w:val="26"/>
          <w:rFonts w:hint="eastAsia" w:ascii="仿宋" w:hAnsi="仿宋" w:eastAsia="仿宋"/>
          <w:color w:val="auto"/>
        </w:rPr>
        <w:t>采购项目技术、服务、政府采购合同内容条款及其他商务要求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_Toc511205302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"_Toc511205303" </w:instrText>
      </w:r>
      <w:r>
        <w:fldChar w:fldCharType="separate"/>
      </w:r>
      <w:r>
        <w:rPr>
          <w:rStyle w:val="26"/>
          <w:rFonts w:hint="eastAsia" w:ascii="仿宋" w:hAnsi="仿宋" w:eastAsia="仿宋"/>
          <w:color w:val="auto"/>
        </w:rPr>
        <w:t>第六章</w:t>
      </w:r>
      <w:r>
        <w:rPr>
          <w:rStyle w:val="26"/>
          <w:rFonts w:ascii="仿宋" w:hAnsi="仿宋" w:eastAsia="仿宋"/>
          <w:color w:val="auto"/>
        </w:rPr>
        <w:t xml:space="preserve">  </w:t>
      </w:r>
      <w:r>
        <w:rPr>
          <w:rStyle w:val="26"/>
          <w:rFonts w:hint="eastAsia" w:ascii="仿宋" w:hAnsi="仿宋" w:eastAsia="仿宋"/>
          <w:color w:val="auto"/>
        </w:rPr>
        <w:t>磋商内容、磋商过程中可实质性变动的内容</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_Toc511205303 \h </w:instrText>
      </w:r>
      <w:r>
        <w:rPr>
          <w:rFonts w:ascii="仿宋" w:hAnsi="仿宋" w:eastAsia="仿宋"/>
        </w:rPr>
        <w:fldChar w:fldCharType="separate"/>
      </w:r>
      <w:r>
        <w:rPr>
          <w:rFonts w:ascii="仿宋" w:hAnsi="仿宋" w:eastAsia="仿宋"/>
        </w:rPr>
        <w:t>39</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"_Toc511205304" </w:instrText>
      </w:r>
      <w:r>
        <w:fldChar w:fldCharType="separate"/>
      </w:r>
      <w:r>
        <w:rPr>
          <w:rStyle w:val="26"/>
          <w:rFonts w:hint="eastAsia" w:ascii="仿宋" w:hAnsi="仿宋" w:eastAsia="仿宋"/>
          <w:color w:val="auto"/>
        </w:rPr>
        <w:t>第七章</w:t>
      </w:r>
      <w:r>
        <w:rPr>
          <w:rStyle w:val="26"/>
          <w:rFonts w:ascii="仿宋" w:hAnsi="仿宋" w:eastAsia="仿宋"/>
          <w:color w:val="auto"/>
        </w:rPr>
        <w:t xml:space="preserve">  </w:t>
      </w:r>
      <w:r>
        <w:rPr>
          <w:rStyle w:val="26"/>
          <w:rFonts w:hint="eastAsia" w:ascii="仿宋" w:hAnsi="仿宋" w:eastAsia="仿宋"/>
          <w:color w:val="auto"/>
        </w:rPr>
        <w:t>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_Toc511205304 \h </w:instrText>
      </w:r>
      <w:r>
        <w:rPr>
          <w:rFonts w:ascii="仿宋" w:hAnsi="仿宋" w:eastAsia="仿宋"/>
        </w:rPr>
        <w:fldChar w:fldCharType="separate"/>
      </w:r>
      <w:r>
        <w:rPr>
          <w:rFonts w:ascii="仿宋" w:hAnsi="仿宋" w:eastAsia="仿宋"/>
        </w:rPr>
        <w:t>40</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"_Toc511205305" </w:instrText>
      </w:r>
      <w:r>
        <w:fldChar w:fldCharType="separate"/>
      </w:r>
      <w:r>
        <w:rPr>
          <w:rStyle w:val="26"/>
          <w:rFonts w:hint="eastAsia" w:ascii="仿宋" w:hAnsi="仿宋" w:eastAsia="仿宋"/>
          <w:color w:val="auto"/>
        </w:rPr>
        <w:t>第八章  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_Toc511205305 \h </w:instrText>
      </w:r>
      <w:r>
        <w:rPr>
          <w:rFonts w:ascii="仿宋" w:hAnsi="仿宋" w:eastAsia="仿宋"/>
        </w:rPr>
        <w:fldChar w:fldCharType="separate"/>
      </w:r>
      <w:r>
        <w:rPr>
          <w:rFonts w:ascii="仿宋" w:hAnsi="仿宋" w:eastAsia="仿宋"/>
        </w:rPr>
        <w:t>64</w:t>
      </w:r>
      <w:r>
        <w:rPr>
          <w:rFonts w:ascii="仿宋" w:hAnsi="仿宋" w:eastAsia="仿宋"/>
        </w:rPr>
        <w:fldChar w:fldCharType="end"/>
      </w:r>
      <w:r>
        <w:rPr>
          <w:rFonts w:ascii="仿宋" w:hAnsi="仿宋" w:eastAsia="仿宋"/>
        </w:rPr>
        <w:fldChar w:fldCharType="end"/>
      </w:r>
    </w:p>
    <w:p>
      <w:pPr>
        <w:pStyle w:val="16"/>
        <w:tabs>
          <w:tab w:val="right" w:leader="dot" w:pos="7305"/>
        </w:tabs>
        <w:rPr>
          <w:rFonts w:ascii="仿宋" w:hAnsi="仿宋" w:eastAsia="仿宋" w:cstheme="minorBidi"/>
          <w:sz w:val="21"/>
          <w:szCs w:val="22"/>
        </w:rPr>
      </w:pPr>
      <w:r>
        <w:fldChar w:fldCharType="begin"/>
      </w:r>
      <w:r>
        <w:instrText xml:space="preserve"> HYPERLINK \l "_Toc511205306" </w:instrText>
      </w:r>
      <w:r>
        <w:fldChar w:fldCharType="separate"/>
      </w:r>
      <w:r>
        <w:rPr>
          <w:rStyle w:val="26"/>
          <w:rFonts w:hint="eastAsia" w:ascii="仿宋" w:hAnsi="仿宋" w:eastAsia="仿宋"/>
          <w:color w:val="auto"/>
        </w:rPr>
        <w:t>第九章</w:t>
      </w:r>
      <w:r>
        <w:rPr>
          <w:rStyle w:val="26"/>
          <w:rFonts w:ascii="仿宋" w:hAnsi="仿宋" w:eastAsia="仿宋"/>
          <w:color w:val="auto"/>
        </w:rPr>
        <w:t xml:space="preserve">  </w:t>
      </w:r>
      <w:r>
        <w:rPr>
          <w:rStyle w:val="26"/>
          <w:rFonts w:hint="eastAsia" w:ascii="仿宋" w:hAnsi="仿宋" w:eastAsia="仿宋"/>
          <w:color w:val="auto"/>
        </w:rPr>
        <w:t>政府采购合同（草案）</w:t>
      </w:r>
      <w:r>
        <w:rPr>
          <w:rFonts w:ascii="仿宋" w:hAnsi="仿宋" w:eastAsia="仿宋"/>
        </w:rPr>
        <w:tab/>
      </w:r>
      <w:r>
        <w:rPr>
          <w:rFonts w:ascii="仿宋" w:hAnsi="仿宋" w:eastAsia="仿宋"/>
        </w:rPr>
        <w:fldChar w:fldCharType="begin"/>
      </w:r>
      <w:r>
        <w:rPr>
          <w:rFonts w:ascii="仿宋" w:hAnsi="仿宋" w:eastAsia="仿宋"/>
        </w:rPr>
        <w:instrText xml:space="preserve"> PAGEREF _Toc511205306 \h </w:instrText>
      </w:r>
      <w:r>
        <w:rPr>
          <w:rFonts w:ascii="仿宋" w:hAnsi="仿宋" w:eastAsia="仿宋"/>
        </w:rPr>
        <w:fldChar w:fldCharType="separate"/>
      </w:r>
      <w:r>
        <w:rPr>
          <w:rFonts w:ascii="仿宋" w:hAnsi="仿宋" w:eastAsia="仿宋"/>
        </w:rPr>
        <w:t>73</w:t>
      </w:r>
      <w:r>
        <w:rPr>
          <w:rFonts w:ascii="仿宋" w:hAnsi="仿宋" w:eastAsia="仿宋"/>
        </w:rPr>
        <w:fldChar w:fldCharType="end"/>
      </w:r>
      <w:r>
        <w:rPr>
          <w:rFonts w:ascii="仿宋" w:hAnsi="仿宋" w:eastAsia="仿宋"/>
        </w:rPr>
        <w:fldChar w:fldCharType="end"/>
      </w:r>
    </w:p>
    <w:p>
      <w:pPr>
        <w:widowControl/>
        <w:jc w:val="left"/>
        <w:rPr>
          <w:rFonts w:ascii="仿宋" w:hAnsi="仿宋" w:eastAsia="仿宋"/>
          <w:bCs/>
          <w:sz w:val="24"/>
        </w:rPr>
      </w:pPr>
      <w:r>
        <w:rPr>
          <w:rFonts w:ascii="仿宋" w:hAnsi="仿宋" w:eastAsia="仿宋"/>
          <w:sz w:val="24"/>
        </w:rPr>
        <w:fldChar w:fldCharType="end"/>
      </w:r>
      <w:r>
        <w:rPr>
          <w:rFonts w:ascii="仿宋" w:hAnsi="仿宋" w:eastAsia="仿宋"/>
          <w:sz w:val="24"/>
        </w:rPr>
        <w:br w:type="page"/>
      </w:r>
    </w:p>
    <w:p>
      <w:pPr>
        <w:pStyle w:val="19"/>
        <w:rPr>
          <w:rFonts w:ascii="仿宋" w:hAnsi="仿宋" w:eastAsia="仿宋"/>
          <w:b w:val="0"/>
        </w:rPr>
      </w:pPr>
      <w:bookmarkStart w:id="1" w:name="_Toc511205298"/>
      <w:r>
        <w:rPr>
          <w:rFonts w:hint="eastAsia" w:ascii="仿宋" w:hAnsi="仿宋" w:eastAsia="仿宋"/>
          <w:b w:val="0"/>
        </w:rPr>
        <w:t>第一章  磋商邀请</w:t>
      </w:r>
      <w:bookmarkEnd w:id="1"/>
    </w:p>
    <w:p>
      <w:pPr>
        <w:pStyle w:val="6"/>
        <w:spacing w:line="440" w:lineRule="exact"/>
        <w:rPr>
          <w:rFonts w:ascii="仿宋" w:hAnsi="仿宋" w:eastAsia="仿宋"/>
        </w:rPr>
      </w:pPr>
    </w:p>
    <w:p>
      <w:pPr>
        <w:spacing w:line="440" w:lineRule="exact"/>
        <w:ind w:firstLine="720" w:firstLineChars="300"/>
        <w:jc w:val="left"/>
        <w:rPr>
          <w:rFonts w:ascii="仿宋" w:hAnsi="仿宋" w:eastAsia="仿宋"/>
          <w:sz w:val="24"/>
          <w:szCs w:val="28"/>
        </w:rPr>
      </w:pPr>
      <w:r>
        <w:rPr>
          <w:rFonts w:hint="eastAsia" w:ascii="仿宋" w:hAnsi="仿宋" w:eastAsia="仿宋"/>
          <w:sz w:val="24"/>
          <w:lang w:eastAsia="zh-CN"/>
        </w:rPr>
        <w:t>四川共熠建设项目管理有限公司</w:t>
      </w:r>
      <w:r>
        <w:rPr>
          <w:rFonts w:hint="eastAsia" w:ascii="仿宋" w:hAnsi="仿宋" w:eastAsia="仿宋"/>
          <w:sz w:val="24"/>
        </w:rPr>
        <w:t>受</w:t>
      </w:r>
      <w:r>
        <w:rPr>
          <w:rFonts w:hint="eastAsia" w:ascii="仿宋" w:hAnsi="仿宋" w:eastAsia="仿宋"/>
          <w:sz w:val="24"/>
          <w:u w:val="single"/>
          <w:lang w:eastAsia="zh-CN"/>
        </w:rPr>
        <w:t>成都市盐道街小学</w:t>
      </w:r>
      <w:r>
        <w:rPr>
          <w:rFonts w:hint="eastAsia" w:ascii="仿宋" w:hAnsi="仿宋" w:eastAsia="仿宋"/>
          <w:sz w:val="24"/>
          <w:u w:val="single"/>
        </w:rPr>
        <w:t>委</w:t>
      </w:r>
      <w:r>
        <w:rPr>
          <w:rFonts w:hint="eastAsia" w:ascii="仿宋" w:hAnsi="仿宋" w:eastAsia="仿宋"/>
          <w:sz w:val="24"/>
        </w:rPr>
        <w:t>托，拟对</w:t>
      </w:r>
      <w:bookmarkStart w:id="2" w:name="PO_默认文件内容_1"/>
      <w:r>
        <w:rPr>
          <w:rFonts w:hint="eastAsia" w:ascii="仿宋" w:hAnsi="仿宋" w:eastAsia="仿宋"/>
          <w:sz w:val="24"/>
          <w:u w:val="single"/>
          <w:lang w:eastAsia="zh-CN"/>
        </w:rPr>
        <w:t>成都市盐道街小学汇泉校区食堂厨房设施设备采购及安装项目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2"/>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0" w:firstLineChars="200"/>
        <w:rPr>
          <w:rFonts w:ascii="仿宋" w:hAnsi="仿宋" w:eastAsia="仿宋"/>
          <w:sz w:val="24"/>
        </w:rPr>
      </w:pPr>
      <w:r>
        <w:rPr>
          <w:rFonts w:hint="eastAsia" w:ascii="仿宋" w:hAnsi="仿宋" w:eastAsia="仿宋"/>
          <w:sz w:val="24"/>
        </w:rPr>
        <w:t>1.项目编号：</w:t>
      </w:r>
      <w:r>
        <w:rPr>
          <w:rFonts w:hint="eastAsia" w:ascii="仿宋" w:hAnsi="仿宋" w:eastAsia="仿宋"/>
          <w:sz w:val="24"/>
          <w:lang w:val="en-US" w:eastAsia="zh-CN"/>
        </w:rPr>
        <w:t>510104202100052</w:t>
      </w:r>
    </w:p>
    <w:p>
      <w:pPr>
        <w:spacing w:line="440" w:lineRule="exact"/>
        <w:ind w:firstLine="480" w:firstLineChars="200"/>
        <w:rPr>
          <w:rFonts w:hint="eastAsia" w:ascii="仿宋" w:hAnsi="仿宋" w:eastAsia="仿宋"/>
          <w:lang w:eastAsia="zh-CN"/>
        </w:rPr>
      </w:pPr>
      <w:r>
        <w:rPr>
          <w:rFonts w:hint="eastAsia" w:ascii="仿宋" w:hAnsi="仿宋" w:eastAsia="仿宋"/>
          <w:sz w:val="24"/>
        </w:rPr>
        <w:t>2.</w:t>
      </w:r>
      <w:r>
        <w:rPr>
          <w:rFonts w:hint="eastAsia" w:ascii="仿宋" w:hAnsi="仿宋" w:eastAsia="仿宋"/>
        </w:rPr>
        <w:t>采购项目名称：</w:t>
      </w:r>
      <w:r>
        <w:rPr>
          <w:rFonts w:hint="eastAsia" w:ascii="仿宋" w:hAnsi="仿宋" w:eastAsia="仿宋"/>
          <w:lang w:eastAsia="zh-CN"/>
        </w:rPr>
        <w:t>成都市盐道街小学汇泉校区食堂厨房设施设备采购及安装项目</w:t>
      </w:r>
    </w:p>
    <w:p>
      <w:pPr>
        <w:spacing w:line="440" w:lineRule="exact"/>
        <w:ind w:firstLine="480" w:firstLineChars="200"/>
        <w:rPr>
          <w:rFonts w:ascii="仿宋" w:hAnsi="仿宋" w:eastAsia="仿宋"/>
          <w:sz w:val="24"/>
        </w:rPr>
      </w:pPr>
      <w:r>
        <w:rPr>
          <w:rFonts w:hint="eastAsia" w:ascii="仿宋" w:hAnsi="仿宋" w:eastAsia="仿宋"/>
          <w:sz w:val="24"/>
        </w:rPr>
        <w:t>二、资金情况</w:t>
      </w:r>
    </w:p>
    <w:p>
      <w:pPr>
        <w:spacing w:line="440" w:lineRule="exact"/>
        <w:ind w:right="31" w:rightChars="15" w:firstLine="480" w:firstLineChars="200"/>
        <w:rPr>
          <w:rFonts w:ascii="仿宋" w:hAnsi="仿宋" w:eastAsia="仿宋"/>
          <w:bCs/>
          <w:sz w:val="24"/>
        </w:rPr>
      </w:pPr>
      <w:r>
        <w:rPr>
          <w:rFonts w:hint="eastAsia" w:ascii="仿宋" w:hAnsi="仿宋" w:eastAsia="仿宋"/>
          <w:sz w:val="24"/>
        </w:rPr>
        <w:t>资金来源：</w:t>
      </w:r>
      <w:bookmarkStart w:id="3" w:name="PO_资金性质_1"/>
      <w:r>
        <w:rPr>
          <w:rFonts w:hint="eastAsia" w:ascii="仿宋" w:hAnsi="仿宋" w:eastAsia="仿宋"/>
          <w:sz w:val="24"/>
        </w:rPr>
        <w:t>财政资金</w:t>
      </w:r>
      <w:bookmarkEnd w:id="3"/>
    </w:p>
    <w:p>
      <w:pPr>
        <w:spacing w:line="440" w:lineRule="exact"/>
        <w:ind w:firstLine="480" w:firstLineChars="200"/>
        <w:rPr>
          <w:rFonts w:ascii="仿宋" w:hAnsi="仿宋" w:eastAsia="仿宋"/>
          <w:sz w:val="24"/>
        </w:rPr>
      </w:pPr>
      <w:r>
        <w:rPr>
          <w:rFonts w:hint="eastAsia" w:ascii="仿宋" w:hAnsi="仿宋" w:eastAsia="仿宋"/>
          <w:sz w:val="24"/>
        </w:rPr>
        <w:t>三</w:t>
      </w:r>
      <w:r>
        <w:rPr>
          <w:rFonts w:hint="eastAsia" w:ascii="仿宋" w:hAnsi="仿宋" w:eastAsia="仿宋"/>
          <w:bCs/>
          <w:sz w:val="24"/>
        </w:rPr>
        <w:t>、</w:t>
      </w:r>
      <w:r>
        <w:rPr>
          <w:rFonts w:hint="eastAsia" w:ascii="仿宋" w:hAnsi="仿宋" w:eastAsia="仿宋"/>
          <w:sz w:val="24"/>
        </w:rPr>
        <w:t>采购项目简介：</w:t>
      </w:r>
    </w:p>
    <w:p>
      <w:pPr>
        <w:spacing w:after="120" w:line="440" w:lineRule="exact"/>
        <w:ind w:firstLine="480" w:firstLineChars="200"/>
        <w:rPr>
          <w:rFonts w:ascii="仿宋" w:hAnsi="仿宋" w:eastAsia="仿宋"/>
          <w:sz w:val="24"/>
          <w:szCs w:val="28"/>
        </w:rPr>
      </w:pPr>
      <w:bookmarkStart w:id="4" w:name="PO_默认文件内容_2"/>
      <w:r>
        <w:rPr>
          <w:rFonts w:hint="eastAsia" w:ascii="仿宋" w:hAnsi="仿宋" w:eastAsia="仿宋"/>
          <w:sz w:val="24"/>
          <w:szCs w:val="28"/>
        </w:rPr>
        <w:t>（详见磋商文件第</w:t>
      </w:r>
      <w:r>
        <w:rPr>
          <w:rFonts w:hint="eastAsia" w:ascii="仿宋" w:hAnsi="仿宋" w:eastAsia="仿宋"/>
          <w:bCs/>
          <w:sz w:val="24"/>
        </w:rPr>
        <w:t>五</w:t>
      </w:r>
      <w:r>
        <w:rPr>
          <w:rFonts w:hint="eastAsia" w:ascii="仿宋" w:hAnsi="仿宋" w:eastAsia="仿宋"/>
          <w:sz w:val="24"/>
          <w:szCs w:val="28"/>
        </w:rPr>
        <w:t>章）。</w:t>
      </w:r>
      <w:bookmarkEnd w:id="4"/>
    </w:p>
    <w:p>
      <w:pPr>
        <w:spacing w:after="120" w:line="440" w:lineRule="exact"/>
        <w:ind w:firstLine="480" w:firstLineChars="200"/>
        <w:rPr>
          <w:rFonts w:ascii="仿宋" w:hAnsi="仿宋" w:eastAsia="仿宋"/>
          <w:bCs/>
          <w:sz w:val="24"/>
        </w:rPr>
      </w:pPr>
      <w:r>
        <w:rPr>
          <w:rFonts w:hint="eastAsia" w:ascii="仿宋" w:hAnsi="仿宋" w:eastAsia="仿宋"/>
          <w:bCs/>
          <w:sz w:val="24"/>
        </w:rPr>
        <w:t>四、供应商邀请方式</w:t>
      </w:r>
    </w:p>
    <w:p>
      <w:pPr>
        <w:spacing w:after="120" w:line="440" w:lineRule="exact"/>
        <w:ind w:firstLine="480" w:firstLineChars="200"/>
        <w:rPr>
          <w:rFonts w:ascii="仿宋" w:hAnsi="仿宋" w:eastAsia="仿宋"/>
          <w:bCs/>
          <w:sz w:val="24"/>
        </w:rPr>
      </w:pPr>
      <w:bookmarkStart w:id="5" w:name="PO_默认文件内容_3"/>
      <w:r>
        <w:rPr>
          <w:rFonts w:hint="eastAsia" w:ascii="仿宋" w:hAnsi="仿宋" w:eastAsia="仿宋"/>
          <w:bCs/>
          <w:sz w:val="24"/>
        </w:rPr>
        <w:t>本次采购采取方式</w:t>
      </w:r>
      <w:r>
        <w:rPr>
          <w:rFonts w:ascii="仿宋" w:hAnsi="仿宋" w:eastAsia="仿宋"/>
          <w:bCs/>
          <w:sz w:val="24"/>
        </w:rPr>
        <w:t>1</w:t>
      </w:r>
      <w:r>
        <w:rPr>
          <w:rFonts w:hint="eastAsia" w:ascii="仿宋" w:hAnsi="仿宋" w:eastAsia="仿宋"/>
          <w:bCs/>
          <w:sz w:val="24"/>
        </w:rPr>
        <w:t>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5"/>
    </w:p>
    <w:p>
      <w:pPr>
        <w:spacing w:after="120" w:line="440" w:lineRule="exact"/>
        <w:ind w:firstLine="480" w:firstLineChars="200"/>
        <w:rPr>
          <w:rFonts w:ascii="仿宋" w:hAnsi="仿宋" w:eastAsia="仿宋"/>
          <w:bCs/>
          <w:sz w:val="24"/>
        </w:rPr>
      </w:pPr>
      <w:r>
        <w:rPr>
          <w:rFonts w:hint="eastAsia" w:ascii="仿宋" w:hAnsi="仿宋" w:eastAsia="仿宋"/>
          <w:bCs/>
          <w:sz w:val="24"/>
        </w:rPr>
        <w:t>五、供应商参加本次政府采购活动应具备下列条件</w:t>
      </w:r>
    </w:p>
    <w:p>
      <w:pPr>
        <w:pStyle w:val="44"/>
        <w:spacing w:line="420" w:lineRule="exact"/>
        <w:ind w:firstLine="600" w:firstLineChars="250"/>
        <w:rPr>
          <w:rFonts w:ascii="仿宋" w:hAnsi="仿宋" w:eastAsia="仿宋" w:cs="宋体"/>
          <w:sz w:val="24"/>
        </w:rPr>
      </w:pPr>
      <w:bookmarkStart w:id="6"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left="958" w:leftChars="456" w:firstLine="0" w:firstLineChars="0"/>
        <w:rPr>
          <w:rFonts w:ascii="仿宋" w:hAnsi="仿宋" w:eastAsia="仿宋" w:cs="宋体"/>
          <w:sz w:val="24"/>
        </w:rPr>
      </w:pPr>
      <w:r>
        <w:rPr>
          <w:rFonts w:hint="eastAsia" w:ascii="仿宋" w:hAnsi="仿宋" w:eastAsia="仿宋" w:cs="宋体"/>
          <w:sz w:val="24"/>
          <w:lang w:val="en-US" w:eastAsia="zh-CN"/>
        </w:rPr>
        <w:t>本项目为专门面向中小微企业（残疾人企业、监狱企业、符合中小企业划型的个体工商户视同中小企业）采购项目</w:t>
      </w:r>
      <w:r>
        <w:rPr>
          <w:rFonts w:ascii="仿宋" w:hAnsi="仿宋" w:eastAsia="仿宋"/>
          <w:sz w:val="24"/>
        </w:rPr>
        <w:t>。</w:t>
      </w:r>
    </w:p>
    <w:p>
      <w:pPr>
        <w:pStyle w:val="44"/>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p>
      <w:pPr>
        <w:pStyle w:val="44"/>
        <w:spacing w:line="420" w:lineRule="exact"/>
        <w:ind w:firstLine="960" w:firstLineChars="400"/>
        <w:rPr>
          <w:rFonts w:ascii="仿宋" w:hAnsi="仿宋" w:eastAsia="仿宋" w:cs="宋体"/>
          <w:sz w:val="24"/>
        </w:rPr>
      </w:pPr>
      <w:r>
        <w:rPr>
          <w:rFonts w:hint="eastAsia" w:ascii="仿宋" w:hAnsi="仿宋" w:eastAsia="仿宋" w:cs="宋体"/>
          <w:sz w:val="24"/>
        </w:rPr>
        <w:t>无</w:t>
      </w:r>
      <w:r>
        <w:rPr>
          <w:rFonts w:ascii="仿宋" w:hAnsi="仿宋" w:eastAsia="仿宋" w:cs="宋体"/>
          <w:sz w:val="24"/>
        </w:rPr>
        <w:t>。</w:t>
      </w:r>
    </w:p>
    <w:bookmarkEnd w:id="6"/>
    <w:p>
      <w:pPr>
        <w:spacing w:line="440" w:lineRule="exact"/>
        <w:ind w:firstLine="480" w:firstLineChars="200"/>
        <w:rPr>
          <w:rFonts w:ascii="仿宋" w:hAnsi="仿宋" w:eastAsia="仿宋"/>
          <w:sz w:val="24"/>
        </w:rPr>
      </w:pPr>
      <w:r>
        <w:rPr>
          <w:rFonts w:hint="eastAsia" w:ascii="仿宋" w:hAnsi="仿宋" w:eastAsia="仿宋"/>
          <w:sz w:val="24"/>
        </w:rPr>
        <w:t>六、禁止参加本次采购活动的供应商</w:t>
      </w:r>
    </w:p>
    <w:p>
      <w:pPr>
        <w:spacing w:line="440" w:lineRule="exact"/>
        <w:ind w:firstLine="480" w:firstLineChars="200"/>
        <w:rPr>
          <w:rFonts w:ascii="仿宋" w:hAnsi="仿宋" w:eastAsia="仿宋"/>
          <w:sz w:val="24"/>
        </w:rPr>
      </w:pPr>
      <w:bookmarkStart w:id="7"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7"/>
    <w:p>
      <w:pPr>
        <w:spacing w:line="440" w:lineRule="exact"/>
        <w:ind w:firstLine="480" w:firstLineChars="200"/>
        <w:rPr>
          <w:rFonts w:ascii="仿宋" w:hAnsi="仿宋" w:eastAsia="仿宋"/>
          <w:sz w:val="24"/>
        </w:rPr>
      </w:pPr>
      <w:r>
        <w:rPr>
          <w:rFonts w:hint="eastAsia" w:ascii="仿宋" w:hAnsi="仿宋" w:eastAsia="仿宋"/>
          <w:sz w:val="24"/>
        </w:rPr>
        <w:t>七、磋商文件获取方式、时间、地点：</w:t>
      </w:r>
    </w:p>
    <w:p>
      <w:pPr>
        <w:pStyle w:val="96"/>
        <w:keepNext w:val="0"/>
        <w:keepLines w:val="0"/>
        <w:pageBreakBefore w:val="0"/>
        <w:widowControl w:val="0"/>
        <w:numPr>
          <w:ilvl w:val="0"/>
          <w:numId w:val="2"/>
        </w:numPr>
        <w:kinsoku/>
        <w:wordWrap w:val="0"/>
        <w:overflowPunct/>
        <w:topLinePunct/>
        <w:autoSpaceDE/>
        <w:autoSpaceDN/>
        <w:bidi w:val="0"/>
        <w:adjustRightInd w:val="0"/>
        <w:snapToGrid w:val="0"/>
        <w:spacing w:line="410" w:lineRule="exact"/>
        <w:ind w:left="0" w:leftChars="0" w:firstLine="480" w:firstLineChars="200"/>
        <w:textAlignment w:val="auto"/>
        <w:rPr>
          <w:rFonts w:hint="eastAsia" w:ascii="仿宋" w:hAnsi="仿宋" w:eastAsia="仿宋" w:cs="Times New Roman"/>
          <w:kern w:val="2"/>
          <w:sz w:val="24"/>
          <w:szCs w:val="28"/>
          <w:lang w:val="zh-CN" w:eastAsia="zh-CN" w:bidi="ar-SA"/>
        </w:rPr>
      </w:pPr>
      <w:bookmarkStart w:id="8" w:name="PO_默认文件内容_30"/>
      <w:r>
        <w:rPr>
          <w:rFonts w:hint="eastAsia" w:ascii="仿宋" w:hAnsi="仿宋" w:eastAsia="仿宋" w:cs="Times New Roman"/>
          <w:kern w:val="2"/>
          <w:sz w:val="24"/>
          <w:szCs w:val="28"/>
          <w:lang w:val="en-US" w:eastAsia="zh-CN" w:bidi="ar-SA"/>
        </w:rPr>
        <w:t>获取磋商文件的时间期限：磋商文件的获取时间(即报名时间)：2021年6月25日至2021年 7月 1日，每天上午9时00分至12时00分，下午13时00分至17时00分（北京时间，法定节假日除外）</w:t>
      </w:r>
      <w:r>
        <w:rPr>
          <w:rFonts w:hint="eastAsia" w:ascii="仿宋" w:hAnsi="仿宋" w:eastAsia="仿宋" w:cs="Times New Roman"/>
          <w:kern w:val="2"/>
          <w:sz w:val="24"/>
          <w:szCs w:val="28"/>
          <w:lang w:val="zh-CN" w:eastAsia="zh-CN" w:bidi="ar-SA"/>
        </w:rPr>
        <w:t>。</w:t>
      </w:r>
    </w:p>
    <w:p>
      <w:pPr>
        <w:pStyle w:val="96"/>
        <w:keepNext w:val="0"/>
        <w:keepLines w:val="0"/>
        <w:pageBreakBefore w:val="0"/>
        <w:widowControl w:val="0"/>
        <w:numPr>
          <w:ilvl w:val="0"/>
          <w:numId w:val="2"/>
        </w:numPr>
        <w:kinsoku/>
        <w:wordWrap w:val="0"/>
        <w:overflowPunct/>
        <w:topLinePunct/>
        <w:autoSpaceDE/>
        <w:autoSpaceDN/>
        <w:bidi w:val="0"/>
        <w:adjustRightInd w:val="0"/>
        <w:snapToGrid w:val="0"/>
        <w:spacing w:line="410" w:lineRule="exact"/>
        <w:ind w:left="0" w:leftChars="0" w:firstLine="480" w:firstLineChars="200"/>
        <w:textAlignment w:val="auto"/>
        <w:rPr>
          <w:rFonts w:hint="eastAsia" w:ascii="仿宋" w:hAnsi="仿宋" w:eastAsia="仿宋" w:cs="Times New Roman"/>
          <w:kern w:val="2"/>
          <w:sz w:val="24"/>
          <w:szCs w:val="28"/>
          <w:lang w:val="zh-CN" w:eastAsia="zh-CN" w:bidi="ar-SA"/>
        </w:rPr>
      </w:pPr>
      <w:r>
        <w:rPr>
          <w:rFonts w:hint="eastAsia" w:ascii="仿宋" w:hAnsi="仿宋" w:eastAsia="仿宋" w:cs="Times New Roman"/>
          <w:kern w:val="2"/>
          <w:sz w:val="24"/>
          <w:szCs w:val="28"/>
          <w:lang w:val="en-US" w:eastAsia="zh-CN" w:bidi="ar-SA"/>
        </w:rPr>
        <w:t>获取磋商文件的地点：四川共熠建设项目管理有限公司(</w:t>
      </w:r>
      <w:r>
        <w:rPr>
          <w:rFonts w:hint="eastAsia" w:ascii="仿宋" w:hAnsi="仿宋" w:eastAsia="仿宋" w:cs="Times New Roman"/>
          <w:kern w:val="2"/>
          <w:sz w:val="24"/>
          <w:szCs w:val="28"/>
          <w:lang w:val="zh-CN" w:eastAsia="zh-CN" w:bidi="ar-SA"/>
        </w:rPr>
        <w:t xml:space="preserve"> 成都市青羊区光华南三路20号</w:t>
      </w:r>
      <w:r>
        <w:rPr>
          <w:rFonts w:hint="eastAsia" w:ascii="仿宋" w:hAnsi="仿宋" w:eastAsia="仿宋" w:cs="Times New Roman"/>
          <w:kern w:val="2"/>
          <w:sz w:val="24"/>
          <w:szCs w:val="28"/>
          <w:lang w:val="en-US" w:eastAsia="zh-CN" w:bidi="ar-SA"/>
        </w:rPr>
        <w:t>)磋商文件售卖办理处</w:t>
      </w:r>
      <w:r>
        <w:rPr>
          <w:rFonts w:hint="eastAsia" w:ascii="仿宋" w:hAnsi="仿宋" w:eastAsia="仿宋" w:cs="Times New Roman"/>
          <w:kern w:val="2"/>
          <w:sz w:val="24"/>
          <w:szCs w:val="28"/>
          <w:lang w:val="zh-CN" w:eastAsia="zh-CN" w:bidi="ar-SA"/>
        </w:rPr>
        <w:t>。</w:t>
      </w:r>
    </w:p>
    <w:p>
      <w:pPr>
        <w:pStyle w:val="96"/>
        <w:keepNext w:val="0"/>
        <w:keepLines w:val="0"/>
        <w:pageBreakBefore w:val="0"/>
        <w:widowControl w:val="0"/>
        <w:numPr>
          <w:ilvl w:val="0"/>
          <w:numId w:val="2"/>
        </w:numPr>
        <w:kinsoku/>
        <w:wordWrap w:val="0"/>
        <w:overflowPunct/>
        <w:topLinePunct/>
        <w:autoSpaceDE/>
        <w:autoSpaceDN/>
        <w:bidi w:val="0"/>
        <w:adjustRightInd w:val="0"/>
        <w:snapToGrid w:val="0"/>
        <w:spacing w:line="420" w:lineRule="exact"/>
        <w:ind w:left="0" w:leftChars="0"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获取磋商文件的方式：</w:t>
      </w:r>
    </w:p>
    <w:p>
      <w:pPr>
        <w:pStyle w:val="97"/>
        <w:keepNext w:val="0"/>
        <w:keepLines w:val="0"/>
        <w:pageBreakBefore w:val="0"/>
        <w:widowControl w:val="0"/>
        <w:numPr>
          <w:ilvl w:val="0"/>
          <w:numId w:val="3"/>
        </w:numPr>
        <w:tabs>
          <w:tab w:val="clear" w:pos="312"/>
        </w:tabs>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现场办理：供应商现场购买磋商文件时应出示针对本项目的单位介绍信原件(须注明项目名称、项目编号、联系人及联系电话、电子邮箱)、加盖供应商公章的经办人身份证复印件并出示身份证原件。</w:t>
      </w:r>
    </w:p>
    <w:p>
      <w:pPr>
        <w:pStyle w:val="9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2.网上(远程)办理：(1)供应商网上(远程)办理购买磋商文件时，请先按要求自行拟定《介绍信》(附经办人身份证复印件）。</w:t>
      </w:r>
    </w:p>
    <w:p>
      <w:pPr>
        <w:pStyle w:val="9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fldChar w:fldCharType="begin"/>
      </w:r>
      <w:r>
        <w:rPr>
          <w:rFonts w:hint="eastAsia" w:ascii="仿宋" w:hAnsi="仿宋" w:eastAsia="仿宋" w:cs="Times New Roman"/>
          <w:kern w:val="2"/>
          <w:sz w:val="24"/>
          <w:szCs w:val="28"/>
          <w:lang w:val="en-US" w:eastAsia="zh-CN" w:bidi="ar-SA"/>
        </w:rPr>
        <w:instrText xml:space="preserve"> HYPERLINK "mailto:（2）将已填写的《报名信息登记表》、《介绍信》（附经办人身份证）加盖供应商单位公章后发送至scqxzb_bm@163.com。" </w:instrText>
      </w:r>
      <w:r>
        <w:rPr>
          <w:rFonts w:hint="eastAsia" w:ascii="仿宋" w:hAnsi="仿宋" w:eastAsia="仿宋" w:cs="Times New Roman"/>
          <w:kern w:val="2"/>
          <w:sz w:val="24"/>
          <w:szCs w:val="28"/>
          <w:lang w:val="en-US" w:eastAsia="zh-CN" w:bidi="ar-SA"/>
        </w:rPr>
        <w:fldChar w:fldCharType="separate"/>
      </w:r>
      <w:r>
        <w:rPr>
          <w:rFonts w:hint="eastAsia" w:ascii="仿宋" w:hAnsi="仿宋" w:eastAsia="仿宋" w:cs="Times New Roman"/>
          <w:kern w:val="2"/>
          <w:sz w:val="24"/>
          <w:szCs w:val="28"/>
          <w:lang w:val="en-US" w:eastAsia="zh-CN" w:bidi="ar-SA"/>
        </w:rPr>
        <w:t>(2)将《介绍信》(附经办人身份证复印件)加盖供应商单位公章后扫描成pdf格式发送至1144509388@qq.com。</w:t>
      </w:r>
      <w:r>
        <w:rPr>
          <w:rFonts w:hint="eastAsia" w:ascii="仿宋" w:hAnsi="仿宋" w:eastAsia="仿宋" w:cs="Times New Roman"/>
          <w:kern w:val="2"/>
          <w:sz w:val="24"/>
          <w:szCs w:val="28"/>
          <w:lang w:val="en-US" w:eastAsia="zh-CN" w:bidi="ar-SA"/>
        </w:rPr>
        <w:fldChar w:fldCharType="end"/>
      </w:r>
    </w:p>
    <w:p>
      <w:pPr>
        <w:pStyle w:val="9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注：《介绍信》(附经办人身份证复印件)加盖单位公章的原件请于磋商当日交至四川共熠建设项目管理有限公司磋商文件发售办理处。</w:t>
      </w:r>
    </w:p>
    <w:p>
      <w:pPr>
        <w:pStyle w:val="9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Times New Roman"/>
          <w:kern w:val="2"/>
          <w:sz w:val="24"/>
          <w:szCs w:val="28"/>
          <w:lang w:val="zh-CN" w:eastAsia="zh-CN" w:bidi="ar-SA"/>
        </w:rPr>
      </w:pPr>
      <w:r>
        <w:rPr>
          <w:rFonts w:hint="eastAsia" w:ascii="仿宋" w:hAnsi="仿宋" w:eastAsia="仿宋" w:cs="Times New Roman"/>
          <w:kern w:val="2"/>
          <w:sz w:val="24"/>
          <w:szCs w:val="28"/>
          <w:lang w:val="en-US" w:eastAsia="zh-CN" w:bidi="ar-SA"/>
        </w:rPr>
        <w:t>3.报名咨询电话：13980648960</w:t>
      </w:r>
      <w:r>
        <w:rPr>
          <w:rFonts w:hint="eastAsia" w:ascii="仿宋" w:hAnsi="仿宋" w:eastAsia="仿宋" w:cs="Times New Roman"/>
          <w:kern w:val="2"/>
          <w:sz w:val="24"/>
          <w:szCs w:val="28"/>
          <w:lang w:val="zh-CN" w:eastAsia="zh-CN" w:bidi="ar-SA"/>
        </w:rPr>
        <w:t>。</w:t>
      </w:r>
    </w:p>
    <w:p>
      <w:pPr>
        <w:pStyle w:val="9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供应商购买磋商文件时须如实认真填写项目信息及投标人信息；若因供应商提供的错误信息，对其谈判事宜造成影响的，由供应商自行承担所有责任(若供应商需变更报名信息，请于获取磋商文件截止之日前到招标代理机构重新登记)。</w:t>
      </w:r>
    </w:p>
    <w:p>
      <w:pPr>
        <w:pStyle w:val="96"/>
        <w:keepNext w:val="0"/>
        <w:keepLines w:val="0"/>
        <w:pageBreakBefore w:val="0"/>
        <w:widowControl w:val="0"/>
        <w:numPr>
          <w:ilvl w:val="0"/>
          <w:numId w:val="2"/>
        </w:numPr>
        <w:kinsoku/>
        <w:wordWrap w:val="0"/>
        <w:overflowPunct/>
        <w:topLinePunct/>
        <w:autoSpaceDE/>
        <w:autoSpaceDN/>
        <w:bidi w:val="0"/>
        <w:adjustRightInd w:val="0"/>
        <w:snapToGrid w:val="0"/>
        <w:spacing w:line="410" w:lineRule="exact"/>
        <w:ind w:left="0" w:leftChars="0" w:firstLine="480" w:firstLineChars="200"/>
        <w:textAlignment w:val="auto"/>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磋商</w:t>
      </w:r>
      <w:r>
        <w:rPr>
          <w:rFonts w:hint="eastAsia" w:ascii="仿宋" w:hAnsi="仿宋" w:eastAsia="仿宋" w:cs="Times New Roman"/>
          <w:kern w:val="2"/>
          <w:sz w:val="24"/>
          <w:szCs w:val="28"/>
          <w:lang w:val="zh-CN" w:eastAsia="zh-CN" w:bidi="ar-SA"/>
        </w:rPr>
        <w:t>文件售价：人民币</w:t>
      </w:r>
      <w:r>
        <w:rPr>
          <w:rFonts w:hint="eastAsia" w:ascii="仿宋" w:hAnsi="仿宋" w:eastAsia="仿宋" w:cs="Times New Roman"/>
          <w:kern w:val="2"/>
          <w:sz w:val="24"/>
          <w:szCs w:val="28"/>
          <w:lang w:val="en-US" w:eastAsia="zh-CN" w:bidi="ar-SA"/>
        </w:rPr>
        <w:t>0</w:t>
      </w:r>
      <w:r>
        <w:rPr>
          <w:rFonts w:hint="eastAsia" w:ascii="仿宋" w:hAnsi="仿宋" w:eastAsia="仿宋" w:cs="Times New Roman"/>
          <w:kern w:val="2"/>
          <w:sz w:val="24"/>
          <w:szCs w:val="28"/>
          <w:lang w:val="zh-CN" w:eastAsia="zh-CN" w:bidi="ar-SA"/>
        </w:rPr>
        <w:t>元/份(</w:t>
      </w:r>
      <w:r>
        <w:rPr>
          <w:rFonts w:hint="eastAsia" w:ascii="仿宋" w:hAnsi="仿宋" w:eastAsia="仿宋" w:cs="Times New Roman"/>
          <w:kern w:val="2"/>
          <w:sz w:val="24"/>
          <w:szCs w:val="28"/>
          <w:lang w:val="en-US" w:eastAsia="zh-CN" w:bidi="ar-SA"/>
        </w:rPr>
        <w:t>磋商</w:t>
      </w:r>
      <w:r>
        <w:rPr>
          <w:rFonts w:hint="eastAsia" w:ascii="仿宋" w:hAnsi="仿宋" w:eastAsia="仿宋" w:cs="Times New Roman"/>
          <w:kern w:val="2"/>
          <w:sz w:val="24"/>
          <w:szCs w:val="28"/>
          <w:lang w:val="zh-CN" w:eastAsia="zh-CN" w:bidi="ar-SA"/>
        </w:rPr>
        <w:t xml:space="preserve">文件售后不退, </w:t>
      </w:r>
      <w:r>
        <w:rPr>
          <w:rFonts w:hint="eastAsia" w:ascii="仿宋" w:hAnsi="仿宋" w:eastAsia="仿宋" w:cs="Times New Roman"/>
          <w:kern w:val="2"/>
          <w:sz w:val="24"/>
          <w:szCs w:val="28"/>
          <w:lang w:val="en-US" w:eastAsia="zh-CN" w:bidi="ar-SA"/>
        </w:rPr>
        <w:t>磋商资格不得转让)。</w:t>
      </w:r>
    </w:p>
    <w:p>
      <w:pPr>
        <w:pStyle w:val="96"/>
        <w:keepNext w:val="0"/>
        <w:keepLines w:val="0"/>
        <w:pageBreakBefore w:val="0"/>
        <w:widowControl w:val="0"/>
        <w:numPr>
          <w:ilvl w:val="0"/>
          <w:numId w:val="2"/>
        </w:numPr>
        <w:kinsoku/>
        <w:wordWrap w:val="0"/>
        <w:overflowPunct/>
        <w:topLinePunct/>
        <w:autoSpaceDE/>
        <w:autoSpaceDN/>
        <w:bidi w:val="0"/>
        <w:adjustRightInd w:val="0"/>
        <w:snapToGrid w:val="0"/>
        <w:spacing w:line="410" w:lineRule="exact"/>
        <w:ind w:left="0" w:leftChars="0" w:firstLine="480" w:firstLineChars="200"/>
        <w:textAlignment w:val="auto"/>
        <w:rPr>
          <w:rFonts w:ascii="仿宋" w:hAnsi="仿宋" w:eastAsia="仿宋"/>
          <w:sz w:val="24"/>
        </w:rPr>
      </w:pPr>
      <w:r>
        <w:rPr>
          <w:rFonts w:hint="eastAsia" w:ascii="仿宋" w:hAnsi="仿宋" w:eastAsia="仿宋" w:cs="Times New Roman"/>
          <w:kern w:val="2"/>
          <w:sz w:val="24"/>
          <w:szCs w:val="28"/>
          <w:lang w:val="en-US" w:eastAsia="zh-CN" w:bidi="ar-SA"/>
        </w:rPr>
        <w:t>供应商应在规定的时间内</w:t>
      </w:r>
      <w:bookmarkStart w:id="133" w:name="_GoBack"/>
      <w:bookmarkEnd w:id="133"/>
      <w:r>
        <w:rPr>
          <w:rFonts w:hint="eastAsia" w:ascii="仿宋" w:hAnsi="仿宋" w:eastAsia="仿宋" w:cs="Times New Roman"/>
          <w:kern w:val="2"/>
          <w:sz w:val="24"/>
          <w:szCs w:val="28"/>
          <w:lang w:val="en-US" w:eastAsia="zh-CN" w:bidi="ar-SA"/>
        </w:rPr>
        <w:t>到指定地点获取本磋商文件，并登记，如在规定时间内未领取磋商文件并登记的供应商均无资格参加该项目的磋商。</w:t>
      </w:r>
    </w:p>
    <w:bookmarkEnd w:id="8"/>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八、递交响应文件</w:t>
      </w:r>
      <w:r>
        <w:rPr>
          <w:rFonts w:hint="eastAsia" w:ascii="仿宋" w:hAnsi="仿宋" w:eastAsia="仿宋"/>
          <w:sz w:val="24"/>
        </w:rPr>
        <w:t>截止时间(参加</w:t>
      </w:r>
      <w:r>
        <w:rPr>
          <w:rFonts w:ascii="仿宋" w:hAnsi="仿宋" w:eastAsia="仿宋"/>
          <w:sz w:val="24"/>
        </w:rPr>
        <w:t>磋商</w:t>
      </w:r>
      <w:r>
        <w:rPr>
          <w:rFonts w:hint="eastAsia" w:ascii="仿宋" w:hAnsi="仿宋" w:eastAsia="仿宋"/>
          <w:sz w:val="24"/>
        </w:rPr>
        <w:t>的时间)：</w:t>
      </w:r>
      <w:bookmarkStart w:id="9" w:name="PO_投标文件递交截止时间_2"/>
      <w:r>
        <w:rPr>
          <w:rFonts w:hint="eastAsia" w:ascii="仿宋" w:hAnsi="仿宋" w:eastAsia="仿宋"/>
          <w:sz w:val="24"/>
        </w:rPr>
        <w:t>2021年</w:t>
      </w:r>
      <w:r>
        <w:rPr>
          <w:rFonts w:hint="eastAsia" w:ascii="仿宋" w:hAnsi="仿宋" w:eastAsia="仿宋"/>
          <w:sz w:val="24"/>
          <w:lang w:val="en-US" w:eastAsia="zh-CN"/>
        </w:rPr>
        <w:t>7</w:t>
      </w:r>
      <w:r>
        <w:rPr>
          <w:rFonts w:hint="eastAsia" w:ascii="仿宋" w:hAnsi="仿宋" w:eastAsia="仿宋"/>
          <w:sz w:val="24"/>
        </w:rPr>
        <w:t>月</w:t>
      </w:r>
      <w:r>
        <w:rPr>
          <w:rFonts w:hint="eastAsia" w:ascii="仿宋" w:hAnsi="仿宋" w:eastAsia="仿宋"/>
          <w:sz w:val="24"/>
          <w:lang w:val="en-US" w:eastAsia="zh-CN"/>
        </w:rPr>
        <w:t>7</w:t>
      </w:r>
      <w:r>
        <w:rPr>
          <w:rFonts w:hint="eastAsia" w:ascii="仿宋" w:hAnsi="仿宋" w:eastAsia="仿宋"/>
          <w:sz w:val="24"/>
        </w:rPr>
        <w:t>日1</w:t>
      </w:r>
      <w:r>
        <w:rPr>
          <w:rFonts w:hint="eastAsia" w:ascii="仿宋" w:hAnsi="仿宋" w:eastAsia="仿宋"/>
          <w:sz w:val="24"/>
          <w:lang w:val="en-US" w:eastAsia="zh-CN"/>
        </w:rPr>
        <w:t>1</w:t>
      </w:r>
      <w:r>
        <w:rPr>
          <w:rFonts w:hint="eastAsia" w:ascii="仿宋" w:hAnsi="仿宋" w:eastAsia="仿宋"/>
          <w:sz w:val="24"/>
        </w:rPr>
        <w:t>:</w:t>
      </w:r>
      <w:r>
        <w:rPr>
          <w:rFonts w:hint="eastAsia" w:ascii="仿宋" w:hAnsi="仿宋" w:eastAsia="仿宋"/>
          <w:sz w:val="24"/>
          <w:lang w:val="en-US" w:eastAsia="zh-CN"/>
        </w:rPr>
        <w:t>0</w:t>
      </w:r>
      <w:r>
        <w:rPr>
          <w:rFonts w:hint="eastAsia" w:ascii="仿宋" w:hAnsi="仿宋" w:eastAsia="仿宋"/>
          <w:sz w:val="24"/>
        </w:rPr>
        <w:t>0</w:t>
      </w:r>
      <w:r>
        <w:rPr>
          <w:rFonts w:ascii="仿宋" w:hAnsi="仿宋" w:eastAsia="仿宋"/>
          <w:sz w:val="24"/>
          <w:szCs w:val="28"/>
        </w:rPr>
        <w:t xml:space="preserve"> </w:t>
      </w:r>
      <w:bookmarkEnd w:id="9"/>
      <w:r>
        <w:rPr>
          <w:rFonts w:ascii="仿宋" w:hAnsi="仿宋" w:eastAsia="仿宋"/>
          <w:sz w:val="24"/>
          <w:szCs w:val="28"/>
        </w:rPr>
        <w:t>（北京时间）</w:t>
      </w:r>
      <w:r>
        <w:rPr>
          <w:rFonts w:hint="eastAsia" w:ascii="仿宋" w:hAnsi="仿宋" w:eastAsia="仿宋"/>
          <w:sz w:val="24"/>
          <w:szCs w:val="28"/>
        </w:rPr>
        <w:t xml:space="preserve">。 </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九</w:t>
      </w:r>
      <w:r>
        <w:rPr>
          <w:rFonts w:hint="eastAsia" w:ascii="仿宋" w:hAnsi="仿宋" w:eastAsia="仿宋"/>
          <w:sz w:val="24"/>
        </w:rPr>
        <w:t>、递交响应文件地点：</w:t>
      </w:r>
      <w:bookmarkStart w:id="10"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10"/>
      <w:r>
        <w:rPr>
          <w:rFonts w:hint="eastAsia" w:ascii="仿宋" w:hAnsi="仿宋" w:eastAsia="仿宋"/>
          <w:sz w:val="24"/>
        </w:rPr>
        <w:t>（</w:t>
      </w:r>
      <w:r>
        <w:rPr>
          <w:rFonts w:hint="eastAsia" w:ascii="仿宋" w:hAnsi="仿宋" w:eastAsia="仿宋"/>
          <w:bCs/>
          <w:sz w:val="24"/>
        </w:rPr>
        <w:t>文件接收时间：</w:t>
      </w:r>
      <w:bookmarkStart w:id="11" w:name="PO_投标文件递交开始时间_1"/>
      <w:r>
        <w:rPr>
          <w:rFonts w:hint="eastAsia" w:ascii="仿宋" w:hAnsi="仿宋" w:eastAsia="仿宋"/>
          <w:bCs/>
          <w:sz w:val="24"/>
        </w:rPr>
        <w:t>2021年</w:t>
      </w:r>
      <w:r>
        <w:rPr>
          <w:rFonts w:hint="eastAsia" w:ascii="仿宋" w:hAnsi="仿宋" w:eastAsia="仿宋"/>
          <w:bCs/>
          <w:sz w:val="24"/>
          <w:lang w:val="en-US" w:eastAsia="zh-CN"/>
        </w:rPr>
        <w:t>7</w:t>
      </w:r>
      <w:r>
        <w:rPr>
          <w:rFonts w:hint="eastAsia" w:ascii="仿宋" w:hAnsi="仿宋" w:eastAsia="仿宋"/>
          <w:bCs/>
          <w:sz w:val="24"/>
        </w:rPr>
        <w:t>月</w:t>
      </w:r>
      <w:r>
        <w:rPr>
          <w:rFonts w:hint="eastAsia" w:ascii="仿宋" w:hAnsi="仿宋" w:eastAsia="仿宋"/>
          <w:bCs/>
          <w:sz w:val="24"/>
          <w:lang w:val="en-US" w:eastAsia="zh-CN"/>
        </w:rPr>
        <w:t>7</w:t>
      </w:r>
      <w:r>
        <w:rPr>
          <w:rFonts w:hint="eastAsia" w:ascii="仿宋" w:hAnsi="仿宋" w:eastAsia="仿宋"/>
          <w:bCs/>
          <w:sz w:val="24"/>
        </w:rPr>
        <w:t>日10:</w:t>
      </w:r>
      <w:r>
        <w:rPr>
          <w:rFonts w:hint="eastAsia" w:ascii="仿宋" w:hAnsi="仿宋" w:eastAsia="仿宋"/>
          <w:bCs/>
          <w:sz w:val="24"/>
          <w:lang w:val="en-US" w:eastAsia="zh-CN"/>
        </w:rPr>
        <w:t>3</w:t>
      </w:r>
      <w:r>
        <w:rPr>
          <w:rFonts w:hint="eastAsia" w:ascii="仿宋" w:hAnsi="仿宋" w:eastAsia="仿宋"/>
          <w:bCs/>
          <w:sz w:val="24"/>
        </w:rPr>
        <w:t>0</w:t>
      </w:r>
      <w:r>
        <w:rPr>
          <w:rFonts w:ascii="仿宋" w:hAnsi="仿宋" w:eastAsia="仿宋"/>
          <w:bCs/>
          <w:sz w:val="24"/>
        </w:rPr>
        <w:t xml:space="preserve"> </w:t>
      </w:r>
      <w:bookmarkEnd w:id="11"/>
      <w:r>
        <w:rPr>
          <w:rFonts w:hint="eastAsia" w:ascii="仿宋" w:hAnsi="仿宋" w:eastAsia="仿宋"/>
          <w:bCs/>
          <w:sz w:val="24"/>
        </w:rPr>
        <w:t>-</w:t>
      </w:r>
      <w:bookmarkStart w:id="12" w:name="PO_投标文件递交截止时间_1"/>
      <w:r>
        <w:rPr>
          <w:rFonts w:ascii="仿宋" w:hAnsi="仿宋" w:eastAsia="仿宋"/>
          <w:bCs/>
          <w:sz w:val="24"/>
        </w:rPr>
        <w:t xml:space="preserve"> </w:t>
      </w:r>
      <w:bookmarkEnd w:id="12"/>
      <w:r>
        <w:rPr>
          <w:rFonts w:hint="eastAsia" w:ascii="仿宋" w:hAnsi="仿宋" w:eastAsia="仿宋"/>
          <w:bCs/>
          <w:sz w:val="24"/>
        </w:rPr>
        <w:t>2021年</w:t>
      </w:r>
      <w:r>
        <w:rPr>
          <w:rFonts w:hint="eastAsia" w:ascii="仿宋" w:hAnsi="仿宋" w:eastAsia="仿宋"/>
          <w:bCs/>
          <w:sz w:val="24"/>
          <w:lang w:val="en-US" w:eastAsia="zh-CN"/>
        </w:rPr>
        <w:t>7</w:t>
      </w:r>
      <w:r>
        <w:rPr>
          <w:rFonts w:hint="eastAsia" w:ascii="仿宋" w:hAnsi="仿宋" w:eastAsia="仿宋"/>
          <w:bCs/>
          <w:sz w:val="24"/>
        </w:rPr>
        <w:t>月</w:t>
      </w:r>
      <w:r>
        <w:rPr>
          <w:rFonts w:hint="eastAsia" w:ascii="仿宋" w:hAnsi="仿宋" w:eastAsia="仿宋"/>
          <w:bCs/>
          <w:sz w:val="24"/>
          <w:lang w:val="en-US" w:eastAsia="zh-CN"/>
        </w:rPr>
        <w:t>7</w:t>
      </w:r>
      <w:r>
        <w:rPr>
          <w:rFonts w:hint="eastAsia" w:ascii="仿宋" w:hAnsi="仿宋" w:eastAsia="仿宋"/>
          <w:bCs/>
          <w:sz w:val="24"/>
        </w:rPr>
        <w:t>日1</w:t>
      </w:r>
      <w:r>
        <w:rPr>
          <w:rFonts w:hint="eastAsia" w:ascii="仿宋" w:hAnsi="仿宋" w:eastAsia="仿宋"/>
          <w:bCs/>
          <w:sz w:val="24"/>
          <w:lang w:val="en-US" w:eastAsia="zh-CN"/>
        </w:rPr>
        <w:t>1</w:t>
      </w:r>
      <w:r>
        <w:rPr>
          <w:rFonts w:hint="eastAsia" w:ascii="仿宋" w:hAnsi="仿宋" w:eastAsia="仿宋"/>
          <w:bCs/>
          <w:sz w:val="24"/>
        </w:rPr>
        <w:t>:</w:t>
      </w:r>
      <w:r>
        <w:rPr>
          <w:rFonts w:hint="eastAsia" w:ascii="仿宋" w:hAnsi="仿宋" w:eastAsia="仿宋"/>
          <w:bCs/>
          <w:sz w:val="24"/>
          <w:lang w:val="en-US" w:eastAsia="zh-CN"/>
        </w:rPr>
        <w:t>0</w:t>
      </w:r>
      <w:r>
        <w:rPr>
          <w:rFonts w:hint="eastAsia" w:ascii="仿宋" w:hAnsi="仿宋" w:eastAsia="仿宋"/>
          <w:bCs/>
          <w:sz w:val="24"/>
        </w:rPr>
        <w:t>0）</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十、响应文件开启时间：</w:t>
      </w:r>
      <w:bookmarkStart w:id="13" w:name="PO_投标文件递交截止时间_3"/>
      <w:r>
        <w:rPr>
          <w:rFonts w:hint="eastAsia" w:ascii="仿宋" w:hAnsi="仿宋" w:eastAsia="仿宋"/>
          <w:sz w:val="24"/>
          <w:szCs w:val="28"/>
        </w:rPr>
        <w:t>2021年</w:t>
      </w:r>
      <w:r>
        <w:rPr>
          <w:rFonts w:hint="eastAsia" w:ascii="仿宋" w:hAnsi="仿宋" w:eastAsia="仿宋"/>
          <w:sz w:val="24"/>
          <w:szCs w:val="28"/>
          <w:lang w:val="en-US" w:eastAsia="zh-CN"/>
        </w:rPr>
        <w:t>7</w:t>
      </w:r>
      <w:r>
        <w:rPr>
          <w:rFonts w:hint="eastAsia" w:ascii="仿宋" w:hAnsi="仿宋" w:eastAsia="仿宋"/>
          <w:sz w:val="24"/>
          <w:szCs w:val="28"/>
        </w:rPr>
        <w:t>月</w:t>
      </w:r>
      <w:r>
        <w:rPr>
          <w:rFonts w:hint="eastAsia" w:ascii="仿宋" w:hAnsi="仿宋" w:eastAsia="仿宋"/>
          <w:sz w:val="24"/>
          <w:szCs w:val="28"/>
          <w:lang w:val="en-US" w:eastAsia="zh-CN"/>
        </w:rPr>
        <w:t>7</w:t>
      </w:r>
      <w:r>
        <w:rPr>
          <w:rFonts w:hint="eastAsia" w:ascii="仿宋" w:hAnsi="仿宋" w:eastAsia="仿宋"/>
          <w:sz w:val="24"/>
          <w:szCs w:val="28"/>
        </w:rPr>
        <w:t>日1</w:t>
      </w:r>
      <w:r>
        <w:rPr>
          <w:rFonts w:hint="eastAsia" w:ascii="仿宋" w:hAnsi="仿宋" w:eastAsia="仿宋"/>
          <w:sz w:val="24"/>
          <w:szCs w:val="28"/>
          <w:lang w:val="en-US" w:eastAsia="zh-CN"/>
        </w:rPr>
        <w:t>1</w:t>
      </w:r>
      <w:r>
        <w:rPr>
          <w:rFonts w:hint="eastAsia" w:ascii="仿宋" w:hAnsi="仿宋" w:eastAsia="仿宋"/>
          <w:sz w:val="24"/>
          <w:szCs w:val="28"/>
        </w:rPr>
        <w:t>:</w:t>
      </w:r>
      <w:r>
        <w:rPr>
          <w:rFonts w:hint="eastAsia" w:ascii="仿宋" w:hAnsi="仿宋" w:eastAsia="仿宋"/>
          <w:sz w:val="24"/>
          <w:szCs w:val="28"/>
          <w:lang w:val="en-US" w:eastAsia="zh-CN"/>
        </w:rPr>
        <w:t>0</w:t>
      </w:r>
      <w:r>
        <w:rPr>
          <w:rFonts w:hint="eastAsia" w:ascii="仿宋" w:hAnsi="仿宋" w:eastAsia="仿宋"/>
          <w:sz w:val="24"/>
          <w:szCs w:val="28"/>
        </w:rPr>
        <w:t>0</w:t>
      </w:r>
      <w:r>
        <w:rPr>
          <w:rFonts w:ascii="仿宋" w:hAnsi="仿宋" w:eastAsia="仿宋"/>
          <w:sz w:val="24"/>
          <w:szCs w:val="28"/>
        </w:rPr>
        <w:t xml:space="preserve"> </w:t>
      </w:r>
      <w:bookmarkEnd w:id="13"/>
      <w:r>
        <w:rPr>
          <w:rFonts w:ascii="仿宋" w:hAnsi="仿宋" w:eastAsia="仿宋"/>
          <w:sz w:val="24"/>
          <w:szCs w:val="28"/>
        </w:rPr>
        <w:t>（北京时间）</w:t>
      </w:r>
      <w:r>
        <w:rPr>
          <w:rFonts w:hint="eastAsia" w:ascii="仿宋" w:hAnsi="仿宋" w:eastAsia="仿宋"/>
          <w:sz w:val="24"/>
          <w:szCs w:val="28"/>
        </w:rPr>
        <w:t>在磋商地点开启。</w:t>
      </w:r>
    </w:p>
    <w:p>
      <w:pPr>
        <w:spacing w:line="440" w:lineRule="exact"/>
        <w:ind w:firstLine="487" w:firstLineChars="203"/>
        <w:rPr>
          <w:rFonts w:ascii="仿宋" w:hAnsi="仿宋" w:eastAsia="仿宋"/>
          <w:sz w:val="24"/>
          <w:szCs w:val="28"/>
        </w:rPr>
      </w:pPr>
      <w:r>
        <w:rPr>
          <w:rFonts w:hint="eastAsia" w:ascii="仿宋" w:hAnsi="仿宋" w:eastAsia="仿宋"/>
          <w:sz w:val="24"/>
          <w:szCs w:val="28"/>
        </w:rPr>
        <w:t>十一、磋商</w:t>
      </w:r>
      <w:r>
        <w:rPr>
          <w:rFonts w:ascii="仿宋" w:hAnsi="仿宋" w:eastAsia="仿宋"/>
          <w:sz w:val="24"/>
          <w:szCs w:val="28"/>
        </w:rPr>
        <w:t>地点：</w:t>
      </w:r>
      <w:r>
        <w:rPr>
          <w:rFonts w:hint="eastAsia" w:ascii="仿宋" w:hAnsi="仿宋" w:eastAsia="仿宋" w:cs="Times New Roman"/>
          <w:sz w:val="24"/>
          <w:szCs w:val="28"/>
          <w:lang w:eastAsia="zh-CN"/>
        </w:rPr>
        <w:t>成都市青羊区光华南三路20号</w:t>
      </w:r>
      <w:r>
        <w:rPr>
          <w:rFonts w:hint="eastAsia" w:ascii="仿宋" w:hAnsi="仿宋" w:eastAsia="仿宋" w:cs="Times New Roman"/>
          <w:sz w:val="24"/>
          <w:szCs w:val="28"/>
          <w:lang w:val="en-US" w:eastAsia="zh-CN"/>
        </w:rPr>
        <w:t>二楼</w:t>
      </w:r>
      <w:r>
        <w:rPr>
          <w:rFonts w:hint="eastAsia" w:ascii="仿宋" w:hAnsi="仿宋" w:eastAsia="仿宋"/>
          <w:sz w:val="24"/>
          <w:szCs w:val="28"/>
        </w:rPr>
        <w:t>开标厅。</w:t>
      </w:r>
    </w:p>
    <w:p>
      <w:pPr>
        <w:pStyle w:val="44"/>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pPr>
        <w:pStyle w:val="44"/>
        <w:spacing w:line="440" w:lineRule="exact"/>
        <w:ind w:firstLine="480"/>
        <w:rPr>
          <w:rFonts w:ascii="仿宋" w:hAnsi="仿宋" w:eastAsia="仿宋"/>
          <w:sz w:val="24"/>
        </w:rPr>
      </w:pPr>
      <w:r>
        <w:rPr>
          <w:rFonts w:hint="eastAsia" w:ascii="仿宋" w:hAnsi="仿宋" w:eastAsia="仿宋"/>
          <w:sz w:val="24"/>
        </w:rPr>
        <w:t>十三、联系方式</w:t>
      </w:r>
    </w:p>
    <w:p>
      <w:pPr>
        <w:pStyle w:val="44"/>
        <w:spacing w:line="440" w:lineRule="exact"/>
        <w:ind w:firstLine="1190" w:firstLineChars="496"/>
        <w:rPr>
          <w:rFonts w:hint="eastAsia" w:ascii="仿宋" w:hAnsi="仿宋" w:eastAsia="仿宋"/>
          <w:bCs/>
          <w:sz w:val="24"/>
          <w:lang w:eastAsia="zh-CN"/>
        </w:rPr>
      </w:pPr>
      <w:r>
        <w:rPr>
          <w:rFonts w:hint="eastAsia" w:ascii="仿宋" w:hAnsi="仿宋" w:eastAsia="仿宋"/>
          <w:sz w:val="24"/>
        </w:rPr>
        <w:t>采购人：</w:t>
      </w:r>
      <w:r>
        <w:rPr>
          <w:rFonts w:hint="eastAsia" w:ascii="仿宋" w:hAnsi="仿宋" w:eastAsia="仿宋"/>
          <w:sz w:val="24"/>
          <w:lang w:eastAsia="zh-CN"/>
        </w:rPr>
        <w:t>成都市盐道街小学</w:t>
      </w:r>
    </w:p>
    <w:p>
      <w:pPr>
        <w:pStyle w:val="44"/>
        <w:spacing w:line="440" w:lineRule="exact"/>
        <w:ind w:firstLine="1200" w:firstLineChars="500"/>
        <w:rPr>
          <w:rFonts w:ascii="仿宋" w:hAnsi="仿宋" w:eastAsia="仿宋"/>
          <w:bCs/>
          <w:sz w:val="24"/>
        </w:rPr>
      </w:pPr>
      <w:r>
        <w:rPr>
          <w:rFonts w:hint="eastAsia" w:ascii="仿宋" w:hAnsi="仿宋" w:eastAsia="仿宋"/>
          <w:bCs/>
          <w:sz w:val="24"/>
        </w:rPr>
        <w:t>通讯地址：</w:t>
      </w:r>
      <w:r>
        <w:rPr>
          <w:rFonts w:hint="eastAsia" w:ascii="仿宋" w:hAnsi="仿宋" w:eastAsia="仿宋"/>
          <w:sz w:val="24"/>
          <w:lang w:val="en-US" w:eastAsia="zh-CN"/>
        </w:rPr>
        <w:t>盐道街2号</w:t>
      </w:r>
      <w:r>
        <w:rPr>
          <w:rFonts w:ascii="仿宋" w:hAnsi="仿宋" w:eastAsia="仿宋"/>
          <w:sz w:val="24"/>
        </w:rPr>
        <w:t xml:space="preserve"> </w:t>
      </w:r>
    </w:p>
    <w:p>
      <w:pPr>
        <w:pStyle w:val="44"/>
        <w:spacing w:line="440" w:lineRule="exact"/>
        <w:ind w:firstLine="1200" w:firstLineChars="500"/>
        <w:rPr>
          <w:rFonts w:ascii="仿宋" w:hAnsi="仿宋" w:eastAsia="仿宋"/>
          <w:sz w:val="24"/>
        </w:rPr>
      </w:pPr>
      <w:r>
        <w:rPr>
          <w:rFonts w:hint="eastAsia" w:ascii="仿宋" w:hAnsi="仿宋" w:eastAsia="仿宋"/>
          <w:sz w:val="24"/>
        </w:rPr>
        <w:t>联系人：</w:t>
      </w:r>
      <w:bookmarkStart w:id="14" w:name="PO_采购联系人_1"/>
      <w:r>
        <w:rPr>
          <w:rFonts w:hint="eastAsia" w:ascii="仿宋" w:hAnsi="仿宋" w:eastAsia="仿宋"/>
          <w:sz w:val="24"/>
          <w:lang w:val="en-US" w:eastAsia="zh-CN"/>
        </w:rPr>
        <w:t>罗</w:t>
      </w:r>
      <w:r>
        <w:rPr>
          <w:rFonts w:hint="eastAsia" w:ascii="仿宋" w:hAnsi="仿宋" w:eastAsia="仿宋"/>
          <w:sz w:val="24"/>
        </w:rPr>
        <w:t>老师</w:t>
      </w:r>
      <w:bookmarkEnd w:id="14"/>
    </w:p>
    <w:p>
      <w:pPr>
        <w:pStyle w:val="44"/>
        <w:spacing w:line="440" w:lineRule="exact"/>
        <w:ind w:firstLine="1200" w:firstLineChars="500"/>
        <w:rPr>
          <w:rFonts w:ascii="仿宋" w:hAnsi="仿宋" w:eastAsia="仿宋"/>
          <w:sz w:val="24"/>
        </w:rPr>
      </w:pPr>
      <w:r>
        <w:rPr>
          <w:rFonts w:hint="eastAsia" w:ascii="仿宋" w:hAnsi="仿宋" w:eastAsia="仿宋"/>
          <w:sz w:val="24"/>
        </w:rPr>
        <w:t>联系电话：</w:t>
      </w:r>
      <w:r>
        <w:rPr>
          <w:rFonts w:ascii="仿宋" w:hAnsi="仿宋" w:eastAsia="仿宋"/>
          <w:sz w:val="24"/>
        </w:rPr>
        <w:t>028</w:t>
      </w:r>
      <w:r>
        <w:rPr>
          <w:rFonts w:hint="eastAsia" w:ascii="仿宋" w:hAnsi="仿宋" w:eastAsia="仿宋"/>
          <w:sz w:val="24"/>
        </w:rPr>
        <w:t>-</w:t>
      </w:r>
      <w:r>
        <w:rPr>
          <w:rFonts w:ascii="微软雅黑" w:hAnsi="微软雅黑" w:eastAsia="微软雅黑" w:cs="微软雅黑"/>
          <w:i w:val="0"/>
          <w:iCs w:val="0"/>
          <w:caps w:val="0"/>
          <w:color w:val="333333"/>
          <w:spacing w:val="0"/>
          <w:sz w:val="21"/>
          <w:szCs w:val="21"/>
          <w:shd w:val="clear" w:fill="FFFFFF"/>
        </w:rPr>
        <w:t>86008647</w:t>
      </w:r>
      <w:r>
        <w:rPr>
          <w:rFonts w:ascii="仿宋" w:hAnsi="仿宋" w:eastAsia="仿宋"/>
          <w:sz w:val="24"/>
        </w:rPr>
        <w:t xml:space="preserve"> </w:t>
      </w:r>
    </w:p>
    <w:p>
      <w:pPr>
        <w:pStyle w:val="44"/>
        <w:spacing w:line="440" w:lineRule="exact"/>
        <w:ind w:firstLine="890" w:firstLineChars="371"/>
        <w:rPr>
          <w:rFonts w:ascii="仿宋" w:hAnsi="仿宋" w:eastAsia="仿宋"/>
          <w:sz w:val="24"/>
        </w:rPr>
      </w:pPr>
    </w:p>
    <w:p>
      <w:pPr>
        <w:pStyle w:val="44"/>
        <w:spacing w:line="440" w:lineRule="exact"/>
        <w:ind w:firstLine="1130" w:firstLineChars="471"/>
        <w:rPr>
          <w:rFonts w:hint="eastAsia" w:ascii="仿宋" w:hAnsi="仿宋" w:eastAsia="仿宋" w:cs="Times New Roman"/>
          <w:sz w:val="24"/>
          <w:lang w:eastAsia="zh-CN"/>
        </w:rPr>
      </w:pPr>
      <w:r>
        <w:rPr>
          <w:rFonts w:hint="eastAsia" w:ascii="仿宋" w:hAnsi="仿宋" w:eastAsia="仿宋" w:cs="Times New Roman"/>
          <w:sz w:val="24"/>
          <w:lang w:eastAsia="zh-CN"/>
        </w:rPr>
        <w:t>采购代理机构：四川共熠建设项目管理有限公司</w:t>
      </w:r>
    </w:p>
    <w:p>
      <w:pPr>
        <w:pStyle w:val="44"/>
        <w:spacing w:line="440" w:lineRule="exact"/>
        <w:ind w:firstLine="1130" w:firstLineChars="471"/>
        <w:rPr>
          <w:rFonts w:hint="eastAsia" w:ascii="仿宋" w:hAnsi="仿宋" w:eastAsia="仿宋" w:cs="Times New Roman"/>
          <w:sz w:val="24"/>
          <w:lang w:eastAsia="zh-CN"/>
        </w:rPr>
      </w:pPr>
      <w:r>
        <w:rPr>
          <w:rFonts w:hint="eastAsia" w:ascii="仿宋" w:hAnsi="仿宋" w:eastAsia="仿宋" w:cs="Times New Roman"/>
          <w:sz w:val="24"/>
          <w:lang w:eastAsia="zh-CN"/>
        </w:rPr>
        <w:t>通讯地址：成都市青羊区光华南三路20号</w:t>
      </w:r>
    </w:p>
    <w:p>
      <w:pPr>
        <w:pStyle w:val="44"/>
        <w:spacing w:line="440" w:lineRule="exact"/>
        <w:ind w:firstLine="1130" w:firstLineChars="471"/>
        <w:rPr>
          <w:rFonts w:hint="eastAsia" w:ascii="仿宋" w:hAnsi="仿宋" w:eastAsia="仿宋" w:cs="Times New Roman"/>
          <w:sz w:val="24"/>
          <w:lang w:eastAsia="zh-CN"/>
        </w:rPr>
      </w:pPr>
      <w:r>
        <w:rPr>
          <w:rFonts w:hint="eastAsia" w:ascii="仿宋" w:hAnsi="仿宋" w:eastAsia="仿宋" w:cs="Times New Roman"/>
          <w:sz w:val="24"/>
          <w:lang w:eastAsia="zh-CN"/>
        </w:rPr>
        <w:t>联系人：</w:t>
      </w:r>
      <w:r>
        <w:rPr>
          <w:rFonts w:hint="eastAsia" w:ascii="仿宋" w:hAnsi="仿宋" w:eastAsia="仿宋" w:cs="Times New Roman"/>
          <w:sz w:val="24"/>
          <w:lang w:val="en-US" w:eastAsia="zh-CN"/>
        </w:rPr>
        <w:t>乔老师</w:t>
      </w:r>
    </w:p>
    <w:p>
      <w:pPr>
        <w:pStyle w:val="44"/>
        <w:spacing w:line="440" w:lineRule="exact"/>
        <w:ind w:firstLine="1130" w:firstLineChars="471"/>
        <w:rPr>
          <w:rFonts w:hint="default" w:ascii="仿宋" w:hAnsi="仿宋" w:eastAsia="仿宋" w:cs="Times New Roman"/>
          <w:sz w:val="24"/>
          <w:lang w:val="en-US" w:eastAsia="zh-CN"/>
        </w:rPr>
      </w:pPr>
      <w:r>
        <w:rPr>
          <w:rFonts w:hint="eastAsia" w:ascii="仿宋" w:hAnsi="仿宋" w:eastAsia="仿宋" w:cs="Times New Roman"/>
          <w:sz w:val="24"/>
          <w:lang w:eastAsia="zh-CN"/>
        </w:rPr>
        <w:t>联系电话：</w:t>
      </w:r>
      <w:r>
        <w:rPr>
          <w:rFonts w:hint="eastAsia" w:ascii="仿宋" w:hAnsi="仿宋" w:eastAsia="仿宋" w:cs="Times New Roman"/>
          <w:sz w:val="24"/>
          <w:lang w:val="en-US" w:eastAsia="zh-CN"/>
        </w:rPr>
        <w:t>13980648960</w:t>
      </w:r>
    </w:p>
    <w:p>
      <w:pPr>
        <w:pStyle w:val="44"/>
        <w:spacing w:line="440" w:lineRule="exact"/>
        <w:ind w:firstLine="1130" w:firstLineChars="471"/>
        <w:rPr>
          <w:rFonts w:hint="default" w:ascii="仿宋" w:hAnsi="仿宋" w:eastAsia="仿宋" w:cs="Times New Roman"/>
          <w:sz w:val="24"/>
          <w:lang w:val="en-US" w:eastAsia="zh-CN"/>
        </w:rPr>
      </w:pPr>
      <w:bookmarkStart w:id="15" w:name="_Toc213496267"/>
      <w:bookmarkStart w:id="16" w:name="_Toc213396945"/>
      <w:bookmarkStart w:id="17" w:name="_Toc213397009"/>
      <w:bookmarkStart w:id="18" w:name="_Toc213396759"/>
      <w:bookmarkStart w:id="19" w:name="_Toc511205299"/>
      <w:bookmarkStart w:id="20" w:name="_Toc217446031"/>
      <w:r>
        <w:rPr>
          <w:rFonts w:hint="eastAsia" w:ascii="仿宋" w:hAnsi="仿宋" w:eastAsia="仿宋" w:cs="Times New Roman"/>
          <w:sz w:val="24"/>
          <w:lang w:val="zh-CN" w:eastAsia="zh-CN"/>
        </w:rPr>
        <w:t>电子邮件：</w:t>
      </w:r>
      <w:r>
        <w:rPr>
          <w:rFonts w:hint="eastAsia" w:ascii="仿宋" w:hAnsi="仿宋" w:eastAsia="仿宋" w:cs="Times New Roman"/>
          <w:sz w:val="24"/>
          <w:lang w:val="en-US" w:eastAsia="zh-CN"/>
        </w:rPr>
        <w:t>1144509388@qq.com</w:t>
      </w:r>
    </w:p>
    <w:p>
      <w:pPr>
        <w:widowControl/>
        <w:jc w:val="left"/>
        <w:rPr>
          <w:rFonts w:ascii="仿宋" w:hAnsi="仿宋" w:eastAsia="仿宋" w:cstheme="majorBidi"/>
          <w:bCs/>
          <w:sz w:val="32"/>
          <w:szCs w:val="32"/>
        </w:rPr>
      </w:pPr>
      <w:r>
        <w:rPr>
          <w:rFonts w:ascii="仿宋" w:hAnsi="仿宋" w:eastAsia="仿宋"/>
        </w:rPr>
        <w:br w:type="page"/>
      </w:r>
    </w:p>
    <w:p>
      <w:pPr>
        <w:pStyle w:val="19"/>
        <w:rPr>
          <w:rFonts w:ascii="仿宋" w:hAnsi="仿宋" w:eastAsia="仿宋"/>
          <w:b w:val="0"/>
        </w:rPr>
      </w:pPr>
      <w:r>
        <w:rPr>
          <w:rFonts w:hint="eastAsia" w:ascii="仿宋" w:hAnsi="仿宋" w:eastAsia="仿宋"/>
          <w:b w:val="0"/>
        </w:rPr>
        <w:t>第二章  磋商须知</w:t>
      </w:r>
      <w:bookmarkEnd w:id="15"/>
      <w:bookmarkEnd w:id="16"/>
      <w:bookmarkEnd w:id="17"/>
      <w:bookmarkEnd w:id="18"/>
      <w:bookmarkEnd w:id="19"/>
      <w:bookmarkEnd w:id="20"/>
    </w:p>
    <w:p>
      <w:pPr>
        <w:pStyle w:val="4"/>
        <w:keepNext w:val="0"/>
        <w:keepLines w:val="0"/>
        <w:spacing w:line="240" w:lineRule="atLeast"/>
        <w:jc w:val="center"/>
        <w:rPr>
          <w:rFonts w:ascii="仿宋" w:hAnsi="仿宋" w:eastAsia="仿宋"/>
          <w:b w:val="0"/>
        </w:rPr>
      </w:pPr>
      <w:r>
        <w:rPr>
          <w:rFonts w:hint="eastAsia" w:ascii="仿宋" w:hAnsi="仿宋" w:eastAsia="仿宋"/>
          <w:b w:val="0"/>
        </w:rPr>
        <w:t>一、供应商须知附表</w:t>
      </w:r>
    </w:p>
    <w:tbl>
      <w:tblPr>
        <w:tblStyle w:val="2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6"/>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6"/>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spacing w:line="340" w:lineRule="exact"/>
              <w:ind w:right="105" w:rightChars="50"/>
              <w:rPr>
                <w:rFonts w:ascii="仿宋" w:hAnsi="仿宋" w:eastAsia="仿宋"/>
                <w:szCs w:val="21"/>
              </w:rPr>
            </w:pPr>
            <w:bookmarkStart w:id="21" w:name="PO_预算分包信息_1"/>
            <w:r>
              <w:rPr>
                <w:rFonts w:ascii="仿宋" w:hAnsi="仿宋" w:eastAsia="仿宋"/>
                <w:szCs w:val="21"/>
              </w:rPr>
              <w:t>采购预算：</w:t>
            </w:r>
            <w:r>
              <w:rPr>
                <w:rFonts w:hint="eastAsia" w:ascii="仿宋" w:hAnsi="仿宋" w:eastAsia="仿宋"/>
                <w:szCs w:val="21"/>
                <w:lang w:val="en-US" w:eastAsia="zh-CN"/>
              </w:rPr>
              <w:t>47</w:t>
            </w:r>
            <w:r>
              <w:rPr>
                <w:rFonts w:ascii="仿宋" w:hAnsi="仿宋" w:eastAsia="仿宋"/>
                <w:szCs w:val="21"/>
              </w:rPr>
              <w:t xml:space="preserve">万元 </w:t>
            </w:r>
            <w:bookmarkEnd w:id="21"/>
          </w:p>
          <w:p>
            <w:pPr>
              <w:spacing w:line="340" w:lineRule="exact"/>
              <w:ind w:right="105" w:rightChars="50"/>
              <w:rPr>
                <w:rFonts w:ascii="仿宋" w:hAnsi="仿宋" w:eastAsia="仿宋"/>
                <w:szCs w:val="21"/>
              </w:rPr>
            </w:pPr>
            <w:r>
              <w:rPr>
                <w:rFonts w:hint="eastAsia" w:ascii="仿宋" w:hAnsi="仿宋" w:eastAsia="仿宋"/>
                <w:szCs w:val="21"/>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spacing w:line="340" w:lineRule="exact"/>
              <w:ind w:right="105" w:rightChars="50"/>
              <w:rPr>
                <w:rFonts w:ascii="仿宋" w:hAnsi="仿宋" w:eastAsia="仿宋"/>
                <w:szCs w:val="21"/>
              </w:rPr>
            </w:pPr>
            <w:bookmarkStart w:id="22" w:name="PO_限价分包信息_1"/>
            <w:r>
              <w:rPr>
                <w:rFonts w:ascii="仿宋" w:hAnsi="仿宋" w:eastAsia="仿宋"/>
                <w:szCs w:val="21"/>
              </w:rPr>
              <w:t>最高限价：</w:t>
            </w:r>
            <w:r>
              <w:rPr>
                <w:rFonts w:hint="eastAsia" w:ascii="仿宋" w:hAnsi="仿宋" w:eastAsia="仿宋"/>
                <w:szCs w:val="21"/>
                <w:lang w:val="en-US" w:eastAsia="zh-CN"/>
              </w:rPr>
              <w:t>47</w:t>
            </w:r>
            <w:r>
              <w:rPr>
                <w:rFonts w:ascii="仿宋" w:hAnsi="仿宋" w:eastAsia="仿宋"/>
                <w:szCs w:val="21"/>
              </w:rPr>
              <w:t xml:space="preserve">万元 </w:t>
            </w:r>
            <w:bookmarkEnd w:id="22"/>
          </w:p>
          <w:p>
            <w:pPr>
              <w:spacing w:line="340" w:lineRule="exact"/>
              <w:ind w:right="105" w:rightChars="50"/>
              <w:rPr>
                <w:rFonts w:ascii="仿宋" w:hAnsi="仿宋" w:eastAsia="仿宋"/>
                <w:szCs w:val="21"/>
              </w:rPr>
            </w:pPr>
            <w:bookmarkStart w:id="23" w:name="PO_默认文件内容_21"/>
            <w:r>
              <w:rPr>
                <w:rFonts w:hint="eastAsia" w:ascii="仿宋" w:hAnsi="仿宋" w:eastAsia="仿宋"/>
                <w:szCs w:val="21"/>
              </w:rPr>
              <w:t>超过最高限价的报价,其响应文件按无效处理。</w:t>
            </w:r>
          </w:p>
          <w:p>
            <w:pPr>
              <w:spacing w:line="340" w:lineRule="exact"/>
              <w:ind w:right="105" w:rightChars="50"/>
              <w:rPr>
                <w:rFonts w:ascii="仿宋" w:hAnsi="仿宋" w:eastAsia="仿宋"/>
                <w:szCs w:val="21"/>
              </w:rPr>
            </w:pPr>
            <w:r>
              <w:rPr>
                <w:rFonts w:hint="eastAsia" w:ascii="仿宋" w:hAnsi="仿宋" w:eastAsia="仿宋"/>
                <w:szCs w:val="21"/>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vAlign w:val="center"/>
          </w:tcPr>
          <w:p>
            <w:pPr>
              <w:spacing w:line="340" w:lineRule="exact"/>
              <w:ind w:right="105" w:rightChars="50"/>
              <w:rPr>
                <w:rFonts w:ascii="仿宋" w:hAnsi="仿宋" w:eastAsia="仿宋"/>
                <w:szCs w:val="21"/>
              </w:rPr>
            </w:pPr>
            <w:bookmarkStart w:id="24" w:name="PO_默认文件内容_8"/>
            <w:r>
              <w:rPr>
                <w:rFonts w:hint="eastAsia" w:ascii="仿宋" w:hAnsi="仿宋" w:eastAsia="仿宋"/>
                <w:szCs w:val="21"/>
              </w:rPr>
              <w:t>本项目竞争性磋商文件中未载明“允许采购进口产品”的产品，拒绝进口产品参与竞争，</w:t>
            </w:r>
            <w:r>
              <w:rPr>
                <w:rFonts w:ascii="仿宋" w:hAnsi="仿宋" w:eastAsia="仿宋"/>
                <w:szCs w:val="21"/>
              </w:rPr>
              <w:t>供应商以</w:t>
            </w:r>
            <w:r>
              <w:rPr>
                <w:rFonts w:hint="eastAsia" w:ascii="仿宋" w:hAnsi="仿宋" w:eastAsia="仿宋"/>
                <w:szCs w:val="21"/>
              </w:rPr>
              <w:t>进口</w:t>
            </w:r>
            <w:r>
              <w:rPr>
                <w:rFonts w:ascii="仿宋" w:hAnsi="仿宋" w:eastAsia="仿宋"/>
                <w:szCs w:val="21"/>
              </w:rPr>
              <w:t>产品</w:t>
            </w:r>
            <w:r>
              <w:rPr>
                <w:rFonts w:hint="eastAsia" w:ascii="仿宋" w:hAnsi="仿宋" w:eastAsia="仿宋"/>
                <w:szCs w:val="21"/>
              </w:rPr>
              <w:t>响应时</w:t>
            </w:r>
            <w:r>
              <w:rPr>
                <w:rFonts w:ascii="仿宋" w:hAnsi="仿宋" w:eastAsia="仿宋"/>
                <w:szCs w:val="21"/>
              </w:rPr>
              <w:t>，</w:t>
            </w:r>
            <w:r>
              <w:rPr>
                <w:rFonts w:hint="eastAsia" w:ascii="仿宋" w:hAnsi="仿宋" w:eastAsia="仿宋"/>
                <w:szCs w:val="21"/>
              </w:rPr>
              <w:t>其响应</w:t>
            </w:r>
            <w:r>
              <w:rPr>
                <w:rFonts w:ascii="仿宋" w:hAnsi="仿宋" w:eastAsia="仿宋"/>
                <w:szCs w:val="21"/>
              </w:rPr>
              <w:t>文件按无效处理</w:t>
            </w:r>
            <w:r>
              <w:rPr>
                <w:rFonts w:hint="eastAsia" w:ascii="仿宋" w:hAnsi="仿宋" w:eastAsia="仿宋"/>
                <w:szCs w:val="21"/>
              </w:rPr>
              <w:t>。载明“允许采购进口产品”的产品，不限制国产产品参与竞争。</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pPr>
              <w:pStyle w:val="46"/>
              <w:ind w:left="38"/>
              <w:jc w:val="center"/>
              <w:rPr>
                <w:rFonts w:ascii="仿宋" w:hAnsi="仿宋" w:eastAsia="仿宋"/>
                <w:sz w:val="21"/>
                <w:szCs w:val="21"/>
              </w:rPr>
            </w:pPr>
            <w:r>
              <w:rPr>
                <w:rFonts w:hint="eastAsia" w:ascii="仿宋" w:hAnsi="仿宋" w:eastAsia="仿宋"/>
                <w:sz w:val="21"/>
                <w:szCs w:val="21"/>
              </w:rPr>
              <w:t>不正当竞争预防措施</w:t>
            </w:r>
          </w:p>
          <w:p>
            <w:pPr>
              <w:pStyle w:val="46"/>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40" w:lineRule="exact"/>
              <w:ind w:right="105" w:rightChars="50"/>
              <w:rPr>
                <w:rFonts w:ascii="仿宋" w:hAnsi="仿宋" w:eastAsia="仿宋"/>
                <w:szCs w:val="21"/>
              </w:rPr>
            </w:pPr>
            <w:bookmarkStart w:id="25" w:name="PO_默认文件内容_111"/>
            <w:r>
              <w:rPr>
                <w:rFonts w:hint="eastAsia" w:ascii="仿宋" w:hAnsi="仿宋" w:eastAsia="仿宋"/>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5</w:t>
            </w:r>
          </w:p>
          <w:p>
            <w:pPr>
              <w:pStyle w:val="46"/>
              <w:ind w:right="230"/>
              <w:jc w:val="center"/>
              <w:rPr>
                <w:rFonts w:ascii="仿宋" w:hAnsi="仿宋" w:eastAsia="仿宋" w:cs="Courier New"/>
                <w:color w:val="auto"/>
                <w:sz w:val="21"/>
                <w:szCs w:val="21"/>
                <w:lang w:val="zh-CN"/>
              </w:rPr>
            </w:pPr>
          </w:p>
        </w:tc>
        <w:tc>
          <w:tcPr>
            <w:tcW w:w="2409" w:type="dxa"/>
            <w:vAlign w:val="center"/>
          </w:tcPr>
          <w:p>
            <w:pPr>
              <w:pStyle w:val="46"/>
              <w:ind w:left="38"/>
              <w:jc w:val="center"/>
              <w:rPr>
                <w:rFonts w:ascii="仿宋" w:hAnsi="仿宋" w:eastAsia="仿宋"/>
                <w:color w:val="auto"/>
                <w:sz w:val="21"/>
                <w:szCs w:val="21"/>
                <w:lang w:val="zh-CN"/>
              </w:rPr>
            </w:pPr>
            <w:r>
              <w:rPr>
                <w:rFonts w:hint="eastAsia" w:ascii="仿宋" w:hAnsi="仿宋" w:eastAsia="仿宋" w:cs="Times New Roman"/>
                <w:color w:val="auto"/>
                <w:kern w:val="2"/>
                <w:sz w:val="21"/>
                <w:szCs w:val="21"/>
              </w:rPr>
              <w:t>小微企业</w:t>
            </w:r>
            <w:r>
              <w:rPr>
                <w:rFonts w:hint="eastAsia" w:ascii="仿宋" w:hAnsi="仿宋" w:eastAsia="仿宋"/>
                <w:color w:val="auto"/>
                <w:sz w:val="21"/>
                <w:szCs w:val="21"/>
                <w:lang w:val="zh-CN"/>
              </w:rPr>
              <w:t>（监狱企业、残疾人福利性单位视同小微企业）价格扣除</w:t>
            </w:r>
          </w:p>
        </w:tc>
        <w:tc>
          <w:tcPr>
            <w:tcW w:w="6084" w:type="dxa"/>
          </w:tcPr>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一、小微企业（监狱企业、残疾人福利单位视同小微企业）价格扣除</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工程项目为</w:t>
            </w:r>
            <w:r>
              <w:rPr>
                <w:rFonts w:hint="eastAsia" w:ascii="仿宋" w:hAnsi="仿宋" w:eastAsia="仿宋" w:cs="Times New Roman"/>
                <w:szCs w:val="21"/>
              </w:rPr>
              <w:t>5</w:t>
            </w:r>
            <w:r>
              <w:rPr>
                <w:rFonts w:hint="eastAsia" w:ascii="仿宋" w:hAnsi="仿宋" w:eastAsia="仿宋" w:cs="Times New Roman"/>
                <w:szCs w:val="21"/>
                <w:lang w:val="zh-CN"/>
              </w:rPr>
              <w:t xml:space="preserve">%）的扣除，用扣除后的价格参加评审。适用招标投标法的政府采购工程建设项目，采用综合评估法但未采用低价优先法计算价格分的，评标时应当在采用原报价进行评分的基础上增加其价格得分的 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3%（工程项目为 2%）的扣除，用扣除后的价格参加评审。适用招标投标法的政府采购工程建设项目，采用综合评估法但未采用低价优先法计算价格分的，评标时应当在采用原报价进行评分的基础上增加其价格得分的 2%作为其价格分。组成联合体或者接受分包的小微企业与联合体内其他企业、分包企业之间存在直接控股、管理关系的，不享受价格扣除优惠政策。 </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价格扣除比例或者价格分加分比例对小型企业和微型企业同等对待，不作区分。具体采购项目的价格扣除比例或者价格分加分比例，由采购人根据采购标的相关行业平均利 润率、市场竞争状况等，在本办法规定的幅度内确定。</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参加政府采购活动的中小企业应当提供《中小企业声明函》（格式详见第八章响应文件格式七、中小企业声明函》）原件。十一监狱企业应当提供《监狱企业证明》原件。残疾人福利性单位应当提供《残疾人福利性单位声明函》原件。未提供的，视为放弃享受小微企业价格扣除优惠政策。</w:t>
            </w:r>
          </w:p>
          <w:p>
            <w:pPr>
              <w:spacing w:line="340" w:lineRule="exact"/>
              <w:ind w:right="105" w:rightChars="50"/>
              <w:rPr>
                <w:rFonts w:hint="eastAsia" w:ascii="仿宋" w:hAnsi="仿宋" w:eastAsia="仿宋" w:cs="Times New Roman"/>
                <w:b/>
                <w:bCs/>
                <w:szCs w:val="21"/>
                <w:lang w:val="zh-CN"/>
              </w:rPr>
            </w:pPr>
            <w:r>
              <w:rPr>
                <w:rFonts w:hint="eastAsia" w:ascii="仿宋" w:hAnsi="仿宋" w:eastAsia="仿宋" w:cs="Times New Roman"/>
                <w:b/>
                <w:bCs/>
                <w:szCs w:val="21"/>
                <w:lang w:val="zh-CN"/>
              </w:rPr>
              <w:t>注：本项目为专门面向中小企业采购，磋商时不进行价格扣除。</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二、失信企业报价加成或者扣分</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1、对按照《四川省政府采购当事人诚信管理办法》（川财采[2015]33号）记入诚信档案的且在有效期内的失信供应商，对按照《四川省政府采购当事人诚信管理办法》（川财采[2015]33号）记入诚信档案的且在有效期内的失信供应商，在参加政府采购活动中实行10%的报价加成、以加成后的报价作为该供应商的报价评审，且供应商失信行为惩戒实行无限制累加制，因其失信行为进行报价加成惩戒后报价超过政府采购预算的，其响应文件按照无效处理。</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2、供应商参加政府采购活动时，应当就自己的诚信情况在响应文件中进行承诺。</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3、成交供应商为残疾人福利性单位的，采购人或者其委托的采购代理机构应当随成交结果同时公告其《残疾人福利性单位声明函》，接受社会监督。</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注：（1）监狱企业属于小型、微型企业的或残疾人福利性单位属于小型、微型企业的，不重复享受政策。</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（2）若本项目成交供应商为残疾人福利性单位的，在结果公告中将同时公示其声明函。</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（3）规定依据财库〔2020〕46号规定享受扶持政策获得政府采购合同的，小微企业不得将合同分包给大中型企业，中型企业不得将合同分包给大型企业。</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（4）符合中小企业划分标准的个体工商户，在政府采购活动中视同中小企。</w:t>
            </w:r>
          </w:p>
          <w:p>
            <w:pPr>
              <w:spacing w:line="340" w:lineRule="exact"/>
              <w:ind w:right="105" w:rightChars="50"/>
              <w:rPr>
                <w:rFonts w:hint="eastAsia" w:ascii="仿宋" w:hAnsi="仿宋" w:eastAsia="仿宋" w:cs="Times New Roman"/>
                <w:szCs w:val="21"/>
                <w:lang w:val="zh-CN"/>
              </w:rPr>
            </w:pPr>
            <w:r>
              <w:rPr>
                <w:rFonts w:hint="eastAsia" w:ascii="仿宋" w:hAnsi="仿宋" w:eastAsia="仿宋" w:cs="Times New Roman"/>
                <w:szCs w:val="21"/>
                <w:lang w:val="zh-CN"/>
              </w:rPr>
              <w:t>（5）其他未尽事宜均按照《政府采购促进中小企业发展管理办法》（财库[2020]46号）规定执行。</w:t>
            </w:r>
          </w:p>
          <w:p>
            <w:pPr>
              <w:spacing w:line="340" w:lineRule="exact"/>
              <w:ind w:right="105" w:rightChars="50"/>
              <w:rPr>
                <w:rFonts w:ascii="仿宋" w:hAnsi="仿宋" w:eastAsia="仿宋"/>
                <w:color w:val="FF0000"/>
                <w:szCs w:val="21"/>
              </w:rPr>
            </w:pPr>
            <w:r>
              <w:rPr>
                <w:rFonts w:hint="eastAsia" w:ascii="仿宋" w:hAnsi="仿宋" w:eastAsia="仿宋" w:cs="Times New Roman"/>
                <w:szCs w:val="21"/>
                <w:lang w:val="zh-CN" w:eastAsia="zh-CN"/>
              </w:rPr>
              <w:t>三、所属行业：</w:t>
            </w:r>
            <w:r>
              <w:rPr>
                <w:rFonts w:hint="eastAsia" w:ascii="仿宋" w:hAnsi="仿宋" w:eastAsia="仿宋" w:cs="Times New Roman"/>
                <w:szCs w:val="21"/>
                <w:lang w:val="en-US" w:eastAsia="zh-CN"/>
              </w:rPr>
              <w:t>工业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pPr>
              <w:pStyle w:val="46"/>
              <w:ind w:left="38"/>
              <w:jc w:val="both"/>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spacing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pPr>
              <w:spacing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本项目采购的产品属于品目清单优先采购范围的，按照第八章《综合评分明细表》的规则进行加分。</w:t>
            </w:r>
          </w:p>
          <w:p>
            <w:pPr>
              <w:spacing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line="340" w:lineRule="exact"/>
              <w:ind w:right="105" w:rightChars="50"/>
              <w:rPr>
                <w:rFonts w:ascii="仿宋" w:hAnsi="仿宋" w:eastAsia="仿宋"/>
                <w:szCs w:val="21"/>
                <w:lang w:val="zh-CN"/>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spacing w:line="340" w:lineRule="exact"/>
              <w:ind w:right="105" w:rightChars="50"/>
              <w:rPr>
                <w:rFonts w:ascii="仿宋" w:hAnsi="仿宋" w:eastAsia="仿宋"/>
                <w:szCs w:val="21"/>
              </w:rPr>
            </w:pPr>
            <w:bookmarkStart w:id="26" w:name="PO_默认文件内容_13"/>
            <w:r>
              <w:rPr>
                <w:rFonts w:hint="eastAsia" w:ascii="仿宋" w:hAnsi="仿宋" w:eastAsia="仿宋"/>
                <w:szCs w:val="21"/>
              </w:rPr>
              <w:t>供应商资格审查情况、磋商情况、报价情况、磋商结果等在四川政府采购网上采购结果公告栏中予以公告。</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2"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spacing w:line="340" w:lineRule="exact"/>
              <w:ind w:right="105" w:rightChars="50"/>
              <w:rPr>
                <w:rFonts w:ascii="仿宋" w:hAnsi="仿宋" w:eastAsia="仿宋"/>
                <w:szCs w:val="21"/>
              </w:rPr>
            </w:pPr>
            <w:r>
              <w:rPr>
                <w:rFonts w:hint="eastAsia" w:ascii="仿宋" w:hAnsi="仿宋" w:eastAsia="仿宋"/>
                <w:szCs w:val="21"/>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46"/>
              <w:ind w:firstLine="210" w:firstLineChars="100"/>
              <w:rPr>
                <w:rFonts w:ascii="仿宋" w:hAnsi="仿宋" w:eastAsia="仿宋"/>
                <w:sz w:val="21"/>
                <w:szCs w:val="21"/>
                <w:lang w:val="zh-CN"/>
              </w:rPr>
            </w:pPr>
            <w:r>
              <w:rPr>
                <w:rFonts w:hint="eastAsia" w:ascii="仿宋" w:hAnsi="仿宋" w:eastAsia="仿宋"/>
                <w:sz w:val="21"/>
                <w:szCs w:val="21"/>
                <w:lang w:val="zh-CN"/>
              </w:rPr>
              <w:t>9</w:t>
            </w:r>
          </w:p>
        </w:tc>
        <w:tc>
          <w:tcPr>
            <w:tcW w:w="2409" w:type="dxa"/>
            <w:vAlign w:val="center"/>
          </w:tcPr>
          <w:p>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6"/>
              <w:ind w:left="38" w:firstLine="210" w:firstLineChars="100"/>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spacing w:line="340" w:lineRule="exact"/>
              <w:ind w:right="105" w:rightChars="50"/>
              <w:rPr>
                <w:rFonts w:ascii="仿宋" w:hAnsi="仿宋" w:eastAsia="仿宋"/>
                <w:szCs w:val="21"/>
              </w:rPr>
            </w:pPr>
            <w:r>
              <w:rPr>
                <w:rFonts w:ascii="Segoe UI Symbol" w:hAnsi="Segoe UI Symbol" w:eastAsia="仿宋" w:cs="Segoe UI Symbol"/>
                <w:szCs w:val="21"/>
              </w:rPr>
              <w:t>☑</w:t>
            </w:r>
            <w:r>
              <w:rPr>
                <w:rFonts w:hint="eastAsia" w:ascii="仿宋" w:hAnsi="仿宋" w:eastAsia="仿宋"/>
                <w:szCs w:val="21"/>
              </w:rPr>
              <w:t>本项目不接受合同分包。</w:t>
            </w:r>
          </w:p>
          <w:p>
            <w:pPr>
              <w:spacing w:line="340" w:lineRule="exact"/>
              <w:ind w:right="105" w:rightChars="50"/>
              <w:rPr>
                <w:rFonts w:ascii="仿宋" w:hAnsi="仿宋" w:eastAsia="仿宋"/>
                <w:szCs w:val="21"/>
              </w:rPr>
            </w:pPr>
            <w:r>
              <w:rPr>
                <w:rFonts w:hint="eastAsia" w:ascii="仿宋" w:hAnsi="仿宋" w:eastAsia="仿宋"/>
                <w:szCs w:val="21"/>
              </w:rPr>
              <w:t>□本项目接受合同分包，具体要求如下：</w:t>
            </w:r>
          </w:p>
          <w:p>
            <w:pPr>
              <w:spacing w:line="340" w:lineRule="exact"/>
              <w:ind w:right="105" w:rightChars="50"/>
              <w:rPr>
                <w:rFonts w:ascii="仿宋" w:hAnsi="仿宋" w:eastAsia="仿宋"/>
                <w:szCs w:val="21"/>
              </w:rPr>
            </w:pPr>
            <w:r>
              <w:rPr>
                <w:rFonts w:ascii="仿宋" w:hAnsi="仿宋" w:eastAsia="仿宋"/>
                <w:szCs w:val="21"/>
              </w:rPr>
              <w:t>1.</w:t>
            </w:r>
            <w:r>
              <w:rPr>
                <w:rFonts w:hint="eastAsia" w:ascii="仿宋" w:hAnsi="仿宋" w:eastAsia="仿宋"/>
                <w:szCs w:val="21"/>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spacing w:line="340" w:lineRule="exact"/>
              <w:ind w:right="105" w:rightChars="50"/>
              <w:rPr>
                <w:rFonts w:ascii="仿宋" w:hAnsi="仿宋" w:eastAsia="仿宋"/>
                <w:szCs w:val="21"/>
              </w:rPr>
            </w:pPr>
            <w:r>
              <w:rPr>
                <w:rFonts w:ascii="仿宋" w:hAnsi="仿宋" w:eastAsia="仿宋"/>
                <w:szCs w:val="21"/>
              </w:rPr>
              <w:t>2.</w:t>
            </w:r>
            <w:r>
              <w:rPr>
                <w:rFonts w:hint="eastAsia" w:ascii="仿宋" w:hAnsi="仿宋" w:eastAsia="仿宋"/>
                <w:szCs w:val="21"/>
              </w:rPr>
              <w:t>分包履行合同的部分应当为采购项目的非主体、非关键性工作，不属于成交供应商的主要合同义务。本</w:t>
            </w:r>
            <w:r>
              <w:rPr>
                <w:rFonts w:ascii="仿宋" w:hAnsi="仿宋" w:eastAsia="仿宋"/>
                <w:szCs w:val="21"/>
              </w:rPr>
              <w:t>项目</w:t>
            </w:r>
            <w:r>
              <w:rPr>
                <w:rFonts w:hint="eastAsia" w:ascii="仿宋" w:hAnsi="仿宋" w:eastAsia="仿宋"/>
                <w:szCs w:val="21"/>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spacing w:line="340" w:lineRule="exact"/>
              <w:ind w:right="105" w:rightChars="50"/>
              <w:rPr>
                <w:rFonts w:ascii="仿宋" w:hAnsi="仿宋" w:eastAsia="仿宋"/>
                <w:szCs w:val="21"/>
              </w:rPr>
            </w:pPr>
            <w:bookmarkStart w:id="27" w:name="PO_默认文件内容_15"/>
            <w:r>
              <w:rPr>
                <w:rFonts w:hint="eastAsia" w:ascii="仿宋" w:hAnsi="仿宋" w:eastAsia="仿宋"/>
                <w:szCs w:val="21"/>
              </w:rPr>
              <w:t>金额：合同金额的5%（履约保证金收取不能超过政府采购合同金额的10%）。</w:t>
            </w:r>
          </w:p>
          <w:p>
            <w:pPr>
              <w:spacing w:line="340" w:lineRule="exact"/>
              <w:ind w:right="105" w:rightChars="50"/>
              <w:rPr>
                <w:rFonts w:ascii="仿宋" w:hAnsi="仿宋" w:eastAsia="仿宋"/>
                <w:szCs w:val="21"/>
              </w:rPr>
            </w:pPr>
            <w:r>
              <w:rPr>
                <w:rFonts w:hint="eastAsia" w:ascii="仿宋" w:hAnsi="仿宋" w:eastAsia="仿宋"/>
                <w:szCs w:val="21"/>
              </w:rPr>
              <w:t>交款方式：履约保证金可以以支票、汇票、本票或者金融机构出具的保函等非现金形式提交（包括网银转账，电汇等方式）。</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收款单位：</w:t>
            </w:r>
            <w:r>
              <w:rPr>
                <w:rFonts w:hint="eastAsia" w:ascii="仿宋" w:hAnsi="仿宋" w:eastAsia="仿宋"/>
                <w:color w:val="auto"/>
                <w:szCs w:val="21"/>
                <w:lang w:eastAsia="zh-CN"/>
              </w:rPr>
              <w:t>成都市盐道街小学</w:t>
            </w:r>
            <w:r>
              <w:rPr>
                <w:rFonts w:hint="eastAsia" w:ascii="仿宋" w:hAnsi="仿宋" w:eastAsia="仿宋"/>
                <w:color w:val="auto"/>
                <w:szCs w:val="21"/>
              </w:rPr>
              <w:t>。</w:t>
            </w:r>
          </w:p>
          <w:p>
            <w:pPr>
              <w:spacing w:line="340" w:lineRule="exact"/>
              <w:ind w:right="105" w:rightChars="50"/>
              <w:rPr>
                <w:rFonts w:hint="default" w:ascii="仿宋" w:hAnsi="仿宋" w:eastAsia="仿宋"/>
                <w:color w:val="auto"/>
                <w:szCs w:val="21"/>
                <w:lang w:val="en-US" w:eastAsia="zh-CN"/>
              </w:rPr>
            </w:pPr>
            <w:r>
              <w:rPr>
                <w:rFonts w:hint="eastAsia" w:ascii="仿宋" w:hAnsi="仿宋" w:eastAsia="仿宋"/>
                <w:color w:val="auto"/>
                <w:szCs w:val="21"/>
              </w:rPr>
              <w:t>开 户 行：</w:t>
            </w:r>
            <w:r>
              <w:rPr>
                <w:rFonts w:hint="eastAsia" w:ascii="仿宋" w:hAnsi="仿宋" w:eastAsia="仿宋"/>
                <w:color w:val="auto"/>
                <w:szCs w:val="21"/>
                <w:lang w:val="en-US" w:eastAsia="zh-CN"/>
              </w:rPr>
              <w:t>成都银行锦江支行。</w:t>
            </w:r>
          </w:p>
          <w:p>
            <w:pPr>
              <w:spacing w:line="340" w:lineRule="exact"/>
              <w:ind w:right="105" w:rightChars="50"/>
              <w:rPr>
                <w:rFonts w:hint="default" w:ascii="仿宋" w:hAnsi="仿宋" w:eastAsia="仿宋"/>
                <w:color w:val="auto"/>
                <w:szCs w:val="21"/>
                <w:lang w:val="en-US" w:eastAsia="zh-CN"/>
              </w:rPr>
            </w:pPr>
            <w:r>
              <w:rPr>
                <w:rFonts w:hint="eastAsia" w:ascii="仿宋" w:hAnsi="仿宋" w:eastAsia="仿宋"/>
                <w:color w:val="auto"/>
                <w:szCs w:val="21"/>
              </w:rPr>
              <w:t>银行账号：</w:t>
            </w:r>
            <w:r>
              <w:rPr>
                <w:rFonts w:hint="eastAsia" w:ascii="仿宋" w:hAnsi="仿宋" w:eastAsia="仿宋"/>
                <w:color w:val="auto"/>
                <w:szCs w:val="21"/>
                <w:lang w:val="en-US" w:eastAsia="zh-CN"/>
              </w:rPr>
              <w:t>1001300000464569。</w:t>
            </w:r>
          </w:p>
          <w:p>
            <w:pPr>
              <w:spacing w:line="340" w:lineRule="exact"/>
              <w:ind w:right="105" w:rightChars="50"/>
              <w:rPr>
                <w:rFonts w:ascii="仿宋" w:hAnsi="仿宋" w:eastAsia="仿宋"/>
                <w:szCs w:val="21"/>
              </w:rPr>
            </w:pPr>
            <w:r>
              <w:rPr>
                <w:rFonts w:hint="eastAsia" w:ascii="仿宋" w:hAnsi="仿宋" w:eastAsia="仿宋"/>
                <w:szCs w:val="21"/>
              </w:rPr>
              <w:t>交款时间：成交通知书发放后，政府采购合同签订前。</w:t>
            </w:r>
            <w:bookmarkEnd w:id="27"/>
          </w:p>
          <w:p>
            <w:pPr>
              <w:spacing w:line="340" w:lineRule="exact"/>
              <w:ind w:right="105" w:rightChars="50"/>
              <w:rPr>
                <w:rFonts w:ascii="仿宋" w:hAnsi="仿宋" w:eastAsia="仿宋"/>
                <w:szCs w:val="21"/>
              </w:rPr>
            </w:pPr>
            <w:r>
              <w:rPr>
                <w:rFonts w:hint="eastAsia" w:ascii="仿宋" w:hAnsi="仿宋" w:eastAsia="仿宋"/>
                <w:szCs w:val="21"/>
              </w:rPr>
              <w:t>履约保证金退还方式：根据成交人缴纳方式进行相应地退还。</w:t>
            </w:r>
          </w:p>
          <w:p>
            <w:pPr>
              <w:spacing w:line="340" w:lineRule="exact"/>
              <w:ind w:right="105" w:rightChars="50"/>
              <w:rPr>
                <w:rFonts w:ascii="仿宋" w:hAnsi="仿宋" w:eastAsia="仿宋"/>
                <w:szCs w:val="21"/>
              </w:rPr>
            </w:pPr>
            <w:r>
              <w:rPr>
                <w:rFonts w:hint="eastAsia" w:ascii="仿宋" w:hAnsi="仿宋" w:eastAsia="仿宋"/>
                <w:szCs w:val="21"/>
              </w:rPr>
              <w:t>履约保证金退还时间：成交人通过项目履约验收后。</w:t>
            </w:r>
          </w:p>
          <w:p>
            <w:pPr>
              <w:spacing w:line="340" w:lineRule="exact"/>
              <w:ind w:right="105" w:rightChars="50"/>
              <w:rPr>
                <w:rFonts w:ascii="仿宋" w:hAnsi="仿宋" w:eastAsia="仿宋"/>
                <w:szCs w:val="21"/>
              </w:rPr>
            </w:pPr>
            <w:r>
              <w:rPr>
                <w:rFonts w:hint="eastAsia" w:ascii="仿宋" w:hAnsi="仿宋" w:eastAsia="仿宋"/>
                <w:szCs w:val="21"/>
              </w:rPr>
              <w:t>履约保证金不予退还情形：成交人未按签订的合同进行履约。</w:t>
            </w:r>
          </w:p>
          <w:p>
            <w:pPr>
              <w:spacing w:line="340" w:lineRule="exact"/>
              <w:ind w:right="105" w:rightChars="50"/>
              <w:rPr>
                <w:rFonts w:ascii="仿宋" w:hAnsi="仿宋" w:eastAsia="仿宋"/>
                <w:szCs w:val="21"/>
              </w:rPr>
            </w:pPr>
            <w:r>
              <w:rPr>
                <w:rFonts w:hint="eastAsia" w:ascii="仿宋" w:hAnsi="仿宋" w:eastAsia="仿宋"/>
                <w:szCs w:val="21"/>
              </w:rPr>
              <w:t>履约保证金不予退还的，将按照有关规定上缴国库。逾期退还履约保证金的，将依法承担法律责任，并赔偿供应商损失。</w:t>
            </w:r>
          </w:p>
          <w:p>
            <w:pPr>
              <w:spacing w:line="340" w:lineRule="exact"/>
              <w:ind w:right="105" w:rightChars="50"/>
              <w:rPr>
                <w:rFonts w:ascii="仿宋" w:hAnsi="仿宋" w:eastAsia="仿宋"/>
                <w:szCs w:val="21"/>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11</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vAlign w:val="center"/>
          </w:tcPr>
          <w:p>
            <w:pPr>
              <w:spacing w:line="340" w:lineRule="exact"/>
              <w:ind w:right="105" w:rightChars="50"/>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val="en-US" w:eastAsia="zh-CN"/>
              </w:rPr>
              <w:t>乔老师</w:t>
            </w:r>
          </w:p>
          <w:p>
            <w:pPr>
              <w:spacing w:line="340" w:lineRule="exact"/>
              <w:ind w:right="105" w:rightChars="50"/>
              <w:rPr>
                <w:rFonts w:hint="default"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13980648960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12</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vAlign w:val="center"/>
          </w:tcPr>
          <w:p>
            <w:pPr>
              <w:spacing w:line="340" w:lineRule="exact"/>
              <w:ind w:right="105" w:rightChars="50"/>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乔老师</w:t>
            </w:r>
          </w:p>
          <w:p>
            <w:pPr>
              <w:spacing w:line="340" w:lineRule="exact"/>
              <w:ind w:right="105" w:rightChars="50"/>
              <w:rPr>
                <w:rFonts w:ascii="仿宋" w:hAnsi="仿宋" w:eastAsia="仿宋"/>
                <w:szCs w:val="21"/>
              </w:rPr>
            </w:pPr>
            <w:r>
              <w:rPr>
                <w:rFonts w:hint="eastAsia" w:ascii="仿宋" w:hAnsi="仿宋" w:eastAsia="仿宋"/>
                <w:szCs w:val="21"/>
              </w:rPr>
              <w:t>联系电话：</w:t>
            </w:r>
            <w:r>
              <w:rPr>
                <w:rFonts w:hint="eastAsia" w:ascii="仿宋" w:hAnsi="仿宋" w:eastAsia="仿宋"/>
                <w:szCs w:val="21"/>
                <w:lang w:val="en-US" w:eastAsia="zh-CN"/>
              </w:rPr>
              <w:t>13980648960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13</w:t>
            </w:r>
          </w:p>
        </w:tc>
        <w:tc>
          <w:tcPr>
            <w:tcW w:w="2409" w:type="dxa"/>
            <w:vAlign w:val="center"/>
          </w:tcPr>
          <w:p>
            <w:pPr>
              <w:pStyle w:val="46"/>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spacing w:line="340" w:lineRule="exact"/>
              <w:ind w:right="105" w:rightChars="50"/>
              <w:rPr>
                <w:rFonts w:hint="eastAsia" w:ascii="仿宋" w:hAnsi="仿宋" w:eastAsia="仿宋" w:cs="Times New Roman"/>
                <w:szCs w:val="21"/>
                <w:lang w:eastAsia="zh-CN"/>
              </w:rPr>
            </w:pPr>
            <w:bookmarkStart w:id="28" w:name="PO_默认文件内容_16"/>
            <w:r>
              <w:rPr>
                <w:rFonts w:hint="eastAsia" w:ascii="仿宋" w:hAnsi="仿宋" w:eastAsia="仿宋" w:cs="Times New Roman"/>
                <w:szCs w:val="21"/>
              </w:rPr>
              <w:t>采购结果公告在四川政府采购网上发布后，</w:t>
            </w:r>
            <w:bookmarkEnd w:id="28"/>
            <w:r>
              <w:rPr>
                <w:rFonts w:hint="eastAsia" w:ascii="仿宋" w:hAnsi="仿宋" w:eastAsia="仿宋" w:cs="Times New Roman"/>
                <w:szCs w:val="21"/>
              </w:rPr>
              <w:t>请成交供应商凭有效身份证明证件到采购代理机构领取成交通知书</w:t>
            </w:r>
            <w:r>
              <w:rPr>
                <w:rFonts w:hint="eastAsia" w:ascii="仿宋" w:hAnsi="仿宋" w:eastAsia="仿宋" w:cs="Times New Roman"/>
                <w:szCs w:val="21"/>
                <w:lang w:eastAsia="zh-CN"/>
              </w:rPr>
              <w:t>。</w:t>
            </w:r>
          </w:p>
          <w:p>
            <w:pPr>
              <w:spacing w:line="340" w:lineRule="exact"/>
              <w:ind w:right="105" w:rightChars="50"/>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乔老师</w:t>
            </w:r>
          </w:p>
          <w:p>
            <w:pPr>
              <w:pStyle w:val="16"/>
              <w:rPr>
                <w:rFonts w:hint="default"/>
                <w:lang w:val="en-US" w:eastAsia="zh-CN"/>
              </w:rPr>
            </w:pPr>
            <w:r>
              <w:rPr>
                <w:rFonts w:hint="eastAsia" w:ascii="仿宋" w:hAnsi="仿宋" w:eastAsia="仿宋"/>
                <w:szCs w:val="21"/>
              </w:rPr>
              <w:t>联系电话：</w:t>
            </w:r>
            <w:r>
              <w:rPr>
                <w:rFonts w:hint="eastAsia" w:ascii="仿宋" w:hAnsi="仿宋" w:eastAsia="仿宋"/>
                <w:szCs w:val="21"/>
                <w:lang w:val="en-US" w:eastAsia="zh-CN"/>
              </w:rPr>
              <w:t>13980648960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14</w:t>
            </w:r>
          </w:p>
        </w:tc>
        <w:tc>
          <w:tcPr>
            <w:tcW w:w="2409" w:type="dxa"/>
            <w:vAlign w:val="center"/>
          </w:tcPr>
          <w:p>
            <w:pPr>
              <w:jc w:val="center"/>
              <w:rPr>
                <w:rFonts w:ascii="仿宋" w:hAnsi="仿宋" w:eastAsia="仿宋"/>
                <w:szCs w:val="21"/>
                <w:lang w:val="zh-CN"/>
              </w:rPr>
            </w:pPr>
            <w:r>
              <w:rPr>
                <w:rFonts w:hint="eastAsia" w:ascii="仿宋" w:hAnsi="仿宋" w:eastAsia="仿宋"/>
                <w:szCs w:val="21"/>
                <w:lang w:val="zh-CN"/>
              </w:rPr>
              <w:t>供应商询问</w:t>
            </w:r>
          </w:p>
        </w:tc>
        <w:tc>
          <w:tcPr>
            <w:tcW w:w="6084" w:type="dxa"/>
          </w:tcPr>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根据委托代理协议约定，供应商询问由采购代理机构负责答复。</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项目问题询问：</w:t>
            </w:r>
          </w:p>
          <w:p>
            <w:pPr>
              <w:spacing w:line="340" w:lineRule="exact"/>
              <w:ind w:right="105" w:rightChars="50"/>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乔老师</w:t>
            </w:r>
          </w:p>
          <w:p>
            <w:pPr>
              <w:spacing w:line="340" w:lineRule="exact"/>
              <w:ind w:right="105" w:rightChars="50"/>
              <w:rPr>
                <w:rFonts w:ascii="Segoe UI Symbol" w:hAnsi="Segoe UI Symbol" w:eastAsia="仿宋" w:cs="Segoe UI Symbol"/>
                <w:szCs w:val="21"/>
              </w:rPr>
            </w:pPr>
            <w:r>
              <w:rPr>
                <w:rFonts w:hint="eastAsia" w:ascii="仿宋" w:hAnsi="仿宋" w:eastAsia="仿宋"/>
                <w:szCs w:val="21"/>
              </w:rPr>
              <w:t>联系电话：</w:t>
            </w:r>
            <w:r>
              <w:rPr>
                <w:rFonts w:hint="eastAsia" w:ascii="仿宋" w:hAnsi="仿宋" w:eastAsia="仿宋"/>
                <w:szCs w:val="21"/>
                <w:lang w:val="en-US" w:eastAsia="zh-CN"/>
              </w:rPr>
              <w:t>13980648960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15</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vAlign w:val="center"/>
          </w:tcPr>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根据委托代理协议约定，供应商质疑由采购代理机构负责答复。</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联系方式：</w:t>
            </w:r>
            <w:r>
              <w:rPr>
                <w:rFonts w:hint="eastAsia" w:ascii="仿宋" w:hAnsi="仿宋" w:eastAsia="仿宋"/>
                <w:szCs w:val="21"/>
                <w:lang w:val="en-US" w:eastAsia="zh-CN"/>
              </w:rPr>
              <w:t>13980648960</w:t>
            </w:r>
            <w:r>
              <w:rPr>
                <w:rFonts w:hint="eastAsia" w:ascii="Segoe UI Symbol" w:hAnsi="Segoe UI Symbol" w:eastAsia="仿宋" w:cs="Segoe UI Symbol"/>
                <w:szCs w:val="21"/>
              </w:rPr>
              <w:t>。</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地址：</w:t>
            </w:r>
            <w:r>
              <w:rPr>
                <w:rFonts w:hint="eastAsia" w:ascii="Segoe UI Symbol" w:hAnsi="Segoe UI Symbol" w:eastAsia="仿宋" w:cs="Segoe UI Symbol"/>
                <w:szCs w:val="21"/>
                <w:lang w:eastAsia="zh-CN"/>
              </w:rPr>
              <w:t>成都市青羊区光华南三路20号</w:t>
            </w:r>
            <w:r>
              <w:rPr>
                <w:rFonts w:hint="eastAsia" w:ascii="Segoe UI Symbol" w:hAnsi="Segoe UI Symbol" w:eastAsia="仿宋" w:cs="Segoe UI Symbol"/>
                <w:szCs w:val="21"/>
              </w:rPr>
              <w:t>。</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16</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vAlign w:val="center"/>
          </w:tcPr>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投诉受理单位：本项目同级财政部门，即</w:t>
            </w:r>
            <w:bookmarkStart w:id="29" w:name="PO_监督管理办公室_1"/>
            <w:r>
              <w:rPr>
                <w:rFonts w:hint="eastAsia" w:ascii="Segoe UI Symbol" w:hAnsi="Segoe UI Symbol" w:eastAsia="仿宋" w:cs="Segoe UI Symbol"/>
                <w:szCs w:val="21"/>
                <w:lang w:val="en-US" w:eastAsia="zh-CN"/>
              </w:rPr>
              <w:t>锦江</w:t>
            </w:r>
            <w:r>
              <w:rPr>
                <w:rFonts w:hint="eastAsia" w:ascii="Segoe UI Symbol" w:hAnsi="Segoe UI Symbol" w:eastAsia="仿宋" w:cs="Segoe UI Symbol"/>
                <w:szCs w:val="21"/>
              </w:rPr>
              <w:t>区财政局</w:t>
            </w:r>
            <w:bookmarkEnd w:id="29"/>
            <w:r>
              <w:rPr>
                <w:rFonts w:hint="eastAsia" w:ascii="Segoe UI Symbol" w:hAnsi="Segoe UI Symbol" w:eastAsia="仿宋" w:cs="Segoe UI Symbol"/>
                <w:szCs w:val="21"/>
              </w:rPr>
              <w:t>。</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联系电话：028-86616092</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注：根据《中华人民共和国政府采购法实施条例》等规定，供应</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17</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spacing w:line="340" w:lineRule="exact"/>
              <w:ind w:right="105" w:rightChars="50"/>
              <w:rPr>
                <w:rFonts w:ascii="Segoe UI Symbol" w:hAnsi="Segoe UI Symbol" w:eastAsia="仿宋" w:cs="Segoe UI Symbol"/>
                <w:szCs w:val="21"/>
              </w:rPr>
            </w:pPr>
            <w:bookmarkStart w:id="30" w:name="PO_默认文件内容_18"/>
            <w:r>
              <w:rPr>
                <w:rFonts w:hint="eastAsia" w:ascii="Segoe UI Symbol" w:hAnsi="Segoe UI Symbol" w:eastAsia="仿宋" w:cs="Segoe UI Symbol"/>
                <w:szCs w:val="21"/>
              </w:rPr>
              <w:t>政府采购合同签订之日起2个工作日内，政府采购合同将在四川</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政府采购网公告；政府采购合同签订之日起七个工作日内，政府</w:t>
            </w:r>
          </w:p>
          <w:p>
            <w:pPr>
              <w:spacing w:line="340" w:lineRule="exact"/>
              <w:ind w:right="105" w:rightChars="50"/>
              <w:rPr>
                <w:rFonts w:ascii="Segoe UI Symbol" w:hAnsi="Segoe UI Symbol" w:eastAsia="仿宋" w:cs="Segoe UI Symbol"/>
                <w:szCs w:val="21"/>
              </w:rPr>
            </w:pPr>
            <w:r>
              <w:rPr>
                <w:rFonts w:hint="eastAsia" w:ascii="Segoe UI Symbol" w:hAnsi="Segoe UI Symbol" w:eastAsia="仿宋" w:cs="Segoe UI Symbol"/>
                <w:szCs w:val="21"/>
              </w:rPr>
              <w:t>采购合同将向采购项目同级财政部门备案。</w:t>
            </w:r>
            <w:bookmarkEnd w:id="3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18</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cs="Courier New"/>
                <w:kern w:val="2"/>
                <w:sz w:val="21"/>
                <w:szCs w:val="21"/>
                <w:lang w:val="zh-CN"/>
              </w:rPr>
              <w:t>成交服务费</w:t>
            </w:r>
          </w:p>
        </w:tc>
        <w:tc>
          <w:tcPr>
            <w:tcW w:w="6084" w:type="dxa"/>
            <w:vAlign w:val="center"/>
          </w:tcPr>
          <w:p>
            <w:pPr>
              <w:pStyle w:val="46"/>
              <w:rPr>
                <w:rFonts w:ascii="仿宋" w:hAnsi="仿宋" w:eastAsia="仿宋" w:cs="Courier New"/>
                <w:kern w:val="2"/>
                <w:sz w:val="21"/>
                <w:szCs w:val="21"/>
                <w:lang w:val="zh-CN"/>
              </w:rPr>
            </w:pPr>
            <w:r>
              <w:rPr>
                <w:rFonts w:hint="eastAsia" w:ascii="仿宋" w:hAnsi="仿宋" w:eastAsia="仿宋" w:cs="Courier New"/>
                <w:kern w:val="2"/>
                <w:sz w:val="21"/>
                <w:szCs w:val="21"/>
                <w:lang w:val="zh-CN"/>
              </w:rPr>
              <w:t>依照成本加合理利润的原则,</w:t>
            </w:r>
            <w:r>
              <w:rPr>
                <w:rFonts w:hint="eastAsia" w:ascii="仿宋" w:hAnsi="仿宋" w:eastAsia="仿宋" w:cs="Courier New"/>
                <w:kern w:val="2"/>
                <w:sz w:val="21"/>
                <w:szCs w:val="21"/>
                <w:lang w:val="en-US" w:eastAsia="zh-CN"/>
              </w:rPr>
              <w:t>本项目收取招标代理服务费7000元</w:t>
            </w:r>
            <w:r>
              <w:rPr>
                <w:rFonts w:hint="eastAsia" w:ascii="仿宋" w:hAnsi="仿宋" w:eastAsia="仿宋" w:cs="Courier New"/>
                <w:kern w:val="2"/>
                <w:sz w:val="21"/>
                <w:szCs w:val="21"/>
                <w:lang w:val="zh-CN"/>
              </w:rPr>
              <w:t xml:space="preserve">, </w:t>
            </w:r>
          </w:p>
          <w:p>
            <w:pPr>
              <w:pStyle w:val="46"/>
              <w:ind w:firstLine="420" w:firstLineChars="200"/>
              <w:rPr>
                <w:rFonts w:ascii="仿宋" w:hAnsi="仿宋" w:eastAsia="仿宋" w:cs="Courier New"/>
                <w:kern w:val="2"/>
                <w:sz w:val="21"/>
                <w:szCs w:val="21"/>
                <w:lang w:val="zh-CN"/>
              </w:rPr>
            </w:pPr>
            <w:r>
              <w:rPr>
                <w:rFonts w:hint="eastAsia" w:ascii="仿宋" w:hAnsi="仿宋" w:eastAsia="仿宋" w:cs="Courier New"/>
                <w:kern w:val="2"/>
                <w:sz w:val="21"/>
                <w:szCs w:val="21"/>
                <w:lang w:val="en-US" w:eastAsia="zh-CN"/>
              </w:rPr>
              <w:t>1</w:t>
            </w:r>
            <w:r>
              <w:rPr>
                <w:rFonts w:hint="eastAsia" w:ascii="仿宋" w:hAnsi="仿宋" w:eastAsia="仿宋" w:cs="Courier New"/>
                <w:kern w:val="2"/>
                <w:sz w:val="21"/>
                <w:szCs w:val="21"/>
                <w:lang w:val="zh-CN"/>
              </w:rPr>
              <w:t>、服务费收款单位:</w:t>
            </w:r>
            <w:r>
              <w:rPr>
                <w:rFonts w:hint="eastAsia"/>
              </w:rPr>
              <w:t xml:space="preserve"> </w:t>
            </w:r>
            <w:r>
              <w:rPr>
                <w:rFonts w:hint="eastAsia" w:ascii="仿宋" w:hAnsi="仿宋" w:eastAsia="仿宋" w:cs="Courier New"/>
                <w:kern w:val="2"/>
                <w:sz w:val="21"/>
                <w:szCs w:val="21"/>
                <w:lang w:val="zh-CN"/>
              </w:rPr>
              <w:t>四川共熠建设项目管理有限公司</w:t>
            </w:r>
          </w:p>
          <w:p>
            <w:pPr>
              <w:pStyle w:val="46"/>
              <w:ind w:firstLine="420"/>
              <w:rPr>
                <w:rFonts w:ascii="仿宋" w:hAnsi="仿宋" w:eastAsia="仿宋" w:cs="Courier New"/>
                <w:kern w:val="2"/>
                <w:sz w:val="21"/>
                <w:szCs w:val="21"/>
                <w:lang w:val="zh-CN"/>
              </w:rPr>
            </w:pPr>
            <w:r>
              <w:rPr>
                <w:rFonts w:hint="eastAsia" w:ascii="仿宋" w:hAnsi="仿宋" w:eastAsia="仿宋" w:cs="Courier New"/>
                <w:kern w:val="2"/>
                <w:sz w:val="21"/>
                <w:szCs w:val="21"/>
                <w:lang w:val="zh-CN"/>
              </w:rPr>
              <w:t>开户行:</w:t>
            </w:r>
            <w:r>
              <w:rPr>
                <w:rFonts w:hint="eastAsia"/>
              </w:rPr>
              <w:t xml:space="preserve"> </w:t>
            </w:r>
            <w:r>
              <w:rPr>
                <w:rFonts w:hint="eastAsia" w:ascii="仿宋" w:hAnsi="仿宋" w:eastAsia="仿宋" w:cs="Courier New"/>
                <w:kern w:val="2"/>
                <w:sz w:val="21"/>
                <w:szCs w:val="21"/>
                <w:lang w:val="zh-CN"/>
              </w:rPr>
              <w:t>中国工商银行股份有限公司成都贝森南路支行</w:t>
            </w:r>
          </w:p>
          <w:p>
            <w:pPr>
              <w:pStyle w:val="46"/>
              <w:ind w:firstLine="420"/>
              <w:rPr>
                <w:rFonts w:ascii="仿宋" w:hAnsi="仿宋" w:eastAsia="仿宋" w:cs="Courier New"/>
                <w:kern w:val="2"/>
                <w:sz w:val="21"/>
                <w:szCs w:val="21"/>
                <w:lang w:val="zh-CN"/>
              </w:rPr>
            </w:pPr>
            <w:r>
              <w:rPr>
                <w:rFonts w:hint="eastAsia" w:ascii="仿宋" w:hAnsi="仿宋" w:eastAsia="仿宋" w:cs="Courier New"/>
                <w:kern w:val="2"/>
                <w:sz w:val="21"/>
                <w:szCs w:val="21"/>
                <w:lang w:val="zh-CN"/>
              </w:rPr>
              <w:t>银行账号:</w:t>
            </w:r>
            <w:r>
              <w:t xml:space="preserve"> </w:t>
            </w:r>
            <w:r>
              <w:rPr>
                <w:rFonts w:hint="eastAsia" w:ascii="仿宋" w:hAnsi="仿宋" w:eastAsia="仿宋" w:cs="Courier New"/>
                <w:kern w:val="2"/>
                <w:sz w:val="21"/>
                <w:szCs w:val="21"/>
                <w:lang w:val="zh-CN"/>
              </w:rPr>
              <w:t>4402 0103 0910 0106 217</w:t>
            </w:r>
          </w:p>
          <w:p>
            <w:pPr>
              <w:pStyle w:val="46"/>
              <w:ind w:firstLine="420" w:firstLineChars="200"/>
              <w:rPr>
                <w:rFonts w:ascii="仿宋" w:hAnsi="仿宋" w:eastAsia="仿宋" w:cs="Courier New"/>
                <w:sz w:val="21"/>
                <w:szCs w:val="21"/>
              </w:rPr>
            </w:pPr>
            <w:r>
              <w:rPr>
                <w:rFonts w:hint="eastAsia" w:ascii="仿宋" w:hAnsi="仿宋" w:eastAsia="仿宋" w:cs="Courier New"/>
                <w:kern w:val="2"/>
                <w:sz w:val="21"/>
                <w:szCs w:val="21"/>
                <w:lang w:val="en-US" w:eastAsia="zh-CN"/>
              </w:rPr>
              <w:t>2</w:t>
            </w:r>
            <w:r>
              <w:rPr>
                <w:rFonts w:hint="eastAsia" w:ascii="仿宋" w:hAnsi="仿宋" w:eastAsia="仿宋" w:cs="Courier New"/>
                <w:kern w:val="2"/>
                <w:sz w:val="21"/>
                <w:szCs w:val="21"/>
                <w:lang w:val="zh-CN"/>
              </w:rPr>
              <w:t>、</w:t>
            </w:r>
            <w:r>
              <w:rPr>
                <w:rFonts w:hint="eastAsia" w:ascii="仿宋" w:hAnsi="仿宋" w:eastAsia="仿宋" w:cs="Courier New"/>
                <w:kern w:val="2"/>
                <w:sz w:val="21"/>
                <w:szCs w:val="21"/>
                <w:lang w:val="en-US" w:eastAsia="zh-CN"/>
              </w:rPr>
              <w:t>招标代理服务费由成交人支付，</w:t>
            </w:r>
            <w:r>
              <w:rPr>
                <w:rFonts w:hint="eastAsia" w:ascii="仿宋" w:hAnsi="仿宋" w:eastAsia="仿宋" w:cs="Courier New"/>
                <w:kern w:val="2"/>
                <w:sz w:val="21"/>
                <w:szCs w:val="21"/>
                <w:lang w:val="zh-CN"/>
              </w:rPr>
              <w:t>成交人在领取成交通知书前向采购代理机构交纳</w:t>
            </w:r>
            <w:r>
              <w:rPr>
                <w:rFonts w:hint="eastAsia" w:ascii="仿宋" w:hAnsi="仿宋" w:eastAsia="仿宋" w:cs="Courier New"/>
                <w:kern w:val="2"/>
                <w:sz w:val="21"/>
                <w:szCs w:val="21"/>
                <w:lang w:val="en-US" w:eastAsia="zh-CN"/>
              </w:rPr>
              <w:t>招标代理服务费</w:t>
            </w:r>
            <w:r>
              <w:rPr>
                <w:rFonts w:hint="eastAsia" w:ascii="仿宋" w:hAnsi="仿宋" w:eastAsia="仿宋" w:cs="Courier New"/>
                <w:kern w:val="2"/>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19</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spacing w:line="340" w:lineRule="exact"/>
              <w:ind w:right="105" w:rightChars="50"/>
              <w:rPr>
                <w:rFonts w:ascii="仿宋" w:hAnsi="仿宋" w:eastAsia="仿宋" w:cs="Courier New"/>
                <w:szCs w:val="21"/>
                <w:lang w:val="zh-CN"/>
              </w:rPr>
            </w:pPr>
            <w:r>
              <w:rPr>
                <w:rFonts w:hint="eastAsia" w:ascii="Segoe UI Symbol" w:hAnsi="Segoe UI Symbol" w:eastAsia="仿宋" w:cs="Segoe UI Symbol"/>
                <w:szCs w:val="21"/>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20</w:t>
            </w:r>
          </w:p>
        </w:tc>
        <w:tc>
          <w:tcPr>
            <w:tcW w:w="2409" w:type="dxa"/>
            <w:vAlign w:val="center"/>
          </w:tcPr>
          <w:p>
            <w:pPr>
              <w:pStyle w:val="46"/>
              <w:ind w:left="96"/>
              <w:jc w:val="center"/>
              <w:rPr>
                <w:rFonts w:ascii="仿宋" w:hAnsi="仿宋" w:eastAsia="仿宋" w:cs="Courier New"/>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084" w:type="dxa"/>
            <w:vAlign w:val="center"/>
          </w:tcPr>
          <w:p>
            <w:pPr>
              <w:pStyle w:val="46"/>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6"/>
              <w:jc w:val="both"/>
              <w:rPr>
                <w:rFonts w:ascii="仿宋" w:hAnsi="仿宋" w:eastAsia="仿宋" w:cs="Courier New"/>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pStyle w:val="4"/>
        <w:keepNext w:val="0"/>
        <w:keepLines w:val="0"/>
        <w:spacing w:before="0" w:after="0" w:line="400" w:lineRule="exact"/>
        <w:jc w:val="center"/>
        <w:rPr>
          <w:rFonts w:ascii="仿宋" w:hAnsi="仿宋" w:eastAsia="仿宋"/>
          <w:b w:val="0"/>
          <w:bCs w:val="0"/>
        </w:rPr>
      </w:pPr>
    </w:p>
    <w:p/>
    <w:p/>
    <w:p/>
    <w:p/>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二、总  则</w:t>
      </w:r>
    </w:p>
    <w:p>
      <w:pPr>
        <w:pStyle w:val="5"/>
        <w:keepNext w:val="0"/>
        <w:keepLines w:val="0"/>
        <w:spacing w:before="0" w:after="0" w:line="400" w:lineRule="exact"/>
        <w:ind w:firstLine="480" w:firstLineChars="200"/>
        <w:rPr>
          <w:rFonts w:ascii="仿宋" w:hAnsi="仿宋" w:eastAsia="仿宋"/>
          <w:b w:val="0"/>
          <w:sz w:val="24"/>
        </w:rPr>
      </w:pPr>
      <w:bookmarkStart w:id="31" w:name="_Toc183582205"/>
      <w:bookmarkStart w:id="32" w:name="_Toc183682342"/>
      <w:bookmarkStart w:id="33" w:name="_Toc217446034"/>
    </w:p>
    <w:p>
      <w:pPr>
        <w:pStyle w:val="5"/>
        <w:keepNext w:val="0"/>
        <w:keepLines w:val="0"/>
        <w:spacing w:before="0" w:after="0" w:line="400" w:lineRule="exact"/>
        <w:ind w:firstLine="482" w:firstLineChars="200"/>
        <w:rPr>
          <w:rFonts w:ascii="仿宋" w:hAnsi="仿宋" w:eastAsia="仿宋"/>
          <w:sz w:val="24"/>
        </w:rPr>
      </w:pPr>
      <w:bookmarkStart w:id="34" w:name="PO_默认文件内容_20"/>
      <w:r>
        <w:rPr>
          <w:rFonts w:hint="eastAsia" w:ascii="仿宋" w:hAnsi="仿宋" w:eastAsia="仿宋"/>
          <w:sz w:val="24"/>
        </w:rPr>
        <w:t>1</w:t>
      </w:r>
      <w:r>
        <w:rPr>
          <w:rFonts w:ascii="仿宋" w:hAnsi="仿宋" w:eastAsia="仿宋"/>
          <w:sz w:val="24"/>
        </w:rPr>
        <w:t>.</w:t>
      </w:r>
      <w:bookmarkEnd w:id="31"/>
      <w:bookmarkEnd w:id="32"/>
      <w:r>
        <w:rPr>
          <w:rFonts w:hint="eastAsia" w:ascii="仿宋" w:hAnsi="仿宋" w:eastAsia="仿宋"/>
          <w:sz w:val="24"/>
          <w:szCs w:val="24"/>
        </w:rPr>
        <w:t>适用范围</w:t>
      </w:r>
      <w:bookmarkEnd w:id="33"/>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34"/>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35" w:name="_Toc217446035"/>
      <w:bookmarkStart w:id="36" w:name="_Toc183682343"/>
      <w:bookmarkStart w:id="37" w:name="_Toc183582206"/>
      <w:r>
        <w:rPr>
          <w:rFonts w:ascii="仿宋" w:hAnsi="仿宋" w:eastAsia="仿宋"/>
          <w:sz w:val="24"/>
        </w:rPr>
        <w:t>2.</w:t>
      </w:r>
      <w:bookmarkEnd w:id="35"/>
      <w:bookmarkEnd w:id="36"/>
      <w:bookmarkEnd w:id="37"/>
      <w:r>
        <w:rPr>
          <w:rFonts w:hint="eastAsia" w:ascii="仿宋" w:hAnsi="仿宋" w:eastAsia="仿宋"/>
          <w:sz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sz w:val="24"/>
          <w:u w:val="single"/>
          <w:lang w:eastAsia="zh-CN"/>
        </w:rPr>
        <w:t>成都市盐道街小学</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8"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sz w:val="24"/>
          <w:lang w:eastAsia="zh-CN"/>
        </w:rPr>
        <w:t>四川共熠建设项目管理有限公司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39" w:name="_Toc183582207"/>
      <w:bookmarkStart w:id="40" w:name="_Toc217390843"/>
      <w:bookmarkStart w:id="41" w:name="_Toc217446036"/>
      <w:bookmarkStart w:id="42" w:name="_Toc183682344"/>
      <w:r>
        <w:rPr>
          <w:rFonts w:ascii="仿宋" w:hAnsi="仿宋" w:eastAsia="仿宋"/>
          <w:sz w:val="24"/>
        </w:rPr>
        <w:t>3.</w:t>
      </w:r>
      <w:r>
        <w:rPr>
          <w:rFonts w:hint="eastAsia" w:ascii="仿宋" w:hAnsi="仿宋" w:eastAsia="仿宋"/>
          <w:sz w:val="24"/>
        </w:rPr>
        <w:t xml:space="preserve"> 合格</w:t>
      </w:r>
      <w:bookmarkEnd w:id="39"/>
      <w:bookmarkEnd w:id="40"/>
      <w:bookmarkEnd w:id="41"/>
      <w:bookmarkEnd w:id="42"/>
      <w:r>
        <w:rPr>
          <w:rFonts w:hint="eastAsia" w:ascii="仿宋" w:hAnsi="仿宋" w:eastAsia="仿宋"/>
          <w:sz w:val="24"/>
        </w:rPr>
        <w:t>供应商</w:t>
      </w:r>
    </w:p>
    <w:p>
      <w:pPr>
        <w:tabs>
          <w:tab w:val="left" w:pos="7665"/>
        </w:tabs>
        <w:spacing w:line="400" w:lineRule="exact"/>
        <w:rPr>
          <w:rFonts w:ascii="仿宋" w:hAnsi="仿宋" w:eastAsia="仿宋"/>
          <w:sz w:val="24"/>
        </w:rPr>
      </w:pPr>
      <w:r>
        <w:rPr>
          <w:rFonts w:hint="eastAsia" w:ascii="仿宋" w:hAnsi="仿宋" w:eastAsia="仿宋"/>
          <w:sz w:val="24"/>
        </w:rPr>
        <w:t xml:space="preserve">    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sz w:val="24"/>
        </w:rPr>
        <w:t>3.3</w:t>
      </w:r>
      <w:r>
        <w:rPr>
          <w:rFonts w:hint="eastAsia" w:ascii="仿宋" w:hAnsi="仿宋" w:eastAsia="仿宋"/>
          <w:spacing w:val="-4"/>
          <w:sz w:val="24"/>
        </w:rPr>
        <w:t>按照规定购买了采购文件</w:t>
      </w:r>
      <w:r>
        <w:rPr>
          <w:rFonts w:hint="eastAsia" w:ascii="仿宋" w:hAnsi="仿宋" w:eastAsia="仿宋"/>
          <w:b/>
          <w:spacing w:val="-4"/>
          <w:sz w:val="24"/>
        </w:rPr>
        <w:t>（实质性</w:t>
      </w:r>
      <w:r>
        <w:rPr>
          <w:rFonts w:ascii="仿宋" w:hAnsi="仿宋" w:eastAsia="仿宋"/>
          <w:b/>
          <w:spacing w:val="-4"/>
          <w:sz w:val="24"/>
        </w:rPr>
        <w:t>要求</w:t>
      </w:r>
      <w:r>
        <w:rPr>
          <w:rFonts w:hint="eastAsia" w:ascii="仿宋" w:hAnsi="仿宋" w:eastAsia="仿宋"/>
          <w:b/>
          <w:spacing w:val="-4"/>
          <w:sz w:val="24"/>
        </w:rPr>
        <w:t>）</w:t>
      </w:r>
    </w:p>
    <w:p>
      <w:pPr>
        <w:pStyle w:val="5"/>
        <w:keepNext w:val="0"/>
        <w:keepLines w:val="0"/>
        <w:spacing w:before="0" w:after="0" w:line="400" w:lineRule="exact"/>
        <w:ind w:firstLine="480" w:firstLineChars="200"/>
        <w:rPr>
          <w:rFonts w:ascii="仿宋" w:hAnsi="仿宋" w:eastAsia="仿宋"/>
          <w:b w:val="0"/>
          <w:sz w:val="24"/>
        </w:rPr>
      </w:pPr>
      <w:r>
        <w:rPr>
          <w:rFonts w:hint="eastAsia" w:ascii="仿宋" w:hAnsi="仿宋" w:eastAsia="仿宋" w:cs="宋体"/>
          <w:b w:val="0"/>
          <w:sz w:val="24"/>
        </w:rPr>
        <w:t>由代理机构提供供应商购买采购文件情况的相关证明材料，供应商不用提供证明材料。</w:t>
      </w:r>
    </w:p>
    <w:p>
      <w:pPr>
        <w:pStyle w:val="5"/>
        <w:keepNext w:val="0"/>
        <w:keepLines w:val="0"/>
        <w:spacing w:before="0" w:after="0" w:line="400" w:lineRule="exact"/>
        <w:ind w:firstLine="482" w:firstLineChars="200"/>
        <w:rPr>
          <w:rFonts w:ascii="仿宋" w:hAnsi="仿宋" w:eastAsia="仿宋"/>
          <w:sz w:val="24"/>
        </w:rPr>
      </w:pPr>
      <w:bookmarkStart w:id="43" w:name="_Toc217446037"/>
      <w:bookmarkStart w:id="44" w:name="_Toc183582208"/>
      <w:bookmarkStart w:id="45" w:name="_Toc183682345"/>
      <w:r>
        <w:rPr>
          <w:rFonts w:hint="eastAsia" w:ascii="仿宋" w:hAnsi="仿宋" w:eastAsia="仿宋"/>
          <w:sz w:val="24"/>
        </w:rPr>
        <w:t>4. 磋商费用</w:t>
      </w:r>
      <w:bookmarkEnd w:id="43"/>
      <w:bookmarkEnd w:id="44"/>
      <w:bookmarkEnd w:id="45"/>
      <w:r>
        <w:rPr>
          <w:rFonts w:hint="eastAsia" w:ascii="仿宋" w:hAnsi="仿宋" w:eastAsia="仿宋"/>
          <w:sz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pPr>
        <w:rPr>
          <w:rFonts w:ascii="仿宋" w:hAnsi="仿宋" w:eastAsia="仿宋"/>
        </w:rPr>
      </w:pPr>
    </w:p>
    <w:p>
      <w:pPr>
        <w:pStyle w:val="45"/>
        <w:spacing w:line="400" w:lineRule="exact"/>
        <w:ind w:left="1" w:firstLine="482" w:firstLineChars="200"/>
        <w:rPr>
          <w:rFonts w:ascii="仿宋" w:hAnsi="仿宋" w:eastAsia="仿宋"/>
          <w:b/>
          <w:sz w:val="24"/>
        </w:rPr>
      </w:pPr>
      <w:r>
        <w:rPr>
          <w:rFonts w:hint="eastAsia" w:ascii="仿宋" w:hAnsi="仿宋" w:eastAsia="仿宋"/>
          <w:b/>
          <w:sz w:val="24"/>
        </w:rPr>
        <w:t>5.充分、公平竞争保障措施（实质性要求）</w:t>
      </w:r>
    </w:p>
    <w:p>
      <w:pPr>
        <w:pStyle w:val="45"/>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5"/>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5"/>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00" w:lineRule="exact"/>
        <w:ind w:left="1" w:firstLine="480" w:firstLineChars="200"/>
        <w:rPr>
          <w:rFonts w:ascii="仿宋" w:hAnsi="仿宋" w:eastAsia="仿宋"/>
          <w:sz w:val="24"/>
        </w:rPr>
      </w:pPr>
      <w:r>
        <w:rPr>
          <w:rFonts w:hint="eastAsia" w:ascii="仿宋" w:hAnsi="仿宋" w:eastAsia="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45"/>
        <w:spacing w:line="400" w:lineRule="exact"/>
        <w:ind w:left="1" w:firstLine="480" w:firstLineChars="200"/>
        <w:rPr>
          <w:rFonts w:ascii="仿宋" w:hAnsi="仿宋" w:eastAsia="仿宋"/>
          <w:sz w:val="24"/>
        </w:rPr>
      </w:pPr>
      <w:r>
        <w:rPr>
          <w:rFonts w:hint="eastAsia" w:ascii="仿宋" w:hAnsi="仿宋" w:eastAsia="仿宋"/>
          <w:sz w:val="24"/>
        </w:rPr>
        <w:t>非单一产品采购项目中，多家供应商提供的部分或所有核心产品品牌相同的，视为提供相同品牌产品。本采购项目核心产品为：中餐燃气炒菜灶（单头单尾小炒炉）。</w:t>
      </w:r>
    </w:p>
    <w:p>
      <w:pPr>
        <w:pStyle w:val="45"/>
        <w:spacing w:line="400" w:lineRule="exact"/>
        <w:ind w:left="1" w:firstLine="480" w:firstLineChars="200"/>
        <w:rPr>
          <w:rFonts w:ascii="仿宋" w:hAnsi="仿宋" w:eastAsia="仿宋"/>
          <w:sz w:val="24"/>
        </w:rPr>
      </w:pPr>
      <w:r>
        <w:rPr>
          <w:rFonts w:hint="eastAsia" w:ascii="仿宋" w:hAnsi="仿宋" w:eastAsia="仿宋"/>
          <w:sz w:val="24"/>
        </w:rPr>
        <w:t>5.5供应商实际控制人或者中高级管理人员，同时是采购代理机构工作人员，不得参与本项目政府采购活动。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5.7供应商与采购代理机构存在关联关系，或者是采购代理机构的母公司或子公司，不得参加本项目政府采购活动。</w:t>
      </w:r>
    </w:p>
    <w:p>
      <w:pPr>
        <w:pStyle w:val="45"/>
        <w:spacing w:line="400" w:lineRule="exact"/>
        <w:ind w:left="1" w:firstLine="480" w:firstLineChars="200"/>
        <w:rPr>
          <w:rFonts w:ascii="仿宋" w:hAnsi="仿宋" w:eastAsia="仿宋"/>
          <w:sz w:val="24"/>
        </w:rPr>
      </w:pPr>
      <w:r>
        <w:rPr>
          <w:rFonts w:hint="eastAsia" w:ascii="仿宋" w:hAnsi="仿宋" w:eastAsia="仿宋"/>
          <w:sz w:val="24"/>
        </w:rPr>
        <w:t>5.8回避。政府采购活动中，采购人员及相关人员与供应商有下列利害关系之一的，应当回避：</w:t>
      </w:r>
    </w:p>
    <w:p>
      <w:pPr>
        <w:pStyle w:val="45"/>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5"/>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5"/>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5"/>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5"/>
        <w:spacing w:line="400" w:lineRule="exact"/>
        <w:ind w:left="1" w:firstLine="480" w:firstLineChars="200"/>
        <w:rPr>
          <w:rFonts w:ascii="仿宋" w:hAnsi="仿宋" w:eastAsia="仿宋"/>
          <w:sz w:val="24"/>
        </w:rPr>
      </w:pPr>
    </w:p>
    <w:p>
      <w:pPr>
        <w:pStyle w:val="45"/>
        <w:spacing w:line="400" w:lineRule="exact"/>
        <w:ind w:left="1" w:firstLine="482" w:firstLineChars="200"/>
        <w:rPr>
          <w:rFonts w:ascii="仿宋" w:hAnsi="仿宋" w:eastAsia="仿宋"/>
          <w:sz w:val="24"/>
        </w:rPr>
      </w:pPr>
      <w:r>
        <w:rPr>
          <w:rFonts w:hint="eastAsia" w:ascii="仿宋" w:hAnsi="仿宋" w:eastAsia="仿宋"/>
          <w:b/>
          <w:sz w:val="24"/>
        </w:rPr>
        <w:t>6.联合体竞争性磋商</w:t>
      </w:r>
      <w:r>
        <w:rPr>
          <w:rFonts w:hint="eastAsia" w:ascii="仿宋" w:hAnsi="仿宋" w:eastAsia="仿宋"/>
          <w:sz w:val="24"/>
        </w:rPr>
        <w:t>（仅适用于允许联合体参与的项目）</w:t>
      </w:r>
    </w:p>
    <w:p>
      <w:pPr>
        <w:pStyle w:val="45"/>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45"/>
        <w:spacing w:line="400" w:lineRule="exact"/>
        <w:ind w:left="1" w:firstLine="482" w:firstLineChars="200"/>
        <w:rPr>
          <w:rFonts w:ascii="仿宋" w:hAnsi="仿宋" w:eastAsia="仿宋"/>
          <w:b/>
          <w:sz w:val="24"/>
        </w:rPr>
      </w:pPr>
      <w:r>
        <w:rPr>
          <w:rFonts w:hint="eastAsia" w:ascii="仿宋" w:hAnsi="仿宋" w:eastAsia="仿宋"/>
          <w:b/>
          <w:sz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w:t>
      </w:r>
      <w:r>
        <w:rPr>
          <w:rFonts w:ascii="仿宋" w:hAnsi="仿宋" w:eastAsia="仿宋"/>
          <w:sz w:val="24"/>
        </w:rPr>
        <w:t>缴纳</w:t>
      </w:r>
      <w:r>
        <w:rPr>
          <w:rFonts w:hint="eastAsia" w:ascii="仿宋" w:hAnsi="仿宋" w:eastAsia="仿宋"/>
          <w:sz w:val="24"/>
        </w:rPr>
        <w:t>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spacing w:line="400" w:lineRule="exact"/>
        <w:ind w:firstLine="470" w:firstLineChars="196"/>
        <w:rPr>
          <w:rFonts w:ascii="仿宋" w:hAnsi="仿宋" w:eastAsia="仿宋"/>
          <w:sz w:val="24"/>
        </w:rPr>
      </w:pPr>
    </w:p>
    <w:p>
      <w:pPr>
        <w:spacing w:line="400" w:lineRule="exact"/>
        <w:ind w:firstLine="472" w:firstLineChars="196"/>
        <w:rPr>
          <w:rFonts w:ascii="仿宋" w:hAnsi="仿宋" w:eastAsia="仿宋"/>
          <w:b/>
          <w:sz w:val="24"/>
        </w:rPr>
      </w:pPr>
      <w:r>
        <w:rPr>
          <w:rFonts w:hint="eastAsia" w:ascii="仿宋" w:hAnsi="仿宋" w:eastAsia="仿宋"/>
          <w:b/>
          <w:sz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sz w:val="24"/>
        </w:rPr>
      </w:pPr>
    </w:p>
    <w:p>
      <w:pPr>
        <w:pStyle w:val="9"/>
        <w:spacing w:line="400" w:lineRule="exact"/>
        <w:ind w:firstLine="482" w:firstLineChars="200"/>
        <w:rPr>
          <w:rFonts w:ascii="仿宋" w:hAnsi="仿宋" w:eastAsia="仿宋"/>
          <w:b/>
          <w:bCs/>
          <w:sz w:val="24"/>
          <w:szCs w:val="24"/>
        </w:rPr>
      </w:pPr>
      <w:r>
        <w:rPr>
          <w:rFonts w:hint="eastAsia" w:ascii="仿宋" w:hAnsi="仿宋" w:eastAsia="仿宋"/>
          <w:b/>
          <w:sz w:val="24"/>
        </w:rPr>
        <w:t>9.</w:t>
      </w:r>
      <w:r>
        <w:rPr>
          <w:rFonts w:hint="eastAsia" w:ascii="仿宋" w:hAnsi="仿宋" w:eastAsia="仿宋"/>
          <w:b/>
          <w:bCs/>
          <w:sz w:val="24"/>
          <w:szCs w:val="24"/>
        </w:rPr>
        <w:t>知识产权（实质性要求）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bookmarkEnd w:id="38"/>
    <w:p>
      <w:pPr>
        <w:pStyle w:val="4"/>
        <w:keepNext w:val="0"/>
        <w:keepLines w:val="0"/>
        <w:spacing w:before="0" w:after="0" w:line="400" w:lineRule="exact"/>
        <w:jc w:val="center"/>
        <w:rPr>
          <w:rFonts w:ascii="仿宋" w:hAnsi="仿宋" w:eastAsia="仿宋"/>
          <w:b w:val="0"/>
          <w:bCs w:val="0"/>
        </w:rPr>
      </w:pPr>
      <w:bookmarkStart w:id="46" w:name="_Toc183682346"/>
      <w:bookmarkStart w:id="47" w:name="_Toc77400779"/>
      <w:bookmarkStart w:id="48" w:name="_Toc217446038"/>
      <w:bookmarkStart w:id="49" w:name="_Toc183582209"/>
      <w:bookmarkStart w:id="50" w:name="_Toc89075875"/>
    </w:p>
    <w:p>
      <w:pPr>
        <w:pStyle w:val="4"/>
        <w:keepNext w:val="0"/>
        <w:keepLines w:val="0"/>
        <w:spacing w:before="0" w:after="0" w:line="400" w:lineRule="exact"/>
        <w:jc w:val="center"/>
        <w:rPr>
          <w:rFonts w:ascii="仿宋" w:hAnsi="仿宋" w:eastAsia="仿宋"/>
          <w:b w:val="0"/>
          <w:bCs w:val="0"/>
        </w:rPr>
      </w:pPr>
      <w:bookmarkStart w:id="51" w:name="PO_默认文件内容_24"/>
      <w:r>
        <w:rPr>
          <w:rFonts w:hint="eastAsia" w:ascii="仿宋" w:hAnsi="仿宋" w:eastAsia="仿宋"/>
          <w:b w:val="0"/>
          <w:bCs w:val="0"/>
        </w:rPr>
        <w:t>三、磋商文件</w:t>
      </w:r>
      <w:bookmarkEnd w:id="46"/>
      <w:bookmarkEnd w:id="47"/>
      <w:bookmarkEnd w:id="48"/>
      <w:bookmarkEnd w:id="49"/>
      <w:bookmarkEnd w:id="50"/>
    </w:p>
    <w:p>
      <w:pPr>
        <w:pStyle w:val="5"/>
        <w:keepNext w:val="0"/>
        <w:keepLines w:val="0"/>
        <w:spacing w:before="0" w:after="0" w:line="400" w:lineRule="exact"/>
        <w:ind w:firstLine="482" w:firstLineChars="200"/>
        <w:rPr>
          <w:rFonts w:ascii="仿宋" w:hAnsi="仿宋" w:eastAsia="仿宋"/>
          <w:sz w:val="24"/>
        </w:rPr>
      </w:pPr>
      <w:bookmarkStart w:id="52" w:name="_Toc183582210"/>
      <w:bookmarkStart w:id="53" w:name="_Toc183682347"/>
      <w:bookmarkStart w:id="54" w:name="_Toc217446039"/>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10．磋商文件的构成</w:t>
      </w:r>
      <w:bookmarkEnd w:id="52"/>
      <w:bookmarkEnd w:id="53"/>
      <w:bookmarkEnd w:id="54"/>
      <w:r>
        <w:rPr>
          <w:rFonts w:hint="eastAsia" w:ascii="仿宋" w:hAnsi="仿宋" w:eastAsia="仿宋"/>
          <w:sz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0" w:firstLineChars="200"/>
        <w:rPr>
          <w:rFonts w:ascii="仿宋" w:hAnsi="仿宋" w:eastAsia="仿宋"/>
          <w:b w:val="0"/>
          <w:sz w:val="24"/>
        </w:rPr>
      </w:pPr>
      <w:bookmarkStart w:id="55" w:name="_Toc183682348"/>
      <w:bookmarkStart w:id="56" w:name="_Toc183582211"/>
      <w:bookmarkStart w:id="57" w:name="_Toc217446040"/>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11. 磋商文件的澄清</w:t>
      </w:r>
      <w:bookmarkEnd w:id="55"/>
      <w:bookmarkEnd w:id="56"/>
      <w:r>
        <w:rPr>
          <w:rFonts w:hint="eastAsia" w:ascii="仿宋" w:hAnsi="仿宋" w:eastAsia="仿宋"/>
          <w:sz w:val="24"/>
        </w:rPr>
        <w:t>和修改</w:t>
      </w:r>
      <w:bookmarkEnd w:id="57"/>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0" w:firstLineChars="200"/>
        <w:rPr>
          <w:rFonts w:ascii="仿宋" w:hAnsi="仿宋" w:eastAsia="仿宋"/>
          <w:b w:val="0"/>
          <w:sz w:val="24"/>
        </w:rPr>
      </w:pPr>
    </w:p>
    <w:p>
      <w:pPr>
        <w:pStyle w:val="5"/>
        <w:keepNext w:val="0"/>
        <w:keepLines w:val="0"/>
        <w:spacing w:before="0" w:after="0" w:line="400" w:lineRule="exact"/>
        <w:ind w:firstLine="482" w:firstLineChars="200"/>
        <w:rPr>
          <w:rFonts w:ascii="仿宋" w:hAnsi="仿宋" w:eastAsia="仿宋"/>
          <w:sz w:val="24"/>
        </w:rPr>
      </w:pPr>
      <w:bookmarkStart w:id="58" w:name="_Toc217446041"/>
      <w:bookmarkStart w:id="59" w:name="_Toc208848971"/>
      <w:r>
        <w:rPr>
          <w:rFonts w:hint="eastAsia" w:ascii="仿宋" w:hAnsi="仿宋" w:eastAsia="仿宋"/>
          <w:sz w:val="24"/>
        </w:rPr>
        <w:t>12. 答疑会和现场考察</w:t>
      </w:r>
      <w:bookmarkEnd w:id="58"/>
      <w:bookmarkEnd w:id="59"/>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sz w:val="24"/>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p>
    <w:p>
      <w:pPr>
        <w:pStyle w:val="4"/>
        <w:keepNext w:val="0"/>
        <w:keepLines w:val="0"/>
        <w:spacing w:before="0" w:after="0" w:line="400" w:lineRule="exact"/>
        <w:jc w:val="center"/>
        <w:rPr>
          <w:rFonts w:ascii="仿宋" w:hAnsi="仿宋" w:eastAsia="仿宋"/>
          <w:b w:val="0"/>
          <w:bCs w:val="0"/>
        </w:rPr>
      </w:pPr>
      <w:bookmarkStart w:id="60" w:name="_Toc183582214"/>
      <w:bookmarkStart w:id="61" w:name="_Toc89075876"/>
      <w:bookmarkStart w:id="62" w:name="_Toc77400780"/>
      <w:bookmarkStart w:id="63" w:name="_Toc183682351"/>
      <w:bookmarkStart w:id="64" w:name="_Toc217446042"/>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四、响应文件</w:t>
      </w:r>
      <w:bookmarkEnd w:id="60"/>
      <w:bookmarkEnd w:id="61"/>
      <w:bookmarkEnd w:id="62"/>
      <w:bookmarkEnd w:id="63"/>
      <w:bookmarkEnd w:id="64"/>
    </w:p>
    <w:p>
      <w:pPr>
        <w:rPr>
          <w:rFonts w:ascii="仿宋" w:hAnsi="仿宋" w:eastAsia="仿宋"/>
        </w:rPr>
      </w:pPr>
    </w:p>
    <w:p>
      <w:pPr>
        <w:pStyle w:val="5"/>
        <w:keepNext w:val="0"/>
        <w:keepLines w:val="0"/>
        <w:spacing w:before="0" w:after="0" w:line="400" w:lineRule="exact"/>
        <w:ind w:firstLine="482" w:firstLineChars="200"/>
        <w:rPr>
          <w:rFonts w:ascii="仿宋" w:hAnsi="仿宋" w:eastAsia="仿宋"/>
          <w:sz w:val="24"/>
        </w:rPr>
      </w:pPr>
      <w:bookmarkStart w:id="65" w:name="_Toc183682352"/>
      <w:bookmarkStart w:id="66" w:name="_Toc217446043"/>
      <w:bookmarkStart w:id="67" w:name="_Toc183582215"/>
      <w:r>
        <w:rPr>
          <w:rFonts w:hint="eastAsia" w:ascii="仿宋" w:hAnsi="仿宋" w:eastAsia="仿宋"/>
          <w:sz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5"/>
        <w:keepNext w:val="0"/>
        <w:keepLines w:val="0"/>
        <w:spacing w:before="0" w:after="0" w:line="400" w:lineRule="exact"/>
        <w:ind w:firstLine="480" w:firstLineChars="200"/>
        <w:rPr>
          <w:rFonts w:ascii="仿宋" w:hAnsi="仿宋" w:eastAsia="仿宋"/>
          <w:b w:val="0"/>
          <w:sz w:val="24"/>
        </w:rPr>
      </w:pPr>
    </w:p>
    <w:p>
      <w:pPr>
        <w:pStyle w:val="5"/>
        <w:keepNext w:val="0"/>
        <w:keepLines w:val="0"/>
        <w:spacing w:before="0" w:after="0" w:line="400" w:lineRule="exact"/>
        <w:ind w:firstLine="482" w:firstLineChars="200"/>
        <w:rPr>
          <w:rFonts w:ascii="仿宋" w:hAnsi="仿宋" w:eastAsia="仿宋"/>
          <w:bCs w:val="0"/>
          <w:sz w:val="24"/>
        </w:rPr>
      </w:pPr>
      <w:r>
        <w:rPr>
          <w:rFonts w:hint="eastAsia" w:ascii="仿宋" w:hAnsi="仿宋" w:eastAsia="仿宋"/>
          <w:bCs w:val="0"/>
          <w:sz w:val="24"/>
        </w:rPr>
        <w:t>14.响应文件的语言</w:t>
      </w:r>
      <w:bookmarkEnd w:id="65"/>
      <w:bookmarkEnd w:id="66"/>
      <w:bookmarkEnd w:id="67"/>
      <w:r>
        <w:rPr>
          <w:rFonts w:hint="eastAsia" w:ascii="仿宋" w:hAnsi="仿宋" w:eastAsia="仿宋"/>
          <w:bCs w:val="0"/>
          <w:sz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5"/>
        <w:keepNext w:val="0"/>
        <w:keepLines w:val="0"/>
        <w:spacing w:before="0" w:after="0" w:line="400" w:lineRule="exact"/>
        <w:ind w:firstLine="482" w:firstLineChars="200"/>
        <w:rPr>
          <w:rFonts w:ascii="仿宋" w:hAnsi="仿宋" w:eastAsia="仿宋"/>
          <w:sz w:val="24"/>
        </w:rPr>
      </w:pPr>
      <w:bookmarkStart w:id="68" w:name="_Toc183582216"/>
      <w:bookmarkStart w:id="69" w:name="_Toc217446044"/>
      <w:bookmarkStart w:id="70" w:name="_Toc183682353"/>
      <w:r>
        <w:rPr>
          <w:rFonts w:hint="eastAsia" w:ascii="仿宋" w:hAnsi="仿宋" w:eastAsia="仿宋"/>
          <w:sz w:val="24"/>
        </w:rPr>
        <w:t>15．计量单位</w:t>
      </w:r>
      <w:bookmarkEnd w:id="68"/>
      <w:bookmarkEnd w:id="69"/>
      <w:bookmarkEnd w:id="70"/>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pPr>
        <w:spacing w:line="400" w:lineRule="exact"/>
        <w:ind w:firstLine="468" w:firstLineChars="195"/>
        <w:rPr>
          <w:rFonts w:ascii="仿宋" w:hAnsi="仿宋" w:eastAsia="仿宋"/>
          <w:bCs/>
          <w:sz w:val="24"/>
        </w:rPr>
      </w:pPr>
      <w:bookmarkStart w:id="71" w:name="_Toc217446045"/>
    </w:p>
    <w:p>
      <w:pPr>
        <w:spacing w:line="400" w:lineRule="exact"/>
        <w:ind w:firstLine="470" w:firstLineChars="195"/>
        <w:rPr>
          <w:rFonts w:ascii="仿宋" w:hAnsi="仿宋" w:eastAsia="仿宋"/>
          <w:b/>
          <w:bCs/>
          <w:sz w:val="24"/>
        </w:rPr>
      </w:pPr>
      <w:r>
        <w:rPr>
          <w:rFonts w:hint="eastAsia" w:ascii="仿宋" w:hAnsi="仿宋" w:eastAsia="仿宋"/>
          <w:b/>
          <w:bCs/>
          <w:sz w:val="24"/>
        </w:rPr>
        <w:t xml:space="preserve">16. </w:t>
      </w:r>
      <w:r>
        <w:rPr>
          <w:rFonts w:hint="eastAsia" w:ascii="仿宋" w:hAnsi="仿宋" w:eastAsia="仿宋"/>
          <w:b/>
          <w:sz w:val="24"/>
        </w:rPr>
        <w:t>报价</w:t>
      </w:r>
    </w:p>
    <w:p>
      <w:pPr>
        <w:spacing w:line="400" w:lineRule="exact"/>
        <w:ind w:firstLine="468" w:firstLineChars="195"/>
        <w:rPr>
          <w:rFonts w:ascii="仿宋" w:hAnsi="仿宋" w:eastAsia="仿宋"/>
          <w:bCs/>
          <w:sz w:val="24"/>
        </w:rPr>
      </w:pPr>
      <w:r>
        <w:rPr>
          <w:rFonts w:hint="eastAsia" w:ascii="仿宋" w:hAnsi="仿宋" w:eastAsia="仿宋"/>
          <w:bCs/>
          <w:sz w:val="24"/>
        </w:rPr>
        <w:t>16.1本次磋商项目的</w:t>
      </w:r>
      <w:r>
        <w:rPr>
          <w:rFonts w:hint="eastAsia" w:ascii="仿宋" w:hAnsi="仿宋" w:eastAsia="仿宋"/>
          <w:sz w:val="24"/>
        </w:rPr>
        <w:t>报价货币为</w:t>
      </w:r>
      <w:r>
        <w:rPr>
          <w:rFonts w:hint="eastAsia" w:ascii="仿宋" w:hAnsi="仿宋" w:eastAsia="仿宋"/>
          <w:bCs/>
          <w:sz w:val="24"/>
        </w:rPr>
        <w:t>人民币，报价以磋商文件规定为准。（实质性要求）</w:t>
      </w:r>
    </w:p>
    <w:p>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要求参考附件三、四，</w:t>
      </w:r>
      <w:r>
        <w:rPr>
          <w:rFonts w:hint="eastAsia" w:ascii="仿宋" w:hAnsi="仿宋" w:eastAsia="仿宋"/>
          <w:sz w:val="24"/>
        </w:rPr>
        <w:t>报价格式</w:t>
      </w:r>
      <w:r>
        <w:rPr>
          <w:rFonts w:ascii="仿宋" w:hAnsi="仿宋" w:eastAsia="仿宋"/>
          <w:sz w:val="24"/>
        </w:rPr>
        <w:t>以现场提供为准。</w:t>
      </w:r>
    </w:p>
    <w:bookmarkEnd w:id="71"/>
    <w:p>
      <w:pPr>
        <w:spacing w:line="400" w:lineRule="exact"/>
        <w:ind w:left="2" w:leftChars="1" w:firstLine="480" w:firstLineChars="200"/>
        <w:rPr>
          <w:rFonts w:ascii="仿宋" w:hAnsi="仿宋" w:eastAsia="仿宋"/>
          <w:bCs/>
          <w:sz w:val="24"/>
        </w:rPr>
      </w:pPr>
      <w:r>
        <w:rPr>
          <w:rFonts w:hint="eastAsia" w:ascii="仿宋" w:hAnsi="仿宋" w:eastAsia="仿宋"/>
          <w:bCs/>
          <w:sz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p>
    <w:p>
      <w:pPr>
        <w:spacing w:line="400" w:lineRule="exact"/>
        <w:ind w:firstLine="470" w:firstLineChars="196"/>
        <w:rPr>
          <w:rFonts w:ascii="仿宋" w:hAnsi="仿宋" w:eastAsia="仿宋"/>
          <w:sz w:val="24"/>
        </w:rPr>
      </w:pPr>
      <w:bookmarkStart w:id="72" w:name="_Toc183682361"/>
      <w:bookmarkStart w:id="73" w:name="_Toc183582224"/>
      <w:bookmarkStart w:id="74" w:name="_Toc217446051"/>
    </w:p>
    <w:p>
      <w:pPr>
        <w:spacing w:line="400" w:lineRule="exact"/>
        <w:ind w:firstLine="472" w:firstLineChars="196"/>
        <w:rPr>
          <w:rFonts w:ascii="仿宋" w:hAnsi="仿宋" w:eastAsia="仿宋"/>
          <w:b/>
          <w:sz w:val="24"/>
        </w:rPr>
      </w:pPr>
      <w:r>
        <w:rPr>
          <w:rFonts w:hint="eastAsia" w:ascii="仿宋" w:hAnsi="仿宋" w:eastAsia="仿宋"/>
          <w:b/>
          <w:sz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72"/>
    <w:bookmarkEnd w:id="73"/>
    <w:bookmarkEnd w:id="74"/>
    <w:p>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响应文件正本和副本均需在规定签章处签字和盖章。响应文件副本可采用正本的复印件，提供电子文档1份采用U盘制作。</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18.5（实质性要求）响应文件应由供应商法定代表人/主要负责人/本人或其授权代表在响应文件要求的地方签字（注：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18.8（实质性要求）响应文件应按磋商文件的要求签署、盖章（第八章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p>
    <w:p>
      <w:pPr>
        <w:tabs>
          <w:tab w:val="left" w:pos="1080"/>
        </w:tabs>
        <w:spacing w:line="400" w:lineRule="exact"/>
        <w:ind w:firstLine="460" w:firstLineChars="192"/>
        <w:rPr>
          <w:rFonts w:ascii="仿宋" w:hAnsi="仿宋" w:eastAsia="仿宋"/>
          <w:sz w:val="24"/>
        </w:rPr>
      </w:pPr>
      <w:bookmarkStart w:id="75" w:name="_Toc77400781"/>
      <w:bookmarkStart w:id="76" w:name="_Toc183582226"/>
      <w:bookmarkStart w:id="77" w:name="_Toc183682363"/>
      <w:bookmarkStart w:id="78" w:name="_Toc89075877"/>
      <w:bookmarkStart w:id="79" w:name="_Toc217446053"/>
    </w:p>
    <w:p>
      <w:pPr>
        <w:tabs>
          <w:tab w:val="left" w:pos="1080"/>
        </w:tabs>
        <w:spacing w:line="400" w:lineRule="exact"/>
        <w:ind w:firstLine="463" w:firstLineChars="192"/>
        <w:rPr>
          <w:rFonts w:ascii="仿宋" w:hAnsi="仿宋" w:eastAsia="仿宋"/>
          <w:sz w:val="24"/>
        </w:rPr>
      </w:pPr>
      <w:r>
        <w:rPr>
          <w:rFonts w:hint="eastAsia" w:ascii="仿宋" w:hAnsi="仿宋" w:eastAsia="仿宋"/>
          <w:b/>
          <w:sz w:val="24"/>
        </w:rPr>
        <w:t>19.响应文件的密封和标注</w:t>
      </w:r>
      <w:r>
        <w:rPr>
          <w:rFonts w:hint="eastAsia" w:ascii="仿宋" w:hAnsi="仿宋" w:eastAsia="仿宋"/>
          <w:sz w:val="24"/>
        </w:rPr>
        <w:t>（不属于本项目磋商小组评审范畴，由采购人、采购代理机构在接收响应文件时及时处理）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仿宋" w:hAnsi="仿宋" w:eastAsia="仿宋"/>
          <w:sz w:val="24"/>
        </w:rPr>
      </w:pP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p>
      <w:pPr>
        <w:tabs>
          <w:tab w:val="left" w:pos="1080"/>
        </w:tabs>
        <w:spacing w:line="400" w:lineRule="exact"/>
        <w:ind w:firstLine="460" w:firstLineChars="192"/>
        <w:rPr>
          <w:rFonts w:ascii="仿宋" w:hAnsi="仿宋" w:eastAsia="仿宋"/>
          <w:sz w:val="24"/>
        </w:rPr>
      </w:pPr>
    </w:p>
    <w:bookmarkEnd w:id="75"/>
    <w:bookmarkEnd w:id="76"/>
    <w:bookmarkEnd w:id="77"/>
    <w:bookmarkEnd w:id="78"/>
    <w:bookmarkEnd w:id="79"/>
    <w:p>
      <w:pPr>
        <w:tabs>
          <w:tab w:val="left" w:pos="1080"/>
        </w:tabs>
        <w:spacing w:line="400" w:lineRule="exact"/>
        <w:ind w:firstLine="463" w:firstLineChars="192"/>
        <w:rPr>
          <w:rFonts w:ascii="仿宋" w:hAnsi="仿宋" w:eastAsia="仿宋"/>
          <w:sz w:val="24"/>
        </w:rPr>
      </w:pPr>
      <w:bookmarkStart w:id="80" w:name="_Toc183682365"/>
      <w:bookmarkStart w:id="81" w:name="_Toc183582228"/>
      <w:bookmarkStart w:id="82" w:name="_Toc217446055"/>
      <w:r>
        <w:rPr>
          <w:rFonts w:hint="eastAsia" w:ascii="仿宋" w:hAnsi="仿宋" w:eastAsia="仿宋"/>
          <w:b/>
          <w:sz w:val="24"/>
        </w:rPr>
        <w:t>21.响应文件的修改和撤回</w:t>
      </w:r>
      <w:r>
        <w:rPr>
          <w:rFonts w:hint="eastAsia" w:ascii="仿宋" w:hAnsi="仿宋" w:eastAsia="仿宋"/>
          <w:sz w:val="24"/>
        </w:rPr>
        <w:t>（补充、修改响应文件的密封和标注按照本章“19.响应文件的密封和标注”规定处理）</w:t>
      </w:r>
    </w:p>
    <w:p>
      <w:pPr>
        <w:pStyle w:val="6"/>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3供应商不得在递交截止时间起至响应文件有效期期满前撤销其响应文件。否则其磋商保证金将按相关规定不予退还。</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80"/>
      <w:bookmarkEnd w:id="81"/>
      <w:bookmarkEnd w:id="82"/>
    </w:p>
    <w:p>
      <w:pPr>
        <w:pStyle w:val="4"/>
        <w:keepNext w:val="0"/>
        <w:keepLines w:val="0"/>
        <w:spacing w:before="0" w:after="0" w:line="400" w:lineRule="exact"/>
        <w:jc w:val="center"/>
        <w:rPr>
          <w:rFonts w:ascii="仿宋" w:hAnsi="仿宋" w:eastAsia="仿宋"/>
          <w:b w:val="0"/>
          <w:sz w:val="24"/>
        </w:rPr>
      </w:pPr>
    </w:p>
    <w:p>
      <w:pPr>
        <w:pStyle w:val="4"/>
        <w:keepNext w:val="0"/>
        <w:keepLines w:val="0"/>
        <w:spacing w:line="400" w:lineRule="exact"/>
        <w:jc w:val="center"/>
        <w:rPr>
          <w:rFonts w:ascii="仿宋" w:hAnsi="仿宋" w:eastAsia="仿宋"/>
          <w:b w:val="0"/>
        </w:rPr>
      </w:pPr>
      <w:bookmarkStart w:id="83" w:name="_Toc89075878"/>
      <w:bookmarkStart w:id="84" w:name="_Toc217446056"/>
      <w:bookmarkStart w:id="85" w:name="_Toc183682368"/>
      <w:bookmarkStart w:id="86" w:name="_Toc183582231"/>
      <w:bookmarkStart w:id="87" w:name="_Toc77400782"/>
      <w:r>
        <w:rPr>
          <w:rFonts w:hint="eastAsia" w:ascii="仿宋" w:hAnsi="仿宋" w:eastAsia="仿宋"/>
          <w:b w:val="0"/>
        </w:rPr>
        <w:t>五、评审</w:t>
      </w:r>
    </w:p>
    <w:p>
      <w:pPr>
        <w:rPr>
          <w:rFonts w:ascii="仿宋" w:hAnsi="仿宋" w:eastAsia="仿宋"/>
        </w:rPr>
      </w:pPr>
    </w:p>
    <w:p>
      <w:pPr>
        <w:pStyle w:val="4"/>
        <w:keepNext w:val="0"/>
        <w:keepLines w:val="0"/>
        <w:spacing w:line="400" w:lineRule="exact"/>
        <w:ind w:firstLine="482" w:firstLineChars="200"/>
        <w:rPr>
          <w:rFonts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b w:val="0"/>
          <w:sz w:val="24"/>
          <w:szCs w:val="24"/>
        </w:rPr>
      </w:pPr>
    </w:p>
    <w:p>
      <w:pPr>
        <w:pStyle w:val="4"/>
        <w:keepNext w:val="0"/>
        <w:keepLines w:val="0"/>
        <w:spacing w:line="400" w:lineRule="exact"/>
        <w:jc w:val="center"/>
        <w:rPr>
          <w:rFonts w:ascii="仿宋" w:hAnsi="仿宋" w:eastAsia="仿宋"/>
          <w:b w:val="0"/>
        </w:rPr>
      </w:pPr>
      <w:r>
        <w:rPr>
          <w:rFonts w:hint="eastAsia" w:ascii="仿宋" w:hAnsi="仿宋" w:eastAsia="仿宋"/>
          <w:b w:val="0"/>
        </w:rPr>
        <w:t>六、成交事项</w:t>
      </w:r>
    </w:p>
    <w:p>
      <w:pPr>
        <w:rPr>
          <w:rFonts w:ascii="仿宋" w:hAnsi="仿宋" w:eastAsia="仿宋"/>
        </w:rPr>
      </w:pPr>
    </w:p>
    <w:p>
      <w:pPr>
        <w:pStyle w:val="4"/>
        <w:keepNext w:val="0"/>
        <w:keepLines w:val="0"/>
        <w:spacing w:after="0"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方式一：采购人将按磋商小组推荐的成交候选供应商顺序确定成交供应商。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方式二：采购人授权磋商小组根据综合评分排名直接确定成交供应商。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本项目采用方式一确定成交供应商。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（2）成交候选供应商因不可抗力，不能继续参加政府采购活动；</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（3）成交候选供应商无偿赠与或者低于成本价竞争；</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（4）成交候选供应商提供虚假材料；</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（5）成交候选供应商恶意串通。</w:t>
      </w:r>
    </w:p>
    <w:p>
      <w:pPr>
        <w:rPr>
          <w:rFonts w:ascii="仿宋" w:hAnsi="仿宋" w:eastAsia="仿宋"/>
        </w:rPr>
      </w:pPr>
    </w:p>
    <w:p>
      <w:pPr>
        <w:rPr>
          <w:rFonts w:ascii="仿宋" w:hAnsi="仿宋" w:eastAsia="仿宋"/>
        </w:rPr>
      </w:pPr>
    </w:p>
    <w:p>
      <w:pPr>
        <w:pStyle w:val="4"/>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.成交结果</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4</w:t>
      </w:r>
      <w:r>
        <w:rPr>
          <w:rFonts w:hint="eastAsia" w:ascii="仿宋" w:hAnsi="仿宋" w:eastAsia="仿宋"/>
          <w:b w:val="0"/>
          <w:sz w:val="24"/>
          <w:szCs w:val="24"/>
        </w:rPr>
        <w:t>.1采购人确定成交供应商后，将及时书面通知采购代理机构，发出成交通知书并发布成交结果公告。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ind w:firstLine="465"/>
        <w:rPr>
          <w:rFonts w:ascii="仿宋" w:hAnsi="仿宋" w:eastAsia="仿宋"/>
          <w:bCs/>
          <w:sz w:val="24"/>
        </w:rPr>
      </w:pPr>
    </w:p>
    <w:p>
      <w:pPr>
        <w:pStyle w:val="4"/>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.成交通知书</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.1成交通知书为签订政府采购合同的依据之一，是合同的有效组成部分。</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rPr>
      </w:pPr>
    </w:p>
    <w:p>
      <w:pPr>
        <w:pStyle w:val="4"/>
        <w:keepNext w:val="0"/>
        <w:keepLines w:val="0"/>
        <w:spacing w:line="400" w:lineRule="exact"/>
        <w:jc w:val="center"/>
        <w:rPr>
          <w:rFonts w:ascii="仿宋" w:hAnsi="仿宋" w:eastAsia="仿宋"/>
          <w:b w:val="0"/>
        </w:rPr>
      </w:pPr>
      <w:r>
        <w:rPr>
          <w:rFonts w:hint="eastAsia" w:ascii="仿宋" w:hAnsi="仿宋" w:eastAsia="仿宋"/>
          <w:b w:val="0"/>
        </w:rPr>
        <w:t>七、合同事项</w:t>
      </w:r>
    </w:p>
    <w:p>
      <w:pPr>
        <w:pStyle w:val="4"/>
        <w:keepNext w:val="0"/>
        <w:keepLines w:val="0"/>
        <w:spacing w:before="0" w:after="0" w:line="400" w:lineRule="exact"/>
        <w:ind w:firstLine="470" w:firstLineChars="196"/>
        <w:rPr>
          <w:rFonts w:ascii="仿宋" w:hAnsi="仿宋" w:eastAsia="仿宋"/>
          <w:b w:val="0"/>
          <w:sz w:val="24"/>
          <w:szCs w:val="24"/>
        </w:rPr>
      </w:pPr>
    </w:p>
    <w:p>
      <w:pPr>
        <w:pStyle w:val="4"/>
        <w:keepNext w:val="0"/>
        <w:keepLines w:val="0"/>
        <w:spacing w:before="0" w:after="0" w:line="400" w:lineRule="exact"/>
        <w:ind w:firstLine="472" w:firstLineChars="196"/>
        <w:rPr>
          <w:rFonts w:ascii="仿宋" w:hAnsi="仿宋" w:eastAsia="仿宋"/>
          <w:sz w:val="24"/>
          <w:szCs w:val="24"/>
        </w:rPr>
      </w:pPr>
      <w:bookmarkStart w:id="88" w:name="_Toc101250646"/>
      <w:bookmarkStart w:id="89" w:name="_Toc209847069"/>
      <w:bookmarkStart w:id="90" w:name="_Toc101338364"/>
      <w:bookmarkStart w:id="91" w:name="_Toc101174151"/>
      <w:bookmarkStart w:id="92" w:name="_Toc430773927"/>
      <w:r>
        <w:rPr>
          <w:rFonts w:hint="eastAsia" w:ascii="仿宋" w:hAnsi="仿宋" w:eastAsia="仿宋"/>
          <w:sz w:val="24"/>
          <w:szCs w:val="24"/>
        </w:rPr>
        <w:t>2</w:t>
      </w:r>
      <w:r>
        <w:rPr>
          <w:rFonts w:ascii="仿宋" w:hAnsi="仿宋" w:eastAsia="仿宋"/>
          <w:sz w:val="24"/>
          <w:szCs w:val="24"/>
        </w:rPr>
        <w:t>6</w:t>
      </w:r>
      <w:r>
        <w:rPr>
          <w:rFonts w:hint="eastAsia" w:ascii="仿宋" w:hAnsi="仿宋" w:eastAsia="仿宋"/>
          <w:sz w:val="24"/>
          <w:szCs w:val="24"/>
        </w:rPr>
        <w:t>.签订合同</w:t>
      </w:r>
      <w:bookmarkEnd w:id="88"/>
      <w:bookmarkEnd w:id="89"/>
      <w:bookmarkEnd w:id="90"/>
      <w:bookmarkEnd w:id="91"/>
      <w:bookmarkEnd w:id="92"/>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2" w:firstLineChars="200"/>
        <w:rPr>
          <w:rFonts w:ascii="仿宋" w:hAnsi="仿宋" w:eastAsia="仿宋"/>
          <w:b/>
          <w:sz w:val="24"/>
        </w:rPr>
      </w:pPr>
    </w:p>
    <w:p>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7</w:t>
      </w:r>
      <w:r>
        <w:rPr>
          <w:rFonts w:hint="eastAsia" w:ascii="仿宋" w:hAnsi="仿宋" w:eastAsia="仿宋"/>
          <w:b/>
          <w:sz w:val="24"/>
        </w:rPr>
        <w:t>.合同分包（实质性要求）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8</w:t>
      </w:r>
      <w:r>
        <w:rPr>
          <w:rFonts w:hint="eastAsia" w:ascii="仿宋" w:hAnsi="仿宋" w:eastAsia="仿宋"/>
          <w:b/>
          <w:sz w:val="24"/>
        </w:rPr>
        <w:t>.合同转包（实质性要求）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ascii="仿宋" w:hAnsi="仿宋" w:eastAsia="仿宋"/>
          <w:b/>
          <w:sz w:val="24"/>
        </w:rPr>
        <w:t>29</w:t>
      </w:r>
      <w:r>
        <w:rPr>
          <w:rFonts w:hint="eastAsia" w:ascii="仿宋" w:hAnsi="仿宋" w:eastAsia="仿宋"/>
          <w:b/>
          <w:sz w:val="24"/>
        </w:rPr>
        <w:t>.补充合同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0</w:t>
      </w:r>
      <w:r>
        <w:rPr>
          <w:rFonts w:hint="eastAsia" w:ascii="仿宋" w:hAnsi="仿宋" w:eastAsia="仿宋"/>
          <w:b/>
          <w:sz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1</w:t>
      </w:r>
      <w:r>
        <w:rPr>
          <w:rFonts w:hint="eastAsia" w:ascii="仿宋" w:hAnsi="仿宋" w:eastAsia="仿宋"/>
          <w:b/>
          <w:sz w:val="24"/>
        </w:rPr>
        <w:t>.合同公告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2</w:t>
      </w:r>
      <w:r>
        <w:rPr>
          <w:rFonts w:hint="eastAsia" w:ascii="仿宋" w:hAnsi="仿宋" w:eastAsia="仿宋"/>
          <w:b/>
          <w:sz w:val="24"/>
        </w:rPr>
        <w:t>.合同备案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4</w:t>
      </w:r>
      <w:r>
        <w:rPr>
          <w:rFonts w:hint="eastAsia" w:ascii="仿宋" w:hAnsi="仿宋" w:eastAsia="仿宋"/>
          <w:b/>
          <w:sz w:val="24"/>
        </w:rPr>
        <w:t>.验收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5</w:t>
      </w:r>
      <w:r>
        <w:rPr>
          <w:rFonts w:hint="eastAsia" w:ascii="仿宋" w:hAnsi="仿宋" w:eastAsia="仿宋"/>
          <w:b/>
          <w:sz w:val="24"/>
        </w:rPr>
        <w:t>.资金支付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51"/>
    </w:p>
    <w:p>
      <w:pPr>
        <w:pStyle w:val="4"/>
        <w:keepNext w:val="0"/>
        <w:keepLines w:val="0"/>
        <w:spacing w:before="0" w:after="0" w:line="400" w:lineRule="exact"/>
        <w:jc w:val="center"/>
        <w:rPr>
          <w:rFonts w:ascii="仿宋" w:hAnsi="仿宋" w:eastAsia="仿宋"/>
          <w:b w:val="0"/>
        </w:rPr>
      </w:pPr>
      <w:bookmarkStart w:id="93" w:name="PO_默认文件内容_25"/>
      <w:r>
        <w:rPr>
          <w:rFonts w:hint="eastAsia" w:ascii="仿宋" w:hAnsi="仿宋" w:eastAsia="仿宋"/>
          <w:b w:val="0"/>
        </w:rPr>
        <w:t>八、磋商纪律要求</w:t>
      </w:r>
    </w:p>
    <w:p>
      <w:pPr>
        <w:tabs>
          <w:tab w:val="left" w:pos="851"/>
        </w:tabs>
        <w:spacing w:line="360" w:lineRule="auto"/>
        <w:jc w:val="center"/>
        <w:rPr>
          <w:rFonts w:ascii="仿宋" w:hAnsi="仿宋" w:eastAsia="仿宋"/>
          <w:sz w:val="24"/>
        </w:rPr>
      </w:pPr>
    </w:p>
    <w:p>
      <w:pPr>
        <w:tabs>
          <w:tab w:val="left" w:pos="851"/>
        </w:tabs>
        <w:spacing w:line="360" w:lineRule="auto"/>
        <w:ind w:firstLine="482" w:firstLineChars="200"/>
        <w:rPr>
          <w:rFonts w:ascii="仿宋" w:hAnsi="仿宋" w:eastAsia="仿宋"/>
          <w:b/>
          <w:sz w:val="24"/>
        </w:rPr>
      </w:pPr>
      <w:r>
        <w:rPr>
          <w:rFonts w:ascii="仿宋" w:hAnsi="仿宋" w:eastAsia="仿宋"/>
          <w:b/>
          <w:sz w:val="24"/>
        </w:rPr>
        <w:t>36</w:t>
      </w:r>
      <w:r>
        <w:rPr>
          <w:rFonts w:hint="eastAsia" w:ascii="仿宋" w:hAnsi="仿宋" w:eastAsia="仿宋"/>
          <w:b/>
          <w:sz w:val="24"/>
        </w:rPr>
        <w:t>.供应商不得具有的情形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sz w:val="24"/>
        </w:rPr>
      </w:pPr>
    </w:p>
    <w:p>
      <w:pPr>
        <w:tabs>
          <w:tab w:val="left" w:pos="851"/>
        </w:tabs>
        <w:spacing w:line="360" w:lineRule="auto"/>
        <w:ind w:firstLine="480" w:firstLineChars="200"/>
        <w:rPr>
          <w:rFonts w:ascii="仿宋" w:hAnsi="仿宋" w:eastAsia="仿宋"/>
          <w:sz w:val="24"/>
        </w:rPr>
      </w:pPr>
    </w:p>
    <w:p>
      <w:pPr>
        <w:tabs>
          <w:tab w:val="left" w:pos="851"/>
        </w:tabs>
        <w:spacing w:line="360" w:lineRule="auto"/>
        <w:jc w:val="center"/>
        <w:rPr>
          <w:rFonts w:ascii="仿宋" w:hAnsi="仿宋" w:eastAsia="仿宋"/>
          <w:sz w:val="32"/>
          <w:szCs w:val="32"/>
        </w:rPr>
      </w:pPr>
      <w:r>
        <w:rPr>
          <w:rFonts w:hint="eastAsia" w:ascii="仿宋" w:hAnsi="仿宋" w:eastAsia="仿宋"/>
          <w:sz w:val="32"/>
          <w:szCs w:val="32"/>
        </w:rPr>
        <w:t>九、询问、质疑和投诉</w:t>
      </w:r>
    </w:p>
    <w:p>
      <w:pPr>
        <w:tabs>
          <w:tab w:val="left" w:pos="851"/>
        </w:tabs>
        <w:spacing w:line="360" w:lineRule="auto"/>
        <w:jc w:val="center"/>
        <w:rPr>
          <w:rFonts w:ascii="仿宋" w:hAnsi="仿宋" w:eastAsia="仿宋"/>
          <w:sz w:val="24"/>
        </w:rPr>
      </w:pP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p>
    <w:p>
      <w:pPr>
        <w:tabs>
          <w:tab w:val="left" w:pos="851"/>
        </w:tabs>
        <w:spacing w:line="360" w:lineRule="auto"/>
        <w:jc w:val="center"/>
        <w:rPr>
          <w:rFonts w:ascii="仿宋" w:hAnsi="仿宋" w:eastAsia="仿宋"/>
          <w:sz w:val="32"/>
          <w:szCs w:val="32"/>
        </w:rPr>
      </w:pPr>
      <w:r>
        <w:rPr>
          <w:rFonts w:hint="eastAsia" w:ascii="仿宋" w:hAnsi="仿宋" w:eastAsia="仿宋"/>
          <w:sz w:val="32"/>
          <w:szCs w:val="32"/>
        </w:rPr>
        <w:t>十、其  他</w:t>
      </w:r>
    </w:p>
    <w:p>
      <w:pPr>
        <w:tabs>
          <w:tab w:val="left" w:pos="851"/>
        </w:tabs>
        <w:spacing w:line="360" w:lineRule="auto"/>
        <w:jc w:val="center"/>
        <w:rPr>
          <w:rFonts w:ascii="仿宋" w:hAnsi="仿宋" w:eastAsia="仿宋"/>
          <w:sz w:val="24"/>
        </w:rPr>
      </w:pP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.（实质性要求）在本次递交响应文件之前一周年内，供应商本次磋商中对同一品牌同一型号的产品报价与其在中国境内其他地方的最低报价相比不得高于20%。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93"/>
    </w:p>
    <w:p>
      <w:pPr>
        <w:pStyle w:val="19"/>
        <w:rPr>
          <w:rFonts w:ascii="仿宋" w:hAnsi="仿宋" w:eastAsia="仿宋"/>
          <w:b w:val="0"/>
        </w:rPr>
      </w:pPr>
      <w:r>
        <w:rPr>
          <w:rFonts w:ascii="仿宋" w:hAnsi="仿宋" w:eastAsia="仿宋"/>
          <w:b w:val="0"/>
        </w:rPr>
        <w:br w:type="page"/>
      </w:r>
      <w:bookmarkStart w:id="94" w:name="_Toc511205300"/>
      <w:bookmarkStart w:id="95" w:name="PO_默认文件内容_26"/>
      <w:r>
        <w:rPr>
          <w:rFonts w:hint="eastAsia" w:ascii="仿宋" w:hAnsi="仿宋" w:eastAsia="仿宋"/>
          <w:b w:val="0"/>
        </w:rPr>
        <w:t>第三章  供应商和报价产品的资格、资质性及其他类似效力要求</w:t>
      </w:r>
      <w:bookmarkEnd w:id="94"/>
    </w:p>
    <w:p>
      <w:pPr>
        <w:rPr>
          <w:rFonts w:ascii="仿宋" w:hAnsi="仿宋" w:eastAsia="仿宋"/>
          <w:sz w:val="32"/>
          <w:szCs w:val="32"/>
        </w:rPr>
      </w:pPr>
    </w:p>
    <w:p>
      <w:pPr>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ind w:firstLine="542" w:firstLineChars="225"/>
        <w:rPr>
          <w:rFonts w:ascii="仿宋" w:hAnsi="仿宋" w:eastAsia="仿宋"/>
          <w:b/>
          <w:sz w:val="24"/>
        </w:rPr>
      </w:pPr>
      <w:r>
        <w:rPr>
          <w:rFonts w:hint="eastAsia" w:ascii="仿宋" w:hAnsi="仿宋" w:eastAsia="仿宋"/>
          <w:b/>
          <w:sz w:val="24"/>
        </w:rPr>
        <w:t>（一）资格要求：</w:t>
      </w:r>
    </w:p>
    <w:p>
      <w:pPr>
        <w:ind w:firstLine="540" w:firstLineChars="225"/>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ind w:firstLine="540" w:firstLineChars="225"/>
        <w:rPr>
          <w:rFonts w:ascii="仿宋" w:hAnsi="仿宋" w:eastAsia="仿宋"/>
          <w:sz w:val="24"/>
        </w:rPr>
      </w:pPr>
      <w:r>
        <w:rPr>
          <w:rFonts w:hint="eastAsia" w:ascii="仿宋" w:hAnsi="仿宋" w:eastAsia="仿宋"/>
          <w:sz w:val="24"/>
        </w:rPr>
        <w:t>2、落实政府采购政策需满足的资格要求：</w:t>
      </w:r>
    </w:p>
    <w:p>
      <w:pPr>
        <w:ind w:left="898" w:leftChars="342" w:hanging="180" w:hangingChars="75"/>
        <w:rPr>
          <w:rFonts w:ascii="仿宋" w:hAnsi="仿宋" w:eastAsia="仿宋"/>
          <w:sz w:val="24"/>
        </w:rPr>
      </w:pPr>
      <w:r>
        <w:rPr>
          <w:rFonts w:hint="eastAsia" w:ascii="仿宋" w:hAnsi="仿宋" w:eastAsia="仿宋"/>
          <w:sz w:val="24"/>
        </w:rPr>
        <w:t xml:space="preserve">  </w:t>
      </w:r>
      <w:r>
        <w:rPr>
          <w:rFonts w:hint="eastAsia" w:ascii="仿宋" w:hAnsi="仿宋" w:eastAsia="仿宋" w:cs="宋体"/>
          <w:sz w:val="24"/>
          <w:lang w:val="en-US" w:eastAsia="zh-CN"/>
        </w:rPr>
        <w:t>本项目为专门面向中小微企业（残疾人企业、监狱企业、符合中小企业划型的个体工商户视同中小企业）采购项目</w:t>
      </w:r>
      <w:r>
        <w:rPr>
          <w:rFonts w:ascii="仿宋" w:hAnsi="仿宋" w:eastAsia="仿宋"/>
          <w:sz w:val="24"/>
        </w:rPr>
        <w:t>。</w:t>
      </w:r>
    </w:p>
    <w:p>
      <w:pPr>
        <w:ind w:firstLine="540" w:firstLineChars="225"/>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ind w:firstLine="540" w:firstLineChars="225"/>
        <w:rPr>
          <w:rFonts w:ascii="仿宋" w:hAnsi="仿宋" w:eastAsia="仿宋" w:cs="宋体"/>
          <w:sz w:val="24"/>
        </w:rPr>
      </w:pPr>
      <w:r>
        <w:rPr>
          <w:rFonts w:hint="eastAsia" w:ascii="仿宋" w:hAnsi="仿宋" w:eastAsia="仿宋" w:cs="宋体"/>
          <w:sz w:val="24"/>
        </w:rPr>
        <w:t xml:space="preserve">   无</w:t>
      </w:r>
      <w:r>
        <w:rPr>
          <w:rFonts w:ascii="仿宋" w:hAnsi="仿宋" w:eastAsia="仿宋" w:cs="宋体"/>
          <w:sz w:val="24"/>
        </w:rPr>
        <w:t>。</w:t>
      </w:r>
    </w:p>
    <w:p>
      <w:pPr>
        <w:ind w:firstLine="542" w:firstLineChars="225"/>
        <w:rPr>
          <w:rFonts w:ascii="仿宋" w:hAnsi="仿宋" w:eastAsia="仿宋"/>
          <w:b/>
          <w:bCs/>
          <w:sz w:val="24"/>
        </w:rPr>
      </w:pPr>
      <w:r>
        <w:rPr>
          <w:rFonts w:hint="eastAsia" w:ascii="仿宋" w:hAnsi="仿宋" w:eastAsia="仿宋"/>
          <w:b/>
          <w:bCs/>
          <w:sz w:val="24"/>
        </w:rPr>
        <w:t>（二）其他类似效力要求：</w:t>
      </w:r>
    </w:p>
    <w:p>
      <w:pPr>
        <w:ind w:firstLine="540" w:firstLineChars="225"/>
        <w:rPr>
          <w:rFonts w:ascii="仿宋" w:hAnsi="仿宋" w:eastAsia="仿宋"/>
          <w:sz w:val="24"/>
        </w:rPr>
      </w:pPr>
      <w:r>
        <w:rPr>
          <w:rFonts w:ascii="仿宋" w:hAnsi="仿宋" w:eastAsia="仿宋"/>
          <w:sz w:val="24"/>
        </w:rPr>
        <w:t>1</w:t>
      </w:r>
      <w:r>
        <w:rPr>
          <w:rFonts w:hint="eastAsia" w:ascii="仿宋" w:hAnsi="仿宋" w:eastAsia="仿宋"/>
          <w:sz w:val="24"/>
        </w:rPr>
        <w:t>.授权参加本次采购活动的供应商代表证明材料。</w:t>
      </w:r>
    </w:p>
    <w:p>
      <w:pPr>
        <w:ind w:firstLine="540" w:firstLineChars="225"/>
        <w:rPr>
          <w:rFonts w:ascii="仿宋" w:hAnsi="仿宋" w:eastAsia="仿宋"/>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ind w:firstLine="480" w:firstLineChars="200"/>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sz w:val="32"/>
          <w:szCs w:val="32"/>
        </w:rPr>
      </w:pPr>
      <w:r>
        <w:rPr>
          <w:rFonts w:ascii="仿宋" w:hAnsi="仿宋" w:eastAsia="仿宋"/>
          <w:sz w:val="32"/>
          <w:szCs w:val="32"/>
        </w:rPr>
        <w:br w:type="page"/>
      </w:r>
    </w:p>
    <w:p>
      <w:pPr>
        <w:pStyle w:val="19"/>
        <w:rPr>
          <w:rFonts w:ascii="仿宋" w:hAnsi="仿宋" w:eastAsia="仿宋"/>
          <w:b w:val="0"/>
          <w:sz w:val="28"/>
          <w:szCs w:val="28"/>
        </w:rPr>
      </w:pPr>
      <w:bookmarkStart w:id="96" w:name="_Toc511205301"/>
      <w:r>
        <w:rPr>
          <w:rFonts w:hint="eastAsia" w:ascii="仿宋" w:hAnsi="仿宋" w:eastAsia="仿宋"/>
          <w:b w:val="0"/>
        </w:rPr>
        <w:t>第四章  供应商应当提供的资格、资质性及其他类似效力要求的相关证明材料</w:t>
      </w:r>
      <w:bookmarkEnd w:id="96"/>
    </w:p>
    <w:p>
      <w:pPr>
        <w:ind w:firstLine="538"/>
        <w:rPr>
          <w:rFonts w:ascii="仿宋" w:hAnsi="仿宋" w:eastAsia="仿宋"/>
          <w:sz w:val="28"/>
          <w:szCs w:val="28"/>
        </w:rPr>
      </w:pPr>
    </w:p>
    <w:p>
      <w:pPr>
        <w:ind w:firstLine="470" w:firstLineChars="196"/>
        <w:rPr>
          <w:rFonts w:ascii="仿宋" w:hAnsi="仿宋" w:eastAsia="仿宋"/>
          <w:sz w:val="24"/>
        </w:rPr>
      </w:pPr>
      <w:r>
        <w:rPr>
          <w:rFonts w:ascii="仿宋" w:hAnsi="仿宋" w:eastAsia="仿宋"/>
          <w:sz w:val="24"/>
        </w:rPr>
        <w:t>一、</w:t>
      </w:r>
      <w:r>
        <w:rPr>
          <w:rFonts w:hint="eastAsia" w:ascii="仿宋" w:hAnsi="仿宋" w:eastAsia="仿宋"/>
          <w:sz w:val="24"/>
        </w:rPr>
        <w:t>应当提供的供应商资格、资质性及其他类似效力要求的相关证明材料</w:t>
      </w:r>
    </w:p>
    <w:p>
      <w:pPr>
        <w:ind w:firstLine="235" w:firstLineChars="98"/>
        <w:rPr>
          <w:rFonts w:ascii="仿宋" w:hAnsi="仿宋" w:eastAsia="仿宋"/>
          <w:bCs/>
          <w:sz w:val="24"/>
        </w:rPr>
      </w:pPr>
      <w:r>
        <w:rPr>
          <w:rFonts w:hint="eastAsia" w:ascii="仿宋" w:hAnsi="仿宋" w:eastAsia="仿宋"/>
          <w:bCs/>
          <w:sz w:val="24"/>
        </w:rPr>
        <w:t>（一）资格要求相关证明材料：</w:t>
      </w:r>
    </w:p>
    <w:p>
      <w:pPr>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ind w:firstLine="470" w:firstLineChars="196"/>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44"/>
        <w:spacing w:line="420" w:lineRule="exact"/>
        <w:ind w:firstLine="0" w:firstLineChars="0"/>
        <w:rPr>
          <w:rFonts w:ascii="仿宋" w:hAnsi="仿宋" w:eastAsia="仿宋"/>
          <w:sz w:val="24"/>
        </w:rPr>
      </w:pPr>
      <w:r>
        <w:rPr>
          <w:rFonts w:hint="eastAsia" w:ascii="仿宋" w:hAnsi="仿宋" w:eastAsia="仿宋" w:cs="宋体"/>
          <w:sz w:val="24"/>
        </w:rPr>
        <w:t xml:space="preserve">    8、落实政府采购政策需满足的资格要求：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lang w:val="en-US" w:eastAsia="zh-CN"/>
        </w:rPr>
        <w:t>本项目为专门面向中小微企业（残疾人企业、监狱企业、符合中小企业划型的个体工商户视同中小企业）采购项目（提供供应商中小企业声明函）</w:t>
      </w:r>
      <w:r>
        <w:rPr>
          <w:rFonts w:ascii="仿宋" w:hAnsi="仿宋" w:eastAsia="仿宋"/>
          <w:sz w:val="24"/>
        </w:rPr>
        <w:t>。</w:t>
      </w:r>
    </w:p>
    <w:p>
      <w:pPr>
        <w:tabs>
          <w:tab w:val="left" w:pos="7665"/>
        </w:tabs>
        <w:spacing w:line="400" w:lineRule="exact"/>
        <w:rPr>
          <w:rFonts w:ascii="仿宋" w:hAnsi="仿宋" w:eastAsia="仿宋" w:cs="宋体"/>
          <w:sz w:val="24"/>
        </w:rPr>
      </w:pPr>
      <w:r>
        <w:rPr>
          <w:rFonts w:hint="eastAsia" w:ascii="仿宋" w:hAnsi="仿宋" w:eastAsia="仿宋"/>
          <w:sz w:val="24"/>
        </w:rPr>
        <w:t xml:space="preserve">    </w:t>
      </w:r>
      <w:r>
        <w:rPr>
          <w:rFonts w:ascii="仿宋" w:hAnsi="仿宋" w:eastAsia="仿宋"/>
          <w:sz w:val="24"/>
        </w:rPr>
        <w:t>9</w:t>
      </w:r>
      <w:r>
        <w:rPr>
          <w:rFonts w:hint="eastAsia" w:ascii="仿宋" w:hAnsi="仿宋" w:eastAsia="仿宋"/>
          <w:sz w:val="24"/>
        </w:rPr>
        <w:t>、</w:t>
      </w:r>
      <w:r>
        <w:rPr>
          <w:rFonts w:hint="eastAsia" w:ascii="仿宋" w:hAnsi="仿宋" w:eastAsia="仿宋" w:cs="宋体"/>
          <w:sz w:val="24"/>
        </w:rPr>
        <w:t>本项目的特定资格要求：</w:t>
      </w:r>
    </w:p>
    <w:p>
      <w:pPr>
        <w:pStyle w:val="44"/>
        <w:spacing w:line="420" w:lineRule="exact"/>
        <w:ind w:firstLine="480"/>
        <w:rPr>
          <w:rFonts w:ascii="仿宋" w:hAnsi="仿宋" w:eastAsia="仿宋" w:cs="宋体"/>
          <w:sz w:val="24"/>
        </w:rPr>
      </w:pPr>
      <w:r>
        <w:rPr>
          <w:rFonts w:hint="eastAsia" w:ascii="仿宋" w:hAnsi="仿宋" w:eastAsia="仿宋" w:cs="宋体"/>
          <w:sz w:val="24"/>
        </w:rPr>
        <w:t xml:space="preserve">  </w:t>
      </w:r>
      <w:r>
        <w:rPr>
          <w:rFonts w:ascii="仿宋" w:hAnsi="仿宋" w:eastAsia="仿宋" w:cs="宋体"/>
          <w:sz w:val="24"/>
        </w:rPr>
        <w:t xml:space="preserve"> </w:t>
      </w:r>
      <w:r>
        <w:rPr>
          <w:rFonts w:hint="eastAsia" w:ascii="仿宋" w:hAnsi="仿宋" w:eastAsia="仿宋" w:cs="宋体"/>
          <w:sz w:val="24"/>
        </w:rPr>
        <w:t>无</w:t>
      </w:r>
      <w:r>
        <w:rPr>
          <w:rFonts w:ascii="仿宋" w:hAnsi="仿宋" w:eastAsia="仿宋" w:cs="宋体"/>
          <w:sz w:val="24"/>
        </w:rPr>
        <w:t>。</w:t>
      </w:r>
    </w:p>
    <w:p>
      <w:pPr>
        <w:spacing w:after="50"/>
        <w:ind w:firstLine="480"/>
        <w:rPr>
          <w:rFonts w:ascii="仿宋" w:hAnsi="仿宋" w:eastAsia="仿宋"/>
          <w:bCs/>
          <w:sz w:val="24"/>
        </w:rPr>
      </w:pPr>
      <w:r>
        <w:rPr>
          <w:rFonts w:hint="eastAsia" w:ascii="仿宋" w:hAnsi="仿宋" w:eastAsia="仿宋"/>
          <w:bCs/>
          <w:sz w:val="24"/>
        </w:rPr>
        <w:t>（二）其他类似效力要求相关证明材料：</w:t>
      </w:r>
    </w:p>
    <w:p>
      <w:pPr>
        <w:spacing w:after="50"/>
        <w:ind w:firstLine="480"/>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spacing w:after="50"/>
        <w:ind w:firstLine="48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rPr>
          <w:rFonts w:ascii="仿宋" w:hAnsi="仿宋" w:eastAsia="仿宋"/>
          <w:bCs/>
          <w:sz w:val="24"/>
        </w:rPr>
      </w:pPr>
      <w:r>
        <w:rPr>
          <w:rFonts w:hint="eastAsia" w:ascii="仿宋" w:hAnsi="仿宋" w:eastAsia="仿宋"/>
          <w:bCs/>
          <w:sz w:val="24"/>
        </w:rPr>
        <w:t>注：1、以上要求的资料复印件均须加盖供应商单位的公章（鲜章）。</w:t>
      </w:r>
    </w:p>
    <w:p>
      <w:pPr>
        <w:ind w:firstLine="460" w:firstLineChars="192"/>
        <w:rPr>
          <w:rFonts w:ascii="仿宋" w:hAnsi="仿宋" w:eastAsia="仿宋"/>
        </w:rPr>
      </w:pPr>
      <w:r>
        <w:rPr>
          <w:rFonts w:hint="eastAsia" w:ascii="仿宋" w:hAnsi="仿宋" w:eastAsia="仿宋" w:cs="宋体"/>
          <w:kern w:val="0"/>
          <w:sz w:val="24"/>
        </w:rPr>
        <w:t>2、</w:t>
      </w:r>
      <w:r>
        <w:rPr>
          <w:rFonts w:ascii="仿宋" w:hAnsi="仿宋" w:eastAsia="仿宋" w:cs="宋体"/>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kern w:val="0"/>
          <w:sz w:val="24"/>
        </w:rPr>
        <w:t>七</w:t>
      </w:r>
      <w:r>
        <w:rPr>
          <w:rFonts w:ascii="仿宋" w:hAnsi="仿宋" w:eastAsia="仿宋" w:cs="宋体"/>
          <w:kern w:val="0"/>
          <w:sz w:val="24"/>
        </w:rPr>
        <w:t>章）。</w:t>
      </w:r>
      <w:bookmarkEnd w:id="95"/>
    </w:p>
    <w:p>
      <w:pPr>
        <w:spacing w:after="50"/>
        <w:rPr>
          <w:rFonts w:ascii="仿宋" w:hAnsi="仿宋" w:eastAsia="仿宋"/>
          <w:sz w:val="24"/>
        </w:rPr>
      </w:pPr>
      <w:r>
        <w:rPr>
          <w:rFonts w:ascii="仿宋" w:hAnsi="仿宋" w:eastAsia="仿宋"/>
          <w:sz w:val="24"/>
        </w:rPr>
        <w:br w:type="page"/>
      </w:r>
    </w:p>
    <w:p>
      <w:pPr>
        <w:pStyle w:val="19"/>
        <w:rPr>
          <w:rFonts w:ascii="仿宋" w:hAnsi="仿宋" w:eastAsia="仿宋"/>
          <w:b w:val="0"/>
        </w:rPr>
      </w:pPr>
      <w:bookmarkStart w:id="97" w:name="_Toc511205302"/>
      <w:r>
        <w:rPr>
          <w:rFonts w:hint="eastAsia" w:ascii="仿宋" w:hAnsi="仿宋" w:eastAsia="仿宋"/>
          <w:b w:val="0"/>
        </w:rPr>
        <w:t>第五章  采购项目技术、服务、政府采购合同内容条款及其他商务要求</w:t>
      </w:r>
      <w:bookmarkEnd w:id="97"/>
    </w:p>
    <w:p>
      <w:pPr>
        <w:pStyle w:val="4"/>
        <w:keepNext w:val="0"/>
        <w:keepLines w:val="0"/>
        <w:spacing w:before="0" w:after="0" w:line="400" w:lineRule="exact"/>
        <w:ind w:firstLine="117" w:firstLineChars="49"/>
        <w:jc w:val="left"/>
        <w:rPr>
          <w:rFonts w:ascii="仿宋" w:hAnsi="仿宋" w:eastAsia="仿宋"/>
          <w:b w:val="0"/>
          <w:sz w:val="24"/>
          <w:szCs w:val="24"/>
        </w:rPr>
      </w:pPr>
    </w:p>
    <w:p>
      <w:pPr>
        <w:pStyle w:val="4"/>
        <w:keepNext w:val="0"/>
        <w:keepLines w:val="0"/>
        <w:spacing w:before="0" w:after="0" w:line="400" w:lineRule="exact"/>
        <w:ind w:firstLine="117" w:firstLineChars="49"/>
        <w:jc w:val="left"/>
        <w:rPr>
          <w:rFonts w:ascii="仿宋" w:hAnsi="仿宋" w:eastAsia="仿宋"/>
          <w:b w:val="0"/>
          <w:sz w:val="24"/>
          <w:szCs w:val="24"/>
        </w:rPr>
      </w:pPr>
      <w:bookmarkStart w:id="98" w:name="PO_默认文件内容_27"/>
      <w:r>
        <w:rPr>
          <w:rFonts w:hint="eastAsia" w:ascii="仿宋" w:hAnsi="仿宋" w:eastAsia="仿宋"/>
          <w:b w:val="0"/>
          <w:sz w:val="24"/>
          <w:szCs w:val="24"/>
        </w:rPr>
        <w:t>前提：</w:t>
      </w:r>
      <w:r>
        <w:rPr>
          <w:rFonts w:ascii="仿宋" w:hAnsi="仿宋" w:eastAsia="仿宋"/>
          <w:b w:val="0"/>
          <w:sz w:val="24"/>
          <w:szCs w:val="24"/>
        </w:rPr>
        <w:t>本章采购需求中标注“*”号的条款为本次磋商采购项目的实质性要求，供应商应全部满足</w:t>
      </w:r>
      <w:r>
        <w:rPr>
          <w:rFonts w:hint="eastAsia" w:ascii="仿宋" w:hAnsi="仿宋" w:eastAsia="仿宋"/>
          <w:b w:val="0"/>
          <w:sz w:val="24"/>
          <w:szCs w:val="24"/>
        </w:rPr>
        <w:t>。</w:t>
      </w:r>
    </w:p>
    <w:p>
      <w:pPr>
        <w:pStyle w:val="4"/>
        <w:spacing w:line="400" w:lineRule="exact"/>
        <w:ind w:firstLine="235" w:firstLineChars="98"/>
        <w:rPr>
          <w:rFonts w:ascii="仿宋" w:hAnsi="仿宋" w:eastAsia="仿宋"/>
          <w:b w:val="0"/>
          <w:sz w:val="24"/>
          <w:szCs w:val="24"/>
        </w:rPr>
      </w:pPr>
      <w:r>
        <w:rPr>
          <w:rFonts w:hint="eastAsia" w:ascii="仿宋" w:hAnsi="仿宋" w:eastAsia="仿宋"/>
          <w:b w:val="0"/>
          <w:sz w:val="24"/>
          <w:szCs w:val="24"/>
        </w:rPr>
        <w:t>一. 项目概述</w:t>
      </w:r>
    </w:p>
    <w:p>
      <w:pPr>
        <w:pStyle w:val="6"/>
        <w:spacing w:line="400" w:lineRule="exact"/>
        <w:ind w:firstLine="480"/>
        <w:rPr>
          <w:rFonts w:ascii="仿宋" w:hAnsi="仿宋" w:eastAsia="仿宋"/>
          <w:bCs/>
          <w:sz w:val="24"/>
        </w:rPr>
      </w:pPr>
      <w:r>
        <w:rPr>
          <w:rFonts w:hint="eastAsia" w:ascii="仿宋" w:hAnsi="仿宋" w:eastAsia="仿宋"/>
          <w:sz w:val="24"/>
        </w:rPr>
        <w:t>本项目一个包，采购</w:t>
      </w:r>
      <w:r>
        <w:rPr>
          <w:rFonts w:hint="eastAsia" w:ascii="仿宋" w:hAnsi="仿宋" w:eastAsia="仿宋" w:cs="Times New Roman"/>
          <w:sz w:val="24"/>
          <w:lang w:eastAsia="zh-CN"/>
        </w:rPr>
        <w:t>食堂厨房设施设备及安装</w:t>
      </w:r>
      <w:r>
        <w:rPr>
          <w:rFonts w:hint="eastAsia" w:ascii="仿宋" w:hAnsi="仿宋" w:eastAsia="仿宋"/>
          <w:sz w:val="24"/>
        </w:rPr>
        <w:t>。</w:t>
      </w:r>
    </w:p>
    <w:p>
      <w:pPr>
        <w:pStyle w:val="4"/>
        <w:spacing w:line="400" w:lineRule="exact"/>
        <w:ind w:firstLine="235" w:firstLineChars="98"/>
        <w:rPr>
          <w:rFonts w:hint="default" w:ascii="仿宋" w:hAnsi="仿宋" w:eastAsia="仿宋"/>
          <w:b w:val="0"/>
          <w:sz w:val="24"/>
          <w:szCs w:val="24"/>
          <w:lang w:val="en-US" w:eastAsia="zh-CN"/>
        </w:rPr>
      </w:pPr>
      <w:r>
        <w:rPr>
          <w:rFonts w:hint="eastAsia" w:ascii="仿宋" w:hAnsi="仿宋" w:eastAsia="仿宋"/>
          <w:b w:val="0"/>
          <w:sz w:val="24"/>
          <w:szCs w:val="24"/>
        </w:rPr>
        <w:t>二.项目清单</w:t>
      </w:r>
      <w:r>
        <w:rPr>
          <w:rFonts w:hint="eastAsia" w:ascii="仿宋" w:hAnsi="仿宋" w:eastAsia="仿宋"/>
          <w:b w:val="0"/>
          <w:sz w:val="24"/>
          <w:szCs w:val="24"/>
          <w:lang w:val="en-US" w:eastAsia="zh-CN"/>
        </w:rPr>
        <w:t>及技术参数要求</w:t>
      </w:r>
    </w:p>
    <w:tbl>
      <w:tblPr>
        <w:tblStyle w:val="21"/>
        <w:tblW w:w="10323" w:type="dxa"/>
        <w:tblInd w:w="-781" w:type="dxa"/>
        <w:tblLayout w:type="fixed"/>
        <w:tblCellMar>
          <w:top w:w="0" w:type="dxa"/>
          <w:left w:w="108" w:type="dxa"/>
          <w:bottom w:w="0" w:type="dxa"/>
          <w:right w:w="108" w:type="dxa"/>
        </w:tblCellMar>
      </w:tblPr>
      <w:tblGrid>
        <w:gridCol w:w="731"/>
        <w:gridCol w:w="806"/>
        <w:gridCol w:w="757"/>
        <w:gridCol w:w="756"/>
        <w:gridCol w:w="1739"/>
        <w:gridCol w:w="5534"/>
      </w:tblGrid>
      <w:tr>
        <w:tblPrEx>
          <w:tblCellMar>
            <w:top w:w="0" w:type="dxa"/>
            <w:left w:w="108" w:type="dxa"/>
            <w:bottom w:w="0" w:type="dxa"/>
            <w:right w:w="108" w:type="dxa"/>
          </w:tblCellMar>
        </w:tblPrEx>
        <w:trPr>
          <w:trHeight w:val="90" w:hRule="atLeast"/>
        </w:trPr>
        <w:tc>
          <w:tcPr>
            <w:tcW w:w="10323" w:type="dxa"/>
            <w:gridSpan w:val="6"/>
            <w:tcBorders>
              <w:top w:val="nil"/>
              <w:left w:val="nil"/>
              <w:bottom w:val="nil"/>
              <w:right w:val="nil"/>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44"/>
                <w:szCs w:val="44"/>
                <w:u w:val="none"/>
              </w:rPr>
            </w:pPr>
            <w:r>
              <w:rPr>
                <w:rFonts w:hint="eastAsia" w:ascii="仿宋" w:hAnsi="仿宋" w:eastAsia="仿宋" w:cs="仿宋"/>
                <w:b/>
                <w:bCs/>
                <w:i w:val="0"/>
                <w:iCs w:val="0"/>
                <w:color w:val="000000"/>
                <w:kern w:val="0"/>
                <w:sz w:val="32"/>
                <w:szCs w:val="32"/>
                <w:u w:val="none"/>
                <w:lang w:val="en-US" w:eastAsia="zh-CN" w:bidi="ar"/>
              </w:rPr>
              <w:t>成都市盐道街小学汇泉校区厨房设备需求清单</w:t>
            </w:r>
          </w:p>
        </w:tc>
      </w:tr>
      <w:tr>
        <w:tblPrEx>
          <w:tblCellMar>
            <w:top w:w="0" w:type="dxa"/>
            <w:left w:w="108" w:type="dxa"/>
            <w:bottom w:w="0" w:type="dxa"/>
            <w:right w:w="108" w:type="dxa"/>
          </w:tblCellMar>
        </w:tblPrEx>
        <w:trPr>
          <w:trHeight w:val="684"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编号</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示意图片</w:t>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技术参数</w:t>
            </w:r>
          </w:p>
        </w:tc>
      </w:tr>
      <w:tr>
        <w:tblPrEx>
          <w:tblCellMar>
            <w:top w:w="0" w:type="dxa"/>
            <w:left w:w="108" w:type="dxa"/>
            <w:bottom w:w="0" w:type="dxa"/>
            <w:right w:w="108" w:type="dxa"/>
          </w:tblCellMar>
        </w:tblPrEx>
        <w:trPr>
          <w:trHeight w:val="660"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卸货区，仓库，更衣室</w:t>
            </w:r>
          </w:p>
        </w:tc>
      </w:tr>
      <w:tr>
        <w:tblPrEx>
          <w:tblCellMar>
            <w:top w:w="0" w:type="dxa"/>
            <w:left w:w="108" w:type="dxa"/>
            <w:bottom w:w="0" w:type="dxa"/>
            <w:right w:w="108" w:type="dxa"/>
          </w:tblCellMar>
        </w:tblPrEx>
        <w:trPr>
          <w:trHeight w:val="1517"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米面台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144780</wp:posOffset>
                  </wp:positionH>
                  <wp:positionV relativeFrom="paragraph">
                    <wp:posOffset>302895</wp:posOffset>
                  </wp:positionV>
                  <wp:extent cx="687705" cy="533400"/>
                  <wp:effectExtent l="0" t="0" r="17145" b="0"/>
                  <wp:wrapNone/>
                  <wp:docPr id="168" name="Picture_46"/>
                  <wp:cNvGraphicFramePr/>
                  <a:graphic xmlns:a="http://schemas.openxmlformats.org/drawingml/2006/main">
                    <a:graphicData uri="http://schemas.openxmlformats.org/drawingml/2006/picture">
                      <pic:pic xmlns:pic="http://schemas.openxmlformats.org/drawingml/2006/picture">
                        <pic:nvPicPr>
                          <pic:cNvPr id="168" name="Picture_46"/>
                          <pic:cNvPicPr/>
                        </pic:nvPicPr>
                        <pic:blipFill>
                          <a:blip r:embed="rId10"/>
                          <a:stretch>
                            <a:fillRect/>
                          </a:stretch>
                        </pic:blipFill>
                        <pic:spPr>
                          <a:xfrm>
                            <a:off x="0" y="0"/>
                            <a:ext cx="687705" cy="53340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2、面板下衬厚度≧15mm木工板（减震、消音），并以万能胶粘合；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3、面板下方采用厚度≧1.0mm的U型加强筋及38*25mm*厚度≧1.0mm不锈钢矩管边框承托加固；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4、立柱采用50*50*厚度≧1.2mm不锈钢方管制作。</w:t>
            </w:r>
          </w:p>
        </w:tc>
      </w:tr>
      <w:tr>
        <w:tblPrEx>
          <w:tblCellMar>
            <w:top w:w="0" w:type="dxa"/>
            <w:left w:w="108" w:type="dxa"/>
            <w:bottom w:w="0" w:type="dxa"/>
            <w:right w:w="108" w:type="dxa"/>
          </w:tblCellMar>
        </w:tblPrEx>
        <w:trPr>
          <w:trHeight w:val="186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四层平板冲孔层架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1312" behindDoc="0" locked="0" layoutInCell="1" allowOverlap="1">
                  <wp:simplePos x="0" y="0"/>
                  <wp:positionH relativeFrom="column">
                    <wp:posOffset>104140</wp:posOffset>
                  </wp:positionH>
                  <wp:positionV relativeFrom="paragraph">
                    <wp:posOffset>129540</wp:posOffset>
                  </wp:positionV>
                  <wp:extent cx="762635" cy="961390"/>
                  <wp:effectExtent l="0" t="0" r="18415" b="10160"/>
                  <wp:wrapNone/>
                  <wp:docPr id="169" name="图片_9"/>
                  <wp:cNvGraphicFramePr/>
                  <a:graphic xmlns:a="http://schemas.openxmlformats.org/drawingml/2006/main">
                    <a:graphicData uri="http://schemas.openxmlformats.org/drawingml/2006/picture">
                      <pic:pic xmlns:pic="http://schemas.openxmlformats.org/drawingml/2006/picture">
                        <pic:nvPicPr>
                          <pic:cNvPr id="169" name="图片_9"/>
                          <pic:cNvPicPr/>
                        </pic:nvPicPr>
                        <pic:blipFill>
                          <a:blip r:embed="rId11"/>
                          <a:stretch>
                            <a:fillRect/>
                          </a:stretch>
                        </pic:blipFill>
                        <pic:spPr>
                          <a:xfrm>
                            <a:off x="0" y="0"/>
                            <a:ext cx="762635" cy="96139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1、材质采用304#不锈钢磨砂板制作，层板厚度≥1.2mm；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2、共分四层，每层面板均匀冲条形孔；</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3、层板下方采用厚度≥1.0mm的U型加强筋承托加固；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4、立柱采用直径φ38*厚度≥1.0mm的不锈钢圆管制作，并配可调节高度子弹脚。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挂墙洗手盆</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2336" behindDoc="0" locked="0" layoutInCell="1" allowOverlap="1">
                  <wp:simplePos x="0" y="0"/>
                  <wp:positionH relativeFrom="column">
                    <wp:posOffset>73025</wp:posOffset>
                  </wp:positionH>
                  <wp:positionV relativeFrom="paragraph">
                    <wp:posOffset>224155</wp:posOffset>
                  </wp:positionV>
                  <wp:extent cx="862330" cy="585470"/>
                  <wp:effectExtent l="0" t="0" r="13970" b="5080"/>
                  <wp:wrapNone/>
                  <wp:docPr id="172" name="图片_55"/>
                  <wp:cNvGraphicFramePr/>
                  <a:graphic xmlns:a="http://schemas.openxmlformats.org/drawingml/2006/main">
                    <a:graphicData uri="http://schemas.openxmlformats.org/drawingml/2006/picture">
                      <pic:pic xmlns:pic="http://schemas.openxmlformats.org/drawingml/2006/picture">
                        <pic:nvPicPr>
                          <pic:cNvPr id="172" name="图片_55"/>
                          <pic:cNvPicPr/>
                        </pic:nvPicPr>
                        <pic:blipFill>
                          <a:blip r:embed="rId12"/>
                          <a:stretch>
                            <a:fillRect/>
                          </a:stretch>
                        </pic:blipFill>
                        <pic:spPr>
                          <a:xfrm>
                            <a:off x="0" y="0"/>
                            <a:ext cx="862330" cy="58547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1、材质采用304#不锈钢磨砂板制作，面板厚度≥1.2mm，星盆厚度≥1.0mm，侧围板厚度≥0.8mm；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2、星盆尺寸：≥400*300*200mm；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3、配不锈钢落水器1套。</w:t>
            </w:r>
          </w:p>
        </w:tc>
      </w:tr>
      <w:tr>
        <w:tblPrEx>
          <w:tblCellMar>
            <w:top w:w="0" w:type="dxa"/>
            <w:left w:w="108" w:type="dxa"/>
            <w:bottom w:w="0" w:type="dxa"/>
            <w:right w:w="108" w:type="dxa"/>
          </w:tblCellMar>
        </w:tblPrEx>
        <w:trPr>
          <w:trHeight w:val="1391"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更衣柜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215265</wp:posOffset>
                  </wp:positionH>
                  <wp:positionV relativeFrom="paragraph">
                    <wp:posOffset>182245</wp:posOffset>
                  </wp:positionV>
                  <wp:extent cx="370840" cy="639445"/>
                  <wp:effectExtent l="0" t="0" r="10160" b="8255"/>
                  <wp:wrapNone/>
                  <wp:docPr id="173" name="图片_24"/>
                  <wp:cNvGraphicFramePr/>
                  <a:graphic xmlns:a="http://schemas.openxmlformats.org/drawingml/2006/main">
                    <a:graphicData uri="http://schemas.openxmlformats.org/drawingml/2006/picture">
                      <pic:pic xmlns:pic="http://schemas.openxmlformats.org/drawingml/2006/picture">
                        <pic:nvPicPr>
                          <pic:cNvPr id="173" name="图片_24"/>
                          <pic:cNvPicPr/>
                        </pic:nvPicPr>
                        <pic:blipFill>
                          <a:blip r:embed="rId13"/>
                          <a:stretch>
                            <a:fillRect/>
                          </a:stretch>
                        </pic:blipFill>
                        <pic:spPr>
                          <a:xfrm>
                            <a:off x="0" y="0"/>
                            <a:ext cx="370840" cy="6394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1.采用磨砂覆膜不锈钢板，面板厚度1.5mm；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2.脚通采用∮51*1.2mm不锈钢管，配不锈钢可调子弹脚；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3.六格更衣柜。</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膝顶式龙头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128270</wp:posOffset>
                  </wp:positionH>
                  <wp:positionV relativeFrom="paragraph">
                    <wp:posOffset>180975</wp:posOffset>
                  </wp:positionV>
                  <wp:extent cx="657225" cy="590550"/>
                  <wp:effectExtent l="0" t="0" r="9525" b="0"/>
                  <wp:wrapNone/>
                  <wp:docPr id="174" name="图片_56"/>
                  <wp:cNvGraphicFramePr/>
                  <a:graphic xmlns:a="http://schemas.openxmlformats.org/drawingml/2006/main">
                    <a:graphicData uri="http://schemas.openxmlformats.org/drawingml/2006/picture">
                      <pic:pic xmlns:pic="http://schemas.openxmlformats.org/drawingml/2006/picture">
                        <pic:nvPicPr>
                          <pic:cNvPr id="174" name="图片_56"/>
                          <pic:cNvPicPr/>
                        </pic:nvPicPr>
                        <pic:blipFill>
                          <a:blip r:embed="rId14"/>
                          <a:stretch>
                            <a:fillRect/>
                          </a:stretch>
                        </pic:blipFill>
                        <pic:spPr>
                          <a:xfrm>
                            <a:off x="0" y="0"/>
                            <a:ext cx="657225" cy="59055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1、脚踏控制方式；</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2、连出水装置。</w:t>
            </w:r>
          </w:p>
        </w:tc>
      </w:tr>
      <w:tr>
        <w:tblPrEx>
          <w:tblCellMar>
            <w:top w:w="0" w:type="dxa"/>
            <w:left w:w="108" w:type="dxa"/>
            <w:bottom w:w="0" w:type="dxa"/>
            <w:right w:w="108" w:type="dxa"/>
          </w:tblCellMar>
        </w:tblPrEx>
        <w:trPr>
          <w:trHeight w:val="859"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蔬菜加工间</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大单星盆台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29845</wp:posOffset>
                  </wp:positionH>
                  <wp:positionV relativeFrom="paragraph">
                    <wp:posOffset>161290</wp:posOffset>
                  </wp:positionV>
                  <wp:extent cx="896620" cy="871220"/>
                  <wp:effectExtent l="0" t="0" r="17780" b="5080"/>
                  <wp:wrapNone/>
                  <wp:docPr id="162" name="图片_43"/>
                  <wp:cNvGraphicFramePr/>
                  <a:graphic xmlns:a="http://schemas.openxmlformats.org/drawingml/2006/main">
                    <a:graphicData uri="http://schemas.openxmlformats.org/drawingml/2006/picture">
                      <pic:pic xmlns:pic="http://schemas.openxmlformats.org/drawingml/2006/picture">
                        <pic:nvPicPr>
                          <pic:cNvPr id="162" name="图片_43"/>
                          <pic:cNvPicPr/>
                        </pic:nvPicPr>
                        <pic:blipFill>
                          <a:blip r:embed="rId15"/>
                          <a:stretch>
                            <a:fillRect/>
                          </a:stretch>
                        </pic:blipFill>
                        <pic:spPr>
                          <a:xfrm>
                            <a:off x="0" y="0"/>
                            <a:ext cx="896620" cy="87122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5、星盆尺寸：≥800*500*400（mm）；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38735</wp:posOffset>
                  </wp:positionH>
                  <wp:positionV relativeFrom="paragraph">
                    <wp:posOffset>280035</wp:posOffset>
                  </wp:positionV>
                  <wp:extent cx="904240" cy="410845"/>
                  <wp:effectExtent l="0" t="0" r="10160" b="8255"/>
                  <wp:wrapNone/>
                  <wp:docPr id="175" name="图片_31"/>
                  <wp:cNvGraphicFramePr/>
                  <a:graphic xmlns:a="http://schemas.openxmlformats.org/drawingml/2006/main">
                    <a:graphicData uri="http://schemas.openxmlformats.org/drawingml/2006/picture">
                      <pic:pic xmlns:pic="http://schemas.openxmlformats.org/drawingml/2006/picture">
                        <pic:nvPicPr>
                          <pic:cNvPr id="175" name="图片_31"/>
                          <pic:cNvPicPr/>
                        </pic:nvPicPr>
                        <pic:blipFill>
                          <a:blip r:embed="rId16"/>
                          <a:stretch>
                            <a:fillRect/>
                          </a:stretch>
                        </pic:blipFill>
                        <pic:spPr>
                          <a:xfrm>
                            <a:off x="0" y="0"/>
                            <a:ext cx="904240" cy="4108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大双星盆台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38100</wp:posOffset>
                  </wp:positionH>
                  <wp:positionV relativeFrom="paragraph">
                    <wp:posOffset>373380</wp:posOffset>
                  </wp:positionV>
                  <wp:extent cx="913765" cy="721995"/>
                  <wp:effectExtent l="0" t="0" r="635" b="1905"/>
                  <wp:wrapNone/>
                  <wp:docPr id="176" name="Picture_39"/>
                  <wp:cNvGraphicFramePr/>
                  <a:graphic xmlns:a="http://schemas.openxmlformats.org/drawingml/2006/main">
                    <a:graphicData uri="http://schemas.openxmlformats.org/drawingml/2006/picture">
                      <pic:pic xmlns:pic="http://schemas.openxmlformats.org/drawingml/2006/picture">
                        <pic:nvPicPr>
                          <pic:cNvPr id="176" name="Picture_39"/>
                          <pic:cNvPicPr/>
                        </pic:nvPicPr>
                        <pic:blipFill>
                          <a:blip r:embed="rId17"/>
                          <a:stretch>
                            <a:fillRect/>
                          </a:stretch>
                        </pic:blipFill>
                        <pic:spPr>
                          <a:xfrm>
                            <a:off x="0" y="0"/>
                            <a:ext cx="913765" cy="72199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5、星盆尺寸：≥600*500*400（mm）；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6、附件：配落水器2套。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5080</wp:posOffset>
                  </wp:positionH>
                  <wp:positionV relativeFrom="paragraph">
                    <wp:posOffset>316230</wp:posOffset>
                  </wp:positionV>
                  <wp:extent cx="944245" cy="460375"/>
                  <wp:effectExtent l="0" t="0" r="8255" b="15875"/>
                  <wp:wrapNone/>
                  <wp:docPr id="163" name="图片_31_SpCnt_1"/>
                  <wp:cNvGraphicFramePr/>
                  <a:graphic xmlns:a="http://schemas.openxmlformats.org/drawingml/2006/main">
                    <a:graphicData uri="http://schemas.openxmlformats.org/drawingml/2006/picture">
                      <pic:pic xmlns:pic="http://schemas.openxmlformats.org/drawingml/2006/picture">
                        <pic:nvPicPr>
                          <pic:cNvPr id="163" name="图片_31_SpCnt_1"/>
                          <pic:cNvPicPr/>
                        </pic:nvPicPr>
                        <pic:blipFill>
                          <a:blip r:embed="rId18"/>
                          <a:stretch>
                            <a:fillRect/>
                          </a:stretch>
                        </pic:blipFill>
                        <pic:spPr>
                          <a:xfrm>
                            <a:off x="0" y="0"/>
                            <a:ext cx="944245" cy="46037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四层格栅层架</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145415</wp:posOffset>
                  </wp:positionH>
                  <wp:positionV relativeFrom="paragraph">
                    <wp:posOffset>73660</wp:posOffset>
                  </wp:positionV>
                  <wp:extent cx="619125" cy="859155"/>
                  <wp:effectExtent l="0" t="0" r="9525" b="17145"/>
                  <wp:wrapNone/>
                  <wp:docPr id="159" name="图片_4"/>
                  <wp:cNvGraphicFramePr/>
                  <a:graphic xmlns:a="http://schemas.openxmlformats.org/drawingml/2006/main">
                    <a:graphicData uri="http://schemas.openxmlformats.org/drawingml/2006/picture">
                      <pic:pic xmlns:pic="http://schemas.openxmlformats.org/drawingml/2006/picture">
                        <pic:nvPicPr>
                          <pic:cNvPr id="159" name="图片_4"/>
                          <pic:cNvPicPr/>
                        </pic:nvPicPr>
                        <pic:blipFill>
                          <a:blip r:embed="rId19"/>
                          <a:stretch>
                            <a:fillRect/>
                          </a:stretch>
                        </pic:blipFill>
                        <pic:spPr>
                          <a:xfrm>
                            <a:off x="0" y="0"/>
                            <a:ext cx="619125" cy="85915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1、材质采用304#不锈钢磨砂板制作，格栅采用厚度≧1.2mm不锈钢板折弯成型，焊接在前后横档之间；</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2、主骨架采用38*25mm*厚度≧1.0mm不锈钢矩管制作；</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3、立管采用直径φ38mm*厚度≧1.0mm不锈钢圆管制作，并配可调节高度子弹脚。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0528" behindDoc="0" locked="0" layoutInCell="1" allowOverlap="1">
                  <wp:simplePos x="0" y="0"/>
                  <wp:positionH relativeFrom="column">
                    <wp:posOffset>1270</wp:posOffset>
                  </wp:positionH>
                  <wp:positionV relativeFrom="paragraph">
                    <wp:posOffset>198755</wp:posOffset>
                  </wp:positionV>
                  <wp:extent cx="951865" cy="713740"/>
                  <wp:effectExtent l="0" t="0" r="635" b="10160"/>
                  <wp:wrapNone/>
                  <wp:docPr id="177" name="Picture_8"/>
                  <wp:cNvGraphicFramePr/>
                  <a:graphic xmlns:a="http://schemas.openxmlformats.org/drawingml/2006/main">
                    <a:graphicData uri="http://schemas.openxmlformats.org/drawingml/2006/picture">
                      <pic:pic xmlns:pic="http://schemas.openxmlformats.org/drawingml/2006/picture">
                        <pic:nvPicPr>
                          <pic:cNvPr id="177" name="Picture_8"/>
                          <pic:cNvPicPr/>
                        </pic:nvPicPr>
                        <pic:blipFill>
                          <a:blip r:embed="rId20"/>
                          <a:stretch>
                            <a:fillRect/>
                          </a:stretch>
                        </pic:blipFill>
                        <pic:spPr>
                          <a:xfrm>
                            <a:off x="0" y="0"/>
                            <a:ext cx="951865" cy="71374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B07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热风循环刀墩柜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159385</wp:posOffset>
                  </wp:positionV>
                  <wp:extent cx="621030" cy="700405"/>
                  <wp:effectExtent l="0" t="0" r="7620" b="4445"/>
                  <wp:wrapNone/>
                  <wp:docPr id="170" name="图片_59"/>
                  <wp:cNvGraphicFramePr/>
                  <a:graphic xmlns:a="http://schemas.openxmlformats.org/drawingml/2006/main">
                    <a:graphicData uri="http://schemas.openxmlformats.org/drawingml/2006/picture">
                      <pic:pic xmlns:pic="http://schemas.openxmlformats.org/drawingml/2006/picture">
                        <pic:nvPicPr>
                          <pic:cNvPr id="170" name="图片_59"/>
                          <pic:cNvPicPr/>
                        </pic:nvPicPr>
                        <pic:blipFill>
                          <a:blip r:embed="rId21"/>
                          <a:stretch>
                            <a:fillRect/>
                          </a:stretch>
                        </pic:blipFill>
                        <pic:spPr>
                          <a:xfrm>
                            <a:off x="0" y="0"/>
                            <a:ext cx="621030" cy="70040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1、材质采用304#优质不锈钢磨砂板制作，柜体厚度≥1.2mm；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2、柜内采用热风循环加温消毒方式，消毒温度≦130℃；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3、额定电压：AC220V  功率：0.6KW</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4、容积：409L；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5、控制方式：时间/温度。</w:t>
            </w:r>
          </w:p>
        </w:tc>
      </w:tr>
      <w:tr>
        <w:tblPrEx>
          <w:tblCellMar>
            <w:top w:w="0" w:type="dxa"/>
            <w:left w:w="108" w:type="dxa"/>
            <w:bottom w:w="0" w:type="dxa"/>
            <w:right w:w="108" w:type="dxa"/>
          </w:tblCellMar>
        </w:tblPrEx>
        <w:trPr>
          <w:trHeight w:val="796"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肉类加工</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切绞肉机</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118745</wp:posOffset>
                  </wp:positionH>
                  <wp:positionV relativeFrom="paragraph">
                    <wp:posOffset>50800</wp:posOffset>
                  </wp:positionV>
                  <wp:extent cx="808990" cy="883920"/>
                  <wp:effectExtent l="0" t="0" r="10160" b="11430"/>
                  <wp:wrapNone/>
                  <wp:docPr id="158" name="图片_24_SpCnt_1"/>
                  <wp:cNvGraphicFramePr/>
                  <a:graphic xmlns:a="http://schemas.openxmlformats.org/drawingml/2006/main">
                    <a:graphicData uri="http://schemas.openxmlformats.org/drawingml/2006/picture">
                      <pic:pic xmlns:pic="http://schemas.openxmlformats.org/drawingml/2006/picture">
                        <pic:nvPicPr>
                          <pic:cNvPr id="158" name="图片_24_SpCnt_1"/>
                          <pic:cNvPicPr/>
                        </pic:nvPicPr>
                        <pic:blipFill>
                          <a:blip r:embed="rId22"/>
                          <a:stretch>
                            <a:fillRect/>
                          </a:stretch>
                        </pic:blipFill>
                        <pic:spPr>
                          <a:xfrm>
                            <a:off x="0" y="0"/>
                            <a:ext cx="808990" cy="88392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1、额定功率：≥1.1KW；额定电压：220V或380V。</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2、外壳采用不锈钢板制作，切肉绞馅功能于一体，切面组织新鲜，适用于肉类切片、切丝、绞馅、灌肠。生产效率：</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400kg/h（片）、≧200kg/h（丝）、≧200kg/h（绞肉）、≧180kg/h（灌肠）。</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20955</wp:posOffset>
                  </wp:positionH>
                  <wp:positionV relativeFrom="paragraph">
                    <wp:posOffset>266065</wp:posOffset>
                  </wp:positionV>
                  <wp:extent cx="988060" cy="661670"/>
                  <wp:effectExtent l="0" t="0" r="2540" b="5080"/>
                  <wp:wrapNone/>
                  <wp:docPr id="160" name="Picture_40"/>
                  <wp:cNvGraphicFramePr/>
                  <a:graphic xmlns:a="http://schemas.openxmlformats.org/drawingml/2006/main">
                    <a:graphicData uri="http://schemas.openxmlformats.org/drawingml/2006/picture">
                      <pic:pic xmlns:pic="http://schemas.openxmlformats.org/drawingml/2006/picture">
                        <pic:nvPicPr>
                          <pic:cNvPr id="160" name="Picture_40"/>
                          <pic:cNvPicPr/>
                        </pic:nvPicPr>
                        <pic:blipFill>
                          <a:blip r:embed="rId23"/>
                          <a:stretch>
                            <a:fillRect/>
                          </a:stretch>
                        </pic:blipFill>
                        <pic:spPr>
                          <a:xfrm>
                            <a:off x="0" y="0"/>
                            <a:ext cx="988060" cy="66167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1、材质采用304#不锈钢磨砂板制作，面板及背板厚度≥1.2mm，下层板厚度≥1.0mm；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大单星盆台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8255</wp:posOffset>
                  </wp:positionH>
                  <wp:positionV relativeFrom="paragraph">
                    <wp:posOffset>169545</wp:posOffset>
                  </wp:positionV>
                  <wp:extent cx="944880" cy="800100"/>
                  <wp:effectExtent l="0" t="0" r="7620" b="0"/>
                  <wp:wrapNone/>
                  <wp:docPr id="161" name="图片_35"/>
                  <wp:cNvGraphicFramePr/>
                  <a:graphic xmlns:a="http://schemas.openxmlformats.org/drawingml/2006/main">
                    <a:graphicData uri="http://schemas.openxmlformats.org/drawingml/2006/picture">
                      <pic:pic xmlns:pic="http://schemas.openxmlformats.org/drawingml/2006/picture">
                        <pic:nvPicPr>
                          <pic:cNvPr id="161" name="图片_35"/>
                          <pic:cNvPicPr/>
                        </pic:nvPicPr>
                        <pic:blipFill>
                          <a:blip r:embed="rId24"/>
                          <a:stretch>
                            <a:fillRect/>
                          </a:stretch>
                        </pic:blipFill>
                        <pic:spPr>
                          <a:xfrm>
                            <a:off x="0" y="0"/>
                            <a:ext cx="944880" cy="80010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5、星盆尺寸：≥800*500*400（mm）；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33020</wp:posOffset>
                  </wp:positionH>
                  <wp:positionV relativeFrom="paragraph">
                    <wp:posOffset>284480</wp:posOffset>
                  </wp:positionV>
                  <wp:extent cx="894715" cy="434975"/>
                  <wp:effectExtent l="0" t="0" r="635" b="3175"/>
                  <wp:wrapNone/>
                  <wp:docPr id="164" name="图片_31_SpCnt_2"/>
                  <wp:cNvGraphicFramePr/>
                  <a:graphic xmlns:a="http://schemas.openxmlformats.org/drawingml/2006/main">
                    <a:graphicData uri="http://schemas.openxmlformats.org/drawingml/2006/picture">
                      <pic:pic xmlns:pic="http://schemas.openxmlformats.org/drawingml/2006/picture">
                        <pic:nvPicPr>
                          <pic:cNvPr id="164" name="图片_31_SpCnt_2"/>
                          <pic:cNvPicPr/>
                        </pic:nvPicPr>
                        <pic:blipFill>
                          <a:blip r:embed="rId25"/>
                          <a:stretch>
                            <a:fillRect/>
                          </a:stretch>
                        </pic:blipFill>
                        <pic:spPr>
                          <a:xfrm>
                            <a:off x="0" y="0"/>
                            <a:ext cx="894715" cy="43497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大双星盆台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6672" behindDoc="0" locked="0" layoutInCell="1" allowOverlap="1">
                  <wp:simplePos x="0" y="0"/>
                  <wp:positionH relativeFrom="column">
                    <wp:posOffset>21590</wp:posOffset>
                  </wp:positionH>
                  <wp:positionV relativeFrom="paragraph">
                    <wp:posOffset>598805</wp:posOffset>
                  </wp:positionV>
                  <wp:extent cx="961390" cy="681355"/>
                  <wp:effectExtent l="0" t="0" r="10160" b="4445"/>
                  <wp:wrapNone/>
                  <wp:docPr id="165" name="Picture_39_SpCnt_1"/>
                  <wp:cNvGraphicFramePr/>
                  <a:graphic xmlns:a="http://schemas.openxmlformats.org/drawingml/2006/main">
                    <a:graphicData uri="http://schemas.openxmlformats.org/drawingml/2006/picture">
                      <pic:pic xmlns:pic="http://schemas.openxmlformats.org/drawingml/2006/picture">
                        <pic:nvPicPr>
                          <pic:cNvPr id="165" name="Picture_39_SpCnt_1"/>
                          <pic:cNvPicPr/>
                        </pic:nvPicPr>
                        <pic:blipFill>
                          <a:blip r:embed="rId26"/>
                          <a:stretch>
                            <a:fillRect/>
                          </a:stretch>
                        </pic:blipFill>
                        <pic:spPr>
                          <a:xfrm>
                            <a:off x="0" y="0"/>
                            <a:ext cx="961390" cy="68135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5、星盆尺寸：≥600*500*400（mm）；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6、附件：配落水器2套。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19050</wp:posOffset>
                  </wp:positionH>
                  <wp:positionV relativeFrom="paragraph">
                    <wp:posOffset>309880</wp:posOffset>
                  </wp:positionV>
                  <wp:extent cx="919480" cy="403860"/>
                  <wp:effectExtent l="0" t="0" r="13970" b="15240"/>
                  <wp:wrapNone/>
                  <wp:docPr id="166" name="图片_31_SpCnt_3"/>
                  <wp:cNvGraphicFramePr/>
                  <a:graphic xmlns:a="http://schemas.openxmlformats.org/drawingml/2006/main">
                    <a:graphicData uri="http://schemas.openxmlformats.org/drawingml/2006/picture">
                      <pic:pic xmlns:pic="http://schemas.openxmlformats.org/drawingml/2006/picture">
                        <pic:nvPicPr>
                          <pic:cNvPr id="166" name="图片_31_SpCnt_3"/>
                          <pic:cNvPicPr/>
                        </pic:nvPicPr>
                        <pic:blipFill>
                          <a:blip r:embed="rId25"/>
                          <a:stretch>
                            <a:fillRect/>
                          </a:stretch>
                        </pic:blipFill>
                        <pic:spPr>
                          <a:xfrm>
                            <a:off x="0" y="0"/>
                            <a:ext cx="919480" cy="40386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-13970</wp:posOffset>
                  </wp:positionH>
                  <wp:positionV relativeFrom="paragraph">
                    <wp:posOffset>315595</wp:posOffset>
                  </wp:positionV>
                  <wp:extent cx="981710" cy="722630"/>
                  <wp:effectExtent l="0" t="0" r="8890" b="1270"/>
                  <wp:wrapNone/>
                  <wp:docPr id="167" name="Picture_8_SpCnt_1"/>
                  <wp:cNvGraphicFramePr/>
                  <a:graphic xmlns:a="http://schemas.openxmlformats.org/drawingml/2006/main">
                    <a:graphicData uri="http://schemas.openxmlformats.org/drawingml/2006/picture">
                      <pic:pic xmlns:pic="http://schemas.openxmlformats.org/drawingml/2006/picture">
                        <pic:nvPicPr>
                          <pic:cNvPr id="167" name="Picture_8_SpCnt_1"/>
                          <pic:cNvPicPr/>
                        </pic:nvPicPr>
                        <pic:blipFill>
                          <a:blip r:embed="rId27"/>
                          <a:stretch>
                            <a:fillRect/>
                          </a:stretch>
                        </pic:blipFill>
                        <pic:spPr>
                          <a:xfrm>
                            <a:off x="0" y="0"/>
                            <a:ext cx="981710" cy="72263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C08</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热风循环刀墩柜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119380</wp:posOffset>
                  </wp:positionH>
                  <wp:positionV relativeFrom="paragraph">
                    <wp:posOffset>112395</wp:posOffset>
                  </wp:positionV>
                  <wp:extent cx="621030" cy="800735"/>
                  <wp:effectExtent l="0" t="0" r="7620" b="18415"/>
                  <wp:wrapNone/>
                  <wp:docPr id="180" name="图片_61"/>
                  <wp:cNvGraphicFramePr/>
                  <a:graphic xmlns:a="http://schemas.openxmlformats.org/drawingml/2006/main">
                    <a:graphicData uri="http://schemas.openxmlformats.org/drawingml/2006/picture">
                      <pic:pic xmlns:pic="http://schemas.openxmlformats.org/drawingml/2006/picture">
                        <pic:nvPicPr>
                          <pic:cNvPr id="180" name="图片_61"/>
                          <pic:cNvPicPr/>
                        </pic:nvPicPr>
                        <pic:blipFill>
                          <a:blip r:embed="rId28"/>
                          <a:stretch>
                            <a:fillRect/>
                          </a:stretch>
                        </pic:blipFill>
                        <pic:spPr>
                          <a:xfrm>
                            <a:off x="0" y="0"/>
                            <a:ext cx="621030" cy="80073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1、材质采用304#优质不锈钢磨砂板制作，柜体厚度≥1.2mm；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2、柜内采用热风循环加温消毒方式，消毒温度≦130℃；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3、额定电压：AC220V  功率：0.6KW</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4、容积：409L；</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5、控制方式：时间/温度。</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C09</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四门高身冰柜（双温）</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0768" behindDoc="0" locked="0" layoutInCell="1" allowOverlap="1">
                  <wp:simplePos x="0" y="0"/>
                  <wp:positionH relativeFrom="column">
                    <wp:posOffset>179705</wp:posOffset>
                  </wp:positionH>
                  <wp:positionV relativeFrom="paragraph">
                    <wp:posOffset>642620</wp:posOffset>
                  </wp:positionV>
                  <wp:extent cx="505460" cy="1080135"/>
                  <wp:effectExtent l="0" t="0" r="8890" b="5715"/>
                  <wp:wrapNone/>
                  <wp:docPr id="179" name="图片_28"/>
                  <wp:cNvGraphicFramePr/>
                  <a:graphic xmlns:a="http://schemas.openxmlformats.org/drawingml/2006/main">
                    <a:graphicData uri="http://schemas.openxmlformats.org/drawingml/2006/picture">
                      <pic:pic xmlns:pic="http://schemas.openxmlformats.org/drawingml/2006/picture">
                        <pic:nvPicPr>
                          <pic:cNvPr id="179" name="图片_28"/>
                          <pic:cNvPicPr/>
                        </pic:nvPicPr>
                        <pic:blipFill>
                          <a:blip r:embed="rId29"/>
                          <a:stretch>
                            <a:fillRect/>
                          </a:stretch>
                        </pic:blipFill>
                        <pic:spPr>
                          <a:xfrm>
                            <a:off x="0" y="0"/>
                            <a:ext cx="505460" cy="108013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▲1、外形参数：≥1200*760*1965mm，功率：≥370W ;温度范围：+4~-5/-3~-18℃；（提供加盖供应商鲜章的证明材料佐证）</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2、容积：910L（±10L），产品达到一级能效；（提供加盖供应商鲜章的中国节能产品认证试验报告佐证，并且试验依据符合GB26920.2-2015）</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▲3、产品符合GB/T26125-2011、GB/T26572-2011要求；（提供加盖供应商鲜章的产品检测报告佐证）</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▲4、产品整机材质达到食品级，提供产品CQC食品接触产品安全认证证书；                                                                     （复印件加盖供应商鲜章）                                                5、供应商所使用压缩机必须符合GB4706.1-2005、GB4706.17-2010,并提供压缩机供应商的中国国家强制性产品认证证书                                                                       ▲6、具有2020年产品责任险（附加保险单明细复印件并加盖供应商鲜章）；</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▲7、提供制造商针对本项目出具的售后服务承诺。（承诺在接到使用方维修通知后24小时内上门维修）</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备注：上述要求提供的产品认证证书、检测报告上的型号必须与所投产品型号一致，型号不一致视为偏离。</w:t>
            </w:r>
          </w:p>
        </w:tc>
      </w:tr>
      <w:tr>
        <w:tblPrEx>
          <w:tblCellMar>
            <w:top w:w="0" w:type="dxa"/>
            <w:left w:w="108" w:type="dxa"/>
            <w:bottom w:w="0" w:type="dxa"/>
            <w:right w:w="108" w:type="dxa"/>
          </w:tblCellMar>
        </w:tblPrEx>
        <w:trPr>
          <w:trHeight w:val="778"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面点间</w:t>
            </w:r>
          </w:p>
        </w:tc>
      </w:tr>
      <w:tr>
        <w:tblPrEx>
          <w:tblCellMar>
            <w:top w:w="0" w:type="dxa"/>
            <w:left w:w="108" w:type="dxa"/>
            <w:bottom w:w="0" w:type="dxa"/>
            <w:right w:w="108" w:type="dxa"/>
          </w:tblCellMar>
        </w:tblPrEx>
        <w:trPr>
          <w:trHeight w:val="317"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不锈钢揉面工作台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1792" behindDoc="0" locked="0" layoutInCell="1" allowOverlap="1">
                  <wp:simplePos x="0" y="0"/>
                  <wp:positionH relativeFrom="column">
                    <wp:posOffset>46990</wp:posOffset>
                  </wp:positionH>
                  <wp:positionV relativeFrom="paragraph">
                    <wp:posOffset>238125</wp:posOffset>
                  </wp:positionV>
                  <wp:extent cx="834390" cy="647700"/>
                  <wp:effectExtent l="0" t="0" r="3810" b="0"/>
                  <wp:wrapNone/>
                  <wp:docPr id="178" name="图片_56_SpCnt_1"/>
                  <wp:cNvGraphicFramePr/>
                  <a:graphic xmlns:a="http://schemas.openxmlformats.org/drawingml/2006/main">
                    <a:graphicData uri="http://schemas.openxmlformats.org/drawingml/2006/picture">
                      <pic:pic xmlns:pic="http://schemas.openxmlformats.org/drawingml/2006/picture">
                        <pic:nvPicPr>
                          <pic:cNvPr id="178" name="图片_56_SpCnt_1"/>
                          <pic:cNvPicPr/>
                        </pic:nvPicPr>
                        <pic:blipFill>
                          <a:blip r:embed="rId30"/>
                          <a:stretch>
                            <a:fillRect/>
                          </a:stretch>
                        </pic:blipFill>
                        <pic:spPr>
                          <a:xfrm>
                            <a:off x="0" y="0"/>
                            <a:ext cx="834390" cy="64770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2、面板下衬厚度≧50mm实木板制作，表面作防虫、防腐处理；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3、支架采用50*25*厚度≧1.0mm及38*25*厚度≧1.0mm不锈钢矩管制作，并采用厚度≧1.0mm的U型加强筋承托加固；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4、立柱采用直径φ51*厚度≧1.0mm不锈钢圆管，并配可调节高度子弹脚。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和面机</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2816" behindDoc="0" locked="0" layoutInCell="1" allowOverlap="1">
                  <wp:simplePos x="0" y="0"/>
                  <wp:positionH relativeFrom="column">
                    <wp:posOffset>41275</wp:posOffset>
                  </wp:positionH>
                  <wp:positionV relativeFrom="paragraph">
                    <wp:posOffset>220345</wp:posOffset>
                  </wp:positionV>
                  <wp:extent cx="786765" cy="640080"/>
                  <wp:effectExtent l="0" t="0" r="13335" b="7620"/>
                  <wp:wrapNone/>
                  <wp:docPr id="116" name="图片_78"/>
                  <wp:cNvGraphicFramePr/>
                  <a:graphic xmlns:a="http://schemas.openxmlformats.org/drawingml/2006/main">
                    <a:graphicData uri="http://schemas.openxmlformats.org/drawingml/2006/picture">
                      <pic:pic xmlns:pic="http://schemas.openxmlformats.org/drawingml/2006/picture">
                        <pic:nvPicPr>
                          <pic:cNvPr id="116" name="图片_78"/>
                          <pic:cNvPicPr/>
                        </pic:nvPicPr>
                        <pic:blipFill>
                          <a:blip r:embed="rId31"/>
                          <a:stretch>
                            <a:fillRect/>
                          </a:stretch>
                        </pic:blipFill>
                        <pic:spPr>
                          <a:xfrm>
                            <a:off x="0" y="0"/>
                            <a:ext cx="786765" cy="64008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1、全不锈钢面斗，桨叶式和面，电机为全铜电机。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2、每次和面量≧50KG、额定功率：3+0.55KW；</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3840" behindDoc="0" locked="0" layoutInCell="1" allowOverlap="1">
                  <wp:simplePos x="0" y="0"/>
                  <wp:positionH relativeFrom="column">
                    <wp:posOffset>99695</wp:posOffset>
                  </wp:positionH>
                  <wp:positionV relativeFrom="paragraph">
                    <wp:posOffset>219710</wp:posOffset>
                  </wp:positionV>
                  <wp:extent cx="740410" cy="942340"/>
                  <wp:effectExtent l="0" t="0" r="2540" b="10160"/>
                  <wp:wrapNone/>
                  <wp:docPr id="132" name="图片_40"/>
                  <wp:cNvGraphicFramePr/>
                  <a:graphic xmlns:a="http://schemas.openxmlformats.org/drawingml/2006/main">
                    <a:graphicData uri="http://schemas.openxmlformats.org/drawingml/2006/picture">
                      <pic:pic xmlns:pic="http://schemas.openxmlformats.org/drawingml/2006/picture">
                        <pic:nvPicPr>
                          <pic:cNvPr id="132" name="图片_40"/>
                          <pic:cNvPicPr/>
                        </pic:nvPicPr>
                        <pic:blipFill>
                          <a:blip r:embed="rId32"/>
                          <a:stretch>
                            <a:fillRect/>
                          </a:stretch>
                        </pic:blipFill>
                        <pic:spPr>
                          <a:xfrm>
                            <a:off x="0" y="0"/>
                            <a:ext cx="740410" cy="94234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5、星盆尺寸：≥500*500*280（mm）；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D04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4864" behindDoc="0" locked="0" layoutInCell="1" allowOverlap="1">
                  <wp:simplePos x="0" y="0"/>
                  <wp:positionH relativeFrom="column">
                    <wp:posOffset>-9525</wp:posOffset>
                  </wp:positionH>
                  <wp:positionV relativeFrom="paragraph">
                    <wp:posOffset>347345</wp:posOffset>
                  </wp:positionV>
                  <wp:extent cx="887730" cy="387985"/>
                  <wp:effectExtent l="0" t="0" r="7620" b="12065"/>
                  <wp:wrapNone/>
                  <wp:docPr id="133" name="图片_31_SpCnt_4"/>
                  <wp:cNvGraphicFramePr/>
                  <a:graphic xmlns:a="http://schemas.openxmlformats.org/drawingml/2006/main">
                    <a:graphicData uri="http://schemas.openxmlformats.org/drawingml/2006/picture">
                      <pic:pic xmlns:pic="http://schemas.openxmlformats.org/drawingml/2006/picture">
                        <pic:nvPicPr>
                          <pic:cNvPr id="133" name="图片_31_SpCnt_4"/>
                          <pic:cNvPicPr/>
                        </pic:nvPicPr>
                        <pic:blipFill>
                          <a:blip r:embed="rId25"/>
                          <a:stretch>
                            <a:fillRect/>
                          </a:stretch>
                        </pic:blipFill>
                        <pic:spPr>
                          <a:xfrm>
                            <a:off x="0" y="0"/>
                            <a:ext cx="887730" cy="38798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186"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D05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面店放置架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i w:val="0"/>
                <w:iCs w:val="0"/>
                <w:color w:val="000000"/>
                <w:sz w:val="20"/>
                <w:szCs w:val="20"/>
                <w:u w:val="none"/>
              </w:rPr>
            </w:pP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放置面点，1200*500*1500</w:t>
            </w:r>
          </w:p>
        </w:tc>
      </w:tr>
      <w:tr>
        <w:tblPrEx>
          <w:tblCellMar>
            <w:top w:w="0" w:type="dxa"/>
            <w:left w:w="108" w:type="dxa"/>
            <w:bottom w:w="0" w:type="dxa"/>
            <w:right w:w="108" w:type="dxa"/>
          </w:tblCellMar>
        </w:tblPrEx>
        <w:trPr>
          <w:trHeight w:val="685"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炒菜区，蒸煮区</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燃气蒸箱（双门燃气蒸饭柜）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5888" behindDoc="0" locked="0" layoutInCell="1" allowOverlap="1">
                  <wp:simplePos x="0" y="0"/>
                  <wp:positionH relativeFrom="column">
                    <wp:posOffset>40640</wp:posOffset>
                  </wp:positionH>
                  <wp:positionV relativeFrom="paragraph">
                    <wp:posOffset>1009650</wp:posOffset>
                  </wp:positionV>
                  <wp:extent cx="865505" cy="775970"/>
                  <wp:effectExtent l="0" t="0" r="10795" b="5080"/>
                  <wp:wrapNone/>
                  <wp:docPr id="115" name="图片_92"/>
                  <wp:cNvGraphicFramePr/>
                  <a:graphic xmlns:a="http://schemas.openxmlformats.org/drawingml/2006/main">
                    <a:graphicData uri="http://schemas.openxmlformats.org/drawingml/2006/picture">
                      <pic:pic xmlns:pic="http://schemas.openxmlformats.org/drawingml/2006/picture">
                        <pic:nvPicPr>
                          <pic:cNvPr id="115" name="图片_92"/>
                          <pic:cNvPicPr/>
                        </pic:nvPicPr>
                        <pic:blipFill>
                          <a:blip r:embed="rId33"/>
                          <a:stretch>
                            <a:fillRect/>
                          </a:stretch>
                        </pic:blipFill>
                        <pic:spPr>
                          <a:xfrm>
                            <a:off x="0" y="0"/>
                            <a:ext cx="865505" cy="77597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1、外形尺寸：1390*660*1720（mm）采用优质加厚201不锈钢联众板材，不锈钢把手以及24个201不锈钢蒸饭盘                                                 2、整体高密度发泡，加厚保温层，保温效果好，箱体强度高，提高承重能力，发泡设备及环保发泡剂，内胆一次拉伸成型，易于清洗                                            3、箱体内部加装加厚钢条，防止变形，自动进水装置，自带溢水阀，防止烫伤                                                              ▲4、产品符合GB35848-2018,并提供省级及以上检测报告（复印件加盖供应商鲜章）                                                                    ▲5、具有2020年产品责任险（附加保险单明细复印件并加盖供应商鲜章）；                                                      ▲6、蒸饭车供应商配置的米饭盘符合GB4806.9-2016要求，并提供相应检测报告（复印件加盖供应商鲜章）</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 xml:space="preserve">7、提供中国高新技术企业认证证书（复印件加盖供应商鲜章）                                                   </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注：以上所需资质均要求加盖供应商鲜章，否则视为负偏离</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不锈钢饭盘</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49530</wp:posOffset>
                  </wp:positionH>
                  <wp:positionV relativeFrom="paragraph">
                    <wp:posOffset>394335</wp:posOffset>
                  </wp:positionV>
                  <wp:extent cx="818515" cy="303530"/>
                  <wp:effectExtent l="0" t="0" r="635" b="1270"/>
                  <wp:wrapNone/>
                  <wp:docPr id="113" name="图片_87"/>
                  <wp:cNvGraphicFramePr/>
                  <a:graphic xmlns:a="http://schemas.openxmlformats.org/drawingml/2006/main">
                    <a:graphicData uri="http://schemas.openxmlformats.org/drawingml/2006/picture">
                      <pic:pic xmlns:pic="http://schemas.openxmlformats.org/drawingml/2006/picture">
                        <pic:nvPicPr>
                          <pic:cNvPr id="113" name="图片_87"/>
                          <pic:cNvPicPr/>
                        </pic:nvPicPr>
                        <pic:blipFill>
                          <a:blip r:embed="rId34"/>
                          <a:stretch>
                            <a:fillRect/>
                          </a:stretch>
                        </pic:blipFill>
                        <pic:spPr>
                          <a:xfrm>
                            <a:off x="0" y="0"/>
                            <a:ext cx="818515" cy="30353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1、材质采用304#不锈钢板制作，厚度≧0.6mm；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2、整体模压成型。</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不锈钢馒头盘</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7936" behindDoc="0" locked="0" layoutInCell="1" allowOverlap="1">
                  <wp:simplePos x="0" y="0"/>
                  <wp:positionH relativeFrom="column">
                    <wp:posOffset>-1905</wp:posOffset>
                  </wp:positionH>
                  <wp:positionV relativeFrom="paragraph">
                    <wp:posOffset>346710</wp:posOffset>
                  </wp:positionV>
                  <wp:extent cx="957580" cy="329565"/>
                  <wp:effectExtent l="0" t="0" r="13970" b="13335"/>
                  <wp:wrapNone/>
                  <wp:docPr id="109" name="图片_86"/>
                  <wp:cNvGraphicFramePr/>
                  <a:graphic xmlns:a="http://schemas.openxmlformats.org/drawingml/2006/main">
                    <a:graphicData uri="http://schemas.openxmlformats.org/drawingml/2006/picture">
                      <pic:pic xmlns:pic="http://schemas.openxmlformats.org/drawingml/2006/picture">
                        <pic:nvPicPr>
                          <pic:cNvPr id="109" name="图片_86"/>
                          <pic:cNvPicPr/>
                        </pic:nvPicPr>
                        <pic:blipFill>
                          <a:blip r:embed="rId35"/>
                          <a:stretch>
                            <a:fillRect/>
                          </a:stretch>
                        </pic:blipFill>
                        <pic:spPr>
                          <a:xfrm>
                            <a:off x="0" y="0"/>
                            <a:ext cx="957580" cy="32956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1、材质采用304#不锈钢板制作，厚度≧0.6mm；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2、整体模压成型，表面均匀冲圆孔；</w:t>
            </w:r>
          </w:p>
        </w:tc>
      </w:tr>
      <w:tr>
        <w:tblPrEx>
          <w:tblCellMar>
            <w:top w:w="0" w:type="dxa"/>
            <w:left w:w="108" w:type="dxa"/>
            <w:bottom w:w="0" w:type="dxa"/>
            <w:right w:w="108" w:type="dxa"/>
          </w:tblCellMar>
        </w:tblPrEx>
        <w:trPr>
          <w:trHeight w:val="1249"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中餐燃气炒菜灶（单头单尾小炒炉）</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64770</wp:posOffset>
                  </wp:positionH>
                  <wp:positionV relativeFrom="paragraph">
                    <wp:posOffset>744855</wp:posOffset>
                  </wp:positionV>
                  <wp:extent cx="804545" cy="756920"/>
                  <wp:effectExtent l="0" t="0" r="14605" b="5080"/>
                  <wp:wrapNone/>
                  <wp:docPr id="122" name="图片_65"/>
                  <wp:cNvGraphicFramePr/>
                  <a:graphic xmlns:a="http://schemas.openxmlformats.org/drawingml/2006/main">
                    <a:graphicData uri="http://schemas.openxmlformats.org/drawingml/2006/picture">
                      <pic:pic xmlns:pic="http://schemas.openxmlformats.org/drawingml/2006/picture">
                        <pic:nvPicPr>
                          <pic:cNvPr id="122" name="图片_65"/>
                          <pic:cNvPicPr/>
                        </pic:nvPicPr>
                        <pic:blipFill>
                          <a:blip r:embed="rId36"/>
                          <a:stretch>
                            <a:fillRect/>
                          </a:stretch>
                        </pic:blipFill>
                        <pic:spPr>
                          <a:xfrm>
                            <a:off x="0" y="0"/>
                            <a:ext cx="804545" cy="75692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1、材质采用304#不锈钢磨砂板整体冲压成型，面板厚度≧1.2mm；前挡、侧挡厚度≧1.5mm厚，门板厚度≧1.2mm厚，侧板、后板厚度≧1.0mm厚；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2、炉面配置炒围铸铁锅圈；炉面前沿设置水槽及滤水板，后沿设置喷淋系统以冷却面板；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3、炉面下衬厚度≧30mm硅酸铝保温材料及厚度≧1.5mm优质钢板；炉膛采用厚度≧1.2mm钢板制作，并以耐火砖砌实；</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4、配置直径≧4寸不锈钢静音炉头1套（环保预混式、超静音设计、高效节能），220V/250W中压风机1台、气阀、火种阀1套；炉头配置电源开关、风气联动及脉冲电子点火系统1套；</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5、炉架采用40*40*厚度≧4mm角钢焊接，表面双层防锈处理；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6、炉脚采用直径φ51*厚度≧1.2mm不锈钢管并配可调节子弹脚；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7、附件：不锈钢尾围吊锅1个、不锈钢锅架1个、摇摆水龙头1支。</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不锈钢调料拼台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196850</wp:posOffset>
                  </wp:positionH>
                  <wp:positionV relativeFrom="paragraph">
                    <wp:posOffset>116840</wp:posOffset>
                  </wp:positionV>
                  <wp:extent cx="595630" cy="911860"/>
                  <wp:effectExtent l="0" t="0" r="13970" b="2540"/>
                  <wp:wrapNone/>
                  <wp:docPr id="171" name="Picture_3"/>
                  <wp:cNvGraphicFramePr/>
                  <a:graphic xmlns:a="http://schemas.openxmlformats.org/drawingml/2006/main">
                    <a:graphicData uri="http://schemas.openxmlformats.org/drawingml/2006/picture">
                      <pic:pic xmlns:pic="http://schemas.openxmlformats.org/drawingml/2006/picture">
                        <pic:nvPicPr>
                          <pic:cNvPr id="171" name="Picture_3"/>
                          <pic:cNvPicPr/>
                        </pic:nvPicPr>
                        <pic:blipFill>
                          <a:blip r:embed="rId37"/>
                          <a:stretch>
                            <a:fillRect/>
                          </a:stretch>
                        </pic:blipFill>
                        <pic:spPr>
                          <a:xfrm>
                            <a:off x="0" y="0"/>
                            <a:ext cx="595630" cy="91186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1、材质采用304#不锈钢磨砂板制作，面板厚度≥1.2mm、侧板厚度≥1.0mm；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2、台面下垫厚度≥13mm优质木工板，并以厚度≥1.0mm的U形加强槽钢承托补固；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3、立管采用直径¢38*厚度≥1.0mm不锈钢管，连可调节高度子弹脚。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▲4、提供产品经第三方机构认证的带CQC标志的食品接触产品安全认证证书的复印件加盖供应商鲜章。</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吊汤炉（双头）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-3810</wp:posOffset>
                  </wp:positionH>
                  <wp:positionV relativeFrom="paragraph">
                    <wp:posOffset>606425</wp:posOffset>
                  </wp:positionV>
                  <wp:extent cx="954405" cy="742315"/>
                  <wp:effectExtent l="0" t="0" r="17145" b="635"/>
                  <wp:wrapNone/>
                  <wp:docPr id="130" name="图片_46"/>
                  <wp:cNvGraphicFramePr/>
                  <a:graphic xmlns:a="http://schemas.openxmlformats.org/drawingml/2006/main">
                    <a:graphicData uri="http://schemas.openxmlformats.org/drawingml/2006/picture">
                      <pic:pic xmlns:pic="http://schemas.openxmlformats.org/drawingml/2006/picture">
                        <pic:nvPicPr>
                          <pic:cNvPr id="130" name="图片_46"/>
                          <pic:cNvPicPr/>
                        </pic:nvPicPr>
                        <pic:blipFill>
                          <a:blip r:embed="rId38"/>
                          <a:stretch>
                            <a:fillRect/>
                          </a:stretch>
                        </pic:blipFill>
                        <pic:spPr>
                          <a:xfrm>
                            <a:off x="0" y="0"/>
                            <a:ext cx="954405" cy="7423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1、材质采用304#不锈钢磨砂板，面板厚度≧1.2mm，前挡、侧挡、后挡厚度≧1.0mm，门板、侧板厚度≧0.8mm；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2、面板配置铸铁炉花架2个，同时设置风机防水板起到有效保护风机作用；</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3、炉面下衬厚度≧1.5mm优质钢板，炉膛采用厚度≧1.2mm钢板制作，并以耐火砖砌实；</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4、选用4寸*2套不锈钢静音炉头（环保预混式、超静音设计、高效节能），每个炉头配置电源开关及脉冲电子点火系统；</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5、配置2台中压炉用风机，单台功率≧220V/250W；</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6、炉架采用40*40*厚度≧4mm角钢焊接，表面防锈处理；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7、炉通采用直径φ51*厚度≧1.2mm不锈钢管，并配可调节子弹脚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8、附件：摇摆水龙头1支。</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油网烟罩</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2032" behindDoc="0" locked="0" layoutInCell="1" allowOverlap="1">
                  <wp:simplePos x="0" y="0"/>
                  <wp:positionH relativeFrom="column">
                    <wp:posOffset>-10160</wp:posOffset>
                  </wp:positionH>
                  <wp:positionV relativeFrom="paragraph">
                    <wp:posOffset>337820</wp:posOffset>
                  </wp:positionV>
                  <wp:extent cx="895350" cy="245745"/>
                  <wp:effectExtent l="0" t="0" r="0" b="1905"/>
                  <wp:wrapNone/>
                  <wp:docPr id="114" name="图片_52"/>
                  <wp:cNvGraphicFramePr/>
                  <a:graphic xmlns:a="http://schemas.openxmlformats.org/drawingml/2006/main">
                    <a:graphicData uri="http://schemas.openxmlformats.org/drawingml/2006/picture">
                      <pic:pic xmlns:pic="http://schemas.openxmlformats.org/drawingml/2006/picture">
                        <pic:nvPicPr>
                          <pic:cNvPr id="114" name="图片_52"/>
                          <pic:cNvPicPr/>
                        </pic:nvPicPr>
                        <pic:blipFill>
                          <a:blip r:embed="rId39"/>
                          <a:stretch>
                            <a:fillRect/>
                          </a:stretch>
                        </pic:blipFill>
                        <pic:spPr>
                          <a:xfrm>
                            <a:off x="0" y="0"/>
                            <a:ext cx="895350" cy="2457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1、材质采用不锈钢磨砂板制作，侧板、罩体厚度≥1.2mm，滤油格厚度≥1.0mm；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2、每节烟罩配置接油槽及接油杯各一套。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E08</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炉面拼台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222885</wp:posOffset>
                  </wp:positionH>
                  <wp:positionV relativeFrom="paragraph">
                    <wp:posOffset>92710</wp:posOffset>
                  </wp:positionV>
                  <wp:extent cx="565150" cy="861060"/>
                  <wp:effectExtent l="0" t="0" r="6350" b="15875"/>
                  <wp:wrapNone/>
                  <wp:docPr id="106" name="Picture_3_SpCnt_1"/>
                  <wp:cNvGraphicFramePr/>
                  <a:graphic xmlns:a="http://schemas.openxmlformats.org/drawingml/2006/main">
                    <a:graphicData uri="http://schemas.openxmlformats.org/drawingml/2006/picture">
                      <pic:pic xmlns:pic="http://schemas.openxmlformats.org/drawingml/2006/picture">
                        <pic:nvPicPr>
                          <pic:cNvPr id="106" name="Picture_3_SpCnt_1"/>
                          <pic:cNvPicPr/>
                        </pic:nvPicPr>
                        <pic:blipFill>
                          <a:blip r:embed="rId40"/>
                          <a:stretch>
                            <a:fillRect/>
                          </a:stretch>
                        </pic:blipFill>
                        <pic:spPr>
                          <a:xfrm>
                            <a:off x="0" y="0"/>
                            <a:ext cx="565150" cy="86106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1、材质采用304#不锈钢磨砂板制作，面板厚度≥1.2mm、侧板厚度≥1.0mm；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2、台面下垫厚度≥13mm优质木工板，并以厚度≥1.0mm的U形加强槽钢承托补固；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3、立管采用直径¢38*厚度≥1.0mm不锈钢管，连可调节高度子弹脚。</w:t>
            </w:r>
          </w:p>
        </w:tc>
      </w:tr>
      <w:tr>
        <w:tblPrEx>
          <w:tblCellMar>
            <w:top w:w="0" w:type="dxa"/>
            <w:left w:w="108" w:type="dxa"/>
            <w:bottom w:w="0" w:type="dxa"/>
            <w:right w:w="108" w:type="dxa"/>
          </w:tblCellMar>
        </w:tblPrEx>
        <w:trPr>
          <w:trHeight w:val="1162"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E09</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炊用燃气大锅灶（双头）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4445</wp:posOffset>
                  </wp:positionH>
                  <wp:positionV relativeFrom="paragraph">
                    <wp:posOffset>1233170</wp:posOffset>
                  </wp:positionV>
                  <wp:extent cx="858520" cy="523875"/>
                  <wp:effectExtent l="0" t="0" r="17780" b="9525"/>
                  <wp:wrapNone/>
                  <wp:docPr id="118" name="图片_66"/>
                  <wp:cNvGraphicFramePr/>
                  <a:graphic xmlns:a="http://schemas.openxmlformats.org/drawingml/2006/main">
                    <a:graphicData uri="http://schemas.openxmlformats.org/drawingml/2006/picture">
                      <pic:pic xmlns:pic="http://schemas.openxmlformats.org/drawingml/2006/picture">
                        <pic:nvPicPr>
                          <pic:cNvPr id="118" name="图片_66"/>
                          <pic:cNvPicPr/>
                        </pic:nvPicPr>
                        <pic:blipFill>
                          <a:blip r:embed="rId41"/>
                          <a:stretch>
                            <a:fillRect/>
                          </a:stretch>
                        </pic:blipFill>
                        <pic:spPr>
                          <a:xfrm>
                            <a:off x="0" y="0"/>
                            <a:ext cx="858520" cy="52387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1、整体采用304不锈钢板；面板≥1.5mm厚，围板、背板、侧板、后挡板≥1.2mm厚；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2、内衬台面板、炉膛使用A3黑铁板，并以耐火砖砌实，前沿带溢水排污槽，配挡渣板；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3、炉体骨架采用≥40*40*4（mm）角钢加固，立柱采用304≥Φ51*1.2mm不锈钢管内含钢柱，配可调节高度子弹脚；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4、燃烧噪声≦60dB(A)；</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5、干烟气中CO（a=1）的含量≤0.03%；</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▲6、气密性要求：在15KPa压力下，燃气系统漏气量≦0.01L/h，提供第三方检测机构出具的产品检验检测报告佐证；</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8、产品达到具有一级能效（提供能效标识及能源效率检测报告盖投标人鲜章）；</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9、配不锈钢全钢摇摆水龙头；</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11、产品符合中国环境标志(Ⅱ型）产品认证证书，提供加盖投标人鲜章的证明文件；</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E10</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油网烟罩</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米</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48895</wp:posOffset>
                  </wp:positionH>
                  <wp:positionV relativeFrom="paragraph">
                    <wp:posOffset>373380</wp:posOffset>
                  </wp:positionV>
                  <wp:extent cx="878840" cy="270510"/>
                  <wp:effectExtent l="0" t="0" r="16510" b="15240"/>
                  <wp:wrapNone/>
                  <wp:docPr id="111" name="图片_53"/>
                  <wp:cNvGraphicFramePr/>
                  <a:graphic xmlns:a="http://schemas.openxmlformats.org/drawingml/2006/main">
                    <a:graphicData uri="http://schemas.openxmlformats.org/drawingml/2006/picture">
                      <pic:pic xmlns:pic="http://schemas.openxmlformats.org/drawingml/2006/picture">
                        <pic:nvPicPr>
                          <pic:cNvPr id="111" name="图片_53"/>
                          <pic:cNvPicPr/>
                        </pic:nvPicPr>
                        <pic:blipFill>
                          <a:blip r:embed="rId39"/>
                          <a:stretch>
                            <a:fillRect/>
                          </a:stretch>
                        </pic:blipFill>
                        <pic:spPr>
                          <a:xfrm>
                            <a:off x="0" y="0"/>
                            <a:ext cx="878840" cy="27051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1、材质采用不锈钢磨砂板制作，侧板、罩体厚度≥1.2mm，滤油格厚度≥1.0mm；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2、每节烟罩配置接油槽及接油杯各一套。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E11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65405</wp:posOffset>
                  </wp:positionH>
                  <wp:positionV relativeFrom="paragraph">
                    <wp:posOffset>327660</wp:posOffset>
                  </wp:positionV>
                  <wp:extent cx="894715" cy="573405"/>
                  <wp:effectExtent l="0" t="0" r="635" b="17145"/>
                  <wp:wrapNone/>
                  <wp:docPr id="128" name="Picture_8_SpCnt_2"/>
                  <wp:cNvGraphicFramePr/>
                  <a:graphic xmlns:a="http://schemas.openxmlformats.org/drawingml/2006/main">
                    <a:graphicData uri="http://schemas.openxmlformats.org/drawingml/2006/picture">
                      <pic:pic xmlns:pic="http://schemas.openxmlformats.org/drawingml/2006/picture">
                        <pic:nvPicPr>
                          <pic:cNvPr id="128" name="Picture_8_SpCnt_2"/>
                          <pic:cNvPicPr/>
                        </pic:nvPicPr>
                        <pic:blipFill>
                          <a:blip r:embed="rId42"/>
                          <a:stretch>
                            <a:fillRect/>
                          </a:stretch>
                        </pic:blipFill>
                        <pic:spPr>
                          <a:xfrm>
                            <a:off x="0" y="0"/>
                            <a:ext cx="894715" cy="57340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54610</wp:posOffset>
                  </wp:positionH>
                  <wp:positionV relativeFrom="paragraph">
                    <wp:posOffset>284480</wp:posOffset>
                  </wp:positionV>
                  <wp:extent cx="847090" cy="723900"/>
                  <wp:effectExtent l="0" t="0" r="10160" b="0"/>
                  <wp:wrapNone/>
                  <wp:docPr id="117" name="Picture_8_SpCnt_3"/>
                  <wp:cNvGraphicFramePr/>
                  <a:graphic xmlns:a="http://schemas.openxmlformats.org/drawingml/2006/main">
                    <a:graphicData uri="http://schemas.openxmlformats.org/drawingml/2006/picture">
                      <pic:pic xmlns:pic="http://schemas.openxmlformats.org/drawingml/2006/picture">
                        <pic:nvPicPr>
                          <pic:cNvPr id="117" name="Picture_8_SpCnt_3"/>
                          <pic:cNvPicPr/>
                        </pic:nvPicPr>
                        <pic:blipFill>
                          <a:blip r:embed="rId43"/>
                          <a:stretch>
                            <a:fillRect/>
                          </a:stretch>
                        </pic:blipFill>
                        <pic:spPr>
                          <a:xfrm>
                            <a:off x="0" y="0"/>
                            <a:ext cx="847090" cy="72390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-1270</wp:posOffset>
                  </wp:positionH>
                  <wp:positionV relativeFrom="paragraph">
                    <wp:posOffset>184785</wp:posOffset>
                  </wp:positionV>
                  <wp:extent cx="857885" cy="781685"/>
                  <wp:effectExtent l="0" t="0" r="18415" b="18415"/>
                  <wp:wrapNone/>
                  <wp:docPr id="127" name="图片_68"/>
                  <wp:cNvGraphicFramePr/>
                  <a:graphic xmlns:a="http://schemas.openxmlformats.org/drawingml/2006/main">
                    <a:graphicData uri="http://schemas.openxmlformats.org/drawingml/2006/picture">
                      <pic:pic xmlns:pic="http://schemas.openxmlformats.org/drawingml/2006/picture">
                        <pic:nvPicPr>
                          <pic:cNvPr id="127" name="图片_68"/>
                          <pic:cNvPicPr/>
                        </pic:nvPicPr>
                        <pic:blipFill>
                          <a:blip r:embed="rId44"/>
                          <a:stretch>
                            <a:fillRect/>
                          </a:stretch>
                        </pic:blipFill>
                        <pic:spPr>
                          <a:xfrm>
                            <a:off x="0" y="0"/>
                            <a:ext cx="857885" cy="78168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5、星盆尺寸：≥500*500*280（mm）；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43180</wp:posOffset>
                  </wp:positionH>
                  <wp:positionV relativeFrom="paragraph">
                    <wp:posOffset>346710</wp:posOffset>
                  </wp:positionV>
                  <wp:extent cx="783590" cy="386715"/>
                  <wp:effectExtent l="0" t="0" r="16510" b="13335"/>
                  <wp:wrapNone/>
                  <wp:docPr id="125" name="图片_31_SpCnt_5"/>
                  <wp:cNvGraphicFramePr/>
                  <a:graphic xmlns:a="http://schemas.openxmlformats.org/drawingml/2006/main">
                    <a:graphicData uri="http://schemas.openxmlformats.org/drawingml/2006/picture">
                      <pic:pic xmlns:pic="http://schemas.openxmlformats.org/drawingml/2006/picture">
                        <pic:nvPicPr>
                          <pic:cNvPr id="125" name="图片_31_SpCnt_5"/>
                          <pic:cNvPicPr/>
                        </pic:nvPicPr>
                        <pic:blipFill>
                          <a:blip r:embed="rId25"/>
                          <a:stretch>
                            <a:fillRect/>
                          </a:stretch>
                        </pic:blipFill>
                        <pic:spPr>
                          <a:xfrm>
                            <a:off x="0" y="0"/>
                            <a:ext cx="783590" cy="3867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四层格栅层架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0224" behindDoc="0" locked="0" layoutInCell="1" allowOverlap="1">
                  <wp:simplePos x="0" y="0"/>
                  <wp:positionH relativeFrom="column">
                    <wp:posOffset>188595</wp:posOffset>
                  </wp:positionH>
                  <wp:positionV relativeFrom="paragraph">
                    <wp:posOffset>149860</wp:posOffset>
                  </wp:positionV>
                  <wp:extent cx="564515" cy="795655"/>
                  <wp:effectExtent l="0" t="0" r="6985" b="4445"/>
                  <wp:wrapNone/>
                  <wp:docPr id="110" name="图片_63"/>
                  <wp:cNvGraphicFramePr/>
                  <a:graphic xmlns:a="http://schemas.openxmlformats.org/drawingml/2006/main">
                    <a:graphicData uri="http://schemas.openxmlformats.org/drawingml/2006/picture">
                      <pic:pic xmlns:pic="http://schemas.openxmlformats.org/drawingml/2006/picture">
                        <pic:nvPicPr>
                          <pic:cNvPr id="110" name="图片_63"/>
                          <pic:cNvPicPr/>
                        </pic:nvPicPr>
                        <pic:blipFill>
                          <a:blip r:embed="rId45"/>
                          <a:stretch>
                            <a:fillRect/>
                          </a:stretch>
                        </pic:blipFill>
                        <pic:spPr>
                          <a:xfrm>
                            <a:off x="0" y="0"/>
                            <a:ext cx="564515" cy="79565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1、材质采用304#不锈钢磨砂板制作，格栅采用厚度≧1.2mm不锈钢板折弯成型，焊接在前后横档之间；</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2、主骨架采用38*25mm*厚度≧1.0mm不锈钢矩管制作；</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3、立管采用直径φ38mm*厚度≧1.0mm不锈钢圆管制作，并配可调节高度子弹脚。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1248" behindDoc="0" locked="0" layoutInCell="1" allowOverlap="1">
                  <wp:simplePos x="0" y="0"/>
                  <wp:positionH relativeFrom="column">
                    <wp:posOffset>97155</wp:posOffset>
                  </wp:positionH>
                  <wp:positionV relativeFrom="paragraph">
                    <wp:posOffset>330835</wp:posOffset>
                  </wp:positionV>
                  <wp:extent cx="815340" cy="637540"/>
                  <wp:effectExtent l="0" t="0" r="3810" b="10160"/>
                  <wp:wrapNone/>
                  <wp:docPr id="119" name="Picture_8_SpCnt_4"/>
                  <wp:cNvGraphicFramePr/>
                  <a:graphic xmlns:a="http://schemas.openxmlformats.org/drawingml/2006/main">
                    <a:graphicData uri="http://schemas.openxmlformats.org/drawingml/2006/picture">
                      <pic:pic xmlns:pic="http://schemas.openxmlformats.org/drawingml/2006/picture">
                        <pic:nvPicPr>
                          <pic:cNvPr id="119" name="Picture_8_SpCnt_4"/>
                          <pic:cNvPicPr/>
                        </pic:nvPicPr>
                        <pic:blipFill>
                          <a:blip r:embed="rId42"/>
                          <a:stretch>
                            <a:fillRect/>
                          </a:stretch>
                        </pic:blipFill>
                        <pic:spPr>
                          <a:xfrm>
                            <a:off x="0" y="0"/>
                            <a:ext cx="815340" cy="63754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双通工作台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2272" behindDoc="0" locked="0" layoutInCell="1" allowOverlap="1">
                  <wp:simplePos x="0" y="0"/>
                  <wp:positionH relativeFrom="column">
                    <wp:posOffset>52070</wp:posOffset>
                  </wp:positionH>
                  <wp:positionV relativeFrom="paragraph">
                    <wp:posOffset>367030</wp:posOffset>
                  </wp:positionV>
                  <wp:extent cx="847090" cy="724535"/>
                  <wp:effectExtent l="0" t="0" r="10160" b="18415"/>
                  <wp:wrapNone/>
                  <wp:docPr id="105" name="Picture_8_SpCnt_5"/>
                  <wp:cNvGraphicFramePr/>
                  <a:graphic xmlns:a="http://schemas.openxmlformats.org/drawingml/2006/main">
                    <a:graphicData uri="http://schemas.openxmlformats.org/drawingml/2006/picture">
                      <pic:pic xmlns:pic="http://schemas.openxmlformats.org/drawingml/2006/picture">
                        <pic:nvPicPr>
                          <pic:cNvPr id="105" name="Picture_8_SpCnt_5"/>
                          <pic:cNvPicPr/>
                        </pic:nvPicPr>
                        <pic:blipFill>
                          <a:blip r:embed="rId46"/>
                          <a:stretch>
                            <a:fillRect/>
                          </a:stretch>
                        </pic:blipFill>
                        <pic:spPr>
                          <a:xfrm>
                            <a:off x="0" y="0"/>
                            <a:ext cx="847090" cy="72453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1、材质采用304#不锈钢磨砂板制作，面板厚度≥1.2mm，侧板、底板、中板厚度≥1.0mm、移门厚度≥0.8mm；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2、面板下衬厚度≥15mm木工板（减震、消音），并以万能胶粘合；</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3、双边柜门选用不锈钢滑动趟门结构，柜内共计2个存放空间，内配1张可拆卸式中板；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4、面板、中板、底板均采用厚度≥1.0mm的U型加强筋承托加固；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5、柜脚采用直径φ38*厚度≥1.0mm不锈钢圆管，并配可调节高度子弹脚。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E18</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大单星盆台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3296" behindDoc="0" locked="0" layoutInCell="1" allowOverlap="1">
                  <wp:simplePos x="0" y="0"/>
                  <wp:positionH relativeFrom="column">
                    <wp:posOffset>-35560</wp:posOffset>
                  </wp:positionH>
                  <wp:positionV relativeFrom="paragraph">
                    <wp:posOffset>375285</wp:posOffset>
                  </wp:positionV>
                  <wp:extent cx="927100" cy="643890"/>
                  <wp:effectExtent l="0" t="0" r="6350" b="3810"/>
                  <wp:wrapNone/>
                  <wp:docPr id="120" name="图片_67"/>
                  <wp:cNvGraphicFramePr/>
                  <a:graphic xmlns:a="http://schemas.openxmlformats.org/drawingml/2006/main">
                    <a:graphicData uri="http://schemas.openxmlformats.org/drawingml/2006/picture">
                      <pic:pic xmlns:pic="http://schemas.openxmlformats.org/drawingml/2006/picture">
                        <pic:nvPicPr>
                          <pic:cNvPr id="120" name="图片_67"/>
                          <pic:cNvPicPr/>
                        </pic:nvPicPr>
                        <pic:blipFill>
                          <a:blip r:embed="rId47"/>
                          <a:stretch>
                            <a:fillRect/>
                          </a:stretch>
                        </pic:blipFill>
                        <pic:spPr>
                          <a:xfrm>
                            <a:off x="0" y="0"/>
                            <a:ext cx="927100" cy="64389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5、星盆尺寸：≥600*500*400（mm）；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E19</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4320" behindDoc="0" locked="0" layoutInCell="1" allowOverlap="1">
                  <wp:simplePos x="0" y="0"/>
                  <wp:positionH relativeFrom="column">
                    <wp:posOffset>69215</wp:posOffset>
                  </wp:positionH>
                  <wp:positionV relativeFrom="paragraph">
                    <wp:posOffset>359410</wp:posOffset>
                  </wp:positionV>
                  <wp:extent cx="728345" cy="285750"/>
                  <wp:effectExtent l="0" t="0" r="14605" b="0"/>
                  <wp:wrapNone/>
                  <wp:docPr id="121" name="图片_31_SpCnt_6"/>
                  <wp:cNvGraphicFramePr/>
                  <a:graphic xmlns:a="http://schemas.openxmlformats.org/drawingml/2006/main">
                    <a:graphicData uri="http://schemas.openxmlformats.org/drawingml/2006/picture">
                      <pic:pic xmlns:pic="http://schemas.openxmlformats.org/drawingml/2006/picture">
                        <pic:nvPicPr>
                          <pic:cNvPr id="121" name="图片_31_SpCnt_6"/>
                          <pic:cNvPicPr/>
                        </pic:nvPicPr>
                        <pic:blipFill>
                          <a:blip r:embed="rId18"/>
                          <a:stretch>
                            <a:fillRect/>
                          </a:stretch>
                        </pic:blipFill>
                        <pic:spPr>
                          <a:xfrm>
                            <a:off x="0" y="0"/>
                            <a:ext cx="728345" cy="28575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808"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学生餐备餐间</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挂墙洗手盆</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5344" behindDoc="0" locked="0" layoutInCell="1" allowOverlap="1">
                  <wp:simplePos x="0" y="0"/>
                  <wp:positionH relativeFrom="column">
                    <wp:posOffset>-5080</wp:posOffset>
                  </wp:positionH>
                  <wp:positionV relativeFrom="paragraph">
                    <wp:posOffset>399415</wp:posOffset>
                  </wp:positionV>
                  <wp:extent cx="932180" cy="395605"/>
                  <wp:effectExtent l="0" t="0" r="1270" b="4445"/>
                  <wp:wrapNone/>
                  <wp:docPr id="112" name="图片_73"/>
                  <wp:cNvGraphicFramePr/>
                  <a:graphic xmlns:a="http://schemas.openxmlformats.org/drawingml/2006/main">
                    <a:graphicData uri="http://schemas.openxmlformats.org/drawingml/2006/picture">
                      <pic:pic xmlns:pic="http://schemas.openxmlformats.org/drawingml/2006/picture">
                        <pic:nvPicPr>
                          <pic:cNvPr id="112" name="图片_73"/>
                          <pic:cNvPicPr/>
                        </pic:nvPicPr>
                        <pic:blipFill>
                          <a:blip r:embed="rId48"/>
                          <a:stretch>
                            <a:fillRect/>
                          </a:stretch>
                        </pic:blipFill>
                        <pic:spPr>
                          <a:xfrm>
                            <a:off x="0" y="0"/>
                            <a:ext cx="932180" cy="39560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1、材质采用304#不锈钢磨砂板制作，面板厚度≥1.2mm，星盆厚度≥1.0mm，侧围板厚度≥0.8mm；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2、星盆尺寸：≥400*300*200mm；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3、配不锈钢落水器1套。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膝顶式龙头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6368" behindDoc="0" locked="0" layoutInCell="1" allowOverlap="1">
                  <wp:simplePos x="0" y="0"/>
                  <wp:positionH relativeFrom="column">
                    <wp:posOffset>125095</wp:posOffset>
                  </wp:positionH>
                  <wp:positionV relativeFrom="paragraph">
                    <wp:posOffset>290195</wp:posOffset>
                  </wp:positionV>
                  <wp:extent cx="657225" cy="591185"/>
                  <wp:effectExtent l="0" t="0" r="9525" b="18415"/>
                  <wp:wrapNone/>
                  <wp:docPr id="126" name="图片_74"/>
                  <wp:cNvGraphicFramePr/>
                  <a:graphic xmlns:a="http://schemas.openxmlformats.org/drawingml/2006/main">
                    <a:graphicData uri="http://schemas.openxmlformats.org/drawingml/2006/picture">
                      <pic:pic xmlns:pic="http://schemas.openxmlformats.org/drawingml/2006/picture">
                        <pic:nvPicPr>
                          <pic:cNvPr id="126" name="图片_74"/>
                          <pic:cNvPicPr/>
                        </pic:nvPicPr>
                        <pic:blipFill>
                          <a:blip r:embed="rId49"/>
                          <a:stretch>
                            <a:fillRect/>
                          </a:stretch>
                        </pic:blipFill>
                        <pic:spPr>
                          <a:xfrm>
                            <a:off x="0" y="0"/>
                            <a:ext cx="657225" cy="59118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1、脚踏控制方式；</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2、连出水装置。</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7392" behindDoc="0" locked="0" layoutInCell="1" allowOverlap="1">
                  <wp:simplePos x="0" y="0"/>
                  <wp:positionH relativeFrom="column">
                    <wp:posOffset>78740</wp:posOffset>
                  </wp:positionH>
                  <wp:positionV relativeFrom="paragraph">
                    <wp:posOffset>430530</wp:posOffset>
                  </wp:positionV>
                  <wp:extent cx="785495" cy="515620"/>
                  <wp:effectExtent l="0" t="0" r="14605" b="17780"/>
                  <wp:wrapNone/>
                  <wp:docPr id="124" name="Picture_40_SpCnt_1"/>
                  <wp:cNvGraphicFramePr/>
                  <a:graphic xmlns:a="http://schemas.openxmlformats.org/drawingml/2006/main">
                    <a:graphicData uri="http://schemas.openxmlformats.org/drawingml/2006/picture">
                      <pic:pic xmlns:pic="http://schemas.openxmlformats.org/drawingml/2006/picture">
                        <pic:nvPicPr>
                          <pic:cNvPr id="124" name="Picture_40_SpCnt_1"/>
                          <pic:cNvPicPr/>
                        </pic:nvPicPr>
                        <pic:blipFill>
                          <a:blip r:embed="rId50"/>
                          <a:stretch>
                            <a:fillRect/>
                          </a:stretch>
                        </pic:blipFill>
                        <pic:spPr>
                          <a:xfrm>
                            <a:off x="0" y="0"/>
                            <a:ext cx="785495" cy="51562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1、材质采用304#不锈钢磨砂板制作，面板及背板厚度≥1.2mm，下层板厚度≥1.0mm；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8416" behindDoc="0" locked="0" layoutInCell="1" allowOverlap="1">
                  <wp:simplePos x="0" y="0"/>
                  <wp:positionH relativeFrom="column">
                    <wp:posOffset>132715</wp:posOffset>
                  </wp:positionH>
                  <wp:positionV relativeFrom="paragraph">
                    <wp:posOffset>410210</wp:posOffset>
                  </wp:positionV>
                  <wp:extent cx="773430" cy="551815"/>
                  <wp:effectExtent l="0" t="0" r="7620" b="635"/>
                  <wp:wrapNone/>
                  <wp:docPr id="129" name="Picture_40_SpCnt_2"/>
                  <wp:cNvGraphicFramePr/>
                  <a:graphic xmlns:a="http://schemas.openxmlformats.org/drawingml/2006/main">
                    <a:graphicData uri="http://schemas.openxmlformats.org/drawingml/2006/picture">
                      <pic:pic xmlns:pic="http://schemas.openxmlformats.org/drawingml/2006/picture">
                        <pic:nvPicPr>
                          <pic:cNvPr id="129" name="Picture_40_SpCnt_2"/>
                          <pic:cNvPicPr/>
                        </pic:nvPicPr>
                        <pic:blipFill>
                          <a:blip r:embed="rId51"/>
                          <a:stretch>
                            <a:fillRect/>
                          </a:stretch>
                        </pic:blipFill>
                        <pic:spPr>
                          <a:xfrm>
                            <a:off x="0" y="0"/>
                            <a:ext cx="773430" cy="5518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1、材质采用304#不锈钢磨砂板制作，面板及背板厚度≥1.2mm，下层板厚度≥1.0mm；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50800</wp:posOffset>
                  </wp:positionH>
                  <wp:positionV relativeFrom="paragraph">
                    <wp:posOffset>290195</wp:posOffset>
                  </wp:positionV>
                  <wp:extent cx="853440" cy="768350"/>
                  <wp:effectExtent l="0" t="0" r="3810" b="12700"/>
                  <wp:wrapNone/>
                  <wp:docPr id="131" name="图片_75"/>
                  <wp:cNvGraphicFramePr/>
                  <a:graphic xmlns:a="http://schemas.openxmlformats.org/drawingml/2006/main">
                    <a:graphicData uri="http://schemas.openxmlformats.org/drawingml/2006/picture">
                      <pic:pic xmlns:pic="http://schemas.openxmlformats.org/drawingml/2006/picture">
                        <pic:nvPicPr>
                          <pic:cNvPr id="131" name="图片_75"/>
                          <pic:cNvPicPr/>
                        </pic:nvPicPr>
                        <pic:blipFill>
                          <a:blip r:embed="rId52"/>
                          <a:stretch>
                            <a:fillRect/>
                          </a:stretch>
                        </pic:blipFill>
                        <pic:spPr>
                          <a:xfrm>
                            <a:off x="0" y="0"/>
                            <a:ext cx="853440" cy="76835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5、星盆尺寸：≥500*500*280（mm）；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6、附件：配落水器1套。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58420</wp:posOffset>
                  </wp:positionH>
                  <wp:positionV relativeFrom="paragraph">
                    <wp:posOffset>385445</wp:posOffset>
                  </wp:positionV>
                  <wp:extent cx="815340" cy="333375"/>
                  <wp:effectExtent l="0" t="0" r="3810" b="9525"/>
                  <wp:wrapNone/>
                  <wp:docPr id="123" name="图片_31_SpCnt_7"/>
                  <wp:cNvGraphicFramePr/>
                  <a:graphic xmlns:a="http://schemas.openxmlformats.org/drawingml/2006/main">
                    <a:graphicData uri="http://schemas.openxmlformats.org/drawingml/2006/picture">
                      <pic:pic xmlns:pic="http://schemas.openxmlformats.org/drawingml/2006/picture">
                        <pic:nvPicPr>
                          <pic:cNvPr id="123" name="图片_31_SpCnt_7"/>
                          <pic:cNvPicPr/>
                        </pic:nvPicPr>
                        <pic:blipFill>
                          <a:blip r:embed="rId53"/>
                          <a:stretch>
                            <a:fillRect/>
                          </a:stretch>
                        </pic:blipFill>
                        <pic:spPr>
                          <a:xfrm>
                            <a:off x="0" y="0"/>
                            <a:ext cx="815340" cy="33337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F07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单门留样冰柜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1488" behindDoc="0" locked="0" layoutInCell="1" allowOverlap="1">
                  <wp:simplePos x="0" y="0"/>
                  <wp:positionH relativeFrom="column">
                    <wp:posOffset>248920</wp:posOffset>
                  </wp:positionH>
                  <wp:positionV relativeFrom="paragraph">
                    <wp:posOffset>177165</wp:posOffset>
                  </wp:positionV>
                  <wp:extent cx="414655" cy="698500"/>
                  <wp:effectExtent l="0" t="0" r="4445" b="6350"/>
                  <wp:wrapNone/>
                  <wp:docPr id="134" name="图片_78_SpCnt_1"/>
                  <wp:cNvGraphicFramePr/>
                  <a:graphic xmlns:a="http://schemas.openxmlformats.org/drawingml/2006/main">
                    <a:graphicData uri="http://schemas.openxmlformats.org/drawingml/2006/picture">
                      <pic:pic xmlns:pic="http://schemas.openxmlformats.org/drawingml/2006/picture">
                        <pic:nvPicPr>
                          <pic:cNvPr id="134" name="图片_78_SpCnt_1"/>
                          <pic:cNvPicPr/>
                        </pic:nvPicPr>
                        <pic:blipFill>
                          <a:blip r:embed="rId54"/>
                          <a:stretch>
                            <a:fillRect/>
                          </a:stretch>
                        </pic:blipFill>
                        <pic:spPr>
                          <a:xfrm>
                            <a:off x="0" y="0"/>
                            <a:ext cx="414655" cy="69850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1、规格尺寸：≥555*630*1975mm；温控类型：机械\数显；冷藏温度范围：+10℃~+1℃；205W（±20W）；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2、采用节能压缩机，噪音低、耗电省、安全可靠；</w:t>
            </w:r>
          </w:p>
        </w:tc>
      </w:tr>
      <w:tr>
        <w:tblPrEx>
          <w:tblCellMar>
            <w:top w:w="0" w:type="dxa"/>
            <w:left w:w="108" w:type="dxa"/>
            <w:bottom w:w="0" w:type="dxa"/>
            <w:right w:w="108" w:type="dxa"/>
          </w:tblCellMar>
        </w:tblPrEx>
        <w:trPr>
          <w:trHeight w:val="896"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售卖间</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G01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四格保温售卖台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2512" behindDoc="0" locked="0" layoutInCell="1" allowOverlap="1">
                  <wp:simplePos x="0" y="0"/>
                  <wp:positionH relativeFrom="column">
                    <wp:posOffset>2540</wp:posOffset>
                  </wp:positionH>
                  <wp:positionV relativeFrom="paragraph">
                    <wp:posOffset>557530</wp:posOffset>
                  </wp:positionV>
                  <wp:extent cx="906780" cy="530860"/>
                  <wp:effectExtent l="0" t="0" r="7620" b="2540"/>
                  <wp:wrapNone/>
                  <wp:docPr id="135" name="图片_77"/>
                  <wp:cNvGraphicFramePr/>
                  <a:graphic xmlns:a="http://schemas.openxmlformats.org/drawingml/2006/main">
                    <a:graphicData uri="http://schemas.openxmlformats.org/drawingml/2006/picture">
                      <pic:pic xmlns:pic="http://schemas.openxmlformats.org/drawingml/2006/picture">
                        <pic:nvPicPr>
                          <pic:cNvPr id="135" name="图片_77"/>
                          <pic:cNvPicPr/>
                        </pic:nvPicPr>
                        <pic:blipFill>
                          <a:blip r:embed="rId55"/>
                          <a:stretch>
                            <a:fillRect/>
                          </a:stretch>
                        </pic:blipFill>
                        <pic:spPr>
                          <a:xfrm>
                            <a:off x="0" y="0"/>
                            <a:ext cx="906780" cy="53086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1、材质采用304#不锈钢磨砂板制作，面板厚度≧1.2mm，柜身、侧板及水斗厚度≧1.0mm；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2、面板上方设计整体冲压扣手（方便份数盆取放）；</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3、水斗内配置优质温度控制器及不锈钢发热管，并安装漏电保护装置，水斗底部设置给排水接驳口；</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4、柜脚采用直径φ51*厚度≧1.0mm厚不锈钢圆管并配可调子弹脚。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5、额定电压：220V，额定功率：≧3KW；</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6、附件：1/1*150mm不锈钢份数盆连盖4套。</w:t>
            </w:r>
          </w:p>
        </w:tc>
      </w:tr>
      <w:tr>
        <w:tblPrEx>
          <w:tblCellMar>
            <w:top w:w="0" w:type="dxa"/>
            <w:left w:w="108" w:type="dxa"/>
            <w:bottom w:w="0" w:type="dxa"/>
            <w:right w:w="108" w:type="dxa"/>
          </w:tblCellMar>
        </w:tblPrEx>
        <w:trPr>
          <w:trHeight w:val="973"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洗碗消毒间</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H01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双层工作台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3536" behindDoc="0" locked="0" layoutInCell="1" allowOverlap="1">
                  <wp:simplePos x="0" y="0"/>
                  <wp:positionH relativeFrom="column">
                    <wp:posOffset>37465</wp:posOffset>
                  </wp:positionH>
                  <wp:positionV relativeFrom="paragraph">
                    <wp:posOffset>410210</wp:posOffset>
                  </wp:positionV>
                  <wp:extent cx="852170" cy="514985"/>
                  <wp:effectExtent l="0" t="0" r="5080" b="18415"/>
                  <wp:wrapNone/>
                  <wp:docPr id="104" name="Picture_40_SpCnt_3"/>
                  <wp:cNvGraphicFramePr/>
                  <a:graphic xmlns:a="http://schemas.openxmlformats.org/drawingml/2006/main">
                    <a:graphicData uri="http://schemas.openxmlformats.org/drawingml/2006/picture">
                      <pic:pic xmlns:pic="http://schemas.openxmlformats.org/drawingml/2006/picture">
                        <pic:nvPicPr>
                          <pic:cNvPr id="104" name="Picture_40_SpCnt_3"/>
                          <pic:cNvPicPr/>
                        </pic:nvPicPr>
                        <pic:blipFill>
                          <a:blip r:embed="rId56"/>
                          <a:stretch>
                            <a:fillRect/>
                          </a:stretch>
                        </pic:blipFill>
                        <pic:spPr>
                          <a:xfrm>
                            <a:off x="0" y="0"/>
                            <a:ext cx="852170" cy="51498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1、材质采用304#不锈钢磨砂板制作，面板及背板厚度≥1.2mm，下层板厚度≥1.0mm；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2、面板下衬厚度≥13mm木工板减震、消音；面板及下层板均以厚度≥1.0mm的U型加强筋承托加固；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3、立柱采用直径φ38*厚度≥1.0mm不锈钢圆管，并配可调节高度的子弹脚。</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H02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大双星盆台</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4560" behindDoc="0" locked="0" layoutInCell="1" allowOverlap="1">
                  <wp:simplePos x="0" y="0"/>
                  <wp:positionH relativeFrom="column">
                    <wp:posOffset>19050</wp:posOffset>
                  </wp:positionH>
                  <wp:positionV relativeFrom="paragraph">
                    <wp:posOffset>377190</wp:posOffset>
                  </wp:positionV>
                  <wp:extent cx="846455" cy="756285"/>
                  <wp:effectExtent l="0" t="0" r="10795" b="5715"/>
                  <wp:wrapNone/>
                  <wp:docPr id="107" name="Picture_39_SpCnt_2"/>
                  <wp:cNvGraphicFramePr/>
                  <a:graphic xmlns:a="http://schemas.openxmlformats.org/drawingml/2006/main">
                    <a:graphicData uri="http://schemas.openxmlformats.org/drawingml/2006/picture">
                      <pic:pic xmlns:pic="http://schemas.openxmlformats.org/drawingml/2006/picture">
                        <pic:nvPicPr>
                          <pic:cNvPr id="107" name="Picture_39_SpCnt_2"/>
                          <pic:cNvPicPr/>
                        </pic:nvPicPr>
                        <pic:blipFill>
                          <a:blip r:embed="rId57"/>
                          <a:stretch>
                            <a:fillRect/>
                          </a:stretch>
                        </pic:blipFill>
                        <pic:spPr>
                          <a:xfrm>
                            <a:off x="0" y="0"/>
                            <a:ext cx="846455" cy="75628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1、材质采用304#不锈钢磨砂板制作，面板厚度≥1.2mm，星盆厚度≥1.0mm；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2、横管采用直径φ25*厚度≥1.0mm不锈钢圆管连接；</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3、立柱采用直径φ38*厚度≥1.0mm不锈钢圆管，并配可调节高度子弹脚。</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4、面板采用厚度≥1.2mm的U型加强筋承托加固；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5、星盆尺寸：≥600*500*400（mm）；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6、附件：配落水器2套。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H03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双温水龙头</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5584" behindDoc="0" locked="0" layoutInCell="1" allowOverlap="1">
                  <wp:simplePos x="0" y="0"/>
                  <wp:positionH relativeFrom="column">
                    <wp:posOffset>61595</wp:posOffset>
                  </wp:positionH>
                  <wp:positionV relativeFrom="paragraph">
                    <wp:posOffset>298450</wp:posOffset>
                  </wp:positionV>
                  <wp:extent cx="768350" cy="370840"/>
                  <wp:effectExtent l="0" t="0" r="12700" b="10160"/>
                  <wp:wrapNone/>
                  <wp:docPr id="108" name="图片_31_SpCnt_8"/>
                  <wp:cNvGraphicFramePr/>
                  <a:graphic xmlns:a="http://schemas.openxmlformats.org/drawingml/2006/main">
                    <a:graphicData uri="http://schemas.openxmlformats.org/drawingml/2006/picture">
                      <pic:pic xmlns:pic="http://schemas.openxmlformats.org/drawingml/2006/picture">
                        <pic:nvPicPr>
                          <pic:cNvPr id="108" name="图片_31_SpCnt_8"/>
                          <pic:cNvPicPr/>
                        </pic:nvPicPr>
                        <pic:blipFill>
                          <a:blip r:embed="rId16"/>
                          <a:stretch>
                            <a:fillRect/>
                          </a:stretch>
                        </pic:blipFill>
                        <pic:spPr>
                          <a:xfrm>
                            <a:off x="0" y="0"/>
                            <a:ext cx="768350" cy="37084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Style w:val="102"/>
                <w:rFonts w:hint="eastAsia" w:ascii="仿宋" w:hAnsi="仿宋" w:eastAsia="仿宋" w:cs="仿宋"/>
                <w:lang w:val="en-US" w:eastAsia="zh-CN" w:bidi="ar"/>
              </w:rPr>
              <w:t>1、安装中心距：203mm，配备10"（254 mm）摇臂出水管；</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2、出水口距台面高度：</w:t>
            </w:r>
            <w:r>
              <w:rPr>
                <w:rStyle w:val="103"/>
                <w:rFonts w:hint="eastAsia" w:ascii="仿宋" w:hAnsi="仿宋" w:eastAsia="仿宋" w:cs="仿宋"/>
                <w:lang w:val="en-US" w:eastAsia="zh-CN" w:bidi="ar"/>
              </w:rPr>
              <w:t>≧</w:t>
            </w:r>
            <w:r>
              <w:rPr>
                <w:rStyle w:val="102"/>
                <w:rFonts w:hint="eastAsia" w:ascii="仿宋" w:hAnsi="仿宋" w:eastAsia="仿宋" w:cs="仿宋"/>
                <w:lang w:val="en-US" w:eastAsia="zh-CN" w:bidi="ar"/>
              </w:rPr>
              <w:t>115mm，总高度：≧180mm；</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3、配G1/2"进水接头；</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4、出水温度：根据二种不同的进水温度自行调节；</w:t>
            </w:r>
            <w:r>
              <w:rPr>
                <w:rStyle w:val="102"/>
                <w:rFonts w:hint="eastAsia" w:ascii="仿宋" w:hAnsi="仿宋" w:eastAsia="仿宋" w:cs="仿宋"/>
                <w:lang w:val="en-US" w:eastAsia="zh-CN" w:bidi="ar"/>
              </w:rPr>
              <w:br w:type="textWrapping"/>
            </w:r>
            <w:r>
              <w:rPr>
                <w:rStyle w:val="102"/>
                <w:rFonts w:hint="eastAsia" w:ascii="仿宋" w:hAnsi="仿宋" w:eastAsia="仿宋" w:cs="仿宋"/>
                <w:lang w:val="en-US" w:eastAsia="zh-CN" w:bidi="ar"/>
              </w:rPr>
              <w:t>5、金属陶瓷阀芯，密封好。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H04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双层送餐车</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7632" behindDoc="0" locked="0" layoutInCell="1" allowOverlap="1">
                  <wp:simplePos x="0" y="0"/>
                  <wp:positionH relativeFrom="column">
                    <wp:posOffset>93980</wp:posOffset>
                  </wp:positionH>
                  <wp:positionV relativeFrom="paragraph">
                    <wp:posOffset>980440</wp:posOffset>
                  </wp:positionV>
                  <wp:extent cx="838835" cy="1121410"/>
                  <wp:effectExtent l="0" t="0" r="18415" b="2540"/>
                  <wp:wrapNone/>
                  <wp:docPr id="150" name="图片_12"/>
                  <wp:cNvGraphicFramePr/>
                  <a:graphic xmlns:a="http://schemas.openxmlformats.org/drawingml/2006/main">
                    <a:graphicData uri="http://schemas.openxmlformats.org/drawingml/2006/picture">
                      <pic:pic xmlns:pic="http://schemas.openxmlformats.org/drawingml/2006/picture">
                        <pic:nvPicPr>
                          <pic:cNvPr id="150" name="图片_12"/>
                          <pic:cNvPicPr/>
                        </pic:nvPicPr>
                        <pic:blipFill>
                          <a:blip r:embed="rId58"/>
                          <a:stretch>
                            <a:fillRect/>
                          </a:stretch>
                        </pic:blipFill>
                        <pic:spPr>
                          <a:xfrm>
                            <a:off x="0" y="0"/>
                            <a:ext cx="838835" cy="11214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6608" behindDoc="0" locked="0" layoutInCell="1" allowOverlap="1">
                  <wp:simplePos x="0" y="0"/>
                  <wp:positionH relativeFrom="column">
                    <wp:posOffset>29210</wp:posOffset>
                  </wp:positionH>
                  <wp:positionV relativeFrom="paragraph">
                    <wp:posOffset>72390</wp:posOffset>
                  </wp:positionV>
                  <wp:extent cx="796925" cy="846455"/>
                  <wp:effectExtent l="0" t="0" r="3175" b="10795"/>
                  <wp:wrapNone/>
                  <wp:docPr id="139" name="图片_2"/>
                  <wp:cNvGraphicFramePr/>
                  <a:graphic xmlns:a="http://schemas.openxmlformats.org/drawingml/2006/main">
                    <a:graphicData uri="http://schemas.openxmlformats.org/drawingml/2006/picture">
                      <pic:pic xmlns:pic="http://schemas.openxmlformats.org/drawingml/2006/picture">
                        <pic:nvPicPr>
                          <pic:cNvPr id="139" name="图片_2"/>
                          <pic:cNvPicPr/>
                        </pic:nvPicPr>
                        <pic:blipFill>
                          <a:blip r:embed="rId59"/>
                          <a:stretch>
                            <a:fillRect/>
                          </a:stretch>
                        </pic:blipFill>
                        <pic:spPr>
                          <a:xfrm>
                            <a:off x="0" y="0"/>
                            <a:ext cx="796925" cy="84645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1、材质采用304#不锈钢磨砂板制作，上下两层面板厚度≥1.2mm并下凹22mm；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2、立柱采用30*30*厚度≥1.2mm不锈钢方管制作，拉手采用φ25*厚度≥1.2mm不锈钢圆管制作；</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3、车底安装4寸黑色中型轮，2个定向、2个带刹万向。</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H05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双门热风循环消毒柜</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1、光波热风循环高温双门消毒柜，全不锈钢内外壳，整体发泡；                                         2、外形参数：≥宽1310*厚650*高1980，功率4400W ；                                                   ▲3、消毒温度范围最高125度，更能有效的消除了臭氧、蒸汽、紫外线等方式难免的消毒死角，对大肠杆菌等多种较难杀灭的细菌病毒，杀灭率达到99.99%,消毒效果为一星级，需提供第三方微生物分析检验报告佐证（复印件加盖供应商鲜章）                                                                               4、产品达到GB17988-2008消毒要求，对脊髓灰质炎病毒1型疫苗株的灭活对数值均＞4，对大肠杆菌的杀灭对数值均＞3                                          5、具有2020年产品责任险（附加保险单明细复印件并加盖供应商鲜章）；                                                   6、同时提供消毒柜食品接触产品安全认证证书（复印件加盖供应商鲜章）                                                     7、提供中国高新企业认证证书（复印件加盖供应商鲜章）                                            ▲8、服务能力符合国家标准《商品售后服务评价体系》GB/T27922-2011并有七星售后服务认证证书（复印件加盖供应商鲜章）                                                     注：以上所需资质均要求加盖供应商鲜章，否则视为负偏离</w:t>
            </w:r>
          </w:p>
        </w:tc>
      </w:tr>
      <w:tr>
        <w:tblPrEx>
          <w:tblCellMar>
            <w:top w:w="0" w:type="dxa"/>
            <w:left w:w="108" w:type="dxa"/>
            <w:bottom w:w="0" w:type="dxa"/>
            <w:right w:w="108" w:type="dxa"/>
          </w:tblCellMar>
        </w:tblPrEx>
        <w:trPr>
          <w:trHeight w:val="720" w:hRule="atLeast"/>
        </w:trPr>
        <w:tc>
          <w:tcPr>
            <w:tcW w:w="1032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排烟系统</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多翼式低噪声离心风机</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8656" behindDoc="0" locked="0" layoutInCell="1" allowOverlap="1">
                  <wp:simplePos x="0" y="0"/>
                  <wp:positionH relativeFrom="column">
                    <wp:posOffset>168275</wp:posOffset>
                  </wp:positionH>
                  <wp:positionV relativeFrom="paragraph">
                    <wp:posOffset>143510</wp:posOffset>
                  </wp:positionV>
                  <wp:extent cx="686435" cy="753745"/>
                  <wp:effectExtent l="0" t="0" r="18415" b="8255"/>
                  <wp:wrapNone/>
                  <wp:docPr id="145" name="图片_83"/>
                  <wp:cNvGraphicFramePr/>
                  <a:graphic xmlns:a="http://schemas.openxmlformats.org/drawingml/2006/main">
                    <a:graphicData uri="http://schemas.openxmlformats.org/drawingml/2006/picture">
                      <pic:pic xmlns:pic="http://schemas.openxmlformats.org/drawingml/2006/picture">
                        <pic:nvPicPr>
                          <pic:cNvPr id="145" name="图片_83"/>
                          <pic:cNvPicPr/>
                        </pic:nvPicPr>
                        <pic:blipFill>
                          <a:blip r:embed="rId60"/>
                          <a:stretch>
                            <a:fillRect/>
                          </a:stretch>
                        </pic:blipFill>
                        <pic:spPr>
                          <a:xfrm>
                            <a:off x="0" y="0"/>
                            <a:ext cx="686435" cy="7537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1、多翼式低噪声离心风机，采用双吸式蜗壳吸风钢架柜式结构，可拆卸重装；流量：45000-52000m³/h，全压800Pa，转速648r/min，噪音&lt;80dB；</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2、柜体及内胆均使用镀锌钢板制作而成；</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3、转动叶轮采用多翼式铝制合金超薄叶片组成。</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4、优点：风量大、噪声低、运行平稳。</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风柜电机</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19680" behindDoc="0" locked="0" layoutInCell="1" allowOverlap="1">
                  <wp:simplePos x="0" y="0"/>
                  <wp:positionH relativeFrom="column">
                    <wp:posOffset>137795</wp:posOffset>
                  </wp:positionH>
                  <wp:positionV relativeFrom="paragraph">
                    <wp:posOffset>224155</wp:posOffset>
                  </wp:positionV>
                  <wp:extent cx="647065" cy="532765"/>
                  <wp:effectExtent l="0" t="0" r="635" b="635"/>
                  <wp:wrapNone/>
                  <wp:docPr id="152" name="图片_146"/>
                  <wp:cNvGraphicFramePr/>
                  <a:graphic xmlns:a="http://schemas.openxmlformats.org/drawingml/2006/main">
                    <a:graphicData uri="http://schemas.openxmlformats.org/drawingml/2006/picture">
                      <pic:pic xmlns:pic="http://schemas.openxmlformats.org/drawingml/2006/picture">
                        <pic:nvPicPr>
                          <pic:cNvPr id="152" name="图片_146"/>
                          <pic:cNvPicPr/>
                        </pic:nvPicPr>
                        <pic:blipFill>
                          <a:blip r:embed="rId61"/>
                          <a:stretch>
                            <a:fillRect/>
                          </a:stretch>
                        </pic:blipFill>
                        <pic:spPr>
                          <a:xfrm>
                            <a:off x="0" y="0"/>
                            <a:ext cx="647065" cy="53276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1、安装方式：内置式，铜芯电机；</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2、皮带传动式，配轴承、皮带及皮带轮。</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风柜减震支架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-23495</wp:posOffset>
                  </wp:positionH>
                  <wp:positionV relativeFrom="paragraph">
                    <wp:posOffset>232410</wp:posOffset>
                  </wp:positionV>
                  <wp:extent cx="935355" cy="576580"/>
                  <wp:effectExtent l="0" t="0" r="17145" b="13970"/>
                  <wp:wrapNone/>
                  <wp:docPr id="146" name="图片_100"/>
                  <wp:cNvGraphicFramePr/>
                  <a:graphic xmlns:a="http://schemas.openxmlformats.org/drawingml/2006/main">
                    <a:graphicData uri="http://schemas.openxmlformats.org/drawingml/2006/picture">
                      <pic:pic xmlns:pic="http://schemas.openxmlformats.org/drawingml/2006/picture">
                        <pic:nvPicPr>
                          <pic:cNvPr id="146" name="图片_100"/>
                          <pic:cNvPicPr/>
                        </pic:nvPicPr>
                        <pic:blipFill>
                          <a:blip r:embed="rId62"/>
                          <a:stretch>
                            <a:fillRect/>
                          </a:stretch>
                        </pic:blipFill>
                        <pic:spPr>
                          <a:xfrm>
                            <a:off x="0" y="0"/>
                            <a:ext cx="935355" cy="57658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1、材质采用国标≥∠50*5角钢焊接，打磨喷塑处理，双层防腐处理；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2、底座安装减震装置，并安装防雷装置连接至楼房防雷接地线。</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不锈钢横风管</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15.6</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1728" behindDoc="0" locked="0" layoutInCell="1" allowOverlap="1">
                  <wp:simplePos x="0" y="0"/>
                  <wp:positionH relativeFrom="column">
                    <wp:posOffset>41275</wp:posOffset>
                  </wp:positionH>
                  <wp:positionV relativeFrom="paragraph">
                    <wp:posOffset>310515</wp:posOffset>
                  </wp:positionV>
                  <wp:extent cx="758190" cy="301625"/>
                  <wp:effectExtent l="0" t="0" r="3810" b="3175"/>
                  <wp:wrapNone/>
                  <wp:docPr id="147" name="图片_110"/>
                  <wp:cNvGraphicFramePr/>
                  <a:graphic xmlns:a="http://schemas.openxmlformats.org/drawingml/2006/main">
                    <a:graphicData uri="http://schemas.openxmlformats.org/drawingml/2006/picture">
                      <pic:pic xmlns:pic="http://schemas.openxmlformats.org/drawingml/2006/picture">
                        <pic:nvPicPr>
                          <pic:cNvPr id="147" name="图片_110"/>
                          <pic:cNvPicPr/>
                        </pic:nvPicPr>
                        <pic:blipFill>
                          <a:blip r:embed="rId63"/>
                          <a:stretch>
                            <a:fillRect/>
                          </a:stretch>
                        </pic:blipFill>
                        <pic:spPr>
                          <a:xfrm>
                            <a:off x="0" y="0"/>
                            <a:ext cx="758190" cy="30162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1、材质采用镀锌钢板制作，厚度≥1.0mm；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2、管内壁双面压筋加强处理。</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镀锌排油烟风管</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2752" behindDoc="0" locked="0" layoutInCell="1" allowOverlap="1">
                  <wp:simplePos x="0" y="0"/>
                  <wp:positionH relativeFrom="column">
                    <wp:posOffset>105410</wp:posOffset>
                  </wp:positionH>
                  <wp:positionV relativeFrom="paragraph">
                    <wp:posOffset>313690</wp:posOffset>
                  </wp:positionV>
                  <wp:extent cx="590550" cy="380365"/>
                  <wp:effectExtent l="0" t="0" r="0" b="635"/>
                  <wp:wrapNone/>
                  <wp:docPr id="140" name="图片_111"/>
                  <wp:cNvGraphicFramePr/>
                  <a:graphic xmlns:a="http://schemas.openxmlformats.org/drawingml/2006/main">
                    <a:graphicData uri="http://schemas.openxmlformats.org/drawingml/2006/picture">
                      <pic:pic xmlns:pic="http://schemas.openxmlformats.org/drawingml/2006/picture">
                        <pic:nvPicPr>
                          <pic:cNvPr id="140" name="图片_111"/>
                          <pic:cNvPicPr/>
                        </pic:nvPicPr>
                        <pic:blipFill>
                          <a:blip r:embed="rId64"/>
                          <a:stretch>
                            <a:fillRect/>
                          </a:stretch>
                        </pic:blipFill>
                        <pic:spPr>
                          <a:xfrm>
                            <a:off x="0" y="0"/>
                            <a:ext cx="590550" cy="38036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1、材质采用镀锌钢板制作，厚度≥1.0mm；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2、管内壁双面压筋加强处理。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3、烟管内连接处用玻璃硅胶密封。</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4、含直管、弯头、变径管及连接法兰盘；完工后按实际安装数量进行结算。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镀锌排油烟风管(立管)</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平方</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3776" behindDoc="0" locked="0" layoutInCell="1" allowOverlap="1">
                  <wp:simplePos x="0" y="0"/>
                  <wp:positionH relativeFrom="column">
                    <wp:posOffset>111125</wp:posOffset>
                  </wp:positionH>
                  <wp:positionV relativeFrom="paragraph">
                    <wp:posOffset>212090</wp:posOffset>
                  </wp:positionV>
                  <wp:extent cx="666115" cy="628015"/>
                  <wp:effectExtent l="0" t="0" r="635" b="635"/>
                  <wp:wrapNone/>
                  <wp:docPr id="141" name="图片_82"/>
                  <wp:cNvGraphicFramePr/>
                  <a:graphic xmlns:a="http://schemas.openxmlformats.org/drawingml/2006/main">
                    <a:graphicData uri="http://schemas.openxmlformats.org/drawingml/2006/picture">
                      <pic:pic xmlns:pic="http://schemas.openxmlformats.org/drawingml/2006/picture">
                        <pic:nvPicPr>
                          <pic:cNvPr id="141" name="图片_82"/>
                          <pic:cNvPicPr/>
                        </pic:nvPicPr>
                        <pic:blipFill>
                          <a:blip r:embed="rId65"/>
                          <a:stretch>
                            <a:fillRect/>
                          </a:stretch>
                        </pic:blipFill>
                        <pic:spPr>
                          <a:xfrm>
                            <a:off x="0" y="0"/>
                            <a:ext cx="666115" cy="6280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1、材质采用镀锌钢板制作，厚度≥1.0mm；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2、管内壁双面压筋加强处理。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3、烟管内连接处用玻璃硅胶密封。</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4、含直管、弯头、变径管及连接法兰盘；完工后按实际安装数量进行结算。</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风管支架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4800" behindDoc="0" locked="0" layoutInCell="1" allowOverlap="1">
                  <wp:simplePos x="0" y="0"/>
                  <wp:positionH relativeFrom="column">
                    <wp:posOffset>193040</wp:posOffset>
                  </wp:positionH>
                  <wp:positionV relativeFrom="paragraph">
                    <wp:posOffset>241935</wp:posOffset>
                  </wp:positionV>
                  <wp:extent cx="638175" cy="534670"/>
                  <wp:effectExtent l="0" t="0" r="9525" b="17780"/>
                  <wp:wrapNone/>
                  <wp:docPr id="149" name="图片_191"/>
                  <wp:cNvGraphicFramePr/>
                  <a:graphic xmlns:a="http://schemas.openxmlformats.org/drawingml/2006/main">
                    <a:graphicData uri="http://schemas.openxmlformats.org/drawingml/2006/picture">
                      <pic:pic xmlns:pic="http://schemas.openxmlformats.org/drawingml/2006/picture">
                        <pic:nvPicPr>
                          <pic:cNvPr id="149" name="图片_191"/>
                          <pic:cNvPicPr/>
                        </pic:nvPicPr>
                        <pic:blipFill>
                          <a:blip r:embed="rId66"/>
                          <a:stretch>
                            <a:fillRect/>
                          </a:stretch>
                        </pic:blipFill>
                        <pic:spPr>
                          <a:xfrm>
                            <a:off x="0" y="0"/>
                            <a:ext cx="638175" cy="53467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材质采用国标30*30*3mm角钢制作，表面刷防锈漆。</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防火阀</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83820</wp:posOffset>
                  </wp:positionH>
                  <wp:positionV relativeFrom="paragraph">
                    <wp:posOffset>140970</wp:posOffset>
                  </wp:positionV>
                  <wp:extent cx="847090" cy="791845"/>
                  <wp:effectExtent l="0" t="0" r="10160" b="8255"/>
                  <wp:wrapNone/>
                  <wp:docPr id="155" name="图片_81"/>
                  <wp:cNvGraphicFramePr/>
                  <a:graphic xmlns:a="http://schemas.openxmlformats.org/drawingml/2006/main">
                    <a:graphicData uri="http://schemas.openxmlformats.org/drawingml/2006/picture">
                      <pic:pic xmlns:pic="http://schemas.openxmlformats.org/drawingml/2006/picture">
                        <pic:nvPicPr>
                          <pic:cNvPr id="155" name="图片_81"/>
                          <pic:cNvPicPr/>
                        </pic:nvPicPr>
                        <pic:blipFill>
                          <a:blip r:embed="rId67"/>
                          <a:stretch>
                            <a:fillRect/>
                          </a:stretch>
                        </pic:blipFill>
                        <pic:spPr>
                          <a:xfrm>
                            <a:off x="0" y="0"/>
                            <a:ext cx="847090" cy="7918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1、防火阀一般由阀体、叶片、执行机构和温感器等部件组成。</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2、外壳采用不锈钢冷板制作，并作喷漆、防腐处理，机械力动作机构。</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3、具有温感器（280℃）自动关闭、手动关闭、电控电磁铁关闭和阀门关到位后的信号反馈功能。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排风柜电源启动保护控制箱</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247015</wp:posOffset>
                  </wp:positionH>
                  <wp:positionV relativeFrom="paragraph">
                    <wp:posOffset>234315</wp:posOffset>
                  </wp:positionV>
                  <wp:extent cx="523240" cy="732790"/>
                  <wp:effectExtent l="0" t="0" r="10160" b="10160"/>
                  <wp:wrapNone/>
                  <wp:docPr id="156" name="图片_192"/>
                  <wp:cNvGraphicFramePr/>
                  <a:graphic xmlns:a="http://schemas.openxmlformats.org/drawingml/2006/main">
                    <a:graphicData uri="http://schemas.openxmlformats.org/drawingml/2006/picture">
                      <pic:pic xmlns:pic="http://schemas.openxmlformats.org/drawingml/2006/picture">
                        <pic:nvPicPr>
                          <pic:cNvPr id="156" name="图片_192"/>
                          <pic:cNvPicPr/>
                        </pic:nvPicPr>
                        <pic:blipFill>
                          <a:blip r:embed="rId68"/>
                          <a:stretch>
                            <a:fillRect/>
                          </a:stretch>
                        </pic:blipFill>
                        <pic:spPr>
                          <a:xfrm>
                            <a:off x="0" y="0"/>
                            <a:ext cx="523240" cy="73279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1、风柜电源启动保护用，箱内采用正泰电器元件；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2、控制箱体采用优质钢板制作，表面喷涂处理；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3、控制箱有效保护电机的正常运行，配置有启动保护、缺相、过载、漏电保护等功能。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控制箱电源回路材料</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-50800</wp:posOffset>
                  </wp:positionH>
                  <wp:positionV relativeFrom="paragraph">
                    <wp:posOffset>314325</wp:posOffset>
                  </wp:positionV>
                  <wp:extent cx="899795" cy="530860"/>
                  <wp:effectExtent l="0" t="0" r="14605" b="2540"/>
                  <wp:wrapNone/>
                  <wp:docPr id="153" name="图片_198"/>
                  <wp:cNvGraphicFramePr/>
                  <a:graphic xmlns:a="http://schemas.openxmlformats.org/drawingml/2006/main">
                    <a:graphicData uri="http://schemas.openxmlformats.org/drawingml/2006/picture">
                      <pic:pic xmlns:pic="http://schemas.openxmlformats.org/drawingml/2006/picture">
                        <pic:nvPicPr>
                          <pic:cNvPr id="153" name="图片_198"/>
                          <pic:cNvPicPr/>
                        </pic:nvPicPr>
                        <pic:blipFill>
                          <a:blip r:embed="rId69"/>
                          <a:stretch>
                            <a:fillRect/>
                          </a:stretch>
                        </pic:blipFill>
                        <pic:spPr>
                          <a:xfrm>
                            <a:off x="0" y="0"/>
                            <a:ext cx="899795" cy="53086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采用铜芯线，外配穿线管。</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接油盘</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38100</wp:posOffset>
                  </wp:positionH>
                  <wp:positionV relativeFrom="paragraph">
                    <wp:posOffset>332740</wp:posOffset>
                  </wp:positionV>
                  <wp:extent cx="762000" cy="457835"/>
                  <wp:effectExtent l="0" t="0" r="0" b="18415"/>
                  <wp:wrapNone/>
                  <wp:docPr id="157" name="图片_80"/>
                  <wp:cNvGraphicFramePr/>
                  <a:graphic xmlns:a="http://schemas.openxmlformats.org/drawingml/2006/main">
                    <a:graphicData uri="http://schemas.openxmlformats.org/drawingml/2006/picture">
                      <pic:pic xmlns:pic="http://schemas.openxmlformats.org/drawingml/2006/picture">
                        <pic:nvPicPr>
                          <pic:cNvPr id="157" name="图片_80"/>
                          <pic:cNvPicPr/>
                        </pic:nvPicPr>
                        <pic:blipFill>
                          <a:blip r:embed="rId70"/>
                          <a:stretch>
                            <a:fillRect/>
                          </a:stretch>
                        </pic:blipFill>
                        <pic:spPr>
                          <a:xfrm>
                            <a:off x="0" y="0"/>
                            <a:ext cx="762000" cy="45783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材质采用不锈钢板制作，厚度≥1.2mm。</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油烟净化器</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59690</wp:posOffset>
                  </wp:positionH>
                  <wp:positionV relativeFrom="paragraph">
                    <wp:posOffset>1245870</wp:posOffset>
                  </wp:positionV>
                  <wp:extent cx="843915" cy="574040"/>
                  <wp:effectExtent l="0" t="0" r="13335" b="16510"/>
                  <wp:wrapNone/>
                  <wp:docPr id="148" name="图片_118"/>
                  <wp:cNvGraphicFramePr/>
                  <a:graphic xmlns:a="http://schemas.openxmlformats.org/drawingml/2006/main">
                    <a:graphicData uri="http://schemas.openxmlformats.org/drawingml/2006/picture">
                      <pic:pic xmlns:pic="http://schemas.openxmlformats.org/drawingml/2006/picture">
                        <pic:nvPicPr>
                          <pic:cNvPr id="148" name="图片_118"/>
                          <pic:cNvPicPr/>
                        </pic:nvPicPr>
                        <pic:blipFill>
                          <a:blip r:embed="rId71"/>
                          <a:stretch>
                            <a:fillRect/>
                          </a:stretch>
                        </pic:blipFill>
                        <pic:spPr>
                          <a:xfrm>
                            <a:off x="0" y="0"/>
                            <a:ext cx="843915" cy="574040"/>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1、油烟净化效率不低于95%,处理后出口油烟浓度不高于0.48mg/m3,提供带CME标识的检测报告</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2、设备外壳防护等级达到GB4208-2017 IP66标准；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3、设备电源具有过压过流保护功能；具有负载短路保护功能；具有负载闪络、打火保护功能; 具有负载开路保护功能；具有放电极油垢清洗提示功能;（提供权威机构检测报告证明）</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▲4、提供《商品售后服务评价体系》五星级证书复印件加盖鲜章，同时提供生产厂家针对本项目的售后服务承诺书加盖生产厂家鲜章的原件。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5、电场采用201不锈钢材质，且电场盐雾试验合格，且保护评级Rp≥9；</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6、提供CQC中国环保产品认证证书和中国环境标志产品认证证书。</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7、设备由权威保险机构承保，产品责任险限额不低于5000万保单，有事故赔偿、事故财产损失赔偿、事故人员伤亡赔偿。提供保单扫描件加盖供应商公章。</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▲8、油烟净化器电源在温度循环测试（在-40℃-100℃）测试中合格，提供带CNAS标识检验报告扫描件加盖供应商公章。</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9、油烟净化器电源在10Hz—50Hz频率范围内，振动测试合格，提供带CNAS标识检验报告扫描件加供应商家公章</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油烟净化器减震支架</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0944" behindDoc="0" locked="0" layoutInCell="1" allowOverlap="1">
                  <wp:simplePos x="0" y="0"/>
                  <wp:positionH relativeFrom="column">
                    <wp:posOffset>57150</wp:posOffset>
                  </wp:positionH>
                  <wp:positionV relativeFrom="paragraph">
                    <wp:posOffset>260350</wp:posOffset>
                  </wp:positionV>
                  <wp:extent cx="756285" cy="454025"/>
                  <wp:effectExtent l="0" t="0" r="5715" b="3175"/>
                  <wp:wrapNone/>
                  <wp:docPr id="143" name="图片_100_SpCnt_1"/>
                  <wp:cNvGraphicFramePr/>
                  <a:graphic xmlns:a="http://schemas.openxmlformats.org/drawingml/2006/main">
                    <a:graphicData uri="http://schemas.openxmlformats.org/drawingml/2006/picture">
                      <pic:pic xmlns:pic="http://schemas.openxmlformats.org/drawingml/2006/picture">
                        <pic:nvPicPr>
                          <pic:cNvPr id="143" name="图片_100_SpCnt_1"/>
                          <pic:cNvPicPr/>
                        </pic:nvPicPr>
                        <pic:blipFill>
                          <a:blip r:embed="rId72"/>
                          <a:stretch>
                            <a:fillRect/>
                          </a:stretch>
                        </pic:blipFill>
                        <pic:spPr>
                          <a:xfrm>
                            <a:off x="0" y="0"/>
                            <a:ext cx="756285" cy="45402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1、油烟净化器配用，材质采用100#槽钢与国标≥∠40角钢制造，表面作双层防腐处理。</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2、适用于与油烟净化器的连接与固定；支架结构组合减震制作，更稳定，减震效果好。</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进风口、出风口消音器</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1968" behindDoc="0" locked="0" layoutInCell="1" allowOverlap="1">
                  <wp:simplePos x="0" y="0"/>
                  <wp:positionH relativeFrom="column">
                    <wp:posOffset>208915</wp:posOffset>
                  </wp:positionH>
                  <wp:positionV relativeFrom="paragraph">
                    <wp:posOffset>283845</wp:posOffset>
                  </wp:positionV>
                  <wp:extent cx="565150" cy="399415"/>
                  <wp:effectExtent l="0" t="0" r="6350" b="635"/>
                  <wp:wrapNone/>
                  <wp:docPr id="138" name="图片_120"/>
                  <wp:cNvGraphicFramePr/>
                  <a:graphic xmlns:a="http://schemas.openxmlformats.org/drawingml/2006/main">
                    <a:graphicData uri="http://schemas.openxmlformats.org/drawingml/2006/picture">
                      <pic:pic xmlns:pic="http://schemas.openxmlformats.org/drawingml/2006/picture">
                        <pic:nvPicPr>
                          <pic:cNvPr id="138" name="图片_120"/>
                          <pic:cNvPicPr/>
                        </pic:nvPicPr>
                        <pic:blipFill>
                          <a:blip r:embed="rId73"/>
                          <a:stretch>
                            <a:fillRect/>
                          </a:stretch>
                        </pic:blipFill>
                        <pic:spPr>
                          <a:xfrm>
                            <a:off x="0" y="0"/>
                            <a:ext cx="565150" cy="3994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1、材质采用厚度≥1.2mm碳钢板制造，内衬穿孔板；</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2、中间夹层采用高品质消音棉，厚度≥100mm；</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3、内设隔音网及设计吸声片结构、流体通道以增强吸收效果，符合抽排油烟系统标准，空气动力流通学原理，适用于厨房专用油烟消声。</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电子台秤</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2992" behindDoc="0" locked="0" layoutInCell="1" allowOverlap="1">
                  <wp:simplePos x="0" y="0"/>
                  <wp:positionH relativeFrom="column">
                    <wp:posOffset>216535</wp:posOffset>
                  </wp:positionH>
                  <wp:positionV relativeFrom="paragraph">
                    <wp:posOffset>239395</wp:posOffset>
                  </wp:positionV>
                  <wp:extent cx="532765" cy="706755"/>
                  <wp:effectExtent l="0" t="0" r="635" b="17145"/>
                  <wp:wrapNone/>
                  <wp:docPr id="142" name="Picture_519"/>
                  <wp:cNvGraphicFramePr/>
                  <a:graphic xmlns:a="http://schemas.openxmlformats.org/drawingml/2006/main">
                    <a:graphicData uri="http://schemas.openxmlformats.org/drawingml/2006/picture">
                      <pic:pic xmlns:pic="http://schemas.openxmlformats.org/drawingml/2006/picture">
                        <pic:nvPicPr>
                          <pic:cNvPr id="142" name="Picture_519"/>
                          <pic:cNvPicPr/>
                        </pic:nvPicPr>
                        <pic:blipFill>
                          <a:blip r:embed="rId74"/>
                          <a:stretch>
                            <a:fillRect/>
                          </a:stretch>
                        </pic:blipFill>
                        <pic:spPr>
                          <a:xfrm>
                            <a:off x="0" y="0"/>
                            <a:ext cx="532765" cy="70675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优质台秤</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灭蝇灯</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4016" behindDoc="0" locked="0" layoutInCell="1" allowOverlap="1">
                  <wp:simplePos x="0" y="0"/>
                  <wp:positionH relativeFrom="column">
                    <wp:posOffset>132715</wp:posOffset>
                  </wp:positionH>
                  <wp:positionV relativeFrom="paragraph">
                    <wp:posOffset>175895</wp:posOffset>
                  </wp:positionV>
                  <wp:extent cx="600710" cy="704215"/>
                  <wp:effectExtent l="0" t="0" r="8890" b="635"/>
                  <wp:wrapNone/>
                  <wp:docPr id="144" name="Picture_350"/>
                  <wp:cNvGraphicFramePr/>
                  <a:graphic xmlns:a="http://schemas.openxmlformats.org/drawingml/2006/main">
                    <a:graphicData uri="http://schemas.openxmlformats.org/drawingml/2006/picture">
                      <pic:pic xmlns:pic="http://schemas.openxmlformats.org/drawingml/2006/picture">
                        <pic:nvPicPr>
                          <pic:cNvPr id="144" name="Picture_350"/>
                          <pic:cNvPicPr/>
                        </pic:nvPicPr>
                        <pic:blipFill>
                          <a:blip r:embed="rId75"/>
                          <a:stretch>
                            <a:fillRect/>
                          </a:stretch>
                        </pic:blipFill>
                        <pic:spPr>
                          <a:xfrm>
                            <a:off x="0" y="0"/>
                            <a:ext cx="600710" cy="70421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1.电压：AC220/50/1 (30W) ,有效面积：30-50m2,采用半密封式收集器 ,采用1.2-1.2mm厚度铝型材构成，铝材表面经电化处理，镀层10-15秒。</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紫外线灯</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5040" behindDoc="0" locked="0" layoutInCell="1" allowOverlap="1">
                  <wp:simplePos x="0" y="0"/>
                  <wp:positionH relativeFrom="column">
                    <wp:posOffset>13970</wp:posOffset>
                  </wp:positionH>
                  <wp:positionV relativeFrom="paragraph">
                    <wp:posOffset>779145</wp:posOffset>
                  </wp:positionV>
                  <wp:extent cx="886460" cy="512445"/>
                  <wp:effectExtent l="0" t="0" r="8890" b="1905"/>
                  <wp:wrapNone/>
                  <wp:docPr id="151" name="Picture_351"/>
                  <wp:cNvGraphicFramePr/>
                  <a:graphic xmlns:a="http://schemas.openxmlformats.org/drawingml/2006/main">
                    <a:graphicData uri="http://schemas.openxmlformats.org/drawingml/2006/picture">
                      <pic:pic xmlns:pic="http://schemas.openxmlformats.org/drawingml/2006/picture">
                        <pic:nvPicPr>
                          <pic:cNvPr id="151" name="Picture_351"/>
                          <pic:cNvPicPr/>
                        </pic:nvPicPr>
                        <pic:blipFill>
                          <a:blip r:embed="rId76"/>
                          <a:stretch>
                            <a:fillRect/>
                          </a:stretch>
                        </pic:blipFill>
                        <pic:spPr>
                          <a:xfrm>
                            <a:off x="0" y="0"/>
                            <a:ext cx="886460" cy="5124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1、基础参数: 498*81*272MM，30W，（适合面积30㎡-40㎡）；</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2、独特外观设计，一体化顶盖设计，全铝合金框体；可承受电压在200V-240V范围变动，稳定性更好；封闭式悬挂孔，加粗不锈钢钢丝挂绳设计；保护网螺丝固定、锁紧，更安全；加长电源线，悬挂更方便：标准国标铜线，总长1.5米，外露长度1.2米；灯管寿命可达8000小时；</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3、紫外线和臭氧双重杀菌，可有效杀灭光线照射不到的地方，可以快速氧化分解异味的化学物质，除异味，除甲醛等，更好的净化空气；除菌率（白色葡萄球菌、金黄色葡萄球菌、大肠杆菌）必须≥99.99%;▲灭菌效果符合GB 21551.3-2010《家用和类似用途电器的抗菌、除菌、净化功能 空气净化器的特殊要求》 ，提供“紫外线灭菌器微生物检测报告”佐证参数（复印件加盖供应商鲜章）；</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304#餐盘</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97790</wp:posOffset>
                  </wp:positionH>
                  <wp:positionV relativeFrom="paragraph">
                    <wp:posOffset>144145</wp:posOffset>
                  </wp:positionV>
                  <wp:extent cx="808990" cy="677545"/>
                  <wp:effectExtent l="0" t="0" r="10160" b="8255"/>
                  <wp:wrapNone/>
                  <wp:docPr id="136" name="Picture_530"/>
                  <wp:cNvGraphicFramePr/>
                  <a:graphic xmlns:a="http://schemas.openxmlformats.org/drawingml/2006/main">
                    <a:graphicData uri="http://schemas.openxmlformats.org/drawingml/2006/picture">
                      <pic:pic xmlns:pic="http://schemas.openxmlformats.org/drawingml/2006/picture">
                        <pic:nvPicPr>
                          <pic:cNvPr id="136" name="Picture_530"/>
                          <pic:cNvPicPr/>
                        </pic:nvPicPr>
                        <pic:blipFill>
                          <a:blip r:embed="rId77"/>
                          <a:stretch>
                            <a:fillRect/>
                          </a:stretch>
                        </pic:blipFill>
                        <pic:spPr>
                          <a:xfrm>
                            <a:off x="0" y="0"/>
                            <a:ext cx="808990" cy="67754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材质为食品级304不锈钢</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304#面碗</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7088" behindDoc="0" locked="0" layoutInCell="1" allowOverlap="1">
                  <wp:simplePos x="0" y="0"/>
                  <wp:positionH relativeFrom="column">
                    <wp:posOffset>172085</wp:posOffset>
                  </wp:positionH>
                  <wp:positionV relativeFrom="paragraph">
                    <wp:posOffset>168910</wp:posOffset>
                  </wp:positionV>
                  <wp:extent cx="561340" cy="647065"/>
                  <wp:effectExtent l="0" t="0" r="10160" b="635"/>
                  <wp:wrapNone/>
                  <wp:docPr id="137" name="Picture_529"/>
                  <wp:cNvGraphicFramePr/>
                  <a:graphic xmlns:a="http://schemas.openxmlformats.org/drawingml/2006/main">
                    <a:graphicData uri="http://schemas.openxmlformats.org/drawingml/2006/picture">
                      <pic:pic xmlns:pic="http://schemas.openxmlformats.org/drawingml/2006/picture">
                        <pic:nvPicPr>
                          <pic:cNvPr id="137" name="Picture_529"/>
                          <pic:cNvPicPr/>
                        </pic:nvPicPr>
                        <pic:blipFill>
                          <a:blip r:embed="rId78"/>
                          <a:stretch>
                            <a:fillRect/>
                          </a:stretch>
                        </pic:blipFill>
                        <pic:spPr>
                          <a:xfrm>
                            <a:off x="0" y="0"/>
                            <a:ext cx="561340" cy="64706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材质为食品级304不锈钢 直径180</w:t>
            </w:r>
          </w:p>
        </w:tc>
      </w:tr>
      <w:tr>
        <w:tblPrEx>
          <w:tblCellMar>
            <w:top w:w="0" w:type="dxa"/>
            <w:left w:w="108" w:type="dxa"/>
            <w:bottom w:w="0" w:type="dxa"/>
            <w:right w:w="108" w:type="dxa"/>
          </w:tblCellMar>
        </w:tblPrEx>
        <w:trPr>
          <w:trHeight w:val="16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304#汤碗</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1738112" behindDoc="0" locked="0" layoutInCell="1" allowOverlap="1">
                  <wp:simplePos x="0" y="0"/>
                  <wp:positionH relativeFrom="column">
                    <wp:posOffset>164465</wp:posOffset>
                  </wp:positionH>
                  <wp:positionV relativeFrom="paragraph">
                    <wp:posOffset>280670</wp:posOffset>
                  </wp:positionV>
                  <wp:extent cx="561340" cy="647065"/>
                  <wp:effectExtent l="0" t="0" r="10160" b="635"/>
                  <wp:wrapNone/>
                  <wp:docPr id="154" name="Picture_529_SpCnt_1"/>
                  <wp:cNvGraphicFramePr/>
                  <a:graphic xmlns:a="http://schemas.openxmlformats.org/drawingml/2006/main">
                    <a:graphicData uri="http://schemas.openxmlformats.org/drawingml/2006/picture">
                      <pic:pic xmlns:pic="http://schemas.openxmlformats.org/drawingml/2006/picture">
                        <pic:nvPicPr>
                          <pic:cNvPr id="154" name="Picture_529_SpCnt_1"/>
                          <pic:cNvPicPr/>
                        </pic:nvPicPr>
                        <pic:blipFill>
                          <a:blip r:embed="rId78"/>
                          <a:stretch>
                            <a:fillRect/>
                          </a:stretch>
                        </pic:blipFill>
                        <pic:spPr>
                          <a:xfrm>
                            <a:off x="0" y="0"/>
                            <a:ext cx="561340" cy="647065"/>
                          </a:xfrm>
                          <a:prstGeom prst="rect">
                            <a:avLst/>
                          </a:prstGeom>
                          <a:noFill/>
                          <a:ln>
                            <a:noFill/>
                          </a:ln>
                        </pic:spPr>
                      </pic:pic>
                    </a:graphicData>
                  </a:graphic>
                </wp:anchor>
              </w:drawing>
            </w:r>
          </w:p>
        </w:tc>
        <w:tc>
          <w:tcPr>
            <w:tcW w:w="55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材质为食品级304不锈钢  直径130</w:t>
            </w:r>
          </w:p>
        </w:tc>
      </w:tr>
      <w:tr>
        <w:tblPrEx>
          <w:tblCellMar>
            <w:top w:w="0" w:type="dxa"/>
            <w:left w:w="108" w:type="dxa"/>
            <w:bottom w:w="0" w:type="dxa"/>
            <w:right w:w="108" w:type="dxa"/>
          </w:tblCellMar>
        </w:tblPrEx>
        <w:trPr>
          <w:trHeight w:val="948"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餐桌</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i w:val="0"/>
                <w:iCs w:val="0"/>
                <w:color w:val="000000"/>
                <w:sz w:val="20"/>
                <w:szCs w:val="20"/>
                <w:u w:val="none"/>
              </w:rPr>
            </w:pP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配4人座餐椅，样式供应商自己考虑。</w:t>
            </w:r>
          </w:p>
        </w:tc>
      </w:tr>
      <w:tr>
        <w:tblPrEx>
          <w:tblCellMar>
            <w:top w:w="0" w:type="dxa"/>
            <w:left w:w="108" w:type="dxa"/>
            <w:bottom w:w="0" w:type="dxa"/>
            <w:right w:w="108" w:type="dxa"/>
          </w:tblCellMar>
        </w:tblPrEx>
        <w:trPr>
          <w:trHeight w:val="736" w:hRule="atLeast"/>
        </w:trPr>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煤气报警器</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1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i w:val="0"/>
                <w:iCs w:val="0"/>
                <w:color w:val="000000"/>
                <w:sz w:val="20"/>
                <w:szCs w:val="20"/>
                <w:u w:val="none"/>
              </w:rPr>
            </w:pPr>
          </w:p>
        </w:tc>
        <w:tc>
          <w:tcPr>
            <w:tcW w:w="5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仿宋" w:hAnsi="仿宋" w:eastAsia="仿宋" w:cs="仿宋"/>
                <w:i w:val="0"/>
                <w:iCs w:val="0"/>
                <w:color w:val="000000"/>
                <w:sz w:val="20"/>
                <w:szCs w:val="20"/>
                <w:u w:val="none"/>
              </w:rPr>
            </w:pPr>
          </w:p>
        </w:tc>
      </w:tr>
    </w:tbl>
    <w:p>
      <w:pPr>
        <w:rPr>
          <w:rFonts w:ascii="仿宋" w:hAnsi="仿宋" w:eastAsia="仿宋"/>
        </w:rPr>
      </w:pPr>
    </w:p>
    <w:bookmarkEnd w:id="98"/>
    <w:p>
      <w:pPr>
        <w:pStyle w:val="4"/>
        <w:spacing w:line="400" w:lineRule="exact"/>
        <w:ind w:firstLine="236" w:firstLineChars="98"/>
        <w:rPr>
          <w:rFonts w:ascii="仿宋" w:hAnsi="仿宋" w:eastAsia="仿宋"/>
          <w:b w:val="0"/>
          <w:sz w:val="24"/>
          <w:szCs w:val="24"/>
        </w:rPr>
      </w:pPr>
      <w:r>
        <w:rPr>
          <w:rFonts w:ascii="仿宋" w:hAnsi="仿宋" w:eastAsia="仿宋"/>
          <w:sz w:val="24"/>
        </w:rPr>
        <w:t>*</w:t>
      </w:r>
      <w:r>
        <w:rPr>
          <w:rFonts w:hint="eastAsia" w:ascii="仿宋" w:hAnsi="仿宋" w:eastAsia="仿宋"/>
          <w:b w:val="0"/>
          <w:sz w:val="24"/>
          <w:szCs w:val="24"/>
          <w:lang w:val="en-US" w:eastAsia="zh-CN"/>
        </w:rPr>
        <w:t>三</w:t>
      </w:r>
      <w:r>
        <w:rPr>
          <w:rFonts w:hint="eastAsia" w:ascii="仿宋" w:hAnsi="仿宋" w:eastAsia="仿宋"/>
          <w:b w:val="0"/>
          <w:sz w:val="24"/>
          <w:szCs w:val="24"/>
        </w:rPr>
        <w:t>.商务要求</w:t>
      </w:r>
    </w:p>
    <w:p>
      <w:pPr>
        <w:pStyle w:val="6"/>
        <w:spacing w:line="400" w:lineRule="exact"/>
        <w:ind w:firstLine="480"/>
        <w:rPr>
          <w:rFonts w:ascii="仿宋" w:hAnsi="仿宋" w:eastAsia="仿宋"/>
          <w:sz w:val="24"/>
        </w:rPr>
      </w:pPr>
      <w:r>
        <w:rPr>
          <w:rFonts w:hint="eastAsia" w:ascii="仿宋" w:hAnsi="仿宋" w:eastAsia="仿宋"/>
          <w:sz w:val="24"/>
        </w:rPr>
        <w:t>*1．交货期及地点及质保期</w:t>
      </w:r>
    </w:p>
    <w:p>
      <w:pPr>
        <w:pStyle w:val="6"/>
        <w:spacing w:line="400" w:lineRule="exact"/>
        <w:ind w:firstLine="480"/>
        <w:rPr>
          <w:rFonts w:ascii="仿宋" w:hAnsi="仿宋" w:eastAsia="仿宋"/>
          <w:sz w:val="24"/>
        </w:rPr>
      </w:pPr>
      <w:r>
        <w:rPr>
          <w:rFonts w:hint="eastAsia" w:ascii="仿宋" w:hAnsi="仿宋" w:eastAsia="仿宋"/>
          <w:sz w:val="24"/>
        </w:rPr>
        <w:t>1.1 交货期：</w:t>
      </w:r>
      <w:r>
        <w:rPr>
          <w:rFonts w:hint="eastAsia" w:ascii="仿宋" w:hAnsi="仿宋" w:eastAsia="仿宋"/>
          <w:sz w:val="24"/>
          <w:lang w:val="en-US" w:eastAsia="zh-CN"/>
        </w:rPr>
        <w:t>合同签订后30天内交付</w:t>
      </w:r>
      <w:r>
        <w:rPr>
          <w:rFonts w:hint="eastAsia" w:ascii="仿宋" w:hAnsi="仿宋" w:eastAsia="仿宋"/>
          <w:sz w:val="24"/>
        </w:rPr>
        <w:t>。</w:t>
      </w:r>
    </w:p>
    <w:p>
      <w:pPr>
        <w:pStyle w:val="6"/>
        <w:spacing w:line="400" w:lineRule="exact"/>
        <w:ind w:firstLine="480"/>
        <w:rPr>
          <w:rFonts w:ascii="仿宋" w:hAnsi="仿宋" w:eastAsia="仿宋"/>
          <w:sz w:val="24"/>
        </w:rPr>
      </w:pPr>
      <w:r>
        <w:rPr>
          <w:rFonts w:hint="eastAsia" w:ascii="仿宋" w:hAnsi="仿宋" w:eastAsia="仿宋"/>
          <w:sz w:val="24"/>
        </w:rPr>
        <w:t>1.2 交货地点: 采购人指定地点。</w:t>
      </w:r>
    </w:p>
    <w:p>
      <w:pPr>
        <w:pStyle w:val="6"/>
        <w:spacing w:line="400" w:lineRule="exact"/>
        <w:ind w:firstLine="480"/>
        <w:rPr>
          <w:rFonts w:ascii="仿宋" w:hAnsi="仿宋" w:eastAsia="仿宋"/>
          <w:sz w:val="24"/>
        </w:rPr>
      </w:pPr>
      <w:r>
        <w:rPr>
          <w:rFonts w:hint="eastAsia" w:ascii="仿宋" w:hAnsi="仿宋" w:eastAsia="仿宋"/>
          <w:sz w:val="24"/>
        </w:rPr>
        <w:t>1</w:t>
      </w:r>
      <w:r>
        <w:rPr>
          <w:rFonts w:ascii="仿宋" w:hAnsi="仿宋" w:eastAsia="仿宋"/>
          <w:sz w:val="24"/>
        </w:rPr>
        <w:t>.3质保期</w:t>
      </w:r>
      <w:r>
        <w:rPr>
          <w:rFonts w:hint="eastAsia" w:ascii="仿宋" w:hAnsi="仿宋" w:eastAsia="仿宋"/>
          <w:sz w:val="24"/>
        </w:rPr>
        <w:t>：</w:t>
      </w:r>
      <w:r>
        <w:rPr>
          <w:rFonts w:hint="eastAsia" w:ascii="仿宋" w:hAnsi="仿宋" w:eastAsia="仿宋"/>
          <w:sz w:val="24"/>
          <w:lang w:val="en-US" w:eastAsia="zh-CN"/>
        </w:rPr>
        <w:t>两</w:t>
      </w:r>
      <w:r>
        <w:rPr>
          <w:rFonts w:ascii="仿宋" w:hAnsi="仿宋" w:eastAsia="仿宋"/>
          <w:sz w:val="24"/>
        </w:rPr>
        <w:t>年</w:t>
      </w:r>
      <w:r>
        <w:rPr>
          <w:rFonts w:hint="eastAsia" w:ascii="仿宋" w:hAnsi="仿宋" w:eastAsia="仿宋"/>
          <w:sz w:val="24"/>
        </w:rPr>
        <w:t>。</w:t>
      </w:r>
    </w:p>
    <w:p>
      <w:pPr>
        <w:pStyle w:val="6"/>
        <w:spacing w:line="400" w:lineRule="exact"/>
        <w:ind w:firstLine="480"/>
        <w:rPr>
          <w:rFonts w:ascii="仿宋" w:hAnsi="仿宋" w:eastAsia="仿宋"/>
          <w:sz w:val="24"/>
        </w:rPr>
      </w:pPr>
      <w:r>
        <w:rPr>
          <w:rFonts w:hint="eastAsia" w:ascii="仿宋" w:hAnsi="仿宋" w:eastAsia="仿宋"/>
          <w:sz w:val="24"/>
        </w:rPr>
        <w:t>*2．付款方法和条件：</w:t>
      </w:r>
    </w:p>
    <w:p>
      <w:pPr>
        <w:pStyle w:val="6"/>
        <w:spacing w:line="400" w:lineRule="exact"/>
        <w:ind w:firstLine="480"/>
        <w:rPr>
          <w:rFonts w:ascii="仿宋" w:hAnsi="仿宋" w:eastAsia="仿宋"/>
          <w:sz w:val="24"/>
        </w:rPr>
      </w:pPr>
      <w:r>
        <w:rPr>
          <w:rFonts w:hint="eastAsia" w:ascii="仿宋" w:hAnsi="仿宋" w:eastAsia="仿宋"/>
          <w:sz w:val="24"/>
        </w:rPr>
        <w:t>签订合同后,由采购人向成交人支付合同总金额35%的预付款，成交人按照合同约定时间内完成本项目的所有安装验收后，凭送货验收清单等资料，经采购人审核无误后，由采购人向成交人支付合同总金额60%的货款及无息退还合同总金额5%的履约保证金，剩余合同总金额5%在质保期满一年后且无质量问题后10个工作日内，由采购人无息全额返还成交人。</w:t>
      </w:r>
    </w:p>
    <w:p>
      <w:pPr>
        <w:pStyle w:val="6"/>
        <w:spacing w:line="400" w:lineRule="exact"/>
        <w:ind w:firstLine="480"/>
        <w:rPr>
          <w:rFonts w:ascii="仿宋" w:hAnsi="仿宋" w:eastAsia="仿宋"/>
          <w:sz w:val="24"/>
        </w:rPr>
      </w:pPr>
      <w:r>
        <w:rPr>
          <w:rFonts w:hint="eastAsia" w:ascii="仿宋" w:hAnsi="仿宋" w:eastAsia="仿宋"/>
          <w:sz w:val="24"/>
        </w:rPr>
        <w:t>*3.验收要求</w:t>
      </w:r>
    </w:p>
    <w:p>
      <w:pPr>
        <w:pStyle w:val="6"/>
        <w:spacing w:line="400" w:lineRule="exact"/>
        <w:ind w:firstLine="480"/>
        <w:rPr>
          <w:rFonts w:ascii="仿宋" w:hAnsi="仿宋" w:eastAsia="仿宋"/>
          <w:sz w:val="24"/>
        </w:rPr>
      </w:pPr>
      <w:r>
        <w:rPr>
          <w:rFonts w:hint="eastAsia" w:ascii="仿宋" w:hAnsi="仿宋" w:eastAsia="仿宋"/>
          <w:sz w:val="24"/>
        </w:rPr>
        <w:t>3</w:t>
      </w:r>
      <w:r>
        <w:rPr>
          <w:rFonts w:ascii="仿宋" w:hAnsi="仿宋" w:eastAsia="仿宋"/>
          <w:sz w:val="24"/>
        </w:rPr>
        <w:t>.1</w:t>
      </w:r>
      <w:r>
        <w:rPr>
          <w:rFonts w:hint="eastAsia" w:ascii="仿宋" w:hAnsi="仿宋" w:eastAsia="仿宋"/>
          <w:sz w:val="24"/>
        </w:rPr>
        <w:t>成交人须提供符合磋商文件要求和国家相关行业质量标准的全新合格产品，如发生所供产品与合同不符，采购人有权拒收或者更换产品并追究赔偿责任。</w:t>
      </w:r>
    </w:p>
    <w:p>
      <w:pPr>
        <w:pStyle w:val="6"/>
        <w:spacing w:line="400" w:lineRule="exact"/>
        <w:ind w:firstLine="48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lang w:val="en-US" w:eastAsia="zh-CN"/>
        </w:rPr>
        <w:t>2</w:t>
      </w:r>
      <w:r>
        <w:rPr>
          <w:rFonts w:hint="eastAsia" w:ascii="仿宋" w:hAnsi="仿宋" w:eastAsia="仿宋"/>
          <w:sz w:val="24"/>
        </w:rPr>
        <w:t>由于成交人技术服务人员技术指导错误或疏忽，或由于成交人未按要求派人进行现场跟踪技术服务而造成的损失应由成交人负责。</w:t>
      </w:r>
    </w:p>
    <w:p>
      <w:pPr>
        <w:pStyle w:val="6"/>
        <w:spacing w:line="400" w:lineRule="exact"/>
        <w:ind w:firstLine="48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lang w:val="en-US" w:eastAsia="zh-CN"/>
        </w:rPr>
        <w:t>3</w:t>
      </w:r>
      <w:r>
        <w:rPr>
          <w:rFonts w:hint="eastAsia" w:ascii="仿宋" w:hAnsi="仿宋" w:eastAsia="仿宋"/>
          <w:sz w:val="24"/>
        </w:rPr>
        <w:t>成交人在交货时应向用户提供产品配套技术资料。</w:t>
      </w:r>
    </w:p>
    <w:p/>
    <w:p>
      <w:pPr>
        <w:pStyle w:val="6"/>
        <w:spacing w:line="400" w:lineRule="exact"/>
        <w:ind w:firstLine="0" w:firstLineChars="0"/>
        <w:rPr>
          <w:rFonts w:ascii="仿宋" w:hAnsi="仿宋" w:eastAsia="仿宋"/>
          <w:sz w:val="24"/>
        </w:rPr>
      </w:pPr>
    </w:p>
    <w:p>
      <w:pPr>
        <w:pStyle w:val="19"/>
        <w:rPr>
          <w:rFonts w:ascii="仿宋" w:hAnsi="仿宋" w:eastAsia="仿宋"/>
          <w:b w:val="0"/>
        </w:rPr>
      </w:pPr>
      <w:r>
        <w:rPr>
          <w:rFonts w:ascii="仿宋" w:hAnsi="仿宋" w:eastAsia="仿宋"/>
          <w:b w:val="0"/>
          <w:sz w:val="24"/>
        </w:rPr>
        <w:br w:type="page"/>
      </w:r>
      <w:bookmarkEnd w:id="83"/>
      <w:bookmarkEnd w:id="84"/>
      <w:bookmarkEnd w:id="85"/>
      <w:bookmarkEnd w:id="86"/>
      <w:bookmarkEnd w:id="87"/>
      <w:bookmarkStart w:id="99" w:name="_Toc511205303"/>
      <w:bookmarkStart w:id="100" w:name="_Toc183682369"/>
      <w:bookmarkStart w:id="101" w:name="_Toc183582232"/>
      <w:bookmarkStart w:id="102" w:name="_Toc217446057"/>
      <w:r>
        <w:rPr>
          <w:rFonts w:hint="eastAsia" w:ascii="仿宋" w:hAnsi="仿宋" w:eastAsia="仿宋"/>
          <w:b w:val="0"/>
        </w:rPr>
        <w:t>第六章  磋商内容、磋商过程中可实质性变动的内容</w:t>
      </w:r>
      <w:bookmarkEnd w:id="99"/>
    </w:p>
    <w:p>
      <w:pPr>
        <w:pStyle w:val="4"/>
        <w:keepNext w:val="0"/>
        <w:keepLines w:val="0"/>
        <w:spacing w:before="0" w:after="0" w:line="400" w:lineRule="exact"/>
        <w:rPr>
          <w:rFonts w:ascii="仿宋" w:hAnsi="仿宋" w:eastAsia="仿宋"/>
          <w:b w:val="0"/>
          <w:sz w:val="24"/>
          <w:szCs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103"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32"/>
          <w:szCs w:val="32"/>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32"/>
          <w:szCs w:val="32"/>
        </w:rPr>
      </w:pPr>
    </w:p>
    <w:bookmarkEnd w:id="103"/>
    <w:p>
      <w:pPr>
        <w:widowControl/>
        <w:jc w:val="left"/>
        <w:rPr>
          <w:rFonts w:ascii="仿宋" w:hAnsi="仿宋" w:eastAsia="仿宋" w:cstheme="majorBidi"/>
          <w:bCs/>
          <w:sz w:val="32"/>
          <w:szCs w:val="32"/>
        </w:rPr>
      </w:pPr>
      <w:bookmarkStart w:id="104" w:name="_Toc511205304"/>
      <w:r>
        <w:rPr>
          <w:rFonts w:ascii="仿宋" w:hAnsi="仿宋" w:eastAsia="仿宋"/>
        </w:rPr>
        <w:br w:type="page"/>
      </w:r>
    </w:p>
    <w:p>
      <w:pPr>
        <w:pStyle w:val="19"/>
        <w:rPr>
          <w:rFonts w:ascii="仿宋" w:hAnsi="仿宋" w:eastAsia="仿宋"/>
          <w:b w:val="0"/>
          <w:bCs w:val="0"/>
        </w:rPr>
      </w:pPr>
      <w:r>
        <w:rPr>
          <w:rFonts w:hint="eastAsia" w:ascii="仿宋" w:hAnsi="仿宋" w:eastAsia="仿宋"/>
          <w:b w:val="0"/>
        </w:rPr>
        <w:t>第七章  响应文件格式</w:t>
      </w:r>
      <w:bookmarkEnd w:id="104"/>
    </w:p>
    <w:p>
      <w:pPr>
        <w:tabs>
          <w:tab w:val="left" w:pos="7665"/>
        </w:tabs>
        <w:spacing w:line="400" w:lineRule="exact"/>
        <w:ind w:firstLine="480"/>
        <w:rPr>
          <w:rFonts w:ascii="仿宋" w:hAnsi="仿宋" w:eastAsia="仿宋"/>
          <w:bCs/>
          <w:sz w:val="24"/>
        </w:rPr>
      </w:pPr>
    </w:p>
    <w:p>
      <w:pPr>
        <w:jc w:val="left"/>
        <w:rPr>
          <w:rFonts w:ascii="仿宋" w:hAnsi="仿宋" w:eastAsia="仿宋"/>
          <w:sz w:val="32"/>
          <w:szCs w:val="32"/>
        </w:rPr>
      </w:pPr>
    </w:p>
    <w:p>
      <w:pPr>
        <w:rPr>
          <w:rFonts w:ascii="仿宋" w:hAnsi="仿宋" w:eastAsia="仿宋"/>
          <w:sz w:val="24"/>
        </w:rPr>
      </w:pPr>
      <w:bookmarkStart w:id="105" w:name="PO_默认文件内容_29"/>
      <w:r>
        <w:rPr>
          <w:rFonts w:hint="eastAsia" w:ascii="仿宋" w:hAnsi="仿宋" w:eastAsia="仿宋"/>
          <w:sz w:val="24"/>
        </w:rPr>
        <w:t>一、本章所制响应文件格式，除格式中明确将该格式作为实质性要求的，一律不具有强制性。</w:t>
      </w:r>
    </w:p>
    <w:p>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ind w:firstLine="480" w:firstLineChars="200"/>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105"/>
    </w:p>
    <w:p>
      <w:pPr>
        <w:jc w:val="cente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w:br w:type="page"/>
      </w:r>
      <w:bookmarkStart w:id="106" w:name="PO_默认文件内容_22"/>
      <w:r>
        <w:rPr>
          <w:rFonts w:ascii="仿宋" w:hAnsi="仿宋" w:eastAsia="仿宋"/>
          <w:sz w:val="32"/>
        </w:rPr>
        <w:t xml:space="preserve">第一部分     </w:t>
      </w:r>
      <w:r>
        <w:rPr>
          <w:rFonts w:hint="eastAsia" w:ascii="仿宋" w:hAnsi="仿宋" w:eastAsia="仿宋"/>
          <w:sz w:val="32"/>
        </w:rPr>
        <w:t>“</w:t>
      </w:r>
      <w:r>
        <w:rPr>
          <w:rFonts w:ascii="仿宋" w:hAnsi="仿宋" w:eastAsia="仿宋"/>
          <w:sz w:val="32"/>
        </w:rPr>
        <w:t>资格性</w:t>
      </w:r>
      <w:r>
        <w:rPr>
          <w:rFonts w:hint="eastAsia" w:ascii="仿宋" w:hAnsi="仿宋" w:eastAsia="仿宋"/>
          <w:sz w:val="32"/>
        </w:rPr>
        <w:t>响应</w:t>
      </w:r>
      <w:r>
        <w:rPr>
          <w:rFonts w:ascii="仿宋" w:hAnsi="仿宋" w:eastAsia="仿宋"/>
          <w:sz w:val="32"/>
        </w:rPr>
        <w:t>文件</w:t>
      </w:r>
      <w:r>
        <w:rPr>
          <w:rFonts w:hint="eastAsia" w:ascii="仿宋" w:hAnsi="仿宋" w:eastAsia="仿宋"/>
          <w:sz w:val="32"/>
        </w:rPr>
        <w:t>”</w:t>
      </w:r>
      <w:r>
        <w:rPr>
          <w:rFonts w:ascii="仿宋" w:hAnsi="仿宋" w:eastAsia="仿宋"/>
          <w:sz w:val="32"/>
        </w:rPr>
        <w:t>格式</w:t>
      </w:r>
    </w:p>
    <w:p>
      <w:pPr>
        <w:spacing w:line="360" w:lineRule="auto"/>
        <w:rPr>
          <w:rFonts w:ascii="仿宋" w:hAnsi="仿宋" w:eastAsia="仿宋"/>
          <w:sz w:val="32"/>
          <w:szCs w:val="32"/>
        </w:rPr>
      </w:pPr>
      <w:r>
        <w:rPr>
          <w:rFonts w:hint="eastAsia" w:ascii="仿宋" w:hAnsi="仿宋" w:eastAsia="仿宋"/>
          <w:sz w:val="32"/>
          <w:szCs w:val="32"/>
        </w:rPr>
        <w:t>格式1-1</w:t>
      </w:r>
    </w:p>
    <w:p>
      <w:pPr>
        <w:jc w:val="center"/>
        <w:rPr>
          <w:rFonts w:ascii="仿宋" w:hAnsi="仿宋" w:eastAsia="仿宋"/>
          <w:sz w:val="32"/>
          <w:szCs w:val="32"/>
        </w:rPr>
      </w:pPr>
    </w:p>
    <w:p>
      <w:pPr>
        <w:jc w:val="right"/>
        <w:rPr>
          <w:rFonts w:ascii="仿宋" w:hAnsi="仿宋" w:eastAsia="仿宋"/>
          <w:sz w:val="36"/>
        </w:rPr>
      </w:pPr>
      <w:r>
        <w:rPr>
          <w:rFonts w:ascii="仿宋" w:hAnsi="仿宋" w:eastAsia="仿宋"/>
          <w:sz w:val="36"/>
        </w:rPr>
        <w:t>（正本/副本）</w:t>
      </w:r>
    </w:p>
    <w:p>
      <w:pPr>
        <w:rPr>
          <w:rFonts w:ascii="仿宋" w:hAnsi="仿宋" w:eastAsia="仿宋"/>
          <w:sz w:val="72"/>
        </w:rPr>
      </w:pPr>
    </w:p>
    <w:p>
      <w:pPr>
        <w:spacing w:line="360" w:lineRule="auto"/>
        <w:jc w:val="center"/>
        <w:rPr>
          <w:rFonts w:ascii="仿宋" w:hAnsi="仿宋" w:eastAsia="仿宋"/>
          <w:sz w:val="72"/>
        </w:rPr>
      </w:pPr>
      <w:r>
        <w:rPr>
          <w:rFonts w:ascii="仿宋" w:hAnsi="仿宋" w:eastAsia="仿宋"/>
          <w:sz w:val="40"/>
          <w:szCs w:val="48"/>
        </w:rPr>
        <w:t>xxxx</w:t>
      </w:r>
      <w:r>
        <w:rPr>
          <w:rFonts w:hint="eastAsia" w:ascii="仿宋" w:hAnsi="仿宋" w:eastAsia="仿宋"/>
          <w:sz w:val="40"/>
          <w:szCs w:val="48"/>
        </w:rPr>
        <w:t>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资格性响应文件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jc w:val="center"/>
        <w:rPr>
          <w:rFonts w:ascii="仿宋" w:hAnsi="仿宋" w:eastAsia="仿宋"/>
          <w:sz w:val="36"/>
        </w:rPr>
      </w:pPr>
    </w:p>
    <w:p>
      <w:pPr>
        <w:jc w:val="center"/>
        <w:rPr>
          <w:rFonts w:ascii="仿宋" w:hAnsi="仿宋" w:eastAsia="仿宋"/>
          <w:sz w:val="32"/>
          <w:szCs w:val="32"/>
        </w:rPr>
      </w:pPr>
    </w:p>
    <w:p>
      <w:pPr>
        <w:jc w:val="center"/>
        <w:rPr>
          <w:rFonts w:ascii="仿宋" w:hAnsi="仿宋" w:eastAsia="仿宋"/>
          <w:sz w:val="36"/>
        </w:rPr>
      </w:pPr>
    </w:p>
    <w:p>
      <w:pPr>
        <w:jc w:val="center"/>
        <w:rPr>
          <w:rFonts w:ascii="仿宋" w:hAnsi="仿宋" w:eastAsia="仿宋"/>
          <w:sz w:val="36"/>
        </w:rPr>
      </w:pPr>
    </w:p>
    <w:p>
      <w:pPr>
        <w:spacing w:line="440" w:lineRule="exact"/>
        <w:jc w:val="center"/>
        <w:rPr>
          <w:rFonts w:ascii="仿宋" w:hAnsi="仿宋" w:eastAsia="仿宋"/>
          <w:sz w:val="36"/>
        </w:rPr>
      </w:pPr>
    </w:p>
    <w:p>
      <w:pPr>
        <w:jc w:val="center"/>
        <w:rPr>
          <w:rFonts w:ascii="仿宋" w:hAnsi="仿宋" w:eastAsia="仿宋" w:cs="Arial"/>
          <w:bCs/>
          <w:sz w:val="32"/>
          <w:szCs w:val="32"/>
        </w:rPr>
      </w:pPr>
      <w:r>
        <w:rPr>
          <w:rFonts w:ascii="仿宋" w:hAnsi="仿宋" w:eastAsia="仿宋"/>
          <w:sz w:val="32"/>
        </w:rPr>
        <w:t>日期：</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widowControl/>
        <w:jc w:val="left"/>
        <w:rPr>
          <w:rFonts w:ascii="仿宋" w:hAnsi="仿宋" w:eastAsia="仿宋" w:cs="Arial"/>
          <w:bCs/>
          <w:sz w:val="32"/>
          <w:szCs w:val="32"/>
        </w:rPr>
      </w:pPr>
      <w:r>
        <w:rPr>
          <w:rFonts w:ascii="仿宋" w:hAnsi="仿宋" w:eastAsia="仿宋" w:cs="Arial"/>
          <w:bCs/>
          <w:sz w:val="32"/>
          <w:szCs w:val="32"/>
        </w:rPr>
        <w:br w:type="page"/>
      </w:r>
    </w:p>
    <w:p>
      <w:pPr>
        <w:spacing w:line="360" w:lineRule="auto"/>
        <w:rPr>
          <w:rFonts w:ascii="仿宋" w:hAnsi="仿宋" w:eastAsia="仿宋"/>
          <w:sz w:val="32"/>
          <w:szCs w:val="32"/>
        </w:rPr>
      </w:pPr>
      <w:r>
        <w:rPr>
          <w:rFonts w:hint="eastAsia" w:ascii="仿宋" w:hAnsi="仿宋" w:eastAsia="仿宋"/>
          <w:sz w:val="32"/>
          <w:szCs w:val="32"/>
        </w:rPr>
        <w:t>格式1-2</w:t>
      </w:r>
    </w:p>
    <w:p>
      <w:pPr>
        <w:spacing w:line="360" w:lineRule="auto"/>
        <w:ind w:firstLine="787" w:firstLineChars="246"/>
        <w:jc w:val="center"/>
        <w:rPr>
          <w:rFonts w:ascii="仿宋" w:hAnsi="仿宋" w:eastAsia="仿宋"/>
          <w:sz w:val="32"/>
          <w:szCs w:val="32"/>
        </w:rPr>
      </w:pPr>
      <w:r>
        <w:rPr>
          <w:rFonts w:hint="eastAsia" w:ascii="仿宋" w:hAnsi="仿宋" w:eastAsia="仿宋"/>
          <w:sz w:val="32"/>
          <w:szCs w:val="32"/>
        </w:rPr>
        <w:t>一、法定代表人/单位负责人授权书</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法定代表人/单位负责人（委托人）签字或加盖个人印章：XXXX。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line="360" w:lineRule="atLeast"/>
        <w:jc w:val="left"/>
        <w:outlineLvl w:val="1"/>
        <w:rPr>
          <w:rFonts w:ascii="仿宋" w:hAnsi="仿宋" w:eastAsia="仿宋"/>
          <w:sz w:val="24"/>
        </w:rPr>
      </w:pPr>
      <w:bookmarkStart w:id="107" w:name="_Toc217446084"/>
    </w:p>
    <w:p>
      <w:pPr>
        <w:widowControl/>
        <w:spacing w:line="360" w:lineRule="atLeast"/>
        <w:jc w:val="left"/>
        <w:outlineLvl w:val="1"/>
        <w:rPr>
          <w:rFonts w:ascii="仿宋" w:hAnsi="仿宋" w:eastAsia="仿宋"/>
          <w:sz w:val="24"/>
        </w:rPr>
      </w:pPr>
    </w:p>
    <w:p>
      <w:pPr>
        <w:widowControl/>
        <w:spacing w:line="360" w:lineRule="atLeast"/>
        <w:jc w:val="left"/>
        <w:outlineLvl w:val="1"/>
        <w:rPr>
          <w:rFonts w:ascii="仿宋" w:hAnsi="仿宋" w:eastAsia="仿宋"/>
          <w:sz w:val="24"/>
        </w:rPr>
      </w:pPr>
    </w:p>
    <w:p>
      <w:pPr>
        <w:widowControl/>
        <w:spacing w:line="360" w:lineRule="atLeast"/>
        <w:jc w:val="left"/>
        <w:outlineLvl w:val="1"/>
        <w:rPr>
          <w:rFonts w:ascii="仿宋" w:hAnsi="仿宋" w:eastAsia="仿宋"/>
          <w:sz w:val="24"/>
        </w:rPr>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sz w:val="24"/>
        </w:rPr>
      </w:pPr>
    </w:p>
    <w:bookmarkEnd w:id="107"/>
    <w:p>
      <w:pPr>
        <w:spacing w:line="360" w:lineRule="auto"/>
        <w:ind w:firstLine="787" w:firstLineChars="246"/>
        <w:jc w:val="center"/>
        <w:rPr>
          <w:rFonts w:ascii="仿宋" w:hAnsi="仿宋" w:eastAsia="仿宋"/>
          <w:sz w:val="32"/>
        </w:rPr>
      </w:pPr>
    </w:p>
    <w:p>
      <w:pPr>
        <w:spacing w:line="360" w:lineRule="auto"/>
        <w:rPr>
          <w:rFonts w:ascii="仿宋" w:hAnsi="仿宋" w:eastAsia="仿宋"/>
          <w:sz w:val="32"/>
          <w:szCs w:val="32"/>
        </w:rPr>
      </w:pPr>
      <w:r>
        <w:rPr>
          <w:rFonts w:hint="eastAsia" w:ascii="仿宋" w:hAnsi="仿宋" w:eastAsia="仿宋"/>
          <w:sz w:val="32"/>
          <w:szCs w:val="32"/>
        </w:rPr>
        <w:br w:type="page"/>
      </w:r>
      <w:r>
        <w:rPr>
          <w:rFonts w:hint="eastAsia" w:ascii="仿宋" w:hAnsi="仿宋" w:eastAsia="仿宋"/>
          <w:sz w:val="32"/>
          <w:szCs w:val="32"/>
        </w:rPr>
        <w:t>格式1-3</w:t>
      </w:r>
    </w:p>
    <w:p>
      <w:pPr>
        <w:widowControl/>
        <w:spacing w:line="360" w:lineRule="atLeast"/>
        <w:jc w:val="center"/>
        <w:outlineLvl w:val="1"/>
        <w:rPr>
          <w:rFonts w:ascii="仿宋" w:hAnsi="仿宋" w:eastAsia="仿宋"/>
          <w:sz w:val="32"/>
          <w:szCs w:val="32"/>
        </w:rPr>
      </w:pPr>
      <w:r>
        <w:rPr>
          <w:rFonts w:hint="eastAsia" w:ascii="仿宋" w:hAnsi="仿宋" w:eastAsia="仿宋"/>
          <w:sz w:val="32"/>
          <w:szCs w:val="32"/>
        </w:rPr>
        <w:t>二、承诺函</w:t>
      </w:r>
    </w:p>
    <w:p>
      <w:pPr>
        <w:widowControl/>
        <w:spacing w:line="360" w:lineRule="atLeast"/>
        <w:jc w:val="center"/>
        <w:outlineLvl w:val="1"/>
        <w:rPr>
          <w:rFonts w:ascii="仿宋" w:hAnsi="仿宋" w:eastAsia="仿宋"/>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我单位作为本次采购项目的供应商，根据磋商文件要求，现郑重承诺如下：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法定代表人/单位负责人或授权代表（签字或加盖个人印章）：XXXX。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sz w:val="32"/>
          <w:szCs w:val="32"/>
        </w:rPr>
      </w:pPr>
      <w:r>
        <w:rPr>
          <w:rFonts w:hint="eastAsia" w:ascii="仿宋" w:hAnsi="仿宋" w:eastAsia="仿宋"/>
          <w:sz w:val="24"/>
        </w:rPr>
        <w:br w:type="page"/>
      </w:r>
      <w:r>
        <w:rPr>
          <w:rFonts w:hint="eastAsia" w:ascii="仿宋" w:hAnsi="仿宋" w:eastAsia="仿宋"/>
          <w:sz w:val="32"/>
          <w:szCs w:val="32"/>
        </w:rPr>
        <w:t>格式1-4</w:t>
      </w:r>
    </w:p>
    <w:p>
      <w:pPr>
        <w:spacing w:line="360" w:lineRule="auto"/>
        <w:ind w:firstLine="787" w:firstLineChars="246"/>
        <w:jc w:val="center"/>
        <w:rPr>
          <w:rFonts w:ascii="仿宋" w:hAnsi="仿宋" w:eastAsia="仿宋"/>
          <w:sz w:val="32"/>
          <w:szCs w:val="32"/>
        </w:rPr>
      </w:pPr>
      <w:r>
        <w:rPr>
          <w:rFonts w:hint="eastAsia" w:ascii="仿宋" w:hAnsi="仿宋" w:eastAsia="仿宋"/>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spacing w:line="360" w:lineRule="atLeast"/>
        <w:jc w:val="left"/>
        <w:outlineLvl w:val="1"/>
        <w:rPr>
          <w:rFonts w:ascii="仿宋" w:hAnsi="仿宋" w:eastAsia="仿宋"/>
          <w:sz w:val="32"/>
          <w:szCs w:val="32"/>
        </w:rPr>
      </w:pPr>
      <w:r>
        <w:rPr>
          <w:rFonts w:hint="eastAsia" w:ascii="仿宋" w:hAnsi="仿宋" w:eastAsia="仿宋"/>
          <w:sz w:val="32"/>
          <w:szCs w:val="32"/>
        </w:rPr>
        <w:t>格式1-5</w:t>
      </w:r>
    </w:p>
    <w:p>
      <w:pPr>
        <w:widowControl/>
        <w:spacing w:line="360" w:lineRule="atLeast"/>
        <w:jc w:val="center"/>
        <w:outlineLvl w:val="1"/>
        <w:rPr>
          <w:rFonts w:ascii="仿宋" w:hAnsi="仿宋" w:eastAsia="仿宋"/>
          <w:sz w:val="32"/>
          <w:szCs w:val="32"/>
        </w:rPr>
      </w:pPr>
      <w:r>
        <w:rPr>
          <w:rFonts w:hint="eastAsia" w:ascii="仿宋" w:hAnsi="仿宋" w:eastAsia="仿宋"/>
          <w:sz w:val="32"/>
          <w:szCs w:val="32"/>
        </w:rPr>
        <w:t>承诺函（如涉及）</w:t>
      </w:r>
    </w:p>
    <w:p>
      <w:pPr>
        <w:widowControl/>
        <w:spacing w:line="360" w:lineRule="atLeast"/>
        <w:jc w:val="center"/>
        <w:outlineLvl w:val="1"/>
        <w:rPr>
          <w:rFonts w:ascii="仿宋" w:hAnsi="仿宋" w:eastAsia="仿宋"/>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三</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rPr>
        <w:t xml:space="preserve"> </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供应商名称：XXXX（单位公章）。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sz w:val="32"/>
        </w:rPr>
      </w:pPr>
      <w:r>
        <w:rPr>
          <w:rFonts w:hint="eastAsia" w:ascii="仿宋" w:hAnsi="仿宋" w:eastAsia="仿宋"/>
          <w:sz w:val="32"/>
          <w:szCs w:val="32"/>
        </w:rPr>
        <w:br w:type="page"/>
      </w:r>
      <w:r>
        <w:rPr>
          <w:rFonts w:ascii="仿宋" w:hAnsi="仿宋" w:eastAsia="仿宋"/>
          <w:sz w:val="32"/>
        </w:rPr>
        <w:t>第</w:t>
      </w:r>
      <w:r>
        <w:rPr>
          <w:rFonts w:hint="eastAsia" w:ascii="仿宋" w:hAnsi="仿宋" w:eastAsia="仿宋"/>
          <w:sz w:val="32"/>
        </w:rPr>
        <w:t>二</w:t>
      </w:r>
      <w:r>
        <w:rPr>
          <w:rFonts w:ascii="仿宋" w:hAnsi="仿宋" w:eastAsia="仿宋"/>
          <w:sz w:val="32"/>
        </w:rPr>
        <w:t xml:space="preserve">部分     </w:t>
      </w:r>
      <w:r>
        <w:rPr>
          <w:rFonts w:hint="eastAsia" w:ascii="仿宋" w:hAnsi="仿宋" w:eastAsia="仿宋"/>
          <w:sz w:val="32"/>
        </w:rPr>
        <w:t>“其他响应</w:t>
      </w:r>
      <w:r>
        <w:rPr>
          <w:rFonts w:ascii="仿宋" w:hAnsi="仿宋" w:eastAsia="仿宋"/>
          <w:sz w:val="32"/>
        </w:rPr>
        <w:t>文件</w:t>
      </w:r>
      <w:r>
        <w:rPr>
          <w:rFonts w:hint="eastAsia" w:ascii="仿宋" w:hAnsi="仿宋" w:eastAsia="仿宋"/>
          <w:sz w:val="32"/>
        </w:rPr>
        <w:t>”</w:t>
      </w:r>
      <w:r>
        <w:rPr>
          <w:rFonts w:ascii="仿宋" w:hAnsi="仿宋" w:eastAsia="仿宋"/>
          <w:sz w:val="32"/>
        </w:rPr>
        <w:t>格式</w:t>
      </w:r>
    </w:p>
    <w:p>
      <w:pPr>
        <w:spacing w:line="360" w:lineRule="auto"/>
        <w:rPr>
          <w:rFonts w:ascii="仿宋" w:hAnsi="仿宋" w:eastAsia="仿宋"/>
          <w:sz w:val="32"/>
          <w:szCs w:val="32"/>
        </w:rPr>
      </w:pPr>
      <w:r>
        <w:rPr>
          <w:rFonts w:hint="eastAsia" w:ascii="仿宋" w:hAnsi="仿宋" w:eastAsia="仿宋"/>
          <w:sz w:val="32"/>
          <w:szCs w:val="32"/>
        </w:rPr>
        <w:t>格式2-1</w:t>
      </w:r>
    </w:p>
    <w:p>
      <w:pPr>
        <w:spacing w:line="360" w:lineRule="auto"/>
        <w:rPr>
          <w:rFonts w:ascii="仿宋" w:hAnsi="仿宋" w:eastAsia="仿宋"/>
          <w:sz w:val="32"/>
          <w:szCs w:val="32"/>
        </w:rPr>
      </w:pPr>
      <w:r>
        <w:rPr>
          <w:rFonts w:hint="eastAsia" w:ascii="仿宋" w:hAnsi="仿宋" w:eastAsia="仿宋"/>
          <w:sz w:val="32"/>
          <w:szCs w:val="32"/>
        </w:rPr>
        <w:t>封面：</w:t>
      </w:r>
    </w:p>
    <w:p>
      <w:pPr>
        <w:spacing w:line="360" w:lineRule="auto"/>
        <w:jc w:val="right"/>
        <w:rPr>
          <w:rFonts w:ascii="仿宋" w:hAnsi="仿宋" w:eastAsia="仿宋"/>
          <w:sz w:val="36"/>
        </w:rPr>
      </w:pPr>
      <w:r>
        <w:rPr>
          <w:rFonts w:ascii="仿宋" w:hAnsi="仿宋" w:eastAsia="仿宋"/>
          <w:sz w:val="36"/>
        </w:rPr>
        <w:t>（正本/副本）</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jc w:val="center"/>
        <w:rPr>
          <w:rFonts w:ascii="仿宋" w:hAnsi="仿宋" w:eastAsia="仿宋"/>
          <w:sz w:val="72"/>
        </w:rPr>
      </w:pPr>
      <w:r>
        <w:rPr>
          <w:rFonts w:hint="eastAsia" w:ascii="仿宋" w:hAnsi="仿宋" w:eastAsia="仿宋"/>
          <w:sz w:val="40"/>
          <w:szCs w:val="48"/>
        </w:rPr>
        <w:t>XX项目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其他响应文件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spacing w:line="360" w:lineRule="auto"/>
        <w:ind w:firstLine="787" w:firstLineChars="246"/>
        <w:jc w:val="center"/>
        <w:rPr>
          <w:rFonts w:ascii="仿宋" w:hAnsi="仿宋" w:eastAsia="仿宋"/>
          <w:sz w:val="32"/>
        </w:rPr>
      </w:pPr>
    </w:p>
    <w:p>
      <w:pPr>
        <w:spacing w:line="360" w:lineRule="auto"/>
        <w:ind w:firstLine="787" w:firstLineChars="246"/>
        <w:jc w:val="center"/>
        <w:rPr>
          <w:rFonts w:ascii="仿宋" w:hAnsi="仿宋" w:eastAsia="仿宋"/>
          <w:sz w:val="32"/>
        </w:rPr>
      </w:pPr>
      <w:r>
        <w:rPr>
          <w:rFonts w:hint="eastAsia" w:ascii="仿宋" w:hAnsi="仿宋" w:eastAsia="仿宋"/>
          <w:sz w:val="32"/>
        </w:rPr>
        <w:t>时间</w:t>
      </w:r>
      <w:r>
        <w:rPr>
          <w:rFonts w:ascii="仿宋" w:hAnsi="仿宋" w:eastAsia="仿宋"/>
          <w:sz w:val="32"/>
        </w:rPr>
        <w:t>：</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spacing w:line="360" w:lineRule="auto"/>
        <w:rPr>
          <w:rFonts w:ascii="仿宋" w:hAnsi="仿宋" w:eastAsia="仿宋"/>
          <w:sz w:val="32"/>
          <w:szCs w:val="32"/>
        </w:rPr>
      </w:pPr>
      <w:r>
        <w:rPr>
          <w:rFonts w:ascii="仿宋" w:hAnsi="仿宋" w:eastAsia="仿宋"/>
          <w:sz w:val="32"/>
        </w:rPr>
        <w:br w:type="page"/>
      </w:r>
      <w:r>
        <w:rPr>
          <w:rFonts w:hint="eastAsia" w:ascii="仿宋" w:hAnsi="仿宋" w:eastAsia="仿宋"/>
          <w:sz w:val="32"/>
          <w:szCs w:val="32"/>
        </w:rPr>
        <w:t>格式2-2</w:t>
      </w:r>
    </w:p>
    <w:p>
      <w:pPr>
        <w:jc w:val="center"/>
        <w:rPr>
          <w:rFonts w:ascii="仿宋" w:hAnsi="仿宋" w:eastAsia="仿宋"/>
          <w:sz w:val="32"/>
          <w:szCs w:val="32"/>
        </w:rPr>
      </w:pPr>
      <w:bookmarkStart w:id="108" w:name="_Toc308164824"/>
      <w:r>
        <w:rPr>
          <w:rFonts w:hint="eastAsia" w:ascii="仿宋" w:hAnsi="仿宋" w:eastAsia="仿宋"/>
          <w:sz w:val="32"/>
          <w:szCs w:val="32"/>
        </w:rPr>
        <w:t xml:space="preserve"> 响应函</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.一旦我方成交，我方将严格履行政府采购合同规定的责任和义务。</w:t>
      </w:r>
    </w:p>
    <w:p>
      <w:pPr>
        <w:spacing w:line="360" w:lineRule="auto"/>
        <w:ind w:firstLine="480" w:firstLineChars="200"/>
        <w:jc w:val="left"/>
        <w:rPr>
          <w:rFonts w:ascii="仿宋" w:hAnsi="仿宋" w:eastAsia="仿宋"/>
          <w:sz w:val="24"/>
        </w:rPr>
      </w:pPr>
      <w:r>
        <w:rPr>
          <w:rFonts w:ascii="仿宋" w:hAnsi="仿宋" w:eastAsia="仿宋"/>
          <w:sz w:val="24"/>
        </w:rPr>
        <w:t>3</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我方为本项目提交的响应文件正本1份，副本XX份，用于磋商响应。</w:t>
      </w:r>
    </w:p>
    <w:p>
      <w:pPr>
        <w:spacing w:line="360" w:lineRule="auto"/>
        <w:ind w:firstLine="480" w:firstLineChars="200"/>
        <w:jc w:val="left"/>
        <w:rPr>
          <w:rFonts w:ascii="仿宋" w:hAnsi="仿宋" w:eastAsia="仿宋"/>
          <w:sz w:val="24"/>
        </w:rPr>
      </w:pPr>
      <w:r>
        <w:rPr>
          <w:rFonts w:ascii="仿宋" w:hAnsi="仿宋" w:eastAsia="仿宋"/>
          <w:sz w:val="24"/>
        </w:rPr>
        <w:t>4</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我方愿意提供贵单位可能另外要求的，与磋商响应有关的文件资料，并保证我方已提供和将要提供的文件资料是真实、准确的。</w:t>
      </w:r>
    </w:p>
    <w:p>
      <w:pPr>
        <w:spacing w:line="360" w:lineRule="auto"/>
        <w:ind w:firstLine="480" w:firstLineChars="200"/>
        <w:jc w:val="left"/>
        <w:rPr>
          <w:rFonts w:ascii="仿宋" w:hAnsi="仿宋" w:eastAsia="仿宋"/>
          <w:sz w:val="24"/>
        </w:rPr>
      </w:pPr>
      <w:r>
        <w:rPr>
          <w:rFonts w:ascii="仿宋" w:hAnsi="仿宋" w:eastAsia="仿宋"/>
          <w:sz w:val="24"/>
        </w:rPr>
        <w:t>5</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本次磋商，我方递交的响应文件有效期为磋商文件规定起算之日起XX天。</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hint="eastAsia" w:ascii="仿宋" w:hAnsi="仿宋" w:eastAsia="仿宋"/>
          <w:sz w:val="32"/>
          <w:szCs w:val="32"/>
        </w:rPr>
        <w:br w:type="page"/>
      </w:r>
      <w:r>
        <w:rPr>
          <w:rFonts w:hint="eastAsia" w:ascii="仿宋" w:hAnsi="仿宋" w:eastAsia="仿宋"/>
          <w:b/>
          <w:sz w:val="32"/>
          <w:szCs w:val="32"/>
        </w:rPr>
        <w:t>格式2-3</w:t>
      </w:r>
    </w:p>
    <w:p>
      <w:pPr>
        <w:widowControl/>
        <w:jc w:val="center"/>
        <w:outlineLvl w:val="1"/>
        <w:rPr>
          <w:rFonts w:ascii="仿宋" w:hAnsi="仿宋" w:eastAsia="仿宋"/>
          <w:b/>
          <w:sz w:val="32"/>
          <w:szCs w:val="32"/>
        </w:rPr>
      </w:pPr>
      <w:r>
        <w:rPr>
          <w:rFonts w:hint="eastAsia" w:ascii="仿宋" w:hAnsi="仿宋" w:eastAsia="仿宋"/>
          <w:b/>
          <w:sz w:val="32"/>
          <w:szCs w:val="32"/>
        </w:rPr>
        <w:t xml:space="preserve"> 承诺函（实质性要求）</w:t>
      </w:r>
    </w:p>
    <w:p>
      <w:pPr>
        <w:widowControl/>
        <w:jc w:val="center"/>
        <w:outlineLvl w:val="1"/>
        <w:rPr>
          <w:rFonts w:ascii="仿宋" w:hAnsi="仿宋" w:eastAsia="仿宋"/>
          <w:b/>
          <w:sz w:val="24"/>
        </w:rPr>
      </w:pPr>
    </w:p>
    <w:p>
      <w:pPr>
        <w:rPr>
          <w:rFonts w:ascii="仿宋" w:hAnsi="仿宋" w:eastAsia="仿宋"/>
          <w:sz w:val="24"/>
        </w:rPr>
      </w:pPr>
      <w:r>
        <w:rPr>
          <w:rFonts w:hint="eastAsia" w:ascii="仿宋" w:hAnsi="仿宋" w:eastAsia="仿宋"/>
          <w:sz w:val="24"/>
        </w:rPr>
        <w:t>XXX（采购代理机构名称）：</w:t>
      </w:r>
    </w:p>
    <w:p>
      <w:pPr>
        <w:ind w:firstLine="480" w:firstLineChars="200"/>
        <w:rPr>
          <w:rFonts w:ascii="仿宋" w:hAnsi="仿宋" w:eastAsia="仿宋"/>
          <w:sz w:val="24"/>
        </w:rPr>
      </w:pPr>
      <w:r>
        <w:rPr>
          <w:rFonts w:hint="eastAsia" w:ascii="仿宋" w:hAnsi="仿宋" w:eastAsia="仿宋"/>
          <w:sz w:val="24"/>
        </w:rPr>
        <w:t>我方作为本次采购项目的供应商，根据磋商文件要求，现郑重承诺如下：</w:t>
      </w:r>
    </w:p>
    <w:p>
      <w:pPr>
        <w:widowControl/>
        <w:ind w:firstLine="480" w:firstLineChars="200"/>
        <w:jc w:val="left"/>
        <w:outlineLvl w:val="1"/>
        <w:rPr>
          <w:rFonts w:ascii="仿宋" w:hAnsi="仿宋" w:eastAsia="仿宋"/>
          <w:sz w:val="24"/>
        </w:rPr>
      </w:pPr>
      <w:r>
        <w:rPr>
          <w:rFonts w:hint="eastAsia" w:ascii="仿宋" w:hAnsi="仿宋" w:eastAsia="仿宋"/>
          <w:sz w:val="24"/>
        </w:rPr>
        <w:t>一、我方已认真阅读并接受本项目</w:t>
      </w:r>
      <w:r>
        <w:rPr>
          <w:rFonts w:ascii="仿宋" w:hAnsi="仿宋" w:eastAsia="仿宋"/>
          <w:sz w:val="24"/>
        </w:rPr>
        <w:t>磋商</w:t>
      </w:r>
      <w:r>
        <w:rPr>
          <w:rFonts w:hint="eastAsia" w:ascii="仿宋" w:hAnsi="仿宋" w:eastAsia="仿宋"/>
          <w:sz w:val="24"/>
        </w:rPr>
        <w:t>文件第二章的全部实质性要求</w:t>
      </w:r>
      <w:r>
        <w:rPr>
          <w:rFonts w:ascii="仿宋" w:hAnsi="仿宋" w:eastAsia="仿宋"/>
          <w:sz w:val="24"/>
        </w:rPr>
        <w:t>，如对磋商</w:t>
      </w:r>
      <w:r>
        <w:rPr>
          <w:rFonts w:hint="eastAsia" w:ascii="仿宋" w:hAnsi="仿宋" w:eastAsia="仿宋"/>
          <w:sz w:val="24"/>
        </w:rPr>
        <w:t>文件</w:t>
      </w:r>
      <w:r>
        <w:rPr>
          <w:rFonts w:ascii="仿宋" w:hAnsi="仿宋" w:eastAsia="仿宋"/>
          <w:sz w:val="24"/>
        </w:rPr>
        <w:t>有异议，</w:t>
      </w:r>
      <w:r>
        <w:rPr>
          <w:rFonts w:hint="eastAsia" w:ascii="仿宋" w:hAnsi="仿宋" w:eastAsia="仿宋"/>
          <w:sz w:val="24"/>
        </w:rPr>
        <w:t>已</w:t>
      </w:r>
      <w:r>
        <w:rPr>
          <w:rFonts w:ascii="仿宋" w:hAnsi="仿宋" w:eastAsia="仿宋"/>
          <w:sz w:val="24"/>
        </w:rPr>
        <w:t>依法进行维权救济，不存在对磋商</w:t>
      </w:r>
      <w:r>
        <w:rPr>
          <w:rFonts w:hint="eastAsia" w:ascii="仿宋" w:hAnsi="仿宋" w:eastAsia="仿宋"/>
          <w:sz w:val="24"/>
        </w:rPr>
        <w:t>文件</w:t>
      </w:r>
      <w:r>
        <w:rPr>
          <w:rFonts w:ascii="仿宋" w:hAnsi="仿宋" w:eastAsia="仿宋"/>
          <w:sz w:val="24"/>
        </w:rPr>
        <w:t>有异议的同时又参加</w:t>
      </w:r>
      <w:r>
        <w:rPr>
          <w:rFonts w:hint="eastAsia" w:ascii="仿宋" w:hAnsi="仿宋" w:eastAsia="仿宋"/>
          <w:sz w:val="24"/>
        </w:rPr>
        <w:t>磋商</w:t>
      </w:r>
      <w:r>
        <w:rPr>
          <w:rFonts w:ascii="仿宋" w:hAnsi="仿宋" w:eastAsia="仿宋"/>
          <w:sz w:val="24"/>
        </w:rPr>
        <w:t>以求侥幸</w:t>
      </w:r>
      <w:r>
        <w:rPr>
          <w:rFonts w:hint="eastAsia" w:ascii="仿宋" w:hAnsi="仿宋" w:eastAsia="仿宋"/>
          <w:sz w:val="24"/>
        </w:rPr>
        <w:t>成交</w:t>
      </w:r>
      <w:r>
        <w:rPr>
          <w:rFonts w:ascii="仿宋" w:hAnsi="仿宋" w:eastAsia="仿宋"/>
          <w:sz w:val="24"/>
        </w:rPr>
        <w:t>或者为实现其他非法目的的行为。</w:t>
      </w:r>
    </w:p>
    <w:p>
      <w:pPr>
        <w:ind w:firstLine="480" w:firstLineChars="200"/>
        <w:rPr>
          <w:rFonts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ind w:firstLine="480" w:firstLineChars="200"/>
        <w:rPr>
          <w:rFonts w:ascii="仿宋" w:hAnsi="仿宋" w:eastAsia="仿宋"/>
          <w:sz w:val="24"/>
        </w:rPr>
      </w:pPr>
      <w:r>
        <w:rPr>
          <w:rFonts w:hint="eastAsia" w:ascii="仿宋" w:hAnsi="仿宋" w:eastAsia="仿宋"/>
          <w:sz w:val="24"/>
        </w:rPr>
        <w:t>四、在参加本次采购活动中，不存在和其他供应商在同一合同项下的采购项目中，同时委托同一个自然人、同一家庭的人员、同一单位的人员作为代理人的行为。</w:t>
      </w:r>
    </w:p>
    <w:p>
      <w:pPr>
        <w:pStyle w:val="45"/>
        <w:spacing w:line="240" w:lineRule="auto"/>
        <w:rPr>
          <w:rFonts w:ascii="仿宋" w:hAnsi="仿宋" w:eastAsia="仿宋"/>
          <w:sz w:val="24"/>
        </w:rPr>
      </w:pPr>
      <w:r>
        <w:rPr>
          <w:rFonts w:hint="eastAsia" w:ascii="仿宋" w:hAnsi="仿宋" w:eastAsia="仿宋"/>
          <w:sz w:val="24"/>
        </w:rPr>
        <w:t xml:space="preserve">    五、我方实际控制人或者中高级管理人员，不存在同时是采购代理机构工作人员的情形。</w:t>
      </w:r>
    </w:p>
    <w:p>
      <w:pPr>
        <w:ind w:firstLine="480" w:firstLineChars="200"/>
        <w:rPr>
          <w:rFonts w:ascii="仿宋" w:hAnsi="仿宋" w:eastAsia="仿宋"/>
          <w:sz w:val="24"/>
        </w:rPr>
      </w:pPr>
      <w:r>
        <w:rPr>
          <w:rFonts w:hint="eastAsia" w:ascii="仿宋" w:hAnsi="仿宋" w:eastAsia="仿宋"/>
          <w:sz w:val="24"/>
        </w:rPr>
        <w:t>六、不存在同一母公司的两家以上的子公司，以不同供应商身份同时参加本项目同一合同项下的采购活动的</w:t>
      </w:r>
      <w:r>
        <w:rPr>
          <w:rFonts w:ascii="仿宋" w:hAnsi="仿宋" w:eastAsia="仿宋"/>
          <w:sz w:val="24"/>
        </w:rPr>
        <w:t>情形</w:t>
      </w:r>
      <w:r>
        <w:rPr>
          <w:rFonts w:hint="eastAsia" w:ascii="仿宋" w:hAnsi="仿宋" w:eastAsia="仿宋"/>
          <w:sz w:val="24"/>
        </w:rPr>
        <w:t>。</w:t>
      </w:r>
    </w:p>
    <w:p>
      <w:pPr>
        <w:ind w:firstLine="480" w:firstLineChars="200"/>
        <w:rPr>
          <w:rFonts w:ascii="仿宋" w:hAnsi="仿宋" w:eastAsia="仿宋"/>
          <w:sz w:val="24"/>
        </w:rPr>
      </w:pPr>
      <w:r>
        <w:rPr>
          <w:rFonts w:hint="eastAsia" w:ascii="仿宋" w:hAnsi="仿宋" w:eastAsia="仿宋"/>
          <w:sz w:val="24"/>
        </w:rPr>
        <w:t>七、我方与采购代理机构不存在关联关系，也不是采购代理机构的母公司或子公司。</w:t>
      </w:r>
    </w:p>
    <w:p>
      <w:pPr>
        <w:ind w:firstLine="480" w:firstLineChars="200"/>
        <w:rPr>
          <w:rFonts w:ascii="仿宋" w:hAnsi="仿宋" w:eastAsia="仿宋"/>
          <w:sz w:val="24"/>
        </w:rPr>
      </w:pPr>
      <w:r>
        <w:rPr>
          <w:rFonts w:hint="eastAsia" w:ascii="仿宋" w:hAnsi="仿宋" w:eastAsia="仿宋"/>
          <w:sz w:val="24"/>
        </w:rPr>
        <w:t>八、响应文件中提供的任何资料和技术、服务、商务等响应承诺情况都是真实的、有效的、合法的。</w:t>
      </w:r>
    </w:p>
    <w:p>
      <w:pPr>
        <w:ind w:firstLine="480" w:firstLineChars="200"/>
        <w:rPr>
          <w:rFonts w:ascii="仿宋" w:hAnsi="仿宋" w:eastAsia="仿宋"/>
          <w:sz w:val="24"/>
        </w:rPr>
      </w:pPr>
      <w:r>
        <w:rPr>
          <w:rFonts w:hint="eastAsia" w:ascii="仿宋" w:hAnsi="仿宋" w:eastAsia="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ind w:firstLine="480" w:firstLineChars="200"/>
        <w:rPr>
          <w:rFonts w:ascii="仿宋" w:hAnsi="仿宋" w:eastAsia="仿宋"/>
          <w:sz w:val="24"/>
        </w:rPr>
      </w:pPr>
      <w:r>
        <w:rPr>
          <w:rFonts w:hint="eastAsia" w:ascii="仿宋" w:hAnsi="仿宋" w:eastAsia="仿宋"/>
          <w:sz w:val="24"/>
        </w:rPr>
        <w:t>十、国家或行业主管部门对采购产品的技术标准、质量标准和资格资质条件等有强制性规定的，我方</w:t>
      </w:r>
      <w:r>
        <w:rPr>
          <w:rFonts w:ascii="仿宋" w:hAnsi="仿宋" w:eastAsia="仿宋"/>
          <w:sz w:val="24"/>
        </w:rPr>
        <w:t>承诺符合其要求。</w:t>
      </w:r>
    </w:p>
    <w:p>
      <w:pPr>
        <w:widowControl/>
        <w:ind w:firstLine="480" w:firstLineChars="200"/>
        <w:jc w:val="left"/>
        <w:outlineLvl w:val="1"/>
        <w:rPr>
          <w:rFonts w:ascii="仿宋" w:hAnsi="仿宋" w:eastAsia="仿宋"/>
          <w:sz w:val="24"/>
        </w:rPr>
      </w:pPr>
      <w:r>
        <w:rPr>
          <w:rFonts w:hint="eastAsia" w:ascii="仿宋" w:hAnsi="仿宋" w:eastAsia="仿宋"/>
          <w:sz w:val="24"/>
        </w:rPr>
        <w:t>十一、参加本次采购活动，我方完全同意磋商</w:t>
      </w:r>
      <w:r>
        <w:rPr>
          <w:rFonts w:ascii="仿宋" w:hAnsi="仿宋" w:eastAsia="仿宋"/>
          <w:sz w:val="24"/>
        </w:rPr>
        <w:t>文件第二章关于</w:t>
      </w:r>
      <w:r>
        <w:rPr>
          <w:rFonts w:hint="eastAsia" w:ascii="仿宋" w:hAnsi="仿宋" w:eastAsia="仿宋"/>
          <w:sz w:val="24"/>
        </w:rPr>
        <w:t>“磋商费用”、“合同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w:t>
      </w:r>
      <w:r>
        <w:rPr>
          <w:rFonts w:hint="eastAsia" w:ascii="仿宋" w:hAnsi="仿宋" w:eastAsia="仿宋"/>
          <w:sz w:val="24"/>
        </w:rPr>
        <w:t>磋商</w:t>
      </w:r>
      <w:r>
        <w:rPr>
          <w:rFonts w:ascii="仿宋" w:hAnsi="仿宋" w:eastAsia="仿宋"/>
          <w:sz w:val="24"/>
        </w:rPr>
        <w:t>文件要求</w:t>
      </w:r>
      <w:r>
        <w:rPr>
          <w:rFonts w:hint="eastAsia" w:ascii="仿宋" w:hAnsi="仿宋" w:eastAsia="仿宋"/>
          <w:sz w:val="24"/>
        </w:rPr>
        <w:t>履行</w:t>
      </w:r>
      <w:r>
        <w:rPr>
          <w:rFonts w:ascii="仿宋" w:hAnsi="仿宋" w:eastAsia="仿宋"/>
          <w:sz w:val="24"/>
        </w:rPr>
        <w:t>。</w:t>
      </w:r>
    </w:p>
    <w:p>
      <w:pPr>
        <w:widowControl/>
        <w:ind w:firstLine="480" w:firstLineChars="200"/>
        <w:jc w:val="left"/>
        <w:outlineLvl w:val="1"/>
        <w:rPr>
          <w:rFonts w:ascii="仿宋" w:hAnsi="仿宋" w:eastAsia="仿宋"/>
          <w:sz w:val="24"/>
        </w:rPr>
      </w:pPr>
      <w:r>
        <w:rPr>
          <w:rFonts w:hint="eastAsia" w:ascii="仿宋" w:hAnsi="仿宋" w:eastAsia="仿宋"/>
          <w:sz w:val="24"/>
        </w:rPr>
        <w:t>十二、在本次递交响应文件之前一周年内，供应商本次磋商中对同一品牌同一型号的产品报价与其在中国境内其他地方的最低报价相比不得高于20%，</w:t>
      </w:r>
      <w:r>
        <w:rPr>
          <w:rFonts w:ascii="仿宋" w:hAnsi="仿宋" w:eastAsia="仿宋"/>
          <w:sz w:val="24"/>
        </w:rPr>
        <w:t>我</w:t>
      </w:r>
      <w:r>
        <w:rPr>
          <w:rFonts w:hint="eastAsia" w:ascii="仿宋" w:hAnsi="仿宋" w:eastAsia="仿宋"/>
          <w:sz w:val="24"/>
        </w:rPr>
        <w:t>方</w:t>
      </w:r>
      <w:r>
        <w:rPr>
          <w:rFonts w:ascii="仿宋" w:hAnsi="仿宋" w:eastAsia="仿宋"/>
          <w:sz w:val="24"/>
        </w:rPr>
        <w:t>承诺符合</w:t>
      </w:r>
      <w:r>
        <w:rPr>
          <w:rFonts w:hint="eastAsia" w:ascii="仿宋" w:hAnsi="仿宋" w:eastAsia="仿宋"/>
          <w:sz w:val="24"/>
        </w:rPr>
        <w:t>该</w:t>
      </w:r>
      <w:r>
        <w:rPr>
          <w:rFonts w:ascii="仿宋" w:hAnsi="仿宋" w:eastAsia="仿宋"/>
          <w:sz w:val="24"/>
        </w:rPr>
        <w:t>要求。</w:t>
      </w:r>
    </w:p>
    <w:p>
      <w:pPr>
        <w:widowControl/>
        <w:ind w:firstLine="480" w:firstLineChars="200"/>
        <w:jc w:val="left"/>
        <w:outlineLvl w:val="1"/>
        <w:rPr>
          <w:rFonts w:ascii="仿宋" w:hAnsi="仿宋" w:eastAsia="仿宋"/>
          <w:sz w:val="24"/>
        </w:rPr>
      </w:pPr>
      <w:r>
        <w:rPr>
          <w:rFonts w:hint="eastAsia" w:ascii="仿宋" w:hAnsi="仿宋" w:eastAsia="仿宋"/>
          <w:sz w:val="24"/>
        </w:rPr>
        <w:t>十三</w:t>
      </w:r>
      <w:r>
        <w:rPr>
          <w:rFonts w:ascii="仿宋" w:hAnsi="仿宋" w:eastAsia="仿宋"/>
          <w:sz w:val="24"/>
        </w:rPr>
        <w:t>、</w:t>
      </w:r>
      <w:r>
        <w:rPr>
          <w:rFonts w:hint="eastAsia" w:ascii="仿宋" w:hAnsi="仿宋" w:eastAsia="仿宋"/>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hAnsi="仿宋" w:eastAsia="仿宋"/>
          <w:sz w:val="24"/>
        </w:rPr>
        <w:t>承诺</w:t>
      </w:r>
      <w:r>
        <w:rPr>
          <w:rFonts w:hint="eastAsia" w:ascii="仿宋" w:hAnsi="仿宋" w:eastAsia="仿宋"/>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widowControl/>
        <w:ind w:firstLine="480" w:firstLineChars="200"/>
        <w:jc w:val="left"/>
        <w:outlineLvl w:val="1"/>
        <w:rPr>
          <w:rFonts w:ascii="仿宋" w:hAnsi="仿宋" w:eastAsia="仿宋"/>
          <w:sz w:val="24"/>
        </w:rPr>
      </w:pPr>
      <w:r>
        <w:rPr>
          <w:rFonts w:hint="eastAsia" w:ascii="仿宋" w:hAnsi="仿宋" w:eastAsia="仿宋"/>
          <w:sz w:val="24"/>
        </w:rPr>
        <w:t>十四、与我方存在直接控股关系的单位为：XXX；存在管理关系单位为：XXX</w:t>
      </w:r>
    </w:p>
    <w:p>
      <w:pPr>
        <w:ind w:firstLine="480" w:firstLineChars="200"/>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pPr>
        <w:rPr>
          <w:rFonts w:ascii="仿宋" w:hAnsi="仿宋" w:eastAsia="仿宋"/>
          <w:sz w:val="24"/>
        </w:rPr>
      </w:pPr>
    </w:p>
    <w:p>
      <w:pPr>
        <w:rPr>
          <w:rFonts w:ascii="仿宋" w:hAnsi="仿宋" w:eastAsia="仿宋"/>
          <w:sz w:val="24"/>
        </w:rPr>
      </w:pP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ind w:firstLine="480" w:firstLineChars="200"/>
        <w:rPr>
          <w:rFonts w:ascii="仿宋" w:hAnsi="仿宋" w:eastAsia="仿宋"/>
          <w:sz w:val="24"/>
        </w:rPr>
      </w:pPr>
      <w:r>
        <w:rPr>
          <w:rFonts w:hint="eastAsia" w:ascii="仿宋" w:hAnsi="仿宋" w:eastAsia="仿宋"/>
          <w:sz w:val="24"/>
        </w:rPr>
        <w:t>供应商名称：XXXX（盖章）</w:t>
      </w:r>
    </w:p>
    <w:p>
      <w:pPr>
        <w:ind w:firstLine="480" w:firstLineChars="200"/>
        <w:rPr>
          <w:rFonts w:ascii="仿宋" w:hAnsi="仿宋" w:eastAsia="仿宋"/>
          <w:bCs/>
          <w:sz w:val="24"/>
          <w:szCs w:val="30"/>
        </w:rPr>
      </w:pPr>
      <w:r>
        <w:rPr>
          <w:rFonts w:hint="eastAsia" w:ascii="仿宋" w:hAnsi="仿宋" w:eastAsia="仿宋"/>
          <w:sz w:val="24"/>
        </w:rPr>
        <w:t>日    期：XXX年XXX月XXX日</w:t>
      </w:r>
    </w:p>
    <w:p>
      <w:pPr>
        <w:spacing w:line="360" w:lineRule="auto"/>
        <w:ind w:firstLine="480" w:firstLineChars="200"/>
        <w:rPr>
          <w:rFonts w:ascii="仿宋" w:hAnsi="仿宋" w:eastAsia="仿宋"/>
          <w:sz w:val="24"/>
        </w:rPr>
      </w:pPr>
    </w:p>
    <w:p>
      <w:pPr>
        <w:spacing w:line="360" w:lineRule="auto"/>
        <w:ind w:firstLine="628"/>
        <w:rPr>
          <w:rFonts w:ascii="仿宋" w:hAnsi="仿宋" w:eastAsia="仿宋"/>
          <w:sz w:val="32"/>
          <w:szCs w:val="32"/>
        </w:rPr>
      </w:pPr>
      <w:r>
        <w:rPr>
          <w:rFonts w:hint="eastAsia" w:ascii="仿宋" w:hAnsi="仿宋" w:eastAsia="仿宋"/>
          <w:sz w:val="32"/>
          <w:szCs w:val="32"/>
        </w:rPr>
        <w:br w:type="page"/>
      </w:r>
      <w:bookmarkEnd w:id="108"/>
      <w:bookmarkStart w:id="109" w:name="_Toc217446087"/>
    </w:p>
    <w:p>
      <w:pPr>
        <w:widowControl/>
        <w:spacing w:line="360" w:lineRule="atLeast"/>
        <w:jc w:val="left"/>
        <w:outlineLvl w:val="1"/>
        <w:rPr>
          <w:rFonts w:ascii="仿宋" w:hAnsi="仿宋" w:eastAsia="仿宋"/>
          <w:sz w:val="24"/>
        </w:rPr>
      </w:pPr>
      <w:r>
        <w:rPr>
          <w:rFonts w:hint="eastAsia" w:ascii="仿宋" w:hAnsi="仿宋" w:eastAsia="仿宋"/>
          <w:sz w:val="32"/>
          <w:szCs w:val="32"/>
        </w:rPr>
        <w:t>格式2-4</w:t>
      </w:r>
    </w:p>
    <w:p>
      <w:pPr>
        <w:jc w:val="center"/>
        <w:rPr>
          <w:rFonts w:ascii="仿宋" w:hAnsi="仿宋" w:eastAsia="仿宋" w:cs="Arial"/>
          <w:bCs/>
          <w:sz w:val="32"/>
          <w:szCs w:val="32"/>
        </w:rPr>
      </w:pPr>
      <w:r>
        <w:rPr>
          <w:rFonts w:hint="eastAsia" w:ascii="仿宋" w:hAnsi="仿宋" w:eastAsia="仿宋" w:cs="Arial"/>
          <w:bCs/>
          <w:sz w:val="32"/>
          <w:szCs w:val="32"/>
        </w:rPr>
        <w:t xml:space="preserve"> 供应商基本情况表</w:t>
      </w:r>
    </w:p>
    <w:p>
      <w:pPr>
        <w:jc w:val="center"/>
        <w:rPr>
          <w:rFonts w:ascii="仿宋" w:hAnsi="仿宋" w:eastAsia="仿宋" w:cs="Arial"/>
          <w:bCs/>
          <w:sz w:val="32"/>
          <w:szCs w:val="32"/>
        </w:rPr>
      </w:pPr>
    </w:p>
    <w:tbl>
      <w:tblPr>
        <w:tblStyle w:val="2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rPr>
          <w:rFonts w:ascii="仿宋" w:hAnsi="仿宋" w:eastAsia="仿宋"/>
          <w:sz w:val="32"/>
          <w:szCs w:val="32"/>
        </w:rPr>
      </w:pPr>
      <w:r>
        <w:rPr>
          <w:rFonts w:hint="eastAsia" w:ascii="仿宋" w:hAnsi="仿宋" w:eastAsia="仿宋"/>
          <w:sz w:val="32"/>
          <w:szCs w:val="32"/>
        </w:rPr>
        <w:t>格式2-</w:t>
      </w:r>
      <w:r>
        <w:rPr>
          <w:rFonts w:ascii="仿宋" w:hAnsi="仿宋" w:eastAsia="仿宋"/>
          <w:sz w:val="32"/>
          <w:szCs w:val="32"/>
        </w:rPr>
        <w:t>5</w:t>
      </w:r>
    </w:p>
    <w:p>
      <w:pPr>
        <w:widowControl/>
        <w:jc w:val="center"/>
        <w:outlineLvl w:val="1"/>
        <w:rPr>
          <w:rFonts w:ascii="仿宋" w:hAnsi="仿宋" w:eastAsia="仿宋"/>
          <w:sz w:val="32"/>
          <w:szCs w:val="32"/>
        </w:rPr>
      </w:pPr>
      <w:r>
        <w:rPr>
          <w:rFonts w:hint="eastAsia" w:ascii="仿宋" w:hAnsi="仿宋" w:eastAsia="仿宋"/>
          <w:sz w:val="32"/>
          <w:szCs w:val="32"/>
        </w:rPr>
        <w:t xml:space="preserve"> 中小企业声明函</w:t>
      </w:r>
    </w:p>
    <w:p>
      <w:pPr>
        <w:widowControl/>
        <w:jc w:val="center"/>
        <w:outlineLvl w:val="1"/>
        <w:rPr>
          <w:rFonts w:ascii="仿宋" w:hAnsi="仿宋" w:eastAsia="仿宋"/>
          <w:sz w:val="32"/>
          <w:szCs w:val="32"/>
        </w:rPr>
      </w:pPr>
    </w:p>
    <w:p>
      <w:pPr>
        <w:spacing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10" w:name="_Toc387658050"/>
      <w:bookmarkStart w:id="111" w:name="_Toc419811733"/>
      <w:bookmarkStart w:id="112" w:name="_Toc387147344"/>
      <w:bookmarkStart w:id="113" w:name="_Toc413748654"/>
      <w:bookmarkStart w:id="114" w:name="_Toc417911732"/>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jc w:val="center"/>
        <w:rPr>
          <w:rFonts w:ascii="仿宋" w:hAnsi="仿宋" w:eastAsia="仿宋"/>
          <w:sz w:val="24"/>
        </w:rPr>
      </w:pPr>
      <w:r>
        <w:rPr>
          <w:rFonts w:hint="eastAsia" w:ascii="仿宋" w:hAnsi="仿宋" w:eastAsia="仿宋"/>
          <w:sz w:val="24"/>
        </w:rPr>
        <w:t xml:space="preserve">                                 企业名称（盖章）：</w:t>
      </w:r>
    </w:p>
    <w:p>
      <w:pPr>
        <w:spacing w:line="360" w:lineRule="auto"/>
        <w:jc w:val="center"/>
        <w:rPr>
          <w:rFonts w:ascii="仿宋" w:hAnsi="仿宋" w:eastAsia="仿宋"/>
          <w:sz w:val="24"/>
        </w:rPr>
      </w:pPr>
      <w:r>
        <w:rPr>
          <w:rFonts w:hint="eastAsia" w:ascii="仿宋" w:hAnsi="仿宋" w:eastAsia="仿宋"/>
          <w:sz w:val="24"/>
        </w:rPr>
        <w:t xml:space="preserve">                        日 期：</w:t>
      </w:r>
    </w:p>
    <w:p>
      <w:pPr>
        <w:spacing w:line="360" w:lineRule="auto"/>
        <w:jc w:val="left"/>
        <w:rPr>
          <w:rFonts w:ascii="仿宋" w:hAnsi="仿宋" w:eastAsia="仿宋" w:cs="宋体"/>
          <w:sz w:val="24"/>
        </w:rPr>
      </w:pPr>
      <w:r>
        <w:rPr>
          <w:rFonts w:hint="eastAsia" w:ascii="仿宋" w:hAnsi="仿宋" w:eastAsia="仿宋" w:cs="宋体"/>
          <w:sz w:val="24"/>
        </w:rPr>
        <w:t>注：</w:t>
      </w:r>
    </w:p>
    <w:p>
      <w:pPr>
        <w:spacing w:line="360" w:lineRule="auto"/>
        <w:rPr>
          <w:rFonts w:ascii="仿宋" w:hAnsi="仿宋" w:eastAsia="仿宋" w:cs="宋体"/>
          <w:sz w:val="24"/>
        </w:rPr>
      </w:pPr>
      <w:r>
        <w:rPr>
          <w:rFonts w:ascii="仿宋" w:hAnsi="仿宋" w:eastAsia="仿宋" w:cs="宋体"/>
          <w:sz w:val="24"/>
        </w:rPr>
        <w:t>1、</w:t>
      </w:r>
      <w:bookmarkEnd w:id="110"/>
      <w:bookmarkEnd w:id="111"/>
      <w:bookmarkEnd w:id="112"/>
      <w:bookmarkEnd w:id="113"/>
      <w:bookmarkEnd w:id="114"/>
      <w:r>
        <w:rPr>
          <w:rFonts w:hint="eastAsia" w:ascii="仿宋" w:hAnsi="仿宋" w:eastAsia="仿宋" w:cs="宋体"/>
          <w:sz w:val="24"/>
        </w:rPr>
        <w:t>从业人员、营业收入、资产总额填报上一年度数据，无上一年度数据的新成立企业可不填报。</w:t>
      </w:r>
    </w:p>
    <w:p>
      <w:pPr>
        <w:spacing w:line="360" w:lineRule="auto"/>
        <w:rPr>
          <w:rFonts w:ascii="仿宋" w:hAnsi="仿宋" w:eastAsia="仿宋"/>
          <w:sz w:val="32"/>
          <w:szCs w:val="32"/>
        </w:rPr>
      </w:pPr>
      <w:r>
        <w:rPr>
          <w:rFonts w:hint="eastAsia" w:ascii="仿宋" w:hAnsi="仿宋" w:eastAsia="仿宋" w:cs="宋体"/>
          <w:sz w:val="24"/>
        </w:rPr>
        <w:br w:type="page"/>
      </w:r>
      <w:r>
        <w:rPr>
          <w:rFonts w:hint="eastAsia" w:ascii="仿宋" w:hAnsi="仿宋" w:eastAsia="仿宋"/>
          <w:sz w:val="32"/>
          <w:szCs w:val="32"/>
        </w:rPr>
        <w:t>格式2-</w:t>
      </w:r>
      <w:r>
        <w:rPr>
          <w:rFonts w:ascii="仿宋" w:hAnsi="仿宋" w:eastAsia="仿宋"/>
          <w:sz w:val="32"/>
          <w:szCs w:val="32"/>
        </w:rPr>
        <w:t>6</w:t>
      </w:r>
    </w:p>
    <w:p>
      <w:pPr>
        <w:jc w:val="center"/>
        <w:rPr>
          <w:rFonts w:ascii="仿宋" w:hAnsi="仿宋" w:eastAsia="仿宋"/>
          <w:sz w:val="32"/>
          <w:szCs w:val="32"/>
        </w:rPr>
      </w:pPr>
      <w:r>
        <w:rPr>
          <w:rFonts w:hint="eastAsia" w:ascii="仿宋" w:hAnsi="仿宋" w:eastAsia="仿宋"/>
          <w:sz w:val="32"/>
          <w:szCs w:val="32"/>
        </w:rPr>
        <w:t xml:space="preserve"> 残疾人福利性单位声明函</w:t>
      </w:r>
    </w:p>
    <w:p>
      <w:pPr>
        <w:spacing w:line="588" w:lineRule="exact"/>
        <w:rPr>
          <w:rFonts w:ascii="仿宋" w:hAnsi="仿宋" w:eastAsia="仿宋" w:cs="宋体"/>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widowControl/>
        <w:jc w:val="left"/>
        <w:rPr>
          <w:rFonts w:ascii="仿宋" w:hAnsi="仿宋" w:eastAsia="仿宋"/>
          <w:sz w:val="24"/>
        </w:rPr>
      </w:pPr>
      <w:r>
        <w:rPr>
          <w:rFonts w:ascii="仿宋" w:hAnsi="仿宋" w:eastAsia="仿宋"/>
          <w:sz w:val="24"/>
        </w:rPr>
        <w:br w:type="page"/>
      </w:r>
    </w:p>
    <w:p>
      <w:pPr>
        <w:widowControl/>
        <w:spacing w:line="360" w:lineRule="atLeast"/>
        <w:ind w:firstLine="627" w:firstLineChars="196"/>
        <w:jc w:val="left"/>
        <w:outlineLvl w:val="1"/>
        <w:rPr>
          <w:rFonts w:ascii="仿宋" w:hAnsi="仿宋" w:eastAsia="仿宋"/>
          <w:sz w:val="24"/>
        </w:rPr>
      </w:pPr>
      <w:r>
        <w:rPr>
          <w:rFonts w:hint="eastAsia" w:ascii="仿宋" w:hAnsi="仿宋" w:eastAsia="仿宋"/>
          <w:sz w:val="32"/>
          <w:szCs w:val="32"/>
        </w:rPr>
        <w:t>格式2-</w:t>
      </w:r>
      <w:r>
        <w:rPr>
          <w:rFonts w:ascii="仿宋" w:hAnsi="仿宋" w:eastAsia="仿宋"/>
          <w:sz w:val="32"/>
          <w:szCs w:val="32"/>
        </w:rPr>
        <w:t>7</w:t>
      </w:r>
    </w:p>
    <w:p>
      <w:pPr>
        <w:pStyle w:val="4"/>
        <w:keepNext w:val="0"/>
        <w:keepLines w:val="0"/>
        <w:spacing w:line="400" w:lineRule="exact"/>
        <w:jc w:val="center"/>
        <w:rPr>
          <w:rFonts w:ascii="仿宋" w:hAnsi="仿宋" w:eastAsia="仿宋"/>
          <w:b w:val="0"/>
          <w:bCs w:val="0"/>
          <w:szCs w:val="28"/>
        </w:rPr>
      </w:pPr>
      <w:r>
        <w:rPr>
          <w:rFonts w:hint="eastAsia" w:ascii="仿宋" w:hAnsi="仿宋" w:eastAsia="仿宋"/>
          <w:b w:val="0"/>
          <w:bCs w:val="0"/>
          <w:szCs w:val="28"/>
        </w:rPr>
        <w:t>监狱企业</w:t>
      </w:r>
    </w:p>
    <w:p>
      <w:pPr>
        <w:spacing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line="360" w:lineRule="auto"/>
        <w:jc w:val="left"/>
        <w:rPr>
          <w:rFonts w:ascii="仿宋" w:hAnsi="仿宋" w:eastAsia="仿宋" w:cs="宋体"/>
          <w:sz w:val="24"/>
        </w:rPr>
      </w:pPr>
      <w:r>
        <w:rPr>
          <w:rFonts w:hint="eastAsia" w:ascii="仿宋" w:hAnsi="仿宋" w:eastAsia="仿宋" w:cs="宋体"/>
          <w:sz w:val="24"/>
        </w:rPr>
        <w:t>注：</w:t>
      </w:r>
    </w:p>
    <w:p>
      <w:pPr>
        <w:spacing w:line="360" w:lineRule="auto"/>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供应商</w:t>
      </w:r>
      <w:r>
        <w:rPr>
          <w:rFonts w:ascii="仿宋" w:hAnsi="仿宋" w:eastAsia="仿宋" w:cs="宋体"/>
          <w:sz w:val="24"/>
        </w:rPr>
        <w:t>符合《政府采购支持监狱企业发展有关问题的通知》（财库〔2014〕68号）规定的划分标准为监狱企业适用。</w:t>
      </w:r>
    </w:p>
    <w:p>
      <w:pPr>
        <w:spacing w:line="360" w:lineRule="auto"/>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line="360" w:lineRule="atLeast"/>
        <w:ind w:firstLine="627" w:firstLineChars="196"/>
        <w:jc w:val="left"/>
        <w:outlineLvl w:val="1"/>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p>
    <w:p>
      <w:pPr>
        <w:widowControl/>
        <w:spacing w:line="360" w:lineRule="atLeast"/>
        <w:ind w:firstLine="627" w:firstLineChars="196"/>
        <w:jc w:val="left"/>
        <w:outlineLvl w:val="1"/>
        <w:rPr>
          <w:rFonts w:ascii="仿宋" w:hAnsi="仿宋" w:eastAsia="仿宋"/>
          <w:sz w:val="24"/>
        </w:rPr>
      </w:pPr>
      <w:r>
        <w:rPr>
          <w:rFonts w:hint="eastAsia" w:ascii="仿宋" w:hAnsi="仿宋" w:eastAsia="仿宋"/>
          <w:sz w:val="32"/>
          <w:szCs w:val="32"/>
        </w:rPr>
        <w:t>格式2-</w:t>
      </w:r>
      <w:r>
        <w:rPr>
          <w:rFonts w:ascii="仿宋" w:hAnsi="仿宋" w:eastAsia="仿宋"/>
          <w:sz w:val="32"/>
          <w:szCs w:val="32"/>
        </w:rPr>
        <w:t>8</w:t>
      </w:r>
    </w:p>
    <w:p>
      <w:pPr>
        <w:pStyle w:val="4"/>
        <w:keepNext w:val="0"/>
        <w:keepLines w:val="0"/>
        <w:spacing w:line="400" w:lineRule="exact"/>
        <w:jc w:val="center"/>
        <w:rPr>
          <w:rFonts w:ascii="仿宋" w:hAnsi="仿宋" w:eastAsia="仿宋"/>
          <w:b w:val="0"/>
          <w:bCs w:val="0"/>
          <w:szCs w:val="28"/>
        </w:rPr>
      </w:pPr>
      <w:r>
        <w:rPr>
          <w:rFonts w:hint="eastAsia" w:ascii="仿宋" w:hAnsi="仿宋" w:eastAsia="仿宋"/>
          <w:b w:val="0"/>
          <w:bCs w:val="0"/>
          <w:szCs w:val="28"/>
        </w:rPr>
        <w:t xml:space="preserve"> 制造厂家授权书（如</w:t>
      </w:r>
      <w:r>
        <w:rPr>
          <w:rFonts w:ascii="仿宋" w:hAnsi="仿宋" w:eastAsia="仿宋"/>
          <w:b w:val="0"/>
          <w:bCs w:val="0"/>
          <w:szCs w:val="28"/>
        </w:rPr>
        <w:t>涉及</w:t>
      </w:r>
      <w:r>
        <w:rPr>
          <w:rFonts w:hint="eastAsia" w:ascii="仿宋" w:hAnsi="仿宋" w:eastAsia="仿宋"/>
          <w:b w:val="0"/>
          <w:bCs w:val="0"/>
          <w:szCs w:val="28"/>
        </w:rPr>
        <w:t>）</w:t>
      </w:r>
    </w:p>
    <w:p>
      <w:pPr>
        <w:spacing w:line="400" w:lineRule="exact"/>
        <w:jc w:val="center"/>
        <w:rPr>
          <w:rFonts w:ascii="仿宋" w:hAnsi="仿宋" w:eastAsia="仿宋"/>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3"/>
        <w:ind w:firstLine="480"/>
        <w:rPr>
          <w:rFonts w:ascii="仿宋" w:hAnsi="仿宋" w:eastAsia="仿宋"/>
        </w:rPr>
      </w:pPr>
    </w:p>
    <w:p>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Cs/>
          <w:sz w:val="28"/>
          <w:szCs w:val="28"/>
        </w:rPr>
        <w:sectPr>
          <w:footerReference r:id="rId7" w:type="first"/>
          <w:footerReference r:id="rId5" w:type="default"/>
          <w:footerReference r:id="rId6" w:type="even"/>
          <w:pgSz w:w="11907" w:h="16840"/>
          <w:pgMar w:top="1440" w:right="3118" w:bottom="1440" w:left="1474" w:header="851" w:footer="992" w:gutter="0"/>
          <w:pgNumType w:fmt="decimal" w:start="1"/>
          <w:cols w:space="425" w:num="1"/>
          <w:titlePg/>
          <w:docGrid w:linePitch="312" w:charSpace="0"/>
        </w:sectPr>
      </w:pPr>
    </w:p>
    <w:p>
      <w:pPr>
        <w:jc w:val="left"/>
        <w:rPr>
          <w:rFonts w:ascii="仿宋" w:hAnsi="仿宋" w:eastAsia="仿宋"/>
          <w:bCs/>
          <w:sz w:val="32"/>
          <w:szCs w:val="32"/>
        </w:rPr>
      </w:pPr>
      <w:r>
        <w:rPr>
          <w:rFonts w:hint="eastAsia" w:ascii="仿宋" w:hAnsi="仿宋" w:eastAsia="仿宋"/>
          <w:sz w:val="32"/>
          <w:szCs w:val="32"/>
        </w:rPr>
        <w:t>格式2-</w:t>
      </w:r>
      <w:r>
        <w:rPr>
          <w:rFonts w:ascii="仿宋" w:hAnsi="仿宋" w:eastAsia="仿宋"/>
          <w:sz w:val="32"/>
          <w:szCs w:val="32"/>
        </w:rPr>
        <w:t>9</w:t>
      </w:r>
    </w:p>
    <w:p>
      <w:pPr>
        <w:jc w:val="center"/>
        <w:rPr>
          <w:rFonts w:ascii="仿宋" w:hAnsi="仿宋" w:eastAsia="仿宋"/>
          <w:bCs/>
          <w:sz w:val="32"/>
          <w:szCs w:val="32"/>
        </w:rPr>
      </w:pPr>
      <w:r>
        <w:rPr>
          <w:rFonts w:hint="eastAsia" w:ascii="仿宋" w:hAnsi="仿宋" w:eastAsia="仿宋"/>
          <w:bCs/>
          <w:sz w:val="32"/>
          <w:szCs w:val="32"/>
        </w:rPr>
        <w:t xml:space="preserve"> 响应</w:t>
      </w:r>
      <w:r>
        <w:rPr>
          <w:rFonts w:ascii="仿宋" w:hAnsi="仿宋" w:eastAsia="仿宋"/>
          <w:bCs/>
          <w:sz w:val="32"/>
          <w:szCs w:val="32"/>
        </w:rPr>
        <w:t>产品</w:t>
      </w:r>
      <w:r>
        <w:rPr>
          <w:rFonts w:hint="eastAsia" w:ascii="仿宋" w:hAnsi="仿宋" w:eastAsia="仿宋"/>
          <w:bCs/>
          <w:sz w:val="32"/>
          <w:szCs w:val="32"/>
        </w:rPr>
        <w:t>技术、服务要求应答表</w:t>
      </w:r>
    </w:p>
    <w:p>
      <w:pPr>
        <w:jc w:val="center"/>
        <w:rPr>
          <w:rFonts w:ascii="仿宋" w:hAnsi="仿宋" w:eastAsia="仿宋"/>
          <w:bCs/>
          <w:sz w:val="32"/>
          <w:szCs w:val="32"/>
        </w:rPr>
      </w:pPr>
    </w:p>
    <w:tbl>
      <w:tblPr>
        <w:tblStyle w:val="21"/>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417"/>
        <w:gridCol w:w="1582"/>
        <w:gridCol w:w="2529"/>
        <w:gridCol w:w="2693"/>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ascii="仿宋" w:hAnsi="仿宋" w:eastAsia="仿宋"/>
                <w:sz w:val="24"/>
              </w:rPr>
            </w:pPr>
            <w:r>
              <w:rPr>
                <w:rFonts w:hint="eastAsia" w:ascii="仿宋" w:hAnsi="仿宋" w:eastAsia="仿宋"/>
                <w:sz w:val="24"/>
              </w:rPr>
              <w:t>序号</w:t>
            </w:r>
          </w:p>
        </w:tc>
        <w:tc>
          <w:tcPr>
            <w:tcW w:w="1417" w:type="dxa"/>
            <w:vAlign w:val="center"/>
          </w:tcPr>
          <w:p>
            <w:pPr>
              <w:rPr>
                <w:rFonts w:ascii="仿宋" w:hAnsi="仿宋" w:eastAsia="仿宋"/>
                <w:sz w:val="24"/>
              </w:rPr>
            </w:pPr>
            <w:r>
              <w:rPr>
                <w:rFonts w:hint="eastAsia" w:ascii="仿宋" w:hAnsi="仿宋" w:eastAsia="仿宋"/>
                <w:sz w:val="24"/>
              </w:rPr>
              <w:t>产品</w:t>
            </w:r>
            <w:r>
              <w:rPr>
                <w:rFonts w:ascii="仿宋" w:hAnsi="仿宋" w:eastAsia="仿宋"/>
                <w:sz w:val="24"/>
              </w:rPr>
              <w:t>名称</w:t>
            </w:r>
          </w:p>
        </w:tc>
        <w:tc>
          <w:tcPr>
            <w:tcW w:w="1582" w:type="dxa"/>
          </w:tcPr>
          <w:p>
            <w:pPr>
              <w:jc w:val="center"/>
              <w:rPr>
                <w:rFonts w:ascii="仿宋" w:hAnsi="仿宋" w:eastAsia="仿宋"/>
                <w:sz w:val="24"/>
              </w:rPr>
            </w:pPr>
            <w:r>
              <w:rPr>
                <w:rFonts w:hint="eastAsia" w:ascii="仿宋" w:hAnsi="仿宋" w:eastAsia="仿宋"/>
                <w:sz w:val="24"/>
              </w:rPr>
              <w:t>制造厂家及规格型号</w:t>
            </w:r>
          </w:p>
        </w:tc>
        <w:tc>
          <w:tcPr>
            <w:tcW w:w="2529" w:type="dxa"/>
            <w:vAlign w:val="center"/>
          </w:tcPr>
          <w:p>
            <w:pPr>
              <w:jc w:val="center"/>
              <w:rPr>
                <w:rFonts w:ascii="仿宋" w:hAnsi="仿宋" w:eastAsia="仿宋"/>
                <w:sz w:val="24"/>
              </w:rPr>
            </w:pPr>
            <w:r>
              <w:rPr>
                <w:rFonts w:hint="eastAsia" w:ascii="仿宋" w:hAnsi="仿宋" w:eastAsia="仿宋"/>
                <w:sz w:val="24"/>
              </w:rPr>
              <w:t>采购文件要求</w:t>
            </w:r>
          </w:p>
        </w:tc>
        <w:tc>
          <w:tcPr>
            <w:tcW w:w="2693" w:type="dxa"/>
            <w:vAlign w:val="center"/>
          </w:tcPr>
          <w:p>
            <w:pPr>
              <w:jc w:val="center"/>
              <w:rPr>
                <w:rFonts w:ascii="仿宋" w:hAnsi="仿宋" w:eastAsia="仿宋"/>
                <w:sz w:val="24"/>
              </w:rPr>
            </w:pPr>
            <w:r>
              <w:rPr>
                <w:rFonts w:hint="eastAsia" w:ascii="仿宋" w:hAnsi="仿宋" w:eastAsia="仿宋"/>
                <w:sz w:val="24"/>
              </w:rPr>
              <w:t>响应文件响应</w:t>
            </w:r>
          </w:p>
        </w:tc>
        <w:tc>
          <w:tcPr>
            <w:tcW w:w="1079" w:type="dxa"/>
            <w:vAlign w:val="center"/>
          </w:tcPr>
          <w:p>
            <w:pPr>
              <w:jc w:val="center"/>
              <w:rPr>
                <w:rFonts w:hint="default" w:ascii="仿宋" w:hAnsi="仿宋" w:eastAsia="仿宋"/>
                <w:sz w:val="24"/>
                <w:lang w:val="en-US" w:eastAsia="zh-CN"/>
              </w:rPr>
            </w:pPr>
            <w:r>
              <w:rPr>
                <w:rFonts w:hint="eastAsia" w:ascii="仿宋" w:hAnsi="仿宋" w:eastAsia="仿宋"/>
                <w:sz w:val="24"/>
                <w:lang w:val="en-US" w:eastAsia="zh-CN"/>
              </w:rPr>
              <w:t>偏离及影响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c>
          <w:tcPr>
            <w:tcW w:w="1079"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c>
          <w:tcPr>
            <w:tcW w:w="1079"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c>
          <w:tcPr>
            <w:tcW w:w="1079"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c>
          <w:tcPr>
            <w:tcW w:w="1079"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widowControl/>
        <w:jc w:val="left"/>
        <w:rPr>
          <w:rFonts w:ascii="仿宋" w:hAnsi="仿宋" w:eastAsia="仿宋"/>
          <w:sz w:val="32"/>
          <w:szCs w:val="32"/>
        </w:rPr>
      </w:pPr>
      <w:r>
        <w:rPr>
          <w:rFonts w:ascii="仿宋" w:hAnsi="仿宋" w:eastAsia="仿宋"/>
          <w:sz w:val="32"/>
          <w:szCs w:val="32"/>
        </w:rPr>
        <w:br w:type="page"/>
      </w:r>
    </w:p>
    <w:p>
      <w:pPr>
        <w:pStyle w:val="12"/>
        <w:tabs>
          <w:tab w:val="left" w:pos="0"/>
        </w:tabs>
        <w:rPr>
          <w:rFonts w:ascii="仿宋" w:hAnsi="仿宋" w:eastAsia="仿宋"/>
        </w:rPr>
      </w:pPr>
      <w:r>
        <w:rPr>
          <w:rFonts w:hint="eastAsia" w:ascii="仿宋" w:hAnsi="仿宋" w:eastAsia="仿宋"/>
          <w:sz w:val="32"/>
          <w:szCs w:val="32"/>
        </w:rPr>
        <w:t>格式2-</w:t>
      </w:r>
      <w:r>
        <w:rPr>
          <w:rFonts w:ascii="仿宋" w:hAnsi="仿宋" w:eastAsia="仿宋"/>
          <w:sz w:val="32"/>
          <w:szCs w:val="32"/>
        </w:rPr>
        <w:t>10</w:t>
      </w:r>
    </w:p>
    <w:p>
      <w:pPr>
        <w:pStyle w:val="12"/>
        <w:tabs>
          <w:tab w:val="left" w:pos="0"/>
        </w:tabs>
        <w:jc w:val="center"/>
        <w:rPr>
          <w:rFonts w:ascii="仿宋" w:hAnsi="仿宋" w:eastAsia="仿宋"/>
          <w:sz w:val="32"/>
          <w:szCs w:val="32"/>
        </w:rPr>
      </w:pPr>
      <w:r>
        <w:rPr>
          <w:rFonts w:hint="eastAsia" w:ascii="仿宋" w:hAnsi="仿宋" w:eastAsia="仿宋"/>
          <w:sz w:val="32"/>
          <w:szCs w:val="32"/>
        </w:rPr>
        <w:t xml:space="preserve"> 商务应答表</w:t>
      </w:r>
    </w:p>
    <w:tbl>
      <w:tblPr>
        <w:tblStyle w:val="21"/>
        <w:tblW w:w="7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801"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801"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801"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801"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801"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ind w:firstLine="627" w:firstLineChars="196"/>
        <w:jc w:val="left"/>
        <w:outlineLvl w:val="1"/>
        <w:rPr>
          <w:rFonts w:ascii="仿宋" w:hAnsi="仿宋" w:eastAsia="仿宋"/>
          <w:sz w:val="24"/>
        </w:rPr>
      </w:pPr>
      <w:r>
        <w:rPr>
          <w:rFonts w:hint="eastAsia" w:ascii="仿宋" w:hAnsi="仿宋" w:eastAsia="仿宋"/>
          <w:sz w:val="32"/>
          <w:szCs w:val="32"/>
        </w:rPr>
        <w:t>格式2-1</w:t>
      </w:r>
      <w:r>
        <w:rPr>
          <w:rFonts w:ascii="仿宋" w:hAnsi="仿宋" w:eastAsia="仿宋"/>
          <w:sz w:val="32"/>
          <w:szCs w:val="32"/>
        </w:rPr>
        <w:t>1</w:t>
      </w:r>
    </w:p>
    <w:p>
      <w:pPr>
        <w:jc w:val="center"/>
        <w:rPr>
          <w:rFonts w:ascii="仿宋" w:hAnsi="仿宋" w:eastAsia="仿宋"/>
          <w:sz w:val="32"/>
          <w:szCs w:val="32"/>
        </w:rPr>
      </w:pPr>
      <w:r>
        <w:rPr>
          <w:rFonts w:hint="eastAsia" w:ascii="仿宋" w:hAnsi="仿宋" w:eastAsia="仿宋"/>
          <w:sz w:val="32"/>
          <w:szCs w:val="32"/>
        </w:rPr>
        <w:t xml:space="preserve"> 商务、技术、服务应答附表</w:t>
      </w:r>
    </w:p>
    <w:p>
      <w:pPr>
        <w:jc w:val="center"/>
        <w:rPr>
          <w:rFonts w:ascii="仿宋" w:hAnsi="仿宋" w:eastAsia="仿宋"/>
          <w:sz w:val="32"/>
          <w:szCs w:val="32"/>
        </w:rPr>
      </w:pPr>
      <w:r>
        <w:rPr>
          <w:rFonts w:hint="eastAsia" w:ascii="仿宋" w:hAnsi="仿宋" w:eastAsia="仿宋"/>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1"/>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ascii="仿宋" w:hAnsi="仿宋" w:eastAsia="仿宋"/>
                <w:sz w:val="24"/>
              </w:rPr>
            </w:pPr>
            <w:r>
              <w:rPr>
                <w:rFonts w:hint="eastAsia" w:ascii="仿宋" w:hAnsi="仿宋" w:eastAsia="仿宋" w:cs="宋体"/>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ascii="仿宋" w:hAnsi="仿宋" w:eastAsia="仿宋"/>
                <w:sz w:val="24"/>
              </w:rPr>
            </w:pPr>
            <w:r>
              <w:rPr>
                <w:rFonts w:hint="eastAsia" w:ascii="仿宋" w:hAnsi="仿宋" w:eastAsia="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仿宋" w:hAnsi="仿宋" w:eastAsia="仿宋"/>
                <w:bCs/>
                <w:sz w:val="24"/>
              </w:rPr>
            </w:pPr>
            <w:r>
              <w:rPr>
                <w:rFonts w:hint="eastAsia" w:ascii="仿宋" w:hAnsi="仿宋" w:eastAsia="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主要中标或者成交标的的名称</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主要中标或者成交标的的规格型号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主要中标或者成交标的的数量</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主要中标或者成交标的的单价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widowControl/>
              <w:numPr>
                <w:ilvl w:val="0"/>
                <w:numId w:val="5"/>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w:t>
      </w:r>
    </w:p>
    <w:p>
      <w:pPr>
        <w:widowControl/>
        <w:numPr>
          <w:ilvl w:val="0"/>
          <w:numId w:val="6"/>
        </w:numPr>
        <w:jc w:val="left"/>
        <w:rPr>
          <w:rFonts w:ascii="仿宋" w:hAnsi="仿宋" w:eastAsia="仿宋"/>
          <w:sz w:val="24"/>
        </w:rPr>
      </w:pPr>
      <w:r>
        <w:rPr>
          <w:rFonts w:hint="eastAsia" w:ascii="仿宋" w:hAnsi="仿宋" w:eastAsia="仿宋"/>
          <w:sz w:val="24"/>
        </w:rPr>
        <w:t>供应商需如实完善表格内容。</w:t>
      </w:r>
    </w:p>
    <w:p>
      <w:pPr>
        <w:widowControl/>
        <w:numPr>
          <w:ilvl w:val="0"/>
          <w:numId w:val="6"/>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pPr>
        <w:widowControl/>
        <w:numPr>
          <w:ilvl w:val="0"/>
          <w:numId w:val="6"/>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sz w:val="24"/>
        </w:rPr>
      </w:pPr>
      <w:r>
        <w:rPr>
          <w:rFonts w:ascii="仿宋" w:hAnsi="仿宋" w:eastAsia="仿宋"/>
          <w:bCs/>
          <w:sz w:val="24"/>
        </w:rPr>
        <w:t>报价日期:</w:t>
      </w:r>
    </w:p>
    <w:p>
      <w:pPr>
        <w:widowControl/>
        <w:ind w:firstLine="470" w:firstLineChars="196"/>
        <w:jc w:val="left"/>
        <w:outlineLvl w:val="1"/>
        <w:rPr>
          <w:rFonts w:ascii="仿宋" w:hAnsi="仿宋" w:eastAsia="仿宋"/>
          <w:sz w:val="24"/>
        </w:rPr>
      </w:pPr>
      <w:r>
        <w:rPr>
          <w:rFonts w:ascii="仿宋" w:hAnsi="仿宋" w:eastAsia="仿宋"/>
          <w:sz w:val="24"/>
        </w:rPr>
        <w:br w:type="page"/>
      </w:r>
    </w:p>
    <w:p>
      <w:pPr>
        <w:widowControl/>
        <w:spacing w:line="360" w:lineRule="atLeast"/>
        <w:ind w:firstLine="627" w:firstLineChars="196"/>
        <w:jc w:val="left"/>
        <w:outlineLvl w:val="1"/>
        <w:rPr>
          <w:rFonts w:ascii="仿宋" w:hAnsi="仿宋" w:eastAsia="仿宋"/>
          <w:sz w:val="32"/>
          <w:szCs w:val="32"/>
        </w:rPr>
      </w:pPr>
      <w:r>
        <w:rPr>
          <w:rFonts w:hint="eastAsia" w:ascii="仿宋" w:hAnsi="仿宋" w:eastAsia="仿宋"/>
          <w:sz w:val="32"/>
          <w:szCs w:val="32"/>
        </w:rPr>
        <w:t>格式2-1</w:t>
      </w:r>
      <w:r>
        <w:rPr>
          <w:rFonts w:ascii="仿宋" w:hAnsi="仿宋" w:eastAsia="仿宋"/>
          <w:sz w:val="32"/>
          <w:szCs w:val="32"/>
        </w:rPr>
        <w:t>2</w:t>
      </w:r>
    </w:p>
    <w:p>
      <w:pPr>
        <w:widowControl/>
        <w:spacing w:line="360" w:lineRule="atLeast"/>
        <w:ind w:firstLine="470" w:firstLineChars="196"/>
        <w:jc w:val="left"/>
        <w:outlineLvl w:val="1"/>
        <w:rPr>
          <w:rFonts w:ascii="仿宋" w:hAnsi="仿宋" w:eastAsia="仿宋"/>
          <w:sz w:val="24"/>
        </w:rPr>
      </w:pPr>
    </w:p>
    <w:p>
      <w:pPr>
        <w:jc w:val="center"/>
        <w:rPr>
          <w:rFonts w:ascii="仿宋" w:hAnsi="仿宋" w:eastAsia="仿宋" w:cs="Arial"/>
          <w:bCs/>
          <w:sz w:val="32"/>
          <w:szCs w:val="32"/>
        </w:rPr>
      </w:pPr>
      <w:r>
        <w:rPr>
          <w:rFonts w:hint="eastAsia" w:ascii="仿宋" w:hAnsi="仿宋" w:eastAsia="仿宋" w:cs="Arial"/>
          <w:bCs/>
          <w:sz w:val="32"/>
          <w:szCs w:val="32"/>
        </w:rPr>
        <w:t xml:space="preserve"> 供应商类似项目业绩一览表</w:t>
      </w:r>
    </w:p>
    <w:p>
      <w:pPr>
        <w:spacing w:line="400" w:lineRule="exact"/>
        <w:rPr>
          <w:rFonts w:ascii="仿宋" w:hAnsi="仿宋" w:eastAsia="仿宋" w:cs="Arial"/>
          <w:sz w:val="24"/>
        </w:rPr>
      </w:pPr>
    </w:p>
    <w:tbl>
      <w:tblPr>
        <w:tblStyle w:val="21"/>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rPr>
            </w:pPr>
            <w:r>
              <w:rPr>
                <w:rFonts w:hint="eastAsia" w:ascii="仿宋" w:hAnsi="仿宋" w:eastAsia="仿宋" w:cs="Arial"/>
              </w:rPr>
              <w:t>年份</w:t>
            </w:r>
          </w:p>
        </w:tc>
        <w:tc>
          <w:tcPr>
            <w:tcW w:w="1439" w:type="dxa"/>
            <w:vAlign w:val="center"/>
          </w:tcPr>
          <w:p>
            <w:pPr>
              <w:spacing w:line="400" w:lineRule="exact"/>
              <w:jc w:val="center"/>
              <w:rPr>
                <w:rFonts w:ascii="仿宋" w:hAnsi="仿宋" w:eastAsia="仿宋" w:cs="Arial"/>
              </w:rPr>
            </w:pPr>
            <w:r>
              <w:rPr>
                <w:rFonts w:hint="eastAsia" w:ascii="仿宋" w:hAnsi="仿宋" w:eastAsia="仿宋" w:cs="Arial"/>
              </w:rPr>
              <w:t>用户名称</w:t>
            </w:r>
          </w:p>
        </w:tc>
        <w:tc>
          <w:tcPr>
            <w:tcW w:w="1319" w:type="dxa"/>
            <w:vAlign w:val="center"/>
          </w:tcPr>
          <w:p>
            <w:pPr>
              <w:spacing w:line="400" w:lineRule="exact"/>
              <w:jc w:val="center"/>
              <w:rPr>
                <w:rFonts w:ascii="仿宋" w:hAnsi="仿宋" w:eastAsia="仿宋" w:cs="Arial"/>
              </w:rPr>
            </w:pPr>
            <w:r>
              <w:rPr>
                <w:rFonts w:ascii="仿宋" w:hAnsi="仿宋" w:eastAsia="仿宋" w:cs="Arial"/>
              </w:rPr>
              <w:t>项目名称</w:t>
            </w:r>
          </w:p>
        </w:tc>
        <w:tc>
          <w:tcPr>
            <w:tcW w:w="1160" w:type="dxa"/>
            <w:vAlign w:val="center"/>
          </w:tcPr>
          <w:p>
            <w:pPr>
              <w:spacing w:line="400" w:lineRule="exact"/>
              <w:jc w:val="center"/>
              <w:rPr>
                <w:rFonts w:ascii="仿宋" w:hAnsi="仿宋" w:eastAsia="仿宋" w:cs="Arial"/>
              </w:rPr>
            </w:pPr>
            <w:r>
              <w:rPr>
                <w:rFonts w:ascii="仿宋" w:hAnsi="仿宋" w:eastAsia="仿宋" w:cs="Arial"/>
              </w:rPr>
              <w:t>完成时间</w:t>
            </w:r>
          </w:p>
        </w:tc>
        <w:tc>
          <w:tcPr>
            <w:tcW w:w="1421" w:type="dxa"/>
            <w:gridSpan w:val="2"/>
            <w:vAlign w:val="center"/>
          </w:tcPr>
          <w:p>
            <w:pPr>
              <w:spacing w:line="400" w:lineRule="exact"/>
              <w:ind w:firstLine="105" w:firstLineChars="50"/>
              <w:jc w:val="center"/>
              <w:rPr>
                <w:rFonts w:ascii="仿宋" w:hAnsi="仿宋" w:eastAsia="仿宋" w:cs="Arial"/>
              </w:rPr>
            </w:pPr>
            <w:r>
              <w:rPr>
                <w:rFonts w:ascii="仿宋" w:hAnsi="仿宋" w:eastAsia="仿宋" w:cs="Arial"/>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rPr>
            </w:pPr>
            <w:r>
              <w:rPr>
                <w:rFonts w:hint="eastAsia" w:ascii="仿宋" w:hAnsi="仿宋" w:eastAsia="仿宋" w:cs="Arial"/>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rPr>
            </w:pPr>
            <w:r>
              <w:rPr>
                <w:rFonts w:hint="eastAsia" w:ascii="仿宋" w:hAnsi="仿宋" w:eastAsia="仿宋" w:cs="Aria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92"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rPr>
            </w:pPr>
          </w:p>
        </w:tc>
        <w:tc>
          <w:tcPr>
            <w:tcW w:w="1439" w:type="dxa"/>
            <w:vAlign w:val="center"/>
          </w:tcPr>
          <w:p>
            <w:pPr>
              <w:spacing w:line="400" w:lineRule="exact"/>
              <w:rPr>
                <w:rFonts w:ascii="仿宋" w:hAnsi="仿宋" w:eastAsia="仿宋" w:cs="Arial"/>
              </w:rPr>
            </w:pPr>
          </w:p>
        </w:tc>
        <w:tc>
          <w:tcPr>
            <w:tcW w:w="1319" w:type="dxa"/>
            <w:vAlign w:val="center"/>
          </w:tcPr>
          <w:p>
            <w:pPr>
              <w:spacing w:line="400" w:lineRule="exact"/>
              <w:rPr>
                <w:rFonts w:ascii="仿宋" w:hAnsi="仿宋" w:eastAsia="仿宋" w:cs="Arial"/>
              </w:rPr>
            </w:pPr>
          </w:p>
        </w:tc>
        <w:tc>
          <w:tcPr>
            <w:tcW w:w="1160" w:type="dxa"/>
            <w:vAlign w:val="center"/>
          </w:tcPr>
          <w:p>
            <w:pPr>
              <w:spacing w:line="400" w:lineRule="exact"/>
              <w:rPr>
                <w:rFonts w:ascii="仿宋" w:hAnsi="仿宋" w:eastAsia="仿宋" w:cs="Arial"/>
              </w:rPr>
            </w:pPr>
          </w:p>
        </w:tc>
        <w:tc>
          <w:tcPr>
            <w:tcW w:w="1421" w:type="dxa"/>
            <w:gridSpan w:val="2"/>
            <w:tcBorders>
              <w:right w:val="single" w:color="auto" w:sz="4" w:space="0"/>
            </w:tcBorders>
            <w:vAlign w:val="center"/>
          </w:tcPr>
          <w:p>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87"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widowControl/>
        <w:spacing w:line="360" w:lineRule="atLeast"/>
        <w:ind w:firstLine="470" w:firstLineChars="196"/>
        <w:jc w:val="left"/>
        <w:outlineLvl w:val="1"/>
        <w:rPr>
          <w:rFonts w:ascii="仿宋" w:hAnsi="仿宋" w:eastAsia="仿宋" w:cs="Arial"/>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cs="Arial"/>
          <w:sz w:val="24"/>
        </w:rPr>
        <w:t>注：</w:t>
      </w:r>
      <w:r>
        <w:rPr>
          <w:rFonts w:hint="eastAsia" w:ascii="仿宋" w:hAnsi="仿宋" w:eastAsia="仿宋"/>
          <w:sz w:val="24"/>
        </w:rPr>
        <w:t>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sz w:val="32"/>
          <w:szCs w:val="32"/>
        </w:rPr>
      </w:pPr>
      <w:r>
        <w:rPr>
          <w:rFonts w:ascii="仿宋" w:hAnsi="仿宋" w:eastAsia="仿宋"/>
          <w:sz w:val="32"/>
          <w:szCs w:val="32"/>
        </w:rPr>
        <w:br w:type="page"/>
      </w:r>
    </w:p>
    <w:p>
      <w:pPr>
        <w:widowControl/>
        <w:spacing w:line="360" w:lineRule="atLeast"/>
        <w:ind w:firstLine="627" w:firstLineChars="196"/>
        <w:jc w:val="left"/>
        <w:outlineLvl w:val="1"/>
        <w:rPr>
          <w:rFonts w:ascii="仿宋" w:hAnsi="仿宋" w:eastAsia="仿宋"/>
          <w:sz w:val="24"/>
        </w:rPr>
      </w:pPr>
      <w:r>
        <w:rPr>
          <w:rFonts w:hint="eastAsia" w:ascii="仿宋" w:hAnsi="仿宋" w:eastAsia="仿宋"/>
          <w:sz w:val="32"/>
          <w:szCs w:val="32"/>
        </w:rPr>
        <w:t>格式2-1</w:t>
      </w:r>
      <w:r>
        <w:rPr>
          <w:rFonts w:ascii="仿宋" w:hAnsi="仿宋" w:eastAsia="仿宋"/>
          <w:sz w:val="32"/>
          <w:szCs w:val="32"/>
        </w:rPr>
        <w:t>3</w:t>
      </w:r>
    </w:p>
    <w:p>
      <w:pPr>
        <w:jc w:val="center"/>
        <w:rPr>
          <w:rFonts w:ascii="仿宋" w:hAnsi="仿宋" w:eastAsia="仿宋"/>
          <w:sz w:val="32"/>
          <w:szCs w:val="32"/>
        </w:rPr>
      </w:pPr>
      <w:r>
        <w:rPr>
          <w:rFonts w:hint="eastAsia" w:ascii="仿宋" w:hAnsi="仿宋" w:eastAsia="仿宋"/>
          <w:sz w:val="32"/>
          <w:szCs w:val="32"/>
        </w:rPr>
        <w:t xml:space="preserve"> 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bookmarkEnd w:id="109"/>
    </w:p>
    <w:p>
      <w:pPr>
        <w:spacing w:line="360" w:lineRule="auto"/>
        <w:ind w:firstLine="628"/>
        <w:rPr>
          <w:rFonts w:hint="eastAsia" w:ascii="仿宋" w:hAnsi="仿宋" w:eastAsia="仿宋"/>
          <w:sz w:val="32"/>
          <w:szCs w:val="32"/>
        </w:rPr>
      </w:pPr>
    </w:p>
    <w:p>
      <w:pPr>
        <w:rPr>
          <w:rFonts w:hint="eastAsia" w:ascii="仿宋" w:hAnsi="仿宋" w:eastAsia="仿宋"/>
          <w:sz w:val="32"/>
          <w:szCs w:val="32"/>
        </w:rPr>
      </w:pPr>
      <w:r>
        <w:rPr>
          <w:rFonts w:hint="eastAsia" w:ascii="仿宋" w:hAnsi="仿宋" w:eastAsia="仿宋"/>
          <w:sz w:val="32"/>
          <w:szCs w:val="32"/>
        </w:rPr>
        <w:br w:type="page"/>
      </w:r>
    </w:p>
    <w:p>
      <w:pPr>
        <w:widowControl/>
        <w:spacing w:line="360" w:lineRule="atLeast"/>
        <w:ind w:firstLine="627" w:firstLineChars="196"/>
        <w:jc w:val="left"/>
        <w:outlineLvl w:val="1"/>
        <w:rPr>
          <w:rFonts w:hint="eastAsia" w:ascii="仿宋" w:hAnsi="仿宋" w:eastAsia="仿宋"/>
          <w:sz w:val="24"/>
          <w:lang w:eastAsia="zh-CN"/>
        </w:rPr>
      </w:pPr>
      <w:bookmarkStart w:id="115" w:name="_Toc18258"/>
      <w:bookmarkStart w:id="116" w:name="_Toc27578"/>
      <w:bookmarkStart w:id="117" w:name="_Toc20010"/>
      <w:bookmarkStart w:id="118" w:name="_Toc26071"/>
      <w:bookmarkStart w:id="119" w:name="_Toc5336"/>
      <w:bookmarkStart w:id="120" w:name="_Toc5317"/>
      <w:bookmarkStart w:id="121" w:name="_Toc8826"/>
      <w:bookmarkStart w:id="122" w:name="_Toc489015433"/>
      <w:bookmarkStart w:id="123" w:name="_Toc24939"/>
      <w:r>
        <w:rPr>
          <w:rFonts w:hint="eastAsia" w:ascii="仿宋" w:hAnsi="仿宋" w:eastAsia="仿宋"/>
          <w:sz w:val="32"/>
          <w:szCs w:val="32"/>
        </w:rPr>
        <w:t>格式2-1</w:t>
      </w:r>
      <w:r>
        <w:rPr>
          <w:rFonts w:hint="eastAsia" w:ascii="仿宋" w:hAnsi="仿宋" w:eastAsia="仿宋"/>
          <w:sz w:val="32"/>
          <w:szCs w:val="32"/>
          <w:lang w:val="en-US" w:eastAsia="zh-CN"/>
        </w:rPr>
        <w:t>4</w:t>
      </w:r>
    </w:p>
    <w:p>
      <w:pPr>
        <w:widowControl/>
        <w:spacing w:line="360" w:lineRule="auto"/>
        <w:jc w:val="center"/>
        <w:outlineLvl w:val="2"/>
        <w:rPr>
          <w:rFonts w:hint="eastAsia" w:asciiTheme="minorEastAsia" w:hAnsiTheme="minorEastAsia" w:eastAsiaTheme="minorEastAsia" w:cstheme="minorEastAsia"/>
          <w:b/>
          <w:bCs/>
          <w:sz w:val="24"/>
          <w:szCs w:val="24"/>
          <w:lang w:val="en-US"/>
        </w:rPr>
      </w:pPr>
    </w:p>
    <w:p>
      <w:pPr>
        <w:widowControl/>
        <w:spacing w:line="360" w:lineRule="auto"/>
        <w:jc w:val="center"/>
        <w:outlineLvl w:val="2"/>
        <w:rPr>
          <w:rFonts w:hint="eastAsia" w:ascii="仿宋" w:hAnsi="仿宋" w:eastAsia="仿宋" w:cs="Times New Roman"/>
          <w:sz w:val="32"/>
          <w:szCs w:val="32"/>
          <w:lang w:val="en-US"/>
        </w:rPr>
      </w:pPr>
      <w:r>
        <w:rPr>
          <w:rFonts w:hint="eastAsia" w:ascii="仿宋" w:hAnsi="仿宋" w:eastAsia="仿宋" w:cs="Times New Roman"/>
          <w:sz w:val="32"/>
          <w:szCs w:val="32"/>
          <w:lang w:val="en-US"/>
        </w:rPr>
        <w:t>其他供应商认为需要提供的文件和资料</w:t>
      </w:r>
      <w:bookmarkEnd w:id="115"/>
      <w:bookmarkEnd w:id="116"/>
      <w:bookmarkEnd w:id="117"/>
      <w:bookmarkEnd w:id="118"/>
      <w:bookmarkEnd w:id="119"/>
      <w:bookmarkEnd w:id="120"/>
      <w:bookmarkEnd w:id="121"/>
      <w:bookmarkEnd w:id="122"/>
      <w:bookmarkEnd w:id="123"/>
    </w:p>
    <w:p>
      <w:pPr>
        <w:spacing w:line="360" w:lineRule="auto"/>
        <w:jc w:val="center"/>
        <w:rPr>
          <w:b/>
          <w:sz w:val="32"/>
          <w:szCs w:val="28"/>
        </w:rPr>
      </w:pPr>
    </w:p>
    <w:p>
      <w:pPr>
        <w:spacing w:line="360" w:lineRule="auto"/>
        <w:jc w:val="center"/>
        <w:rPr>
          <w:b/>
          <w:sz w:val="32"/>
          <w:szCs w:val="28"/>
        </w:rPr>
      </w:pPr>
    </w:p>
    <w:p>
      <w:pPr>
        <w:spacing w:line="360" w:lineRule="auto"/>
        <w:jc w:val="center"/>
        <w:rPr>
          <w:b/>
          <w:sz w:val="32"/>
          <w:szCs w:val="28"/>
        </w:rPr>
      </w:pPr>
    </w:p>
    <w:p>
      <w:pPr>
        <w:spacing w:line="360" w:lineRule="auto"/>
        <w:jc w:val="center"/>
        <w:rPr>
          <w:b/>
          <w:sz w:val="32"/>
          <w:szCs w:val="28"/>
        </w:rPr>
      </w:pPr>
    </w:p>
    <w:p>
      <w:pPr>
        <w:spacing w:line="360" w:lineRule="auto"/>
        <w:jc w:val="center"/>
        <w:rPr>
          <w:rFonts w:hint="eastAsia" w:ascii="仿宋" w:hAnsi="仿宋" w:eastAsia="仿宋" w:cs="仿宋"/>
          <w:b/>
          <w:sz w:val="32"/>
          <w:szCs w:val="28"/>
        </w:rPr>
      </w:pPr>
    </w:p>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（具体内容由各供应商自拟）</w:t>
      </w:r>
    </w:p>
    <w:p>
      <w:pPr>
        <w:pStyle w:val="2"/>
        <w:rPr>
          <w:rFonts w:hint="eastAsia"/>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spacing w:line="360" w:lineRule="auto"/>
        <w:ind w:firstLine="628"/>
        <w:rPr>
          <w:rFonts w:hint="eastAsia" w:ascii="仿宋" w:hAnsi="仿宋" w:eastAsia="仿宋"/>
          <w:sz w:val="32"/>
          <w:szCs w:val="32"/>
        </w:rPr>
      </w:pPr>
    </w:p>
    <w:p>
      <w:pPr>
        <w:pStyle w:val="2"/>
        <w:rPr>
          <w:rFonts w:hint="eastAsia" w:ascii="仿宋" w:hAnsi="仿宋" w:eastAsia="仿宋"/>
          <w:sz w:val="32"/>
          <w:szCs w:val="32"/>
        </w:rPr>
      </w:pPr>
    </w:p>
    <w:p>
      <w:pPr>
        <w:rPr>
          <w:rFonts w:hint="eastAsia" w:ascii="仿宋" w:hAnsi="仿宋" w:eastAsia="仿宋"/>
          <w:sz w:val="32"/>
          <w:szCs w:val="32"/>
        </w:rPr>
      </w:pPr>
    </w:p>
    <w:p>
      <w:pPr>
        <w:pStyle w:val="2"/>
        <w:rPr>
          <w:rFonts w:hint="eastAsia" w:ascii="仿宋" w:hAnsi="仿宋" w:eastAsia="仿宋"/>
          <w:sz w:val="32"/>
          <w:szCs w:val="32"/>
        </w:rPr>
      </w:pPr>
    </w:p>
    <w:p>
      <w:pPr>
        <w:rPr>
          <w:rFonts w:hint="eastAsia" w:ascii="仿宋" w:hAnsi="仿宋" w:eastAsia="仿宋"/>
          <w:sz w:val="32"/>
          <w:szCs w:val="32"/>
        </w:rPr>
      </w:pPr>
    </w:p>
    <w:p>
      <w:pPr>
        <w:pStyle w:val="2"/>
        <w:rPr>
          <w:rFonts w:hint="eastAsia" w:ascii="仿宋" w:hAnsi="仿宋" w:eastAsia="仿宋"/>
          <w:sz w:val="32"/>
          <w:szCs w:val="32"/>
        </w:rPr>
      </w:pPr>
    </w:p>
    <w:p>
      <w:pPr>
        <w:rPr>
          <w:rFonts w:hint="eastAsia" w:ascii="仿宋" w:hAnsi="仿宋" w:eastAsia="仿宋"/>
          <w:sz w:val="32"/>
          <w:szCs w:val="32"/>
        </w:rPr>
      </w:pPr>
    </w:p>
    <w:p>
      <w:pPr>
        <w:pStyle w:val="2"/>
        <w:rPr>
          <w:rFonts w:hint="eastAsia"/>
        </w:rPr>
      </w:pPr>
    </w:p>
    <w:p>
      <w:pPr>
        <w:widowControl/>
        <w:spacing w:line="360" w:lineRule="atLeast"/>
        <w:ind w:firstLine="627" w:firstLineChars="196"/>
        <w:jc w:val="left"/>
        <w:outlineLvl w:val="1"/>
        <w:rPr>
          <w:rFonts w:hint="eastAsia" w:ascii="仿宋" w:hAnsi="仿宋" w:eastAsia="仿宋"/>
          <w:sz w:val="24"/>
          <w:lang w:eastAsia="zh-CN"/>
        </w:rPr>
      </w:pPr>
      <w:r>
        <w:rPr>
          <w:rFonts w:hint="eastAsia" w:ascii="仿宋" w:hAnsi="仿宋" w:eastAsia="仿宋"/>
          <w:sz w:val="32"/>
          <w:szCs w:val="32"/>
        </w:rPr>
        <w:t>格式2-1</w:t>
      </w:r>
      <w:r>
        <w:rPr>
          <w:rFonts w:hint="eastAsia" w:ascii="仿宋" w:hAnsi="仿宋" w:eastAsia="仿宋"/>
          <w:sz w:val="32"/>
          <w:szCs w:val="32"/>
          <w:lang w:val="en-US" w:eastAsia="zh-CN"/>
        </w:rPr>
        <w:t>5</w:t>
      </w:r>
    </w:p>
    <w:p>
      <w:pPr>
        <w:jc w:val="both"/>
        <w:rPr>
          <w:rFonts w:hint="eastAsia" w:ascii="仿宋" w:hAnsi="仿宋" w:eastAsia="仿宋"/>
          <w:sz w:val="32"/>
          <w:szCs w:val="32"/>
        </w:rPr>
      </w:pPr>
    </w:p>
    <w:p>
      <w:pPr>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首轮</w:t>
      </w:r>
      <w:r>
        <w:rPr>
          <w:rFonts w:hint="eastAsia" w:ascii="仿宋" w:hAnsi="仿宋" w:eastAsia="仿宋"/>
          <w:sz w:val="32"/>
          <w:szCs w:val="32"/>
        </w:rPr>
        <w:t>报价</w:t>
      </w:r>
      <w:r>
        <w:rPr>
          <w:rFonts w:hint="eastAsia" w:ascii="仿宋" w:hAnsi="仿宋" w:eastAsia="仿宋"/>
          <w:sz w:val="32"/>
          <w:szCs w:val="32"/>
          <w:lang w:val="en-US" w:eastAsia="zh-CN"/>
        </w:rPr>
        <w:t>表</w:t>
      </w:r>
    </w:p>
    <w:tbl>
      <w:tblPr>
        <w:tblStyle w:val="21"/>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6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9" w:type="dxa"/>
            <w:vAlign w:val="center"/>
          </w:tcPr>
          <w:p>
            <w:pPr>
              <w:jc w:val="center"/>
              <w:rPr>
                <w:rFonts w:hint="eastAsia" w:ascii="仿宋" w:hAnsi="仿宋" w:eastAsia="仿宋" w:cs="仿宋"/>
                <w:b/>
                <w:bCs/>
                <w:caps/>
                <w:snapToGrid w:val="0"/>
                <w:sz w:val="24"/>
              </w:rPr>
            </w:pPr>
            <w:r>
              <w:rPr>
                <w:rFonts w:hint="eastAsia" w:ascii="仿宋" w:hAnsi="仿宋" w:eastAsia="仿宋" w:cs="仿宋"/>
                <w:snapToGrid w:val="0"/>
                <w:sz w:val="24"/>
              </w:rPr>
              <w:t>采购项目名称</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napToGrid w:val="0"/>
                <w:sz w:val="24"/>
              </w:rPr>
              <w:t>采购项目编号</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739" w:type="dxa"/>
            <w:vAlign w:val="center"/>
          </w:tcPr>
          <w:p>
            <w:pPr>
              <w:jc w:val="center"/>
              <w:rPr>
                <w:rFonts w:hint="eastAsia" w:ascii="仿宋" w:hAnsi="仿宋" w:eastAsia="仿宋" w:cs="仿宋"/>
                <w:b/>
                <w:bCs/>
                <w:snapToGrid w:val="0"/>
                <w:sz w:val="24"/>
              </w:rPr>
            </w:pPr>
            <w:r>
              <w:rPr>
                <w:rFonts w:hint="eastAsia" w:ascii="仿宋" w:hAnsi="仿宋" w:eastAsia="仿宋" w:cs="仿宋"/>
                <w:sz w:val="24"/>
                <w:szCs w:val="24"/>
              </w:rPr>
              <w:t>磋商供应商名称</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z w:val="24"/>
                <w:szCs w:val="24"/>
              </w:rPr>
              <w:t>第</w:t>
            </w:r>
            <w:r>
              <w:rPr>
                <w:rFonts w:hint="eastAsia" w:ascii="仿宋" w:hAnsi="仿宋" w:eastAsia="仿宋" w:cs="仿宋"/>
                <w:sz w:val="24"/>
                <w:szCs w:val="24"/>
                <w:u w:val="single"/>
                <w:lang w:val="en-US"/>
              </w:rPr>
              <w:t xml:space="preserve"> 1 </w:t>
            </w:r>
            <w:r>
              <w:rPr>
                <w:rFonts w:hint="eastAsia" w:ascii="仿宋" w:hAnsi="仿宋" w:eastAsia="仿宋" w:cs="仿宋"/>
                <w:sz w:val="24"/>
                <w:szCs w:val="24"/>
                <w:lang w:val="en-US"/>
              </w:rPr>
              <w:t>次</w:t>
            </w:r>
            <w:r>
              <w:rPr>
                <w:rFonts w:hint="eastAsia" w:ascii="仿宋" w:hAnsi="仿宋" w:eastAsia="仿宋" w:cs="仿宋"/>
                <w:sz w:val="24"/>
                <w:szCs w:val="24"/>
              </w:rPr>
              <w:t>报价</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z w:val="24"/>
                <w:szCs w:val="24"/>
              </w:rPr>
              <w:t>其他承诺</w:t>
            </w:r>
          </w:p>
        </w:tc>
        <w:tc>
          <w:tcPr>
            <w:tcW w:w="6645" w:type="dxa"/>
            <w:vAlign w:val="center"/>
          </w:tcPr>
          <w:p>
            <w:pPr>
              <w:spacing w:line="360" w:lineRule="auto"/>
              <w:ind w:right="31" w:rightChars="15" w:firstLine="480" w:firstLineChars="200"/>
              <w:rPr>
                <w:rFonts w:hint="eastAsia" w:ascii="仿宋" w:hAnsi="仿宋" w:eastAsia="仿宋" w:cs="仿宋"/>
                <w:snapToGrid w:val="0"/>
                <w:sz w:val="24"/>
              </w:rPr>
            </w:pPr>
          </w:p>
        </w:tc>
      </w:tr>
    </w:tbl>
    <w:p>
      <w:pPr>
        <w:widowControl/>
        <w:spacing w:line="360" w:lineRule="atLeast"/>
        <w:jc w:val="left"/>
        <w:outlineLvl w:val="1"/>
        <w:rPr>
          <w:rFonts w:ascii="仿宋" w:hAnsi="仿宋" w:eastAsia="仿宋"/>
          <w:sz w:val="24"/>
        </w:rPr>
      </w:pPr>
      <w:r>
        <w:rPr>
          <w:rFonts w:hint="eastAsia" w:ascii="仿宋" w:hAnsi="仿宋" w:eastAsia="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ascii="仿宋" w:hAnsi="仿宋" w:eastAsia="仿宋"/>
          <w:sz w:val="24"/>
        </w:rPr>
      </w:pPr>
      <w:r>
        <w:rPr>
          <w:rFonts w:hint="eastAsia" w:ascii="仿宋" w:hAnsi="仿宋" w:eastAsia="仿宋"/>
          <w:sz w:val="24"/>
        </w:rPr>
        <w:t>供应商名称：XXX（盖单位公章）</w:t>
      </w:r>
    </w:p>
    <w:p>
      <w:pPr>
        <w:widowControl/>
        <w:spacing w:line="360" w:lineRule="atLeast"/>
        <w:jc w:val="left"/>
        <w:outlineLvl w:val="1"/>
        <w:rPr>
          <w:rFonts w:ascii="仿宋" w:hAnsi="仿宋" w:eastAsia="仿宋"/>
          <w:sz w:val="24"/>
        </w:rPr>
      </w:pPr>
      <w:r>
        <w:rPr>
          <w:rFonts w:hint="eastAsia" w:ascii="仿宋" w:hAnsi="仿宋" w:eastAsia="仿宋"/>
          <w:sz w:val="24"/>
        </w:rPr>
        <w:t>法定代表人/单位负责人或授权代表（签字或加盖个人印章）：XXX</w:t>
      </w:r>
    </w:p>
    <w:p>
      <w:pPr>
        <w:widowControl/>
        <w:spacing w:line="360" w:lineRule="atLeast"/>
        <w:jc w:val="left"/>
        <w:outlineLvl w:val="1"/>
        <w:rPr>
          <w:rFonts w:ascii="仿宋" w:hAnsi="仿宋" w:eastAsia="仿宋"/>
          <w:sz w:val="24"/>
        </w:rPr>
      </w:pPr>
      <w:r>
        <w:rPr>
          <w:rFonts w:hint="eastAsia" w:ascii="仿宋" w:hAnsi="仿宋" w:eastAsia="仿宋"/>
          <w:sz w:val="24"/>
        </w:rPr>
        <w:t xml:space="preserve">日      期：XXX年XXX月XXX日 </w:t>
      </w:r>
    </w:p>
    <w:p>
      <w:pPr>
        <w:widowControl/>
        <w:spacing w:line="360" w:lineRule="atLeast"/>
        <w:ind w:firstLine="411" w:firstLineChars="196"/>
        <w:jc w:val="left"/>
        <w:outlineLvl w:val="1"/>
        <w:rPr>
          <w:rFonts w:hint="eastAsia" w:ascii="仿宋" w:hAnsi="仿宋" w:eastAsia="仿宋"/>
          <w:sz w:val="24"/>
          <w:lang w:eastAsia="zh-CN"/>
        </w:rPr>
      </w:pPr>
      <w:r>
        <w:rPr>
          <w:rFonts w:ascii="仿宋" w:hAnsi="仿宋" w:eastAsia="仿宋"/>
          <w:szCs w:val="21"/>
        </w:rPr>
        <w:br w:type="page"/>
      </w:r>
      <w:r>
        <w:rPr>
          <w:rFonts w:hint="eastAsia" w:ascii="仿宋" w:hAnsi="仿宋" w:eastAsia="仿宋"/>
          <w:sz w:val="32"/>
          <w:szCs w:val="32"/>
        </w:rPr>
        <w:t>格式2-1</w:t>
      </w:r>
      <w:r>
        <w:rPr>
          <w:rFonts w:hint="eastAsia" w:ascii="仿宋" w:hAnsi="仿宋" w:eastAsia="仿宋"/>
          <w:sz w:val="32"/>
          <w:szCs w:val="32"/>
          <w:lang w:val="en-US" w:eastAsia="zh-CN"/>
        </w:rPr>
        <w:t>6</w:t>
      </w:r>
    </w:p>
    <w:p>
      <w:pPr>
        <w:widowControl/>
        <w:spacing w:line="360" w:lineRule="atLeast"/>
        <w:jc w:val="left"/>
        <w:outlineLvl w:val="1"/>
        <w:rPr>
          <w:rFonts w:ascii="仿宋" w:hAnsi="仿宋" w:eastAsia="仿宋"/>
          <w:szCs w:val="21"/>
        </w:rPr>
      </w:pPr>
    </w:p>
    <w:p>
      <w:pPr>
        <w:widowControl/>
        <w:spacing w:line="360" w:lineRule="atLeast"/>
        <w:jc w:val="center"/>
        <w:outlineLvl w:val="1"/>
        <w:rPr>
          <w:rFonts w:ascii="仿宋" w:hAnsi="仿宋" w:eastAsia="仿宋"/>
          <w:sz w:val="32"/>
          <w:szCs w:val="32"/>
        </w:rPr>
      </w:pPr>
      <w:r>
        <w:rPr>
          <w:rFonts w:hint="eastAsia" w:ascii="仿宋" w:hAnsi="仿宋" w:eastAsia="仿宋"/>
          <w:sz w:val="32"/>
          <w:szCs w:val="32"/>
        </w:rPr>
        <w:t>分项报价明细表</w:t>
      </w:r>
    </w:p>
    <w:p>
      <w:pPr>
        <w:widowControl/>
        <w:spacing w:line="360" w:lineRule="atLeast"/>
        <w:jc w:val="left"/>
        <w:outlineLvl w:val="1"/>
        <w:rPr>
          <w:rFonts w:ascii="仿宋" w:hAnsi="仿宋" w:eastAsia="仿宋"/>
          <w:sz w:val="24"/>
        </w:rPr>
      </w:pPr>
      <w:r>
        <w:rPr>
          <w:rFonts w:ascii="仿宋" w:hAnsi="仿宋" w:eastAsia="仿宋"/>
          <w:sz w:val="24"/>
        </w:rPr>
        <w:t>项目名称：</w:t>
      </w:r>
    </w:p>
    <w:p>
      <w:pPr>
        <w:widowControl/>
        <w:spacing w:line="360" w:lineRule="atLeast"/>
        <w:jc w:val="left"/>
        <w:outlineLvl w:val="1"/>
        <w:rPr>
          <w:rFonts w:ascii="仿宋" w:hAnsi="仿宋" w:eastAsia="仿宋"/>
          <w:sz w:val="24"/>
        </w:rPr>
      </w:pPr>
      <w:r>
        <w:rPr>
          <w:rFonts w:ascii="仿宋" w:hAnsi="仿宋" w:eastAsia="仿宋"/>
          <w:sz w:val="24"/>
        </w:rPr>
        <w:t>采购编号：</w:t>
      </w:r>
    </w:p>
    <w:tbl>
      <w:tblPr>
        <w:tblStyle w:val="21"/>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19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3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1553"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5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5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709"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注：1、供应商应按“分项报价明细表”的格式详细报出总价的各个组成部分的报价。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2、“分项报价明细表”各分项报价合计应当与“报价一览表”报价合计相等。</w:t>
      </w:r>
    </w:p>
    <w:p>
      <w:pPr>
        <w:widowControl/>
        <w:spacing w:line="360" w:lineRule="atLeast"/>
        <w:ind w:firstLine="950" w:firstLineChars="396"/>
        <w:jc w:val="left"/>
        <w:outlineLvl w:val="1"/>
        <w:rPr>
          <w:rFonts w:ascii="仿宋" w:hAnsi="仿宋" w:eastAsia="仿宋"/>
          <w:sz w:val="24"/>
        </w:rPr>
      </w:pPr>
      <w:r>
        <w:rPr>
          <w:rFonts w:hint="eastAsia" w:ascii="仿宋" w:hAnsi="仿宋" w:eastAsia="仿宋"/>
          <w:sz w:val="24"/>
        </w:rPr>
        <w:t>3.本项目采用现场报价，响应文件中不用首次报价（除现场报价以响应文件报价为准的情形之外，响应文件报价不作为评审的依据，以现场报价为准）。</w:t>
      </w:r>
    </w:p>
    <w:p>
      <w:pPr>
        <w:widowControl/>
        <w:spacing w:line="360" w:lineRule="atLeast"/>
        <w:ind w:firstLine="470" w:firstLineChars="196"/>
        <w:jc w:val="left"/>
        <w:outlineLvl w:val="1"/>
        <w:rPr>
          <w:rFonts w:ascii="仿宋" w:hAnsi="仿宋" w:eastAsia="仿宋"/>
          <w:sz w:val="24"/>
        </w:rPr>
      </w:pPr>
    </w:p>
    <w:p>
      <w:pPr>
        <w:ind w:firstLine="540"/>
        <w:jc w:val="left"/>
        <w:rPr>
          <w:rFonts w:ascii="仿宋" w:hAnsi="仿宋" w:eastAsia="仿宋"/>
          <w:sz w:val="24"/>
        </w:rPr>
      </w:pPr>
      <w:r>
        <w:rPr>
          <w:rFonts w:hint="eastAsia" w:ascii="仿宋" w:hAnsi="仿宋" w:eastAsia="仿宋"/>
          <w:sz w:val="24"/>
        </w:rPr>
        <w:t>供应商名称：XXX（盖单位公章）</w:t>
      </w:r>
    </w:p>
    <w:p>
      <w:pPr>
        <w:ind w:firstLine="540"/>
        <w:jc w:val="left"/>
        <w:rPr>
          <w:rFonts w:ascii="仿宋" w:hAnsi="仿宋" w:eastAsia="仿宋"/>
          <w:sz w:val="24"/>
        </w:rPr>
      </w:pPr>
      <w:r>
        <w:rPr>
          <w:rFonts w:hint="eastAsia" w:ascii="仿宋" w:hAnsi="仿宋" w:eastAsia="仿宋"/>
          <w:sz w:val="24"/>
        </w:rPr>
        <w:t>法定代表人/单位负责人或授权代表（签字或加盖个人印章）：XXX</w:t>
      </w:r>
    </w:p>
    <w:p>
      <w:pPr>
        <w:pStyle w:val="19"/>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日      期：XXX年XXX月XXX日</w:t>
      </w:r>
    </w:p>
    <w:p>
      <w:p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br w:type="page"/>
      </w:r>
    </w:p>
    <w:p>
      <w:pPr>
        <w:widowControl/>
        <w:spacing w:line="360" w:lineRule="atLeast"/>
        <w:ind w:firstLine="627" w:firstLineChars="196"/>
        <w:jc w:val="left"/>
        <w:outlineLvl w:val="1"/>
        <w:rPr>
          <w:rFonts w:hint="eastAsia" w:ascii="仿宋" w:hAnsi="仿宋" w:eastAsia="仿宋"/>
          <w:sz w:val="32"/>
          <w:szCs w:val="32"/>
        </w:rPr>
      </w:pPr>
    </w:p>
    <w:p>
      <w:pPr>
        <w:widowControl/>
        <w:spacing w:line="360" w:lineRule="atLeast"/>
        <w:ind w:firstLine="627" w:firstLineChars="196"/>
        <w:jc w:val="left"/>
        <w:outlineLvl w:val="1"/>
        <w:rPr>
          <w:rFonts w:hint="eastAsia" w:ascii="仿宋" w:hAnsi="仿宋" w:eastAsia="仿宋"/>
          <w:sz w:val="24"/>
          <w:lang w:eastAsia="zh-CN"/>
        </w:rPr>
      </w:pPr>
      <w:r>
        <w:rPr>
          <w:rFonts w:hint="eastAsia" w:ascii="仿宋" w:hAnsi="仿宋" w:eastAsia="仿宋"/>
          <w:sz w:val="32"/>
          <w:szCs w:val="32"/>
        </w:rPr>
        <w:t>格式2-1</w:t>
      </w:r>
      <w:r>
        <w:rPr>
          <w:rFonts w:hint="eastAsia" w:ascii="仿宋" w:hAnsi="仿宋" w:eastAsia="仿宋"/>
          <w:sz w:val="32"/>
          <w:szCs w:val="32"/>
          <w:lang w:val="en-US" w:eastAsia="zh-CN"/>
        </w:rPr>
        <w:t>7</w:t>
      </w:r>
    </w:p>
    <w:p>
      <w:pPr>
        <w:jc w:val="both"/>
        <w:rPr>
          <w:rFonts w:hint="eastAsia" w:ascii="仿宋" w:hAnsi="仿宋" w:eastAsia="仿宋"/>
          <w:sz w:val="32"/>
          <w:szCs w:val="32"/>
        </w:rPr>
      </w:pPr>
    </w:p>
    <w:p>
      <w:pPr>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最终</w:t>
      </w:r>
      <w:r>
        <w:rPr>
          <w:rFonts w:hint="eastAsia" w:ascii="仿宋" w:hAnsi="仿宋" w:eastAsia="仿宋"/>
          <w:sz w:val="32"/>
          <w:szCs w:val="32"/>
        </w:rPr>
        <w:t>报价</w:t>
      </w:r>
      <w:r>
        <w:rPr>
          <w:rFonts w:hint="eastAsia" w:ascii="仿宋" w:hAnsi="仿宋" w:eastAsia="仿宋"/>
          <w:sz w:val="32"/>
          <w:szCs w:val="32"/>
          <w:lang w:val="en-US" w:eastAsia="zh-CN"/>
        </w:rPr>
        <w:t>表（现场填写）</w:t>
      </w:r>
    </w:p>
    <w:tbl>
      <w:tblPr>
        <w:tblStyle w:val="21"/>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6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9" w:type="dxa"/>
            <w:vAlign w:val="center"/>
          </w:tcPr>
          <w:p>
            <w:pPr>
              <w:jc w:val="center"/>
              <w:rPr>
                <w:rFonts w:hint="eastAsia" w:ascii="仿宋" w:hAnsi="仿宋" w:eastAsia="仿宋" w:cs="仿宋"/>
                <w:b/>
                <w:bCs/>
                <w:caps/>
                <w:snapToGrid w:val="0"/>
                <w:sz w:val="24"/>
              </w:rPr>
            </w:pPr>
            <w:r>
              <w:rPr>
                <w:rFonts w:hint="eastAsia" w:ascii="仿宋" w:hAnsi="仿宋" w:eastAsia="仿宋" w:cs="仿宋"/>
                <w:snapToGrid w:val="0"/>
                <w:sz w:val="24"/>
              </w:rPr>
              <w:t>采购项目名称</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napToGrid w:val="0"/>
                <w:sz w:val="24"/>
              </w:rPr>
              <w:t>采购项目编号</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739" w:type="dxa"/>
            <w:vAlign w:val="center"/>
          </w:tcPr>
          <w:p>
            <w:pPr>
              <w:jc w:val="center"/>
              <w:rPr>
                <w:rFonts w:hint="eastAsia" w:ascii="仿宋" w:hAnsi="仿宋" w:eastAsia="仿宋" w:cs="仿宋"/>
                <w:b/>
                <w:bCs/>
                <w:snapToGrid w:val="0"/>
                <w:sz w:val="24"/>
              </w:rPr>
            </w:pPr>
            <w:r>
              <w:rPr>
                <w:rFonts w:hint="eastAsia" w:ascii="仿宋" w:hAnsi="仿宋" w:eastAsia="仿宋" w:cs="仿宋"/>
                <w:sz w:val="24"/>
                <w:szCs w:val="24"/>
              </w:rPr>
              <w:t>磋商供应商名称</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z w:val="24"/>
                <w:szCs w:val="24"/>
              </w:rPr>
              <w:t>第</w:t>
            </w:r>
            <w:r>
              <w:rPr>
                <w:rFonts w:hint="eastAsia" w:ascii="仿宋" w:hAnsi="仿宋" w:eastAsia="仿宋" w:cs="仿宋"/>
                <w:sz w:val="24"/>
                <w:szCs w:val="24"/>
                <w:u w:val="single"/>
                <w:lang w:val="en-US"/>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val="en-US"/>
              </w:rPr>
              <w:t xml:space="preserve"> </w:t>
            </w:r>
            <w:r>
              <w:rPr>
                <w:rFonts w:hint="eastAsia" w:ascii="仿宋" w:hAnsi="仿宋" w:eastAsia="仿宋" w:cs="仿宋"/>
                <w:sz w:val="24"/>
                <w:szCs w:val="24"/>
                <w:lang w:val="en-US"/>
              </w:rPr>
              <w:t>次</w:t>
            </w:r>
            <w:r>
              <w:rPr>
                <w:rFonts w:hint="eastAsia" w:ascii="仿宋" w:hAnsi="仿宋" w:eastAsia="仿宋" w:cs="仿宋"/>
                <w:sz w:val="24"/>
                <w:szCs w:val="24"/>
              </w:rPr>
              <w:t>报价</w:t>
            </w:r>
          </w:p>
        </w:tc>
        <w:tc>
          <w:tcPr>
            <w:tcW w:w="6645" w:type="dxa"/>
            <w:vAlign w:val="center"/>
          </w:tcPr>
          <w:p>
            <w:pPr>
              <w:jc w:val="center"/>
              <w:rPr>
                <w:rFonts w:hint="eastAsia" w:ascii="仿宋" w:hAnsi="仿宋" w:eastAsia="仿宋" w:cs="仿宋"/>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2739" w:type="dxa"/>
            <w:vAlign w:val="center"/>
          </w:tcPr>
          <w:p>
            <w:pPr>
              <w:jc w:val="center"/>
              <w:rPr>
                <w:rFonts w:hint="eastAsia" w:ascii="仿宋" w:hAnsi="仿宋" w:eastAsia="仿宋" w:cs="仿宋"/>
                <w:snapToGrid w:val="0"/>
                <w:sz w:val="24"/>
              </w:rPr>
            </w:pPr>
            <w:r>
              <w:rPr>
                <w:rFonts w:hint="eastAsia" w:ascii="仿宋" w:hAnsi="仿宋" w:eastAsia="仿宋" w:cs="仿宋"/>
                <w:sz w:val="24"/>
                <w:szCs w:val="24"/>
              </w:rPr>
              <w:t>其他承诺</w:t>
            </w:r>
          </w:p>
        </w:tc>
        <w:tc>
          <w:tcPr>
            <w:tcW w:w="6645" w:type="dxa"/>
            <w:vAlign w:val="center"/>
          </w:tcPr>
          <w:p>
            <w:pPr>
              <w:spacing w:line="360" w:lineRule="auto"/>
              <w:ind w:right="31" w:rightChars="15" w:firstLine="480" w:firstLineChars="200"/>
              <w:rPr>
                <w:rFonts w:hint="eastAsia" w:ascii="仿宋" w:hAnsi="仿宋" w:eastAsia="仿宋" w:cs="仿宋"/>
                <w:snapToGrid w:val="0"/>
                <w:sz w:val="24"/>
              </w:rPr>
            </w:pPr>
          </w:p>
        </w:tc>
      </w:tr>
    </w:tbl>
    <w:p>
      <w:pPr>
        <w:widowControl/>
        <w:spacing w:line="360" w:lineRule="atLeast"/>
        <w:jc w:val="left"/>
        <w:outlineLvl w:val="1"/>
        <w:rPr>
          <w:rFonts w:ascii="仿宋" w:hAnsi="仿宋" w:eastAsia="仿宋"/>
          <w:sz w:val="24"/>
        </w:rPr>
      </w:pPr>
      <w:r>
        <w:rPr>
          <w:rFonts w:hint="eastAsia" w:ascii="仿宋" w:hAnsi="仿宋" w:eastAsia="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ind w:firstLine="480" w:firstLineChars="200"/>
        <w:jc w:val="left"/>
        <w:outlineLvl w:val="1"/>
        <w:rPr>
          <w:rFonts w:hint="eastAsia" w:ascii="仿宋" w:hAnsi="仿宋" w:eastAsia="仿宋" w:cs="Times New Roman"/>
          <w:sz w:val="24"/>
        </w:rPr>
      </w:pPr>
      <w:r>
        <w:rPr>
          <w:rFonts w:hint="eastAsia" w:ascii="仿宋" w:hAnsi="仿宋" w:eastAsia="仿宋" w:cs="Times New Roman"/>
          <w:sz w:val="24"/>
          <w:lang w:val="en-US" w:eastAsia="zh-CN"/>
        </w:rPr>
        <w:t>2.</w:t>
      </w:r>
      <w:r>
        <w:rPr>
          <w:rFonts w:hint="eastAsia" w:ascii="仿宋" w:hAnsi="仿宋" w:eastAsia="仿宋" w:cs="Times New Roman"/>
          <w:sz w:val="24"/>
        </w:rPr>
        <w:t>此表复印 2-3 份用于多轮报价。</w:t>
      </w:r>
    </w:p>
    <w:p>
      <w:pPr>
        <w:widowControl/>
        <w:spacing w:line="360" w:lineRule="atLeast"/>
        <w:ind w:firstLine="480" w:firstLineChars="200"/>
        <w:jc w:val="left"/>
        <w:outlineLvl w:val="1"/>
        <w:rPr>
          <w:rFonts w:hint="eastAsia" w:ascii="仿宋" w:hAnsi="仿宋" w:eastAsia="仿宋" w:cs="Times New Roman"/>
          <w:sz w:val="24"/>
        </w:rPr>
      </w:pPr>
      <w:r>
        <w:rPr>
          <w:rFonts w:hint="eastAsia" w:ascii="仿宋" w:hAnsi="仿宋" w:eastAsia="仿宋" w:cs="Times New Roman"/>
          <w:sz w:val="24"/>
        </w:rPr>
        <w:t>3.最终报价以书面形式须由法定代表人或其授权人签字或加盖公章后，在规定的时间内密封送交磋商小组，最终报价逾时不交的，视同供应商自动放弃。</w:t>
      </w:r>
    </w:p>
    <w:p>
      <w:pPr>
        <w:widowControl/>
        <w:numPr>
          <w:ilvl w:val="0"/>
          <w:numId w:val="0"/>
        </w:numPr>
        <w:spacing w:line="360" w:lineRule="atLeast"/>
        <w:ind w:leftChars="200"/>
        <w:jc w:val="left"/>
        <w:outlineLvl w:val="1"/>
        <w:rPr>
          <w:rFonts w:ascii="仿宋" w:hAnsi="仿宋" w:eastAsia="仿宋"/>
          <w:sz w:val="24"/>
        </w:rPr>
      </w:pPr>
      <w:r>
        <w:rPr>
          <w:rFonts w:hint="eastAsia" w:ascii="仿宋" w:hAnsi="仿宋" w:eastAsia="仿宋"/>
          <w:sz w:val="24"/>
        </w:rPr>
        <w:t>供应商名称：XXX（盖单位公章）</w:t>
      </w:r>
    </w:p>
    <w:p>
      <w:pPr>
        <w:widowControl/>
        <w:spacing w:line="360" w:lineRule="atLeast"/>
        <w:ind w:firstLine="480" w:firstLineChars="200"/>
        <w:jc w:val="left"/>
        <w:outlineLvl w:val="1"/>
        <w:rPr>
          <w:rFonts w:hint="eastAsia" w:ascii="仿宋" w:hAnsi="仿宋" w:eastAsia="仿宋"/>
          <w:sz w:val="24"/>
        </w:rPr>
      </w:pPr>
      <w:r>
        <w:rPr>
          <w:rFonts w:hint="eastAsia" w:ascii="仿宋" w:hAnsi="仿宋" w:eastAsia="仿宋"/>
          <w:sz w:val="24"/>
        </w:rPr>
        <w:t>法定代表人/单位负责人或授权代表（签字或加盖个人印章）：XXX</w:t>
      </w:r>
    </w:p>
    <w:p>
      <w:pPr>
        <w:widowControl/>
        <w:spacing w:line="360" w:lineRule="atLeast"/>
        <w:ind w:firstLine="480" w:firstLineChars="200"/>
        <w:jc w:val="left"/>
        <w:outlineLvl w:val="1"/>
        <w:rPr>
          <w:rFonts w:hint="eastAsia" w:ascii="仿宋" w:hAnsi="仿宋" w:eastAsia="仿宋"/>
          <w:b w:val="0"/>
          <w:bCs w:val="0"/>
          <w:sz w:val="24"/>
        </w:rPr>
      </w:pPr>
      <w:r>
        <w:rPr>
          <w:rFonts w:hint="eastAsia" w:ascii="仿宋" w:hAnsi="仿宋" w:eastAsia="仿宋" w:cs="Times New Roman"/>
          <w:b w:val="0"/>
          <w:bCs w:val="0"/>
          <w:kern w:val="2"/>
          <w:sz w:val="24"/>
          <w:szCs w:val="24"/>
          <w:lang w:val="en-US" w:eastAsia="zh-CN" w:bidi="ar-SA"/>
        </w:rPr>
        <w:t xml:space="preserve">日      期：XXX年XXX月XXX日 </w:t>
      </w:r>
      <w:r>
        <w:rPr>
          <w:rFonts w:hint="eastAsia" w:ascii="仿宋" w:hAnsi="仿宋" w:eastAsia="仿宋"/>
          <w:b w:val="0"/>
          <w:bCs w:val="0"/>
          <w:sz w:val="24"/>
        </w:rPr>
        <w:br w:type="page"/>
      </w:r>
      <w:bookmarkStart w:id="124" w:name="_Toc511205305"/>
    </w:p>
    <w:p>
      <w:pPr>
        <w:widowControl/>
        <w:spacing w:line="360" w:lineRule="atLeast"/>
        <w:ind w:firstLine="640" w:firstLineChars="200"/>
        <w:jc w:val="center"/>
        <w:outlineLvl w:val="1"/>
        <w:rPr>
          <w:rFonts w:hint="eastAsia" w:ascii="仿宋" w:hAnsi="仿宋" w:eastAsia="仿宋" w:cstheme="majorBidi"/>
          <w:b w:val="0"/>
          <w:bCs/>
          <w:kern w:val="2"/>
          <w:sz w:val="32"/>
          <w:szCs w:val="32"/>
          <w:lang w:val="en-US" w:eastAsia="zh-CN" w:bidi="ar-SA"/>
        </w:rPr>
      </w:pPr>
      <w:r>
        <w:rPr>
          <w:rFonts w:hint="eastAsia" w:ascii="仿宋" w:hAnsi="仿宋" w:eastAsia="仿宋" w:cstheme="majorBidi"/>
          <w:b w:val="0"/>
          <w:bCs/>
          <w:kern w:val="2"/>
          <w:sz w:val="32"/>
          <w:szCs w:val="32"/>
          <w:lang w:val="en-US" w:eastAsia="zh-CN" w:bidi="ar-SA"/>
        </w:rPr>
        <w:t>第八章  评审方法</w:t>
      </w:r>
      <w:bookmarkEnd w:id="124"/>
    </w:p>
    <w:p>
      <w:pPr>
        <w:pStyle w:val="4"/>
        <w:keepNext w:val="0"/>
        <w:keepLines w:val="0"/>
        <w:spacing w:before="0" w:after="0" w:line="400" w:lineRule="exact"/>
        <w:ind w:firstLine="470" w:firstLineChars="196"/>
        <w:rPr>
          <w:rFonts w:ascii="仿宋" w:hAnsi="仿宋" w:eastAsia="仿宋"/>
          <w:b w:val="0"/>
          <w:sz w:val="24"/>
          <w:szCs w:val="24"/>
        </w:rPr>
      </w:pPr>
      <w:bookmarkStart w:id="125" w:name="_Toc209847065"/>
      <w:bookmarkStart w:id="126" w:name="_Toc101250640"/>
      <w:bookmarkStart w:id="127" w:name="_Toc101338358"/>
      <w:bookmarkStart w:id="128" w:name="_Toc101174146"/>
      <w:bookmarkStart w:id="129" w:name="_Toc430773924"/>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1.总则</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（四）推荐成交供应商，或者受采购人委托确定成交供应商；</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（五）起草评审报告并进行签署；</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（七）法律、法规和规章规定的其他职责。</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2.磋商程序</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2.1审查磋商文件和停止评审。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2.1.2 本磋商文件有下列情形之一的，磋商小组应当停止评审：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（1）磋商文件的规定存在歧义、重大缺陷的；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（5）磋商文件将供应商的资格条件列为评分因素的；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（6）磋商文件载明的成交原则不合法的；</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（7）磋商文件有违反国家其他有关强制性规定的情形。</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2.1.3 出现本条2.1.2规定应当停止评审情形的，磋商小组应当向采购组织单位书面说明情况。除本条规定的情形外，磋商小组不得以任何方式和理由停止评审。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2.2资格性审查。</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2.2.1本项目需要磋商小组进行资格性检查。</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2.3 通过资格性审查的供应商不足3家的（本章2.3.1的情况除外），终止本次采购活动，并发布终止采购活动公告。</w:t>
      </w:r>
    </w:p>
    <w:p>
      <w:pPr>
        <w:ind w:firstLine="630"/>
        <w:rPr>
          <w:rFonts w:ascii="仿宋" w:hAnsi="仿宋" w:eastAsia="仿宋"/>
          <w:bCs/>
          <w:sz w:val="24"/>
          <w:lang w:val="zh-CN"/>
        </w:rPr>
      </w:pPr>
      <w:r>
        <w:rPr>
          <w:rFonts w:hint="eastAsia" w:ascii="仿宋" w:hAnsi="仿宋" w:eastAsia="仿宋"/>
          <w:bCs/>
          <w:sz w:val="24"/>
        </w:rPr>
        <w:t>2.3.1</w:t>
      </w:r>
      <w:r>
        <w:rPr>
          <w:rFonts w:ascii="仿宋" w:hAnsi="仿宋" w:eastAsia="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2.4磋商。</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0"/>
        <w:snapToGrid w:val="0"/>
        <w:spacing w:line="300" w:lineRule="auto"/>
        <w:ind w:firstLine="480" w:firstLineChars="200"/>
        <w:rPr>
          <w:rFonts w:ascii="仿宋" w:hAnsi="仿宋" w:eastAsia="仿宋"/>
          <w:sz w:val="24"/>
          <w:szCs w:val="24"/>
          <w:lang w:val="zh-CN"/>
        </w:rPr>
      </w:pPr>
      <w:r>
        <w:rPr>
          <w:rFonts w:hint="eastAsia" w:ascii="仿宋" w:hAnsi="仿宋" w:eastAsia="仿宋"/>
          <w:sz w:val="24"/>
          <w:szCs w:val="24"/>
        </w:rPr>
        <w:t>2.4.6</w:t>
      </w:r>
      <w:r>
        <w:rPr>
          <w:rFonts w:ascii="仿宋" w:hAnsi="仿宋" w:eastAsia="仿宋"/>
          <w:sz w:val="24"/>
          <w:szCs w:val="24"/>
        </w:rPr>
        <w:t>磋商过程中，</w:t>
      </w:r>
      <w:r>
        <w:rPr>
          <w:rFonts w:ascii="仿宋" w:hAnsi="仿宋" w:eastAsia="仿宋"/>
          <w:sz w:val="24"/>
          <w:szCs w:val="24"/>
          <w:lang w:val="zh-CN"/>
        </w:rPr>
        <w:t>磋商小组对响应文件的有效性、完整性和响应程度进行审查，审查中发现供应商响应文件属于下列情况之一的，应按照无效响应文件处理：</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（1）响应文件正副本数量不足的；</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2</w:t>
      </w:r>
      <w:r>
        <w:rPr>
          <w:rFonts w:ascii="仿宋" w:hAnsi="仿宋" w:eastAsia="仿宋"/>
          <w:sz w:val="24"/>
          <w:szCs w:val="24"/>
          <w:lang w:val="zh-CN"/>
        </w:rPr>
        <w:t>）响应文件组成明显不符合采购文件的规定要求，影响评审委员会评判的</w:t>
      </w:r>
      <w:r>
        <w:rPr>
          <w:rFonts w:hint="eastAsia" w:ascii="仿宋" w:hAnsi="仿宋" w:eastAsia="仿宋"/>
          <w:sz w:val="24"/>
          <w:szCs w:val="24"/>
          <w:lang w:val="zh-CN"/>
        </w:rPr>
        <w:t>；</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3</w:t>
      </w:r>
      <w:r>
        <w:rPr>
          <w:rFonts w:ascii="仿宋" w:hAnsi="仿宋" w:eastAsia="仿宋"/>
          <w:sz w:val="24"/>
          <w:szCs w:val="24"/>
          <w:lang w:val="zh-CN"/>
        </w:rPr>
        <w:t>）响应文件的语言、计量单位、知识产权、响应有效期等不符合采购文件的规定，影响磋商小组评判的；</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（4）经最终磋商后，供应商的响应文件仍不能完全响应采购文件的实质性要求的；</w:t>
      </w:r>
    </w:p>
    <w:p>
      <w:pPr>
        <w:pStyle w:val="10"/>
        <w:snapToGrid w:val="0"/>
        <w:spacing w:line="300" w:lineRule="auto"/>
        <w:ind w:firstLine="480" w:firstLineChars="200"/>
        <w:rPr>
          <w:rFonts w:ascii="仿宋" w:hAnsi="仿宋" w:eastAsia="仿宋"/>
          <w:sz w:val="24"/>
        </w:rPr>
      </w:pPr>
      <w:r>
        <w:rPr>
          <w:rFonts w:hint="eastAsia" w:ascii="仿宋" w:hAnsi="仿宋" w:eastAsia="仿宋"/>
          <w:sz w:val="24"/>
        </w:rPr>
        <w:t xml:space="preserve"> </w:t>
      </w:r>
      <w:r>
        <w:rPr>
          <w:rFonts w:hint="eastAsia" w:ascii="仿宋" w:hAnsi="仿宋" w:eastAsia="仿宋"/>
          <w:sz w:val="24"/>
          <w:lang w:val="zh-CN"/>
        </w:rPr>
        <w:t>(</w:t>
      </w:r>
      <w:r>
        <w:rPr>
          <w:rFonts w:ascii="仿宋" w:hAnsi="仿宋" w:eastAsia="仿宋"/>
          <w:sz w:val="24"/>
          <w:lang w:val="zh-CN"/>
        </w:rPr>
        <w:t>5</w:t>
      </w:r>
      <w:r>
        <w:rPr>
          <w:rFonts w:hint="eastAsia" w:ascii="仿宋" w:hAnsi="仿宋" w:eastAsia="仿宋"/>
          <w:sz w:val="24"/>
          <w:lang w:val="zh-CN"/>
        </w:rPr>
        <w:t>)</w:t>
      </w:r>
      <w:r>
        <w:rPr>
          <w:rFonts w:hint="eastAsia" w:ascii="仿宋" w:hAnsi="仿宋" w:eastAsia="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 xml:space="preserve"> (</w:t>
      </w:r>
      <w:r>
        <w:rPr>
          <w:rFonts w:ascii="仿宋" w:hAnsi="仿宋" w:eastAsia="仿宋"/>
          <w:sz w:val="24"/>
        </w:rPr>
        <w:t>6</w:t>
      </w:r>
      <w:r>
        <w:rPr>
          <w:rFonts w:hint="eastAsia" w:ascii="仿宋" w:hAnsi="仿宋" w:eastAsia="仿宋"/>
          <w:sz w:val="24"/>
        </w:rPr>
        <w:t>)属于竞争性磋商文件中无效响应情形的。</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1</w:t>
      </w:r>
      <w:r>
        <w:rPr>
          <w:rFonts w:ascii="仿宋" w:hAnsi="仿宋" w:eastAsia="仿宋"/>
          <w:sz w:val="24"/>
          <w:szCs w:val="24"/>
          <w:lang w:val="zh-CN"/>
        </w:rPr>
        <w:t>）响应文件存在个别地方（总数不能超过2个）没有法定代表人/单位负责人签字，但有法定代表人/单位负责人的私人印章或者有效授权代理人签字的；</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2</w:t>
      </w:r>
      <w:r>
        <w:rPr>
          <w:rFonts w:ascii="仿宋" w:hAnsi="仿宋" w:eastAsia="仿宋"/>
          <w:sz w:val="24"/>
          <w:szCs w:val="24"/>
          <w:lang w:val="zh-CN"/>
        </w:rPr>
        <w:t>）响应文件除采购文件明确要求加盖单位(法人)公章的以外，其他地方以相关专用章加盖的；</w:t>
      </w:r>
    </w:p>
    <w:p>
      <w:pPr>
        <w:pStyle w:val="10"/>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3</w:t>
      </w:r>
      <w:r>
        <w:rPr>
          <w:rFonts w:ascii="仿宋" w:hAnsi="仿宋" w:eastAsia="仿宋"/>
          <w:sz w:val="24"/>
          <w:szCs w:val="24"/>
          <w:lang w:val="zh-CN"/>
        </w:rPr>
        <w:t>）以骑缝章的形式代替响应文件内容逐页盖章的（但是骑缝章模糊不清，印章名称无法辨认的除外）。</w:t>
      </w:r>
    </w:p>
    <w:p>
      <w:pPr>
        <w:pStyle w:val="10"/>
        <w:snapToGrid w:val="0"/>
        <w:spacing w:line="300" w:lineRule="auto"/>
        <w:ind w:firstLine="480" w:firstLineChars="200"/>
        <w:rPr>
          <w:rFonts w:ascii="仿宋" w:hAnsi="仿宋" w:eastAsia="仿宋"/>
          <w:sz w:val="24"/>
          <w:szCs w:val="24"/>
        </w:rPr>
      </w:pPr>
      <w:r>
        <w:rPr>
          <w:rFonts w:ascii="仿宋" w:hAnsi="仿宋" w:eastAsia="仿宋"/>
          <w:sz w:val="24"/>
          <w:szCs w:val="24"/>
        </w:rPr>
        <w:t>磋商小组</w:t>
      </w:r>
      <w:r>
        <w:rPr>
          <w:rFonts w:ascii="仿宋" w:hAnsi="仿宋" w:eastAsia="仿宋"/>
          <w:sz w:val="24"/>
          <w:szCs w:val="24"/>
          <w:lang w:val="zh-CN"/>
        </w:rPr>
        <w:t>对所有响应文件的有效性、完整性和响应程度进行审查</w:t>
      </w:r>
      <w:r>
        <w:rPr>
          <w:rFonts w:ascii="仿宋" w:hAnsi="仿宋" w:eastAsia="仿宋"/>
          <w:sz w:val="24"/>
          <w:szCs w:val="24"/>
        </w:rPr>
        <w:t>后，向采购</w:t>
      </w:r>
      <w:r>
        <w:rPr>
          <w:rFonts w:ascii="仿宋" w:hAnsi="仿宋" w:eastAsia="仿宋"/>
          <w:sz w:val="24"/>
          <w:szCs w:val="24"/>
          <w:lang w:val="zh-CN"/>
        </w:rPr>
        <w:t>代理机构</w:t>
      </w:r>
      <w:r>
        <w:rPr>
          <w:rFonts w:ascii="仿宋" w:hAnsi="仿宋" w:eastAsia="仿宋"/>
          <w:sz w:val="24"/>
          <w:szCs w:val="24"/>
        </w:rPr>
        <w:t>出具</w:t>
      </w:r>
      <w:r>
        <w:rPr>
          <w:rFonts w:ascii="仿宋" w:hAnsi="仿宋" w:eastAsia="仿宋"/>
          <w:sz w:val="24"/>
          <w:szCs w:val="24"/>
          <w:lang w:val="zh-CN"/>
        </w:rPr>
        <w:t>有效性、完整性和响应程度</w:t>
      </w:r>
      <w:r>
        <w:rPr>
          <w:rFonts w:ascii="仿宋" w:hAnsi="仿宋" w:eastAsia="仿宋"/>
          <w:sz w:val="24"/>
          <w:szCs w:val="24"/>
        </w:rPr>
        <w:t>审查报告，确定继续磋商的供应商名单。没有通过</w:t>
      </w:r>
      <w:r>
        <w:rPr>
          <w:rFonts w:ascii="仿宋" w:hAnsi="仿宋" w:eastAsia="仿宋"/>
          <w:sz w:val="24"/>
          <w:szCs w:val="24"/>
          <w:lang w:val="zh-CN"/>
        </w:rPr>
        <w:t>有效性、完整性和响应程度</w:t>
      </w:r>
      <w:r>
        <w:rPr>
          <w:rFonts w:ascii="仿宋" w:hAnsi="仿宋" w:eastAsia="仿宋"/>
          <w:sz w:val="24"/>
          <w:szCs w:val="24"/>
        </w:rPr>
        <w:t>审查的供应商，磋商小组应在</w:t>
      </w:r>
      <w:r>
        <w:rPr>
          <w:rFonts w:ascii="仿宋" w:hAnsi="仿宋" w:eastAsia="仿宋"/>
          <w:sz w:val="24"/>
          <w:szCs w:val="24"/>
          <w:lang w:val="zh-CN"/>
        </w:rPr>
        <w:t>有效性、完整性和响应程度</w:t>
      </w:r>
      <w:r>
        <w:rPr>
          <w:rFonts w:ascii="仿宋" w:hAnsi="仿宋" w:eastAsia="仿宋"/>
          <w:sz w:val="24"/>
          <w:szCs w:val="24"/>
        </w:rPr>
        <w:t>审查报告中说明原因。</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sz w:val="24"/>
        </w:rPr>
      </w:pPr>
      <w:r>
        <w:rPr>
          <w:rFonts w:hint="eastAsia" w:ascii="仿宋" w:hAnsi="仿宋" w:eastAsia="仿宋"/>
          <w:sz w:val="24"/>
        </w:rPr>
        <w:t>2.5报价。</w:t>
      </w:r>
    </w:p>
    <w:p>
      <w:pPr>
        <w:spacing w:line="400" w:lineRule="exact"/>
        <w:ind w:firstLine="480" w:firstLineChars="200"/>
        <w:rPr>
          <w:rFonts w:ascii="仿宋" w:hAnsi="仿宋" w:eastAsia="仿宋" w:cstheme="minorBidi"/>
          <w:sz w:val="24"/>
          <w:lang w:val="zh-CN"/>
        </w:rPr>
      </w:pPr>
      <w:r>
        <w:rPr>
          <w:rFonts w:hint="eastAsia" w:ascii="仿宋" w:hAnsi="仿宋" w:eastAsia="仿宋"/>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sz w:val="24"/>
          <w:lang w:val="zh-CN"/>
        </w:rPr>
        <w:t>报价超过竞争性磋商文件规定的政府采购预算（或最高限价）或者相关报价不符合采购文件其他的报价规定的，</w:t>
      </w:r>
      <w:r>
        <w:rPr>
          <w:rFonts w:hint="eastAsia" w:ascii="仿宋" w:hAnsi="仿宋" w:eastAsia="仿宋" w:cstheme="minorBidi"/>
          <w:sz w:val="24"/>
          <w:lang w:val="zh-CN"/>
        </w:rPr>
        <w:t>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磋商文件能够详细列明采购标的的技术、服务要求的，磋商结束后，磋商小组应当要求所有实质性响应的供应商在规定时间内提交最后报价，提交最后报价的供应商不得少于3家（本章2.3.1和2.5.</w:t>
      </w:r>
      <w:r>
        <w:rPr>
          <w:rFonts w:ascii="仿宋" w:hAnsi="仿宋" w:eastAsia="仿宋"/>
          <w:sz w:val="24"/>
        </w:rPr>
        <w:t>3</w:t>
      </w:r>
      <w:r>
        <w:rPr>
          <w:rFonts w:hint="eastAsia" w:ascii="仿宋" w:hAnsi="仿宋" w:eastAsia="仿宋"/>
          <w:sz w:val="24"/>
        </w:rPr>
        <w:t>的情况除外）。或磋商文件不能详细列明采购标的的技术、服务要求，需经磋商由供应商提供最终设计方案或解决方案的，磋商结束后，磋商小组应当按照少数服从多数的原则投票推荐3家以上（本章2.3.1和2.5.</w:t>
      </w:r>
      <w:r>
        <w:rPr>
          <w:rFonts w:ascii="仿宋" w:hAnsi="仿宋" w:eastAsia="仿宋"/>
          <w:sz w:val="24"/>
        </w:rPr>
        <w:t>3</w:t>
      </w:r>
      <w:r>
        <w:rPr>
          <w:rFonts w:hint="eastAsia" w:ascii="仿宋" w:hAnsi="仿宋" w:eastAsia="仿宋"/>
          <w:sz w:val="24"/>
        </w:rPr>
        <w:t>的情况除外）供应商的设计方案或者解决方案，并要求其在规定时间内提交最后报价。</w:t>
      </w:r>
    </w:p>
    <w:p>
      <w:pPr>
        <w:spacing w:line="400" w:lineRule="exact"/>
        <w:ind w:firstLine="480" w:firstLineChars="200"/>
        <w:rPr>
          <w:rFonts w:ascii="仿宋" w:hAnsi="仿宋" w:eastAsia="仿宋"/>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30" w:name="_Toc30986"/>
      <w:r>
        <w:rPr>
          <w:rFonts w:hint="eastAsia" w:ascii="仿宋" w:hAnsi="仿宋" w:eastAsia="仿宋"/>
          <w:sz w:val="24"/>
        </w:rPr>
        <w:t>《</w:t>
      </w:r>
      <w:r>
        <w:rPr>
          <w:rFonts w:ascii="仿宋" w:hAnsi="仿宋" w:eastAsia="仿宋"/>
          <w:bCs/>
          <w:sz w:val="24"/>
        </w:rPr>
        <w:t>政府采购竞争性磋商采购方式管理暂行办法</w:t>
      </w:r>
      <w:r>
        <w:rPr>
          <w:rFonts w:hint="eastAsia" w:ascii="仿宋" w:hAnsi="仿宋" w:eastAsia="仿宋"/>
          <w:bCs/>
          <w:sz w:val="24"/>
        </w:rPr>
        <w:t>财库》〔2014〕214号</w:t>
      </w:r>
      <w:bookmarkEnd w:id="130"/>
      <w:r>
        <w:rPr>
          <w:rFonts w:hint="eastAsia" w:ascii="仿宋" w:hAnsi="仿宋" w:eastAsia="仿宋"/>
          <w:bCs/>
          <w:sz w:val="24"/>
        </w:rPr>
        <w:t>第三条第四项情形的，提交最后报价的供应商可以为2家。</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sz w:val="24"/>
          <w:lang w:val="zh-CN"/>
        </w:rPr>
        <w:t>磋商小组认为供应商最后报价明显低于成本价，在磋商小组发出质询函后供应商未能提供合理的成本分析和价格构成的或对质函询的解释未被磋商小组采信的，</w:t>
      </w:r>
      <w:r>
        <w:rPr>
          <w:rFonts w:hint="eastAsia" w:ascii="仿宋" w:hAnsi="仿宋" w:eastAsia="仿宋" w:cstheme="minorBidi"/>
          <w:sz w:val="24"/>
          <w:lang w:val="zh-CN"/>
        </w:rPr>
        <w:t>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（3）除本章2.3.1和2.5.</w:t>
      </w:r>
      <w:r>
        <w:rPr>
          <w:rFonts w:ascii="仿宋" w:hAnsi="仿宋" w:eastAsia="仿宋"/>
          <w:sz w:val="24"/>
        </w:rPr>
        <w:t>3</w:t>
      </w:r>
      <w:r>
        <w:rPr>
          <w:rFonts w:hint="eastAsia" w:ascii="仿宋" w:hAnsi="仿宋" w:eastAsia="仿宋"/>
          <w:sz w:val="24"/>
        </w:rPr>
        <w:t>的情况外，在采购过程中符合要求的供应商或者报价未超过采购预算的供应商不足3家的。</w:t>
      </w:r>
    </w:p>
    <w:p>
      <w:pPr>
        <w:spacing w:line="400" w:lineRule="exact"/>
        <w:ind w:firstLine="480" w:firstLineChars="200"/>
        <w:rPr>
          <w:rFonts w:ascii="仿宋" w:hAnsi="仿宋" w:eastAsia="仿宋"/>
          <w:sz w:val="24"/>
        </w:rPr>
      </w:pPr>
      <w:r>
        <w:rPr>
          <w:rFonts w:hint="eastAsia" w:ascii="仿宋" w:hAnsi="仿宋" w:eastAsia="仿宋"/>
          <w:sz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3.3.3综合评分明细表</w:t>
      </w:r>
    </w:p>
    <w:p>
      <w:pPr>
        <w:ind w:firstLine="630"/>
        <w:rPr>
          <w:rFonts w:ascii="仿宋" w:hAnsi="仿宋" w:eastAsia="仿宋"/>
        </w:rPr>
      </w:pPr>
    </w:p>
    <w:p>
      <w:pPr>
        <w:ind w:firstLine="630"/>
        <w:rPr>
          <w:rFonts w:ascii="仿宋" w:hAnsi="仿宋" w:eastAsia="仿宋"/>
        </w:rPr>
      </w:pPr>
    </w:p>
    <w:tbl>
      <w:tblPr>
        <w:tblStyle w:val="21"/>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993"/>
        <w:gridCol w:w="3969"/>
        <w:gridCol w:w="850"/>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993"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396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850"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013"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rPr>
                <w:rFonts w:ascii="仿宋" w:hAnsi="仿宋" w:eastAsia="仿宋"/>
                <w:szCs w:val="21"/>
              </w:rPr>
            </w:pPr>
            <w:r>
              <w:rPr>
                <w:rFonts w:hint="eastAsia" w:ascii="仿宋" w:hAnsi="仿宋" w:eastAsia="仿宋"/>
                <w:szCs w:val="21"/>
              </w:rPr>
              <w:t>报价</w:t>
            </w:r>
            <w:r>
              <w:rPr>
                <w:rFonts w:ascii="仿宋" w:hAnsi="仿宋" w:eastAsia="仿宋"/>
                <w:szCs w:val="21"/>
              </w:rPr>
              <w:t>30</w:t>
            </w:r>
            <w:r>
              <w:rPr>
                <w:rFonts w:hint="eastAsia" w:ascii="仿宋" w:hAnsi="仿宋" w:eastAsia="仿宋"/>
                <w:szCs w:val="21"/>
              </w:rPr>
              <w:t>%</w:t>
            </w:r>
          </w:p>
          <w:p>
            <w:pPr>
              <w:rPr>
                <w:rFonts w:ascii="仿宋" w:hAnsi="仿宋" w:eastAsia="仿宋"/>
                <w:szCs w:val="21"/>
              </w:rPr>
            </w:pPr>
            <w:r>
              <w:rPr>
                <w:rFonts w:hint="eastAsia" w:ascii="仿宋" w:hAnsi="仿宋" w:eastAsia="仿宋"/>
                <w:szCs w:val="21"/>
              </w:rPr>
              <w:t>（主要评分因素）</w:t>
            </w:r>
          </w:p>
        </w:tc>
        <w:tc>
          <w:tcPr>
            <w:tcW w:w="993" w:type="dxa"/>
            <w:vAlign w:val="center"/>
          </w:tcPr>
          <w:p>
            <w:pPr>
              <w:rPr>
                <w:rFonts w:ascii="仿宋" w:hAnsi="仿宋" w:eastAsia="仿宋"/>
                <w:szCs w:val="21"/>
              </w:rPr>
            </w:pPr>
            <w:r>
              <w:rPr>
                <w:rFonts w:hint="eastAsia" w:ascii="仿宋" w:hAnsi="仿宋" w:eastAsia="仿宋"/>
                <w:szCs w:val="21"/>
              </w:rPr>
              <w:t>30分</w:t>
            </w:r>
          </w:p>
        </w:tc>
        <w:tc>
          <w:tcPr>
            <w:tcW w:w="3969" w:type="dxa"/>
            <w:vAlign w:val="center"/>
          </w:tcPr>
          <w:p>
            <w:pPr>
              <w:jc w:val="left"/>
              <w:rPr>
                <w:rFonts w:hint="eastAsia" w:ascii="仿宋" w:hAnsi="仿宋" w:eastAsia="仿宋" w:cs="Times New Roman"/>
                <w:kern w:val="0"/>
                <w:sz w:val="22"/>
                <w:szCs w:val="20"/>
              </w:rPr>
            </w:pPr>
            <w:r>
              <w:rPr>
                <w:rFonts w:hint="eastAsia" w:ascii="仿宋" w:hAnsi="仿宋" w:eastAsia="仿宋" w:cs="Times New Roman"/>
                <w:kern w:val="0"/>
                <w:sz w:val="22"/>
                <w:szCs w:val="20"/>
              </w:rPr>
              <w:t>满足磋商文件要求且响应价格最低的响应报价为磋商基准价，其价格分为满分。其他供应商的价格分统一按照下列公式计算：磋商报价得分=(磋商基准价／最后磋商报价)*30%*100</w:t>
            </w:r>
          </w:p>
        </w:tc>
        <w:tc>
          <w:tcPr>
            <w:tcW w:w="850" w:type="dxa"/>
            <w:vAlign w:val="center"/>
          </w:tcPr>
          <w:p>
            <w:pPr>
              <w:jc w:val="center"/>
              <w:rPr>
                <w:rFonts w:ascii="仿宋" w:hAnsi="仿宋" w:eastAsia="仿宋"/>
                <w:szCs w:val="21"/>
              </w:rPr>
            </w:pPr>
            <w:r>
              <w:rPr>
                <w:rFonts w:hint="eastAsia" w:ascii="仿宋" w:hAnsi="仿宋" w:eastAsia="仿宋"/>
                <w:szCs w:val="21"/>
              </w:rPr>
              <w:t>/</w:t>
            </w:r>
          </w:p>
        </w:tc>
        <w:tc>
          <w:tcPr>
            <w:tcW w:w="1013"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rPr>
                <w:rFonts w:ascii="仿宋" w:hAnsi="仿宋" w:eastAsia="仿宋"/>
                <w:szCs w:val="21"/>
              </w:rPr>
            </w:pPr>
            <w:r>
              <w:rPr>
                <w:rFonts w:hint="eastAsia" w:ascii="仿宋" w:hAnsi="仿宋" w:eastAsia="仿宋"/>
                <w:szCs w:val="21"/>
              </w:rPr>
              <w:t>技术参数及服务要求</w:t>
            </w:r>
            <w:r>
              <w:rPr>
                <w:rFonts w:hint="eastAsia" w:ascii="仿宋" w:hAnsi="仿宋" w:eastAsia="仿宋"/>
                <w:szCs w:val="21"/>
                <w:lang w:val="en-US" w:eastAsia="zh-CN"/>
              </w:rPr>
              <w:t>30</w:t>
            </w:r>
            <w:r>
              <w:rPr>
                <w:rFonts w:hint="eastAsia" w:ascii="仿宋" w:hAnsi="仿宋" w:eastAsia="仿宋"/>
                <w:szCs w:val="21"/>
              </w:rPr>
              <w:t>%（主要评分因素）</w:t>
            </w:r>
          </w:p>
        </w:tc>
        <w:tc>
          <w:tcPr>
            <w:tcW w:w="993" w:type="dxa"/>
            <w:vAlign w:val="center"/>
          </w:tcPr>
          <w:p>
            <w:pPr>
              <w:rPr>
                <w:rFonts w:ascii="仿宋" w:hAnsi="仿宋" w:eastAsia="仿宋"/>
                <w:szCs w:val="21"/>
              </w:rPr>
            </w:pPr>
            <w:r>
              <w:rPr>
                <w:rFonts w:hint="eastAsia" w:ascii="仿宋" w:hAnsi="仿宋" w:eastAsia="仿宋"/>
                <w:szCs w:val="21"/>
                <w:lang w:val="en-US" w:eastAsia="zh-CN"/>
              </w:rPr>
              <w:t>30</w:t>
            </w:r>
            <w:r>
              <w:rPr>
                <w:rFonts w:hint="eastAsia" w:ascii="仿宋" w:hAnsi="仿宋" w:eastAsia="仿宋"/>
                <w:szCs w:val="21"/>
              </w:rPr>
              <w:t>分</w:t>
            </w:r>
          </w:p>
        </w:tc>
        <w:tc>
          <w:tcPr>
            <w:tcW w:w="3969" w:type="dxa"/>
            <w:vAlign w:val="center"/>
          </w:tcPr>
          <w:p>
            <w:pPr>
              <w:jc w:val="left"/>
              <w:rPr>
                <w:rFonts w:hint="eastAsia" w:ascii="仿宋" w:hAnsi="仿宋" w:eastAsia="仿宋" w:cs="Times New Roman"/>
                <w:kern w:val="0"/>
                <w:sz w:val="22"/>
                <w:szCs w:val="20"/>
                <w:lang w:val="en-US"/>
              </w:rPr>
            </w:pPr>
            <w:r>
              <w:rPr>
                <w:rFonts w:hint="eastAsia" w:ascii="仿宋" w:hAnsi="仿宋" w:eastAsia="仿宋" w:cs="Times New Roman"/>
                <w:kern w:val="0"/>
                <w:sz w:val="22"/>
                <w:szCs w:val="20"/>
                <w:lang w:val="en-US"/>
              </w:rPr>
              <w:t>技术参数（按</w:t>
            </w:r>
            <w:r>
              <w:rPr>
                <w:rFonts w:hint="eastAsia" w:ascii="仿宋" w:hAnsi="仿宋" w:eastAsia="仿宋" w:cs="Times New Roman"/>
                <w:kern w:val="0"/>
                <w:sz w:val="22"/>
                <w:szCs w:val="20"/>
              </w:rPr>
              <w:t>磋商文件</w:t>
            </w:r>
            <w:r>
              <w:rPr>
                <w:rFonts w:hint="eastAsia" w:ascii="仿宋" w:hAnsi="仿宋" w:eastAsia="仿宋" w:cs="Times New Roman"/>
                <w:kern w:val="0"/>
                <w:sz w:val="22"/>
                <w:szCs w:val="20"/>
                <w:lang w:val="en-US"/>
              </w:rPr>
              <w:t>所需设备主要技术规格要求内容评审），满分为30分：</w:t>
            </w:r>
            <w:r>
              <w:rPr>
                <w:rFonts w:hint="eastAsia" w:ascii="仿宋" w:hAnsi="仿宋" w:eastAsia="仿宋" w:cs="Times New Roman"/>
                <w:kern w:val="0"/>
                <w:sz w:val="22"/>
                <w:szCs w:val="20"/>
                <w:lang w:val="en-US"/>
              </w:rPr>
              <w:br w:type="textWrapping"/>
            </w:r>
            <w:r>
              <w:rPr>
                <w:rFonts w:hint="eastAsia" w:ascii="仿宋" w:hAnsi="仿宋" w:eastAsia="仿宋" w:cs="Times New Roman"/>
                <w:kern w:val="0"/>
                <w:sz w:val="22"/>
                <w:szCs w:val="20"/>
                <w:lang w:val="en-US" w:eastAsia="zh-CN"/>
              </w:rPr>
              <w:t xml:space="preserve">    </w:t>
            </w:r>
            <w:r>
              <w:rPr>
                <w:rFonts w:hint="eastAsia" w:ascii="仿宋" w:hAnsi="仿宋" w:eastAsia="仿宋" w:cs="Times New Roman"/>
                <w:kern w:val="0"/>
                <w:sz w:val="22"/>
                <w:szCs w:val="20"/>
                <w:lang w:val="en-US"/>
              </w:rPr>
              <w:t>1、技术要求</w:t>
            </w:r>
            <w:r>
              <w:rPr>
                <w:rFonts w:hint="eastAsia" w:ascii="仿宋" w:hAnsi="仿宋" w:eastAsia="仿宋" w:cs="Times New Roman"/>
                <w:kern w:val="0"/>
                <w:sz w:val="22"/>
                <w:szCs w:val="20"/>
              </w:rPr>
              <w:t>▲</w:t>
            </w:r>
            <w:r>
              <w:rPr>
                <w:rFonts w:hint="eastAsia" w:ascii="仿宋" w:hAnsi="仿宋" w:eastAsia="仿宋" w:cs="Times New Roman"/>
                <w:kern w:val="0"/>
                <w:sz w:val="22"/>
                <w:szCs w:val="20"/>
                <w:lang w:val="en-US"/>
              </w:rPr>
              <w:t>号指标项，每有1项不满足或负偏离扣3分，以此类推，扣完为止。</w:t>
            </w:r>
            <w:r>
              <w:rPr>
                <w:rFonts w:hint="eastAsia" w:ascii="仿宋" w:hAnsi="仿宋" w:eastAsia="仿宋" w:cs="Times New Roman"/>
                <w:kern w:val="0"/>
                <w:sz w:val="22"/>
                <w:szCs w:val="20"/>
                <w:lang w:val="en-US"/>
              </w:rPr>
              <w:br w:type="textWrapping"/>
            </w:r>
            <w:r>
              <w:rPr>
                <w:rFonts w:hint="eastAsia" w:ascii="仿宋" w:hAnsi="仿宋" w:eastAsia="仿宋" w:cs="Times New Roman"/>
                <w:kern w:val="0"/>
                <w:sz w:val="22"/>
                <w:szCs w:val="20"/>
                <w:lang w:val="en-US" w:eastAsia="zh-CN"/>
              </w:rPr>
              <w:t xml:space="preserve">    </w:t>
            </w:r>
            <w:r>
              <w:rPr>
                <w:rFonts w:hint="eastAsia" w:ascii="仿宋" w:hAnsi="仿宋" w:eastAsia="仿宋" w:cs="Times New Roman"/>
                <w:kern w:val="0"/>
                <w:sz w:val="22"/>
                <w:szCs w:val="20"/>
                <w:lang w:val="en-US"/>
              </w:rPr>
              <w:t>2、技术要求中非</w:t>
            </w:r>
            <w:r>
              <w:rPr>
                <w:rFonts w:hint="eastAsia" w:ascii="仿宋" w:hAnsi="仿宋" w:eastAsia="仿宋" w:cs="Times New Roman"/>
                <w:kern w:val="0"/>
                <w:sz w:val="22"/>
                <w:szCs w:val="20"/>
              </w:rPr>
              <w:t>▲</w:t>
            </w:r>
            <w:r>
              <w:rPr>
                <w:rFonts w:hint="eastAsia" w:ascii="仿宋" w:hAnsi="仿宋" w:eastAsia="仿宋" w:cs="Times New Roman"/>
                <w:kern w:val="0"/>
                <w:sz w:val="22"/>
                <w:szCs w:val="20"/>
                <w:lang w:val="en-US"/>
              </w:rPr>
              <w:t>号指标项，每有1项不满足或负偏离扣1分，以此类推，扣完为止。</w:t>
            </w:r>
          </w:p>
          <w:p>
            <w:pPr>
              <w:jc w:val="left"/>
              <w:rPr>
                <w:rFonts w:hint="eastAsia" w:ascii="仿宋" w:hAnsi="仿宋" w:eastAsia="仿宋" w:cs="Times New Roman"/>
                <w:kern w:val="0"/>
                <w:sz w:val="22"/>
                <w:szCs w:val="20"/>
              </w:rPr>
            </w:pPr>
            <w:r>
              <w:rPr>
                <w:rFonts w:hint="eastAsia" w:ascii="仿宋" w:hAnsi="仿宋" w:eastAsia="仿宋" w:cs="Times New Roman"/>
                <w:b/>
                <w:bCs/>
                <w:kern w:val="0"/>
                <w:sz w:val="22"/>
                <w:szCs w:val="20"/>
              </w:rPr>
              <w:t>（该项评分不做废标依据，只做打分核定。）</w:t>
            </w:r>
          </w:p>
        </w:tc>
        <w:tc>
          <w:tcPr>
            <w:tcW w:w="850" w:type="dxa"/>
            <w:vAlign w:val="center"/>
          </w:tcPr>
          <w:p>
            <w:pPr>
              <w:jc w:val="center"/>
              <w:rPr>
                <w:rFonts w:ascii="仿宋" w:hAnsi="仿宋" w:eastAsia="仿宋"/>
                <w:szCs w:val="21"/>
              </w:rPr>
            </w:pPr>
            <w:r>
              <w:rPr>
                <w:rFonts w:hint="eastAsia" w:ascii="仿宋" w:hAnsi="仿宋" w:eastAsia="仿宋"/>
                <w:szCs w:val="21"/>
              </w:rPr>
              <w:t>/</w:t>
            </w:r>
          </w:p>
        </w:tc>
        <w:tc>
          <w:tcPr>
            <w:tcW w:w="1013"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hint="eastAsia" w:ascii="仿宋" w:hAnsi="仿宋" w:eastAsia="仿宋"/>
                <w:szCs w:val="21"/>
                <w:lang w:eastAsia="zh-CN"/>
              </w:rPr>
            </w:pPr>
            <w:r>
              <w:rPr>
                <w:rFonts w:hint="eastAsia" w:ascii="仿宋" w:hAnsi="仿宋" w:eastAsia="仿宋"/>
                <w:szCs w:val="21"/>
                <w:lang w:val="en-US" w:eastAsia="zh-CN"/>
              </w:rPr>
              <w:t>3</w:t>
            </w:r>
          </w:p>
        </w:tc>
        <w:tc>
          <w:tcPr>
            <w:tcW w:w="1119" w:type="dxa"/>
            <w:vAlign w:val="center"/>
          </w:tcPr>
          <w:p>
            <w:pPr>
              <w:rPr>
                <w:rFonts w:ascii="仿宋" w:hAnsi="仿宋" w:eastAsia="仿宋"/>
                <w:szCs w:val="21"/>
              </w:rPr>
            </w:pPr>
            <w:r>
              <w:rPr>
                <w:rFonts w:ascii="仿宋" w:hAnsi="仿宋" w:eastAsia="仿宋"/>
                <w:szCs w:val="21"/>
              </w:rPr>
              <w:t>实施方案</w:t>
            </w:r>
            <w:r>
              <w:rPr>
                <w:rFonts w:hint="eastAsia" w:ascii="仿宋" w:hAnsi="仿宋" w:eastAsia="仿宋"/>
                <w:szCs w:val="21"/>
                <w:lang w:val="en-US" w:eastAsia="zh-CN"/>
              </w:rPr>
              <w:t>12</w:t>
            </w:r>
            <w:r>
              <w:rPr>
                <w:rFonts w:hint="eastAsia" w:ascii="仿宋" w:hAnsi="仿宋" w:eastAsia="仿宋"/>
                <w:szCs w:val="21"/>
              </w:rPr>
              <w:t>%</w:t>
            </w:r>
          </w:p>
        </w:tc>
        <w:tc>
          <w:tcPr>
            <w:tcW w:w="993" w:type="dxa"/>
            <w:vAlign w:val="center"/>
          </w:tcPr>
          <w:p>
            <w:pPr>
              <w:rPr>
                <w:rFonts w:ascii="仿宋" w:hAnsi="仿宋" w:eastAsia="仿宋"/>
                <w:szCs w:val="21"/>
              </w:rPr>
            </w:pPr>
            <w:r>
              <w:rPr>
                <w:rFonts w:hint="eastAsia" w:ascii="仿宋" w:hAnsi="仿宋" w:eastAsia="仿宋"/>
                <w:szCs w:val="21"/>
                <w:lang w:val="en-US" w:eastAsia="zh-CN"/>
              </w:rPr>
              <w:t>12</w:t>
            </w:r>
            <w:r>
              <w:rPr>
                <w:rFonts w:ascii="仿宋" w:hAnsi="仿宋" w:eastAsia="仿宋"/>
                <w:szCs w:val="21"/>
              </w:rPr>
              <w:t>分</w:t>
            </w:r>
          </w:p>
        </w:tc>
        <w:tc>
          <w:tcPr>
            <w:tcW w:w="3969" w:type="dxa"/>
            <w:vAlign w:val="center"/>
          </w:tcPr>
          <w:p>
            <w:pPr>
              <w:jc w:val="left"/>
              <w:rPr>
                <w:rFonts w:hint="eastAsia" w:ascii="仿宋" w:hAnsi="仿宋" w:eastAsia="仿宋" w:cs="Times New Roman"/>
                <w:kern w:val="0"/>
                <w:sz w:val="22"/>
                <w:szCs w:val="20"/>
              </w:rPr>
            </w:pPr>
            <w:r>
              <w:rPr>
                <w:rFonts w:hint="eastAsia" w:ascii="仿宋" w:hAnsi="仿宋" w:eastAsia="仿宋" w:cs="Times New Roman"/>
                <w:kern w:val="0"/>
                <w:sz w:val="22"/>
                <w:szCs w:val="20"/>
              </w:rPr>
              <w:t>供应商须提供完善的服务方案，方案内容</w:t>
            </w:r>
            <w:r>
              <w:rPr>
                <w:rFonts w:hint="eastAsia" w:ascii="仿宋" w:hAnsi="仿宋" w:eastAsia="仿宋" w:cs="Times New Roman"/>
                <w:kern w:val="0"/>
                <w:sz w:val="22"/>
                <w:szCs w:val="20"/>
                <w:lang w:val="en-US" w:eastAsia="zh-CN"/>
              </w:rPr>
              <w:t>至少</w:t>
            </w:r>
            <w:r>
              <w:rPr>
                <w:rFonts w:hint="eastAsia" w:ascii="仿宋" w:hAnsi="仿宋" w:eastAsia="仿宋" w:cs="Times New Roman"/>
                <w:kern w:val="0"/>
                <w:sz w:val="22"/>
                <w:szCs w:val="20"/>
              </w:rPr>
              <w:t>包含①质量保证措施、②供货进度安排、③人员安排、④安装调整方案</w:t>
            </w:r>
            <w:r>
              <w:rPr>
                <w:rFonts w:hint="eastAsia" w:ascii="仿宋" w:hAnsi="仿宋" w:eastAsia="仿宋" w:cs="Times New Roman"/>
                <w:kern w:val="0"/>
                <w:sz w:val="22"/>
                <w:szCs w:val="20"/>
                <w:lang w:val="en-US" w:eastAsia="zh-CN"/>
              </w:rPr>
              <w:t>等</w:t>
            </w:r>
            <w:r>
              <w:rPr>
                <w:rFonts w:hint="eastAsia" w:ascii="仿宋" w:hAnsi="仿宋" w:eastAsia="仿宋" w:cs="Times New Roman"/>
                <w:kern w:val="0"/>
                <w:sz w:val="22"/>
                <w:szCs w:val="20"/>
              </w:rPr>
              <w:t>，方案完整、科学、合理的得</w:t>
            </w:r>
            <w:r>
              <w:rPr>
                <w:rFonts w:hint="eastAsia" w:ascii="仿宋" w:hAnsi="仿宋" w:eastAsia="仿宋" w:cs="Times New Roman"/>
                <w:kern w:val="0"/>
                <w:sz w:val="22"/>
                <w:szCs w:val="20"/>
                <w:lang w:val="en-US" w:eastAsia="zh-CN"/>
              </w:rPr>
              <w:t>12</w:t>
            </w:r>
            <w:r>
              <w:rPr>
                <w:rFonts w:hint="eastAsia" w:ascii="仿宋" w:hAnsi="仿宋" w:eastAsia="仿宋" w:cs="Times New Roman"/>
                <w:kern w:val="0"/>
                <w:sz w:val="22"/>
                <w:szCs w:val="20"/>
              </w:rPr>
              <w:t xml:space="preserve">分，每有一项缺项或不完整的扣 </w:t>
            </w:r>
            <w:r>
              <w:rPr>
                <w:rFonts w:hint="eastAsia" w:ascii="仿宋" w:hAnsi="仿宋" w:eastAsia="仿宋" w:cs="Times New Roman"/>
                <w:kern w:val="0"/>
                <w:sz w:val="22"/>
                <w:szCs w:val="20"/>
                <w:lang w:val="en-US" w:eastAsia="zh-CN"/>
              </w:rPr>
              <w:t>3</w:t>
            </w:r>
            <w:r>
              <w:rPr>
                <w:rFonts w:hint="eastAsia" w:ascii="仿宋" w:hAnsi="仿宋" w:eastAsia="仿宋" w:cs="Times New Roman"/>
                <w:kern w:val="0"/>
                <w:sz w:val="22"/>
                <w:szCs w:val="20"/>
              </w:rPr>
              <w:t xml:space="preserve"> 分，扣完为止。</w:t>
            </w:r>
          </w:p>
        </w:tc>
        <w:tc>
          <w:tcPr>
            <w:tcW w:w="850" w:type="dxa"/>
            <w:vAlign w:val="center"/>
          </w:tcPr>
          <w:p>
            <w:pPr>
              <w:jc w:val="center"/>
              <w:rPr>
                <w:rFonts w:ascii="仿宋" w:hAnsi="仿宋" w:eastAsia="仿宋"/>
                <w:szCs w:val="21"/>
              </w:rPr>
            </w:pPr>
            <w:r>
              <w:rPr>
                <w:rFonts w:hint="eastAsia" w:ascii="仿宋" w:hAnsi="仿宋" w:eastAsia="仿宋"/>
                <w:szCs w:val="21"/>
              </w:rPr>
              <w:t>/</w:t>
            </w:r>
          </w:p>
        </w:tc>
        <w:tc>
          <w:tcPr>
            <w:tcW w:w="1013"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hint="eastAsia" w:ascii="仿宋" w:hAnsi="仿宋" w:eastAsia="仿宋"/>
                <w:szCs w:val="21"/>
                <w:lang w:val="en-US" w:eastAsia="zh-CN"/>
              </w:rPr>
            </w:pPr>
            <w:r>
              <w:rPr>
                <w:rFonts w:hint="eastAsia" w:ascii="仿宋" w:hAnsi="仿宋" w:eastAsia="仿宋"/>
                <w:szCs w:val="21"/>
                <w:lang w:val="en-US" w:eastAsia="zh-CN"/>
              </w:rPr>
              <w:t>4</w:t>
            </w:r>
          </w:p>
        </w:tc>
        <w:tc>
          <w:tcPr>
            <w:tcW w:w="1119" w:type="dxa"/>
            <w:vAlign w:val="center"/>
          </w:tcPr>
          <w:p>
            <w:pPr>
              <w:rPr>
                <w:rFonts w:hint="default" w:ascii="仿宋" w:hAnsi="仿宋" w:eastAsia="仿宋"/>
                <w:szCs w:val="21"/>
                <w:lang w:val="en-US" w:eastAsia="zh-CN"/>
              </w:rPr>
            </w:pPr>
            <w:r>
              <w:rPr>
                <w:rFonts w:hint="eastAsia" w:ascii="仿宋" w:hAnsi="仿宋" w:eastAsia="仿宋"/>
                <w:szCs w:val="21"/>
                <w:lang w:val="en-US" w:eastAsia="zh-CN"/>
              </w:rPr>
              <w:t>售后服务方案15%</w:t>
            </w:r>
          </w:p>
        </w:tc>
        <w:tc>
          <w:tcPr>
            <w:tcW w:w="993" w:type="dxa"/>
            <w:vAlign w:val="center"/>
          </w:tcPr>
          <w:p>
            <w:pPr>
              <w:rPr>
                <w:rFonts w:hint="default" w:ascii="仿宋" w:hAnsi="仿宋" w:eastAsia="仿宋"/>
                <w:szCs w:val="21"/>
                <w:lang w:val="en-US" w:eastAsia="zh-CN"/>
              </w:rPr>
            </w:pPr>
            <w:r>
              <w:rPr>
                <w:rFonts w:hint="eastAsia" w:ascii="仿宋" w:hAnsi="仿宋" w:eastAsia="仿宋"/>
                <w:szCs w:val="21"/>
                <w:lang w:val="en-US" w:eastAsia="zh-CN"/>
              </w:rPr>
              <w:t>15分</w:t>
            </w:r>
          </w:p>
        </w:tc>
        <w:tc>
          <w:tcPr>
            <w:tcW w:w="3969" w:type="dxa"/>
            <w:vAlign w:val="center"/>
          </w:tcPr>
          <w:p>
            <w:pPr>
              <w:jc w:val="left"/>
              <w:rPr>
                <w:rFonts w:hint="eastAsia" w:ascii="仿宋" w:hAnsi="仿宋" w:eastAsia="仿宋"/>
                <w:kern w:val="0"/>
                <w:sz w:val="22"/>
                <w:szCs w:val="20"/>
              </w:rPr>
            </w:pPr>
            <w:r>
              <w:rPr>
                <w:rFonts w:hint="eastAsia" w:ascii="仿宋" w:hAnsi="仿宋" w:eastAsia="仿宋" w:cs="Times New Roman"/>
                <w:kern w:val="0"/>
                <w:sz w:val="22"/>
                <w:szCs w:val="20"/>
              </w:rPr>
              <w:t>在满足售后服务要求的前提下，</w:t>
            </w:r>
            <w:r>
              <w:rPr>
                <w:rFonts w:hint="eastAsia" w:ascii="仿宋" w:hAnsi="仿宋" w:eastAsia="仿宋" w:cs="Times New Roman"/>
                <w:kern w:val="0"/>
                <w:sz w:val="22"/>
                <w:szCs w:val="20"/>
                <w:lang w:val="en-US" w:eastAsia="zh-CN"/>
              </w:rPr>
              <w:t>供应商</w:t>
            </w:r>
            <w:r>
              <w:rPr>
                <w:rFonts w:hint="eastAsia" w:ascii="仿宋" w:hAnsi="仿宋" w:eastAsia="仿宋" w:cs="Times New Roman"/>
                <w:kern w:val="0"/>
                <w:sz w:val="22"/>
                <w:szCs w:val="20"/>
              </w:rPr>
              <w:t xml:space="preserve">售后服务方案至少应包括①维修计划、②响应时间、 ③故障排除时间、④服务措施、⑤服务承诺等， 方案完整、科学、合理的得 </w:t>
            </w:r>
            <w:r>
              <w:rPr>
                <w:rFonts w:hint="eastAsia" w:ascii="仿宋" w:hAnsi="仿宋" w:eastAsia="仿宋" w:cs="Times New Roman"/>
                <w:kern w:val="0"/>
                <w:sz w:val="22"/>
                <w:szCs w:val="20"/>
                <w:lang w:val="en-US" w:eastAsia="zh-CN"/>
              </w:rPr>
              <w:t>15</w:t>
            </w:r>
            <w:r>
              <w:rPr>
                <w:rFonts w:hint="eastAsia" w:ascii="仿宋" w:hAnsi="仿宋" w:eastAsia="仿宋" w:cs="Times New Roman"/>
                <w:kern w:val="0"/>
                <w:sz w:val="22"/>
                <w:szCs w:val="20"/>
              </w:rPr>
              <w:t xml:space="preserve"> 分，每有一项缺项或不完整的扣 </w:t>
            </w:r>
            <w:r>
              <w:rPr>
                <w:rFonts w:hint="eastAsia" w:ascii="仿宋" w:hAnsi="仿宋" w:eastAsia="仿宋" w:cs="Times New Roman"/>
                <w:kern w:val="0"/>
                <w:sz w:val="22"/>
                <w:szCs w:val="20"/>
                <w:lang w:val="en-US" w:eastAsia="zh-CN"/>
              </w:rPr>
              <w:t>3</w:t>
            </w:r>
            <w:r>
              <w:rPr>
                <w:rFonts w:hint="eastAsia" w:ascii="仿宋" w:hAnsi="仿宋" w:eastAsia="仿宋" w:cs="Times New Roman"/>
                <w:kern w:val="0"/>
                <w:sz w:val="22"/>
                <w:szCs w:val="20"/>
              </w:rPr>
              <w:t xml:space="preserve"> 分，</w:t>
            </w:r>
            <w:r>
              <w:rPr>
                <w:rFonts w:hint="eastAsia" w:ascii="仿宋" w:hAnsi="仿宋" w:eastAsia="仿宋" w:cs="Times New Roman"/>
                <w:kern w:val="0"/>
                <w:sz w:val="22"/>
                <w:szCs w:val="20"/>
                <w:lang w:val="en-US" w:eastAsia="zh-CN"/>
              </w:rPr>
              <w:t>扣完为止</w:t>
            </w:r>
            <w:r>
              <w:rPr>
                <w:rFonts w:hint="eastAsia" w:ascii="仿宋" w:hAnsi="仿宋" w:eastAsia="仿宋" w:cs="Times New Roman"/>
                <w:kern w:val="0"/>
                <w:sz w:val="22"/>
                <w:szCs w:val="20"/>
              </w:rPr>
              <w:t>。</w:t>
            </w:r>
          </w:p>
        </w:tc>
        <w:tc>
          <w:tcPr>
            <w:tcW w:w="850" w:type="dxa"/>
            <w:vAlign w:val="center"/>
          </w:tcPr>
          <w:p>
            <w:pPr>
              <w:jc w:val="center"/>
              <w:rPr>
                <w:rFonts w:hint="eastAsia" w:ascii="仿宋" w:hAnsi="仿宋" w:eastAsia="仿宋"/>
                <w:szCs w:val="21"/>
              </w:rPr>
            </w:pPr>
            <w:r>
              <w:rPr>
                <w:rFonts w:hint="eastAsia" w:ascii="仿宋" w:hAnsi="仿宋" w:eastAsia="仿宋"/>
                <w:szCs w:val="21"/>
              </w:rPr>
              <w:t>/</w:t>
            </w:r>
          </w:p>
        </w:tc>
        <w:tc>
          <w:tcPr>
            <w:tcW w:w="1013" w:type="dxa"/>
            <w:vAlign w:val="center"/>
          </w:tcPr>
          <w:p>
            <w:pPr>
              <w:rPr>
                <w:rFonts w:hint="eastAsia"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hint="eastAsia" w:ascii="仿宋" w:hAnsi="仿宋" w:eastAsia="仿宋"/>
                <w:szCs w:val="21"/>
                <w:lang w:eastAsia="zh-CN"/>
              </w:rPr>
            </w:pPr>
            <w:r>
              <w:rPr>
                <w:rFonts w:hint="eastAsia" w:ascii="仿宋" w:hAnsi="仿宋" w:eastAsia="仿宋"/>
                <w:szCs w:val="21"/>
                <w:lang w:val="en-US" w:eastAsia="zh-CN"/>
              </w:rPr>
              <w:t>5</w:t>
            </w:r>
          </w:p>
        </w:tc>
        <w:tc>
          <w:tcPr>
            <w:tcW w:w="1119" w:type="dxa"/>
            <w:vAlign w:val="center"/>
          </w:tcPr>
          <w:p>
            <w:pPr>
              <w:rPr>
                <w:rFonts w:ascii="仿宋" w:hAnsi="仿宋" w:eastAsia="仿宋"/>
                <w:szCs w:val="21"/>
              </w:rPr>
            </w:pPr>
            <w:r>
              <w:rPr>
                <w:rFonts w:hint="eastAsia" w:ascii="仿宋" w:hAnsi="仿宋" w:eastAsia="仿宋"/>
                <w:szCs w:val="21"/>
              </w:rPr>
              <w:t>业绩</w:t>
            </w:r>
            <w:r>
              <w:rPr>
                <w:rFonts w:hint="eastAsia" w:ascii="仿宋" w:hAnsi="仿宋" w:eastAsia="仿宋"/>
                <w:szCs w:val="21"/>
                <w:lang w:val="en-US" w:eastAsia="zh-CN"/>
              </w:rPr>
              <w:t>8</w:t>
            </w:r>
            <w:r>
              <w:rPr>
                <w:rFonts w:hint="eastAsia" w:ascii="仿宋" w:hAnsi="仿宋" w:eastAsia="仿宋"/>
                <w:szCs w:val="21"/>
              </w:rPr>
              <w:t>%</w:t>
            </w:r>
          </w:p>
        </w:tc>
        <w:tc>
          <w:tcPr>
            <w:tcW w:w="993" w:type="dxa"/>
            <w:vAlign w:val="center"/>
          </w:tcPr>
          <w:p>
            <w:pPr>
              <w:rPr>
                <w:rFonts w:ascii="仿宋" w:hAnsi="仿宋" w:eastAsia="仿宋"/>
                <w:szCs w:val="21"/>
              </w:rPr>
            </w:pPr>
            <w:r>
              <w:rPr>
                <w:rFonts w:hint="eastAsia" w:ascii="仿宋" w:hAnsi="仿宋" w:eastAsia="仿宋"/>
                <w:szCs w:val="21"/>
                <w:lang w:val="en-US" w:eastAsia="zh-CN"/>
              </w:rPr>
              <w:t>8</w:t>
            </w:r>
            <w:r>
              <w:rPr>
                <w:rFonts w:hint="eastAsia" w:ascii="仿宋" w:hAnsi="仿宋" w:eastAsia="仿宋"/>
                <w:szCs w:val="21"/>
              </w:rPr>
              <w:t>分</w:t>
            </w:r>
          </w:p>
        </w:tc>
        <w:tc>
          <w:tcPr>
            <w:tcW w:w="3969" w:type="dxa"/>
            <w:vAlign w:val="center"/>
          </w:tcPr>
          <w:p>
            <w:pPr>
              <w:rPr>
                <w:rFonts w:ascii="仿宋" w:hAnsi="仿宋" w:eastAsia="仿宋"/>
                <w:szCs w:val="21"/>
              </w:rPr>
            </w:pPr>
            <w:r>
              <w:rPr>
                <w:rFonts w:hint="eastAsia" w:ascii="仿宋" w:hAnsi="仿宋" w:eastAsia="仿宋"/>
                <w:szCs w:val="21"/>
              </w:rPr>
              <w:t>根据供应商提供的类似业绩（</w:t>
            </w:r>
            <w:r>
              <w:rPr>
                <w:rFonts w:ascii="仿宋" w:hAnsi="仿宋" w:eastAsia="仿宋"/>
                <w:szCs w:val="21"/>
              </w:rPr>
              <w:t>2018</w:t>
            </w:r>
            <w:r>
              <w:rPr>
                <w:rFonts w:hint="eastAsia" w:ascii="仿宋" w:hAnsi="仿宋" w:eastAsia="仿宋"/>
                <w:szCs w:val="21"/>
              </w:rPr>
              <w:t>年1月1日-至递交响应文件截止日）进行评定，每提供</w:t>
            </w:r>
            <w:r>
              <w:rPr>
                <w:rFonts w:ascii="仿宋" w:hAnsi="仿宋" w:eastAsia="仿宋"/>
                <w:szCs w:val="21"/>
              </w:rPr>
              <w:t>一个类似业绩得</w:t>
            </w:r>
            <w:r>
              <w:rPr>
                <w:rFonts w:hint="eastAsia" w:ascii="仿宋" w:hAnsi="仿宋" w:eastAsia="仿宋"/>
                <w:szCs w:val="21"/>
                <w:lang w:val="en-US" w:eastAsia="zh-CN"/>
              </w:rPr>
              <w:t>2</w:t>
            </w:r>
            <w:r>
              <w:rPr>
                <w:rFonts w:hint="eastAsia" w:ascii="仿宋" w:hAnsi="仿宋" w:eastAsia="仿宋"/>
                <w:szCs w:val="21"/>
              </w:rPr>
              <w:t>分</w:t>
            </w:r>
            <w:r>
              <w:rPr>
                <w:rFonts w:ascii="仿宋" w:hAnsi="仿宋" w:eastAsia="仿宋"/>
                <w:szCs w:val="21"/>
              </w:rPr>
              <w:t>，最多得</w:t>
            </w:r>
            <w:r>
              <w:rPr>
                <w:rFonts w:hint="eastAsia" w:ascii="仿宋" w:hAnsi="仿宋" w:eastAsia="仿宋"/>
                <w:szCs w:val="21"/>
                <w:lang w:val="en-US" w:eastAsia="zh-CN"/>
              </w:rPr>
              <w:t>8</w:t>
            </w:r>
            <w:r>
              <w:rPr>
                <w:rFonts w:hint="eastAsia" w:ascii="仿宋" w:hAnsi="仿宋" w:eastAsia="仿宋"/>
                <w:szCs w:val="21"/>
              </w:rPr>
              <w:t>分。</w:t>
            </w:r>
          </w:p>
        </w:tc>
        <w:tc>
          <w:tcPr>
            <w:tcW w:w="850" w:type="dxa"/>
            <w:vAlign w:val="center"/>
          </w:tcPr>
          <w:p>
            <w:pPr>
              <w:rPr>
                <w:rFonts w:ascii="仿宋" w:hAnsi="仿宋" w:eastAsia="仿宋"/>
                <w:szCs w:val="21"/>
              </w:rPr>
            </w:pPr>
            <w:r>
              <w:rPr>
                <w:rFonts w:hint="eastAsia" w:ascii="仿宋" w:hAnsi="仿宋" w:eastAsia="仿宋"/>
                <w:szCs w:val="21"/>
              </w:rPr>
              <w:t>提供合同或中标（成交）通知书复印件</w:t>
            </w:r>
          </w:p>
        </w:tc>
        <w:tc>
          <w:tcPr>
            <w:tcW w:w="1013"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hint="eastAsia" w:ascii="仿宋" w:hAnsi="仿宋" w:eastAsia="仿宋"/>
                <w:szCs w:val="21"/>
                <w:lang w:eastAsia="zh-CN"/>
              </w:rPr>
            </w:pPr>
            <w:r>
              <w:rPr>
                <w:rFonts w:hint="eastAsia" w:ascii="仿宋" w:hAnsi="仿宋" w:eastAsia="仿宋"/>
                <w:szCs w:val="21"/>
                <w:lang w:val="en-US" w:eastAsia="zh-CN"/>
              </w:rPr>
              <w:t>6</w:t>
            </w:r>
          </w:p>
        </w:tc>
        <w:tc>
          <w:tcPr>
            <w:tcW w:w="1119" w:type="dxa"/>
            <w:vAlign w:val="center"/>
          </w:tcPr>
          <w:p>
            <w:pPr>
              <w:rPr>
                <w:rFonts w:ascii="仿宋" w:hAnsi="仿宋" w:eastAsia="仿宋"/>
                <w:szCs w:val="21"/>
              </w:rPr>
            </w:pPr>
            <w:r>
              <w:rPr>
                <w:rFonts w:hint="eastAsia" w:ascii="仿宋" w:hAnsi="仿宋" w:eastAsia="仿宋"/>
                <w:szCs w:val="21"/>
              </w:rPr>
              <w:t>节能、环境标志、无线局域网产品2%</w:t>
            </w:r>
          </w:p>
        </w:tc>
        <w:tc>
          <w:tcPr>
            <w:tcW w:w="993" w:type="dxa"/>
            <w:vAlign w:val="center"/>
          </w:tcPr>
          <w:p>
            <w:pPr>
              <w:rPr>
                <w:rFonts w:ascii="仿宋" w:hAnsi="仿宋" w:eastAsia="仿宋"/>
                <w:szCs w:val="21"/>
              </w:rPr>
            </w:pPr>
            <w:r>
              <w:rPr>
                <w:rFonts w:hint="eastAsia" w:ascii="仿宋" w:hAnsi="仿宋" w:eastAsia="仿宋"/>
                <w:szCs w:val="21"/>
              </w:rPr>
              <w:t>2分</w:t>
            </w:r>
          </w:p>
        </w:tc>
        <w:tc>
          <w:tcPr>
            <w:tcW w:w="3969" w:type="dxa"/>
            <w:vAlign w:val="center"/>
          </w:tcPr>
          <w:p>
            <w:pPr>
              <w:rPr>
                <w:rFonts w:ascii="仿宋" w:hAnsi="仿宋" w:eastAsia="仿宋"/>
                <w:szCs w:val="21"/>
              </w:rPr>
            </w:pPr>
            <w:r>
              <w:rPr>
                <w:rFonts w:hint="eastAsia" w:ascii="仿宋" w:hAnsi="仿宋" w:eastAsia="仿宋"/>
                <w:szCs w:val="21"/>
              </w:rPr>
              <w:t>响应产品中属于政府采购优先采购范围的，则每有一项为节能产品或者环境标志产品或者无线局域网产品的得0.5分，非节能、环境标志产品的、无线局域网产品的不得分。本项最多得2分。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响应产品属于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pPr>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响应产品属于优先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850" w:type="dxa"/>
            <w:vAlign w:val="center"/>
          </w:tcPr>
          <w:p>
            <w:pPr>
              <w:rPr>
                <w:rFonts w:ascii="仿宋" w:hAnsi="仿宋" w:eastAsia="仿宋"/>
                <w:szCs w:val="21"/>
              </w:rPr>
            </w:pPr>
            <w:r>
              <w:rPr>
                <w:rFonts w:hint="eastAsia" w:ascii="仿宋" w:hAnsi="仿宋" w:eastAsia="仿宋"/>
                <w:szCs w:val="21"/>
              </w:rPr>
              <w:t>/</w:t>
            </w:r>
          </w:p>
        </w:tc>
        <w:tc>
          <w:tcPr>
            <w:tcW w:w="1013" w:type="dxa"/>
            <w:vAlign w:val="center"/>
          </w:tcPr>
          <w:p>
            <w:pPr>
              <w:rPr>
                <w:rFonts w:ascii="仿宋" w:hAnsi="仿宋" w:eastAsia="仿宋"/>
                <w:szCs w:val="21"/>
              </w:rPr>
            </w:pPr>
            <w:r>
              <w:rPr>
                <w:rFonts w:hint="eastAsia" w:ascii="仿宋" w:hAnsi="仿宋" w:eastAsia="仿宋"/>
                <w:szCs w:val="21"/>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jc w:val="center"/>
              <w:rPr>
                <w:rFonts w:hint="eastAsia" w:ascii="仿宋" w:hAnsi="仿宋" w:eastAsia="仿宋" w:cs="Times New Roman"/>
                <w:kern w:val="0"/>
                <w:szCs w:val="21"/>
                <w:lang w:val="en-US" w:eastAsia="zh-CN"/>
              </w:rPr>
            </w:pPr>
            <w:r>
              <w:rPr>
                <w:rFonts w:hint="eastAsia" w:ascii="仿宋" w:hAnsi="仿宋" w:eastAsia="仿宋" w:cs="Times New Roman"/>
                <w:kern w:val="0"/>
                <w:szCs w:val="21"/>
                <w:lang w:val="en-US" w:eastAsia="zh-CN"/>
              </w:rPr>
              <w:t>7</w:t>
            </w:r>
          </w:p>
        </w:tc>
        <w:tc>
          <w:tcPr>
            <w:tcW w:w="1119" w:type="dxa"/>
            <w:vAlign w:val="top"/>
          </w:tcPr>
          <w:p>
            <w:pPr>
              <w:rPr>
                <w:rFonts w:hint="eastAsia" w:ascii="仿宋" w:hAnsi="仿宋" w:eastAsia="仿宋" w:cs="Times New Roman"/>
                <w:kern w:val="0"/>
                <w:szCs w:val="21"/>
              </w:rPr>
            </w:pPr>
            <w:r>
              <w:rPr>
                <w:rFonts w:hint="eastAsia" w:ascii="仿宋" w:hAnsi="仿宋" w:eastAsia="仿宋" w:cs="Times New Roman"/>
                <w:kern w:val="0"/>
                <w:szCs w:val="21"/>
                <w:lang w:val="zh-TW" w:eastAsia="zh-TW"/>
              </w:rPr>
              <w:t>扶持不发达地区和少数民族地区</w:t>
            </w:r>
            <w:r>
              <w:rPr>
                <w:rFonts w:hint="eastAsia" w:ascii="仿宋" w:hAnsi="仿宋" w:eastAsia="仿宋" w:cs="Times New Roman"/>
                <w:kern w:val="0"/>
                <w:szCs w:val="21"/>
                <w:lang w:val="zh-TW"/>
              </w:rPr>
              <w:t>1</w:t>
            </w:r>
            <w:r>
              <w:rPr>
                <w:rFonts w:hint="eastAsia" w:ascii="仿宋" w:hAnsi="仿宋" w:eastAsia="仿宋" w:cs="Times New Roman"/>
                <w:kern w:val="0"/>
                <w:szCs w:val="21"/>
              </w:rPr>
              <w:t>%</w:t>
            </w:r>
          </w:p>
        </w:tc>
        <w:tc>
          <w:tcPr>
            <w:tcW w:w="993" w:type="dxa"/>
            <w:vAlign w:val="center"/>
          </w:tcPr>
          <w:p>
            <w:pPr>
              <w:rPr>
                <w:rFonts w:hint="eastAsia" w:ascii="仿宋" w:hAnsi="仿宋" w:eastAsia="仿宋" w:cs="Times New Roman"/>
                <w:kern w:val="0"/>
                <w:szCs w:val="21"/>
              </w:rPr>
            </w:pPr>
            <w:r>
              <w:rPr>
                <w:rFonts w:hint="eastAsia" w:ascii="仿宋" w:hAnsi="仿宋" w:eastAsia="仿宋" w:cs="Times New Roman"/>
                <w:kern w:val="0"/>
                <w:szCs w:val="21"/>
                <w:lang w:val="zh-TW"/>
              </w:rPr>
              <w:t>1</w:t>
            </w:r>
            <w:r>
              <w:rPr>
                <w:rFonts w:hint="eastAsia" w:ascii="仿宋" w:hAnsi="仿宋" w:eastAsia="仿宋" w:cs="Times New Roman"/>
                <w:kern w:val="0"/>
                <w:szCs w:val="21"/>
                <w:lang w:val="zh-TW" w:eastAsia="zh-TW"/>
              </w:rPr>
              <w:t>分</w:t>
            </w:r>
          </w:p>
        </w:tc>
        <w:tc>
          <w:tcPr>
            <w:tcW w:w="3969" w:type="dxa"/>
            <w:vAlign w:val="center"/>
          </w:tcPr>
          <w:p>
            <w:pPr>
              <w:rPr>
                <w:rFonts w:ascii="仿宋" w:hAnsi="仿宋" w:eastAsia="仿宋" w:cs="Times New Roman"/>
                <w:kern w:val="0"/>
                <w:szCs w:val="21"/>
              </w:rPr>
            </w:pPr>
            <w:r>
              <w:rPr>
                <w:rFonts w:hint="eastAsia" w:ascii="仿宋" w:hAnsi="仿宋" w:eastAsia="仿宋" w:cs="Times New Roman"/>
                <w:kern w:val="0"/>
                <w:szCs w:val="21"/>
                <w:lang w:val="zh-TW"/>
              </w:rPr>
              <w:t>供应商</w:t>
            </w:r>
            <w:r>
              <w:rPr>
                <w:rFonts w:hint="eastAsia" w:ascii="仿宋" w:hAnsi="仿宋" w:eastAsia="仿宋" w:cs="Times New Roman"/>
                <w:kern w:val="0"/>
                <w:szCs w:val="21"/>
                <w:lang w:val="zh-TW" w:eastAsia="zh-TW"/>
              </w:rPr>
              <w:t>注册地为不发达地区或少数民族地区企业的得</w:t>
            </w:r>
            <w:r>
              <w:rPr>
                <w:rFonts w:hint="eastAsia" w:ascii="仿宋" w:hAnsi="仿宋" w:eastAsia="仿宋" w:cs="Times New Roman"/>
                <w:kern w:val="0"/>
                <w:szCs w:val="21"/>
                <w:lang w:val="zh-TW"/>
              </w:rPr>
              <w:t>1</w:t>
            </w:r>
            <w:r>
              <w:rPr>
                <w:rFonts w:hint="eastAsia" w:ascii="仿宋" w:hAnsi="仿宋" w:eastAsia="仿宋" w:cs="Times New Roman"/>
                <w:kern w:val="0"/>
                <w:szCs w:val="21"/>
                <w:lang w:val="zh-TW" w:eastAsia="zh-TW"/>
              </w:rPr>
              <w:t>分。（提供相关证明材料复印件并加盖公章）</w:t>
            </w:r>
          </w:p>
        </w:tc>
        <w:tc>
          <w:tcPr>
            <w:tcW w:w="850" w:type="dxa"/>
            <w:vAlign w:val="center"/>
          </w:tcPr>
          <w:p>
            <w:pPr>
              <w:rPr>
                <w:rFonts w:hint="eastAsia" w:ascii="仿宋" w:hAnsi="仿宋" w:eastAsia="仿宋" w:cs="Times New Roman"/>
                <w:kern w:val="0"/>
                <w:szCs w:val="21"/>
              </w:rPr>
            </w:pPr>
            <w:r>
              <w:rPr>
                <w:rFonts w:hint="eastAsia" w:ascii="仿宋" w:hAnsi="仿宋" w:eastAsia="仿宋" w:cs="Times New Roman"/>
                <w:kern w:val="0"/>
                <w:szCs w:val="21"/>
              </w:rPr>
              <w:t>/</w:t>
            </w:r>
          </w:p>
        </w:tc>
        <w:tc>
          <w:tcPr>
            <w:tcW w:w="1013" w:type="dxa"/>
            <w:vAlign w:val="center"/>
          </w:tcPr>
          <w:p>
            <w:pPr>
              <w:widowControl w:val="0"/>
              <w:snapToGrid w:val="0"/>
              <w:spacing w:line="360" w:lineRule="auto"/>
              <w:jc w:val="center"/>
              <w:textAlignment w:val="auto"/>
              <w:rPr>
                <w:rFonts w:hint="eastAsia" w:ascii="仿宋" w:hAnsi="仿宋" w:eastAsia="仿宋"/>
                <w:szCs w:val="21"/>
              </w:rPr>
            </w:pPr>
            <w:r>
              <w:rPr>
                <w:rFonts w:hint="eastAsia" w:ascii="仿宋" w:hAnsi="仿宋" w:eastAsia="仿宋"/>
                <w:szCs w:val="21"/>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jc w:val="center"/>
              <w:rPr>
                <w:rFonts w:hint="eastAsia" w:ascii="仿宋" w:hAnsi="仿宋" w:eastAsia="仿宋" w:cs="Times New Roman"/>
                <w:kern w:val="0"/>
                <w:szCs w:val="21"/>
                <w:lang w:val="en-US" w:eastAsia="zh-CN"/>
              </w:rPr>
            </w:pPr>
            <w:r>
              <w:rPr>
                <w:rFonts w:hint="eastAsia" w:ascii="仿宋" w:hAnsi="仿宋" w:eastAsia="仿宋" w:cs="Times New Roman"/>
                <w:kern w:val="0"/>
                <w:szCs w:val="21"/>
                <w:lang w:val="en-US" w:eastAsia="zh-CN"/>
              </w:rPr>
              <w:t>8</w:t>
            </w:r>
          </w:p>
        </w:tc>
        <w:tc>
          <w:tcPr>
            <w:tcW w:w="1119" w:type="dxa"/>
            <w:vAlign w:val="top"/>
          </w:tcPr>
          <w:p>
            <w:pPr>
              <w:rPr>
                <w:rFonts w:hint="eastAsia" w:ascii="仿宋" w:hAnsi="仿宋" w:eastAsia="仿宋" w:cs="Times New Roman"/>
                <w:kern w:val="0"/>
                <w:szCs w:val="21"/>
                <w:lang w:val="zh-TW" w:eastAsia="zh-TW"/>
              </w:rPr>
            </w:pPr>
            <w:r>
              <w:rPr>
                <w:rFonts w:hint="eastAsia" w:ascii="仿宋" w:hAnsi="仿宋" w:eastAsia="仿宋" w:cs="Times New Roman"/>
                <w:kern w:val="0"/>
                <w:szCs w:val="21"/>
                <w:lang w:val="zh-TW" w:eastAsia="zh-TW"/>
              </w:rPr>
              <w:t>文</w:t>
            </w:r>
            <w:r>
              <w:rPr>
                <w:rFonts w:hint="eastAsia" w:ascii="仿宋" w:hAnsi="仿宋" w:eastAsia="仿宋" w:cs="Times New Roman"/>
                <w:kern w:val="0"/>
                <w:szCs w:val="21"/>
                <w:lang w:val="zh-TW" w:eastAsia="zh-CN"/>
              </w:rPr>
              <w:t>件规</w:t>
            </w:r>
            <w:r>
              <w:rPr>
                <w:rFonts w:hint="eastAsia" w:ascii="仿宋" w:hAnsi="仿宋" w:eastAsia="仿宋" w:cs="Times New Roman"/>
                <w:kern w:val="0"/>
                <w:szCs w:val="21"/>
                <w:lang w:val="zh-TW" w:eastAsia="zh-TW"/>
              </w:rPr>
              <w:t xml:space="preserve">范性 </w:t>
            </w:r>
            <w:r>
              <w:rPr>
                <w:rFonts w:hint="eastAsia" w:ascii="仿宋" w:hAnsi="仿宋" w:eastAsia="仿宋" w:cs="Times New Roman"/>
                <w:kern w:val="0"/>
                <w:szCs w:val="21"/>
                <w:lang w:val="en-US" w:eastAsia="zh-CN"/>
              </w:rPr>
              <w:t>2</w:t>
            </w:r>
            <w:r>
              <w:rPr>
                <w:rFonts w:hint="eastAsia" w:ascii="仿宋" w:hAnsi="仿宋" w:eastAsia="仿宋" w:cs="Times New Roman"/>
                <w:kern w:val="0"/>
                <w:szCs w:val="21"/>
                <w:lang w:val="zh-TW" w:eastAsia="zh-TW"/>
              </w:rPr>
              <w:t>%</w:t>
            </w:r>
          </w:p>
        </w:tc>
        <w:tc>
          <w:tcPr>
            <w:tcW w:w="993" w:type="dxa"/>
            <w:vAlign w:val="center"/>
          </w:tcPr>
          <w:p>
            <w:pPr>
              <w:rPr>
                <w:rFonts w:hint="eastAsia" w:ascii="仿宋" w:hAnsi="仿宋" w:eastAsia="仿宋" w:cs="Times New Roman"/>
                <w:kern w:val="0"/>
                <w:szCs w:val="21"/>
                <w:lang w:val="zh-TW" w:eastAsia="zh-TW"/>
              </w:rPr>
            </w:pPr>
            <w:r>
              <w:rPr>
                <w:rFonts w:hint="eastAsia" w:ascii="仿宋" w:hAnsi="仿宋" w:eastAsia="仿宋" w:cs="Times New Roman"/>
                <w:kern w:val="0"/>
                <w:szCs w:val="21"/>
                <w:lang w:val="en-US" w:eastAsia="zh-CN"/>
              </w:rPr>
              <w:t>2</w:t>
            </w:r>
            <w:r>
              <w:rPr>
                <w:rFonts w:hint="eastAsia" w:ascii="仿宋" w:hAnsi="仿宋" w:eastAsia="仿宋" w:cs="Times New Roman"/>
                <w:kern w:val="0"/>
                <w:szCs w:val="21"/>
                <w:lang w:val="zh-TW" w:eastAsia="zh-TW"/>
              </w:rPr>
              <w:t>分</w:t>
            </w:r>
          </w:p>
        </w:tc>
        <w:tc>
          <w:tcPr>
            <w:tcW w:w="3969" w:type="dxa"/>
            <w:vAlign w:val="center"/>
          </w:tcPr>
          <w:p>
            <w:pPr>
              <w:rPr>
                <w:rFonts w:hint="eastAsia" w:ascii="仿宋" w:hAnsi="仿宋" w:eastAsia="仿宋" w:cs="Times New Roman"/>
                <w:kern w:val="0"/>
                <w:szCs w:val="21"/>
                <w:lang w:val="zh-TW" w:eastAsia="zh-TW"/>
              </w:rPr>
            </w:pPr>
            <w:r>
              <w:rPr>
                <w:rFonts w:hint="eastAsia" w:ascii="仿宋" w:hAnsi="仿宋" w:eastAsia="仿宋" w:cs="Times New Roman"/>
                <w:kern w:val="0"/>
                <w:szCs w:val="21"/>
                <w:lang w:val="en-US" w:eastAsia="zh-CN"/>
              </w:rPr>
              <w:t>响应</w:t>
            </w:r>
            <w:r>
              <w:rPr>
                <w:rFonts w:hint="eastAsia" w:ascii="仿宋" w:hAnsi="仿宋" w:eastAsia="仿宋" w:cs="Times New Roman"/>
                <w:kern w:val="0"/>
                <w:szCs w:val="21"/>
                <w:lang w:val="zh-TW" w:eastAsia="zh-TW"/>
              </w:rPr>
              <w:t>文件制作规范，没有细微偏差情形的得</w:t>
            </w:r>
            <w:r>
              <w:rPr>
                <w:rFonts w:hint="eastAsia" w:ascii="仿宋" w:hAnsi="仿宋" w:eastAsia="仿宋" w:cs="Times New Roman"/>
                <w:kern w:val="0"/>
                <w:szCs w:val="21"/>
                <w:lang w:val="en-US" w:eastAsia="zh-CN"/>
              </w:rPr>
              <w:t>2</w:t>
            </w:r>
            <w:r>
              <w:rPr>
                <w:rFonts w:hint="eastAsia" w:ascii="仿宋" w:hAnsi="仿宋" w:eastAsia="仿宋" w:cs="Times New Roman"/>
                <w:kern w:val="0"/>
                <w:szCs w:val="21"/>
                <w:lang w:val="zh-TW" w:eastAsia="zh-TW"/>
              </w:rPr>
              <w:t>分； 有一项细微偏差扣0. 5分，直至该项分值扣完为止。</w:t>
            </w:r>
          </w:p>
        </w:tc>
        <w:tc>
          <w:tcPr>
            <w:tcW w:w="850" w:type="dxa"/>
            <w:vAlign w:val="center"/>
          </w:tcPr>
          <w:p>
            <w:pPr>
              <w:rPr>
                <w:rFonts w:hint="eastAsia" w:ascii="仿宋" w:hAnsi="仿宋" w:eastAsia="仿宋" w:cs="Times New Roman"/>
                <w:kern w:val="0"/>
                <w:szCs w:val="21"/>
                <w:lang w:val="zh-TW" w:eastAsia="zh-TW"/>
              </w:rPr>
            </w:pPr>
            <w:r>
              <w:rPr>
                <w:rFonts w:hint="eastAsia" w:ascii="仿宋" w:hAnsi="仿宋" w:eastAsia="仿宋" w:cs="Times New Roman"/>
                <w:kern w:val="0"/>
                <w:szCs w:val="21"/>
              </w:rPr>
              <w:t>/</w:t>
            </w:r>
          </w:p>
        </w:tc>
        <w:tc>
          <w:tcPr>
            <w:tcW w:w="1013" w:type="dxa"/>
            <w:vAlign w:val="center"/>
          </w:tcPr>
          <w:p>
            <w:pPr>
              <w:rPr>
                <w:rFonts w:hint="eastAsia" w:ascii="仿宋" w:hAnsi="仿宋" w:eastAsia="仿宋" w:cs="Times New Roman"/>
                <w:kern w:val="0"/>
                <w:szCs w:val="21"/>
                <w:lang w:val="zh-TW" w:eastAsia="zh-TW"/>
              </w:rPr>
            </w:pPr>
            <w:r>
              <w:rPr>
                <w:rFonts w:hint="eastAsia" w:ascii="仿宋" w:hAnsi="仿宋" w:eastAsia="仿宋"/>
                <w:szCs w:val="21"/>
              </w:rPr>
              <w:t>共同评分因素</w:t>
            </w:r>
          </w:p>
        </w:tc>
      </w:tr>
    </w:tbl>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p>
      <w:pPr>
        <w:ind w:firstLine="360" w:firstLineChars="150"/>
        <w:rPr>
          <w:rFonts w:ascii="仿宋" w:hAnsi="仿宋" w:eastAsia="仿宋"/>
          <w:sz w:val="24"/>
        </w:rPr>
      </w:pPr>
    </w:p>
    <w:bookmarkEnd w:id="125"/>
    <w:bookmarkEnd w:id="126"/>
    <w:bookmarkEnd w:id="127"/>
    <w:bookmarkEnd w:id="128"/>
    <w:p>
      <w:pPr>
        <w:pStyle w:val="8"/>
        <w:ind w:firstLine="420" w:firstLineChars="175"/>
        <w:rPr>
          <w:rFonts w:ascii="仿宋" w:hAnsi="仿宋" w:eastAsia="仿宋"/>
          <w:sz w:val="24"/>
        </w:rPr>
      </w:pPr>
      <w:bookmarkStart w:id="131"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31"/>
    <w:p>
      <w:pPr>
        <w:tabs>
          <w:tab w:val="left" w:pos="851"/>
        </w:tabs>
        <w:spacing w:line="400" w:lineRule="exact"/>
        <w:ind w:firstLine="480" w:firstLineChars="200"/>
        <w:rPr>
          <w:rFonts w:ascii="仿宋" w:hAnsi="仿宋" w:eastAsia="仿宋"/>
          <w:sz w:val="24"/>
        </w:rPr>
      </w:pP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5.</w:t>
      </w:r>
      <w:bookmarkEnd w:id="129"/>
      <w:r>
        <w:rPr>
          <w:rFonts w:hint="eastAsia" w:ascii="仿宋" w:hAnsi="仿宋" w:eastAsia="仿宋"/>
          <w:sz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pStyle w:val="19"/>
        <w:rPr>
          <w:rFonts w:ascii="仿宋" w:hAnsi="仿宋" w:eastAsia="仿宋"/>
          <w:b w:val="0"/>
        </w:rPr>
      </w:pPr>
      <w:r>
        <w:rPr>
          <w:rFonts w:ascii="仿宋" w:hAnsi="仿宋" w:eastAsia="仿宋"/>
          <w:b w:val="0"/>
        </w:rPr>
        <w:br w:type="page"/>
      </w:r>
      <w:bookmarkStart w:id="132" w:name="_Toc511205306"/>
      <w:r>
        <w:rPr>
          <w:rFonts w:hint="eastAsia" w:ascii="仿宋" w:hAnsi="仿宋" w:eastAsia="仿宋"/>
          <w:b w:val="0"/>
        </w:rPr>
        <w:t>第九章  政府采购合同（草案）</w:t>
      </w:r>
      <w:bookmarkEnd w:id="132"/>
    </w:p>
    <w:bookmarkEnd w:id="100"/>
    <w:bookmarkEnd w:id="101"/>
    <w:bookmarkEnd w:id="102"/>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p>
    <w:p>
      <w:pPr>
        <w:pStyle w:val="48"/>
        <w:ind w:firstLine="480"/>
        <w:rPr>
          <w:rFonts w:ascii="仿宋" w:hAnsi="仿宋" w:eastAsia="仿宋"/>
        </w:rPr>
      </w:pPr>
      <w:r>
        <w:rPr>
          <w:rFonts w:hint="eastAsia" w:ascii="仿宋" w:hAnsi="仿宋" w:eastAsia="仿宋"/>
        </w:rPr>
        <w:t>合同编号：XXX</w:t>
      </w:r>
    </w:p>
    <w:p>
      <w:pPr>
        <w:pStyle w:val="48"/>
        <w:ind w:firstLine="480"/>
        <w:rPr>
          <w:rFonts w:ascii="仿宋" w:hAnsi="仿宋" w:eastAsia="仿宋"/>
        </w:rPr>
      </w:pPr>
      <w:r>
        <w:rPr>
          <w:rFonts w:hint="eastAsia" w:ascii="仿宋" w:hAnsi="仿宋" w:eastAsia="仿宋"/>
        </w:rPr>
        <w:t>签订地点：XXX</w:t>
      </w:r>
    </w:p>
    <w:p>
      <w:pPr>
        <w:pStyle w:val="48"/>
        <w:ind w:firstLine="480"/>
        <w:rPr>
          <w:rFonts w:ascii="仿宋" w:hAnsi="仿宋" w:eastAsia="仿宋"/>
        </w:rPr>
      </w:pPr>
      <w:r>
        <w:rPr>
          <w:rFonts w:hint="eastAsia" w:ascii="仿宋" w:hAnsi="仿宋" w:eastAsia="仿宋"/>
        </w:rPr>
        <w:t>签订时间：XXX年XXX月XXX日</w:t>
      </w:r>
    </w:p>
    <w:p>
      <w:pPr>
        <w:pStyle w:val="48"/>
        <w:ind w:firstLine="480"/>
        <w:rPr>
          <w:rFonts w:ascii="仿宋" w:hAnsi="仿宋" w:eastAsia="仿宋"/>
        </w:rPr>
      </w:pPr>
      <w:r>
        <w:rPr>
          <w:rFonts w:hint="eastAsia" w:ascii="仿宋" w:hAnsi="仿宋" w:eastAsia="仿宋"/>
        </w:rPr>
        <w:t>采购人（甲方）：XXX</w:t>
      </w:r>
    </w:p>
    <w:p>
      <w:pPr>
        <w:pStyle w:val="48"/>
        <w:ind w:firstLine="480"/>
        <w:rPr>
          <w:rFonts w:ascii="仿宋" w:hAnsi="仿宋" w:eastAsia="仿宋"/>
        </w:rPr>
      </w:pPr>
      <w:r>
        <w:rPr>
          <w:rFonts w:hint="eastAsia" w:ascii="仿宋" w:hAnsi="仿宋" w:eastAsia="仿宋"/>
        </w:rPr>
        <w:t>供应商（乙方）：XXX</w:t>
      </w:r>
    </w:p>
    <w:p>
      <w:pPr>
        <w:spacing w:line="400" w:lineRule="exact"/>
        <w:rPr>
          <w:rFonts w:ascii="仿宋" w:hAnsi="仿宋" w:eastAsia="仿宋"/>
          <w:sz w:val="24"/>
        </w:rPr>
      </w:pPr>
    </w:p>
    <w:p>
      <w:pPr>
        <w:pStyle w:val="48"/>
        <w:ind w:firstLine="480"/>
        <w:rPr>
          <w:rFonts w:ascii="仿宋" w:hAnsi="仿宋" w:eastAsia="仿宋"/>
        </w:rPr>
      </w:pPr>
      <w:r>
        <w:rPr>
          <w:rFonts w:hint="eastAsia" w:ascii="仿宋" w:hAnsi="仿宋" w:eastAsia="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48"/>
        <w:ind w:firstLine="480"/>
        <w:rPr>
          <w:rFonts w:ascii="仿宋" w:hAnsi="仿宋" w:eastAsia="仿宋"/>
        </w:rPr>
      </w:pPr>
    </w:p>
    <w:p>
      <w:pPr>
        <w:numPr>
          <w:ilvl w:val="0"/>
          <w:numId w:val="7"/>
        </w:numPr>
        <w:rPr>
          <w:rFonts w:ascii="仿宋" w:hAnsi="仿宋" w:eastAsia="仿宋"/>
          <w:sz w:val="24"/>
        </w:rPr>
      </w:pPr>
      <w:r>
        <w:rPr>
          <w:rFonts w:hint="eastAsia" w:ascii="仿宋" w:hAnsi="仿宋" w:eastAsia="仿宋"/>
          <w:sz w:val="24"/>
        </w:rPr>
        <w:t>合同货物</w:t>
      </w:r>
    </w:p>
    <w:tbl>
      <w:tblPr>
        <w:tblStyle w:val="21"/>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szCs w:val="21"/>
              </w:rPr>
            </w:pPr>
            <w:r>
              <w:rPr>
                <w:rFonts w:hint="eastAsia" w:ascii="仿宋" w:hAnsi="仿宋" w:eastAsia="仿宋" w:cs="Arial"/>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规格</w:t>
            </w:r>
          </w:p>
          <w:p>
            <w:pPr>
              <w:jc w:val="center"/>
              <w:rPr>
                <w:rFonts w:ascii="仿宋" w:hAnsi="仿宋" w:eastAsia="仿宋"/>
                <w:szCs w:val="21"/>
              </w:rPr>
            </w:pPr>
            <w:r>
              <w:rPr>
                <w:rFonts w:hint="eastAsia" w:ascii="仿宋" w:hAnsi="仿宋" w:eastAsia="仿宋" w:cs="Arial"/>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szCs w:val="21"/>
              </w:rPr>
            </w:pPr>
            <w:r>
              <w:rPr>
                <w:rFonts w:hint="eastAsia" w:ascii="仿宋" w:hAnsi="仿宋" w:eastAsia="仿宋" w:cs="Arial"/>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szCs w:val="21"/>
              </w:rPr>
            </w:pPr>
            <w:r>
              <w:rPr>
                <w:rFonts w:hint="eastAsia" w:ascii="仿宋" w:hAnsi="仿宋" w:eastAsia="仿宋" w:cs="Arial"/>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szCs w:val="21"/>
              </w:rPr>
            </w:pPr>
            <w:r>
              <w:rPr>
                <w:rFonts w:hint="eastAsia" w:ascii="仿宋" w:hAnsi="仿宋" w:eastAsia="仿宋" w:cs="Arial"/>
                <w:szCs w:val="21"/>
              </w:rPr>
              <w:t>单价</w:t>
            </w:r>
          </w:p>
          <w:p>
            <w:pPr>
              <w:jc w:val="center"/>
              <w:rPr>
                <w:rFonts w:ascii="仿宋" w:hAnsi="仿宋" w:eastAsia="仿宋" w:cs="Arial"/>
                <w:szCs w:val="21"/>
              </w:rPr>
            </w:pPr>
            <w:r>
              <w:rPr>
                <w:rFonts w:hint="eastAsia" w:ascii="仿宋" w:hAnsi="仿宋" w:eastAsia="仿宋" w:cs="Arial"/>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szCs w:val="21"/>
              </w:rPr>
            </w:pPr>
            <w:r>
              <w:rPr>
                <w:rFonts w:hint="eastAsia" w:ascii="仿宋" w:hAnsi="仿宋" w:eastAsia="仿宋" w:cs="Arial"/>
                <w:szCs w:val="21"/>
              </w:rPr>
              <w:t>总价</w:t>
            </w:r>
          </w:p>
          <w:p>
            <w:pPr>
              <w:ind w:leftChars="-1" w:right="-88" w:rightChars="-42" w:hanging="2" w:hangingChars="1"/>
              <w:jc w:val="center"/>
              <w:rPr>
                <w:rFonts w:ascii="仿宋" w:hAnsi="仿宋" w:eastAsia="仿宋" w:cs="Arial"/>
                <w:szCs w:val="21"/>
              </w:rPr>
            </w:pPr>
            <w:r>
              <w:rPr>
                <w:rFonts w:hint="eastAsia" w:ascii="仿宋" w:hAnsi="仿宋" w:eastAsia="仿宋" w:cs="Arial"/>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随机</w:t>
            </w:r>
          </w:p>
          <w:p>
            <w:pPr>
              <w:jc w:val="center"/>
              <w:rPr>
                <w:rFonts w:ascii="仿宋" w:hAnsi="仿宋" w:eastAsia="仿宋"/>
                <w:szCs w:val="21"/>
              </w:rPr>
            </w:pPr>
            <w:r>
              <w:rPr>
                <w:rFonts w:hint="eastAsia" w:ascii="仿宋" w:hAnsi="仿宋" w:eastAsia="仿宋" w:cs="Arial"/>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szCs w:val="21"/>
              </w:rPr>
            </w:pPr>
            <w:r>
              <w:rPr>
                <w:rFonts w:hint="eastAsia" w:ascii="仿宋" w:hAnsi="仿宋" w:eastAsia="仿宋" w:cs="Arial"/>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Cs w:val="21"/>
                <w:lang w:val="zh-CN"/>
              </w:rPr>
            </w:pPr>
            <w:r>
              <w:rPr>
                <w:rFonts w:hint="eastAsia" w:ascii="仿宋" w:hAnsi="仿宋" w:eastAsia="仿宋" w:cs="宋体"/>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自</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其</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bl>
    <w:p>
      <w:pPr>
        <w:rPr>
          <w:rFonts w:ascii="仿宋" w:hAnsi="仿宋" w:eastAsia="仿宋"/>
          <w:sz w:val="28"/>
          <w:szCs w:val="28"/>
        </w:rPr>
      </w:pPr>
    </w:p>
    <w:p>
      <w:pPr>
        <w:spacing w:line="400" w:lineRule="exact"/>
        <w:rPr>
          <w:rFonts w:ascii="仿宋" w:hAnsi="仿宋" w:eastAsia="仿宋"/>
          <w:sz w:val="24"/>
        </w:rPr>
      </w:pPr>
      <w:r>
        <w:rPr>
          <w:rFonts w:hint="eastAsia" w:ascii="仿宋" w:hAnsi="仿宋" w:eastAsia="仿宋"/>
          <w:sz w:val="24"/>
        </w:rPr>
        <w:t>二、合同总价</w:t>
      </w:r>
    </w:p>
    <w:p>
      <w:pPr>
        <w:pStyle w:val="6"/>
        <w:spacing w:line="400" w:lineRule="exact"/>
        <w:ind w:firstLine="480"/>
        <w:rPr>
          <w:rFonts w:ascii="仿宋" w:hAnsi="仿宋" w:eastAsia="仿宋"/>
          <w:sz w:val="24"/>
        </w:rPr>
      </w:pPr>
      <w:r>
        <w:rPr>
          <w:rFonts w:hint="eastAsia" w:ascii="仿宋" w:hAnsi="仿宋" w:eastAsia="仿宋"/>
          <w:sz w:val="24"/>
        </w:rPr>
        <w:t>合同总价为人民币大写：XXX元，即</w:t>
      </w:r>
      <w:r>
        <w:rPr>
          <w:rFonts w:ascii="仿宋" w:hAnsi="仿宋" w:eastAsia="仿宋"/>
          <w:sz w:val="24"/>
        </w:rPr>
        <w:t>RMB</w:t>
      </w:r>
      <w:r>
        <w:rPr>
          <w:rFonts w:hint="eastAsia" w:ascii="仿宋" w:hAnsi="仿宋" w:eastAsia="仿宋"/>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ascii="仿宋" w:hAnsi="仿宋" w:eastAsia="仿宋"/>
          <w:sz w:val="24"/>
        </w:rPr>
      </w:pPr>
    </w:p>
    <w:p>
      <w:pPr>
        <w:tabs>
          <w:tab w:val="left" w:pos="2145"/>
        </w:tabs>
        <w:rPr>
          <w:rFonts w:ascii="仿宋" w:hAnsi="仿宋" w:eastAsia="仿宋"/>
          <w:sz w:val="24"/>
        </w:rPr>
      </w:pPr>
      <w:r>
        <w:rPr>
          <w:rFonts w:hint="eastAsia" w:ascii="仿宋" w:hAnsi="仿宋" w:eastAsia="仿宋"/>
          <w:sz w:val="24"/>
        </w:rPr>
        <w:t>三、质量要求</w:t>
      </w:r>
      <w:r>
        <w:rPr>
          <w:rFonts w:ascii="仿宋" w:hAnsi="仿宋" w:eastAsia="仿宋"/>
          <w:sz w:val="24"/>
        </w:rPr>
        <w:tab/>
      </w:r>
    </w:p>
    <w:p>
      <w:pPr>
        <w:pStyle w:val="48"/>
        <w:ind w:firstLine="480"/>
        <w:rPr>
          <w:rFonts w:ascii="仿宋" w:hAnsi="仿宋" w:eastAsia="仿宋"/>
        </w:rPr>
      </w:pPr>
      <w:r>
        <w:rPr>
          <w:rFonts w:ascii="仿宋" w:hAnsi="仿宋" w:eastAsia="仿宋"/>
        </w:rPr>
        <w:t>1</w:t>
      </w:r>
      <w:r>
        <w:rPr>
          <w:rFonts w:hint="eastAsia" w:ascii="仿宋" w:hAnsi="仿宋" w:eastAsia="仿宋"/>
        </w:rPr>
        <w:t>.乙方须提供全新的货物（含零部件、配件等），表面无划伤、无碰撞痕迹，且权属清楚，不得侵害他人的知识产权。</w:t>
      </w:r>
    </w:p>
    <w:p>
      <w:pPr>
        <w:pStyle w:val="48"/>
        <w:ind w:firstLine="480"/>
        <w:rPr>
          <w:rFonts w:ascii="仿宋" w:hAnsi="仿宋" w:eastAsia="仿宋"/>
        </w:rPr>
      </w:pPr>
      <w:r>
        <w:rPr>
          <w:rFonts w:hint="eastAsia" w:ascii="仿宋" w:hAnsi="仿宋" w:eastAsia="仿宋"/>
        </w:rPr>
        <w:t>2.货物必须符合或优于国家（行业）XXX标准，以及本项目磋商文件的质量要求和技术指标与出厂标准。</w:t>
      </w:r>
    </w:p>
    <w:p>
      <w:pPr>
        <w:pStyle w:val="48"/>
        <w:ind w:firstLine="480"/>
        <w:rPr>
          <w:rFonts w:ascii="仿宋" w:hAnsi="仿宋" w:eastAsia="仿宋"/>
        </w:rPr>
      </w:pPr>
      <w:r>
        <w:rPr>
          <w:rFonts w:hint="eastAsia" w:ascii="仿宋" w:hAnsi="仿宋" w:eastAsia="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48"/>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8"/>
        <w:ind w:firstLine="480"/>
        <w:rPr>
          <w:rFonts w:ascii="仿宋" w:hAnsi="仿宋" w:eastAsia="仿宋"/>
        </w:rPr>
      </w:pPr>
      <w:r>
        <w:rPr>
          <w:rFonts w:hint="eastAsia" w:ascii="仿宋" w:hAnsi="仿宋" w:eastAsia="仿宋"/>
        </w:rPr>
        <w:t>5.货物到现场后由于甲方保管不当造成的质量问题，乙方亦应负责修理，但费用由甲方负担。</w:t>
      </w:r>
    </w:p>
    <w:p>
      <w:pPr>
        <w:rPr>
          <w:rFonts w:ascii="仿宋" w:hAnsi="仿宋" w:eastAsia="仿宋"/>
          <w:sz w:val="28"/>
          <w:szCs w:val="28"/>
        </w:rPr>
      </w:pPr>
    </w:p>
    <w:p>
      <w:pPr>
        <w:ind w:firstLine="470" w:firstLineChars="196"/>
        <w:rPr>
          <w:rFonts w:ascii="仿宋" w:hAnsi="仿宋" w:eastAsia="仿宋"/>
          <w:sz w:val="24"/>
        </w:rPr>
      </w:pPr>
      <w:r>
        <w:rPr>
          <w:rFonts w:hint="eastAsia" w:ascii="仿宋" w:hAnsi="仿宋" w:eastAsia="仿宋"/>
          <w:sz w:val="24"/>
        </w:rPr>
        <w:t>四、交货及验收</w:t>
      </w:r>
    </w:p>
    <w:p>
      <w:pPr>
        <w:pStyle w:val="48"/>
        <w:ind w:firstLine="480"/>
        <w:rPr>
          <w:rFonts w:ascii="仿宋" w:hAnsi="仿宋" w:eastAsia="仿宋"/>
        </w:rPr>
      </w:pPr>
      <w:r>
        <w:rPr>
          <w:rFonts w:ascii="仿宋" w:hAnsi="仿宋" w:eastAsia="仿宋"/>
        </w:rPr>
        <w:t>1</w:t>
      </w:r>
      <w:r>
        <w:rPr>
          <w:rFonts w:hint="eastAsia" w:ascii="仿宋" w:hAnsi="仿宋" w:eastAsia="仿宋"/>
        </w:rPr>
        <w:t>.乙方交货期限为合同签订生效后的XXX日内，在合同签订生效之日起（XXX）天内交货到甲方指定地点，随即在XXX日内全部完成安装调试验收合格交付使用</w:t>
      </w:r>
      <w:r>
        <w:rPr>
          <w:rFonts w:ascii="仿宋" w:hAnsi="仿宋" w:eastAsia="仿宋"/>
        </w:rPr>
        <w:t>(</w:t>
      </w:r>
      <w:r>
        <w:rPr>
          <w:rFonts w:hint="eastAsia" w:ascii="仿宋" w:hAnsi="仿宋" w:eastAsia="仿宋"/>
        </w:rPr>
        <w:t>如由于采购人的原因造成合同延迟签订或验收的，时间顺延</w:t>
      </w:r>
      <w:r>
        <w:rPr>
          <w:rFonts w:ascii="仿宋" w:hAnsi="仿宋" w:eastAsia="仿宋"/>
        </w:rPr>
        <w:t>)</w:t>
      </w:r>
      <w:r>
        <w:rPr>
          <w:rFonts w:hint="eastAsia" w:ascii="仿宋" w:hAnsi="仿宋" w:eastAsia="仿宋"/>
        </w:rPr>
        <w:t>。交货验收时须提供产品质检部门从同类产品中抽样检查合格的检测报告。</w:t>
      </w:r>
    </w:p>
    <w:p>
      <w:pPr>
        <w:pStyle w:val="48"/>
        <w:ind w:firstLine="480"/>
        <w:rPr>
          <w:rFonts w:ascii="仿宋" w:hAnsi="仿宋" w:eastAsia="仿宋"/>
        </w:rPr>
      </w:pPr>
      <w:r>
        <w:rPr>
          <w:rFonts w:ascii="仿宋" w:hAnsi="仿宋" w:eastAsia="仿宋"/>
        </w:rPr>
        <w:t>2</w:t>
      </w:r>
      <w:r>
        <w:rPr>
          <w:rFonts w:hint="eastAsia" w:ascii="仿宋" w:hAnsi="仿宋" w:eastAsia="仿宋"/>
        </w:rPr>
        <w:t>.验收由甲方组织，乙方配合进行：</w:t>
      </w:r>
    </w:p>
    <w:p>
      <w:pPr>
        <w:pStyle w:val="48"/>
        <w:ind w:firstLine="480"/>
        <w:rPr>
          <w:rFonts w:ascii="仿宋" w:hAnsi="仿宋" w:eastAsia="仿宋"/>
        </w:rPr>
      </w:pPr>
      <w:r>
        <w:rPr>
          <w:rFonts w:ascii="仿宋" w:hAnsi="仿宋" w:eastAsia="仿宋"/>
        </w:rPr>
        <w:t xml:space="preserve">(1) </w:t>
      </w:r>
      <w:r>
        <w:rPr>
          <w:rFonts w:hint="eastAsia" w:ascii="仿宋" w:hAnsi="仿宋" w:eastAsia="仿宋"/>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48"/>
        <w:ind w:firstLine="480"/>
        <w:rPr>
          <w:rFonts w:ascii="仿宋" w:hAnsi="仿宋" w:eastAsia="仿宋"/>
        </w:rPr>
      </w:pPr>
      <w:r>
        <w:rPr>
          <w:rFonts w:ascii="仿宋" w:hAnsi="仿宋" w:eastAsia="仿宋"/>
        </w:rPr>
        <w:t xml:space="preserve">(2) </w:t>
      </w:r>
      <w:r>
        <w:rPr>
          <w:rFonts w:hint="eastAsia" w:ascii="仿宋" w:hAnsi="仿宋" w:eastAsia="仿宋"/>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48"/>
        <w:ind w:firstLine="480"/>
        <w:rPr>
          <w:rFonts w:ascii="仿宋" w:hAnsi="仿宋" w:eastAsia="仿宋"/>
        </w:rPr>
      </w:pPr>
      <w:r>
        <w:rPr>
          <w:rFonts w:ascii="仿宋" w:hAnsi="仿宋" w:eastAsia="仿宋"/>
        </w:rPr>
        <w:t xml:space="preserve">(3) </w:t>
      </w:r>
      <w:r>
        <w:rPr>
          <w:rFonts w:hint="eastAsia" w:ascii="仿宋" w:hAnsi="仿宋" w:eastAsia="仿宋"/>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8"/>
        <w:ind w:firstLine="480"/>
        <w:rPr>
          <w:rFonts w:ascii="仿宋" w:hAnsi="仿宋" w:eastAsia="仿宋"/>
        </w:rPr>
      </w:pPr>
      <w:r>
        <w:rPr>
          <w:rFonts w:hint="eastAsia" w:ascii="仿宋" w:hAnsi="仿宋" w:eastAsia="仿宋"/>
        </w:rPr>
        <w:t>(4)如质量验收合格，双方签署质量验收报告。</w:t>
      </w:r>
    </w:p>
    <w:p>
      <w:pPr>
        <w:pStyle w:val="48"/>
        <w:ind w:firstLine="480"/>
        <w:rPr>
          <w:rFonts w:ascii="仿宋" w:hAnsi="仿宋" w:eastAsia="仿宋"/>
        </w:rPr>
      </w:pPr>
      <w:r>
        <w:rPr>
          <w:rFonts w:ascii="仿宋" w:hAnsi="仿宋" w:eastAsia="仿宋"/>
        </w:rPr>
        <w:t>3</w:t>
      </w:r>
      <w:r>
        <w:rPr>
          <w:rFonts w:hint="eastAsia" w:ascii="仿宋" w:hAnsi="仿宋" w:eastAsia="仿宋"/>
        </w:rPr>
        <w:t>.货物安装调试完毕后XXX日内，甲方无故不进行验收工作并已使用货物的，视同验收合格。</w:t>
      </w:r>
    </w:p>
    <w:p>
      <w:pPr>
        <w:pStyle w:val="48"/>
        <w:ind w:firstLine="480"/>
        <w:rPr>
          <w:rFonts w:ascii="仿宋" w:hAnsi="仿宋" w:eastAsia="仿宋"/>
        </w:rPr>
      </w:pPr>
      <w:r>
        <w:rPr>
          <w:rFonts w:ascii="仿宋" w:hAnsi="仿宋" w:eastAsia="仿宋"/>
        </w:rPr>
        <w:t>4</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48"/>
        <w:ind w:firstLine="480"/>
        <w:rPr>
          <w:rFonts w:ascii="仿宋" w:hAnsi="仿宋" w:eastAsia="仿宋"/>
        </w:rPr>
      </w:pPr>
      <w:r>
        <w:rPr>
          <w:rFonts w:ascii="仿宋" w:hAnsi="仿宋" w:eastAsia="仿宋"/>
        </w:rPr>
        <w:t>5</w:t>
      </w:r>
      <w:r>
        <w:rPr>
          <w:rFonts w:hint="eastAsia" w:ascii="仿宋" w:hAnsi="仿宋" w:eastAsia="仿宋"/>
        </w:rPr>
        <w:t>.如货物经乙方XXX次维修仍不能达到合同约定的质量标准，甲方有权退货，并视作乙方不能交付货物且须支付违约赔偿金给甲方，甲方还可依法追究乙方的违约责任。</w:t>
      </w:r>
    </w:p>
    <w:p>
      <w:pPr>
        <w:pStyle w:val="48"/>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五、付款方式</w:t>
      </w:r>
    </w:p>
    <w:p>
      <w:pPr>
        <w:pStyle w:val="48"/>
        <w:ind w:firstLine="480"/>
        <w:rPr>
          <w:rFonts w:ascii="仿宋" w:hAnsi="仿宋" w:eastAsia="仿宋"/>
        </w:rPr>
      </w:pPr>
      <w:r>
        <w:rPr>
          <w:rFonts w:ascii="仿宋" w:hAnsi="仿宋" w:eastAsia="仿宋"/>
        </w:rPr>
        <w:t>1</w:t>
      </w:r>
      <w:r>
        <w:rPr>
          <w:rFonts w:hint="eastAsia" w:ascii="仿宋" w:hAnsi="仿宋" w:eastAsia="仿宋"/>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48"/>
        <w:ind w:firstLine="480"/>
        <w:rPr>
          <w:rFonts w:ascii="仿宋" w:hAnsi="仿宋" w:eastAsia="仿宋"/>
        </w:rPr>
      </w:pPr>
      <w:r>
        <w:rPr>
          <w:rFonts w:ascii="仿宋" w:hAnsi="仿宋" w:eastAsia="仿宋"/>
        </w:rPr>
        <w:t>2</w:t>
      </w:r>
      <w:r>
        <w:rPr>
          <w:rFonts w:hint="eastAsia" w:ascii="仿宋" w:hAnsi="仿宋" w:eastAsia="仿宋"/>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48"/>
        <w:ind w:firstLine="480"/>
        <w:rPr>
          <w:rFonts w:ascii="仿宋" w:hAnsi="仿宋" w:eastAsia="仿宋"/>
        </w:rPr>
      </w:pPr>
      <w:r>
        <w:rPr>
          <w:rFonts w:ascii="仿宋" w:hAnsi="仿宋" w:eastAsia="仿宋"/>
        </w:rPr>
        <w:t>3</w:t>
      </w:r>
      <w:r>
        <w:rPr>
          <w:rFonts w:hint="eastAsia" w:ascii="仿宋" w:hAnsi="仿宋" w:eastAsia="仿宋"/>
        </w:rPr>
        <w:t>.乙方须向甲方出具合法有效完整的完税发票及凭证资料进行支付结算。</w:t>
      </w:r>
    </w:p>
    <w:p>
      <w:pPr>
        <w:pStyle w:val="48"/>
        <w:ind w:firstLine="480"/>
        <w:rPr>
          <w:rFonts w:ascii="仿宋" w:hAnsi="仿宋" w:eastAsia="仿宋"/>
        </w:rPr>
      </w:pPr>
      <w:r>
        <w:rPr>
          <w:rFonts w:hint="eastAsia" w:ascii="仿宋" w:hAnsi="仿宋" w:eastAsia="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48"/>
        <w:ind w:firstLine="560"/>
        <w:rPr>
          <w:rFonts w:ascii="仿宋" w:hAnsi="仿宋" w:eastAsia="仿宋"/>
          <w:sz w:val="28"/>
          <w:szCs w:val="28"/>
        </w:rPr>
      </w:pPr>
    </w:p>
    <w:p>
      <w:pPr>
        <w:pStyle w:val="48"/>
        <w:ind w:firstLine="480"/>
        <w:rPr>
          <w:rFonts w:ascii="仿宋" w:hAnsi="仿宋" w:eastAsia="仿宋"/>
        </w:rPr>
      </w:pPr>
      <w:r>
        <w:rPr>
          <w:rFonts w:hint="eastAsia" w:ascii="仿宋" w:hAnsi="仿宋" w:eastAsia="仿宋"/>
        </w:rPr>
        <w:t>六、售后服务</w:t>
      </w:r>
    </w:p>
    <w:p>
      <w:pPr>
        <w:pStyle w:val="48"/>
        <w:ind w:firstLine="480"/>
        <w:rPr>
          <w:rFonts w:ascii="仿宋" w:hAnsi="仿宋" w:eastAsia="仿宋"/>
        </w:rPr>
      </w:pPr>
      <w:r>
        <w:rPr>
          <w:rFonts w:ascii="仿宋" w:hAnsi="仿宋" w:eastAsia="仿宋"/>
        </w:rPr>
        <w:t>1</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48"/>
        <w:ind w:firstLine="480"/>
        <w:rPr>
          <w:rFonts w:ascii="仿宋" w:hAnsi="仿宋" w:eastAsia="仿宋"/>
        </w:rPr>
      </w:pPr>
      <w:r>
        <w:rPr>
          <w:rFonts w:ascii="仿宋" w:hAnsi="仿宋" w:eastAsia="仿宋"/>
        </w:rPr>
        <w:t>2</w:t>
      </w:r>
      <w:r>
        <w:rPr>
          <w:rFonts w:hint="eastAsia" w:ascii="仿宋" w:hAnsi="仿宋" w:eastAsia="仿宋"/>
        </w:rPr>
        <w:t>.乙方须指派专人负责与甲方联系售后服务事宜。</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七、违约责任</w:t>
      </w:r>
    </w:p>
    <w:p>
      <w:pPr>
        <w:pStyle w:val="48"/>
        <w:ind w:firstLine="480"/>
        <w:rPr>
          <w:rFonts w:ascii="仿宋" w:hAnsi="仿宋" w:eastAsia="仿宋"/>
        </w:rPr>
      </w:pPr>
      <w:r>
        <w:rPr>
          <w:rFonts w:ascii="仿宋" w:hAnsi="仿宋" w:eastAsia="仿宋"/>
        </w:rPr>
        <w:t>1</w:t>
      </w:r>
      <w:r>
        <w:rPr>
          <w:rFonts w:hint="eastAsia" w:ascii="仿宋" w:hAnsi="仿宋" w:eastAsia="仿宋"/>
        </w:rPr>
        <w:t>.甲方违约责任</w:t>
      </w:r>
    </w:p>
    <w:p>
      <w:pPr>
        <w:pStyle w:val="4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）甲方无正当理由拒收货物的，甲方应偿付合同总价百分之XXX的违约金；</w:t>
      </w:r>
    </w:p>
    <w:p>
      <w:pPr>
        <w:pStyle w:val="4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）甲方逾期支付货款的，除应及时付足货款外，</w:t>
      </w:r>
      <w:r>
        <w:rPr>
          <w:rFonts w:ascii="仿宋" w:hAnsi="仿宋" w:eastAsia="仿宋"/>
        </w:rPr>
        <w:t>应向乙方偿付欠款总额万分之</w:t>
      </w:r>
      <w:r>
        <w:rPr>
          <w:rFonts w:hint="eastAsia" w:ascii="仿宋" w:hAnsi="仿宋" w:eastAsia="仿宋"/>
        </w:rPr>
        <w:t>XXX</w:t>
      </w:r>
      <w:r>
        <w:rPr>
          <w:rFonts w:ascii="仿宋" w:hAnsi="仿宋" w:eastAsia="仿宋"/>
        </w:rPr>
        <w:t>/天</w:t>
      </w:r>
      <w:r>
        <w:rPr>
          <w:rFonts w:hint="eastAsia" w:ascii="仿宋" w:hAnsi="仿宋" w:eastAsia="仿宋"/>
        </w:rPr>
        <w:t>的违约金；逾期付款超过XXX天的，乙方有权终止合同；</w:t>
      </w:r>
    </w:p>
    <w:p>
      <w:pPr>
        <w:pStyle w:val="4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）甲方偿付的违约金不足以弥补乙方损失的，还应按乙方损失尚未弥补的部分，支付赔偿金给乙方。</w:t>
      </w:r>
    </w:p>
    <w:p>
      <w:pPr>
        <w:pStyle w:val="48"/>
        <w:ind w:firstLine="480"/>
        <w:rPr>
          <w:rFonts w:ascii="仿宋" w:hAnsi="仿宋" w:eastAsia="仿宋"/>
        </w:rPr>
      </w:pPr>
      <w:r>
        <w:rPr>
          <w:rFonts w:ascii="仿宋" w:hAnsi="仿宋" w:eastAsia="仿宋"/>
        </w:rPr>
        <w:t>2</w:t>
      </w:r>
      <w:r>
        <w:rPr>
          <w:rFonts w:hint="eastAsia" w:ascii="仿宋" w:hAnsi="仿宋" w:eastAsia="仿宋"/>
        </w:rPr>
        <w:t>.乙方违约责任</w:t>
      </w:r>
    </w:p>
    <w:p>
      <w:pPr>
        <w:pStyle w:val="4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4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）乙方不能交付货物或逾期交付货物而违约的，除应及时交足货物外，</w:t>
      </w:r>
      <w:r>
        <w:rPr>
          <w:rFonts w:ascii="仿宋" w:hAnsi="仿宋" w:eastAsia="仿宋"/>
        </w:rPr>
        <w:t>应向甲方偿付逾期交货部分货款总额的万分之</w:t>
      </w:r>
      <w:r>
        <w:rPr>
          <w:rFonts w:hint="eastAsia" w:ascii="仿宋" w:hAnsi="仿宋" w:eastAsia="仿宋"/>
        </w:rPr>
        <w:t>XXX</w:t>
      </w:r>
      <w:r>
        <w:rPr>
          <w:rFonts w:ascii="仿宋" w:hAnsi="仿宋" w:eastAsia="仿宋"/>
        </w:rPr>
        <w:t>/天</w:t>
      </w:r>
      <w:r>
        <w:rPr>
          <w:rFonts w:hint="eastAsia" w:ascii="仿宋" w:hAnsi="仿宋" w:eastAsia="仿宋"/>
        </w:rPr>
        <w:t>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天，甲方有权终止合同，乙方则应按合同总价的百分之XXX的款额向甲方偿付赔偿金，并须全额退还甲方已经付给乙方的货款及其利息。</w:t>
      </w:r>
    </w:p>
    <w:p>
      <w:pPr>
        <w:pStyle w:val="4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48"/>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48"/>
        <w:ind w:firstLine="48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）乙方偿付的违约金不足以弥补甲方损失的，还应按甲方损失尚未弥补的部分，支付赔偿金给甲方。</w:t>
      </w:r>
    </w:p>
    <w:p>
      <w:pPr>
        <w:ind w:firstLine="360" w:firstLineChars="150"/>
        <w:rPr>
          <w:rFonts w:ascii="仿宋" w:hAnsi="仿宋" w:eastAsia="仿宋"/>
          <w:sz w:val="24"/>
        </w:rPr>
      </w:pPr>
    </w:p>
    <w:p>
      <w:pPr>
        <w:ind w:firstLine="477" w:firstLineChars="199"/>
        <w:rPr>
          <w:rFonts w:ascii="仿宋" w:hAnsi="仿宋" w:eastAsia="仿宋"/>
          <w:sz w:val="24"/>
        </w:rPr>
      </w:pPr>
      <w:r>
        <w:rPr>
          <w:rFonts w:hint="eastAsia" w:ascii="仿宋" w:hAnsi="仿宋" w:eastAsia="仿宋"/>
          <w:sz w:val="24"/>
        </w:rPr>
        <w:t>八、争议解决办法</w:t>
      </w:r>
    </w:p>
    <w:p>
      <w:pPr>
        <w:pStyle w:val="48"/>
        <w:ind w:firstLine="480"/>
        <w:rPr>
          <w:rFonts w:ascii="仿宋" w:hAnsi="仿宋" w:eastAsia="仿宋"/>
        </w:rPr>
      </w:pPr>
      <w:r>
        <w:rPr>
          <w:rFonts w:ascii="仿宋" w:hAnsi="仿宋" w:eastAsia="仿宋"/>
        </w:rPr>
        <w:t>1</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48"/>
        <w:ind w:firstLine="480"/>
        <w:rPr>
          <w:rFonts w:ascii="仿宋" w:hAnsi="仿宋" w:eastAsia="仿宋"/>
        </w:rPr>
      </w:pPr>
      <w:r>
        <w:rPr>
          <w:rFonts w:ascii="仿宋" w:hAnsi="仿宋" w:eastAsia="仿宋"/>
        </w:rPr>
        <w:t>2</w:t>
      </w:r>
      <w:r>
        <w:rPr>
          <w:rFonts w:hint="eastAsia" w:ascii="仿宋" w:hAnsi="仿宋" w:eastAsia="仿宋"/>
        </w:rPr>
        <w:t>.合同履行期间</w:t>
      </w:r>
      <w:r>
        <w:rPr>
          <w:rFonts w:ascii="仿宋" w:hAnsi="仿宋" w:eastAsia="仿宋"/>
        </w:rPr>
        <w:t>,</w:t>
      </w:r>
      <w:r>
        <w:rPr>
          <w:rFonts w:hint="eastAsia" w:ascii="仿宋" w:hAnsi="仿宋" w:eastAsia="仿宋"/>
        </w:rPr>
        <w:t>若双方发生争议，可协商或由有关部门调解解决，协商或调解不成的，由当事人依法维护其合法权益。</w:t>
      </w:r>
    </w:p>
    <w:p>
      <w:pPr>
        <w:ind w:firstLine="360" w:firstLineChars="150"/>
        <w:rPr>
          <w:rFonts w:ascii="仿宋" w:hAnsi="仿宋" w:eastAsia="仿宋"/>
          <w:sz w:val="24"/>
        </w:rPr>
      </w:pPr>
    </w:p>
    <w:p>
      <w:pPr>
        <w:ind w:firstLine="358" w:firstLineChars="128"/>
        <w:rPr>
          <w:rFonts w:ascii="仿宋" w:hAnsi="仿宋" w:eastAsia="仿宋"/>
          <w:sz w:val="28"/>
          <w:szCs w:val="28"/>
        </w:rPr>
      </w:pPr>
      <w:r>
        <w:rPr>
          <w:rFonts w:hint="eastAsia" w:ascii="仿宋" w:hAnsi="仿宋" w:eastAsia="仿宋"/>
          <w:sz w:val="28"/>
          <w:szCs w:val="28"/>
        </w:rPr>
        <w:t>九、其他</w:t>
      </w:r>
    </w:p>
    <w:p>
      <w:pPr>
        <w:pStyle w:val="48"/>
        <w:ind w:firstLine="480"/>
        <w:rPr>
          <w:rFonts w:ascii="仿宋" w:hAnsi="仿宋" w:eastAsia="仿宋"/>
        </w:rPr>
      </w:pPr>
      <w:r>
        <w:rPr>
          <w:rFonts w:ascii="仿宋" w:hAnsi="仿宋" w:eastAsia="仿宋"/>
        </w:rPr>
        <w:t>1</w:t>
      </w:r>
      <w:r>
        <w:rPr>
          <w:rFonts w:hint="eastAsia" w:ascii="仿宋" w:hAnsi="仿宋" w:eastAsia="仿宋"/>
        </w:rPr>
        <w:t>.如有未尽事宜，由双方依法订立补充合同。</w:t>
      </w:r>
    </w:p>
    <w:p>
      <w:pPr>
        <w:pStyle w:val="48"/>
        <w:ind w:firstLine="480"/>
        <w:rPr>
          <w:rFonts w:ascii="仿宋" w:hAnsi="仿宋" w:eastAsia="仿宋"/>
        </w:rPr>
      </w:pPr>
      <w:r>
        <w:rPr>
          <w:rFonts w:ascii="仿宋" w:hAnsi="仿宋" w:eastAsia="仿宋"/>
        </w:rPr>
        <w:t>2</w:t>
      </w:r>
      <w:r>
        <w:rPr>
          <w:rFonts w:hint="eastAsia" w:ascii="仿宋" w:hAnsi="仿宋" w:eastAsia="仿宋"/>
        </w:rPr>
        <w:t>.本合同双方应加盖骑缝章。</w:t>
      </w:r>
    </w:p>
    <w:p>
      <w:pPr>
        <w:pStyle w:val="48"/>
        <w:ind w:firstLine="480"/>
        <w:rPr>
          <w:rFonts w:ascii="仿宋" w:hAnsi="仿宋" w:eastAsia="仿宋"/>
        </w:rPr>
      </w:pPr>
      <w:r>
        <w:rPr>
          <w:rFonts w:hint="eastAsia" w:ascii="仿宋" w:hAnsi="仿宋" w:eastAsia="仿宋"/>
        </w:rPr>
        <w:t>3.本合同一式四份，自双方签章并经代理机构审核编号后生效。甲方、乙方、政府采购管理部门、采购代理机构各一份。</w:t>
      </w:r>
    </w:p>
    <w:p>
      <w:pPr>
        <w:pStyle w:val="55"/>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地址：                            地址：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电话：                            电话：</w:t>
      </w:r>
    </w:p>
    <w:p>
      <w:pPr>
        <w:spacing w:line="400" w:lineRule="exact"/>
        <w:ind w:firstLine="480" w:firstLineChars="200"/>
        <w:rPr>
          <w:rFonts w:ascii="仿宋" w:hAnsi="仿宋" w:eastAsia="仿宋"/>
          <w:sz w:val="24"/>
        </w:rPr>
      </w:pPr>
      <w:r>
        <w:rPr>
          <w:rFonts w:hint="eastAsia" w:ascii="仿宋" w:hAnsi="仿宋" w:eastAsia="仿宋"/>
          <w:sz w:val="24"/>
        </w:rPr>
        <w:t>传真：                            传真：</w:t>
      </w:r>
    </w:p>
    <w:p>
      <w:pPr>
        <w:spacing w:line="400" w:lineRule="exact"/>
        <w:ind w:firstLine="480" w:firstLineChars="200"/>
        <w:rPr>
          <w:rFonts w:ascii="仿宋" w:hAnsi="仿宋" w:eastAsia="仿宋"/>
        </w:rPr>
        <w:sectPr>
          <w:footerReference r:id="rId8" w:type="default"/>
          <w:pgSz w:w="11907" w:h="16840"/>
          <w:pgMar w:top="1134" w:right="1134" w:bottom="1134" w:left="1134" w:header="851" w:footer="992" w:gutter="0"/>
          <w:pgNumType w:fmt="decimal"/>
          <w:cols w:space="425" w:num="1"/>
          <w:docGrid w:linePitch="312" w:charSpace="0"/>
        </w:sect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w:t>
      </w:r>
      <w:bookmarkEnd w:id="106"/>
    </w:p>
    <w:p>
      <w:pPr>
        <w:widowControl/>
        <w:jc w:val="left"/>
        <w:rPr>
          <w:rFonts w:ascii="仿宋" w:hAnsi="仿宋" w:eastAsia="仿宋"/>
        </w:rPr>
      </w:pPr>
      <w:r>
        <w:rPr>
          <w:rFonts w:ascii="仿宋" w:hAnsi="仿宋" w:eastAsia="仿宋"/>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widowControl/>
        <w:jc w:val="left"/>
        <w:rPr>
          <w:rFonts w:ascii="仿宋" w:hAnsi="仿宋" w:eastAsia="仿宋"/>
          <w:sz w:val="24"/>
        </w:rPr>
      </w:pPr>
      <w:r>
        <w:rPr>
          <w:rFonts w:ascii="仿宋" w:hAnsi="仿宋" w:eastAsia="仿宋"/>
          <w:sz w:val="24"/>
        </w:rPr>
        <w:br w:type="page"/>
      </w:r>
    </w:p>
    <w:p>
      <w:pPr>
        <w:spacing w:line="400" w:lineRule="exact"/>
        <w:rPr>
          <w:rFonts w:ascii="仿宋" w:hAnsi="仿宋" w:eastAsia="仿宋" w:cs="Tahoma"/>
          <w:b/>
          <w:sz w:val="30"/>
          <w:szCs w:val="30"/>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ascii="仿宋" w:hAnsi="仿宋" w:eastAsia="仿宋"/>
          <w:sz w:val="28"/>
        </w:rPr>
      </w:pPr>
    </w:p>
    <w:p>
      <w:pPr>
        <w:ind w:firstLine="540"/>
        <w:jc w:val="left"/>
        <w:rPr>
          <w:rFonts w:ascii="仿宋" w:hAnsi="仿宋" w:eastAsia="仿宋"/>
          <w:sz w:val="24"/>
        </w:rPr>
      </w:pPr>
    </w:p>
    <w:sectPr>
      <w:pgSz w:w="11907" w:h="16840"/>
      <w:pgMar w:top="1134" w:right="1134" w:bottom="1134" w:left="1134"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7A"/>
    <w:family w:val="script"/>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suff w:val="space"/>
      <w:lvlText w:val="%1. "/>
      <w:lvlJc w:val="left"/>
      <w:pPr>
        <w:ind w:left="907" w:hanging="907"/>
      </w:pPr>
    </w:lvl>
    <w:lvl w:ilvl="1" w:tentative="0">
      <w:start w:val="1"/>
      <w:numFmt w:val="decima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98"/>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4404D1FE"/>
    <w:multiLevelType w:val="singleLevel"/>
    <w:tmpl w:val="4404D1FE"/>
    <w:lvl w:ilvl="0" w:tentative="0">
      <w:start w:val="1"/>
      <w:numFmt w:val="chineseCounting"/>
      <w:suff w:val="nothing"/>
      <w:lvlText w:val="(%1)"/>
      <w:lvlJc w:val="left"/>
      <w:pPr>
        <w:ind w:left="0" w:firstLine="0"/>
      </w:pPr>
      <w:rPr>
        <w:rFonts w:hint="eastAsia"/>
      </w:rPr>
    </w:lvl>
  </w:abstractNum>
  <w:abstractNum w:abstractNumId="2">
    <w:nsid w:val="4E86ABB8"/>
    <w:multiLevelType w:val="singleLevel"/>
    <w:tmpl w:val="4E86ABB8"/>
    <w:lvl w:ilvl="0" w:tentative="0">
      <w:start w:val="1"/>
      <w:numFmt w:val="decimal"/>
      <w:lvlText w:val="%1."/>
      <w:lvlJc w:val="left"/>
      <w:pPr>
        <w:tabs>
          <w:tab w:val="left" w:pos="312"/>
        </w:tabs>
      </w:pPr>
    </w:lvl>
  </w:abstractNum>
  <w:abstractNum w:abstractNumId="3">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87D89C6"/>
    <w:multiLevelType w:val="singleLevel"/>
    <w:tmpl w:val="587D89C6"/>
    <w:lvl w:ilvl="0" w:tentative="0">
      <w:start w:val="1"/>
      <w:numFmt w:val="decimal"/>
      <w:suff w:val="nothing"/>
      <w:lvlText w:val="%1、"/>
      <w:lvlJc w:val="left"/>
    </w:lvl>
  </w:abstractNum>
  <w:abstractNum w:abstractNumId="5">
    <w:nsid w:val="58807131"/>
    <w:multiLevelType w:val="singleLevel"/>
    <w:tmpl w:val="58807131"/>
    <w:lvl w:ilvl="0" w:tentative="0">
      <w:start w:val="1"/>
      <w:numFmt w:val="decimal"/>
      <w:suff w:val="nothing"/>
      <w:lvlText w:val="%1、"/>
      <w:lvlJc w:val="left"/>
    </w:lvl>
  </w:abstractNum>
  <w:abstractNum w:abstractNumId="6">
    <w:nsid w:val="59C07086"/>
    <w:multiLevelType w:val="singleLevel"/>
    <w:tmpl w:val="59C07086"/>
    <w:lvl w:ilvl="0" w:tentative="0">
      <w:start w:val="1"/>
      <w:numFmt w:val="decimal"/>
      <w:suff w:val="nothing"/>
      <w:lvlText w:val="%1、"/>
      <w:lvlJc w:val="left"/>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dit="readOnly"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0B3F"/>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0936"/>
    <w:rsid w:val="00052746"/>
    <w:rsid w:val="000547AE"/>
    <w:rsid w:val="00056B93"/>
    <w:rsid w:val="00060AE0"/>
    <w:rsid w:val="00063229"/>
    <w:rsid w:val="000636E4"/>
    <w:rsid w:val="00066A5F"/>
    <w:rsid w:val="00074637"/>
    <w:rsid w:val="00076F73"/>
    <w:rsid w:val="000771C9"/>
    <w:rsid w:val="00081264"/>
    <w:rsid w:val="000841FB"/>
    <w:rsid w:val="00085618"/>
    <w:rsid w:val="00092486"/>
    <w:rsid w:val="000940A7"/>
    <w:rsid w:val="00094194"/>
    <w:rsid w:val="000944EF"/>
    <w:rsid w:val="000A3746"/>
    <w:rsid w:val="000A7A94"/>
    <w:rsid w:val="000B4FC9"/>
    <w:rsid w:val="000B5844"/>
    <w:rsid w:val="000B7932"/>
    <w:rsid w:val="000B7D6B"/>
    <w:rsid w:val="000C038E"/>
    <w:rsid w:val="000C4C4B"/>
    <w:rsid w:val="000C65F1"/>
    <w:rsid w:val="000D32C5"/>
    <w:rsid w:val="000D694B"/>
    <w:rsid w:val="000D6DB4"/>
    <w:rsid w:val="000E1CC8"/>
    <w:rsid w:val="000E52AF"/>
    <w:rsid w:val="000F7648"/>
    <w:rsid w:val="000F7F7B"/>
    <w:rsid w:val="0010095E"/>
    <w:rsid w:val="00103A74"/>
    <w:rsid w:val="00116122"/>
    <w:rsid w:val="00122158"/>
    <w:rsid w:val="00123566"/>
    <w:rsid w:val="00124399"/>
    <w:rsid w:val="00124EBB"/>
    <w:rsid w:val="00130354"/>
    <w:rsid w:val="001335FB"/>
    <w:rsid w:val="00134500"/>
    <w:rsid w:val="001350D9"/>
    <w:rsid w:val="0013562D"/>
    <w:rsid w:val="00137F93"/>
    <w:rsid w:val="00142C9E"/>
    <w:rsid w:val="00143A37"/>
    <w:rsid w:val="001446C7"/>
    <w:rsid w:val="001454FD"/>
    <w:rsid w:val="00146917"/>
    <w:rsid w:val="00153C61"/>
    <w:rsid w:val="00154B00"/>
    <w:rsid w:val="00160D5B"/>
    <w:rsid w:val="00161605"/>
    <w:rsid w:val="00161C87"/>
    <w:rsid w:val="00163607"/>
    <w:rsid w:val="00165868"/>
    <w:rsid w:val="00166E43"/>
    <w:rsid w:val="00167226"/>
    <w:rsid w:val="00170A07"/>
    <w:rsid w:val="001810E8"/>
    <w:rsid w:val="0018628A"/>
    <w:rsid w:val="00190732"/>
    <w:rsid w:val="001A644E"/>
    <w:rsid w:val="001A6824"/>
    <w:rsid w:val="001A7EA5"/>
    <w:rsid w:val="001B1503"/>
    <w:rsid w:val="001B5ED3"/>
    <w:rsid w:val="001C0CA8"/>
    <w:rsid w:val="001D0A82"/>
    <w:rsid w:val="001D1EC9"/>
    <w:rsid w:val="001D2A9D"/>
    <w:rsid w:val="001D5970"/>
    <w:rsid w:val="001D794D"/>
    <w:rsid w:val="001E24F1"/>
    <w:rsid w:val="001E3951"/>
    <w:rsid w:val="001E5E14"/>
    <w:rsid w:val="001E6553"/>
    <w:rsid w:val="001F10D5"/>
    <w:rsid w:val="001F11D9"/>
    <w:rsid w:val="001F50A2"/>
    <w:rsid w:val="001F6802"/>
    <w:rsid w:val="002008D3"/>
    <w:rsid w:val="002019AA"/>
    <w:rsid w:val="002023EE"/>
    <w:rsid w:val="00206073"/>
    <w:rsid w:val="002064AB"/>
    <w:rsid w:val="00211967"/>
    <w:rsid w:val="0021567A"/>
    <w:rsid w:val="002157E3"/>
    <w:rsid w:val="00222893"/>
    <w:rsid w:val="00222B1C"/>
    <w:rsid w:val="00223D55"/>
    <w:rsid w:val="00230C45"/>
    <w:rsid w:val="00231731"/>
    <w:rsid w:val="00235C03"/>
    <w:rsid w:val="00236F48"/>
    <w:rsid w:val="00237502"/>
    <w:rsid w:val="00240851"/>
    <w:rsid w:val="00243EFE"/>
    <w:rsid w:val="002455E4"/>
    <w:rsid w:val="00245BD6"/>
    <w:rsid w:val="00245FA0"/>
    <w:rsid w:val="002501A9"/>
    <w:rsid w:val="00253FCD"/>
    <w:rsid w:val="00254363"/>
    <w:rsid w:val="002610AD"/>
    <w:rsid w:val="00263790"/>
    <w:rsid w:val="00272D54"/>
    <w:rsid w:val="002760F4"/>
    <w:rsid w:val="002814C1"/>
    <w:rsid w:val="002919CE"/>
    <w:rsid w:val="00293A45"/>
    <w:rsid w:val="002944ED"/>
    <w:rsid w:val="0029616E"/>
    <w:rsid w:val="00297E22"/>
    <w:rsid w:val="002A145F"/>
    <w:rsid w:val="002A4650"/>
    <w:rsid w:val="002A558A"/>
    <w:rsid w:val="002A5E1C"/>
    <w:rsid w:val="002A6BF4"/>
    <w:rsid w:val="002A7625"/>
    <w:rsid w:val="002B4EBC"/>
    <w:rsid w:val="002C1A5B"/>
    <w:rsid w:val="002C44EF"/>
    <w:rsid w:val="002C54B6"/>
    <w:rsid w:val="002C593F"/>
    <w:rsid w:val="002C5D3A"/>
    <w:rsid w:val="002C7BED"/>
    <w:rsid w:val="002D5302"/>
    <w:rsid w:val="002D5B29"/>
    <w:rsid w:val="002E023A"/>
    <w:rsid w:val="002E0E72"/>
    <w:rsid w:val="002F00AA"/>
    <w:rsid w:val="002F473B"/>
    <w:rsid w:val="002F776E"/>
    <w:rsid w:val="00302060"/>
    <w:rsid w:val="0031394A"/>
    <w:rsid w:val="00313C59"/>
    <w:rsid w:val="0031567A"/>
    <w:rsid w:val="003203BB"/>
    <w:rsid w:val="00321FD6"/>
    <w:rsid w:val="00323E41"/>
    <w:rsid w:val="00326F53"/>
    <w:rsid w:val="00326F8D"/>
    <w:rsid w:val="00327D7D"/>
    <w:rsid w:val="003377C4"/>
    <w:rsid w:val="003403B1"/>
    <w:rsid w:val="00342E27"/>
    <w:rsid w:val="00346BEF"/>
    <w:rsid w:val="00346C9C"/>
    <w:rsid w:val="00347AC5"/>
    <w:rsid w:val="003503AB"/>
    <w:rsid w:val="00354474"/>
    <w:rsid w:val="00360E7D"/>
    <w:rsid w:val="00361AC2"/>
    <w:rsid w:val="00364CD9"/>
    <w:rsid w:val="00377983"/>
    <w:rsid w:val="00380DE6"/>
    <w:rsid w:val="003976F4"/>
    <w:rsid w:val="003A336C"/>
    <w:rsid w:val="003B0CAA"/>
    <w:rsid w:val="003B5EE6"/>
    <w:rsid w:val="003B72D5"/>
    <w:rsid w:val="003C0355"/>
    <w:rsid w:val="003C0A79"/>
    <w:rsid w:val="003C11FC"/>
    <w:rsid w:val="003C2CE4"/>
    <w:rsid w:val="003C46EC"/>
    <w:rsid w:val="003C781D"/>
    <w:rsid w:val="003D0021"/>
    <w:rsid w:val="003E2DC9"/>
    <w:rsid w:val="003E3D3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1BEB"/>
    <w:rsid w:val="00452806"/>
    <w:rsid w:val="00453207"/>
    <w:rsid w:val="00454CC8"/>
    <w:rsid w:val="004633B6"/>
    <w:rsid w:val="004746FB"/>
    <w:rsid w:val="004751F7"/>
    <w:rsid w:val="0047791E"/>
    <w:rsid w:val="004853A0"/>
    <w:rsid w:val="0048587E"/>
    <w:rsid w:val="00490CD5"/>
    <w:rsid w:val="00493269"/>
    <w:rsid w:val="00493624"/>
    <w:rsid w:val="00495306"/>
    <w:rsid w:val="004963CF"/>
    <w:rsid w:val="004A1859"/>
    <w:rsid w:val="004B436D"/>
    <w:rsid w:val="004B477A"/>
    <w:rsid w:val="004C1799"/>
    <w:rsid w:val="004C1B6F"/>
    <w:rsid w:val="004C3CC0"/>
    <w:rsid w:val="004C500B"/>
    <w:rsid w:val="004C67A5"/>
    <w:rsid w:val="004D1F9A"/>
    <w:rsid w:val="004D3E29"/>
    <w:rsid w:val="004E1B07"/>
    <w:rsid w:val="004E3F87"/>
    <w:rsid w:val="004E502D"/>
    <w:rsid w:val="004F12AD"/>
    <w:rsid w:val="004F481B"/>
    <w:rsid w:val="004F4FC9"/>
    <w:rsid w:val="00500ADA"/>
    <w:rsid w:val="0051026C"/>
    <w:rsid w:val="005111EA"/>
    <w:rsid w:val="00516E3D"/>
    <w:rsid w:val="005176E3"/>
    <w:rsid w:val="005270D9"/>
    <w:rsid w:val="00527916"/>
    <w:rsid w:val="005316C8"/>
    <w:rsid w:val="00535541"/>
    <w:rsid w:val="00535816"/>
    <w:rsid w:val="00537915"/>
    <w:rsid w:val="00540F5C"/>
    <w:rsid w:val="00541CC1"/>
    <w:rsid w:val="00542E11"/>
    <w:rsid w:val="00543E84"/>
    <w:rsid w:val="00546C77"/>
    <w:rsid w:val="005541FD"/>
    <w:rsid w:val="00556686"/>
    <w:rsid w:val="00561DEA"/>
    <w:rsid w:val="005650D8"/>
    <w:rsid w:val="00567DB2"/>
    <w:rsid w:val="00571C53"/>
    <w:rsid w:val="00573BAA"/>
    <w:rsid w:val="005766C7"/>
    <w:rsid w:val="00580AA4"/>
    <w:rsid w:val="0058682C"/>
    <w:rsid w:val="0059447E"/>
    <w:rsid w:val="00596438"/>
    <w:rsid w:val="00596A0F"/>
    <w:rsid w:val="00597189"/>
    <w:rsid w:val="005A0B2F"/>
    <w:rsid w:val="005A278A"/>
    <w:rsid w:val="005A61B7"/>
    <w:rsid w:val="005A7033"/>
    <w:rsid w:val="005B0BF1"/>
    <w:rsid w:val="005B16CB"/>
    <w:rsid w:val="005B2269"/>
    <w:rsid w:val="005B2294"/>
    <w:rsid w:val="005B4F57"/>
    <w:rsid w:val="005B626E"/>
    <w:rsid w:val="005B75E3"/>
    <w:rsid w:val="005C6DC1"/>
    <w:rsid w:val="005D2EB1"/>
    <w:rsid w:val="005D35B0"/>
    <w:rsid w:val="005D3BD1"/>
    <w:rsid w:val="005D5133"/>
    <w:rsid w:val="005D6FB0"/>
    <w:rsid w:val="005E1006"/>
    <w:rsid w:val="005F4D50"/>
    <w:rsid w:val="00600CD6"/>
    <w:rsid w:val="00601054"/>
    <w:rsid w:val="00601E44"/>
    <w:rsid w:val="00604181"/>
    <w:rsid w:val="006078E3"/>
    <w:rsid w:val="00611256"/>
    <w:rsid w:val="00611C56"/>
    <w:rsid w:val="00616DD2"/>
    <w:rsid w:val="00622FB5"/>
    <w:rsid w:val="00640017"/>
    <w:rsid w:val="00641F47"/>
    <w:rsid w:val="00643774"/>
    <w:rsid w:val="00647E4A"/>
    <w:rsid w:val="00652492"/>
    <w:rsid w:val="006606D8"/>
    <w:rsid w:val="006662C3"/>
    <w:rsid w:val="006667B3"/>
    <w:rsid w:val="006727B0"/>
    <w:rsid w:val="006741CC"/>
    <w:rsid w:val="00681863"/>
    <w:rsid w:val="00682608"/>
    <w:rsid w:val="00684FDE"/>
    <w:rsid w:val="00685251"/>
    <w:rsid w:val="00686750"/>
    <w:rsid w:val="00691902"/>
    <w:rsid w:val="00695FFE"/>
    <w:rsid w:val="00696F35"/>
    <w:rsid w:val="006B062F"/>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14AAF"/>
    <w:rsid w:val="007213C7"/>
    <w:rsid w:val="007215D4"/>
    <w:rsid w:val="00722F2F"/>
    <w:rsid w:val="00724B66"/>
    <w:rsid w:val="007322D4"/>
    <w:rsid w:val="007347CC"/>
    <w:rsid w:val="00741C7D"/>
    <w:rsid w:val="00744571"/>
    <w:rsid w:val="007467F8"/>
    <w:rsid w:val="00746CBE"/>
    <w:rsid w:val="00747346"/>
    <w:rsid w:val="007547FD"/>
    <w:rsid w:val="00755173"/>
    <w:rsid w:val="007557BF"/>
    <w:rsid w:val="007632FD"/>
    <w:rsid w:val="0077446B"/>
    <w:rsid w:val="00774F0B"/>
    <w:rsid w:val="007813C4"/>
    <w:rsid w:val="007828AC"/>
    <w:rsid w:val="00782D32"/>
    <w:rsid w:val="007905D3"/>
    <w:rsid w:val="00792255"/>
    <w:rsid w:val="0079299E"/>
    <w:rsid w:val="00792C89"/>
    <w:rsid w:val="00797F2B"/>
    <w:rsid w:val="007A0C01"/>
    <w:rsid w:val="007A6375"/>
    <w:rsid w:val="007B2D1C"/>
    <w:rsid w:val="007B63C3"/>
    <w:rsid w:val="007C3A43"/>
    <w:rsid w:val="007C59D8"/>
    <w:rsid w:val="007D0242"/>
    <w:rsid w:val="007D0DFB"/>
    <w:rsid w:val="007D229D"/>
    <w:rsid w:val="007D3824"/>
    <w:rsid w:val="007D4358"/>
    <w:rsid w:val="007D449D"/>
    <w:rsid w:val="007D62B7"/>
    <w:rsid w:val="007D64CD"/>
    <w:rsid w:val="007D6F97"/>
    <w:rsid w:val="007D7525"/>
    <w:rsid w:val="007E051E"/>
    <w:rsid w:val="007E57D3"/>
    <w:rsid w:val="007E5DBE"/>
    <w:rsid w:val="007E7C4E"/>
    <w:rsid w:val="007F057F"/>
    <w:rsid w:val="007F1899"/>
    <w:rsid w:val="007F2B47"/>
    <w:rsid w:val="007F426D"/>
    <w:rsid w:val="008009C6"/>
    <w:rsid w:val="00801AD0"/>
    <w:rsid w:val="00801D50"/>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0247"/>
    <w:rsid w:val="00891060"/>
    <w:rsid w:val="0089230A"/>
    <w:rsid w:val="00897811"/>
    <w:rsid w:val="008A3A00"/>
    <w:rsid w:val="008A5C00"/>
    <w:rsid w:val="008B0B52"/>
    <w:rsid w:val="008B33AE"/>
    <w:rsid w:val="008B53A7"/>
    <w:rsid w:val="008B60C4"/>
    <w:rsid w:val="008C229E"/>
    <w:rsid w:val="008C2629"/>
    <w:rsid w:val="008C3BEC"/>
    <w:rsid w:val="008C7D87"/>
    <w:rsid w:val="008D228F"/>
    <w:rsid w:val="008D5E6F"/>
    <w:rsid w:val="008D7876"/>
    <w:rsid w:val="008E7601"/>
    <w:rsid w:val="008F001F"/>
    <w:rsid w:val="008F0FDD"/>
    <w:rsid w:val="00900394"/>
    <w:rsid w:val="009005D7"/>
    <w:rsid w:val="009068AF"/>
    <w:rsid w:val="00906F56"/>
    <w:rsid w:val="0091774A"/>
    <w:rsid w:val="00930621"/>
    <w:rsid w:val="00932F90"/>
    <w:rsid w:val="0094147D"/>
    <w:rsid w:val="009422FF"/>
    <w:rsid w:val="009467E8"/>
    <w:rsid w:val="00946A45"/>
    <w:rsid w:val="009474C6"/>
    <w:rsid w:val="00953DA9"/>
    <w:rsid w:val="00966CFD"/>
    <w:rsid w:val="0097011A"/>
    <w:rsid w:val="009803D0"/>
    <w:rsid w:val="0098688C"/>
    <w:rsid w:val="00987329"/>
    <w:rsid w:val="00993204"/>
    <w:rsid w:val="00993C92"/>
    <w:rsid w:val="009A1763"/>
    <w:rsid w:val="009A3C7C"/>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75FC"/>
    <w:rsid w:val="00A00DF5"/>
    <w:rsid w:val="00A01E05"/>
    <w:rsid w:val="00A07304"/>
    <w:rsid w:val="00A10735"/>
    <w:rsid w:val="00A10DAB"/>
    <w:rsid w:val="00A10DD8"/>
    <w:rsid w:val="00A1204E"/>
    <w:rsid w:val="00A209B9"/>
    <w:rsid w:val="00A23670"/>
    <w:rsid w:val="00A37911"/>
    <w:rsid w:val="00A4620C"/>
    <w:rsid w:val="00A5027D"/>
    <w:rsid w:val="00A574CF"/>
    <w:rsid w:val="00A817D0"/>
    <w:rsid w:val="00A8282F"/>
    <w:rsid w:val="00A857D2"/>
    <w:rsid w:val="00A85A6B"/>
    <w:rsid w:val="00A962F5"/>
    <w:rsid w:val="00AB30EC"/>
    <w:rsid w:val="00AC180A"/>
    <w:rsid w:val="00AC5E0A"/>
    <w:rsid w:val="00AC6BD9"/>
    <w:rsid w:val="00AD58B3"/>
    <w:rsid w:val="00AD7270"/>
    <w:rsid w:val="00AE3FF4"/>
    <w:rsid w:val="00AE415B"/>
    <w:rsid w:val="00AE483E"/>
    <w:rsid w:val="00AE79D7"/>
    <w:rsid w:val="00AF3432"/>
    <w:rsid w:val="00B06473"/>
    <w:rsid w:val="00B0665F"/>
    <w:rsid w:val="00B07D19"/>
    <w:rsid w:val="00B1082B"/>
    <w:rsid w:val="00B10EC1"/>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86A3A"/>
    <w:rsid w:val="00B90DFE"/>
    <w:rsid w:val="00B91E16"/>
    <w:rsid w:val="00B941F6"/>
    <w:rsid w:val="00B961D4"/>
    <w:rsid w:val="00B97913"/>
    <w:rsid w:val="00BA2C86"/>
    <w:rsid w:val="00BB27CF"/>
    <w:rsid w:val="00BB405C"/>
    <w:rsid w:val="00BB7CDA"/>
    <w:rsid w:val="00BB7DD0"/>
    <w:rsid w:val="00BD58EC"/>
    <w:rsid w:val="00BD7A54"/>
    <w:rsid w:val="00BE19A2"/>
    <w:rsid w:val="00BF141E"/>
    <w:rsid w:val="00BF563F"/>
    <w:rsid w:val="00BF705F"/>
    <w:rsid w:val="00BF7963"/>
    <w:rsid w:val="00C04FF8"/>
    <w:rsid w:val="00C07ACE"/>
    <w:rsid w:val="00C10596"/>
    <w:rsid w:val="00C10F64"/>
    <w:rsid w:val="00C138CA"/>
    <w:rsid w:val="00C156C3"/>
    <w:rsid w:val="00C16C57"/>
    <w:rsid w:val="00C1754E"/>
    <w:rsid w:val="00C275C5"/>
    <w:rsid w:val="00C36A01"/>
    <w:rsid w:val="00C40FE5"/>
    <w:rsid w:val="00C5035D"/>
    <w:rsid w:val="00C50B1F"/>
    <w:rsid w:val="00C5194D"/>
    <w:rsid w:val="00C51F92"/>
    <w:rsid w:val="00C528A1"/>
    <w:rsid w:val="00C53947"/>
    <w:rsid w:val="00C617C3"/>
    <w:rsid w:val="00C628C1"/>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D02079"/>
    <w:rsid w:val="00D02D51"/>
    <w:rsid w:val="00D1018E"/>
    <w:rsid w:val="00D113AF"/>
    <w:rsid w:val="00D121FA"/>
    <w:rsid w:val="00D14B02"/>
    <w:rsid w:val="00D17EBD"/>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617F"/>
    <w:rsid w:val="00D72F76"/>
    <w:rsid w:val="00D735F8"/>
    <w:rsid w:val="00D770F1"/>
    <w:rsid w:val="00D86985"/>
    <w:rsid w:val="00D921D3"/>
    <w:rsid w:val="00D93E99"/>
    <w:rsid w:val="00D945C3"/>
    <w:rsid w:val="00D94788"/>
    <w:rsid w:val="00D974EF"/>
    <w:rsid w:val="00D97F97"/>
    <w:rsid w:val="00DA09B5"/>
    <w:rsid w:val="00DA2E76"/>
    <w:rsid w:val="00DB29CF"/>
    <w:rsid w:val="00DC216D"/>
    <w:rsid w:val="00DC2CFD"/>
    <w:rsid w:val="00DC4CD5"/>
    <w:rsid w:val="00DC5C23"/>
    <w:rsid w:val="00DC5E46"/>
    <w:rsid w:val="00DD08F7"/>
    <w:rsid w:val="00DD4474"/>
    <w:rsid w:val="00DE624E"/>
    <w:rsid w:val="00DF5F34"/>
    <w:rsid w:val="00DF73ED"/>
    <w:rsid w:val="00E00F1D"/>
    <w:rsid w:val="00E0167D"/>
    <w:rsid w:val="00E01ED9"/>
    <w:rsid w:val="00E020D3"/>
    <w:rsid w:val="00E022DD"/>
    <w:rsid w:val="00E058AC"/>
    <w:rsid w:val="00E06AF3"/>
    <w:rsid w:val="00E122E3"/>
    <w:rsid w:val="00E13E17"/>
    <w:rsid w:val="00E14D9B"/>
    <w:rsid w:val="00E15A1E"/>
    <w:rsid w:val="00E202E8"/>
    <w:rsid w:val="00E3167C"/>
    <w:rsid w:val="00E343A4"/>
    <w:rsid w:val="00E34BE5"/>
    <w:rsid w:val="00E37CBB"/>
    <w:rsid w:val="00E41337"/>
    <w:rsid w:val="00E424D5"/>
    <w:rsid w:val="00E42585"/>
    <w:rsid w:val="00E42C54"/>
    <w:rsid w:val="00E51901"/>
    <w:rsid w:val="00E57707"/>
    <w:rsid w:val="00E604F4"/>
    <w:rsid w:val="00E6096D"/>
    <w:rsid w:val="00E618E9"/>
    <w:rsid w:val="00E65BD5"/>
    <w:rsid w:val="00E669A5"/>
    <w:rsid w:val="00E67E02"/>
    <w:rsid w:val="00E74E87"/>
    <w:rsid w:val="00E76914"/>
    <w:rsid w:val="00E81DA9"/>
    <w:rsid w:val="00E8228E"/>
    <w:rsid w:val="00E83398"/>
    <w:rsid w:val="00E858B7"/>
    <w:rsid w:val="00E92E8E"/>
    <w:rsid w:val="00EA4070"/>
    <w:rsid w:val="00EA6274"/>
    <w:rsid w:val="00EB016A"/>
    <w:rsid w:val="00EB1515"/>
    <w:rsid w:val="00EB274C"/>
    <w:rsid w:val="00EC7AFE"/>
    <w:rsid w:val="00ED50F1"/>
    <w:rsid w:val="00ED5AF6"/>
    <w:rsid w:val="00ED7B71"/>
    <w:rsid w:val="00EE5E27"/>
    <w:rsid w:val="00EF1B04"/>
    <w:rsid w:val="00EF3703"/>
    <w:rsid w:val="00EF3F16"/>
    <w:rsid w:val="00EF5BC0"/>
    <w:rsid w:val="00EF69E6"/>
    <w:rsid w:val="00F00B96"/>
    <w:rsid w:val="00F038DD"/>
    <w:rsid w:val="00F1592A"/>
    <w:rsid w:val="00F22774"/>
    <w:rsid w:val="00F277CE"/>
    <w:rsid w:val="00F407E9"/>
    <w:rsid w:val="00F42626"/>
    <w:rsid w:val="00F4498E"/>
    <w:rsid w:val="00F4499E"/>
    <w:rsid w:val="00F50E0A"/>
    <w:rsid w:val="00F53C4F"/>
    <w:rsid w:val="00F6146E"/>
    <w:rsid w:val="00F663DC"/>
    <w:rsid w:val="00F700F8"/>
    <w:rsid w:val="00F719AF"/>
    <w:rsid w:val="00F71A9D"/>
    <w:rsid w:val="00F869CD"/>
    <w:rsid w:val="00F96D29"/>
    <w:rsid w:val="00FA30E0"/>
    <w:rsid w:val="00FA63CD"/>
    <w:rsid w:val="00FA6A3E"/>
    <w:rsid w:val="00FA6DEF"/>
    <w:rsid w:val="00FB1668"/>
    <w:rsid w:val="00FB3D9D"/>
    <w:rsid w:val="00FB7783"/>
    <w:rsid w:val="00FD0379"/>
    <w:rsid w:val="00FD684A"/>
    <w:rsid w:val="00FE22FF"/>
    <w:rsid w:val="00FF0A46"/>
    <w:rsid w:val="00FF263E"/>
    <w:rsid w:val="00FF30F8"/>
    <w:rsid w:val="00FF5184"/>
    <w:rsid w:val="00FF66D7"/>
    <w:rsid w:val="00FF7FE3"/>
    <w:rsid w:val="05015D85"/>
    <w:rsid w:val="095837D1"/>
    <w:rsid w:val="0C06083B"/>
    <w:rsid w:val="0C3B1F34"/>
    <w:rsid w:val="0E4E4508"/>
    <w:rsid w:val="101209A4"/>
    <w:rsid w:val="1A63152E"/>
    <w:rsid w:val="1BC05B5E"/>
    <w:rsid w:val="21153713"/>
    <w:rsid w:val="22286C0E"/>
    <w:rsid w:val="22F96DEE"/>
    <w:rsid w:val="23657B37"/>
    <w:rsid w:val="23E5206A"/>
    <w:rsid w:val="23EA0DAB"/>
    <w:rsid w:val="2A5E2C32"/>
    <w:rsid w:val="2C783060"/>
    <w:rsid w:val="2D6128FB"/>
    <w:rsid w:val="2FF84291"/>
    <w:rsid w:val="326C67DD"/>
    <w:rsid w:val="331A4D36"/>
    <w:rsid w:val="334E0780"/>
    <w:rsid w:val="42E738CE"/>
    <w:rsid w:val="43FB3B2E"/>
    <w:rsid w:val="5463295C"/>
    <w:rsid w:val="681D48E0"/>
    <w:rsid w:val="6F87409D"/>
    <w:rsid w:val="706D12CD"/>
    <w:rsid w:val="7A567F6D"/>
    <w:rsid w:val="7AE439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6"/>
    <w:qFormat/>
    <w:uiPriority w:val="0"/>
    <w:pPr>
      <w:spacing w:after="120"/>
    </w:pPr>
  </w:style>
  <w:style w:type="paragraph" w:styleId="6">
    <w:name w:val="Normal Indent"/>
    <w:basedOn w:val="1"/>
    <w:link w:val="34"/>
    <w:qFormat/>
    <w:uiPriority w:val="0"/>
    <w:pPr>
      <w:ind w:firstLine="420" w:firstLineChars="200"/>
    </w:pPr>
  </w:style>
  <w:style w:type="paragraph" w:styleId="7">
    <w:name w:val="Document Map"/>
    <w:basedOn w:val="1"/>
    <w:link w:val="35"/>
    <w:qFormat/>
    <w:uiPriority w:val="99"/>
    <w:rPr>
      <w:rFonts w:ascii="宋体"/>
      <w:sz w:val="18"/>
      <w:szCs w:val="18"/>
    </w:rPr>
  </w:style>
  <w:style w:type="paragraph" w:styleId="8">
    <w:name w:val="annotation text"/>
    <w:basedOn w:val="1"/>
    <w:link w:val="32"/>
    <w:qFormat/>
    <w:uiPriority w:val="99"/>
    <w:pPr>
      <w:jc w:val="left"/>
    </w:pPr>
    <w:rPr>
      <w:rFonts w:asciiTheme="minorHAnsi" w:hAnsiTheme="minorHAnsi" w:eastAsiaTheme="minorEastAsia" w:cstheme="minorBidi"/>
      <w:sz w:val="18"/>
      <w:szCs w:val="22"/>
    </w:rPr>
  </w:style>
  <w:style w:type="paragraph" w:styleId="9">
    <w:name w:val="Body Text Indent"/>
    <w:basedOn w:val="1"/>
    <w:link w:val="37"/>
    <w:qFormat/>
    <w:uiPriority w:val="99"/>
    <w:pPr>
      <w:ind w:firstLine="630"/>
    </w:pPr>
    <w:rPr>
      <w:sz w:val="32"/>
      <w:szCs w:val="20"/>
    </w:rPr>
  </w:style>
  <w:style w:type="paragraph" w:styleId="10">
    <w:name w:val="Plain Text"/>
    <w:basedOn w:val="1"/>
    <w:link w:val="38"/>
    <w:qFormat/>
    <w:uiPriority w:val="0"/>
    <w:pPr>
      <w:autoSpaceDE w:val="0"/>
      <w:autoSpaceDN w:val="0"/>
      <w:adjustRightInd w:val="0"/>
    </w:pPr>
    <w:rPr>
      <w:rFonts w:ascii="宋体" w:hAnsi="Tms Rmn" w:cstheme="minorBidi"/>
      <w:szCs w:val="22"/>
    </w:rPr>
  </w:style>
  <w:style w:type="paragraph" w:styleId="11">
    <w:name w:val="Date"/>
    <w:basedOn w:val="1"/>
    <w:next w:val="1"/>
    <w:link w:val="62"/>
    <w:unhideWhenUsed/>
    <w:qFormat/>
    <w:uiPriority w:val="99"/>
    <w:pPr>
      <w:ind w:left="100" w:leftChars="2500"/>
    </w:pPr>
    <w:rPr>
      <w:rFonts w:asciiTheme="minorHAnsi" w:hAnsiTheme="minorHAnsi" w:eastAsiaTheme="minorEastAsia" w:cstheme="minorBidi"/>
      <w:kern w:val="0"/>
      <w:sz w:val="20"/>
      <w:szCs w:val="20"/>
    </w:rPr>
  </w:style>
  <w:style w:type="paragraph" w:styleId="12">
    <w:name w:val="Body Text Indent 2"/>
    <w:basedOn w:val="1"/>
    <w:link w:val="39"/>
    <w:qFormat/>
    <w:uiPriority w:val="0"/>
    <w:pPr>
      <w:spacing w:after="120" w:line="480" w:lineRule="auto"/>
      <w:ind w:left="420" w:leftChars="200"/>
    </w:pPr>
  </w:style>
  <w:style w:type="paragraph" w:styleId="13">
    <w:name w:val="Balloon Text"/>
    <w:basedOn w:val="1"/>
    <w:link w:val="40"/>
    <w:qFormat/>
    <w:uiPriority w:val="99"/>
    <w:rPr>
      <w:sz w:val="18"/>
      <w:szCs w:val="18"/>
    </w:rPr>
  </w:style>
  <w:style w:type="paragraph" w:styleId="14">
    <w:name w:val="footer"/>
    <w:basedOn w:val="1"/>
    <w:link w:val="41"/>
    <w:unhideWhenUsed/>
    <w:qFormat/>
    <w:uiPriority w:val="99"/>
    <w:pPr>
      <w:tabs>
        <w:tab w:val="center" w:pos="4153"/>
        <w:tab w:val="right" w:pos="8306"/>
      </w:tabs>
      <w:snapToGrid w:val="0"/>
      <w:jc w:val="left"/>
    </w:pPr>
    <w:rPr>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360" w:lineRule="auto"/>
    </w:pPr>
    <w:rPr>
      <w:rFonts w:eastAsia="微软雅黑"/>
      <w:sz w:val="24"/>
    </w:rPr>
  </w:style>
  <w:style w:type="paragraph" w:styleId="17">
    <w:name w:val="Body Text Indent 3"/>
    <w:basedOn w:val="1"/>
    <w:link w:val="43"/>
    <w:qFormat/>
    <w:uiPriority w:val="0"/>
    <w:pPr>
      <w:spacing w:after="120"/>
      <w:ind w:left="420" w:leftChars="200"/>
    </w:pPr>
    <w:rPr>
      <w:sz w:val="16"/>
      <w:szCs w:val="16"/>
    </w:rPr>
  </w:style>
  <w:style w:type="paragraph" w:styleId="18">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9">
    <w:name w:val="Title"/>
    <w:basedOn w:val="1"/>
    <w:next w:val="1"/>
    <w:link w:val="60"/>
    <w:qFormat/>
    <w:uiPriority w:val="10"/>
    <w:pPr>
      <w:spacing w:before="240" w:after="60"/>
      <w:jc w:val="center"/>
      <w:outlineLvl w:val="0"/>
    </w:pPr>
    <w:rPr>
      <w:rFonts w:asciiTheme="majorHAnsi" w:hAnsiTheme="majorHAnsi" w:cstheme="majorBidi"/>
      <w:b/>
      <w:bCs/>
      <w:sz w:val="32"/>
      <w:szCs w:val="32"/>
    </w:rPr>
  </w:style>
  <w:style w:type="paragraph" w:styleId="20">
    <w:name w:val="annotation subject"/>
    <w:basedOn w:val="8"/>
    <w:next w:val="8"/>
    <w:link w:val="33"/>
    <w:qFormat/>
    <w:uiPriority w:val="99"/>
    <w:rPr>
      <w:b/>
      <w:bCs/>
      <w:sz w:val="21"/>
      <w:szCs w:val="24"/>
    </w:rPr>
  </w:style>
  <w:style w:type="table" w:styleId="22">
    <w:name w:val="Table Grid"/>
    <w:basedOn w:val="21"/>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semiHidden/>
    <w:unhideWhenUsed/>
    <w:qFormat/>
    <w:uiPriority w:val="99"/>
    <w:rPr>
      <w:color w:val="800080"/>
      <w:u w:val="single"/>
    </w:rPr>
  </w:style>
  <w:style w:type="character" w:styleId="26">
    <w:name w:val="Hyperlink"/>
    <w:qFormat/>
    <w:uiPriority w:val="99"/>
    <w:rPr>
      <w:color w:val="0000FF"/>
      <w:u w:val="single"/>
    </w:rPr>
  </w:style>
  <w:style w:type="character" w:styleId="27">
    <w:name w:val="annotation reference"/>
    <w:basedOn w:val="23"/>
    <w:qFormat/>
    <w:uiPriority w:val="99"/>
    <w:rPr>
      <w:sz w:val="21"/>
      <w:szCs w:val="21"/>
    </w:rPr>
  </w:style>
  <w:style w:type="character" w:styleId="28">
    <w:name w:val="HTML Sample"/>
    <w:basedOn w:val="23"/>
    <w:semiHidden/>
    <w:unhideWhenUsed/>
    <w:qFormat/>
    <w:uiPriority w:val="99"/>
    <w:rPr>
      <w:rFonts w:ascii="Courier New" w:hAnsi="Courier New"/>
    </w:rPr>
  </w:style>
  <w:style w:type="character" w:customStyle="1" w:styleId="29">
    <w:name w:val="标题 2 Char"/>
    <w:basedOn w:val="23"/>
    <w:link w:val="4"/>
    <w:qFormat/>
    <w:uiPriority w:val="0"/>
    <w:rPr>
      <w:rFonts w:ascii="Arial" w:hAnsi="Arial" w:eastAsia="黑体" w:cs="Times New Roman"/>
      <w:b/>
      <w:bCs/>
      <w:sz w:val="32"/>
      <w:szCs w:val="32"/>
    </w:rPr>
  </w:style>
  <w:style w:type="character" w:customStyle="1" w:styleId="30">
    <w:name w:val="标题 1 Char"/>
    <w:basedOn w:val="23"/>
    <w:link w:val="3"/>
    <w:qFormat/>
    <w:uiPriority w:val="9"/>
    <w:rPr>
      <w:rFonts w:ascii="Times New Roman" w:hAnsi="Times New Roman" w:eastAsia="宋体" w:cs="Times New Roman"/>
      <w:b/>
      <w:bCs/>
      <w:kern w:val="44"/>
      <w:sz w:val="44"/>
      <w:szCs w:val="44"/>
    </w:rPr>
  </w:style>
  <w:style w:type="character" w:customStyle="1" w:styleId="31">
    <w:name w:val="标题 3 Char"/>
    <w:basedOn w:val="23"/>
    <w:link w:val="5"/>
    <w:qFormat/>
    <w:uiPriority w:val="0"/>
    <w:rPr>
      <w:rFonts w:ascii="Times New Roman" w:hAnsi="Times New Roman" w:eastAsia="宋体" w:cs="Times New Roman"/>
      <w:b/>
      <w:bCs/>
      <w:sz w:val="32"/>
      <w:szCs w:val="32"/>
    </w:rPr>
  </w:style>
  <w:style w:type="character" w:customStyle="1" w:styleId="32">
    <w:name w:val="批注文字 Char1"/>
    <w:basedOn w:val="23"/>
    <w:link w:val="8"/>
    <w:qFormat/>
    <w:uiPriority w:val="0"/>
    <w:rPr>
      <w:rFonts w:ascii="Times New Roman" w:hAnsi="Times New Roman" w:eastAsia="宋体" w:cs="Times New Roman"/>
      <w:szCs w:val="24"/>
    </w:rPr>
  </w:style>
  <w:style w:type="character" w:customStyle="1" w:styleId="33">
    <w:name w:val="批注主题 Char"/>
    <w:basedOn w:val="32"/>
    <w:link w:val="20"/>
    <w:qFormat/>
    <w:uiPriority w:val="99"/>
    <w:rPr>
      <w:rFonts w:ascii="Times New Roman" w:hAnsi="Times New Roman" w:eastAsia="宋体" w:cs="Times New Roman"/>
      <w:b/>
      <w:bCs/>
      <w:szCs w:val="24"/>
    </w:rPr>
  </w:style>
  <w:style w:type="character" w:customStyle="1" w:styleId="34">
    <w:name w:val="正文缩进 Char"/>
    <w:link w:val="6"/>
    <w:qFormat/>
    <w:uiPriority w:val="0"/>
    <w:rPr>
      <w:rFonts w:ascii="Times New Roman" w:hAnsi="Times New Roman" w:eastAsia="宋体" w:cs="Times New Roman"/>
      <w:szCs w:val="24"/>
    </w:rPr>
  </w:style>
  <w:style w:type="character" w:customStyle="1" w:styleId="35">
    <w:name w:val="文档结构图 Char"/>
    <w:basedOn w:val="23"/>
    <w:link w:val="7"/>
    <w:qFormat/>
    <w:uiPriority w:val="99"/>
    <w:rPr>
      <w:rFonts w:ascii="宋体" w:hAnsi="Times New Roman" w:eastAsia="宋体" w:cs="Times New Roman"/>
      <w:sz w:val="18"/>
      <w:szCs w:val="18"/>
    </w:rPr>
  </w:style>
  <w:style w:type="character" w:customStyle="1" w:styleId="36">
    <w:name w:val="正文文本 Char"/>
    <w:basedOn w:val="23"/>
    <w:link w:val="2"/>
    <w:qFormat/>
    <w:uiPriority w:val="0"/>
    <w:rPr>
      <w:rFonts w:ascii="Times New Roman" w:hAnsi="Times New Roman" w:eastAsia="宋体" w:cs="Times New Roman"/>
      <w:szCs w:val="24"/>
    </w:rPr>
  </w:style>
  <w:style w:type="character" w:customStyle="1" w:styleId="37">
    <w:name w:val="正文文本缩进 Char"/>
    <w:basedOn w:val="23"/>
    <w:link w:val="9"/>
    <w:qFormat/>
    <w:uiPriority w:val="0"/>
    <w:rPr>
      <w:rFonts w:ascii="Times New Roman" w:hAnsi="Times New Roman" w:eastAsia="宋体" w:cs="Times New Roman"/>
      <w:sz w:val="32"/>
      <w:szCs w:val="20"/>
    </w:rPr>
  </w:style>
  <w:style w:type="character" w:customStyle="1" w:styleId="38">
    <w:name w:val="纯文本 Char1"/>
    <w:basedOn w:val="23"/>
    <w:link w:val="10"/>
    <w:qFormat/>
    <w:uiPriority w:val="99"/>
    <w:rPr>
      <w:rFonts w:ascii="宋体" w:hAnsi="Courier New" w:eastAsia="宋体" w:cs="Courier New"/>
      <w:szCs w:val="21"/>
    </w:rPr>
  </w:style>
  <w:style w:type="character" w:customStyle="1" w:styleId="39">
    <w:name w:val="正文文本缩进 2 Char"/>
    <w:basedOn w:val="23"/>
    <w:link w:val="12"/>
    <w:qFormat/>
    <w:uiPriority w:val="0"/>
    <w:rPr>
      <w:rFonts w:ascii="Times New Roman" w:hAnsi="Times New Roman" w:eastAsia="宋体" w:cs="Times New Roman"/>
      <w:szCs w:val="24"/>
    </w:rPr>
  </w:style>
  <w:style w:type="character" w:customStyle="1" w:styleId="40">
    <w:name w:val="批注框文本 Char"/>
    <w:basedOn w:val="23"/>
    <w:link w:val="13"/>
    <w:qFormat/>
    <w:uiPriority w:val="99"/>
    <w:rPr>
      <w:rFonts w:ascii="Times New Roman" w:hAnsi="Times New Roman" w:eastAsia="宋体" w:cs="Times New Roman"/>
      <w:sz w:val="18"/>
      <w:szCs w:val="18"/>
    </w:rPr>
  </w:style>
  <w:style w:type="character" w:customStyle="1" w:styleId="41">
    <w:name w:val="页脚 Char"/>
    <w:basedOn w:val="23"/>
    <w:link w:val="14"/>
    <w:qFormat/>
    <w:uiPriority w:val="99"/>
    <w:rPr>
      <w:sz w:val="18"/>
      <w:szCs w:val="18"/>
    </w:rPr>
  </w:style>
  <w:style w:type="character" w:customStyle="1" w:styleId="42">
    <w:name w:val="页眉 Char"/>
    <w:basedOn w:val="23"/>
    <w:link w:val="15"/>
    <w:qFormat/>
    <w:uiPriority w:val="99"/>
    <w:rPr>
      <w:sz w:val="18"/>
      <w:szCs w:val="18"/>
    </w:rPr>
  </w:style>
  <w:style w:type="character" w:customStyle="1" w:styleId="43">
    <w:name w:val="正文文本缩进 3 Char"/>
    <w:basedOn w:val="23"/>
    <w:link w:val="17"/>
    <w:qFormat/>
    <w:uiPriority w:val="0"/>
    <w:rPr>
      <w:rFonts w:ascii="Times New Roman" w:hAnsi="Times New Roman" w:eastAsia="宋体" w:cs="Times New Roman"/>
      <w:sz w:val="16"/>
      <w:szCs w:val="16"/>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7">
    <w:name w:val="表格"/>
    <w:basedOn w:val="1"/>
    <w:qFormat/>
    <w:uiPriority w:val="0"/>
    <w:pPr>
      <w:spacing w:line="400" w:lineRule="exact"/>
    </w:pPr>
    <w:rPr>
      <w:sz w:val="24"/>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character" w:customStyle="1" w:styleId="49">
    <w:name w:val="（符号）邀请函中一、"/>
    <w:basedOn w:val="23"/>
    <w:qFormat/>
    <w:uiPriority w:val="0"/>
    <w:rPr>
      <w:rFonts w:ascii="黑体" w:hAnsi="黑体" w:eastAsia="黑体"/>
      <w:b/>
      <w:bCs/>
      <w:sz w:val="24"/>
    </w:rPr>
  </w:style>
  <w:style w:type="character" w:customStyle="1" w:styleId="50">
    <w:name w:val="Char Char9"/>
    <w:qFormat/>
    <w:uiPriority w:val="0"/>
    <w:rPr>
      <w:kern w:val="2"/>
      <w:sz w:val="21"/>
    </w:rPr>
  </w:style>
  <w:style w:type="character" w:customStyle="1" w:styleId="51">
    <w:name w:val="批注文字 Char"/>
    <w:qFormat/>
    <w:uiPriority w:val="99"/>
    <w:rPr>
      <w:sz w:val="18"/>
    </w:rPr>
  </w:style>
  <w:style w:type="character" w:customStyle="1" w:styleId="52">
    <w:name w:val="纯文本 Char"/>
    <w:unhideWhenUsed/>
    <w:qFormat/>
    <w:uiPriority w:val="0"/>
    <w:rPr>
      <w:rFonts w:ascii="宋体" w:hAnsi="Tms Rmn" w:eastAsia="宋体"/>
    </w:rPr>
  </w:style>
  <w:style w:type="paragraph" w:customStyle="1" w:styleId="53">
    <w:name w:val="GW-正文"/>
    <w:basedOn w:val="1"/>
    <w:link w:val="54"/>
    <w:qFormat/>
    <w:uiPriority w:val="0"/>
    <w:pPr>
      <w:spacing w:line="360" w:lineRule="auto"/>
      <w:ind w:firstLine="200" w:firstLineChars="200"/>
    </w:pPr>
    <w:rPr>
      <w:rFonts w:eastAsia="仿宋_GB2312"/>
      <w:sz w:val="24"/>
    </w:rPr>
  </w:style>
  <w:style w:type="character" w:customStyle="1" w:styleId="54">
    <w:name w:val="GW-正文 Char"/>
    <w:link w:val="53"/>
    <w:qFormat/>
    <w:uiPriority w:val="0"/>
    <w:rPr>
      <w:rFonts w:ascii="Times New Roman" w:hAnsi="Times New Roman" w:eastAsia="仿宋_GB2312" w:cs="Times New Roman"/>
      <w:sz w:val="24"/>
      <w:szCs w:val="24"/>
    </w:rPr>
  </w:style>
  <w:style w:type="paragraph" w:styleId="55">
    <w:name w:val="List Paragraph"/>
    <w:basedOn w:val="1"/>
    <w:link w:val="56"/>
    <w:qFormat/>
    <w:uiPriority w:val="0"/>
    <w:pPr>
      <w:ind w:firstLine="420" w:firstLineChars="200"/>
    </w:pPr>
  </w:style>
  <w:style w:type="character" w:customStyle="1" w:styleId="56">
    <w:name w:val="列出段落 Char"/>
    <w:link w:val="55"/>
    <w:qFormat/>
    <w:uiPriority w:val="0"/>
    <w:rPr>
      <w:rFonts w:ascii="Times New Roman" w:hAnsi="Times New Roman" w:eastAsia="宋体" w:cs="Times New Roman"/>
      <w:szCs w:val="24"/>
    </w:rPr>
  </w:style>
  <w:style w:type="paragraph" w:customStyle="1" w:styleId="57">
    <w:name w:val="Char Char Char Char Char Char Char Char Char Char Char Char Char Char1 Char Char Char Char"/>
    <w:basedOn w:val="1"/>
    <w:qFormat/>
    <w:uiPriority w:val="0"/>
    <w:rPr>
      <w:szCs w:val="21"/>
    </w:rPr>
  </w:style>
  <w:style w:type="paragraph" w:customStyle="1" w:styleId="5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9">
    <w:name w:val="font31"/>
    <w:basedOn w:val="23"/>
    <w:qFormat/>
    <w:uiPriority w:val="0"/>
    <w:rPr>
      <w:rFonts w:hint="eastAsia" w:ascii="宋体" w:hAnsi="宋体" w:eastAsia="宋体" w:cs="宋体"/>
      <w:color w:val="000000"/>
      <w:sz w:val="21"/>
      <w:szCs w:val="21"/>
      <w:u w:val="none"/>
    </w:rPr>
  </w:style>
  <w:style w:type="character" w:customStyle="1" w:styleId="60">
    <w:name w:val="标题 Char"/>
    <w:basedOn w:val="23"/>
    <w:link w:val="19"/>
    <w:qFormat/>
    <w:uiPriority w:val="10"/>
    <w:rPr>
      <w:rFonts w:eastAsia="宋体" w:asciiTheme="majorHAnsi" w:hAnsiTheme="majorHAnsi" w:cstheme="majorBidi"/>
      <w:b/>
      <w:bCs/>
      <w:kern w:val="2"/>
      <w:sz w:val="32"/>
      <w:szCs w:val="32"/>
    </w:rPr>
  </w:style>
  <w:style w:type="paragraph" w:customStyle="1" w:styleId="6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62">
    <w:name w:val="日期 Char"/>
    <w:basedOn w:val="23"/>
    <w:link w:val="11"/>
    <w:qFormat/>
    <w:uiPriority w:val="99"/>
  </w:style>
  <w:style w:type="character" w:customStyle="1" w:styleId="63">
    <w:name w:val="日期 Char1"/>
    <w:basedOn w:val="23"/>
    <w:semiHidden/>
    <w:qFormat/>
    <w:uiPriority w:val="99"/>
    <w:rPr>
      <w:rFonts w:ascii="Times New Roman" w:hAnsi="Times New Roman" w:eastAsia="宋体" w:cs="Times New Roman"/>
      <w:kern w:val="2"/>
      <w:sz w:val="21"/>
      <w:szCs w:val="24"/>
    </w:rPr>
  </w:style>
  <w:style w:type="paragraph" w:customStyle="1" w:styleId="64">
    <w:name w:val="列出段落1"/>
    <w:basedOn w:val="1"/>
    <w:qFormat/>
    <w:uiPriority w:val="34"/>
    <w:pPr>
      <w:ind w:firstLine="420" w:firstLineChars="200"/>
    </w:pPr>
    <w:rPr>
      <w:rFonts w:ascii="Calibri" w:hAnsi="Calibri"/>
      <w:szCs w:val="22"/>
    </w:rPr>
  </w:style>
  <w:style w:type="paragraph" w:customStyle="1" w:styleId="65">
    <w:name w:val="xl66"/>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66">
    <w:name w:val="xl67"/>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67">
    <w:name w:val="xl68"/>
    <w:basedOn w:val="1"/>
    <w:qFormat/>
    <w:uiPriority w:val="0"/>
    <w:pPr>
      <w:widowControl/>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68">
    <w:name w:val="xl69"/>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69">
    <w:name w:val="xl70"/>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70">
    <w:name w:val="xl71"/>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71">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7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7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74">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75">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7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7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kern w:val="0"/>
      <w:sz w:val="20"/>
      <w:szCs w:val="20"/>
    </w:rPr>
  </w:style>
  <w:style w:type="paragraph" w:customStyle="1" w:styleId="78">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79">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8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rPr>
  </w:style>
  <w:style w:type="paragraph" w:customStyle="1" w:styleId="8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kern w:val="0"/>
      <w:sz w:val="20"/>
      <w:szCs w:val="20"/>
    </w:rPr>
  </w:style>
  <w:style w:type="paragraph" w:customStyle="1" w:styleId="8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8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8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8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8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0">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1">
    <w:name w:val="font7"/>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92">
    <w:name w:val="font8"/>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93">
    <w:name w:val="font9"/>
    <w:basedOn w:val="1"/>
    <w:qFormat/>
    <w:uiPriority w:val="0"/>
    <w:pPr>
      <w:widowControl/>
      <w:spacing w:before="100" w:beforeAutospacing="1" w:after="100" w:afterAutospacing="1"/>
      <w:jc w:val="left"/>
    </w:pPr>
    <w:rPr>
      <w:rFonts w:ascii="Calibri" w:hAnsi="Calibri" w:cs="Calibri"/>
      <w:kern w:val="0"/>
      <w:sz w:val="20"/>
      <w:szCs w:val="20"/>
    </w:rPr>
  </w:style>
  <w:style w:type="paragraph" w:customStyle="1" w:styleId="94">
    <w:name w:val="font10"/>
    <w:basedOn w:val="1"/>
    <w:qFormat/>
    <w:uiPriority w:val="0"/>
    <w:pPr>
      <w:widowControl/>
      <w:spacing w:before="100" w:beforeAutospacing="1" w:after="100" w:afterAutospacing="1"/>
      <w:jc w:val="left"/>
    </w:pPr>
    <w:rPr>
      <w:rFonts w:ascii="Calibri" w:hAnsi="Calibri" w:cs="Calibri"/>
      <w:color w:val="FF0000"/>
      <w:kern w:val="0"/>
      <w:sz w:val="20"/>
      <w:szCs w:val="20"/>
    </w:rPr>
  </w:style>
  <w:style w:type="paragraph" w:customStyle="1" w:styleId="95">
    <w:name w:val="font11"/>
    <w:basedOn w:val="1"/>
    <w:qFormat/>
    <w:uiPriority w:val="0"/>
    <w:pPr>
      <w:widowControl/>
      <w:spacing w:before="100" w:beforeAutospacing="1" w:after="100" w:afterAutospacing="1"/>
      <w:jc w:val="left"/>
    </w:pPr>
    <w:rPr>
      <w:rFonts w:ascii="宋体" w:hAnsi="宋体" w:cs="宋体"/>
      <w:color w:val="FF0000"/>
      <w:kern w:val="0"/>
      <w:sz w:val="22"/>
      <w:szCs w:val="22"/>
    </w:rPr>
  </w:style>
  <w:style w:type="paragraph" w:customStyle="1" w:styleId="96">
    <w:name w:val="02、首行缩进2字符正文"/>
    <w:basedOn w:val="1"/>
    <w:qFormat/>
    <w:uiPriority w:val="0"/>
    <w:pPr>
      <w:tabs>
        <w:tab w:val="left" w:pos="0"/>
      </w:tabs>
      <w:wordWrap w:val="0"/>
      <w:topLinePunct/>
      <w:ind w:firstLine="480" w:firstLineChars="200"/>
    </w:pPr>
    <w:rPr>
      <w:rFonts w:ascii="宋体" w:hAnsi="宋体" w:eastAsia="宋体"/>
    </w:rPr>
  </w:style>
  <w:style w:type="paragraph" w:customStyle="1" w:styleId="97">
    <w:name w:val="01、普通正文"/>
    <w:basedOn w:val="1"/>
    <w:qFormat/>
    <w:uiPriority w:val="0"/>
    <w:pPr>
      <w:tabs>
        <w:tab w:val="left" w:pos="0"/>
      </w:tabs>
      <w:wordWrap w:val="0"/>
      <w:topLinePunct/>
      <w:ind w:firstLine="0" w:firstLineChars="0"/>
    </w:pPr>
    <w:rPr>
      <w:rFonts w:ascii="宋体" w:hAnsi="宋体" w:eastAsia="宋体"/>
      <w:snapToGrid w:val="0"/>
    </w:rPr>
  </w:style>
  <w:style w:type="paragraph" w:customStyle="1" w:styleId="98">
    <w:name w:val="标题 5（有编号）（绿盟科技）"/>
    <w:basedOn w:val="1"/>
    <w:next w:val="1"/>
    <w:qFormat/>
    <w:uiPriority w:val="0"/>
    <w:pPr>
      <w:keepNext/>
      <w:keepLines/>
      <w:numPr>
        <w:ilvl w:val="4"/>
        <w:numId w:val="1"/>
      </w:numPr>
      <w:spacing w:before="280" w:after="156" w:line="377" w:lineRule="auto"/>
      <w:outlineLvl w:val="4"/>
    </w:pPr>
    <w:rPr>
      <w:rFonts w:ascii="Arial" w:hAnsi="Arial" w:eastAsia="黑体" w:cs="Arial"/>
      <w:b/>
      <w:bCs/>
    </w:rPr>
  </w:style>
  <w:style w:type="character" w:customStyle="1" w:styleId="99">
    <w:name w:val="NormalCharacter"/>
    <w:qFormat/>
    <w:uiPriority w:val="0"/>
    <w:rPr>
      <w:rFonts w:ascii="Times New Roman" w:hAnsi="Times New Roman" w:eastAsia="宋体" w:cs="Times New Roman"/>
    </w:rPr>
  </w:style>
  <w:style w:type="paragraph" w:customStyle="1" w:styleId="100">
    <w:name w:val="UserStyle_19"/>
    <w:qFormat/>
    <w:uiPriority w:val="0"/>
    <w:pPr>
      <w:textAlignment w:val="baseline"/>
    </w:pPr>
    <w:rPr>
      <w:rFonts w:ascii="宋体" w:hAnsi="宋体" w:eastAsia="宋体" w:cs="Times New Roman"/>
      <w:sz w:val="24"/>
      <w:szCs w:val="24"/>
      <w:lang w:val="en-US" w:eastAsia="zh-CN" w:bidi="ar-SA"/>
    </w:rPr>
  </w:style>
  <w:style w:type="paragraph" w:customStyle="1" w:styleId="101">
    <w:name w:val="BodyText"/>
    <w:basedOn w:val="1"/>
    <w:qFormat/>
    <w:uiPriority w:val="0"/>
    <w:pPr>
      <w:spacing w:after="120"/>
      <w:jc w:val="both"/>
      <w:textAlignment w:val="baseline"/>
    </w:pPr>
    <w:rPr>
      <w:rFonts w:ascii="Times New Roman" w:hAnsi="Times New Roman" w:eastAsia="等线" w:cs="Times New Roman"/>
      <w:kern w:val="2"/>
      <w:sz w:val="21"/>
      <w:szCs w:val="24"/>
      <w:lang w:val="en-US" w:eastAsia="zh-CN" w:bidi="ar-SA"/>
    </w:rPr>
  </w:style>
  <w:style w:type="character" w:customStyle="1" w:styleId="102">
    <w:name w:val="font71"/>
    <w:basedOn w:val="23"/>
    <w:qFormat/>
    <w:uiPriority w:val="0"/>
    <w:rPr>
      <w:rFonts w:hint="eastAsia" w:ascii="宋体" w:hAnsi="宋体" w:eastAsia="宋体" w:cs="宋体"/>
      <w:color w:val="000000"/>
      <w:sz w:val="18"/>
      <w:szCs w:val="18"/>
      <w:u w:val="none"/>
    </w:rPr>
  </w:style>
  <w:style w:type="character" w:customStyle="1" w:styleId="103">
    <w:name w:val="font91"/>
    <w:basedOn w:val="2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5.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8" Type="http://schemas.openxmlformats.org/officeDocument/2006/relationships/fontTable" Target="fontTable.xml"/><Relationship Id="rId107" Type="http://schemas.openxmlformats.org/officeDocument/2006/relationships/customXml" Target="../customXml/item2.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76329-EBC0-4E60-B610-E728EC67DE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112</Pages>
  <Words>8573</Words>
  <Characters>48869</Characters>
  <Lines>407</Lines>
  <Paragraphs>114</Paragraphs>
  <TotalTime>0</TotalTime>
  <ScaleCrop>false</ScaleCrop>
  <LinksUpToDate>false</LinksUpToDate>
  <CharactersWithSpaces>57328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2020-04-26T01:34:00Z</dcterms:created>
  <dc:creator>刘春阳</dc:creator>
  <cp:lastModifiedBy>DELL</cp:lastModifiedBy>
  <cp:lastPrinted>2021-04-20T02:48:00Z</cp:lastPrinted>
  <dcterms:modified xsi:type="dcterms:W3CDTF">2021-06-23T09:17:50Z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0A32947ED604497A984ABAADC44DD662</vt:lpwstr>
  </property>
</Properties>
</file>